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8"/>
        <w:rPr>
          <w:rFonts w:ascii="宋体" w:cs="宋体"/>
          <w:b/>
          <w:color w:val="auto"/>
          <w:sz w:val="48"/>
          <w:szCs w:val="48"/>
        </w:rPr>
      </w:pPr>
    </w:p>
    <w:p>
      <w:pPr>
        <w:pStyle w:val="58"/>
        <w:rPr>
          <w:rFonts w:ascii="宋体" w:cs="宋体"/>
          <w:b/>
          <w:color w:val="auto"/>
          <w:sz w:val="48"/>
          <w:szCs w:val="48"/>
        </w:rPr>
      </w:pPr>
    </w:p>
    <w:p>
      <w:pPr>
        <w:pStyle w:val="58"/>
        <w:jc w:val="center"/>
        <w:rPr>
          <w:rFonts w:hint="eastAsia" w:ascii="宋体" w:eastAsia="宋体" w:cs="宋体"/>
          <w:b/>
          <w:color w:val="auto"/>
          <w:sz w:val="48"/>
          <w:szCs w:val="48"/>
          <w:lang w:eastAsia="zh-CN"/>
        </w:rPr>
      </w:pPr>
      <w:r>
        <w:rPr>
          <w:rFonts w:hint="eastAsia" w:ascii="宋体" w:hAnsi="宋体" w:cs="宋体"/>
          <w:b/>
          <w:color w:val="auto"/>
          <w:sz w:val="48"/>
          <w:szCs w:val="48"/>
          <w:lang w:eastAsia="zh-CN"/>
        </w:rPr>
        <w:t>新疆维吾尔自治区人民医院物资服务商（二批）采购项目三次(电工材料类选取1家服务商)</w:t>
      </w:r>
    </w:p>
    <w:p>
      <w:pPr>
        <w:pStyle w:val="58"/>
        <w:jc w:val="center"/>
        <w:rPr>
          <w:rFonts w:ascii="宋体" w:cs="宋体"/>
          <w:b/>
          <w:color w:val="auto"/>
          <w:sz w:val="48"/>
          <w:szCs w:val="48"/>
        </w:rPr>
      </w:pPr>
    </w:p>
    <w:p>
      <w:pPr>
        <w:pStyle w:val="58"/>
        <w:jc w:val="center"/>
        <w:rPr>
          <w:rFonts w:ascii="宋体" w:cs="宋体"/>
          <w:b/>
          <w:color w:val="auto"/>
          <w:sz w:val="48"/>
          <w:szCs w:val="48"/>
        </w:rPr>
      </w:pPr>
    </w:p>
    <w:p>
      <w:pPr>
        <w:pStyle w:val="58"/>
        <w:jc w:val="center"/>
        <w:rPr>
          <w:rFonts w:ascii="宋体" w:cs="宋体"/>
          <w:b/>
          <w:color w:val="auto"/>
          <w:sz w:val="48"/>
          <w:szCs w:val="48"/>
        </w:rPr>
      </w:pPr>
    </w:p>
    <w:p>
      <w:pPr>
        <w:jc w:val="center"/>
        <w:outlineLvl w:val="0"/>
        <w:rPr>
          <w:rFonts w:ascii="宋体" w:cs="宋体"/>
          <w:b/>
          <w:sz w:val="84"/>
        </w:rPr>
      </w:pPr>
      <w:r>
        <w:rPr>
          <w:rFonts w:hint="eastAsia" w:ascii="宋体" w:hAnsi="宋体" w:cs="宋体"/>
          <w:b/>
          <w:sz w:val="84"/>
        </w:rPr>
        <w:t>竞争性谈判文件</w:t>
      </w:r>
    </w:p>
    <w:p>
      <w:pPr>
        <w:jc w:val="center"/>
        <w:outlineLvl w:val="0"/>
        <w:rPr>
          <w:rFonts w:hint="eastAsia" w:ascii="宋体" w:eastAsia="宋体" w:cs="宋体"/>
          <w:b/>
          <w:sz w:val="44"/>
          <w:szCs w:val="44"/>
          <w:lang w:eastAsia="zh-CN"/>
        </w:rPr>
      </w:pPr>
      <w:r>
        <w:rPr>
          <w:rFonts w:hint="eastAsia" w:ascii="宋体" w:hAnsi="宋体" w:cs="宋体"/>
          <w:b/>
          <w:sz w:val="44"/>
          <w:szCs w:val="44"/>
        </w:rPr>
        <w:t>招标编号：</w:t>
      </w:r>
      <w:r>
        <w:rPr>
          <w:rFonts w:hint="eastAsia" w:ascii="宋体" w:hAnsi="宋体" w:cs="宋体"/>
          <w:b/>
          <w:sz w:val="44"/>
          <w:szCs w:val="44"/>
          <w:lang w:eastAsia="zh-CN"/>
        </w:rPr>
        <w:t>XJTF(JZ)2021ZF39</w:t>
      </w:r>
    </w:p>
    <w:p>
      <w:pPr>
        <w:pStyle w:val="58"/>
        <w:rPr>
          <w:rFonts w:ascii="宋体" w:cs="宋体"/>
          <w:b/>
          <w:color w:val="auto"/>
          <w:spacing w:val="14"/>
          <w:kern w:val="2"/>
          <w:sz w:val="36"/>
          <w:szCs w:val="36"/>
        </w:rPr>
      </w:pPr>
    </w:p>
    <w:p>
      <w:pPr>
        <w:pStyle w:val="58"/>
        <w:rPr>
          <w:rFonts w:ascii="宋体" w:cs="宋体"/>
          <w:b/>
          <w:color w:val="auto"/>
          <w:spacing w:val="14"/>
          <w:kern w:val="2"/>
          <w:sz w:val="36"/>
          <w:szCs w:val="36"/>
        </w:rPr>
      </w:pPr>
    </w:p>
    <w:p>
      <w:pPr>
        <w:pStyle w:val="58"/>
        <w:rPr>
          <w:rFonts w:ascii="宋体" w:cs="宋体"/>
          <w:b/>
          <w:color w:val="auto"/>
          <w:spacing w:val="14"/>
          <w:kern w:val="2"/>
          <w:sz w:val="36"/>
          <w:szCs w:val="36"/>
        </w:rPr>
      </w:pPr>
    </w:p>
    <w:p>
      <w:pPr>
        <w:pStyle w:val="58"/>
        <w:rPr>
          <w:rFonts w:ascii="宋体" w:cs="宋体"/>
          <w:b/>
          <w:color w:val="auto"/>
          <w:spacing w:val="14"/>
          <w:kern w:val="2"/>
          <w:sz w:val="36"/>
          <w:szCs w:val="36"/>
        </w:rPr>
      </w:pPr>
    </w:p>
    <w:p>
      <w:pPr>
        <w:spacing w:line="440" w:lineRule="exact"/>
        <w:ind w:firstLine="482"/>
        <w:rPr>
          <w:rFonts w:ascii="宋体" w:cs="宋体"/>
          <w:b/>
          <w:spacing w:val="14"/>
          <w:sz w:val="36"/>
          <w:szCs w:val="36"/>
        </w:rPr>
      </w:pPr>
    </w:p>
    <w:p>
      <w:pPr>
        <w:spacing w:line="440" w:lineRule="exact"/>
        <w:ind w:firstLine="482"/>
        <w:rPr>
          <w:rFonts w:ascii="宋体" w:cs="宋体"/>
          <w:b/>
          <w:spacing w:val="14"/>
          <w:sz w:val="36"/>
          <w:szCs w:val="36"/>
        </w:rPr>
      </w:pPr>
    </w:p>
    <w:p>
      <w:pPr>
        <w:spacing w:line="440" w:lineRule="exact"/>
        <w:jc w:val="center"/>
        <w:rPr>
          <w:rFonts w:ascii="宋体" w:cs="宋体"/>
          <w:b/>
          <w:spacing w:val="14"/>
          <w:sz w:val="36"/>
          <w:szCs w:val="36"/>
        </w:rPr>
      </w:pPr>
    </w:p>
    <w:p>
      <w:pPr>
        <w:spacing w:line="440" w:lineRule="exact"/>
        <w:jc w:val="center"/>
        <w:rPr>
          <w:rFonts w:ascii="宋体" w:cs="宋体"/>
          <w:b/>
          <w:spacing w:val="14"/>
          <w:sz w:val="36"/>
          <w:szCs w:val="36"/>
        </w:rPr>
      </w:pPr>
      <w:r>
        <w:rPr>
          <w:rFonts w:hint="eastAsia" w:ascii="宋体" w:hAnsi="宋体" w:cs="宋体"/>
          <w:b/>
          <w:spacing w:val="14"/>
          <w:sz w:val="36"/>
          <w:szCs w:val="36"/>
        </w:rPr>
        <w:t>采购人：新疆维吾尔自治区人民医院</w:t>
      </w:r>
    </w:p>
    <w:p>
      <w:pPr>
        <w:pStyle w:val="58"/>
        <w:spacing w:line="440" w:lineRule="exact"/>
        <w:ind w:firstLine="962" w:firstLineChars="247"/>
        <w:rPr>
          <w:rFonts w:ascii="宋体" w:cs="宋体"/>
          <w:b/>
          <w:color w:val="auto"/>
          <w:spacing w:val="14"/>
          <w:kern w:val="2"/>
          <w:sz w:val="36"/>
          <w:szCs w:val="36"/>
        </w:rPr>
      </w:pPr>
      <w:r>
        <w:rPr>
          <w:rFonts w:hint="eastAsia" w:ascii="宋体" w:hAnsi="宋体" w:cs="宋体"/>
          <w:b/>
          <w:color w:val="auto"/>
          <w:spacing w:val="14"/>
          <w:kern w:val="2"/>
          <w:sz w:val="36"/>
          <w:szCs w:val="36"/>
        </w:rPr>
        <w:t>招标代理机构：新疆同孚招投标有限公司</w:t>
      </w:r>
    </w:p>
    <w:p>
      <w:pPr>
        <w:spacing w:line="240" w:lineRule="atLeast"/>
        <w:jc w:val="center"/>
        <w:rPr>
          <w:rFonts w:ascii="宋体" w:cs="宋体"/>
          <w:b/>
          <w:sz w:val="32"/>
          <w:szCs w:val="32"/>
        </w:rPr>
      </w:pPr>
      <w:r>
        <w:rPr>
          <w:rFonts w:ascii="宋体" w:hAnsi="宋体" w:cs="宋体"/>
          <w:b/>
          <w:sz w:val="32"/>
          <w:szCs w:val="32"/>
        </w:rPr>
        <w:t xml:space="preserve"> </w:t>
      </w:r>
      <w:r>
        <w:rPr>
          <w:rFonts w:hint="eastAsia" w:ascii="宋体" w:hAnsi="宋体" w:cs="宋体"/>
          <w:b/>
          <w:sz w:val="32"/>
          <w:szCs w:val="32"/>
        </w:rPr>
        <w:t>二〇二</w:t>
      </w:r>
      <w:r>
        <w:rPr>
          <w:rFonts w:hint="eastAsia" w:ascii="宋体" w:hAnsi="宋体" w:cs="宋体"/>
          <w:b/>
          <w:sz w:val="32"/>
          <w:szCs w:val="32"/>
          <w:lang w:val="en-US" w:eastAsia="zh-CN"/>
        </w:rPr>
        <w:t>一</w:t>
      </w:r>
      <w:r>
        <w:rPr>
          <w:rFonts w:hint="eastAsia" w:ascii="宋体" w:hAnsi="宋体" w:cs="宋体"/>
          <w:b/>
          <w:sz w:val="32"/>
          <w:szCs w:val="32"/>
        </w:rPr>
        <w:t>年十一月</w:t>
      </w:r>
    </w:p>
    <w:p>
      <w:pPr>
        <w:widowControl/>
        <w:shd w:val="clear" w:color="auto" w:fill="FEFEFE"/>
        <w:spacing w:line="400" w:lineRule="atLeast"/>
        <w:rPr>
          <w:rFonts w:ascii="宋体" w:cs="宋体"/>
          <w:b/>
          <w:bCs/>
          <w:kern w:val="0"/>
          <w:szCs w:val="21"/>
        </w:rPr>
      </w:pPr>
    </w:p>
    <w:p>
      <w:pPr>
        <w:widowControl/>
        <w:shd w:val="clear" w:color="auto" w:fill="FEFEFE"/>
        <w:spacing w:line="400" w:lineRule="atLeast"/>
        <w:rPr>
          <w:rFonts w:ascii="宋体" w:cs="宋体"/>
          <w:b/>
          <w:bCs/>
          <w:kern w:val="0"/>
          <w:szCs w:val="21"/>
        </w:rPr>
      </w:pPr>
    </w:p>
    <w:p>
      <w:pPr>
        <w:tabs>
          <w:tab w:val="left" w:pos="1440"/>
          <w:tab w:val="left" w:pos="2100"/>
        </w:tabs>
        <w:spacing w:line="360" w:lineRule="exact"/>
        <w:ind w:left="420" w:leftChars="200"/>
        <w:jc w:val="right"/>
      </w:pPr>
    </w:p>
    <w:p>
      <w:pPr>
        <w:spacing w:line="360" w:lineRule="auto"/>
        <w:jc w:val="center"/>
        <w:rPr>
          <w:rFonts w:ascii="宋体" w:cs="宋体"/>
          <w:szCs w:val="21"/>
        </w:rPr>
      </w:pPr>
      <w:r>
        <w:rPr>
          <w:rFonts w:hint="eastAsia" w:ascii="宋体" w:hAnsi="宋体" w:cs="宋体"/>
          <w:b/>
          <w:sz w:val="32"/>
          <w:szCs w:val="32"/>
        </w:rPr>
        <w:t>目</w:t>
      </w:r>
      <w:r>
        <w:rPr>
          <w:rFonts w:ascii="宋体" w:hAnsi="宋体" w:cs="宋体"/>
          <w:b/>
          <w:sz w:val="32"/>
          <w:szCs w:val="32"/>
        </w:rPr>
        <w:t xml:space="preserve"> </w:t>
      </w:r>
      <w:r>
        <w:rPr>
          <w:rFonts w:hint="eastAsia" w:ascii="宋体" w:hAnsi="宋体" w:cs="宋体"/>
          <w:b/>
          <w:sz w:val="32"/>
          <w:szCs w:val="32"/>
        </w:rPr>
        <w:t>录</w:t>
      </w:r>
    </w:p>
    <w:p>
      <w:pPr>
        <w:rPr>
          <w:rFonts w:ascii="宋体" w:cs="宋体"/>
          <w:sz w:val="28"/>
          <w:szCs w:val="28"/>
        </w:rPr>
      </w:pPr>
      <w:r>
        <w:rPr>
          <w:rFonts w:hint="eastAsia" w:ascii="宋体" w:hAnsi="宋体" w:cs="宋体"/>
          <w:sz w:val="28"/>
          <w:szCs w:val="28"/>
        </w:rPr>
        <w:t>竞争性谈判公告</w:t>
      </w:r>
    </w:p>
    <w:p>
      <w:pPr>
        <w:pStyle w:val="16"/>
        <w:spacing w:line="480" w:lineRule="auto"/>
        <w:rPr>
          <w:rFonts w:ascii="宋体" w:eastAsia="宋体" w:cs="宋体"/>
          <w:bCs w:val="0"/>
          <w:sz w:val="28"/>
          <w:szCs w:val="28"/>
        </w:rPr>
      </w:pPr>
      <w:r>
        <w:rPr>
          <w:rFonts w:ascii="宋体" w:eastAsia="宋体" w:cs="宋体"/>
          <w:sz w:val="28"/>
          <w:szCs w:val="28"/>
        </w:rPr>
        <w:fldChar w:fldCharType="begin"/>
      </w:r>
      <w:r>
        <w:rPr>
          <w:rFonts w:ascii="宋体" w:eastAsia="宋体" w:cs="宋体"/>
          <w:sz w:val="28"/>
          <w:szCs w:val="28"/>
        </w:rPr>
        <w:instrText xml:space="preserve"> TOC \o "1-3" \h \z \u </w:instrText>
      </w:r>
      <w:r>
        <w:rPr>
          <w:rFonts w:ascii="宋体" w:eastAsia="宋体" w:cs="宋体"/>
          <w:sz w:val="28"/>
          <w:szCs w:val="28"/>
        </w:rPr>
        <w:fldChar w:fldCharType="separate"/>
      </w:r>
      <w:r>
        <w:fldChar w:fldCharType="begin"/>
      </w:r>
      <w:r>
        <w:instrText xml:space="preserve"> HYPERLINK \l "_Toc503519656" </w:instrText>
      </w:r>
      <w:r>
        <w:fldChar w:fldCharType="separate"/>
      </w:r>
      <w:r>
        <w:rPr>
          <w:rStyle w:val="29"/>
          <w:rFonts w:hint="eastAsia" w:ascii="宋体" w:eastAsia="宋体" w:cs="宋体"/>
          <w:color w:val="auto"/>
          <w:sz w:val="28"/>
          <w:szCs w:val="28"/>
        </w:rPr>
        <w:t>第一部份投标须知</w:t>
      </w:r>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_Toc503519656 \h </w:instrText>
      </w:r>
      <w:r>
        <w:rPr>
          <w:rFonts w:ascii="宋体" w:eastAsia="宋体" w:cs="宋体"/>
          <w:sz w:val="28"/>
          <w:szCs w:val="28"/>
        </w:rPr>
        <w:fldChar w:fldCharType="separate"/>
      </w:r>
      <w:r>
        <w:rPr>
          <w:rFonts w:ascii="宋体" w:eastAsia="宋体" w:cs="宋体"/>
          <w:sz w:val="28"/>
          <w:szCs w:val="28"/>
        </w:rPr>
        <w:t>3</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"_Toc503519657" </w:instrText>
      </w:r>
      <w:r>
        <w:fldChar w:fldCharType="separate"/>
      </w:r>
      <w:r>
        <w:rPr>
          <w:rStyle w:val="29"/>
          <w:rFonts w:hint="eastAsia" w:ascii="宋体" w:eastAsia="宋体" w:cs="宋体"/>
          <w:color w:val="auto"/>
          <w:sz w:val="28"/>
          <w:szCs w:val="28"/>
        </w:rPr>
        <w:t>第二部分招标说明</w:t>
      </w:r>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_Toc503519657 \h </w:instrText>
      </w:r>
      <w:r>
        <w:rPr>
          <w:rFonts w:ascii="宋体" w:eastAsia="宋体" w:cs="宋体"/>
          <w:sz w:val="28"/>
          <w:szCs w:val="28"/>
        </w:rPr>
        <w:fldChar w:fldCharType="separate"/>
      </w:r>
      <w:r>
        <w:rPr>
          <w:rFonts w:ascii="宋体" w:eastAsia="宋体" w:cs="宋体"/>
          <w:sz w:val="28"/>
          <w:szCs w:val="28"/>
        </w:rPr>
        <w:t>12</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"_Toc503519658" </w:instrText>
      </w:r>
      <w:r>
        <w:fldChar w:fldCharType="separate"/>
      </w:r>
      <w:r>
        <w:rPr>
          <w:rStyle w:val="29"/>
          <w:rFonts w:hint="eastAsia" w:ascii="宋体" w:eastAsia="宋体" w:cs="宋体"/>
          <w:color w:val="auto"/>
          <w:sz w:val="28"/>
          <w:szCs w:val="28"/>
        </w:rPr>
        <w:t>第三部分投标说明</w:t>
      </w:r>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_Toc503519658 \h </w:instrText>
      </w:r>
      <w:r>
        <w:rPr>
          <w:rFonts w:ascii="宋体" w:eastAsia="宋体" w:cs="宋体"/>
          <w:sz w:val="28"/>
          <w:szCs w:val="28"/>
        </w:rPr>
        <w:fldChar w:fldCharType="separate"/>
      </w:r>
      <w:r>
        <w:rPr>
          <w:rFonts w:ascii="宋体" w:eastAsia="宋体" w:cs="宋体"/>
          <w:sz w:val="28"/>
          <w:szCs w:val="28"/>
        </w:rPr>
        <w:t>15</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"_Toc503519659" </w:instrText>
      </w:r>
      <w:r>
        <w:fldChar w:fldCharType="separate"/>
      </w:r>
      <w:r>
        <w:rPr>
          <w:rStyle w:val="29"/>
          <w:rFonts w:hint="eastAsia" w:ascii="宋体" w:eastAsia="宋体" w:cs="宋体"/>
          <w:color w:val="auto"/>
          <w:sz w:val="28"/>
          <w:szCs w:val="28"/>
        </w:rPr>
        <w:t>第一章</w:t>
      </w:r>
      <w:r>
        <w:rPr>
          <w:rStyle w:val="29"/>
          <w:rFonts w:ascii="宋体" w:eastAsia="宋体" w:cs="宋体"/>
          <w:color w:val="auto"/>
          <w:sz w:val="28"/>
          <w:szCs w:val="28"/>
        </w:rPr>
        <w:t xml:space="preserve">  </w:t>
      </w:r>
      <w:r>
        <w:rPr>
          <w:rStyle w:val="29"/>
          <w:rFonts w:hint="eastAsia" w:ascii="宋体" w:eastAsia="宋体" w:cs="宋体"/>
          <w:color w:val="auto"/>
          <w:sz w:val="28"/>
          <w:szCs w:val="28"/>
        </w:rPr>
        <w:t>对投标人的资质要求</w:t>
      </w:r>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_Toc503519659 \h </w:instrText>
      </w:r>
      <w:r>
        <w:rPr>
          <w:rFonts w:ascii="宋体" w:eastAsia="宋体" w:cs="宋体"/>
          <w:sz w:val="28"/>
          <w:szCs w:val="28"/>
        </w:rPr>
        <w:fldChar w:fldCharType="separate"/>
      </w:r>
      <w:r>
        <w:rPr>
          <w:rFonts w:ascii="宋体" w:eastAsia="宋体" w:cs="宋体"/>
          <w:sz w:val="28"/>
          <w:szCs w:val="28"/>
        </w:rPr>
        <w:t>15</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"_Toc503519660" </w:instrText>
      </w:r>
      <w:r>
        <w:fldChar w:fldCharType="separate"/>
      </w:r>
      <w:r>
        <w:rPr>
          <w:rStyle w:val="29"/>
          <w:rFonts w:hint="eastAsia" w:ascii="宋体" w:eastAsia="宋体" w:cs="宋体"/>
          <w:color w:val="auto"/>
          <w:sz w:val="28"/>
          <w:szCs w:val="28"/>
        </w:rPr>
        <w:t>第二章</w:t>
      </w:r>
      <w:r>
        <w:rPr>
          <w:rStyle w:val="29"/>
          <w:rFonts w:ascii="宋体" w:eastAsia="宋体" w:cs="宋体"/>
          <w:color w:val="auto"/>
          <w:sz w:val="28"/>
          <w:szCs w:val="28"/>
        </w:rPr>
        <w:t xml:space="preserve">  </w:t>
      </w:r>
      <w:r>
        <w:rPr>
          <w:rStyle w:val="29"/>
          <w:rFonts w:hint="eastAsia" w:ascii="宋体" w:eastAsia="宋体" w:cs="宋体"/>
          <w:color w:val="auto"/>
          <w:sz w:val="28"/>
          <w:szCs w:val="28"/>
        </w:rPr>
        <w:t>响应性文件的编写</w:t>
      </w:r>
      <w:bookmarkStart w:id="16" w:name="_GoBack"/>
      <w:bookmarkEnd w:id="16"/>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_Toc503519660 \h </w:instrText>
      </w:r>
      <w:r>
        <w:rPr>
          <w:rFonts w:ascii="宋体" w:eastAsia="宋体" w:cs="宋体"/>
          <w:sz w:val="28"/>
          <w:szCs w:val="28"/>
        </w:rPr>
        <w:fldChar w:fldCharType="separate"/>
      </w:r>
      <w:r>
        <w:rPr>
          <w:rFonts w:ascii="宋体" w:eastAsia="宋体" w:cs="宋体"/>
          <w:sz w:val="28"/>
          <w:szCs w:val="28"/>
        </w:rPr>
        <w:t>16</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"_Toc503519661" </w:instrText>
      </w:r>
      <w:r>
        <w:fldChar w:fldCharType="separate"/>
      </w:r>
      <w:r>
        <w:rPr>
          <w:rStyle w:val="29"/>
          <w:rFonts w:hint="eastAsia" w:ascii="宋体" w:eastAsia="宋体" w:cs="宋体"/>
          <w:color w:val="auto"/>
          <w:sz w:val="28"/>
          <w:szCs w:val="28"/>
        </w:rPr>
        <w:t>第三章</w:t>
      </w:r>
      <w:r>
        <w:rPr>
          <w:rStyle w:val="29"/>
          <w:rFonts w:ascii="宋体" w:eastAsia="宋体" w:cs="宋体"/>
          <w:color w:val="auto"/>
          <w:sz w:val="28"/>
          <w:szCs w:val="28"/>
        </w:rPr>
        <w:t xml:space="preserve"> </w:t>
      </w:r>
      <w:r>
        <w:rPr>
          <w:rStyle w:val="29"/>
          <w:rFonts w:hint="eastAsia" w:ascii="宋体" w:eastAsia="宋体" w:cs="宋体"/>
          <w:color w:val="auto"/>
          <w:sz w:val="28"/>
          <w:szCs w:val="28"/>
        </w:rPr>
        <w:t>响应性文件的递交</w:t>
      </w:r>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_Toc503519661 \h </w:instrText>
      </w:r>
      <w:r>
        <w:rPr>
          <w:rFonts w:ascii="宋体" w:eastAsia="宋体" w:cs="宋体"/>
          <w:sz w:val="28"/>
          <w:szCs w:val="28"/>
        </w:rPr>
        <w:fldChar w:fldCharType="separate"/>
      </w:r>
      <w:r>
        <w:rPr>
          <w:rFonts w:ascii="宋体" w:eastAsia="宋体" w:cs="宋体"/>
          <w:sz w:val="28"/>
          <w:szCs w:val="28"/>
        </w:rPr>
        <w:t>25</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"_Toc503519662" </w:instrText>
      </w:r>
      <w:r>
        <w:fldChar w:fldCharType="separate"/>
      </w:r>
      <w:r>
        <w:rPr>
          <w:rStyle w:val="29"/>
          <w:rFonts w:hint="eastAsia" w:ascii="宋体" w:eastAsia="宋体" w:cs="宋体"/>
          <w:color w:val="auto"/>
          <w:sz w:val="28"/>
          <w:szCs w:val="28"/>
        </w:rPr>
        <w:t>第四章开标、谈判</w:t>
      </w:r>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_Toc503519662 \h </w:instrText>
      </w:r>
      <w:r>
        <w:rPr>
          <w:rFonts w:ascii="宋体" w:eastAsia="宋体" w:cs="宋体"/>
          <w:sz w:val="28"/>
          <w:szCs w:val="28"/>
        </w:rPr>
        <w:fldChar w:fldCharType="separate"/>
      </w:r>
      <w:r>
        <w:rPr>
          <w:rFonts w:ascii="宋体" w:eastAsia="宋体" w:cs="宋体"/>
          <w:sz w:val="28"/>
          <w:szCs w:val="28"/>
        </w:rPr>
        <w:t>26</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"_Toc503519663" </w:instrText>
      </w:r>
      <w:r>
        <w:fldChar w:fldCharType="separate"/>
      </w:r>
      <w:r>
        <w:rPr>
          <w:rStyle w:val="29"/>
          <w:rFonts w:hint="eastAsia" w:ascii="宋体" w:eastAsia="宋体" w:cs="宋体"/>
          <w:color w:val="auto"/>
          <w:sz w:val="28"/>
          <w:szCs w:val="28"/>
        </w:rPr>
        <w:t>第五章定　标</w:t>
      </w:r>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_Toc503519663 \h </w:instrText>
      </w:r>
      <w:r>
        <w:rPr>
          <w:rFonts w:ascii="宋体" w:eastAsia="宋体" w:cs="宋体"/>
          <w:sz w:val="28"/>
          <w:szCs w:val="28"/>
        </w:rPr>
        <w:fldChar w:fldCharType="separate"/>
      </w:r>
      <w:r>
        <w:rPr>
          <w:rFonts w:ascii="宋体" w:eastAsia="宋体" w:cs="宋体"/>
          <w:sz w:val="28"/>
          <w:szCs w:val="28"/>
        </w:rPr>
        <w:t>34</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"_Toc503519664" </w:instrText>
      </w:r>
      <w:r>
        <w:fldChar w:fldCharType="separate"/>
      </w:r>
      <w:r>
        <w:rPr>
          <w:rStyle w:val="29"/>
          <w:rFonts w:hint="eastAsia" w:ascii="宋体" w:eastAsia="宋体" w:cs="宋体"/>
          <w:color w:val="auto"/>
          <w:sz w:val="28"/>
          <w:szCs w:val="28"/>
        </w:rPr>
        <w:t>第六章</w:t>
      </w:r>
      <w:r>
        <w:rPr>
          <w:rStyle w:val="29"/>
          <w:rFonts w:ascii="宋体" w:eastAsia="宋体" w:cs="宋体"/>
          <w:color w:val="auto"/>
          <w:sz w:val="28"/>
          <w:szCs w:val="28"/>
        </w:rPr>
        <w:t xml:space="preserve">  </w:t>
      </w:r>
      <w:r>
        <w:rPr>
          <w:rStyle w:val="29"/>
          <w:rFonts w:hint="eastAsia" w:ascii="宋体" w:eastAsia="宋体" w:cs="宋体"/>
          <w:color w:val="auto"/>
          <w:sz w:val="28"/>
          <w:szCs w:val="28"/>
        </w:rPr>
        <w:t>授予合同</w:t>
      </w:r>
      <w:r>
        <w:rPr>
          <w:rFonts w:ascii="宋体" w:eastAsia="宋体" w:cs="宋体"/>
          <w:sz w:val="28"/>
          <w:szCs w:val="28"/>
        </w:rPr>
        <w:tab/>
      </w:r>
      <w:permStart w:id="0" w:edGrp="everyone"/>
      <w:permEnd w:id="0"/>
      <w:r>
        <w:rPr>
          <w:rFonts w:ascii="宋体" w:eastAsia="宋体" w:cs="宋体"/>
          <w:sz w:val="28"/>
          <w:szCs w:val="28"/>
        </w:rPr>
        <w:fldChar w:fldCharType="begin"/>
      </w:r>
      <w:r>
        <w:rPr>
          <w:rFonts w:ascii="宋体" w:eastAsia="宋体" w:cs="宋体"/>
          <w:sz w:val="28"/>
          <w:szCs w:val="28"/>
        </w:rPr>
        <w:instrText xml:space="preserve"> PAGEREF _Toc503519664 \h </w:instrText>
      </w:r>
      <w:r>
        <w:rPr>
          <w:rFonts w:ascii="宋体" w:eastAsia="宋体" w:cs="宋体"/>
          <w:sz w:val="28"/>
          <w:szCs w:val="28"/>
        </w:rPr>
        <w:fldChar w:fldCharType="separate"/>
      </w:r>
      <w:r>
        <w:rPr>
          <w:rFonts w:ascii="宋体" w:eastAsia="宋体" w:cs="宋体"/>
          <w:sz w:val="28"/>
          <w:szCs w:val="28"/>
        </w:rPr>
        <w:t>35</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"_Toc503519665" </w:instrText>
      </w:r>
      <w:r>
        <w:fldChar w:fldCharType="separate"/>
      </w:r>
      <w:r>
        <w:rPr>
          <w:rStyle w:val="29"/>
          <w:rFonts w:hint="eastAsia" w:ascii="宋体" w:eastAsia="宋体" w:cs="宋体"/>
          <w:color w:val="auto"/>
          <w:sz w:val="28"/>
          <w:szCs w:val="28"/>
        </w:rPr>
        <w:t>第四部分采购货物清单及技术参数</w:t>
      </w:r>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_Toc503519665 \h </w:instrText>
      </w:r>
      <w:r>
        <w:rPr>
          <w:rFonts w:ascii="宋体" w:eastAsia="宋体" w:cs="宋体"/>
          <w:sz w:val="28"/>
          <w:szCs w:val="28"/>
        </w:rPr>
        <w:fldChar w:fldCharType="separate"/>
      </w:r>
      <w:r>
        <w:rPr>
          <w:rFonts w:ascii="宋体" w:eastAsia="宋体" w:cs="宋体"/>
          <w:sz w:val="28"/>
          <w:szCs w:val="28"/>
        </w:rPr>
        <w:t>36</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"_Toc503519669" </w:instrText>
      </w:r>
      <w:r>
        <w:fldChar w:fldCharType="separate"/>
      </w:r>
      <w:r>
        <w:rPr>
          <w:rStyle w:val="29"/>
          <w:rFonts w:hint="eastAsia" w:ascii="宋体" w:eastAsia="宋体" w:cs="宋体"/>
          <w:color w:val="auto"/>
          <w:sz w:val="28"/>
          <w:szCs w:val="28"/>
        </w:rPr>
        <w:t>第五部分合同部分</w:t>
      </w:r>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_Toc503519669 \h </w:instrText>
      </w:r>
      <w:r>
        <w:rPr>
          <w:rFonts w:ascii="宋体" w:eastAsia="宋体" w:cs="宋体"/>
          <w:sz w:val="28"/>
          <w:szCs w:val="28"/>
        </w:rPr>
        <w:fldChar w:fldCharType="separate"/>
      </w:r>
      <w:r>
        <w:rPr>
          <w:rFonts w:ascii="宋体" w:eastAsia="宋体" w:cs="宋体"/>
          <w:sz w:val="28"/>
          <w:szCs w:val="28"/>
        </w:rPr>
        <w:t>39</w:t>
      </w:r>
      <w:r>
        <w:rPr>
          <w:rFonts w:ascii="宋体" w:eastAsia="宋体" w:cs="宋体"/>
          <w:sz w:val="28"/>
          <w:szCs w:val="28"/>
        </w:rPr>
        <w:fldChar w:fldCharType="end"/>
      </w:r>
      <w:r>
        <w:rPr>
          <w:rFonts w:ascii="宋体" w:eastAsia="宋体" w:cs="宋体"/>
          <w:sz w:val="28"/>
          <w:szCs w:val="28"/>
        </w:rPr>
        <w:fldChar w:fldCharType="end"/>
      </w:r>
    </w:p>
    <w:p>
      <w:pPr>
        <w:pStyle w:val="16"/>
        <w:spacing w:line="480" w:lineRule="auto"/>
        <w:rPr>
          <w:rFonts w:ascii="宋体" w:eastAsia="宋体" w:cs="宋体"/>
          <w:bCs w:val="0"/>
          <w:sz w:val="28"/>
          <w:szCs w:val="28"/>
        </w:rPr>
      </w:pPr>
      <w:r>
        <w:fldChar w:fldCharType="begin"/>
      </w:r>
      <w:r>
        <w:instrText xml:space="preserve"> HYPERLINK \l "_Toc503519670" </w:instrText>
      </w:r>
      <w:r>
        <w:fldChar w:fldCharType="separate"/>
      </w:r>
      <w:r>
        <w:rPr>
          <w:rStyle w:val="29"/>
          <w:rFonts w:hint="eastAsia" w:ascii="宋体" w:eastAsia="宋体" w:cs="宋体"/>
          <w:color w:val="auto"/>
          <w:sz w:val="28"/>
          <w:szCs w:val="28"/>
        </w:rPr>
        <w:t>第六部分附　　件</w:t>
      </w:r>
      <w:r>
        <w:rPr>
          <w:rFonts w:ascii="宋体" w:eastAsia="宋体" w:cs="宋体"/>
          <w:sz w:val="28"/>
          <w:szCs w:val="28"/>
        </w:rPr>
        <w:tab/>
      </w:r>
      <w:r>
        <w:rPr>
          <w:rFonts w:ascii="宋体" w:eastAsia="宋体" w:cs="宋体"/>
          <w:sz w:val="28"/>
          <w:szCs w:val="28"/>
        </w:rPr>
        <w:fldChar w:fldCharType="begin"/>
      </w:r>
      <w:r>
        <w:rPr>
          <w:rFonts w:ascii="宋体" w:eastAsia="宋体" w:cs="宋体"/>
          <w:sz w:val="28"/>
          <w:szCs w:val="28"/>
        </w:rPr>
        <w:instrText xml:space="preserve"> PAGEREF _Toc503519670 \h </w:instrText>
      </w:r>
      <w:r>
        <w:rPr>
          <w:rFonts w:ascii="宋体" w:eastAsia="宋体" w:cs="宋体"/>
          <w:sz w:val="28"/>
          <w:szCs w:val="28"/>
        </w:rPr>
        <w:fldChar w:fldCharType="separate"/>
      </w:r>
      <w:r>
        <w:rPr>
          <w:rFonts w:ascii="宋体" w:eastAsia="宋体" w:cs="宋体"/>
          <w:sz w:val="28"/>
          <w:szCs w:val="28"/>
        </w:rPr>
        <w:t>43</w:t>
      </w:r>
      <w:r>
        <w:rPr>
          <w:rFonts w:ascii="宋体" w:eastAsia="宋体" w:cs="宋体"/>
          <w:sz w:val="28"/>
          <w:szCs w:val="28"/>
        </w:rPr>
        <w:fldChar w:fldCharType="end"/>
      </w:r>
      <w:r>
        <w:rPr>
          <w:rFonts w:ascii="宋体" w:eastAsia="宋体" w:cs="宋体"/>
          <w:sz w:val="28"/>
          <w:szCs w:val="28"/>
        </w:rPr>
        <w:fldChar w:fldCharType="end"/>
      </w:r>
    </w:p>
    <w:p>
      <w:pPr>
        <w:pStyle w:val="10"/>
        <w:spacing w:line="480" w:lineRule="auto"/>
        <w:rPr>
          <w:rFonts w:hAnsi="宋体" w:cs="宋体"/>
        </w:rPr>
      </w:pPr>
      <w:r>
        <w:rPr>
          <w:rFonts w:cs="宋体"/>
          <w:sz w:val="28"/>
          <w:szCs w:val="28"/>
        </w:rPr>
        <w:fldChar w:fldCharType="end"/>
      </w:r>
    </w:p>
    <w:p>
      <w:pPr>
        <w:widowControl/>
        <w:spacing w:line="460" w:lineRule="exact"/>
        <w:ind w:firstLine="720" w:firstLineChars="200"/>
        <w:jc w:val="center"/>
        <w:rPr>
          <w:rFonts w:hint="eastAsia" w:ascii="宋体" w:hAnsi="宋体" w:cs="Arial"/>
          <w:b/>
          <w:bCs/>
          <w:kern w:val="0"/>
          <w:szCs w:val="21"/>
        </w:rPr>
      </w:pPr>
      <w:r>
        <w:rPr>
          <w:rFonts w:ascii="宋体" w:cs="宋体"/>
          <w:sz w:val="36"/>
          <w:szCs w:val="36"/>
        </w:rPr>
        <w:br w:type="page"/>
      </w:r>
      <w:bookmarkStart w:id="0" w:name="_Toc503519656"/>
      <w:r>
        <w:rPr>
          <w:rFonts w:hint="eastAsia" w:ascii="宋体" w:hAnsi="宋体" w:cs="宋体"/>
          <w:b/>
          <w:kern w:val="0"/>
          <w:szCs w:val="21"/>
          <w:lang w:eastAsia="zh-CN"/>
        </w:rPr>
        <w:t>新疆维吾尔自治区人民医院物资服务商（二批）采购项目三次(电工材料类选取1家服务商)</w:t>
      </w:r>
      <w:r>
        <w:rPr>
          <w:rFonts w:hint="eastAsia" w:ascii="宋体" w:hAnsi="宋体" w:cs="宋体"/>
          <w:b/>
          <w:kern w:val="0"/>
          <w:szCs w:val="21"/>
        </w:rPr>
        <w:t>竞争性谈判公告</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项目概况</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新疆维吾尔自治区人民医院物资服务商（二批）采购项目三次(电工材料类选取1家服务商)招标项目的潜在投标人应在 </w:t>
      </w:r>
      <w:r>
        <w:rPr>
          <w:rFonts w:hint="eastAsia" w:ascii="宋体" w:hAnsi="宋体" w:cs="宋体"/>
          <w:color w:val="auto"/>
          <w:kern w:val="0"/>
          <w:szCs w:val="21"/>
          <w:highlight w:val="none"/>
          <w:u w:val="single"/>
        </w:rPr>
        <w:t>（前往“中招联合招标采购平台” 进行投标人免费注册（网址：http://www.365trade.com.cn）、购买并下载电子版招标文件）</w:t>
      </w:r>
      <w:r>
        <w:rPr>
          <w:rFonts w:hint="eastAsia" w:ascii="宋体" w:hAnsi="宋体" w:cs="宋体"/>
          <w:color w:val="auto"/>
          <w:kern w:val="0"/>
          <w:szCs w:val="21"/>
          <w:highlight w:val="none"/>
        </w:rPr>
        <w:t>获取（下载）招标文件，并于</w:t>
      </w:r>
      <w:r>
        <w:rPr>
          <w:rFonts w:hint="eastAsia" w:ascii="宋体" w:hAnsi="宋体" w:cs="宋体"/>
          <w:color w:val="auto"/>
          <w:kern w:val="0"/>
          <w:szCs w:val="21"/>
          <w:highlight w:val="none"/>
          <w:u w:val="single"/>
        </w:rPr>
        <w:t>2021年</w:t>
      </w:r>
      <w:r>
        <w:rPr>
          <w:rFonts w:hint="eastAsia" w:ascii="宋体" w:hAnsi="宋体" w:cs="宋体"/>
          <w:color w:val="auto"/>
          <w:kern w:val="0"/>
          <w:szCs w:val="21"/>
          <w:highlight w:val="none"/>
          <w:u w:val="single"/>
          <w:lang w:val="en-US" w:eastAsia="zh-CN"/>
        </w:rPr>
        <w:t>11</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18</w:t>
      </w:r>
      <w:r>
        <w:rPr>
          <w:rFonts w:hint="eastAsia" w:ascii="宋体" w:hAnsi="宋体" w:cs="宋体"/>
          <w:color w:val="auto"/>
          <w:kern w:val="0"/>
          <w:szCs w:val="21"/>
          <w:highlight w:val="none"/>
          <w:u w:val="single"/>
        </w:rPr>
        <w:t>日 11:00</w:t>
      </w:r>
      <w:r>
        <w:rPr>
          <w:rFonts w:hint="eastAsia" w:ascii="宋体" w:hAnsi="宋体" w:cs="宋体"/>
          <w:color w:val="auto"/>
          <w:kern w:val="0"/>
          <w:szCs w:val="21"/>
          <w:highlight w:val="none"/>
        </w:rPr>
        <w:t>（北京时间）前递交（上传）投标文件。</w:t>
      </w:r>
    </w:p>
    <w:p>
      <w:pPr>
        <w:widowControl/>
        <w:spacing w:line="440" w:lineRule="exact"/>
        <w:rPr>
          <w:rFonts w:ascii="宋体" w:hAnsi="宋体" w:cs="Arial"/>
          <w:color w:val="auto"/>
          <w:kern w:val="0"/>
          <w:szCs w:val="21"/>
          <w:highlight w:val="none"/>
        </w:rPr>
      </w:pPr>
      <w:r>
        <w:rPr>
          <w:rFonts w:ascii="宋体" w:hAnsi="宋体" w:cs="Arial"/>
          <w:b/>
          <w:bCs/>
          <w:color w:val="auto"/>
          <w:kern w:val="0"/>
          <w:szCs w:val="21"/>
          <w:highlight w:val="none"/>
        </w:rPr>
        <w:t>一、项目基本情况</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项目编号：XJTF(JZ)2021ZF39</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项目名称：新疆维吾尔自治区人民医院物资服务商（二批）采购项目三次(电工材料类选取1家服务商)</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预算金额（元）：400000/年</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最高限价（元）：400000/年</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采购需求：</w:t>
      </w:r>
    </w:p>
    <w:tbl>
      <w:tblPr>
        <w:tblStyle w:val="23"/>
        <w:tblW w:w="51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2891"/>
        <w:gridCol w:w="488"/>
        <w:gridCol w:w="1595"/>
        <w:gridCol w:w="1003"/>
        <w:gridCol w:w="1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pct"/>
            <w:noWrap w:val="0"/>
            <w:vAlign w:val="center"/>
          </w:tcPr>
          <w:p>
            <w:pPr>
              <w:widowControl/>
              <w:spacing w:line="440" w:lineRule="exact"/>
              <w:jc w:val="center"/>
              <w:rPr>
                <w:rFonts w:ascii="宋体" w:hAnsi="宋体" w:cs="宋体"/>
                <w:color w:val="auto"/>
                <w:kern w:val="0"/>
                <w:szCs w:val="21"/>
                <w:highlight w:val="none"/>
              </w:rPr>
            </w:pPr>
            <w:r>
              <w:rPr>
                <w:rFonts w:ascii="宋体" w:hAnsi="宋体" w:cs="宋体"/>
                <w:color w:val="auto"/>
                <w:kern w:val="0"/>
                <w:szCs w:val="21"/>
                <w:highlight w:val="none"/>
              </w:rPr>
              <w:t>标项序号</w:t>
            </w:r>
          </w:p>
        </w:tc>
        <w:tc>
          <w:tcPr>
            <w:tcW w:w="1657" w:type="pct"/>
            <w:noWrap w:val="0"/>
            <w:vAlign w:val="center"/>
          </w:tcPr>
          <w:p>
            <w:pPr>
              <w:widowControl/>
              <w:spacing w:line="440" w:lineRule="exact"/>
              <w:jc w:val="center"/>
              <w:rPr>
                <w:rFonts w:ascii="宋体" w:hAnsi="宋体" w:cs="宋体"/>
                <w:color w:val="auto"/>
                <w:kern w:val="0"/>
                <w:szCs w:val="21"/>
                <w:highlight w:val="none"/>
              </w:rPr>
            </w:pPr>
            <w:r>
              <w:rPr>
                <w:rFonts w:ascii="宋体" w:hAnsi="宋体" w:cs="宋体"/>
                <w:color w:val="auto"/>
                <w:kern w:val="0"/>
                <w:szCs w:val="21"/>
                <w:highlight w:val="none"/>
              </w:rPr>
              <w:t>标项名称</w:t>
            </w:r>
          </w:p>
        </w:tc>
        <w:tc>
          <w:tcPr>
            <w:tcW w:w="280" w:type="pct"/>
            <w:noWrap w:val="0"/>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数量</w:t>
            </w:r>
          </w:p>
        </w:tc>
        <w:tc>
          <w:tcPr>
            <w:tcW w:w="914" w:type="pct"/>
            <w:noWrap w:val="0"/>
            <w:vAlign w:val="center"/>
          </w:tcPr>
          <w:p>
            <w:pPr>
              <w:widowControl/>
              <w:spacing w:line="440" w:lineRule="exact"/>
              <w:jc w:val="center"/>
              <w:rPr>
                <w:rFonts w:ascii="宋体" w:hAnsi="宋体" w:cs="宋体"/>
                <w:color w:val="auto"/>
                <w:kern w:val="0"/>
                <w:szCs w:val="21"/>
                <w:highlight w:val="none"/>
              </w:rPr>
            </w:pPr>
            <w:r>
              <w:rPr>
                <w:rFonts w:ascii="宋体" w:hAnsi="宋体" w:cs="宋体"/>
                <w:color w:val="auto"/>
                <w:kern w:val="0"/>
                <w:szCs w:val="21"/>
                <w:highlight w:val="none"/>
              </w:rPr>
              <w:t>预算金额(元)</w:t>
            </w:r>
          </w:p>
        </w:tc>
        <w:tc>
          <w:tcPr>
            <w:tcW w:w="575" w:type="pct"/>
            <w:noWrap w:val="0"/>
            <w:vAlign w:val="center"/>
          </w:tcPr>
          <w:p>
            <w:pPr>
              <w:widowControl/>
              <w:spacing w:line="440" w:lineRule="exact"/>
              <w:jc w:val="center"/>
              <w:rPr>
                <w:rFonts w:ascii="宋体" w:hAnsi="宋体" w:cs="宋体"/>
                <w:color w:val="auto"/>
                <w:kern w:val="0"/>
                <w:szCs w:val="21"/>
                <w:highlight w:val="none"/>
              </w:rPr>
            </w:pPr>
            <w:r>
              <w:rPr>
                <w:rFonts w:ascii="宋体" w:hAnsi="宋体" w:cs="宋体"/>
                <w:color w:val="auto"/>
                <w:kern w:val="0"/>
                <w:szCs w:val="21"/>
                <w:highlight w:val="none"/>
              </w:rPr>
              <w:t>单位</w:t>
            </w:r>
          </w:p>
        </w:tc>
        <w:tc>
          <w:tcPr>
            <w:tcW w:w="925" w:type="pct"/>
            <w:noWrap w:val="0"/>
            <w:vAlign w:val="center"/>
          </w:tcPr>
          <w:p>
            <w:pPr>
              <w:widowControl/>
              <w:spacing w:line="440" w:lineRule="exact"/>
              <w:jc w:val="center"/>
              <w:rPr>
                <w:rFonts w:ascii="宋体" w:hAnsi="宋体" w:cs="宋体"/>
                <w:color w:val="auto"/>
                <w:kern w:val="0"/>
                <w:szCs w:val="21"/>
                <w:highlight w:val="none"/>
              </w:rPr>
            </w:pPr>
            <w:r>
              <w:rPr>
                <w:rFonts w:ascii="宋体" w:hAnsi="宋体" w:cs="宋体"/>
                <w:color w:val="auto"/>
                <w:kern w:val="0"/>
                <w:szCs w:val="21"/>
                <w:highlight w:val="none"/>
              </w:rPr>
              <w:t>简要规格描述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pct"/>
            <w:noWrap w:val="0"/>
            <w:vAlign w:val="center"/>
          </w:tcPr>
          <w:p>
            <w:pPr>
              <w:widowControl/>
              <w:spacing w:line="440" w:lineRule="exact"/>
              <w:jc w:val="center"/>
              <w:rPr>
                <w:rFonts w:ascii="宋体" w:hAnsi="宋体" w:cs="宋体"/>
                <w:color w:val="auto"/>
                <w:kern w:val="0"/>
                <w:szCs w:val="21"/>
                <w:highlight w:val="none"/>
              </w:rPr>
            </w:pPr>
            <w:r>
              <w:rPr>
                <w:rFonts w:ascii="宋体" w:hAnsi="宋体" w:cs="宋体"/>
                <w:color w:val="auto"/>
                <w:kern w:val="0"/>
                <w:szCs w:val="21"/>
                <w:highlight w:val="none"/>
              </w:rPr>
              <w:t>第1包</w:t>
            </w:r>
          </w:p>
        </w:tc>
        <w:tc>
          <w:tcPr>
            <w:tcW w:w="1657" w:type="pct"/>
            <w:noWrap w:val="0"/>
            <w:vAlign w:val="center"/>
          </w:tcPr>
          <w:p>
            <w:pPr>
              <w:widowControl/>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电工材料类选取1家服务商</w:t>
            </w:r>
          </w:p>
        </w:tc>
        <w:tc>
          <w:tcPr>
            <w:tcW w:w="280" w:type="pct"/>
            <w:noWrap w:val="0"/>
            <w:vAlign w:val="center"/>
          </w:tcPr>
          <w:p>
            <w:pPr>
              <w:widowControl/>
              <w:spacing w:line="440" w:lineRule="exact"/>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914" w:type="pct"/>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400000/年</w:t>
            </w:r>
          </w:p>
        </w:tc>
        <w:tc>
          <w:tcPr>
            <w:tcW w:w="575" w:type="pct"/>
            <w:noWrap w:val="0"/>
            <w:vAlign w:val="center"/>
          </w:tcPr>
          <w:p>
            <w:pPr>
              <w:widowControl/>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批</w:t>
            </w:r>
          </w:p>
        </w:tc>
        <w:tc>
          <w:tcPr>
            <w:tcW w:w="925" w:type="pct"/>
            <w:noWrap w:val="0"/>
            <w:vAlign w:val="center"/>
          </w:tcPr>
          <w:p>
            <w:pPr>
              <w:widowControl/>
              <w:spacing w:line="440" w:lineRule="exact"/>
              <w:jc w:val="center"/>
              <w:rPr>
                <w:rFonts w:ascii="宋体" w:hAnsi="宋体" w:cs="宋体"/>
                <w:color w:val="auto"/>
                <w:kern w:val="0"/>
                <w:szCs w:val="21"/>
                <w:highlight w:val="none"/>
              </w:rPr>
            </w:pPr>
            <w:r>
              <w:rPr>
                <w:rFonts w:ascii="宋体" w:hAnsi="宋体" w:cs="宋体"/>
                <w:color w:val="auto"/>
                <w:kern w:val="0"/>
                <w:szCs w:val="21"/>
                <w:highlight w:val="none"/>
              </w:rPr>
              <w:t>详见</w:t>
            </w:r>
            <w:r>
              <w:rPr>
                <w:rFonts w:hint="eastAsia" w:ascii="宋体" w:hAnsi="宋体" w:cs="宋体"/>
                <w:color w:val="auto"/>
                <w:kern w:val="0"/>
                <w:szCs w:val="21"/>
                <w:highlight w:val="none"/>
                <w:lang w:val="en-US" w:eastAsia="zh-CN"/>
              </w:rPr>
              <w:t>采购</w:t>
            </w:r>
            <w:r>
              <w:rPr>
                <w:rFonts w:ascii="宋体" w:hAnsi="宋体" w:cs="宋体"/>
                <w:color w:val="auto"/>
                <w:kern w:val="0"/>
                <w:szCs w:val="21"/>
                <w:highlight w:val="none"/>
              </w:rPr>
              <w:t>文件</w:t>
            </w:r>
          </w:p>
        </w:tc>
      </w:tr>
    </w:tbl>
    <w:p>
      <w:pPr>
        <w:widowControl/>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合同履行期限：2年。 </w:t>
      </w:r>
    </w:p>
    <w:p>
      <w:pPr>
        <w:widowControl/>
        <w:spacing w:line="440" w:lineRule="exact"/>
        <w:jc w:val="left"/>
        <w:rPr>
          <w:rFonts w:hint="eastAsia" w:ascii="宋体" w:hAnsi="宋体" w:cs="Arial"/>
          <w:b/>
          <w:bCs/>
          <w:kern w:val="0"/>
          <w:szCs w:val="21"/>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本项目（ 否 ）接受联合体投标。</w:t>
      </w:r>
    </w:p>
    <w:p>
      <w:pPr>
        <w:spacing w:before="60" w:after="60" w:line="240" w:lineRule="atLeast"/>
        <w:rPr>
          <w:rFonts w:cs="Arial"/>
          <w:color w:val="auto"/>
          <w:szCs w:val="21"/>
          <w:highlight w:val="none"/>
        </w:rPr>
      </w:pPr>
      <w:r>
        <w:rPr>
          <w:rFonts w:hint="eastAsia" w:cs="Arial"/>
          <w:b/>
          <w:bCs/>
          <w:color w:val="auto"/>
          <w:szCs w:val="21"/>
          <w:highlight w:val="none"/>
        </w:rPr>
        <w:t>二、申请人的资格要求：</w:t>
      </w:r>
    </w:p>
    <w:p>
      <w:pPr>
        <w:spacing w:before="60" w:after="60" w:line="240" w:lineRule="atLeast"/>
        <w:ind w:firstLine="480"/>
        <w:rPr>
          <w:rFonts w:cs="Arial"/>
          <w:color w:val="auto"/>
          <w:szCs w:val="21"/>
          <w:highlight w:val="none"/>
        </w:rPr>
      </w:pPr>
      <w:r>
        <w:rPr>
          <w:rFonts w:cs="Arial"/>
          <w:color w:val="auto"/>
          <w:szCs w:val="21"/>
          <w:highlight w:val="none"/>
        </w:rPr>
        <w:t>1.满足《中华人民共和国政府采购法》第二十二条规定；</w:t>
      </w:r>
    </w:p>
    <w:p>
      <w:pPr>
        <w:spacing w:before="60" w:after="60" w:line="240" w:lineRule="atLeast"/>
        <w:ind w:firstLine="480"/>
        <w:rPr>
          <w:rFonts w:cs="Arial"/>
          <w:color w:val="auto"/>
          <w:szCs w:val="21"/>
          <w:highlight w:val="none"/>
        </w:rPr>
      </w:pPr>
      <w:r>
        <w:rPr>
          <w:rFonts w:cs="Arial"/>
          <w:color w:val="auto"/>
          <w:szCs w:val="21"/>
          <w:highlight w:val="none"/>
        </w:rPr>
        <w:t>2.落实政府采购政策需满足的资格要求：</w:t>
      </w:r>
      <w:r>
        <w:rPr>
          <w:rFonts w:hint="eastAsia" w:cs="Arial"/>
          <w:color w:val="auto"/>
          <w:szCs w:val="21"/>
          <w:highlight w:val="none"/>
        </w:rPr>
        <w:t>无</w:t>
      </w:r>
    </w:p>
    <w:p>
      <w:pPr>
        <w:spacing w:before="60" w:after="60" w:line="240" w:lineRule="atLeast"/>
        <w:ind w:firstLine="480"/>
        <w:rPr>
          <w:rFonts w:cs="Arial"/>
          <w:color w:val="auto"/>
          <w:szCs w:val="21"/>
          <w:highlight w:val="none"/>
        </w:rPr>
      </w:pPr>
      <w:r>
        <w:rPr>
          <w:rFonts w:cs="Arial"/>
          <w:color w:val="auto"/>
          <w:szCs w:val="21"/>
          <w:highlight w:val="none"/>
        </w:rPr>
        <w:t>3.本项目的特定资格要求：</w:t>
      </w:r>
    </w:p>
    <w:p>
      <w:pPr>
        <w:spacing w:before="60" w:after="60" w:line="240" w:lineRule="atLeast"/>
        <w:ind w:firstLine="480"/>
        <w:rPr>
          <w:rFonts w:cs="Arial"/>
          <w:color w:val="auto"/>
          <w:szCs w:val="21"/>
          <w:highlight w:val="none"/>
        </w:rPr>
      </w:pPr>
      <w:r>
        <w:rPr>
          <w:rFonts w:cs="Arial"/>
          <w:color w:val="auto"/>
          <w:szCs w:val="21"/>
          <w:highlight w:val="none"/>
        </w:rPr>
        <w:t>（1）</w:t>
      </w:r>
      <w:r>
        <w:rPr>
          <w:rFonts w:hint="eastAsia" w:cs="Arial"/>
          <w:color w:val="auto"/>
          <w:szCs w:val="21"/>
          <w:highlight w:val="none"/>
        </w:rPr>
        <w:t>投标人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cs="Arial"/>
          <w:color w:val="auto"/>
          <w:szCs w:val="21"/>
          <w:highlight w:val="none"/>
        </w:rPr>
        <w:t>； </w:t>
      </w:r>
    </w:p>
    <w:p>
      <w:pPr>
        <w:spacing w:before="204" w:after="204" w:line="240" w:lineRule="atLeast"/>
        <w:rPr>
          <w:rFonts w:cs="Arial"/>
          <w:color w:val="auto"/>
          <w:szCs w:val="21"/>
          <w:highlight w:val="none"/>
        </w:rPr>
      </w:pPr>
      <w:r>
        <w:rPr>
          <w:rFonts w:hint="eastAsia" w:cs="Arial"/>
          <w:b/>
          <w:bCs/>
          <w:color w:val="auto"/>
          <w:szCs w:val="21"/>
          <w:highlight w:val="none"/>
        </w:rPr>
        <w:t>三、获取</w:t>
      </w:r>
      <w:r>
        <w:rPr>
          <w:rFonts w:hint="eastAsia" w:cs="Arial"/>
          <w:b/>
          <w:bCs/>
          <w:color w:val="auto"/>
          <w:szCs w:val="21"/>
          <w:highlight w:val="none"/>
          <w:lang w:val="en-US" w:eastAsia="zh-CN"/>
        </w:rPr>
        <w:t>采购</w:t>
      </w:r>
      <w:r>
        <w:rPr>
          <w:rFonts w:hint="eastAsia" w:cs="Arial"/>
          <w:b/>
          <w:bCs/>
          <w:color w:val="auto"/>
          <w:szCs w:val="21"/>
          <w:highlight w:val="none"/>
        </w:rPr>
        <w:t>文件</w:t>
      </w:r>
    </w:p>
    <w:p>
      <w:pPr>
        <w:spacing w:before="60" w:after="60" w:line="240" w:lineRule="atLeast"/>
        <w:ind w:firstLine="480"/>
        <w:rPr>
          <w:rFonts w:cs="Arial"/>
          <w:color w:val="auto"/>
          <w:szCs w:val="21"/>
          <w:highlight w:val="none"/>
        </w:rPr>
      </w:pPr>
      <w:r>
        <w:rPr>
          <w:rFonts w:cs="Arial"/>
          <w:color w:val="auto"/>
          <w:szCs w:val="21"/>
          <w:highlight w:val="none"/>
        </w:rPr>
        <w:t>时间：2021年</w:t>
      </w:r>
      <w:r>
        <w:rPr>
          <w:rFonts w:hint="eastAsia" w:cs="Arial"/>
          <w:color w:val="auto"/>
          <w:szCs w:val="21"/>
          <w:highlight w:val="none"/>
          <w:lang w:val="en-US" w:eastAsia="zh-CN"/>
        </w:rPr>
        <w:t>11</w:t>
      </w:r>
      <w:r>
        <w:rPr>
          <w:rFonts w:cs="Arial"/>
          <w:color w:val="auto"/>
          <w:szCs w:val="21"/>
          <w:highlight w:val="none"/>
        </w:rPr>
        <w:t>月</w:t>
      </w:r>
      <w:r>
        <w:rPr>
          <w:rFonts w:hint="eastAsia" w:cs="Arial"/>
          <w:color w:val="auto"/>
          <w:szCs w:val="21"/>
          <w:highlight w:val="none"/>
          <w:lang w:val="en-US" w:eastAsia="zh-CN"/>
        </w:rPr>
        <w:t>12</w:t>
      </w:r>
      <w:r>
        <w:rPr>
          <w:rFonts w:cs="Arial"/>
          <w:color w:val="auto"/>
          <w:szCs w:val="21"/>
          <w:highlight w:val="none"/>
        </w:rPr>
        <w:t>日至2021年</w:t>
      </w:r>
      <w:r>
        <w:rPr>
          <w:rFonts w:hint="eastAsia" w:cs="Arial"/>
          <w:color w:val="auto"/>
          <w:szCs w:val="21"/>
          <w:highlight w:val="none"/>
          <w:lang w:val="en-US" w:eastAsia="zh-CN"/>
        </w:rPr>
        <w:t>11</w:t>
      </w:r>
      <w:r>
        <w:rPr>
          <w:rFonts w:cs="Arial"/>
          <w:color w:val="auto"/>
          <w:szCs w:val="21"/>
          <w:highlight w:val="none"/>
        </w:rPr>
        <w:t>月</w:t>
      </w:r>
      <w:r>
        <w:rPr>
          <w:rFonts w:hint="eastAsia" w:cs="Arial"/>
          <w:color w:val="auto"/>
          <w:szCs w:val="21"/>
          <w:highlight w:val="none"/>
          <w:lang w:val="en-US" w:eastAsia="zh-CN"/>
        </w:rPr>
        <w:t>16</w:t>
      </w:r>
      <w:r>
        <w:rPr>
          <w:rFonts w:cs="Arial"/>
          <w:color w:val="auto"/>
          <w:szCs w:val="21"/>
          <w:highlight w:val="none"/>
        </w:rPr>
        <w:t>日，每天上午00:00至14:00，下午14:00至23:59（北京时间，法定节假日除外）</w:t>
      </w:r>
    </w:p>
    <w:p>
      <w:pPr>
        <w:spacing w:before="60" w:after="60" w:line="240" w:lineRule="atLeast"/>
        <w:ind w:firstLine="480"/>
        <w:rPr>
          <w:rFonts w:cs="Arial"/>
          <w:color w:val="auto"/>
          <w:szCs w:val="21"/>
          <w:highlight w:val="none"/>
        </w:rPr>
      </w:pPr>
      <w:r>
        <w:rPr>
          <w:rFonts w:cs="Arial"/>
          <w:color w:val="auto"/>
          <w:szCs w:val="21"/>
          <w:highlight w:val="none"/>
        </w:rPr>
        <w:t>地点：http://www.365trade.com.cn</w:t>
      </w:r>
    </w:p>
    <w:p>
      <w:pPr>
        <w:spacing w:before="60" w:after="60" w:line="240" w:lineRule="atLeast"/>
        <w:ind w:firstLine="480"/>
        <w:rPr>
          <w:rFonts w:cs="Arial"/>
          <w:color w:val="auto"/>
          <w:szCs w:val="21"/>
          <w:highlight w:val="none"/>
        </w:rPr>
      </w:pPr>
      <w:r>
        <w:rPr>
          <w:rFonts w:cs="Arial"/>
          <w:color w:val="auto"/>
          <w:szCs w:val="21"/>
          <w:highlight w:val="none"/>
        </w:rPr>
        <w:t>方式：线上获取。前往“中招联合招标采购平台” 进行投标人免费注册（网址：http://www.365trade.com.cn）、购买并下载电子版招标文件</w:t>
      </w:r>
    </w:p>
    <w:p>
      <w:pPr>
        <w:spacing w:before="60" w:after="60" w:line="240" w:lineRule="atLeast"/>
        <w:ind w:firstLine="480"/>
        <w:rPr>
          <w:rFonts w:cs="Arial"/>
          <w:color w:val="auto"/>
          <w:szCs w:val="21"/>
          <w:highlight w:val="none"/>
        </w:rPr>
      </w:pPr>
      <w:r>
        <w:rPr>
          <w:rFonts w:cs="Arial"/>
          <w:color w:val="auto"/>
          <w:szCs w:val="21"/>
          <w:highlight w:val="none"/>
        </w:rPr>
        <w:t>售价（元）：200</w:t>
      </w:r>
    </w:p>
    <w:p>
      <w:pPr>
        <w:spacing w:before="204" w:after="204" w:line="240" w:lineRule="atLeast"/>
        <w:rPr>
          <w:rFonts w:cs="Arial"/>
          <w:color w:val="auto"/>
          <w:szCs w:val="21"/>
          <w:highlight w:val="none"/>
        </w:rPr>
      </w:pPr>
      <w:r>
        <w:rPr>
          <w:rFonts w:hint="eastAsia" w:cs="Arial"/>
          <w:b/>
          <w:bCs/>
          <w:color w:val="auto"/>
          <w:szCs w:val="21"/>
          <w:highlight w:val="none"/>
        </w:rPr>
        <w:t>四、提交投标文件截止时间、开标时间和地点</w:t>
      </w:r>
    </w:p>
    <w:p>
      <w:pPr>
        <w:spacing w:before="60" w:after="60" w:line="240" w:lineRule="atLeast"/>
        <w:ind w:firstLine="480"/>
        <w:rPr>
          <w:rFonts w:cs="Arial"/>
          <w:color w:val="auto"/>
          <w:szCs w:val="21"/>
          <w:highlight w:val="none"/>
        </w:rPr>
      </w:pPr>
      <w:r>
        <w:rPr>
          <w:rFonts w:cs="Arial"/>
          <w:color w:val="auto"/>
          <w:szCs w:val="21"/>
          <w:highlight w:val="none"/>
        </w:rPr>
        <w:t>提交投标文件截止时间：2021年</w:t>
      </w:r>
      <w:r>
        <w:rPr>
          <w:rFonts w:hint="eastAsia" w:cs="Arial"/>
          <w:color w:val="auto"/>
          <w:szCs w:val="21"/>
          <w:highlight w:val="none"/>
          <w:lang w:val="en-US" w:eastAsia="zh-CN"/>
        </w:rPr>
        <w:t>11</w:t>
      </w:r>
      <w:r>
        <w:rPr>
          <w:rFonts w:cs="Arial"/>
          <w:color w:val="auto"/>
          <w:szCs w:val="21"/>
          <w:highlight w:val="none"/>
        </w:rPr>
        <w:t>月</w:t>
      </w:r>
      <w:r>
        <w:rPr>
          <w:rFonts w:hint="eastAsia" w:cs="Arial"/>
          <w:color w:val="auto"/>
          <w:szCs w:val="21"/>
          <w:highlight w:val="none"/>
          <w:lang w:val="en-US" w:eastAsia="zh-CN"/>
        </w:rPr>
        <w:t>18</w:t>
      </w:r>
      <w:r>
        <w:rPr>
          <w:rFonts w:cs="Arial"/>
          <w:color w:val="auto"/>
          <w:szCs w:val="21"/>
          <w:highlight w:val="none"/>
        </w:rPr>
        <w:t>日 11:00（北京时间）</w:t>
      </w:r>
    </w:p>
    <w:p>
      <w:pPr>
        <w:spacing w:before="60" w:after="60" w:line="240" w:lineRule="atLeast"/>
        <w:ind w:firstLine="480"/>
        <w:rPr>
          <w:rFonts w:cs="Arial"/>
          <w:color w:val="auto"/>
          <w:szCs w:val="21"/>
          <w:highlight w:val="none"/>
        </w:rPr>
      </w:pPr>
      <w:r>
        <w:rPr>
          <w:rFonts w:cs="Arial"/>
          <w:color w:val="auto"/>
          <w:szCs w:val="21"/>
          <w:highlight w:val="none"/>
        </w:rPr>
        <w:t>投标地点：</w:t>
      </w:r>
      <w:r>
        <w:rPr>
          <w:rFonts w:hint="eastAsia"/>
          <w:color w:val="auto"/>
          <w:szCs w:val="21"/>
          <w:highlight w:val="none"/>
        </w:rPr>
        <w:t>乌鲁木齐市人民路38号新宏信大厦7楼新疆同孚招投标有限公司开标一厅</w:t>
      </w:r>
    </w:p>
    <w:p>
      <w:pPr>
        <w:spacing w:before="60" w:after="60" w:line="240" w:lineRule="atLeast"/>
        <w:ind w:firstLine="480"/>
        <w:rPr>
          <w:rFonts w:cs="Arial"/>
          <w:color w:val="auto"/>
          <w:szCs w:val="21"/>
          <w:highlight w:val="none"/>
        </w:rPr>
      </w:pPr>
      <w:r>
        <w:rPr>
          <w:rFonts w:cs="Arial"/>
          <w:color w:val="auto"/>
          <w:szCs w:val="21"/>
          <w:highlight w:val="none"/>
        </w:rPr>
        <w:t>开标时间：2021年</w:t>
      </w:r>
      <w:r>
        <w:rPr>
          <w:rFonts w:hint="eastAsia" w:cs="Arial"/>
          <w:color w:val="auto"/>
          <w:szCs w:val="21"/>
          <w:highlight w:val="none"/>
          <w:lang w:val="en-US" w:eastAsia="zh-CN"/>
        </w:rPr>
        <w:t>11</w:t>
      </w:r>
      <w:r>
        <w:rPr>
          <w:rFonts w:cs="Arial"/>
          <w:color w:val="auto"/>
          <w:szCs w:val="21"/>
          <w:highlight w:val="none"/>
        </w:rPr>
        <w:t>月</w:t>
      </w:r>
      <w:r>
        <w:rPr>
          <w:rFonts w:hint="eastAsia" w:cs="Arial"/>
          <w:color w:val="auto"/>
          <w:szCs w:val="21"/>
          <w:highlight w:val="none"/>
          <w:lang w:val="en-US" w:eastAsia="zh-CN"/>
        </w:rPr>
        <w:t>18</w:t>
      </w:r>
      <w:r>
        <w:rPr>
          <w:rFonts w:cs="Arial"/>
          <w:color w:val="auto"/>
          <w:szCs w:val="21"/>
          <w:highlight w:val="none"/>
        </w:rPr>
        <w:t>日 11:00</w:t>
      </w:r>
    </w:p>
    <w:p>
      <w:pPr>
        <w:spacing w:before="60" w:after="60" w:line="240" w:lineRule="atLeast"/>
        <w:ind w:firstLine="480"/>
        <w:rPr>
          <w:rFonts w:cs="Arial"/>
          <w:color w:val="auto"/>
          <w:szCs w:val="21"/>
          <w:highlight w:val="none"/>
        </w:rPr>
      </w:pPr>
      <w:r>
        <w:rPr>
          <w:rFonts w:cs="Arial"/>
          <w:color w:val="auto"/>
          <w:szCs w:val="21"/>
          <w:highlight w:val="none"/>
        </w:rPr>
        <w:t>开标地点：</w:t>
      </w:r>
      <w:r>
        <w:rPr>
          <w:rFonts w:hint="eastAsia"/>
          <w:color w:val="auto"/>
          <w:szCs w:val="21"/>
          <w:highlight w:val="none"/>
        </w:rPr>
        <w:t>乌鲁木齐市人民路38号新宏信大厦7楼新疆同孚招投标有限公司开标一厅</w:t>
      </w:r>
    </w:p>
    <w:p>
      <w:pPr>
        <w:spacing w:before="204" w:after="204" w:line="240" w:lineRule="atLeast"/>
        <w:rPr>
          <w:rFonts w:cs="Arial"/>
          <w:color w:val="auto"/>
          <w:szCs w:val="21"/>
          <w:highlight w:val="none"/>
        </w:rPr>
      </w:pPr>
      <w:r>
        <w:rPr>
          <w:rFonts w:hint="eastAsia" w:cs="Arial"/>
          <w:b/>
          <w:bCs/>
          <w:color w:val="auto"/>
          <w:szCs w:val="21"/>
          <w:highlight w:val="none"/>
        </w:rPr>
        <w:t>五、公告期限</w:t>
      </w:r>
    </w:p>
    <w:p>
      <w:pPr>
        <w:spacing w:before="60" w:after="60"/>
        <w:ind w:firstLine="480"/>
        <w:rPr>
          <w:rFonts w:cs="Arial"/>
          <w:color w:val="auto"/>
          <w:szCs w:val="21"/>
          <w:highlight w:val="none"/>
        </w:rPr>
      </w:pPr>
      <w:r>
        <w:rPr>
          <w:rFonts w:cs="Arial"/>
          <w:color w:val="auto"/>
          <w:szCs w:val="21"/>
          <w:highlight w:val="none"/>
        </w:rPr>
        <w:t>自本公告发布之日起</w:t>
      </w:r>
      <w:r>
        <w:rPr>
          <w:rFonts w:hint="eastAsia" w:cs="Arial"/>
          <w:color w:val="auto"/>
          <w:szCs w:val="21"/>
          <w:highlight w:val="none"/>
          <w:lang w:val="en-US" w:eastAsia="zh-CN"/>
        </w:rPr>
        <w:t>3</w:t>
      </w:r>
      <w:r>
        <w:rPr>
          <w:rFonts w:cs="Arial"/>
          <w:color w:val="auto"/>
          <w:szCs w:val="21"/>
          <w:highlight w:val="none"/>
        </w:rPr>
        <w:t>个工作日。</w:t>
      </w:r>
    </w:p>
    <w:p>
      <w:pPr>
        <w:spacing w:before="204" w:after="204" w:line="240" w:lineRule="atLeast"/>
        <w:rPr>
          <w:rFonts w:cs="Arial"/>
          <w:color w:val="auto"/>
          <w:szCs w:val="21"/>
          <w:highlight w:val="none"/>
        </w:rPr>
      </w:pPr>
      <w:r>
        <w:rPr>
          <w:rFonts w:hint="eastAsia" w:cs="Arial"/>
          <w:b/>
          <w:bCs/>
          <w:color w:val="auto"/>
          <w:szCs w:val="21"/>
          <w:highlight w:val="none"/>
        </w:rPr>
        <w:t>六、其他补充事宜</w:t>
      </w:r>
    </w:p>
    <w:p>
      <w:pPr>
        <w:spacing w:before="204" w:after="204" w:line="384" w:lineRule="atLeast"/>
        <w:ind w:firstLine="420" w:firstLineChars="200"/>
        <w:rPr>
          <w:rFonts w:hint="eastAsia" w:cs="Arial"/>
          <w:color w:val="auto"/>
          <w:szCs w:val="21"/>
          <w:highlight w:val="none"/>
        </w:rPr>
      </w:pPr>
      <w:r>
        <w:rPr>
          <w:rFonts w:hint="eastAsia" w:cs="Arial"/>
          <w:color w:val="auto"/>
          <w:szCs w:val="21"/>
          <w:highlight w:val="none"/>
        </w:rPr>
        <w:t>凡有意参加投标者，请于发售时间登陆中招联合招标采购平台下载电子采购文件。</w:t>
      </w:r>
    </w:p>
    <w:p>
      <w:pPr>
        <w:spacing w:before="204" w:after="204" w:line="384" w:lineRule="atLeast"/>
        <w:rPr>
          <w:rFonts w:cs="Arial"/>
          <w:color w:val="auto"/>
          <w:szCs w:val="21"/>
          <w:highlight w:val="none"/>
        </w:rPr>
      </w:pPr>
      <w:r>
        <w:rPr>
          <w:rFonts w:hint="eastAsia" w:cs="Arial"/>
          <w:b/>
          <w:bCs/>
          <w:color w:val="auto"/>
          <w:szCs w:val="21"/>
          <w:highlight w:val="none"/>
        </w:rPr>
        <w:t>七、对本次采购提出询问，请按以下方式联系</w:t>
      </w:r>
    </w:p>
    <w:p>
      <w:pPr>
        <w:spacing w:before="60" w:after="60"/>
        <w:ind w:firstLine="480"/>
        <w:rPr>
          <w:rFonts w:cs="Arial"/>
          <w:color w:val="auto"/>
          <w:szCs w:val="21"/>
          <w:highlight w:val="none"/>
        </w:rPr>
      </w:pPr>
      <w:r>
        <w:rPr>
          <w:rFonts w:cs="Arial"/>
          <w:color w:val="auto"/>
          <w:szCs w:val="21"/>
          <w:highlight w:val="none"/>
        </w:rPr>
        <w:t>1.采购人信息</w:t>
      </w:r>
    </w:p>
    <w:p>
      <w:pPr>
        <w:spacing w:before="60" w:after="60"/>
        <w:ind w:firstLine="480"/>
        <w:rPr>
          <w:rFonts w:cs="Arial"/>
          <w:color w:val="auto"/>
          <w:szCs w:val="21"/>
          <w:highlight w:val="none"/>
        </w:rPr>
      </w:pPr>
      <w:r>
        <w:rPr>
          <w:rFonts w:cs="Arial"/>
          <w:color w:val="auto"/>
          <w:szCs w:val="21"/>
          <w:highlight w:val="none"/>
        </w:rPr>
        <w:t>名 称：新疆维吾尔自治区人民医院</w:t>
      </w:r>
    </w:p>
    <w:p>
      <w:pPr>
        <w:spacing w:before="60" w:after="60"/>
        <w:ind w:firstLine="480"/>
        <w:rPr>
          <w:rFonts w:cs="Arial"/>
          <w:color w:val="auto"/>
          <w:szCs w:val="21"/>
          <w:highlight w:val="none"/>
        </w:rPr>
      </w:pPr>
      <w:r>
        <w:rPr>
          <w:rFonts w:cs="Arial"/>
          <w:color w:val="auto"/>
          <w:szCs w:val="21"/>
          <w:highlight w:val="none"/>
        </w:rPr>
        <w:t>地 址：新疆乌鲁木齐市天山区天池路91号自治区人民医院</w:t>
      </w:r>
    </w:p>
    <w:p>
      <w:pPr>
        <w:spacing w:before="60" w:after="60"/>
        <w:ind w:firstLine="480"/>
        <w:rPr>
          <w:rFonts w:cs="Arial"/>
          <w:color w:val="auto"/>
          <w:szCs w:val="21"/>
          <w:highlight w:val="none"/>
        </w:rPr>
      </w:pPr>
      <w:r>
        <w:rPr>
          <w:rFonts w:cs="Arial"/>
          <w:color w:val="auto"/>
          <w:szCs w:val="21"/>
          <w:highlight w:val="none"/>
        </w:rPr>
        <w:t>联系方式：0991-8562590</w:t>
      </w:r>
    </w:p>
    <w:p>
      <w:pPr>
        <w:spacing w:before="60" w:after="60"/>
        <w:ind w:firstLine="480"/>
        <w:rPr>
          <w:rFonts w:cs="Arial"/>
          <w:color w:val="auto"/>
          <w:szCs w:val="21"/>
          <w:highlight w:val="none"/>
        </w:rPr>
      </w:pPr>
      <w:r>
        <w:rPr>
          <w:rFonts w:cs="Arial"/>
          <w:color w:val="auto"/>
          <w:szCs w:val="21"/>
          <w:highlight w:val="none"/>
        </w:rPr>
        <w:t>2.采购代理机构信息</w:t>
      </w:r>
    </w:p>
    <w:p>
      <w:pPr>
        <w:spacing w:before="60" w:after="60"/>
        <w:ind w:firstLine="480"/>
        <w:rPr>
          <w:rFonts w:cs="Arial"/>
          <w:color w:val="auto"/>
          <w:szCs w:val="21"/>
          <w:highlight w:val="none"/>
        </w:rPr>
      </w:pPr>
      <w:r>
        <w:rPr>
          <w:rFonts w:cs="Arial"/>
          <w:color w:val="auto"/>
          <w:szCs w:val="21"/>
          <w:highlight w:val="none"/>
        </w:rPr>
        <w:t>名 称：新疆同孚招投标有限公司</w:t>
      </w:r>
    </w:p>
    <w:p>
      <w:pPr>
        <w:spacing w:before="60" w:after="60"/>
        <w:ind w:firstLine="480"/>
        <w:rPr>
          <w:rFonts w:hint="eastAsia" w:cs="Arial"/>
          <w:color w:val="auto"/>
          <w:szCs w:val="21"/>
          <w:highlight w:val="none"/>
        </w:rPr>
      </w:pPr>
      <w:r>
        <w:rPr>
          <w:rFonts w:cs="Arial"/>
          <w:color w:val="auto"/>
          <w:szCs w:val="21"/>
          <w:highlight w:val="none"/>
        </w:rPr>
        <w:t>地 址：</w:t>
      </w:r>
      <w:r>
        <w:rPr>
          <w:rFonts w:hint="eastAsia" w:cs="Arial"/>
          <w:color w:val="auto"/>
          <w:szCs w:val="21"/>
          <w:highlight w:val="none"/>
        </w:rPr>
        <w:t>乌鲁木齐市友好北路宏运大厦17楼G座</w:t>
      </w:r>
    </w:p>
    <w:p>
      <w:pPr>
        <w:spacing w:before="60" w:after="60"/>
        <w:ind w:firstLine="480"/>
        <w:rPr>
          <w:rFonts w:hint="eastAsia" w:cs="Arial"/>
          <w:color w:val="auto"/>
          <w:szCs w:val="21"/>
          <w:highlight w:val="none"/>
        </w:rPr>
      </w:pPr>
      <w:r>
        <w:rPr>
          <w:rFonts w:cs="Arial"/>
          <w:color w:val="auto"/>
          <w:szCs w:val="21"/>
          <w:highlight w:val="none"/>
        </w:rPr>
        <w:t>联系方式：</w:t>
      </w:r>
      <w:r>
        <w:rPr>
          <w:rFonts w:hint="eastAsia" w:cs="Arial"/>
          <w:color w:val="auto"/>
          <w:szCs w:val="21"/>
          <w:highlight w:val="none"/>
        </w:rPr>
        <w:t>0991-4832223转8003</w:t>
      </w:r>
    </w:p>
    <w:p>
      <w:pPr>
        <w:spacing w:before="60" w:after="60"/>
        <w:ind w:firstLine="480"/>
        <w:rPr>
          <w:rFonts w:cs="Arial"/>
          <w:color w:val="auto"/>
          <w:szCs w:val="21"/>
          <w:highlight w:val="none"/>
        </w:rPr>
      </w:pPr>
      <w:r>
        <w:rPr>
          <w:rFonts w:cs="Arial"/>
          <w:color w:val="auto"/>
          <w:szCs w:val="21"/>
          <w:highlight w:val="none"/>
        </w:rPr>
        <w:t>3.项目联系方式</w:t>
      </w:r>
    </w:p>
    <w:p>
      <w:pPr>
        <w:spacing w:before="60" w:after="60"/>
        <w:ind w:firstLine="480"/>
        <w:rPr>
          <w:rFonts w:hint="eastAsia" w:cs="Arial"/>
          <w:color w:val="auto"/>
          <w:szCs w:val="21"/>
          <w:highlight w:val="none"/>
        </w:rPr>
      </w:pPr>
      <w:r>
        <w:rPr>
          <w:rFonts w:cs="Arial"/>
          <w:color w:val="auto"/>
          <w:szCs w:val="21"/>
          <w:highlight w:val="none"/>
        </w:rPr>
        <w:t>项目联系人：</w:t>
      </w:r>
      <w:r>
        <w:rPr>
          <w:rFonts w:hint="eastAsia" w:cs="Arial"/>
          <w:color w:val="auto"/>
          <w:szCs w:val="21"/>
          <w:highlight w:val="none"/>
        </w:rPr>
        <w:t>谭婷</w:t>
      </w:r>
    </w:p>
    <w:p>
      <w:pPr>
        <w:spacing w:before="60" w:after="60"/>
        <w:ind w:firstLine="480"/>
        <w:rPr>
          <w:rFonts w:hint="eastAsia" w:cs="Arial"/>
          <w:color w:val="auto"/>
          <w:szCs w:val="21"/>
          <w:highlight w:val="none"/>
        </w:rPr>
      </w:pPr>
      <w:r>
        <w:rPr>
          <w:rFonts w:cs="Arial"/>
          <w:color w:val="auto"/>
          <w:szCs w:val="21"/>
          <w:highlight w:val="none"/>
        </w:rPr>
        <w:t>电 话：</w:t>
      </w:r>
      <w:r>
        <w:rPr>
          <w:rFonts w:hint="eastAsia" w:cs="Arial"/>
          <w:color w:val="auto"/>
          <w:szCs w:val="21"/>
          <w:highlight w:val="none"/>
        </w:rPr>
        <w:t>0991-4832223转8003</w:t>
      </w:r>
    </w:p>
    <w:p>
      <w:pPr>
        <w:spacing w:before="60" w:after="60"/>
        <w:ind w:firstLine="480"/>
        <w:rPr>
          <w:rFonts w:hint="eastAsia" w:cs="Arial"/>
          <w:color w:val="auto"/>
          <w:szCs w:val="21"/>
          <w:highlight w:val="none"/>
        </w:rPr>
      </w:pPr>
      <w:r>
        <w:rPr>
          <w:rFonts w:hint="eastAsia" w:cs="Arial"/>
          <w:color w:val="auto"/>
          <w:szCs w:val="21"/>
          <w:highlight w:val="none"/>
        </w:rPr>
        <w:t>邮</w:t>
      </w:r>
      <w:r>
        <w:rPr>
          <w:rFonts w:hint="eastAsia" w:cs="Arial"/>
          <w:color w:val="auto"/>
          <w:szCs w:val="21"/>
          <w:highlight w:val="none"/>
          <w:lang w:val="en-US" w:eastAsia="zh-CN"/>
        </w:rPr>
        <w:t xml:space="preserve"> </w:t>
      </w:r>
      <w:r>
        <w:rPr>
          <w:rFonts w:hint="eastAsia" w:cs="Arial"/>
          <w:color w:val="auto"/>
          <w:szCs w:val="21"/>
          <w:highlight w:val="none"/>
        </w:rPr>
        <w:t>箱：2093578939@qq.com</w:t>
      </w:r>
    </w:p>
    <w:p>
      <w:pPr>
        <w:pStyle w:val="2"/>
      </w:pPr>
    </w:p>
    <w:p/>
    <w:p/>
    <w:p>
      <w:pPr>
        <w:pStyle w:val="3"/>
        <w:jc w:val="center"/>
        <w:rPr>
          <w:rFonts w:ascii="宋体" w:cs="宋体"/>
          <w:sz w:val="36"/>
          <w:szCs w:val="36"/>
        </w:rPr>
      </w:pPr>
      <w:r>
        <w:rPr>
          <w:rFonts w:ascii="宋体" w:cs="宋体"/>
          <w:b w:val="0"/>
          <w:sz w:val="32"/>
          <w:szCs w:val="32"/>
        </w:rPr>
        <w:br w:type="page"/>
      </w:r>
      <w:r>
        <w:rPr>
          <w:rFonts w:hint="eastAsia" w:ascii="宋体" w:hAnsi="宋体" w:cs="宋体"/>
          <w:sz w:val="36"/>
          <w:szCs w:val="36"/>
        </w:rPr>
        <w:t>第一部份</w:t>
      </w:r>
      <w:r>
        <w:rPr>
          <w:rFonts w:ascii="宋体" w:hAnsi="宋体" w:cs="宋体"/>
          <w:sz w:val="36"/>
          <w:szCs w:val="36"/>
        </w:rPr>
        <w:t xml:space="preserve">    </w:t>
      </w:r>
      <w:r>
        <w:rPr>
          <w:rFonts w:hint="eastAsia" w:ascii="宋体" w:hAnsi="宋体" w:cs="宋体"/>
          <w:sz w:val="36"/>
          <w:szCs w:val="36"/>
        </w:rPr>
        <w:t>投标须知</w:t>
      </w:r>
      <w:bookmarkEnd w:id="0"/>
    </w:p>
    <w:tbl>
      <w:tblPr>
        <w:tblStyle w:val="23"/>
        <w:tblW w:w="10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10"/>
        <w:gridCol w:w="69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宋体" w:cs="宋体"/>
                <w:sz w:val="24"/>
              </w:rPr>
            </w:pPr>
            <w:r>
              <w:rPr>
                <w:rFonts w:hint="eastAsia" w:ascii="宋体" w:hAnsi="宋体" w:cs="宋体"/>
                <w:sz w:val="24"/>
              </w:rPr>
              <w:t>序号</w:t>
            </w:r>
          </w:p>
        </w:tc>
        <w:tc>
          <w:tcPr>
            <w:tcW w:w="2510" w:type="dxa"/>
            <w:vAlign w:val="center"/>
          </w:tcPr>
          <w:p>
            <w:pPr>
              <w:overflowPunct w:val="0"/>
              <w:spacing w:line="440" w:lineRule="exact"/>
              <w:jc w:val="center"/>
              <w:rPr>
                <w:rFonts w:ascii="宋体" w:cs="宋体"/>
                <w:sz w:val="24"/>
              </w:rPr>
            </w:pPr>
            <w:r>
              <w:rPr>
                <w:rFonts w:hint="eastAsia" w:ascii="宋体" w:hAnsi="宋体" w:cs="宋体"/>
                <w:sz w:val="24"/>
              </w:rPr>
              <w:t>名称</w:t>
            </w:r>
          </w:p>
        </w:tc>
        <w:tc>
          <w:tcPr>
            <w:tcW w:w="6950" w:type="dxa"/>
            <w:vAlign w:val="center"/>
          </w:tcPr>
          <w:p>
            <w:pPr>
              <w:overflowPunct w:val="0"/>
              <w:spacing w:line="440" w:lineRule="exact"/>
              <w:jc w:val="center"/>
              <w:rPr>
                <w:rFonts w:ascii="宋体" w:cs="宋体"/>
                <w:sz w:val="24"/>
              </w:rPr>
            </w:pPr>
            <w:r>
              <w:rPr>
                <w:rFonts w:hint="eastAsia" w:ascii="宋体" w:hAnsi="宋体" w:cs="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rPr>
            </w:pPr>
            <w:r>
              <w:t>1</w:t>
            </w:r>
          </w:p>
        </w:tc>
        <w:tc>
          <w:tcPr>
            <w:tcW w:w="2510" w:type="dxa"/>
            <w:vAlign w:val="center"/>
          </w:tcPr>
          <w:p>
            <w:pPr>
              <w:overflowPunct w:val="0"/>
              <w:spacing w:line="440" w:lineRule="exact"/>
              <w:jc w:val="center"/>
              <w:rPr>
                <w:rFonts w:ascii="宋体" w:cs="宋体"/>
                <w:sz w:val="24"/>
              </w:rPr>
            </w:pPr>
            <w:r>
              <w:rPr>
                <w:rFonts w:hint="eastAsia" w:ascii="宋体" w:hAnsi="宋体" w:cs="宋体"/>
                <w:sz w:val="24"/>
              </w:rPr>
              <w:t>谈判文件编号</w:t>
            </w:r>
          </w:p>
        </w:tc>
        <w:tc>
          <w:tcPr>
            <w:tcW w:w="6950" w:type="dxa"/>
            <w:vAlign w:val="center"/>
          </w:tcPr>
          <w:p>
            <w:pPr>
              <w:spacing w:line="440" w:lineRule="exact"/>
              <w:rPr>
                <w:rFonts w:hint="eastAsia" w:ascii="宋体" w:eastAsia="宋体" w:cs="宋体"/>
                <w:sz w:val="24"/>
                <w:lang w:eastAsia="zh-CN"/>
              </w:rPr>
            </w:pPr>
            <w:r>
              <w:rPr>
                <w:rFonts w:hint="eastAsia" w:ascii="宋体" w:hAnsi="宋体" w:cs="宋体"/>
                <w:sz w:val="24"/>
                <w:lang w:eastAsia="zh-CN"/>
              </w:rPr>
              <w:t>XJTF(JZ)2021ZF39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rPr>
            </w:pPr>
            <w:r>
              <w:t>2</w:t>
            </w:r>
          </w:p>
        </w:tc>
        <w:tc>
          <w:tcPr>
            <w:tcW w:w="2510" w:type="dxa"/>
            <w:vAlign w:val="center"/>
          </w:tcPr>
          <w:p>
            <w:pPr>
              <w:overflowPunct w:val="0"/>
              <w:spacing w:line="440" w:lineRule="exact"/>
              <w:jc w:val="center"/>
              <w:rPr>
                <w:rFonts w:ascii="宋体" w:cs="宋体"/>
                <w:sz w:val="24"/>
              </w:rPr>
            </w:pPr>
            <w:r>
              <w:rPr>
                <w:rFonts w:hint="eastAsia" w:ascii="宋体" w:hAnsi="宋体" w:cs="宋体"/>
                <w:sz w:val="24"/>
              </w:rPr>
              <w:t>项目名称</w:t>
            </w:r>
          </w:p>
        </w:tc>
        <w:tc>
          <w:tcPr>
            <w:tcW w:w="6950" w:type="dxa"/>
            <w:vAlign w:val="center"/>
          </w:tcPr>
          <w:p>
            <w:pPr>
              <w:spacing w:line="440" w:lineRule="exact"/>
              <w:rPr>
                <w:rFonts w:hint="eastAsia" w:ascii="宋体" w:eastAsia="宋体" w:cs="宋体"/>
                <w:sz w:val="24"/>
                <w:lang w:eastAsia="zh-CN"/>
              </w:rPr>
            </w:pPr>
            <w:r>
              <w:rPr>
                <w:rFonts w:hint="eastAsia" w:ascii="宋体" w:hAnsi="宋体" w:cs="宋体"/>
                <w:kern w:val="0"/>
                <w:sz w:val="24"/>
                <w:lang w:eastAsia="zh-CN"/>
              </w:rPr>
              <w:t>新疆维吾尔自治区人民医院物资服务商（二批）采购项目三次(电工材料类选取1家服务商)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rPr>
            </w:pPr>
            <w:r>
              <w:t>3</w:t>
            </w:r>
          </w:p>
        </w:tc>
        <w:tc>
          <w:tcPr>
            <w:tcW w:w="2510" w:type="dxa"/>
            <w:vAlign w:val="center"/>
          </w:tcPr>
          <w:p>
            <w:pPr>
              <w:overflowPunct w:val="0"/>
              <w:spacing w:line="440" w:lineRule="exact"/>
              <w:jc w:val="center"/>
              <w:rPr>
                <w:rFonts w:ascii="宋体" w:cs="宋体"/>
                <w:sz w:val="24"/>
              </w:rPr>
            </w:pPr>
            <w:r>
              <w:rPr>
                <w:rFonts w:hint="eastAsia" w:ascii="宋体" w:hAnsi="宋体" w:cs="宋体"/>
                <w:sz w:val="24"/>
              </w:rPr>
              <w:t>联系方式</w:t>
            </w:r>
          </w:p>
        </w:tc>
        <w:tc>
          <w:tcPr>
            <w:tcW w:w="6950" w:type="dxa"/>
            <w:vAlign w:val="center"/>
          </w:tcPr>
          <w:p>
            <w:pPr>
              <w:overflowPunct w:val="0"/>
              <w:spacing w:line="440" w:lineRule="exact"/>
              <w:rPr>
                <w:rFonts w:ascii="宋体"/>
                <w:sz w:val="24"/>
              </w:rPr>
            </w:pPr>
            <w:r>
              <w:rPr>
                <w:rFonts w:hint="eastAsia" w:ascii="宋体" w:hAnsi="宋体"/>
                <w:sz w:val="24"/>
              </w:rPr>
              <w:t>采购单位：新疆维吾尔自治区人民医院</w:t>
            </w:r>
          </w:p>
          <w:p>
            <w:pPr>
              <w:overflowPunct w:val="0"/>
              <w:spacing w:line="440" w:lineRule="exact"/>
              <w:rPr>
                <w:rFonts w:ascii="宋体"/>
                <w:sz w:val="24"/>
              </w:rPr>
            </w:pPr>
            <w:r>
              <w:rPr>
                <w:rFonts w:hint="eastAsia" w:ascii="宋体" w:hAnsi="宋体"/>
                <w:sz w:val="24"/>
              </w:rPr>
              <w:t>采购单位地址：新疆乌鲁木齐市天池路</w:t>
            </w:r>
            <w:r>
              <w:rPr>
                <w:rFonts w:ascii="宋体" w:hAnsi="宋体"/>
                <w:sz w:val="24"/>
              </w:rPr>
              <w:t>91</w:t>
            </w:r>
            <w:r>
              <w:rPr>
                <w:rFonts w:hint="eastAsia" w:ascii="宋体" w:hAnsi="宋体"/>
                <w:sz w:val="24"/>
              </w:rPr>
              <w:t>号</w:t>
            </w:r>
          </w:p>
          <w:p>
            <w:pPr>
              <w:overflowPunct w:val="0"/>
              <w:spacing w:line="440" w:lineRule="exact"/>
              <w:rPr>
                <w:rFonts w:ascii="宋体"/>
                <w:sz w:val="24"/>
              </w:rPr>
            </w:pPr>
            <w:r>
              <w:rPr>
                <w:rFonts w:hint="eastAsia" w:ascii="宋体" w:hAnsi="宋体"/>
                <w:sz w:val="24"/>
              </w:rPr>
              <w:t>联系人：黄老师</w:t>
            </w:r>
            <w:r>
              <w:rPr>
                <w:rFonts w:ascii="宋体" w:hAnsi="宋体"/>
                <w:sz w:val="24"/>
              </w:rPr>
              <w:t xml:space="preserve">      </w:t>
            </w:r>
            <w:r>
              <w:rPr>
                <w:rFonts w:hint="eastAsia" w:ascii="宋体" w:hAnsi="宋体"/>
                <w:sz w:val="24"/>
              </w:rPr>
              <w:t>联系电话：</w:t>
            </w:r>
            <w:r>
              <w:rPr>
                <w:rFonts w:ascii="宋体" w:hAnsi="宋体"/>
                <w:sz w:val="24"/>
              </w:rPr>
              <w:t>0991-8562590</w:t>
            </w:r>
          </w:p>
          <w:p>
            <w:pPr>
              <w:overflowPunct w:val="0"/>
              <w:spacing w:line="440" w:lineRule="exact"/>
              <w:rPr>
                <w:rFonts w:ascii="宋体"/>
                <w:sz w:val="24"/>
              </w:rPr>
            </w:pPr>
            <w:r>
              <w:rPr>
                <w:rFonts w:hint="eastAsia" w:ascii="宋体" w:hAnsi="宋体"/>
                <w:sz w:val="24"/>
              </w:rPr>
              <w:t>招标代理机构：新疆同孚招投标有限公司</w:t>
            </w:r>
          </w:p>
          <w:p>
            <w:pPr>
              <w:overflowPunct w:val="0"/>
              <w:spacing w:line="440" w:lineRule="exact"/>
              <w:rPr>
                <w:rFonts w:ascii="宋体"/>
                <w:sz w:val="24"/>
              </w:rPr>
            </w:pPr>
            <w:r>
              <w:rPr>
                <w:rFonts w:hint="eastAsia" w:ascii="宋体" w:hAnsi="宋体"/>
                <w:sz w:val="24"/>
              </w:rPr>
              <w:t>招标公司地址：乌鲁木齐市友好北路宏运大厦</w:t>
            </w:r>
            <w:r>
              <w:rPr>
                <w:rFonts w:hint="eastAsia" w:ascii="宋体" w:hAnsi="宋体"/>
                <w:sz w:val="24"/>
                <w:lang w:val="en-US" w:eastAsia="zh-CN"/>
              </w:rPr>
              <w:t>17</w:t>
            </w:r>
            <w:r>
              <w:rPr>
                <w:rFonts w:hint="eastAsia" w:ascii="宋体" w:hAnsi="宋体"/>
                <w:sz w:val="24"/>
              </w:rPr>
              <w:t>楼</w:t>
            </w:r>
            <w:r>
              <w:rPr>
                <w:rFonts w:hint="eastAsia" w:ascii="宋体" w:hAnsi="宋体"/>
                <w:sz w:val="24"/>
                <w:lang w:val="en-US" w:eastAsia="zh-CN"/>
              </w:rPr>
              <w:t>G</w:t>
            </w:r>
            <w:r>
              <w:rPr>
                <w:rFonts w:hint="eastAsia" w:ascii="宋体" w:hAnsi="宋体"/>
                <w:sz w:val="24"/>
              </w:rPr>
              <w:t>座</w:t>
            </w:r>
          </w:p>
          <w:p>
            <w:pPr>
              <w:overflowPunct w:val="0"/>
              <w:spacing w:line="440" w:lineRule="exact"/>
              <w:rPr>
                <w:rFonts w:ascii="宋体"/>
                <w:sz w:val="24"/>
              </w:rPr>
            </w:pPr>
            <w:r>
              <w:rPr>
                <w:rFonts w:hint="eastAsia" w:ascii="宋体" w:hAnsi="宋体"/>
                <w:sz w:val="24"/>
              </w:rPr>
              <w:t>项目联系人：谭婷</w:t>
            </w:r>
          </w:p>
          <w:p>
            <w:pPr>
              <w:overflowPunct w:val="0"/>
              <w:spacing w:line="440" w:lineRule="exact"/>
              <w:rPr>
                <w:rFonts w:ascii="宋体"/>
                <w:sz w:val="24"/>
              </w:rPr>
            </w:pPr>
            <w:r>
              <w:rPr>
                <w:rFonts w:hint="eastAsia" w:ascii="宋体" w:hAnsi="宋体"/>
                <w:sz w:val="24"/>
              </w:rPr>
              <w:t>联系电话：</w:t>
            </w:r>
            <w:r>
              <w:rPr>
                <w:rFonts w:ascii="宋体" w:hAnsi="宋体"/>
                <w:sz w:val="24"/>
              </w:rPr>
              <w:t>0991-4833033转8003</w:t>
            </w:r>
          </w:p>
          <w:p>
            <w:pPr>
              <w:overflowPunct w:val="0"/>
              <w:spacing w:line="440" w:lineRule="exact"/>
              <w:rPr>
                <w:rFonts w:ascii="宋体" w:cs="宋体"/>
                <w:sz w:val="24"/>
              </w:rPr>
            </w:pPr>
            <w:r>
              <w:rPr>
                <w:rFonts w:hint="eastAsia" w:ascii="宋体" w:hAnsi="宋体"/>
                <w:sz w:val="24"/>
              </w:rPr>
              <w:t>邮箱：2093578939@qq.com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79" w:type="dxa"/>
            <w:vAlign w:val="center"/>
          </w:tcPr>
          <w:p>
            <w:pPr>
              <w:jc w:val="center"/>
              <w:rPr>
                <w:rFonts w:ascii="宋体" w:cs="宋体"/>
                <w:sz w:val="24"/>
              </w:rPr>
            </w:pPr>
            <w:r>
              <w:t>4</w:t>
            </w:r>
          </w:p>
        </w:tc>
        <w:tc>
          <w:tcPr>
            <w:tcW w:w="2510" w:type="dxa"/>
            <w:vAlign w:val="center"/>
          </w:tcPr>
          <w:p>
            <w:pPr>
              <w:overflowPunct w:val="0"/>
              <w:spacing w:line="440" w:lineRule="exact"/>
              <w:jc w:val="center"/>
              <w:rPr>
                <w:rFonts w:ascii="宋体" w:cs="宋体"/>
                <w:sz w:val="24"/>
              </w:rPr>
            </w:pPr>
            <w:r>
              <w:rPr>
                <w:rFonts w:hint="eastAsia" w:ascii="宋体" w:hAnsi="宋体" w:cs="宋体"/>
                <w:sz w:val="24"/>
              </w:rPr>
              <w:t>谈判内容</w:t>
            </w:r>
          </w:p>
        </w:tc>
        <w:tc>
          <w:tcPr>
            <w:tcW w:w="6950" w:type="dxa"/>
            <w:vAlign w:val="center"/>
          </w:tcPr>
          <w:p>
            <w:pPr>
              <w:overflowPunct w:val="0"/>
              <w:spacing w:line="440" w:lineRule="exact"/>
              <w:rPr>
                <w:rFonts w:hint="eastAsia" w:ascii="宋体" w:eastAsia="宋体" w:cs="宋体"/>
                <w:sz w:val="24"/>
                <w:lang w:eastAsia="zh-CN"/>
              </w:rPr>
            </w:pPr>
            <w:r>
              <w:rPr>
                <w:rFonts w:hint="eastAsia" w:ascii="宋体" w:eastAsia="宋体" w:cs="宋体"/>
                <w:sz w:val="24"/>
                <w:lang w:eastAsia="zh-CN"/>
              </w:rPr>
              <w:t>电工材料类选取1家服务商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29" w:hRule="atLeast"/>
          <w:jc w:val="center"/>
        </w:trPr>
        <w:tc>
          <w:tcPr>
            <w:tcW w:w="979" w:type="dxa"/>
            <w:vAlign w:val="center"/>
          </w:tcPr>
          <w:p>
            <w:pPr>
              <w:jc w:val="center"/>
              <w:rPr>
                <w:rFonts w:ascii="宋体" w:cs="宋体"/>
                <w:sz w:val="24"/>
              </w:rPr>
            </w:pPr>
            <w:r>
              <w:t>5</w:t>
            </w:r>
          </w:p>
        </w:tc>
        <w:tc>
          <w:tcPr>
            <w:tcW w:w="2510" w:type="dxa"/>
            <w:vAlign w:val="center"/>
          </w:tcPr>
          <w:p>
            <w:pPr>
              <w:overflowPunct w:val="0"/>
              <w:spacing w:line="440" w:lineRule="exact"/>
              <w:jc w:val="center"/>
              <w:rPr>
                <w:rFonts w:ascii="宋体" w:cs="宋体"/>
                <w:sz w:val="24"/>
              </w:rPr>
            </w:pPr>
            <w:r>
              <w:rPr>
                <w:rFonts w:hint="eastAsia" w:ascii="宋体" w:hAnsi="宋体" w:cs="宋体"/>
                <w:sz w:val="24"/>
              </w:rPr>
              <w:t>采购预算</w:t>
            </w:r>
          </w:p>
        </w:tc>
        <w:tc>
          <w:tcPr>
            <w:tcW w:w="6950" w:type="dxa"/>
            <w:vAlign w:val="center"/>
          </w:tcPr>
          <w:p>
            <w:pPr>
              <w:overflowPunct w:val="0"/>
              <w:spacing w:line="44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400000/年</w:t>
            </w:r>
          </w:p>
          <w:p>
            <w:pPr>
              <w:overflowPunct w:val="0"/>
              <w:spacing w:line="440" w:lineRule="exact"/>
              <w:rPr>
                <w:rFonts w:ascii="宋体" w:cs="宋体"/>
                <w:sz w:val="24"/>
              </w:rPr>
            </w:pPr>
            <w:r>
              <w:rPr>
                <w:rFonts w:hint="eastAsia" w:ascii="宋体" w:hAnsi="宋体" w:cs="宋体"/>
                <w:b/>
                <w:color w:val="auto"/>
                <w:kern w:val="0"/>
                <w:sz w:val="24"/>
                <w:highlight w:val="none"/>
              </w:rPr>
              <w:t>备注：预算金额为预估年计划采购金额，作为投标人投标报价的参考依据，不作为实际发生量的结算金额。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jc w:val="center"/>
              <w:rPr>
                <w:rFonts w:ascii="宋体" w:cs="宋体"/>
                <w:sz w:val="24"/>
              </w:rPr>
            </w:pPr>
            <w:r>
              <w:t>6</w:t>
            </w:r>
          </w:p>
        </w:tc>
        <w:tc>
          <w:tcPr>
            <w:tcW w:w="2510" w:type="dxa"/>
            <w:tcBorders>
              <w:bottom w:val="single" w:color="auto" w:sz="4" w:space="0"/>
              <w:right w:val="single" w:color="auto" w:sz="4" w:space="0"/>
            </w:tcBorders>
            <w:vAlign w:val="center"/>
          </w:tcPr>
          <w:p>
            <w:pPr>
              <w:overflowPunct w:val="0"/>
              <w:spacing w:line="440" w:lineRule="exact"/>
              <w:jc w:val="center"/>
              <w:rPr>
                <w:rFonts w:ascii="宋体" w:cs="宋体"/>
                <w:sz w:val="24"/>
              </w:rPr>
            </w:pPr>
            <w:r>
              <w:rPr>
                <w:rFonts w:hint="eastAsia" w:ascii="宋体" w:hAnsi="宋体" w:cs="宋体"/>
                <w:sz w:val="24"/>
              </w:rPr>
              <w:t>投标资格</w:t>
            </w:r>
          </w:p>
        </w:tc>
        <w:tc>
          <w:tcPr>
            <w:tcW w:w="6950" w:type="dxa"/>
            <w:tcBorders>
              <w:left w:val="single" w:color="auto" w:sz="4" w:space="0"/>
              <w:bottom w:val="single" w:color="auto" w:sz="4" w:space="0"/>
            </w:tcBorders>
            <w:vAlign w:val="center"/>
          </w:tcPr>
          <w:p>
            <w:pPr>
              <w:overflowPunct w:val="0"/>
              <w:spacing w:line="440" w:lineRule="exact"/>
              <w:rPr>
                <w:rFonts w:hint="eastAsia" w:ascii="宋体" w:hAnsi="宋体"/>
                <w:sz w:val="24"/>
              </w:rPr>
            </w:pPr>
            <w:r>
              <w:rPr>
                <w:rFonts w:hint="eastAsia" w:ascii="宋体" w:hAnsi="宋体"/>
                <w:sz w:val="24"/>
              </w:rPr>
              <w:t>1.满足《中华人民共和国政府采购法》第二十二条规定；</w:t>
            </w:r>
          </w:p>
          <w:p>
            <w:pPr>
              <w:overflowPunct w:val="0"/>
              <w:spacing w:line="440" w:lineRule="exact"/>
              <w:rPr>
                <w:rFonts w:hint="eastAsia" w:ascii="宋体" w:hAnsi="宋体"/>
                <w:sz w:val="24"/>
              </w:rPr>
            </w:pPr>
            <w:r>
              <w:rPr>
                <w:rFonts w:hint="eastAsia" w:ascii="宋体" w:hAnsi="宋体"/>
                <w:sz w:val="24"/>
              </w:rPr>
              <w:t>2.落实政府采购政策需满足的资格要求：无</w:t>
            </w:r>
          </w:p>
          <w:p>
            <w:pPr>
              <w:overflowPunct w:val="0"/>
              <w:spacing w:line="440" w:lineRule="exact"/>
              <w:rPr>
                <w:rFonts w:hint="eastAsia" w:ascii="宋体" w:hAnsi="宋体"/>
                <w:sz w:val="24"/>
              </w:rPr>
            </w:pPr>
            <w:r>
              <w:rPr>
                <w:rFonts w:hint="eastAsia" w:ascii="宋体" w:hAnsi="宋体"/>
                <w:sz w:val="24"/>
              </w:rPr>
              <w:t>3.本项目的特定资格要求：</w:t>
            </w:r>
          </w:p>
          <w:p>
            <w:pPr>
              <w:overflowPunct w:val="0"/>
              <w:spacing w:line="440" w:lineRule="exact"/>
              <w:rPr>
                <w:rFonts w:ascii="宋体" w:cs="宋体"/>
                <w:sz w:val="24"/>
              </w:rPr>
            </w:pPr>
            <w:r>
              <w:rPr>
                <w:rFonts w:hint="eastAsia" w:ascii="宋体" w:hAnsi="宋体"/>
                <w:sz w:val="24"/>
              </w:rPr>
              <w:t xml:space="preserve">（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jc w:val="center"/>
              <w:rPr>
                <w:rFonts w:ascii="宋体" w:cs="宋体"/>
                <w:sz w:val="24"/>
              </w:rPr>
            </w:pPr>
            <w:r>
              <w:t>7</w:t>
            </w:r>
          </w:p>
        </w:tc>
        <w:tc>
          <w:tcPr>
            <w:tcW w:w="2510" w:type="dxa"/>
            <w:tcBorders>
              <w:bottom w:val="single" w:color="auto" w:sz="4" w:space="0"/>
              <w:right w:val="single" w:color="auto" w:sz="4" w:space="0"/>
            </w:tcBorders>
            <w:vAlign w:val="center"/>
          </w:tcPr>
          <w:p>
            <w:pPr>
              <w:pStyle w:val="64"/>
              <w:ind w:left="38"/>
              <w:jc w:val="center"/>
              <w:rPr>
                <w:kern w:val="2"/>
              </w:rPr>
            </w:pPr>
            <w:r>
              <w:rPr>
                <w:rFonts w:hint="eastAsia"/>
                <w:kern w:val="2"/>
              </w:rPr>
              <w:t>信用情况</w:t>
            </w:r>
          </w:p>
        </w:tc>
        <w:tc>
          <w:tcPr>
            <w:tcW w:w="6950" w:type="dxa"/>
            <w:tcBorders>
              <w:left w:val="single" w:color="auto" w:sz="4" w:space="0"/>
              <w:bottom w:val="single" w:color="auto" w:sz="4" w:space="0"/>
            </w:tcBorders>
            <w:vAlign w:val="center"/>
          </w:tcPr>
          <w:p>
            <w:pPr>
              <w:widowControl/>
              <w:spacing w:line="276" w:lineRule="auto"/>
              <w:jc w:val="left"/>
              <w:rPr>
                <w:rFonts w:hint="eastAsia" w:ascii="宋体" w:cs="宋体"/>
                <w:b w:val="0"/>
                <w:bCs/>
                <w:sz w:val="24"/>
              </w:rPr>
            </w:pPr>
            <w:r>
              <w:rPr>
                <w:rFonts w:hint="eastAsia" w:ascii="宋体" w:cs="宋体"/>
                <w:b w:val="0"/>
                <w:bCs/>
                <w:sz w:val="24"/>
              </w:rPr>
              <w:t>信用记录审查：</w:t>
            </w:r>
          </w:p>
          <w:p>
            <w:pPr>
              <w:widowControl/>
              <w:spacing w:line="276" w:lineRule="auto"/>
              <w:jc w:val="left"/>
              <w:rPr>
                <w:rFonts w:ascii="宋体" w:cs="宋体"/>
                <w:b/>
                <w:sz w:val="24"/>
              </w:rPr>
            </w:pPr>
            <w:r>
              <w:rPr>
                <w:rFonts w:hint="eastAsia" w:ascii="宋体" w:cs="宋体"/>
                <w:b w:val="0"/>
                <w:bCs/>
                <w:sz w:val="24"/>
              </w:rPr>
              <w:t>根据《财政部关于在政府采购活动中查询及使用信用记录有关问题的通知》（财库〔2016〕125号）规定，投标截止时间后，采购人或采购代理机构将通过“信用中国”网站(www.creditchina.gov.cn)、“中国执行信息公开网”（http://zxgk.court.gov.cn/）未被列入失信被执行人、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979" w:type="dxa"/>
            <w:tcBorders>
              <w:top w:val="single" w:color="auto" w:sz="4" w:space="0"/>
            </w:tcBorders>
            <w:vAlign w:val="center"/>
          </w:tcPr>
          <w:p>
            <w:pPr>
              <w:jc w:val="center"/>
              <w:rPr>
                <w:rFonts w:ascii="宋体" w:cs="宋体"/>
                <w:sz w:val="24"/>
              </w:rPr>
            </w:pPr>
            <w:r>
              <w:t>8</w:t>
            </w:r>
          </w:p>
        </w:tc>
        <w:tc>
          <w:tcPr>
            <w:tcW w:w="2510" w:type="dxa"/>
            <w:tcBorders>
              <w:top w:val="single" w:color="auto" w:sz="4" w:space="0"/>
            </w:tcBorders>
            <w:vAlign w:val="center"/>
          </w:tcPr>
          <w:p>
            <w:pPr>
              <w:overflowPunct w:val="0"/>
              <w:spacing w:line="440" w:lineRule="exact"/>
              <w:jc w:val="center"/>
              <w:rPr>
                <w:rFonts w:ascii="宋体" w:cs="宋体"/>
                <w:color w:val="auto"/>
                <w:sz w:val="24"/>
              </w:rPr>
            </w:pPr>
            <w:r>
              <w:rPr>
                <w:rFonts w:hint="eastAsia" w:ascii="宋体" w:hAnsi="宋体" w:cs="宋体"/>
                <w:color w:val="auto"/>
                <w:kern w:val="0"/>
                <w:sz w:val="24"/>
              </w:rPr>
              <w:t>是否接受联合体投标</w:t>
            </w:r>
          </w:p>
        </w:tc>
        <w:tc>
          <w:tcPr>
            <w:tcW w:w="6950" w:type="dxa"/>
            <w:tcBorders>
              <w:top w:val="single" w:color="auto" w:sz="4" w:space="0"/>
            </w:tcBorders>
            <w:vAlign w:val="center"/>
          </w:tcPr>
          <w:p>
            <w:pPr>
              <w:overflowPunct w:val="0"/>
              <w:spacing w:line="440" w:lineRule="exact"/>
              <w:rPr>
                <w:rFonts w:ascii="宋体" w:cs="宋体"/>
                <w:color w:val="auto"/>
                <w:sz w:val="24"/>
              </w:rPr>
            </w:pPr>
            <w:r>
              <w:rPr>
                <w:rFonts w:hint="eastAsia" w:ascii="宋体" w:hAnsi="宋体" w:cs="宋体"/>
                <w:color w:val="auto"/>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color w:val="auto"/>
                <w:sz w:val="24"/>
              </w:rPr>
            </w:pPr>
            <w:r>
              <w:rPr>
                <w:color w:val="auto"/>
              </w:rPr>
              <w:t>9</w:t>
            </w:r>
          </w:p>
        </w:tc>
        <w:tc>
          <w:tcPr>
            <w:tcW w:w="2510" w:type="dxa"/>
            <w:vAlign w:val="center"/>
          </w:tcPr>
          <w:p>
            <w:pPr>
              <w:overflowPunct w:val="0"/>
              <w:spacing w:line="440" w:lineRule="exact"/>
              <w:jc w:val="center"/>
              <w:rPr>
                <w:rFonts w:ascii="宋体" w:cs="宋体"/>
                <w:color w:val="auto"/>
                <w:sz w:val="24"/>
              </w:rPr>
            </w:pPr>
            <w:r>
              <w:rPr>
                <w:rFonts w:hint="eastAsia" w:ascii="宋体" w:hAnsi="宋体" w:cs="宋体"/>
                <w:color w:val="auto"/>
                <w:sz w:val="24"/>
              </w:rPr>
              <w:t>谈判文件发放日期</w:t>
            </w:r>
          </w:p>
        </w:tc>
        <w:tc>
          <w:tcPr>
            <w:tcW w:w="6950" w:type="dxa"/>
            <w:vAlign w:val="center"/>
          </w:tcPr>
          <w:p>
            <w:pPr>
              <w:overflowPunct w:val="0"/>
              <w:spacing w:line="440" w:lineRule="exact"/>
              <w:rPr>
                <w:color w:val="auto"/>
                <w:highlight w:val="none"/>
              </w:rPr>
            </w:pPr>
            <w:r>
              <w:rPr>
                <w:rFonts w:hint="eastAsia"/>
                <w:color w:val="auto"/>
                <w:highlight w:val="none"/>
              </w:rPr>
              <w:t>时间：2021年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12</w:t>
            </w:r>
            <w:r>
              <w:rPr>
                <w:rFonts w:hint="eastAsia"/>
                <w:color w:val="auto"/>
                <w:highlight w:val="none"/>
              </w:rPr>
              <w:t>日至2021年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16</w:t>
            </w:r>
            <w:r>
              <w:rPr>
                <w:rFonts w:hint="eastAsia"/>
                <w:color w:val="auto"/>
                <w:highlight w:val="none"/>
              </w:rPr>
              <w:t>日，每天上午00:00至14:00，下午14:00至23:59（北京时间，法定节假日除外）</w:t>
            </w:r>
          </w:p>
          <w:p>
            <w:pPr>
              <w:spacing w:line="340" w:lineRule="exact"/>
              <w:rPr>
                <w:rFonts w:ascii="宋体" w:cs="宋体"/>
                <w:color w:val="auto"/>
                <w:sz w:val="24"/>
              </w:rPr>
            </w:pPr>
            <w:r>
              <w:rPr>
                <w:rFonts w:hint="eastAsia"/>
                <w:color w:val="auto"/>
                <w:highlight w:val="none"/>
              </w:rPr>
              <w:t>地点：http://www.365trade.com.cn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color w:val="auto"/>
                <w:sz w:val="24"/>
              </w:rPr>
            </w:pPr>
            <w:r>
              <w:rPr>
                <w:color w:val="auto"/>
              </w:rPr>
              <w:t>10</w:t>
            </w:r>
          </w:p>
        </w:tc>
        <w:tc>
          <w:tcPr>
            <w:tcW w:w="2510" w:type="dxa"/>
            <w:vAlign w:val="center"/>
          </w:tcPr>
          <w:p>
            <w:pPr>
              <w:overflowPunct w:val="0"/>
              <w:spacing w:line="440" w:lineRule="exact"/>
              <w:jc w:val="center"/>
              <w:rPr>
                <w:rFonts w:ascii="宋体" w:cs="宋体"/>
                <w:color w:val="auto"/>
                <w:sz w:val="24"/>
              </w:rPr>
            </w:pPr>
            <w:r>
              <w:rPr>
                <w:rFonts w:hint="eastAsia" w:ascii="宋体" w:hAnsi="宋体" w:cs="宋体"/>
                <w:color w:val="auto"/>
                <w:sz w:val="24"/>
              </w:rPr>
              <w:t>标书售价</w:t>
            </w:r>
          </w:p>
        </w:tc>
        <w:tc>
          <w:tcPr>
            <w:tcW w:w="6950" w:type="dxa"/>
            <w:vAlign w:val="center"/>
          </w:tcPr>
          <w:p>
            <w:pPr>
              <w:overflowPunct w:val="0"/>
              <w:spacing w:line="440" w:lineRule="exact"/>
              <w:jc w:val="left"/>
              <w:rPr>
                <w:rFonts w:ascii="宋体" w:cs="宋体"/>
                <w:color w:val="auto"/>
                <w:sz w:val="24"/>
              </w:rPr>
            </w:pPr>
            <w:r>
              <w:rPr>
                <w:rFonts w:hint="eastAsia" w:ascii="宋体" w:hAnsi="宋体" w:eastAsia="宋体" w:cs="宋体"/>
                <w:color w:val="auto"/>
                <w:sz w:val="24"/>
              </w:rPr>
              <w:t>人民币200元</w:t>
            </w:r>
            <w:r>
              <w:rPr>
                <w:rFonts w:hint="eastAsia" w:ascii="宋体" w:hAnsi="宋体" w:eastAsia="宋体" w:cs="宋体"/>
                <w:color w:val="auto"/>
                <w:sz w:val="24"/>
                <w:lang w:val="en-US" w:eastAsia="zh-CN"/>
              </w:rPr>
              <w:t>,</w:t>
            </w:r>
            <w:r>
              <w:rPr>
                <w:rFonts w:hint="eastAsia" w:ascii="宋体" w:hAnsi="宋体" w:eastAsia="宋体" w:cs="宋体"/>
                <w:color w:val="auto"/>
                <w:sz w:val="24"/>
              </w:rPr>
              <w:t>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vAlign w:val="center"/>
          </w:tcPr>
          <w:p>
            <w:pPr>
              <w:jc w:val="center"/>
              <w:rPr>
                <w:rFonts w:ascii="宋体" w:cs="宋体"/>
                <w:color w:val="auto"/>
                <w:sz w:val="24"/>
              </w:rPr>
            </w:pPr>
            <w:r>
              <w:rPr>
                <w:color w:val="auto"/>
              </w:rPr>
              <w:t>11</w:t>
            </w:r>
          </w:p>
        </w:tc>
        <w:tc>
          <w:tcPr>
            <w:tcW w:w="2510" w:type="dxa"/>
            <w:vAlign w:val="center"/>
          </w:tcPr>
          <w:p>
            <w:pPr>
              <w:overflowPunct w:val="0"/>
              <w:spacing w:line="440" w:lineRule="exact"/>
              <w:rPr>
                <w:rFonts w:ascii="宋体" w:cs="宋体"/>
                <w:color w:val="auto"/>
                <w:sz w:val="24"/>
              </w:rPr>
            </w:pPr>
            <w:r>
              <w:rPr>
                <w:rFonts w:hint="eastAsia" w:ascii="宋体" w:hAnsi="宋体" w:cs="宋体"/>
                <w:color w:val="auto"/>
                <w:sz w:val="24"/>
              </w:rPr>
              <w:t>谈判时间及响应性文件递交截止时间</w:t>
            </w:r>
          </w:p>
        </w:tc>
        <w:tc>
          <w:tcPr>
            <w:tcW w:w="6950" w:type="dxa"/>
            <w:vAlign w:val="center"/>
          </w:tcPr>
          <w:p>
            <w:pPr>
              <w:spacing w:line="440" w:lineRule="exact"/>
              <w:rPr>
                <w:rFonts w:ascii="宋体" w:cs="宋体"/>
                <w:color w:val="auto"/>
                <w:sz w:val="24"/>
              </w:rPr>
            </w:pPr>
            <w:r>
              <w:rPr>
                <w:rFonts w:hint="eastAsia" w:ascii="宋体" w:cs="宋体"/>
                <w:color w:val="auto"/>
                <w:sz w:val="24"/>
              </w:rPr>
              <w:t>2021年11月</w:t>
            </w:r>
            <w:r>
              <w:rPr>
                <w:rFonts w:hint="eastAsia" w:ascii="宋体" w:cs="宋体"/>
                <w:color w:val="auto"/>
                <w:sz w:val="24"/>
                <w:lang w:val="en-US" w:eastAsia="zh-CN"/>
              </w:rPr>
              <w:t>18</w:t>
            </w:r>
            <w:r>
              <w:rPr>
                <w:rFonts w:hint="eastAsia" w:ascii="宋体" w:cs="宋体"/>
                <w:color w:val="auto"/>
                <w:sz w:val="24"/>
              </w:rPr>
              <w:t>日 11:00（北京时间）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9" w:hRule="atLeast"/>
          <w:jc w:val="center"/>
        </w:trPr>
        <w:tc>
          <w:tcPr>
            <w:tcW w:w="979" w:type="dxa"/>
            <w:vAlign w:val="center"/>
          </w:tcPr>
          <w:p>
            <w:pPr>
              <w:jc w:val="center"/>
              <w:rPr>
                <w:rFonts w:ascii="宋体" w:cs="宋体"/>
                <w:sz w:val="24"/>
              </w:rPr>
            </w:pPr>
            <w:r>
              <w:t>12</w:t>
            </w:r>
          </w:p>
        </w:tc>
        <w:tc>
          <w:tcPr>
            <w:tcW w:w="2510" w:type="dxa"/>
            <w:vAlign w:val="center"/>
          </w:tcPr>
          <w:p>
            <w:pPr>
              <w:overflowPunct w:val="0"/>
              <w:spacing w:line="440" w:lineRule="exact"/>
              <w:jc w:val="center"/>
              <w:rPr>
                <w:rFonts w:ascii="宋体" w:cs="宋体"/>
                <w:sz w:val="24"/>
              </w:rPr>
            </w:pPr>
            <w:r>
              <w:rPr>
                <w:rFonts w:hint="eastAsia" w:ascii="宋体" w:hAnsi="宋体" w:cs="宋体"/>
                <w:sz w:val="24"/>
              </w:rPr>
              <w:t>响应性文件递交地点及谈判地点</w:t>
            </w:r>
          </w:p>
        </w:tc>
        <w:tc>
          <w:tcPr>
            <w:tcW w:w="6950" w:type="dxa"/>
            <w:vAlign w:val="center"/>
          </w:tcPr>
          <w:p>
            <w:pPr>
              <w:spacing w:line="440" w:lineRule="exact"/>
              <w:rPr>
                <w:rFonts w:ascii="宋体" w:cs="宋体"/>
                <w:sz w:val="24"/>
              </w:rPr>
            </w:pPr>
            <w:r>
              <w:rPr>
                <w:rFonts w:hint="eastAsia" w:ascii="宋体" w:cs="宋体"/>
                <w:sz w:val="24"/>
              </w:rPr>
              <w:t>乌鲁木齐市人民路38号新宏信大厦7楼新疆同孚招投标有限公司开标一厅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79" w:type="dxa"/>
            <w:tcBorders>
              <w:top w:val="single" w:color="auto" w:sz="4" w:space="0"/>
            </w:tcBorders>
            <w:vAlign w:val="center"/>
          </w:tcPr>
          <w:p>
            <w:pPr>
              <w:jc w:val="center"/>
              <w:rPr>
                <w:rFonts w:ascii="宋体" w:cs="宋体"/>
                <w:sz w:val="24"/>
              </w:rPr>
            </w:pPr>
            <w:r>
              <w:t>13</w:t>
            </w:r>
          </w:p>
        </w:tc>
        <w:tc>
          <w:tcPr>
            <w:tcW w:w="2510" w:type="dxa"/>
            <w:tcBorders>
              <w:top w:val="single" w:color="auto" w:sz="4" w:space="0"/>
            </w:tcBorders>
            <w:vAlign w:val="center"/>
          </w:tcPr>
          <w:p>
            <w:pPr>
              <w:overflowPunct w:val="0"/>
              <w:spacing w:line="440" w:lineRule="exact"/>
              <w:jc w:val="center"/>
              <w:rPr>
                <w:rFonts w:ascii="宋体" w:cs="宋体"/>
                <w:sz w:val="24"/>
              </w:rPr>
            </w:pPr>
            <w:r>
              <w:rPr>
                <w:rFonts w:hint="eastAsia" w:ascii="宋体" w:hAnsi="宋体" w:cs="宋体"/>
                <w:sz w:val="24"/>
              </w:rPr>
              <w:t>响应性有效期</w:t>
            </w:r>
          </w:p>
        </w:tc>
        <w:tc>
          <w:tcPr>
            <w:tcW w:w="6950" w:type="dxa"/>
            <w:tcBorders>
              <w:top w:val="single" w:color="auto" w:sz="4" w:space="0"/>
            </w:tcBorders>
            <w:vAlign w:val="center"/>
          </w:tcPr>
          <w:p>
            <w:pPr>
              <w:overflowPunct w:val="0"/>
              <w:spacing w:line="440" w:lineRule="exact"/>
              <w:rPr>
                <w:rFonts w:ascii="宋体" w:cs="宋体"/>
                <w:sz w:val="24"/>
              </w:rPr>
            </w:pPr>
            <w:r>
              <w:rPr>
                <w:rFonts w:hint="eastAsia" w:ascii="宋体" w:hAnsi="宋体" w:cs="宋体"/>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79" w:type="dxa"/>
            <w:tcBorders>
              <w:top w:val="single" w:color="auto" w:sz="4" w:space="0"/>
            </w:tcBorders>
            <w:vAlign w:val="center"/>
          </w:tcPr>
          <w:p>
            <w:pPr>
              <w:jc w:val="center"/>
              <w:rPr>
                <w:rFonts w:ascii="宋体" w:cs="宋体"/>
                <w:sz w:val="24"/>
              </w:rPr>
            </w:pPr>
            <w:r>
              <w:t>14</w:t>
            </w:r>
          </w:p>
        </w:tc>
        <w:tc>
          <w:tcPr>
            <w:tcW w:w="2510" w:type="dxa"/>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质量保证</w:t>
            </w:r>
          </w:p>
        </w:tc>
        <w:tc>
          <w:tcPr>
            <w:tcW w:w="6950" w:type="dxa"/>
            <w:tcBorders>
              <w:top w:val="single" w:color="auto" w:sz="4" w:space="0"/>
            </w:tcBorders>
            <w:vAlign w:val="center"/>
          </w:tcPr>
          <w:p>
            <w:pPr>
              <w:spacing w:line="440" w:lineRule="exact"/>
              <w:rPr>
                <w:rStyle w:val="98"/>
                <w:rFonts w:ascii="宋体" w:hAnsi="宋体"/>
                <w:sz w:val="24"/>
              </w:rPr>
            </w:pPr>
            <w:r>
              <w:rPr>
                <w:rFonts w:hint="eastAsia" w:ascii="宋体" w:hAnsi="宋体" w:cs="宋体"/>
                <w:color w:val="auto"/>
                <w:sz w:val="24"/>
                <w:highlight w:val="none"/>
              </w:rPr>
              <w:t>乙方对合同项下的各类产品均提供的免费质保详见</w:t>
            </w:r>
            <w:r>
              <w:rPr>
                <w:rFonts w:hint="eastAsia" w:ascii="宋体" w:hAnsi="宋体" w:cs="宋体"/>
                <w:color w:val="auto"/>
                <w:sz w:val="24"/>
                <w:highlight w:val="none"/>
                <w:lang w:val="en-US" w:eastAsia="zh-CN"/>
              </w:rPr>
              <w:t>第四部分采购需求</w:t>
            </w:r>
            <w:r>
              <w:rPr>
                <w:rFonts w:hint="eastAsia" w:ascii="宋体" w:hAnsi="宋体" w:cs="宋体"/>
                <w:color w:val="auto"/>
                <w:sz w:val="24"/>
                <w:highlight w:val="none"/>
              </w:rPr>
              <w:t>（未注明质保期限的则按照供货若有破损或者存在质量问题的产品进行免费更换执行）。免费质保期限自验收合格双方签字时算起。在免费保修期内，乙方需提供免费的维修零配件及人工。质保期结束后，以当时市场价维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79" w:type="dxa"/>
            <w:tcBorders>
              <w:top w:val="single" w:color="auto" w:sz="4" w:space="0"/>
            </w:tcBorders>
            <w:vAlign w:val="center"/>
          </w:tcPr>
          <w:p>
            <w:pPr>
              <w:jc w:val="center"/>
              <w:rPr>
                <w:rFonts w:ascii="宋体" w:cs="宋体"/>
                <w:sz w:val="24"/>
              </w:rPr>
            </w:pPr>
            <w:r>
              <w:t>15</w:t>
            </w:r>
          </w:p>
        </w:tc>
        <w:tc>
          <w:tcPr>
            <w:tcW w:w="2510" w:type="dxa"/>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交货日期</w:t>
            </w:r>
          </w:p>
        </w:tc>
        <w:tc>
          <w:tcPr>
            <w:tcW w:w="6950" w:type="dxa"/>
            <w:tcBorders>
              <w:top w:val="single" w:color="auto" w:sz="4" w:space="0"/>
            </w:tcBorders>
            <w:vAlign w:val="center"/>
          </w:tcPr>
          <w:p>
            <w:pPr>
              <w:spacing w:line="440" w:lineRule="exact"/>
              <w:rPr>
                <w:rFonts w:ascii="宋体" w:hAnsi="宋体"/>
                <w:sz w:val="24"/>
              </w:rPr>
            </w:pPr>
            <w:r>
              <w:rPr>
                <w:rFonts w:hint="eastAsia" w:ascii="宋体" w:hAnsi="宋体" w:cs="宋体"/>
                <w:color w:val="auto"/>
                <w:sz w:val="24"/>
                <w:highlight w:val="none"/>
              </w:rPr>
              <w:t>响应甲方单位要求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79" w:type="dxa"/>
            <w:tcBorders>
              <w:top w:val="single" w:color="auto" w:sz="4" w:space="0"/>
            </w:tcBorders>
            <w:vAlign w:val="center"/>
          </w:tcPr>
          <w:p>
            <w:pPr>
              <w:jc w:val="center"/>
              <w:rPr>
                <w:rFonts w:ascii="宋体" w:cs="宋体"/>
                <w:sz w:val="24"/>
              </w:rPr>
            </w:pPr>
            <w:r>
              <w:t>16</w:t>
            </w:r>
          </w:p>
        </w:tc>
        <w:tc>
          <w:tcPr>
            <w:tcW w:w="2510" w:type="dxa"/>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交货地点</w:t>
            </w:r>
          </w:p>
        </w:tc>
        <w:tc>
          <w:tcPr>
            <w:tcW w:w="6950" w:type="dxa"/>
            <w:tcBorders>
              <w:top w:val="single" w:color="auto" w:sz="4" w:space="0"/>
            </w:tcBorders>
            <w:vAlign w:val="center"/>
          </w:tcPr>
          <w:p>
            <w:pPr>
              <w:spacing w:line="440" w:lineRule="exact"/>
              <w:rPr>
                <w:rFonts w:ascii="宋体" w:hAnsi="宋体"/>
                <w:sz w:val="24"/>
              </w:rPr>
            </w:pPr>
            <w:r>
              <w:rPr>
                <w:rFonts w:hint="eastAsia" w:ascii="宋体" w:hAnsi="宋体" w:cs="宋体"/>
                <w:color w:val="auto"/>
                <w:sz w:val="24"/>
                <w:highlight w:val="none"/>
              </w:rPr>
              <w:t>最终按甲方指定地点验收、交货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79" w:type="dxa"/>
            <w:tcBorders>
              <w:top w:val="single" w:color="auto" w:sz="4" w:space="0"/>
            </w:tcBorders>
            <w:vAlign w:val="center"/>
          </w:tcPr>
          <w:p>
            <w:pPr>
              <w:jc w:val="center"/>
            </w:pPr>
          </w:p>
        </w:tc>
        <w:tc>
          <w:tcPr>
            <w:tcW w:w="2510" w:type="dxa"/>
            <w:tcBorders>
              <w:top w:val="single" w:color="auto" w:sz="4" w:space="0"/>
            </w:tcBorders>
            <w:vAlign w:val="center"/>
          </w:tcPr>
          <w:p>
            <w:pPr>
              <w:overflowPunct w:val="0"/>
              <w:spacing w:line="440" w:lineRule="exact"/>
              <w:jc w:val="center"/>
              <w:rPr>
                <w:rFonts w:hint="eastAsia" w:ascii="宋体" w:hAnsi="宋体"/>
                <w:sz w:val="24"/>
              </w:rPr>
            </w:pPr>
            <w:r>
              <w:rPr>
                <w:rFonts w:hint="eastAsia" w:ascii="宋体" w:hAnsi="宋体" w:cs="宋体"/>
                <w:color w:val="auto"/>
                <w:sz w:val="24"/>
                <w:highlight w:val="none"/>
              </w:rPr>
              <w:t>服务期限</w:t>
            </w:r>
          </w:p>
        </w:tc>
        <w:tc>
          <w:tcPr>
            <w:tcW w:w="6950" w:type="dxa"/>
            <w:tcBorders>
              <w:top w:val="single" w:color="auto" w:sz="4" w:space="0"/>
            </w:tcBorders>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vAlign w:val="center"/>
          </w:tcPr>
          <w:p>
            <w:pPr>
              <w:jc w:val="center"/>
              <w:rPr>
                <w:rFonts w:ascii="宋体" w:cs="宋体"/>
                <w:sz w:val="24"/>
              </w:rPr>
            </w:pPr>
            <w:r>
              <w:t>17</w:t>
            </w:r>
          </w:p>
        </w:tc>
        <w:tc>
          <w:tcPr>
            <w:tcW w:w="2510" w:type="dxa"/>
            <w:tcBorders>
              <w:bottom w:val="single" w:color="auto" w:sz="4" w:space="0"/>
            </w:tcBorders>
            <w:vAlign w:val="center"/>
          </w:tcPr>
          <w:p>
            <w:pPr>
              <w:overflowPunct w:val="0"/>
              <w:spacing w:line="440" w:lineRule="exact"/>
              <w:jc w:val="center"/>
              <w:rPr>
                <w:rFonts w:ascii="宋体" w:cs="宋体"/>
                <w:sz w:val="24"/>
              </w:rPr>
            </w:pPr>
            <w:r>
              <w:rPr>
                <w:rFonts w:hint="eastAsia" w:ascii="宋体" w:hAnsi="宋体" w:cs="宋体"/>
                <w:sz w:val="24"/>
              </w:rPr>
              <w:t>评标方法</w:t>
            </w:r>
          </w:p>
        </w:tc>
        <w:tc>
          <w:tcPr>
            <w:tcW w:w="6950" w:type="dxa"/>
            <w:tcBorders>
              <w:bottom w:val="single" w:color="auto" w:sz="4" w:space="0"/>
            </w:tcBorders>
            <w:vAlign w:val="center"/>
          </w:tcPr>
          <w:p>
            <w:pPr>
              <w:overflowPunct w:val="0"/>
              <w:spacing w:line="440" w:lineRule="exact"/>
              <w:rPr>
                <w:rFonts w:ascii="宋体" w:cs="宋体"/>
                <w:sz w:val="24"/>
              </w:rPr>
            </w:pPr>
            <w:r>
              <w:rPr>
                <w:rFonts w:hint="eastAsia" w:ascii="宋体" w:hAnsi="宋体" w:cs="宋体"/>
                <w:sz w:val="24"/>
              </w:rPr>
              <w:t>最低价评标法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79" w:type="dxa"/>
            <w:vAlign w:val="center"/>
          </w:tcPr>
          <w:p>
            <w:pPr>
              <w:jc w:val="center"/>
              <w:rPr>
                <w:rFonts w:ascii="宋体" w:cs="宋体"/>
                <w:sz w:val="24"/>
              </w:rPr>
            </w:pPr>
            <w:r>
              <w:t>18</w:t>
            </w:r>
          </w:p>
        </w:tc>
        <w:tc>
          <w:tcPr>
            <w:tcW w:w="2510" w:type="dxa"/>
            <w:vAlign w:val="center"/>
          </w:tcPr>
          <w:p>
            <w:pPr>
              <w:overflowPunct w:val="0"/>
              <w:spacing w:line="440" w:lineRule="exact"/>
              <w:jc w:val="center"/>
              <w:rPr>
                <w:rFonts w:ascii="宋体" w:cs="宋体"/>
                <w:sz w:val="24"/>
              </w:rPr>
            </w:pPr>
            <w:r>
              <w:rPr>
                <w:rFonts w:hint="eastAsia" w:ascii="宋体" w:hAnsi="宋体" w:cs="宋体"/>
                <w:sz w:val="24"/>
              </w:rPr>
              <w:t>投标保证金</w:t>
            </w:r>
          </w:p>
        </w:tc>
        <w:tc>
          <w:tcPr>
            <w:tcW w:w="6950" w:type="dxa"/>
            <w:vAlign w:val="center"/>
          </w:tcPr>
          <w:p>
            <w:pPr>
              <w:overflowPunct w:val="0"/>
              <w:spacing w:line="440" w:lineRule="exact"/>
              <w:rPr>
                <w:rFonts w:hint="eastAsia" w:ascii="宋体" w:hAnsi="宋体" w:cs="宋体"/>
                <w:color w:val="auto"/>
                <w:kern w:val="0"/>
                <w:sz w:val="24"/>
                <w:highlight w:val="none"/>
              </w:rPr>
            </w:pPr>
            <w:r>
              <w:rPr>
                <w:rFonts w:ascii="宋体" w:hAnsi="宋体" w:cs="宋体"/>
                <w:color w:val="auto"/>
                <w:kern w:val="0"/>
                <w:sz w:val="24"/>
                <w:highlight w:val="none"/>
              </w:rPr>
              <w:t>8000</w:t>
            </w:r>
            <w:r>
              <w:rPr>
                <w:rFonts w:hint="eastAsia" w:ascii="宋体" w:hAnsi="宋体" w:cs="宋体"/>
                <w:color w:val="auto"/>
                <w:kern w:val="0"/>
                <w:sz w:val="24"/>
                <w:highlight w:val="none"/>
              </w:rPr>
              <w:t>元（</w:t>
            </w:r>
            <w:r>
              <w:rPr>
                <w:rFonts w:ascii="宋体" w:hAnsi="宋体" w:cs="宋体"/>
                <w:color w:val="auto"/>
                <w:kern w:val="0"/>
                <w:sz w:val="24"/>
                <w:szCs w:val="22"/>
                <w:highlight w:val="none"/>
              </w:rPr>
              <w:fldChar w:fldCharType="begin"/>
            </w:r>
            <w:r>
              <w:rPr>
                <w:rFonts w:ascii="宋体" w:hAnsi="宋体" w:cs="宋体"/>
                <w:color w:val="auto"/>
                <w:kern w:val="0"/>
                <w:sz w:val="24"/>
                <w:szCs w:val="22"/>
                <w:highlight w:val="none"/>
              </w:rPr>
              <w:instrText xml:space="preserve"> </w:instrText>
            </w:r>
            <w:r>
              <w:rPr>
                <w:rFonts w:hint="eastAsia" w:ascii="宋体" w:hAnsi="宋体" w:cs="宋体"/>
                <w:color w:val="auto"/>
                <w:kern w:val="0"/>
                <w:sz w:val="24"/>
                <w:szCs w:val="22"/>
                <w:highlight w:val="none"/>
              </w:rPr>
              <w:instrText xml:space="preserve">= 8000 \* CHINESENUM2</w:instrText>
            </w:r>
            <w:r>
              <w:rPr>
                <w:rFonts w:ascii="宋体" w:hAnsi="宋体" w:cs="宋体"/>
                <w:color w:val="auto"/>
                <w:kern w:val="0"/>
                <w:sz w:val="24"/>
                <w:szCs w:val="22"/>
                <w:highlight w:val="none"/>
              </w:rPr>
              <w:instrText xml:space="preserve"> </w:instrText>
            </w:r>
            <w:r>
              <w:rPr>
                <w:rFonts w:ascii="宋体" w:hAnsi="宋体" w:cs="宋体"/>
                <w:color w:val="auto"/>
                <w:kern w:val="0"/>
                <w:sz w:val="24"/>
                <w:szCs w:val="22"/>
                <w:highlight w:val="none"/>
              </w:rPr>
              <w:fldChar w:fldCharType="separate"/>
            </w:r>
            <w:r>
              <w:rPr>
                <w:rFonts w:hint="eastAsia" w:ascii="宋体" w:hAnsi="宋体" w:cs="宋体"/>
                <w:color w:val="auto"/>
                <w:kern w:val="0"/>
                <w:sz w:val="24"/>
                <w:szCs w:val="22"/>
                <w:highlight w:val="none"/>
              </w:rPr>
              <w:t>捌仟</w:t>
            </w:r>
            <w:r>
              <w:rPr>
                <w:rFonts w:ascii="宋体" w:hAnsi="宋体" w:cs="宋体"/>
                <w:color w:val="auto"/>
                <w:kern w:val="0"/>
                <w:sz w:val="24"/>
                <w:szCs w:val="22"/>
                <w:highlight w:val="none"/>
              </w:rPr>
              <w:fldChar w:fldCharType="end"/>
            </w:r>
            <w:r>
              <w:rPr>
                <w:rFonts w:hint="eastAsia" w:ascii="宋体" w:hAnsi="宋体" w:cs="宋体"/>
                <w:color w:val="auto"/>
                <w:kern w:val="0"/>
                <w:sz w:val="24"/>
                <w:szCs w:val="22"/>
                <w:highlight w:val="none"/>
              </w:rPr>
              <w:t>元整</w:t>
            </w:r>
            <w:r>
              <w:rPr>
                <w:rFonts w:hint="eastAsia" w:ascii="宋体" w:hAnsi="宋体" w:cs="宋体"/>
                <w:color w:val="auto"/>
                <w:kern w:val="0"/>
                <w:sz w:val="24"/>
                <w:highlight w:val="none"/>
              </w:rPr>
              <w:t>）；</w:t>
            </w:r>
          </w:p>
          <w:p>
            <w:pPr>
              <w:overflowPunct w:val="0"/>
              <w:spacing w:line="440" w:lineRule="exact"/>
              <w:rPr>
                <w:rFonts w:ascii="宋体" w:cs="宋体"/>
                <w:sz w:val="24"/>
              </w:rPr>
            </w:pPr>
            <w:r>
              <w:rPr>
                <w:rFonts w:hint="eastAsia" w:ascii="宋体" w:hAnsi="宋体" w:cs="宋体"/>
                <w:b/>
                <w:color w:val="auto"/>
                <w:kern w:val="0"/>
                <w:sz w:val="24"/>
                <w:highlight w:val="none"/>
              </w:rPr>
              <w:t>注：各投标人请按以上金额缴纳保证金，并在备注栏写清楚项目编号（</w:t>
            </w:r>
            <w:r>
              <w:rPr>
                <w:rFonts w:hint="eastAsia" w:ascii="宋体" w:hAnsi="宋体" w:cs="宋体"/>
                <w:b/>
                <w:color w:val="auto"/>
                <w:kern w:val="0"/>
                <w:sz w:val="24"/>
                <w:highlight w:val="none"/>
                <w:lang w:val="en-US" w:eastAsia="zh-CN"/>
              </w:rPr>
              <w:t>JZ39投标保证金</w:t>
            </w:r>
            <w:r>
              <w:rPr>
                <w:rFonts w:hint="eastAsia" w:ascii="宋体" w:hAnsi="宋体" w:cs="宋体"/>
                <w:b/>
                <w:color w:val="auto"/>
                <w:kern w:val="0"/>
                <w:sz w:val="24"/>
                <w:highlight w:val="none"/>
              </w:rPr>
              <w:t>）；为保证项目顺利进行，投标保证金须在招标文件规定要求时间内缴纳至指定账户。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61" w:hRule="atLeast"/>
          <w:jc w:val="center"/>
        </w:trPr>
        <w:tc>
          <w:tcPr>
            <w:tcW w:w="979" w:type="dxa"/>
            <w:vAlign w:val="center"/>
          </w:tcPr>
          <w:p>
            <w:pPr>
              <w:jc w:val="center"/>
              <w:rPr>
                <w:rFonts w:ascii="宋体" w:cs="宋体"/>
                <w:sz w:val="24"/>
              </w:rPr>
            </w:pPr>
            <w:r>
              <w:t>19</w:t>
            </w:r>
          </w:p>
        </w:tc>
        <w:tc>
          <w:tcPr>
            <w:tcW w:w="2510" w:type="dxa"/>
            <w:vAlign w:val="center"/>
          </w:tcPr>
          <w:p>
            <w:pPr>
              <w:overflowPunct w:val="0"/>
              <w:spacing w:line="440" w:lineRule="exact"/>
              <w:jc w:val="center"/>
              <w:rPr>
                <w:rFonts w:ascii="宋体" w:cs="宋体"/>
                <w:b/>
                <w:sz w:val="24"/>
              </w:rPr>
            </w:pPr>
            <w:r>
              <w:rPr>
                <w:rFonts w:hint="eastAsia" w:ascii="宋体" w:hAnsi="宋体" w:cs="宋体"/>
                <w:b/>
                <w:sz w:val="24"/>
              </w:rPr>
              <w:t>响应性文件组成、份数及谈判响应报价表</w:t>
            </w:r>
          </w:p>
        </w:tc>
        <w:tc>
          <w:tcPr>
            <w:tcW w:w="6950" w:type="dxa"/>
            <w:vAlign w:val="center"/>
          </w:tcPr>
          <w:p>
            <w:pPr>
              <w:numPr>
                <w:ilvl w:val="0"/>
                <w:numId w:val="1"/>
              </w:numPr>
              <w:overflowPunct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pPr>
              <w:numPr>
                <w:ilvl w:val="0"/>
                <w:numId w:val="0"/>
              </w:numPr>
              <w:overflowPunct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1.1资格文件</w:t>
            </w:r>
            <w:r>
              <w:rPr>
                <w:rFonts w:hint="eastAsia" w:ascii="宋体" w:hAnsi="宋体" w:eastAsia="宋体" w:cs="宋体"/>
                <w:b/>
                <w:color w:val="auto"/>
                <w:sz w:val="24"/>
                <w:szCs w:val="24"/>
                <w:highlight w:val="none"/>
              </w:rPr>
              <w:t>：正本一份、副本</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份</w:t>
            </w:r>
          </w:p>
          <w:p>
            <w:pPr>
              <w:numPr>
                <w:ilvl w:val="0"/>
                <w:numId w:val="0"/>
              </w:numPr>
              <w:overflowPunct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1.2商务技术文件</w:t>
            </w:r>
            <w:r>
              <w:rPr>
                <w:rFonts w:hint="eastAsia" w:ascii="宋体" w:hAnsi="宋体" w:eastAsia="宋体" w:cs="宋体"/>
                <w:b/>
                <w:color w:val="auto"/>
                <w:sz w:val="24"/>
                <w:szCs w:val="24"/>
                <w:highlight w:val="none"/>
              </w:rPr>
              <w:t>：正本一份、副本</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份</w:t>
            </w:r>
          </w:p>
          <w:p>
            <w:pPr>
              <w:overflowPunct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2.谈判响应报价表</w:t>
            </w:r>
            <w:r>
              <w:rPr>
                <w:rFonts w:hint="eastAsia" w:ascii="宋体" w:hAnsi="宋体" w:cs="宋体"/>
                <w:b/>
                <w:color w:val="auto"/>
                <w:sz w:val="24"/>
                <w:szCs w:val="24"/>
                <w:highlight w:val="none"/>
                <w:lang w:val="en-US" w:eastAsia="zh-CN"/>
              </w:rPr>
              <w:t>一份</w:t>
            </w:r>
            <w:r>
              <w:rPr>
                <w:rFonts w:hint="eastAsia" w:ascii="宋体" w:hAnsi="宋体" w:eastAsia="宋体" w:cs="宋体"/>
                <w:b/>
                <w:color w:val="auto"/>
                <w:sz w:val="24"/>
                <w:szCs w:val="24"/>
                <w:highlight w:val="none"/>
              </w:rPr>
              <w:t>（单独密封）</w:t>
            </w:r>
          </w:p>
          <w:p>
            <w:pPr>
              <w:overflowPunct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3.投标保证金缴纳凭证一份</w:t>
            </w:r>
          </w:p>
          <w:p>
            <w:pPr>
              <w:overflowPunct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4.光碟、u盘各一份（概不退还）</w:t>
            </w:r>
          </w:p>
          <w:p>
            <w:pPr>
              <w:pStyle w:val="2"/>
              <w:spacing w:before="0" w:after="0" w:line="440" w:lineRule="exact"/>
              <w:ind w:left="0" w:firstLine="0"/>
              <w:jc w:val="both"/>
            </w:pPr>
            <w:r>
              <w:rPr>
                <w:rFonts w:hint="eastAsia" w:ascii="宋体" w:hAnsi="宋体" w:eastAsia="宋体" w:cs="宋体"/>
                <w:color w:val="auto"/>
                <w:sz w:val="24"/>
                <w:szCs w:val="24"/>
                <w:highlight w:val="none"/>
              </w:rPr>
              <w:t>注：</w:t>
            </w:r>
            <w:r>
              <w:rPr>
                <w:rFonts w:hint="eastAsia"/>
                <w:sz w:val="24"/>
                <w:szCs w:val="24"/>
              </w:rPr>
              <w:t>本次项目需递交两份电子版响应性文件（同时提供一份光盘、一份</w:t>
            </w:r>
            <w:r>
              <w:rPr>
                <w:sz w:val="24"/>
                <w:szCs w:val="24"/>
              </w:rPr>
              <w:t>U</w:t>
            </w:r>
            <w:r>
              <w:rPr>
                <w:rFonts w:hint="eastAsia"/>
                <w:sz w:val="24"/>
                <w:szCs w:val="24"/>
              </w:rPr>
              <w:t>盘），响应性文件及谈判响应报价表可拷贝在同一光盘或</w:t>
            </w:r>
            <w:r>
              <w:rPr>
                <w:sz w:val="24"/>
                <w:szCs w:val="24"/>
              </w:rPr>
              <w:t>u</w:t>
            </w:r>
            <w:r>
              <w:rPr>
                <w:rFonts w:hint="eastAsia"/>
                <w:sz w:val="24"/>
                <w:szCs w:val="24"/>
              </w:rPr>
              <w:t>盘，电子版响应性文件不退。</w:t>
            </w:r>
          </w:p>
          <w:p>
            <w:pPr>
              <w:pStyle w:val="2"/>
              <w:spacing w:before="0" w:after="0" w:line="440" w:lineRule="exact"/>
              <w:ind w:left="0"/>
              <w:jc w:val="both"/>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979" w:type="dxa"/>
            <w:tcBorders>
              <w:top w:val="single" w:color="auto" w:sz="4" w:space="0"/>
              <w:bottom w:val="single" w:color="auto" w:sz="4" w:space="0"/>
            </w:tcBorders>
            <w:vAlign w:val="center"/>
          </w:tcPr>
          <w:p>
            <w:pPr>
              <w:jc w:val="center"/>
              <w:rPr>
                <w:rFonts w:ascii="宋体" w:cs="宋体"/>
                <w:sz w:val="24"/>
              </w:rPr>
            </w:pPr>
            <w:r>
              <w:t>20</w:t>
            </w:r>
          </w:p>
        </w:tc>
        <w:tc>
          <w:tcPr>
            <w:tcW w:w="2510" w:type="dxa"/>
            <w:tcBorders>
              <w:top w:val="single" w:color="auto" w:sz="4" w:space="0"/>
              <w:bottom w:val="single" w:color="auto" w:sz="4" w:space="0"/>
            </w:tcBorders>
            <w:vAlign w:val="center"/>
          </w:tcPr>
          <w:p>
            <w:pPr>
              <w:overflowPunct w:val="0"/>
              <w:spacing w:line="440" w:lineRule="exact"/>
              <w:jc w:val="center"/>
              <w:rPr>
                <w:rFonts w:ascii="宋体" w:cs="宋体"/>
                <w:sz w:val="24"/>
              </w:rPr>
            </w:pPr>
            <w:r>
              <w:rPr>
                <w:rFonts w:hint="eastAsia" w:ascii="宋体" w:hAnsi="宋体" w:cs="宋体"/>
                <w:sz w:val="24"/>
              </w:rPr>
              <w:t>响应性文件密封</w:t>
            </w:r>
          </w:p>
        </w:tc>
        <w:tc>
          <w:tcPr>
            <w:tcW w:w="6950" w:type="dxa"/>
            <w:tcBorders>
              <w:top w:val="single" w:color="auto" w:sz="4" w:space="0"/>
              <w:bottom w:val="single" w:color="auto" w:sz="4" w:space="0"/>
            </w:tcBorders>
            <w:vAlign w:val="center"/>
          </w:tcPr>
          <w:p>
            <w:pPr>
              <w:widowControl/>
              <w:spacing w:line="460" w:lineRule="atLeast"/>
              <w:jc w:val="left"/>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ab/>
            </w:r>
            <w:r>
              <w:rPr>
                <w:rFonts w:hint="eastAsia" w:ascii="宋体" w:hAnsi="宋体" w:cs="宋体"/>
                <w:sz w:val="24"/>
              </w:rPr>
              <w:t>响应性文件分为谈判响应报价表信封和响应性文件袋，密封内容必须包括下列内容：</w:t>
            </w:r>
          </w:p>
          <w:p>
            <w:pPr>
              <w:widowControl/>
              <w:spacing w:line="460" w:lineRule="atLeast"/>
              <w:jc w:val="left"/>
              <w:rPr>
                <w:rFonts w:ascii="宋体" w:hAnsi="宋体" w:cs="宋体"/>
                <w:sz w:val="24"/>
              </w:rPr>
            </w:pPr>
            <w:r>
              <w:rPr>
                <w:rFonts w:ascii="宋体" w:hAnsi="宋体" w:cs="宋体"/>
                <w:sz w:val="24"/>
              </w:rPr>
              <w:t>1.1</w:t>
            </w:r>
            <w:r>
              <w:rPr>
                <w:rFonts w:hint="eastAsia" w:ascii="宋体" w:hAnsi="宋体" w:cs="宋体"/>
                <w:sz w:val="24"/>
              </w:rPr>
              <w:t>谈判响应报价表信封</w:t>
            </w:r>
          </w:p>
          <w:p>
            <w:pPr>
              <w:widowControl/>
              <w:spacing w:line="460" w:lineRule="atLeast"/>
              <w:jc w:val="left"/>
              <w:rPr>
                <w:rFonts w:ascii="宋体" w:hAnsi="宋体" w:cs="宋体"/>
                <w:sz w:val="24"/>
              </w:rPr>
            </w:pPr>
            <w:r>
              <w:rPr>
                <w:rFonts w:ascii="宋体" w:hAnsi="宋体" w:cs="宋体"/>
                <w:sz w:val="24"/>
              </w:rPr>
              <w:t>(1)</w:t>
            </w:r>
            <w:r>
              <w:rPr>
                <w:rFonts w:ascii="宋体" w:hAnsi="宋体" w:cs="宋体"/>
                <w:sz w:val="24"/>
              </w:rPr>
              <w:tab/>
            </w:r>
            <w:r>
              <w:rPr>
                <w:rFonts w:hint="eastAsia" w:ascii="宋体" w:hAnsi="宋体" w:cs="宋体"/>
                <w:sz w:val="24"/>
              </w:rPr>
              <w:t>谈判响应报价表；</w:t>
            </w:r>
          </w:p>
          <w:p>
            <w:pPr>
              <w:widowControl/>
              <w:spacing w:line="460" w:lineRule="atLeast"/>
              <w:jc w:val="left"/>
              <w:rPr>
                <w:rFonts w:ascii="宋体" w:hAnsi="宋体" w:cs="宋体"/>
                <w:sz w:val="24"/>
              </w:rPr>
            </w:pPr>
            <w:r>
              <w:rPr>
                <w:rFonts w:ascii="宋体" w:hAnsi="宋体" w:cs="宋体"/>
                <w:sz w:val="24"/>
              </w:rPr>
              <w:t>(2)</w:t>
            </w:r>
            <w:r>
              <w:rPr>
                <w:rFonts w:ascii="宋体" w:hAnsi="宋体" w:cs="宋体"/>
                <w:sz w:val="24"/>
              </w:rPr>
              <w:tab/>
            </w:r>
            <w:r>
              <w:rPr>
                <w:rFonts w:hint="eastAsia" w:ascii="宋体" w:hAnsi="宋体" w:cs="宋体"/>
                <w:sz w:val="24"/>
              </w:rPr>
              <w:t>投标保证金支付的凭证</w:t>
            </w:r>
            <w:r>
              <w:rPr>
                <w:rFonts w:ascii="宋体" w:hAnsi="宋体" w:cs="宋体"/>
                <w:sz w:val="24"/>
              </w:rPr>
              <w:t>(</w:t>
            </w:r>
            <w:r>
              <w:rPr>
                <w:rFonts w:hint="eastAsia" w:ascii="宋体" w:hAnsi="宋体" w:cs="宋体"/>
                <w:sz w:val="24"/>
              </w:rPr>
              <w:t>收据或网上银行汇款凭证</w:t>
            </w:r>
            <w:r>
              <w:rPr>
                <w:rFonts w:ascii="宋体" w:hAnsi="宋体" w:cs="宋体"/>
                <w:sz w:val="24"/>
              </w:rPr>
              <w:t>)</w:t>
            </w:r>
            <w:r>
              <w:rPr>
                <w:rFonts w:hint="eastAsia" w:ascii="宋体" w:hAnsi="宋体" w:cs="宋体"/>
                <w:sz w:val="24"/>
              </w:rPr>
              <w:t>；</w:t>
            </w:r>
          </w:p>
          <w:p>
            <w:pPr>
              <w:widowControl/>
              <w:spacing w:line="460" w:lineRule="atLeast"/>
              <w:jc w:val="left"/>
              <w:rPr>
                <w:rFonts w:ascii="宋体" w:hAnsi="宋体" w:cs="宋体"/>
                <w:sz w:val="24"/>
              </w:rPr>
            </w:pPr>
            <w:r>
              <w:rPr>
                <w:rFonts w:ascii="宋体" w:hAnsi="宋体" w:cs="宋体"/>
                <w:sz w:val="24"/>
              </w:rPr>
              <w:t>1.2</w:t>
            </w:r>
            <w:r>
              <w:rPr>
                <w:rFonts w:hint="eastAsia" w:ascii="宋体" w:hAnsi="宋体" w:cs="宋体"/>
                <w:sz w:val="24"/>
              </w:rPr>
              <w:t>响应性文件电子版信封（</w:t>
            </w:r>
            <w:r>
              <w:rPr>
                <w:rFonts w:ascii="宋体" w:hAnsi="宋体" w:cs="宋体"/>
                <w:sz w:val="24"/>
              </w:rPr>
              <w:t>U</w:t>
            </w:r>
            <w:r>
              <w:rPr>
                <w:rFonts w:hint="eastAsia" w:ascii="宋体" w:hAnsi="宋体" w:cs="宋体"/>
                <w:sz w:val="24"/>
              </w:rPr>
              <w:t>盘、光盘各一份）</w:t>
            </w:r>
          </w:p>
          <w:p>
            <w:pPr>
              <w:widowControl/>
              <w:spacing w:line="460" w:lineRule="atLeast"/>
              <w:jc w:val="left"/>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）谈判响应报价表电子版（</w:t>
            </w:r>
            <w:r>
              <w:rPr>
                <w:rFonts w:ascii="宋体" w:hAnsi="宋体" w:cs="宋体"/>
                <w:sz w:val="24"/>
              </w:rPr>
              <w:t>Excel</w:t>
            </w:r>
            <w:r>
              <w:rPr>
                <w:rFonts w:hint="eastAsia" w:ascii="宋体" w:hAnsi="宋体" w:cs="宋体"/>
                <w:sz w:val="24"/>
              </w:rPr>
              <w:t>）</w:t>
            </w:r>
          </w:p>
          <w:p>
            <w:pPr>
              <w:widowControl/>
              <w:spacing w:line="460" w:lineRule="atLeast"/>
              <w:jc w:val="left"/>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）响应性文件电子版（</w:t>
            </w:r>
            <w:r>
              <w:rPr>
                <w:rFonts w:ascii="宋体" w:hAnsi="宋体" w:cs="宋体"/>
                <w:sz w:val="24"/>
              </w:rPr>
              <w:t>PDF</w:t>
            </w:r>
            <w:r>
              <w:rPr>
                <w:rFonts w:hint="eastAsia" w:ascii="宋体" w:hAnsi="宋体" w:cs="宋体"/>
                <w:sz w:val="24"/>
              </w:rPr>
              <w:t>）</w:t>
            </w:r>
          </w:p>
          <w:p>
            <w:pPr>
              <w:widowControl/>
              <w:spacing w:line="460" w:lineRule="atLeast"/>
              <w:jc w:val="left"/>
              <w:rPr>
                <w:rFonts w:ascii="宋体" w:hAnsi="宋体" w:cs="宋体"/>
                <w:sz w:val="24"/>
              </w:rPr>
            </w:pPr>
            <w:r>
              <w:rPr>
                <w:rFonts w:ascii="宋体" w:hAnsi="宋体" w:cs="宋体"/>
                <w:sz w:val="24"/>
              </w:rPr>
              <w:t>1.</w:t>
            </w:r>
            <w:r>
              <w:rPr>
                <w:rFonts w:hint="eastAsia" w:ascii="宋体" w:hAnsi="宋体" w:cs="宋体"/>
                <w:sz w:val="24"/>
              </w:rPr>
              <w:t>3响应性文件袋</w:t>
            </w:r>
            <w:r>
              <w:rPr>
                <w:rFonts w:hint="eastAsia" w:ascii="宋体" w:hAnsi="宋体" w:eastAsia="宋体" w:cs="宋体"/>
                <w:color w:val="auto"/>
                <w:sz w:val="24"/>
                <w:szCs w:val="24"/>
                <w:highlight w:val="none"/>
              </w:rPr>
              <w:t>（资格文件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商务技术文件</w:t>
            </w:r>
            <w:r>
              <w:rPr>
                <w:rFonts w:hint="eastAsia" w:ascii="宋体" w:hAnsi="宋体" w:eastAsia="宋体" w:cs="宋体"/>
                <w:sz w:val="24"/>
                <w:szCs w:val="24"/>
                <w:highlight w:val="none"/>
              </w:rPr>
              <w:t>分别密封，正、副本可密封在一个密封袋中</w:t>
            </w:r>
            <w:r>
              <w:rPr>
                <w:rFonts w:hint="eastAsia" w:ascii="宋体" w:hAnsi="宋体" w:eastAsia="宋体" w:cs="宋体"/>
                <w:color w:val="auto"/>
                <w:sz w:val="24"/>
                <w:szCs w:val="24"/>
                <w:highlight w:val="none"/>
              </w:rPr>
              <w:t>）</w:t>
            </w:r>
          </w:p>
          <w:p>
            <w:pPr>
              <w:widowControl/>
              <w:spacing w:line="440" w:lineRule="exact"/>
              <w:jc w:val="left"/>
              <w:rPr>
                <w:rFonts w:ascii="宋体" w:hAnsi="宋体" w:cs="宋体"/>
                <w:sz w:val="24"/>
              </w:rPr>
            </w:pPr>
            <w:r>
              <w:rPr>
                <w:rFonts w:ascii="宋体" w:hAnsi="宋体" w:cs="宋体"/>
                <w:sz w:val="24"/>
              </w:rPr>
              <w:t>2</w:t>
            </w:r>
            <w:r>
              <w:rPr>
                <w:rFonts w:hint="eastAsia" w:ascii="宋体" w:hAnsi="宋体" w:cs="宋体"/>
                <w:sz w:val="24"/>
              </w:rPr>
              <w:t>、响应性文件及</w:t>
            </w:r>
            <w:r>
              <w:rPr>
                <w:rFonts w:ascii="宋体" w:hAnsi="宋体" w:cs="宋体"/>
                <w:sz w:val="24"/>
              </w:rPr>
              <w:t xml:space="preserve"> </w:t>
            </w:r>
            <w:r>
              <w:rPr>
                <w:rFonts w:hint="eastAsia" w:ascii="宋体" w:hAnsi="宋体" w:cs="宋体"/>
                <w:sz w:val="24"/>
              </w:rPr>
              <w:t>“谈判响应报价表”分开制作。未单独提交谈判响应报价表及响应性文件的，其投标被拒绝。</w:t>
            </w:r>
          </w:p>
          <w:p>
            <w:pPr>
              <w:widowControl/>
              <w:spacing w:line="440" w:lineRule="exact"/>
              <w:jc w:val="left"/>
              <w:rPr>
                <w:rFonts w:ascii="宋体" w:hAnsi="宋体" w:cs="宋体"/>
                <w:sz w:val="24"/>
              </w:rPr>
            </w:pPr>
            <w:r>
              <w:rPr>
                <w:rFonts w:ascii="宋体" w:hAnsi="宋体" w:cs="宋体"/>
                <w:sz w:val="24"/>
              </w:rPr>
              <w:t>3</w:t>
            </w:r>
            <w:r>
              <w:rPr>
                <w:rFonts w:hint="eastAsia" w:ascii="宋体" w:hAnsi="宋体" w:cs="宋体"/>
                <w:sz w:val="24"/>
              </w:rPr>
              <w:t>、响应性文件袋和《响应性报价表》袋上应写明：</w:t>
            </w:r>
          </w:p>
          <w:p>
            <w:pPr>
              <w:overflowPunct w:val="0"/>
              <w:spacing w:line="440" w:lineRule="exact"/>
              <w:rPr>
                <w:rFonts w:ascii="宋体" w:hAnsi="宋体" w:cs="宋体"/>
                <w:sz w:val="24"/>
              </w:rPr>
            </w:pPr>
            <w:r>
              <w:rPr>
                <w:rFonts w:hint="eastAsia" w:ascii="宋体" w:hAnsi="宋体" w:cs="宋体"/>
                <w:sz w:val="24"/>
              </w:rPr>
              <w:t>招标单位：新疆同孚招投标有限公司</w:t>
            </w:r>
          </w:p>
          <w:p>
            <w:pPr>
              <w:overflowPunct w:val="0"/>
              <w:spacing w:line="440" w:lineRule="exact"/>
              <w:rPr>
                <w:rFonts w:hint="eastAsia" w:ascii="宋体" w:hAnsi="宋体" w:cs="宋体"/>
                <w:sz w:val="24"/>
                <w:lang w:eastAsia="zh-CN"/>
              </w:rPr>
            </w:pPr>
            <w:r>
              <w:rPr>
                <w:rFonts w:hint="eastAsia" w:ascii="宋体" w:hAnsi="宋体" w:cs="宋体"/>
                <w:sz w:val="24"/>
              </w:rPr>
              <w:t>项目名称：</w:t>
            </w:r>
            <w:r>
              <w:rPr>
                <w:rFonts w:hint="eastAsia" w:ascii="宋体" w:hAnsi="宋体" w:cs="宋体"/>
                <w:sz w:val="24"/>
                <w:lang w:eastAsia="zh-CN"/>
              </w:rPr>
              <w:t>新疆维吾尔自治区人民医院物资服务商（二批）采购项目三次(电工材料类选取1家服务商)</w:t>
            </w:r>
          </w:p>
          <w:p>
            <w:pPr>
              <w:overflowPunct w:val="0"/>
              <w:spacing w:line="440" w:lineRule="exact"/>
              <w:rPr>
                <w:rFonts w:ascii="宋体" w:hAnsi="宋体" w:cs="宋体"/>
                <w:sz w:val="24"/>
              </w:rPr>
            </w:pPr>
            <w:r>
              <w:rPr>
                <w:rFonts w:hint="eastAsia" w:ascii="宋体" w:hAnsi="宋体" w:cs="宋体"/>
                <w:sz w:val="24"/>
              </w:rPr>
              <w:t>谈判项目编号：</w:t>
            </w:r>
            <w:r>
              <w:rPr>
                <w:rFonts w:hint="eastAsia" w:ascii="宋体" w:hAnsi="宋体" w:cs="宋体"/>
                <w:sz w:val="24"/>
                <w:lang w:eastAsia="zh-CN"/>
              </w:rPr>
              <w:t>XJTF(JZ)2021ZF39</w:t>
            </w:r>
            <w:r>
              <w:rPr>
                <w:rFonts w:ascii="宋体" w:hAnsi="宋体" w:cs="宋体"/>
                <w:sz w:val="24"/>
              </w:rPr>
              <w:t xml:space="preserve">           </w:t>
            </w:r>
          </w:p>
          <w:p>
            <w:pPr>
              <w:overflowPunct w:val="0"/>
              <w:spacing w:line="440" w:lineRule="exact"/>
              <w:rPr>
                <w:rFonts w:ascii="宋体" w:hAnsi="宋体" w:cs="宋体"/>
                <w:sz w:val="24"/>
              </w:rPr>
            </w:pPr>
            <w:r>
              <w:rPr>
                <w:rFonts w:hint="eastAsia" w:ascii="宋体" w:hAnsi="宋体" w:cs="宋体"/>
                <w:sz w:val="24"/>
              </w:rPr>
              <w:t>谈判内容（包号）：</w:t>
            </w:r>
            <w:r>
              <w:rPr>
                <w:rFonts w:ascii="宋体" w:hAnsi="宋体" w:cs="宋体"/>
                <w:sz w:val="24"/>
              </w:rPr>
              <w:t xml:space="preserve">             </w:t>
            </w:r>
          </w:p>
          <w:p>
            <w:pPr>
              <w:overflowPunct w:val="0"/>
              <w:spacing w:line="440" w:lineRule="exact"/>
              <w:rPr>
                <w:rFonts w:ascii="宋体" w:hAnsi="宋体" w:cs="宋体"/>
                <w:sz w:val="24"/>
              </w:rPr>
            </w:pPr>
            <w:r>
              <w:rPr>
                <w:rFonts w:hint="eastAsia" w:ascii="宋体" w:hAnsi="宋体" w:cs="宋体"/>
                <w:sz w:val="24"/>
              </w:rPr>
              <w:t>投标单位名称：</w:t>
            </w:r>
          </w:p>
          <w:p>
            <w:pPr>
              <w:overflowPunct w:val="0"/>
              <w:spacing w:line="440" w:lineRule="exact"/>
              <w:rPr>
                <w:rFonts w:ascii="宋体" w:hAnsi="宋体" w:cs="宋体"/>
                <w:sz w:val="24"/>
              </w:rPr>
            </w:pPr>
            <w:r>
              <w:rPr>
                <w:rFonts w:hint="eastAsia" w:ascii="宋体" w:hAnsi="宋体" w:cs="宋体"/>
                <w:sz w:val="24"/>
              </w:rPr>
              <w:t>投标单位联系人：</w:t>
            </w:r>
          </w:p>
          <w:p>
            <w:pPr>
              <w:overflowPunct w:val="0"/>
              <w:spacing w:line="440" w:lineRule="exact"/>
              <w:rPr>
                <w:rFonts w:ascii="宋体" w:hAnsi="宋体" w:cs="宋体"/>
                <w:sz w:val="24"/>
              </w:rPr>
            </w:pPr>
            <w:r>
              <w:rPr>
                <w:rFonts w:hint="eastAsia" w:ascii="宋体" w:hAnsi="宋体" w:cs="宋体"/>
                <w:sz w:val="24"/>
              </w:rPr>
              <w:t>投标单位联系电话：</w:t>
            </w:r>
            <w:r>
              <w:rPr>
                <w:rFonts w:ascii="宋体" w:hAnsi="宋体" w:cs="宋体"/>
                <w:sz w:val="24"/>
              </w:rPr>
              <w:t xml:space="preserve">             </w:t>
            </w:r>
          </w:p>
          <w:p>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（“正本”或“副本”）</w:t>
            </w:r>
          </w:p>
          <w:p>
            <w:pPr>
              <w:pStyle w:val="16"/>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（资格文件/商务技术文件/开标一览表/投标文件电子版）</w:t>
            </w:r>
          </w:p>
          <w:p>
            <w:pPr>
              <w:overflowPunct w:val="0"/>
              <w:spacing w:line="440" w:lineRule="exact"/>
              <w:rPr>
                <w:rFonts w:ascii="宋体" w:hAnsi="宋体" w:cs="宋体"/>
                <w:sz w:val="24"/>
              </w:rPr>
            </w:pPr>
            <w:r>
              <w:rPr>
                <w:rFonts w:hint="eastAsia" w:ascii="宋体" w:hAnsi="宋体" w:eastAsia="宋体" w:cs="宋体"/>
                <w:color w:val="auto"/>
                <w:kern w:val="0"/>
                <w:sz w:val="24"/>
                <w:szCs w:val="24"/>
                <w:highlight w:val="none"/>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979" w:type="dxa"/>
            <w:tcBorders>
              <w:top w:val="single" w:color="auto" w:sz="4" w:space="0"/>
              <w:bottom w:val="single" w:color="auto" w:sz="4" w:space="0"/>
            </w:tcBorders>
            <w:vAlign w:val="center"/>
          </w:tcPr>
          <w:p>
            <w:pPr>
              <w:jc w:val="center"/>
              <w:rPr>
                <w:rFonts w:ascii="宋体" w:cs="宋体"/>
                <w:sz w:val="24"/>
              </w:rPr>
            </w:pPr>
            <w:r>
              <w:t>21</w:t>
            </w:r>
          </w:p>
        </w:tc>
        <w:tc>
          <w:tcPr>
            <w:tcW w:w="2510" w:type="dxa"/>
            <w:tcBorders>
              <w:top w:val="single" w:color="auto" w:sz="4" w:space="0"/>
              <w:bottom w:val="single" w:color="auto" w:sz="4" w:space="0"/>
            </w:tcBorders>
            <w:vAlign w:val="center"/>
          </w:tcPr>
          <w:p>
            <w:pPr>
              <w:overflowPunct w:val="0"/>
              <w:spacing w:line="440" w:lineRule="exact"/>
              <w:jc w:val="center"/>
              <w:rPr>
                <w:rFonts w:ascii="宋体" w:cs="宋体"/>
                <w:sz w:val="24"/>
              </w:rPr>
            </w:pPr>
            <w:r>
              <w:rPr>
                <w:rFonts w:hint="eastAsia" w:ascii="宋体" w:hAnsi="宋体" w:cs="宋体"/>
                <w:sz w:val="24"/>
              </w:rPr>
              <w:t>响应性文件的</w:t>
            </w:r>
          </w:p>
          <w:p>
            <w:pPr>
              <w:overflowPunct w:val="0"/>
              <w:spacing w:line="440" w:lineRule="exact"/>
              <w:jc w:val="center"/>
              <w:rPr>
                <w:rFonts w:ascii="宋体" w:cs="宋体"/>
                <w:sz w:val="24"/>
              </w:rPr>
            </w:pPr>
            <w:r>
              <w:rPr>
                <w:rFonts w:hint="eastAsia" w:ascii="宋体" w:hAnsi="宋体" w:cs="宋体"/>
                <w:sz w:val="24"/>
              </w:rPr>
              <w:t>签署规定</w:t>
            </w:r>
          </w:p>
        </w:tc>
        <w:tc>
          <w:tcPr>
            <w:tcW w:w="6950" w:type="dxa"/>
            <w:tcBorders>
              <w:top w:val="single" w:color="auto" w:sz="4" w:space="0"/>
              <w:bottom w:val="single" w:color="auto" w:sz="4" w:space="0"/>
            </w:tcBorders>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投标文件应用不褪色的材料打印或书写，并按</w:t>
            </w:r>
            <w:r>
              <w:rPr>
                <w:rFonts w:hint="eastAsia" w:ascii="宋体" w:hAnsi="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要求在签字盖章处加盖公章和由法定代表人或其授权代表签字。</w:t>
            </w:r>
          </w:p>
          <w:p>
            <w:pPr>
              <w:spacing w:line="44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2.投标文件中的任何行间插字、涂改和增删，应加盖公章或由投标人的法定代表人或其授权的代理人签字确认。否则，在评标时将其视为无效投标。</w:t>
            </w:r>
          </w:p>
          <w:p>
            <w:pPr>
              <w:widowControl/>
              <w:spacing w:line="460" w:lineRule="atLeast"/>
              <w:jc w:val="left"/>
              <w:rPr>
                <w:rFonts w:ascii="宋体" w:cs="宋体"/>
                <w:sz w:val="24"/>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 xml:space="preserve"> 副本可为正本加盖公章后的复印件。</w:t>
            </w:r>
            <w:r>
              <w:rPr>
                <w:rFonts w:hint="eastAsia" w:ascii="宋体" w:hAnsi="宋体" w:cs="宋体"/>
                <w:color w:val="auto"/>
                <w:sz w:val="24"/>
                <w:szCs w:val="24"/>
                <w:highlight w:val="none"/>
                <w:lang w:val="en-US" w:eastAsia="zh-CN"/>
              </w:rPr>
              <w:t>响应性</w:t>
            </w:r>
            <w:r>
              <w:rPr>
                <w:rFonts w:hint="eastAsia" w:ascii="宋体" w:hAnsi="宋体" w:eastAsia="宋体" w:cs="宋体"/>
                <w:color w:val="auto"/>
                <w:sz w:val="24"/>
                <w:szCs w:val="24"/>
                <w:highlight w:val="none"/>
              </w:rPr>
              <w:t xml:space="preserve">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979" w:type="dxa"/>
            <w:tcBorders>
              <w:top w:val="single" w:color="auto" w:sz="4" w:space="0"/>
              <w:bottom w:val="single" w:color="auto" w:sz="4" w:space="0"/>
            </w:tcBorders>
            <w:vAlign w:val="center"/>
          </w:tcPr>
          <w:p>
            <w:pPr>
              <w:jc w:val="center"/>
              <w:rPr>
                <w:rFonts w:ascii="宋体" w:cs="宋体"/>
                <w:sz w:val="24"/>
              </w:rPr>
            </w:pPr>
            <w:r>
              <w:t>22</w:t>
            </w:r>
          </w:p>
        </w:tc>
        <w:tc>
          <w:tcPr>
            <w:tcW w:w="2510" w:type="dxa"/>
            <w:tcBorders>
              <w:top w:val="single" w:color="auto" w:sz="4" w:space="0"/>
              <w:bottom w:val="single" w:color="auto" w:sz="4" w:space="0"/>
            </w:tcBorders>
            <w:vAlign w:val="center"/>
          </w:tcPr>
          <w:p>
            <w:pPr>
              <w:overflowPunct w:val="0"/>
              <w:spacing w:line="440" w:lineRule="exact"/>
              <w:jc w:val="center"/>
              <w:rPr>
                <w:rFonts w:ascii="宋体" w:cs="宋体"/>
                <w:sz w:val="24"/>
              </w:rPr>
            </w:pPr>
            <w:r>
              <w:rPr>
                <w:rFonts w:hint="eastAsia" w:ascii="宋体" w:hAnsi="宋体" w:cs="宋体"/>
                <w:sz w:val="24"/>
              </w:rPr>
              <w:t>响应性文件格式</w:t>
            </w:r>
          </w:p>
        </w:tc>
        <w:tc>
          <w:tcPr>
            <w:tcW w:w="6950" w:type="dxa"/>
            <w:tcBorders>
              <w:top w:val="single" w:color="auto" w:sz="4" w:space="0"/>
              <w:bottom w:val="single" w:color="auto" w:sz="4" w:space="0"/>
            </w:tcBorders>
            <w:vAlign w:val="center"/>
          </w:tcPr>
          <w:p>
            <w:pPr>
              <w:widowControl/>
              <w:spacing w:line="460" w:lineRule="atLeas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1.投标人应按竞争性谈判文件中提供的投标文件格式填写。</w:t>
            </w:r>
          </w:p>
          <w:p>
            <w:pPr>
              <w:widowControl/>
              <w:spacing w:line="460" w:lineRule="atLeas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2.如竞争性谈判文件没有提供格式的，投标人可自行设置。</w:t>
            </w:r>
          </w:p>
          <w:p>
            <w:pPr>
              <w:widowControl/>
              <w:spacing w:line="460" w:lineRule="atLeas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3.投标人应将投标文件按规定的顺序编排、并应编制目录、逐页标注连续页码，不得采用活页装订，否则视为无效投标文件。</w:t>
            </w:r>
          </w:p>
          <w:p>
            <w:pPr>
              <w:widowControl/>
              <w:spacing w:line="460" w:lineRule="atLeast"/>
              <w:jc w:val="left"/>
            </w:pPr>
            <w:r>
              <w:rPr>
                <w:rFonts w:hint="eastAsia" w:ascii="宋体" w:hAnsi="宋体" w:eastAsia="宋体" w:cs="宋体"/>
                <w:bCs/>
                <w:color w:val="auto"/>
                <w:sz w:val="24"/>
                <w:szCs w:val="24"/>
                <w:highlight w:val="none"/>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42" w:hRule="atLeast"/>
          <w:jc w:val="center"/>
        </w:trPr>
        <w:tc>
          <w:tcPr>
            <w:tcW w:w="979" w:type="dxa"/>
            <w:tcBorders>
              <w:top w:val="single" w:color="auto" w:sz="4" w:space="0"/>
            </w:tcBorders>
            <w:vAlign w:val="center"/>
          </w:tcPr>
          <w:p>
            <w:pPr>
              <w:jc w:val="center"/>
              <w:rPr>
                <w:rFonts w:ascii="宋体" w:cs="宋体"/>
                <w:sz w:val="24"/>
              </w:rPr>
            </w:pPr>
            <w:r>
              <w:t>23</w:t>
            </w:r>
          </w:p>
        </w:tc>
        <w:tc>
          <w:tcPr>
            <w:tcW w:w="2510" w:type="dxa"/>
            <w:tcBorders>
              <w:top w:val="single" w:color="auto" w:sz="4" w:space="0"/>
              <w:bottom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付款方式及币种</w:t>
            </w:r>
          </w:p>
        </w:tc>
        <w:tc>
          <w:tcPr>
            <w:tcW w:w="6950" w:type="dxa"/>
            <w:tcBorders>
              <w:top w:val="single" w:color="auto" w:sz="4" w:space="0"/>
            </w:tcBorders>
            <w:vAlign w:val="center"/>
          </w:tcPr>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1、付款币种</w:t>
            </w:r>
          </w:p>
          <w:p>
            <w:pPr>
              <w:overflowPunct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本次招标所述的项目资金均以人民币支付。</w:t>
            </w:r>
          </w:p>
          <w:p>
            <w:pPr>
              <w:spacing w:line="360" w:lineRule="auto"/>
              <w:jc w:val="left"/>
              <w:rPr>
                <w:rFonts w:hint="eastAsia" w:ascii="宋体" w:hAnsi="宋体" w:cs="宋体"/>
                <w:color w:val="auto"/>
                <w:sz w:val="28"/>
                <w:szCs w:val="28"/>
                <w:highlight w:val="none"/>
              </w:rPr>
            </w:pPr>
            <w:r>
              <w:rPr>
                <w:rFonts w:hint="eastAsia" w:ascii="宋体" w:hAnsi="宋体" w:cs="宋体"/>
                <w:color w:val="auto"/>
                <w:sz w:val="24"/>
                <w:highlight w:val="none"/>
              </w:rPr>
              <w:t>2、付款方式：</w:t>
            </w:r>
            <w:r>
              <w:rPr>
                <w:rFonts w:hint="eastAsia" w:ascii="宋体" w:hAnsi="宋体" w:cs="宋体"/>
                <w:color w:val="auto"/>
                <w:sz w:val="24"/>
                <w:szCs w:val="22"/>
                <w:highlight w:val="none"/>
              </w:rPr>
              <w:t>货物验收合格后按实际供应量，按医院财务账期6个月审核期限后付款。</w:t>
            </w:r>
          </w:p>
          <w:p>
            <w:pPr>
              <w:overflowPunct w:val="0"/>
              <w:spacing w:line="440" w:lineRule="exact"/>
              <w:rPr>
                <w:rFonts w:ascii="宋体" w:hAnsi="宋体"/>
                <w:b/>
                <w:sz w:val="24"/>
              </w:rPr>
            </w:pPr>
            <w:r>
              <w:rPr>
                <w:rFonts w:hint="eastAsia" w:ascii="宋体" w:hAnsi="宋体" w:cs="宋体"/>
                <w:b/>
                <w:color w:val="auto"/>
                <w:sz w:val="24"/>
                <w:highlight w:val="none"/>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rPr>
            </w:pPr>
            <w:r>
              <w:t>24</w:t>
            </w:r>
          </w:p>
        </w:tc>
        <w:tc>
          <w:tcPr>
            <w:tcW w:w="2510" w:type="dxa"/>
            <w:tcBorders>
              <w:top w:val="single" w:color="auto" w:sz="4" w:space="0"/>
            </w:tcBorders>
            <w:vAlign w:val="center"/>
          </w:tcPr>
          <w:p>
            <w:pPr>
              <w:overflowPunct w:val="0"/>
              <w:spacing w:line="440" w:lineRule="exact"/>
              <w:jc w:val="center"/>
              <w:rPr>
                <w:rFonts w:ascii="宋体" w:cs="宋体"/>
                <w:sz w:val="24"/>
              </w:rPr>
            </w:pPr>
            <w:r>
              <w:rPr>
                <w:rFonts w:hint="eastAsia" w:ascii="宋体" w:hAnsi="宋体" w:cs="宋体"/>
                <w:sz w:val="24"/>
              </w:rPr>
              <w:t>相关账号</w:t>
            </w:r>
          </w:p>
        </w:tc>
        <w:tc>
          <w:tcPr>
            <w:tcW w:w="6950" w:type="dxa"/>
            <w:vAlign w:val="center"/>
          </w:tcPr>
          <w:p>
            <w:pPr>
              <w:overflowPunct w:val="0"/>
              <w:spacing w:line="440" w:lineRule="exact"/>
              <w:rPr>
                <w:rFonts w:ascii="宋体" w:cs="宋体"/>
                <w:sz w:val="24"/>
              </w:rPr>
            </w:pPr>
            <w:r>
              <w:rPr>
                <w:rFonts w:hint="eastAsia" w:ascii="宋体" w:hAnsi="宋体" w:cs="宋体"/>
                <w:sz w:val="24"/>
              </w:rPr>
              <w:t>投标保证金缴纳账号：</w:t>
            </w:r>
          </w:p>
          <w:p>
            <w:pPr>
              <w:overflowPunct w:val="0"/>
              <w:spacing w:line="440" w:lineRule="exact"/>
              <w:rPr>
                <w:rFonts w:ascii="宋体" w:cs="宋体"/>
                <w:sz w:val="24"/>
              </w:rPr>
            </w:pPr>
            <w:r>
              <w:rPr>
                <w:rFonts w:hint="eastAsia" w:ascii="宋体" w:hAnsi="宋体" w:cs="宋体"/>
                <w:sz w:val="24"/>
              </w:rPr>
              <w:t>账户名：新疆同孚招投标有限公司</w:t>
            </w:r>
          </w:p>
          <w:p>
            <w:pPr>
              <w:overflowPunct w:val="0"/>
              <w:spacing w:line="440" w:lineRule="exact"/>
              <w:rPr>
                <w:rFonts w:ascii="宋体" w:cs="宋体"/>
                <w:sz w:val="24"/>
              </w:rPr>
            </w:pPr>
            <w:r>
              <w:rPr>
                <w:rFonts w:hint="eastAsia" w:ascii="宋体" w:hAnsi="宋体" w:cs="宋体"/>
                <w:sz w:val="24"/>
              </w:rPr>
              <w:t>开户行：建设银行新华南路支行营业部</w:t>
            </w:r>
          </w:p>
          <w:p>
            <w:pPr>
              <w:overflowPunct w:val="0"/>
              <w:spacing w:line="440" w:lineRule="exact"/>
              <w:rPr>
                <w:rFonts w:ascii="宋体" w:cs="宋体"/>
                <w:sz w:val="24"/>
              </w:rPr>
            </w:pPr>
            <w:r>
              <w:rPr>
                <w:rFonts w:hint="eastAsia" w:ascii="宋体" w:hAnsi="宋体" w:cs="宋体"/>
                <w:sz w:val="24"/>
              </w:rPr>
              <w:t>行</w:t>
            </w:r>
            <w:r>
              <w:rPr>
                <w:rFonts w:ascii="宋体" w:hAnsi="宋体" w:cs="宋体"/>
                <w:sz w:val="24"/>
              </w:rPr>
              <w:t xml:space="preserve">  </w:t>
            </w:r>
            <w:r>
              <w:rPr>
                <w:rFonts w:hint="eastAsia" w:ascii="宋体" w:hAnsi="宋体" w:cs="宋体"/>
                <w:sz w:val="24"/>
              </w:rPr>
              <w:t>号：</w:t>
            </w:r>
            <w:r>
              <w:rPr>
                <w:rFonts w:ascii="宋体" w:hAnsi="宋体" w:cs="宋体"/>
                <w:sz w:val="24"/>
              </w:rPr>
              <w:t>105881000868</w:t>
            </w:r>
          </w:p>
          <w:p>
            <w:pPr>
              <w:overflowPunct w:val="0"/>
              <w:spacing w:line="440" w:lineRule="exact"/>
              <w:rPr>
                <w:rFonts w:ascii="宋体" w:cs="宋体"/>
                <w:sz w:val="24"/>
              </w:rPr>
            </w:pPr>
            <w:r>
              <w:rPr>
                <w:rFonts w:hint="eastAsia" w:ascii="宋体" w:hAnsi="宋体" w:cs="宋体"/>
                <w:sz w:val="24"/>
              </w:rPr>
              <w:t>帐</w:t>
            </w:r>
            <w:r>
              <w:rPr>
                <w:rFonts w:ascii="宋体" w:hAnsi="宋体" w:cs="宋体"/>
                <w:sz w:val="24"/>
              </w:rPr>
              <w:t xml:space="preserve">  </w:t>
            </w:r>
            <w:r>
              <w:rPr>
                <w:rFonts w:hint="eastAsia" w:ascii="宋体" w:hAnsi="宋体" w:cs="宋体"/>
                <w:sz w:val="24"/>
              </w:rPr>
              <w:t>号：</w:t>
            </w:r>
            <w:r>
              <w:rPr>
                <w:rFonts w:ascii="宋体" w:hAnsi="宋体" w:cs="宋体"/>
                <w:sz w:val="24"/>
              </w:rPr>
              <w:t>65001617600052501876</w:t>
            </w:r>
          </w:p>
          <w:p>
            <w:pPr>
              <w:overflowPunct w:val="0"/>
              <w:spacing w:line="440" w:lineRule="exact"/>
              <w:rPr>
                <w:rFonts w:ascii="宋体" w:cs="宋体"/>
                <w:sz w:val="24"/>
              </w:rPr>
            </w:pPr>
            <w:r>
              <w:rPr>
                <w:rFonts w:hint="eastAsia" w:ascii="宋体" w:hAnsi="宋体" w:cs="宋体"/>
                <w:sz w:val="24"/>
              </w:rPr>
              <w:t>注：汇款单上需注明项目编号</w:t>
            </w:r>
          </w:p>
          <w:p>
            <w:pPr>
              <w:overflowPunct w:val="0"/>
              <w:spacing w:line="440" w:lineRule="exact"/>
              <w:rPr>
                <w:rFonts w:ascii="宋体" w:cs="宋体"/>
                <w:sz w:val="24"/>
              </w:rPr>
            </w:pPr>
            <w:r>
              <w:rPr>
                <w:rFonts w:hint="eastAsia" w:ascii="宋体" w:hAnsi="宋体" w:cs="宋体"/>
                <w:sz w:val="24"/>
              </w:rPr>
              <w:t>招标代理服务费缴纳账号：（同上）</w:t>
            </w:r>
          </w:p>
          <w:p>
            <w:pPr>
              <w:overflowPunct w:val="0"/>
              <w:spacing w:line="440" w:lineRule="exact"/>
              <w:rPr>
                <w:rFonts w:ascii="宋体" w:cs="宋体"/>
                <w:sz w:val="24"/>
              </w:rPr>
            </w:pPr>
            <w:r>
              <w:rPr>
                <w:rFonts w:hint="eastAsia" w:ascii="宋体" w:hAnsi="宋体" w:cs="宋体"/>
                <w:b/>
                <w:bCs/>
                <w:sz w:val="24"/>
              </w:rPr>
              <w:t>投标保证金缴纳期限：开标时间及响应性文件递交截止时间前缴纳完毕（以实际进账时间为准）逾期不予受理。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rPr>
            </w:pPr>
            <w:r>
              <w:t>25</w:t>
            </w:r>
          </w:p>
        </w:tc>
        <w:tc>
          <w:tcPr>
            <w:tcW w:w="2510" w:type="dxa"/>
            <w:tcBorders>
              <w:top w:val="single" w:color="auto" w:sz="4" w:space="0"/>
            </w:tcBorders>
            <w:vAlign w:val="center"/>
          </w:tcPr>
          <w:p>
            <w:pPr>
              <w:overflowPunct w:val="0"/>
              <w:spacing w:line="440" w:lineRule="exact"/>
              <w:jc w:val="center"/>
              <w:rPr>
                <w:rFonts w:ascii="宋体"/>
                <w:sz w:val="24"/>
              </w:rPr>
            </w:pPr>
            <w:r>
              <w:rPr>
                <w:rFonts w:hint="eastAsia" w:ascii="宋体" w:hAnsi="宋体"/>
                <w:sz w:val="24"/>
              </w:rPr>
              <w:t>投标费用</w:t>
            </w:r>
          </w:p>
        </w:tc>
        <w:tc>
          <w:tcPr>
            <w:tcW w:w="6950" w:type="dxa"/>
            <w:vAlign w:val="center"/>
          </w:tcPr>
          <w:p>
            <w:pPr>
              <w:spacing w:line="400" w:lineRule="exact"/>
              <w:rPr>
                <w:rFonts w:ascii="宋体"/>
                <w:sz w:val="24"/>
              </w:rPr>
            </w:pPr>
            <w:r>
              <w:rPr>
                <w:rFonts w:hint="eastAsia" w:ascii="宋体" w:hAnsi="宋体"/>
                <w:sz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rPr>
            </w:pPr>
            <w:r>
              <w:t>26</w:t>
            </w:r>
          </w:p>
        </w:tc>
        <w:tc>
          <w:tcPr>
            <w:tcW w:w="2510" w:type="dxa"/>
            <w:vAlign w:val="center"/>
          </w:tcPr>
          <w:p>
            <w:pPr>
              <w:overflowPunct w:val="0"/>
              <w:spacing w:line="440" w:lineRule="exact"/>
              <w:jc w:val="center"/>
              <w:rPr>
                <w:rFonts w:ascii="宋体" w:hAnsi="宋体" w:cs="宋体"/>
                <w:kern w:val="0"/>
                <w:sz w:val="24"/>
              </w:rPr>
            </w:pPr>
            <w:r>
              <w:rPr>
                <w:rFonts w:hint="eastAsia" w:ascii="宋体" w:hAnsi="宋体" w:cs="宋体"/>
                <w:kern w:val="0"/>
                <w:sz w:val="24"/>
              </w:rPr>
              <w:t>招标代理服务费</w:t>
            </w:r>
          </w:p>
        </w:tc>
        <w:tc>
          <w:tcPr>
            <w:tcW w:w="6950" w:type="dxa"/>
            <w:vAlign w:val="center"/>
          </w:tcPr>
          <w:p>
            <w:pPr>
              <w:adjustRightInd w:val="0"/>
              <w:snapToGrid w:val="0"/>
              <w:spacing w:line="440" w:lineRule="exact"/>
              <w:jc w:val="left"/>
              <w:rPr>
                <w:rFonts w:ascii="宋体" w:hAnsi="宋体" w:cs="仿宋"/>
                <w:sz w:val="24"/>
              </w:rPr>
            </w:pPr>
            <w:r>
              <w:rPr>
                <w:rFonts w:hint="eastAsia" w:ascii="宋体" w:hAnsi="宋体" w:cs="仿宋"/>
                <w:sz w:val="24"/>
              </w:rPr>
              <w:t>1、代理报酬的计算方法：</w:t>
            </w:r>
            <w:r>
              <w:rPr>
                <w:rFonts w:hint="eastAsia" w:ascii="宋体" w:hAnsi="宋体" w:cs="仿宋"/>
                <w:sz w:val="24"/>
                <w:u w:val="single"/>
                <w:lang w:val="en-US" w:eastAsia="zh-CN"/>
              </w:rPr>
              <w:t>固定收费</w:t>
            </w:r>
            <w:r>
              <w:rPr>
                <w:rFonts w:hint="eastAsia" w:ascii="宋体" w:hAnsi="宋体" w:cs="仿宋"/>
                <w:sz w:val="24"/>
              </w:rPr>
              <w:t>。</w:t>
            </w:r>
          </w:p>
          <w:p>
            <w:pPr>
              <w:adjustRightInd w:val="0"/>
              <w:snapToGrid w:val="0"/>
              <w:spacing w:line="440" w:lineRule="exact"/>
              <w:jc w:val="left"/>
              <w:rPr>
                <w:rFonts w:ascii="宋体" w:hAnsi="宋体" w:cs="仿宋"/>
                <w:sz w:val="24"/>
              </w:rPr>
            </w:pPr>
            <w:r>
              <w:rPr>
                <w:rFonts w:hint="eastAsia" w:ascii="宋体" w:hAnsi="宋体" w:cs="仿宋"/>
                <w:sz w:val="24"/>
              </w:rPr>
              <w:t>2、代理报酬支付方式：</w:t>
            </w:r>
            <w:r>
              <w:rPr>
                <w:rFonts w:hint="eastAsia" w:ascii="宋体" w:hAnsi="宋体" w:cs="仿宋"/>
                <w:sz w:val="24"/>
                <w:u w:val="single"/>
              </w:rPr>
              <w:t>由成交人支付。</w:t>
            </w:r>
          </w:p>
          <w:p>
            <w:pPr>
              <w:adjustRightInd w:val="0"/>
              <w:snapToGrid w:val="0"/>
              <w:spacing w:line="440" w:lineRule="exact"/>
              <w:jc w:val="left"/>
              <w:rPr>
                <w:rFonts w:ascii="宋体" w:hAnsi="宋体" w:cs="仿宋"/>
                <w:sz w:val="24"/>
              </w:rPr>
            </w:pPr>
            <w:r>
              <w:rPr>
                <w:rFonts w:hint="eastAsia" w:ascii="宋体" w:hAnsi="宋体" w:cs="仿宋"/>
                <w:sz w:val="24"/>
              </w:rPr>
              <w:t>3、代理报酬的支付时间：</w:t>
            </w:r>
            <w:r>
              <w:rPr>
                <w:rFonts w:hint="eastAsia" w:ascii="宋体" w:hAnsi="宋体" w:cs="仿宋"/>
                <w:sz w:val="24"/>
                <w:u w:val="single"/>
              </w:rPr>
              <w:t>由</w:t>
            </w:r>
            <w:r>
              <w:rPr>
                <w:rFonts w:hint="eastAsia" w:ascii="宋体" w:hAnsi="宋体" w:cs="仿宋"/>
                <w:sz w:val="24"/>
                <w:u w:val="single"/>
                <w:lang w:val="en-US" w:eastAsia="zh-CN"/>
              </w:rPr>
              <w:t>成交</w:t>
            </w:r>
            <w:r>
              <w:rPr>
                <w:rFonts w:hint="eastAsia" w:ascii="宋体" w:hAnsi="宋体" w:cs="仿宋"/>
                <w:sz w:val="24"/>
                <w:u w:val="single"/>
              </w:rPr>
              <w:t>单位按以下标准承担招标代理服务费（服务期限2年）： 12000元。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rPr>
            </w:pPr>
            <w:r>
              <w:t>27</w:t>
            </w:r>
          </w:p>
        </w:tc>
        <w:tc>
          <w:tcPr>
            <w:tcW w:w="2510" w:type="dxa"/>
            <w:tcBorders>
              <w:top w:val="single" w:color="auto" w:sz="4" w:space="0"/>
            </w:tcBorders>
            <w:vAlign w:val="center"/>
          </w:tcPr>
          <w:p>
            <w:pPr>
              <w:overflowPunct w:val="0"/>
              <w:jc w:val="center"/>
              <w:rPr>
                <w:rFonts w:ascii="宋体" w:cs="宋体"/>
                <w:sz w:val="24"/>
              </w:rPr>
            </w:pPr>
            <w:r>
              <w:rPr>
                <w:rFonts w:hint="eastAsia" w:ascii="宋体" w:hAnsi="宋体" w:cs="宋体"/>
                <w:sz w:val="24"/>
              </w:rPr>
              <w:t>低于成本价不正当</w:t>
            </w:r>
          </w:p>
          <w:p>
            <w:pPr>
              <w:overflowPunct w:val="0"/>
              <w:jc w:val="center"/>
              <w:rPr>
                <w:rFonts w:ascii="宋体" w:cs="宋体"/>
                <w:sz w:val="24"/>
              </w:rPr>
            </w:pPr>
            <w:r>
              <w:rPr>
                <w:rFonts w:hint="eastAsia" w:ascii="宋体" w:hAnsi="宋体" w:cs="宋体"/>
                <w:sz w:val="24"/>
              </w:rPr>
              <w:t>竞争预防措施</w:t>
            </w:r>
          </w:p>
        </w:tc>
        <w:tc>
          <w:tcPr>
            <w:tcW w:w="6950" w:type="dxa"/>
            <w:vAlign w:val="center"/>
          </w:tcPr>
          <w:p>
            <w:pPr>
              <w:spacing w:line="440" w:lineRule="exact"/>
              <w:rPr>
                <w:rFonts w:ascii="宋体" w:cs="宋体"/>
                <w:sz w:val="24"/>
              </w:rPr>
            </w:pPr>
            <w:r>
              <w:rPr>
                <w:rFonts w:hint="eastAsia" w:ascii="宋体" w:cs="宋体"/>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79" w:type="dxa"/>
            <w:vAlign w:val="center"/>
          </w:tcPr>
          <w:p>
            <w:pPr>
              <w:jc w:val="center"/>
              <w:rPr>
                <w:rFonts w:ascii="宋体" w:cs="宋体"/>
                <w:sz w:val="24"/>
              </w:rPr>
            </w:pPr>
            <w:r>
              <w:t>28</w:t>
            </w:r>
          </w:p>
        </w:tc>
        <w:tc>
          <w:tcPr>
            <w:tcW w:w="2510" w:type="dxa"/>
            <w:tcBorders>
              <w:top w:val="single" w:color="auto" w:sz="4" w:space="0"/>
            </w:tcBorders>
            <w:vAlign w:val="center"/>
          </w:tcPr>
          <w:p>
            <w:pPr>
              <w:jc w:val="center"/>
              <w:rPr>
                <w:rFonts w:ascii="宋体" w:cs="宋体"/>
                <w:sz w:val="24"/>
              </w:rPr>
            </w:pPr>
            <w:r>
              <w:rPr>
                <w:rFonts w:hint="eastAsia" w:ascii="宋体" w:hAnsi="宋体" w:cs="宋体"/>
                <w:sz w:val="24"/>
              </w:rPr>
              <w:t>政府采购政策支持</w:t>
            </w:r>
          </w:p>
        </w:tc>
        <w:tc>
          <w:tcPr>
            <w:tcW w:w="6950" w:type="dxa"/>
          </w:tcPr>
          <w:p>
            <w:pPr>
              <w:spacing w:line="440" w:lineRule="exac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、本项目为非专门面向中小企业（含中型、小型、微型企业）采购项目，根据《政府采购促进中小企业发展管理办法》（财库〔2020〕46号）的规定，评标时将给予此类企业进行价格</w:t>
            </w:r>
            <w:r>
              <w:rPr>
                <w:rFonts w:ascii="宋体" w:hAnsi="宋体"/>
                <w:color w:val="auto"/>
                <w:sz w:val="24"/>
                <w:szCs w:val="24"/>
                <w:highlight w:val="none"/>
              </w:rPr>
              <w:t>6%</w:t>
            </w:r>
            <w:r>
              <w:rPr>
                <w:rFonts w:hint="eastAsia" w:ascii="宋体" w:hAnsi="宋体"/>
                <w:color w:val="auto"/>
                <w:sz w:val="24"/>
                <w:szCs w:val="24"/>
                <w:highlight w:val="none"/>
              </w:rPr>
              <w:t>的优惠，监狱企业、残疾人福利性单位视同为小微企业，用优惠后的价格参与评审。本项目采购标的对应的中小企业划分标准所属行业见《关于印发中小企业划型标准规定的通知（工信部联企业〔2011〕300号）》。</w:t>
            </w:r>
          </w:p>
          <w:p>
            <w:pPr>
              <w:spacing w:line="440" w:lineRule="exac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、政府采购强制采购：标记★符号的节能产品：</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符合《节能产品政府采购品目清单》内并获得认证的强制采购节能产品。</w:t>
            </w:r>
          </w:p>
          <w:p>
            <w:pPr>
              <w:spacing w:line="440" w:lineRule="exac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、政府采购优先采购：</w:t>
            </w:r>
            <w:r>
              <w:rPr>
                <w:rFonts w:ascii="宋体" w:hAnsi="宋体"/>
                <w:color w:val="auto"/>
                <w:sz w:val="24"/>
                <w:szCs w:val="24"/>
                <w:highlight w:val="none"/>
              </w:rPr>
              <w:t>(1)</w:t>
            </w:r>
            <w:r>
              <w:rPr>
                <w:rFonts w:hint="eastAsia" w:ascii="宋体" w:hAnsi="宋体"/>
                <w:color w:val="auto"/>
                <w:sz w:val="24"/>
                <w:szCs w:val="24"/>
                <w:highlight w:val="none"/>
              </w:rPr>
              <w:t>非标记★符号的节能产品；</w:t>
            </w:r>
            <w:r>
              <w:rPr>
                <w:rFonts w:ascii="宋体" w:hAnsi="宋体"/>
                <w:color w:val="auto"/>
                <w:sz w:val="24"/>
                <w:szCs w:val="24"/>
                <w:highlight w:val="none"/>
              </w:rPr>
              <w:t>(2)</w:t>
            </w:r>
            <w:r>
              <w:rPr>
                <w:rFonts w:hint="eastAsia" w:ascii="宋体" w:hAnsi="宋体"/>
                <w:color w:val="auto"/>
                <w:sz w:val="24"/>
                <w:szCs w:val="24"/>
                <w:highlight w:val="none"/>
              </w:rPr>
              <w:t>环境标志产品；</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采购产品为《节能产品政府采购品目清单》内并获得认证非标记★符号的节能产品及《环境标志产品政府采购品目清单》内并获得认证的产品：</w:t>
            </w:r>
          </w:p>
          <w:p>
            <w:pPr>
              <w:spacing w:line="440" w:lineRule="exact"/>
              <w:rPr>
                <w:rFonts w:ascii="宋体" w:cs="宋体"/>
                <w:sz w:val="24"/>
              </w:rPr>
            </w:pPr>
            <w:r>
              <w:rPr>
                <w:rFonts w:ascii="宋体" w:hAnsi="宋体"/>
                <w:color w:val="auto"/>
                <w:sz w:val="24"/>
                <w:szCs w:val="24"/>
                <w:highlight w:val="none"/>
              </w:rPr>
              <w:t>1</w:t>
            </w:r>
            <w:r>
              <w:rPr>
                <w:rFonts w:hint="eastAsia" w:ascii="宋体" w:hAnsi="宋体"/>
                <w:color w:val="auto"/>
                <w:sz w:val="24"/>
                <w:szCs w:val="24"/>
                <w:highlight w:val="none"/>
              </w:rPr>
              <w:t>、投标文件中对所供产品为节能、环境标志产品清单中的产品，在报价时必须对此类产品单独分项报价，计算出小计及占合同包总金额的百分比，并提供证明资料（中国政府采购网节能环保查询结果），</w:t>
            </w:r>
            <w:r>
              <w:rPr>
                <w:rFonts w:hint="eastAsia" w:ascii="宋体" w:hAnsi="宋体"/>
                <w:b/>
                <w:color w:val="auto"/>
                <w:sz w:val="24"/>
                <w:szCs w:val="24"/>
                <w:highlight w:val="none"/>
              </w:rPr>
              <w:t>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rPr>
            </w:pPr>
            <w:r>
              <w:t>29</w:t>
            </w:r>
          </w:p>
        </w:tc>
        <w:tc>
          <w:tcPr>
            <w:tcW w:w="2510" w:type="dxa"/>
            <w:tcBorders>
              <w:top w:val="single" w:color="auto" w:sz="4" w:space="0"/>
            </w:tcBorders>
            <w:vAlign w:val="center"/>
          </w:tcPr>
          <w:p>
            <w:pPr>
              <w:pStyle w:val="64"/>
              <w:spacing w:line="440" w:lineRule="exact"/>
              <w:jc w:val="center"/>
              <w:rPr>
                <w:kern w:val="2"/>
              </w:rPr>
            </w:pPr>
            <w:r>
              <w:rPr>
                <w:rFonts w:hint="eastAsia"/>
                <w:kern w:val="2"/>
              </w:rPr>
              <w:t>质疑须知</w:t>
            </w:r>
          </w:p>
        </w:tc>
        <w:tc>
          <w:tcPr>
            <w:tcW w:w="6950" w:type="dxa"/>
            <w:vAlign w:val="center"/>
          </w:tcPr>
          <w:p>
            <w:pPr>
              <w:pStyle w:val="64"/>
              <w:spacing w:line="440" w:lineRule="exact"/>
              <w:ind w:left="494" w:hanging="494" w:hangingChars="206"/>
              <w:rPr>
                <w:kern w:val="2"/>
              </w:rPr>
            </w:pPr>
            <w:r>
              <w:rPr>
                <w:rFonts w:hint="eastAsia"/>
                <w:kern w:val="2"/>
              </w:rPr>
              <w:t>接收质疑函的方式：现场递交纸质版及</w:t>
            </w:r>
            <w:r>
              <w:rPr>
                <w:kern w:val="2"/>
              </w:rPr>
              <w:t>Word</w:t>
            </w:r>
            <w:r>
              <w:rPr>
                <w:rFonts w:hint="eastAsia"/>
                <w:kern w:val="2"/>
              </w:rPr>
              <w:t>格式电子版质疑文件至接受单位</w:t>
            </w:r>
          </w:p>
          <w:p>
            <w:pPr>
              <w:pStyle w:val="64"/>
              <w:spacing w:line="440" w:lineRule="exact"/>
              <w:jc w:val="both"/>
              <w:rPr>
                <w:kern w:val="2"/>
              </w:rPr>
            </w:pPr>
            <w:r>
              <w:rPr>
                <w:rFonts w:hint="eastAsia"/>
                <w:kern w:val="2"/>
              </w:rPr>
              <w:t>接受质疑的单位：新疆同孚招投标有限公司</w:t>
            </w:r>
          </w:p>
          <w:p>
            <w:pPr>
              <w:pStyle w:val="64"/>
              <w:spacing w:line="440" w:lineRule="exact"/>
              <w:jc w:val="both"/>
              <w:rPr>
                <w:kern w:val="2"/>
              </w:rPr>
            </w:pPr>
            <w:r>
              <w:rPr>
                <w:rFonts w:hint="eastAsia"/>
                <w:kern w:val="2"/>
              </w:rPr>
              <w:t>联系电话：</w:t>
            </w:r>
            <w:r>
              <w:t>0991-483</w:t>
            </w:r>
            <w:r>
              <w:rPr>
                <w:rFonts w:hint="eastAsia"/>
                <w:lang w:val="en-US" w:eastAsia="zh-CN"/>
              </w:rPr>
              <w:t>222</w:t>
            </w:r>
            <w:r>
              <w:t>3-80</w:t>
            </w:r>
            <w:r>
              <w:rPr>
                <w:rFonts w:hint="eastAsia"/>
              </w:rPr>
              <w:t>03</w:t>
            </w:r>
          </w:p>
          <w:p>
            <w:pPr>
              <w:pStyle w:val="64"/>
              <w:spacing w:line="440" w:lineRule="exact"/>
              <w:jc w:val="both"/>
            </w:pPr>
            <w:r>
              <w:rPr>
                <w:rFonts w:hint="eastAsia"/>
                <w:kern w:val="2"/>
              </w:rPr>
              <w:t>地址</w:t>
            </w:r>
            <w:r>
              <w:rPr>
                <w:rFonts w:hint="eastAsia"/>
              </w:rPr>
              <w:t>乌鲁木齐市友好北路宏运大厦</w:t>
            </w:r>
            <w:r>
              <w:rPr>
                <w:rFonts w:hint="eastAsia"/>
                <w:lang w:val="en-US" w:eastAsia="zh-CN"/>
              </w:rPr>
              <w:t>17</w:t>
            </w:r>
            <w:r>
              <w:rPr>
                <w:rFonts w:hint="eastAsia"/>
              </w:rPr>
              <w:t>楼</w:t>
            </w:r>
            <w:r>
              <w:rPr>
                <w:rFonts w:hint="eastAsia"/>
                <w:lang w:val="en-US" w:eastAsia="zh-CN"/>
              </w:rPr>
              <w:t>G</w:t>
            </w:r>
            <w:r>
              <w:rPr>
                <w:rFonts w:hint="eastAsia"/>
              </w:rPr>
              <w:t>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cs="宋体"/>
                <w:sz w:val="24"/>
              </w:rPr>
            </w:pPr>
            <w:r>
              <w:t>30</w:t>
            </w:r>
          </w:p>
        </w:tc>
        <w:tc>
          <w:tcPr>
            <w:tcW w:w="2510" w:type="dxa"/>
            <w:tcBorders>
              <w:top w:val="single" w:color="auto" w:sz="4" w:space="0"/>
            </w:tcBorders>
            <w:vAlign w:val="center"/>
          </w:tcPr>
          <w:p>
            <w:pPr>
              <w:pStyle w:val="64"/>
              <w:spacing w:line="440" w:lineRule="exact"/>
              <w:jc w:val="center"/>
              <w:rPr>
                <w:kern w:val="2"/>
              </w:rPr>
            </w:pPr>
            <w:r>
              <w:rPr>
                <w:rFonts w:hint="eastAsia"/>
                <w:kern w:val="2"/>
              </w:rPr>
              <w:t>公告发布媒体</w:t>
            </w:r>
          </w:p>
        </w:tc>
        <w:tc>
          <w:tcPr>
            <w:tcW w:w="6950" w:type="dxa"/>
            <w:vAlign w:val="center"/>
          </w:tcPr>
          <w:p>
            <w:pPr>
              <w:pStyle w:val="64"/>
              <w:spacing w:line="440" w:lineRule="exact"/>
              <w:jc w:val="both"/>
              <w:rPr>
                <w:kern w:val="2"/>
              </w:rPr>
            </w:pPr>
            <w:r>
              <w:rPr>
                <w:rFonts w:hint="eastAsia"/>
                <w:kern w:val="2"/>
              </w:rPr>
              <w:t>新疆政府采购网</w:t>
            </w:r>
            <w:r>
              <w:rPr>
                <w:kern w:val="2"/>
              </w:rPr>
              <w:t xml:space="preserve">  http://www.ccgp-xinjiang.gov.cn/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cs="宋体"/>
                <w:b/>
                <w:sz w:val="24"/>
              </w:rPr>
            </w:pPr>
            <w:r>
              <w:rPr>
                <w:rFonts w:hint="eastAsia" w:ascii="宋体" w:hAnsi="宋体" w:cs="宋体"/>
                <w:b/>
                <w:sz w:val="24"/>
              </w:rPr>
              <w:t>备注</w:t>
            </w:r>
          </w:p>
        </w:tc>
        <w:tc>
          <w:tcPr>
            <w:tcW w:w="9460" w:type="dxa"/>
            <w:gridSpan w:val="2"/>
            <w:vAlign w:val="center"/>
          </w:tcPr>
          <w:p>
            <w:pPr>
              <w:spacing w:line="360" w:lineRule="auto"/>
              <w:rPr>
                <w:rFonts w:ascii="宋体" w:cs="宋体"/>
                <w:b/>
                <w:sz w:val="24"/>
              </w:rPr>
            </w:pPr>
            <w:r>
              <w:rPr>
                <w:rFonts w:ascii="宋体" w:hAnsi="宋体" w:cs="宋体"/>
                <w:b/>
                <w:sz w:val="24"/>
              </w:rPr>
              <w:t>1</w:t>
            </w:r>
            <w:r>
              <w:rPr>
                <w:rFonts w:hint="eastAsia" w:ascii="宋体" w:hAnsi="宋体" w:cs="宋体"/>
                <w:b/>
                <w:sz w:val="24"/>
              </w:rPr>
              <w:t>、谈判文件中部分加“</w:t>
            </w:r>
            <w:r>
              <w:rPr>
                <w:rFonts w:ascii="宋体" w:hAnsi="宋体" w:cs="宋体"/>
                <w:b/>
                <w:sz w:val="24"/>
              </w:rPr>
              <w:t>*</w:t>
            </w:r>
            <w:r>
              <w:rPr>
                <w:rFonts w:hint="eastAsia" w:ascii="宋体" w:hAnsi="宋体" w:cs="宋体"/>
                <w:b/>
                <w:sz w:val="24"/>
              </w:rPr>
              <w:t>”、加粗、加下划线、废标、无效标、投标被拒绝字样的条款，为招标的实质性要求和条件，着重提醒各投标人注意，并认真查看谈判文件中的每一个条款及要求，因误读谈判文件而造成的后果，招标人概不负责。</w:t>
            </w:r>
          </w:p>
          <w:p>
            <w:pPr>
              <w:spacing w:line="360" w:lineRule="auto"/>
              <w:rPr>
                <w:rFonts w:ascii="宋体" w:cs="宋体"/>
                <w:b/>
                <w:sz w:val="24"/>
              </w:rPr>
            </w:pPr>
            <w:r>
              <w:rPr>
                <w:rFonts w:ascii="宋体" w:hAnsi="宋体" w:cs="宋体"/>
                <w:b/>
                <w:sz w:val="24"/>
              </w:rPr>
              <w:t>2</w:t>
            </w:r>
            <w:r>
              <w:rPr>
                <w:rFonts w:hint="eastAsia" w:ascii="宋体" w:hAnsi="宋体" w:cs="宋体"/>
                <w:b/>
                <w:sz w:val="24"/>
              </w:rPr>
              <w:t>、响应性文件中有弄虚作假的内容，其响应性文件作废。（如假证书、假业绩、隐瞒不良行为记录、夸大荣誉、使用非本单位在职员工的相关证件及不符合谈判文件规定的条款等）；在签订合同之前，采购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439" w:type="dxa"/>
            <w:gridSpan w:val="3"/>
            <w:vAlign w:val="center"/>
          </w:tcPr>
          <w:p>
            <w:pPr>
              <w:spacing w:line="360" w:lineRule="auto"/>
              <w:rPr>
                <w:rFonts w:ascii="宋体" w:cs="宋体"/>
                <w:b/>
                <w:sz w:val="24"/>
              </w:rPr>
            </w:pPr>
            <w:r>
              <w:rPr>
                <w:rFonts w:hint="eastAsia" w:ascii="宋体" w:hAnsi="宋体" w:cs="宋体"/>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w:t>
            </w:r>
            <w:permStart w:id="1" w:edGrp="everyone"/>
            <w:permEnd w:id="1"/>
            <w:r>
              <w:rPr>
                <w:rFonts w:hint="eastAsia" w:ascii="宋体" w:hAnsi="宋体" w:cs="宋体"/>
                <w:b/>
                <w:sz w:val="24"/>
              </w:rPr>
              <w:t>标人承担所有相关责任的同时不得耽误本项目供货。</w:t>
            </w:r>
          </w:p>
        </w:tc>
      </w:tr>
    </w:tbl>
    <w:p>
      <w:pPr>
        <w:pStyle w:val="3"/>
        <w:numPr>
          <w:ilvl w:val="0"/>
          <w:numId w:val="2"/>
        </w:numPr>
        <w:jc w:val="center"/>
        <w:rPr>
          <w:rFonts w:hint="eastAsia" w:ascii="宋体" w:hAnsi="宋体" w:cs="宋体"/>
          <w:sz w:val="36"/>
          <w:szCs w:val="36"/>
        </w:rPr>
      </w:pPr>
      <w:bookmarkStart w:id="1" w:name="_Toc503519657"/>
      <w:r>
        <w:rPr>
          <w:rFonts w:ascii="宋体" w:hAnsi="宋体" w:cs="宋体"/>
          <w:sz w:val="36"/>
          <w:szCs w:val="36"/>
        </w:rPr>
        <w:t xml:space="preserve">  </w:t>
      </w:r>
      <w:r>
        <w:rPr>
          <w:rFonts w:hint="eastAsia" w:ascii="宋体" w:hAnsi="宋体" w:cs="宋体"/>
          <w:sz w:val="36"/>
          <w:szCs w:val="36"/>
        </w:rPr>
        <w:t>招标说明</w:t>
      </w:r>
      <w:bookmarkEnd w:id="1"/>
    </w:p>
    <w:p>
      <w:pPr>
        <w:numPr>
          <w:ilvl w:val="0"/>
          <w:numId w:val="0"/>
        </w:numPr>
        <w:jc w:val="center"/>
        <w:rPr>
          <w:sz w:val="24"/>
          <w:szCs w:val="24"/>
        </w:rPr>
      </w:pPr>
      <w:r>
        <w:rPr>
          <w:rFonts w:hint="eastAsia"/>
          <w:b/>
          <w:bCs/>
          <w:sz w:val="24"/>
          <w:szCs w:val="24"/>
        </w:rPr>
        <w:t>第一章 总则</w:t>
      </w:r>
    </w:p>
    <w:p>
      <w:pPr>
        <w:spacing w:line="440" w:lineRule="exact"/>
        <w:rPr>
          <w:rFonts w:ascii="宋体" w:cs="宋体"/>
          <w:b w:val="0"/>
          <w:bCs/>
          <w:sz w:val="24"/>
        </w:rPr>
      </w:pPr>
      <w:r>
        <w:rPr>
          <w:rFonts w:ascii="宋体" w:hAnsi="宋体" w:cs="宋体"/>
          <w:b w:val="0"/>
          <w:bCs/>
          <w:sz w:val="24"/>
        </w:rPr>
        <w:t>1.</w:t>
      </w:r>
      <w:r>
        <w:rPr>
          <w:rFonts w:hint="eastAsia" w:ascii="宋体" w:hAnsi="宋体" w:cs="宋体"/>
          <w:b w:val="0"/>
          <w:bCs/>
          <w:sz w:val="24"/>
        </w:rPr>
        <w:t>适用范围</w:t>
      </w:r>
    </w:p>
    <w:p>
      <w:pPr>
        <w:spacing w:line="440" w:lineRule="exact"/>
        <w:rPr>
          <w:rFonts w:hint="eastAsia" w:ascii="宋体" w:hAnsi="宋体" w:cs="宋体"/>
          <w:b w:val="0"/>
          <w:bCs/>
          <w:sz w:val="24"/>
        </w:rPr>
      </w:pPr>
      <w:r>
        <w:rPr>
          <w:rFonts w:ascii="宋体" w:hAnsi="宋体" w:cs="宋体"/>
          <w:b w:val="0"/>
          <w:bCs/>
          <w:sz w:val="24"/>
        </w:rPr>
        <w:t>1.1</w:t>
      </w:r>
      <w:r>
        <w:rPr>
          <w:rFonts w:hint="eastAsia" w:ascii="宋体" w:hAnsi="宋体" w:cs="宋体"/>
          <w:b w:val="0"/>
          <w:bCs/>
          <w:sz w:val="24"/>
        </w:rPr>
        <w:t>　本竞争性谈判文件</w:t>
      </w:r>
      <w:r>
        <w:rPr>
          <w:rFonts w:hint="eastAsia" w:ascii="宋体" w:hAnsi="宋体"/>
          <w:b w:val="0"/>
          <w:bCs/>
          <w:sz w:val="24"/>
          <w:szCs w:val="24"/>
        </w:rPr>
        <w:t>仅适用于新疆同孚招投标有限公司的本次招标活动</w:t>
      </w:r>
      <w:r>
        <w:rPr>
          <w:rFonts w:hint="eastAsia" w:ascii="宋体" w:hAnsi="宋体" w:cs="宋体"/>
          <w:b w:val="0"/>
          <w:bCs/>
          <w:sz w:val="24"/>
        </w:rPr>
        <w:t>。</w:t>
      </w:r>
    </w:p>
    <w:p>
      <w:pPr>
        <w:pStyle w:val="16"/>
        <w:jc w:val="left"/>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2. 投标资格</w:t>
      </w:r>
    </w:p>
    <w:p>
      <w:pPr>
        <w:pStyle w:val="16"/>
        <w:jc w:val="left"/>
        <w:rPr>
          <w:rFonts w:hint="eastAsia" w:ascii="宋体" w:hAnsi="宋体" w:eastAsia="宋体" w:cs="Times New Roman"/>
          <w:bCs w:val="0"/>
          <w:kern w:val="2"/>
          <w:sz w:val="24"/>
          <w:szCs w:val="24"/>
          <w:lang w:val="en-US" w:eastAsia="zh-CN" w:bidi="ar-SA"/>
        </w:rPr>
      </w:pPr>
      <w:r>
        <w:rPr>
          <w:rFonts w:hint="eastAsia" w:ascii="宋体" w:hAnsi="宋体" w:eastAsia="宋体" w:cs="Times New Roman"/>
          <w:b w:val="0"/>
          <w:bCs/>
          <w:kern w:val="2"/>
          <w:sz w:val="24"/>
          <w:szCs w:val="24"/>
          <w:lang w:val="en-US" w:eastAsia="zh-CN" w:bidi="ar-SA"/>
        </w:rPr>
        <w:t>2.1.满足《中华人民</w:t>
      </w:r>
      <w:r>
        <w:rPr>
          <w:rFonts w:hint="eastAsia" w:ascii="宋体" w:hAnsi="宋体" w:eastAsia="宋体" w:cs="Times New Roman"/>
          <w:bCs w:val="0"/>
          <w:kern w:val="2"/>
          <w:sz w:val="24"/>
          <w:szCs w:val="24"/>
          <w:lang w:val="en-US" w:eastAsia="zh-CN" w:bidi="ar-SA"/>
        </w:rPr>
        <w:t>共和国政府采购法》第二十二条规定；</w:t>
      </w:r>
    </w:p>
    <w:p>
      <w:pPr>
        <w:pStyle w:val="16"/>
        <w:jc w:val="left"/>
        <w:rPr>
          <w:rFonts w:hint="eastAsia" w:ascii="宋体" w:hAnsi="宋体" w:eastAsia="宋体" w:cs="Times New Roman"/>
          <w:bCs w:val="0"/>
          <w:kern w:val="2"/>
          <w:sz w:val="24"/>
          <w:szCs w:val="24"/>
          <w:lang w:val="en-US" w:eastAsia="zh-CN" w:bidi="ar-SA"/>
        </w:rPr>
      </w:pPr>
      <w:r>
        <w:rPr>
          <w:rFonts w:hint="eastAsia" w:ascii="宋体" w:hAnsi="宋体" w:eastAsia="宋体" w:cs="Times New Roman"/>
          <w:bCs w:val="0"/>
          <w:kern w:val="2"/>
          <w:sz w:val="24"/>
          <w:szCs w:val="24"/>
          <w:lang w:val="en-US" w:eastAsia="zh-CN" w:bidi="ar-SA"/>
        </w:rPr>
        <w:t>2.2.落实政府采购政策需满足的资格要求：见投标须知前附表</w:t>
      </w:r>
    </w:p>
    <w:p>
      <w:pPr>
        <w:pStyle w:val="16"/>
        <w:jc w:val="left"/>
        <w:rPr>
          <w:rFonts w:hint="eastAsia" w:ascii="宋体" w:hAnsi="宋体" w:eastAsia="宋体" w:cs="Times New Roman"/>
          <w:bCs w:val="0"/>
          <w:kern w:val="2"/>
          <w:sz w:val="24"/>
          <w:szCs w:val="24"/>
          <w:lang w:val="en-US" w:eastAsia="zh-CN" w:bidi="ar-SA"/>
        </w:rPr>
      </w:pPr>
      <w:r>
        <w:rPr>
          <w:rFonts w:hint="eastAsia" w:ascii="宋体" w:hAnsi="宋体" w:eastAsia="宋体" w:cs="Times New Roman"/>
          <w:bCs w:val="0"/>
          <w:kern w:val="2"/>
          <w:sz w:val="24"/>
          <w:szCs w:val="24"/>
          <w:lang w:val="en-US" w:eastAsia="zh-CN" w:bidi="ar-SA"/>
        </w:rPr>
        <w:t xml:space="preserve">2.3.本项目的特定资格要求：见投标须知前附表 </w:t>
      </w:r>
    </w:p>
    <w:p>
      <w:pPr>
        <w:pStyle w:val="16"/>
        <w:jc w:val="left"/>
        <w:rPr>
          <w:rFonts w:hint="eastAsia" w:ascii="宋体" w:hAnsi="宋体" w:eastAsia="宋体" w:cs="Times New Roman"/>
          <w:bCs w:val="0"/>
          <w:kern w:val="2"/>
          <w:sz w:val="24"/>
          <w:szCs w:val="24"/>
          <w:lang w:val="en-US" w:eastAsia="zh-CN" w:bidi="ar-SA"/>
        </w:rPr>
      </w:pPr>
      <w:r>
        <w:rPr>
          <w:rFonts w:hint="eastAsia" w:ascii="宋体" w:hAnsi="宋体" w:eastAsia="宋体" w:cs="Times New Roman"/>
          <w:bCs w:val="0"/>
          <w:kern w:val="2"/>
          <w:sz w:val="24"/>
          <w:szCs w:val="24"/>
          <w:lang w:val="en-US" w:eastAsia="zh-CN" w:bidi="ar-SA"/>
        </w:rPr>
        <w:t>3. 投标人存在下列情形之一的，拒绝其参加本次投标（已投标的按无效标处理）：</w:t>
      </w:r>
    </w:p>
    <w:p>
      <w:pPr>
        <w:pStyle w:val="16"/>
        <w:jc w:val="left"/>
        <w:rPr>
          <w:rFonts w:hint="eastAsia" w:ascii="宋体" w:hAnsi="宋体" w:eastAsia="宋体" w:cs="Times New Roman"/>
          <w:bCs w:val="0"/>
          <w:kern w:val="2"/>
          <w:sz w:val="24"/>
          <w:szCs w:val="24"/>
          <w:lang w:val="en-US" w:eastAsia="zh-CN" w:bidi="ar-SA"/>
        </w:rPr>
      </w:pPr>
      <w:r>
        <w:rPr>
          <w:rFonts w:hint="eastAsia" w:ascii="宋体" w:hAnsi="宋体" w:eastAsia="宋体" w:cs="Times New Roman"/>
          <w:bCs w:val="0"/>
          <w:kern w:val="2"/>
          <w:sz w:val="24"/>
          <w:szCs w:val="24"/>
          <w:lang w:val="en-US" w:eastAsia="zh-CN" w:bidi="ar-SA"/>
        </w:rPr>
        <w:t>（1）为招标人不具有独立法人资格的附属机构（单位）；</w:t>
      </w:r>
    </w:p>
    <w:p>
      <w:pPr>
        <w:pStyle w:val="16"/>
        <w:jc w:val="left"/>
        <w:rPr>
          <w:rFonts w:hint="eastAsia" w:ascii="宋体" w:hAnsi="宋体" w:eastAsia="宋体" w:cs="Times New Roman"/>
          <w:bCs w:val="0"/>
          <w:kern w:val="2"/>
          <w:sz w:val="24"/>
          <w:szCs w:val="24"/>
          <w:lang w:val="en-US" w:eastAsia="zh-CN" w:bidi="ar-SA"/>
        </w:rPr>
      </w:pPr>
      <w:r>
        <w:rPr>
          <w:rFonts w:hint="eastAsia" w:ascii="宋体" w:hAnsi="宋体" w:eastAsia="宋体" w:cs="Times New Roman"/>
          <w:bCs w:val="0"/>
          <w:kern w:val="2"/>
          <w:sz w:val="24"/>
          <w:szCs w:val="24"/>
          <w:lang w:val="en-US" w:eastAsia="zh-CN" w:bidi="ar-SA"/>
        </w:rPr>
        <w:t>（2）被责令停业的；</w:t>
      </w:r>
    </w:p>
    <w:p>
      <w:pPr>
        <w:pStyle w:val="16"/>
        <w:jc w:val="left"/>
        <w:rPr>
          <w:rFonts w:hint="eastAsia" w:ascii="宋体" w:hAnsi="宋体" w:eastAsia="宋体" w:cs="Times New Roman"/>
          <w:bCs w:val="0"/>
          <w:kern w:val="2"/>
          <w:sz w:val="24"/>
          <w:szCs w:val="24"/>
          <w:lang w:val="en-US" w:eastAsia="zh-CN" w:bidi="ar-SA"/>
        </w:rPr>
      </w:pPr>
      <w:r>
        <w:rPr>
          <w:rFonts w:hint="eastAsia" w:ascii="宋体" w:hAnsi="宋体" w:eastAsia="宋体" w:cs="Times New Roman"/>
          <w:bCs w:val="0"/>
          <w:kern w:val="2"/>
          <w:sz w:val="24"/>
          <w:szCs w:val="24"/>
          <w:lang w:val="en-US" w:eastAsia="zh-CN" w:bidi="ar-SA"/>
        </w:rPr>
        <w:t>（3）被暂停或取消投标资格的；</w:t>
      </w:r>
    </w:p>
    <w:p>
      <w:pPr>
        <w:pStyle w:val="16"/>
        <w:jc w:val="left"/>
        <w:rPr>
          <w:rFonts w:hint="eastAsia" w:ascii="宋体" w:hAnsi="宋体" w:eastAsia="宋体" w:cs="Times New Roman"/>
          <w:bCs w:val="0"/>
          <w:kern w:val="2"/>
          <w:sz w:val="24"/>
          <w:szCs w:val="24"/>
          <w:lang w:val="en-US" w:eastAsia="zh-CN" w:bidi="ar-SA"/>
        </w:rPr>
      </w:pPr>
      <w:r>
        <w:rPr>
          <w:rFonts w:hint="eastAsia" w:ascii="宋体" w:hAnsi="宋体" w:eastAsia="宋体" w:cs="Times New Roman"/>
          <w:bCs w:val="0"/>
          <w:kern w:val="2"/>
          <w:sz w:val="24"/>
          <w:szCs w:val="24"/>
          <w:lang w:val="en-US" w:eastAsia="zh-CN" w:bidi="ar-SA"/>
        </w:rPr>
        <w:t>（4）财产被接管或冻结的；</w:t>
      </w:r>
    </w:p>
    <w:p>
      <w:pPr>
        <w:pStyle w:val="16"/>
        <w:jc w:val="left"/>
      </w:pPr>
      <w:r>
        <w:rPr>
          <w:rFonts w:hint="eastAsia" w:ascii="宋体" w:hAnsi="宋体" w:eastAsia="宋体" w:cs="Times New Roman"/>
          <w:bCs w:val="0"/>
          <w:kern w:val="2"/>
          <w:sz w:val="24"/>
          <w:szCs w:val="24"/>
          <w:lang w:val="en-US" w:eastAsia="zh-CN" w:bidi="ar-SA"/>
        </w:rPr>
        <w:t>（5）在最近三年内有骗取中标或严重违约或重大质量问题的，受到行政处罚的。</w:t>
      </w:r>
    </w:p>
    <w:p>
      <w:pPr>
        <w:spacing w:line="440" w:lineRule="exact"/>
        <w:ind w:firstLine="482" w:firstLineChars="200"/>
        <w:rPr>
          <w:rFonts w:ascii="宋体" w:cs="宋体"/>
          <w:b/>
          <w:sz w:val="24"/>
        </w:rPr>
      </w:pPr>
      <w:r>
        <w:rPr>
          <w:rFonts w:ascii="宋体" w:hAnsi="宋体" w:cs="宋体"/>
          <w:b/>
          <w:sz w:val="24"/>
        </w:rPr>
        <w:t xml:space="preserve">3. </w:t>
      </w:r>
      <w:r>
        <w:rPr>
          <w:rFonts w:hint="eastAsia" w:ascii="宋体" w:hAnsi="宋体" w:cs="宋体"/>
          <w:b/>
          <w:sz w:val="24"/>
        </w:rPr>
        <w:t>定义</w:t>
      </w:r>
    </w:p>
    <w:p>
      <w:pPr>
        <w:spacing w:line="440" w:lineRule="exact"/>
        <w:ind w:firstLine="482"/>
        <w:rPr>
          <w:rFonts w:ascii="宋体" w:cs="宋体"/>
          <w:sz w:val="24"/>
        </w:rPr>
      </w:pPr>
      <w:r>
        <w:rPr>
          <w:rFonts w:hint="eastAsia" w:ascii="宋体" w:hAnsi="宋体" w:cs="宋体"/>
          <w:sz w:val="24"/>
        </w:rPr>
        <w:t>下列术语和缩写的定义为：</w:t>
      </w:r>
    </w:p>
    <w:p>
      <w:pPr>
        <w:spacing w:line="440" w:lineRule="exact"/>
        <w:ind w:firstLine="480" w:firstLineChars="200"/>
        <w:rPr>
          <w:rFonts w:ascii="宋体" w:cs="宋体"/>
          <w:sz w:val="24"/>
        </w:rPr>
      </w:pPr>
      <w:r>
        <w:rPr>
          <w:rFonts w:ascii="宋体" w:hAnsi="宋体" w:cs="宋体"/>
          <w:sz w:val="24"/>
        </w:rPr>
        <w:t xml:space="preserve">3.1  </w:t>
      </w:r>
      <w:r>
        <w:rPr>
          <w:rFonts w:hint="eastAsia" w:ascii="宋体" w:hAnsi="宋体" w:cs="宋体"/>
          <w:sz w:val="24"/>
        </w:rPr>
        <w:t>“采购人”系指新疆维吾尔自治区人民医院。</w:t>
      </w:r>
    </w:p>
    <w:p>
      <w:pPr>
        <w:tabs>
          <w:tab w:val="left" w:pos="1185"/>
        </w:tabs>
        <w:spacing w:line="440" w:lineRule="exact"/>
        <w:ind w:left="480"/>
        <w:rPr>
          <w:rFonts w:ascii="宋体" w:cs="宋体"/>
          <w:sz w:val="24"/>
        </w:rPr>
      </w:pPr>
      <w:r>
        <w:rPr>
          <w:rFonts w:ascii="宋体" w:hAnsi="宋体" w:cs="宋体"/>
          <w:sz w:val="24"/>
        </w:rPr>
        <w:t xml:space="preserve">3.2  </w:t>
      </w:r>
      <w:r>
        <w:rPr>
          <w:rFonts w:hint="eastAsia" w:ascii="宋体" w:hAnsi="宋体" w:cs="宋体"/>
          <w:sz w:val="24"/>
        </w:rPr>
        <w:t>“招标代理机构”系指新疆同孚招投标有限公司。</w:t>
      </w:r>
    </w:p>
    <w:p>
      <w:pPr>
        <w:tabs>
          <w:tab w:val="left" w:pos="900"/>
        </w:tabs>
        <w:spacing w:line="440" w:lineRule="exact"/>
        <w:ind w:left="480"/>
        <w:rPr>
          <w:rFonts w:ascii="宋体" w:cs="宋体"/>
          <w:sz w:val="24"/>
        </w:rPr>
      </w:pPr>
      <w:r>
        <w:rPr>
          <w:rFonts w:ascii="宋体" w:hAnsi="宋体" w:cs="宋体"/>
          <w:sz w:val="24"/>
        </w:rPr>
        <w:t xml:space="preserve">3.3  </w:t>
      </w:r>
      <w:r>
        <w:rPr>
          <w:rFonts w:hint="eastAsia" w:ascii="宋体" w:hAnsi="宋体" w:cs="宋体"/>
          <w:sz w:val="24"/>
        </w:rPr>
        <w:t>“招标方”系指采购人和招标代理机构的统称。</w:t>
      </w:r>
    </w:p>
    <w:p>
      <w:pPr>
        <w:tabs>
          <w:tab w:val="left" w:pos="1185"/>
        </w:tabs>
        <w:spacing w:line="440" w:lineRule="exact"/>
        <w:ind w:firstLine="480" w:firstLineChars="200"/>
        <w:rPr>
          <w:rFonts w:ascii="宋体" w:cs="宋体"/>
          <w:sz w:val="24"/>
        </w:rPr>
      </w:pPr>
      <w:r>
        <w:rPr>
          <w:rFonts w:ascii="宋体" w:hAnsi="宋体" w:cs="宋体"/>
          <w:sz w:val="24"/>
        </w:rPr>
        <w:t xml:space="preserve">3.4  </w:t>
      </w:r>
      <w:r>
        <w:rPr>
          <w:rFonts w:hint="eastAsia" w:ascii="宋体" w:hAnsi="宋体" w:cs="宋体"/>
          <w:sz w:val="24"/>
        </w:rPr>
        <w:t>“投标人”系指有资格的供应商（制造商、代理商）及投标表现人。</w:t>
      </w:r>
    </w:p>
    <w:p>
      <w:pPr>
        <w:spacing w:line="440" w:lineRule="exact"/>
        <w:ind w:left="479" w:leftChars="228"/>
        <w:rPr>
          <w:rFonts w:ascii="宋体" w:cs="宋体"/>
          <w:sz w:val="24"/>
        </w:rPr>
      </w:pPr>
      <w:r>
        <w:rPr>
          <w:rFonts w:ascii="宋体" w:hAnsi="宋体" w:cs="宋体"/>
          <w:sz w:val="24"/>
        </w:rPr>
        <w:t xml:space="preserve">3.5  </w:t>
      </w:r>
      <w:r>
        <w:rPr>
          <w:rFonts w:hint="eastAsia" w:ascii="宋体" w:hAnsi="宋体" w:cs="宋体"/>
          <w:sz w:val="24"/>
        </w:rPr>
        <w:t>“中标方”系指经评标委员会评定后报价最低的投标人。</w:t>
      </w:r>
    </w:p>
    <w:p>
      <w:pPr>
        <w:spacing w:line="440" w:lineRule="exact"/>
        <w:ind w:firstLine="482"/>
        <w:rPr>
          <w:rFonts w:ascii="宋体" w:cs="宋体"/>
          <w:sz w:val="24"/>
        </w:rPr>
      </w:pPr>
      <w:r>
        <w:rPr>
          <w:rFonts w:ascii="宋体" w:hAnsi="宋体" w:cs="宋体"/>
          <w:sz w:val="24"/>
        </w:rPr>
        <w:t xml:space="preserve">3.6  </w:t>
      </w:r>
      <w:r>
        <w:rPr>
          <w:rFonts w:hint="eastAsia" w:ascii="宋体" w:hAnsi="宋体" w:cs="宋体"/>
          <w:sz w:val="24"/>
        </w:rPr>
        <w:t>“服务内容”、指竞争性谈判文件第四部分需求及技术要求中所述所有服务及相关要求。</w:t>
      </w:r>
    </w:p>
    <w:p>
      <w:pPr>
        <w:spacing w:line="440" w:lineRule="exact"/>
        <w:ind w:firstLine="482"/>
        <w:rPr>
          <w:rFonts w:ascii="宋体" w:cs="宋体"/>
          <w:sz w:val="24"/>
        </w:rPr>
      </w:pPr>
      <w:r>
        <w:rPr>
          <w:rFonts w:ascii="宋体" w:hAnsi="宋体" w:cs="宋体"/>
          <w:sz w:val="24"/>
        </w:rPr>
        <w:t xml:space="preserve">3.7  </w:t>
      </w:r>
      <w:r>
        <w:rPr>
          <w:rFonts w:hint="eastAsia" w:ascii="宋体" w:hAnsi="宋体" w:cs="宋体"/>
          <w:sz w:val="24"/>
        </w:rPr>
        <w:t>“服务”系指竞争性谈判文件中规定投标人须承担的质保、售后服务、技术协助、培训及其他类似的责任。</w:t>
      </w:r>
    </w:p>
    <w:p>
      <w:pPr>
        <w:spacing w:line="440" w:lineRule="exact"/>
        <w:ind w:firstLine="480" w:firstLineChars="200"/>
        <w:rPr>
          <w:rFonts w:ascii="宋体" w:cs="宋体"/>
          <w:sz w:val="24"/>
        </w:rPr>
      </w:pPr>
      <w:r>
        <w:rPr>
          <w:rFonts w:ascii="宋体" w:hAnsi="宋体" w:cs="宋体"/>
          <w:sz w:val="24"/>
        </w:rPr>
        <w:t xml:space="preserve">3.8  </w:t>
      </w:r>
      <w:r>
        <w:rPr>
          <w:rFonts w:hint="eastAsia" w:ascii="宋体" w:hAnsi="宋体" w:cs="宋体"/>
          <w:sz w:val="24"/>
        </w:rPr>
        <w:t>“响应”系指投标人、根据招标代理机构发布的竞争性谈判文件，编制谈判响应文件并按规定投标的行为。</w:t>
      </w:r>
    </w:p>
    <w:p>
      <w:pPr>
        <w:spacing w:line="440" w:lineRule="exact"/>
        <w:ind w:firstLine="480" w:firstLineChars="200"/>
        <w:rPr>
          <w:rFonts w:ascii="宋体" w:cs="宋体"/>
          <w:sz w:val="24"/>
        </w:rPr>
      </w:pPr>
      <w:r>
        <w:rPr>
          <w:rFonts w:ascii="宋体" w:hAnsi="宋体" w:cs="宋体"/>
          <w:sz w:val="24"/>
        </w:rPr>
        <w:t xml:space="preserve">3.9  </w:t>
      </w:r>
      <w:r>
        <w:rPr>
          <w:rFonts w:hint="eastAsia" w:ascii="宋体" w:hAnsi="宋体" w:cs="宋体"/>
          <w:sz w:val="24"/>
        </w:rPr>
        <w:t>“标段（包）”系指一个完整独立的投标项目。</w:t>
      </w:r>
    </w:p>
    <w:p>
      <w:pPr>
        <w:spacing w:line="440" w:lineRule="exact"/>
        <w:ind w:firstLine="482" w:firstLineChars="200"/>
        <w:rPr>
          <w:rFonts w:ascii="宋体" w:cs="宋体"/>
          <w:b/>
          <w:sz w:val="24"/>
        </w:rPr>
      </w:pPr>
      <w:r>
        <w:rPr>
          <w:rFonts w:ascii="宋体" w:hAnsi="宋体" w:cs="宋体"/>
          <w:b/>
          <w:sz w:val="24"/>
        </w:rPr>
        <w:t xml:space="preserve">4.  </w:t>
      </w:r>
      <w:r>
        <w:rPr>
          <w:rFonts w:hint="eastAsia" w:ascii="宋体" w:hAnsi="宋体" w:cs="宋体"/>
          <w:b/>
          <w:sz w:val="24"/>
        </w:rPr>
        <w:t>投标费用</w:t>
      </w:r>
    </w:p>
    <w:p>
      <w:pPr>
        <w:spacing w:line="440" w:lineRule="exact"/>
        <w:ind w:firstLine="482"/>
        <w:rPr>
          <w:rFonts w:ascii="宋体" w:cs="宋体"/>
          <w:sz w:val="24"/>
        </w:rPr>
      </w:pPr>
      <w:r>
        <w:rPr>
          <w:rFonts w:ascii="宋体" w:hAnsi="宋体" w:cs="宋体"/>
          <w:sz w:val="24"/>
        </w:rPr>
        <w:t>4.1</w:t>
      </w:r>
      <w:r>
        <w:rPr>
          <w:rFonts w:hint="eastAsia" w:ascii="宋体" w:hAnsi="宋体" w:cs="宋体"/>
          <w:sz w:val="24"/>
        </w:rPr>
        <w:t>　无论投标结果如何，与参与招标、投标活动有关的所有费用将由投标人自行承担。</w:t>
      </w:r>
    </w:p>
    <w:p>
      <w:pPr>
        <w:tabs>
          <w:tab w:val="left" w:pos="1185"/>
        </w:tabs>
        <w:spacing w:line="440" w:lineRule="exact"/>
        <w:ind w:firstLine="480" w:firstLineChars="200"/>
        <w:rPr>
          <w:rFonts w:hint="eastAsia" w:ascii="宋体" w:hAnsi="宋体" w:cs="宋体"/>
          <w:sz w:val="24"/>
        </w:rPr>
      </w:pPr>
      <w:r>
        <w:rPr>
          <w:rFonts w:ascii="宋体" w:hAnsi="宋体" w:cs="宋体"/>
          <w:sz w:val="24"/>
        </w:rPr>
        <w:t>4.2</w:t>
      </w:r>
      <w:r>
        <w:rPr>
          <w:rFonts w:hint="eastAsia" w:ascii="宋体" w:hAnsi="宋体" w:cs="宋体"/>
          <w:sz w:val="24"/>
        </w:rPr>
        <w:t>　投标人被视为熟悉本招标项目的各种情况以及与履行合同有关的一切情况。</w:t>
      </w:r>
    </w:p>
    <w:p>
      <w:pPr>
        <w:tabs>
          <w:tab w:val="left" w:pos="1185"/>
        </w:tabs>
        <w:spacing w:before="166" w:beforeLines="50" w:line="440" w:lineRule="exact"/>
        <w:ind w:firstLine="643" w:firstLineChars="200"/>
        <w:jc w:val="center"/>
        <w:outlineLvl w:val="1"/>
        <w:rPr>
          <w:rFonts w:hint="eastAsia" w:ascii="宋体" w:hAnsi="宋体"/>
          <w:b/>
          <w:sz w:val="32"/>
          <w:szCs w:val="32"/>
        </w:rPr>
      </w:pPr>
      <w:bookmarkStart w:id="2" w:name="_Toc374721825"/>
      <w:r>
        <w:rPr>
          <w:rFonts w:hint="eastAsia" w:ascii="宋体" w:hAnsi="宋体"/>
          <w:b/>
          <w:sz w:val="32"/>
          <w:szCs w:val="32"/>
        </w:rPr>
        <w:t xml:space="preserve">第二章 </w:t>
      </w:r>
      <w:bookmarkEnd w:id="2"/>
      <w:r>
        <w:rPr>
          <w:rFonts w:hint="eastAsia" w:ascii="宋体" w:hAnsi="宋体"/>
          <w:b/>
          <w:sz w:val="32"/>
          <w:szCs w:val="32"/>
        </w:rPr>
        <w:t xml:space="preserve"> 竞争性谈判文件</w:t>
      </w:r>
    </w:p>
    <w:p>
      <w:pPr>
        <w:tabs>
          <w:tab w:val="left" w:pos="1185"/>
        </w:tabs>
        <w:spacing w:line="440" w:lineRule="exact"/>
        <w:ind w:firstLine="482" w:firstLineChars="200"/>
        <w:rPr>
          <w:rFonts w:ascii="宋体" w:cs="宋体"/>
          <w:b/>
          <w:sz w:val="24"/>
        </w:rPr>
      </w:pPr>
      <w:r>
        <w:rPr>
          <w:rFonts w:ascii="宋体" w:hAnsi="宋体" w:cs="宋体"/>
          <w:b/>
          <w:sz w:val="24"/>
        </w:rPr>
        <w:t xml:space="preserve">5. </w:t>
      </w:r>
      <w:r>
        <w:rPr>
          <w:rFonts w:hint="eastAsia" w:ascii="宋体" w:hAnsi="宋体" w:cs="宋体"/>
          <w:b/>
          <w:sz w:val="24"/>
        </w:rPr>
        <w:t>竞争性谈判文件的构成</w:t>
      </w:r>
    </w:p>
    <w:p>
      <w:pPr>
        <w:spacing w:line="440" w:lineRule="exact"/>
        <w:ind w:firstLine="480" w:firstLineChars="200"/>
        <w:rPr>
          <w:rFonts w:ascii="宋体" w:cs="宋体"/>
          <w:sz w:val="24"/>
        </w:rPr>
      </w:pPr>
      <w:r>
        <w:rPr>
          <w:rFonts w:ascii="宋体" w:hAnsi="宋体" w:cs="宋体"/>
          <w:sz w:val="24"/>
        </w:rPr>
        <w:t>5.1</w:t>
      </w:r>
      <w:r>
        <w:rPr>
          <w:rFonts w:hint="eastAsia" w:ascii="宋体" w:hAnsi="宋体" w:cs="宋体"/>
          <w:sz w:val="24"/>
        </w:rPr>
        <w:t>　竞争性谈判文件由下述部分组成：</w:t>
      </w:r>
    </w:p>
    <w:p>
      <w:pPr>
        <w:spacing w:line="440" w:lineRule="exact"/>
        <w:ind w:firstLine="720" w:firstLineChars="300"/>
        <w:rPr>
          <w:rFonts w:ascii="宋体" w:cs="宋体"/>
          <w:sz w:val="24"/>
        </w:rPr>
      </w:pPr>
      <w:r>
        <w:rPr>
          <w:rFonts w:hint="eastAsia" w:ascii="宋体" w:hAnsi="宋体" w:cs="宋体"/>
          <w:sz w:val="24"/>
        </w:rPr>
        <w:t>第一部分</w:t>
      </w:r>
      <w:r>
        <w:rPr>
          <w:rFonts w:ascii="宋体" w:hAnsi="宋体" w:cs="宋体"/>
          <w:sz w:val="24"/>
        </w:rPr>
        <w:t xml:space="preserve"> </w:t>
      </w:r>
      <w:r>
        <w:rPr>
          <w:rFonts w:hint="eastAsia" w:ascii="宋体" w:hAnsi="宋体" w:cs="宋体"/>
          <w:sz w:val="24"/>
        </w:rPr>
        <w:t>投标须知</w:t>
      </w:r>
    </w:p>
    <w:p>
      <w:pPr>
        <w:spacing w:line="440" w:lineRule="exact"/>
        <w:ind w:firstLine="720" w:firstLineChars="300"/>
        <w:rPr>
          <w:rFonts w:ascii="宋体" w:cs="宋体"/>
          <w:sz w:val="24"/>
        </w:rPr>
      </w:pPr>
      <w:r>
        <w:rPr>
          <w:rFonts w:hint="eastAsia" w:ascii="宋体" w:hAnsi="宋体" w:cs="宋体"/>
          <w:sz w:val="24"/>
        </w:rPr>
        <w:t>第二部分</w:t>
      </w:r>
      <w:r>
        <w:rPr>
          <w:rFonts w:ascii="宋体" w:hAnsi="宋体" w:cs="宋体"/>
          <w:sz w:val="24"/>
        </w:rPr>
        <w:t xml:space="preserve"> </w:t>
      </w:r>
      <w:r>
        <w:rPr>
          <w:rFonts w:hint="eastAsia" w:ascii="宋体" w:hAnsi="宋体" w:cs="宋体"/>
          <w:sz w:val="24"/>
        </w:rPr>
        <w:t>招标说明</w:t>
      </w:r>
    </w:p>
    <w:p>
      <w:pPr>
        <w:spacing w:line="440" w:lineRule="exact"/>
        <w:ind w:firstLine="720" w:firstLineChars="300"/>
        <w:rPr>
          <w:rFonts w:ascii="宋体" w:cs="宋体"/>
          <w:sz w:val="24"/>
        </w:rPr>
      </w:pPr>
      <w:r>
        <w:rPr>
          <w:rFonts w:hint="eastAsia" w:ascii="宋体" w:hAnsi="宋体" w:cs="宋体"/>
          <w:sz w:val="24"/>
        </w:rPr>
        <w:t>第三部分</w:t>
      </w:r>
      <w:r>
        <w:rPr>
          <w:rFonts w:ascii="宋体" w:hAnsi="宋体" w:cs="宋体"/>
          <w:sz w:val="24"/>
        </w:rPr>
        <w:t xml:space="preserve"> </w:t>
      </w:r>
      <w:r>
        <w:rPr>
          <w:rFonts w:hint="eastAsia" w:ascii="宋体" w:hAnsi="宋体" w:cs="宋体"/>
          <w:sz w:val="24"/>
        </w:rPr>
        <w:t>投标说明</w:t>
      </w:r>
    </w:p>
    <w:p>
      <w:pPr>
        <w:spacing w:line="440" w:lineRule="exact"/>
        <w:ind w:firstLine="720" w:firstLineChars="300"/>
        <w:rPr>
          <w:rFonts w:ascii="宋体" w:cs="宋体"/>
          <w:sz w:val="24"/>
        </w:rPr>
      </w:pPr>
      <w:r>
        <w:rPr>
          <w:rFonts w:hint="eastAsia" w:ascii="宋体" w:hAnsi="宋体" w:cs="宋体"/>
          <w:sz w:val="24"/>
        </w:rPr>
        <w:t>第四部分</w:t>
      </w:r>
      <w:r>
        <w:rPr>
          <w:rFonts w:ascii="宋体" w:hAnsi="宋体" w:cs="宋体"/>
          <w:sz w:val="24"/>
        </w:rPr>
        <w:t xml:space="preserve"> </w:t>
      </w:r>
      <w:r>
        <w:rPr>
          <w:rFonts w:hint="eastAsia" w:ascii="宋体" w:hAnsi="宋体" w:cs="宋体"/>
          <w:sz w:val="24"/>
          <w:lang w:val="en-US" w:eastAsia="zh-CN"/>
        </w:rPr>
        <w:t>采购</w:t>
      </w:r>
      <w:r>
        <w:rPr>
          <w:rFonts w:hint="eastAsia" w:ascii="宋体" w:hAnsi="宋体" w:cs="宋体"/>
          <w:sz w:val="24"/>
        </w:rPr>
        <w:t>需求</w:t>
      </w:r>
    </w:p>
    <w:p>
      <w:pPr>
        <w:spacing w:line="440" w:lineRule="exact"/>
        <w:ind w:firstLine="720" w:firstLineChars="300"/>
        <w:rPr>
          <w:rFonts w:ascii="宋体" w:cs="宋体"/>
          <w:sz w:val="24"/>
        </w:rPr>
      </w:pPr>
      <w:r>
        <w:rPr>
          <w:rFonts w:hint="eastAsia" w:ascii="宋体" w:hAnsi="宋体" w:cs="宋体"/>
          <w:sz w:val="24"/>
        </w:rPr>
        <w:t>第五部分</w:t>
      </w:r>
      <w:r>
        <w:rPr>
          <w:rFonts w:ascii="宋体" w:hAnsi="宋体" w:cs="宋体"/>
          <w:sz w:val="24"/>
        </w:rPr>
        <w:t xml:space="preserve"> </w:t>
      </w:r>
      <w:r>
        <w:rPr>
          <w:rFonts w:hint="eastAsia" w:ascii="宋体" w:hAnsi="宋体" w:cs="宋体"/>
          <w:sz w:val="24"/>
        </w:rPr>
        <w:t>合同部分</w:t>
      </w:r>
      <w:r>
        <w:rPr>
          <w:rFonts w:ascii="宋体" w:hAnsi="宋体" w:cs="宋体"/>
          <w:sz w:val="24"/>
        </w:rPr>
        <w:t xml:space="preserve"> </w:t>
      </w:r>
    </w:p>
    <w:p>
      <w:pPr>
        <w:spacing w:line="440" w:lineRule="exact"/>
        <w:ind w:firstLine="720" w:firstLineChars="300"/>
        <w:rPr>
          <w:rFonts w:hint="eastAsia" w:ascii="宋体" w:hAnsi="宋体" w:cs="宋体"/>
          <w:sz w:val="24"/>
        </w:rPr>
      </w:pPr>
      <w:r>
        <w:rPr>
          <w:rFonts w:hint="eastAsia" w:ascii="宋体" w:hAnsi="宋体" w:cs="宋体"/>
          <w:sz w:val="24"/>
        </w:rPr>
        <w:t>第六部分</w:t>
      </w:r>
      <w:r>
        <w:rPr>
          <w:rFonts w:ascii="宋体" w:hAnsi="宋体" w:cs="宋体"/>
          <w:sz w:val="24"/>
        </w:rPr>
        <w:t xml:space="preserve"> </w:t>
      </w:r>
      <w:r>
        <w:rPr>
          <w:rFonts w:hint="eastAsia" w:ascii="宋体" w:hAnsi="宋体" w:cs="宋体"/>
          <w:sz w:val="24"/>
        </w:rPr>
        <w:t>附件（范本格式）</w:t>
      </w:r>
    </w:p>
    <w:p>
      <w:pPr>
        <w:tabs>
          <w:tab w:val="left" w:pos="1185"/>
        </w:tabs>
        <w:spacing w:line="440" w:lineRule="exact"/>
        <w:ind w:firstLine="480" w:firstLineChars="200"/>
        <w:rPr>
          <w:rFonts w:hint="eastAsia" w:ascii="宋体" w:hAnsi="宋体"/>
          <w:sz w:val="24"/>
          <w:szCs w:val="24"/>
        </w:rPr>
      </w:pPr>
      <w:r>
        <w:rPr>
          <w:rFonts w:hint="eastAsia" w:ascii="宋体" w:hAnsi="宋体"/>
          <w:sz w:val="24"/>
          <w:szCs w:val="24"/>
        </w:rPr>
        <w:t>5.2  投标人应详细阅读</w:t>
      </w:r>
      <w:r>
        <w:rPr>
          <w:rFonts w:hint="eastAsia" w:ascii="宋体" w:hAnsi="宋体"/>
          <w:sz w:val="24"/>
          <w:szCs w:val="24"/>
          <w:lang w:val="en-US" w:eastAsia="zh-CN"/>
        </w:rPr>
        <w:t>竞争性谈判文件</w:t>
      </w:r>
      <w:r>
        <w:rPr>
          <w:rFonts w:hint="eastAsia" w:ascii="宋体" w:hAnsi="宋体"/>
          <w:sz w:val="24"/>
          <w:szCs w:val="24"/>
        </w:rPr>
        <w:t>的全部内容。如果投标人未按照竞争性谈判文件要求提交全部资料或者投标文件没有对竞争性谈判文件在各方面的要求做出实质性响应，将</w:t>
      </w:r>
      <w:r>
        <w:rPr>
          <w:rFonts w:hint="eastAsia" w:ascii="宋体" w:hAnsi="宋体"/>
          <w:sz w:val="24"/>
          <w:szCs w:val="24"/>
          <w:lang w:val="en-US" w:eastAsia="zh-CN"/>
        </w:rPr>
        <w:t>做无效标处理</w:t>
      </w:r>
      <w:r>
        <w:rPr>
          <w:rFonts w:hint="eastAsia" w:ascii="宋体" w:hAnsi="宋体"/>
          <w:sz w:val="24"/>
          <w:szCs w:val="24"/>
        </w:rPr>
        <w:t>。</w:t>
      </w:r>
    </w:p>
    <w:p>
      <w:pPr>
        <w:pStyle w:val="16"/>
        <w:ind w:firstLine="482" w:firstLineChars="200"/>
        <w:jc w:val="left"/>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6.</w:t>
      </w:r>
      <w:r>
        <w:rPr>
          <w:rFonts w:hint="eastAsia" w:ascii="宋体" w:eastAsia="宋体" w:cs="Times New Roman"/>
          <w:b/>
          <w:bCs/>
          <w:kern w:val="2"/>
          <w:sz w:val="24"/>
          <w:szCs w:val="24"/>
          <w:lang w:val="en-US" w:eastAsia="zh-CN" w:bidi="ar-SA"/>
        </w:rPr>
        <w:t xml:space="preserve"> 竞争性谈判文件</w:t>
      </w:r>
      <w:r>
        <w:rPr>
          <w:rFonts w:hint="eastAsia" w:ascii="宋体" w:hAnsi="宋体" w:eastAsia="宋体" w:cs="Times New Roman"/>
          <w:b/>
          <w:bCs/>
          <w:kern w:val="2"/>
          <w:sz w:val="24"/>
          <w:szCs w:val="24"/>
          <w:lang w:val="en-US" w:eastAsia="zh-CN" w:bidi="ar-SA"/>
        </w:rPr>
        <w:t>的澄清</w:t>
      </w:r>
    </w:p>
    <w:p>
      <w:pPr>
        <w:pStyle w:val="16"/>
        <w:ind w:firstLine="480" w:firstLineChars="200"/>
        <w:jc w:val="left"/>
        <w:rPr>
          <w:rFonts w:hint="eastAsia" w:ascii="宋体" w:hAnsi="宋体" w:eastAsia="宋体" w:cs="Times New Roman"/>
          <w:bCs w:val="0"/>
          <w:kern w:val="2"/>
          <w:sz w:val="24"/>
          <w:szCs w:val="24"/>
          <w:lang w:val="en-US" w:eastAsia="zh-CN" w:bidi="ar-SA"/>
        </w:rPr>
      </w:pPr>
      <w:r>
        <w:rPr>
          <w:rFonts w:hint="eastAsia" w:ascii="宋体" w:hAnsi="宋体" w:eastAsia="宋体" w:cs="Times New Roman"/>
          <w:bCs w:val="0"/>
          <w:kern w:val="2"/>
          <w:sz w:val="24"/>
          <w:szCs w:val="24"/>
          <w:lang w:val="en-US" w:eastAsia="zh-CN" w:bidi="ar-SA"/>
        </w:rPr>
        <w:t>6.1投标人对竞争性谈判文件如有疑点，可在投标截止期的</w:t>
      </w:r>
      <w:r>
        <w:rPr>
          <w:rFonts w:hint="eastAsia" w:ascii="宋体" w:hAnsi="宋体" w:eastAsia="宋体" w:cs="Times New Roman"/>
          <w:bCs w:val="0"/>
          <w:kern w:val="2"/>
          <w:sz w:val="24"/>
          <w:szCs w:val="24"/>
          <w:u w:val="single"/>
          <w:lang w:val="en-US" w:eastAsia="zh-CN" w:bidi="ar-SA"/>
        </w:rPr>
        <w:t>　五日前　</w:t>
      </w:r>
      <w:r>
        <w:rPr>
          <w:rFonts w:hint="eastAsia" w:ascii="宋体" w:hAnsi="宋体" w:eastAsia="宋体" w:cs="Times New Roman"/>
          <w:bCs w:val="0"/>
          <w:kern w:val="2"/>
          <w:sz w:val="24"/>
          <w:szCs w:val="24"/>
          <w:lang w:val="en-US" w:eastAsia="zh-CN" w:bidi="ar-SA"/>
        </w:rPr>
        <w:t>按竞争性谈判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投标人。</w:t>
      </w:r>
    </w:p>
    <w:p>
      <w:pPr>
        <w:spacing w:line="440" w:lineRule="exact"/>
        <w:ind w:firstLine="482" w:firstLineChars="200"/>
        <w:rPr>
          <w:rFonts w:hint="eastAsia" w:ascii="宋体" w:hAnsi="宋体"/>
          <w:b/>
          <w:sz w:val="24"/>
          <w:szCs w:val="24"/>
        </w:rPr>
      </w:pPr>
      <w:r>
        <w:rPr>
          <w:rFonts w:hint="eastAsia" w:ascii="宋体" w:hAnsi="宋体"/>
          <w:b/>
          <w:sz w:val="24"/>
          <w:szCs w:val="24"/>
        </w:rPr>
        <w:t xml:space="preserve">7. </w:t>
      </w:r>
      <w:r>
        <w:rPr>
          <w:rFonts w:hint="eastAsia" w:ascii="宋体" w:hAnsi="宋体"/>
          <w:b/>
          <w:sz w:val="24"/>
          <w:szCs w:val="24"/>
          <w:lang w:val="en-US" w:eastAsia="zh-CN"/>
        </w:rPr>
        <w:t>竞争性谈判文件</w:t>
      </w:r>
      <w:r>
        <w:rPr>
          <w:rFonts w:hint="eastAsia" w:ascii="宋体" w:hAnsi="宋体"/>
          <w:b/>
          <w:sz w:val="24"/>
          <w:szCs w:val="24"/>
        </w:rPr>
        <w:t>的修改或补充</w:t>
      </w:r>
    </w:p>
    <w:p>
      <w:pPr>
        <w:spacing w:line="440" w:lineRule="exact"/>
        <w:ind w:firstLine="480" w:firstLineChars="200"/>
        <w:rPr>
          <w:rFonts w:hint="eastAsia" w:ascii="宋体" w:hAnsi="宋体"/>
          <w:sz w:val="24"/>
          <w:szCs w:val="24"/>
        </w:rPr>
      </w:pPr>
      <w:r>
        <w:rPr>
          <w:rFonts w:hint="eastAsia" w:ascii="宋体" w:hAnsi="宋体"/>
          <w:sz w:val="24"/>
          <w:szCs w:val="24"/>
        </w:rPr>
        <w:t>7.1　在投标截止期</w:t>
      </w:r>
      <w:r>
        <w:rPr>
          <w:rFonts w:hint="eastAsia" w:ascii="宋体" w:hAnsi="宋体"/>
          <w:sz w:val="24"/>
          <w:szCs w:val="24"/>
          <w:u w:val="single"/>
        </w:rPr>
        <w:t xml:space="preserve"> 三日前  </w:t>
      </w:r>
      <w:r>
        <w:rPr>
          <w:rFonts w:hint="eastAsia" w:ascii="宋体" w:hAnsi="宋体"/>
          <w:sz w:val="24"/>
          <w:szCs w:val="24"/>
        </w:rPr>
        <w:t>的任何时间，招标方可主动或依据投标人要求澄清的问题而修改或补充竞争性谈判文件，并以书面形式或网上公告通知投标人，投标人在收到该通知后应立即以电报或传真的形式予以确认。</w:t>
      </w:r>
    </w:p>
    <w:p>
      <w:pPr>
        <w:spacing w:line="440" w:lineRule="exact"/>
        <w:ind w:firstLine="480" w:firstLineChars="200"/>
        <w:rPr>
          <w:rFonts w:hint="eastAsia" w:ascii="宋体" w:hAnsi="宋体"/>
          <w:sz w:val="24"/>
          <w:szCs w:val="24"/>
        </w:rPr>
      </w:pPr>
      <w:r>
        <w:rPr>
          <w:rFonts w:hint="eastAsia" w:ascii="宋体" w:hAnsi="宋体"/>
          <w:sz w:val="24"/>
          <w:szCs w:val="24"/>
        </w:rPr>
        <w:t>7.2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hint="eastAsia" w:ascii="宋体" w:hAnsi="宋体"/>
          <w:sz w:val="24"/>
          <w:szCs w:val="24"/>
        </w:rPr>
      </w:pPr>
      <w:r>
        <w:rPr>
          <w:rFonts w:hint="eastAsia" w:ascii="宋体" w:hAnsi="宋体"/>
          <w:sz w:val="24"/>
          <w:szCs w:val="24"/>
        </w:rPr>
        <w:t>7.3　竞争性谈判文件的修改和补充文件将构成竞争性谈判文件的一部分，并且对投标人具有优先约束力。</w:t>
      </w:r>
    </w:p>
    <w:p>
      <w:pPr>
        <w:spacing w:line="440" w:lineRule="exact"/>
        <w:ind w:firstLine="482" w:firstLineChars="200"/>
        <w:rPr>
          <w:rFonts w:hint="eastAsia" w:ascii="宋体" w:hAnsi="宋体"/>
          <w:b/>
          <w:sz w:val="24"/>
          <w:szCs w:val="24"/>
        </w:rPr>
      </w:pPr>
      <w:r>
        <w:rPr>
          <w:rFonts w:hint="eastAsia" w:ascii="宋体" w:hAnsi="宋体"/>
          <w:b/>
          <w:sz w:val="24"/>
          <w:szCs w:val="24"/>
        </w:rPr>
        <w:t>8.质疑须知</w:t>
      </w:r>
    </w:p>
    <w:p>
      <w:pPr>
        <w:spacing w:line="440" w:lineRule="exact"/>
        <w:ind w:firstLine="480" w:firstLineChars="200"/>
        <w:rPr>
          <w:rFonts w:ascii="宋体" w:hAnsi="宋体"/>
          <w:sz w:val="24"/>
          <w:szCs w:val="24"/>
        </w:rPr>
      </w:pPr>
      <w:r>
        <w:rPr>
          <w:rFonts w:hint="eastAsia" w:ascii="宋体" w:hAnsi="宋体"/>
          <w:sz w:val="24"/>
          <w:szCs w:val="24"/>
        </w:rPr>
        <w:t>投标人如需提出质疑的，应在法定质疑期内一次性提出针对同一采购程序环节的质疑。</w:t>
      </w:r>
    </w:p>
    <w:p>
      <w:pPr>
        <w:pStyle w:val="16"/>
      </w:pPr>
    </w:p>
    <w:p>
      <w:pPr>
        <w:pStyle w:val="3"/>
        <w:jc w:val="center"/>
        <w:rPr>
          <w:rFonts w:ascii="宋体" w:cs="宋体"/>
          <w:sz w:val="36"/>
          <w:szCs w:val="36"/>
        </w:rPr>
      </w:pPr>
      <w:bookmarkStart w:id="3" w:name="_Toc503519658"/>
      <w:r>
        <w:rPr>
          <w:rFonts w:hint="eastAsia" w:ascii="宋体" w:hAnsi="宋体" w:cs="宋体"/>
          <w:sz w:val="36"/>
          <w:szCs w:val="36"/>
        </w:rPr>
        <w:br w:type="page"/>
      </w:r>
      <w:r>
        <w:rPr>
          <w:rFonts w:hint="eastAsia" w:ascii="宋体" w:hAnsi="宋体" w:cs="宋体"/>
          <w:sz w:val="36"/>
          <w:szCs w:val="36"/>
          <w:lang w:val="en-US" w:eastAsia="zh-CN"/>
        </w:rPr>
        <w:t xml:space="preserve">  </w:t>
      </w:r>
      <w:r>
        <w:rPr>
          <w:rFonts w:hint="eastAsia" w:ascii="宋体" w:hAnsi="宋体" w:cs="宋体"/>
          <w:sz w:val="36"/>
          <w:szCs w:val="36"/>
        </w:rPr>
        <w:t>第三部分</w:t>
      </w:r>
      <w:r>
        <w:rPr>
          <w:rFonts w:ascii="宋体" w:hAnsi="宋体" w:cs="宋体"/>
          <w:sz w:val="36"/>
          <w:szCs w:val="36"/>
        </w:rPr>
        <w:t xml:space="preserve">   </w:t>
      </w:r>
      <w:r>
        <w:rPr>
          <w:rFonts w:hint="eastAsia" w:ascii="宋体" w:hAnsi="宋体" w:cs="宋体"/>
          <w:sz w:val="36"/>
          <w:szCs w:val="36"/>
        </w:rPr>
        <w:t>投标说明</w:t>
      </w:r>
      <w:bookmarkEnd w:id="3"/>
    </w:p>
    <w:p>
      <w:pPr>
        <w:spacing w:before="166" w:beforeLines="50" w:line="440" w:lineRule="exact"/>
        <w:ind w:firstLine="2249" w:firstLineChars="700"/>
        <w:jc w:val="both"/>
        <w:outlineLvl w:val="1"/>
        <w:rPr>
          <w:rFonts w:hint="eastAsia" w:ascii="宋体" w:hAnsi="宋体"/>
          <w:b/>
          <w:sz w:val="32"/>
        </w:rPr>
      </w:pPr>
      <w:bookmarkStart w:id="4" w:name="_Toc374721827"/>
      <w:bookmarkStart w:id="5" w:name="_Toc503519660"/>
      <w:r>
        <w:rPr>
          <w:rFonts w:hint="eastAsia" w:ascii="宋体" w:hAnsi="宋体"/>
          <w:b/>
          <w:sz w:val="32"/>
        </w:rPr>
        <w:t>第一章  对投标人的资质要求</w:t>
      </w:r>
      <w:bookmarkEnd w:id="4"/>
    </w:p>
    <w:p>
      <w:pPr>
        <w:spacing w:line="440" w:lineRule="exact"/>
        <w:ind w:firstLine="482" w:firstLineChars="200"/>
        <w:rPr>
          <w:rFonts w:hint="eastAsia" w:ascii="宋体" w:hAnsi="宋体"/>
          <w:b/>
          <w:sz w:val="24"/>
          <w:szCs w:val="24"/>
        </w:rPr>
      </w:pPr>
      <w:r>
        <w:rPr>
          <w:rFonts w:hint="eastAsia" w:ascii="宋体" w:hAnsi="宋体"/>
          <w:b/>
          <w:sz w:val="24"/>
          <w:szCs w:val="24"/>
        </w:rPr>
        <w:t>1、开标会的资质要求、开标时间及地点</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投标人的资格条件见投标人须知前附表。</w:t>
      </w:r>
    </w:p>
    <w:p>
      <w:pPr>
        <w:spacing w:line="440" w:lineRule="exact"/>
        <w:ind w:firstLine="480" w:firstLineChars="200"/>
        <w:rPr>
          <w:rFonts w:ascii="宋体" w:hAnsi="宋体"/>
          <w:sz w:val="24"/>
          <w:szCs w:val="24"/>
        </w:rPr>
      </w:pPr>
      <w:r>
        <w:rPr>
          <w:rFonts w:hint="eastAsia" w:ascii="宋体" w:hAnsi="宋体"/>
          <w:sz w:val="24"/>
          <w:szCs w:val="24"/>
        </w:rPr>
        <w:t>1.2投标人</w:t>
      </w:r>
      <w:r>
        <w:rPr>
          <w:rFonts w:hint="eastAsia" w:ascii="宋体" w:hAnsi="宋体"/>
          <w:bCs/>
          <w:sz w:val="24"/>
          <w:szCs w:val="24"/>
        </w:rPr>
        <w:t>响应文件正本</w:t>
      </w:r>
      <w:r>
        <w:rPr>
          <w:rFonts w:hint="eastAsia" w:ascii="宋体" w:hAnsi="宋体"/>
          <w:sz w:val="24"/>
          <w:szCs w:val="24"/>
        </w:rPr>
        <w:t>中必须按</w:t>
      </w:r>
      <w:r>
        <w:rPr>
          <w:rFonts w:hint="eastAsia" w:ascii="宋体" w:hAnsi="宋体"/>
          <w:sz w:val="24"/>
          <w:szCs w:val="24"/>
          <w:lang w:val="en-US" w:eastAsia="zh-CN"/>
        </w:rPr>
        <w:t>竞争性谈判文件</w:t>
      </w:r>
      <w:r>
        <w:rPr>
          <w:rFonts w:hint="eastAsia" w:ascii="宋体" w:hAnsi="宋体"/>
          <w:sz w:val="24"/>
          <w:szCs w:val="24"/>
        </w:rPr>
        <w:t>要求提供资格证明文件，作为</w:t>
      </w:r>
      <w:r>
        <w:rPr>
          <w:rFonts w:hint="eastAsia" w:ascii="宋体" w:hAnsi="宋体"/>
          <w:sz w:val="24"/>
          <w:szCs w:val="24"/>
          <w:lang w:val="en-US" w:eastAsia="zh-CN"/>
        </w:rPr>
        <w:t>响应</w:t>
      </w:r>
      <w:r>
        <w:rPr>
          <w:rFonts w:hint="eastAsia" w:ascii="宋体" w:hAnsi="宋体"/>
          <w:sz w:val="24"/>
          <w:szCs w:val="24"/>
        </w:rPr>
        <w:t xml:space="preserve">文件的一部分。 </w:t>
      </w:r>
    </w:p>
    <w:p>
      <w:pPr>
        <w:spacing w:line="440" w:lineRule="exact"/>
        <w:ind w:firstLine="480" w:firstLineChars="200"/>
        <w:rPr>
          <w:rFonts w:ascii="宋体" w:hAnsi="宋体"/>
          <w:b/>
          <w:sz w:val="24"/>
          <w:szCs w:val="24"/>
          <w:u w:val="single"/>
        </w:rPr>
      </w:pPr>
      <w:r>
        <w:rPr>
          <w:rFonts w:ascii="宋体" w:hAnsi="宋体"/>
          <w:bCs/>
          <w:sz w:val="24"/>
          <w:szCs w:val="24"/>
        </w:rPr>
        <w:t>1.</w:t>
      </w:r>
      <w:r>
        <w:rPr>
          <w:rFonts w:hint="eastAsia" w:ascii="宋体" w:hAnsi="宋体"/>
          <w:bCs/>
          <w:sz w:val="24"/>
          <w:szCs w:val="24"/>
        </w:rPr>
        <w:t>3</w:t>
      </w:r>
      <w:r>
        <w:rPr>
          <w:rFonts w:ascii="宋体" w:hAnsi="宋体"/>
          <w:bCs/>
          <w:sz w:val="24"/>
          <w:szCs w:val="24"/>
        </w:rPr>
        <w:t xml:space="preserve">  </w:t>
      </w:r>
      <w:r>
        <w:rPr>
          <w:rFonts w:hint="eastAsia" w:ascii="宋体" w:hAnsi="宋体"/>
          <w:bCs/>
          <w:sz w:val="24"/>
          <w:szCs w:val="24"/>
        </w:rPr>
        <w:t>所有资格证明文件，</w:t>
      </w:r>
      <w:r>
        <w:rPr>
          <w:rFonts w:hint="eastAsia" w:ascii="宋体" w:hAnsi="宋体"/>
          <w:b/>
          <w:bCs/>
          <w:sz w:val="24"/>
          <w:szCs w:val="24"/>
          <w:em w:val="dot"/>
        </w:rPr>
        <w:t>在资格文件正本中资格证明文件的复印件须加盖公章。</w:t>
      </w:r>
    </w:p>
    <w:p>
      <w:pPr>
        <w:spacing w:line="440" w:lineRule="exact"/>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4　所有资格证明文件必须满足</w:t>
      </w:r>
      <w:r>
        <w:rPr>
          <w:rFonts w:hint="eastAsia" w:ascii="宋体" w:hAnsi="宋体"/>
          <w:sz w:val="24"/>
          <w:szCs w:val="24"/>
          <w:lang w:val="en-US" w:eastAsia="zh-CN"/>
        </w:rPr>
        <w:t>竞争性谈判文件</w:t>
      </w:r>
      <w:r>
        <w:rPr>
          <w:rFonts w:hint="eastAsia" w:ascii="宋体" w:hAnsi="宋体"/>
          <w:bCs/>
          <w:sz w:val="24"/>
          <w:szCs w:val="24"/>
        </w:rPr>
        <w:t>的要求，否则将导致投标无效。</w:t>
      </w:r>
    </w:p>
    <w:p>
      <w:pPr>
        <w:pStyle w:val="3"/>
        <w:jc w:val="center"/>
        <w:rPr>
          <w:rFonts w:ascii="宋体" w:cs="宋体"/>
          <w:sz w:val="32"/>
          <w:szCs w:val="32"/>
        </w:rPr>
      </w:pPr>
      <w:r>
        <w:rPr>
          <w:rFonts w:hint="eastAsia" w:ascii="宋体" w:hAnsi="宋体" w:cs="宋体"/>
          <w:sz w:val="32"/>
          <w:szCs w:val="32"/>
        </w:rPr>
        <w:t>第二章</w:t>
      </w:r>
      <w:r>
        <w:rPr>
          <w:rFonts w:ascii="宋体" w:hAnsi="宋体" w:cs="宋体"/>
          <w:sz w:val="32"/>
          <w:szCs w:val="32"/>
        </w:rPr>
        <w:t xml:space="preserve"> </w:t>
      </w:r>
      <w:r>
        <w:rPr>
          <w:rFonts w:hint="eastAsia" w:ascii="宋体" w:hAnsi="宋体" w:cs="宋体"/>
          <w:sz w:val="32"/>
          <w:szCs w:val="32"/>
        </w:rPr>
        <w:t>响应性文件的编写</w:t>
      </w:r>
      <w:bookmarkEnd w:id="5"/>
    </w:p>
    <w:p>
      <w:pPr>
        <w:spacing w:line="440" w:lineRule="exact"/>
        <w:ind w:firstLine="482" w:firstLineChars="200"/>
        <w:rPr>
          <w:rFonts w:ascii="宋体" w:cs="宋体"/>
          <w:b/>
          <w:sz w:val="24"/>
        </w:rPr>
      </w:pPr>
      <w:r>
        <w:rPr>
          <w:rFonts w:ascii="宋体" w:hAnsi="宋体" w:cs="宋体"/>
          <w:b/>
          <w:sz w:val="24"/>
        </w:rPr>
        <w:t>2</w:t>
      </w:r>
      <w:r>
        <w:rPr>
          <w:rFonts w:hint="eastAsia" w:ascii="宋体" w:hAnsi="宋体" w:cs="宋体"/>
          <w:b/>
          <w:sz w:val="24"/>
        </w:rPr>
        <w:t>、</w:t>
      </w:r>
      <w:r>
        <w:rPr>
          <w:rFonts w:ascii="宋体" w:hAnsi="宋体" w:cs="宋体"/>
          <w:b/>
          <w:sz w:val="24"/>
        </w:rPr>
        <w:t xml:space="preserve"> </w:t>
      </w:r>
      <w:r>
        <w:rPr>
          <w:rFonts w:hint="eastAsia" w:ascii="宋体" w:hAnsi="宋体" w:cs="宋体"/>
          <w:b/>
          <w:sz w:val="24"/>
        </w:rPr>
        <w:t>要求</w:t>
      </w:r>
    </w:p>
    <w:p>
      <w:pPr>
        <w:spacing w:line="440" w:lineRule="exact"/>
        <w:ind w:firstLine="480" w:firstLineChars="200"/>
        <w:jc w:val="left"/>
        <w:rPr>
          <w:rFonts w:ascii="宋体" w:cs="宋体"/>
          <w:sz w:val="24"/>
          <w:highlight w:val="none"/>
        </w:rPr>
      </w:pPr>
      <w:r>
        <w:rPr>
          <w:rFonts w:ascii="宋体" w:hAnsi="宋体" w:cs="宋体"/>
          <w:sz w:val="24"/>
        </w:rPr>
        <w:t xml:space="preserve">2.1   </w:t>
      </w:r>
      <w:r>
        <w:rPr>
          <w:rFonts w:hint="eastAsia" w:ascii="宋体" w:hAnsi="宋体" w:cs="宋体"/>
          <w:sz w:val="24"/>
        </w:rPr>
        <w:t>投标人应详细阅读竞争性谈判文件中的条款、规范、表示、条件和格式等所有内容，按竞争性谈判文件的要求份数提供响应性文件，并保证所提供全部材料的真</w:t>
      </w:r>
      <w:r>
        <w:rPr>
          <w:rFonts w:hint="eastAsia" w:ascii="宋体" w:hAnsi="宋体" w:cs="宋体"/>
          <w:sz w:val="24"/>
          <w:highlight w:val="none"/>
        </w:rPr>
        <w:t>实性，以使其投标对竞争性谈判文件做出实质性响应。否则，其投标可能被拒绝。</w:t>
      </w:r>
    </w:p>
    <w:p>
      <w:pPr>
        <w:spacing w:line="440" w:lineRule="exact"/>
        <w:ind w:firstLine="482" w:firstLineChars="200"/>
        <w:rPr>
          <w:rFonts w:ascii="宋体" w:cs="宋体"/>
          <w:b/>
          <w:sz w:val="24"/>
          <w:highlight w:val="none"/>
        </w:rPr>
      </w:pPr>
      <w:r>
        <w:rPr>
          <w:rFonts w:ascii="宋体" w:hAnsi="宋体" w:cs="宋体"/>
          <w:b/>
          <w:sz w:val="24"/>
          <w:highlight w:val="none"/>
        </w:rPr>
        <w:t>3</w:t>
      </w:r>
      <w:r>
        <w:rPr>
          <w:rFonts w:hint="eastAsia" w:ascii="宋体" w:hAnsi="宋体" w:cs="宋体"/>
          <w:b/>
          <w:sz w:val="24"/>
          <w:highlight w:val="none"/>
        </w:rPr>
        <w:t>、响应性文件语言和度量单位</w:t>
      </w:r>
    </w:p>
    <w:p>
      <w:pPr>
        <w:spacing w:line="440" w:lineRule="exact"/>
        <w:ind w:firstLine="480" w:firstLineChars="200"/>
        <w:jc w:val="left"/>
        <w:rPr>
          <w:rFonts w:ascii="宋体" w:cs="宋体"/>
          <w:sz w:val="24"/>
          <w:highlight w:val="none"/>
        </w:rPr>
      </w:pPr>
      <w:r>
        <w:rPr>
          <w:rFonts w:ascii="宋体" w:hAnsi="宋体" w:cs="宋体"/>
          <w:sz w:val="24"/>
          <w:highlight w:val="none"/>
        </w:rPr>
        <w:t xml:space="preserve">3.1   </w:t>
      </w:r>
      <w:r>
        <w:rPr>
          <w:rFonts w:hint="eastAsia" w:ascii="宋体" w:hAnsi="宋体" w:cs="宋体"/>
          <w:sz w:val="24"/>
          <w:highlight w:val="none"/>
        </w:rPr>
        <w:t>竞争性谈判文件及投标人和招标方就招标、投标交换的文件和往来信件，须以中文书写。</w:t>
      </w:r>
    </w:p>
    <w:p>
      <w:pPr>
        <w:spacing w:line="440" w:lineRule="exact"/>
        <w:ind w:firstLine="480" w:firstLineChars="200"/>
        <w:jc w:val="left"/>
        <w:rPr>
          <w:rFonts w:hint="eastAsia" w:ascii="宋体" w:hAnsi="宋体" w:cs="宋体"/>
          <w:sz w:val="24"/>
          <w:highlight w:val="none"/>
        </w:rPr>
      </w:pPr>
      <w:r>
        <w:rPr>
          <w:rFonts w:ascii="宋体" w:hAnsi="宋体" w:cs="宋体"/>
          <w:sz w:val="24"/>
          <w:highlight w:val="none"/>
        </w:rPr>
        <w:t xml:space="preserve">3.2   </w:t>
      </w:r>
      <w:r>
        <w:rPr>
          <w:rFonts w:hint="eastAsia" w:ascii="宋体" w:hAnsi="宋体" w:cs="宋体"/>
          <w:sz w:val="24"/>
          <w:highlight w:val="none"/>
        </w:rPr>
        <w:t>除在竞争性谈判文件的技术规格中另有规定外，计量单位应使用中华人民共和国法定计量单位。</w:t>
      </w:r>
    </w:p>
    <w:p>
      <w:pPr>
        <w:spacing w:line="440" w:lineRule="exact"/>
        <w:ind w:firstLine="482" w:firstLineChars="200"/>
        <w:rPr>
          <w:rFonts w:hint="eastAsia" w:ascii="宋体" w:hAnsi="宋体"/>
          <w:b/>
          <w:sz w:val="24"/>
          <w:szCs w:val="24"/>
          <w:highlight w:val="none"/>
        </w:rPr>
      </w:pPr>
      <w:r>
        <w:rPr>
          <w:rFonts w:hint="eastAsia" w:ascii="宋体" w:hAnsi="宋体"/>
          <w:b/>
          <w:sz w:val="24"/>
          <w:szCs w:val="24"/>
          <w:highlight w:val="none"/>
        </w:rPr>
        <w:t>4. 投标文件的组成</w:t>
      </w:r>
    </w:p>
    <w:p>
      <w:pPr>
        <w:spacing w:line="440" w:lineRule="exact"/>
        <w:ind w:firstLine="480" w:firstLineChars="200"/>
        <w:rPr>
          <w:rFonts w:ascii="宋体" w:hAnsi="宋体"/>
          <w:sz w:val="24"/>
          <w:szCs w:val="24"/>
          <w:highlight w:val="none"/>
        </w:rPr>
      </w:pPr>
      <w:r>
        <w:rPr>
          <w:rFonts w:ascii="宋体" w:hAnsi="宋体"/>
          <w:sz w:val="24"/>
          <w:szCs w:val="24"/>
          <w:highlight w:val="none"/>
        </w:rPr>
        <w:t>4.1</w:t>
      </w:r>
      <w:r>
        <w:rPr>
          <w:rFonts w:hint="eastAsia" w:ascii="宋体" w:hAnsi="宋体"/>
          <w:sz w:val="24"/>
          <w:szCs w:val="24"/>
          <w:highlight w:val="none"/>
        </w:rPr>
        <w:t>　投标人编写的投标文件应包括但不限于下列内容：</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4.1.1　资格文件：</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★(1)供应商符合投标人资格条件的证明文件</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4.1.2　价格及商务部分：</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响应承诺书</w:t>
      </w:r>
      <w:r>
        <w:rPr>
          <w:rFonts w:hint="eastAsia" w:ascii="宋体" w:hAnsi="宋体"/>
          <w:sz w:val="24"/>
          <w:szCs w:val="24"/>
          <w:highlight w:val="none"/>
        </w:rPr>
        <w:t>(含法定代表人身份证明或授权委托书)</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★(2)谈判响应报价表</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(3)分项价格表</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(4)商务条款偏离表</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(5)符合政府采购政策的证明材料</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(6)投标人须知前附表要求投标人提交的其他资料</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(7)供应商认为需提供的其他资料</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4.1.3　技术部分</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(1)货物说明一览表、实施方案、技术方案或服务方案</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(2)技术条款偏离表</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(3)投标人售后服务承诺</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(4)用于本项目人员简历表</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(5)投标标的物符合</w:t>
      </w:r>
      <w:r>
        <w:rPr>
          <w:rFonts w:hint="eastAsia" w:ascii="宋体" w:hAnsi="宋体"/>
          <w:sz w:val="24"/>
          <w:szCs w:val="24"/>
          <w:highlight w:val="none"/>
          <w:lang w:val="en-US" w:eastAsia="zh-CN"/>
        </w:rPr>
        <w:t>竞争性谈判文件</w:t>
      </w:r>
      <w:r>
        <w:rPr>
          <w:rFonts w:hint="eastAsia" w:ascii="宋体" w:hAnsi="宋体"/>
          <w:sz w:val="24"/>
          <w:szCs w:val="24"/>
          <w:highlight w:val="none"/>
        </w:rPr>
        <w:t>规定的其他证明材料</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(6)其他资料</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★4.2　投标人须知前附表规定供应商在投标时提供样品的，供应商有以下情形之一的，在投标时将其样品视为无效样品。</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(1)未在投标人须知前附表规定的提交时间、地点提交的；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(2)供应商提供的样品与投标文件中型号、规格不一致的。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4.3　在投标过程中，投标人根据评标委员会书面形式要求提供的澄清文件是投标文件的有效组成部分。</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4.4　供应商无论中标与否，其投标文件不予退还。</w:t>
      </w:r>
    </w:p>
    <w:p>
      <w:pPr>
        <w:spacing w:line="440" w:lineRule="exact"/>
        <w:ind w:firstLine="482" w:firstLineChars="200"/>
        <w:rPr>
          <w:rFonts w:hint="eastAsia" w:ascii="宋体" w:hAnsi="宋体"/>
          <w:b/>
          <w:sz w:val="24"/>
          <w:szCs w:val="24"/>
          <w:highlight w:val="none"/>
        </w:rPr>
      </w:pPr>
      <w:r>
        <w:rPr>
          <w:rFonts w:hint="eastAsia" w:ascii="宋体" w:hAnsi="宋体"/>
          <w:b/>
          <w:sz w:val="24"/>
          <w:szCs w:val="24"/>
          <w:highlight w:val="none"/>
        </w:rPr>
        <w:t>5. 投标文件格式</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见投标须知前附表。</w:t>
      </w:r>
    </w:p>
    <w:p>
      <w:pPr>
        <w:spacing w:line="440" w:lineRule="exact"/>
        <w:ind w:firstLine="482" w:firstLineChars="200"/>
        <w:rPr>
          <w:rFonts w:ascii="宋体" w:hAnsi="宋体"/>
          <w:b/>
          <w:sz w:val="24"/>
          <w:szCs w:val="24"/>
          <w:highlight w:val="none"/>
        </w:rPr>
      </w:pPr>
      <w:r>
        <w:rPr>
          <w:rFonts w:ascii="宋体" w:hAnsi="宋体"/>
          <w:b/>
          <w:sz w:val="24"/>
          <w:szCs w:val="24"/>
          <w:highlight w:val="none"/>
        </w:rPr>
        <w:t xml:space="preserve">6. </w:t>
      </w:r>
      <w:r>
        <w:rPr>
          <w:rFonts w:hint="eastAsia" w:ascii="宋体" w:hAnsi="宋体"/>
          <w:b/>
          <w:sz w:val="24"/>
          <w:szCs w:val="24"/>
          <w:highlight w:val="none"/>
        </w:rPr>
        <w:t>投标报价</w:t>
      </w:r>
    </w:p>
    <w:p>
      <w:pPr>
        <w:pStyle w:val="10"/>
        <w:spacing w:line="440" w:lineRule="exact"/>
        <w:ind w:firstLine="480" w:firstLineChars="200"/>
        <w:rPr>
          <w:rFonts w:hAnsi="宋体"/>
          <w:sz w:val="24"/>
          <w:szCs w:val="24"/>
          <w:highlight w:val="none"/>
        </w:rPr>
      </w:pPr>
      <w:r>
        <w:rPr>
          <w:rFonts w:hAnsi="宋体"/>
          <w:sz w:val="24"/>
          <w:szCs w:val="24"/>
          <w:highlight w:val="none"/>
        </w:rPr>
        <w:t>6</w:t>
      </w:r>
      <w:r>
        <w:rPr>
          <w:rFonts w:hint="eastAsia" w:hAnsi="宋体"/>
          <w:sz w:val="24"/>
          <w:szCs w:val="24"/>
          <w:highlight w:val="none"/>
        </w:rPr>
        <w:t>.1 投标人应按竞争性谈判文件规定的供货及服务要求、责任范围和合同条件以人民币形式进行报价。投标报价应为完税价。</w:t>
      </w:r>
    </w:p>
    <w:p>
      <w:pPr>
        <w:pStyle w:val="10"/>
        <w:spacing w:line="440" w:lineRule="exact"/>
        <w:ind w:firstLine="480" w:firstLineChars="200"/>
        <w:rPr>
          <w:rFonts w:hAnsi="宋体"/>
          <w:sz w:val="24"/>
          <w:szCs w:val="24"/>
          <w:highlight w:val="none"/>
        </w:rPr>
      </w:pPr>
      <w:r>
        <w:rPr>
          <w:rFonts w:hAnsi="宋体"/>
          <w:sz w:val="24"/>
          <w:szCs w:val="24"/>
          <w:highlight w:val="none"/>
        </w:rPr>
        <w:t>6</w:t>
      </w:r>
      <w:r>
        <w:rPr>
          <w:rFonts w:hint="eastAsia" w:hAnsi="宋体"/>
          <w:sz w:val="24"/>
          <w:szCs w:val="24"/>
          <w:highlight w:val="none"/>
        </w:rPr>
        <w:t>.</w:t>
      </w:r>
      <w:r>
        <w:rPr>
          <w:rFonts w:hAnsi="宋体"/>
          <w:sz w:val="24"/>
          <w:szCs w:val="24"/>
          <w:highlight w:val="none"/>
        </w:rPr>
        <w:t>3</w:t>
      </w:r>
      <w:r>
        <w:rPr>
          <w:rFonts w:hint="eastAsia" w:hAnsi="宋体"/>
          <w:sz w:val="24"/>
          <w:szCs w:val="24"/>
          <w:highlight w:val="none"/>
        </w:rPr>
        <w:t xml:space="preserve"> 投标人必须按</w:t>
      </w:r>
      <w:r>
        <w:rPr>
          <w:rFonts w:hint="eastAsia" w:ascii="宋体" w:hAnsi="宋体"/>
          <w:sz w:val="24"/>
          <w:szCs w:val="24"/>
          <w:highlight w:val="none"/>
        </w:rPr>
        <w:t>谈判响应报价表</w:t>
      </w:r>
      <w:r>
        <w:rPr>
          <w:rFonts w:hint="eastAsia" w:hAnsi="宋体"/>
          <w:sz w:val="24"/>
          <w:szCs w:val="24"/>
          <w:highlight w:val="none"/>
        </w:rPr>
        <w:t>和明细报价表的内容和格式要求填写各项货物及服务的分项价格和总价。投标人在投标人须知前附表规定的投标文件截止之日前修改</w:t>
      </w:r>
      <w:r>
        <w:rPr>
          <w:rFonts w:hint="eastAsia" w:ascii="宋体" w:hAnsi="宋体"/>
          <w:sz w:val="24"/>
          <w:szCs w:val="24"/>
          <w:highlight w:val="none"/>
        </w:rPr>
        <w:t>谈判响应报价表</w:t>
      </w:r>
      <w:r>
        <w:rPr>
          <w:rFonts w:hint="eastAsia" w:hAnsi="宋体"/>
          <w:sz w:val="24"/>
          <w:szCs w:val="24"/>
          <w:highlight w:val="none"/>
        </w:rPr>
        <w:t>中的报价的，应同时修改其明细报价表中的报价。</w:t>
      </w:r>
    </w:p>
    <w:p>
      <w:pPr>
        <w:spacing w:line="440" w:lineRule="exact"/>
        <w:ind w:firstLine="480" w:firstLineChars="200"/>
        <w:rPr>
          <w:rFonts w:ascii="宋体" w:hAnsi="宋体"/>
          <w:bCs/>
          <w:sz w:val="24"/>
          <w:szCs w:val="24"/>
          <w:highlight w:val="none"/>
        </w:rPr>
      </w:pPr>
      <w:r>
        <w:rPr>
          <w:rFonts w:ascii="宋体" w:hAnsi="宋体"/>
          <w:bCs/>
          <w:sz w:val="24"/>
          <w:szCs w:val="24"/>
          <w:highlight w:val="none"/>
        </w:rPr>
        <w:t xml:space="preserve">6.4 </w:t>
      </w:r>
      <w:r>
        <w:rPr>
          <w:rFonts w:hint="eastAsia" w:ascii="宋体" w:hAnsi="宋体"/>
          <w:bCs/>
          <w:sz w:val="24"/>
          <w:szCs w:val="24"/>
          <w:highlight w:val="none"/>
        </w:rPr>
        <w:t>投标人应在明细报价表上标明综合单价和总价。</w:t>
      </w:r>
    </w:p>
    <w:p>
      <w:pPr>
        <w:spacing w:line="440" w:lineRule="exact"/>
        <w:ind w:firstLine="480" w:firstLineChars="200"/>
        <w:rPr>
          <w:rFonts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）投标文件中</w:t>
      </w:r>
      <w:r>
        <w:rPr>
          <w:rFonts w:hint="eastAsia" w:ascii="宋体" w:hAnsi="宋体"/>
          <w:sz w:val="24"/>
          <w:szCs w:val="24"/>
          <w:highlight w:val="none"/>
        </w:rPr>
        <w:t>谈判响应报价表</w:t>
      </w:r>
      <w:r>
        <w:rPr>
          <w:rFonts w:ascii="宋体" w:hAnsi="宋体"/>
          <w:sz w:val="24"/>
          <w:szCs w:val="24"/>
          <w:highlight w:val="none"/>
        </w:rPr>
        <w:t>（报价表）内容与</w:t>
      </w:r>
      <w:r>
        <w:rPr>
          <w:rFonts w:hint="eastAsia" w:ascii="宋体" w:hAnsi="宋体"/>
          <w:sz w:val="24"/>
          <w:szCs w:val="24"/>
          <w:highlight w:val="none"/>
          <w:lang w:val="en-US" w:eastAsia="zh-CN"/>
        </w:rPr>
        <w:t>响应</w:t>
      </w:r>
      <w:r>
        <w:rPr>
          <w:rFonts w:ascii="宋体" w:hAnsi="宋体"/>
          <w:sz w:val="24"/>
          <w:szCs w:val="24"/>
          <w:highlight w:val="none"/>
        </w:rPr>
        <w:t>文件中相应内容不一致的，以</w:t>
      </w:r>
      <w:r>
        <w:rPr>
          <w:rFonts w:hint="eastAsia" w:ascii="宋体" w:hAnsi="宋体"/>
          <w:sz w:val="24"/>
          <w:szCs w:val="24"/>
          <w:highlight w:val="none"/>
        </w:rPr>
        <w:t>谈判响应报价表</w:t>
      </w:r>
      <w:r>
        <w:rPr>
          <w:rFonts w:ascii="宋体" w:hAnsi="宋体"/>
          <w:sz w:val="24"/>
          <w:szCs w:val="24"/>
          <w:highlight w:val="none"/>
        </w:rPr>
        <w:t>（报价表）为准；</w:t>
      </w:r>
    </w:p>
    <w:p>
      <w:pPr>
        <w:spacing w:line="440" w:lineRule="exact"/>
        <w:ind w:firstLine="480" w:firstLineChars="200"/>
        <w:rPr>
          <w:rFonts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）大写金额和小写金额不一致的，以大写金额为准；</w:t>
      </w:r>
    </w:p>
    <w:p>
      <w:pPr>
        <w:spacing w:line="440" w:lineRule="exact"/>
        <w:ind w:firstLine="480" w:firstLineChars="200"/>
        <w:rPr>
          <w:rFonts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）单价金额小数点或者百分比有明显错位的，以</w:t>
      </w:r>
      <w:r>
        <w:rPr>
          <w:rFonts w:hint="eastAsia" w:ascii="宋体" w:hAnsi="宋体"/>
          <w:sz w:val="24"/>
          <w:szCs w:val="24"/>
          <w:highlight w:val="none"/>
        </w:rPr>
        <w:t>谈判响应报价表</w:t>
      </w:r>
      <w:r>
        <w:rPr>
          <w:rFonts w:ascii="宋体" w:hAnsi="宋体"/>
          <w:sz w:val="24"/>
          <w:szCs w:val="24"/>
          <w:highlight w:val="none"/>
        </w:rPr>
        <w:t>（报价表）的总价为准，并修改单价；</w:t>
      </w:r>
    </w:p>
    <w:p>
      <w:pPr>
        <w:spacing w:line="440" w:lineRule="exact"/>
        <w:ind w:firstLine="480" w:firstLineChars="200"/>
        <w:rPr>
          <w:rFonts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4</w:t>
      </w:r>
      <w:r>
        <w:rPr>
          <w:rFonts w:ascii="宋体" w:hAnsi="宋体"/>
          <w:sz w:val="24"/>
          <w:szCs w:val="24"/>
          <w:highlight w:val="none"/>
        </w:rPr>
        <w:t>）总价金额与按单价汇总金额不一致的，以单价金额计算结果为准。</w:t>
      </w:r>
    </w:p>
    <w:p>
      <w:pPr>
        <w:pStyle w:val="10"/>
        <w:spacing w:line="440" w:lineRule="exact"/>
        <w:ind w:firstLine="480" w:firstLineChars="200"/>
        <w:rPr>
          <w:rFonts w:hAnsi="宋体"/>
          <w:bCs/>
          <w:sz w:val="24"/>
          <w:szCs w:val="24"/>
          <w:highlight w:val="none"/>
        </w:rPr>
      </w:pPr>
      <w:r>
        <w:rPr>
          <w:rFonts w:hint="eastAsia" w:hAnsi="宋体"/>
          <w:bCs/>
          <w:sz w:val="24"/>
          <w:szCs w:val="24"/>
          <w:highlight w:val="none"/>
        </w:rPr>
        <w:t>同时出现两种以上不一致的，按照前款规定的顺序修正。修正后的报价经投标人确认后产生约束力，投标人不确认的，其投标无效。</w:t>
      </w:r>
    </w:p>
    <w:p>
      <w:pPr>
        <w:pStyle w:val="10"/>
        <w:spacing w:line="440" w:lineRule="exact"/>
        <w:ind w:firstLine="480" w:firstLineChars="200"/>
        <w:rPr>
          <w:rFonts w:hAnsi="宋体"/>
          <w:sz w:val="24"/>
          <w:szCs w:val="24"/>
          <w:highlight w:val="none"/>
        </w:rPr>
      </w:pPr>
      <w:r>
        <w:rPr>
          <w:rFonts w:hint="eastAsia" w:hAnsi="宋体"/>
          <w:sz w:val="24"/>
          <w:szCs w:val="24"/>
          <w:highlight w:val="none"/>
        </w:rPr>
        <w:t>★</w:t>
      </w:r>
      <w:r>
        <w:rPr>
          <w:rFonts w:hAnsi="宋体"/>
          <w:sz w:val="24"/>
          <w:szCs w:val="24"/>
          <w:highlight w:val="none"/>
        </w:rPr>
        <w:t>6</w:t>
      </w:r>
      <w:r>
        <w:rPr>
          <w:rFonts w:hint="eastAsia" w:hAnsi="宋体"/>
          <w:sz w:val="24"/>
          <w:szCs w:val="24"/>
          <w:highlight w:val="none"/>
        </w:rPr>
        <w:t>.</w:t>
      </w:r>
      <w:r>
        <w:rPr>
          <w:rFonts w:hAnsi="宋体"/>
          <w:sz w:val="24"/>
          <w:szCs w:val="24"/>
          <w:highlight w:val="none"/>
        </w:rPr>
        <w:t>5</w:t>
      </w:r>
      <w:r>
        <w:rPr>
          <w:rFonts w:hint="eastAsia" w:hAnsi="宋体"/>
          <w:sz w:val="24"/>
          <w:szCs w:val="24"/>
          <w:highlight w:val="none"/>
        </w:rPr>
        <w:t>　投标人对每种货物及服务只允许有一个报价，不接受可变动性报价、赠送，否则，在评标时将其视为无效投标。</w:t>
      </w:r>
    </w:p>
    <w:p>
      <w:pPr>
        <w:spacing w:line="440" w:lineRule="exact"/>
        <w:ind w:firstLine="480" w:firstLineChars="200"/>
        <w:rPr>
          <w:rFonts w:ascii="宋体" w:hAnsi="宋体"/>
          <w:sz w:val="24"/>
          <w:szCs w:val="24"/>
          <w:highlight w:val="none"/>
        </w:rPr>
      </w:pPr>
      <w:r>
        <w:rPr>
          <w:rFonts w:ascii="宋体" w:hAnsi="宋体"/>
          <w:sz w:val="24"/>
          <w:szCs w:val="24"/>
          <w:highlight w:val="none"/>
        </w:rPr>
        <w:t xml:space="preserve">6.6  </w:t>
      </w:r>
      <w:r>
        <w:rPr>
          <w:rFonts w:hint="eastAsia" w:ascii="宋体" w:hAnsi="宋体"/>
          <w:sz w:val="24"/>
          <w:szCs w:val="24"/>
          <w:highlight w:val="none"/>
        </w:rPr>
        <w:t>投标报价不符合</w:t>
      </w:r>
      <w:r>
        <w:rPr>
          <w:rFonts w:hint="eastAsia" w:hAnsi="宋体"/>
          <w:sz w:val="24"/>
          <w:szCs w:val="24"/>
          <w:highlight w:val="none"/>
        </w:rPr>
        <w:t>竞争性谈判文件</w:t>
      </w:r>
      <w:r>
        <w:rPr>
          <w:rFonts w:hint="eastAsia" w:ascii="宋体" w:hAnsi="宋体"/>
          <w:sz w:val="24"/>
          <w:szCs w:val="24"/>
          <w:highlight w:val="none"/>
        </w:rPr>
        <w:t>对投标报价要求的，为无效投标。</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rPr>
        <w:t>6.</w:t>
      </w:r>
      <w:r>
        <w:rPr>
          <w:rFonts w:ascii="宋体" w:hAnsi="宋体"/>
          <w:sz w:val="24"/>
          <w:szCs w:val="24"/>
          <w:highlight w:val="none"/>
        </w:rPr>
        <w:t>7</w:t>
      </w:r>
      <w:r>
        <w:rPr>
          <w:rFonts w:hint="eastAsia" w:ascii="宋体" w:hAnsi="宋体"/>
          <w:sz w:val="24"/>
          <w:szCs w:val="24"/>
          <w:highlight w:val="none"/>
        </w:rPr>
        <w:t>投标报价超预算金额（最高限价）的，为无效投标。</w:t>
      </w:r>
    </w:p>
    <w:p>
      <w:pPr>
        <w:spacing w:line="440" w:lineRule="exact"/>
        <w:ind w:firstLine="480" w:firstLineChars="200"/>
        <w:rPr>
          <w:rFonts w:ascii="宋体" w:hAnsi="宋体"/>
          <w:bCs/>
          <w:sz w:val="24"/>
          <w:szCs w:val="24"/>
          <w:highlight w:val="none"/>
        </w:rPr>
      </w:pPr>
      <w:r>
        <w:rPr>
          <w:rFonts w:ascii="宋体" w:hAnsi="宋体"/>
          <w:bCs/>
          <w:sz w:val="24"/>
          <w:szCs w:val="24"/>
          <w:highlight w:val="none"/>
        </w:rPr>
        <w:t>6.</w:t>
      </w:r>
      <w:r>
        <w:rPr>
          <w:rFonts w:hint="eastAsia" w:ascii="宋体" w:hAnsi="宋体"/>
          <w:bCs/>
          <w:sz w:val="24"/>
          <w:szCs w:val="24"/>
          <w:highlight w:val="none"/>
        </w:rPr>
        <w:t>8</w:t>
      </w:r>
      <w:r>
        <w:rPr>
          <w:rFonts w:ascii="宋体" w:hAnsi="宋体"/>
          <w:bCs/>
          <w:sz w:val="24"/>
          <w:szCs w:val="24"/>
          <w:highlight w:val="none"/>
        </w:rPr>
        <w:t xml:space="preserve"> </w:t>
      </w:r>
      <w:r>
        <w:rPr>
          <w:rFonts w:hint="eastAsia" w:ascii="宋体" w:hAnsi="宋体"/>
          <w:bCs/>
          <w:sz w:val="24"/>
          <w:szCs w:val="24"/>
          <w:highlight w:val="none"/>
        </w:rPr>
        <w:t>投标报价是履行合同的最终价格，应包括下列几项费用：</w:t>
      </w:r>
    </w:p>
    <w:p>
      <w:pPr>
        <w:spacing w:line="440" w:lineRule="exact"/>
        <w:ind w:firstLine="360" w:firstLineChars="15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w:t>
      </w:r>
      <w:r>
        <w:rPr>
          <w:rFonts w:hint="eastAsia" w:ascii="宋体" w:hAnsi="宋体"/>
          <w:bCs/>
          <w:sz w:val="24"/>
          <w:szCs w:val="24"/>
          <w:highlight w:val="none"/>
        </w:rPr>
        <w:t>）</w:t>
      </w:r>
      <w:r>
        <w:rPr>
          <w:rFonts w:hint="eastAsia" w:hAnsi="宋体"/>
          <w:sz w:val="24"/>
          <w:szCs w:val="24"/>
          <w:highlight w:val="none"/>
        </w:rPr>
        <w:t>竞争性谈判文件</w:t>
      </w:r>
      <w:r>
        <w:rPr>
          <w:rFonts w:hint="eastAsia" w:ascii="宋体" w:hAnsi="宋体"/>
          <w:bCs/>
          <w:sz w:val="24"/>
          <w:szCs w:val="24"/>
          <w:highlight w:val="none"/>
        </w:rPr>
        <w:t>中特别要求的备品备件、易损件和专用工具的费用；</w:t>
      </w:r>
    </w:p>
    <w:p>
      <w:pPr>
        <w:spacing w:line="440" w:lineRule="exact"/>
        <w:ind w:firstLine="360" w:firstLineChars="15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2</w:t>
      </w:r>
      <w:r>
        <w:rPr>
          <w:rFonts w:hint="eastAsia" w:ascii="宋体" w:hAnsi="宋体"/>
          <w:bCs/>
          <w:sz w:val="24"/>
          <w:szCs w:val="24"/>
          <w:highlight w:val="none"/>
        </w:rPr>
        <w:t>）</w:t>
      </w:r>
      <w:r>
        <w:rPr>
          <w:rFonts w:hint="eastAsia" w:hAnsi="宋体"/>
          <w:sz w:val="24"/>
          <w:szCs w:val="24"/>
          <w:highlight w:val="none"/>
        </w:rPr>
        <w:t>竞争性谈判文件</w:t>
      </w:r>
      <w:r>
        <w:rPr>
          <w:rFonts w:hint="eastAsia" w:ascii="宋体" w:hAnsi="宋体"/>
          <w:bCs/>
          <w:sz w:val="24"/>
          <w:szCs w:val="24"/>
          <w:highlight w:val="none"/>
        </w:rPr>
        <w:t>中特别要求的安装、调试、培训、运输、保险及其它附带服务的全部费用；</w:t>
      </w:r>
    </w:p>
    <w:p>
      <w:pPr>
        <w:spacing w:line="440" w:lineRule="exact"/>
        <w:ind w:firstLine="360" w:firstLineChars="15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3</w:t>
      </w:r>
      <w:r>
        <w:rPr>
          <w:rFonts w:hint="eastAsia" w:ascii="宋体" w:hAnsi="宋体"/>
          <w:bCs/>
          <w:sz w:val="24"/>
          <w:szCs w:val="24"/>
          <w:highlight w:val="none"/>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4</w:t>
      </w:r>
      <w:r>
        <w:rPr>
          <w:rFonts w:hint="eastAsia" w:ascii="宋体" w:hAnsi="宋体"/>
          <w:bCs/>
          <w:sz w:val="24"/>
          <w:szCs w:val="24"/>
          <w:highlight w:val="none"/>
        </w:rPr>
        <w:t>）综合单价必须包括货物、安装、调试、技术支持、运输保险、售后服务、培训及其它必需服务的报价。</w:t>
      </w:r>
    </w:p>
    <w:p>
      <w:pPr>
        <w:spacing w:line="440" w:lineRule="exact"/>
        <w:ind w:left="480"/>
        <w:rPr>
          <w:rFonts w:ascii="宋体" w:hAnsi="宋体"/>
          <w:b/>
          <w:sz w:val="24"/>
          <w:szCs w:val="24"/>
          <w:highlight w:val="none"/>
        </w:rPr>
      </w:pPr>
      <w:r>
        <w:rPr>
          <w:rFonts w:ascii="宋体" w:hAnsi="宋体"/>
          <w:b/>
          <w:sz w:val="24"/>
          <w:szCs w:val="24"/>
          <w:highlight w:val="none"/>
        </w:rPr>
        <w:t xml:space="preserve">7. </w:t>
      </w:r>
      <w:r>
        <w:rPr>
          <w:rFonts w:hint="eastAsia" w:ascii="宋体" w:hAnsi="宋体"/>
          <w:b/>
          <w:sz w:val="24"/>
          <w:szCs w:val="24"/>
          <w:highlight w:val="none"/>
        </w:rPr>
        <w:t>证明货物的合格性和符合竞争性谈判文件规定的文件</w:t>
      </w:r>
    </w:p>
    <w:p>
      <w:pPr>
        <w:adjustRightInd w:val="0"/>
        <w:snapToGrid w:val="0"/>
        <w:spacing w:line="440" w:lineRule="exact"/>
        <w:ind w:firstLine="424" w:firstLineChars="177"/>
        <w:rPr>
          <w:rFonts w:ascii="宋体" w:hAnsi="宋体"/>
          <w:sz w:val="24"/>
          <w:szCs w:val="24"/>
          <w:highlight w:val="none"/>
        </w:rPr>
      </w:pPr>
      <w:r>
        <w:rPr>
          <w:rFonts w:ascii="宋体" w:hAnsi="宋体"/>
          <w:sz w:val="24"/>
          <w:szCs w:val="24"/>
          <w:highlight w:val="none"/>
        </w:rPr>
        <w:t xml:space="preserve">7.1 </w:t>
      </w:r>
      <w:r>
        <w:rPr>
          <w:rFonts w:hint="eastAsia" w:ascii="宋体" w:hAnsi="宋体"/>
          <w:sz w:val="24"/>
          <w:szCs w:val="24"/>
          <w:highlight w:val="none"/>
        </w:rPr>
        <w:t>投标人应提交证明文件证明其拟投标的货物的合格性符合竞争性谈判文件规定。该证明文件作为投标文件的一部分。</w:t>
      </w:r>
    </w:p>
    <w:p>
      <w:pPr>
        <w:spacing w:line="44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投标人的服务承诺应按不低于</w:t>
      </w:r>
      <w:r>
        <w:rPr>
          <w:rFonts w:hint="eastAsia" w:hAnsi="宋体"/>
          <w:sz w:val="24"/>
          <w:szCs w:val="24"/>
          <w:highlight w:val="none"/>
        </w:rPr>
        <w:t>竞争性谈判文件</w:t>
      </w:r>
      <w:r>
        <w:rPr>
          <w:rFonts w:hint="eastAsia" w:ascii="宋体" w:hAnsi="宋体"/>
          <w:sz w:val="24"/>
          <w:szCs w:val="24"/>
          <w:highlight w:val="none"/>
        </w:rPr>
        <w:t>中要求的服务标准做出响应。</w:t>
      </w:r>
    </w:p>
    <w:p>
      <w:pPr>
        <w:spacing w:line="44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上述文件可以是文字资料、图纸和数据等，并提供：</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）货物主要技术及性能特点的详细描述；</w:t>
      </w:r>
      <w:r>
        <w:rPr>
          <w:rFonts w:ascii="宋体" w:hAnsi="宋体"/>
          <w:sz w:val="24"/>
          <w:szCs w:val="24"/>
          <w:highlight w:val="none"/>
        </w:rPr>
        <w:t xml:space="preserve"> </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）货物主要部件的详细资料，包括检验报告等；</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）一份在技术规格中规定的保证服务正常和连续运转期间所需要的所有备件和专业工具的详细清单包括供货来源信息。</w:t>
      </w:r>
    </w:p>
    <w:p>
      <w:pPr>
        <w:spacing w:line="44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4没有按要求提供资料或提供资料不完全的或仅仅复制</w:t>
      </w:r>
      <w:r>
        <w:rPr>
          <w:rFonts w:hint="eastAsia" w:hAnsi="宋体"/>
          <w:sz w:val="24"/>
          <w:szCs w:val="24"/>
          <w:highlight w:val="none"/>
        </w:rPr>
        <w:t>竞争性谈判文件</w:t>
      </w:r>
      <w:r>
        <w:rPr>
          <w:rFonts w:hint="eastAsia" w:ascii="宋体" w:hAnsi="宋体"/>
          <w:sz w:val="24"/>
          <w:szCs w:val="24"/>
          <w:highlight w:val="none"/>
        </w:rPr>
        <w:t>提供的技术参数并与实际提供设备参数不符，将被视为对</w:t>
      </w:r>
      <w:r>
        <w:rPr>
          <w:rFonts w:hint="eastAsia" w:hAnsi="宋体"/>
          <w:sz w:val="24"/>
          <w:szCs w:val="24"/>
          <w:highlight w:val="none"/>
        </w:rPr>
        <w:t>竞争性谈判文件</w:t>
      </w:r>
      <w:r>
        <w:rPr>
          <w:rFonts w:hint="eastAsia" w:ascii="宋体" w:hAnsi="宋体"/>
          <w:sz w:val="24"/>
          <w:szCs w:val="24"/>
          <w:highlight w:val="none"/>
        </w:rPr>
        <w:t>没有做出实质性响应，其风险由投标人自行承担。</w:t>
      </w:r>
    </w:p>
    <w:p>
      <w:pPr>
        <w:spacing w:line="440" w:lineRule="exact"/>
        <w:ind w:firstLine="360" w:firstLineChars="150"/>
        <w:rPr>
          <w:rFonts w:ascii="宋体" w:hAnsi="宋体"/>
          <w:sz w:val="24"/>
          <w:szCs w:val="24"/>
          <w:highlight w:val="none"/>
        </w:rPr>
      </w:pPr>
      <w:r>
        <w:rPr>
          <w:rFonts w:ascii="宋体" w:hAnsi="宋体"/>
          <w:sz w:val="24"/>
          <w:szCs w:val="24"/>
          <w:highlight w:val="none"/>
        </w:rPr>
        <w:t>7.5</w:t>
      </w:r>
      <w:r>
        <w:rPr>
          <w:rFonts w:hint="eastAsia" w:ascii="宋体" w:hAnsi="宋体"/>
          <w:sz w:val="24"/>
          <w:szCs w:val="24"/>
          <w:highlight w:val="none"/>
        </w:rPr>
        <w:t xml:space="preserve"> 投标人提供的设备必须是正规厂家生产的高质量产品，不能提供劣质三无产品（无厂址</w:t>
      </w:r>
      <w:r>
        <w:rPr>
          <w:rFonts w:ascii="宋体" w:hAnsi="宋体"/>
          <w:sz w:val="24"/>
          <w:szCs w:val="24"/>
          <w:highlight w:val="none"/>
        </w:rPr>
        <w:t>,</w:t>
      </w:r>
      <w:r>
        <w:rPr>
          <w:rFonts w:hint="eastAsia" w:ascii="宋体" w:hAnsi="宋体"/>
          <w:sz w:val="24"/>
          <w:szCs w:val="24"/>
          <w:highlight w:val="none"/>
        </w:rPr>
        <w:t>无商标</w:t>
      </w:r>
      <w:r>
        <w:rPr>
          <w:rFonts w:ascii="宋体" w:hAnsi="宋体"/>
          <w:sz w:val="24"/>
          <w:szCs w:val="24"/>
          <w:highlight w:val="none"/>
        </w:rPr>
        <w:t>,</w:t>
      </w:r>
      <w:r>
        <w:rPr>
          <w:rFonts w:hint="eastAsia" w:ascii="宋体" w:hAnsi="宋体"/>
          <w:sz w:val="24"/>
          <w:szCs w:val="24"/>
          <w:highlight w:val="none"/>
        </w:rPr>
        <w:t>无合格证）。</w:t>
      </w:r>
    </w:p>
    <w:p>
      <w:pPr>
        <w:spacing w:line="440" w:lineRule="exact"/>
        <w:ind w:firstLine="360" w:firstLineChars="150"/>
        <w:rPr>
          <w:rFonts w:ascii="宋体" w:hAnsi="宋体"/>
          <w:sz w:val="24"/>
          <w:szCs w:val="24"/>
          <w:highlight w:val="none"/>
        </w:rPr>
      </w:pPr>
      <w:r>
        <w:rPr>
          <w:rFonts w:ascii="宋体" w:hAnsi="宋体"/>
          <w:sz w:val="24"/>
          <w:szCs w:val="24"/>
          <w:highlight w:val="none"/>
        </w:rPr>
        <w:t xml:space="preserve">7.6 </w:t>
      </w:r>
      <w:r>
        <w:rPr>
          <w:rFonts w:hint="eastAsia" w:ascii="宋体" w:hAnsi="宋体"/>
          <w:sz w:val="24"/>
          <w:szCs w:val="24"/>
          <w:highlight w:val="none"/>
        </w:rPr>
        <w:t>产品资料和检测报告所反映的技术参数和性能指标将作为验收产品实物的依据。</w:t>
      </w:r>
    </w:p>
    <w:p>
      <w:pPr>
        <w:spacing w:line="440" w:lineRule="exact"/>
        <w:ind w:firstLine="360" w:firstLineChars="150"/>
        <w:rPr>
          <w:rFonts w:ascii="宋体" w:hAnsi="宋体"/>
          <w:sz w:val="24"/>
          <w:szCs w:val="24"/>
          <w:highlight w:val="none"/>
        </w:rPr>
      </w:pPr>
      <w:r>
        <w:rPr>
          <w:rFonts w:ascii="宋体" w:hAnsi="宋体"/>
          <w:sz w:val="24"/>
          <w:szCs w:val="24"/>
          <w:highlight w:val="none"/>
        </w:rPr>
        <w:t xml:space="preserve">7.7 </w:t>
      </w:r>
      <w:r>
        <w:rPr>
          <w:rFonts w:hint="eastAsia" w:ascii="宋体" w:hAnsi="宋体"/>
          <w:sz w:val="24"/>
          <w:szCs w:val="24"/>
          <w:highlight w:val="none"/>
        </w:rPr>
        <w:t>对照</w:t>
      </w:r>
      <w:r>
        <w:rPr>
          <w:rFonts w:hint="eastAsia" w:hAnsi="宋体"/>
          <w:sz w:val="24"/>
          <w:szCs w:val="24"/>
          <w:highlight w:val="none"/>
        </w:rPr>
        <w:t>竞争性谈判文件</w:t>
      </w:r>
      <w:r>
        <w:rPr>
          <w:rFonts w:hint="eastAsia" w:ascii="宋体" w:hAnsi="宋体"/>
          <w:sz w:val="24"/>
          <w:szCs w:val="24"/>
          <w:highlight w:val="none"/>
        </w:rPr>
        <w:t>技术规格、参数与要求，逐条说明所提供货物和服务已对</w:t>
      </w:r>
      <w:r>
        <w:rPr>
          <w:rFonts w:hint="eastAsia" w:hAnsi="宋体"/>
          <w:sz w:val="24"/>
          <w:szCs w:val="24"/>
          <w:highlight w:val="none"/>
        </w:rPr>
        <w:t>竞争性谈判文件</w:t>
      </w:r>
      <w:r>
        <w:rPr>
          <w:rFonts w:hint="eastAsia" w:ascii="宋体" w:hAnsi="宋体"/>
          <w:sz w:val="24"/>
          <w:szCs w:val="24"/>
          <w:highlight w:val="none"/>
        </w:rPr>
        <w:t>的技术规格、参数与要求做出了实质性的响应，或申明与技术规格、参数与要求条文的偏差和例外。特别对于有具体参数要求的指标，投标人必须提供所投设备的具体参数值。</w:t>
      </w:r>
    </w:p>
    <w:p>
      <w:pPr>
        <w:spacing w:line="440" w:lineRule="exact"/>
        <w:ind w:firstLine="360" w:firstLineChars="150"/>
        <w:rPr>
          <w:rFonts w:ascii="宋体" w:hAnsi="宋体"/>
          <w:sz w:val="24"/>
          <w:szCs w:val="24"/>
          <w:highlight w:val="none"/>
        </w:rPr>
      </w:pPr>
      <w:r>
        <w:rPr>
          <w:rFonts w:ascii="宋体" w:hAnsi="宋体"/>
          <w:sz w:val="24"/>
          <w:szCs w:val="24"/>
          <w:highlight w:val="none"/>
        </w:rPr>
        <w:t xml:space="preserve">7.8 </w:t>
      </w:r>
      <w:r>
        <w:rPr>
          <w:rFonts w:hint="eastAsia" w:ascii="宋体" w:hAnsi="宋体"/>
          <w:sz w:val="24"/>
          <w:szCs w:val="24"/>
          <w:highlight w:val="none"/>
        </w:rPr>
        <w:t>投标人在阐述上述时应注意</w:t>
      </w:r>
      <w:r>
        <w:rPr>
          <w:rFonts w:hint="eastAsia" w:ascii="宋体" w:hAnsi="宋体"/>
          <w:sz w:val="24"/>
          <w:szCs w:val="24"/>
          <w:highlight w:val="none"/>
          <w:lang w:eastAsia="zh-CN"/>
        </w:rPr>
        <w:t>竞争性谈判文件</w:t>
      </w:r>
      <w:r>
        <w:rPr>
          <w:rFonts w:hint="eastAsia" w:ascii="宋体" w:hAnsi="宋体"/>
          <w:sz w:val="24"/>
          <w:szCs w:val="24"/>
          <w:highlight w:val="none"/>
        </w:rPr>
        <w:t>“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360" w:firstLineChars="150"/>
        <w:rPr>
          <w:rFonts w:hint="eastAsia" w:ascii="宋体" w:hAnsi="宋体"/>
          <w:b/>
          <w:bCs/>
          <w:sz w:val="24"/>
          <w:szCs w:val="24"/>
          <w:highlight w:val="none"/>
          <w:u w:val="single"/>
        </w:rPr>
      </w:pPr>
      <w:r>
        <w:rPr>
          <w:rFonts w:ascii="宋体" w:hAnsi="宋体"/>
          <w:sz w:val="24"/>
          <w:szCs w:val="24"/>
          <w:highlight w:val="none"/>
        </w:rPr>
        <w:t>7.</w:t>
      </w:r>
      <w:r>
        <w:rPr>
          <w:rFonts w:hint="eastAsia" w:ascii="宋体" w:hAnsi="宋体"/>
          <w:sz w:val="24"/>
          <w:szCs w:val="24"/>
          <w:highlight w:val="none"/>
        </w:rPr>
        <w:t>9投标人应对投标货物提供完整的详细的书面说明。</w:t>
      </w:r>
      <w:r>
        <w:rPr>
          <w:rFonts w:hint="eastAsia" w:ascii="宋体" w:hAnsi="宋体"/>
          <w:b/>
          <w:bCs/>
          <w:sz w:val="24"/>
          <w:szCs w:val="24"/>
          <w:highlight w:val="none"/>
          <w:u w:val="single"/>
        </w:rPr>
        <w:t>* 报价货物所有技术规格及商务指标必须完全符合</w:t>
      </w:r>
      <w:r>
        <w:rPr>
          <w:rFonts w:hint="eastAsia" w:ascii="宋体" w:hAnsi="宋体"/>
          <w:b/>
          <w:bCs/>
          <w:sz w:val="24"/>
          <w:szCs w:val="24"/>
          <w:highlight w:val="none"/>
          <w:u w:val="single"/>
          <w:lang w:eastAsia="zh-CN"/>
        </w:rPr>
        <w:t>竞争性谈判文件</w:t>
      </w:r>
      <w:r>
        <w:rPr>
          <w:rFonts w:hint="eastAsia" w:ascii="宋体" w:hAnsi="宋体"/>
          <w:b/>
          <w:bCs/>
          <w:sz w:val="24"/>
          <w:szCs w:val="24"/>
          <w:highlight w:val="none"/>
          <w:u w:val="single"/>
        </w:rPr>
        <w:t>要求。</w:t>
      </w:r>
    </w:p>
    <w:p>
      <w:pPr>
        <w:spacing w:line="440" w:lineRule="exact"/>
        <w:ind w:firstLine="360" w:firstLineChars="150"/>
        <w:rPr>
          <w:rFonts w:ascii="宋体" w:hAnsi="宋体"/>
          <w:sz w:val="24"/>
          <w:szCs w:val="24"/>
          <w:highlight w:val="none"/>
        </w:rPr>
      </w:pPr>
      <w:r>
        <w:rPr>
          <w:rFonts w:ascii="宋体" w:hAnsi="宋体"/>
          <w:sz w:val="24"/>
          <w:szCs w:val="24"/>
          <w:highlight w:val="none"/>
        </w:rPr>
        <w:t xml:space="preserve">8. </w:t>
      </w:r>
      <w:r>
        <w:rPr>
          <w:rFonts w:hint="eastAsia" w:ascii="宋体" w:hAnsi="宋体"/>
          <w:sz w:val="24"/>
          <w:szCs w:val="24"/>
          <w:highlight w:val="none"/>
        </w:rPr>
        <w:t>投标有效期</w:t>
      </w:r>
    </w:p>
    <w:p>
      <w:pPr>
        <w:spacing w:line="440" w:lineRule="exact"/>
        <w:ind w:firstLine="360" w:firstLineChars="15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spacing w:line="440" w:lineRule="exact"/>
        <w:ind w:firstLine="360" w:firstLineChars="150"/>
        <w:rPr>
          <w:rFonts w:ascii="宋体" w:hAnsi="宋体"/>
          <w:sz w:val="24"/>
          <w:szCs w:val="24"/>
        </w:rPr>
      </w:pPr>
      <w:r>
        <w:rPr>
          <w:rFonts w:hint="eastAsia" w:ascii="宋体" w:hAnsi="宋体"/>
          <w:sz w:val="24"/>
          <w:szCs w:val="24"/>
          <w:highlight w:val="none"/>
        </w:rPr>
        <w:t>8.2　特殊情况需延长投标有效期的，采购人或采购代理机构可于投标有效期届满之前，要求投标人同意延长有效期，采购人或采购代理</w:t>
      </w:r>
      <w:r>
        <w:rPr>
          <w:rFonts w:hint="eastAsia" w:ascii="宋体" w:hAnsi="宋体"/>
          <w:sz w:val="24"/>
          <w:szCs w:val="24"/>
        </w:rPr>
        <w:t>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spacing w:line="440" w:lineRule="exact"/>
        <w:ind w:firstLine="482" w:firstLineChars="200"/>
        <w:rPr>
          <w:rFonts w:ascii="宋体" w:hAnsi="宋体"/>
          <w:b/>
          <w:sz w:val="24"/>
          <w:szCs w:val="24"/>
        </w:rPr>
      </w:pPr>
      <w:r>
        <w:rPr>
          <w:rFonts w:ascii="宋体" w:hAnsi="宋体"/>
          <w:b/>
          <w:sz w:val="24"/>
          <w:szCs w:val="24"/>
        </w:rPr>
        <w:t xml:space="preserve">9. </w:t>
      </w:r>
      <w:r>
        <w:rPr>
          <w:rFonts w:hint="eastAsia" w:ascii="宋体" w:hAnsi="宋体"/>
          <w:b/>
          <w:sz w:val="24"/>
          <w:szCs w:val="24"/>
        </w:rPr>
        <w:t>投标文件的签署和规定</w:t>
      </w:r>
      <w:r>
        <w:rPr>
          <w:rFonts w:hint="eastAsia" w:ascii="宋体" w:hAnsi="宋体"/>
          <w:b/>
          <w:bCs/>
          <w:sz w:val="24"/>
          <w:szCs w:val="24"/>
        </w:rPr>
        <w:t>见前投标须知前附表</w:t>
      </w:r>
    </w:p>
    <w:p>
      <w:pPr>
        <w:pStyle w:val="10"/>
        <w:tabs>
          <w:tab w:val="left" w:pos="397"/>
        </w:tabs>
        <w:spacing w:line="440" w:lineRule="exact"/>
        <w:ind w:firstLine="482" w:firstLineChars="200"/>
        <w:rPr>
          <w:rFonts w:hAnsi="宋体"/>
          <w:b/>
          <w:bCs/>
          <w:sz w:val="24"/>
          <w:szCs w:val="24"/>
        </w:rPr>
      </w:pPr>
      <w:r>
        <w:rPr>
          <w:rFonts w:hint="eastAsia" w:hAnsi="宋体"/>
          <w:b/>
          <w:bCs/>
          <w:sz w:val="24"/>
          <w:szCs w:val="24"/>
        </w:rPr>
        <w:t>1</w:t>
      </w:r>
      <w:r>
        <w:rPr>
          <w:rFonts w:hAnsi="宋体"/>
          <w:b/>
          <w:bCs/>
          <w:sz w:val="24"/>
          <w:szCs w:val="24"/>
        </w:rPr>
        <w:t>0</w:t>
      </w:r>
      <w:r>
        <w:rPr>
          <w:rFonts w:hint="eastAsia" w:hAnsi="宋体"/>
          <w:b/>
          <w:bCs/>
          <w:sz w:val="24"/>
          <w:szCs w:val="24"/>
        </w:rPr>
        <w:t>.投标文件的密封和标记见前投标须知前附表。</w:t>
      </w:r>
    </w:p>
    <w:p>
      <w:pPr>
        <w:spacing w:line="440" w:lineRule="exact"/>
        <w:ind w:firstLine="482" w:firstLineChars="200"/>
        <w:rPr>
          <w:rFonts w:ascii="宋体" w:hAnsi="宋体"/>
          <w:b/>
          <w:sz w:val="24"/>
          <w:szCs w:val="24"/>
        </w:rPr>
      </w:pPr>
      <w:r>
        <w:rPr>
          <w:rFonts w:ascii="宋体" w:hAnsi="宋体"/>
          <w:b/>
          <w:sz w:val="24"/>
          <w:szCs w:val="24"/>
        </w:rPr>
        <w:t xml:space="preserve">11. </w:t>
      </w:r>
      <w:r>
        <w:rPr>
          <w:rFonts w:hint="eastAsia" w:ascii="宋体" w:hAnsi="宋体"/>
          <w:b/>
          <w:sz w:val="24"/>
          <w:szCs w:val="24"/>
        </w:rPr>
        <w:t>投标保证金</w:t>
      </w:r>
    </w:p>
    <w:p>
      <w:pPr>
        <w:spacing w:line="440" w:lineRule="exact"/>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4"/>
        </w:rPr>
        <w:t>招标方因投标人的违规行为而受到损害时将不予退还投标人的投标保证金，将其作为所受损害的补偿。</w:t>
      </w:r>
    </w:p>
    <w:p>
      <w:pPr>
        <w:pStyle w:val="10"/>
        <w:spacing w:line="440" w:lineRule="exact"/>
        <w:ind w:firstLine="480" w:firstLineChars="200"/>
        <w:rPr>
          <w:rFonts w:hAnsi="宋体"/>
          <w:sz w:val="24"/>
          <w:szCs w:val="24"/>
        </w:rPr>
      </w:pPr>
      <w:r>
        <w:rPr>
          <w:rFonts w:hAnsi="宋体"/>
          <w:sz w:val="24"/>
          <w:szCs w:val="24"/>
        </w:rPr>
        <w:t>11.2</w:t>
      </w:r>
      <w:r>
        <w:rPr>
          <w:rFonts w:hint="eastAsia" w:hAnsi="宋体"/>
          <w:sz w:val="24"/>
          <w:szCs w:val="24"/>
        </w:rPr>
        <w:t>　投标保证金应当以支票、汇票、本票等非现金形式提交，必须从投标人基本账户转出，其有效期应不低于投标有效期。投标人未按照</w:t>
      </w:r>
      <w:r>
        <w:rPr>
          <w:rFonts w:hint="eastAsia" w:hAnsi="宋体"/>
          <w:sz w:val="24"/>
          <w:szCs w:val="24"/>
          <w:lang w:eastAsia="zh-CN"/>
        </w:rPr>
        <w:t>竞争性谈判文件</w:t>
      </w:r>
      <w:r>
        <w:rPr>
          <w:rFonts w:hint="eastAsia" w:hAnsi="宋体"/>
          <w:sz w:val="24"/>
          <w:szCs w:val="24"/>
        </w:rPr>
        <w:t>要求提交投标保证金的，投标无效。</w:t>
      </w:r>
    </w:p>
    <w:p>
      <w:pPr>
        <w:pStyle w:val="10"/>
        <w:spacing w:line="440" w:lineRule="exact"/>
        <w:ind w:firstLine="480" w:firstLineChars="200"/>
        <w:rPr>
          <w:rFonts w:hAnsi="宋体"/>
          <w:sz w:val="24"/>
          <w:szCs w:val="24"/>
        </w:rPr>
      </w:pPr>
      <w:r>
        <w:rPr>
          <w:rFonts w:hAnsi="宋体"/>
          <w:sz w:val="24"/>
          <w:szCs w:val="24"/>
        </w:rPr>
        <w:t xml:space="preserve">11.3  </w:t>
      </w:r>
      <w:r>
        <w:rPr>
          <w:rFonts w:hint="eastAsia" w:hAnsi="宋体"/>
          <w:sz w:val="24"/>
          <w:szCs w:val="24"/>
        </w:rPr>
        <w:t>投标人应提交投标保证金，并于投标保证金缴纳截止时间前到达新疆同孚招投标有限公司指定账户（人民币）。如是本地转账支票需于投标保证金缴纳截止时间三个工作日前向新疆同孚招投标有限公司送达，如投标保证金为汇款形式的，（汇款时汇款单填写内容须备注项目编号及包号）。</w:t>
      </w:r>
    </w:p>
    <w:p>
      <w:pPr>
        <w:pStyle w:val="10"/>
        <w:spacing w:line="440" w:lineRule="exact"/>
        <w:ind w:firstLine="480" w:firstLineChars="200"/>
        <w:rPr>
          <w:rFonts w:hAnsi="宋体"/>
          <w:sz w:val="24"/>
          <w:szCs w:val="24"/>
        </w:rPr>
      </w:pPr>
      <w:r>
        <w:rPr>
          <w:rFonts w:hint="eastAsia" w:hAnsi="宋体"/>
          <w:sz w:val="24"/>
          <w:szCs w:val="24"/>
        </w:rPr>
        <w:t>投标保证金可直接交入：</w:t>
      </w:r>
    </w:p>
    <w:p>
      <w:pPr>
        <w:pStyle w:val="10"/>
        <w:spacing w:line="440" w:lineRule="exact"/>
        <w:ind w:firstLine="480" w:firstLineChars="200"/>
        <w:rPr>
          <w:rFonts w:hAnsi="宋体"/>
          <w:sz w:val="24"/>
          <w:szCs w:val="24"/>
        </w:rPr>
      </w:pPr>
      <w:r>
        <w:rPr>
          <w:rFonts w:hint="eastAsia" w:hAnsi="宋体"/>
          <w:sz w:val="24"/>
          <w:szCs w:val="24"/>
        </w:rPr>
        <w:t>开户行：建设银行新华南路支行　行　号：</w:t>
      </w:r>
      <w:r>
        <w:rPr>
          <w:rFonts w:hAnsi="宋体"/>
          <w:sz w:val="24"/>
          <w:szCs w:val="24"/>
        </w:rPr>
        <w:t>105881000868</w:t>
      </w:r>
    </w:p>
    <w:p>
      <w:pPr>
        <w:pStyle w:val="10"/>
        <w:spacing w:line="440" w:lineRule="exact"/>
        <w:ind w:firstLine="480" w:firstLineChars="200"/>
        <w:rPr>
          <w:rFonts w:hAnsi="宋体"/>
          <w:sz w:val="24"/>
          <w:szCs w:val="24"/>
        </w:rPr>
      </w:pPr>
      <w:r>
        <w:rPr>
          <w:rFonts w:hint="eastAsia" w:hAnsi="宋体"/>
          <w:sz w:val="24"/>
          <w:szCs w:val="24"/>
        </w:rPr>
        <w:t>全称：新疆同孚招投标有限公司  帐  号：</w:t>
      </w:r>
      <w:r>
        <w:rPr>
          <w:rFonts w:hAnsi="宋体"/>
          <w:sz w:val="24"/>
          <w:szCs w:val="24"/>
        </w:rPr>
        <w:t>65001617600052501876</w:t>
      </w:r>
    </w:p>
    <w:p>
      <w:pPr>
        <w:spacing w:line="440" w:lineRule="exact"/>
        <w:ind w:firstLine="480" w:firstLineChars="200"/>
        <w:rPr>
          <w:rFonts w:ascii="宋体" w:hAnsi="宋体"/>
          <w:sz w:val="24"/>
          <w:szCs w:val="24"/>
        </w:rPr>
      </w:pPr>
      <w:r>
        <w:rPr>
          <w:rFonts w:ascii="宋体" w:hAnsi="宋体"/>
          <w:sz w:val="24"/>
          <w:szCs w:val="24"/>
        </w:rPr>
        <w:t>11.4</w:t>
      </w:r>
      <w:r>
        <w:rPr>
          <w:rFonts w:hint="eastAsia" w:ascii="宋体" w:hAnsi="宋体"/>
          <w:sz w:val="24"/>
          <w:szCs w:val="24"/>
        </w:rPr>
        <w:t>　未中标的投标人的投标保证金，将在中标通知书发出后</w:t>
      </w:r>
      <w:r>
        <w:rPr>
          <w:rFonts w:ascii="宋体" w:hAnsi="宋体"/>
          <w:sz w:val="24"/>
          <w:szCs w:val="24"/>
        </w:rPr>
        <w:t>5</w:t>
      </w:r>
      <w:r>
        <w:rPr>
          <w:rFonts w:hint="eastAsia" w:ascii="宋体" w:hAnsi="宋体"/>
          <w:sz w:val="24"/>
          <w:szCs w:val="24"/>
        </w:rPr>
        <w:t>个工作日内无息退还。</w:t>
      </w:r>
    </w:p>
    <w:p>
      <w:pPr>
        <w:spacing w:line="460" w:lineRule="atLeast"/>
        <w:ind w:firstLine="480" w:firstLineChars="200"/>
        <w:rPr>
          <w:rFonts w:ascii="宋体" w:hAnsi="宋体"/>
          <w:sz w:val="24"/>
          <w:szCs w:val="24"/>
        </w:rPr>
      </w:pPr>
      <w:r>
        <w:rPr>
          <w:rFonts w:ascii="宋体" w:hAnsi="宋体"/>
          <w:sz w:val="24"/>
          <w:szCs w:val="24"/>
        </w:rPr>
        <w:t xml:space="preserve">11.5  </w:t>
      </w:r>
      <w:r>
        <w:rPr>
          <w:rFonts w:hint="eastAsia" w:ascii="宋体" w:hAnsi="宋体"/>
          <w:sz w:val="24"/>
          <w:szCs w:val="24"/>
        </w:rPr>
        <w:t>中标人的投标保证金，将在领取中标通知书，缴纳履约保证金并签订合同后</w:t>
      </w:r>
      <w:r>
        <w:rPr>
          <w:rFonts w:ascii="宋体" w:hAnsi="宋体"/>
          <w:sz w:val="24"/>
          <w:szCs w:val="24"/>
        </w:rPr>
        <w:t>5</w:t>
      </w:r>
      <w:r>
        <w:rPr>
          <w:rFonts w:hint="eastAsia" w:ascii="宋体" w:hAnsi="宋体"/>
          <w:sz w:val="24"/>
          <w:szCs w:val="24"/>
        </w:rPr>
        <w:t>个工作日内无息退还，中标企业退还保证金时，还需提供采购合同复印件。</w:t>
      </w:r>
    </w:p>
    <w:p>
      <w:pPr>
        <w:spacing w:line="460" w:lineRule="atLeast"/>
        <w:ind w:firstLine="480" w:firstLineChars="200"/>
        <w:rPr>
          <w:rFonts w:ascii="宋体" w:hAnsi="宋体"/>
          <w:sz w:val="24"/>
          <w:szCs w:val="24"/>
        </w:rPr>
      </w:pPr>
      <w:r>
        <w:rPr>
          <w:rFonts w:ascii="宋体" w:hAnsi="宋体"/>
          <w:sz w:val="24"/>
          <w:szCs w:val="24"/>
        </w:rPr>
        <w:t xml:space="preserve">11.6  </w:t>
      </w:r>
      <w:r>
        <w:rPr>
          <w:rFonts w:hint="eastAsia" w:ascii="宋体" w:hAnsi="宋体"/>
          <w:sz w:val="24"/>
          <w:szCs w:val="24"/>
        </w:rPr>
        <w:t>我公司工作日（</w:t>
      </w:r>
      <w:r>
        <w:rPr>
          <w:rFonts w:ascii="宋体" w:hAnsi="宋体"/>
          <w:sz w:val="24"/>
          <w:szCs w:val="24"/>
        </w:rPr>
        <w:t>10:00-13:30</w:t>
      </w:r>
      <w:r>
        <w:rPr>
          <w:rFonts w:hint="eastAsia" w:ascii="宋体" w:hAnsi="宋体"/>
          <w:sz w:val="24"/>
          <w:szCs w:val="24"/>
        </w:rPr>
        <w:t>，15:30-18:00北京时间）退还投标保证金，退还时，请携带投标单位收到退还保证金收据一份，收据请按以下模板填写：</w:t>
      </w:r>
    </w:p>
    <w:p>
      <w:pPr>
        <w:spacing w:line="460" w:lineRule="atLeast"/>
        <w:ind w:firstLine="420" w:firstLineChars="200"/>
      </w:pPr>
    </w:p>
    <w:p>
      <w:pPr>
        <w:pStyle w:val="2"/>
        <w:rPr>
          <w:rFonts w:ascii="宋体" w:hAnsi="宋体"/>
          <w:sz w:val="24"/>
          <w:szCs w:val="24"/>
        </w:rPr>
      </w:pPr>
      <w:r>
        <w:rPr>
          <w:rFonts w:ascii="宋体" w:hAnsi="宋体" w:cs="宋体"/>
          <w:sz w:val="24"/>
          <w:szCs w:val="24"/>
          <w:lang w:val="en-US" w:eastAsia="zh-CN"/>
        </w:rPr>
        <w:pict>
          <v:shape id="_x0000_i1025" o:spt="75" alt="IMG_256" type="#_x0000_t75" style="height:267.55pt;width:485.05pt;" filled="f" stroked="f" coordsize="21600,21600">
            <v:path/>
            <v:fill on="f" focussize="0,0"/>
            <v:stroke on="f"/>
            <v:imagedata r:id="rId7" o:title="IMG_256"/>
            <o:lock v:ext="edit" aspectratio="t"/>
            <w10:wrap type="none"/>
            <w10:anchorlock/>
          </v:shape>
        </w:pict>
      </w:r>
    </w:p>
    <w:p>
      <w:pPr>
        <w:spacing w:line="460" w:lineRule="atLeast"/>
        <w:ind w:firstLine="480" w:firstLineChars="200"/>
        <w:rPr>
          <w:rFonts w:ascii="宋体" w:hAnsi="宋体"/>
          <w:sz w:val="24"/>
          <w:szCs w:val="24"/>
        </w:rPr>
      </w:pPr>
      <w:r>
        <w:rPr>
          <w:rFonts w:hint="eastAsia" w:ascii="宋体" w:hAnsi="宋体"/>
          <w:sz w:val="24"/>
          <w:szCs w:val="24"/>
        </w:rPr>
        <w:t>同时携带财务专用章，以便在我单位支票头上盖章；退还投标保证金也可办理电汇业务（请提供单位名称、账号、行号、退还保证金收据等相关资料，并承担电汇手续费）我单位不退还现金。</w:t>
      </w:r>
    </w:p>
    <w:p>
      <w:pPr>
        <w:spacing w:line="440" w:lineRule="exact"/>
        <w:ind w:firstLine="482" w:firstLineChars="200"/>
        <w:rPr>
          <w:rFonts w:hint="eastAsia" w:ascii="宋体" w:hAnsi="宋体"/>
          <w:b/>
          <w:bCs/>
          <w:sz w:val="24"/>
          <w:szCs w:val="24"/>
        </w:rPr>
      </w:pPr>
      <w:r>
        <w:rPr>
          <w:rFonts w:hint="eastAsia" w:ascii="宋体" w:hAnsi="宋体"/>
          <w:b/>
          <w:bCs/>
          <w:sz w:val="24"/>
          <w:szCs w:val="24"/>
        </w:rPr>
        <w:t xml:space="preserve">财务办公室：乌鲁木齐市友好北路宏运大厦21楼J座 </w:t>
      </w:r>
    </w:p>
    <w:p>
      <w:pPr>
        <w:spacing w:line="460" w:lineRule="atLeast"/>
        <w:ind w:firstLine="482" w:firstLineChars="200"/>
        <w:rPr>
          <w:rFonts w:hint="eastAsia" w:ascii="宋体" w:hAnsi="宋体"/>
          <w:b/>
          <w:bCs/>
          <w:sz w:val="24"/>
          <w:szCs w:val="24"/>
        </w:rPr>
      </w:pPr>
      <w:r>
        <w:rPr>
          <w:rFonts w:hint="eastAsia" w:ascii="宋体" w:hAnsi="宋体"/>
          <w:b/>
          <w:bCs/>
          <w:sz w:val="24"/>
          <w:szCs w:val="24"/>
        </w:rPr>
        <w:t>联系电话：4833033</w:t>
      </w:r>
    </w:p>
    <w:p>
      <w:pPr>
        <w:spacing w:line="440" w:lineRule="exact"/>
        <w:ind w:firstLine="480" w:firstLineChars="200"/>
        <w:rPr>
          <w:rFonts w:ascii="宋体" w:hAnsi="宋体"/>
          <w:sz w:val="24"/>
          <w:szCs w:val="24"/>
        </w:rPr>
      </w:pPr>
      <w:r>
        <w:rPr>
          <w:rFonts w:hint="eastAsia" w:ascii="宋体" w:hAnsi="宋体"/>
          <w:sz w:val="24"/>
          <w:szCs w:val="24"/>
        </w:rPr>
        <w:t>11.</w:t>
      </w:r>
      <w:r>
        <w:rPr>
          <w:rFonts w:ascii="宋体" w:hAnsi="宋体"/>
          <w:sz w:val="24"/>
          <w:szCs w:val="24"/>
        </w:rPr>
        <w:t>7</w:t>
      </w:r>
      <w:r>
        <w:rPr>
          <w:rFonts w:hint="eastAsia" w:ascii="宋体" w:hAnsi="宋体"/>
          <w:sz w:val="24"/>
          <w:szCs w:val="24"/>
        </w:rPr>
        <w:t>下列任何情况发生时，投标保证金将不予退还，转为违约金：</w:t>
      </w:r>
    </w:p>
    <w:p>
      <w:pPr>
        <w:spacing w:line="440" w:lineRule="exact"/>
        <w:ind w:firstLine="480" w:firstLineChars="200"/>
        <w:rPr>
          <w:rFonts w:ascii="宋体" w:hAnsi="宋体"/>
          <w:sz w:val="24"/>
          <w:szCs w:val="24"/>
        </w:rPr>
      </w:pPr>
      <w:r>
        <w:rPr>
          <w:rFonts w:hint="eastAsia" w:ascii="宋体" w:hAnsi="宋体"/>
          <w:sz w:val="24"/>
          <w:szCs w:val="24"/>
        </w:rPr>
        <w:t>(1)  投标人在投标截止期后，投标有效期内撤回投标；</w:t>
      </w:r>
    </w:p>
    <w:p>
      <w:pPr>
        <w:spacing w:line="440" w:lineRule="exact"/>
        <w:ind w:firstLine="480" w:firstLineChars="200"/>
        <w:rPr>
          <w:rFonts w:ascii="宋体" w:hAnsi="宋体"/>
          <w:sz w:val="24"/>
          <w:szCs w:val="24"/>
        </w:rPr>
      </w:pPr>
      <w:r>
        <w:rPr>
          <w:rFonts w:hint="eastAsia" w:ascii="宋体" w:hAnsi="宋体"/>
          <w:sz w:val="24"/>
          <w:szCs w:val="24"/>
        </w:rPr>
        <w:t>(2)  投标人在规定期限内未按规定向采购人缴纳履约保证金；</w:t>
      </w:r>
    </w:p>
    <w:p>
      <w:pPr>
        <w:spacing w:line="440" w:lineRule="exact"/>
        <w:ind w:firstLine="480" w:firstLineChars="200"/>
        <w:rPr>
          <w:rFonts w:ascii="宋体" w:hAnsi="宋体"/>
          <w:sz w:val="24"/>
          <w:szCs w:val="24"/>
        </w:rPr>
      </w:pPr>
      <w:r>
        <w:rPr>
          <w:rFonts w:hint="eastAsia" w:ascii="宋体" w:hAnsi="宋体"/>
          <w:sz w:val="24"/>
          <w:szCs w:val="24"/>
        </w:rPr>
        <w:t>(3)  中标人未按投标人须知规定缴纳招标代理费；</w:t>
      </w:r>
    </w:p>
    <w:p>
      <w:pPr>
        <w:spacing w:line="440" w:lineRule="exact"/>
        <w:ind w:firstLine="480" w:firstLineChars="200"/>
        <w:rPr>
          <w:rFonts w:ascii="宋体" w:hAnsi="宋体"/>
          <w:sz w:val="24"/>
          <w:szCs w:val="24"/>
        </w:rPr>
      </w:pPr>
      <w:r>
        <w:rPr>
          <w:rFonts w:hint="eastAsia" w:ascii="宋体" w:hAnsi="宋体"/>
          <w:sz w:val="24"/>
          <w:szCs w:val="24"/>
        </w:rPr>
        <w:t>(4)  以他人名义投标或者以其他方式弄虚作假，骗取中标；</w:t>
      </w:r>
    </w:p>
    <w:p>
      <w:pPr>
        <w:spacing w:line="440" w:lineRule="exact"/>
        <w:ind w:firstLine="480" w:firstLineChars="200"/>
        <w:rPr>
          <w:rFonts w:ascii="宋体" w:hAnsi="宋体"/>
          <w:sz w:val="24"/>
          <w:szCs w:val="24"/>
        </w:rPr>
      </w:pPr>
      <w:r>
        <w:rPr>
          <w:rFonts w:hint="eastAsia" w:ascii="宋体" w:hAnsi="宋体"/>
          <w:sz w:val="24"/>
          <w:szCs w:val="24"/>
        </w:rPr>
        <w:t>(5)  打架斗殴，扰乱标场秩序；</w:t>
      </w:r>
    </w:p>
    <w:p>
      <w:pPr>
        <w:spacing w:line="440" w:lineRule="exact"/>
        <w:ind w:firstLine="480" w:firstLineChars="200"/>
        <w:rPr>
          <w:rFonts w:ascii="宋体" w:hAnsi="宋体"/>
          <w:sz w:val="24"/>
          <w:szCs w:val="24"/>
        </w:rPr>
      </w:pPr>
      <w:r>
        <w:rPr>
          <w:rFonts w:hint="eastAsia" w:ascii="宋体" w:hAnsi="宋体"/>
          <w:sz w:val="24"/>
          <w:szCs w:val="24"/>
        </w:rPr>
        <w:t>(6)  中标人拒绝在规定期限内与采购人签订合同。</w:t>
      </w:r>
    </w:p>
    <w:p>
      <w:pPr>
        <w:spacing w:line="440" w:lineRule="exact"/>
        <w:ind w:firstLine="840" w:firstLineChars="350"/>
        <w:rPr>
          <w:rFonts w:ascii="宋体" w:hAnsi="宋体"/>
          <w:sz w:val="24"/>
          <w:szCs w:val="24"/>
        </w:rPr>
      </w:pPr>
      <w:r>
        <w:rPr>
          <w:rFonts w:hint="eastAsia" w:ascii="宋体" w:hAnsi="宋体"/>
          <w:sz w:val="24"/>
          <w:szCs w:val="24"/>
        </w:rPr>
        <w:t>上述不予退还投标保证金的情况并给招标代理机构造成损失的，还要承担赔偿责任。</w:t>
      </w:r>
    </w:p>
    <w:p>
      <w:pPr>
        <w:pStyle w:val="16"/>
        <w:rPr>
          <w:rFonts w:hint="eastAsia"/>
        </w:rPr>
      </w:pPr>
    </w:p>
    <w:p>
      <w:pPr>
        <w:pStyle w:val="16"/>
        <w:rPr>
          <w:rFonts w:hint="eastAsia" w:ascii="宋体" w:hAnsi="宋体" w:cs="宋体"/>
          <w:sz w:val="24"/>
        </w:rPr>
      </w:pPr>
    </w:p>
    <w:p>
      <w:pPr>
        <w:rPr>
          <w:rFonts w:hint="eastAsia" w:ascii="宋体" w:hAnsi="宋体" w:cs="宋体"/>
          <w:sz w:val="24"/>
        </w:rPr>
      </w:pPr>
    </w:p>
    <w:p>
      <w:pPr>
        <w:pStyle w:val="3"/>
        <w:jc w:val="center"/>
        <w:rPr>
          <w:rFonts w:ascii="宋体" w:cs="宋体"/>
          <w:sz w:val="32"/>
          <w:szCs w:val="32"/>
        </w:rPr>
      </w:pPr>
      <w:bookmarkStart w:id="6" w:name="_Toc503519661"/>
      <w:r>
        <w:rPr>
          <w:rFonts w:hint="eastAsia" w:ascii="宋体" w:hAnsi="宋体" w:cs="宋体"/>
          <w:sz w:val="32"/>
          <w:szCs w:val="32"/>
        </w:rPr>
        <w:t>第三章</w:t>
      </w:r>
      <w:r>
        <w:rPr>
          <w:rFonts w:ascii="宋体" w:hAnsi="宋体" w:cs="宋体"/>
          <w:sz w:val="32"/>
          <w:szCs w:val="32"/>
        </w:rPr>
        <w:t xml:space="preserve"> </w:t>
      </w:r>
      <w:r>
        <w:rPr>
          <w:rFonts w:hint="eastAsia" w:ascii="宋体" w:hAnsi="宋体" w:cs="宋体"/>
          <w:sz w:val="32"/>
          <w:szCs w:val="32"/>
        </w:rPr>
        <w:t>响应性文件的递交</w:t>
      </w:r>
      <w:bookmarkEnd w:id="6"/>
    </w:p>
    <w:p>
      <w:pPr>
        <w:spacing w:line="440" w:lineRule="exact"/>
        <w:ind w:firstLine="482" w:firstLineChars="200"/>
        <w:rPr>
          <w:rFonts w:ascii="宋体" w:cs="宋体"/>
          <w:b/>
          <w:sz w:val="24"/>
        </w:rPr>
      </w:pPr>
      <w:r>
        <w:rPr>
          <w:rFonts w:ascii="宋体" w:hAnsi="宋体" w:cs="宋体"/>
          <w:b/>
          <w:sz w:val="24"/>
        </w:rPr>
        <w:t xml:space="preserve">11. </w:t>
      </w:r>
      <w:r>
        <w:rPr>
          <w:rFonts w:hint="eastAsia" w:ascii="宋体" w:hAnsi="宋体" w:cs="宋体"/>
          <w:b/>
          <w:sz w:val="24"/>
        </w:rPr>
        <w:t>响应性文件的标记</w:t>
      </w:r>
    </w:p>
    <w:p>
      <w:pPr>
        <w:spacing w:line="440" w:lineRule="exact"/>
        <w:ind w:firstLine="480" w:firstLineChars="200"/>
        <w:rPr>
          <w:rFonts w:ascii="宋体" w:cs="宋体"/>
          <w:sz w:val="24"/>
        </w:rPr>
      </w:pPr>
      <w:r>
        <w:rPr>
          <w:rFonts w:ascii="宋体" w:hAnsi="宋体" w:cs="宋体"/>
          <w:sz w:val="24"/>
        </w:rPr>
        <w:t>11.1</w:t>
      </w:r>
      <w:r>
        <w:rPr>
          <w:rFonts w:hint="eastAsia" w:ascii="宋体" w:hAnsi="宋体" w:cs="宋体"/>
          <w:sz w:val="24"/>
        </w:rPr>
        <w:t>　任何不完整或不满足谈判文件要求的响应性文件将被拒绝。</w:t>
      </w:r>
    </w:p>
    <w:p>
      <w:pPr>
        <w:spacing w:line="440" w:lineRule="exact"/>
        <w:ind w:firstLine="480" w:firstLineChars="200"/>
        <w:rPr>
          <w:rFonts w:ascii="宋体" w:cs="宋体"/>
          <w:sz w:val="24"/>
        </w:rPr>
      </w:pPr>
      <w:r>
        <w:rPr>
          <w:rFonts w:ascii="宋体" w:hAnsi="宋体" w:cs="宋体"/>
          <w:sz w:val="24"/>
        </w:rPr>
        <w:t>11.2</w:t>
      </w:r>
      <w:r>
        <w:rPr>
          <w:rFonts w:hint="eastAsia" w:ascii="宋体" w:hAnsi="宋体" w:cs="宋体"/>
          <w:sz w:val="24"/>
        </w:rPr>
        <w:t>　由于不可抗拒原因或无法控制的事件而导致的丢失或损坏投标包装体内的响应性文件时，招标方将不负责任</w:t>
      </w:r>
    </w:p>
    <w:p>
      <w:pPr>
        <w:spacing w:line="440" w:lineRule="exact"/>
        <w:ind w:firstLine="482" w:firstLineChars="200"/>
        <w:rPr>
          <w:rFonts w:ascii="宋体" w:cs="宋体"/>
          <w:b/>
          <w:sz w:val="24"/>
        </w:rPr>
      </w:pPr>
      <w:r>
        <w:rPr>
          <w:rFonts w:ascii="宋体" w:hAnsi="宋体" w:cs="宋体"/>
          <w:b/>
          <w:sz w:val="24"/>
        </w:rPr>
        <w:t>12</w:t>
      </w:r>
      <w:r>
        <w:rPr>
          <w:rFonts w:hint="eastAsia" w:ascii="宋体" w:hAnsi="宋体" w:cs="宋体"/>
          <w:b/>
          <w:sz w:val="24"/>
        </w:rPr>
        <w:t>、投标截止时间</w:t>
      </w:r>
    </w:p>
    <w:p>
      <w:pPr>
        <w:spacing w:line="440" w:lineRule="exact"/>
        <w:ind w:firstLine="480" w:firstLineChars="200"/>
        <w:rPr>
          <w:rFonts w:ascii="宋体" w:cs="宋体"/>
          <w:sz w:val="24"/>
        </w:rPr>
      </w:pPr>
      <w:r>
        <w:rPr>
          <w:rFonts w:ascii="宋体" w:hAnsi="宋体" w:cs="宋体"/>
          <w:sz w:val="24"/>
        </w:rPr>
        <w:t xml:space="preserve">12.1  </w:t>
      </w:r>
      <w:r>
        <w:rPr>
          <w:rFonts w:hint="eastAsia" w:ascii="宋体" w:hAnsi="宋体" w:cs="宋体"/>
          <w:sz w:val="24"/>
        </w:rPr>
        <w:t>响应性文件的递交不得迟于竞争性谈判文件前须表规定的截止时间。响应性文件以密封形式递交至新疆同孚招投标有限公司指定谈判地点。</w:t>
      </w:r>
    </w:p>
    <w:p>
      <w:pPr>
        <w:spacing w:line="440" w:lineRule="exact"/>
        <w:ind w:firstLine="480" w:firstLineChars="200"/>
        <w:rPr>
          <w:rFonts w:ascii="宋体" w:cs="宋体"/>
          <w:sz w:val="24"/>
        </w:rPr>
      </w:pPr>
      <w:r>
        <w:rPr>
          <w:rFonts w:ascii="宋体" w:hAnsi="宋体" w:cs="宋体"/>
          <w:sz w:val="24"/>
        </w:rPr>
        <w:t>13.2</w:t>
      </w:r>
      <w:r>
        <w:rPr>
          <w:rFonts w:hint="eastAsia" w:ascii="宋体" w:hAnsi="宋体" w:cs="宋体"/>
          <w:sz w:val="24"/>
        </w:rPr>
        <w:t>　所有响应性文件不论派人送交还是通过邮寄的方式递交，都必须在招标方规定的投标截止时间之前送达竞争性谈判文件指定的地点，在此之后送达的响应性文件，为无效投标，响应性文件将一律被拒绝。</w:t>
      </w:r>
    </w:p>
    <w:p>
      <w:pPr>
        <w:spacing w:line="440" w:lineRule="exact"/>
        <w:ind w:firstLine="480" w:firstLineChars="200"/>
        <w:rPr>
          <w:rFonts w:ascii="宋体" w:cs="宋体"/>
          <w:sz w:val="24"/>
        </w:rPr>
      </w:pPr>
      <w:r>
        <w:rPr>
          <w:rFonts w:ascii="宋体" w:hAnsi="宋体" w:cs="宋体"/>
          <w:sz w:val="24"/>
        </w:rPr>
        <w:t>13.3</w:t>
      </w:r>
      <w:r>
        <w:rPr>
          <w:rFonts w:hint="eastAsia" w:ascii="宋体" w:hAnsi="宋体" w:cs="宋体"/>
          <w:sz w:val="24"/>
        </w:rPr>
        <w:t>　出现因竞争性谈判文件的修改而推迟投标截止时间的情况时，投标人则须按招标方的书面修改通知重新规定的投标时间递交。</w:t>
      </w:r>
    </w:p>
    <w:p>
      <w:pPr>
        <w:spacing w:line="440" w:lineRule="exact"/>
        <w:ind w:firstLine="482" w:firstLineChars="200"/>
        <w:rPr>
          <w:rFonts w:ascii="宋体" w:cs="宋体"/>
          <w:b/>
          <w:sz w:val="24"/>
        </w:rPr>
      </w:pPr>
      <w:r>
        <w:rPr>
          <w:rFonts w:ascii="宋体" w:hAnsi="宋体" w:cs="宋体"/>
          <w:b/>
          <w:sz w:val="24"/>
        </w:rPr>
        <w:t>13</w:t>
      </w:r>
      <w:r>
        <w:rPr>
          <w:rFonts w:hint="eastAsia" w:ascii="宋体" w:hAnsi="宋体" w:cs="宋体"/>
          <w:b/>
          <w:sz w:val="24"/>
        </w:rPr>
        <w:t>、响应性文件的修改和撤销</w:t>
      </w:r>
    </w:p>
    <w:p>
      <w:pPr>
        <w:spacing w:line="440" w:lineRule="exact"/>
        <w:ind w:firstLine="480" w:firstLineChars="200"/>
        <w:rPr>
          <w:rFonts w:ascii="宋体" w:cs="宋体"/>
          <w:sz w:val="24"/>
        </w:rPr>
      </w:pPr>
      <w:r>
        <w:rPr>
          <w:rFonts w:ascii="宋体" w:hAnsi="宋体" w:cs="宋体"/>
          <w:sz w:val="24"/>
        </w:rPr>
        <w:t>13.1</w:t>
      </w:r>
      <w:r>
        <w:rPr>
          <w:rFonts w:hint="eastAsia" w:ascii="宋体" w:hAnsi="宋体" w:cs="宋体"/>
          <w:sz w:val="24"/>
        </w:rPr>
        <w:t>　投标人在递交响应性文件后，可在规定的投标截止时间之前，对其响应性文件以书面通知的形式进行修改或撤消。该通知须有投标代理人的签字，并得到招标方的确认。</w:t>
      </w:r>
    </w:p>
    <w:p>
      <w:pPr>
        <w:spacing w:line="440" w:lineRule="exact"/>
        <w:ind w:firstLine="480" w:firstLineChars="200"/>
        <w:rPr>
          <w:rFonts w:ascii="宋体" w:cs="宋体"/>
          <w:sz w:val="24"/>
        </w:rPr>
      </w:pPr>
      <w:r>
        <w:rPr>
          <w:rFonts w:ascii="宋体" w:hAnsi="宋体" w:cs="宋体"/>
          <w:sz w:val="24"/>
        </w:rPr>
        <w:t>13.2</w:t>
      </w:r>
      <w:r>
        <w:rPr>
          <w:rFonts w:hint="eastAsia" w:ascii="宋体" w:hAnsi="宋体" w:cs="宋体"/>
          <w:sz w:val="24"/>
        </w:rPr>
        <w:t>　投标人对响应性文件修改的书面材料或撤消通知应按竞争性谈判文件要求进行密封、标注和递交，并注明“修改响应性文件”或“撤消投标”字样，修改或撤销的内容须按竞争性谈判文件的要求签署、盖章，并作为响应性文件的组成部分。</w:t>
      </w:r>
    </w:p>
    <w:p>
      <w:pPr>
        <w:spacing w:line="440" w:lineRule="exact"/>
        <w:ind w:firstLine="480" w:firstLineChars="200"/>
        <w:rPr>
          <w:rFonts w:ascii="宋体" w:cs="宋体"/>
          <w:sz w:val="24"/>
        </w:rPr>
      </w:pPr>
      <w:r>
        <w:rPr>
          <w:rFonts w:ascii="宋体" w:hAnsi="宋体" w:cs="宋体"/>
          <w:sz w:val="24"/>
        </w:rPr>
        <w:t>13.3</w:t>
      </w:r>
      <w:r>
        <w:rPr>
          <w:rFonts w:hint="eastAsia" w:ascii="宋体" w:hAnsi="宋体" w:cs="宋体"/>
          <w:sz w:val="24"/>
        </w:rPr>
        <w:t>　对响应性文件修改的书面材料应于投标截止日前送达招标方，投标截止时间以后不得修改响应性文件。</w:t>
      </w:r>
    </w:p>
    <w:p>
      <w:pPr>
        <w:spacing w:line="440" w:lineRule="exact"/>
        <w:ind w:firstLine="480" w:firstLineChars="200"/>
        <w:rPr>
          <w:rFonts w:ascii="宋体" w:cs="宋体"/>
          <w:sz w:val="24"/>
        </w:rPr>
      </w:pPr>
      <w:r>
        <w:rPr>
          <w:rFonts w:ascii="宋体" w:hAnsi="宋体" w:cs="宋体"/>
          <w:sz w:val="24"/>
        </w:rPr>
        <w:t>13.4</w:t>
      </w:r>
      <w:r>
        <w:rPr>
          <w:rFonts w:hint="eastAsia" w:ascii="宋体" w:hAnsi="宋体" w:cs="宋体"/>
          <w:sz w:val="24"/>
        </w:rPr>
        <w:t>　投标人不得在开标后至投标有效期期满前撤销响应性文件。否则招标方将没收其谈判保证金。</w:t>
      </w:r>
    </w:p>
    <w:p>
      <w:pPr>
        <w:spacing w:line="440" w:lineRule="exact"/>
        <w:ind w:firstLine="480" w:firstLineChars="200"/>
        <w:rPr>
          <w:rFonts w:ascii="宋体" w:cs="宋体"/>
          <w:sz w:val="24"/>
        </w:rPr>
      </w:pPr>
      <w:r>
        <w:rPr>
          <w:rFonts w:ascii="宋体" w:hAnsi="宋体" w:cs="宋体"/>
          <w:sz w:val="24"/>
        </w:rPr>
        <w:t>13.5</w:t>
      </w:r>
      <w:r>
        <w:rPr>
          <w:rFonts w:hint="eastAsia" w:ascii="宋体" w:hAnsi="宋体" w:cs="宋体"/>
          <w:sz w:val="24"/>
        </w:rPr>
        <w:t>　发生下列情况之一的响应性文件被视为无效：</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z w:val="24"/>
        </w:rPr>
        <w:t xml:space="preserve"> </w:t>
      </w:r>
      <w:r>
        <w:rPr>
          <w:rFonts w:hint="eastAsia" w:ascii="宋体" w:hAnsi="宋体" w:cs="宋体"/>
          <w:sz w:val="24"/>
        </w:rPr>
        <w:t>投标截止时间以后送达的响应性文件；</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ascii="宋体" w:hAnsi="宋体" w:cs="宋体"/>
          <w:sz w:val="24"/>
        </w:rPr>
        <w:t xml:space="preserve"> </w:t>
      </w:r>
      <w:r>
        <w:rPr>
          <w:rFonts w:hint="eastAsia" w:ascii="宋体" w:hAnsi="宋体" w:cs="宋体"/>
          <w:sz w:val="24"/>
        </w:rPr>
        <w:t>由于包装不妥，在送交途中严重破损或失散的响应性文件；</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ascii="宋体" w:hAnsi="宋体" w:cs="宋体"/>
          <w:sz w:val="24"/>
        </w:rPr>
        <w:t xml:space="preserve"> </w:t>
      </w:r>
      <w:r>
        <w:rPr>
          <w:rFonts w:hint="eastAsia" w:ascii="宋体" w:hAnsi="宋体" w:cs="宋体"/>
          <w:sz w:val="24"/>
        </w:rPr>
        <w:t>以电讯形式投标的响应性文件；</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w:t>
      </w:r>
      <w:r>
        <w:rPr>
          <w:rFonts w:ascii="宋体" w:hAnsi="宋体" w:cs="宋体"/>
          <w:sz w:val="24"/>
        </w:rPr>
        <w:t xml:space="preserve"> </w:t>
      </w:r>
      <w:r>
        <w:rPr>
          <w:rFonts w:hint="eastAsia" w:ascii="宋体" w:hAnsi="宋体" w:cs="宋体"/>
          <w:sz w:val="24"/>
        </w:rPr>
        <w:t>与谈判文件有重大偏离的响应性文件；</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w:t>
      </w:r>
      <w:r>
        <w:rPr>
          <w:rFonts w:ascii="宋体" w:hAnsi="宋体" w:cs="宋体"/>
          <w:sz w:val="24"/>
        </w:rPr>
        <w:t xml:space="preserve"> </w:t>
      </w:r>
      <w:r>
        <w:rPr>
          <w:rFonts w:hint="eastAsia" w:ascii="宋体" w:hAnsi="宋体" w:cs="宋体"/>
          <w:sz w:val="24"/>
        </w:rPr>
        <w:t>响应性文件应盖而未盖公章或非本公司公章的、不按正确位置盖章的；未装订、未密封、注册资金不符的；响应性文件、法定代表人授权书、资格声明函等填写不完整或有涂改未加盖公章的；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w:t>
      </w:r>
      <w:r>
        <w:rPr>
          <w:rFonts w:ascii="宋体" w:hAnsi="宋体" w:cs="宋体"/>
          <w:sz w:val="24"/>
        </w:rPr>
        <w:t xml:space="preserve"> </w:t>
      </w:r>
      <w:r>
        <w:rPr>
          <w:rFonts w:hint="eastAsia" w:ascii="宋体" w:hAnsi="宋体" w:cs="宋体"/>
          <w:sz w:val="24"/>
        </w:rPr>
        <w:t>无“谈判响应报价表”的响应性文件；</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w:t>
      </w:r>
      <w:r>
        <w:rPr>
          <w:rFonts w:ascii="宋体" w:hAnsi="宋体" w:cs="宋体"/>
          <w:sz w:val="24"/>
        </w:rPr>
        <w:t xml:space="preserve"> </w:t>
      </w:r>
      <w:r>
        <w:rPr>
          <w:rFonts w:hint="eastAsia" w:ascii="宋体" w:hAnsi="宋体" w:cs="宋体"/>
          <w:sz w:val="24"/>
        </w:rPr>
        <w:t>“谈判响应报价表”与正本中内容有重大差异的响应性文件；</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w:t>
      </w:r>
      <w:r>
        <w:rPr>
          <w:rFonts w:ascii="宋体" w:hAnsi="宋体" w:cs="宋体"/>
          <w:sz w:val="24"/>
        </w:rPr>
        <w:t xml:space="preserve"> </w:t>
      </w:r>
      <w:r>
        <w:rPr>
          <w:rFonts w:hint="eastAsia" w:ascii="宋体" w:hAnsi="宋体" w:cs="宋体"/>
          <w:sz w:val="24"/>
        </w:rPr>
        <w:t>“谈判响应报价表”没有加盖公章的；</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9</w:t>
      </w:r>
      <w:r>
        <w:rPr>
          <w:rFonts w:hint="eastAsia" w:ascii="宋体" w:hAnsi="宋体" w:cs="宋体"/>
          <w:sz w:val="24"/>
        </w:rPr>
        <w:t>）</w:t>
      </w:r>
      <w:r>
        <w:rPr>
          <w:rFonts w:ascii="宋体" w:hAnsi="宋体" w:cs="宋体"/>
          <w:sz w:val="24"/>
        </w:rPr>
        <w:t xml:space="preserve"> </w:t>
      </w:r>
      <w:r>
        <w:rPr>
          <w:rFonts w:hint="eastAsia" w:ascii="宋体" w:hAnsi="宋体" w:cs="宋体"/>
          <w:sz w:val="24"/>
        </w:rPr>
        <w:t>未含按规定交纳谈判保证金的谈判文件；</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10</w:t>
      </w:r>
      <w:r>
        <w:rPr>
          <w:rFonts w:hint="eastAsia" w:ascii="宋体" w:hAnsi="宋体" w:cs="宋体"/>
          <w:sz w:val="24"/>
        </w:rPr>
        <w:t>）</w:t>
      </w:r>
      <w:r>
        <w:rPr>
          <w:rFonts w:ascii="宋体" w:hAnsi="宋体" w:cs="宋体"/>
          <w:sz w:val="24"/>
        </w:rPr>
        <w:t xml:space="preserve"> </w:t>
      </w:r>
      <w:r>
        <w:rPr>
          <w:rFonts w:hint="eastAsia" w:ascii="宋体" w:hAnsi="宋体" w:cs="宋体"/>
          <w:sz w:val="24"/>
        </w:rPr>
        <w:t>出现影响采购公正的违法违规行为的响应性文件；</w:t>
      </w:r>
    </w:p>
    <w:p>
      <w:pPr>
        <w:spacing w:line="440" w:lineRule="exact"/>
        <w:ind w:firstLine="480" w:firstLineChars="200"/>
        <w:rPr>
          <w:rFonts w:ascii="宋体" w:cs="宋体"/>
          <w:sz w:val="24"/>
        </w:rPr>
      </w:pPr>
      <w:r>
        <w:rPr>
          <w:rFonts w:hint="eastAsia" w:ascii="宋体" w:hAnsi="宋体" w:cs="宋体"/>
          <w:sz w:val="24"/>
        </w:rPr>
        <w:t>（</w:t>
      </w:r>
      <w:r>
        <w:rPr>
          <w:rFonts w:ascii="宋体" w:hAnsi="宋体" w:cs="宋体"/>
          <w:sz w:val="24"/>
        </w:rPr>
        <w:t>11</w:t>
      </w:r>
      <w:r>
        <w:rPr>
          <w:rFonts w:hint="eastAsia" w:ascii="宋体" w:hAnsi="宋体" w:cs="宋体"/>
          <w:sz w:val="24"/>
        </w:rPr>
        <w:t>）</w:t>
      </w:r>
      <w:r>
        <w:rPr>
          <w:rFonts w:ascii="宋体" w:hAnsi="宋体" w:cs="宋体"/>
          <w:sz w:val="24"/>
        </w:rPr>
        <w:t xml:space="preserve"> </w:t>
      </w:r>
      <w:r>
        <w:rPr>
          <w:rFonts w:hint="eastAsia" w:ascii="宋体" w:hAnsi="宋体" w:cs="宋体"/>
          <w:sz w:val="24"/>
        </w:rPr>
        <w:t>评标委员会认为其他不合理的情况的响应性文件。</w:t>
      </w:r>
    </w:p>
    <w:p>
      <w:pPr>
        <w:pStyle w:val="3"/>
        <w:jc w:val="center"/>
        <w:rPr>
          <w:rFonts w:ascii="宋体" w:cs="宋体"/>
          <w:sz w:val="32"/>
          <w:szCs w:val="32"/>
        </w:rPr>
      </w:pPr>
      <w:bookmarkStart w:id="7" w:name="_Toc503519662"/>
      <w:bookmarkStart w:id="8" w:name="_Toc381724068"/>
      <w:r>
        <w:rPr>
          <w:rFonts w:hint="eastAsia" w:ascii="宋体" w:hAnsi="宋体" w:cs="宋体"/>
          <w:sz w:val="32"/>
          <w:szCs w:val="32"/>
        </w:rPr>
        <w:t>第四章</w:t>
      </w:r>
      <w:r>
        <w:rPr>
          <w:rFonts w:ascii="宋体" w:hAnsi="宋体" w:cs="宋体"/>
          <w:sz w:val="32"/>
          <w:szCs w:val="32"/>
        </w:rPr>
        <w:t xml:space="preserve">  </w:t>
      </w:r>
      <w:r>
        <w:rPr>
          <w:rFonts w:hint="eastAsia" w:ascii="宋体" w:hAnsi="宋体" w:cs="宋体"/>
          <w:sz w:val="32"/>
          <w:szCs w:val="32"/>
        </w:rPr>
        <w:t>开标、谈判</w:t>
      </w:r>
      <w:bookmarkEnd w:id="7"/>
      <w:bookmarkEnd w:id="8"/>
    </w:p>
    <w:p>
      <w:pPr>
        <w:spacing w:line="440" w:lineRule="exact"/>
        <w:ind w:firstLine="482" w:firstLineChars="200"/>
        <w:rPr>
          <w:rFonts w:ascii="宋体" w:cs="宋体"/>
          <w:b/>
          <w:sz w:val="24"/>
        </w:rPr>
      </w:pPr>
      <w:r>
        <w:rPr>
          <w:rFonts w:ascii="宋体" w:hAnsi="宋体" w:cs="宋体"/>
          <w:b/>
          <w:sz w:val="24"/>
        </w:rPr>
        <w:t>14</w:t>
      </w:r>
      <w:r>
        <w:rPr>
          <w:rFonts w:hint="eastAsia" w:ascii="宋体" w:hAnsi="宋体" w:cs="宋体"/>
          <w:b/>
          <w:sz w:val="24"/>
        </w:rPr>
        <w:t>、开标</w:t>
      </w:r>
    </w:p>
    <w:p>
      <w:pPr>
        <w:spacing w:line="440" w:lineRule="exact"/>
        <w:ind w:firstLine="480" w:firstLineChars="200"/>
        <w:rPr>
          <w:rFonts w:hint="eastAsia" w:ascii="宋体" w:hAnsi="宋体" w:cs="宋体"/>
          <w:sz w:val="24"/>
        </w:rPr>
      </w:pPr>
      <w:r>
        <w:rPr>
          <w:rFonts w:ascii="宋体" w:hAnsi="宋体" w:cs="宋体"/>
          <w:sz w:val="24"/>
        </w:rPr>
        <w:t>14.1</w:t>
      </w:r>
      <w:r>
        <w:rPr>
          <w:rFonts w:hint="eastAsia" w:ascii="宋体" w:hAnsi="宋体" w:cs="宋体"/>
          <w:sz w:val="24"/>
        </w:rPr>
        <w:t>　本次谈判按竞争性谈判文件中规定的时间和地点进行公开开标，允许投标人的法定代表人或其授权人参加开标会。</w:t>
      </w:r>
    </w:p>
    <w:p>
      <w:pPr>
        <w:spacing w:line="440" w:lineRule="exact"/>
        <w:ind w:firstLine="472" w:firstLineChars="200"/>
        <w:rPr>
          <w:rFonts w:hint="eastAsia" w:ascii="宋体" w:hAnsi="宋体"/>
          <w:color w:val="auto"/>
          <w:spacing w:val="-2"/>
          <w:sz w:val="24"/>
          <w:highlight w:val="none"/>
          <w:lang w:val="en-US" w:eastAsia="zh-CN"/>
        </w:rPr>
      </w:pPr>
      <w:r>
        <w:rPr>
          <w:rFonts w:hint="eastAsia" w:ascii="宋体" w:hAnsi="宋体"/>
          <w:color w:val="auto"/>
          <w:spacing w:val="-2"/>
          <w:sz w:val="24"/>
          <w:highlight w:val="none"/>
          <w:lang w:val="en-US" w:eastAsia="zh-CN"/>
        </w:rPr>
        <w:t>14.2  采购人或采购代理机构在投标人须知前附表规定的谈判时间和谈判地点组织竞争性谈判，邀请投标人参加。谈判小组成员不得参加开标活动。投标人不足的，不得开标。</w:t>
      </w:r>
    </w:p>
    <w:p>
      <w:pPr>
        <w:spacing w:line="440" w:lineRule="exact"/>
        <w:ind w:firstLine="480" w:firstLineChars="200"/>
        <w:rPr>
          <w:rFonts w:hint="eastAsia" w:ascii="宋体" w:hAnsi="宋体"/>
          <w:color w:val="auto"/>
          <w:sz w:val="24"/>
          <w:highlight w:val="none"/>
        </w:rPr>
      </w:pPr>
      <w:r>
        <w:rPr>
          <w:rFonts w:ascii="宋体" w:hAnsi="宋体" w:cs="宋体"/>
          <w:sz w:val="24"/>
        </w:rPr>
        <w:t>14.</w:t>
      </w:r>
      <w:r>
        <w:rPr>
          <w:rFonts w:hint="eastAsia" w:ascii="宋体" w:hAnsi="宋体" w:cs="宋体"/>
          <w:sz w:val="24"/>
          <w:lang w:val="en-US" w:eastAsia="zh-CN"/>
        </w:rPr>
        <w:t xml:space="preserve">3  </w:t>
      </w:r>
      <w:r>
        <w:rPr>
          <w:rFonts w:hint="eastAsia" w:ascii="宋体" w:hAnsi="宋体"/>
          <w:color w:val="auto"/>
          <w:spacing w:val="-2"/>
          <w:sz w:val="24"/>
          <w:highlight w:val="none"/>
        </w:rPr>
        <w:t>开标时，投标人或其推选的代表检查响应性文件的密封情况；经确认无误后，由采购人或采购代理机构当众拆封响应性文件。</w:t>
      </w:r>
      <w:r>
        <w:rPr>
          <w:rFonts w:hint="eastAsia" w:ascii="宋体" w:hAnsi="宋体"/>
          <w:color w:val="auto"/>
          <w:sz w:val="24"/>
          <w:highlight w:val="none"/>
        </w:rPr>
        <w:t xml:space="preserve"> 投标人提交的响应性文件中的第一次报价不进行公开唱标。</w:t>
      </w:r>
    </w:p>
    <w:p>
      <w:pPr>
        <w:spacing w:line="440" w:lineRule="exact"/>
        <w:ind w:firstLine="472" w:firstLineChars="200"/>
        <w:rPr>
          <w:rFonts w:hint="eastAsia" w:ascii="宋体" w:hAnsi="宋体"/>
          <w:color w:val="auto"/>
          <w:spacing w:val="-2"/>
          <w:sz w:val="24"/>
          <w:highlight w:val="none"/>
        </w:rPr>
      </w:pPr>
      <w:r>
        <w:rPr>
          <w:rFonts w:ascii="宋体" w:hAnsi="宋体"/>
          <w:color w:val="auto"/>
          <w:spacing w:val="-2"/>
          <w:sz w:val="24"/>
          <w:highlight w:val="none"/>
        </w:rPr>
        <w:t>1</w:t>
      </w:r>
      <w:r>
        <w:rPr>
          <w:rFonts w:hint="eastAsia" w:ascii="宋体" w:hAnsi="宋体"/>
          <w:color w:val="auto"/>
          <w:spacing w:val="-2"/>
          <w:sz w:val="24"/>
          <w:highlight w:val="none"/>
          <w:lang w:val="en-US" w:eastAsia="zh-CN"/>
        </w:rPr>
        <w:t>4</w:t>
      </w:r>
      <w:r>
        <w:rPr>
          <w:rFonts w:hint="eastAsia" w:ascii="宋体" w:hAnsi="宋体"/>
          <w:color w:val="auto"/>
          <w:spacing w:val="-2"/>
          <w:sz w:val="24"/>
          <w:highlight w:val="none"/>
        </w:rPr>
        <w:t>.</w:t>
      </w:r>
      <w:r>
        <w:rPr>
          <w:rFonts w:hint="eastAsia" w:ascii="宋体" w:hAnsi="宋体"/>
          <w:color w:val="auto"/>
          <w:spacing w:val="-2"/>
          <w:sz w:val="24"/>
          <w:highlight w:val="none"/>
          <w:lang w:val="en-US" w:eastAsia="zh-CN"/>
        </w:rPr>
        <w:t>4</w:t>
      </w:r>
      <w:r>
        <w:rPr>
          <w:rFonts w:hint="eastAsia" w:ascii="宋体" w:hAnsi="宋体"/>
          <w:color w:val="auto"/>
          <w:spacing w:val="-2"/>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tabs>
          <w:tab w:val="left" w:pos="1155"/>
        </w:tabs>
        <w:spacing w:line="440" w:lineRule="exact"/>
        <w:ind w:firstLine="480" w:firstLineChars="200"/>
        <w:rPr>
          <w:rFonts w:hint="eastAsia" w:ascii="宋体" w:hAnsi="宋体" w:cs="宋体"/>
          <w:bCs/>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w:t>
      </w:r>
      <w:r>
        <w:rPr>
          <w:rFonts w:hint="eastAsia" w:ascii="宋体" w:hAnsi="宋体"/>
          <w:color w:val="auto"/>
          <w:sz w:val="24"/>
          <w:highlight w:val="none"/>
          <w:lang w:val="en-US" w:eastAsia="zh-CN"/>
        </w:rPr>
        <w:t xml:space="preserve">5 </w:t>
      </w:r>
      <w:r>
        <w:rPr>
          <w:rFonts w:hint="eastAsia" w:ascii="宋体" w:hAnsi="宋体"/>
          <w:color w:val="auto"/>
          <w:sz w:val="24"/>
          <w:highlight w:val="none"/>
        </w:rPr>
        <w:t>响应文件开启结束后，采购人或者采购代理机构应当依法对供应商的资格进行审查。</w:t>
      </w:r>
      <w:r>
        <w:rPr>
          <w:rFonts w:hint="eastAsia" w:ascii="宋体" w:hAnsi="宋体" w:cs="宋体"/>
          <w:bCs/>
          <w:color w:val="auto"/>
          <w:sz w:val="24"/>
          <w:highlight w:val="none"/>
        </w:rPr>
        <w:t>合格供应商不足的，不得评标。</w:t>
      </w:r>
    </w:p>
    <w:p>
      <w:pPr>
        <w:pStyle w:val="10"/>
        <w:spacing w:line="440" w:lineRule="exact"/>
        <w:ind w:firstLine="472" w:firstLineChars="200"/>
        <w:rPr>
          <w:rFonts w:hAnsi="宋体"/>
          <w:spacing w:val="-2"/>
          <w:sz w:val="24"/>
          <w:szCs w:val="24"/>
        </w:rPr>
      </w:pPr>
      <w:r>
        <w:rPr>
          <w:rFonts w:hint="eastAsia" w:hAnsi="宋体"/>
          <w:spacing w:val="-2"/>
          <w:sz w:val="24"/>
          <w:szCs w:val="24"/>
        </w:rPr>
        <w:t>资格审查内容如下：</w:t>
      </w:r>
    </w:p>
    <w:p>
      <w:pPr>
        <w:pStyle w:val="10"/>
        <w:spacing w:line="440" w:lineRule="exact"/>
        <w:ind w:firstLine="3776" w:firstLineChars="1600"/>
        <w:rPr>
          <w:rFonts w:hAnsi="宋体"/>
          <w:spacing w:val="-2"/>
          <w:sz w:val="24"/>
          <w:szCs w:val="24"/>
        </w:rPr>
      </w:pPr>
      <w:r>
        <w:rPr>
          <w:rFonts w:hint="eastAsia" w:hAnsi="宋体"/>
          <w:spacing w:val="-2"/>
          <w:sz w:val="24"/>
          <w:szCs w:val="24"/>
        </w:rPr>
        <w:t>资格审查表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36"/>
        <w:gridCol w:w="4667"/>
        <w:gridCol w:w="793"/>
        <w:gridCol w:w="794"/>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6" w:type="dxa"/>
            <w:gridSpan w:val="2"/>
            <w:vMerge w:val="restart"/>
            <w:noWrap w:val="0"/>
            <w:vAlign w:val="center"/>
          </w:tcPr>
          <w:p>
            <w:pPr>
              <w:pStyle w:val="10"/>
              <w:spacing w:line="440" w:lineRule="exact"/>
              <w:ind w:firstLine="472" w:firstLineChars="200"/>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审查内容</w:t>
            </w:r>
          </w:p>
        </w:tc>
        <w:tc>
          <w:tcPr>
            <w:tcW w:w="5551" w:type="dxa"/>
            <w:vMerge w:val="restart"/>
            <w:noWrap w:val="0"/>
            <w:vAlign w:val="center"/>
          </w:tcPr>
          <w:p>
            <w:pPr>
              <w:pStyle w:val="10"/>
              <w:spacing w:line="440" w:lineRule="exact"/>
              <w:ind w:firstLine="472" w:firstLineChars="200"/>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审查标准</w:t>
            </w:r>
          </w:p>
        </w:tc>
        <w:tc>
          <w:tcPr>
            <w:tcW w:w="2497" w:type="dxa"/>
            <w:gridSpan w:val="3"/>
            <w:noWrap w:val="0"/>
            <w:vAlign w:val="center"/>
          </w:tcPr>
          <w:p>
            <w:pPr>
              <w:pStyle w:val="1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Merge w:val="continue"/>
            <w:noWrap w:val="0"/>
            <w:vAlign w:val="center"/>
          </w:tcPr>
          <w:p>
            <w:pPr>
              <w:pStyle w:val="10"/>
              <w:spacing w:line="440" w:lineRule="exact"/>
              <w:ind w:firstLine="472" w:firstLineChars="200"/>
              <w:rPr>
                <w:rFonts w:hint="eastAsia" w:ascii="宋体" w:hAnsi="宋体" w:eastAsia="宋体" w:cs="宋体"/>
                <w:spacing w:val="-2"/>
                <w:kern w:val="0"/>
                <w:sz w:val="24"/>
                <w:szCs w:val="24"/>
              </w:rPr>
            </w:pPr>
          </w:p>
        </w:tc>
        <w:tc>
          <w:tcPr>
            <w:tcW w:w="5551" w:type="dxa"/>
            <w:vMerge w:val="continue"/>
            <w:noWrap w:val="0"/>
            <w:vAlign w:val="center"/>
          </w:tcPr>
          <w:p>
            <w:pPr>
              <w:pStyle w:val="10"/>
              <w:spacing w:line="440" w:lineRule="exact"/>
              <w:ind w:firstLine="472" w:firstLineChars="200"/>
              <w:rPr>
                <w:rFonts w:hint="eastAsia" w:ascii="宋体" w:hAnsi="宋体" w:eastAsia="宋体" w:cs="宋体"/>
                <w:spacing w:val="-2"/>
                <w:kern w:val="0"/>
                <w:sz w:val="24"/>
                <w:szCs w:val="24"/>
              </w:rPr>
            </w:pPr>
          </w:p>
        </w:tc>
        <w:tc>
          <w:tcPr>
            <w:tcW w:w="825" w:type="dxa"/>
            <w:noWrap w:val="0"/>
            <w:vAlign w:val="center"/>
          </w:tcPr>
          <w:p>
            <w:pPr>
              <w:pStyle w:val="1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26" w:type="dxa"/>
            <w:noWrap w:val="0"/>
            <w:vAlign w:val="center"/>
          </w:tcPr>
          <w:p>
            <w:pPr>
              <w:pStyle w:val="1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46" w:type="dxa"/>
            <w:noWrap w:val="0"/>
            <w:vAlign w:val="center"/>
          </w:tcPr>
          <w:p>
            <w:pPr>
              <w:pStyle w:val="1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49" w:type="dxa"/>
            <w:noWrap w:val="0"/>
            <w:vAlign w:val="center"/>
          </w:tcPr>
          <w:p>
            <w:pPr>
              <w:pStyle w:val="10"/>
              <w:spacing w:line="440" w:lineRule="exac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具有独立承担民事责任的能力</w:t>
            </w:r>
          </w:p>
        </w:tc>
        <w:tc>
          <w:tcPr>
            <w:tcW w:w="5551" w:type="dxa"/>
            <w:noWrap w:val="0"/>
            <w:vAlign w:val="center"/>
          </w:tcPr>
          <w:p>
            <w:pPr>
              <w:pStyle w:val="10"/>
              <w:spacing w:line="440" w:lineRule="exac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法人或者其他组织的营业执照等证明文件；自然人需提供身份证明；</w:t>
            </w:r>
          </w:p>
        </w:tc>
        <w:tc>
          <w:tcPr>
            <w:tcW w:w="825" w:type="dxa"/>
            <w:noWrap w:val="0"/>
            <w:vAlign w:val="center"/>
          </w:tcPr>
          <w:p>
            <w:pPr>
              <w:pStyle w:val="10"/>
              <w:spacing w:line="440" w:lineRule="exact"/>
              <w:ind w:firstLine="480" w:firstLineChars="200"/>
              <w:rPr>
                <w:rFonts w:hint="eastAsia" w:ascii="宋体" w:hAnsi="宋体" w:eastAsia="宋体" w:cs="宋体"/>
                <w:kern w:val="0"/>
                <w:sz w:val="24"/>
                <w:szCs w:val="24"/>
              </w:rPr>
            </w:pPr>
          </w:p>
        </w:tc>
        <w:tc>
          <w:tcPr>
            <w:tcW w:w="826" w:type="dxa"/>
            <w:noWrap w:val="0"/>
            <w:vAlign w:val="top"/>
          </w:tcPr>
          <w:p>
            <w:pPr>
              <w:pStyle w:val="10"/>
              <w:spacing w:line="440" w:lineRule="exact"/>
              <w:ind w:firstLine="480" w:firstLineChars="200"/>
              <w:rPr>
                <w:rFonts w:hint="eastAsia" w:ascii="宋体" w:hAnsi="宋体" w:eastAsia="宋体" w:cs="宋体"/>
                <w:kern w:val="0"/>
                <w:sz w:val="24"/>
                <w:szCs w:val="24"/>
              </w:rPr>
            </w:pPr>
          </w:p>
        </w:tc>
        <w:tc>
          <w:tcPr>
            <w:tcW w:w="846" w:type="dxa"/>
            <w:noWrap w:val="0"/>
            <w:vAlign w:val="top"/>
          </w:tcPr>
          <w:p>
            <w:pPr>
              <w:pStyle w:val="10"/>
              <w:spacing w:line="440" w:lineRule="exact"/>
              <w:ind w:firstLine="480" w:firstLineChars="20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349" w:type="dxa"/>
            <w:noWrap w:val="0"/>
            <w:vAlign w:val="center"/>
          </w:tcPr>
          <w:p>
            <w:pPr>
              <w:pStyle w:val="10"/>
              <w:spacing w:line="44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健全的财务会计制度</w:t>
            </w:r>
          </w:p>
        </w:tc>
        <w:tc>
          <w:tcPr>
            <w:tcW w:w="5551" w:type="dxa"/>
            <w:noWrap w:val="0"/>
            <w:vAlign w:val="center"/>
          </w:tcPr>
          <w:p>
            <w:pPr>
              <w:spacing w:after="100" w:afterAutospacing="1"/>
              <w:rPr>
                <w:rFonts w:hint="eastAsia" w:ascii="宋体" w:hAnsi="宋体" w:eastAsia="宋体" w:cs="宋体"/>
                <w:sz w:val="24"/>
                <w:szCs w:val="24"/>
                <w:highlight w:val="none"/>
              </w:rPr>
            </w:pPr>
            <w:r>
              <w:rPr>
                <w:rFonts w:hint="eastAsia" w:ascii="宋体" w:hAnsi="宋体" w:eastAsia="宋体" w:cs="宋体"/>
                <w:sz w:val="24"/>
                <w:szCs w:val="24"/>
                <w:highlight w:val="none"/>
              </w:rPr>
              <w:t>提供上年度经审计财务会计报告或半年内任意一个月财务报表（财务报表应至少包括资产负债表、损益表、现金流量表或财务状况变动表，当月新成立公司不需提供）</w:t>
            </w:r>
          </w:p>
        </w:tc>
        <w:tc>
          <w:tcPr>
            <w:tcW w:w="825" w:type="dxa"/>
            <w:noWrap w:val="0"/>
            <w:vAlign w:val="center"/>
          </w:tcPr>
          <w:p>
            <w:pPr>
              <w:pStyle w:val="10"/>
              <w:spacing w:line="440" w:lineRule="exact"/>
              <w:ind w:firstLine="480" w:firstLineChars="200"/>
              <w:rPr>
                <w:rFonts w:hint="eastAsia" w:ascii="宋体" w:hAnsi="宋体" w:eastAsia="宋体" w:cs="宋体"/>
                <w:kern w:val="0"/>
                <w:sz w:val="24"/>
                <w:szCs w:val="24"/>
              </w:rPr>
            </w:pPr>
          </w:p>
        </w:tc>
        <w:tc>
          <w:tcPr>
            <w:tcW w:w="826" w:type="dxa"/>
            <w:noWrap w:val="0"/>
            <w:vAlign w:val="top"/>
          </w:tcPr>
          <w:p>
            <w:pPr>
              <w:pStyle w:val="10"/>
              <w:spacing w:line="440" w:lineRule="exact"/>
              <w:ind w:firstLine="480" w:firstLineChars="200"/>
              <w:rPr>
                <w:rFonts w:hint="eastAsia" w:ascii="宋体" w:hAnsi="宋体" w:eastAsia="宋体" w:cs="宋体"/>
                <w:kern w:val="0"/>
                <w:sz w:val="24"/>
                <w:szCs w:val="24"/>
              </w:rPr>
            </w:pPr>
          </w:p>
        </w:tc>
        <w:tc>
          <w:tcPr>
            <w:tcW w:w="846" w:type="dxa"/>
            <w:noWrap w:val="0"/>
            <w:vAlign w:val="top"/>
          </w:tcPr>
          <w:p>
            <w:pPr>
              <w:pStyle w:val="10"/>
              <w:spacing w:line="440" w:lineRule="exact"/>
              <w:ind w:firstLine="480" w:firstLineChars="20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7"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349" w:type="dxa"/>
            <w:noWrap w:val="0"/>
            <w:vAlign w:val="center"/>
          </w:tcPr>
          <w:p>
            <w:pPr>
              <w:spacing w:after="100" w:afterAutospacing="1"/>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缴纳税收</w:t>
            </w:r>
          </w:p>
        </w:tc>
        <w:tc>
          <w:tcPr>
            <w:tcW w:w="5551" w:type="dxa"/>
            <w:noWrap w:val="0"/>
            <w:vAlign w:val="center"/>
          </w:tcPr>
          <w:p>
            <w:pPr>
              <w:spacing w:after="100" w:afterAutospacing="1"/>
              <w:rPr>
                <w:rFonts w:hint="eastAsia" w:ascii="宋体" w:hAnsi="宋体" w:eastAsia="宋体" w:cs="宋体"/>
                <w:sz w:val="24"/>
                <w:szCs w:val="24"/>
                <w:highlight w:val="none"/>
              </w:rPr>
            </w:pPr>
            <w:r>
              <w:rPr>
                <w:rFonts w:hint="eastAsia" w:ascii="宋体" w:hAnsi="宋体" w:eastAsia="宋体" w:cs="宋体"/>
                <w:sz w:val="24"/>
                <w:szCs w:val="24"/>
                <w:highlight w:val="none"/>
              </w:rPr>
              <w:t>提供的近半年内</w:t>
            </w:r>
            <w:r>
              <w:rPr>
                <w:rFonts w:hint="eastAsia" w:ascii="宋体" w:hAnsi="宋体" w:eastAsia="宋体" w:cs="宋体"/>
                <w:sz w:val="24"/>
                <w:szCs w:val="24"/>
                <w:highlight w:val="none"/>
                <w:lang w:eastAsia="zh-CN"/>
              </w:rPr>
              <w:t>任意一月</w:t>
            </w:r>
            <w:r>
              <w:rPr>
                <w:rFonts w:hint="eastAsia" w:ascii="宋体" w:hAnsi="宋体" w:eastAsia="宋体" w:cs="宋体"/>
                <w:sz w:val="24"/>
                <w:szCs w:val="24"/>
                <w:highlight w:val="none"/>
              </w:rPr>
              <w:t>依法缴纳税收证明，当月新成立公司不需提供</w:t>
            </w:r>
            <w:r>
              <w:rPr>
                <w:rFonts w:hint="eastAsia" w:ascii="宋体" w:hAnsi="宋体" w:eastAsia="宋体" w:cs="宋体"/>
                <w:sz w:val="24"/>
                <w:szCs w:val="24"/>
                <w:highlight w:val="none"/>
                <w:lang w:eastAsia="zh-CN"/>
              </w:rPr>
              <w:t>；无需纳税或免税的也需提供相应证明材料</w:t>
            </w:r>
            <w:r>
              <w:rPr>
                <w:rFonts w:hint="eastAsia" w:ascii="宋体" w:hAnsi="宋体" w:eastAsia="宋体" w:cs="宋体"/>
                <w:sz w:val="24"/>
                <w:szCs w:val="24"/>
                <w:highlight w:val="none"/>
              </w:rPr>
              <w:t>。</w:t>
            </w:r>
          </w:p>
        </w:tc>
        <w:tc>
          <w:tcPr>
            <w:tcW w:w="825" w:type="dxa"/>
            <w:noWrap w:val="0"/>
            <w:vAlign w:val="center"/>
          </w:tcPr>
          <w:p>
            <w:pPr>
              <w:pStyle w:val="10"/>
              <w:spacing w:line="440" w:lineRule="exact"/>
              <w:ind w:firstLine="480" w:firstLineChars="200"/>
              <w:rPr>
                <w:rFonts w:hint="eastAsia" w:ascii="宋体" w:hAnsi="宋体" w:eastAsia="宋体" w:cs="宋体"/>
                <w:kern w:val="0"/>
                <w:sz w:val="24"/>
                <w:szCs w:val="24"/>
              </w:rPr>
            </w:pPr>
          </w:p>
        </w:tc>
        <w:tc>
          <w:tcPr>
            <w:tcW w:w="826" w:type="dxa"/>
            <w:noWrap w:val="0"/>
            <w:vAlign w:val="top"/>
          </w:tcPr>
          <w:p>
            <w:pPr>
              <w:pStyle w:val="10"/>
              <w:spacing w:line="440" w:lineRule="exact"/>
              <w:ind w:firstLine="480" w:firstLineChars="200"/>
              <w:rPr>
                <w:rFonts w:hint="eastAsia" w:ascii="宋体" w:hAnsi="宋体" w:eastAsia="宋体" w:cs="宋体"/>
                <w:kern w:val="0"/>
                <w:sz w:val="24"/>
                <w:szCs w:val="24"/>
              </w:rPr>
            </w:pPr>
          </w:p>
        </w:tc>
        <w:tc>
          <w:tcPr>
            <w:tcW w:w="846" w:type="dxa"/>
            <w:noWrap w:val="0"/>
            <w:vAlign w:val="top"/>
          </w:tcPr>
          <w:p>
            <w:pPr>
              <w:pStyle w:val="10"/>
              <w:spacing w:line="440" w:lineRule="exact"/>
              <w:ind w:firstLine="480" w:firstLineChars="200"/>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349" w:type="dxa"/>
            <w:noWrap w:val="0"/>
            <w:vAlign w:val="center"/>
          </w:tcPr>
          <w:p>
            <w:pPr>
              <w:spacing w:after="100" w:afterAutospacing="1"/>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缴纳社会保障资金</w:t>
            </w:r>
          </w:p>
        </w:tc>
        <w:tc>
          <w:tcPr>
            <w:tcW w:w="5551" w:type="dxa"/>
            <w:noWrap w:val="0"/>
            <w:vAlign w:val="center"/>
          </w:tcPr>
          <w:p>
            <w:pPr>
              <w:spacing w:after="100" w:afterAutospacing="1"/>
              <w:rPr>
                <w:rFonts w:hint="eastAsia" w:ascii="宋体" w:hAnsi="宋体" w:eastAsia="宋体" w:cs="宋体"/>
                <w:sz w:val="24"/>
                <w:szCs w:val="24"/>
                <w:highlight w:val="none"/>
              </w:rPr>
            </w:pPr>
            <w:r>
              <w:rPr>
                <w:rFonts w:hint="eastAsia" w:ascii="宋体" w:hAnsi="宋体" w:eastAsia="宋体" w:cs="宋体"/>
                <w:sz w:val="24"/>
                <w:szCs w:val="24"/>
                <w:highlight w:val="none"/>
              </w:rPr>
              <w:t>提供社会保险登记证或社保缴纳证明（近半年内</w:t>
            </w:r>
            <w:r>
              <w:rPr>
                <w:rFonts w:hint="eastAsia" w:ascii="宋体" w:hAnsi="宋体" w:eastAsia="宋体" w:cs="宋体"/>
                <w:sz w:val="24"/>
                <w:szCs w:val="24"/>
                <w:highlight w:val="none"/>
                <w:lang w:eastAsia="zh-CN"/>
              </w:rPr>
              <w:t>任意一月</w:t>
            </w:r>
            <w:r>
              <w:rPr>
                <w:rFonts w:hint="eastAsia" w:ascii="宋体" w:hAnsi="宋体" w:eastAsia="宋体" w:cs="宋体"/>
                <w:sz w:val="24"/>
                <w:szCs w:val="24"/>
                <w:highlight w:val="none"/>
              </w:rPr>
              <w:t>社保缴纳证明，当月新成立公司不需提供）</w:t>
            </w:r>
          </w:p>
        </w:tc>
        <w:tc>
          <w:tcPr>
            <w:tcW w:w="825" w:type="dxa"/>
            <w:noWrap w:val="0"/>
            <w:vAlign w:val="center"/>
          </w:tcPr>
          <w:p>
            <w:pPr>
              <w:spacing w:line="440" w:lineRule="exact"/>
              <w:jc w:val="center"/>
              <w:rPr>
                <w:rFonts w:hint="eastAsia" w:ascii="宋体" w:hAnsi="宋体" w:eastAsia="宋体" w:cs="宋体"/>
                <w:sz w:val="24"/>
                <w:szCs w:val="24"/>
                <w:highlight w:val="yellow"/>
              </w:rPr>
            </w:pPr>
          </w:p>
        </w:tc>
        <w:tc>
          <w:tcPr>
            <w:tcW w:w="826" w:type="dxa"/>
            <w:noWrap w:val="0"/>
            <w:vAlign w:val="top"/>
          </w:tcPr>
          <w:p>
            <w:pPr>
              <w:spacing w:line="440" w:lineRule="exact"/>
              <w:jc w:val="center"/>
              <w:rPr>
                <w:rFonts w:hint="eastAsia" w:ascii="宋体" w:hAnsi="宋体" w:eastAsia="宋体" w:cs="宋体"/>
                <w:sz w:val="24"/>
                <w:szCs w:val="24"/>
                <w:highlight w:val="yellow"/>
              </w:rPr>
            </w:pPr>
          </w:p>
        </w:tc>
        <w:tc>
          <w:tcPr>
            <w:tcW w:w="846" w:type="dxa"/>
            <w:noWrap w:val="0"/>
            <w:vAlign w:val="top"/>
          </w:tcPr>
          <w:p>
            <w:pPr>
              <w:spacing w:line="440" w:lineRule="exact"/>
              <w:jc w:val="center"/>
              <w:rPr>
                <w:rFonts w:hint="eastAsia" w:ascii="宋体" w:hAnsi="宋体" w:eastAsia="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1349" w:type="dxa"/>
            <w:noWrap w:val="0"/>
            <w:vAlign w:val="center"/>
          </w:tcPr>
          <w:p>
            <w:pPr>
              <w:spacing w:after="100" w:afterAutospacing="1"/>
              <w:rPr>
                <w:rFonts w:hint="eastAsia" w:ascii="宋体" w:hAnsi="宋体" w:eastAsia="宋体" w:cs="宋体"/>
                <w:spacing w:val="-2"/>
                <w:sz w:val="24"/>
                <w:szCs w:val="24"/>
              </w:rPr>
            </w:pPr>
            <w:r>
              <w:rPr>
                <w:rFonts w:hint="eastAsia" w:ascii="宋体" w:hAnsi="宋体" w:eastAsia="宋体" w:cs="宋体"/>
                <w:spacing w:val="-2"/>
                <w:sz w:val="24"/>
                <w:szCs w:val="24"/>
              </w:rPr>
              <w:t>履行合同所必需的设备和能力</w:t>
            </w:r>
          </w:p>
        </w:tc>
        <w:tc>
          <w:tcPr>
            <w:tcW w:w="5551" w:type="dxa"/>
            <w:noWrap w:val="0"/>
            <w:vAlign w:val="center"/>
          </w:tcPr>
          <w:p>
            <w:pPr>
              <w:spacing w:after="100" w:afterAutospacing="1"/>
              <w:rPr>
                <w:rFonts w:hint="eastAsia" w:ascii="宋体" w:hAnsi="宋体" w:eastAsia="宋体" w:cs="宋体"/>
                <w:spacing w:val="-2"/>
                <w:sz w:val="24"/>
                <w:szCs w:val="24"/>
              </w:rPr>
            </w:pPr>
            <w:r>
              <w:rPr>
                <w:rFonts w:hint="eastAsia" w:ascii="宋体" w:hAnsi="宋体" w:eastAsia="宋体" w:cs="宋体"/>
                <w:spacing w:val="-2"/>
                <w:sz w:val="24"/>
                <w:szCs w:val="24"/>
              </w:rPr>
              <w:t>提供具有履行合同所必需的设备和专业技术能力相关证明材料或声明；</w:t>
            </w:r>
          </w:p>
        </w:tc>
        <w:tc>
          <w:tcPr>
            <w:tcW w:w="825" w:type="dxa"/>
            <w:noWrap w:val="0"/>
            <w:vAlign w:val="center"/>
          </w:tcPr>
          <w:p>
            <w:pPr>
              <w:spacing w:line="440" w:lineRule="exact"/>
              <w:jc w:val="center"/>
              <w:rPr>
                <w:rFonts w:hint="eastAsia" w:ascii="宋体" w:hAnsi="宋体" w:eastAsia="宋体" w:cs="宋体"/>
                <w:sz w:val="24"/>
                <w:szCs w:val="24"/>
              </w:rPr>
            </w:pPr>
          </w:p>
        </w:tc>
        <w:tc>
          <w:tcPr>
            <w:tcW w:w="826" w:type="dxa"/>
            <w:noWrap w:val="0"/>
            <w:vAlign w:val="top"/>
          </w:tcPr>
          <w:p>
            <w:pPr>
              <w:spacing w:line="440" w:lineRule="exact"/>
              <w:jc w:val="center"/>
              <w:rPr>
                <w:rFonts w:hint="eastAsia" w:ascii="宋体" w:hAnsi="宋体" w:eastAsia="宋体" w:cs="宋体"/>
                <w:sz w:val="24"/>
                <w:szCs w:val="24"/>
              </w:rPr>
            </w:pPr>
          </w:p>
        </w:tc>
        <w:tc>
          <w:tcPr>
            <w:tcW w:w="846" w:type="dxa"/>
            <w:noWrap w:val="0"/>
            <w:vAlign w:val="top"/>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349" w:type="dxa"/>
            <w:noWrap w:val="0"/>
            <w:vAlign w:val="center"/>
          </w:tcPr>
          <w:p>
            <w:pPr>
              <w:spacing w:after="100" w:afterAutospacing="1"/>
              <w:rPr>
                <w:rFonts w:hint="eastAsia" w:ascii="宋体" w:hAnsi="宋体" w:eastAsia="宋体" w:cs="宋体"/>
                <w:spacing w:val="-2"/>
                <w:sz w:val="24"/>
                <w:szCs w:val="24"/>
              </w:rPr>
            </w:pPr>
            <w:r>
              <w:rPr>
                <w:rFonts w:hint="eastAsia" w:ascii="宋体" w:hAnsi="宋体" w:eastAsia="宋体" w:cs="宋体"/>
                <w:spacing w:val="-2"/>
                <w:sz w:val="24"/>
                <w:szCs w:val="24"/>
              </w:rPr>
              <w:t>提供无重大违法记录声明书</w:t>
            </w:r>
          </w:p>
        </w:tc>
        <w:tc>
          <w:tcPr>
            <w:tcW w:w="5551" w:type="dxa"/>
            <w:noWrap w:val="0"/>
            <w:vAlign w:val="center"/>
          </w:tcPr>
          <w:p>
            <w:pPr>
              <w:spacing w:after="100" w:afterAutospacing="1"/>
              <w:rPr>
                <w:rFonts w:hint="eastAsia" w:ascii="宋体" w:hAnsi="宋体" w:eastAsia="宋体" w:cs="宋体"/>
                <w:spacing w:val="-2"/>
                <w:sz w:val="24"/>
                <w:szCs w:val="24"/>
              </w:rPr>
            </w:pPr>
            <w:r>
              <w:rPr>
                <w:rFonts w:hint="eastAsia" w:ascii="宋体" w:hAnsi="宋体" w:eastAsia="宋体" w:cs="宋体"/>
                <w:spacing w:val="-2"/>
                <w:sz w:val="24"/>
                <w:szCs w:val="24"/>
              </w:rPr>
              <w:t>提供无重大违法记录声明书</w:t>
            </w:r>
            <w:r>
              <w:rPr>
                <w:rFonts w:hint="eastAsia" w:ascii="宋体" w:hAnsi="宋体" w:eastAsia="宋体" w:cs="宋体"/>
                <w:sz w:val="24"/>
                <w:szCs w:val="24"/>
              </w:rPr>
              <w:t>；</w:t>
            </w:r>
          </w:p>
        </w:tc>
        <w:tc>
          <w:tcPr>
            <w:tcW w:w="825" w:type="dxa"/>
            <w:noWrap w:val="0"/>
            <w:vAlign w:val="center"/>
          </w:tcPr>
          <w:p>
            <w:pPr>
              <w:spacing w:line="440" w:lineRule="exact"/>
              <w:jc w:val="center"/>
              <w:rPr>
                <w:rFonts w:hint="eastAsia" w:ascii="宋体" w:hAnsi="宋体" w:eastAsia="宋体" w:cs="宋体"/>
                <w:sz w:val="24"/>
                <w:szCs w:val="24"/>
              </w:rPr>
            </w:pPr>
          </w:p>
        </w:tc>
        <w:tc>
          <w:tcPr>
            <w:tcW w:w="826" w:type="dxa"/>
            <w:noWrap w:val="0"/>
            <w:vAlign w:val="top"/>
          </w:tcPr>
          <w:p>
            <w:pPr>
              <w:spacing w:line="440" w:lineRule="exact"/>
              <w:jc w:val="center"/>
              <w:rPr>
                <w:rFonts w:hint="eastAsia" w:ascii="宋体" w:hAnsi="宋体" w:eastAsia="宋体" w:cs="宋体"/>
                <w:sz w:val="24"/>
                <w:szCs w:val="24"/>
              </w:rPr>
            </w:pPr>
          </w:p>
        </w:tc>
        <w:tc>
          <w:tcPr>
            <w:tcW w:w="846" w:type="dxa"/>
            <w:noWrap w:val="0"/>
            <w:vAlign w:val="top"/>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1349" w:type="dxa"/>
            <w:noWrap w:val="0"/>
            <w:vAlign w:val="center"/>
          </w:tcPr>
          <w:p>
            <w:pPr>
              <w:pStyle w:val="10"/>
              <w:spacing w:line="440" w:lineRule="exact"/>
              <w:rPr>
                <w:rFonts w:hint="eastAsia" w:ascii="宋体" w:hAnsi="宋体" w:eastAsia="宋体" w:cs="宋体"/>
                <w:spacing w:val="-2"/>
                <w:sz w:val="24"/>
                <w:szCs w:val="24"/>
              </w:rPr>
            </w:pPr>
            <w:r>
              <w:rPr>
                <w:rFonts w:hint="eastAsia" w:ascii="宋体" w:hAnsi="宋体" w:eastAsia="宋体" w:cs="宋体"/>
                <w:spacing w:val="-2"/>
                <w:kern w:val="0"/>
                <w:sz w:val="24"/>
                <w:szCs w:val="24"/>
              </w:rPr>
              <w:t>信用查询结果</w:t>
            </w:r>
          </w:p>
        </w:tc>
        <w:tc>
          <w:tcPr>
            <w:tcW w:w="5551" w:type="dxa"/>
            <w:noWrap w:val="0"/>
            <w:vAlign w:val="center"/>
          </w:tcPr>
          <w:p>
            <w:pPr>
              <w:pStyle w:val="10"/>
              <w:spacing w:line="440" w:lineRule="exact"/>
              <w:rPr>
                <w:rFonts w:hint="eastAsia" w:ascii="宋体" w:hAnsi="宋体" w:eastAsia="宋体" w:cs="宋体"/>
                <w:spacing w:val="-2"/>
                <w:sz w:val="24"/>
                <w:szCs w:val="24"/>
              </w:rPr>
            </w:pPr>
            <w:r>
              <w:rPr>
                <w:rFonts w:hint="eastAsia" w:ascii="宋体" w:hAnsi="宋体" w:eastAsia="宋体" w:cs="宋体"/>
                <w:spacing w:val="-2"/>
                <w:kern w:val="0"/>
                <w:sz w:val="24"/>
                <w:szCs w:val="24"/>
                <w:lang w:val="en-US" w:eastAsia="zh-CN"/>
              </w:rPr>
              <w:t>1、</w:t>
            </w:r>
            <w:r>
              <w:rPr>
                <w:rFonts w:hint="eastAsia" w:ascii="宋体" w:hAnsi="宋体" w:eastAsia="宋体" w:cs="宋体"/>
                <w:spacing w:val="-2"/>
                <w:kern w:val="0"/>
                <w:sz w:val="24"/>
                <w:szCs w:val="24"/>
              </w:rPr>
              <w:t>“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25" w:type="dxa"/>
            <w:noWrap w:val="0"/>
            <w:vAlign w:val="center"/>
          </w:tcPr>
          <w:p>
            <w:pPr>
              <w:spacing w:line="440" w:lineRule="exact"/>
              <w:jc w:val="center"/>
              <w:rPr>
                <w:rFonts w:hint="eastAsia" w:ascii="宋体" w:hAnsi="宋体" w:eastAsia="宋体" w:cs="宋体"/>
                <w:sz w:val="24"/>
                <w:szCs w:val="24"/>
              </w:rPr>
            </w:pPr>
          </w:p>
        </w:tc>
        <w:tc>
          <w:tcPr>
            <w:tcW w:w="826" w:type="dxa"/>
            <w:noWrap w:val="0"/>
            <w:vAlign w:val="top"/>
          </w:tcPr>
          <w:p>
            <w:pPr>
              <w:spacing w:line="440" w:lineRule="exact"/>
              <w:jc w:val="center"/>
              <w:rPr>
                <w:rFonts w:hint="eastAsia" w:ascii="宋体" w:hAnsi="宋体" w:eastAsia="宋体" w:cs="宋体"/>
                <w:sz w:val="24"/>
                <w:szCs w:val="24"/>
              </w:rPr>
            </w:pPr>
          </w:p>
        </w:tc>
        <w:tc>
          <w:tcPr>
            <w:tcW w:w="846" w:type="dxa"/>
            <w:noWrap w:val="0"/>
            <w:vAlign w:val="top"/>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1349" w:type="dxa"/>
            <w:noWrap w:val="0"/>
            <w:vAlign w:val="center"/>
          </w:tcPr>
          <w:p>
            <w:pPr>
              <w:pStyle w:val="10"/>
              <w:spacing w:line="440" w:lineRule="exac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投标人代表身份证明</w:t>
            </w:r>
          </w:p>
        </w:tc>
        <w:tc>
          <w:tcPr>
            <w:tcW w:w="5551" w:type="dxa"/>
            <w:noWrap w:val="0"/>
            <w:vAlign w:val="center"/>
          </w:tcPr>
          <w:p>
            <w:pPr>
              <w:pStyle w:val="10"/>
              <w:spacing w:line="440" w:lineRule="exac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《法定代表人资格证明书》或《法定代表人授权委托书》</w:t>
            </w:r>
            <w:r>
              <w:rPr>
                <w:rFonts w:hint="eastAsia" w:ascii="宋体" w:hAnsi="宋体" w:eastAsia="宋体" w:cs="宋体"/>
                <w:sz w:val="24"/>
                <w:szCs w:val="24"/>
              </w:rPr>
              <w:t>；</w:t>
            </w:r>
          </w:p>
        </w:tc>
        <w:tc>
          <w:tcPr>
            <w:tcW w:w="825" w:type="dxa"/>
            <w:noWrap w:val="0"/>
            <w:vAlign w:val="center"/>
          </w:tcPr>
          <w:p>
            <w:pPr>
              <w:spacing w:line="440" w:lineRule="exact"/>
              <w:jc w:val="center"/>
              <w:rPr>
                <w:rFonts w:hint="eastAsia" w:ascii="宋体" w:hAnsi="宋体" w:eastAsia="宋体" w:cs="宋体"/>
                <w:sz w:val="24"/>
                <w:szCs w:val="24"/>
              </w:rPr>
            </w:pPr>
          </w:p>
        </w:tc>
        <w:tc>
          <w:tcPr>
            <w:tcW w:w="826" w:type="dxa"/>
            <w:noWrap w:val="0"/>
            <w:vAlign w:val="top"/>
          </w:tcPr>
          <w:p>
            <w:pPr>
              <w:spacing w:line="440" w:lineRule="exact"/>
              <w:jc w:val="center"/>
              <w:rPr>
                <w:rFonts w:hint="eastAsia" w:ascii="宋体" w:hAnsi="宋体" w:eastAsia="宋体" w:cs="宋体"/>
                <w:sz w:val="24"/>
                <w:szCs w:val="24"/>
              </w:rPr>
            </w:pPr>
          </w:p>
        </w:tc>
        <w:tc>
          <w:tcPr>
            <w:tcW w:w="846" w:type="dxa"/>
            <w:noWrap w:val="0"/>
            <w:vAlign w:val="top"/>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1349" w:type="dxa"/>
            <w:noWrap w:val="0"/>
            <w:vAlign w:val="center"/>
          </w:tcPr>
          <w:p>
            <w:pPr>
              <w:spacing w:after="100" w:afterAutospacing="1"/>
              <w:rPr>
                <w:rFonts w:hint="eastAsia" w:ascii="宋体" w:hAnsi="宋体" w:eastAsia="宋体" w:cs="宋体"/>
                <w:spacing w:val="-2"/>
                <w:kern w:val="0"/>
                <w:sz w:val="24"/>
                <w:szCs w:val="24"/>
              </w:rPr>
            </w:pPr>
            <w:r>
              <w:rPr>
                <w:rFonts w:hint="eastAsia" w:ascii="宋体" w:hAnsi="宋体" w:eastAsia="宋体" w:cs="宋体"/>
                <w:sz w:val="24"/>
                <w:szCs w:val="24"/>
              </w:rPr>
              <w:t>不参与围标串标承诺书</w:t>
            </w:r>
          </w:p>
        </w:tc>
        <w:tc>
          <w:tcPr>
            <w:tcW w:w="5551" w:type="dxa"/>
            <w:noWrap w:val="0"/>
            <w:vAlign w:val="center"/>
          </w:tcPr>
          <w:p>
            <w:pPr>
              <w:spacing w:after="100" w:afterAutospacing="1"/>
              <w:rPr>
                <w:rFonts w:hint="eastAsia" w:ascii="宋体" w:hAnsi="宋体" w:eastAsia="宋体" w:cs="宋体"/>
                <w:spacing w:val="-2"/>
                <w:kern w:val="0"/>
                <w:sz w:val="24"/>
                <w:szCs w:val="24"/>
              </w:rPr>
            </w:pPr>
            <w:r>
              <w:rPr>
                <w:rFonts w:hint="eastAsia" w:ascii="宋体" w:hAnsi="宋体" w:eastAsia="宋体" w:cs="宋体"/>
                <w:sz w:val="24"/>
                <w:szCs w:val="24"/>
              </w:rPr>
              <w:t>提供不参与围标串标承诺书；</w:t>
            </w:r>
          </w:p>
        </w:tc>
        <w:tc>
          <w:tcPr>
            <w:tcW w:w="825" w:type="dxa"/>
            <w:noWrap w:val="0"/>
            <w:vAlign w:val="center"/>
          </w:tcPr>
          <w:p>
            <w:pPr>
              <w:spacing w:line="440" w:lineRule="exact"/>
              <w:jc w:val="center"/>
              <w:rPr>
                <w:rFonts w:hint="eastAsia" w:ascii="宋体" w:hAnsi="宋体" w:eastAsia="宋体" w:cs="宋体"/>
                <w:sz w:val="24"/>
                <w:szCs w:val="24"/>
              </w:rPr>
            </w:pPr>
          </w:p>
        </w:tc>
        <w:tc>
          <w:tcPr>
            <w:tcW w:w="826" w:type="dxa"/>
            <w:noWrap w:val="0"/>
            <w:vAlign w:val="top"/>
          </w:tcPr>
          <w:p>
            <w:pPr>
              <w:spacing w:line="440" w:lineRule="exact"/>
              <w:jc w:val="center"/>
              <w:rPr>
                <w:rFonts w:hint="eastAsia" w:ascii="宋体" w:hAnsi="宋体" w:eastAsia="宋体" w:cs="宋体"/>
                <w:sz w:val="24"/>
                <w:szCs w:val="24"/>
              </w:rPr>
            </w:pPr>
          </w:p>
        </w:tc>
        <w:tc>
          <w:tcPr>
            <w:tcW w:w="846" w:type="dxa"/>
            <w:noWrap w:val="0"/>
            <w:vAlign w:val="top"/>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349" w:type="dxa"/>
            <w:noWrap w:val="0"/>
            <w:vAlign w:val="center"/>
          </w:tcPr>
          <w:p>
            <w:pPr>
              <w:spacing w:after="100" w:afterAutospacing="1"/>
              <w:rPr>
                <w:rFonts w:hint="eastAsia" w:ascii="宋体" w:hAnsi="宋体" w:eastAsia="宋体" w:cs="宋体"/>
                <w:sz w:val="24"/>
                <w:szCs w:val="24"/>
              </w:rPr>
            </w:pPr>
            <w:r>
              <w:rPr>
                <w:rFonts w:hint="eastAsia" w:ascii="宋体" w:hAnsi="宋体" w:eastAsia="宋体" w:cs="宋体"/>
                <w:sz w:val="24"/>
                <w:szCs w:val="24"/>
              </w:rPr>
              <w:t>投标保证金</w:t>
            </w:r>
          </w:p>
        </w:tc>
        <w:tc>
          <w:tcPr>
            <w:tcW w:w="5551" w:type="dxa"/>
            <w:noWrap w:val="0"/>
            <w:vAlign w:val="center"/>
          </w:tcPr>
          <w:p>
            <w:pPr>
              <w:spacing w:after="100" w:afterAutospacing="1"/>
              <w:rPr>
                <w:rFonts w:hint="eastAsia" w:ascii="宋体" w:hAnsi="宋体" w:eastAsia="宋体" w:cs="宋体"/>
                <w:sz w:val="24"/>
                <w:szCs w:val="24"/>
              </w:rPr>
            </w:pPr>
            <w:r>
              <w:rPr>
                <w:rFonts w:hint="eastAsia" w:ascii="宋体" w:hAnsi="宋体" w:eastAsia="宋体" w:cs="宋体"/>
                <w:sz w:val="24"/>
                <w:szCs w:val="24"/>
              </w:rPr>
              <w:t>是否按照投标须知要求金额递交了投标保证金，并提供了投标保证金缴纳凭证；</w:t>
            </w:r>
          </w:p>
        </w:tc>
        <w:tc>
          <w:tcPr>
            <w:tcW w:w="825" w:type="dxa"/>
            <w:noWrap w:val="0"/>
            <w:vAlign w:val="center"/>
          </w:tcPr>
          <w:p>
            <w:pPr>
              <w:spacing w:line="440" w:lineRule="exact"/>
              <w:jc w:val="center"/>
              <w:rPr>
                <w:rFonts w:hint="eastAsia" w:ascii="宋体" w:hAnsi="宋体" w:eastAsia="宋体" w:cs="宋体"/>
                <w:sz w:val="24"/>
                <w:szCs w:val="24"/>
              </w:rPr>
            </w:pPr>
          </w:p>
        </w:tc>
        <w:tc>
          <w:tcPr>
            <w:tcW w:w="826" w:type="dxa"/>
            <w:noWrap w:val="0"/>
            <w:vAlign w:val="top"/>
          </w:tcPr>
          <w:p>
            <w:pPr>
              <w:spacing w:line="440" w:lineRule="exact"/>
              <w:jc w:val="center"/>
              <w:rPr>
                <w:rFonts w:hint="eastAsia" w:ascii="宋体" w:hAnsi="宋体" w:eastAsia="宋体" w:cs="宋体"/>
                <w:sz w:val="24"/>
                <w:szCs w:val="24"/>
              </w:rPr>
            </w:pPr>
          </w:p>
        </w:tc>
        <w:tc>
          <w:tcPr>
            <w:tcW w:w="846" w:type="dxa"/>
            <w:noWrap w:val="0"/>
            <w:vAlign w:val="top"/>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349" w:type="dxa"/>
            <w:noWrap w:val="0"/>
            <w:vAlign w:val="center"/>
          </w:tcPr>
          <w:p>
            <w:pPr>
              <w:spacing w:after="100" w:afterAutospacing="1"/>
              <w:rPr>
                <w:rFonts w:hint="eastAsia" w:ascii="宋体" w:hAnsi="宋体" w:eastAsia="宋体" w:cs="宋体"/>
                <w:sz w:val="24"/>
                <w:szCs w:val="24"/>
              </w:rPr>
            </w:pPr>
            <w:r>
              <w:rPr>
                <w:rFonts w:hint="eastAsia" w:ascii="宋体" w:hAnsi="宋体" w:eastAsia="宋体" w:cs="宋体"/>
                <w:sz w:val="24"/>
                <w:szCs w:val="24"/>
              </w:rPr>
              <w:t>其他特定资格证明</w:t>
            </w:r>
          </w:p>
        </w:tc>
        <w:tc>
          <w:tcPr>
            <w:tcW w:w="5551" w:type="dxa"/>
            <w:noWrap w:val="0"/>
            <w:vAlign w:val="center"/>
          </w:tcPr>
          <w:p>
            <w:pPr>
              <w:spacing w:after="100" w:afterAutospacing="1"/>
              <w:rPr>
                <w:rFonts w:hint="eastAsia" w:ascii="宋体" w:hAnsi="宋体" w:eastAsia="宋体" w:cs="宋体"/>
                <w:sz w:val="24"/>
                <w:szCs w:val="24"/>
                <w:lang w:eastAsia="zh-CN"/>
              </w:rPr>
            </w:pPr>
            <w:r>
              <w:rPr>
                <w:rFonts w:hint="eastAsia" w:ascii="宋体" w:hAnsi="宋体" w:eastAsia="宋体" w:cs="宋体"/>
                <w:sz w:val="24"/>
                <w:szCs w:val="24"/>
              </w:rPr>
              <w:t>有效期内的食品生产许可证原件或食品经营许可证原件或电子彩印件加盖投标人公章</w:t>
            </w:r>
            <w:r>
              <w:rPr>
                <w:rFonts w:hint="eastAsia" w:ascii="宋体" w:hAnsi="宋体" w:eastAsia="宋体" w:cs="宋体"/>
                <w:sz w:val="24"/>
                <w:szCs w:val="24"/>
                <w:lang w:eastAsia="zh-CN"/>
              </w:rPr>
              <w:t>。</w:t>
            </w:r>
          </w:p>
        </w:tc>
        <w:tc>
          <w:tcPr>
            <w:tcW w:w="825" w:type="dxa"/>
            <w:noWrap w:val="0"/>
            <w:vAlign w:val="center"/>
          </w:tcPr>
          <w:p>
            <w:pPr>
              <w:spacing w:line="440" w:lineRule="exact"/>
              <w:jc w:val="center"/>
              <w:rPr>
                <w:rFonts w:hint="eastAsia" w:ascii="宋体" w:hAnsi="宋体" w:eastAsia="宋体" w:cs="宋体"/>
                <w:sz w:val="24"/>
                <w:szCs w:val="24"/>
              </w:rPr>
            </w:pPr>
          </w:p>
        </w:tc>
        <w:tc>
          <w:tcPr>
            <w:tcW w:w="826" w:type="dxa"/>
            <w:noWrap w:val="0"/>
            <w:vAlign w:val="top"/>
          </w:tcPr>
          <w:p>
            <w:pPr>
              <w:spacing w:line="440" w:lineRule="exact"/>
              <w:jc w:val="center"/>
              <w:rPr>
                <w:rFonts w:hint="eastAsia" w:ascii="宋体" w:hAnsi="宋体" w:eastAsia="宋体" w:cs="宋体"/>
                <w:sz w:val="24"/>
                <w:szCs w:val="24"/>
              </w:rPr>
            </w:pPr>
          </w:p>
        </w:tc>
        <w:tc>
          <w:tcPr>
            <w:tcW w:w="846" w:type="dxa"/>
            <w:noWrap w:val="0"/>
            <w:vAlign w:val="top"/>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7" w:type="dxa"/>
            <w:gridSpan w:val="3"/>
            <w:noWrap w:val="0"/>
            <w:vAlign w:val="center"/>
          </w:tcPr>
          <w:p>
            <w:pPr>
              <w:spacing w:after="100" w:afterAutospacing="1"/>
              <w:ind w:firstLine="1440" w:firstLineChars="600"/>
              <w:rPr>
                <w:rFonts w:hint="eastAsia" w:ascii="宋体" w:hAnsi="宋体" w:eastAsia="宋体" w:cs="宋体"/>
                <w:sz w:val="24"/>
                <w:szCs w:val="24"/>
              </w:rPr>
            </w:pPr>
            <w:r>
              <w:rPr>
                <w:rFonts w:hint="eastAsia" w:ascii="宋体" w:hAnsi="宋体" w:eastAsia="宋体" w:cs="宋体"/>
                <w:sz w:val="24"/>
                <w:szCs w:val="24"/>
              </w:rPr>
              <w:t>资格审查结果</w:t>
            </w:r>
          </w:p>
        </w:tc>
        <w:tc>
          <w:tcPr>
            <w:tcW w:w="825" w:type="dxa"/>
            <w:noWrap w:val="0"/>
            <w:vAlign w:val="center"/>
          </w:tcPr>
          <w:p>
            <w:pPr>
              <w:spacing w:line="440" w:lineRule="exact"/>
              <w:jc w:val="center"/>
              <w:rPr>
                <w:rFonts w:hint="eastAsia" w:ascii="宋体" w:hAnsi="宋体" w:eastAsia="宋体" w:cs="宋体"/>
                <w:sz w:val="24"/>
                <w:szCs w:val="24"/>
              </w:rPr>
            </w:pPr>
          </w:p>
        </w:tc>
        <w:tc>
          <w:tcPr>
            <w:tcW w:w="826" w:type="dxa"/>
            <w:noWrap w:val="0"/>
            <w:vAlign w:val="top"/>
          </w:tcPr>
          <w:p>
            <w:pPr>
              <w:spacing w:line="440" w:lineRule="exact"/>
              <w:jc w:val="center"/>
              <w:rPr>
                <w:rFonts w:hint="eastAsia" w:ascii="宋体" w:hAnsi="宋体" w:eastAsia="宋体" w:cs="宋体"/>
                <w:sz w:val="24"/>
                <w:szCs w:val="24"/>
              </w:rPr>
            </w:pPr>
          </w:p>
        </w:tc>
        <w:tc>
          <w:tcPr>
            <w:tcW w:w="846" w:type="dxa"/>
            <w:noWrap w:val="0"/>
            <w:vAlign w:val="top"/>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7" w:type="dxa"/>
            <w:gridSpan w:val="3"/>
            <w:noWrap w:val="0"/>
            <w:vAlign w:val="center"/>
          </w:tcPr>
          <w:p>
            <w:pPr>
              <w:spacing w:after="100" w:afterAutospacing="1"/>
              <w:ind w:firstLine="1440" w:firstLineChars="600"/>
              <w:rPr>
                <w:rFonts w:hint="eastAsia" w:ascii="宋体" w:hAnsi="宋体" w:eastAsia="宋体" w:cs="宋体"/>
                <w:sz w:val="24"/>
                <w:szCs w:val="24"/>
              </w:rPr>
            </w:pPr>
            <w:r>
              <w:rPr>
                <w:rFonts w:hint="eastAsia" w:ascii="宋体" w:hAnsi="宋体" w:eastAsia="宋体" w:cs="宋体"/>
                <w:sz w:val="24"/>
                <w:szCs w:val="24"/>
              </w:rPr>
              <w:t>不通过理由说明</w:t>
            </w:r>
          </w:p>
        </w:tc>
        <w:tc>
          <w:tcPr>
            <w:tcW w:w="825" w:type="dxa"/>
            <w:noWrap w:val="0"/>
            <w:vAlign w:val="center"/>
          </w:tcPr>
          <w:p>
            <w:pPr>
              <w:spacing w:line="440" w:lineRule="exact"/>
              <w:jc w:val="center"/>
              <w:rPr>
                <w:rFonts w:hint="eastAsia" w:ascii="宋体" w:hAnsi="宋体" w:eastAsia="宋体" w:cs="宋体"/>
                <w:sz w:val="24"/>
                <w:szCs w:val="24"/>
              </w:rPr>
            </w:pPr>
          </w:p>
        </w:tc>
        <w:tc>
          <w:tcPr>
            <w:tcW w:w="826" w:type="dxa"/>
            <w:noWrap w:val="0"/>
            <w:vAlign w:val="top"/>
          </w:tcPr>
          <w:p>
            <w:pPr>
              <w:spacing w:line="440" w:lineRule="exact"/>
              <w:jc w:val="center"/>
              <w:rPr>
                <w:rFonts w:hint="eastAsia" w:ascii="宋体" w:hAnsi="宋体" w:eastAsia="宋体" w:cs="宋体"/>
                <w:sz w:val="24"/>
                <w:szCs w:val="24"/>
              </w:rPr>
            </w:pPr>
          </w:p>
        </w:tc>
        <w:tc>
          <w:tcPr>
            <w:tcW w:w="846" w:type="dxa"/>
            <w:noWrap w:val="0"/>
            <w:vAlign w:val="top"/>
          </w:tcPr>
          <w:p>
            <w:pPr>
              <w:spacing w:line="440" w:lineRule="exact"/>
              <w:jc w:val="center"/>
              <w:rPr>
                <w:rFonts w:hint="eastAsia" w:ascii="宋体" w:hAnsi="宋体" w:eastAsia="宋体" w:cs="宋体"/>
                <w:sz w:val="24"/>
                <w:szCs w:val="24"/>
              </w:rPr>
            </w:pPr>
          </w:p>
        </w:tc>
      </w:tr>
    </w:tbl>
    <w:p>
      <w:r>
        <w:rPr>
          <w:rFonts w:hint="eastAsia"/>
        </w:rPr>
        <w:t>1.资格审查合格的打“√”，不合格的打“×”。</w:t>
      </w:r>
    </w:p>
    <w:p>
      <w:r>
        <w:rPr>
          <w:rFonts w:hint="eastAsia"/>
        </w:rPr>
        <w:t>2.资格审查结果，通过打“√”，不通过的打“×”。</w:t>
      </w:r>
    </w:p>
    <w:p>
      <w:pPr>
        <w:spacing w:line="44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3.请填写不通过资格审查的供应商的原因。</w:t>
      </w:r>
    </w:p>
    <w:p>
      <w:pPr>
        <w:spacing w:line="44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rPr>
        <w:t>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ascii="宋体" w:hAnsi="宋体" w:cs="宋体"/>
          <w:b/>
          <w:sz w:val="24"/>
        </w:rPr>
      </w:pPr>
    </w:p>
    <w:p>
      <w:pPr>
        <w:spacing w:line="440" w:lineRule="exact"/>
        <w:ind w:firstLine="482" w:firstLineChars="200"/>
        <w:rPr>
          <w:rFonts w:ascii="宋体" w:cs="宋体"/>
          <w:b/>
          <w:sz w:val="24"/>
        </w:rPr>
      </w:pPr>
      <w:r>
        <w:rPr>
          <w:rFonts w:ascii="宋体" w:hAnsi="宋体" w:cs="宋体"/>
          <w:b/>
          <w:sz w:val="24"/>
        </w:rPr>
        <w:t>15</w:t>
      </w:r>
      <w:r>
        <w:rPr>
          <w:rFonts w:hint="eastAsia" w:ascii="宋体" w:hAnsi="宋体" w:cs="宋体"/>
          <w:b/>
          <w:sz w:val="24"/>
        </w:rPr>
        <w:t>、谈判依据</w:t>
      </w:r>
    </w:p>
    <w:p>
      <w:pPr>
        <w:spacing w:line="440" w:lineRule="exact"/>
        <w:ind w:firstLine="480" w:firstLineChars="200"/>
        <w:rPr>
          <w:rFonts w:ascii="宋体" w:cs="宋体"/>
          <w:sz w:val="24"/>
        </w:rPr>
      </w:pPr>
      <w:r>
        <w:rPr>
          <w:rFonts w:hint="eastAsia" w:ascii="宋体" w:hAnsi="宋体"/>
          <w:color w:val="auto"/>
          <w:sz w:val="24"/>
          <w:highlight w:val="none"/>
        </w:rPr>
        <w:t>1</w:t>
      </w:r>
      <w:r>
        <w:rPr>
          <w:rFonts w:hint="eastAsia" w:ascii="宋体" w:hAnsi="宋体"/>
          <w:color w:val="auto"/>
          <w:sz w:val="24"/>
          <w:highlight w:val="none"/>
          <w:lang w:val="en-US" w:eastAsia="zh-CN"/>
        </w:rPr>
        <w:t>5</w:t>
      </w:r>
      <w:r>
        <w:rPr>
          <w:rFonts w:hint="eastAsia" w:ascii="宋体" w:hAnsi="宋体"/>
          <w:color w:val="auto"/>
          <w:sz w:val="24"/>
          <w:highlight w:val="none"/>
        </w:rPr>
        <w:t>.1　谈判的依据为招标方的竞争性</w:t>
      </w:r>
      <w:r>
        <w:rPr>
          <w:rFonts w:hint="eastAsia" w:ascii="宋体" w:hAnsi="宋体"/>
          <w:color w:val="auto"/>
          <w:sz w:val="24"/>
          <w:highlight w:val="none"/>
          <w:lang w:val="en-US" w:eastAsia="zh-CN"/>
        </w:rPr>
        <w:t>谈判</w:t>
      </w:r>
      <w:r>
        <w:rPr>
          <w:rFonts w:hint="eastAsia" w:ascii="宋体" w:hAnsi="宋体"/>
          <w:color w:val="auto"/>
          <w:sz w:val="24"/>
          <w:highlight w:val="none"/>
        </w:rPr>
        <w:t>文件和投标人的响应性文件。</w:t>
      </w:r>
    </w:p>
    <w:p>
      <w:pPr>
        <w:spacing w:line="440" w:lineRule="exact"/>
        <w:ind w:firstLine="482" w:firstLineChars="200"/>
        <w:rPr>
          <w:rFonts w:ascii="宋体" w:cs="宋体"/>
          <w:b/>
          <w:sz w:val="24"/>
        </w:rPr>
      </w:pPr>
      <w:r>
        <w:rPr>
          <w:rFonts w:ascii="宋体" w:hAnsi="宋体" w:cs="宋体"/>
          <w:b/>
          <w:sz w:val="24"/>
        </w:rPr>
        <w:t>16</w:t>
      </w:r>
      <w:r>
        <w:rPr>
          <w:rFonts w:hint="eastAsia" w:ascii="宋体" w:hAnsi="宋体" w:cs="宋体"/>
          <w:b/>
          <w:sz w:val="24"/>
        </w:rPr>
        <w:t>、谈判</w:t>
      </w:r>
    </w:p>
    <w:p>
      <w:pPr>
        <w:spacing w:line="440" w:lineRule="exact"/>
        <w:ind w:firstLine="480" w:firstLineChars="200"/>
        <w:rPr>
          <w:rFonts w:ascii="宋体" w:cs="宋体"/>
          <w:sz w:val="24"/>
        </w:rPr>
      </w:pPr>
      <w:r>
        <w:rPr>
          <w:rFonts w:ascii="宋体" w:hAnsi="宋体" w:cs="宋体"/>
          <w:sz w:val="24"/>
        </w:rPr>
        <w:t>16.1</w:t>
      </w:r>
      <w:r>
        <w:rPr>
          <w:rFonts w:hint="eastAsia" w:ascii="宋体" w:hAnsi="宋体" w:cs="宋体"/>
          <w:sz w:val="24"/>
        </w:rPr>
        <w:t>　谈判小组</w:t>
      </w:r>
    </w:p>
    <w:p>
      <w:pPr>
        <w:spacing w:line="440" w:lineRule="exact"/>
        <w:ind w:firstLine="360" w:firstLineChars="15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）招标方将根据《中华人民共和国政府采购法》的规定，依法组建本次招标的谈判小组，负责本次招标的谈判活动。谈判小组负责向招标方推荐成交候选人，由招标方确定成交服务商。</w:t>
      </w:r>
    </w:p>
    <w:p>
      <w:pPr>
        <w:spacing w:line="440" w:lineRule="exact"/>
        <w:ind w:firstLine="360" w:firstLineChars="15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）谈判小组人选于开标前确定。谈判小组成员名单在成交结果确定前保密。</w:t>
      </w:r>
    </w:p>
    <w:p>
      <w:pPr>
        <w:spacing w:line="440" w:lineRule="exact"/>
        <w:ind w:firstLine="360" w:firstLineChars="15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）谈判小组有关技术、经济等方面的专家和采购人熟悉相关业务的代表人员组成，成员为三人以上的单数，其中技术、经济等方面的成员人数不少于成员总数的三分之二。</w:t>
      </w:r>
    </w:p>
    <w:p>
      <w:pPr>
        <w:spacing w:line="440" w:lineRule="exact"/>
        <w:ind w:firstLine="360" w:firstLineChars="150"/>
        <w:rPr>
          <w:rFonts w:ascii="宋体" w:cs="宋体"/>
          <w:spacing w:val="-2"/>
          <w:sz w:val="24"/>
        </w:rPr>
      </w:pPr>
      <w:r>
        <w:rPr>
          <w:rFonts w:hint="eastAsia" w:ascii="宋体" w:hAnsi="宋体" w:cs="宋体"/>
          <w:sz w:val="24"/>
        </w:rPr>
        <w:t>（</w:t>
      </w:r>
      <w:r>
        <w:rPr>
          <w:rFonts w:ascii="宋体" w:hAnsi="宋体" w:cs="宋体"/>
          <w:sz w:val="24"/>
        </w:rPr>
        <w:t>4</w:t>
      </w:r>
      <w:r>
        <w:rPr>
          <w:rFonts w:hint="eastAsia" w:ascii="宋体" w:hAnsi="宋体" w:cs="宋体"/>
          <w:sz w:val="24"/>
        </w:rPr>
        <w:t>）按前款规定，谈判小组的成员，由招标方从专家库中采取随机抽取的方式确定。</w:t>
      </w:r>
      <w:r>
        <w:rPr>
          <w:rFonts w:hint="eastAsia" w:ascii="宋体" w:hAnsi="宋体" w:cs="宋体"/>
          <w:spacing w:val="-2"/>
          <w:sz w:val="24"/>
        </w:rPr>
        <w:t>对于技术复杂、专业性要求较高或者国家有特殊要求的招标项目，采取随机抽取的方式抽取的专家不能满足谈判工作需要时，将采取直接确定的方式选定谈判小组的人选。</w:t>
      </w:r>
    </w:p>
    <w:p>
      <w:pPr>
        <w:spacing w:line="440" w:lineRule="exact"/>
        <w:ind w:firstLine="354" w:firstLineChars="150"/>
        <w:rPr>
          <w:rFonts w:ascii="宋体" w:cs="宋体"/>
          <w:spacing w:val="-2"/>
          <w:sz w:val="24"/>
        </w:rPr>
      </w:pPr>
      <w:r>
        <w:rPr>
          <w:rFonts w:hint="eastAsia" w:ascii="宋体" w:hAnsi="宋体" w:cs="宋体"/>
          <w:spacing w:val="-2"/>
          <w:sz w:val="24"/>
        </w:rPr>
        <w:t>（</w:t>
      </w:r>
      <w:r>
        <w:rPr>
          <w:rFonts w:ascii="宋体" w:hAnsi="宋体" w:cs="宋体"/>
          <w:spacing w:val="-2"/>
          <w:sz w:val="24"/>
        </w:rPr>
        <w:t>5</w:t>
      </w:r>
      <w:r>
        <w:rPr>
          <w:rFonts w:hint="eastAsia" w:ascii="宋体" w:hAnsi="宋体" w:cs="宋体"/>
          <w:spacing w:val="-2"/>
          <w:sz w:val="24"/>
        </w:rPr>
        <w:t>）谈判小组成员遵循法定的回避规定。</w:t>
      </w:r>
    </w:p>
    <w:p>
      <w:pPr>
        <w:spacing w:line="440" w:lineRule="exact"/>
        <w:ind w:firstLine="472" w:firstLineChars="200"/>
        <w:rPr>
          <w:rFonts w:ascii="宋体" w:cs="宋体"/>
          <w:spacing w:val="-2"/>
          <w:sz w:val="24"/>
        </w:rPr>
      </w:pPr>
      <w:r>
        <w:rPr>
          <w:rFonts w:ascii="宋体" w:hAnsi="宋体" w:cs="宋体"/>
          <w:spacing w:val="-2"/>
          <w:sz w:val="24"/>
        </w:rPr>
        <w:t>16.2</w:t>
      </w:r>
      <w:r>
        <w:rPr>
          <w:rFonts w:hint="eastAsia" w:ascii="宋体" w:hAnsi="宋体" w:cs="宋体"/>
          <w:spacing w:val="-2"/>
          <w:sz w:val="24"/>
        </w:rPr>
        <w:t>　谈判小组应符合下列条件：</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z w:val="24"/>
        </w:rPr>
        <w:t xml:space="preserve"> </w:t>
      </w:r>
      <w:r>
        <w:rPr>
          <w:rFonts w:hint="eastAsia" w:ascii="宋体" w:hAnsi="宋体" w:cs="宋体"/>
          <w:spacing w:val="-2"/>
          <w:sz w:val="24"/>
        </w:rPr>
        <w:t>熟悉有关政府采购和招标投标的法律法规；</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ascii="宋体" w:hAnsi="宋体" w:cs="宋体"/>
          <w:sz w:val="24"/>
        </w:rPr>
        <w:t xml:space="preserve"> </w:t>
      </w:r>
      <w:r>
        <w:rPr>
          <w:rFonts w:hint="eastAsia" w:ascii="宋体" w:hAnsi="宋体" w:cs="宋体"/>
          <w:spacing w:val="-2"/>
          <w:sz w:val="24"/>
        </w:rPr>
        <w:t>在相关专业领域工作满八年并具有高级职称或者同等专业水平；</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ascii="宋体" w:hAnsi="宋体" w:cs="宋体"/>
          <w:sz w:val="24"/>
        </w:rPr>
        <w:t xml:space="preserve"> </w:t>
      </w:r>
      <w:r>
        <w:rPr>
          <w:rFonts w:hint="eastAsia" w:ascii="宋体" w:hAnsi="宋体" w:cs="宋体"/>
          <w:spacing w:val="-2"/>
          <w:sz w:val="24"/>
        </w:rPr>
        <w:t>具有与招标项目相关的实践经验；</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4</w:t>
      </w:r>
      <w:r>
        <w:rPr>
          <w:rFonts w:hint="eastAsia" w:ascii="宋体" w:hAnsi="宋体" w:cs="宋体"/>
          <w:sz w:val="24"/>
        </w:rPr>
        <w:t>）</w:t>
      </w:r>
      <w:r>
        <w:rPr>
          <w:rFonts w:ascii="宋体" w:hAnsi="宋体" w:cs="宋体"/>
          <w:sz w:val="24"/>
        </w:rPr>
        <w:t xml:space="preserve"> </w:t>
      </w:r>
      <w:r>
        <w:rPr>
          <w:rFonts w:hint="eastAsia" w:ascii="宋体" w:hAnsi="宋体" w:cs="宋体"/>
          <w:spacing w:val="-2"/>
          <w:sz w:val="24"/>
        </w:rPr>
        <w:t>能够认真、公正、诚实、廉洁的履行职责。</w:t>
      </w:r>
    </w:p>
    <w:p>
      <w:pPr>
        <w:spacing w:line="440" w:lineRule="exact"/>
        <w:ind w:left="474" w:leftChars="224" w:hanging="4" w:hangingChars="2"/>
        <w:rPr>
          <w:rFonts w:ascii="宋体" w:cs="宋体"/>
          <w:spacing w:val="-2"/>
          <w:sz w:val="24"/>
        </w:rPr>
      </w:pPr>
      <w:r>
        <w:rPr>
          <w:rFonts w:ascii="宋体" w:hAnsi="宋体" w:cs="宋体"/>
          <w:spacing w:val="-2"/>
          <w:sz w:val="24"/>
        </w:rPr>
        <w:t xml:space="preserve">16.3  </w:t>
      </w:r>
      <w:r>
        <w:rPr>
          <w:rFonts w:hint="eastAsia" w:ascii="宋体" w:hAnsi="宋体" w:cs="宋体"/>
          <w:spacing w:val="-2"/>
          <w:sz w:val="24"/>
        </w:rPr>
        <w:t>有下列情形之一的，不得担任谈判小组成员：</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pacing w:val="-2"/>
          <w:sz w:val="24"/>
        </w:rPr>
        <w:t xml:space="preserve"> </w:t>
      </w:r>
      <w:r>
        <w:rPr>
          <w:rFonts w:hint="eastAsia" w:ascii="宋体" w:hAnsi="宋体" w:cs="宋体"/>
          <w:spacing w:val="-2"/>
          <w:sz w:val="24"/>
        </w:rPr>
        <w:t>与投标人或者投标人主要负责人有近亲关系的；</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ascii="宋体" w:hAnsi="宋体" w:cs="宋体"/>
          <w:spacing w:val="-2"/>
          <w:sz w:val="24"/>
        </w:rPr>
        <w:t xml:space="preserve"> </w:t>
      </w:r>
      <w:r>
        <w:rPr>
          <w:rFonts w:hint="eastAsia" w:ascii="宋体" w:hAnsi="宋体" w:cs="宋体"/>
          <w:spacing w:val="-2"/>
          <w:sz w:val="24"/>
        </w:rPr>
        <w:t>与项目主管部门或者行政监督部门的人员有近亲关系的；</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ascii="宋体" w:hAnsi="宋体" w:cs="宋体"/>
          <w:spacing w:val="-2"/>
          <w:sz w:val="24"/>
        </w:rPr>
        <w:t xml:space="preserve"> </w:t>
      </w:r>
      <w:r>
        <w:rPr>
          <w:rFonts w:hint="eastAsia" w:ascii="宋体" w:hAnsi="宋体" w:cs="宋体"/>
          <w:spacing w:val="-2"/>
          <w:sz w:val="24"/>
        </w:rPr>
        <w:t>与投标人有经济利益关系，可能影响对投标公正评审的；</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4</w:t>
      </w:r>
      <w:r>
        <w:rPr>
          <w:rFonts w:hint="eastAsia" w:ascii="宋体" w:hAnsi="宋体" w:cs="宋体"/>
          <w:sz w:val="24"/>
        </w:rPr>
        <w:t>）</w:t>
      </w:r>
      <w:r>
        <w:rPr>
          <w:rFonts w:ascii="宋体" w:hAnsi="宋体" w:cs="宋体"/>
          <w:sz w:val="24"/>
        </w:rPr>
        <w:t xml:space="preserve"> </w:t>
      </w:r>
      <w:r>
        <w:rPr>
          <w:rFonts w:hint="eastAsia" w:ascii="宋体" w:hAnsi="宋体" w:cs="宋体"/>
          <w:spacing w:val="-2"/>
          <w:sz w:val="24"/>
        </w:rPr>
        <w:t>曾因在招标、评标以及其他与招标投标有关活动中从事违法行为而受过行政处罚或刑事处罚的。</w:t>
      </w:r>
    </w:p>
    <w:p>
      <w:pPr>
        <w:spacing w:line="440" w:lineRule="exact"/>
        <w:ind w:firstLine="472" w:firstLineChars="200"/>
        <w:rPr>
          <w:rFonts w:ascii="宋体" w:cs="宋体"/>
          <w:spacing w:val="-2"/>
          <w:sz w:val="24"/>
        </w:rPr>
      </w:pPr>
      <w:r>
        <w:rPr>
          <w:rFonts w:hint="eastAsia" w:ascii="宋体" w:hAnsi="宋体" w:cs="宋体"/>
          <w:spacing w:val="-2"/>
          <w:sz w:val="24"/>
        </w:rPr>
        <w:t>谈判小组成员有前款规定情形之一的，应当主动提出回避。</w:t>
      </w:r>
    </w:p>
    <w:p>
      <w:pPr>
        <w:spacing w:line="440" w:lineRule="exact"/>
        <w:ind w:firstLine="480" w:firstLineChars="200"/>
        <w:rPr>
          <w:rFonts w:ascii="宋体" w:cs="宋体"/>
          <w:spacing w:val="-2"/>
          <w:sz w:val="24"/>
        </w:rPr>
      </w:pPr>
      <w:r>
        <w:rPr>
          <w:rFonts w:ascii="宋体" w:hAnsi="宋体" w:cs="宋体"/>
          <w:bCs/>
          <w:sz w:val="24"/>
        </w:rPr>
        <w:t>16.4</w:t>
      </w:r>
      <w:r>
        <w:rPr>
          <w:rFonts w:ascii="宋体" w:hAnsi="宋体" w:cs="宋体"/>
          <w:spacing w:val="-2"/>
          <w:sz w:val="24"/>
        </w:rPr>
        <w:t xml:space="preserve">  </w:t>
      </w:r>
      <w:r>
        <w:rPr>
          <w:rFonts w:hint="eastAsia" w:ascii="宋体" w:hAnsi="宋体" w:cs="宋体"/>
          <w:spacing w:val="-2"/>
          <w:sz w:val="24"/>
        </w:rPr>
        <w:t>谈判小组成员应当熟悉并认真研究谈判文件，至少应了解和熟悉以下内容：</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pacing w:val="-2"/>
          <w:sz w:val="24"/>
        </w:rPr>
        <w:t xml:space="preserve"> </w:t>
      </w:r>
      <w:r>
        <w:rPr>
          <w:rFonts w:hint="eastAsia" w:ascii="宋体" w:hAnsi="宋体" w:cs="宋体"/>
          <w:spacing w:val="-2"/>
          <w:sz w:val="24"/>
        </w:rPr>
        <w:t>招标目的；</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ascii="宋体" w:hAnsi="宋体" w:cs="宋体"/>
          <w:spacing w:val="-2"/>
          <w:sz w:val="24"/>
        </w:rPr>
        <w:t xml:space="preserve"> </w:t>
      </w:r>
      <w:r>
        <w:rPr>
          <w:rFonts w:hint="eastAsia" w:ascii="宋体" w:hAnsi="宋体" w:cs="宋体"/>
          <w:spacing w:val="-2"/>
          <w:sz w:val="24"/>
        </w:rPr>
        <w:t>招标项目的范围、性质；</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ascii="宋体" w:hAnsi="宋体" w:cs="宋体"/>
          <w:spacing w:val="-2"/>
          <w:sz w:val="24"/>
        </w:rPr>
        <w:t xml:space="preserve"> </w:t>
      </w:r>
      <w:r>
        <w:rPr>
          <w:rFonts w:hint="eastAsia" w:ascii="宋体" w:hAnsi="宋体" w:cs="宋体"/>
          <w:spacing w:val="-2"/>
          <w:sz w:val="24"/>
        </w:rPr>
        <w:t>谈判文件中规定的主要技术要求、标准和商务条款；</w:t>
      </w:r>
    </w:p>
    <w:p>
      <w:pPr>
        <w:spacing w:line="440" w:lineRule="exact"/>
        <w:ind w:firstLine="480" w:firstLineChars="200"/>
        <w:rPr>
          <w:rFonts w:ascii="宋体" w:cs="宋体"/>
          <w:spacing w:val="-2"/>
          <w:sz w:val="24"/>
        </w:rPr>
      </w:pPr>
      <w:r>
        <w:rPr>
          <w:rFonts w:hint="eastAsia" w:ascii="宋体" w:hAnsi="宋体" w:cs="宋体"/>
          <w:sz w:val="24"/>
        </w:rPr>
        <w:t>（</w:t>
      </w:r>
      <w:r>
        <w:rPr>
          <w:rFonts w:ascii="宋体" w:hAnsi="宋体" w:cs="宋体"/>
          <w:sz w:val="24"/>
        </w:rPr>
        <w:t>4</w:t>
      </w:r>
      <w:r>
        <w:rPr>
          <w:rFonts w:hint="eastAsia" w:ascii="宋体" w:hAnsi="宋体" w:cs="宋体"/>
          <w:sz w:val="24"/>
        </w:rPr>
        <w:t>）</w:t>
      </w:r>
      <w:r>
        <w:rPr>
          <w:rFonts w:ascii="宋体" w:hAnsi="宋体" w:cs="宋体"/>
          <w:spacing w:val="-2"/>
          <w:sz w:val="24"/>
        </w:rPr>
        <w:t xml:space="preserve"> </w:t>
      </w:r>
      <w:r>
        <w:rPr>
          <w:rFonts w:hint="eastAsia" w:ascii="宋体" w:hAnsi="宋体" w:cs="宋体"/>
          <w:spacing w:val="-2"/>
          <w:sz w:val="24"/>
        </w:rPr>
        <w:t>谈判文件规定的评标方法和在谈判过程中应考虑的相关因素。</w:t>
      </w:r>
    </w:p>
    <w:p>
      <w:pPr>
        <w:spacing w:line="440" w:lineRule="exact"/>
        <w:ind w:firstLine="472" w:firstLineChars="200"/>
        <w:rPr>
          <w:rFonts w:ascii="宋体" w:cs="宋体"/>
          <w:spacing w:val="-2"/>
          <w:sz w:val="24"/>
        </w:rPr>
      </w:pPr>
      <w:r>
        <w:rPr>
          <w:rFonts w:ascii="宋体" w:hAnsi="宋体" w:cs="宋体"/>
          <w:spacing w:val="-2"/>
          <w:sz w:val="24"/>
        </w:rPr>
        <w:t xml:space="preserve">16.5  </w:t>
      </w:r>
      <w:r>
        <w:rPr>
          <w:rFonts w:hint="eastAsia" w:ascii="宋体" w:hAnsi="宋体" w:cs="宋体"/>
          <w:spacing w:val="-2"/>
          <w:sz w:val="24"/>
        </w:rPr>
        <w:t>招标方应当向谈判小组提供谈判所需的重要信息和数据。</w:t>
      </w:r>
    </w:p>
    <w:p>
      <w:pPr>
        <w:spacing w:line="440" w:lineRule="exact"/>
        <w:ind w:firstLine="472" w:firstLineChars="200"/>
        <w:rPr>
          <w:rFonts w:ascii="宋体" w:cs="宋体"/>
          <w:spacing w:val="-2"/>
          <w:sz w:val="24"/>
        </w:rPr>
      </w:pPr>
      <w:r>
        <w:rPr>
          <w:rFonts w:ascii="宋体" w:hAnsi="宋体" w:cs="宋体"/>
          <w:spacing w:val="-2"/>
          <w:sz w:val="24"/>
        </w:rPr>
        <w:t xml:space="preserve">16.6  </w:t>
      </w:r>
      <w:r>
        <w:rPr>
          <w:rFonts w:hint="eastAsia" w:ascii="宋体" w:hAnsi="宋体" w:cs="宋体"/>
          <w:spacing w:val="-2"/>
          <w:sz w:val="24"/>
        </w:rPr>
        <w:t>谈判小组应当根据谈判文件规定的评审标准和方法，对响应性文件进行系统地评审和比较。谈判文件中没有规定的标准和方法不得作为谈判的依据。</w:t>
      </w:r>
    </w:p>
    <w:p>
      <w:pPr>
        <w:spacing w:line="440" w:lineRule="exact"/>
        <w:ind w:firstLine="472" w:firstLineChars="200"/>
        <w:rPr>
          <w:rFonts w:ascii="宋体" w:cs="宋体"/>
          <w:spacing w:val="-2"/>
          <w:sz w:val="24"/>
        </w:rPr>
      </w:pPr>
      <w:r>
        <w:rPr>
          <w:rFonts w:ascii="宋体" w:hAnsi="宋体" w:cs="宋体"/>
          <w:spacing w:val="-2"/>
          <w:sz w:val="24"/>
        </w:rPr>
        <w:t xml:space="preserve">16.7  </w:t>
      </w:r>
      <w:r>
        <w:rPr>
          <w:rFonts w:hint="eastAsia" w:ascii="宋体" w:hAnsi="宋体" w:cs="宋体"/>
          <w:spacing w:val="-2"/>
          <w:sz w:val="24"/>
        </w:rPr>
        <w:t>谈判小组成员应当客观、公正地履行职责，遵守职业道德，并对所提出的评审意见承担个人责任。谈判小组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cs="宋体"/>
          <w:spacing w:val="-2"/>
          <w:sz w:val="24"/>
        </w:rPr>
      </w:pPr>
      <w:r>
        <w:rPr>
          <w:rFonts w:ascii="宋体" w:hAnsi="宋体" w:cs="宋体"/>
          <w:spacing w:val="-2"/>
          <w:sz w:val="24"/>
        </w:rPr>
        <w:t xml:space="preserve">16.8  </w:t>
      </w:r>
      <w:r>
        <w:rPr>
          <w:rFonts w:hint="eastAsia" w:ascii="宋体" w:hAnsi="宋体" w:cs="宋体"/>
          <w:spacing w:val="-2"/>
          <w:sz w:val="24"/>
        </w:rPr>
        <w:t>谈判小组成员和与本次谈判活动有关的工作人员，不得透露对响应性文件的评审和比较以及与谈判有关的其他情况。</w:t>
      </w:r>
    </w:p>
    <w:p>
      <w:pPr>
        <w:spacing w:line="440" w:lineRule="exact"/>
        <w:ind w:firstLine="472" w:firstLineChars="200"/>
        <w:rPr>
          <w:rFonts w:ascii="宋体" w:cs="宋体"/>
          <w:spacing w:val="-2"/>
          <w:sz w:val="24"/>
        </w:rPr>
      </w:pPr>
      <w:r>
        <w:rPr>
          <w:rFonts w:ascii="宋体" w:hAnsi="宋体" w:cs="宋体"/>
          <w:spacing w:val="-2"/>
          <w:sz w:val="24"/>
        </w:rPr>
        <w:t>16.9</w:t>
      </w:r>
      <w:r>
        <w:rPr>
          <w:rFonts w:hint="eastAsia" w:ascii="宋体" w:hAnsi="宋体" w:cs="宋体"/>
          <w:spacing w:val="-2"/>
          <w:sz w:val="24"/>
        </w:rPr>
        <w:t>　与谈判活动有关的工作人员，是指谈判小组成员以外的、因参与谈判监督工作或者事务性工作而知悉有关评标情况的所有人员。</w:t>
      </w:r>
    </w:p>
    <w:p>
      <w:pPr>
        <w:spacing w:line="440" w:lineRule="exact"/>
        <w:ind w:firstLine="482" w:firstLineChars="200"/>
        <w:rPr>
          <w:rFonts w:ascii="宋体" w:cs="宋体"/>
          <w:b/>
          <w:sz w:val="24"/>
        </w:rPr>
      </w:pPr>
      <w:r>
        <w:rPr>
          <w:rFonts w:ascii="宋体" w:hAnsi="宋体" w:cs="宋体"/>
          <w:b/>
          <w:sz w:val="24"/>
        </w:rPr>
        <w:t>17</w:t>
      </w:r>
      <w:r>
        <w:rPr>
          <w:rFonts w:hint="eastAsia" w:ascii="宋体" w:hAnsi="宋体" w:cs="宋体"/>
          <w:b/>
          <w:sz w:val="24"/>
        </w:rPr>
        <w:t>、竞争性谈判的报价方式</w:t>
      </w:r>
    </w:p>
    <w:p>
      <w:pPr>
        <w:spacing w:line="440" w:lineRule="exact"/>
        <w:ind w:firstLine="480" w:firstLineChars="200"/>
        <w:rPr>
          <w:rFonts w:ascii="宋体" w:cs="宋体"/>
          <w:sz w:val="24"/>
        </w:rPr>
      </w:pPr>
      <w:r>
        <w:rPr>
          <w:rFonts w:ascii="宋体" w:hAnsi="宋体" w:cs="宋体"/>
          <w:sz w:val="24"/>
        </w:rPr>
        <w:t xml:space="preserve">17.1 </w:t>
      </w:r>
      <w:r>
        <w:rPr>
          <w:rFonts w:hint="eastAsia" w:ascii="宋体" w:hAnsi="宋体" w:cs="宋体"/>
          <w:sz w:val="24"/>
        </w:rPr>
        <w:t>采用报价的方式：</w:t>
      </w:r>
    </w:p>
    <w:p>
      <w:pPr>
        <w:spacing w:line="440" w:lineRule="exact"/>
        <w:ind w:firstLine="360" w:firstLineChars="15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z w:val="24"/>
        </w:rPr>
        <w:t xml:space="preserve"> </w:t>
      </w:r>
      <w:r>
        <w:rPr>
          <w:rFonts w:hint="eastAsia" w:ascii="宋体" w:hAnsi="宋体" w:cs="宋体"/>
          <w:sz w:val="24"/>
        </w:rPr>
        <w:t>投标人提交的响应性文件中的报价，该报价只允许有一个报价，任何有选择性的报价将不予接受。</w:t>
      </w:r>
    </w:p>
    <w:p>
      <w:pPr>
        <w:spacing w:line="440" w:lineRule="exact"/>
        <w:ind w:firstLine="360" w:firstLineChars="150"/>
        <w:rPr>
          <w:rFonts w:asci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谈判小组所有成员与投标人分别进行单独谈判。在谈判中，谈判的任何一方不得透露与谈判有关的其他供应商的技术资料、价格和其他信息。竞争性谈判文件有实质性变动的，谈判小组应以书面形式通知所有参加谈判的投标人。</w:t>
      </w:r>
    </w:p>
    <w:p>
      <w:pPr>
        <w:spacing w:line="440" w:lineRule="exact"/>
        <w:ind w:firstLine="480" w:firstLineChars="200"/>
        <w:rPr>
          <w:rFonts w:ascii="宋体" w:cs="宋体"/>
          <w:sz w:val="24"/>
        </w:rPr>
      </w:pPr>
      <w:r>
        <w:rPr>
          <w:rFonts w:ascii="宋体" w:hAnsi="宋体" w:cs="宋体"/>
          <w:sz w:val="24"/>
        </w:rPr>
        <w:t xml:space="preserve">17.2  </w:t>
      </w:r>
      <w:r>
        <w:rPr>
          <w:rFonts w:hint="eastAsia" w:ascii="宋体" w:hAnsi="宋体" w:cs="宋体"/>
          <w:sz w:val="24"/>
        </w:rPr>
        <w:t>谈判结束后，投标人可根据谈判情况，进行第二次报价（根据情况进行多轮报价），该报价为谈判的最终报价。投标人认为没有进行第二次报价的必要时，也可以不进行第二次报价。</w:t>
      </w:r>
    </w:p>
    <w:p>
      <w:pPr>
        <w:spacing w:line="440" w:lineRule="exact"/>
        <w:ind w:firstLine="480" w:firstLineChars="200"/>
        <w:rPr>
          <w:rFonts w:ascii="宋体" w:cs="宋体"/>
          <w:sz w:val="24"/>
        </w:rPr>
      </w:pPr>
      <w:r>
        <w:rPr>
          <w:rFonts w:ascii="宋体" w:hAnsi="宋体" w:cs="宋体"/>
          <w:sz w:val="24"/>
        </w:rPr>
        <w:t>17.3</w:t>
      </w:r>
      <w:r>
        <w:rPr>
          <w:rFonts w:hint="eastAsia" w:ascii="宋体" w:hAnsi="宋体" w:cs="宋体"/>
          <w:sz w:val="24"/>
        </w:rPr>
        <w:t>　投标人在进行二次报价时，报价应用小写和大写同时书写，大小写不相符时，以大写为准，</w:t>
      </w:r>
      <w:r>
        <w:rPr>
          <w:rFonts w:hint="eastAsia" w:ascii="宋体" w:hAnsi="宋体"/>
          <w:color w:val="auto"/>
          <w:sz w:val="24"/>
          <w:highlight w:val="none"/>
        </w:rPr>
        <w:t>同时二次报价上还应写明投标人名称</w:t>
      </w:r>
      <w:r>
        <w:rPr>
          <w:rFonts w:hint="eastAsia" w:ascii="宋体" w:hAnsi="宋体"/>
          <w:color w:val="auto"/>
          <w:sz w:val="24"/>
          <w:highlight w:val="none"/>
          <w:lang w:eastAsia="zh-CN"/>
        </w:rPr>
        <w:t>、</w:t>
      </w:r>
      <w:r>
        <w:rPr>
          <w:rFonts w:hint="eastAsia" w:ascii="宋体" w:hAnsi="宋体"/>
          <w:color w:val="auto"/>
          <w:sz w:val="24"/>
          <w:highlight w:val="none"/>
        </w:rPr>
        <w:t>签字</w:t>
      </w:r>
      <w:r>
        <w:rPr>
          <w:rFonts w:hint="eastAsia" w:ascii="宋体" w:hAnsi="宋体"/>
          <w:color w:val="auto"/>
          <w:sz w:val="24"/>
          <w:highlight w:val="none"/>
          <w:lang w:val="en-US" w:eastAsia="zh-CN"/>
        </w:rPr>
        <w:t>或</w:t>
      </w:r>
      <w:r>
        <w:rPr>
          <w:rFonts w:hint="eastAsia" w:ascii="宋体" w:hAnsi="宋体"/>
          <w:color w:val="auto"/>
          <w:sz w:val="24"/>
          <w:highlight w:val="none"/>
        </w:rPr>
        <w:t>盖章后，以密封的形式送达</w:t>
      </w:r>
      <w:r>
        <w:rPr>
          <w:rFonts w:hint="eastAsia" w:ascii="宋体" w:hAnsi="宋体"/>
          <w:color w:val="auto"/>
          <w:sz w:val="24"/>
          <w:highlight w:val="none"/>
          <w:lang w:val="en-US" w:eastAsia="zh-CN"/>
        </w:rPr>
        <w:t>谈判</w:t>
      </w:r>
      <w:r>
        <w:rPr>
          <w:rFonts w:hint="eastAsia" w:ascii="宋体" w:hAnsi="宋体"/>
          <w:color w:val="auto"/>
          <w:sz w:val="24"/>
          <w:highlight w:val="none"/>
        </w:rPr>
        <w:t>现场。二次报价不进行公开唱标，所有投标人的二次报价收集齐全后，招标方将在监标人员的现场监督下，统一启封并唱出二次报价。</w:t>
      </w:r>
    </w:p>
    <w:p>
      <w:pPr>
        <w:spacing w:line="440" w:lineRule="exact"/>
        <w:ind w:firstLine="480" w:firstLineChars="200"/>
        <w:rPr>
          <w:rFonts w:ascii="宋体" w:cs="宋体"/>
          <w:sz w:val="24"/>
        </w:rPr>
      </w:pPr>
      <w:r>
        <w:rPr>
          <w:rFonts w:hint="eastAsia" w:ascii="宋体" w:hAnsi="宋体" w:cs="宋体"/>
          <w:sz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其谈判保证金将被没收。</w:t>
      </w:r>
    </w:p>
    <w:p>
      <w:pPr>
        <w:spacing w:line="440" w:lineRule="exact"/>
        <w:ind w:firstLine="482" w:firstLineChars="200"/>
        <w:rPr>
          <w:rFonts w:ascii="宋体" w:cs="宋体"/>
          <w:b/>
          <w:sz w:val="24"/>
        </w:rPr>
      </w:pPr>
      <w:r>
        <w:rPr>
          <w:rFonts w:ascii="宋体" w:hAnsi="宋体" w:cs="宋体"/>
          <w:b/>
          <w:sz w:val="24"/>
        </w:rPr>
        <w:t>18</w:t>
      </w:r>
      <w:r>
        <w:rPr>
          <w:rFonts w:hint="eastAsia" w:ascii="宋体" w:hAnsi="宋体" w:cs="宋体"/>
          <w:b/>
          <w:sz w:val="24"/>
        </w:rPr>
        <w:t>、谈判和评审过程的保密性</w:t>
      </w:r>
    </w:p>
    <w:p>
      <w:pPr>
        <w:spacing w:line="440" w:lineRule="exact"/>
        <w:ind w:firstLine="480" w:firstLineChars="200"/>
        <w:rPr>
          <w:rFonts w:ascii="宋体" w:cs="宋体"/>
          <w:sz w:val="24"/>
        </w:rPr>
      </w:pPr>
      <w:r>
        <w:rPr>
          <w:rFonts w:ascii="宋体" w:hAnsi="宋体" w:cs="宋体"/>
          <w:sz w:val="24"/>
        </w:rPr>
        <w:t>18.1</w:t>
      </w:r>
      <w:r>
        <w:rPr>
          <w:rFonts w:hint="eastAsia" w:ascii="宋体" w:hAnsi="宋体" w:cs="宋体"/>
          <w:sz w:val="24"/>
        </w:rPr>
        <w:t>　所有与本次招标及谈判有关的人员，均不得向供应商及与谈判项目无关的其他人员，透露与谈判有关的资料等。</w:t>
      </w:r>
    </w:p>
    <w:p>
      <w:pPr>
        <w:tabs>
          <w:tab w:val="left" w:pos="720"/>
        </w:tabs>
        <w:spacing w:line="440" w:lineRule="exact"/>
        <w:ind w:firstLine="482"/>
        <w:rPr>
          <w:rFonts w:ascii="宋体" w:cs="宋体"/>
          <w:sz w:val="24"/>
        </w:rPr>
      </w:pPr>
      <w:r>
        <w:rPr>
          <w:rFonts w:ascii="宋体" w:hAnsi="宋体" w:cs="宋体"/>
          <w:sz w:val="24"/>
        </w:rPr>
        <w:t>18.2</w:t>
      </w:r>
      <w:r>
        <w:rPr>
          <w:rFonts w:hint="eastAsia" w:ascii="宋体" w:hAnsi="宋体" w:cs="宋体"/>
          <w:sz w:val="24"/>
        </w:rPr>
        <w:t>　在谈判过程中，供应商试图在响应性文件审查、澄清、比较等方面向采购人员施加影响的任何行为都可能导致其响应性文件被拒绝。</w:t>
      </w:r>
    </w:p>
    <w:p>
      <w:pPr>
        <w:spacing w:line="440" w:lineRule="exact"/>
        <w:ind w:firstLine="482" w:firstLineChars="200"/>
        <w:rPr>
          <w:rFonts w:ascii="宋体" w:cs="宋体"/>
          <w:b/>
          <w:sz w:val="24"/>
        </w:rPr>
      </w:pPr>
      <w:r>
        <w:rPr>
          <w:rFonts w:ascii="宋体" w:hAnsi="宋体" w:cs="宋体"/>
          <w:b/>
          <w:sz w:val="24"/>
        </w:rPr>
        <w:t>19</w:t>
      </w:r>
      <w:r>
        <w:rPr>
          <w:rFonts w:hint="eastAsia" w:ascii="宋体" w:hAnsi="宋体" w:cs="宋体"/>
          <w:b/>
          <w:sz w:val="24"/>
        </w:rPr>
        <w:t>、谈判程序、报价确认和澄清及中标原则</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lang w:val="en-US" w:eastAsia="zh-CN"/>
        </w:rPr>
        <w:t>19</w:t>
      </w:r>
      <w:r>
        <w:rPr>
          <w:rFonts w:ascii="宋体" w:hAnsi="宋体"/>
          <w:color w:val="auto"/>
          <w:spacing w:val="-2"/>
          <w:sz w:val="24"/>
          <w:highlight w:val="none"/>
        </w:rPr>
        <w:t xml:space="preserve">.1  </w:t>
      </w:r>
      <w:r>
        <w:rPr>
          <w:rFonts w:hint="eastAsia" w:ascii="宋体" w:hAnsi="宋体"/>
          <w:color w:val="auto"/>
          <w:spacing w:val="-2"/>
          <w:sz w:val="24"/>
          <w:highlight w:val="none"/>
          <w:lang w:val="en-US" w:eastAsia="zh-CN"/>
        </w:rPr>
        <w:t>谈判</w:t>
      </w:r>
      <w:r>
        <w:rPr>
          <w:rFonts w:hint="eastAsia" w:ascii="宋体" w:hAnsi="宋体"/>
          <w:color w:val="auto"/>
          <w:spacing w:val="-2"/>
          <w:sz w:val="24"/>
          <w:highlight w:val="none"/>
        </w:rPr>
        <w:t>小组可以以书面方式要求投标人对响应性文件中含义不明确、对同类问题表述不一致或者有明显文字和计算错误的内容作必要的澄清、说明或补正。澄清、说明或补正应以书面方式进行</w:t>
      </w:r>
      <w:r>
        <w:rPr>
          <w:rFonts w:ascii="宋体" w:hAnsi="宋体"/>
          <w:color w:val="auto"/>
          <w:spacing w:val="-2"/>
          <w:sz w:val="24"/>
          <w:highlight w:val="none"/>
        </w:rPr>
        <w:t>,</w:t>
      </w:r>
      <w:r>
        <w:rPr>
          <w:rFonts w:hint="eastAsia" w:ascii="宋体" w:hAnsi="宋体"/>
          <w:color w:val="auto"/>
          <w:spacing w:val="-2"/>
          <w:sz w:val="24"/>
          <w:highlight w:val="none"/>
        </w:rPr>
        <w:t>且不得超出响应性文件的范围或者改变响应性文件的实质性内容。</w:t>
      </w:r>
    </w:p>
    <w:p>
      <w:pPr>
        <w:spacing w:line="440" w:lineRule="exact"/>
        <w:ind w:firstLine="472" w:firstLineChars="200"/>
        <w:rPr>
          <w:rFonts w:ascii="宋体" w:hAnsi="宋体"/>
          <w:color w:val="auto"/>
          <w:spacing w:val="-2"/>
          <w:sz w:val="24"/>
          <w:highlight w:val="none"/>
        </w:rPr>
      </w:pPr>
      <w:r>
        <w:rPr>
          <w:rFonts w:hint="eastAsia" w:ascii="宋体" w:hAnsi="宋体"/>
          <w:color w:val="auto"/>
          <w:spacing w:val="-2"/>
          <w:sz w:val="24"/>
          <w:highlight w:val="none"/>
          <w:lang w:val="en-US" w:eastAsia="zh-CN"/>
        </w:rPr>
        <w:t>19</w:t>
      </w:r>
      <w:r>
        <w:rPr>
          <w:rFonts w:ascii="宋体" w:hAnsi="宋体"/>
          <w:color w:val="auto"/>
          <w:spacing w:val="-2"/>
          <w:sz w:val="24"/>
          <w:highlight w:val="none"/>
        </w:rPr>
        <w:t>.</w:t>
      </w:r>
      <w:r>
        <w:rPr>
          <w:rFonts w:hint="eastAsia" w:ascii="宋体" w:hAnsi="宋体"/>
          <w:color w:val="auto"/>
          <w:spacing w:val="-2"/>
          <w:sz w:val="24"/>
          <w:highlight w:val="none"/>
        </w:rPr>
        <w:t>2　招标方不接受不符合国家有关部门相关规定的投标报价或优惠方案。</w:t>
      </w:r>
    </w:p>
    <w:p>
      <w:pPr>
        <w:spacing w:line="440" w:lineRule="exact"/>
        <w:ind w:firstLine="472" w:firstLineChars="200"/>
        <w:rPr>
          <w:rFonts w:ascii="宋体" w:hAnsi="宋体"/>
          <w:color w:val="auto"/>
          <w:spacing w:val="-2"/>
          <w:sz w:val="24"/>
          <w:highlight w:val="none"/>
        </w:rPr>
      </w:pPr>
      <w:r>
        <w:rPr>
          <w:rFonts w:hint="eastAsia" w:ascii="宋体" w:hAnsi="宋体"/>
          <w:color w:val="auto"/>
          <w:spacing w:val="-2"/>
          <w:sz w:val="24"/>
          <w:highlight w:val="none"/>
          <w:lang w:val="en-US" w:eastAsia="zh-CN"/>
        </w:rPr>
        <w:t>19</w:t>
      </w:r>
      <w:r>
        <w:rPr>
          <w:rFonts w:ascii="宋体" w:hAnsi="宋体"/>
          <w:color w:val="auto"/>
          <w:spacing w:val="-2"/>
          <w:sz w:val="24"/>
          <w:highlight w:val="none"/>
        </w:rPr>
        <w:t>.</w:t>
      </w:r>
      <w:r>
        <w:rPr>
          <w:rFonts w:hint="eastAsia" w:ascii="宋体" w:hAnsi="宋体"/>
          <w:color w:val="auto"/>
          <w:spacing w:val="-2"/>
          <w:sz w:val="24"/>
          <w:highlight w:val="none"/>
        </w:rPr>
        <w:t>3　在评标过程中，</w:t>
      </w:r>
      <w:r>
        <w:rPr>
          <w:rFonts w:hint="eastAsia" w:ascii="宋体" w:hAnsi="宋体"/>
          <w:color w:val="auto"/>
          <w:spacing w:val="-2"/>
          <w:sz w:val="24"/>
          <w:highlight w:val="none"/>
          <w:lang w:val="en-US" w:eastAsia="zh-CN"/>
        </w:rPr>
        <w:t>谈判</w:t>
      </w:r>
      <w:r>
        <w:rPr>
          <w:rFonts w:hint="eastAsia" w:ascii="宋体" w:hAnsi="宋体"/>
          <w:color w:val="auto"/>
          <w:spacing w:val="-2"/>
          <w:sz w:val="24"/>
          <w:highlight w:val="none"/>
        </w:rPr>
        <w:t>小组发现投标人以他人名义投标、串通投标、以行贿手段谋取中标或者以其他弄虚作假方式投标的，该投标人的投标应作无效标处理。</w:t>
      </w:r>
    </w:p>
    <w:p>
      <w:pPr>
        <w:spacing w:line="440" w:lineRule="exact"/>
        <w:ind w:firstLine="472" w:firstLineChars="200"/>
        <w:rPr>
          <w:rFonts w:ascii="宋体" w:hAnsi="宋体"/>
          <w:color w:val="auto"/>
          <w:spacing w:val="-2"/>
          <w:sz w:val="24"/>
          <w:highlight w:val="none"/>
        </w:rPr>
      </w:pPr>
      <w:r>
        <w:rPr>
          <w:rFonts w:hint="eastAsia" w:ascii="宋体" w:hAnsi="宋体"/>
          <w:color w:val="auto"/>
          <w:spacing w:val="-2"/>
          <w:sz w:val="24"/>
          <w:highlight w:val="none"/>
          <w:lang w:val="en-US" w:eastAsia="zh-CN"/>
        </w:rPr>
        <w:t>19</w:t>
      </w:r>
      <w:r>
        <w:rPr>
          <w:rFonts w:ascii="宋体" w:hAnsi="宋体"/>
          <w:color w:val="auto"/>
          <w:spacing w:val="-2"/>
          <w:sz w:val="24"/>
          <w:highlight w:val="none"/>
        </w:rPr>
        <w:t>.</w:t>
      </w:r>
      <w:r>
        <w:rPr>
          <w:rFonts w:hint="eastAsia" w:ascii="宋体" w:hAnsi="宋体"/>
          <w:color w:val="auto"/>
          <w:spacing w:val="-2"/>
          <w:sz w:val="24"/>
          <w:highlight w:val="none"/>
        </w:rPr>
        <w:t>4</w:t>
      </w:r>
      <w:r>
        <w:rPr>
          <w:rFonts w:ascii="宋体" w:hAnsi="宋体"/>
          <w:color w:val="auto"/>
          <w:spacing w:val="-2"/>
          <w:sz w:val="24"/>
          <w:highlight w:val="none"/>
        </w:rPr>
        <w:t xml:space="preserve">  </w:t>
      </w:r>
      <w:r>
        <w:rPr>
          <w:rFonts w:hint="eastAsia" w:ascii="宋体" w:hAnsi="宋体"/>
          <w:color w:val="auto"/>
          <w:spacing w:val="-2"/>
          <w:sz w:val="24"/>
          <w:highlight w:val="none"/>
        </w:rPr>
        <w:t>投标人拒不按照要求对响应性文件进行澄清、说明或补正的，</w:t>
      </w:r>
      <w:r>
        <w:rPr>
          <w:rFonts w:hint="eastAsia" w:ascii="宋体" w:hAnsi="宋体"/>
          <w:color w:val="auto"/>
          <w:spacing w:val="-2"/>
          <w:sz w:val="24"/>
          <w:highlight w:val="none"/>
          <w:lang w:val="en-US" w:eastAsia="zh-CN"/>
        </w:rPr>
        <w:t>谈判</w:t>
      </w:r>
      <w:r>
        <w:rPr>
          <w:rFonts w:hint="eastAsia" w:ascii="宋体" w:hAnsi="宋体"/>
          <w:color w:val="auto"/>
          <w:spacing w:val="-2"/>
          <w:sz w:val="24"/>
          <w:highlight w:val="none"/>
        </w:rPr>
        <w:t>小组可以否决其投标。</w:t>
      </w:r>
    </w:p>
    <w:p>
      <w:pPr>
        <w:spacing w:line="440" w:lineRule="exact"/>
        <w:ind w:firstLine="472" w:firstLineChars="200"/>
        <w:rPr>
          <w:rFonts w:ascii="宋体" w:hAnsi="宋体"/>
          <w:color w:val="auto"/>
          <w:spacing w:val="-2"/>
          <w:sz w:val="24"/>
          <w:highlight w:val="none"/>
        </w:rPr>
      </w:pPr>
      <w:r>
        <w:rPr>
          <w:rFonts w:hint="eastAsia" w:ascii="宋体" w:hAnsi="宋体"/>
          <w:color w:val="auto"/>
          <w:spacing w:val="-2"/>
          <w:sz w:val="24"/>
          <w:highlight w:val="none"/>
          <w:lang w:val="en-US" w:eastAsia="zh-CN"/>
        </w:rPr>
        <w:t>19</w:t>
      </w:r>
      <w:r>
        <w:rPr>
          <w:rFonts w:ascii="宋体" w:hAnsi="宋体"/>
          <w:color w:val="auto"/>
          <w:spacing w:val="-2"/>
          <w:sz w:val="24"/>
          <w:highlight w:val="none"/>
        </w:rPr>
        <w:t>.</w:t>
      </w:r>
      <w:r>
        <w:rPr>
          <w:rFonts w:hint="eastAsia" w:ascii="宋体" w:hAnsi="宋体"/>
          <w:color w:val="auto"/>
          <w:spacing w:val="-2"/>
          <w:sz w:val="24"/>
          <w:highlight w:val="none"/>
        </w:rPr>
        <w:t>5</w:t>
      </w:r>
      <w:r>
        <w:rPr>
          <w:rFonts w:ascii="宋体" w:hAnsi="宋体"/>
          <w:color w:val="auto"/>
          <w:spacing w:val="-2"/>
          <w:sz w:val="24"/>
          <w:highlight w:val="none"/>
        </w:rPr>
        <w:t xml:space="preserve">  </w:t>
      </w:r>
      <w:r>
        <w:rPr>
          <w:rFonts w:hint="eastAsia" w:ascii="宋体" w:hAnsi="宋体"/>
          <w:color w:val="auto"/>
          <w:spacing w:val="-2"/>
          <w:sz w:val="24"/>
          <w:highlight w:val="none"/>
          <w:lang w:val="en-US" w:eastAsia="zh-CN"/>
        </w:rPr>
        <w:t>谈判</w:t>
      </w:r>
      <w:r>
        <w:rPr>
          <w:rFonts w:hint="eastAsia" w:ascii="宋体" w:hAnsi="宋体"/>
          <w:color w:val="auto"/>
          <w:spacing w:val="-2"/>
          <w:sz w:val="24"/>
          <w:highlight w:val="none"/>
        </w:rPr>
        <w:t>小组应当审查每一响应性文件是否对采购文件提出的所有符合性审查要求和条件做出满足。未能在实质上满足的投标，应作无效标处理。</w:t>
      </w:r>
    </w:p>
    <w:p>
      <w:pPr>
        <w:spacing w:line="440" w:lineRule="exact"/>
        <w:ind w:firstLine="472" w:firstLineChars="200"/>
        <w:rPr>
          <w:rFonts w:hint="eastAsia" w:ascii="宋体" w:hAnsi="宋体"/>
          <w:color w:val="auto"/>
          <w:spacing w:val="-2"/>
          <w:sz w:val="24"/>
          <w:highlight w:val="none"/>
        </w:rPr>
      </w:pPr>
      <w:r>
        <w:rPr>
          <w:rFonts w:ascii="宋体" w:hAnsi="宋体"/>
          <w:color w:val="auto"/>
          <w:spacing w:val="-2"/>
          <w:sz w:val="24"/>
          <w:highlight w:val="none"/>
        </w:rPr>
        <w:t>2</w:t>
      </w:r>
      <w:r>
        <w:rPr>
          <w:rFonts w:hint="eastAsia" w:ascii="宋体" w:hAnsi="宋体"/>
          <w:color w:val="auto"/>
          <w:spacing w:val="-2"/>
          <w:sz w:val="24"/>
          <w:highlight w:val="none"/>
        </w:rPr>
        <w:t>1</w:t>
      </w:r>
      <w:r>
        <w:rPr>
          <w:rFonts w:ascii="宋体" w:hAnsi="宋体"/>
          <w:color w:val="auto"/>
          <w:spacing w:val="-2"/>
          <w:sz w:val="24"/>
          <w:highlight w:val="none"/>
        </w:rPr>
        <w:t>.</w:t>
      </w:r>
      <w:r>
        <w:rPr>
          <w:rFonts w:hint="eastAsia" w:ascii="宋体" w:hAnsi="宋体"/>
          <w:color w:val="auto"/>
          <w:spacing w:val="-2"/>
          <w:sz w:val="24"/>
          <w:highlight w:val="none"/>
        </w:rPr>
        <w:t>6　投标人不得误导、干扰招标方的评标活动，否则将废除其投标。</w:t>
      </w:r>
    </w:p>
    <w:p>
      <w:pPr>
        <w:spacing w:line="440" w:lineRule="exact"/>
        <w:ind w:firstLine="472" w:firstLineChars="200"/>
        <w:rPr>
          <w:rFonts w:ascii="宋体" w:hAnsi="宋体"/>
          <w:color w:val="auto"/>
          <w:spacing w:val="-2"/>
          <w:sz w:val="24"/>
          <w:highlight w:val="none"/>
        </w:rPr>
      </w:pPr>
      <w:r>
        <w:rPr>
          <w:rFonts w:ascii="宋体" w:hAnsi="宋体"/>
          <w:color w:val="auto"/>
          <w:spacing w:val="-2"/>
          <w:sz w:val="24"/>
          <w:highlight w:val="none"/>
        </w:rPr>
        <w:t>2</w:t>
      </w:r>
      <w:r>
        <w:rPr>
          <w:rFonts w:hint="eastAsia" w:ascii="宋体" w:hAnsi="宋体"/>
          <w:color w:val="auto"/>
          <w:spacing w:val="-2"/>
          <w:sz w:val="24"/>
          <w:highlight w:val="none"/>
        </w:rPr>
        <w:t>1</w:t>
      </w:r>
      <w:r>
        <w:rPr>
          <w:rFonts w:ascii="宋体" w:hAnsi="宋体"/>
          <w:color w:val="auto"/>
          <w:spacing w:val="-2"/>
          <w:sz w:val="24"/>
          <w:highlight w:val="none"/>
        </w:rPr>
        <w:t xml:space="preserve">.7  </w:t>
      </w:r>
      <w:r>
        <w:rPr>
          <w:rFonts w:hint="eastAsia" w:ascii="宋体" w:hAnsi="宋体"/>
          <w:color w:val="auto"/>
          <w:spacing w:val="-2"/>
          <w:sz w:val="24"/>
          <w:highlight w:val="none"/>
        </w:rPr>
        <w:t>对响应性文件满足采购文件条款的审查：</w:t>
      </w:r>
    </w:p>
    <w:p>
      <w:pPr>
        <w:spacing w:line="440" w:lineRule="exact"/>
        <w:ind w:firstLine="472" w:firstLineChars="200"/>
        <w:rPr>
          <w:rFonts w:ascii="宋体" w:hAnsi="宋体"/>
          <w:color w:val="auto"/>
          <w:spacing w:val="-2"/>
          <w:sz w:val="24"/>
          <w:highlight w:val="none"/>
        </w:rPr>
      </w:pPr>
      <w:r>
        <w:rPr>
          <w:rFonts w:hint="eastAsia" w:ascii="宋体" w:hAnsi="宋体"/>
          <w:color w:val="auto"/>
          <w:spacing w:val="-2"/>
          <w:sz w:val="24"/>
          <w:highlight w:val="none"/>
        </w:rPr>
        <w:t>（</w:t>
      </w:r>
      <w:r>
        <w:rPr>
          <w:rFonts w:ascii="宋体" w:hAnsi="宋体"/>
          <w:color w:val="auto"/>
          <w:spacing w:val="-2"/>
          <w:sz w:val="24"/>
          <w:highlight w:val="none"/>
        </w:rPr>
        <w:t>1</w:t>
      </w:r>
      <w:r>
        <w:rPr>
          <w:rFonts w:hint="eastAsia" w:ascii="宋体" w:hAnsi="宋体"/>
          <w:color w:val="auto"/>
          <w:spacing w:val="-2"/>
          <w:sz w:val="24"/>
          <w:highlight w:val="none"/>
        </w:rPr>
        <w:t>）开标后，</w:t>
      </w:r>
      <w:r>
        <w:rPr>
          <w:rFonts w:hint="eastAsia" w:ascii="宋体" w:hAnsi="宋体"/>
          <w:color w:val="auto"/>
          <w:spacing w:val="-2"/>
          <w:sz w:val="24"/>
          <w:highlight w:val="none"/>
          <w:lang w:eastAsia="zh-CN"/>
        </w:rPr>
        <w:t>谈判小组</w:t>
      </w:r>
      <w:r>
        <w:rPr>
          <w:rFonts w:hint="eastAsia" w:ascii="宋体" w:hAnsi="宋体"/>
          <w:color w:val="auto"/>
          <w:spacing w:val="-2"/>
          <w:sz w:val="24"/>
          <w:highlight w:val="none"/>
        </w:rPr>
        <w:t>将组织对响应性文件进行审查，检查响应性文件是否完整，是否出现计算性错误，响应性文件正本是否满足采购文件的格式要求；</w:t>
      </w:r>
    </w:p>
    <w:p>
      <w:pPr>
        <w:spacing w:line="440" w:lineRule="exact"/>
        <w:ind w:firstLine="472" w:firstLineChars="200"/>
        <w:rPr>
          <w:rFonts w:ascii="宋体" w:hAnsi="宋体"/>
          <w:color w:val="auto"/>
          <w:spacing w:val="-2"/>
          <w:sz w:val="24"/>
          <w:highlight w:val="none"/>
        </w:rPr>
      </w:pPr>
      <w:r>
        <w:rPr>
          <w:rFonts w:hint="eastAsia" w:ascii="宋体" w:hAnsi="宋体"/>
          <w:color w:val="auto"/>
          <w:spacing w:val="-2"/>
          <w:sz w:val="24"/>
          <w:highlight w:val="none"/>
        </w:rPr>
        <w:t>（2）</w:t>
      </w:r>
      <w:r>
        <w:rPr>
          <w:rFonts w:hint="eastAsia" w:ascii="宋体" w:hAnsi="宋体"/>
          <w:color w:val="auto"/>
          <w:spacing w:val="-2"/>
          <w:sz w:val="24"/>
          <w:highlight w:val="none"/>
          <w:lang w:eastAsia="zh-CN"/>
        </w:rPr>
        <w:t>谈判小组</w:t>
      </w:r>
      <w:r>
        <w:rPr>
          <w:rFonts w:hint="eastAsia" w:ascii="宋体" w:hAnsi="宋体"/>
          <w:color w:val="auto"/>
          <w:spacing w:val="-2"/>
          <w:sz w:val="24"/>
          <w:highlight w:val="none"/>
        </w:rPr>
        <w:t>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color w:val="auto"/>
          <w:spacing w:val="-2"/>
          <w:sz w:val="24"/>
          <w:highlight w:val="none"/>
        </w:rPr>
      </w:pPr>
      <w:r>
        <w:rPr>
          <w:rFonts w:hint="eastAsia" w:ascii="宋体" w:hAnsi="宋体"/>
          <w:color w:val="auto"/>
          <w:spacing w:val="-2"/>
          <w:sz w:val="24"/>
          <w:highlight w:val="none"/>
        </w:rPr>
        <w:t>（3）</w:t>
      </w:r>
      <w:r>
        <w:rPr>
          <w:rFonts w:hint="eastAsia" w:ascii="宋体" w:hAnsi="宋体"/>
          <w:color w:val="auto"/>
          <w:spacing w:val="-2"/>
          <w:sz w:val="24"/>
          <w:highlight w:val="none"/>
          <w:lang w:eastAsia="zh-CN"/>
        </w:rPr>
        <w:t>谈判小组</w:t>
      </w:r>
      <w:r>
        <w:rPr>
          <w:rFonts w:hint="eastAsia" w:ascii="宋体" w:hAnsi="宋体"/>
          <w:color w:val="auto"/>
          <w:spacing w:val="-2"/>
          <w:sz w:val="24"/>
          <w:highlight w:val="none"/>
        </w:rPr>
        <w:t>判断响应性文件的满足性仅基于响应性文件本身而不靠外部证据；</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（4）</w:t>
      </w:r>
      <w:r>
        <w:rPr>
          <w:rFonts w:hint="eastAsia" w:ascii="宋体" w:hAnsi="宋体"/>
          <w:color w:val="auto"/>
          <w:spacing w:val="-2"/>
          <w:sz w:val="24"/>
          <w:highlight w:val="none"/>
          <w:lang w:eastAsia="zh-CN"/>
        </w:rPr>
        <w:t>谈判小组</w:t>
      </w:r>
      <w:r>
        <w:rPr>
          <w:rFonts w:hint="eastAsia" w:ascii="宋体" w:hAnsi="宋体"/>
          <w:color w:val="auto"/>
          <w:spacing w:val="-2"/>
          <w:sz w:val="24"/>
          <w:highlight w:val="none"/>
        </w:rPr>
        <w:t>将拒绝被确定为非实质性满足的投标。投标人不能通过修正或撤消不符合之处而使其投标成为实质性满足的投标。</w:t>
      </w:r>
    </w:p>
    <w:p>
      <w:pPr>
        <w:spacing w:line="440" w:lineRule="exact"/>
        <w:jc w:val="center"/>
        <w:rPr>
          <w:rFonts w:ascii="宋体" w:hAnsi="宋体"/>
          <w:color w:val="auto"/>
          <w:spacing w:val="-2"/>
          <w:sz w:val="24"/>
          <w:highlight w:val="none"/>
        </w:rPr>
      </w:pPr>
      <w:r>
        <w:rPr>
          <w:rFonts w:hint="eastAsia" w:ascii="宋体" w:hAnsi="宋体"/>
          <w:color w:val="auto"/>
          <w:spacing w:val="-2"/>
          <w:sz w:val="24"/>
          <w:highlight w:val="none"/>
        </w:rPr>
        <w:t>符合性审查</w:t>
      </w:r>
    </w:p>
    <w:tbl>
      <w:tblPr>
        <w:tblStyle w:val="23"/>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pPr>
              <w:jc w:val="center"/>
              <w:rPr>
                <w:rFonts w:ascii="宋体" w:hAnsi="宋体"/>
                <w:b/>
                <w:color w:val="auto"/>
                <w:sz w:val="24"/>
                <w:highlight w:val="none"/>
              </w:rPr>
            </w:pPr>
            <w:r>
              <w:rPr>
                <w:rFonts w:hint="eastAsia" w:ascii="宋体" w:hAnsi="宋体"/>
                <w:b/>
                <w:color w:val="auto"/>
                <w:sz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pPr>
              <w:jc w:val="center"/>
              <w:rPr>
                <w:rFonts w:ascii="宋体" w:hAnsi="宋体"/>
                <w:color w:val="auto"/>
                <w:sz w:val="24"/>
                <w:highlight w:val="none"/>
              </w:rPr>
            </w:pPr>
          </w:p>
        </w:tc>
        <w:tc>
          <w:tcPr>
            <w:tcW w:w="646" w:type="dxa"/>
            <w:tcBorders>
              <w:top w:val="single" w:color="auto" w:sz="4" w:space="0"/>
              <w:left w:val="single" w:color="auto" w:sz="4" w:space="0"/>
              <w:right w:val="single" w:color="auto" w:sz="4" w:space="0"/>
            </w:tcBorders>
            <w:noWrap w:val="0"/>
            <w:vAlign w:val="center"/>
          </w:tcPr>
          <w:p>
            <w:pPr>
              <w:jc w:val="center"/>
              <w:rPr>
                <w:rFonts w:ascii="宋体" w:hAnsi="宋体"/>
                <w:b/>
                <w:color w:val="auto"/>
                <w:szCs w:val="21"/>
                <w:highlight w:val="none"/>
              </w:rPr>
            </w:pPr>
            <w:r>
              <w:rPr>
                <w:rFonts w:ascii="宋体" w:hAnsi="宋体"/>
                <w:b/>
                <w:color w:val="auto"/>
                <w:szCs w:val="21"/>
                <w:highlight w:val="none"/>
              </w:rPr>
              <w:t>1</w:t>
            </w:r>
          </w:p>
        </w:tc>
        <w:tc>
          <w:tcPr>
            <w:tcW w:w="646" w:type="dxa"/>
            <w:tcBorders>
              <w:top w:val="single" w:color="auto" w:sz="4" w:space="0"/>
              <w:left w:val="single" w:color="auto" w:sz="4" w:space="0"/>
            </w:tcBorders>
            <w:noWrap w:val="0"/>
            <w:vAlign w:val="center"/>
          </w:tcPr>
          <w:p>
            <w:pPr>
              <w:jc w:val="center"/>
              <w:rPr>
                <w:rFonts w:ascii="宋体" w:hAnsi="宋体"/>
                <w:b/>
                <w:color w:val="auto"/>
                <w:szCs w:val="21"/>
                <w:highlight w:val="none"/>
              </w:rPr>
            </w:pPr>
            <w:r>
              <w:rPr>
                <w:rFonts w:ascii="宋体" w:hAnsi="宋体"/>
                <w:b/>
                <w:color w:val="auto"/>
                <w:szCs w:val="21"/>
                <w:highlight w:val="none"/>
              </w:rPr>
              <w:t>2</w:t>
            </w:r>
          </w:p>
        </w:tc>
        <w:tc>
          <w:tcPr>
            <w:tcW w:w="646" w:type="dxa"/>
            <w:noWrap w:val="0"/>
            <w:vAlign w:val="center"/>
          </w:tcPr>
          <w:p>
            <w:pPr>
              <w:jc w:val="center"/>
              <w:rPr>
                <w:rFonts w:ascii="宋体" w:hAnsi="宋体"/>
                <w:b/>
                <w:color w:val="auto"/>
                <w:szCs w:val="21"/>
                <w:highlight w:val="none"/>
              </w:rPr>
            </w:pPr>
            <w:r>
              <w:rPr>
                <w:rFonts w:ascii="宋体" w:hAnsi="宋体"/>
                <w:b/>
                <w:color w:val="auto"/>
                <w:szCs w:val="21"/>
                <w:highlight w:val="none"/>
              </w:rPr>
              <w:t>3</w:t>
            </w:r>
          </w:p>
        </w:tc>
        <w:tc>
          <w:tcPr>
            <w:tcW w:w="597" w:type="dxa"/>
            <w:noWrap w:val="0"/>
            <w:vAlign w:val="center"/>
          </w:tcPr>
          <w:p>
            <w:pPr>
              <w:jc w:val="center"/>
              <w:rPr>
                <w:rFonts w:ascii="宋体" w:hAnsi="宋体"/>
                <w:b/>
                <w:color w:val="auto"/>
                <w:szCs w:val="21"/>
                <w:highlight w:val="none"/>
              </w:rPr>
            </w:pPr>
            <w:r>
              <w:rPr>
                <w:rFonts w:hint="eastAsia" w:ascii="宋体" w:hAnsi="宋体"/>
                <w:b/>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color w:val="auto"/>
                <w:sz w:val="24"/>
                <w:highlight w:val="none"/>
              </w:rPr>
            </w:pPr>
            <w:r>
              <w:rPr>
                <w:rFonts w:hint="eastAsia" w:ascii="宋体" w:hAnsi="宋体" w:cs="宋体"/>
                <w:color w:val="auto"/>
                <w:kern w:val="0"/>
                <w:sz w:val="24"/>
                <w:highlight w:val="none"/>
              </w:rPr>
              <w:t>1</w:t>
            </w:r>
          </w:p>
        </w:tc>
        <w:tc>
          <w:tcPr>
            <w:tcW w:w="6674" w:type="dxa"/>
            <w:tcBorders>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响应承诺书有单位盖章及法定代表人或法定代表人授权的代理人签字或盖章的；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jc w:val="center"/>
              <w:rPr>
                <w:rFonts w:ascii="宋体" w:hAnsi="宋体"/>
                <w:color w:val="auto"/>
                <w:szCs w:val="21"/>
                <w:highlight w:val="none"/>
              </w:rPr>
            </w:pPr>
          </w:p>
        </w:tc>
        <w:tc>
          <w:tcPr>
            <w:tcW w:w="646" w:type="dxa"/>
            <w:tcBorders>
              <w:left w:val="single" w:color="auto" w:sz="4" w:space="0"/>
            </w:tcBorders>
            <w:noWrap w:val="0"/>
            <w:vAlign w:val="center"/>
          </w:tcPr>
          <w:p>
            <w:pPr>
              <w:jc w:val="center"/>
              <w:rPr>
                <w:rFonts w:ascii="宋体" w:hAnsi="宋体"/>
                <w:color w:val="auto"/>
                <w:szCs w:val="21"/>
                <w:highlight w:val="none"/>
              </w:rPr>
            </w:pPr>
          </w:p>
        </w:tc>
        <w:tc>
          <w:tcPr>
            <w:tcW w:w="646" w:type="dxa"/>
            <w:tcBorders>
              <w:right w:val="single" w:color="auto" w:sz="4" w:space="0"/>
            </w:tcBorders>
            <w:noWrap w:val="0"/>
            <w:vAlign w:val="center"/>
          </w:tcPr>
          <w:p>
            <w:pPr>
              <w:jc w:val="center"/>
              <w:rPr>
                <w:rFonts w:ascii="宋体" w:hAnsi="宋体"/>
                <w:color w:val="auto"/>
                <w:szCs w:val="21"/>
                <w:highlight w:val="none"/>
              </w:rPr>
            </w:pPr>
          </w:p>
        </w:tc>
        <w:tc>
          <w:tcPr>
            <w:tcW w:w="597" w:type="dxa"/>
            <w:tcBorders>
              <w:left w:val="single" w:color="auto" w:sz="4" w:space="0"/>
            </w:tcBorders>
            <w:noWrap w:val="0"/>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color w:val="auto"/>
                <w:sz w:val="24"/>
                <w:highlight w:val="none"/>
              </w:rPr>
            </w:pPr>
            <w:r>
              <w:rPr>
                <w:rFonts w:hint="eastAsia" w:ascii="宋体" w:hAnsi="宋体" w:cs="宋体"/>
                <w:color w:val="auto"/>
                <w:kern w:val="0"/>
                <w:sz w:val="24"/>
                <w:highlight w:val="none"/>
              </w:rPr>
              <w:t>2</w:t>
            </w:r>
          </w:p>
        </w:tc>
        <w:tc>
          <w:tcPr>
            <w:tcW w:w="6674" w:type="dxa"/>
            <w:tcBorders>
              <w:right w:val="single" w:color="auto" w:sz="4" w:space="0"/>
            </w:tcBorders>
            <w:noWrap w:val="0"/>
            <w:vAlign w:val="center"/>
          </w:tcPr>
          <w:p>
            <w:pPr>
              <w:rPr>
                <w:rFonts w:ascii="宋体" w:hAnsi="宋体" w:cs="宋体"/>
                <w:color w:val="auto"/>
                <w:sz w:val="24"/>
                <w:highlight w:val="none"/>
              </w:rPr>
            </w:pPr>
            <w:r>
              <w:rPr>
                <w:rFonts w:hint="eastAsia" w:ascii="宋体" w:hAnsi="宋体"/>
                <w:color w:val="auto"/>
                <w:sz w:val="24"/>
                <w:highlight w:val="none"/>
              </w:rPr>
              <w:t>投标有效期是否满足</w:t>
            </w:r>
            <w:r>
              <w:rPr>
                <w:rFonts w:hint="eastAsia" w:ascii="宋体" w:hAnsi="宋体"/>
                <w:color w:val="auto"/>
                <w:sz w:val="24"/>
                <w:highlight w:val="none"/>
                <w:lang w:val="en-US" w:eastAsia="zh-CN"/>
              </w:rPr>
              <w:t>谈判</w:t>
            </w:r>
            <w:r>
              <w:rPr>
                <w:rFonts w:hint="eastAsia" w:ascii="宋体" w:hAnsi="宋体"/>
                <w:color w:val="auto"/>
                <w:sz w:val="24"/>
                <w:highlight w:val="none"/>
              </w:rPr>
              <w:t>文件要求的；</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ascii="宋体" w:hAnsi="宋体"/>
                <w:color w:val="auto"/>
                <w:szCs w:val="21"/>
                <w:highlight w:val="none"/>
              </w:rPr>
            </w:pPr>
          </w:p>
        </w:tc>
        <w:tc>
          <w:tcPr>
            <w:tcW w:w="646" w:type="dxa"/>
            <w:tcBorders>
              <w:left w:val="single" w:color="auto" w:sz="4" w:space="0"/>
            </w:tcBorders>
            <w:noWrap w:val="0"/>
            <w:vAlign w:val="center"/>
          </w:tcPr>
          <w:p>
            <w:pPr>
              <w:jc w:val="center"/>
              <w:rPr>
                <w:rFonts w:ascii="宋体" w:hAnsi="宋体"/>
                <w:color w:val="auto"/>
                <w:szCs w:val="21"/>
                <w:highlight w:val="none"/>
              </w:rPr>
            </w:pPr>
          </w:p>
        </w:tc>
        <w:tc>
          <w:tcPr>
            <w:tcW w:w="646" w:type="dxa"/>
            <w:tcBorders>
              <w:right w:val="single" w:color="auto" w:sz="4" w:space="0"/>
            </w:tcBorders>
            <w:noWrap w:val="0"/>
            <w:vAlign w:val="center"/>
          </w:tcPr>
          <w:p>
            <w:pPr>
              <w:jc w:val="center"/>
              <w:rPr>
                <w:rFonts w:ascii="宋体" w:hAnsi="宋体"/>
                <w:color w:val="auto"/>
                <w:szCs w:val="21"/>
                <w:highlight w:val="none"/>
              </w:rPr>
            </w:pPr>
          </w:p>
        </w:tc>
        <w:tc>
          <w:tcPr>
            <w:tcW w:w="597" w:type="dxa"/>
            <w:tcBorders>
              <w:left w:val="single" w:color="auto" w:sz="4" w:space="0"/>
            </w:tcBorders>
            <w:noWrap w:val="0"/>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cs="宋体"/>
                <w:color w:val="auto"/>
                <w:kern w:val="0"/>
                <w:sz w:val="24"/>
                <w:highlight w:val="none"/>
              </w:rPr>
            </w:pPr>
          </w:p>
        </w:tc>
        <w:tc>
          <w:tcPr>
            <w:tcW w:w="6674" w:type="dxa"/>
            <w:tcBorders>
              <w:right w:val="single" w:color="auto" w:sz="4" w:space="0"/>
            </w:tcBorders>
            <w:noWrap w:val="0"/>
            <w:vAlign w:val="center"/>
          </w:tcPr>
          <w:p>
            <w:pPr>
              <w:rPr>
                <w:rFonts w:hint="eastAsia" w:ascii="宋体" w:hAnsi="宋体"/>
                <w:color w:val="auto"/>
                <w:sz w:val="24"/>
                <w:highlight w:val="none"/>
              </w:rPr>
            </w:pPr>
            <w:r>
              <w:rPr>
                <w:rFonts w:hint="eastAsia" w:ascii="宋体" w:hAnsi="宋体" w:cs="宋体"/>
                <w:color w:val="auto"/>
                <w:sz w:val="24"/>
                <w:highlight w:val="none"/>
              </w:rPr>
              <w:t>是否满足招标文件规定的免费质保年限</w:t>
            </w:r>
            <w:r>
              <w:rPr>
                <w:rFonts w:hint="eastAsia" w:ascii="宋体" w:hAnsi="宋体" w:cs="宋体"/>
                <w:b/>
                <w:color w:val="auto"/>
                <w:sz w:val="24"/>
                <w:highlight w:val="none"/>
              </w:rPr>
              <w:t>（以售后服务承诺书为准）</w:t>
            </w:r>
            <w:r>
              <w:rPr>
                <w:rFonts w:hint="eastAsia" w:ascii="宋体" w:hAnsi="宋体" w:cs="宋体"/>
                <w:color w:val="auto"/>
                <w:sz w:val="24"/>
                <w:highlight w:val="none"/>
              </w:rPr>
              <w:t>；</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ascii="宋体" w:hAnsi="宋体"/>
                <w:color w:val="auto"/>
                <w:szCs w:val="21"/>
                <w:highlight w:val="none"/>
              </w:rPr>
            </w:pPr>
          </w:p>
        </w:tc>
        <w:tc>
          <w:tcPr>
            <w:tcW w:w="646" w:type="dxa"/>
            <w:tcBorders>
              <w:left w:val="single" w:color="auto" w:sz="4" w:space="0"/>
            </w:tcBorders>
            <w:noWrap w:val="0"/>
            <w:vAlign w:val="center"/>
          </w:tcPr>
          <w:p>
            <w:pPr>
              <w:jc w:val="center"/>
              <w:rPr>
                <w:rFonts w:ascii="宋体" w:hAnsi="宋体"/>
                <w:color w:val="auto"/>
                <w:szCs w:val="21"/>
                <w:highlight w:val="none"/>
              </w:rPr>
            </w:pPr>
          </w:p>
        </w:tc>
        <w:tc>
          <w:tcPr>
            <w:tcW w:w="646" w:type="dxa"/>
            <w:tcBorders>
              <w:right w:val="single" w:color="auto" w:sz="4" w:space="0"/>
            </w:tcBorders>
            <w:noWrap w:val="0"/>
            <w:vAlign w:val="center"/>
          </w:tcPr>
          <w:p>
            <w:pPr>
              <w:jc w:val="center"/>
              <w:rPr>
                <w:rFonts w:ascii="宋体" w:hAnsi="宋体"/>
                <w:color w:val="auto"/>
                <w:szCs w:val="21"/>
                <w:highlight w:val="none"/>
              </w:rPr>
            </w:pPr>
          </w:p>
        </w:tc>
        <w:tc>
          <w:tcPr>
            <w:tcW w:w="597" w:type="dxa"/>
            <w:tcBorders>
              <w:left w:val="single" w:color="auto" w:sz="4" w:space="0"/>
            </w:tcBorders>
            <w:noWrap w:val="0"/>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color w:val="auto"/>
                <w:sz w:val="24"/>
                <w:highlight w:val="none"/>
              </w:rPr>
            </w:pPr>
            <w:r>
              <w:rPr>
                <w:rFonts w:hint="eastAsia" w:ascii="宋体" w:hAnsi="宋体" w:cs="宋体"/>
                <w:color w:val="auto"/>
                <w:kern w:val="0"/>
                <w:sz w:val="24"/>
                <w:highlight w:val="none"/>
              </w:rPr>
              <w:t>3</w:t>
            </w:r>
          </w:p>
        </w:tc>
        <w:tc>
          <w:tcPr>
            <w:tcW w:w="6674" w:type="dxa"/>
            <w:tcBorders>
              <w:right w:val="single" w:color="auto" w:sz="4" w:space="0"/>
            </w:tcBorders>
            <w:noWrap w:val="0"/>
            <w:vAlign w:val="center"/>
          </w:tcPr>
          <w:p>
            <w:pPr>
              <w:rPr>
                <w:rFonts w:hint="eastAsia" w:ascii="宋体" w:hAnsi="宋体"/>
                <w:color w:val="auto"/>
                <w:kern w:val="2"/>
                <w:sz w:val="24"/>
                <w:szCs w:val="24"/>
                <w:highlight w:val="none"/>
                <w:lang w:val="en-US" w:eastAsia="zh-CN" w:bidi="ar-SA"/>
              </w:rPr>
            </w:pPr>
            <w:r>
              <w:rPr>
                <w:rFonts w:hint="eastAsia" w:ascii="宋体" w:hAnsi="宋体"/>
                <w:color w:val="auto"/>
                <w:sz w:val="24"/>
                <w:highlight w:val="none"/>
              </w:rPr>
              <w:t>是否按规定提交响应性文件份数；</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ascii="宋体" w:hAnsi="宋体"/>
                <w:color w:val="auto"/>
                <w:szCs w:val="21"/>
                <w:highlight w:val="none"/>
              </w:rPr>
            </w:pPr>
          </w:p>
        </w:tc>
        <w:tc>
          <w:tcPr>
            <w:tcW w:w="646" w:type="dxa"/>
            <w:tcBorders>
              <w:left w:val="single" w:color="auto" w:sz="4" w:space="0"/>
            </w:tcBorders>
            <w:noWrap w:val="0"/>
            <w:vAlign w:val="center"/>
          </w:tcPr>
          <w:p>
            <w:pPr>
              <w:jc w:val="center"/>
              <w:rPr>
                <w:rFonts w:ascii="宋体" w:hAnsi="宋体"/>
                <w:color w:val="auto"/>
                <w:szCs w:val="21"/>
                <w:highlight w:val="none"/>
              </w:rPr>
            </w:pPr>
          </w:p>
        </w:tc>
        <w:tc>
          <w:tcPr>
            <w:tcW w:w="646" w:type="dxa"/>
            <w:tcBorders>
              <w:right w:val="single" w:color="auto" w:sz="4" w:space="0"/>
            </w:tcBorders>
            <w:noWrap w:val="0"/>
            <w:vAlign w:val="center"/>
          </w:tcPr>
          <w:p>
            <w:pPr>
              <w:jc w:val="center"/>
              <w:rPr>
                <w:rFonts w:ascii="宋体" w:hAnsi="宋体"/>
                <w:color w:val="auto"/>
                <w:szCs w:val="21"/>
                <w:highlight w:val="none"/>
              </w:rPr>
            </w:pPr>
          </w:p>
        </w:tc>
        <w:tc>
          <w:tcPr>
            <w:tcW w:w="597" w:type="dxa"/>
            <w:tcBorders>
              <w:left w:val="single" w:color="auto" w:sz="4" w:space="0"/>
            </w:tcBorders>
            <w:noWrap w:val="0"/>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color w:val="auto"/>
                <w:sz w:val="24"/>
                <w:highlight w:val="none"/>
              </w:rPr>
            </w:pPr>
            <w:r>
              <w:rPr>
                <w:rFonts w:hint="eastAsia" w:ascii="宋体" w:hAnsi="宋体" w:cs="宋体"/>
                <w:color w:val="auto"/>
                <w:kern w:val="0"/>
                <w:sz w:val="24"/>
                <w:highlight w:val="none"/>
              </w:rPr>
              <w:t>4</w:t>
            </w:r>
          </w:p>
        </w:tc>
        <w:tc>
          <w:tcPr>
            <w:tcW w:w="6674" w:type="dxa"/>
            <w:tcBorders>
              <w:right w:val="single" w:color="auto" w:sz="4" w:space="0"/>
            </w:tcBorders>
            <w:noWrap w:val="0"/>
            <w:vAlign w:val="center"/>
          </w:tcPr>
          <w:p>
            <w:pPr>
              <w:widowControl/>
              <w:jc w:val="left"/>
              <w:textAlignment w:val="center"/>
              <w:rPr>
                <w:rFonts w:hint="eastAsia" w:ascii="宋体" w:hAnsi="宋体"/>
                <w:color w:val="auto"/>
                <w:kern w:val="2"/>
                <w:sz w:val="24"/>
                <w:szCs w:val="24"/>
                <w:highlight w:val="none"/>
                <w:lang w:val="en-US" w:eastAsia="zh-CN" w:bidi="ar-SA"/>
              </w:rPr>
            </w:pPr>
            <w:r>
              <w:rPr>
                <w:rFonts w:hint="eastAsia" w:ascii="宋体" w:hAnsi="宋体" w:cs="宋体"/>
                <w:color w:val="auto"/>
                <w:kern w:val="0"/>
                <w:sz w:val="24"/>
                <w:highlight w:val="none"/>
              </w:rPr>
              <w:t>响应性文件是否按照要求签署、盖章</w:t>
            </w:r>
            <w:r>
              <w:rPr>
                <w:rFonts w:hint="eastAsia" w:ascii="宋体" w:hAnsi="宋体"/>
                <w:color w:val="auto"/>
                <w:sz w:val="24"/>
                <w:highlight w:val="none"/>
              </w:rPr>
              <w:t>；</w:t>
            </w:r>
          </w:p>
        </w:tc>
        <w:tc>
          <w:tcPr>
            <w:tcW w:w="646" w:type="dxa"/>
            <w:tcBorders>
              <w:left w:val="single" w:color="auto" w:sz="4" w:space="0"/>
              <w:right w:val="single" w:color="auto" w:sz="4" w:space="0"/>
            </w:tcBorders>
            <w:noWrap w:val="0"/>
            <w:vAlign w:val="center"/>
          </w:tcPr>
          <w:p>
            <w:pPr>
              <w:jc w:val="center"/>
              <w:rPr>
                <w:rFonts w:ascii="宋体" w:hAnsi="宋体"/>
                <w:color w:val="auto"/>
                <w:szCs w:val="21"/>
                <w:highlight w:val="none"/>
              </w:rPr>
            </w:pPr>
          </w:p>
        </w:tc>
        <w:tc>
          <w:tcPr>
            <w:tcW w:w="646" w:type="dxa"/>
            <w:tcBorders>
              <w:left w:val="single" w:color="auto" w:sz="4" w:space="0"/>
            </w:tcBorders>
            <w:noWrap w:val="0"/>
            <w:vAlign w:val="center"/>
          </w:tcPr>
          <w:p>
            <w:pPr>
              <w:jc w:val="center"/>
              <w:rPr>
                <w:rFonts w:ascii="宋体" w:hAnsi="宋体"/>
                <w:color w:val="auto"/>
                <w:szCs w:val="21"/>
                <w:highlight w:val="none"/>
              </w:rPr>
            </w:pPr>
          </w:p>
        </w:tc>
        <w:tc>
          <w:tcPr>
            <w:tcW w:w="646" w:type="dxa"/>
            <w:tcBorders>
              <w:right w:val="single" w:color="auto" w:sz="4" w:space="0"/>
            </w:tcBorders>
            <w:noWrap w:val="0"/>
            <w:vAlign w:val="center"/>
          </w:tcPr>
          <w:p>
            <w:pPr>
              <w:jc w:val="center"/>
              <w:rPr>
                <w:rFonts w:ascii="宋体" w:hAnsi="宋体"/>
                <w:color w:val="auto"/>
                <w:szCs w:val="21"/>
                <w:highlight w:val="none"/>
              </w:rPr>
            </w:pPr>
          </w:p>
        </w:tc>
        <w:tc>
          <w:tcPr>
            <w:tcW w:w="597" w:type="dxa"/>
            <w:tcBorders>
              <w:left w:val="single" w:color="auto" w:sz="4" w:space="0"/>
            </w:tcBorders>
            <w:noWrap w:val="0"/>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color w:val="auto"/>
                <w:sz w:val="24"/>
                <w:highlight w:val="none"/>
              </w:rPr>
            </w:pPr>
            <w:r>
              <w:rPr>
                <w:rFonts w:hint="eastAsia" w:ascii="宋体" w:hAnsi="宋体" w:cs="宋体"/>
                <w:color w:val="auto"/>
                <w:kern w:val="0"/>
                <w:sz w:val="24"/>
                <w:highlight w:val="none"/>
              </w:rPr>
              <w:t>5</w:t>
            </w:r>
          </w:p>
        </w:tc>
        <w:tc>
          <w:tcPr>
            <w:tcW w:w="6674" w:type="dxa"/>
            <w:tcBorders>
              <w:right w:val="single" w:color="auto" w:sz="4" w:space="0"/>
            </w:tcBorders>
            <w:noWrap w:val="0"/>
            <w:vAlign w:val="center"/>
          </w:tcPr>
          <w:p>
            <w:pP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投标报价是否在采购预算或最高限价以内；</w:t>
            </w:r>
          </w:p>
        </w:tc>
        <w:tc>
          <w:tcPr>
            <w:tcW w:w="646" w:type="dxa"/>
            <w:tcBorders>
              <w:left w:val="single" w:color="auto" w:sz="4" w:space="0"/>
              <w:right w:val="single" w:color="auto" w:sz="4" w:space="0"/>
            </w:tcBorders>
            <w:noWrap w:val="0"/>
            <w:vAlign w:val="center"/>
          </w:tcPr>
          <w:p>
            <w:pPr>
              <w:jc w:val="center"/>
              <w:rPr>
                <w:rFonts w:ascii="宋体" w:hAnsi="宋体"/>
                <w:color w:val="auto"/>
                <w:szCs w:val="21"/>
                <w:highlight w:val="none"/>
              </w:rPr>
            </w:pPr>
          </w:p>
        </w:tc>
        <w:tc>
          <w:tcPr>
            <w:tcW w:w="646" w:type="dxa"/>
            <w:tcBorders>
              <w:left w:val="single" w:color="auto" w:sz="4" w:space="0"/>
            </w:tcBorders>
            <w:noWrap w:val="0"/>
            <w:vAlign w:val="center"/>
          </w:tcPr>
          <w:p>
            <w:pPr>
              <w:jc w:val="center"/>
              <w:rPr>
                <w:rFonts w:ascii="宋体" w:hAnsi="宋体"/>
                <w:color w:val="auto"/>
                <w:szCs w:val="21"/>
                <w:highlight w:val="none"/>
              </w:rPr>
            </w:pPr>
          </w:p>
        </w:tc>
        <w:tc>
          <w:tcPr>
            <w:tcW w:w="646" w:type="dxa"/>
            <w:tcBorders>
              <w:right w:val="single" w:color="auto" w:sz="4" w:space="0"/>
            </w:tcBorders>
            <w:noWrap w:val="0"/>
            <w:vAlign w:val="center"/>
          </w:tcPr>
          <w:p>
            <w:pPr>
              <w:jc w:val="center"/>
              <w:rPr>
                <w:rFonts w:ascii="宋体" w:hAnsi="宋体"/>
                <w:color w:val="auto"/>
                <w:szCs w:val="21"/>
                <w:highlight w:val="none"/>
              </w:rPr>
            </w:pPr>
          </w:p>
        </w:tc>
        <w:tc>
          <w:tcPr>
            <w:tcW w:w="597" w:type="dxa"/>
            <w:tcBorders>
              <w:left w:val="single" w:color="auto" w:sz="4" w:space="0"/>
            </w:tcBorders>
            <w:noWrap w:val="0"/>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45" w:type="dxa"/>
            <w:noWrap w:val="0"/>
            <w:vAlign w:val="center"/>
          </w:tcPr>
          <w:p>
            <w:pPr>
              <w:widowControl/>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6</w:t>
            </w:r>
          </w:p>
        </w:tc>
        <w:tc>
          <w:tcPr>
            <w:tcW w:w="6674" w:type="dxa"/>
            <w:tcBorders>
              <w:right w:val="single" w:color="auto" w:sz="4" w:space="0"/>
            </w:tcBorders>
            <w:noWrap w:val="0"/>
            <w:vAlign w:val="center"/>
          </w:tcPr>
          <w:p>
            <w:pPr>
              <w:rPr>
                <w:rFonts w:hint="eastAsia" w:ascii="宋体" w:hAnsi="宋体"/>
                <w:color w:val="auto"/>
                <w:kern w:val="2"/>
                <w:sz w:val="24"/>
                <w:szCs w:val="24"/>
                <w:highlight w:val="none"/>
                <w:lang w:val="en-US" w:eastAsia="zh-CN" w:bidi="ar-SA"/>
              </w:rPr>
            </w:pPr>
            <w:r>
              <w:rPr>
                <w:rFonts w:hint="eastAsia" w:ascii="宋体" w:hAnsi="宋体"/>
                <w:color w:val="auto"/>
                <w:sz w:val="24"/>
                <w:highlight w:val="none"/>
              </w:rPr>
              <w:t>其他。</w:t>
            </w:r>
          </w:p>
        </w:tc>
        <w:tc>
          <w:tcPr>
            <w:tcW w:w="646" w:type="dxa"/>
            <w:tcBorders>
              <w:left w:val="single" w:color="auto" w:sz="4" w:space="0"/>
              <w:right w:val="single" w:color="auto" w:sz="4" w:space="0"/>
            </w:tcBorders>
            <w:noWrap w:val="0"/>
            <w:vAlign w:val="center"/>
          </w:tcPr>
          <w:p>
            <w:pPr>
              <w:jc w:val="center"/>
              <w:rPr>
                <w:rFonts w:ascii="宋体" w:hAnsi="宋体"/>
                <w:color w:val="auto"/>
                <w:szCs w:val="21"/>
                <w:highlight w:val="none"/>
              </w:rPr>
            </w:pPr>
          </w:p>
        </w:tc>
        <w:tc>
          <w:tcPr>
            <w:tcW w:w="646" w:type="dxa"/>
            <w:tcBorders>
              <w:left w:val="single" w:color="auto" w:sz="4" w:space="0"/>
            </w:tcBorders>
            <w:noWrap w:val="0"/>
            <w:vAlign w:val="center"/>
          </w:tcPr>
          <w:p>
            <w:pPr>
              <w:jc w:val="center"/>
              <w:rPr>
                <w:rFonts w:ascii="宋体" w:hAnsi="宋体"/>
                <w:color w:val="auto"/>
                <w:szCs w:val="21"/>
                <w:highlight w:val="none"/>
              </w:rPr>
            </w:pPr>
          </w:p>
        </w:tc>
        <w:tc>
          <w:tcPr>
            <w:tcW w:w="646" w:type="dxa"/>
            <w:tcBorders>
              <w:right w:val="single" w:color="auto" w:sz="4" w:space="0"/>
            </w:tcBorders>
            <w:noWrap w:val="0"/>
            <w:vAlign w:val="center"/>
          </w:tcPr>
          <w:p>
            <w:pPr>
              <w:jc w:val="center"/>
              <w:rPr>
                <w:rFonts w:ascii="宋体" w:hAnsi="宋体"/>
                <w:color w:val="auto"/>
                <w:szCs w:val="21"/>
                <w:highlight w:val="none"/>
              </w:rPr>
            </w:pPr>
          </w:p>
        </w:tc>
        <w:tc>
          <w:tcPr>
            <w:tcW w:w="597" w:type="dxa"/>
            <w:tcBorders>
              <w:left w:val="single" w:color="auto" w:sz="4" w:space="0"/>
            </w:tcBorders>
            <w:noWrap w:val="0"/>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pPr>
              <w:jc w:val="center"/>
              <w:rPr>
                <w:rFonts w:ascii="宋体" w:hAnsi="宋体"/>
                <w:color w:val="auto"/>
                <w:sz w:val="24"/>
                <w:highlight w:val="none"/>
              </w:rPr>
            </w:pPr>
            <w:r>
              <w:rPr>
                <w:rFonts w:hint="eastAsia" w:ascii="宋体" w:hAnsi="宋体" w:cs="宋体"/>
                <w:color w:val="auto"/>
                <w:sz w:val="24"/>
                <w:highlight w:val="none"/>
              </w:rPr>
              <w:t>审查结果</w:t>
            </w:r>
          </w:p>
        </w:tc>
        <w:tc>
          <w:tcPr>
            <w:tcW w:w="646" w:type="dxa"/>
            <w:tcBorders>
              <w:left w:val="single" w:color="auto" w:sz="4" w:space="0"/>
              <w:right w:val="single" w:color="auto" w:sz="4" w:space="0"/>
            </w:tcBorders>
            <w:noWrap w:val="0"/>
            <w:vAlign w:val="center"/>
          </w:tcPr>
          <w:p>
            <w:pPr>
              <w:jc w:val="center"/>
              <w:rPr>
                <w:rFonts w:ascii="宋体" w:hAnsi="宋体"/>
                <w:color w:val="auto"/>
                <w:szCs w:val="21"/>
                <w:highlight w:val="none"/>
              </w:rPr>
            </w:pPr>
          </w:p>
        </w:tc>
        <w:tc>
          <w:tcPr>
            <w:tcW w:w="646" w:type="dxa"/>
            <w:tcBorders>
              <w:left w:val="single" w:color="auto" w:sz="4" w:space="0"/>
            </w:tcBorders>
            <w:noWrap w:val="0"/>
            <w:vAlign w:val="center"/>
          </w:tcPr>
          <w:p>
            <w:pPr>
              <w:jc w:val="center"/>
              <w:rPr>
                <w:rFonts w:ascii="宋体" w:hAnsi="宋体"/>
                <w:color w:val="auto"/>
                <w:szCs w:val="21"/>
                <w:highlight w:val="none"/>
              </w:rPr>
            </w:pPr>
          </w:p>
        </w:tc>
        <w:tc>
          <w:tcPr>
            <w:tcW w:w="646" w:type="dxa"/>
            <w:noWrap w:val="0"/>
            <w:vAlign w:val="center"/>
          </w:tcPr>
          <w:p>
            <w:pPr>
              <w:jc w:val="center"/>
              <w:rPr>
                <w:rFonts w:ascii="宋体" w:hAnsi="宋体"/>
                <w:color w:val="auto"/>
                <w:szCs w:val="21"/>
                <w:highlight w:val="none"/>
              </w:rPr>
            </w:pPr>
          </w:p>
        </w:tc>
        <w:tc>
          <w:tcPr>
            <w:tcW w:w="597" w:type="dxa"/>
            <w:noWrap w:val="0"/>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s="宋体"/>
                <w:color w:val="auto"/>
                <w:sz w:val="24"/>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pPr>
              <w:jc w:val="center"/>
              <w:rPr>
                <w:rFonts w:ascii="宋体" w:hAnsi="宋体"/>
                <w:color w:val="auto"/>
                <w:szCs w:val="21"/>
                <w:highlight w:val="none"/>
              </w:rPr>
            </w:pPr>
          </w:p>
        </w:tc>
        <w:tc>
          <w:tcPr>
            <w:tcW w:w="646" w:type="dxa"/>
            <w:tcBorders>
              <w:left w:val="single" w:color="auto" w:sz="4" w:space="0"/>
              <w:bottom w:val="single" w:color="auto" w:sz="12" w:space="0"/>
            </w:tcBorders>
            <w:noWrap w:val="0"/>
            <w:vAlign w:val="center"/>
          </w:tcPr>
          <w:p>
            <w:pPr>
              <w:jc w:val="center"/>
              <w:rPr>
                <w:rFonts w:ascii="宋体" w:hAnsi="宋体"/>
                <w:color w:val="auto"/>
                <w:szCs w:val="21"/>
                <w:highlight w:val="none"/>
              </w:rPr>
            </w:pPr>
          </w:p>
        </w:tc>
        <w:tc>
          <w:tcPr>
            <w:tcW w:w="646" w:type="dxa"/>
            <w:tcBorders>
              <w:bottom w:val="single" w:color="auto" w:sz="12" w:space="0"/>
            </w:tcBorders>
            <w:noWrap w:val="0"/>
            <w:vAlign w:val="center"/>
          </w:tcPr>
          <w:p>
            <w:pPr>
              <w:jc w:val="center"/>
              <w:rPr>
                <w:rFonts w:ascii="宋体" w:hAnsi="宋体"/>
                <w:color w:val="auto"/>
                <w:szCs w:val="21"/>
                <w:highlight w:val="none"/>
              </w:rPr>
            </w:pPr>
          </w:p>
        </w:tc>
        <w:tc>
          <w:tcPr>
            <w:tcW w:w="597" w:type="dxa"/>
            <w:tcBorders>
              <w:bottom w:val="single" w:color="auto" w:sz="12" w:space="0"/>
            </w:tcBorders>
            <w:noWrap w:val="0"/>
            <w:vAlign w:val="center"/>
          </w:tcPr>
          <w:p>
            <w:pPr>
              <w:jc w:val="center"/>
              <w:rPr>
                <w:rFonts w:ascii="宋体" w:hAnsi="宋体"/>
                <w:color w:val="auto"/>
                <w:szCs w:val="21"/>
                <w:highlight w:val="none"/>
              </w:rPr>
            </w:pPr>
          </w:p>
        </w:tc>
      </w:tr>
    </w:tbl>
    <w:p>
      <w:pPr>
        <w:jc w:val="left"/>
        <w:rPr>
          <w:rFonts w:ascii="宋体" w:hAnsi="宋体"/>
          <w:color w:val="auto"/>
          <w:sz w:val="24"/>
          <w:highlight w:val="none"/>
        </w:rPr>
      </w:pPr>
      <w:r>
        <w:rPr>
          <w:rFonts w:hint="eastAsia" w:ascii="宋体" w:hAnsi="宋体"/>
          <w:color w:val="auto"/>
          <w:sz w:val="24"/>
          <w:highlight w:val="none"/>
        </w:rPr>
        <w:t>1. 符合性审查审查合格的打“√”，不合格的打“×”。</w:t>
      </w:r>
    </w:p>
    <w:p>
      <w:pPr>
        <w:jc w:val="left"/>
        <w:rPr>
          <w:rFonts w:ascii="宋体" w:hAnsi="宋体"/>
          <w:color w:val="auto"/>
          <w:sz w:val="24"/>
          <w:highlight w:val="none"/>
        </w:rPr>
      </w:pPr>
      <w:r>
        <w:rPr>
          <w:rFonts w:hint="eastAsia" w:ascii="宋体" w:hAnsi="宋体"/>
          <w:color w:val="auto"/>
          <w:sz w:val="24"/>
          <w:highlight w:val="none"/>
        </w:rPr>
        <w:t>2. 符合性审查审查结果，通过打“√”，不通过的打“×”。</w:t>
      </w:r>
    </w:p>
    <w:p>
      <w:pPr>
        <w:jc w:val="left"/>
        <w:rPr>
          <w:color w:val="auto"/>
          <w:highlight w:val="none"/>
        </w:rPr>
      </w:pPr>
      <w:r>
        <w:rPr>
          <w:rFonts w:hint="eastAsia" w:ascii="宋体" w:hAnsi="宋体"/>
          <w:color w:val="auto"/>
          <w:sz w:val="24"/>
          <w:highlight w:val="none"/>
        </w:rPr>
        <w:t>3.请填写不通过符合性审查审查的供应商的原因。</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响应性文件响应程度初步审查通过的投标企业，进入下一步详细评审阶段，未通过响应性文件响应程度初步审查的企业，其投标作为无效标，不进入后期评审阶段。</w:t>
      </w:r>
    </w:p>
    <w:p>
      <w:pPr>
        <w:snapToGrid w:val="0"/>
        <w:ind w:firstLine="3969" w:firstLineChars="1341"/>
        <w:rPr>
          <w:rFonts w:ascii="宋体" w:cs="宋体"/>
          <w:spacing w:val="-2"/>
          <w:sz w:val="30"/>
          <w:szCs w:val="30"/>
        </w:rPr>
      </w:pPr>
    </w:p>
    <w:p>
      <w:pPr>
        <w:snapToGrid w:val="0"/>
        <w:ind w:firstLine="3969" w:firstLineChars="1341"/>
        <w:rPr>
          <w:rFonts w:ascii="宋体" w:cs="宋体"/>
          <w:spacing w:val="-2"/>
          <w:sz w:val="30"/>
          <w:szCs w:val="30"/>
        </w:rPr>
      </w:pPr>
      <w:r>
        <w:rPr>
          <w:rFonts w:hint="eastAsia" w:ascii="宋体" w:hAnsi="宋体" w:cs="宋体"/>
          <w:spacing w:val="-2"/>
          <w:sz w:val="30"/>
          <w:szCs w:val="30"/>
        </w:rPr>
        <w:t>商务标评议表</w:t>
      </w:r>
    </w:p>
    <w:p>
      <w:pPr>
        <w:snapToGrid w:val="0"/>
        <w:rPr>
          <w:rFonts w:ascii="宋体" w:cs="宋体"/>
          <w:kern w:val="0"/>
          <w:sz w:val="24"/>
        </w:rPr>
      </w:pPr>
    </w:p>
    <w:tbl>
      <w:tblPr>
        <w:tblStyle w:val="23"/>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3780"/>
        <w:gridCol w:w="720"/>
        <w:gridCol w:w="1080"/>
        <w:gridCol w:w="1080"/>
        <w:gridCol w:w="11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9854" w:type="dxa"/>
            <w:gridSpan w:val="6"/>
            <w:tcBorders>
              <w:top w:val="single" w:color="auto" w:sz="12" w:space="0"/>
            </w:tcBorders>
            <w:vAlign w:val="center"/>
          </w:tcPr>
          <w:p>
            <w:pPr>
              <w:snapToGrid w:val="0"/>
              <w:rPr>
                <w:rFonts w:ascii="宋体" w:cs="宋体"/>
                <w:kern w:val="0"/>
                <w:sz w:val="24"/>
              </w:rPr>
            </w:pPr>
            <w:r>
              <w:rPr>
                <w:rFonts w:ascii="宋体" w:hAnsi="宋体" w:cs="宋体"/>
                <w:kern w:val="0"/>
                <w:sz w:val="24"/>
              </w:rPr>
              <w:t xml:space="preserve">                                        </w:t>
            </w:r>
            <w:r>
              <w:rPr>
                <w:rFonts w:hint="eastAsia" w:ascii="宋体" w:hAnsi="宋体" w:cs="宋体"/>
                <w:kern w:val="0"/>
                <w:sz w:val="24"/>
              </w:rPr>
              <w:t>审查内容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868" w:type="dxa"/>
            <w:gridSpan w:val="2"/>
            <w:vAlign w:val="center"/>
          </w:tcPr>
          <w:p>
            <w:pPr>
              <w:snapToGrid w:val="0"/>
              <w:ind w:firstLine="1920" w:firstLineChars="800"/>
              <w:rPr>
                <w:rFonts w:ascii="宋体" w:cs="宋体"/>
                <w:kern w:val="0"/>
                <w:sz w:val="24"/>
              </w:rPr>
            </w:pPr>
            <w:r>
              <w:rPr>
                <w:rFonts w:hint="eastAsia" w:ascii="宋体" w:hAnsi="宋体" w:cs="宋体"/>
                <w:kern w:val="0"/>
                <w:sz w:val="24"/>
              </w:rPr>
              <w:t>投标单位名称</w:t>
            </w:r>
          </w:p>
        </w:tc>
        <w:tc>
          <w:tcPr>
            <w:tcW w:w="720" w:type="dxa"/>
            <w:vAlign w:val="center"/>
          </w:tcPr>
          <w:p>
            <w:pPr>
              <w:snapToGrid w:val="0"/>
              <w:jc w:val="center"/>
              <w:rPr>
                <w:rFonts w:ascii="宋体" w:cs="宋体"/>
                <w:kern w:val="0"/>
                <w:sz w:val="24"/>
              </w:rPr>
            </w:pPr>
          </w:p>
        </w:tc>
        <w:tc>
          <w:tcPr>
            <w:tcW w:w="1080" w:type="dxa"/>
            <w:vAlign w:val="center"/>
          </w:tcPr>
          <w:p>
            <w:pPr>
              <w:snapToGrid w:val="0"/>
              <w:jc w:val="center"/>
              <w:rPr>
                <w:rFonts w:ascii="宋体" w:cs="宋体"/>
                <w:kern w:val="0"/>
                <w:sz w:val="24"/>
              </w:rPr>
            </w:pPr>
          </w:p>
        </w:tc>
        <w:tc>
          <w:tcPr>
            <w:tcW w:w="1080" w:type="dxa"/>
            <w:vAlign w:val="center"/>
          </w:tcPr>
          <w:p>
            <w:pPr>
              <w:snapToGrid w:val="0"/>
              <w:jc w:val="center"/>
              <w:rPr>
                <w:rFonts w:ascii="宋体" w:cs="宋体"/>
                <w:kern w:val="0"/>
                <w:sz w:val="24"/>
              </w:rPr>
            </w:pPr>
          </w:p>
        </w:tc>
        <w:tc>
          <w:tcPr>
            <w:tcW w:w="1106" w:type="dxa"/>
            <w:vAlign w:val="center"/>
          </w:tcPr>
          <w:p>
            <w:pPr>
              <w:snapToGrid w:val="0"/>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088" w:type="dxa"/>
            <w:tcBorders>
              <w:right w:val="single" w:color="auto" w:sz="4" w:space="0"/>
            </w:tcBorders>
            <w:vAlign w:val="center"/>
          </w:tcPr>
          <w:p>
            <w:pPr>
              <w:snapToGrid w:val="0"/>
              <w:rPr>
                <w:rFonts w:ascii="宋体" w:cs="宋体"/>
                <w:kern w:val="0"/>
                <w:sz w:val="24"/>
              </w:rPr>
            </w:pPr>
            <w:r>
              <w:rPr>
                <w:rFonts w:hint="eastAsia" w:ascii="宋体" w:hAnsi="宋体" w:cs="宋体"/>
                <w:kern w:val="0"/>
                <w:sz w:val="24"/>
              </w:rPr>
              <w:t>响应性文件</w:t>
            </w:r>
          </w:p>
        </w:tc>
        <w:tc>
          <w:tcPr>
            <w:tcW w:w="3780" w:type="dxa"/>
            <w:tcBorders>
              <w:left w:val="single" w:color="auto" w:sz="4" w:space="0"/>
            </w:tcBorders>
          </w:tcPr>
          <w:p>
            <w:pPr>
              <w:spacing w:line="460" w:lineRule="atLeast"/>
              <w:rPr>
                <w:rFonts w:ascii="宋体" w:cs="宋体"/>
                <w:sz w:val="24"/>
              </w:rPr>
            </w:pPr>
            <w:r>
              <w:rPr>
                <w:rFonts w:hint="eastAsia" w:ascii="宋体" w:hAnsi="宋体" w:cs="宋体"/>
                <w:sz w:val="24"/>
              </w:rPr>
              <w:t>响应性文件份数</w:t>
            </w:r>
          </w:p>
        </w:tc>
        <w:tc>
          <w:tcPr>
            <w:tcW w:w="720" w:type="dxa"/>
            <w:vAlign w:val="center"/>
          </w:tcPr>
          <w:p>
            <w:pPr>
              <w:snapToGrid w:val="0"/>
              <w:jc w:val="center"/>
              <w:rPr>
                <w:rFonts w:ascii="宋体" w:cs="宋体"/>
                <w:kern w:val="0"/>
                <w:sz w:val="24"/>
              </w:rPr>
            </w:pPr>
          </w:p>
        </w:tc>
        <w:tc>
          <w:tcPr>
            <w:tcW w:w="1080" w:type="dxa"/>
            <w:vAlign w:val="center"/>
          </w:tcPr>
          <w:p>
            <w:pPr>
              <w:snapToGrid w:val="0"/>
              <w:jc w:val="center"/>
              <w:rPr>
                <w:rFonts w:ascii="宋体" w:cs="宋体"/>
                <w:kern w:val="0"/>
                <w:sz w:val="24"/>
              </w:rPr>
            </w:pPr>
          </w:p>
        </w:tc>
        <w:tc>
          <w:tcPr>
            <w:tcW w:w="1080" w:type="dxa"/>
            <w:vAlign w:val="center"/>
          </w:tcPr>
          <w:p>
            <w:pPr>
              <w:snapToGrid w:val="0"/>
              <w:jc w:val="center"/>
              <w:rPr>
                <w:rFonts w:ascii="宋体" w:cs="宋体"/>
                <w:kern w:val="0"/>
                <w:sz w:val="24"/>
              </w:rPr>
            </w:pPr>
          </w:p>
        </w:tc>
        <w:tc>
          <w:tcPr>
            <w:tcW w:w="1106" w:type="dxa"/>
            <w:vAlign w:val="center"/>
          </w:tcPr>
          <w:p>
            <w:pPr>
              <w:snapToGrid w:val="0"/>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088" w:type="dxa"/>
            <w:tcBorders>
              <w:right w:val="single" w:color="auto" w:sz="4" w:space="0"/>
            </w:tcBorders>
            <w:vAlign w:val="center"/>
          </w:tcPr>
          <w:p>
            <w:pPr>
              <w:snapToGrid w:val="0"/>
              <w:rPr>
                <w:rFonts w:ascii="宋体" w:cs="宋体"/>
                <w:kern w:val="0"/>
                <w:sz w:val="24"/>
              </w:rPr>
            </w:pPr>
            <w:r>
              <w:rPr>
                <w:rFonts w:hint="eastAsia" w:ascii="宋体" w:hAnsi="宋体" w:cs="宋体"/>
                <w:spacing w:val="-2"/>
                <w:sz w:val="24"/>
              </w:rPr>
              <w:t>质量要求</w:t>
            </w:r>
          </w:p>
        </w:tc>
        <w:tc>
          <w:tcPr>
            <w:tcW w:w="3780" w:type="dxa"/>
            <w:tcBorders>
              <w:left w:val="single" w:color="auto" w:sz="4" w:space="0"/>
            </w:tcBorders>
          </w:tcPr>
          <w:p>
            <w:pPr>
              <w:spacing w:line="460" w:lineRule="atLeast"/>
              <w:rPr>
                <w:rFonts w:ascii="宋体" w:cs="宋体"/>
                <w:sz w:val="24"/>
              </w:rPr>
            </w:pPr>
            <w:r>
              <w:rPr>
                <w:rFonts w:hint="eastAsia" w:ascii="宋体" w:hAnsi="宋体" w:cs="宋体"/>
                <w:kern w:val="0"/>
                <w:sz w:val="24"/>
              </w:rPr>
              <w:t>是否满足</w:t>
            </w:r>
            <w:r>
              <w:rPr>
                <w:rFonts w:hint="eastAsia" w:ascii="宋体" w:hAnsi="宋体"/>
                <w:sz w:val="24"/>
              </w:rPr>
              <w:t>竞争性谈判文件</w:t>
            </w:r>
          </w:p>
        </w:tc>
        <w:tc>
          <w:tcPr>
            <w:tcW w:w="720" w:type="dxa"/>
            <w:vAlign w:val="center"/>
          </w:tcPr>
          <w:p>
            <w:pPr>
              <w:snapToGrid w:val="0"/>
              <w:jc w:val="center"/>
              <w:rPr>
                <w:rFonts w:ascii="宋体" w:cs="宋体"/>
                <w:kern w:val="0"/>
                <w:sz w:val="24"/>
              </w:rPr>
            </w:pPr>
          </w:p>
        </w:tc>
        <w:tc>
          <w:tcPr>
            <w:tcW w:w="1080" w:type="dxa"/>
            <w:vAlign w:val="center"/>
          </w:tcPr>
          <w:p>
            <w:pPr>
              <w:snapToGrid w:val="0"/>
              <w:jc w:val="center"/>
              <w:rPr>
                <w:rFonts w:ascii="宋体" w:cs="宋体"/>
                <w:kern w:val="0"/>
                <w:sz w:val="24"/>
              </w:rPr>
            </w:pPr>
          </w:p>
        </w:tc>
        <w:tc>
          <w:tcPr>
            <w:tcW w:w="1080" w:type="dxa"/>
            <w:vAlign w:val="center"/>
          </w:tcPr>
          <w:p>
            <w:pPr>
              <w:snapToGrid w:val="0"/>
              <w:jc w:val="center"/>
              <w:rPr>
                <w:rFonts w:ascii="宋体" w:cs="宋体"/>
                <w:kern w:val="0"/>
                <w:sz w:val="24"/>
              </w:rPr>
            </w:pPr>
          </w:p>
        </w:tc>
        <w:tc>
          <w:tcPr>
            <w:tcW w:w="1106" w:type="dxa"/>
            <w:vAlign w:val="center"/>
          </w:tcPr>
          <w:p>
            <w:pPr>
              <w:snapToGrid w:val="0"/>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2088" w:type="dxa"/>
            <w:tcBorders>
              <w:right w:val="single" w:color="auto" w:sz="4" w:space="0"/>
            </w:tcBorders>
            <w:vAlign w:val="center"/>
          </w:tcPr>
          <w:p>
            <w:pPr>
              <w:snapToGrid w:val="0"/>
              <w:rPr>
                <w:rFonts w:ascii="宋体" w:cs="宋体"/>
                <w:kern w:val="0"/>
                <w:sz w:val="24"/>
              </w:rPr>
            </w:pPr>
            <w:r>
              <w:rPr>
                <w:rFonts w:hint="eastAsia" w:ascii="宋体" w:hAnsi="宋体" w:cs="宋体"/>
                <w:kern w:val="0"/>
                <w:sz w:val="24"/>
              </w:rPr>
              <w:t>付款条件和方式</w:t>
            </w:r>
          </w:p>
        </w:tc>
        <w:tc>
          <w:tcPr>
            <w:tcW w:w="3780" w:type="dxa"/>
            <w:tcBorders>
              <w:left w:val="single" w:color="auto" w:sz="4" w:space="0"/>
            </w:tcBorders>
            <w:vAlign w:val="center"/>
          </w:tcPr>
          <w:p>
            <w:pPr>
              <w:snapToGrid w:val="0"/>
              <w:rPr>
                <w:rFonts w:ascii="宋体" w:cs="宋体"/>
                <w:kern w:val="0"/>
                <w:sz w:val="24"/>
              </w:rPr>
            </w:pPr>
            <w:r>
              <w:rPr>
                <w:rFonts w:hint="eastAsia" w:ascii="宋体" w:hAnsi="宋体" w:cs="宋体"/>
                <w:kern w:val="0"/>
                <w:sz w:val="24"/>
              </w:rPr>
              <w:t>是否满足</w:t>
            </w:r>
            <w:r>
              <w:rPr>
                <w:rFonts w:hint="eastAsia" w:ascii="宋体" w:hAnsi="宋体"/>
                <w:sz w:val="24"/>
              </w:rPr>
              <w:t>竞争性谈判文件</w:t>
            </w:r>
          </w:p>
        </w:tc>
        <w:tc>
          <w:tcPr>
            <w:tcW w:w="720" w:type="dxa"/>
            <w:vAlign w:val="center"/>
          </w:tcPr>
          <w:p>
            <w:pPr>
              <w:snapToGrid w:val="0"/>
              <w:jc w:val="center"/>
              <w:rPr>
                <w:rFonts w:ascii="宋体" w:cs="宋体"/>
                <w:kern w:val="0"/>
                <w:sz w:val="24"/>
              </w:rPr>
            </w:pPr>
          </w:p>
        </w:tc>
        <w:tc>
          <w:tcPr>
            <w:tcW w:w="1080" w:type="dxa"/>
            <w:vAlign w:val="center"/>
          </w:tcPr>
          <w:p>
            <w:pPr>
              <w:snapToGrid w:val="0"/>
              <w:jc w:val="center"/>
              <w:rPr>
                <w:rFonts w:ascii="宋体" w:cs="宋体"/>
                <w:kern w:val="0"/>
                <w:sz w:val="24"/>
              </w:rPr>
            </w:pPr>
          </w:p>
        </w:tc>
        <w:tc>
          <w:tcPr>
            <w:tcW w:w="1080" w:type="dxa"/>
            <w:vAlign w:val="center"/>
          </w:tcPr>
          <w:p>
            <w:pPr>
              <w:snapToGrid w:val="0"/>
              <w:jc w:val="center"/>
              <w:rPr>
                <w:rFonts w:ascii="宋体" w:cs="宋体"/>
                <w:kern w:val="0"/>
                <w:sz w:val="24"/>
              </w:rPr>
            </w:pPr>
          </w:p>
        </w:tc>
        <w:tc>
          <w:tcPr>
            <w:tcW w:w="1106" w:type="dxa"/>
            <w:vAlign w:val="center"/>
          </w:tcPr>
          <w:p>
            <w:pPr>
              <w:snapToGrid w:val="0"/>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088" w:type="dxa"/>
            <w:tcBorders>
              <w:right w:val="single" w:color="auto" w:sz="4" w:space="0"/>
            </w:tcBorders>
            <w:vAlign w:val="center"/>
          </w:tcPr>
          <w:p>
            <w:pPr>
              <w:snapToGrid w:val="0"/>
              <w:rPr>
                <w:rFonts w:ascii="宋体" w:cs="宋体"/>
                <w:kern w:val="0"/>
                <w:sz w:val="24"/>
              </w:rPr>
            </w:pPr>
            <w:r>
              <w:rPr>
                <w:rFonts w:hint="eastAsia" w:ascii="宋体" w:hAnsi="宋体" w:cs="宋体"/>
                <w:kern w:val="0"/>
                <w:sz w:val="24"/>
              </w:rPr>
              <w:t>其它</w:t>
            </w:r>
          </w:p>
        </w:tc>
        <w:tc>
          <w:tcPr>
            <w:tcW w:w="3780" w:type="dxa"/>
            <w:tcBorders>
              <w:left w:val="single" w:color="auto" w:sz="4" w:space="0"/>
            </w:tcBorders>
            <w:vAlign w:val="center"/>
          </w:tcPr>
          <w:p>
            <w:pPr>
              <w:snapToGrid w:val="0"/>
              <w:rPr>
                <w:rFonts w:ascii="宋体" w:cs="宋体"/>
                <w:kern w:val="0"/>
                <w:sz w:val="24"/>
              </w:rPr>
            </w:pPr>
          </w:p>
        </w:tc>
        <w:tc>
          <w:tcPr>
            <w:tcW w:w="720" w:type="dxa"/>
            <w:vAlign w:val="center"/>
          </w:tcPr>
          <w:p>
            <w:pPr>
              <w:snapToGrid w:val="0"/>
              <w:jc w:val="center"/>
              <w:rPr>
                <w:rFonts w:ascii="宋体" w:cs="宋体"/>
                <w:kern w:val="0"/>
                <w:sz w:val="24"/>
              </w:rPr>
            </w:pPr>
          </w:p>
        </w:tc>
        <w:tc>
          <w:tcPr>
            <w:tcW w:w="1080" w:type="dxa"/>
            <w:vAlign w:val="center"/>
          </w:tcPr>
          <w:p>
            <w:pPr>
              <w:snapToGrid w:val="0"/>
              <w:jc w:val="center"/>
              <w:rPr>
                <w:rFonts w:ascii="宋体" w:cs="宋体"/>
                <w:kern w:val="0"/>
                <w:sz w:val="24"/>
              </w:rPr>
            </w:pPr>
          </w:p>
        </w:tc>
        <w:tc>
          <w:tcPr>
            <w:tcW w:w="1080" w:type="dxa"/>
            <w:vAlign w:val="center"/>
          </w:tcPr>
          <w:p>
            <w:pPr>
              <w:snapToGrid w:val="0"/>
              <w:jc w:val="center"/>
              <w:rPr>
                <w:rFonts w:ascii="宋体" w:cs="宋体"/>
                <w:kern w:val="0"/>
                <w:sz w:val="24"/>
              </w:rPr>
            </w:pPr>
          </w:p>
        </w:tc>
        <w:tc>
          <w:tcPr>
            <w:tcW w:w="1106" w:type="dxa"/>
            <w:vAlign w:val="center"/>
          </w:tcPr>
          <w:p>
            <w:pPr>
              <w:snapToGrid w:val="0"/>
              <w:rPr>
                <w:rFonts w:asci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2088" w:type="dxa"/>
            <w:tcBorders>
              <w:bottom w:val="single" w:color="auto" w:sz="12" w:space="0"/>
              <w:right w:val="single" w:color="auto" w:sz="4" w:space="0"/>
            </w:tcBorders>
            <w:vAlign w:val="center"/>
          </w:tcPr>
          <w:p>
            <w:pPr>
              <w:snapToGrid w:val="0"/>
              <w:rPr>
                <w:rFonts w:ascii="宋体" w:cs="宋体"/>
                <w:kern w:val="0"/>
                <w:sz w:val="24"/>
              </w:rPr>
            </w:pPr>
            <w:r>
              <w:rPr>
                <w:rFonts w:hint="eastAsia" w:ascii="宋体" w:hAnsi="宋体" w:cs="宋体"/>
                <w:kern w:val="0"/>
                <w:sz w:val="24"/>
              </w:rPr>
              <w:t>结论</w:t>
            </w:r>
          </w:p>
        </w:tc>
        <w:tc>
          <w:tcPr>
            <w:tcW w:w="3780" w:type="dxa"/>
            <w:tcBorders>
              <w:left w:val="single" w:color="auto" w:sz="4" w:space="0"/>
              <w:bottom w:val="single" w:color="auto" w:sz="12" w:space="0"/>
            </w:tcBorders>
            <w:vAlign w:val="center"/>
          </w:tcPr>
          <w:p>
            <w:pPr>
              <w:snapToGrid w:val="0"/>
              <w:rPr>
                <w:rFonts w:ascii="宋体" w:cs="宋体"/>
                <w:kern w:val="0"/>
                <w:sz w:val="24"/>
              </w:rPr>
            </w:pPr>
          </w:p>
        </w:tc>
        <w:tc>
          <w:tcPr>
            <w:tcW w:w="720" w:type="dxa"/>
            <w:tcBorders>
              <w:bottom w:val="single" w:color="auto" w:sz="12" w:space="0"/>
            </w:tcBorders>
            <w:vAlign w:val="center"/>
          </w:tcPr>
          <w:p>
            <w:pPr>
              <w:snapToGrid w:val="0"/>
              <w:rPr>
                <w:rFonts w:ascii="宋体" w:cs="宋体"/>
                <w:kern w:val="0"/>
                <w:sz w:val="24"/>
              </w:rPr>
            </w:pPr>
          </w:p>
        </w:tc>
        <w:tc>
          <w:tcPr>
            <w:tcW w:w="1080" w:type="dxa"/>
            <w:tcBorders>
              <w:bottom w:val="single" w:color="auto" w:sz="12" w:space="0"/>
            </w:tcBorders>
            <w:vAlign w:val="center"/>
          </w:tcPr>
          <w:p>
            <w:pPr>
              <w:snapToGrid w:val="0"/>
              <w:rPr>
                <w:rFonts w:ascii="宋体" w:cs="宋体"/>
                <w:kern w:val="0"/>
                <w:sz w:val="24"/>
              </w:rPr>
            </w:pPr>
          </w:p>
        </w:tc>
        <w:tc>
          <w:tcPr>
            <w:tcW w:w="1080" w:type="dxa"/>
            <w:tcBorders>
              <w:bottom w:val="single" w:color="auto" w:sz="12" w:space="0"/>
            </w:tcBorders>
            <w:vAlign w:val="center"/>
          </w:tcPr>
          <w:p>
            <w:pPr>
              <w:snapToGrid w:val="0"/>
              <w:rPr>
                <w:rFonts w:ascii="宋体" w:cs="宋体"/>
                <w:kern w:val="0"/>
                <w:sz w:val="24"/>
              </w:rPr>
            </w:pPr>
          </w:p>
        </w:tc>
        <w:tc>
          <w:tcPr>
            <w:tcW w:w="1106" w:type="dxa"/>
            <w:tcBorders>
              <w:bottom w:val="single" w:color="auto" w:sz="12" w:space="0"/>
            </w:tcBorders>
            <w:vAlign w:val="center"/>
          </w:tcPr>
          <w:p>
            <w:pPr>
              <w:snapToGrid w:val="0"/>
              <w:rPr>
                <w:rFonts w:ascii="宋体" w:cs="宋体"/>
                <w:kern w:val="0"/>
                <w:sz w:val="24"/>
              </w:rPr>
            </w:pPr>
          </w:p>
        </w:tc>
      </w:tr>
    </w:tbl>
    <w:p>
      <w:pPr>
        <w:snapToGrid w:val="0"/>
        <w:rPr>
          <w:rFonts w:ascii="宋体" w:cs="宋体"/>
          <w:kern w:val="0"/>
          <w:sz w:val="24"/>
        </w:rPr>
      </w:pPr>
    </w:p>
    <w:p>
      <w:pPr>
        <w:snapToGrid w:val="0"/>
        <w:rPr>
          <w:rFonts w:ascii="宋体" w:cs="宋体"/>
          <w:kern w:val="0"/>
          <w:sz w:val="24"/>
        </w:rPr>
      </w:pPr>
      <w:r>
        <w:rPr>
          <w:rFonts w:hint="eastAsia" w:ascii="宋体" w:hAnsi="宋体" w:cs="宋体"/>
          <w:kern w:val="0"/>
          <w:sz w:val="24"/>
        </w:rPr>
        <w:t>注：在结论栏中填写“合格”或“不合格”。</w:t>
      </w:r>
    </w:p>
    <w:p>
      <w:pPr>
        <w:spacing w:line="440" w:lineRule="exact"/>
        <w:ind w:firstLine="472" w:firstLineChars="200"/>
        <w:rPr>
          <w:rFonts w:ascii="宋体" w:cs="宋体"/>
          <w:spacing w:val="-2"/>
          <w:sz w:val="24"/>
        </w:rPr>
      </w:pPr>
      <w:r>
        <w:rPr>
          <w:rFonts w:hint="eastAsia" w:ascii="宋体" w:hAnsi="宋体" w:cs="宋体"/>
          <w:spacing w:val="-2"/>
          <w:sz w:val="24"/>
        </w:rPr>
        <w:t>响应性文件通过商务标详细评审，则进入下一步（技术标）详细评审阶段，未通过商务标审查的企业，其投标作为无效标，不进入技术标评审阶段。</w:t>
      </w:r>
    </w:p>
    <w:p>
      <w:pPr>
        <w:tabs>
          <w:tab w:val="left" w:pos="2880"/>
        </w:tabs>
        <w:spacing w:line="460" w:lineRule="atLeast"/>
        <w:jc w:val="center"/>
        <w:rPr>
          <w:rFonts w:ascii="宋体" w:cs="宋体"/>
          <w:b/>
          <w:bCs/>
          <w:sz w:val="32"/>
          <w:szCs w:val="32"/>
        </w:rPr>
      </w:pPr>
    </w:p>
    <w:p>
      <w:pPr>
        <w:snapToGrid w:val="0"/>
        <w:ind w:firstLine="3969" w:firstLineChars="1341"/>
        <w:rPr>
          <w:rFonts w:ascii="宋体" w:cs="宋体"/>
          <w:spacing w:val="-2"/>
          <w:sz w:val="30"/>
          <w:szCs w:val="30"/>
        </w:rPr>
      </w:pPr>
      <w:r>
        <w:rPr>
          <w:rFonts w:hint="eastAsia" w:ascii="宋体" w:hAnsi="宋体" w:cs="宋体"/>
          <w:spacing w:val="-2"/>
          <w:sz w:val="30"/>
          <w:szCs w:val="30"/>
        </w:rPr>
        <w:t>技术参数响应审查表</w:t>
      </w:r>
    </w:p>
    <w:tbl>
      <w:tblPr>
        <w:tblStyle w:val="23"/>
        <w:tblW w:w="9520" w:type="dxa"/>
        <w:tblInd w:w="93" w:type="dxa"/>
        <w:tblLayout w:type="fixed"/>
        <w:tblCellMar>
          <w:top w:w="0" w:type="dxa"/>
          <w:left w:w="108" w:type="dxa"/>
          <w:bottom w:w="0" w:type="dxa"/>
          <w:right w:w="108" w:type="dxa"/>
        </w:tblCellMar>
      </w:tblPr>
      <w:tblGrid>
        <w:gridCol w:w="460"/>
        <w:gridCol w:w="2860"/>
        <w:gridCol w:w="1960"/>
        <w:gridCol w:w="2400"/>
        <w:gridCol w:w="1840"/>
      </w:tblGrid>
      <w:tr>
        <w:tblPrEx>
          <w:tblCellMar>
            <w:top w:w="0" w:type="dxa"/>
            <w:left w:w="108" w:type="dxa"/>
            <w:bottom w:w="0" w:type="dxa"/>
            <w:right w:w="108" w:type="dxa"/>
          </w:tblCellMar>
        </w:tblPrEx>
        <w:trPr>
          <w:trHeight w:val="615" w:hRule="atLeast"/>
        </w:trPr>
        <w:tc>
          <w:tcPr>
            <w:tcW w:w="460" w:type="dxa"/>
            <w:vMerge w:val="restart"/>
            <w:tcBorders>
              <w:top w:val="single" w:color="auto" w:sz="4" w:space="0"/>
              <w:left w:val="single" w:color="auto" w:sz="4" w:space="0"/>
              <w:bottom w:val="single" w:color="000000"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参数</w:t>
            </w:r>
          </w:p>
        </w:tc>
        <w:tc>
          <w:tcPr>
            <w:tcW w:w="2860" w:type="dxa"/>
            <w:tcBorders>
              <w:top w:val="single" w:color="auto" w:sz="4" w:space="0"/>
              <w:left w:val="nil"/>
              <w:bottom w:val="single" w:color="auto" w:sz="4" w:space="0"/>
              <w:right w:val="single" w:color="auto" w:sz="4" w:space="0"/>
            </w:tcBorders>
            <w:vAlign w:val="center"/>
          </w:tcPr>
          <w:p>
            <w:pPr>
              <w:snapToGrid w:val="0"/>
              <w:jc w:val="center"/>
              <w:rPr>
                <w:rFonts w:ascii="宋体" w:cs="宋体"/>
                <w:kern w:val="0"/>
                <w:sz w:val="24"/>
              </w:rPr>
            </w:pPr>
            <w:r>
              <w:rPr>
                <w:rFonts w:hint="eastAsia" w:ascii="宋体" w:hAnsi="宋体" w:cs="宋体"/>
                <w:kern w:val="0"/>
                <w:sz w:val="24"/>
              </w:rPr>
              <w:t>投标单位名称</w:t>
            </w:r>
          </w:p>
        </w:tc>
        <w:tc>
          <w:tcPr>
            <w:tcW w:w="1960" w:type="dxa"/>
            <w:tcBorders>
              <w:top w:val="single" w:color="auto" w:sz="4" w:space="0"/>
              <w:left w:val="nil"/>
              <w:bottom w:val="single" w:color="auto" w:sz="4" w:space="0"/>
              <w:right w:val="single" w:color="auto" w:sz="4" w:space="0"/>
            </w:tcBorders>
            <w:vAlign w:val="center"/>
          </w:tcPr>
          <w:p>
            <w:pPr>
              <w:snapToGrid w:val="0"/>
              <w:jc w:val="center"/>
              <w:rPr>
                <w:rFonts w:ascii="宋体" w:cs="宋体"/>
                <w:kern w:val="0"/>
                <w:sz w:val="24"/>
              </w:rPr>
            </w:pPr>
            <w:r>
              <w:rPr>
                <w:rFonts w:hint="eastAsia" w:ascii="宋体" w:hAnsi="宋体" w:cs="宋体"/>
                <w:kern w:val="0"/>
                <w:sz w:val="24"/>
              </w:rPr>
              <w:t>响应性文件技术参数</w:t>
            </w:r>
          </w:p>
        </w:tc>
        <w:tc>
          <w:tcPr>
            <w:tcW w:w="2400" w:type="dxa"/>
            <w:tcBorders>
              <w:top w:val="single" w:color="auto" w:sz="4" w:space="0"/>
              <w:left w:val="nil"/>
              <w:bottom w:val="single" w:color="auto" w:sz="4" w:space="0"/>
              <w:right w:val="single" w:color="auto" w:sz="4" w:space="0"/>
            </w:tcBorders>
            <w:vAlign w:val="center"/>
          </w:tcPr>
          <w:p>
            <w:pPr>
              <w:snapToGrid w:val="0"/>
              <w:jc w:val="center"/>
              <w:rPr>
                <w:rFonts w:ascii="宋体" w:cs="宋体"/>
                <w:kern w:val="0"/>
                <w:sz w:val="24"/>
              </w:rPr>
            </w:pPr>
            <w:r>
              <w:rPr>
                <w:rFonts w:hint="eastAsia" w:ascii="宋体" w:hAnsi="宋体" w:cs="宋体"/>
                <w:kern w:val="0"/>
                <w:sz w:val="24"/>
              </w:rPr>
              <w:t>评议（是否符合竞争性谈判文件技术要求）</w:t>
            </w:r>
          </w:p>
        </w:tc>
        <w:tc>
          <w:tcPr>
            <w:tcW w:w="1840" w:type="dxa"/>
            <w:tcBorders>
              <w:top w:val="single" w:color="auto" w:sz="4" w:space="0"/>
              <w:left w:val="nil"/>
              <w:bottom w:val="single" w:color="auto" w:sz="4" w:space="0"/>
              <w:right w:val="single" w:color="auto" w:sz="4" w:space="0"/>
            </w:tcBorders>
            <w:vAlign w:val="center"/>
          </w:tcPr>
          <w:p>
            <w:pPr>
              <w:snapToGrid w:val="0"/>
              <w:jc w:val="center"/>
              <w:rPr>
                <w:rFonts w:ascii="宋体" w:cs="宋体"/>
                <w:kern w:val="0"/>
                <w:sz w:val="24"/>
              </w:rPr>
            </w:pPr>
            <w:r>
              <w:rPr>
                <w:rFonts w:hint="eastAsia" w:ascii="宋体" w:hAnsi="宋体" w:cs="宋体"/>
                <w:kern w:val="0"/>
                <w:sz w:val="24"/>
              </w:rPr>
              <w:t>结论</w:t>
            </w:r>
          </w:p>
        </w:tc>
      </w:tr>
      <w:tr>
        <w:tblPrEx>
          <w:tblCellMar>
            <w:top w:w="0" w:type="dxa"/>
            <w:left w:w="108" w:type="dxa"/>
            <w:bottom w:w="0" w:type="dxa"/>
            <w:right w:w="108" w:type="dxa"/>
          </w:tblCellMar>
        </w:tblPrEx>
        <w:trPr>
          <w:trHeight w:val="1005" w:hRule="atLeast"/>
        </w:trPr>
        <w:tc>
          <w:tcPr>
            <w:tcW w:w="460" w:type="dxa"/>
            <w:vMerge w:val="continue"/>
            <w:tcBorders>
              <w:top w:val="single" w:color="auto" w:sz="4" w:space="0"/>
              <w:left w:val="single" w:color="auto" w:sz="4" w:space="0"/>
              <w:bottom w:val="single" w:color="000000" w:sz="4" w:space="0"/>
              <w:right w:val="single" w:color="auto" w:sz="4" w:space="0"/>
            </w:tcBorders>
            <w:vAlign w:val="center"/>
          </w:tcPr>
          <w:p>
            <w:pPr>
              <w:snapToGrid w:val="0"/>
              <w:rPr>
                <w:rFonts w:ascii="宋体" w:cs="宋体"/>
                <w:kern w:val="0"/>
                <w:sz w:val="24"/>
              </w:rPr>
            </w:pPr>
          </w:p>
        </w:tc>
        <w:tc>
          <w:tcPr>
            <w:tcW w:w="286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　</w:t>
            </w:r>
          </w:p>
        </w:tc>
        <w:tc>
          <w:tcPr>
            <w:tcW w:w="196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详见响应性文件</w:t>
            </w:r>
          </w:p>
        </w:tc>
        <w:tc>
          <w:tcPr>
            <w:tcW w:w="240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　</w:t>
            </w:r>
          </w:p>
        </w:tc>
      </w:tr>
      <w:tr>
        <w:trPr>
          <w:trHeight w:val="1005" w:hRule="atLeast"/>
        </w:trPr>
        <w:tc>
          <w:tcPr>
            <w:tcW w:w="460" w:type="dxa"/>
            <w:vMerge w:val="continue"/>
            <w:tcBorders>
              <w:top w:val="single" w:color="auto" w:sz="4" w:space="0"/>
              <w:left w:val="single" w:color="auto" w:sz="4" w:space="0"/>
              <w:bottom w:val="single" w:color="000000" w:sz="4" w:space="0"/>
              <w:right w:val="single" w:color="auto" w:sz="4" w:space="0"/>
            </w:tcBorders>
            <w:vAlign w:val="center"/>
          </w:tcPr>
          <w:p>
            <w:pPr>
              <w:snapToGrid w:val="0"/>
              <w:rPr>
                <w:rFonts w:ascii="宋体" w:cs="宋体"/>
                <w:kern w:val="0"/>
                <w:sz w:val="24"/>
              </w:rPr>
            </w:pPr>
          </w:p>
        </w:tc>
        <w:tc>
          <w:tcPr>
            <w:tcW w:w="286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　</w:t>
            </w:r>
          </w:p>
        </w:tc>
        <w:tc>
          <w:tcPr>
            <w:tcW w:w="196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详见响应性文件</w:t>
            </w:r>
          </w:p>
        </w:tc>
        <w:tc>
          <w:tcPr>
            <w:tcW w:w="240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05" w:hRule="atLeast"/>
        </w:trPr>
        <w:tc>
          <w:tcPr>
            <w:tcW w:w="460" w:type="dxa"/>
            <w:vMerge w:val="continue"/>
            <w:tcBorders>
              <w:top w:val="single" w:color="auto" w:sz="4" w:space="0"/>
              <w:left w:val="single" w:color="auto" w:sz="4" w:space="0"/>
              <w:bottom w:val="single" w:color="000000" w:sz="4" w:space="0"/>
              <w:right w:val="single" w:color="auto" w:sz="4" w:space="0"/>
            </w:tcBorders>
            <w:vAlign w:val="center"/>
          </w:tcPr>
          <w:p>
            <w:pPr>
              <w:snapToGrid w:val="0"/>
              <w:rPr>
                <w:rFonts w:ascii="宋体" w:cs="宋体"/>
                <w:kern w:val="0"/>
                <w:sz w:val="24"/>
              </w:rPr>
            </w:pPr>
          </w:p>
        </w:tc>
        <w:tc>
          <w:tcPr>
            <w:tcW w:w="286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　</w:t>
            </w:r>
          </w:p>
        </w:tc>
        <w:tc>
          <w:tcPr>
            <w:tcW w:w="1960" w:type="dxa"/>
            <w:tcBorders>
              <w:top w:val="nil"/>
              <w:left w:val="nil"/>
              <w:bottom w:val="single" w:color="auto" w:sz="4" w:space="0"/>
              <w:right w:val="single" w:color="auto" w:sz="4" w:space="0"/>
            </w:tcBorders>
            <w:vAlign w:val="center"/>
          </w:tcPr>
          <w:p>
            <w:pPr>
              <w:snapToGrid w:val="0"/>
              <w:jc w:val="center"/>
              <w:rPr>
                <w:rFonts w:ascii="宋体" w:cs="宋体"/>
                <w:kern w:val="0"/>
                <w:sz w:val="24"/>
              </w:rPr>
            </w:pPr>
            <w:r>
              <w:rPr>
                <w:rFonts w:hint="eastAsia" w:ascii="宋体" w:hAnsi="宋体" w:cs="宋体"/>
                <w:kern w:val="0"/>
                <w:sz w:val="24"/>
              </w:rPr>
              <w:t>……</w:t>
            </w:r>
          </w:p>
        </w:tc>
        <w:tc>
          <w:tcPr>
            <w:tcW w:w="240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　</w:t>
            </w:r>
          </w:p>
        </w:tc>
        <w:tc>
          <w:tcPr>
            <w:tcW w:w="1840" w:type="dxa"/>
            <w:tcBorders>
              <w:top w:val="nil"/>
              <w:left w:val="nil"/>
              <w:bottom w:val="single" w:color="auto" w:sz="4" w:space="0"/>
              <w:right w:val="single" w:color="auto" w:sz="4" w:space="0"/>
            </w:tcBorders>
            <w:vAlign w:val="center"/>
          </w:tcPr>
          <w:p>
            <w:pPr>
              <w:snapToGrid w:val="0"/>
              <w:rPr>
                <w:rFonts w:ascii="宋体" w:cs="宋体"/>
                <w:kern w:val="0"/>
                <w:sz w:val="24"/>
              </w:rPr>
            </w:pPr>
            <w:r>
              <w:rPr>
                <w:rFonts w:hint="eastAsia" w:ascii="宋体" w:hAnsi="宋体" w:cs="宋体"/>
                <w:kern w:val="0"/>
                <w:sz w:val="24"/>
              </w:rPr>
              <w:t>　</w:t>
            </w:r>
          </w:p>
        </w:tc>
      </w:tr>
    </w:tbl>
    <w:p>
      <w:pPr>
        <w:shd w:val="clear" w:color="auto" w:fill="FFFFFF"/>
        <w:spacing w:line="440" w:lineRule="exact"/>
        <w:jc w:val="left"/>
        <w:rPr>
          <w:rFonts w:ascii="宋体" w:cs="宋体"/>
          <w:kern w:val="0"/>
          <w:sz w:val="24"/>
        </w:rPr>
      </w:pPr>
      <w:r>
        <w:rPr>
          <w:rFonts w:hint="eastAsia" w:ascii="宋体" w:hAnsi="宋体" w:cs="宋体"/>
          <w:kern w:val="0"/>
          <w:sz w:val="24"/>
        </w:rPr>
        <w:t>注：</w:t>
      </w:r>
      <w:r>
        <w:rPr>
          <w:rFonts w:ascii="宋体" w:hAnsi="宋体" w:cs="宋体"/>
          <w:kern w:val="0"/>
          <w:sz w:val="24"/>
        </w:rPr>
        <w:t>1</w:t>
      </w:r>
      <w:r>
        <w:rPr>
          <w:rFonts w:hint="eastAsia" w:ascii="宋体" w:hAnsi="宋体" w:cs="宋体"/>
          <w:kern w:val="0"/>
          <w:sz w:val="24"/>
        </w:rPr>
        <w:t>、“评议”栏中填写“符合”或“不符合”。</w:t>
      </w:r>
    </w:p>
    <w:p>
      <w:pPr>
        <w:shd w:val="clear" w:color="auto" w:fill="FFFFFF"/>
        <w:spacing w:line="440" w:lineRule="exact"/>
        <w:ind w:firstLine="480" w:firstLineChars="200"/>
        <w:jc w:val="left"/>
        <w:rPr>
          <w:rFonts w:ascii="宋体" w:cs="宋体"/>
          <w:kern w:val="0"/>
          <w:sz w:val="24"/>
        </w:rPr>
      </w:pPr>
      <w:r>
        <w:rPr>
          <w:rFonts w:ascii="宋体" w:hAnsi="宋体" w:cs="宋体"/>
          <w:kern w:val="0"/>
          <w:sz w:val="24"/>
        </w:rPr>
        <w:t>2</w:t>
      </w:r>
      <w:r>
        <w:rPr>
          <w:rFonts w:hint="eastAsia" w:ascii="宋体" w:hAnsi="宋体" w:cs="宋体"/>
          <w:kern w:val="0"/>
          <w:sz w:val="24"/>
        </w:rPr>
        <w:t>、“结论”栏中填写“合格”或“不合格”。</w:t>
      </w:r>
    </w:p>
    <w:p>
      <w:pPr>
        <w:shd w:val="clear" w:color="auto" w:fill="FFFFFF"/>
        <w:spacing w:line="440" w:lineRule="exact"/>
        <w:ind w:firstLine="480" w:firstLineChars="200"/>
        <w:jc w:val="left"/>
        <w:rPr>
          <w:rFonts w:ascii="宋体" w:cs="宋体"/>
          <w:kern w:val="0"/>
          <w:sz w:val="24"/>
        </w:rPr>
      </w:pPr>
      <w:r>
        <w:rPr>
          <w:rFonts w:ascii="宋体" w:hAnsi="宋体" w:cs="宋体"/>
          <w:kern w:val="0"/>
          <w:sz w:val="24"/>
        </w:rPr>
        <w:t>3</w:t>
      </w:r>
      <w:r>
        <w:rPr>
          <w:rFonts w:hint="eastAsia" w:ascii="宋体" w:hAnsi="宋体" w:cs="宋体"/>
          <w:kern w:val="0"/>
          <w:sz w:val="24"/>
        </w:rPr>
        <w:t>、凡有一项参数不符合者，其结论即为“不合格”。</w:t>
      </w:r>
    </w:p>
    <w:p>
      <w:pPr>
        <w:shd w:val="clear" w:color="auto" w:fill="FFFFFF"/>
        <w:spacing w:line="440" w:lineRule="exact"/>
        <w:ind w:firstLine="480" w:firstLineChars="200"/>
        <w:jc w:val="left"/>
        <w:rPr>
          <w:rFonts w:ascii="宋体" w:cs="宋体"/>
          <w:kern w:val="0"/>
          <w:sz w:val="24"/>
        </w:rPr>
      </w:pPr>
    </w:p>
    <w:p>
      <w:pPr>
        <w:spacing w:line="440" w:lineRule="exact"/>
        <w:ind w:firstLine="472" w:firstLineChars="200"/>
        <w:rPr>
          <w:rFonts w:ascii="宋体" w:cs="宋体"/>
          <w:spacing w:val="-2"/>
          <w:sz w:val="24"/>
        </w:rPr>
      </w:pPr>
      <w:r>
        <w:rPr>
          <w:rFonts w:hint="eastAsia" w:ascii="宋体" w:hAnsi="宋体" w:cs="宋体"/>
          <w:spacing w:val="-2"/>
          <w:sz w:val="24"/>
        </w:rPr>
        <w:t>（技术标）详细评审阶段，对通过技术标审查的企业，根据其投标最终报价由低到高的顺序提出</w:t>
      </w:r>
      <w:r>
        <w:rPr>
          <w:rFonts w:ascii="宋体" w:hAnsi="宋体" w:cs="宋体"/>
          <w:spacing w:val="-2"/>
          <w:sz w:val="24"/>
        </w:rPr>
        <w:t>3</w:t>
      </w:r>
      <w:r>
        <w:rPr>
          <w:rFonts w:hint="eastAsia" w:ascii="宋体" w:hAnsi="宋体" w:cs="宋体"/>
          <w:spacing w:val="-2"/>
          <w:sz w:val="24"/>
        </w:rPr>
        <w:t>名成交候选人；未通过技术标审查的企业，其投标作为无效标。</w:t>
      </w:r>
    </w:p>
    <w:p>
      <w:pPr>
        <w:spacing w:beforeLines="100" w:afterLines="100" w:line="460" w:lineRule="atLeast"/>
        <w:ind w:left="540" w:leftChars="257"/>
        <w:rPr>
          <w:rFonts w:ascii="宋体" w:cs="宋体"/>
          <w:b/>
          <w:kern w:val="0"/>
          <w:sz w:val="24"/>
          <w:u w:val="single"/>
        </w:rPr>
      </w:pPr>
      <w:r>
        <w:rPr>
          <w:rFonts w:hint="eastAsia" w:ascii="宋体" w:hAnsi="宋体" w:cs="宋体"/>
          <w:b/>
          <w:kern w:val="0"/>
          <w:sz w:val="24"/>
          <w:u w:val="single"/>
        </w:rPr>
        <w:t>备注：为方便评标专家的比对，请投标企业在（附件六）规格、技术参数偏离表中对所投服务进行详细描述。</w:t>
      </w:r>
    </w:p>
    <w:p>
      <w:pPr>
        <w:tabs>
          <w:tab w:val="left" w:pos="0"/>
        </w:tabs>
        <w:adjustRightInd w:val="0"/>
        <w:snapToGri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eastAsia="zh-CN"/>
        </w:rPr>
        <w:t>谈判小组</w:t>
      </w:r>
      <w:r>
        <w:rPr>
          <w:rFonts w:hint="eastAsia" w:ascii="宋体" w:hAnsi="宋体" w:cs="宋体"/>
          <w:color w:val="auto"/>
          <w:kern w:val="0"/>
          <w:sz w:val="24"/>
          <w:highlight w:val="none"/>
        </w:rPr>
        <w:t>将根据政府采购政策支持中小企业政策对最后报价进行价格折扣，折扣的价格将作为评审价格。</w:t>
      </w:r>
    </w:p>
    <w:p>
      <w:pPr>
        <w:tabs>
          <w:tab w:val="left" w:pos="0"/>
        </w:tabs>
        <w:adjustRightInd w:val="0"/>
        <w:snapToGrid w:val="0"/>
        <w:spacing w:line="440" w:lineRule="exact"/>
        <w:rPr>
          <w:rFonts w:ascii="宋体" w:hAnsi="宋体"/>
          <w:color w:val="auto"/>
          <w:sz w:val="24"/>
          <w:highlight w:val="none"/>
        </w:rPr>
      </w:pPr>
      <w:r>
        <w:rPr>
          <w:rFonts w:hint="eastAsia" w:ascii="宋体" w:hAnsi="宋体"/>
          <w:color w:val="auto"/>
          <w:kern w:val="0"/>
          <w:sz w:val="24"/>
          <w:highlight w:val="none"/>
        </w:rPr>
        <w:t>（1）</w:t>
      </w:r>
      <w:r>
        <w:rPr>
          <w:rFonts w:hint="eastAsia" w:ascii="宋体" w:hAnsi="宋体" w:cs="宋体"/>
          <w:color w:val="auto"/>
          <w:kern w:val="0"/>
          <w:sz w:val="24"/>
          <w:highlight w:val="none"/>
        </w:rPr>
        <w:t>节能产品及环保产品</w:t>
      </w:r>
      <w:r>
        <w:rPr>
          <w:rFonts w:hint="eastAsia" w:ascii="宋体" w:hAnsi="宋体"/>
          <w:color w:val="auto"/>
          <w:sz w:val="24"/>
          <w:highlight w:val="none"/>
        </w:rPr>
        <w:t>价格折扣比例及方法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pPr>
              <w:adjustRightInd w:val="0"/>
              <w:snapToGrid w:val="0"/>
              <w:spacing w:line="44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1807" w:type="dxa"/>
            <w:tcBorders>
              <w:top w:val="single" w:color="auto" w:sz="4" w:space="0"/>
            </w:tcBorders>
            <w:noWrap w:val="0"/>
            <w:vAlign w:val="center"/>
          </w:tcPr>
          <w:p>
            <w:pPr>
              <w:adjustRightInd w:val="0"/>
              <w:snapToGrid w:val="0"/>
              <w:spacing w:line="440" w:lineRule="exact"/>
              <w:jc w:val="center"/>
              <w:rPr>
                <w:rFonts w:ascii="宋体" w:hAnsi="宋体"/>
                <w:b/>
                <w:color w:val="auto"/>
                <w:sz w:val="24"/>
                <w:highlight w:val="none"/>
              </w:rPr>
            </w:pPr>
            <w:r>
              <w:rPr>
                <w:rFonts w:hint="eastAsia" w:ascii="宋体" w:hAnsi="宋体"/>
                <w:b/>
                <w:color w:val="auto"/>
                <w:sz w:val="24"/>
                <w:highlight w:val="none"/>
              </w:rPr>
              <w:t>项目</w:t>
            </w:r>
          </w:p>
        </w:tc>
        <w:tc>
          <w:tcPr>
            <w:tcW w:w="7203" w:type="dxa"/>
            <w:tcBorders>
              <w:top w:val="single" w:color="auto" w:sz="4" w:space="0"/>
            </w:tcBorders>
            <w:noWrap w:val="0"/>
            <w:vAlign w:val="center"/>
          </w:tcPr>
          <w:p>
            <w:pPr>
              <w:adjustRightInd w:val="0"/>
              <w:snapToGrid w:val="0"/>
              <w:spacing w:line="440" w:lineRule="exact"/>
              <w:jc w:val="center"/>
              <w:rPr>
                <w:rFonts w:ascii="宋体" w:hAnsi="宋体"/>
                <w:b/>
                <w:color w:val="auto"/>
                <w:sz w:val="24"/>
                <w:highlight w:val="none"/>
              </w:rPr>
            </w:pPr>
            <w:r>
              <w:rPr>
                <w:rFonts w:hint="eastAsia" w:ascii="宋体" w:hAnsi="宋体"/>
                <w:b/>
                <w:color w:val="auto"/>
                <w:sz w:val="24"/>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pPr>
              <w:adjustRightInd w:val="0"/>
              <w:snapToGrid w:val="0"/>
              <w:spacing w:line="440" w:lineRule="exact"/>
              <w:jc w:val="center"/>
              <w:rPr>
                <w:rFonts w:ascii="宋体" w:hAnsi="宋体"/>
                <w:color w:val="auto"/>
                <w:sz w:val="24"/>
                <w:highlight w:val="none"/>
              </w:rPr>
            </w:pPr>
            <w:r>
              <w:rPr>
                <w:rFonts w:ascii="宋体" w:hAnsi="宋体"/>
                <w:color w:val="auto"/>
                <w:sz w:val="24"/>
                <w:highlight w:val="none"/>
              </w:rPr>
              <w:t>1</w:t>
            </w:r>
          </w:p>
        </w:tc>
        <w:tc>
          <w:tcPr>
            <w:tcW w:w="1807" w:type="dxa"/>
            <w:noWrap w:val="0"/>
            <w:vAlign w:val="center"/>
          </w:tcPr>
          <w:p>
            <w:pPr>
              <w:adjustRightInd w:val="0"/>
              <w:snapToGrid w:val="0"/>
              <w:spacing w:line="440" w:lineRule="exact"/>
              <w:jc w:val="center"/>
              <w:rPr>
                <w:rFonts w:ascii="宋体" w:hAnsi="宋体"/>
                <w:color w:val="auto"/>
                <w:sz w:val="24"/>
                <w:highlight w:val="none"/>
              </w:rPr>
            </w:pPr>
            <w:r>
              <w:rPr>
                <w:rFonts w:hint="eastAsia" w:ascii="宋体" w:hAnsi="宋体"/>
                <w:color w:val="auto"/>
                <w:sz w:val="24"/>
                <w:highlight w:val="none"/>
              </w:rPr>
              <w:t>节能产品</w:t>
            </w:r>
          </w:p>
        </w:tc>
        <w:tc>
          <w:tcPr>
            <w:tcW w:w="7203" w:type="dxa"/>
            <w:noWrap w:val="0"/>
            <w:vAlign w:val="center"/>
          </w:tcPr>
          <w:p>
            <w:pPr>
              <w:spacing w:line="440" w:lineRule="exact"/>
              <w:rPr>
                <w:rFonts w:ascii="宋体" w:hAnsi="宋体"/>
                <w:color w:val="auto"/>
                <w:sz w:val="24"/>
                <w:highlight w:val="none"/>
              </w:rPr>
            </w:pPr>
            <w:r>
              <w:rPr>
                <w:rFonts w:hint="eastAsia" w:ascii="宋体" w:hAnsi="宋体" w:cs="宋体"/>
                <w:color w:val="auto"/>
                <w:sz w:val="24"/>
                <w:highlight w:val="none"/>
              </w:rPr>
              <w:t>折扣金额</w:t>
            </w:r>
            <w:r>
              <w:rPr>
                <w:rFonts w:ascii="宋体" w:hAnsi="宋体" w:cs="宋体"/>
                <w:color w:val="auto"/>
                <w:sz w:val="24"/>
                <w:highlight w:val="none"/>
              </w:rPr>
              <w:t>=</w:t>
            </w:r>
            <w:r>
              <w:rPr>
                <w:rFonts w:hint="eastAsia" w:ascii="宋体" w:hAnsi="宋体"/>
                <w:color w:val="auto"/>
                <w:sz w:val="24"/>
                <w:highlight w:val="none"/>
              </w:rPr>
              <w:t>（节能清单部分产品的价格</w:t>
            </w:r>
            <w:r>
              <w:rPr>
                <w:rFonts w:ascii="宋体" w:hAnsi="宋体"/>
                <w:color w:val="auto"/>
                <w:sz w:val="24"/>
                <w:highlight w:val="none"/>
              </w:rPr>
              <w:t>/</w:t>
            </w:r>
            <w:r>
              <w:rPr>
                <w:rFonts w:hint="eastAsia" w:ascii="宋体" w:hAnsi="宋体"/>
                <w:color w:val="auto"/>
                <w:sz w:val="24"/>
                <w:highlight w:val="none"/>
              </w:rPr>
              <w:t>首次报价）×</w:t>
            </w:r>
            <w:r>
              <w:rPr>
                <w:rFonts w:ascii="宋体" w:hAnsi="宋体"/>
                <w:color w:val="auto"/>
                <w:sz w:val="24"/>
                <w:highlight w:val="none"/>
              </w:rPr>
              <w:t>3%</w:t>
            </w:r>
            <w:r>
              <w:rPr>
                <w:rFonts w:hint="eastAsia" w:ascii="宋体" w:hAnsi="宋体"/>
                <w:color w:val="auto"/>
                <w:sz w:val="24"/>
                <w:highlight w:val="none"/>
              </w:rPr>
              <w:t>×</w:t>
            </w:r>
            <w:r>
              <w:rPr>
                <w:rFonts w:hint="eastAsia" w:ascii="宋体" w:hAnsi="宋体" w:cs="宋体"/>
                <w:color w:val="auto"/>
                <w:sz w:val="24"/>
                <w:highlight w:val="none"/>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pPr>
              <w:adjustRightInd w:val="0"/>
              <w:snapToGrid w:val="0"/>
              <w:spacing w:line="440" w:lineRule="exact"/>
              <w:jc w:val="center"/>
              <w:rPr>
                <w:rFonts w:ascii="宋体" w:hAnsi="宋体"/>
                <w:color w:val="auto"/>
                <w:sz w:val="24"/>
                <w:highlight w:val="none"/>
              </w:rPr>
            </w:pPr>
            <w:r>
              <w:rPr>
                <w:rFonts w:ascii="宋体" w:hAnsi="宋体"/>
                <w:color w:val="auto"/>
                <w:sz w:val="24"/>
                <w:highlight w:val="none"/>
              </w:rPr>
              <w:t>2</w:t>
            </w:r>
          </w:p>
        </w:tc>
        <w:tc>
          <w:tcPr>
            <w:tcW w:w="1807" w:type="dxa"/>
            <w:noWrap w:val="0"/>
            <w:vAlign w:val="center"/>
          </w:tcPr>
          <w:p>
            <w:pPr>
              <w:adjustRightInd w:val="0"/>
              <w:snapToGrid w:val="0"/>
              <w:spacing w:line="440" w:lineRule="exact"/>
              <w:jc w:val="center"/>
              <w:rPr>
                <w:rFonts w:ascii="宋体" w:hAnsi="宋体"/>
                <w:color w:val="auto"/>
                <w:sz w:val="24"/>
                <w:highlight w:val="none"/>
              </w:rPr>
            </w:pPr>
            <w:r>
              <w:rPr>
                <w:rFonts w:hint="eastAsia" w:ascii="宋体" w:hAnsi="宋体"/>
                <w:color w:val="auto"/>
                <w:sz w:val="24"/>
                <w:highlight w:val="none"/>
              </w:rPr>
              <w:t>环保产品</w:t>
            </w:r>
          </w:p>
        </w:tc>
        <w:tc>
          <w:tcPr>
            <w:tcW w:w="7203" w:type="dxa"/>
            <w:noWrap w:val="0"/>
            <w:vAlign w:val="center"/>
          </w:tcPr>
          <w:p>
            <w:pPr>
              <w:spacing w:line="440" w:lineRule="exact"/>
              <w:rPr>
                <w:rFonts w:ascii="宋体" w:hAnsi="宋体"/>
                <w:color w:val="auto"/>
                <w:sz w:val="24"/>
                <w:highlight w:val="none"/>
              </w:rPr>
            </w:pPr>
            <w:r>
              <w:rPr>
                <w:rFonts w:hint="eastAsia" w:ascii="宋体" w:hAnsi="宋体" w:cs="宋体"/>
                <w:color w:val="auto"/>
                <w:sz w:val="24"/>
                <w:highlight w:val="none"/>
              </w:rPr>
              <w:t>折扣金额</w:t>
            </w:r>
            <w:r>
              <w:rPr>
                <w:rFonts w:ascii="宋体" w:hAnsi="宋体" w:cs="宋体"/>
                <w:color w:val="auto"/>
                <w:sz w:val="24"/>
                <w:highlight w:val="none"/>
              </w:rPr>
              <w:t>=</w:t>
            </w:r>
            <w:r>
              <w:rPr>
                <w:rFonts w:hint="eastAsia" w:ascii="宋体" w:hAnsi="宋体"/>
                <w:color w:val="auto"/>
                <w:sz w:val="24"/>
                <w:highlight w:val="none"/>
              </w:rPr>
              <w:t>（环境清单部分产品的价格</w:t>
            </w:r>
            <w:r>
              <w:rPr>
                <w:rFonts w:ascii="宋体" w:hAnsi="宋体"/>
                <w:color w:val="auto"/>
                <w:sz w:val="24"/>
                <w:highlight w:val="none"/>
              </w:rPr>
              <w:t>/</w:t>
            </w:r>
            <w:r>
              <w:rPr>
                <w:rFonts w:hint="eastAsia" w:ascii="宋体" w:hAnsi="宋体"/>
                <w:color w:val="auto"/>
                <w:sz w:val="24"/>
                <w:highlight w:val="none"/>
              </w:rPr>
              <w:t>首次报价）×</w:t>
            </w:r>
            <w:r>
              <w:rPr>
                <w:rFonts w:ascii="宋体" w:hAnsi="宋体"/>
                <w:color w:val="auto"/>
                <w:sz w:val="24"/>
                <w:highlight w:val="none"/>
              </w:rPr>
              <w:t>3%</w:t>
            </w:r>
            <w:r>
              <w:rPr>
                <w:rFonts w:hint="eastAsia" w:ascii="宋体" w:hAnsi="宋体"/>
                <w:color w:val="auto"/>
                <w:sz w:val="24"/>
                <w:highlight w:val="none"/>
              </w:rPr>
              <w:t>×</w:t>
            </w:r>
            <w:r>
              <w:rPr>
                <w:rFonts w:hint="eastAsia" w:ascii="宋体" w:hAnsi="宋体" w:cs="宋体"/>
                <w:color w:val="auto"/>
                <w:sz w:val="24"/>
                <w:highlight w:val="none"/>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pPr>
              <w:adjustRightInd w:val="0"/>
              <w:snapToGrid w:val="0"/>
              <w:spacing w:line="440" w:lineRule="exact"/>
              <w:jc w:val="center"/>
              <w:rPr>
                <w:rFonts w:ascii="宋体" w:hAnsi="宋体"/>
                <w:color w:val="auto"/>
                <w:sz w:val="24"/>
                <w:highlight w:val="none"/>
              </w:rPr>
            </w:pPr>
            <w:r>
              <w:rPr>
                <w:rFonts w:ascii="宋体" w:hAnsi="宋体"/>
                <w:color w:val="auto"/>
                <w:sz w:val="24"/>
                <w:highlight w:val="none"/>
              </w:rPr>
              <w:t>3</w:t>
            </w:r>
          </w:p>
        </w:tc>
        <w:tc>
          <w:tcPr>
            <w:tcW w:w="1807" w:type="dxa"/>
            <w:tcBorders>
              <w:bottom w:val="single" w:color="auto" w:sz="4" w:space="0"/>
            </w:tcBorders>
            <w:noWrap w:val="0"/>
            <w:vAlign w:val="center"/>
          </w:tcPr>
          <w:p>
            <w:pPr>
              <w:adjustRightInd w:val="0"/>
              <w:snapToGrid w:val="0"/>
              <w:spacing w:line="440" w:lineRule="exact"/>
              <w:jc w:val="center"/>
              <w:rPr>
                <w:rFonts w:ascii="宋体" w:hAnsi="宋体"/>
                <w:color w:val="auto"/>
                <w:sz w:val="24"/>
                <w:highlight w:val="none"/>
              </w:rPr>
            </w:pPr>
            <w:r>
              <w:rPr>
                <w:rFonts w:hint="eastAsia" w:ascii="宋体" w:hAnsi="宋体"/>
                <w:color w:val="auto"/>
                <w:sz w:val="24"/>
                <w:highlight w:val="none"/>
              </w:rPr>
              <w:t>证明材料说明</w:t>
            </w:r>
          </w:p>
        </w:tc>
        <w:tc>
          <w:tcPr>
            <w:tcW w:w="7203" w:type="dxa"/>
            <w:tcBorders>
              <w:bottom w:val="single" w:color="auto" w:sz="4" w:space="0"/>
            </w:tcBorders>
            <w:noWrap w:val="0"/>
            <w:vAlign w:val="center"/>
          </w:tcPr>
          <w:p>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、须提供中国政府采购网节能环保查询结果</w:t>
            </w:r>
          </w:p>
        </w:tc>
      </w:tr>
    </w:tbl>
    <w:p>
      <w:pPr>
        <w:tabs>
          <w:tab w:val="left" w:pos="0"/>
        </w:tabs>
        <w:adjustRightInd w:val="0"/>
        <w:snapToGrid w:val="0"/>
        <w:spacing w:line="440" w:lineRule="exact"/>
        <w:rPr>
          <w:rFonts w:hint="eastAsia" w:ascii="宋体" w:hAnsi="宋体"/>
          <w:color w:val="auto"/>
          <w:kern w:val="0"/>
          <w:sz w:val="24"/>
          <w:highlight w:val="none"/>
        </w:rPr>
      </w:pPr>
      <w:r>
        <w:rPr>
          <w:rFonts w:hint="eastAsia" w:ascii="宋体" w:hAnsi="宋体"/>
          <w:color w:val="auto"/>
          <w:kern w:val="0"/>
          <w:sz w:val="24"/>
          <w:highlight w:val="none"/>
        </w:rPr>
        <w:t>说明：1.如有多种产品符合此项政策时，</w:t>
      </w:r>
      <w:r>
        <w:rPr>
          <w:rFonts w:hint="eastAsia" w:ascii="宋体" w:hAnsi="宋体" w:cs="宋体"/>
          <w:color w:val="auto"/>
          <w:kern w:val="0"/>
          <w:sz w:val="24"/>
          <w:highlight w:val="none"/>
        </w:rPr>
        <w:t>折扣价格为</w:t>
      </w:r>
      <w:r>
        <w:rPr>
          <w:rFonts w:hint="eastAsia" w:ascii="宋体" w:hAnsi="宋体"/>
          <w:color w:val="auto"/>
          <w:kern w:val="0"/>
          <w:sz w:val="24"/>
          <w:highlight w:val="none"/>
        </w:rPr>
        <w:t>每种产品的折扣金额汇总。</w:t>
      </w:r>
    </w:p>
    <w:p>
      <w:pPr>
        <w:tabs>
          <w:tab w:val="left" w:pos="0"/>
        </w:tabs>
        <w:adjustRightInd w:val="0"/>
        <w:snapToGrid w:val="0"/>
        <w:spacing w:line="440" w:lineRule="exact"/>
        <w:rPr>
          <w:rFonts w:ascii="宋体" w:hAnsi="宋体"/>
          <w:color w:val="auto"/>
          <w:kern w:val="0"/>
          <w:sz w:val="24"/>
          <w:highlight w:val="none"/>
        </w:rPr>
      </w:pPr>
      <w:r>
        <w:rPr>
          <w:rFonts w:hint="eastAsia" w:ascii="宋体" w:hAnsi="宋体"/>
          <w:color w:val="auto"/>
          <w:kern w:val="0"/>
          <w:sz w:val="24"/>
          <w:highlight w:val="none"/>
        </w:rPr>
        <w:t xml:space="preserve">      2.若所投产品同时属于节能产品及环保产品，只进行一次价格折扣认定。</w:t>
      </w:r>
    </w:p>
    <w:p>
      <w:pPr>
        <w:tabs>
          <w:tab w:val="left" w:pos="0"/>
        </w:tabs>
        <w:adjustRightInd w:val="0"/>
        <w:snapToGrid w:val="0"/>
        <w:spacing w:line="440" w:lineRule="exact"/>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）中小企业价格折扣比例及方法</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noWrap w:val="0"/>
            <w:vAlign w:val="center"/>
          </w:tcPr>
          <w:p>
            <w:pPr>
              <w:snapToGrid w:val="0"/>
              <w:spacing w:line="440" w:lineRule="exact"/>
              <w:ind w:firstLine="360" w:firstLineChars="150"/>
              <w:rPr>
                <w:rFonts w:ascii="宋体" w:hAnsi="宋体"/>
                <w:color w:val="auto"/>
                <w:sz w:val="24"/>
                <w:highlight w:val="none"/>
              </w:rPr>
            </w:pPr>
            <w:r>
              <w:rPr>
                <w:rFonts w:hint="eastAsia" w:ascii="宋体" w:hAnsi="宋体"/>
                <w:color w:val="auto"/>
                <w:sz w:val="24"/>
                <w:highlight w:val="none"/>
              </w:rPr>
              <w:t>根据中华人民共和国财政部、中华人民共和国工业和信息化部《政府采购促进中小企业发展管理办法》（财库〔2020〕46号）文件的规定，</w:t>
            </w:r>
            <w:r>
              <w:rPr>
                <w:rFonts w:hint="eastAsia" w:ascii="宋体" w:hAnsi="宋体"/>
                <w:bCs/>
                <w:color w:val="auto"/>
                <w:sz w:val="24"/>
                <w:highlight w:val="none"/>
              </w:rPr>
              <w:t>属于中小企业</w:t>
            </w:r>
            <w:r>
              <w:rPr>
                <w:rFonts w:hint="eastAsia" w:ascii="宋体" w:hAnsi="宋体"/>
                <w:color w:val="auto"/>
                <w:sz w:val="24"/>
                <w:highlight w:val="none"/>
              </w:rPr>
              <w:t>评审优惠内容及幅度如下：</w:t>
            </w:r>
          </w:p>
          <w:p>
            <w:pPr>
              <w:snapToGrid w:val="0"/>
              <w:spacing w:line="440" w:lineRule="exact"/>
              <w:ind w:firstLine="241" w:firstLineChars="100"/>
              <w:rPr>
                <w:rFonts w:ascii="宋体" w:hAnsi="宋体"/>
                <w:color w:val="auto"/>
                <w:sz w:val="24"/>
                <w:highlight w:val="none"/>
              </w:rPr>
            </w:pPr>
            <w:r>
              <w:rPr>
                <w:rFonts w:hint="eastAsia" w:ascii="宋体" w:hAnsi="宋体"/>
                <w:b/>
                <w:color w:val="auto"/>
                <w:sz w:val="24"/>
                <w:highlight w:val="none"/>
              </w:rPr>
              <w:t>（一）</w:t>
            </w:r>
            <w:r>
              <w:rPr>
                <w:rFonts w:hint="eastAsia" w:ascii="宋体" w:hAnsi="宋体"/>
                <w:color w:val="auto"/>
                <w:sz w:val="24"/>
                <w:highlight w:val="none"/>
              </w:rPr>
              <w:t>中小企业（含中型、小型、微型企业）应当</w:t>
            </w:r>
            <w:r>
              <w:rPr>
                <w:rFonts w:hint="eastAsia" w:ascii="宋体" w:hAnsi="宋体"/>
                <w:b/>
                <w:color w:val="auto"/>
                <w:sz w:val="24"/>
                <w:highlight w:val="none"/>
              </w:rPr>
              <w:t>同时符合</w:t>
            </w:r>
            <w:r>
              <w:rPr>
                <w:rFonts w:hint="eastAsia" w:ascii="宋体" w:hAnsi="宋体"/>
                <w:color w:val="auto"/>
                <w:sz w:val="24"/>
                <w:highlight w:val="none"/>
              </w:rPr>
              <w:t>以下条件：</w:t>
            </w:r>
          </w:p>
          <w:p>
            <w:pPr>
              <w:pStyle w:val="69"/>
              <w:spacing w:line="440" w:lineRule="exact"/>
              <w:ind w:left="846" w:leftChars="403"/>
              <w:rPr>
                <w:rFonts w:ascii="宋体" w:hAnsi="宋体"/>
                <w:color w:val="auto"/>
                <w:sz w:val="24"/>
                <w:highlight w:val="none"/>
              </w:rPr>
            </w:pPr>
            <w:r>
              <w:rPr>
                <w:rFonts w:hint="eastAsia" w:ascii="宋体" w:hAnsi="宋体"/>
                <w:color w:val="auto"/>
                <w:sz w:val="24"/>
                <w:highlight w:val="none"/>
              </w:rPr>
              <w:t>①符合中小企业划分标准（按《关于印发中小企业划型标准规定的通知》（工信部联企业〔</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300</w:t>
            </w:r>
            <w:r>
              <w:rPr>
                <w:rFonts w:hint="eastAsia" w:ascii="宋体" w:hAnsi="宋体"/>
                <w:color w:val="auto"/>
                <w:sz w:val="24"/>
                <w:highlight w:val="none"/>
              </w:rPr>
              <w:t>号）执行）；</w:t>
            </w:r>
          </w:p>
          <w:p>
            <w:pPr>
              <w:pStyle w:val="69"/>
              <w:spacing w:line="440" w:lineRule="exact"/>
              <w:ind w:left="846" w:leftChars="403"/>
              <w:rPr>
                <w:rFonts w:ascii="宋体" w:hAnsi="宋体"/>
                <w:color w:val="auto"/>
                <w:sz w:val="24"/>
                <w:highlight w:val="none"/>
              </w:rPr>
            </w:pPr>
            <w:r>
              <w:rPr>
                <w:rFonts w:hint="eastAsia" w:ascii="宋体" w:hAnsi="宋体"/>
                <w:color w:val="auto"/>
                <w:sz w:val="24"/>
                <w:highlight w:val="none"/>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hAnsi="宋体"/>
                <w:color w:val="auto"/>
                <w:sz w:val="24"/>
                <w:highlight w:val="none"/>
              </w:rPr>
            </w:pPr>
            <w:r>
              <w:rPr>
                <w:rFonts w:hint="eastAsia" w:ascii="宋体" w:hAnsi="宋体"/>
                <w:b/>
                <w:color w:val="auto"/>
                <w:sz w:val="24"/>
                <w:highlight w:val="none"/>
              </w:rPr>
              <w:t>（二）</w:t>
            </w:r>
            <w:r>
              <w:rPr>
                <w:rFonts w:hint="eastAsia" w:ascii="宋体" w:hAnsi="宋体"/>
                <w:color w:val="auto"/>
                <w:sz w:val="24"/>
                <w:highlight w:val="none"/>
              </w:rPr>
              <w:t>价格扣除办法：</w:t>
            </w:r>
          </w:p>
          <w:p>
            <w:pPr>
              <w:pStyle w:val="69"/>
              <w:spacing w:line="440" w:lineRule="exact"/>
              <w:ind w:left="657" w:leftChars="313" w:firstLine="240" w:firstLineChars="100"/>
              <w:rPr>
                <w:rFonts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 1 \* GB3 </w:instrText>
            </w:r>
            <w:r>
              <w:rPr>
                <w:rFonts w:ascii="宋体" w:hAnsi="宋体"/>
                <w:color w:val="auto"/>
                <w:sz w:val="24"/>
                <w:highlight w:val="none"/>
              </w:rPr>
              <w:fldChar w:fldCharType="separate"/>
            </w:r>
            <w:r>
              <w:rPr>
                <w:rFonts w:hint="eastAsia" w:ascii="宋体" w:hAnsi="宋体"/>
                <w:color w:val="auto"/>
                <w:sz w:val="24"/>
                <w:highlight w:val="none"/>
              </w:rPr>
              <w:t>①</w:t>
            </w:r>
            <w:r>
              <w:rPr>
                <w:rFonts w:ascii="宋体" w:hAnsi="宋体"/>
                <w:color w:val="auto"/>
                <w:sz w:val="24"/>
                <w:highlight w:val="none"/>
              </w:rPr>
              <w:fldChar w:fldCharType="end"/>
            </w:r>
            <w:r>
              <w:rPr>
                <w:rFonts w:hint="eastAsia" w:ascii="宋体" w:hAnsi="宋体"/>
                <w:color w:val="auto"/>
                <w:sz w:val="24"/>
                <w:highlight w:val="none"/>
              </w:rPr>
              <w:t>对于非专门面向中小企业的项目，对小型和微型企业（或联合体各方均为小型、</w:t>
            </w:r>
          </w:p>
          <w:p>
            <w:pPr>
              <w:pStyle w:val="69"/>
              <w:spacing w:line="440" w:lineRule="exact"/>
              <w:rPr>
                <w:rFonts w:hint="eastAsia" w:ascii="宋体" w:hAnsi="宋体"/>
                <w:color w:val="auto"/>
                <w:sz w:val="24"/>
                <w:highlight w:val="none"/>
              </w:rPr>
            </w:pPr>
            <w:r>
              <w:rPr>
                <w:rFonts w:hint="eastAsia" w:ascii="宋体" w:hAnsi="宋体"/>
                <w:color w:val="auto"/>
                <w:sz w:val="24"/>
                <w:highlight w:val="none"/>
              </w:rPr>
              <w:t>微型企业的，残疾人福利性单位、监狱企业视为小微企业）产品的价格给予</w:t>
            </w:r>
            <w:r>
              <w:rPr>
                <w:rFonts w:ascii="宋体" w:hAnsi="宋体"/>
                <w:color w:val="auto"/>
                <w:sz w:val="24"/>
                <w:highlight w:val="none"/>
              </w:rPr>
              <w:t>6%</w:t>
            </w:r>
            <w:r>
              <w:rPr>
                <w:rFonts w:hint="eastAsia" w:ascii="宋体" w:hAnsi="宋体"/>
                <w:color w:val="auto"/>
                <w:sz w:val="24"/>
                <w:highlight w:val="none"/>
              </w:rPr>
              <w:t>的扣除，用扣除后的价格参与价格的评审。</w:t>
            </w:r>
          </w:p>
          <w:p>
            <w:pPr>
              <w:pStyle w:val="69"/>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在货物采购项目中，供应商提供的货物既有中小企业制造货物，也有大型企业制造货物的，不享受本办法规定的中小企业扶持政策。</w:t>
            </w:r>
          </w:p>
          <w:p>
            <w:pPr>
              <w:snapToGrid w:val="0"/>
              <w:spacing w:line="440" w:lineRule="exact"/>
              <w:ind w:firstLine="361" w:firstLineChars="150"/>
              <w:rPr>
                <w:rFonts w:ascii="宋体" w:hAnsi="宋体"/>
                <w:color w:val="auto"/>
                <w:sz w:val="24"/>
                <w:highlight w:val="none"/>
              </w:rPr>
            </w:pPr>
            <w:r>
              <w:rPr>
                <w:rFonts w:hint="eastAsia" w:ascii="宋体" w:hAnsi="宋体"/>
                <w:b/>
                <w:color w:val="auto"/>
                <w:sz w:val="24"/>
                <w:highlight w:val="none"/>
              </w:rPr>
              <w:t>（三）</w:t>
            </w:r>
            <w:r>
              <w:rPr>
                <w:rFonts w:hint="eastAsia" w:ascii="宋体" w:hAnsi="宋体"/>
                <w:color w:val="auto"/>
                <w:sz w:val="24"/>
                <w:highlight w:val="none"/>
              </w:rPr>
              <w:t>小型和微型企业适用价格扣除办法时应提供的相关资料：</w:t>
            </w:r>
          </w:p>
          <w:p>
            <w:pPr>
              <w:pStyle w:val="69"/>
              <w:spacing w:line="440" w:lineRule="exact"/>
              <w:ind w:left="840"/>
              <w:rPr>
                <w:rFonts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 1 \* GB3 </w:instrText>
            </w:r>
            <w:r>
              <w:rPr>
                <w:rFonts w:ascii="宋体" w:hAnsi="宋体"/>
                <w:color w:val="auto"/>
                <w:sz w:val="24"/>
                <w:highlight w:val="none"/>
              </w:rPr>
              <w:fldChar w:fldCharType="separate"/>
            </w:r>
            <w:r>
              <w:rPr>
                <w:rFonts w:hint="eastAsia" w:ascii="宋体" w:hAnsi="宋体"/>
                <w:color w:val="auto"/>
                <w:sz w:val="24"/>
                <w:highlight w:val="none"/>
              </w:rPr>
              <w:t>①</w:t>
            </w:r>
            <w:r>
              <w:rPr>
                <w:rFonts w:ascii="宋体" w:hAnsi="宋体"/>
                <w:color w:val="auto"/>
                <w:sz w:val="24"/>
                <w:highlight w:val="none"/>
              </w:rPr>
              <w:fldChar w:fldCharType="end"/>
            </w:r>
            <w:r>
              <w:rPr>
                <w:rFonts w:hint="eastAsia" w:ascii="宋体" w:hAnsi="宋体"/>
                <w:color w:val="auto"/>
                <w:sz w:val="24"/>
                <w:highlight w:val="none"/>
              </w:rPr>
              <w:t>、供应商《中小企业声明函》或残疾人福利性单位声明函或监狱企业声明函；</w:t>
            </w:r>
          </w:p>
          <w:p>
            <w:pPr>
              <w:pStyle w:val="69"/>
              <w:spacing w:line="440" w:lineRule="exact"/>
              <w:ind w:firstLine="480" w:firstLineChars="200"/>
              <w:rPr>
                <w:rFonts w:ascii="宋体" w:hAnsi="宋体"/>
                <w:b/>
                <w:color w:val="auto"/>
                <w:sz w:val="24"/>
                <w:highlight w:val="none"/>
              </w:rPr>
            </w:pPr>
            <w:r>
              <w:rPr>
                <w:rFonts w:hint="eastAsia" w:ascii="宋体" w:hAnsi="宋体"/>
                <w:color w:val="auto"/>
                <w:sz w:val="24"/>
                <w:highlight w:val="none"/>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autoSpaceDE w:val="0"/>
        <w:autoSpaceDN w:val="0"/>
        <w:adjustRightInd w:val="0"/>
        <w:spacing w:line="440" w:lineRule="exact"/>
        <w:ind w:firstLine="420"/>
        <w:rPr>
          <w:rFonts w:ascii="宋体" w:cs="宋体"/>
          <w:sz w:val="24"/>
          <w:lang w:val="zh-CN"/>
        </w:rPr>
      </w:pPr>
      <w:r>
        <w:rPr>
          <w:rFonts w:hint="eastAsia" w:ascii="宋体" w:hAnsi="宋体" w:cs="宋体"/>
          <w:sz w:val="24"/>
          <w:lang w:val="zh-CN"/>
        </w:rPr>
        <w:t>（</w:t>
      </w:r>
      <w:r>
        <w:rPr>
          <w:rFonts w:ascii="宋体" w:hAnsi="宋体" w:cs="宋体"/>
          <w:sz w:val="24"/>
          <w:lang w:val="zh-CN"/>
        </w:rPr>
        <w:t>1</w:t>
      </w:r>
      <w:r>
        <w:rPr>
          <w:rFonts w:hint="eastAsia" w:ascii="宋体" w:hAnsi="宋体" w:cs="宋体"/>
          <w:sz w:val="24"/>
          <w:lang w:val="zh-CN"/>
        </w:rPr>
        <w:t>）按照递交响应性文件先后谈判小组所有成员集中与单一供应商分别进行谈判；</w:t>
      </w:r>
    </w:p>
    <w:p>
      <w:pPr>
        <w:autoSpaceDE w:val="0"/>
        <w:autoSpaceDN w:val="0"/>
        <w:adjustRightInd w:val="0"/>
        <w:spacing w:line="440" w:lineRule="exact"/>
        <w:ind w:firstLine="420"/>
        <w:rPr>
          <w:rFonts w:ascii="宋体" w:cs="宋体"/>
          <w:sz w:val="24"/>
          <w:lang w:val="zh-CN"/>
        </w:rPr>
      </w:pPr>
      <w:r>
        <w:rPr>
          <w:rFonts w:hint="eastAsia" w:ascii="宋体" w:hAnsi="宋体" w:cs="宋体"/>
          <w:sz w:val="24"/>
          <w:lang w:val="zh-CN"/>
        </w:rPr>
        <w:t>（</w:t>
      </w:r>
      <w:r>
        <w:rPr>
          <w:rFonts w:ascii="宋体" w:hAnsi="宋体" w:cs="宋体"/>
          <w:sz w:val="24"/>
          <w:lang w:val="zh-CN"/>
        </w:rPr>
        <w:t>2</w:t>
      </w:r>
      <w:r>
        <w:rPr>
          <w:rFonts w:hint="eastAsia" w:ascii="宋体" w:hAnsi="宋体" w:cs="宋体"/>
          <w:sz w:val="24"/>
          <w:lang w:val="zh-CN"/>
        </w:rPr>
        <w:t>）</w:t>
      </w:r>
      <w:r>
        <w:rPr>
          <w:rFonts w:ascii="宋体" w:hAnsi="宋体" w:cs="宋体"/>
          <w:sz w:val="24"/>
          <w:lang w:val="zh-CN"/>
        </w:rPr>
        <w:t xml:space="preserve"> </w:t>
      </w:r>
      <w:r>
        <w:rPr>
          <w:rFonts w:hint="eastAsia" w:ascii="宋体" w:hAnsi="宋体" w:cs="宋体"/>
          <w:sz w:val="24"/>
          <w:lang w:val="zh-CN"/>
        </w:rPr>
        <w:t>谈判小组制定一个符合采购人要求的最优方案，或直接根据响应性文件与供应商谈判。竞争性谈判文件如有实质性变动的，谈判小组将以书面形式通知所有参加谈判的供应商；</w:t>
      </w:r>
    </w:p>
    <w:p>
      <w:pPr>
        <w:autoSpaceDE w:val="0"/>
        <w:autoSpaceDN w:val="0"/>
        <w:adjustRightInd w:val="0"/>
        <w:spacing w:line="440" w:lineRule="exact"/>
        <w:ind w:firstLine="420"/>
        <w:rPr>
          <w:rFonts w:ascii="宋体" w:cs="宋体"/>
          <w:sz w:val="24"/>
          <w:lang w:val="zh-CN"/>
        </w:rPr>
      </w:pPr>
      <w:r>
        <w:rPr>
          <w:rFonts w:hint="eastAsia" w:ascii="宋体" w:hAnsi="宋体" w:cs="宋体"/>
          <w:sz w:val="24"/>
          <w:lang w:val="zh-CN"/>
        </w:rPr>
        <w:t>（</w:t>
      </w:r>
      <w:r>
        <w:rPr>
          <w:rFonts w:ascii="宋体" w:hAnsi="宋体" w:cs="宋体"/>
          <w:sz w:val="24"/>
          <w:lang w:val="zh-CN"/>
        </w:rPr>
        <w:t>3</w:t>
      </w:r>
      <w:r>
        <w:rPr>
          <w:rFonts w:hint="eastAsia" w:ascii="宋体" w:hAnsi="宋体" w:cs="宋体"/>
          <w:sz w:val="24"/>
          <w:lang w:val="zh-CN"/>
        </w:rPr>
        <w:t>）</w:t>
      </w:r>
      <w:r>
        <w:rPr>
          <w:rFonts w:ascii="宋体" w:hAnsi="宋体" w:cs="宋体"/>
          <w:sz w:val="24"/>
          <w:lang w:val="zh-CN"/>
        </w:rPr>
        <w:t xml:space="preserve"> </w:t>
      </w:r>
      <w:r>
        <w:rPr>
          <w:rFonts w:hint="eastAsia" w:ascii="宋体" w:hAnsi="宋体" w:cs="宋体"/>
          <w:kern w:val="0"/>
          <w:sz w:val="24"/>
        </w:rPr>
        <w:t>谈判结束后，谈判小组应当要求所有参加谈判的供应商在规定时间内进行最后报价，</w:t>
      </w:r>
      <w:r>
        <w:rPr>
          <w:rFonts w:hint="eastAsia" w:ascii="宋体" w:hAnsi="宋体" w:cs="宋体"/>
          <w:sz w:val="24"/>
          <w:lang w:val="zh-CN"/>
        </w:rPr>
        <w:t>参加谈判的供应商应当对谈判的承诺和最后报价以书面形式确认，并由法定代表人或其授权人签署盖章；</w:t>
      </w:r>
      <w:r>
        <w:rPr>
          <w:rFonts w:ascii="宋体" w:hAnsi="宋体" w:cs="宋体"/>
          <w:sz w:val="24"/>
          <w:lang w:val="zh-CN"/>
        </w:rPr>
        <w:t xml:space="preserve"> </w:t>
      </w:r>
    </w:p>
    <w:p>
      <w:pPr>
        <w:spacing w:line="440" w:lineRule="exact"/>
        <w:ind w:firstLine="480" w:firstLineChars="200"/>
        <w:rPr>
          <w:rFonts w:ascii="宋体" w:cs="宋体"/>
          <w:sz w:val="24"/>
        </w:rPr>
      </w:pPr>
      <w:r>
        <w:rPr>
          <w:rFonts w:ascii="宋体" w:hAnsi="宋体" w:cs="宋体"/>
          <w:sz w:val="24"/>
        </w:rPr>
        <w:t>20.2</w:t>
      </w:r>
      <w:r>
        <w:rPr>
          <w:rFonts w:hint="eastAsia" w:ascii="宋体" w:hAnsi="宋体" w:cs="宋体"/>
          <w:sz w:val="24"/>
        </w:rPr>
        <w:t>　对第二次报价是否均超过采购预算的审查和确认：根据《中华人民共和国政府采购法》的规定，所有供应商的报价均超过采购预算，采购人不能支付时，应予废标。出现此种情况时，谈判小组有权决定拒绝所有响应性文件。</w:t>
      </w:r>
    </w:p>
    <w:p>
      <w:pPr>
        <w:spacing w:line="440" w:lineRule="exact"/>
        <w:ind w:firstLine="480" w:firstLineChars="200"/>
        <w:rPr>
          <w:rFonts w:ascii="宋体" w:cs="宋体"/>
          <w:sz w:val="24"/>
        </w:rPr>
      </w:pPr>
      <w:r>
        <w:rPr>
          <w:rFonts w:ascii="宋体" w:hAnsi="宋体" w:cs="宋体"/>
          <w:sz w:val="24"/>
        </w:rPr>
        <w:t>20.3</w:t>
      </w:r>
      <w:r>
        <w:rPr>
          <w:rFonts w:hint="eastAsia" w:ascii="宋体" w:hAnsi="宋体" w:cs="宋体"/>
          <w:sz w:val="24"/>
        </w:rPr>
        <w:t>　谈判小组对响应性文件进行符合性审查时，对属于下列情况之一的响应性文件，将作无效报价处理：</w:t>
      </w:r>
    </w:p>
    <w:p>
      <w:pPr>
        <w:spacing w:line="440" w:lineRule="exact"/>
        <w:ind w:firstLine="240" w:firstLineChars="1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）响应性文件未按规定由投标人法定代表人或其授权代理人签字的（需要加盖公章时，供应商应按照谈判小组的要求在规定时间内加盖公章）；</w:t>
      </w:r>
    </w:p>
    <w:p>
      <w:pPr>
        <w:spacing w:line="440" w:lineRule="exact"/>
        <w:ind w:firstLine="240" w:firstLineChars="1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）响应性文件载明的采购项目完成期限超过竞争性谈判文件规定期限的；</w:t>
      </w:r>
    </w:p>
    <w:p>
      <w:pPr>
        <w:spacing w:line="440" w:lineRule="exact"/>
        <w:ind w:firstLine="240" w:firstLineChars="1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）响应性文件明显不符合竞争性谈判文件规定的技术规格、技术标准以及商务条款要求的；</w:t>
      </w:r>
    </w:p>
    <w:p>
      <w:pPr>
        <w:spacing w:line="440" w:lineRule="exact"/>
        <w:ind w:firstLine="240" w:firstLineChars="1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）响应性文件载明的货物包装方式、检验标准和方法等明显不符合竞争性谈判文件要求的；</w:t>
      </w:r>
    </w:p>
    <w:p>
      <w:pPr>
        <w:spacing w:line="440" w:lineRule="exact"/>
        <w:ind w:firstLine="240" w:firstLineChars="1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）响应性文件附有采购人和招标方不能接受的条件的；</w:t>
      </w:r>
    </w:p>
    <w:p>
      <w:pPr>
        <w:spacing w:line="440" w:lineRule="exact"/>
        <w:ind w:firstLine="240" w:firstLineChars="100"/>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）不符合竞争性谈判文件规定的其他实质性要求的。</w:t>
      </w:r>
    </w:p>
    <w:p>
      <w:pPr>
        <w:spacing w:line="440" w:lineRule="exact"/>
        <w:ind w:firstLine="480" w:firstLineChars="200"/>
        <w:rPr>
          <w:rFonts w:ascii="宋体" w:cs="宋体"/>
          <w:sz w:val="24"/>
        </w:rPr>
      </w:pPr>
      <w:r>
        <w:rPr>
          <w:rFonts w:ascii="宋体" w:hAnsi="宋体" w:cs="宋体"/>
          <w:sz w:val="24"/>
        </w:rPr>
        <w:t>20.4</w:t>
      </w:r>
      <w:r>
        <w:rPr>
          <w:rFonts w:hint="eastAsia" w:ascii="宋体" w:hAnsi="宋体" w:cs="宋体"/>
          <w:sz w:val="24"/>
        </w:rPr>
        <w:t>　对投标报价的审查：谈判小组将对确定为实质上响应竞争性谈判文件要求的响应性文件的价格进行审核，看其是否有计算和累加上的错误。</w:t>
      </w:r>
    </w:p>
    <w:p>
      <w:pPr>
        <w:spacing w:line="440" w:lineRule="exact"/>
        <w:ind w:firstLine="480" w:firstLineChars="200"/>
        <w:rPr>
          <w:rFonts w:ascii="宋体" w:cs="宋体"/>
          <w:sz w:val="24"/>
        </w:rPr>
      </w:pPr>
      <w:r>
        <w:rPr>
          <w:rFonts w:hint="eastAsia" w:ascii="宋体" w:hAnsi="宋体" w:cs="宋体"/>
          <w:sz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其谈判保证金将被没收。</w:t>
      </w:r>
    </w:p>
    <w:p>
      <w:pPr>
        <w:spacing w:line="440" w:lineRule="exact"/>
        <w:ind w:firstLine="480" w:firstLineChars="200"/>
        <w:rPr>
          <w:rFonts w:ascii="宋体" w:cs="宋体"/>
          <w:sz w:val="24"/>
        </w:rPr>
      </w:pPr>
      <w:r>
        <w:rPr>
          <w:rFonts w:ascii="宋体" w:hAnsi="宋体" w:cs="宋体"/>
          <w:sz w:val="24"/>
        </w:rPr>
        <w:t>20.5</w:t>
      </w:r>
      <w:r>
        <w:rPr>
          <w:rFonts w:hint="eastAsia" w:ascii="宋体" w:hAnsi="宋体" w:cs="宋体"/>
          <w:sz w:val="24"/>
        </w:rPr>
        <w:t>　澄清：谈判小组对于响应性文件中个别地方含义不明确、同类问题表述不一致或者有明显文字和计算错误的内容，可以书面形式（由谈判小组专家签字）要求供应商在规定的时间内（评审结束前）作出必要的澄清、说明或者补正。供应商的澄清、说明或者补正应当采用书面形式，由其法定代表人或授权代理人签字，并不得超出响应性文件的范围或者改变响应性文件的实质性内容。供应商拒不进行澄清、说明、补正的，或者不能在规定时间内做出书面澄清、说明、补正的，谈判小组将取消其继续参加谈判的资格。</w:t>
      </w:r>
    </w:p>
    <w:p>
      <w:pPr>
        <w:spacing w:line="440" w:lineRule="exact"/>
        <w:ind w:firstLine="480" w:firstLineChars="200"/>
        <w:rPr>
          <w:rFonts w:ascii="宋体" w:cs="宋体"/>
          <w:sz w:val="24"/>
        </w:rPr>
      </w:pPr>
      <w:r>
        <w:rPr>
          <w:rFonts w:ascii="宋体" w:hAnsi="宋体" w:cs="宋体"/>
          <w:sz w:val="24"/>
        </w:rPr>
        <w:t>20.6</w:t>
      </w:r>
      <w:r>
        <w:rPr>
          <w:rFonts w:hint="eastAsia" w:ascii="宋体" w:hAnsi="宋体" w:cs="宋体"/>
          <w:sz w:val="24"/>
        </w:rPr>
        <w:t>　确定成交供应商的方式：</w:t>
      </w:r>
    </w:p>
    <w:p>
      <w:pPr>
        <w:spacing w:line="440" w:lineRule="exact"/>
        <w:ind w:firstLine="480" w:firstLineChars="200"/>
        <w:rPr>
          <w:rFonts w:ascii="宋体" w:cs="宋体"/>
          <w:b/>
          <w:spacing w:val="-2"/>
          <w:sz w:val="24"/>
          <w:u w:val="single"/>
        </w:rPr>
      </w:pPr>
      <w:r>
        <w:rPr>
          <w:rFonts w:ascii="宋体" w:hAnsi="宋体" w:cs="宋体"/>
          <w:sz w:val="24"/>
        </w:rPr>
        <w:t>20.6.1</w:t>
      </w:r>
      <w:r>
        <w:rPr>
          <w:rFonts w:hint="eastAsia" w:ascii="宋体" w:hAnsi="宋体" w:cs="宋体"/>
          <w:sz w:val="24"/>
        </w:rPr>
        <w:t>中标原则：本次谈判实行</w:t>
      </w:r>
      <w:r>
        <w:rPr>
          <w:rFonts w:hint="eastAsia" w:ascii="宋体" w:hAnsi="宋体" w:cs="宋体"/>
          <w:sz w:val="24"/>
          <w:u w:val="single"/>
        </w:rPr>
        <w:t>最低评标价法</w:t>
      </w:r>
      <w:r>
        <w:rPr>
          <w:rFonts w:hint="eastAsia" w:ascii="宋体" w:hAnsi="宋体" w:cs="宋体"/>
          <w:sz w:val="24"/>
        </w:rPr>
        <w:t>，</w:t>
      </w:r>
      <w:r>
        <w:rPr>
          <w:rFonts w:hint="eastAsia" w:ascii="宋体" w:hAnsi="宋体" w:cs="宋体"/>
          <w:b/>
          <w:spacing w:val="-2"/>
          <w:sz w:val="24"/>
          <w:u w:val="single"/>
        </w:rPr>
        <w:t>经评定认为具备履行合同能力、报价合理、技术和商务条件都符合招标文件要求的、报价最低的投标人。</w:t>
      </w:r>
    </w:p>
    <w:p>
      <w:pPr>
        <w:pStyle w:val="3"/>
        <w:jc w:val="center"/>
        <w:rPr>
          <w:rFonts w:ascii="宋体" w:cs="宋体"/>
          <w:sz w:val="32"/>
          <w:szCs w:val="32"/>
        </w:rPr>
      </w:pPr>
      <w:bookmarkStart w:id="9" w:name="_Toc503519663"/>
      <w:bookmarkStart w:id="10" w:name="_Toc381724069"/>
      <w:r>
        <w:rPr>
          <w:rFonts w:hint="eastAsia" w:ascii="宋体" w:hAnsi="宋体" w:cs="宋体"/>
          <w:sz w:val="32"/>
          <w:szCs w:val="32"/>
        </w:rPr>
        <w:t>第五章</w:t>
      </w:r>
      <w:r>
        <w:rPr>
          <w:rFonts w:ascii="宋体" w:hAnsi="宋体" w:cs="宋体"/>
          <w:sz w:val="32"/>
          <w:szCs w:val="32"/>
        </w:rPr>
        <w:t xml:space="preserve">  </w:t>
      </w:r>
      <w:r>
        <w:rPr>
          <w:rFonts w:hint="eastAsia" w:ascii="宋体" w:hAnsi="宋体" w:cs="宋体"/>
          <w:sz w:val="32"/>
          <w:szCs w:val="32"/>
        </w:rPr>
        <w:t>定　标</w:t>
      </w:r>
      <w:bookmarkEnd w:id="9"/>
      <w:bookmarkEnd w:id="10"/>
    </w:p>
    <w:p>
      <w:pPr>
        <w:spacing w:line="440" w:lineRule="exact"/>
        <w:ind w:firstLine="482" w:firstLineChars="200"/>
        <w:rPr>
          <w:rFonts w:ascii="宋体" w:cs="宋体"/>
          <w:b/>
          <w:sz w:val="24"/>
        </w:rPr>
      </w:pPr>
      <w:r>
        <w:rPr>
          <w:rFonts w:ascii="宋体" w:hAnsi="宋体" w:cs="宋体"/>
          <w:b/>
          <w:sz w:val="24"/>
        </w:rPr>
        <w:t>21</w:t>
      </w:r>
      <w:r>
        <w:rPr>
          <w:rFonts w:hint="eastAsia" w:ascii="宋体" w:hAnsi="宋体" w:cs="宋体"/>
          <w:b/>
          <w:sz w:val="24"/>
        </w:rPr>
        <w:t>、定标标准</w:t>
      </w:r>
    </w:p>
    <w:p>
      <w:pPr>
        <w:spacing w:line="440" w:lineRule="exact"/>
        <w:ind w:firstLine="472" w:firstLineChars="200"/>
        <w:rPr>
          <w:rFonts w:ascii="宋体" w:cs="宋体"/>
          <w:spacing w:val="-2"/>
          <w:sz w:val="24"/>
        </w:rPr>
      </w:pPr>
      <w:r>
        <w:rPr>
          <w:rFonts w:ascii="宋体" w:hAnsi="宋体" w:cs="宋体"/>
          <w:spacing w:val="-2"/>
          <w:sz w:val="24"/>
        </w:rPr>
        <w:t>21.1</w:t>
      </w:r>
      <w:r>
        <w:rPr>
          <w:rFonts w:hint="eastAsia" w:ascii="宋体" w:hAnsi="宋体" w:cs="宋体"/>
          <w:spacing w:val="-2"/>
          <w:sz w:val="24"/>
        </w:rPr>
        <w:t>　合同将授予被确定为实质性响应谈判文件要求，经评定认为具备履行合同能力、报价合理、技术和商务条件都符合谈判文件要求的、报价最低的投标人。</w:t>
      </w:r>
    </w:p>
    <w:p>
      <w:pPr>
        <w:spacing w:line="440" w:lineRule="exact"/>
        <w:ind w:firstLine="472" w:firstLineChars="200"/>
        <w:rPr>
          <w:rFonts w:ascii="宋体" w:cs="宋体"/>
          <w:spacing w:val="-2"/>
          <w:sz w:val="24"/>
        </w:rPr>
      </w:pPr>
      <w:r>
        <w:rPr>
          <w:rFonts w:ascii="宋体" w:hAnsi="宋体" w:cs="宋体"/>
          <w:spacing w:val="-2"/>
          <w:sz w:val="24"/>
        </w:rPr>
        <w:t>21.3</w:t>
      </w:r>
      <w:r>
        <w:rPr>
          <w:rFonts w:hint="eastAsia" w:ascii="宋体" w:hAnsi="宋体" w:cs="宋体"/>
          <w:spacing w:val="-2"/>
          <w:sz w:val="24"/>
        </w:rPr>
        <w:t>　如果确定该投标人无条件圆满履行合同，谈判小组将对下一个可能中标的投标人资格做出类似的审查。</w:t>
      </w:r>
    </w:p>
    <w:p>
      <w:pPr>
        <w:spacing w:line="440" w:lineRule="exact"/>
        <w:ind w:firstLine="482" w:firstLineChars="200"/>
        <w:rPr>
          <w:rFonts w:ascii="宋体" w:cs="宋体"/>
          <w:b/>
          <w:sz w:val="24"/>
        </w:rPr>
      </w:pPr>
      <w:r>
        <w:rPr>
          <w:rFonts w:ascii="宋体" w:hAnsi="宋体" w:cs="宋体"/>
          <w:b/>
          <w:sz w:val="24"/>
        </w:rPr>
        <w:t>22</w:t>
      </w:r>
      <w:r>
        <w:rPr>
          <w:rFonts w:hint="eastAsia" w:ascii="宋体" w:hAnsi="宋体" w:cs="宋体"/>
          <w:b/>
          <w:sz w:val="24"/>
        </w:rPr>
        <w:t>、接受和拒绝任何或所有投标的权力</w:t>
      </w:r>
    </w:p>
    <w:p>
      <w:pPr>
        <w:spacing w:line="440" w:lineRule="exact"/>
        <w:ind w:firstLine="472" w:firstLineChars="200"/>
        <w:rPr>
          <w:rFonts w:ascii="宋体" w:cs="宋体"/>
          <w:spacing w:val="-2"/>
          <w:sz w:val="24"/>
        </w:rPr>
      </w:pPr>
      <w:r>
        <w:rPr>
          <w:rFonts w:ascii="宋体" w:hAnsi="宋体" w:cs="宋体"/>
          <w:spacing w:val="-2"/>
          <w:sz w:val="24"/>
        </w:rPr>
        <w:t>22.1</w:t>
      </w:r>
      <w:r>
        <w:rPr>
          <w:rFonts w:hint="eastAsia" w:ascii="宋体" w:hAnsi="宋体" w:cs="宋体"/>
          <w:spacing w:val="-2"/>
          <w:sz w:val="24"/>
        </w:rPr>
        <w:t>　为维护国家利益，谈判小组在授予合同之前仍有选择或拒绝任何投标的权力。</w:t>
      </w:r>
    </w:p>
    <w:p>
      <w:pPr>
        <w:spacing w:line="440" w:lineRule="exact"/>
        <w:ind w:firstLine="482" w:firstLineChars="200"/>
        <w:rPr>
          <w:rFonts w:ascii="宋体" w:cs="宋体"/>
          <w:b/>
          <w:sz w:val="24"/>
        </w:rPr>
      </w:pPr>
      <w:r>
        <w:rPr>
          <w:rFonts w:ascii="宋体" w:hAnsi="宋体" w:cs="宋体"/>
          <w:b/>
          <w:sz w:val="24"/>
        </w:rPr>
        <w:t>23</w:t>
      </w:r>
      <w:r>
        <w:rPr>
          <w:rFonts w:hint="eastAsia" w:ascii="宋体" w:hAnsi="宋体" w:cs="宋体"/>
          <w:b/>
          <w:sz w:val="24"/>
        </w:rPr>
        <w:t>、中标（成交）通知书</w:t>
      </w:r>
    </w:p>
    <w:p>
      <w:pPr>
        <w:spacing w:line="440" w:lineRule="exact"/>
        <w:ind w:firstLine="472" w:firstLineChars="200"/>
        <w:rPr>
          <w:rFonts w:ascii="宋体" w:cs="宋体"/>
          <w:spacing w:val="-2"/>
          <w:sz w:val="24"/>
        </w:rPr>
      </w:pPr>
      <w:r>
        <w:rPr>
          <w:rFonts w:ascii="宋体" w:hAnsi="宋体" w:cs="宋体"/>
          <w:spacing w:val="-2"/>
          <w:sz w:val="24"/>
        </w:rPr>
        <w:t>23.1</w:t>
      </w:r>
      <w:r>
        <w:rPr>
          <w:rFonts w:hint="eastAsia" w:ascii="宋体" w:hAnsi="宋体" w:cs="宋体"/>
          <w:spacing w:val="-2"/>
          <w:sz w:val="24"/>
        </w:rPr>
        <w:t>　</w:t>
      </w:r>
      <w:r>
        <w:rPr>
          <w:rFonts w:hint="eastAsia" w:ascii="宋体" w:hAnsi="宋体" w:cs="宋体"/>
          <w:sz w:val="24"/>
        </w:rPr>
        <w:t>采购人或者采购代理机构应当在成交公示期满后由</w:t>
      </w:r>
      <w:r>
        <w:rPr>
          <w:rFonts w:hint="eastAsia" w:ascii="宋体" w:hAnsi="宋体" w:cs="宋体"/>
          <w:spacing w:val="-2"/>
          <w:sz w:val="24"/>
        </w:rPr>
        <w:t>新疆同孚招投标有限公司将以书面形式发出《中标（成交）通知书》。《中标（成交）通知书》一经发出即发生法律效力。</w:t>
      </w:r>
    </w:p>
    <w:p>
      <w:pPr>
        <w:spacing w:line="440" w:lineRule="exact"/>
        <w:ind w:firstLine="472" w:firstLineChars="200"/>
        <w:rPr>
          <w:rFonts w:ascii="宋体" w:cs="宋体"/>
          <w:spacing w:val="-2"/>
          <w:sz w:val="24"/>
        </w:rPr>
      </w:pPr>
      <w:r>
        <w:rPr>
          <w:rFonts w:ascii="宋体" w:hAnsi="宋体" w:cs="宋体"/>
          <w:spacing w:val="-2"/>
          <w:sz w:val="24"/>
        </w:rPr>
        <w:t>23.2</w:t>
      </w:r>
      <w:r>
        <w:rPr>
          <w:rFonts w:hint="eastAsia" w:ascii="宋体" w:hAnsi="宋体" w:cs="宋体"/>
          <w:spacing w:val="-2"/>
          <w:sz w:val="24"/>
        </w:rPr>
        <w:t>　《中标（成交）通知书》将作为签订合同的依据。</w:t>
      </w:r>
    </w:p>
    <w:p>
      <w:pPr>
        <w:spacing w:line="440" w:lineRule="exact"/>
        <w:ind w:firstLine="472" w:firstLineChars="200"/>
        <w:rPr>
          <w:rFonts w:ascii="宋体" w:cs="宋体"/>
          <w:b/>
          <w:sz w:val="32"/>
          <w:szCs w:val="32"/>
        </w:rPr>
      </w:pPr>
      <w:r>
        <w:rPr>
          <w:rFonts w:ascii="宋体" w:hAnsi="宋体" w:cs="宋体"/>
          <w:spacing w:val="-2"/>
          <w:sz w:val="24"/>
        </w:rPr>
        <w:t>23.3</w:t>
      </w:r>
      <w:r>
        <w:rPr>
          <w:rFonts w:hint="eastAsia" w:ascii="宋体" w:hAnsi="宋体" w:cs="宋体"/>
          <w:spacing w:val="-2"/>
          <w:sz w:val="24"/>
        </w:rPr>
        <w:t>　中标（成交）方在领取《中标（成交）通知书》时，必须按竞争性谈判文件规定向招标代理机构缴纳招标代理服务费。</w:t>
      </w:r>
    </w:p>
    <w:p>
      <w:pPr>
        <w:pStyle w:val="3"/>
        <w:jc w:val="center"/>
        <w:rPr>
          <w:rFonts w:ascii="宋体" w:cs="宋体"/>
          <w:sz w:val="32"/>
          <w:szCs w:val="32"/>
        </w:rPr>
      </w:pPr>
      <w:bookmarkStart w:id="11" w:name="_Toc503519664"/>
      <w:r>
        <w:rPr>
          <w:rFonts w:hint="eastAsia" w:ascii="宋体" w:hAnsi="宋体" w:cs="宋体"/>
          <w:sz w:val="32"/>
          <w:szCs w:val="32"/>
        </w:rPr>
        <w:t>第六章</w:t>
      </w:r>
      <w:r>
        <w:rPr>
          <w:rFonts w:ascii="宋体" w:hAnsi="宋体" w:cs="宋体"/>
          <w:sz w:val="32"/>
          <w:szCs w:val="32"/>
        </w:rPr>
        <w:t xml:space="preserve">  </w:t>
      </w:r>
      <w:r>
        <w:rPr>
          <w:rFonts w:hint="eastAsia" w:ascii="宋体" w:hAnsi="宋体" w:cs="宋体"/>
          <w:sz w:val="32"/>
          <w:szCs w:val="32"/>
        </w:rPr>
        <w:t>授予合同</w:t>
      </w:r>
      <w:bookmarkEnd w:id="11"/>
    </w:p>
    <w:p>
      <w:pPr>
        <w:spacing w:line="440" w:lineRule="exact"/>
        <w:ind w:firstLine="482" w:firstLineChars="200"/>
        <w:rPr>
          <w:rFonts w:ascii="宋体" w:cs="宋体"/>
          <w:b/>
          <w:sz w:val="24"/>
        </w:rPr>
      </w:pPr>
      <w:r>
        <w:rPr>
          <w:rFonts w:ascii="宋体" w:hAnsi="宋体" w:cs="宋体"/>
          <w:b/>
          <w:sz w:val="24"/>
        </w:rPr>
        <w:t>24</w:t>
      </w:r>
      <w:r>
        <w:rPr>
          <w:rFonts w:hint="eastAsia" w:ascii="宋体" w:hAnsi="宋体" w:cs="宋体"/>
          <w:b/>
          <w:sz w:val="24"/>
        </w:rPr>
        <w:t>、签订合同</w:t>
      </w:r>
    </w:p>
    <w:p>
      <w:pPr>
        <w:spacing w:line="440" w:lineRule="exact"/>
        <w:ind w:firstLine="472" w:firstLineChars="200"/>
        <w:rPr>
          <w:rFonts w:ascii="宋体" w:cs="宋体"/>
          <w:spacing w:val="-2"/>
          <w:sz w:val="24"/>
        </w:rPr>
      </w:pPr>
      <w:r>
        <w:rPr>
          <w:rFonts w:ascii="宋体" w:hAnsi="宋体" w:cs="宋体"/>
          <w:spacing w:val="-2"/>
          <w:sz w:val="24"/>
        </w:rPr>
        <w:t>24.1</w:t>
      </w:r>
      <w:r>
        <w:rPr>
          <w:rFonts w:hint="eastAsia" w:ascii="宋体" w:hAnsi="宋体" w:cs="宋体"/>
          <w:spacing w:val="-2"/>
          <w:sz w:val="24"/>
        </w:rPr>
        <w:t>　中标方收到招标方的《中标通知书》后</w:t>
      </w:r>
      <w:r>
        <w:rPr>
          <w:rFonts w:ascii="宋体" w:hAnsi="宋体" w:cs="宋体"/>
          <w:spacing w:val="-2"/>
          <w:sz w:val="24"/>
        </w:rPr>
        <w:t>5</w:t>
      </w:r>
      <w:r>
        <w:rPr>
          <w:rFonts w:hint="eastAsia" w:ascii="宋体" w:hAnsi="宋体" w:cs="宋体"/>
          <w:spacing w:val="-2"/>
          <w:sz w:val="24"/>
        </w:rPr>
        <w:t>日内，按照竞争性谈判文件的约定和中标方响应性文件中的承诺与采购单位签订书面合同，所签订的合同不得对竞争性谈判文件和中标方的谈判文件作实质性修改。</w:t>
      </w:r>
    </w:p>
    <w:p>
      <w:pPr>
        <w:spacing w:line="440" w:lineRule="exact"/>
        <w:ind w:firstLine="472" w:firstLineChars="200"/>
        <w:rPr>
          <w:rFonts w:ascii="宋体" w:cs="宋体"/>
          <w:spacing w:val="-2"/>
          <w:sz w:val="24"/>
        </w:rPr>
      </w:pPr>
      <w:r>
        <w:rPr>
          <w:rFonts w:ascii="宋体" w:hAnsi="宋体" w:cs="宋体"/>
          <w:spacing w:val="-2"/>
          <w:sz w:val="24"/>
        </w:rPr>
        <w:t xml:space="preserve">24.2  </w:t>
      </w:r>
      <w:r>
        <w:rPr>
          <w:rFonts w:hint="eastAsia" w:ascii="宋体" w:hAnsi="宋体" w:cs="宋体"/>
          <w:spacing w:val="-2"/>
          <w:sz w:val="24"/>
        </w:rPr>
        <w:t>招标方在授予合同时，</w:t>
      </w:r>
      <w:r>
        <w:rPr>
          <w:rFonts w:hint="eastAsia" w:ascii="宋体" w:hAnsi="宋体" w:cs="宋体"/>
          <w:sz w:val="24"/>
        </w:rPr>
        <w:t>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cs="宋体"/>
          <w:spacing w:val="-2"/>
          <w:sz w:val="24"/>
        </w:rPr>
        <w:t>。</w:t>
      </w:r>
    </w:p>
    <w:p>
      <w:pPr>
        <w:spacing w:line="440" w:lineRule="exact"/>
        <w:ind w:firstLine="472" w:firstLineChars="200"/>
        <w:rPr>
          <w:rFonts w:ascii="宋体" w:cs="宋体"/>
          <w:spacing w:val="-2"/>
          <w:sz w:val="24"/>
        </w:rPr>
      </w:pPr>
      <w:r>
        <w:rPr>
          <w:rFonts w:ascii="宋体" w:hAnsi="宋体" w:cs="宋体"/>
          <w:spacing w:val="-2"/>
          <w:sz w:val="24"/>
        </w:rPr>
        <w:t xml:space="preserve">24.3  </w:t>
      </w:r>
      <w:r>
        <w:rPr>
          <w:rFonts w:hint="eastAsia" w:ascii="宋体" w:hAnsi="宋体" w:cs="宋体"/>
          <w:spacing w:val="-2"/>
          <w:sz w:val="24"/>
        </w:rPr>
        <w:t>如中标方拒签合同，则按违约处理。招标方没收其谈判保证金。</w:t>
      </w:r>
    </w:p>
    <w:p>
      <w:pPr>
        <w:spacing w:line="440" w:lineRule="exact"/>
        <w:ind w:firstLine="472" w:firstLineChars="200"/>
        <w:rPr>
          <w:rFonts w:ascii="宋体" w:cs="宋体"/>
          <w:spacing w:val="-2"/>
          <w:sz w:val="24"/>
        </w:rPr>
      </w:pPr>
      <w:r>
        <w:rPr>
          <w:rFonts w:ascii="宋体" w:hAnsi="宋体" w:cs="宋体"/>
          <w:spacing w:val="-2"/>
          <w:sz w:val="24"/>
        </w:rPr>
        <w:t xml:space="preserve">24.4  </w:t>
      </w:r>
      <w:r>
        <w:rPr>
          <w:rFonts w:hint="eastAsia" w:ascii="宋体" w:hAnsi="宋体" w:cs="宋体"/>
          <w:spacing w:val="-2"/>
          <w:sz w:val="24"/>
        </w:rPr>
        <w:t>竞争性谈判文件、中标方的响应性文件及其澄清文件等，均为签订经济合同的依据。</w:t>
      </w:r>
    </w:p>
    <w:p>
      <w:pPr>
        <w:spacing w:line="440" w:lineRule="exact"/>
        <w:ind w:firstLine="472" w:firstLineChars="200"/>
        <w:rPr>
          <w:rFonts w:ascii="宋体" w:cs="宋体"/>
          <w:spacing w:val="-2"/>
          <w:sz w:val="24"/>
        </w:rPr>
      </w:pPr>
      <w:r>
        <w:rPr>
          <w:rFonts w:ascii="宋体" w:hAnsi="宋体" w:cs="宋体"/>
          <w:spacing w:val="-2"/>
          <w:sz w:val="24"/>
        </w:rPr>
        <w:t xml:space="preserve">24.5  </w:t>
      </w:r>
      <w:r>
        <w:rPr>
          <w:rFonts w:hint="eastAsia" w:ascii="宋体" w:hAnsi="宋体" w:cs="宋体"/>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竞争性谈判文件的约定和响应性文件的承诺及相关约定。</w:t>
      </w:r>
    </w:p>
    <w:p>
      <w:pPr>
        <w:spacing w:line="440" w:lineRule="exact"/>
        <w:jc w:val="center"/>
        <w:outlineLvl w:val="0"/>
        <w:rPr>
          <w:rFonts w:ascii="宋体" w:cs="宋体"/>
          <w:sz w:val="36"/>
          <w:szCs w:val="36"/>
        </w:rPr>
      </w:pPr>
      <w:r>
        <w:rPr>
          <w:rFonts w:ascii="宋体" w:cs="宋体"/>
          <w:b/>
          <w:sz w:val="36"/>
        </w:rPr>
        <w:br w:type="page"/>
      </w:r>
      <w:bookmarkStart w:id="12" w:name="_Toc503519665"/>
      <w:r>
        <w:rPr>
          <w:rFonts w:ascii="宋体" w:hAnsi="宋体" w:cs="宋体"/>
          <w:sz w:val="36"/>
          <w:szCs w:val="36"/>
        </w:rPr>
        <w:t xml:space="preserve"> </w:t>
      </w:r>
      <w:r>
        <w:rPr>
          <w:rFonts w:hint="eastAsia" w:ascii="宋体" w:hAnsi="宋体" w:cs="宋体"/>
          <w:sz w:val="36"/>
          <w:szCs w:val="36"/>
        </w:rPr>
        <w:t>第四部分 采购货物清单及技术参数</w:t>
      </w:r>
      <w:bookmarkEnd w:id="12"/>
      <w:bookmarkStart w:id="13" w:name="_Toc503519666"/>
      <w:bookmarkStart w:id="14" w:name="_Toc495414113"/>
    </w:p>
    <w:bookmarkEnd w:id="13"/>
    <w:bookmarkEnd w:id="14"/>
    <w:p>
      <w:pPr>
        <w:pStyle w:val="63"/>
        <w:tabs>
          <w:tab w:val="left" w:pos="4125"/>
        </w:tabs>
        <w:spacing w:before="166" w:beforeLines="50" w:after="166" w:afterLines="50"/>
        <w:ind w:firstLineChars="0"/>
        <w:rPr>
          <w:rFonts w:ascii="宋体" w:hAnsi="宋体" w:cs="宋体"/>
          <w:b/>
          <w:color w:val="auto"/>
          <w:spacing w:val="-2"/>
          <w:highlight w:val="none"/>
        </w:rPr>
      </w:pPr>
      <w:r>
        <w:rPr>
          <w:rFonts w:hint="eastAsia" w:ascii="宋体" w:hAnsi="宋体" w:cs="宋体"/>
          <w:b/>
          <w:color w:val="auto"/>
          <w:spacing w:val="-2"/>
          <w:highlight w:val="none"/>
        </w:rPr>
        <w:t>一、采购货物清单:</w:t>
      </w:r>
    </w:p>
    <w:p>
      <w:pPr>
        <w:pStyle w:val="63"/>
        <w:tabs>
          <w:tab w:val="left" w:pos="4125"/>
        </w:tabs>
        <w:spacing w:before="166" w:beforeLines="50" w:after="166" w:afterLines="50"/>
        <w:ind w:left="510" w:firstLine="0" w:firstLineChars="0"/>
        <w:rPr>
          <w:rFonts w:ascii="宋体" w:hAnsi="宋体" w:cs="宋体"/>
          <w:b/>
          <w:color w:val="auto"/>
          <w:highlight w:val="none"/>
        </w:rPr>
      </w:pPr>
      <w:r>
        <w:rPr>
          <w:rFonts w:hint="eastAsia" w:ascii="宋体" w:hAnsi="宋体" w:cs="宋体"/>
          <w:b/>
          <w:color w:val="auto"/>
          <w:spacing w:val="-2"/>
          <w:szCs w:val="24"/>
          <w:highlight w:val="none"/>
        </w:rPr>
        <w:t>第1包：</w:t>
      </w:r>
      <w:r>
        <w:rPr>
          <w:rFonts w:hint="eastAsia" w:ascii="宋体" w:hAnsi="宋体" w:cs="宋体"/>
          <w:b/>
          <w:color w:val="auto"/>
          <w:highlight w:val="none"/>
        </w:rPr>
        <w:t>电工材料类选取1家服务商      预算金额：</w:t>
      </w:r>
      <w:r>
        <w:rPr>
          <w:rFonts w:ascii="宋体" w:hAnsi="宋体" w:cs="宋体"/>
          <w:b/>
          <w:color w:val="auto"/>
          <w:highlight w:val="none"/>
        </w:rPr>
        <w:t>400000</w:t>
      </w:r>
      <w:r>
        <w:rPr>
          <w:rFonts w:hint="eastAsia" w:ascii="宋体" w:hAnsi="宋体" w:cs="宋体"/>
          <w:b/>
          <w:color w:val="auto"/>
          <w:highlight w:val="none"/>
        </w:rPr>
        <w:t>元/年</w:t>
      </w:r>
    </w:p>
    <w:tbl>
      <w:tblPr>
        <w:tblStyle w:val="23"/>
        <w:tblW w:w="5000" w:type="pct"/>
        <w:tblInd w:w="0" w:type="dxa"/>
        <w:tblLayout w:type="fixed"/>
        <w:tblCellMar>
          <w:top w:w="0" w:type="dxa"/>
          <w:left w:w="108" w:type="dxa"/>
          <w:bottom w:w="0" w:type="dxa"/>
          <w:right w:w="108" w:type="dxa"/>
        </w:tblCellMar>
      </w:tblPr>
      <w:tblGrid>
        <w:gridCol w:w="864"/>
        <w:gridCol w:w="2049"/>
        <w:gridCol w:w="1594"/>
        <w:gridCol w:w="1350"/>
        <w:gridCol w:w="980"/>
        <w:gridCol w:w="1686"/>
      </w:tblGrid>
      <w:tr>
        <w:tblPrEx>
          <w:tblCellMar>
            <w:top w:w="0" w:type="dxa"/>
            <w:left w:w="108" w:type="dxa"/>
            <w:bottom w:w="0" w:type="dxa"/>
            <w:right w:w="108" w:type="dxa"/>
          </w:tblCellMar>
        </w:tblPrEx>
        <w:trPr>
          <w:trHeight w:val="559" w:hRule="atLeast"/>
        </w:trPr>
        <w:tc>
          <w:tcPr>
            <w:tcW w:w="50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  号</w:t>
            </w:r>
          </w:p>
        </w:tc>
        <w:tc>
          <w:tcPr>
            <w:tcW w:w="1202"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产品名称</w:t>
            </w:r>
          </w:p>
        </w:tc>
        <w:tc>
          <w:tcPr>
            <w:tcW w:w="935"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规  格</w:t>
            </w:r>
          </w:p>
        </w:tc>
        <w:tc>
          <w:tcPr>
            <w:tcW w:w="792"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拟采购数量</w:t>
            </w:r>
          </w:p>
        </w:tc>
        <w:tc>
          <w:tcPr>
            <w:tcW w:w="575"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单 位</w:t>
            </w:r>
          </w:p>
        </w:tc>
        <w:tc>
          <w:tcPr>
            <w:tcW w:w="989"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最高限价（元）</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PVC管</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穿线管 （PVC)</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3.1</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PVC</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PVC</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PVC</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2.6</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PVC</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3.6</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PVC</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铝合金</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3CM</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铝合金</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4CM</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铝合金</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5CM</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铝合金</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6CM</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20-20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3TH40-40E DC110V</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17</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CJ20-10A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CJ20-25A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19</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CJX2-0910 220V</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42</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CJX2-1810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21</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CJX2-2510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CJX2-25A-220V</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CJX2-3210 220V</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118.7</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24</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CJX2-3210 380V</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118.7</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CJX2-501</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26</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JX2-1210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45.6</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27</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交流接触器 施耐德  </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LC1-D0910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 施耐德</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LC1D4011</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247</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29</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 施耐德</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LC1D-8011</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 西门子</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3TF42 220V</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268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31</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 西门子</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448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32</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3TF3010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3TF4222</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34</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3TH4040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134</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3TH4262</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36</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 施耐德</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LC1D0901</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37</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 西门子</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3TF30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325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 西门子</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3TF40-22E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248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39</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过欠压保护器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HHD5-1 220V</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熔断器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支</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1670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41</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熔断器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630A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1950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42</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熔断器保险</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43</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熔断器保险</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630A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195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44</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JR36-160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46</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JR36-20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47</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JR36-63A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48</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JRS1-09-25 20A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49</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JRS1-25 16A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按钮</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LA38-11</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51</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按钮开关</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KND2</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52</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零排线 铜质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大孔5孔</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53</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零排线 铜质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小孔10孔</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54</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零排线 铜质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小孔5孔</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零排线 铜质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小孔7孔</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56</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明线盒</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4.4</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57</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40*20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58</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400*300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59</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400*500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60</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500*600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61</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600*700*200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62</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PZ30-12</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63</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PZ30-15</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90.2</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64</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PZ30-4</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65</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PZ30-6</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66</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PZ30-8</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67</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 帯电器</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7.5KW</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2350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68</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 帯电器</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2400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69</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 含配件</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400*500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70</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配电箱锁</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大号</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71</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百叶换气扇</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250*250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72</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保险底座</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NT100 125A</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73</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保险底座</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NT100 63A</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74</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电磁阀（开水锅）</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DN12  24V </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75</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蓄电池 </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6-QW-200N</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2200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76</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电力电容</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BSMJ0.4KV 15KVAR</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77</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电流表（钳形）</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UT200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78</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电瓶</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12V  42A</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79</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防水盒</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国标</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5.7</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80</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防水胶布</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大</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卷</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81</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高压胶布</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卷</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82</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焊锡膏</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成分含量</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盒</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83</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焊锡丝</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1.2单位、成分含量</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卷</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116</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84</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换气扇</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220v </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换气扇</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380v </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86</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换气扇</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400*400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87</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换气扇</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300*300 25A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88</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换气扇 </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BE12-13</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89</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黄腊管</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φ10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90</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黄腊管</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φ12</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91</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集成风扇</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300*300 220v</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92</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开水锅探针</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380V 30CM</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93</w:t>
            </w:r>
          </w:p>
        </w:tc>
        <w:tc>
          <w:tcPr>
            <w:tcW w:w="1202" w:type="pct"/>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膨胀管</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φ6</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包</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94</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启动按钮</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LAY3</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95</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启辉器</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96</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桥架</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100*100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97</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桥架</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200*5</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98</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热缩管</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φ3</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99</w:t>
            </w:r>
          </w:p>
        </w:tc>
        <w:tc>
          <w:tcPr>
            <w:tcW w:w="1202" w:type="pct"/>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水位探头</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220V</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铜鼻子</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101</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轴流风机</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220V-550W</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102</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轴流风机</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380V500W</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103</w:t>
            </w:r>
          </w:p>
        </w:tc>
        <w:tc>
          <w:tcPr>
            <w:tcW w:w="1202" w:type="pct"/>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轴流风机电机</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380V  0.75KW</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104</w:t>
            </w:r>
          </w:p>
        </w:tc>
        <w:tc>
          <w:tcPr>
            <w:tcW w:w="1202"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φ16</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w:t>
            </w:r>
          </w:p>
        </w:tc>
        <w:tc>
          <w:tcPr>
            <w:tcW w:w="57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9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105</w:t>
            </w:r>
          </w:p>
        </w:tc>
        <w:tc>
          <w:tcPr>
            <w:tcW w:w="1202"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φ20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w:t>
            </w:r>
          </w:p>
        </w:tc>
        <w:tc>
          <w:tcPr>
            <w:tcW w:w="57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9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106</w:t>
            </w:r>
          </w:p>
        </w:tc>
        <w:tc>
          <w:tcPr>
            <w:tcW w:w="1202"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φ25</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w:t>
            </w:r>
          </w:p>
        </w:tc>
        <w:tc>
          <w:tcPr>
            <w:tcW w:w="57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9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107</w:t>
            </w:r>
          </w:p>
        </w:tc>
        <w:tc>
          <w:tcPr>
            <w:tcW w:w="1202"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穿线管 （PVC)</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P20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150</w:t>
            </w:r>
          </w:p>
        </w:tc>
        <w:tc>
          <w:tcPr>
            <w:tcW w:w="57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108</w:t>
            </w:r>
          </w:p>
        </w:tc>
        <w:tc>
          <w:tcPr>
            <w:tcW w:w="1202"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PVC管</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7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9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109</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3P-60A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110</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CDM11-100L/4300</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111</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DZ47P60A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112</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空气开关 </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3P100A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113</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空气开关 </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3P60A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114</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 带漏电保护</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2P25A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115</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空气开关 </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DZ47-3P40A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31</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116</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空气开关1P16A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117</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空气开关1P16A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118</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空气开关1P20A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119</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空气开关1P-20A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DZ47LE19</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120</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空气开关1P25A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DE47LE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121</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空气开关1P25A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122</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空气开关1P32A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DE47LE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123</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空气开关2P16A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DE47LE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124</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空气开关2P20</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DE47LE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125</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空气开关2P20A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126</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空气开关2P25A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127</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空气开关2P25A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128</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空气开关2P32A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129</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空气开关2P32A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130</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空气开关2P40A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27</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131</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空气开关2P40A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132</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空气开关2P60A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133</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空气开关2P80A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DZ158</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134</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空气开关3P100A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135</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空气开关3P20A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136</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空气开关3P20A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LEDZ47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137</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空气开关3P25A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138</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空气开关3P32A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139</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空气开关3P40A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140</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空气开关3P-40A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LEDZ47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141</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空气开关3P60A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DA47LE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142</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空气开关3P60A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143</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空气开关3P80A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DZ158</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144</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空气开关3P80A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DZ158LE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145</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空气开关4P25A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61</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146</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空气开关4P80A</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DZ158LE</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110</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147</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三联开关</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19.6</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148</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三相插头</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4.2</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149</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三相插头</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6.1</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150</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三相插座 模数化</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151</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声光控制开关</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152</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声控开关</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36</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153</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双联开关 </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154</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时控开关 微电脑</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220v</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168</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155</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五孔插座</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156</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五孔插座 </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157</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按钮</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LA38-11</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158</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按钮开关</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KND2</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159</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白面板</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国标</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160</w:t>
            </w:r>
          </w:p>
        </w:tc>
        <w:tc>
          <w:tcPr>
            <w:tcW w:w="1202" w:type="pct"/>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两眼插头</w:t>
            </w:r>
          </w:p>
        </w:tc>
        <w:tc>
          <w:tcPr>
            <w:tcW w:w="93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792"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w:t>
            </w:r>
          </w:p>
        </w:tc>
        <w:tc>
          <w:tcPr>
            <w:tcW w:w="575"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r>
      <w:tr>
        <w:tblPrEx>
          <w:tblCellMar>
            <w:top w:w="0" w:type="dxa"/>
            <w:left w:w="108" w:type="dxa"/>
            <w:bottom w:w="0" w:type="dxa"/>
            <w:right w:w="108" w:type="dxa"/>
          </w:tblCellMar>
        </w:tblPrEx>
        <w:trPr>
          <w:trHeight w:val="240" w:hRule="atLeast"/>
        </w:trPr>
        <w:tc>
          <w:tcPr>
            <w:tcW w:w="50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161</w:t>
            </w:r>
          </w:p>
        </w:tc>
        <w:tc>
          <w:tcPr>
            <w:tcW w:w="1202" w:type="pct"/>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单联开关（飞雕）</w:t>
            </w:r>
          </w:p>
        </w:tc>
        <w:tc>
          <w:tcPr>
            <w:tcW w:w="93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大板</w:t>
            </w:r>
          </w:p>
        </w:tc>
        <w:tc>
          <w:tcPr>
            <w:tcW w:w="79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w:t>
            </w:r>
          </w:p>
        </w:tc>
        <w:tc>
          <w:tcPr>
            <w:tcW w:w="575"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989"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9.5</w:t>
            </w:r>
          </w:p>
        </w:tc>
      </w:tr>
    </w:tbl>
    <w:p>
      <w:pPr>
        <w:spacing w:line="440" w:lineRule="exact"/>
        <w:ind w:firstLine="120" w:firstLineChars="50"/>
        <w:outlineLvl w:val="1"/>
        <w:rPr>
          <w:rFonts w:ascii="宋体" w:hAnsi="宋体" w:cs="宋体"/>
          <w:b/>
          <w:color w:val="auto"/>
          <w:sz w:val="24"/>
          <w:highlight w:val="none"/>
        </w:rPr>
      </w:pPr>
      <w:r>
        <w:rPr>
          <w:rFonts w:hint="eastAsia" w:ascii="宋体" w:hAnsi="宋体" w:cs="宋体"/>
          <w:b/>
          <w:color w:val="auto"/>
          <w:sz w:val="24"/>
          <w:highlight w:val="none"/>
        </w:rPr>
        <w:t>商务及其他要求：</w:t>
      </w:r>
    </w:p>
    <w:p>
      <w:pPr>
        <w:spacing w:line="440" w:lineRule="exact"/>
        <w:ind w:firstLine="120" w:firstLineChars="50"/>
        <w:outlineLvl w:val="1"/>
        <w:rPr>
          <w:rStyle w:val="78"/>
          <w:rFonts w:ascii="宋体" w:hAnsi="宋体"/>
          <w:color w:val="auto"/>
          <w:sz w:val="24"/>
          <w:highlight w:val="none"/>
        </w:rPr>
      </w:pPr>
      <w:r>
        <w:rPr>
          <w:rStyle w:val="78"/>
          <w:rFonts w:hint="eastAsia" w:ascii="宋体" w:hAnsi="宋体"/>
          <w:color w:val="auto"/>
          <w:sz w:val="24"/>
          <w:highlight w:val="none"/>
        </w:rPr>
        <w:t>1、规格型号执行国家现行通用标准。</w:t>
      </w:r>
    </w:p>
    <w:p>
      <w:pPr>
        <w:spacing w:line="440" w:lineRule="exact"/>
        <w:ind w:firstLine="120" w:firstLineChars="50"/>
        <w:outlineLvl w:val="1"/>
        <w:rPr>
          <w:rStyle w:val="78"/>
          <w:rFonts w:ascii="宋体" w:hAnsi="宋体"/>
          <w:color w:val="auto"/>
          <w:sz w:val="24"/>
          <w:highlight w:val="none"/>
        </w:rPr>
      </w:pPr>
      <w:r>
        <w:rPr>
          <w:rStyle w:val="78"/>
          <w:rFonts w:hint="eastAsia" w:ascii="宋体" w:hAnsi="宋体"/>
          <w:color w:val="auto"/>
          <w:sz w:val="24"/>
          <w:highlight w:val="none"/>
        </w:rPr>
        <w:t>2、制造工艺执行国家现行通用标准。</w:t>
      </w:r>
    </w:p>
    <w:p>
      <w:pPr>
        <w:spacing w:line="440" w:lineRule="exact"/>
        <w:ind w:firstLine="120" w:firstLineChars="50"/>
        <w:outlineLvl w:val="1"/>
        <w:rPr>
          <w:rStyle w:val="78"/>
          <w:rFonts w:ascii="宋体" w:hAnsi="宋体"/>
          <w:color w:val="auto"/>
          <w:sz w:val="24"/>
          <w:highlight w:val="none"/>
        </w:rPr>
      </w:pPr>
      <w:r>
        <w:rPr>
          <w:rStyle w:val="78"/>
          <w:rFonts w:hint="eastAsia" w:ascii="宋体" w:hAnsi="宋体"/>
          <w:color w:val="auto"/>
          <w:sz w:val="24"/>
          <w:highlight w:val="none"/>
        </w:rPr>
        <w:t>3、提供质监部门的相关质量证明书。</w:t>
      </w:r>
    </w:p>
    <w:p>
      <w:pPr>
        <w:spacing w:line="440" w:lineRule="exact"/>
        <w:ind w:left="105" w:leftChars="50"/>
        <w:jc w:val="left"/>
        <w:outlineLvl w:val="1"/>
        <w:rPr>
          <w:rStyle w:val="78"/>
          <w:rFonts w:ascii="宋体" w:hAnsi="宋体"/>
          <w:color w:val="auto"/>
          <w:sz w:val="24"/>
          <w:highlight w:val="none"/>
        </w:rPr>
      </w:pPr>
      <w:r>
        <w:rPr>
          <w:rStyle w:val="78"/>
          <w:rFonts w:hint="eastAsia" w:ascii="宋体" w:hAnsi="宋体"/>
          <w:color w:val="auto"/>
          <w:sz w:val="24"/>
          <w:highlight w:val="none"/>
        </w:rPr>
        <w:t xml:space="preserve">4、所报数量为年预算采购数量，按照甲方每月实际用量执行。                                                          5、接到订货通知后，在24小时内响应并完成送货，急需物资2小时内响应并完成送货。                                                                6、付款方式：根据每月实际采购量按医院6个月审核期限后付款。                        </w:t>
      </w:r>
    </w:p>
    <w:p>
      <w:pPr>
        <w:spacing w:line="440" w:lineRule="exact"/>
        <w:ind w:firstLine="120" w:firstLineChars="50"/>
        <w:outlineLvl w:val="1"/>
        <w:rPr>
          <w:rStyle w:val="78"/>
          <w:rFonts w:ascii="宋体" w:hAnsi="宋体"/>
          <w:color w:val="auto"/>
          <w:sz w:val="24"/>
          <w:highlight w:val="none"/>
        </w:rPr>
      </w:pPr>
      <w:r>
        <w:rPr>
          <w:rStyle w:val="78"/>
          <w:rFonts w:hint="eastAsia" w:ascii="宋体" w:hAnsi="宋体"/>
          <w:color w:val="auto"/>
          <w:sz w:val="24"/>
          <w:highlight w:val="none"/>
        </w:rPr>
        <w:t>7、产品质保</w:t>
      </w:r>
      <w:r>
        <w:rPr>
          <w:rStyle w:val="78"/>
          <w:rFonts w:hint="eastAsia" w:ascii="宋体" w:hAnsi="宋体"/>
          <w:color w:val="auto"/>
          <w:sz w:val="24"/>
          <w:highlight w:val="none"/>
          <w:lang w:eastAsia="zh-CN"/>
        </w:rPr>
        <w:t>：</w:t>
      </w:r>
      <w:r>
        <w:rPr>
          <w:rStyle w:val="78"/>
          <w:rFonts w:hint="eastAsia" w:ascii="宋体" w:hAnsi="宋体"/>
          <w:color w:val="auto"/>
          <w:sz w:val="24"/>
          <w:highlight w:val="none"/>
        </w:rPr>
        <w:t xml:space="preserve">一年以上。                                                                       </w:t>
      </w:r>
    </w:p>
    <w:p>
      <w:pPr>
        <w:spacing w:line="440" w:lineRule="exact"/>
        <w:ind w:firstLine="120" w:firstLineChars="50"/>
        <w:outlineLvl w:val="1"/>
        <w:rPr>
          <w:rStyle w:val="78"/>
          <w:rFonts w:ascii="宋体" w:hAnsi="宋体"/>
          <w:color w:val="auto"/>
          <w:sz w:val="24"/>
          <w:highlight w:val="none"/>
        </w:rPr>
      </w:pPr>
      <w:r>
        <w:rPr>
          <w:rStyle w:val="78"/>
          <w:rFonts w:hint="eastAsia" w:ascii="宋体" w:hAnsi="宋体"/>
          <w:color w:val="auto"/>
          <w:sz w:val="24"/>
          <w:highlight w:val="none"/>
        </w:rPr>
        <w:t>8、服务期限2年。</w:t>
      </w:r>
    </w:p>
    <w:p>
      <w:pPr>
        <w:spacing w:line="440" w:lineRule="exact"/>
        <w:outlineLvl w:val="1"/>
        <w:rPr>
          <w:rFonts w:ascii="宋体" w:hAnsi="宋体" w:cs="宋体"/>
          <w:b/>
          <w:color w:val="auto"/>
          <w:sz w:val="24"/>
          <w:highlight w:val="none"/>
        </w:rPr>
      </w:pPr>
    </w:p>
    <w:p>
      <w:pPr>
        <w:spacing w:line="440" w:lineRule="exact"/>
        <w:outlineLvl w:val="1"/>
        <w:rPr>
          <w:rFonts w:ascii="宋体" w:hAnsi="宋体" w:cs="宋体"/>
          <w:b/>
          <w:color w:val="auto"/>
          <w:sz w:val="24"/>
          <w:highlight w:val="none"/>
        </w:rPr>
      </w:pPr>
      <w:r>
        <w:rPr>
          <w:rFonts w:hint="eastAsia" w:ascii="宋体" w:hAnsi="宋体" w:cs="宋体"/>
          <w:b/>
          <w:color w:val="auto"/>
          <w:sz w:val="24"/>
          <w:highlight w:val="none"/>
        </w:rPr>
        <w:t>（一）投标人需注意：</w:t>
      </w:r>
    </w:p>
    <w:p>
      <w:pPr>
        <w:spacing w:line="440" w:lineRule="exact"/>
        <w:outlineLvl w:val="1"/>
        <w:rPr>
          <w:rFonts w:ascii="宋体" w:hAnsi="宋体" w:cs="宋体"/>
          <w:color w:val="auto"/>
          <w:sz w:val="24"/>
          <w:highlight w:val="none"/>
        </w:rPr>
      </w:pPr>
      <w:r>
        <w:rPr>
          <w:rFonts w:hint="eastAsia" w:ascii="宋体" w:hAnsi="宋体" w:cs="宋体"/>
          <w:color w:val="auto"/>
          <w:sz w:val="24"/>
          <w:highlight w:val="none"/>
        </w:rPr>
        <w:t>1、配送时间、地点：供应商将订单内产品按甲方规定的时间送达指定地点，供应商提供</w:t>
      </w:r>
      <w:r>
        <w:rPr>
          <w:rFonts w:hint="eastAsia" w:ascii="宋体" w:hAnsi="宋体" w:cs="宋体"/>
          <w:b/>
          <w:bCs/>
          <w:color w:val="auto"/>
          <w:sz w:val="24"/>
          <w:highlight w:val="none"/>
        </w:rPr>
        <w:t>机打《货物清单》（非手写）一式三份</w:t>
      </w:r>
      <w:r>
        <w:rPr>
          <w:rFonts w:hint="eastAsia" w:ascii="宋体" w:hAnsi="宋体" w:cs="宋体"/>
          <w:color w:val="auto"/>
          <w:sz w:val="24"/>
          <w:highlight w:val="none"/>
        </w:rPr>
        <w:t>，并提供《验收配送单》一式三份，安装调试能正常使用并验收签名，作结算凭证。（相关单据须按照甲方要求格式提供）</w:t>
      </w:r>
    </w:p>
    <w:p>
      <w:pPr>
        <w:spacing w:line="440" w:lineRule="exact"/>
        <w:outlineLvl w:val="1"/>
        <w:rPr>
          <w:rFonts w:ascii="宋体" w:hAnsi="宋体" w:cs="宋体"/>
          <w:color w:val="auto"/>
          <w:sz w:val="24"/>
          <w:highlight w:val="none"/>
        </w:rPr>
      </w:pPr>
      <w:r>
        <w:rPr>
          <w:rFonts w:hint="eastAsia" w:ascii="宋体" w:hAnsi="宋体" w:cs="宋体"/>
          <w:color w:val="auto"/>
          <w:sz w:val="24"/>
          <w:highlight w:val="none"/>
        </w:rPr>
        <w:t>2、发票要求：供应商须具备开具与营业执照企业名称相符的正规发票及发票税务稽查单并加盖公章、财务专用章或发票专用章。</w:t>
      </w:r>
    </w:p>
    <w:p>
      <w:pPr>
        <w:spacing w:line="440" w:lineRule="exact"/>
        <w:outlineLvl w:val="1"/>
        <w:rPr>
          <w:rFonts w:ascii="宋体" w:hAnsi="宋体" w:cs="宋体"/>
          <w:color w:val="auto"/>
          <w:sz w:val="24"/>
          <w:highlight w:val="none"/>
        </w:rPr>
      </w:pPr>
      <w:r>
        <w:rPr>
          <w:rFonts w:hint="eastAsia" w:ascii="宋体" w:hAnsi="宋体" w:cs="宋体"/>
          <w:color w:val="auto"/>
          <w:sz w:val="24"/>
          <w:highlight w:val="none"/>
        </w:rPr>
        <w:t>3、产品在验收中出现质量问题供应商免费进行更换，并不得加价。</w:t>
      </w:r>
    </w:p>
    <w:p>
      <w:pPr>
        <w:spacing w:line="440" w:lineRule="exact"/>
        <w:outlineLvl w:val="1"/>
        <w:rPr>
          <w:rFonts w:ascii="宋体" w:hAnsi="宋体" w:cs="宋体"/>
          <w:color w:val="auto"/>
          <w:sz w:val="24"/>
          <w:highlight w:val="none"/>
        </w:rPr>
      </w:pPr>
      <w:r>
        <w:rPr>
          <w:rFonts w:hint="eastAsia" w:ascii="宋体" w:hAnsi="宋体" w:cs="宋体"/>
          <w:color w:val="auto"/>
          <w:sz w:val="24"/>
          <w:highlight w:val="none"/>
        </w:rPr>
        <w:t>4、在实际合同执行中如遇采购人所需的原材料或产品未在采购清单中列明的，其单价均按照乌鲁木齐市市场平均价自行报出最低价格并经采购人确认后执行，如高于市场价格或不合理，甲方有权不予采用或自行采购。</w:t>
      </w:r>
    </w:p>
    <w:p>
      <w:pPr>
        <w:spacing w:line="440" w:lineRule="exact"/>
        <w:outlineLvl w:val="1"/>
        <w:rPr>
          <w:rFonts w:ascii="宋体" w:hAnsi="宋体" w:cs="宋体"/>
          <w:color w:val="auto"/>
          <w:sz w:val="24"/>
          <w:highlight w:val="none"/>
        </w:rPr>
      </w:pPr>
      <w:r>
        <w:rPr>
          <w:rFonts w:hint="eastAsia" w:ascii="宋体" w:hAnsi="宋体" w:cs="宋体"/>
          <w:color w:val="auto"/>
          <w:sz w:val="24"/>
          <w:highlight w:val="none"/>
        </w:rPr>
        <w:t>5、如遇供应商部分原材料无法满足供应时，或供应商出现产品质量问题，迟迟不予解决时，医院采购部门有权停止供应商供货，根据供应商考核办法进行考核，并启动应急采购预案（期限为30天），同时上报招标申请至招标办另行组织招标。</w:t>
      </w:r>
    </w:p>
    <w:p>
      <w:pPr>
        <w:spacing w:line="440" w:lineRule="exact"/>
        <w:outlineLvl w:val="1"/>
        <w:rPr>
          <w:rFonts w:ascii="宋体" w:hAnsi="宋体" w:cs="宋体"/>
          <w:b/>
          <w:color w:val="auto"/>
          <w:sz w:val="24"/>
          <w:highlight w:val="none"/>
        </w:rPr>
      </w:pPr>
      <w:r>
        <w:rPr>
          <w:rFonts w:hint="eastAsia" w:ascii="宋体" w:hAnsi="宋体" w:cs="宋体"/>
          <w:b/>
          <w:color w:val="auto"/>
          <w:sz w:val="24"/>
          <w:highlight w:val="none"/>
        </w:rPr>
        <w:t>6、技术参数是评标过程中的重要依据，如发现投标人标书中参数为直接复制粘贴招标文件技术参数，技术评审中均视为不符合</w:t>
      </w:r>
      <w:r>
        <w:rPr>
          <w:rFonts w:hint="eastAsia" w:ascii="宋体" w:hAnsi="宋体" w:cs="宋体"/>
          <w:b/>
          <w:color w:val="auto"/>
          <w:sz w:val="24"/>
          <w:highlight w:val="none"/>
          <w:lang w:val="en-US" w:eastAsia="zh-CN"/>
        </w:rPr>
        <w:t>谈判</w:t>
      </w:r>
      <w:r>
        <w:rPr>
          <w:rFonts w:hint="eastAsia" w:ascii="宋体" w:hAnsi="宋体" w:cs="宋体"/>
          <w:b/>
          <w:color w:val="auto"/>
          <w:sz w:val="24"/>
          <w:highlight w:val="none"/>
        </w:rPr>
        <w:t>文件要求。请投标人根据投标实际情况，编制自己单位的实际参数，如若直接复制粘贴</w:t>
      </w:r>
      <w:r>
        <w:rPr>
          <w:rFonts w:hint="eastAsia" w:ascii="宋体" w:hAnsi="宋体" w:cs="宋体"/>
          <w:b/>
          <w:color w:val="auto"/>
          <w:sz w:val="24"/>
          <w:highlight w:val="none"/>
          <w:lang w:val="en-US" w:eastAsia="zh-CN"/>
        </w:rPr>
        <w:t>谈判</w:t>
      </w:r>
      <w:r>
        <w:rPr>
          <w:rFonts w:hint="eastAsia" w:ascii="宋体" w:hAnsi="宋体" w:cs="宋体"/>
          <w:b/>
          <w:color w:val="auto"/>
          <w:sz w:val="24"/>
          <w:highlight w:val="none"/>
        </w:rPr>
        <w:t>文件技术参数，产生的后果由投标人自行承担。</w:t>
      </w:r>
    </w:p>
    <w:p>
      <w:pPr>
        <w:spacing w:line="440" w:lineRule="exact"/>
        <w:outlineLvl w:val="1"/>
        <w:rPr>
          <w:rFonts w:ascii="宋体" w:hAnsi="宋体" w:cs="宋体"/>
          <w:b/>
          <w:color w:val="auto"/>
          <w:sz w:val="24"/>
          <w:highlight w:val="none"/>
        </w:rPr>
      </w:pPr>
    </w:p>
    <w:p>
      <w:pPr>
        <w:autoSpaceDE w:val="0"/>
        <w:autoSpaceDN w:val="0"/>
        <w:adjustRightInd w:val="0"/>
        <w:spacing w:line="440" w:lineRule="exact"/>
        <w:jc w:val="left"/>
        <w:rPr>
          <w:rFonts w:ascii="宋体" w:hAnsi="宋体" w:cs="宋体"/>
          <w:b/>
          <w:color w:val="auto"/>
          <w:sz w:val="24"/>
          <w:highlight w:val="none"/>
        </w:rPr>
      </w:pPr>
      <w:r>
        <w:rPr>
          <w:rFonts w:hint="eastAsia" w:ascii="宋体" w:hAnsi="宋体" w:cs="宋体"/>
          <w:b/>
          <w:color w:val="auto"/>
          <w:sz w:val="24"/>
          <w:highlight w:val="none"/>
        </w:rPr>
        <w:t>（二）其他要求:</w:t>
      </w:r>
    </w:p>
    <w:p>
      <w:pPr>
        <w:autoSpaceDE w:val="0"/>
        <w:autoSpaceDN w:val="0"/>
        <w:adjustRightInd w:val="0"/>
        <w:spacing w:line="440" w:lineRule="exact"/>
        <w:ind w:firstLine="120" w:firstLineChars="50"/>
        <w:jc w:val="left"/>
        <w:rPr>
          <w:rFonts w:ascii="宋体" w:hAnsi="宋体" w:cs="宋体"/>
          <w:bCs/>
          <w:color w:val="auto"/>
          <w:kern w:val="0"/>
          <w:sz w:val="24"/>
          <w:highlight w:val="none"/>
        </w:rPr>
      </w:pPr>
      <w:r>
        <w:rPr>
          <w:rFonts w:hint="eastAsia" w:ascii="宋体" w:hAnsi="宋体" w:cs="宋体"/>
          <w:color w:val="auto"/>
          <w:kern w:val="0"/>
          <w:sz w:val="24"/>
          <w:highlight w:val="none"/>
        </w:rPr>
        <w:t>1、投标人需根据采购人需求供货、配送，</w:t>
      </w:r>
      <w:r>
        <w:rPr>
          <w:rFonts w:hint="eastAsia" w:ascii="宋体" w:hAnsi="宋体" w:cs="宋体"/>
          <w:color w:val="auto"/>
          <w:sz w:val="24"/>
          <w:highlight w:val="none"/>
        </w:rPr>
        <w:t>最终付款金额以投标单价及最终实际供货量为准</w:t>
      </w:r>
      <w:r>
        <w:rPr>
          <w:rFonts w:hint="eastAsia" w:ascii="宋体" w:hAnsi="宋体" w:cs="宋体"/>
          <w:color w:val="auto"/>
          <w:kern w:val="0"/>
          <w:sz w:val="24"/>
          <w:highlight w:val="none"/>
        </w:rPr>
        <w:t>；</w:t>
      </w:r>
    </w:p>
    <w:p>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2、投标人应保证提供的货物（配件）为全新的、先进的、成熟的、完整的和安全可靠的，且货物（配件）的技术经济性能符合本招标文件技术部分的要求，需按照采购人需求进行安装调试，保证可以正常使用。</w:t>
      </w:r>
    </w:p>
    <w:p>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3、投标人应提供详细供货清单，清单中依次说明型号、数量、产地、生产厂家等内容。</w:t>
      </w:r>
    </w:p>
    <w:p>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4、上述技术指标中凡有品牌描述或指向某品牌的指标描述均为参考指标;</w:t>
      </w:r>
    </w:p>
    <w:p>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5、货物（配件）主要技术参数为招标重要参照指标，但并不是唯一所指。高于技术参数的指标在投标时会得到重视。</w:t>
      </w:r>
    </w:p>
    <w:p>
      <w:pPr>
        <w:spacing w:line="440" w:lineRule="exact"/>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6、投标人应在</w:t>
      </w:r>
      <w:r>
        <w:rPr>
          <w:rFonts w:hint="eastAsia" w:ascii="宋体" w:hAnsi="宋体" w:cs="宋体"/>
          <w:b/>
          <w:color w:val="auto"/>
          <w:sz w:val="24"/>
          <w:highlight w:val="none"/>
          <w:lang w:val="en-US" w:eastAsia="zh-CN"/>
        </w:rPr>
        <w:t>谈判响应报价表</w:t>
      </w:r>
      <w:r>
        <w:rPr>
          <w:rFonts w:hint="eastAsia" w:ascii="宋体" w:hAnsi="宋体" w:cs="宋体"/>
          <w:b/>
          <w:color w:val="auto"/>
          <w:sz w:val="24"/>
          <w:highlight w:val="none"/>
        </w:rPr>
        <w:t>上标明本次招标拟提供货物的单价，不得有选择性的报价。</w:t>
      </w:r>
    </w:p>
    <w:p>
      <w:pPr>
        <w:spacing w:line="440" w:lineRule="exact"/>
        <w:outlineLvl w:val="1"/>
        <w:rPr>
          <w:rFonts w:ascii="宋体" w:cs="宋体"/>
          <w:b/>
          <w:bCs/>
          <w:kern w:val="0"/>
          <w:sz w:val="24"/>
        </w:rPr>
      </w:pPr>
    </w:p>
    <w:p>
      <w:pPr>
        <w:pStyle w:val="3"/>
        <w:jc w:val="center"/>
        <w:rPr>
          <w:rFonts w:ascii="宋体" w:cs="宋体"/>
          <w:sz w:val="36"/>
          <w:szCs w:val="36"/>
        </w:rPr>
      </w:pPr>
      <w:bookmarkStart w:id="15" w:name="_Toc503519669"/>
      <w:r>
        <w:rPr>
          <w:rFonts w:ascii="宋体" w:hAnsi="宋体" w:cs="宋体"/>
          <w:sz w:val="36"/>
          <w:szCs w:val="36"/>
        </w:rPr>
        <w:br w:type="page"/>
      </w:r>
      <w:r>
        <w:rPr>
          <w:rFonts w:hint="eastAsia" w:ascii="宋体" w:hAnsi="宋体" w:cs="宋体"/>
          <w:sz w:val="36"/>
          <w:szCs w:val="36"/>
        </w:rPr>
        <w:t>第五部分</w:t>
      </w:r>
      <w:r>
        <w:rPr>
          <w:rFonts w:ascii="宋体" w:hAnsi="宋体" w:cs="宋体"/>
          <w:sz w:val="36"/>
          <w:szCs w:val="36"/>
        </w:rPr>
        <w:t xml:space="preserve">   </w:t>
      </w:r>
      <w:r>
        <w:rPr>
          <w:rFonts w:hint="eastAsia" w:ascii="宋体" w:hAnsi="宋体" w:cs="宋体"/>
          <w:sz w:val="36"/>
          <w:szCs w:val="36"/>
        </w:rPr>
        <w:t>合同部分</w:t>
      </w:r>
      <w:bookmarkEnd w:id="15"/>
    </w:p>
    <w:p>
      <w:pPr>
        <w:overflowPunct w:val="0"/>
        <w:spacing w:line="440" w:lineRule="exact"/>
        <w:jc w:val="center"/>
        <w:rPr>
          <w:rFonts w:ascii="宋体" w:hAnsi="宋体"/>
          <w:b/>
          <w:sz w:val="32"/>
          <w:szCs w:val="32"/>
        </w:rPr>
      </w:pPr>
      <w:r>
        <w:rPr>
          <w:rFonts w:hint="eastAsia" w:ascii="宋体" w:hAnsi="宋体"/>
          <w:b/>
          <w:sz w:val="32"/>
          <w:szCs w:val="32"/>
        </w:rPr>
        <w:t>政府采购货物合同书</w:t>
      </w:r>
    </w:p>
    <w:p>
      <w:pPr>
        <w:overflowPunct w:val="0"/>
        <w:spacing w:line="440" w:lineRule="exact"/>
        <w:jc w:val="center"/>
        <w:rPr>
          <w:rFonts w:hint="eastAsia" w:ascii="宋体" w:hAnsi="宋体" w:cs="宋体"/>
          <w:b/>
          <w:color w:val="auto"/>
          <w:sz w:val="32"/>
          <w:szCs w:val="32"/>
          <w:highlight w:val="none"/>
        </w:rPr>
      </w:pPr>
      <w:r>
        <w:rPr>
          <w:rFonts w:ascii="宋体" w:hAnsi="宋体"/>
          <w:sz w:val="24"/>
        </w:rPr>
        <w:t xml:space="preserve">                                        </w:t>
      </w:r>
    </w:p>
    <w:p>
      <w:pPr>
        <w:overflowPunct w:val="0"/>
        <w:spacing w:line="440"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合同号：</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甲方（采购方）：</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乙方（供应商）：</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甲乙双方根据政府采购的有关规定，和中标通知书的要求，经双方友好协商，一致同意达成如下内容，特订立本合同，以便共同遵守。</w:t>
      </w: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第一条：合同标的</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乙方根据甲方需求提供下列货物：</w:t>
      </w:r>
    </w:p>
    <w:tbl>
      <w:tblPr>
        <w:tblStyle w:val="23"/>
        <w:tblW w:w="0" w:type="auto"/>
        <w:tblInd w:w="0" w:type="dxa"/>
        <w:tblLayout w:type="fixed"/>
        <w:tblCellMar>
          <w:top w:w="0" w:type="dxa"/>
          <w:left w:w="0" w:type="dxa"/>
          <w:bottom w:w="0" w:type="dxa"/>
          <w:right w:w="0" w:type="dxa"/>
        </w:tblCellMar>
      </w:tblPr>
      <w:tblGrid>
        <w:gridCol w:w="2519"/>
        <w:gridCol w:w="1646"/>
        <w:gridCol w:w="1125"/>
        <w:gridCol w:w="985"/>
        <w:gridCol w:w="1299"/>
        <w:gridCol w:w="985"/>
        <w:gridCol w:w="1295"/>
      </w:tblGrid>
      <w:tr>
        <w:tblPrEx>
          <w:tblCellMar>
            <w:top w:w="0" w:type="dxa"/>
            <w:left w:w="0" w:type="dxa"/>
            <w:bottom w:w="0" w:type="dxa"/>
            <w:right w:w="0" w:type="dxa"/>
          </w:tblCellMar>
        </w:tblPrEx>
        <w:trPr>
          <w:trHeight w:val="711" w:hRule="atLeast"/>
        </w:trPr>
        <w:tc>
          <w:tcPr>
            <w:tcW w:w="251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货物名称</w:t>
            </w:r>
          </w:p>
        </w:tc>
        <w:tc>
          <w:tcPr>
            <w:tcW w:w="164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规格型号</w:t>
            </w:r>
          </w:p>
        </w:tc>
        <w:tc>
          <w:tcPr>
            <w:tcW w:w="112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单价（元）</w:t>
            </w:r>
          </w:p>
        </w:tc>
        <w:tc>
          <w:tcPr>
            <w:tcW w:w="98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129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金额（元）</w:t>
            </w:r>
          </w:p>
        </w:tc>
        <w:tc>
          <w:tcPr>
            <w:tcW w:w="98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质保期</w:t>
            </w:r>
          </w:p>
        </w:tc>
        <w:tc>
          <w:tcPr>
            <w:tcW w:w="129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CellMar>
            <w:top w:w="0" w:type="dxa"/>
            <w:left w:w="0" w:type="dxa"/>
            <w:bottom w:w="0" w:type="dxa"/>
            <w:right w:w="0" w:type="dxa"/>
          </w:tblCellMar>
        </w:tblPrEx>
        <w:trPr>
          <w:trHeight w:val="565" w:hRule="atLeast"/>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宋体" w:hAnsi="宋体" w:cs="宋体"/>
                <w:color w:val="auto"/>
                <w:ker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left="143" w:firstLine="480"/>
              <w:jc w:val="center"/>
              <w:rPr>
                <w:rFonts w:hint="eastAsia" w:ascii="宋体" w:hAnsi="宋体" w:cs="宋体"/>
                <w:color w:val="auto"/>
                <w:ker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宋体" w:hAnsi="宋体" w:cs="宋体"/>
                <w:color w:val="auto"/>
                <w:ker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宋体" w:hAnsi="宋体" w:cs="宋体"/>
                <w:color w:val="auto"/>
                <w:ker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r>
      <w:tr>
        <w:tblPrEx>
          <w:tblCellMar>
            <w:top w:w="0" w:type="dxa"/>
            <w:left w:w="0" w:type="dxa"/>
            <w:bottom w:w="0" w:type="dxa"/>
            <w:right w:w="0" w:type="dxa"/>
          </w:tblCellMar>
        </w:tblPrEx>
        <w:trPr>
          <w:trHeight w:val="565" w:hRule="atLeast"/>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r>
      <w:tr>
        <w:tblPrEx>
          <w:tblCellMar>
            <w:top w:w="0" w:type="dxa"/>
            <w:left w:w="0" w:type="dxa"/>
            <w:bottom w:w="0" w:type="dxa"/>
            <w:right w:w="0" w:type="dxa"/>
          </w:tblCellMar>
        </w:tblPrEx>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宋体" w:hAnsi="宋体" w:cs="宋体"/>
                <w:color w:val="auto"/>
                <w:ker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ind w:firstLine="480"/>
              <w:jc w:val="center"/>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40" w:lineRule="exact"/>
              <w:jc w:val="center"/>
              <w:rPr>
                <w:rFonts w:hint="eastAsia" w:ascii="宋体" w:hAnsi="宋体" w:cs="宋体"/>
                <w:color w:val="auto"/>
                <w:kern w:val="0"/>
                <w:sz w:val="24"/>
                <w:szCs w:val="24"/>
                <w:highlight w:val="none"/>
              </w:rPr>
            </w:pPr>
          </w:p>
        </w:tc>
      </w:tr>
    </w:tbl>
    <w:p>
      <w:pPr>
        <w:overflowPunct w:val="0"/>
        <w:spacing w:line="440" w:lineRule="exact"/>
        <w:rPr>
          <w:rFonts w:hint="eastAsia" w:ascii="宋体" w:hAnsi="宋体" w:cs="宋体"/>
          <w:b/>
          <w:color w:val="auto"/>
          <w:sz w:val="24"/>
          <w:szCs w:val="24"/>
          <w:highlight w:val="none"/>
        </w:rPr>
      </w:pP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第二条：合同价格</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1、货物总价为人民币（大写）：元整。</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2、总价中包括货物金额、安装费、包装费、运输费及运输途中保险费、装卸费及税金。本合同价格一般不得做任何变更与调整。</w:t>
      </w:r>
    </w:p>
    <w:p>
      <w:pPr>
        <w:overflowPunct w:val="0"/>
        <w:spacing w:line="440" w:lineRule="exact"/>
        <w:rPr>
          <w:rFonts w:hint="eastAsia" w:ascii="宋体" w:hAnsi="宋体" w:cs="宋体"/>
          <w:color w:val="auto"/>
          <w:sz w:val="24"/>
          <w:szCs w:val="24"/>
          <w:highlight w:val="none"/>
        </w:rPr>
      </w:pP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第三条：付款方式</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1、甲乙双方确认的货款结算依据：投标文件、中标通知书，采购合同书，乙方开具的发票及税务稽查单并加盖公章，甲方出具的验收结算书等。</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2、设备配件均需安装调试，货物验收合格，甲方出具验收单，可正常使用后，按半年的实际供应量付款。</w:t>
      </w:r>
    </w:p>
    <w:p>
      <w:pPr>
        <w:overflowPunct w:val="0"/>
        <w:spacing w:line="440" w:lineRule="exact"/>
        <w:rPr>
          <w:rFonts w:hint="eastAsia" w:ascii="宋体" w:hAnsi="宋体" w:cs="宋体"/>
          <w:color w:val="auto"/>
          <w:sz w:val="24"/>
          <w:szCs w:val="24"/>
          <w:highlight w:val="none"/>
        </w:rPr>
      </w:pP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第四条：交货、包装与验收</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1、交货地点：新疆维吾尔自治区人民医院指定地点</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2、交货时间：响应甲方要求</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3、货物包装应符合国家标准，以保证货物在运输过程中不受损伤。货物在运输或邮寄途中发生毁损或丢失，由乙方负责。在运输途中、交货前、卸货中发生人身伤害或货物受损的，由乙方负责承担。</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4、货物到达后，甲乙双方均须在场并确认包装的完好性后，安装后由甲方验货。并对货物进行清点验收，共同签字确认。如验收不合格，乙方应退货，预缴押金的要全额退还，一切损失由乙方承担。</w:t>
      </w:r>
    </w:p>
    <w:p>
      <w:pPr>
        <w:overflowPunct w:val="0"/>
        <w:spacing w:line="440" w:lineRule="exact"/>
        <w:rPr>
          <w:rFonts w:hint="eastAsia" w:ascii="宋体" w:hAnsi="宋体" w:cs="宋体"/>
          <w:color w:val="auto"/>
          <w:sz w:val="24"/>
          <w:szCs w:val="24"/>
          <w:highlight w:val="none"/>
        </w:rPr>
      </w:pP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第五条：本合同的有效组成文件：</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1、投标文件。</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2、中标通知书。</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3、甲方出具的验收单。</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4、乙方所提供的其他承诺。</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5、供应商管理办法。（详见附件）</w:t>
      </w:r>
    </w:p>
    <w:p>
      <w:pPr>
        <w:overflowPunct w:val="0"/>
        <w:spacing w:line="440" w:lineRule="exact"/>
        <w:rPr>
          <w:rFonts w:hint="eastAsia" w:ascii="宋体" w:hAnsi="宋体" w:cs="宋体"/>
          <w:color w:val="auto"/>
          <w:sz w:val="24"/>
          <w:szCs w:val="24"/>
          <w:highlight w:val="none"/>
        </w:rPr>
      </w:pP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第六条：质量保证和售后服务：</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乙方应保证所提供的货物是全新、未使用过的原装合格正品，并完全符合国家标准和行业的相关标准。</w:t>
      </w:r>
    </w:p>
    <w:p>
      <w:pPr>
        <w:overflowPunct w:val="0"/>
        <w:spacing w:line="440" w:lineRule="exact"/>
        <w:rPr>
          <w:rFonts w:hint="eastAsia" w:ascii="宋体" w:hAnsi="宋体" w:cs="宋体"/>
          <w:color w:val="auto"/>
          <w:sz w:val="24"/>
          <w:szCs w:val="24"/>
          <w:highlight w:val="none"/>
        </w:rPr>
      </w:pP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第七条：违约责任：</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1、乙方不能按期按约交货或部分交货的，甲方有权不予支付乙方货款，</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并有权解除合同，乙方并应向甲方偿付相当于不能交货部分货款5%的违约金。</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2、乙方所提供货物品种、数量、质量不符合国家法律法规和本合同规定的，甲方有权拒收，由乙方负责包换或退货，并承担由此而支付的实际费用。</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3、乙方逾期交货的，按逾期缴货部分货款计算，向甲方偿付每日千分之五的违约金，并承担甲方因此所受的损失费用。</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4、乙方违反本合同相关约定的，除应当承担违约责任外，因乙方违约导致甲方产生其他相关损失的，乙方应当赔偿甲方因此产生的经济损失。</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5、甲方未按合同约定逾期付款的，应按照每日千分之五的比例向乙方偿付逾期货款的违约金。</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6、甲方违反本合同规定拒绝接货的，应当承担由此对乙方造成的损失。</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7、双方必须严格执行《中华人民共和国合同法》的有关违约责任规定。</w:t>
      </w:r>
    </w:p>
    <w:p>
      <w:pPr>
        <w:overflowPunct w:val="0"/>
        <w:spacing w:line="440" w:lineRule="exact"/>
        <w:rPr>
          <w:rFonts w:hint="eastAsia" w:ascii="宋体" w:hAnsi="宋体" w:cs="宋体"/>
          <w:color w:val="auto"/>
          <w:sz w:val="24"/>
          <w:szCs w:val="24"/>
          <w:highlight w:val="none"/>
        </w:rPr>
      </w:pP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第八条：不可抗力</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本合同生效后发生不可抗力的，发生不可抗力的一方应立即通知对方和新疆维吾尔自治区人民医院，并在不可抗力发生之日起五天内提供不可抗力的详情及有关证明文件送交对方和新疆维吾尔自治区人民医院采购办。</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2、发生不可抗力事件时，双方应协商以寻找一个合理的解决方法，并尽一切努力减轻不可抗力产生的后果。如不可抗力影响双方合同正常执行的，双方应友好协商解决本合同是否继续履行或终止。</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3、一方因不可抗力不能按本合同约定履行的，可以减轻或免除一方的违约责任，一方不能证明不能按本合同约定履行是因不可抗力的，应当承担本合同约定的违约和赔偿责任。</w:t>
      </w:r>
    </w:p>
    <w:p>
      <w:pPr>
        <w:overflowPunct w:val="0"/>
        <w:spacing w:line="440" w:lineRule="exact"/>
        <w:rPr>
          <w:rFonts w:hint="eastAsia" w:ascii="宋体" w:hAnsi="宋体" w:cs="宋体"/>
          <w:color w:val="auto"/>
          <w:sz w:val="24"/>
          <w:szCs w:val="24"/>
          <w:highlight w:val="none"/>
        </w:rPr>
      </w:pP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第九条：合同的解除和变更</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当合同一方要求变更或解除合同时，在新协议未达成前，原合同仍然有效。要求变更的一方应及时书面通知采购人，对方在接到通知15日内书面给予答复，逾期未答复则视为已同意。双方达成协议的，按新协议执行，并报新疆维吾尔自治区人民医院采购办备案。</w:t>
      </w:r>
    </w:p>
    <w:p>
      <w:pPr>
        <w:overflowPunct w:val="0"/>
        <w:spacing w:line="440" w:lineRule="exact"/>
        <w:rPr>
          <w:rFonts w:hint="eastAsia" w:ascii="宋体" w:hAnsi="宋体" w:cs="宋体"/>
          <w:color w:val="auto"/>
          <w:sz w:val="24"/>
          <w:szCs w:val="24"/>
          <w:highlight w:val="none"/>
        </w:rPr>
      </w:pP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第十条：争议解决方式</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甲乙双方在合同执行中发生争议，由甲乙双方协商解决，协商解决不了的，甲乙双方均有权向新疆维吾尔自治区人民医院采购办投诉或向合同签署所在地人民法院提起诉讼。</w:t>
      </w:r>
    </w:p>
    <w:p>
      <w:pPr>
        <w:overflowPunct w:val="0"/>
        <w:spacing w:line="440" w:lineRule="exact"/>
        <w:rPr>
          <w:rFonts w:hint="eastAsia" w:ascii="宋体" w:hAnsi="宋体" w:cs="宋体"/>
          <w:color w:val="auto"/>
          <w:sz w:val="24"/>
          <w:szCs w:val="24"/>
          <w:highlight w:val="none"/>
        </w:rPr>
      </w:pPr>
    </w:p>
    <w:p>
      <w:pPr>
        <w:overflowPunct w:val="0"/>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第十一条：合同生效及其他</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1、本合同经甲乙双方盖章和代表签字日期，即为本合同生效日期。如双方盖章签字日期不一致时，以最后盖章签字方的盖章签字日期为合同的生效日期。</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2、本合同一式肆份，甲乙双方各执一份，新疆维吾尔自治区人民医院采购办、招标代理公司各一份。</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3、本合同的未尽事项，必要时由甲乙双方另订补充协议，经甲乙双方盖章和双方授权代表签字后与本合同具有同等法律效力，补充协议必须交医院新疆维吾尔自治区人民医院采购办备案。</w:t>
      </w:r>
    </w:p>
    <w:p>
      <w:pPr>
        <w:overflowPunct w:val="0"/>
        <w:spacing w:line="440" w:lineRule="exact"/>
        <w:rPr>
          <w:rFonts w:hint="eastAsia" w:ascii="宋体" w:hAnsi="宋体" w:cs="宋体"/>
          <w:color w:val="auto"/>
          <w:sz w:val="24"/>
          <w:szCs w:val="24"/>
          <w:highlight w:val="none"/>
        </w:rPr>
      </w:pP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甲方：                                   乙方：</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地址：            </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经办人：                                      经办人：         </w:t>
      </w:r>
    </w:p>
    <w:p>
      <w:pPr>
        <w:overflowPunct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电话：                                        电话：                           </w:t>
      </w:r>
    </w:p>
    <w:p>
      <w:pPr>
        <w:overflowPunct w:val="0"/>
        <w:spacing w:line="440" w:lineRule="exact"/>
        <w:rPr>
          <w:rFonts w:ascii="宋体" w:hAnsi="宋体"/>
          <w:sz w:val="24"/>
        </w:rPr>
      </w:pPr>
      <w:r>
        <w:rPr>
          <w:rFonts w:hint="eastAsia" w:ascii="宋体" w:hAnsi="宋体" w:cs="宋体"/>
          <w:color w:val="auto"/>
          <w:sz w:val="24"/>
          <w:szCs w:val="24"/>
          <w:highlight w:val="none"/>
        </w:rPr>
        <w:t xml:space="preserve">20   年  月  日                                20  年   月  日 </w:t>
      </w:r>
    </w:p>
    <w:p>
      <w:pPr>
        <w:pStyle w:val="68"/>
        <w:shd w:val="clear" w:color="auto" w:fill="FFFFFF"/>
        <w:spacing w:before="0" w:beforeAutospacing="0" w:after="0" w:afterAutospacing="0" w:line="357" w:lineRule="atLeast"/>
      </w:pPr>
    </w:p>
    <w:p>
      <w:pPr>
        <w:spacing w:before="100" w:line="460" w:lineRule="atLeast"/>
        <w:rPr>
          <w:rFonts w:hint="eastAsia" w:ascii="宋体" w:hAnsi="宋体" w:cs="宋体"/>
          <w:sz w:val="24"/>
        </w:rPr>
      </w:pPr>
    </w:p>
    <w:p>
      <w:pPr>
        <w:spacing w:before="166" w:beforeLines="50" w:after="166" w:afterLines="50" w:line="440" w:lineRule="exact"/>
        <w:ind w:firstLine="361" w:firstLineChars="100"/>
        <w:jc w:val="center"/>
        <w:outlineLvl w:val="0"/>
        <w:rPr>
          <w:rFonts w:hint="eastAsia" w:ascii="宋体" w:hAnsi="宋体"/>
          <w:b/>
          <w:sz w:val="36"/>
        </w:rPr>
      </w:pPr>
      <w:r>
        <w:rPr>
          <w:rFonts w:hint="eastAsia" w:ascii="宋体" w:hAnsi="宋体"/>
          <w:b/>
          <w:sz w:val="36"/>
        </w:rPr>
        <w:br w:type="page"/>
      </w:r>
      <w:r>
        <w:rPr>
          <w:rFonts w:hint="eastAsia" w:ascii="宋体" w:hAnsi="宋体"/>
          <w:b/>
          <w:sz w:val="36"/>
        </w:rPr>
        <w:t>第六部分    附　件</w:t>
      </w:r>
    </w:p>
    <w:p>
      <w:pPr>
        <w:rPr>
          <w:rFonts w:hint="eastAsia"/>
          <w:b/>
          <w:color w:val="auto"/>
          <w:highlight w:val="none"/>
          <w:lang w:val="en-US" w:eastAsia="zh-CN"/>
        </w:rPr>
      </w:pPr>
      <w:r>
        <w:rPr>
          <w:rFonts w:hint="eastAsia"/>
          <w:b/>
          <w:color w:val="auto"/>
          <w:highlight w:val="none"/>
        </w:rPr>
        <w:t>（一）</w:t>
      </w:r>
      <w:r>
        <w:rPr>
          <w:rFonts w:hint="eastAsia"/>
          <w:b/>
          <w:color w:val="auto"/>
          <w:highlight w:val="none"/>
          <w:lang w:val="en-US" w:eastAsia="zh-CN"/>
        </w:rPr>
        <w:t>资格文件</w:t>
      </w:r>
    </w:p>
    <w:p>
      <w:pPr>
        <w:rPr>
          <w:b/>
          <w:color w:val="auto"/>
          <w:highlight w:val="none"/>
        </w:rPr>
      </w:pPr>
      <w:r>
        <w:rPr>
          <w:rFonts w:hint="eastAsia"/>
          <w:b/>
          <w:color w:val="auto"/>
          <w:highlight w:val="none"/>
          <w:lang w:val="en-US" w:eastAsia="zh-CN"/>
        </w:rPr>
        <w:t>1、资格</w:t>
      </w:r>
      <w:r>
        <w:rPr>
          <w:rFonts w:hint="eastAsia"/>
          <w:b/>
          <w:color w:val="auto"/>
          <w:highlight w:val="none"/>
        </w:rPr>
        <w:t>文件封面</w:t>
      </w:r>
    </w:p>
    <w:p>
      <w:pPr>
        <w:jc w:val="center"/>
        <w:rPr>
          <w:b/>
          <w:color w:val="auto"/>
          <w:highlight w:val="none"/>
        </w:rPr>
      </w:pPr>
    </w:p>
    <w:p>
      <w:pPr>
        <w:jc w:val="center"/>
        <w:rPr>
          <w:b/>
          <w:color w:val="auto"/>
          <w:highlight w:val="none"/>
        </w:rPr>
      </w:pPr>
    </w:p>
    <w:p>
      <w:pPr>
        <w:jc w:val="center"/>
        <w:rPr>
          <w:b/>
          <w:color w:val="auto"/>
          <w:highlight w:val="none"/>
        </w:rPr>
      </w:pPr>
    </w:p>
    <w:p>
      <w:pPr>
        <w:jc w:val="center"/>
        <w:rPr>
          <w:b/>
          <w:color w:val="auto"/>
          <w:highlight w:val="none"/>
        </w:rPr>
      </w:pPr>
    </w:p>
    <w:p>
      <w:pPr>
        <w:spacing w:line="360" w:lineRule="auto"/>
        <w:jc w:val="center"/>
        <w:rPr>
          <w:rFonts w:hint="eastAsia"/>
          <w:b/>
          <w:color w:val="auto"/>
          <w:highlight w:val="none"/>
        </w:rPr>
      </w:pPr>
      <w:r>
        <w:rPr>
          <w:rFonts w:hint="eastAsia"/>
          <w:b/>
          <w:color w:val="auto"/>
          <w:highlight w:val="none"/>
          <w:lang w:eastAsia="zh-CN"/>
        </w:rPr>
        <w:t>新疆维吾尔自治区人民医院物资服务商（二批）采购项目三次(电工材料类选取1家服务商)</w:t>
      </w:r>
    </w:p>
    <w:p>
      <w:pPr>
        <w:pStyle w:val="16"/>
      </w:pPr>
    </w:p>
    <w:p>
      <w:pPr>
        <w:spacing w:line="360" w:lineRule="auto"/>
        <w:jc w:val="center"/>
        <w:rPr>
          <w:b/>
          <w:color w:val="auto"/>
          <w:highlight w:val="none"/>
        </w:rPr>
      </w:pPr>
      <w:r>
        <w:rPr>
          <w:rFonts w:hint="eastAsia"/>
          <w:b/>
          <w:color w:val="auto"/>
          <w:highlight w:val="none"/>
          <w:lang w:val="en-US" w:eastAsia="zh-CN"/>
        </w:rPr>
        <w:t>资格文件</w:t>
      </w:r>
    </w:p>
    <w:p>
      <w:pPr>
        <w:spacing w:line="360" w:lineRule="auto"/>
        <w:jc w:val="center"/>
        <w:rPr>
          <w:color w:val="auto"/>
          <w:highlight w:val="none"/>
        </w:rPr>
      </w:pPr>
      <w:r>
        <w:rPr>
          <w:rFonts w:hint="eastAsia"/>
          <w:color w:val="auto"/>
          <w:highlight w:val="none"/>
        </w:rPr>
        <w:t>（正本/副本）</w:t>
      </w:r>
    </w:p>
    <w:p>
      <w:pPr>
        <w:spacing w:line="360" w:lineRule="auto"/>
        <w:ind w:firstLine="480"/>
        <w:rPr>
          <w:color w:val="auto"/>
          <w:highlight w:val="none"/>
        </w:rPr>
      </w:pPr>
    </w:p>
    <w:p>
      <w:pPr>
        <w:spacing w:line="360" w:lineRule="auto"/>
        <w:ind w:firstLine="480"/>
        <w:rPr>
          <w:color w:val="auto"/>
          <w:highlight w:val="none"/>
        </w:rPr>
      </w:pPr>
    </w:p>
    <w:p>
      <w:pPr>
        <w:spacing w:line="360" w:lineRule="auto"/>
        <w:ind w:firstLine="480"/>
        <w:rPr>
          <w:color w:val="auto"/>
          <w:highlight w:val="none"/>
        </w:rPr>
      </w:pPr>
    </w:p>
    <w:p>
      <w:pPr>
        <w:spacing w:line="360" w:lineRule="auto"/>
        <w:ind w:firstLine="480"/>
        <w:rPr>
          <w:color w:val="auto"/>
          <w:highlight w:val="none"/>
        </w:rPr>
      </w:pPr>
    </w:p>
    <w:p>
      <w:pPr>
        <w:spacing w:line="360" w:lineRule="auto"/>
        <w:ind w:firstLine="480"/>
        <w:rPr>
          <w:color w:val="auto"/>
          <w:highlight w:val="none"/>
        </w:rPr>
      </w:pPr>
    </w:p>
    <w:p>
      <w:pPr>
        <w:spacing w:line="360" w:lineRule="auto"/>
        <w:ind w:firstLine="480"/>
        <w:rPr>
          <w:color w:val="auto"/>
          <w:highlight w:val="none"/>
        </w:rPr>
      </w:pPr>
      <w:r>
        <w:rPr>
          <w:rFonts w:hint="eastAsia"/>
          <w:color w:val="auto"/>
          <w:highlight w:val="none"/>
        </w:rPr>
        <w:t>项目编号：</w:t>
      </w:r>
    </w:p>
    <w:p>
      <w:pPr>
        <w:spacing w:line="360" w:lineRule="auto"/>
        <w:ind w:firstLine="480"/>
        <w:rPr>
          <w:color w:val="auto"/>
          <w:highlight w:val="none"/>
        </w:rPr>
      </w:pPr>
      <w:r>
        <w:rPr>
          <w:rFonts w:hint="eastAsia"/>
          <w:color w:val="auto"/>
          <w:highlight w:val="none"/>
        </w:rPr>
        <w:t>投标单位名称：</w:t>
      </w:r>
    </w:p>
    <w:p>
      <w:pPr>
        <w:spacing w:line="440" w:lineRule="exact"/>
        <w:ind w:firstLine="420" w:firstLineChars="200"/>
        <w:rPr>
          <w:color w:val="auto"/>
          <w:highlight w:val="none"/>
        </w:rPr>
      </w:pPr>
      <w:r>
        <w:rPr>
          <w:rFonts w:hint="eastAsia"/>
          <w:color w:val="auto"/>
          <w:highlight w:val="none"/>
        </w:rPr>
        <w:t>投标内容/分包：</w:t>
      </w:r>
    </w:p>
    <w:p>
      <w:pPr>
        <w:spacing w:line="360" w:lineRule="auto"/>
        <w:ind w:firstLine="480"/>
        <w:rPr>
          <w:color w:val="auto"/>
          <w:highlight w:val="none"/>
        </w:rPr>
      </w:pPr>
      <w:r>
        <w:rPr>
          <w:rFonts w:hint="eastAsia"/>
          <w:color w:val="auto"/>
          <w:highlight w:val="none"/>
        </w:rPr>
        <w:t>投标单位联系人：</w:t>
      </w:r>
    </w:p>
    <w:p>
      <w:pPr>
        <w:spacing w:line="360" w:lineRule="auto"/>
        <w:ind w:firstLine="480"/>
        <w:rPr>
          <w:color w:val="auto"/>
          <w:highlight w:val="none"/>
        </w:rPr>
      </w:pPr>
      <w:r>
        <w:rPr>
          <w:rFonts w:hint="eastAsia"/>
          <w:color w:val="auto"/>
          <w:highlight w:val="none"/>
        </w:rPr>
        <w:t>投标单位联系电话：</w:t>
      </w:r>
    </w:p>
    <w:p>
      <w:pPr>
        <w:spacing w:line="360" w:lineRule="auto"/>
        <w:ind w:firstLine="480"/>
        <w:rPr>
          <w:color w:val="auto"/>
          <w:highlight w:val="none"/>
        </w:rPr>
      </w:pPr>
      <w:r>
        <w:rPr>
          <w:rFonts w:hint="eastAsia"/>
          <w:color w:val="auto"/>
          <w:highlight w:val="none"/>
        </w:rPr>
        <w:t>二〇  年  月</w:t>
      </w:r>
    </w:p>
    <w:p>
      <w:pPr>
        <w:numPr>
          <w:ilvl w:val="0"/>
          <w:numId w:val="3"/>
        </w:numPr>
        <w:spacing w:line="360" w:lineRule="auto"/>
        <w:rPr>
          <w:rFonts w:hint="eastAsia"/>
          <w:b/>
          <w:color w:val="auto"/>
          <w:highlight w:val="none"/>
          <w:lang w:val="en-US" w:eastAsia="zh-CN"/>
        </w:rPr>
      </w:pPr>
      <w:r>
        <w:rPr>
          <w:color w:val="auto"/>
          <w:highlight w:val="none"/>
        </w:rPr>
        <w:br w:type="page"/>
      </w:r>
      <w:r>
        <w:rPr>
          <w:rFonts w:hint="eastAsia"/>
          <w:b/>
          <w:color w:val="auto"/>
          <w:highlight w:val="none"/>
          <w:lang w:val="en-US" w:eastAsia="zh-CN"/>
        </w:rPr>
        <w:t>资格文件组成</w:t>
      </w:r>
    </w:p>
    <w:p>
      <w:pPr>
        <w:numPr>
          <w:ilvl w:val="0"/>
          <w:numId w:val="0"/>
        </w:numPr>
        <w:spacing w:line="360" w:lineRule="auto"/>
        <w:rPr>
          <w:color w:val="auto"/>
          <w:highlight w:val="none"/>
        </w:rPr>
      </w:pPr>
      <w:r>
        <w:rPr>
          <w:rFonts w:hint="eastAsia"/>
          <w:color w:val="auto"/>
          <w:highlight w:val="none"/>
        </w:rPr>
        <w:t>目录</w:t>
      </w:r>
    </w:p>
    <w:p>
      <w:pPr>
        <w:spacing w:line="360" w:lineRule="auto"/>
        <w:rPr>
          <w:color w:val="auto"/>
          <w:highlight w:val="none"/>
        </w:rPr>
      </w:pPr>
      <w:r>
        <w:rPr>
          <w:rFonts w:hint="eastAsia"/>
          <w:color w:val="auto"/>
          <w:highlight w:val="none"/>
        </w:rPr>
        <w:t>一、供应商的资格证明材料</w:t>
      </w:r>
    </w:p>
    <w:p>
      <w:pPr>
        <w:spacing w:line="360" w:lineRule="auto"/>
        <w:rPr>
          <w:color w:val="auto"/>
          <w:highlight w:val="none"/>
        </w:rPr>
      </w:pPr>
      <w:r>
        <w:rPr>
          <w:rFonts w:hint="eastAsia"/>
          <w:color w:val="auto"/>
          <w:highlight w:val="none"/>
        </w:rPr>
        <w:t>（一）参加政府采购活动的供应商应当具备《政府采购法》第二十二条第一款规定的条件，提供下列材料：</w:t>
      </w:r>
    </w:p>
    <w:p>
      <w:pPr>
        <w:keepNext w:val="0"/>
        <w:keepLines w:val="0"/>
        <w:pageBreakBefore w:val="0"/>
        <w:widowControl/>
        <w:kinsoku/>
        <w:wordWrap/>
        <w:overflowPunct/>
        <w:topLinePunct w:val="0"/>
        <w:autoSpaceDE/>
        <w:autoSpaceDN/>
        <w:bidi w:val="0"/>
        <w:adjustRightInd/>
        <w:snapToGrid/>
        <w:spacing w:line="460" w:lineRule="exact"/>
        <w:ind w:firstLine="210" w:firstLineChars="100"/>
        <w:textAlignment w:val="auto"/>
        <w:rPr>
          <w:color w:val="auto"/>
          <w:highlight w:val="none"/>
        </w:rPr>
      </w:pPr>
      <w:r>
        <w:rPr>
          <w:color w:val="auto"/>
          <w:highlight w:val="none"/>
        </w:rPr>
        <w:t>1</w:t>
      </w:r>
      <w:r>
        <w:rPr>
          <w:rFonts w:hint="eastAsia"/>
          <w:color w:val="auto"/>
          <w:highlight w:val="none"/>
        </w:rPr>
        <w:t xml:space="preserve"> 法人或者其他组织的营业执照副本复印件或自然人的身份证明复印件</w:t>
      </w:r>
    </w:p>
    <w:p>
      <w:pPr>
        <w:keepNext w:val="0"/>
        <w:keepLines w:val="0"/>
        <w:pageBreakBefore w:val="0"/>
        <w:widowControl/>
        <w:kinsoku/>
        <w:wordWrap/>
        <w:overflowPunct/>
        <w:topLinePunct w:val="0"/>
        <w:autoSpaceDE/>
        <w:autoSpaceDN/>
        <w:bidi w:val="0"/>
        <w:adjustRightInd/>
        <w:snapToGrid/>
        <w:spacing w:line="460" w:lineRule="exact"/>
        <w:ind w:firstLine="210" w:firstLineChars="100"/>
        <w:textAlignment w:val="auto"/>
        <w:rPr>
          <w:highlight w:val="none"/>
        </w:rPr>
      </w:pPr>
      <w:r>
        <w:rPr>
          <w:highlight w:val="none"/>
        </w:rPr>
        <w:t xml:space="preserve">2 </w:t>
      </w:r>
      <w:r>
        <w:rPr>
          <w:rFonts w:hint="eastAsia"/>
          <w:highlight w:val="none"/>
        </w:rPr>
        <w:t>提供上年度经审计财务会计报告或半年内任意一个月财务报表</w:t>
      </w:r>
    </w:p>
    <w:p>
      <w:pPr>
        <w:keepNext w:val="0"/>
        <w:keepLines w:val="0"/>
        <w:pageBreakBefore w:val="0"/>
        <w:widowControl/>
        <w:kinsoku/>
        <w:wordWrap/>
        <w:overflowPunct/>
        <w:topLinePunct w:val="0"/>
        <w:autoSpaceDE/>
        <w:autoSpaceDN/>
        <w:bidi w:val="0"/>
        <w:adjustRightInd/>
        <w:snapToGrid/>
        <w:spacing w:line="460" w:lineRule="exact"/>
        <w:ind w:firstLine="525" w:firstLineChars="250"/>
        <w:textAlignment w:val="auto"/>
        <w:rPr>
          <w:highlight w:val="none"/>
        </w:rPr>
      </w:pPr>
      <w:r>
        <w:rPr>
          <w:rFonts w:hint="eastAsia"/>
          <w:highlight w:val="none"/>
        </w:rPr>
        <w:t>（</w:t>
      </w:r>
      <w:r>
        <w:rPr>
          <w:rFonts w:hint="eastAsia"/>
          <w:highlight w:val="none"/>
          <w:lang w:val="en-US" w:eastAsia="zh-CN"/>
        </w:rPr>
        <w:t>财务报表应至少包括资产负债表、损益表、现金流量表或财务状况变动表，</w:t>
      </w:r>
      <w:r>
        <w:rPr>
          <w:rFonts w:hint="eastAsia"/>
          <w:highlight w:val="none"/>
        </w:rPr>
        <w:t>当月新成立公司不需提供）</w:t>
      </w:r>
    </w:p>
    <w:p>
      <w:pPr>
        <w:keepNext w:val="0"/>
        <w:keepLines w:val="0"/>
        <w:pageBreakBefore w:val="0"/>
        <w:widowControl/>
        <w:kinsoku/>
        <w:wordWrap/>
        <w:overflowPunct/>
        <w:topLinePunct w:val="0"/>
        <w:autoSpaceDE/>
        <w:autoSpaceDN/>
        <w:bidi w:val="0"/>
        <w:adjustRightInd/>
        <w:snapToGrid/>
        <w:spacing w:line="460" w:lineRule="exact"/>
        <w:ind w:firstLine="210" w:firstLineChars="100"/>
        <w:textAlignment w:val="auto"/>
        <w:rPr>
          <w:highlight w:val="none"/>
        </w:rPr>
      </w:pPr>
      <w:r>
        <w:rPr>
          <w:highlight w:val="none"/>
        </w:rPr>
        <w:t>3 提供的近半年内</w:t>
      </w:r>
      <w:r>
        <w:rPr>
          <w:rFonts w:hint="eastAsia"/>
          <w:highlight w:val="none"/>
          <w:lang w:eastAsia="zh-CN"/>
        </w:rPr>
        <w:t>任意一月</w:t>
      </w:r>
      <w:r>
        <w:rPr>
          <w:highlight w:val="none"/>
        </w:rPr>
        <w:t>依法缴纳税收证明</w:t>
      </w:r>
    </w:p>
    <w:p>
      <w:pPr>
        <w:keepNext w:val="0"/>
        <w:keepLines w:val="0"/>
        <w:pageBreakBefore w:val="0"/>
        <w:widowControl/>
        <w:kinsoku/>
        <w:wordWrap/>
        <w:overflowPunct/>
        <w:topLinePunct w:val="0"/>
        <w:autoSpaceDE/>
        <w:autoSpaceDN/>
        <w:bidi w:val="0"/>
        <w:adjustRightInd/>
        <w:snapToGrid/>
        <w:spacing w:line="460" w:lineRule="exact"/>
        <w:ind w:firstLine="210" w:firstLineChars="100"/>
        <w:textAlignment w:val="auto"/>
        <w:rPr>
          <w:highlight w:val="none"/>
        </w:rPr>
      </w:pPr>
      <w:r>
        <w:rPr>
          <w:rFonts w:hint="eastAsia"/>
          <w:highlight w:val="none"/>
        </w:rPr>
        <w:t xml:space="preserve">   （</w:t>
      </w:r>
      <w:r>
        <w:rPr>
          <w:highlight w:val="none"/>
        </w:rPr>
        <w:t>提供的近半年内</w:t>
      </w:r>
      <w:r>
        <w:rPr>
          <w:rFonts w:hint="eastAsia"/>
          <w:highlight w:val="none"/>
          <w:lang w:eastAsia="zh-CN"/>
        </w:rPr>
        <w:t>任意一月</w:t>
      </w:r>
      <w:r>
        <w:rPr>
          <w:highlight w:val="none"/>
        </w:rPr>
        <w:t>依法缴纳税收证明</w:t>
      </w:r>
      <w:r>
        <w:rPr>
          <w:rFonts w:hint="eastAsia"/>
          <w:highlight w:val="none"/>
        </w:rPr>
        <w:t>，当月新成立公司不需提供</w:t>
      </w:r>
      <w:r>
        <w:rPr>
          <w:rFonts w:hint="eastAsia"/>
          <w:highlight w:val="none"/>
          <w:lang w:eastAsia="zh-CN"/>
        </w:rPr>
        <w:t>；无需纳税或免税的也需提供相应证明材料。</w:t>
      </w:r>
      <w:r>
        <w:rPr>
          <w:rFonts w:hint="eastAsia"/>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210" w:firstLineChars="100"/>
        <w:textAlignment w:val="auto"/>
        <w:rPr>
          <w:highlight w:val="none"/>
        </w:rPr>
      </w:pPr>
      <w:r>
        <w:rPr>
          <w:rFonts w:hint="eastAsia"/>
          <w:highlight w:val="none"/>
        </w:rPr>
        <w:t>4</w:t>
      </w:r>
      <w:r>
        <w:rPr>
          <w:highlight w:val="none"/>
        </w:rPr>
        <w:t xml:space="preserve"> 提供社会保险登记证或社保缴纳证明</w:t>
      </w:r>
    </w:p>
    <w:p>
      <w:pPr>
        <w:keepNext w:val="0"/>
        <w:keepLines w:val="0"/>
        <w:pageBreakBefore w:val="0"/>
        <w:widowControl/>
        <w:kinsoku/>
        <w:wordWrap/>
        <w:overflowPunct/>
        <w:topLinePunct w:val="0"/>
        <w:autoSpaceDE/>
        <w:autoSpaceDN/>
        <w:bidi w:val="0"/>
        <w:adjustRightInd/>
        <w:snapToGrid/>
        <w:spacing w:line="460" w:lineRule="exact"/>
        <w:ind w:firstLine="525" w:firstLineChars="250"/>
        <w:textAlignment w:val="auto"/>
        <w:rPr>
          <w:highlight w:val="none"/>
        </w:rPr>
      </w:pPr>
      <w:r>
        <w:rPr>
          <w:highlight w:val="none"/>
        </w:rPr>
        <w:t>（近半年内</w:t>
      </w:r>
      <w:r>
        <w:rPr>
          <w:rFonts w:hint="eastAsia"/>
          <w:highlight w:val="none"/>
          <w:lang w:eastAsia="zh-CN"/>
        </w:rPr>
        <w:t>任意一月</w:t>
      </w:r>
      <w:r>
        <w:rPr>
          <w:highlight w:val="none"/>
        </w:rPr>
        <w:t>社保缴纳证明</w:t>
      </w:r>
      <w:r>
        <w:rPr>
          <w:rFonts w:hint="eastAsia"/>
          <w:highlight w:val="none"/>
        </w:rPr>
        <w:t>，当月新成立公司不需提供</w:t>
      </w:r>
      <w:r>
        <w:rPr>
          <w:highlight w:val="none"/>
        </w:rPr>
        <w:t>）</w:t>
      </w:r>
    </w:p>
    <w:p>
      <w:pPr>
        <w:spacing w:line="360" w:lineRule="auto"/>
        <w:ind w:firstLine="210" w:firstLineChars="100"/>
        <w:rPr>
          <w:color w:val="auto"/>
          <w:highlight w:val="none"/>
        </w:rPr>
      </w:pPr>
      <w:r>
        <w:rPr>
          <w:rFonts w:hint="eastAsia"/>
          <w:color w:val="auto"/>
          <w:highlight w:val="none"/>
        </w:rPr>
        <w:t>5</w:t>
      </w:r>
      <w:r>
        <w:rPr>
          <w:color w:val="auto"/>
          <w:highlight w:val="none"/>
        </w:rPr>
        <w:t xml:space="preserve"> </w:t>
      </w:r>
      <w:r>
        <w:rPr>
          <w:rFonts w:hint="eastAsia"/>
          <w:color w:val="auto"/>
          <w:highlight w:val="none"/>
        </w:rPr>
        <w:t>具备履行合同所必需的设备和专业技术能力的证明材料(由供应商根据项目需求提供说明材料)</w:t>
      </w:r>
    </w:p>
    <w:p>
      <w:pPr>
        <w:spacing w:line="360" w:lineRule="auto"/>
        <w:rPr>
          <w:rFonts w:hint="eastAsia"/>
          <w:color w:val="auto"/>
          <w:highlight w:val="none"/>
        </w:rPr>
      </w:pPr>
      <w:r>
        <w:rPr>
          <w:rFonts w:hint="eastAsia"/>
          <w:color w:val="auto"/>
          <w:highlight w:val="none"/>
        </w:rPr>
        <w:t xml:space="preserve">  6</w:t>
      </w:r>
      <w:r>
        <w:rPr>
          <w:color w:val="auto"/>
          <w:highlight w:val="none"/>
        </w:rPr>
        <w:t xml:space="preserve"> </w:t>
      </w:r>
      <w:r>
        <w:rPr>
          <w:rFonts w:hint="eastAsia"/>
          <w:color w:val="auto"/>
          <w:highlight w:val="none"/>
        </w:rPr>
        <w:t>参加政府采购活动前三年内在经营活动中没有重大违法记录的书面声明</w:t>
      </w:r>
    </w:p>
    <w:p>
      <w:pPr>
        <w:spacing w:line="360" w:lineRule="auto"/>
        <w:rPr>
          <w:color w:val="auto"/>
          <w:highlight w:val="none"/>
        </w:rPr>
      </w:pPr>
      <w:r>
        <w:rPr>
          <w:rFonts w:hint="eastAsia"/>
          <w:color w:val="auto"/>
          <w:highlight w:val="none"/>
        </w:rPr>
        <w:t>二、投标人代表身份证明</w:t>
      </w:r>
    </w:p>
    <w:p>
      <w:pPr>
        <w:keepNext w:val="0"/>
        <w:keepLines w:val="0"/>
        <w:pageBreakBefore w:val="0"/>
        <w:widowControl/>
        <w:kinsoku/>
        <w:wordWrap/>
        <w:overflowPunct/>
        <w:topLinePunct w:val="0"/>
        <w:autoSpaceDE/>
        <w:autoSpaceDN/>
        <w:bidi w:val="0"/>
        <w:adjustRightInd/>
        <w:snapToGrid/>
        <w:spacing w:line="460" w:lineRule="exact"/>
        <w:ind w:firstLine="210" w:firstLineChars="100"/>
        <w:textAlignment w:val="auto"/>
        <w:rPr>
          <w:color w:val="auto"/>
          <w:highlight w:val="none"/>
        </w:rPr>
      </w:pPr>
      <w:r>
        <w:rPr>
          <w:color w:val="auto"/>
          <w:highlight w:val="none"/>
        </w:rPr>
        <w:t xml:space="preserve">1  </w:t>
      </w:r>
      <w:r>
        <w:rPr>
          <w:rFonts w:hint="eastAsia"/>
          <w:color w:val="auto"/>
          <w:highlight w:val="none"/>
        </w:rPr>
        <w:t>法定代表人身份证明复印件(法定代表人参加投标)（附件1-</w:t>
      </w:r>
      <w:r>
        <w:rPr>
          <w:color w:val="auto"/>
          <w:highlight w:val="none"/>
        </w:rPr>
        <w:t>1</w:t>
      </w:r>
      <w:r>
        <w:rPr>
          <w:rFonts w:hint="eastAsia"/>
          <w:color w:val="auto"/>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210" w:firstLineChars="100"/>
        <w:textAlignment w:val="auto"/>
        <w:rPr>
          <w:color w:val="auto"/>
          <w:highlight w:val="none"/>
        </w:rPr>
      </w:pPr>
      <w:r>
        <w:rPr>
          <w:rFonts w:hint="eastAsia"/>
          <w:color w:val="auto"/>
          <w:highlight w:val="none"/>
        </w:rPr>
        <w:t>2</w:t>
      </w:r>
      <w:r>
        <w:rPr>
          <w:color w:val="auto"/>
          <w:highlight w:val="none"/>
        </w:rPr>
        <w:t xml:space="preserve">  </w:t>
      </w:r>
      <w:r>
        <w:rPr>
          <w:rFonts w:hint="eastAsia"/>
          <w:color w:val="auto"/>
          <w:highlight w:val="none"/>
        </w:rPr>
        <w:t>法定代表人授权委托书(授权代表参加投标) （附件1-</w:t>
      </w:r>
      <w:r>
        <w:rPr>
          <w:color w:val="auto"/>
          <w:highlight w:val="none"/>
        </w:rPr>
        <w:t>2</w:t>
      </w:r>
      <w:r>
        <w:rPr>
          <w:rFonts w:hint="eastAsia"/>
          <w:color w:val="auto"/>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210" w:firstLineChars="100"/>
        <w:textAlignment w:val="auto"/>
        <w:rPr>
          <w:rFonts w:hint="eastAsia"/>
          <w:color w:val="auto"/>
          <w:highlight w:val="none"/>
        </w:rPr>
      </w:pPr>
      <w:r>
        <w:rPr>
          <w:rFonts w:hint="eastAsia"/>
          <w:color w:val="auto"/>
          <w:highlight w:val="none"/>
        </w:rPr>
        <w:t>3</w:t>
      </w:r>
      <w:r>
        <w:rPr>
          <w:color w:val="auto"/>
          <w:highlight w:val="none"/>
        </w:rPr>
        <w:t xml:space="preserve">  </w:t>
      </w:r>
      <w:r>
        <w:rPr>
          <w:rFonts w:hint="eastAsia"/>
          <w:color w:val="auto"/>
          <w:highlight w:val="none"/>
        </w:rPr>
        <w:t>授权委托书 (适用于自然人委托投标) （附件1-</w:t>
      </w:r>
      <w:r>
        <w:rPr>
          <w:color w:val="auto"/>
          <w:highlight w:val="none"/>
        </w:rPr>
        <w:t>3</w:t>
      </w:r>
      <w:r>
        <w:rPr>
          <w:rFonts w:hint="eastAsia"/>
          <w:color w:val="auto"/>
          <w:highlight w:val="none"/>
        </w:rPr>
        <w:t>）</w:t>
      </w:r>
    </w:p>
    <w:p>
      <w:pPr>
        <w:keepNext w:val="0"/>
        <w:keepLines w:val="0"/>
        <w:pageBreakBefore w:val="0"/>
        <w:widowControl/>
        <w:kinsoku/>
        <w:wordWrap/>
        <w:overflowPunct/>
        <w:topLinePunct w:val="0"/>
        <w:autoSpaceDE/>
        <w:autoSpaceDN/>
        <w:bidi w:val="0"/>
        <w:adjustRightInd/>
        <w:snapToGrid/>
        <w:spacing w:line="460" w:lineRule="exact"/>
        <w:textAlignment w:val="auto"/>
        <w:rPr>
          <w:color w:val="auto"/>
          <w:highlight w:val="none"/>
        </w:rPr>
      </w:pPr>
      <w:r>
        <w:rPr>
          <w:rFonts w:hint="eastAsia"/>
          <w:color w:val="auto"/>
          <w:highlight w:val="none"/>
        </w:rPr>
        <w:t>三、其他资料</w:t>
      </w:r>
    </w:p>
    <w:p>
      <w:pPr>
        <w:keepNext w:val="0"/>
        <w:keepLines w:val="0"/>
        <w:pageBreakBefore w:val="0"/>
        <w:widowControl/>
        <w:kinsoku/>
        <w:wordWrap/>
        <w:overflowPunct/>
        <w:topLinePunct w:val="0"/>
        <w:autoSpaceDE/>
        <w:autoSpaceDN/>
        <w:bidi w:val="0"/>
        <w:adjustRightInd/>
        <w:snapToGrid/>
        <w:spacing w:line="460" w:lineRule="exact"/>
        <w:ind w:firstLine="210" w:firstLineChars="100"/>
        <w:textAlignment w:val="auto"/>
        <w:rPr>
          <w:color w:val="auto"/>
          <w:highlight w:val="none"/>
        </w:rPr>
      </w:pPr>
      <w:r>
        <w:rPr>
          <w:rFonts w:hint="eastAsia"/>
          <w:color w:val="auto"/>
          <w:highlight w:val="none"/>
        </w:rPr>
        <w:t>1</w:t>
      </w:r>
      <w:r>
        <w:rPr>
          <w:color w:val="auto"/>
          <w:highlight w:val="none"/>
        </w:rPr>
        <w:t>不参与围标串标承诺书</w:t>
      </w:r>
      <w:r>
        <w:rPr>
          <w:rFonts w:hint="eastAsia"/>
          <w:color w:val="auto"/>
          <w:highlight w:val="none"/>
        </w:rPr>
        <w:t xml:space="preserve">； </w:t>
      </w:r>
    </w:p>
    <w:p>
      <w:pPr>
        <w:keepNext w:val="0"/>
        <w:keepLines w:val="0"/>
        <w:pageBreakBefore w:val="0"/>
        <w:widowControl/>
        <w:kinsoku/>
        <w:wordWrap/>
        <w:overflowPunct/>
        <w:topLinePunct w:val="0"/>
        <w:autoSpaceDE/>
        <w:autoSpaceDN/>
        <w:bidi w:val="0"/>
        <w:adjustRightInd/>
        <w:snapToGrid/>
        <w:spacing w:line="460" w:lineRule="exact"/>
        <w:ind w:firstLine="210" w:firstLineChars="100"/>
        <w:textAlignment w:val="auto"/>
        <w:rPr>
          <w:rFonts w:hint="eastAsia"/>
          <w:color w:val="auto"/>
          <w:highlight w:val="none"/>
        </w:rPr>
      </w:pPr>
      <w:r>
        <w:rPr>
          <w:rFonts w:hint="eastAsia"/>
          <w:color w:val="auto"/>
          <w:highlight w:val="none"/>
        </w:rPr>
        <w:t>2</w:t>
      </w:r>
      <w:r>
        <w:rPr>
          <w:rFonts w:hint="eastAsia"/>
          <w:color w:val="auto"/>
          <w:highlight w:val="none"/>
        </w:rPr>
        <w:tab/>
      </w:r>
      <w:r>
        <w:rPr>
          <w:rFonts w:hint="eastAsia"/>
          <w:color w:val="auto"/>
          <w:highlight w:val="none"/>
        </w:rPr>
        <w:t>投标保证金缴纳凭证（电汇凭证或收据等）复印件</w:t>
      </w:r>
    </w:p>
    <w:p>
      <w:pPr>
        <w:keepNext w:val="0"/>
        <w:keepLines w:val="0"/>
        <w:pageBreakBefore w:val="0"/>
        <w:widowControl/>
        <w:kinsoku/>
        <w:wordWrap/>
        <w:overflowPunct/>
        <w:topLinePunct w:val="0"/>
        <w:autoSpaceDE/>
        <w:autoSpaceDN/>
        <w:bidi w:val="0"/>
        <w:adjustRightInd/>
        <w:snapToGrid/>
        <w:spacing w:line="460" w:lineRule="exact"/>
        <w:ind w:firstLine="211" w:firstLineChars="100"/>
        <w:textAlignment w:val="auto"/>
        <w:rPr>
          <w:bCs/>
          <w:color w:val="auto"/>
          <w:highlight w:val="none"/>
        </w:rPr>
      </w:pPr>
      <w:r>
        <w:rPr>
          <w:rFonts w:hint="eastAsia"/>
          <w:b/>
          <w:color w:val="auto"/>
          <w:highlight w:val="none"/>
        </w:rPr>
        <w:t>注：1.投标人制作投标文件，应按照</w:t>
      </w:r>
      <w:r>
        <w:rPr>
          <w:rFonts w:hint="eastAsia"/>
          <w:b/>
          <w:color w:val="auto"/>
          <w:highlight w:val="none"/>
          <w:lang w:val="en-US" w:eastAsia="zh-CN"/>
        </w:rPr>
        <w:t>响应</w:t>
      </w:r>
      <w:r>
        <w:rPr>
          <w:rFonts w:hint="eastAsia"/>
          <w:b/>
          <w:color w:val="auto"/>
          <w:highlight w:val="none"/>
        </w:rPr>
        <w:t>文件组成顺序制作，编好始末页码且在</w:t>
      </w:r>
      <w:r>
        <w:rPr>
          <w:rFonts w:hint="eastAsia"/>
          <w:b/>
          <w:color w:val="auto"/>
          <w:highlight w:val="none"/>
          <w:lang w:val="en-US" w:eastAsia="zh-CN"/>
        </w:rPr>
        <w:t>响应</w:t>
      </w:r>
      <w:r>
        <w:rPr>
          <w:rFonts w:hint="eastAsia"/>
          <w:b/>
          <w:color w:val="auto"/>
          <w:highlight w:val="none"/>
        </w:rPr>
        <w:t>文件目录中一一列明并对应。</w:t>
      </w:r>
    </w:p>
    <w:p>
      <w:pPr>
        <w:keepNext w:val="0"/>
        <w:keepLines w:val="0"/>
        <w:pageBreakBefore w:val="0"/>
        <w:widowControl/>
        <w:kinsoku/>
        <w:wordWrap/>
        <w:overflowPunct/>
        <w:topLinePunct w:val="0"/>
        <w:autoSpaceDE/>
        <w:autoSpaceDN/>
        <w:bidi w:val="0"/>
        <w:adjustRightInd/>
        <w:snapToGrid/>
        <w:spacing w:line="460" w:lineRule="exact"/>
        <w:ind w:firstLine="422" w:firstLineChars="200"/>
        <w:textAlignment w:val="auto"/>
        <w:rPr>
          <w:b/>
          <w:color w:val="auto"/>
          <w:highlight w:val="none"/>
        </w:rPr>
      </w:pPr>
      <w:r>
        <w:rPr>
          <w:rFonts w:hint="eastAsia"/>
          <w:b/>
          <w:color w:val="auto"/>
          <w:highlight w:val="none"/>
        </w:rPr>
        <w:t>2</w:t>
      </w:r>
      <w:r>
        <w:rPr>
          <w:b/>
          <w:color w:val="auto"/>
          <w:highlight w:val="none"/>
        </w:rPr>
        <w:t>.</w:t>
      </w:r>
      <w:r>
        <w:rPr>
          <w:rFonts w:hint="eastAsia"/>
          <w:b/>
          <w:color w:val="auto"/>
          <w:highlight w:val="none"/>
          <w:lang w:val="en-US" w:eastAsia="zh-CN"/>
        </w:rPr>
        <w:t>竞争性谈判</w:t>
      </w:r>
      <w:r>
        <w:rPr>
          <w:rFonts w:hint="eastAsia"/>
          <w:b/>
          <w:color w:val="auto"/>
          <w:highlight w:val="none"/>
          <w:lang w:eastAsia="zh-CN"/>
        </w:rPr>
        <w:t>文件</w:t>
      </w:r>
      <w:r>
        <w:rPr>
          <w:rFonts w:hint="eastAsia"/>
          <w:b/>
          <w:color w:val="auto"/>
          <w:highlight w:val="none"/>
        </w:rPr>
        <w:t>没有提供格式的，投标人可自行设置。</w:t>
      </w:r>
    </w:p>
    <w:p>
      <w:pPr>
        <w:pStyle w:val="16"/>
        <w:rPr>
          <w:highlight w:val="none"/>
        </w:rPr>
      </w:pPr>
    </w:p>
    <w:p>
      <w:pPr>
        <w:spacing w:line="360" w:lineRule="auto"/>
        <w:rPr>
          <w:rFonts w:hint="eastAsia"/>
          <w:b/>
          <w:color w:val="auto"/>
          <w:highlight w:val="none"/>
          <w:lang w:val="en-US" w:eastAsia="zh-CN"/>
        </w:rPr>
      </w:pPr>
      <w:r>
        <w:rPr>
          <w:rFonts w:hint="eastAsia"/>
          <w:color w:val="auto"/>
          <w:highlight w:val="none"/>
        </w:rPr>
        <w:br w:type="page"/>
      </w:r>
      <w:r>
        <w:rPr>
          <w:rFonts w:hint="eastAsia"/>
          <w:b/>
          <w:color w:val="auto"/>
          <w:highlight w:val="none"/>
          <w:lang w:val="en-US" w:eastAsia="zh-CN"/>
        </w:rPr>
        <w:t>3、资格文件格式</w:t>
      </w:r>
    </w:p>
    <w:p>
      <w:pPr>
        <w:spacing w:line="440" w:lineRule="exact"/>
        <w:jc w:val="center"/>
        <w:rPr>
          <w:b/>
          <w:color w:val="auto"/>
          <w:sz w:val="30"/>
          <w:szCs w:val="30"/>
          <w:highlight w:val="none"/>
        </w:rPr>
      </w:pPr>
      <w:r>
        <w:rPr>
          <w:rFonts w:hint="eastAsia"/>
          <w:b/>
          <w:color w:val="auto"/>
          <w:sz w:val="30"/>
          <w:szCs w:val="30"/>
          <w:highlight w:val="none"/>
        </w:rPr>
        <w:t>附件1-</w:t>
      </w:r>
      <w:r>
        <w:rPr>
          <w:b/>
          <w:color w:val="auto"/>
          <w:sz w:val="30"/>
          <w:szCs w:val="30"/>
          <w:highlight w:val="none"/>
        </w:rPr>
        <w:t>1</w:t>
      </w:r>
      <w:r>
        <w:rPr>
          <w:rFonts w:hint="eastAsia"/>
          <w:b/>
          <w:color w:val="auto"/>
          <w:sz w:val="30"/>
          <w:szCs w:val="30"/>
          <w:highlight w:val="none"/>
        </w:rPr>
        <w:t xml:space="preserve">  法定代表人资格证明书</w:t>
      </w:r>
    </w:p>
    <w:p>
      <w:pPr>
        <w:spacing w:beforeLines="50" w:afterLines="50" w:line="360" w:lineRule="auto"/>
        <w:ind w:left="546" w:leftChars="260"/>
        <w:rPr>
          <w:color w:val="auto"/>
          <w:highlight w:val="none"/>
          <w:u w:val="single"/>
        </w:rPr>
      </w:pPr>
      <w:r>
        <w:rPr>
          <w:rFonts w:hint="eastAsia"/>
          <w:color w:val="auto"/>
          <w:highlight w:val="none"/>
        </w:rPr>
        <w:t>单位名称：</w:t>
      </w:r>
    </w:p>
    <w:p>
      <w:pPr>
        <w:spacing w:beforeLines="50" w:afterLines="50" w:line="360" w:lineRule="auto"/>
        <w:ind w:left="546" w:leftChars="260"/>
        <w:rPr>
          <w:color w:val="auto"/>
          <w:highlight w:val="none"/>
          <w:u w:val="single"/>
        </w:rPr>
      </w:pPr>
      <w:r>
        <w:rPr>
          <w:rFonts w:hint="eastAsia"/>
          <w:color w:val="auto"/>
          <w:highlight w:val="none"/>
        </w:rPr>
        <w:t>单位性质：</w:t>
      </w:r>
    </w:p>
    <w:p>
      <w:pPr>
        <w:spacing w:beforeLines="50" w:afterLines="50" w:line="360" w:lineRule="auto"/>
        <w:ind w:left="546" w:leftChars="260"/>
        <w:rPr>
          <w:color w:val="auto"/>
          <w:highlight w:val="none"/>
        </w:rPr>
      </w:pPr>
      <w:r>
        <w:rPr>
          <w:rFonts w:hint="eastAsia"/>
          <w:color w:val="auto"/>
          <w:highlight w:val="none"/>
        </w:rPr>
        <w:t>地址：</w:t>
      </w:r>
    </w:p>
    <w:p>
      <w:pPr>
        <w:spacing w:beforeLines="50" w:afterLines="50" w:line="360" w:lineRule="auto"/>
        <w:ind w:left="546" w:leftChars="260"/>
        <w:rPr>
          <w:color w:val="auto"/>
          <w:highlight w:val="none"/>
          <w:u w:val="single"/>
        </w:rPr>
      </w:pPr>
      <w:r>
        <w:rPr>
          <w:rFonts w:hint="eastAsia"/>
          <w:color w:val="auto"/>
          <w:highlight w:val="none"/>
        </w:rPr>
        <w:t>成立时间：</w:t>
      </w:r>
    </w:p>
    <w:p>
      <w:pPr>
        <w:spacing w:beforeLines="50" w:afterLines="50" w:line="360" w:lineRule="auto"/>
        <w:ind w:left="546" w:leftChars="260"/>
        <w:rPr>
          <w:color w:val="auto"/>
          <w:highlight w:val="none"/>
        </w:rPr>
      </w:pPr>
      <w:r>
        <w:rPr>
          <w:rFonts w:hint="eastAsia"/>
          <w:color w:val="auto"/>
          <w:highlight w:val="none"/>
        </w:rPr>
        <w:t>经营期限：</w:t>
      </w:r>
    </w:p>
    <w:p>
      <w:pPr>
        <w:spacing w:beforeLines="50" w:afterLines="50" w:line="360" w:lineRule="auto"/>
        <w:ind w:left="546" w:leftChars="260"/>
        <w:rPr>
          <w:color w:val="auto"/>
          <w:highlight w:val="none"/>
        </w:rPr>
      </w:pPr>
      <w:r>
        <w:rPr>
          <w:rFonts w:hint="eastAsia"/>
          <w:color w:val="auto"/>
          <w:highlight w:val="none"/>
        </w:rPr>
        <w:t>姓名：性别：年龄：职务：</w:t>
      </w:r>
    </w:p>
    <w:p>
      <w:pPr>
        <w:spacing w:beforeLines="50" w:afterLines="50" w:line="360" w:lineRule="auto"/>
        <w:ind w:firstLine="420" w:firstLineChars="200"/>
        <w:rPr>
          <w:color w:val="auto"/>
          <w:highlight w:val="none"/>
        </w:rPr>
      </w:pPr>
      <w:r>
        <w:rPr>
          <w:rFonts w:hint="eastAsia"/>
          <w:color w:val="auto"/>
          <w:highlight w:val="none"/>
        </w:rPr>
        <w:t>系</w:t>
      </w:r>
      <w:r>
        <w:rPr>
          <w:rFonts w:hint="eastAsia"/>
          <w:color w:val="auto"/>
          <w:highlight w:val="none"/>
          <w:u w:val="single"/>
        </w:rPr>
        <w:t>（投标人）</w:t>
      </w:r>
      <w:r>
        <w:rPr>
          <w:rFonts w:hint="eastAsia"/>
          <w:color w:val="auto"/>
          <w:highlight w:val="none"/>
        </w:rPr>
        <w:t>的法定代表人。</w:t>
      </w:r>
      <w:r>
        <w:rPr>
          <w:rFonts w:hint="eastAsia"/>
          <w:color w:val="auto"/>
          <w:highlight w:val="none"/>
        </w:rPr>
        <w:cr/>
      </w:r>
    </w:p>
    <w:p>
      <w:pPr>
        <w:spacing w:beforeLines="50" w:afterLines="50" w:line="360" w:lineRule="auto"/>
        <w:ind w:firstLine="420" w:firstLineChars="200"/>
        <w:rPr>
          <w:color w:val="auto"/>
          <w:highlight w:val="none"/>
        </w:rPr>
      </w:pPr>
      <w:r>
        <w:rPr>
          <w:rFonts w:hint="eastAsia"/>
          <w:color w:val="auto"/>
          <w:highlight w:val="none"/>
        </w:rPr>
        <w:t>特此证明。</w:t>
      </w:r>
    </w:p>
    <w:p>
      <w:pPr>
        <w:spacing w:beforeLines="50" w:afterLines="50" w:line="360" w:lineRule="auto"/>
        <w:ind w:firstLine="420" w:firstLineChars="200"/>
        <w:rPr>
          <w:color w:val="auto"/>
          <w:highlight w:val="none"/>
        </w:rPr>
      </w:pPr>
      <w:r>
        <w:rPr>
          <w:rFonts w:hint="eastAsia"/>
          <w:color w:val="auto"/>
          <w:highlight w:val="none"/>
        </w:rPr>
        <w:t>（附法定代表人身份证复印件）</w:t>
      </w:r>
    </w:p>
    <w:p>
      <w:pPr>
        <w:spacing w:beforeLines="50" w:afterLines="50" w:line="360" w:lineRule="auto"/>
        <w:ind w:firstLine="420" w:firstLineChars="200"/>
        <w:rPr>
          <w:color w:val="auto"/>
          <w:highlight w:val="none"/>
        </w:rPr>
      </w:pPr>
    </w:p>
    <w:p>
      <w:pPr>
        <w:spacing w:beforeLines="50" w:afterLines="50" w:line="360" w:lineRule="auto"/>
        <w:ind w:firstLine="420" w:firstLineChars="200"/>
        <w:rPr>
          <w:color w:val="auto"/>
          <w:highlight w:val="none"/>
        </w:rPr>
      </w:pPr>
      <w:r>
        <w:rPr>
          <w:rFonts w:hint="eastAsia"/>
          <w:color w:val="auto"/>
          <w:highlight w:val="none"/>
        </w:rPr>
        <w:t>投标人公章：[投标人盖章]</w:t>
      </w:r>
    </w:p>
    <w:p>
      <w:pPr>
        <w:spacing w:beforeLines="50" w:afterLines="50" w:line="360" w:lineRule="auto"/>
        <w:ind w:firstLine="436" w:firstLineChars="200"/>
        <w:rPr>
          <w:color w:val="auto"/>
          <w:highlight w:val="none"/>
        </w:rPr>
      </w:pPr>
      <w:r>
        <w:rPr>
          <w:rFonts w:hint="eastAsia"/>
          <w:color w:val="auto"/>
          <w:spacing w:val="4"/>
          <w:highlight w:val="none"/>
        </w:rPr>
        <w:t>日期：</w:t>
      </w:r>
      <w:r>
        <w:rPr>
          <w:rFonts w:hint="eastAsia"/>
          <w:color w:val="auto"/>
          <w:highlight w:val="none"/>
        </w:rPr>
        <w:t>年月日</w:t>
      </w:r>
    </w:p>
    <w:p>
      <w:pPr>
        <w:spacing w:line="440" w:lineRule="exact"/>
        <w:jc w:val="center"/>
        <w:rPr>
          <w:b/>
          <w:color w:val="auto"/>
          <w:sz w:val="32"/>
          <w:szCs w:val="32"/>
          <w:highlight w:val="none"/>
        </w:rPr>
      </w:pPr>
      <w:r>
        <w:rPr>
          <w:b/>
          <w:color w:val="auto"/>
          <w:sz w:val="30"/>
          <w:szCs w:val="30"/>
          <w:highlight w:val="none"/>
        </w:rPr>
        <w:br w:type="page"/>
      </w:r>
      <w:r>
        <w:rPr>
          <w:rFonts w:hint="eastAsia"/>
          <w:b/>
          <w:color w:val="auto"/>
          <w:sz w:val="30"/>
          <w:szCs w:val="30"/>
          <w:highlight w:val="none"/>
        </w:rPr>
        <w:t>附件1-</w:t>
      </w:r>
      <w:r>
        <w:rPr>
          <w:b/>
          <w:color w:val="auto"/>
          <w:sz w:val="30"/>
          <w:szCs w:val="30"/>
          <w:highlight w:val="none"/>
        </w:rPr>
        <w:t>2</w:t>
      </w:r>
      <w:r>
        <w:rPr>
          <w:rFonts w:hint="eastAsia"/>
          <w:b/>
          <w:color w:val="auto"/>
          <w:sz w:val="30"/>
          <w:szCs w:val="30"/>
          <w:highlight w:val="none"/>
        </w:rPr>
        <w:t xml:space="preserve">  </w:t>
      </w:r>
      <w:r>
        <w:rPr>
          <w:rFonts w:hint="eastAsia"/>
          <w:b/>
          <w:color w:val="auto"/>
          <w:sz w:val="32"/>
          <w:szCs w:val="32"/>
          <w:highlight w:val="none"/>
        </w:rPr>
        <w:t>法定代表人授权委托书</w:t>
      </w:r>
    </w:p>
    <w:p>
      <w:pPr>
        <w:spacing w:line="440" w:lineRule="exact"/>
        <w:jc w:val="center"/>
        <w:rPr>
          <w:b/>
          <w:color w:val="auto"/>
          <w:sz w:val="32"/>
          <w:szCs w:val="32"/>
          <w:highlight w:val="none"/>
        </w:rPr>
      </w:pPr>
    </w:p>
    <w:p>
      <w:pPr>
        <w:autoSpaceDE w:val="0"/>
        <w:autoSpaceDN w:val="0"/>
        <w:adjustRightInd w:val="0"/>
        <w:spacing w:line="440" w:lineRule="exact"/>
        <w:ind w:firstLine="422"/>
        <w:rPr>
          <w:color w:val="auto"/>
          <w:highlight w:val="none"/>
        </w:rPr>
      </w:pPr>
      <w:r>
        <w:rPr>
          <w:rFonts w:hint="eastAsia"/>
          <w:color w:val="auto"/>
          <w:highlight w:val="none"/>
        </w:rPr>
        <w:t>本授权声明：注册于中华人民共和国的</w:t>
      </w:r>
      <w:r>
        <w:rPr>
          <w:rFonts w:hint="eastAsia"/>
          <w:color w:val="auto"/>
          <w:highlight w:val="none"/>
          <w:u w:val="single"/>
        </w:rPr>
        <w:t>（投标人名称、住址）</w:t>
      </w:r>
      <w:r>
        <w:rPr>
          <w:rFonts w:hint="eastAsia"/>
          <w:color w:val="auto"/>
          <w:highlight w:val="none"/>
        </w:rPr>
        <w:t>的法人代表</w:t>
      </w:r>
      <w:r>
        <w:rPr>
          <w:rFonts w:hint="eastAsia"/>
          <w:color w:val="auto"/>
          <w:highlight w:val="none"/>
          <w:u w:val="single"/>
        </w:rPr>
        <w:t>（法定代表人姓名）</w:t>
      </w:r>
      <w:r>
        <w:rPr>
          <w:rFonts w:hint="eastAsia"/>
          <w:color w:val="auto"/>
          <w:highlight w:val="none"/>
        </w:rPr>
        <w:t>代表本公司授权在下面签字的</w:t>
      </w:r>
      <w:r>
        <w:rPr>
          <w:rFonts w:hint="eastAsia"/>
          <w:color w:val="auto"/>
          <w:highlight w:val="none"/>
          <w:u w:val="single"/>
        </w:rPr>
        <w:t>（授权代表姓名）</w:t>
      </w:r>
      <w:r>
        <w:rPr>
          <w:rFonts w:hint="eastAsia"/>
          <w:color w:val="auto"/>
          <w:highlight w:val="none"/>
        </w:rPr>
        <w:t>为本公司的合法代理人，就此次</w:t>
      </w:r>
      <w:r>
        <w:rPr>
          <w:rFonts w:hint="eastAsia"/>
          <w:color w:val="auto"/>
          <w:highlight w:val="none"/>
          <w:u w:val="single"/>
        </w:rPr>
        <w:t>项目名称</w:t>
      </w:r>
      <w:r>
        <w:rPr>
          <w:rFonts w:hint="eastAsia"/>
          <w:color w:val="auto"/>
          <w:highlight w:val="none"/>
        </w:rPr>
        <w:t>项目，项目编号为</w:t>
      </w:r>
      <w:r>
        <w:rPr>
          <w:rFonts w:hint="eastAsia"/>
          <w:color w:val="auto"/>
          <w:highlight w:val="none"/>
          <w:u w:val="single"/>
          <w:lang w:val="en-US" w:eastAsia="zh-CN"/>
        </w:rPr>
        <w:t xml:space="preserve">   </w:t>
      </w:r>
      <w:r>
        <w:rPr>
          <w:rFonts w:hint="eastAsia"/>
          <w:color w:val="auto"/>
          <w:highlight w:val="none"/>
        </w:rPr>
        <w:t>的投标及相关事务代表本公司处理与之有关的一切事务。</w:t>
      </w:r>
    </w:p>
    <w:p>
      <w:pPr>
        <w:autoSpaceDE w:val="0"/>
        <w:autoSpaceDN w:val="0"/>
        <w:adjustRightInd w:val="0"/>
        <w:spacing w:line="440" w:lineRule="exact"/>
        <w:ind w:firstLine="367" w:firstLineChars="175"/>
        <w:rPr>
          <w:color w:val="auto"/>
          <w:highlight w:val="none"/>
        </w:rPr>
      </w:pPr>
      <w:r>
        <w:rPr>
          <w:rFonts w:hint="eastAsia"/>
          <w:color w:val="auto"/>
          <w:highlight w:val="none"/>
        </w:rPr>
        <w:t>本授权书于</w:t>
      </w:r>
      <w:r>
        <w:rPr>
          <w:rFonts w:hint="eastAsia"/>
          <w:color w:val="auto"/>
          <w:highlight w:val="none"/>
          <w:u w:val="single"/>
        </w:rPr>
        <w:t>年月日</w:t>
      </w:r>
      <w:r>
        <w:rPr>
          <w:rFonts w:hint="eastAsia"/>
          <w:color w:val="auto"/>
          <w:highlight w:val="none"/>
        </w:rPr>
        <w:t>签字生效，特此声明。</w:t>
      </w:r>
    </w:p>
    <w:p>
      <w:pPr>
        <w:autoSpaceDE w:val="0"/>
        <w:autoSpaceDN w:val="0"/>
        <w:adjustRightInd w:val="0"/>
        <w:spacing w:line="440" w:lineRule="exact"/>
        <w:ind w:firstLine="420" w:firstLineChars="200"/>
        <w:rPr>
          <w:color w:val="auto"/>
          <w:highlight w:val="none"/>
          <w:u w:val="single"/>
        </w:rPr>
      </w:pPr>
      <w:r>
        <w:rPr>
          <w:rFonts w:hint="eastAsia"/>
          <w:color w:val="auto"/>
          <w:highlight w:val="none"/>
        </w:rPr>
        <w:t>法定代表人签字或盖章：</w:t>
      </w:r>
    </w:p>
    <w:p>
      <w:pPr>
        <w:autoSpaceDE w:val="0"/>
        <w:autoSpaceDN w:val="0"/>
        <w:adjustRightInd w:val="0"/>
        <w:spacing w:line="440" w:lineRule="exact"/>
        <w:ind w:firstLine="420" w:firstLineChars="200"/>
        <w:rPr>
          <w:color w:val="auto"/>
          <w:highlight w:val="none"/>
          <w:u w:val="single"/>
        </w:rPr>
      </w:pPr>
      <w:r>
        <w:rPr>
          <w:rFonts w:hint="eastAsia"/>
          <w:color w:val="auto"/>
          <w:highlight w:val="none"/>
        </w:rPr>
        <w:t>授权代表签字或盖章：</w:t>
      </w:r>
    </w:p>
    <w:p>
      <w:pPr>
        <w:autoSpaceDE w:val="0"/>
        <w:autoSpaceDN w:val="0"/>
        <w:adjustRightInd w:val="0"/>
        <w:spacing w:line="440" w:lineRule="exact"/>
        <w:ind w:firstLine="420" w:firstLineChars="200"/>
        <w:rPr>
          <w:color w:val="auto"/>
          <w:highlight w:val="none"/>
          <w:u w:val="single"/>
        </w:rPr>
      </w:pPr>
      <w:r>
        <w:rPr>
          <w:rFonts w:hint="eastAsia"/>
          <w:color w:val="auto"/>
          <w:highlight w:val="none"/>
        </w:rPr>
        <w:t>单位名称：</w:t>
      </w:r>
    </w:p>
    <w:p>
      <w:pPr>
        <w:spacing w:line="440" w:lineRule="exact"/>
        <w:ind w:firstLine="480"/>
        <w:rPr>
          <w:color w:val="auto"/>
          <w:highlight w:val="none"/>
        </w:rPr>
      </w:pPr>
      <w:r>
        <w:rPr>
          <w:rFonts w:hint="eastAsia"/>
          <w:color w:val="auto"/>
          <w:highlight w:val="none"/>
        </w:rPr>
        <w:t>授权日期：</w:t>
      </w:r>
      <w:r>
        <w:rPr>
          <w:color w:val="auto"/>
          <w:highlight w:val="none"/>
        </w:rPr>
        <w:t>20</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pPr>
        <w:spacing w:line="440" w:lineRule="exact"/>
        <w:ind w:firstLine="480"/>
        <w:rPr>
          <w:color w:val="auto"/>
          <w:highlight w:val="none"/>
        </w:rPr>
      </w:pPr>
    </w:p>
    <w:p>
      <w:pPr>
        <w:spacing w:line="440" w:lineRule="exact"/>
        <w:ind w:firstLine="5460" w:firstLineChars="2600"/>
        <w:rPr>
          <w:color w:val="auto"/>
          <w:highlight w:val="none"/>
        </w:rPr>
      </w:pPr>
      <w:r>
        <w:rPr>
          <w:rFonts w:hint="eastAsia"/>
          <w:color w:val="auto"/>
          <w:highlight w:val="none"/>
        </w:rPr>
        <w:t>（单位公章）</w:t>
      </w:r>
    </w:p>
    <w:p>
      <w:pPr>
        <w:spacing w:line="440" w:lineRule="exact"/>
        <w:ind w:firstLine="5565" w:firstLineChars="2650"/>
        <w:rPr>
          <w:b/>
          <w:color w:val="auto"/>
          <w:highlight w:val="none"/>
          <w:em w:val="dot"/>
        </w:rPr>
      </w:pPr>
      <w:r>
        <w:rPr>
          <w:color w:val="auto"/>
          <w:highlight w:val="none"/>
        </w:rPr>
        <w:t>20</w:t>
      </w:r>
      <w:r>
        <w:rPr>
          <w:rFonts w:hint="eastAsia"/>
          <w:color w:val="auto"/>
          <w:highlight w:val="none"/>
        </w:rPr>
        <w:t xml:space="preserve">    年    月   日</w:t>
      </w:r>
    </w:p>
    <w:p>
      <w:pPr>
        <w:spacing w:line="440" w:lineRule="exact"/>
        <w:rPr>
          <w:b/>
          <w:color w:val="auto"/>
          <w:highlight w:val="none"/>
          <w:em w:val="dot"/>
        </w:rPr>
      </w:pPr>
      <w:permStart w:id="2" w:edGrp="everyone"/>
      <w:permEnd w:id="2"/>
      <w:r>
        <w:rPr>
          <w:color w:val="auto"/>
          <w:highlight w:val="none"/>
        </w:rPr>
        <w:pict>
          <v:shape id="文本框 1" o:spid="_x0000_s1031" o:spt="202" type="#_x0000_t202" style="position:absolute;left:0pt;margin-left:2.5pt;margin-top:8.35pt;height:124.8pt;width:435.8pt;z-index:251659264;mso-width-relative:page;mso-height-relative:page;"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1d5j1wAAAAgBAAAPAAAAAAAAAAEAIAAA&#10;ACIAAABkcnMvZG93bnJldi54bWxQSwECFAAUAAAACACHTuJAkp2OAA0CAAA4BAAADgAAAAAAAAAB&#10;ACAAAAAmAQAAZHJzL2Uyb0RvYy54bWxQSwUGAAAAAAYABgBZAQAApQUAAAAA&#10;">
            <v:path/>
            <v:fill focussize="0,0"/>
            <v:stroke dashstyle="1 1"/>
            <v:imagedata o:title=""/>
            <o:lock v:ext="edit"/>
            <v:textbox>
              <w:txbxContent>
                <w:p>
                  <w:pPr>
                    <w:jc w:val="center"/>
                  </w:pPr>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2"/>
                  </w:pPr>
                </w:p>
              </w:txbxContent>
            </v:textbox>
          </v:shape>
        </w:pict>
      </w:r>
    </w:p>
    <w:p>
      <w:pPr>
        <w:spacing w:line="440" w:lineRule="exact"/>
        <w:rPr>
          <w:b/>
          <w:color w:val="auto"/>
          <w:highlight w:val="none"/>
          <w:em w:val="dot"/>
        </w:rPr>
      </w:pPr>
    </w:p>
    <w:p>
      <w:pPr>
        <w:spacing w:line="440" w:lineRule="exact"/>
        <w:rPr>
          <w:b/>
          <w:color w:val="auto"/>
          <w:highlight w:val="none"/>
        </w:rPr>
      </w:pPr>
    </w:p>
    <w:p>
      <w:pPr>
        <w:spacing w:line="440" w:lineRule="exact"/>
        <w:rPr>
          <w:b/>
          <w:color w:val="auto"/>
          <w:highlight w:val="none"/>
        </w:rPr>
      </w:pPr>
    </w:p>
    <w:p>
      <w:pPr>
        <w:spacing w:line="440" w:lineRule="exact"/>
        <w:rPr>
          <w:b/>
          <w:color w:val="auto"/>
          <w:sz w:val="30"/>
          <w:szCs w:val="30"/>
          <w:highlight w:val="none"/>
        </w:rPr>
      </w:pPr>
    </w:p>
    <w:p>
      <w:pPr>
        <w:spacing w:line="440" w:lineRule="exact"/>
        <w:jc w:val="center"/>
        <w:rPr>
          <w:b/>
          <w:color w:val="auto"/>
          <w:sz w:val="30"/>
          <w:szCs w:val="30"/>
          <w:highlight w:val="none"/>
        </w:rPr>
      </w:pPr>
    </w:p>
    <w:p>
      <w:pPr>
        <w:spacing w:line="440" w:lineRule="exact"/>
        <w:jc w:val="center"/>
        <w:rPr>
          <w:b/>
          <w:color w:val="auto"/>
          <w:sz w:val="30"/>
          <w:szCs w:val="30"/>
          <w:highlight w:val="none"/>
        </w:rPr>
      </w:pPr>
    </w:p>
    <w:p>
      <w:pPr>
        <w:spacing w:line="440" w:lineRule="exact"/>
        <w:jc w:val="center"/>
        <w:rPr>
          <w:color w:val="auto"/>
          <w:highlight w:val="none"/>
        </w:rPr>
      </w:pPr>
      <w:r>
        <w:rPr>
          <w:color w:val="auto"/>
          <w:highlight w:val="none"/>
        </w:rPr>
        <w:pict>
          <v:shape id="文本框 2" o:spid="_x0000_s1032" o:spt="202" type="#_x0000_t202" style="position:absolute;left:0pt;margin-left:-0.5pt;margin-top:14.3pt;height:124.8pt;width:438.8pt;z-index:251660288;mso-width-relative:page;mso-height-relative:page;"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PIe79cAAAAJAQAADwAAAAAAAAABACAA&#10;AAAiAAAAZHJzL2Rvd25yZXYueG1sUEsBAhQAFAAAAAgAh07iQL86YnUOAgAAOAQAAA4AAAAAAAAA&#10;AQAgAAAAJgEAAGRycy9lMm9Eb2MueG1sUEsFBgAAAAAGAAYAWQEAAKYFAAAAAA==&#10;">
            <v:path/>
            <v:fill focussize="0,0"/>
            <v:stroke dashstyle="1 1"/>
            <v:imagedata o:title=""/>
            <o:lock v:ext="edit"/>
            <v:textbox>
              <w:txbxContent>
                <w:p>
                  <w:pPr>
                    <w:jc w:val="center"/>
                  </w:pPr>
                  <w:permStart w:id="4" w:edGrp="everyone"/>
                  <w:permEnd w:id="4"/>
                </w:p>
                <w:p>
                  <w:pPr>
                    <w:rPr>
                      <w:b/>
                    </w:rPr>
                  </w:pPr>
                </w:p>
                <w:p>
                  <w:pPr>
                    <w:pStyle w:val="2"/>
                    <w:jc w:val="center"/>
                  </w:pPr>
                  <w:r>
                    <w:rPr>
                      <w:rFonts w:hint="eastAsia" w:ascii="宋体" w:hAnsi="宋体"/>
                      <w:sz w:val="24"/>
                    </w:rPr>
                    <w:t>此处附被授权人身份证复印件正反面</w:t>
                  </w:r>
                </w:p>
                <w:p/>
              </w:txbxContent>
            </v:textbox>
          </v:shape>
        </w:pict>
      </w:r>
      <w:r>
        <w:rPr>
          <w:rFonts w:hint="eastAsia"/>
          <w:b/>
          <w:color w:val="auto"/>
          <w:sz w:val="30"/>
          <w:szCs w:val="30"/>
          <w:highlight w:val="none"/>
        </w:rPr>
        <w:br w:type="page"/>
      </w:r>
      <w:r>
        <w:rPr>
          <w:rFonts w:hint="eastAsia"/>
          <w:bCs/>
          <w:color w:val="auto"/>
          <w:sz w:val="30"/>
          <w:szCs w:val="30"/>
          <w:highlight w:val="none"/>
        </w:rPr>
        <w:t>附件1-3授权委托书 (适用于自然人</w:t>
      </w:r>
      <w:r>
        <w:rPr>
          <w:rFonts w:hint="eastAsia"/>
          <w:bCs/>
          <w:color w:val="auto"/>
          <w:sz w:val="30"/>
          <w:szCs w:val="30"/>
          <w:highlight w:val="none"/>
          <w:lang w:val="en-US" w:eastAsia="zh-CN"/>
        </w:rPr>
        <w:t>委托</w:t>
      </w:r>
      <w:r>
        <w:rPr>
          <w:rFonts w:hint="eastAsia"/>
          <w:bCs/>
          <w:color w:val="auto"/>
          <w:sz w:val="30"/>
          <w:szCs w:val="30"/>
          <w:highlight w:val="none"/>
        </w:rPr>
        <w:t>投标)</w:t>
      </w:r>
    </w:p>
    <w:p>
      <w:pPr>
        <w:spacing w:beforeLines="50" w:afterLines="50" w:line="360" w:lineRule="auto"/>
        <w:ind w:left="546" w:leftChars="260"/>
        <w:rPr>
          <w:color w:val="auto"/>
          <w:highlight w:val="none"/>
        </w:rPr>
      </w:pPr>
      <w:r>
        <w:rPr>
          <w:rFonts w:hint="eastAsia"/>
          <w:color w:val="auto"/>
          <w:highlight w:val="none"/>
        </w:rPr>
        <w:t>致：____________(采购人或采购代理机构)</w:t>
      </w:r>
    </w:p>
    <w:p>
      <w:pPr>
        <w:spacing w:beforeLines="50" w:afterLines="50" w:line="360" w:lineRule="auto"/>
        <w:ind w:left="546" w:leftChars="260"/>
        <w:rPr>
          <w:color w:val="auto"/>
          <w:highlight w:val="none"/>
        </w:rPr>
      </w:pPr>
      <w:r>
        <w:rPr>
          <w:rFonts w:hint="eastAsia"/>
          <w:color w:val="auto"/>
          <w:highlight w:val="none"/>
        </w:rPr>
        <w:t>我________(姓名)系自然人，现授权委托____________(姓名)以本人名义参加____________(项目名称) ，项目编号为</w:t>
      </w:r>
      <w:r>
        <w:rPr>
          <w:rFonts w:hint="eastAsia"/>
          <w:color w:val="auto"/>
          <w:highlight w:val="none"/>
          <w:u w:val="single"/>
          <w:lang w:val="en-US" w:eastAsia="zh-CN"/>
        </w:rPr>
        <w:t xml:space="preserve">            </w:t>
      </w:r>
      <w:r>
        <w:rPr>
          <w:rFonts w:hint="eastAsia"/>
          <w:color w:val="auto"/>
          <w:highlight w:val="none"/>
        </w:rPr>
        <w:t>的投标活动，并代表本人全权办理针对上述项目的投标、签约等具体事务和签署相关文件。</w:t>
      </w:r>
    </w:p>
    <w:p>
      <w:pPr>
        <w:spacing w:beforeLines="50" w:afterLines="50" w:line="360" w:lineRule="auto"/>
        <w:ind w:left="546" w:leftChars="260"/>
        <w:rPr>
          <w:color w:val="auto"/>
          <w:highlight w:val="none"/>
        </w:rPr>
      </w:pPr>
      <w:r>
        <w:rPr>
          <w:rFonts w:hint="eastAsia"/>
          <w:color w:val="auto"/>
          <w:highlight w:val="none"/>
        </w:rPr>
        <w:t>本人对授权代表的签字事项负全部责任。</w:t>
      </w:r>
    </w:p>
    <w:p>
      <w:pPr>
        <w:spacing w:beforeLines="50" w:afterLines="50" w:line="360" w:lineRule="auto"/>
        <w:ind w:left="546" w:leftChars="260"/>
        <w:rPr>
          <w:color w:val="auto"/>
          <w:highlight w:val="none"/>
        </w:rPr>
      </w:pPr>
      <w:r>
        <w:rPr>
          <w:rFonts w:hint="eastAsia"/>
          <w:color w:val="auto"/>
          <w:highlight w:val="none"/>
        </w:rPr>
        <w:t>授权委托代理期限：从　　　年　　月　　日起至　　　年　　月　　日止。</w:t>
      </w:r>
    </w:p>
    <w:p>
      <w:pPr>
        <w:spacing w:beforeLines="50" w:afterLines="50" w:line="360" w:lineRule="auto"/>
        <w:ind w:left="546" w:leftChars="260"/>
        <w:rPr>
          <w:color w:val="auto"/>
          <w:highlight w:val="none"/>
        </w:rPr>
      </w:pPr>
    </w:p>
    <w:p>
      <w:pPr>
        <w:spacing w:beforeLines="50" w:afterLines="50" w:line="360" w:lineRule="auto"/>
        <w:ind w:left="546" w:leftChars="260"/>
        <w:rPr>
          <w:color w:val="auto"/>
          <w:highlight w:val="none"/>
        </w:rPr>
      </w:pPr>
      <w:r>
        <w:rPr>
          <w:rFonts w:hint="eastAsia"/>
          <w:color w:val="auto"/>
          <w:highlight w:val="none"/>
        </w:rPr>
        <w:t>代理人无转委托权，特此委托。</w:t>
      </w:r>
    </w:p>
    <w:p>
      <w:pPr>
        <w:spacing w:beforeLines="50" w:afterLines="50" w:line="360" w:lineRule="auto"/>
        <w:ind w:left="546" w:leftChars="260"/>
        <w:rPr>
          <w:color w:val="auto"/>
          <w:highlight w:val="none"/>
        </w:rPr>
      </w:pPr>
    </w:p>
    <w:p>
      <w:pPr>
        <w:spacing w:beforeLines="50" w:afterLines="50" w:line="360" w:lineRule="auto"/>
        <w:ind w:left="546" w:leftChars="260"/>
        <w:rPr>
          <w:color w:val="auto"/>
          <w:highlight w:val="none"/>
        </w:rPr>
      </w:pPr>
      <w:r>
        <w:rPr>
          <w:rFonts w:hint="eastAsia"/>
          <w:color w:val="auto"/>
          <w:highlight w:val="none"/>
        </w:rPr>
        <w:t>我已在下面签字，以资证明。</w:t>
      </w:r>
    </w:p>
    <w:p>
      <w:pPr>
        <w:spacing w:beforeLines="50" w:afterLines="50" w:line="360" w:lineRule="auto"/>
        <w:ind w:left="546" w:leftChars="260"/>
        <w:rPr>
          <w:color w:val="auto"/>
          <w:highlight w:val="none"/>
        </w:rPr>
      </w:pPr>
    </w:p>
    <w:p>
      <w:pPr>
        <w:spacing w:beforeLines="50" w:afterLines="50" w:line="360" w:lineRule="auto"/>
        <w:ind w:left="546" w:leftChars="260"/>
        <w:rPr>
          <w:color w:val="auto"/>
          <w:highlight w:val="none"/>
        </w:rPr>
      </w:pPr>
      <w:r>
        <w:rPr>
          <w:rFonts w:hint="eastAsia"/>
          <w:color w:val="auto"/>
          <w:highlight w:val="none"/>
        </w:rPr>
        <w:t>自然人签字并在签名处加盖食指指印：　　　　年　　月　　日</w:t>
      </w:r>
    </w:p>
    <w:p>
      <w:pPr>
        <w:rPr>
          <w:rFonts w:hint="default" w:eastAsia="宋体"/>
          <w:b/>
          <w:color w:val="auto"/>
          <w:highlight w:val="none"/>
          <w:lang w:val="en-US" w:eastAsia="zh-CN"/>
        </w:rPr>
      </w:pPr>
      <w:r>
        <w:rPr>
          <w:rFonts w:hint="eastAsia"/>
          <w:color w:val="auto"/>
          <w:highlight w:val="none"/>
        </w:rPr>
        <w:br w:type="page"/>
      </w:r>
      <w:r>
        <w:rPr>
          <w:rFonts w:hint="eastAsia"/>
          <w:b/>
          <w:color w:val="auto"/>
          <w:highlight w:val="none"/>
        </w:rPr>
        <w:t>（</w:t>
      </w:r>
      <w:r>
        <w:rPr>
          <w:rFonts w:hint="eastAsia"/>
          <w:b/>
          <w:color w:val="auto"/>
          <w:highlight w:val="none"/>
          <w:lang w:val="en-US" w:eastAsia="zh-CN"/>
        </w:rPr>
        <w:t>二</w:t>
      </w:r>
      <w:r>
        <w:rPr>
          <w:rFonts w:hint="eastAsia"/>
          <w:b/>
          <w:color w:val="auto"/>
          <w:highlight w:val="none"/>
        </w:rPr>
        <w:t>）</w:t>
      </w:r>
      <w:r>
        <w:rPr>
          <w:rFonts w:hint="eastAsia"/>
          <w:b/>
          <w:color w:val="auto"/>
          <w:highlight w:val="none"/>
          <w:lang w:val="en-US" w:eastAsia="zh-CN"/>
        </w:rPr>
        <w:t>商务技术文件</w:t>
      </w:r>
    </w:p>
    <w:p>
      <w:pPr>
        <w:rPr>
          <w:b/>
          <w:color w:val="auto"/>
          <w:highlight w:val="none"/>
        </w:rPr>
      </w:pPr>
      <w:r>
        <w:rPr>
          <w:rFonts w:hint="eastAsia"/>
          <w:b/>
          <w:color w:val="auto"/>
          <w:highlight w:val="none"/>
          <w:lang w:val="en-US" w:eastAsia="zh-CN"/>
        </w:rPr>
        <w:t>1、商务技术</w:t>
      </w:r>
      <w:r>
        <w:rPr>
          <w:rFonts w:hint="eastAsia"/>
          <w:b/>
          <w:color w:val="auto"/>
          <w:highlight w:val="none"/>
        </w:rPr>
        <w:t>文件封面</w:t>
      </w:r>
    </w:p>
    <w:p>
      <w:pPr>
        <w:rPr>
          <w:rFonts w:hint="eastAsia"/>
          <w:color w:val="auto"/>
          <w:highlight w:val="none"/>
        </w:rPr>
      </w:pPr>
    </w:p>
    <w:p>
      <w:pPr>
        <w:rPr>
          <w:rFonts w:hint="eastAsia"/>
          <w:color w:val="auto"/>
          <w:highlight w:val="none"/>
        </w:rPr>
      </w:pPr>
    </w:p>
    <w:p>
      <w:pPr>
        <w:jc w:val="center"/>
        <w:rPr>
          <w:b/>
          <w:color w:val="auto"/>
          <w:highlight w:val="none"/>
        </w:rPr>
      </w:pPr>
    </w:p>
    <w:p>
      <w:pPr>
        <w:jc w:val="center"/>
        <w:rPr>
          <w:b/>
          <w:color w:val="auto"/>
          <w:highlight w:val="none"/>
        </w:rPr>
      </w:pPr>
    </w:p>
    <w:p>
      <w:pPr>
        <w:jc w:val="center"/>
        <w:rPr>
          <w:b/>
          <w:color w:val="auto"/>
          <w:highlight w:val="none"/>
        </w:rPr>
      </w:pPr>
    </w:p>
    <w:p>
      <w:pPr>
        <w:spacing w:line="360" w:lineRule="auto"/>
        <w:jc w:val="center"/>
        <w:rPr>
          <w:rFonts w:hint="eastAsia" w:eastAsia="宋体"/>
          <w:b/>
          <w:color w:val="auto"/>
          <w:highlight w:val="none"/>
          <w:lang w:eastAsia="zh-CN"/>
        </w:rPr>
      </w:pPr>
      <w:r>
        <w:rPr>
          <w:rFonts w:hint="eastAsia"/>
          <w:b/>
          <w:color w:val="auto"/>
          <w:highlight w:val="none"/>
          <w:lang w:eastAsia="zh-CN"/>
        </w:rPr>
        <w:t>新疆维吾尔自治区人民医院物资服务商（二批）采购项目三次(电工材料类选取1家服务商)</w:t>
      </w:r>
      <w:r>
        <w:rPr>
          <w:rFonts w:hint="eastAsia" w:eastAsia="宋体"/>
          <w:b/>
          <w:color w:val="auto"/>
          <w:highlight w:val="none"/>
          <w:lang w:eastAsia="zh-CN"/>
        </w:rPr>
        <w:t> </w:t>
      </w:r>
    </w:p>
    <w:p>
      <w:pPr>
        <w:spacing w:line="360" w:lineRule="auto"/>
        <w:jc w:val="center"/>
        <w:rPr>
          <w:b/>
          <w:color w:val="auto"/>
          <w:highlight w:val="none"/>
        </w:rPr>
      </w:pPr>
      <w:r>
        <w:rPr>
          <w:rFonts w:hint="eastAsia"/>
          <w:b/>
          <w:color w:val="auto"/>
          <w:highlight w:val="none"/>
          <w:lang w:val="en-US" w:eastAsia="zh-CN"/>
        </w:rPr>
        <w:t>商务技术文件</w:t>
      </w:r>
    </w:p>
    <w:p>
      <w:pPr>
        <w:spacing w:line="360" w:lineRule="auto"/>
        <w:jc w:val="center"/>
        <w:rPr>
          <w:color w:val="auto"/>
          <w:highlight w:val="none"/>
        </w:rPr>
      </w:pPr>
      <w:r>
        <w:rPr>
          <w:rFonts w:hint="eastAsia"/>
          <w:color w:val="auto"/>
          <w:highlight w:val="none"/>
        </w:rPr>
        <w:t>（正本/副本）</w:t>
      </w:r>
    </w:p>
    <w:p>
      <w:pPr>
        <w:spacing w:line="360" w:lineRule="auto"/>
        <w:ind w:firstLine="480"/>
        <w:rPr>
          <w:color w:val="auto"/>
          <w:highlight w:val="none"/>
        </w:rPr>
      </w:pPr>
    </w:p>
    <w:p>
      <w:pPr>
        <w:spacing w:line="360" w:lineRule="auto"/>
        <w:ind w:firstLine="480"/>
        <w:rPr>
          <w:color w:val="auto"/>
          <w:highlight w:val="none"/>
        </w:rPr>
      </w:pPr>
    </w:p>
    <w:p>
      <w:pPr>
        <w:spacing w:line="360" w:lineRule="auto"/>
        <w:ind w:firstLine="480"/>
        <w:rPr>
          <w:color w:val="auto"/>
          <w:highlight w:val="none"/>
        </w:rPr>
      </w:pPr>
    </w:p>
    <w:p>
      <w:pPr>
        <w:spacing w:line="360" w:lineRule="auto"/>
        <w:ind w:firstLine="480"/>
        <w:rPr>
          <w:color w:val="auto"/>
          <w:highlight w:val="none"/>
        </w:rPr>
      </w:pPr>
    </w:p>
    <w:p>
      <w:pPr>
        <w:spacing w:line="360" w:lineRule="auto"/>
        <w:ind w:firstLine="480"/>
        <w:rPr>
          <w:color w:val="auto"/>
          <w:highlight w:val="none"/>
        </w:rPr>
      </w:pPr>
    </w:p>
    <w:p>
      <w:pPr>
        <w:spacing w:line="360" w:lineRule="auto"/>
        <w:ind w:firstLine="480"/>
        <w:rPr>
          <w:color w:val="auto"/>
          <w:highlight w:val="none"/>
        </w:rPr>
      </w:pPr>
      <w:r>
        <w:rPr>
          <w:rFonts w:hint="eastAsia"/>
          <w:color w:val="auto"/>
          <w:highlight w:val="none"/>
        </w:rPr>
        <w:t>项目编号：</w:t>
      </w:r>
    </w:p>
    <w:p>
      <w:pPr>
        <w:spacing w:line="360" w:lineRule="auto"/>
        <w:ind w:firstLine="480"/>
        <w:rPr>
          <w:color w:val="auto"/>
          <w:highlight w:val="none"/>
        </w:rPr>
      </w:pPr>
      <w:r>
        <w:rPr>
          <w:rFonts w:hint="eastAsia"/>
          <w:color w:val="auto"/>
          <w:highlight w:val="none"/>
        </w:rPr>
        <w:t>投标单位名称：</w:t>
      </w:r>
    </w:p>
    <w:p>
      <w:pPr>
        <w:spacing w:line="440" w:lineRule="exact"/>
        <w:ind w:firstLine="420" w:firstLineChars="200"/>
        <w:rPr>
          <w:color w:val="auto"/>
          <w:highlight w:val="none"/>
        </w:rPr>
      </w:pPr>
      <w:r>
        <w:rPr>
          <w:rFonts w:hint="eastAsia"/>
          <w:color w:val="auto"/>
          <w:highlight w:val="none"/>
        </w:rPr>
        <w:t>投标内容/分包：</w:t>
      </w:r>
    </w:p>
    <w:p>
      <w:pPr>
        <w:spacing w:line="360" w:lineRule="auto"/>
        <w:ind w:firstLine="480"/>
        <w:rPr>
          <w:color w:val="auto"/>
          <w:highlight w:val="none"/>
        </w:rPr>
      </w:pPr>
      <w:r>
        <w:rPr>
          <w:rFonts w:hint="eastAsia"/>
          <w:color w:val="auto"/>
          <w:highlight w:val="none"/>
        </w:rPr>
        <w:t>投标单位联系人：</w:t>
      </w:r>
    </w:p>
    <w:p>
      <w:pPr>
        <w:spacing w:line="360" w:lineRule="auto"/>
        <w:ind w:firstLine="480"/>
        <w:rPr>
          <w:color w:val="auto"/>
          <w:highlight w:val="none"/>
        </w:rPr>
      </w:pPr>
      <w:r>
        <w:rPr>
          <w:rFonts w:hint="eastAsia"/>
          <w:color w:val="auto"/>
          <w:highlight w:val="none"/>
        </w:rPr>
        <w:t>投标单位联系电话：</w:t>
      </w:r>
    </w:p>
    <w:p>
      <w:pPr>
        <w:spacing w:line="360" w:lineRule="auto"/>
        <w:ind w:firstLine="480"/>
        <w:rPr>
          <w:color w:val="auto"/>
          <w:highlight w:val="none"/>
        </w:rPr>
      </w:pPr>
      <w:r>
        <w:rPr>
          <w:rFonts w:hint="eastAsia"/>
          <w:color w:val="auto"/>
          <w:highlight w:val="none"/>
        </w:rPr>
        <w:t>二〇  年  月</w:t>
      </w:r>
    </w:p>
    <w:p>
      <w:pPr>
        <w:spacing w:line="360" w:lineRule="auto"/>
        <w:rPr>
          <w:rFonts w:hint="eastAsia"/>
          <w:b/>
          <w:color w:val="auto"/>
          <w:highlight w:val="none"/>
          <w:lang w:val="en-US" w:eastAsia="zh-CN"/>
        </w:rPr>
      </w:pPr>
      <w:r>
        <w:rPr>
          <w:rFonts w:hint="eastAsia"/>
          <w:color w:val="auto"/>
          <w:highlight w:val="none"/>
        </w:rPr>
        <w:br w:type="page"/>
      </w:r>
      <w:r>
        <w:rPr>
          <w:rFonts w:hint="eastAsia"/>
          <w:b/>
          <w:color w:val="auto"/>
          <w:highlight w:val="none"/>
          <w:lang w:val="en-US" w:eastAsia="zh-CN"/>
        </w:rPr>
        <w:t>2、商务技术文件组成</w:t>
      </w:r>
    </w:p>
    <w:p>
      <w:pPr>
        <w:spacing w:line="360" w:lineRule="auto"/>
        <w:rPr>
          <w:rFonts w:hint="eastAsia"/>
          <w:color w:val="auto"/>
          <w:highlight w:val="none"/>
        </w:rPr>
      </w:pPr>
      <w:r>
        <w:rPr>
          <w:rFonts w:hint="eastAsia"/>
          <w:color w:val="auto"/>
          <w:highlight w:val="none"/>
          <w:lang w:val="en-US" w:eastAsia="zh-CN"/>
        </w:rPr>
        <w:t>一</w:t>
      </w:r>
      <w:r>
        <w:rPr>
          <w:rFonts w:hint="eastAsia"/>
          <w:color w:val="auto"/>
          <w:highlight w:val="none"/>
        </w:rPr>
        <w:t>、</w:t>
      </w:r>
      <w:r>
        <w:rPr>
          <w:rFonts w:hint="eastAsia"/>
          <w:color w:val="auto"/>
          <w:highlight w:val="none"/>
          <w:lang w:val="en-US" w:eastAsia="zh-CN"/>
        </w:rPr>
        <w:t>响应承诺书</w:t>
      </w:r>
      <w:r>
        <w:rPr>
          <w:rFonts w:hint="eastAsia"/>
          <w:color w:val="auto"/>
          <w:highlight w:val="none"/>
        </w:rPr>
        <w:t>（附件</w:t>
      </w:r>
      <w:r>
        <w:rPr>
          <w:rFonts w:hint="eastAsia"/>
          <w:color w:val="auto"/>
          <w:highlight w:val="none"/>
          <w:lang w:val="en-US" w:eastAsia="zh-CN"/>
        </w:rPr>
        <w:t>2</w:t>
      </w:r>
      <w:r>
        <w:rPr>
          <w:rFonts w:hint="eastAsia"/>
          <w:color w:val="auto"/>
          <w:highlight w:val="none"/>
        </w:rPr>
        <w:t>-</w:t>
      </w:r>
      <w:r>
        <w:rPr>
          <w:color w:val="auto"/>
          <w:highlight w:val="none"/>
        </w:rPr>
        <w:t>1</w:t>
      </w:r>
      <w:r>
        <w:rPr>
          <w:rFonts w:hint="eastAsia"/>
          <w:color w:val="auto"/>
          <w:highlight w:val="none"/>
        </w:rPr>
        <w:t>）</w:t>
      </w:r>
    </w:p>
    <w:p>
      <w:pPr>
        <w:spacing w:line="360" w:lineRule="auto"/>
        <w:rPr>
          <w:rFonts w:hint="eastAsia"/>
          <w:color w:val="auto"/>
          <w:highlight w:val="none"/>
        </w:rPr>
      </w:pPr>
      <w:r>
        <w:rPr>
          <w:rFonts w:hint="eastAsia"/>
          <w:color w:val="auto"/>
          <w:highlight w:val="none"/>
          <w:lang w:val="en-US" w:eastAsia="zh-CN"/>
        </w:rPr>
        <w:t>二、</w:t>
      </w:r>
      <w:r>
        <w:rPr>
          <w:rFonts w:hint="eastAsia"/>
          <w:color w:val="auto"/>
          <w:highlight w:val="none"/>
        </w:rPr>
        <w:t>反商业贿赂承诺书（附件</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2</w:t>
      </w:r>
      <w:r>
        <w:rPr>
          <w:rFonts w:hint="eastAsia"/>
          <w:color w:val="auto"/>
          <w:highlight w:val="none"/>
        </w:rPr>
        <w:t>）</w:t>
      </w:r>
    </w:p>
    <w:p>
      <w:pPr>
        <w:spacing w:line="360" w:lineRule="auto"/>
        <w:rPr>
          <w:color w:val="auto"/>
          <w:highlight w:val="none"/>
        </w:rPr>
      </w:pPr>
      <w:r>
        <w:rPr>
          <w:rFonts w:hint="eastAsia"/>
          <w:color w:val="auto"/>
          <w:highlight w:val="none"/>
          <w:lang w:val="en-US" w:eastAsia="zh-CN"/>
        </w:rPr>
        <w:t>三</w:t>
      </w:r>
      <w:r>
        <w:rPr>
          <w:rFonts w:hint="eastAsia"/>
          <w:color w:val="auto"/>
          <w:highlight w:val="none"/>
        </w:rPr>
        <w:t>、投标报价</w:t>
      </w:r>
    </w:p>
    <w:p>
      <w:pPr>
        <w:spacing w:line="360" w:lineRule="auto"/>
        <w:ind w:firstLine="210" w:firstLineChars="100"/>
        <w:rPr>
          <w:color w:val="auto"/>
          <w:highlight w:val="none"/>
        </w:rPr>
      </w:pPr>
      <w:r>
        <w:rPr>
          <w:rFonts w:hint="eastAsia"/>
          <w:color w:val="auto"/>
          <w:highlight w:val="none"/>
        </w:rPr>
        <w:t>1</w:t>
      </w:r>
      <w:r>
        <w:rPr>
          <w:color w:val="auto"/>
          <w:highlight w:val="none"/>
        </w:rPr>
        <w:t xml:space="preserve"> </w:t>
      </w:r>
      <w:r>
        <w:rPr>
          <w:rFonts w:hint="eastAsia"/>
          <w:color w:val="auto"/>
          <w:highlight w:val="none"/>
        </w:rPr>
        <w:t>响应报价表（附件</w:t>
      </w:r>
      <w:r>
        <w:rPr>
          <w:rFonts w:hint="eastAsia"/>
          <w:color w:val="auto"/>
          <w:highlight w:val="none"/>
          <w:lang w:eastAsia="zh-CN"/>
        </w:rPr>
        <w:t>2-3</w:t>
      </w:r>
      <w:r>
        <w:rPr>
          <w:rFonts w:hint="eastAsia"/>
          <w:color w:val="auto"/>
          <w:highlight w:val="none"/>
        </w:rPr>
        <w:t>）</w:t>
      </w:r>
    </w:p>
    <w:p>
      <w:pPr>
        <w:spacing w:line="360" w:lineRule="auto"/>
        <w:rPr>
          <w:color w:val="auto"/>
          <w:highlight w:val="none"/>
        </w:rPr>
      </w:pPr>
      <w:r>
        <w:rPr>
          <w:rFonts w:hint="eastAsia"/>
          <w:color w:val="auto"/>
          <w:highlight w:val="none"/>
          <w:lang w:val="en-US" w:eastAsia="zh-CN"/>
        </w:rPr>
        <w:t>四</w:t>
      </w:r>
      <w:r>
        <w:rPr>
          <w:rFonts w:hint="eastAsia"/>
          <w:color w:val="auto"/>
          <w:highlight w:val="none"/>
        </w:rPr>
        <w:t>、商务条款偏离表（附件</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4</w:t>
      </w:r>
      <w:r>
        <w:rPr>
          <w:rFonts w:hint="eastAsia"/>
          <w:color w:val="auto"/>
          <w:highlight w:val="none"/>
        </w:rPr>
        <w:t>）</w:t>
      </w:r>
    </w:p>
    <w:p>
      <w:pPr>
        <w:spacing w:line="360" w:lineRule="auto"/>
        <w:rPr>
          <w:color w:val="auto"/>
          <w:highlight w:val="none"/>
        </w:rPr>
      </w:pPr>
      <w:r>
        <w:rPr>
          <w:rFonts w:hint="eastAsia"/>
          <w:color w:val="auto"/>
          <w:highlight w:val="none"/>
          <w:lang w:val="en-US" w:eastAsia="zh-CN"/>
        </w:rPr>
        <w:t>五</w:t>
      </w:r>
      <w:r>
        <w:rPr>
          <w:rFonts w:hint="eastAsia"/>
          <w:color w:val="auto"/>
          <w:highlight w:val="none"/>
        </w:rPr>
        <w:t>、提供符合政府采购政策的证明材料（如有提供，不享受相关政策的投标人无需提供。）</w:t>
      </w:r>
    </w:p>
    <w:p>
      <w:pPr>
        <w:spacing w:line="360" w:lineRule="auto"/>
        <w:ind w:firstLine="210" w:firstLineChars="100"/>
        <w:rPr>
          <w:color w:val="auto"/>
          <w:highlight w:val="none"/>
        </w:rPr>
      </w:pPr>
      <w:r>
        <w:rPr>
          <w:color w:val="auto"/>
          <w:highlight w:val="none"/>
        </w:rPr>
        <w:t>1</w:t>
      </w:r>
      <w:r>
        <w:rPr>
          <w:rFonts w:hint="eastAsia"/>
          <w:color w:val="auto"/>
          <w:highlight w:val="none"/>
        </w:rPr>
        <w:t xml:space="preserve"> 节能、环境标志产品优惠明细表（附件</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5</w:t>
      </w:r>
      <w:r>
        <w:rPr>
          <w:rFonts w:hint="eastAsia"/>
          <w:color w:val="auto"/>
          <w:highlight w:val="none"/>
        </w:rPr>
        <w:t>）</w:t>
      </w:r>
    </w:p>
    <w:p>
      <w:pPr>
        <w:spacing w:line="360" w:lineRule="auto"/>
        <w:ind w:firstLine="210" w:firstLineChars="100"/>
        <w:rPr>
          <w:color w:val="auto"/>
          <w:highlight w:val="none"/>
        </w:rPr>
      </w:pPr>
      <w:r>
        <w:rPr>
          <w:rFonts w:hint="eastAsia"/>
          <w:color w:val="auto"/>
          <w:highlight w:val="none"/>
        </w:rPr>
        <w:t>2节能、环境标志产品证明材料（附件</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6</w:t>
      </w:r>
      <w:r>
        <w:rPr>
          <w:rFonts w:hint="eastAsia"/>
          <w:color w:val="auto"/>
          <w:highlight w:val="none"/>
        </w:rPr>
        <w:t>）</w:t>
      </w:r>
    </w:p>
    <w:p>
      <w:pPr>
        <w:spacing w:line="360" w:lineRule="auto"/>
        <w:ind w:firstLine="210" w:firstLineChars="100"/>
        <w:rPr>
          <w:color w:val="auto"/>
          <w:highlight w:val="none"/>
        </w:rPr>
      </w:pPr>
      <w:r>
        <w:rPr>
          <w:color w:val="auto"/>
          <w:highlight w:val="none"/>
        </w:rPr>
        <w:t>3</w:t>
      </w:r>
      <w:r>
        <w:rPr>
          <w:rFonts w:hint="eastAsia"/>
          <w:color w:val="auto"/>
          <w:highlight w:val="none"/>
        </w:rPr>
        <w:t>中小企业声明函（附件</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7</w:t>
      </w:r>
      <w:r>
        <w:rPr>
          <w:rFonts w:hint="eastAsia"/>
          <w:color w:val="auto"/>
          <w:highlight w:val="none"/>
        </w:rPr>
        <w:t>）</w:t>
      </w:r>
    </w:p>
    <w:p>
      <w:pPr>
        <w:spacing w:line="360" w:lineRule="auto"/>
        <w:ind w:firstLine="210" w:firstLineChars="100"/>
        <w:rPr>
          <w:color w:val="auto"/>
          <w:highlight w:val="none"/>
        </w:rPr>
      </w:pPr>
      <w:r>
        <w:rPr>
          <w:color w:val="auto"/>
          <w:highlight w:val="none"/>
        </w:rPr>
        <w:t>4</w:t>
      </w:r>
      <w:r>
        <w:rPr>
          <w:rFonts w:hint="eastAsia"/>
          <w:color w:val="auto"/>
          <w:highlight w:val="none"/>
        </w:rPr>
        <w:t>监狱企业声明函（附件</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8</w:t>
      </w:r>
      <w:r>
        <w:rPr>
          <w:rFonts w:hint="eastAsia"/>
          <w:color w:val="auto"/>
          <w:highlight w:val="none"/>
        </w:rPr>
        <w:t>）</w:t>
      </w:r>
    </w:p>
    <w:p>
      <w:pPr>
        <w:spacing w:line="360" w:lineRule="auto"/>
        <w:ind w:firstLine="210" w:firstLineChars="100"/>
        <w:rPr>
          <w:color w:val="auto"/>
          <w:highlight w:val="none"/>
        </w:rPr>
      </w:pPr>
      <w:r>
        <w:rPr>
          <w:color w:val="auto"/>
          <w:highlight w:val="none"/>
        </w:rPr>
        <w:t>5</w:t>
      </w:r>
      <w:r>
        <w:rPr>
          <w:rFonts w:hint="eastAsia"/>
          <w:color w:val="auto"/>
          <w:highlight w:val="none"/>
        </w:rPr>
        <w:t>残疾人福利性单位声明函（附件</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9</w:t>
      </w:r>
      <w:r>
        <w:rPr>
          <w:rFonts w:hint="eastAsia"/>
          <w:color w:val="auto"/>
          <w:highlight w:val="none"/>
        </w:rPr>
        <w:t>）</w:t>
      </w:r>
    </w:p>
    <w:p>
      <w:pPr>
        <w:spacing w:line="360" w:lineRule="auto"/>
        <w:rPr>
          <w:color w:val="auto"/>
          <w:highlight w:val="none"/>
        </w:rPr>
      </w:pPr>
      <w:r>
        <w:rPr>
          <w:rFonts w:hint="eastAsia"/>
          <w:color w:val="auto"/>
          <w:highlight w:val="none"/>
          <w:lang w:val="en-US" w:eastAsia="zh-CN"/>
        </w:rPr>
        <w:t>六</w:t>
      </w:r>
      <w:r>
        <w:rPr>
          <w:rFonts w:hint="eastAsia"/>
          <w:color w:val="auto"/>
          <w:highlight w:val="none"/>
        </w:rPr>
        <w:t>、项目负责人简历表及拟投入本项目主要成员表（附件</w:t>
      </w:r>
      <w:r>
        <w:rPr>
          <w:color w:val="auto"/>
          <w:highlight w:val="none"/>
        </w:rPr>
        <w:t>2</w:t>
      </w:r>
      <w:r>
        <w:rPr>
          <w:rFonts w:hint="eastAsia"/>
          <w:color w:val="auto"/>
          <w:highlight w:val="none"/>
        </w:rPr>
        <w:t>-</w:t>
      </w:r>
      <w:r>
        <w:rPr>
          <w:color w:val="auto"/>
          <w:highlight w:val="none"/>
        </w:rPr>
        <w:t>1</w:t>
      </w:r>
      <w:r>
        <w:rPr>
          <w:rFonts w:hint="eastAsia"/>
          <w:color w:val="auto"/>
          <w:highlight w:val="none"/>
          <w:lang w:val="en-US" w:eastAsia="zh-CN"/>
        </w:rPr>
        <w:t>0</w:t>
      </w:r>
      <w:r>
        <w:rPr>
          <w:rFonts w:hint="eastAsia"/>
          <w:color w:val="auto"/>
          <w:highlight w:val="none"/>
        </w:rPr>
        <w:t>）</w:t>
      </w:r>
    </w:p>
    <w:p>
      <w:pPr>
        <w:spacing w:line="360" w:lineRule="auto"/>
        <w:rPr>
          <w:color w:val="auto"/>
          <w:highlight w:val="none"/>
        </w:rPr>
      </w:pPr>
      <w:r>
        <w:rPr>
          <w:rFonts w:hint="eastAsia"/>
          <w:color w:val="auto"/>
          <w:highlight w:val="none"/>
          <w:lang w:val="en-US" w:eastAsia="zh-CN"/>
        </w:rPr>
        <w:t>七</w:t>
      </w:r>
      <w:r>
        <w:rPr>
          <w:rFonts w:hint="eastAsia"/>
          <w:color w:val="auto"/>
          <w:highlight w:val="none"/>
        </w:rPr>
        <w:t>、近三年经营业绩表（附件</w:t>
      </w:r>
      <w:r>
        <w:rPr>
          <w:color w:val="auto"/>
          <w:highlight w:val="none"/>
        </w:rPr>
        <w:t>2</w:t>
      </w:r>
      <w:r>
        <w:rPr>
          <w:rFonts w:hint="eastAsia"/>
          <w:color w:val="auto"/>
          <w:highlight w:val="none"/>
        </w:rPr>
        <w:t>-</w:t>
      </w:r>
      <w:r>
        <w:rPr>
          <w:rFonts w:hint="eastAsia"/>
          <w:color w:val="auto"/>
          <w:highlight w:val="none"/>
          <w:lang w:val="en-US" w:eastAsia="zh-CN"/>
        </w:rPr>
        <w:t>11</w:t>
      </w:r>
      <w:r>
        <w:rPr>
          <w:rFonts w:hint="eastAsia"/>
          <w:color w:val="auto"/>
          <w:highlight w:val="none"/>
        </w:rPr>
        <w:t>）</w:t>
      </w:r>
    </w:p>
    <w:p>
      <w:pPr>
        <w:spacing w:line="360" w:lineRule="auto"/>
        <w:rPr>
          <w:color w:val="auto"/>
          <w:highlight w:val="none"/>
        </w:rPr>
      </w:pPr>
      <w:r>
        <w:rPr>
          <w:rFonts w:hint="eastAsia"/>
          <w:color w:val="auto"/>
          <w:highlight w:val="none"/>
          <w:lang w:val="en-US" w:eastAsia="zh-CN"/>
        </w:rPr>
        <w:t>八</w:t>
      </w:r>
      <w:r>
        <w:rPr>
          <w:rFonts w:hint="eastAsia"/>
          <w:color w:val="auto"/>
          <w:highlight w:val="none"/>
        </w:rPr>
        <w:t>、产品简要说明一览表（附件2-</w:t>
      </w:r>
      <w:r>
        <w:rPr>
          <w:rFonts w:hint="eastAsia"/>
          <w:color w:val="auto"/>
          <w:highlight w:val="none"/>
          <w:lang w:val="en-US" w:eastAsia="zh-CN"/>
        </w:rPr>
        <w:t>12</w:t>
      </w:r>
      <w:r>
        <w:rPr>
          <w:rFonts w:hint="eastAsia"/>
          <w:color w:val="auto"/>
          <w:highlight w:val="none"/>
        </w:rPr>
        <w:t>）</w:t>
      </w:r>
    </w:p>
    <w:p>
      <w:pPr>
        <w:spacing w:line="360" w:lineRule="auto"/>
        <w:rPr>
          <w:color w:val="auto"/>
          <w:highlight w:val="none"/>
        </w:rPr>
      </w:pPr>
      <w:r>
        <w:rPr>
          <w:rFonts w:hint="eastAsia"/>
          <w:color w:val="auto"/>
          <w:highlight w:val="none"/>
          <w:lang w:val="en-US" w:eastAsia="zh-CN"/>
        </w:rPr>
        <w:t>九</w:t>
      </w:r>
      <w:r>
        <w:rPr>
          <w:rFonts w:hint="eastAsia"/>
          <w:color w:val="auto"/>
          <w:highlight w:val="none"/>
        </w:rPr>
        <w:t>、投标产品渠道的证明材料（根据投标人情况（自产、自有或者代理等）自行提供）</w:t>
      </w:r>
    </w:p>
    <w:p>
      <w:pPr>
        <w:spacing w:line="360" w:lineRule="auto"/>
        <w:rPr>
          <w:color w:val="auto"/>
          <w:highlight w:val="none"/>
        </w:rPr>
      </w:pPr>
      <w:r>
        <w:rPr>
          <w:rFonts w:hint="eastAsia"/>
          <w:color w:val="auto"/>
          <w:highlight w:val="none"/>
          <w:lang w:val="en-US" w:eastAsia="zh-CN"/>
        </w:rPr>
        <w:t>十</w:t>
      </w:r>
      <w:r>
        <w:rPr>
          <w:rFonts w:hint="eastAsia"/>
          <w:color w:val="auto"/>
          <w:highlight w:val="none"/>
        </w:rPr>
        <w:t>、规格、技术参数偏离表（附件2-</w:t>
      </w:r>
      <w:r>
        <w:rPr>
          <w:rFonts w:hint="eastAsia"/>
          <w:color w:val="auto"/>
          <w:highlight w:val="none"/>
          <w:lang w:val="en-US" w:eastAsia="zh-CN"/>
        </w:rPr>
        <w:t>13</w:t>
      </w:r>
      <w:r>
        <w:rPr>
          <w:rFonts w:hint="eastAsia"/>
          <w:color w:val="auto"/>
          <w:highlight w:val="none"/>
        </w:rPr>
        <w:t>）</w:t>
      </w:r>
    </w:p>
    <w:p>
      <w:pPr>
        <w:spacing w:line="360" w:lineRule="auto"/>
        <w:rPr>
          <w:rFonts w:hint="eastAsia"/>
          <w:color w:val="auto"/>
          <w:highlight w:val="none"/>
        </w:rPr>
      </w:pPr>
      <w:r>
        <w:rPr>
          <w:rFonts w:hint="eastAsia"/>
          <w:color w:val="auto"/>
          <w:highlight w:val="none"/>
          <w:lang w:val="en-US" w:eastAsia="zh-CN"/>
        </w:rPr>
        <w:t>十一</w:t>
      </w:r>
      <w:r>
        <w:rPr>
          <w:rFonts w:hint="eastAsia"/>
          <w:color w:val="auto"/>
          <w:highlight w:val="none"/>
        </w:rPr>
        <w:t>、售后服务承诺书（附件2-</w:t>
      </w:r>
      <w:r>
        <w:rPr>
          <w:rFonts w:hint="eastAsia"/>
          <w:color w:val="auto"/>
          <w:highlight w:val="none"/>
          <w:lang w:val="en-US" w:eastAsia="zh-CN"/>
        </w:rPr>
        <w:t>14</w:t>
      </w:r>
      <w:r>
        <w:rPr>
          <w:rFonts w:hint="eastAsia"/>
          <w:color w:val="auto"/>
          <w:highlight w:val="none"/>
        </w:rPr>
        <w:t>）</w:t>
      </w:r>
    </w:p>
    <w:p>
      <w:pPr>
        <w:pStyle w:val="16"/>
        <w:jc w:val="left"/>
        <w:rPr>
          <w:rFonts w:hint="eastAsia" w:ascii="Times New Roman" w:hAnsi="Times New Roman" w:eastAsia="宋体" w:cs="Times New Roman"/>
          <w:bCs w:val="0"/>
          <w:color w:val="auto"/>
          <w:kern w:val="2"/>
          <w:sz w:val="21"/>
          <w:szCs w:val="24"/>
          <w:highlight w:val="none"/>
          <w:lang w:val="en-US" w:eastAsia="zh-CN" w:bidi="ar-SA"/>
        </w:rPr>
      </w:pPr>
      <w:r>
        <w:rPr>
          <w:rFonts w:hint="eastAsia" w:ascii="Times New Roman" w:hAnsi="Times New Roman" w:eastAsia="宋体" w:cs="Times New Roman"/>
          <w:bCs w:val="0"/>
          <w:color w:val="auto"/>
          <w:kern w:val="2"/>
          <w:sz w:val="21"/>
          <w:szCs w:val="24"/>
          <w:highlight w:val="none"/>
          <w:lang w:val="en-US" w:eastAsia="zh-CN" w:bidi="ar-SA"/>
        </w:rPr>
        <w:t>十二、备品、备件清单（附件2-15）</w:t>
      </w:r>
    </w:p>
    <w:p>
      <w:pPr>
        <w:spacing w:line="360" w:lineRule="auto"/>
        <w:rPr>
          <w:color w:val="auto"/>
          <w:highlight w:val="none"/>
        </w:rPr>
      </w:pPr>
      <w:r>
        <w:rPr>
          <w:rFonts w:hint="eastAsia"/>
          <w:color w:val="auto"/>
          <w:highlight w:val="none"/>
          <w:lang w:val="en-US" w:eastAsia="zh-CN"/>
        </w:rPr>
        <w:t>十三</w:t>
      </w:r>
      <w:r>
        <w:rPr>
          <w:rFonts w:hint="eastAsia"/>
          <w:color w:val="auto"/>
          <w:highlight w:val="none"/>
        </w:rPr>
        <w:t>、服务方案（服务承诺详述、维修、培训以及服务联系人、联系方式等详述）</w:t>
      </w:r>
    </w:p>
    <w:p>
      <w:pPr>
        <w:spacing w:line="360" w:lineRule="auto"/>
        <w:ind w:firstLine="420" w:firstLineChars="200"/>
        <w:rPr>
          <w:color w:val="auto"/>
          <w:highlight w:val="none"/>
        </w:rPr>
      </w:pPr>
      <w:r>
        <w:rPr>
          <w:rFonts w:hint="eastAsia"/>
          <w:color w:val="auto"/>
          <w:highlight w:val="none"/>
        </w:rPr>
        <w:t>包含但不限于配送方案及应急处理方案、培训方案，服务明确响应时间、出现质量问题解决时间、服务响应的联系人及联系方式等相关信息及证明材料。</w:t>
      </w:r>
    </w:p>
    <w:p>
      <w:pPr>
        <w:spacing w:line="360" w:lineRule="auto"/>
        <w:rPr>
          <w:rFonts w:hint="eastAsia" w:eastAsia="宋体"/>
          <w:color w:val="auto"/>
          <w:highlight w:val="none"/>
          <w:lang w:eastAsia="zh-CN"/>
        </w:rPr>
      </w:pPr>
      <w:r>
        <w:rPr>
          <w:rFonts w:hint="eastAsia"/>
          <w:color w:val="auto"/>
          <w:highlight w:val="none"/>
        </w:rPr>
        <w:t>十</w:t>
      </w:r>
      <w:r>
        <w:rPr>
          <w:rFonts w:hint="eastAsia"/>
          <w:color w:val="auto"/>
          <w:highlight w:val="none"/>
          <w:lang w:val="en-US" w:eastAsia="zh-CN"/>
        </w:rPr>
        <w:t>四</w:t>
      </w:r>
      <w:r>
        <w:rPr>
          <w:rFonts w:hint="eastAsia"/>
          <w:color w:val="auto"/>
          <w:highlight w:val="none"/>
        </w:rPr>
        <w:t>、仓储设施证明材料</w:t>
      </w:r>
      <w:r>
        <w:rPr>
          <w:rFonts w:hint="eastAsia"/>
          <w:color w:val="auto"/>
          <w:highlight w:val="none"/>
          <w:lang w:eastAsia="zh-CN"/>
        </w:rPr>
        <w:t>（物质存储库房，包含房产证、租赁协议、设备清单、现场图片等）</w:t>
      </w:r>
    </w:p>
    <w:p>
      <w:pPr>
        <w:spacing w:line="360" w:lineRule="auto"/>
        <w:rPr>
          <w:color w:val="auto"/>
          <w:highlight w:val="none"/>
        </w:rPr>
      </w:pPr>
      <w:r>
        <w:rPr>
          <w:rFonts w:hint="eastAsia"/>
          <w:color w:val="auto"/>
          <w:highlight w:val="none"/>
        </w:rPr>
        <w:t>十</w:t>
      </w:r>
      <w:r>
        <w:rPr>
          <w:rFonts w:hint="eastAsia"/>
          <w:color w:val="auto"/>
          <w:highlight w:val="none"/>
          <w:lang w:val="en-US" w:eastAsia="zh-CN"/>
        </w:rPr>
        <w:t>五</w:t>
      </w:r>
      <w:r>
        <w:rPr>
          <w:rFonts w:hint="eastAsia"/>
          <w:color w:val="auto"/>
          <w:highlight w:val="none"/>
        </w:rPr>
        <w:t>、售后服务机构及联系方式：（后附相关房产证明等证明材料）</w:t>
      </w:r>
    </w:p>
    <w:p>
      <w:pPr>
        <w:spacing w:line="360" w:lineRule="auto"/>
        <w:rPr>
          <w:color w:val="auto"/>
          <w:highlight w:val="none"/>
        </w:rPr>
      </w:pPr>
      <w:r>
        <w:rPr>
          <w:rFonts w:hint="eastAsia"/>
          <w:color w:val="auto"/>
          <w:highlight w:val="none"/>
        </w:rPr>
        <w:t>十</w:t>
      </w:r>
      <w:r>
        <w:rPr>
          <w:rFonts w:hint="eastAsia"/>
          <w:color w:val="auto"/>
          <w:highlight w:val="none"/>
          <w:lang w:val="en-US" w:eastAsia="zh-CN"/>
        </w:rPr>
        <w:t>六</w:t>
      </w:r>
      <w:r>
        <w:rPr>
          <w:rFonts w:hint="eastAsia"/>
          <w:color w:val="auto"/>
          <w:highlight w:val="none"/>
        </w:rPr>
        <w:t>、</w:t>
      </w:r>
      <w:r>
        <w:rPr>
          <w:rFonts w:hint="eastAsia"/>
          <w:color w:val="auto"/>
          <w:highlight w:val="none"/>
          <w:lang w:eastAsia="zh-CN"/>
        </w:rPr>
        <w:t>配送方案、验收方案</w:t>
      </w:r>
    </w:p>
    <w:p>
      <w:pPr>
        <w:spacing w:line="360" w:lineRule="auto"/>
        <w:rPr>
          <w:rFonts w:hint="eastAsia"/>
          <w:bCs/>
          <w:color w:val="auto"/>
          <w:highlight w:val="none"/>
        </w:rPr>
      </w:pPr>
      <w:r>
        <w:rPr>
          <w:rFonts w:hint="eastAsia"/>
          <w:bCs/>
          <w:color w:val="auto"/>
          <w:highlight w:val="none"/>
        </w:rPr>
        <w:t>十</w:t>
      </w:r>
      <w:r>
        <w:rPr>
          <w:rFonts w:hint="eastAsia"/>
          <w:color w:val="auto"/>
          <w:highlight w:val="none"/>
          <w:lang w:val="en-US" w:eastAsia="zh-CN"/>
        </w:rPr>
        <w:t>七</w:t>
      </w:r>
      <w:r>
        <w:rPr>
          <w:rFonts w:hint="eastAsia"/>
          <w:bCs/>
          <w:color w:val="auto"/>
          <w:highlight w:val="none"/>
        </w:rPr>
        <w:t>、</w:t>
      </w:r>
      <w:r>
        <w:rPr>
          <w:rFonts w:hint="eastAsia"/>
          <w:bCs/>
          <w:color w:val="auto"/>
          <w:highlight w:val="none"/>
          <w:lang w:val="en-US" w:eastAsia="zh-CN"/>
        </w:rPr>
        <w:t>谈判</w:t>
      </w:r>
      <w:r>
        <w:rPr>
          <w:rFonts w:hint="eastAsia"/>
          <w:bCs/>
          <w:color w:val="auto"/>
          <w:highlight w:val="none"/>
          <w:lang w:eastAsia="zh-CN"/>
        </w:rPr>
        <w:t>文件</w:t>
      </w:r>
      <w:r>
        <w:rPr>
          <w:rFonts w:hint="eastAsia"/>
          <w:bCs/>
          <w:color w:val="auto"/>
          <w:highlight w:val="none"/>
        </w:rPr>
        <w:t>中要求提交的和投标人认为需要提供的其它说明和资料</w:t>
      </w:r>
    </w:p>
    <w:p>
      <w:pPr>
        <w:spacing w:line="360" w:lineRule="auto"/>
        <w:rPr>
          <w:rFonts w:hint="eastAsia" w:eastAsia="宋体"/>
          <w:bCs/>
          <w:color w:val="auto"/>
          <w:highlight w:val="none"/>
          <w:lang w:eastAsia="zh-CN"/>
        </w:rPr>
      </w:pPr>
      <w:r>
        <w:rPr>
          <w:rFonts w:hint="eastAsia"/>
          <w:bCs/>
          <w:color w:val="auto"/>
          <w:highlight w:val="none"/>
          <w:lang w:eastAsia="zh-CN"/>
        </w:rPr>
        <w:t>（</w:t>
      </w:r>
      <w:r>
        <w:rPr>
          <w:rFonts w:hint="eastAsia"/>
          <w:bCs/>
          <w:color w:val="auto"/>
          <w:highlight w:val="none"/>
          <w:lang w:val="en-US" w:eastAsia="zh-CN"/>
        </w:rPr>
        <w:t>包括但不限于：</w:t>
      </w:r>
      <w:r>
        <w:rPr>
          <w:rFonts w:hint="eastAsia" w:ascii="宋体" w:hAnsi="宋体" w:cs="宋体"/>
          <w:bCs/>
          <w:color w:val="auto"/>
          <w:sz w:val="24"/>
          <w:szCs w:val="24"/>
          <w:highlight w:val="none"/>
        </w:rPr>
        <w:t>相关的规章制度</w:t>
      </w:r>
      <w:r>
        <w:rPr>
          <w:rFonts w:hint="eastAsia" w:ascii="宋体" w:hAnsi="宋体" w:cs="宋体"/>
          <w:bCs/>
          <w:color w:val="auto"/>
          <w:sz w:val="24"/>
          <w:szCs w:val="24"/>
          <w:highlight w:val="none"/>
          <w:lang w:eastAsia="zh-CN"/>
        </w:rPr>
        <w:t>（《安全生产管理制度》及《配件管理制度》、《质量管理制度》，及其他相关管理章程，格式自拟）</w:t>
      </w:r>
      <w:r>
        <w:rPr>
          <w:rFonts w:hint="eastAsia"/>
          <w:bCs/>
          <w:color w:val="auto"/>
          <w:highlight w:val="none"/>
          <w:lang w:eastAsia="zh-CN"/>
        </w:rPr>
        <w:t>）</w:t>
      </w:r>
    </w:p>
    <w:p>
      <w:pPr>
        <w:spacing w:line="440" w:lineRule="exact"/>
        <w:rPr>
          <w:bCs/>
          <w:color w:val="auto"/>
          <w:highlight w:val="none"/>
        </w:rPr>
      </w:pPr>
      <w:r>
        <w:rPr>
          <w:rFonts w:hint="eastAsia"/>
          <w:b/>
          <w:color w:val="auto"/>
          <w:highlight w:val="none"/>
        </w:rPr>
        <w:t>注：1.投标人制作</w:t>
      </w:r>
      <w:r>
        <w:rPr>
          <w:rFonts w:hint="eastAsia"/>
          <w:b/>
          <w:color w:val="auto"/>
          <w:highlight w:val="none"/>
          <w:lang w:val="en-US" w:eastAsia="zh-CN"/>
        </w:rPr>
        <w:t>响应</w:t>
      </w:r>
      <w:r>
        <w:rPr>
          <w:rFonts w:hint="eastAsia"/>
          <w:b/>
          <w:color w:val="auto"/>
          <w:highlight w:val="none"/>
        </w:rPr>
        <w:t>文件，应按照</w:t>
      </w:r>
      <w:r>
        <w:rPr>
          <w:rFonts w:hint="eastAsia"/>
          <w:b/>
          <w:color w:val="auto"/>
          <w:highlight w:val="none"/>
          <w:lang w:val="en-US" w:eastAsia="zh-CN"/>
        </w:rPr>
        <w:t>响应</w:t>
      </w:r>
      <w:r>
        <w:rPr>
          <w:rFonts w:hint="eastAsia"/>
          <w:b/>
          <w:color w:val="auto"/>
          <w:highlight w:val="none"/>
        </w:rPr>
        <w:t>文件组成顺序制作，编好始末页码且在</w:t>
      </w:r>
      <w:r>
        <w:rPr>
          <w:rFonts w:hint="eastAsia"/>
          <w:b/>
          <w:color w:val="auto"/>
          <w:highlight w:val="none"/>
          <w:lang w:val="en-US" w:eastAsia="zh-CN"/>
        </w:rPr>
        <w:t>响应</w:t>
      </w:r>
      <w:r>
        <w:rPr>
          <w:rFonts w:hint="eastAsia"/>
          <w:b/>
          <w:color w:val="auto"/>
          <w:highlight w:val="none"/>
        </w:rPr>
        <w:t>文件目录中一一列明并对应。</w:t>
      </w:r>
    </w:p>
    <w:p>
      <w:pPr>
        <w:spacing w:line="440" w:lineRule="exact"/>
        <w:ind w:firstLine="422" w:firstLineChars="200"/>
        <w:rPr>
          <w:b/>
          <w:color w:val="auto"/>
          <w:highlight w:val="none"/>
        </w:rPr>
      </w:pPr>
      <w:r>
        <w:rPr>
          <w:rFonts w:hint="eastAsia"/>
          <w:b/>
          <w:color w:val="auto"/>
          <w:highlight w:val="none"/>
        </w:rPr>
        <w:t>2</w:t>
      </w:r>
      <w:r>
        <w:rPr>
          <w:b/>
          <w:color w:val="auto"/>
          <w:highlight w:val="none"/>
        </w:rPr>
        <w:t>.</w:t>
      </w:r>
      <w:r>
        <w:rPr>
          <w:rFonts w:hint="eastAsia"/>
          <w:b/>
          <w:color w:val="auto"/>
          <w:highlight w:val="none"/>
          <w:lang w:val="en-US" w:eastAsia="zh-CN"/>
        </w:rPr>
        <w:t>竞争性谈判</w:t>
      </w:r>
      <w:r>
        <w:rPr>
          <w:rFonts w:hint="eastAsia"/>
          <w:b/>
          <w:color w:val="auto"/>
          <w:highlight w:val="none"/>
          <w:lang w:eastAsia="zh-CN"/>
        </w:rPr>
        <w:t>文件</w:t>
      </w:r>
      <w:r>
        <w:rPr>
          <w:rFonts w:hint="eastAsia"/>
          <w:b/>
          <w:color w:val="auto"/>
          <w:highlight w:val="none"/>
        </w:rPr>
        <w:t>没有提供格式的，投标人可自行设置。</w:t>
      </w:r>
    </w:p>
    <w:p>
      <w:pPr>
        <w:spacing w:line="440" w:lineRule="exact"/>
        <w:rPr>
          <w:rFonts w:hint="eastAsia"/>
          <w:b/>
          <w:color w:val="auto"/>
          <w:highlight w:val="none"/>
          <w:lang w:val="en-US" w:eastAsia="zh-CN"/>
        </w:rPr>
      </w:pPr>
      <w:r>
        <w:rPr>
          <w:rFonts w:hint="eastAsia"/>
          <w:b/>
          <w:color w:val="auto"/>
          <w:highlight w:val="none"/>
        </w:rPr>
        <w:br w:type="page"/>
      </w:r>
      <w:r>
        <w:rPr>
          <w:rFonts w:hint="eastAsia"/>
          <w:b/>
          <w:color w:val="auto"/>
          <w:highlight w:val="none"/>
          <w:lang w:val="en-US" w:eastAsia="zh-CN"/>
        </w:rPr>
        <w:t>3、商务技术文件格式</w:t>
      </w:r>
    </w:p>
    <w:p>
      <w:pPr>
        <w:adjustRightInd w:val="0"/>
        <w:snapToGrid w:val="0"/>
        <w:spacing w:line="400" w:lineRule="exact"/>
        <w:jc w:val="center"/>
        <w:rPr>
          <w:rFonts w:ascii="宋体" w:cs="宋体"/>
          <w:b/>
          <w:sz w:val="24"/>
          <w:em w:val="dot"/>
        </w:rPr>
      </w:pPr>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b/>
          <w:color w:val="auto"/>
          <w:sz w:val="30"/>
          <w:szCs w:val="30"/>
          <w:highlight w:val="none"/>
        </w:rPr>
        <w:t>1</w:t>
      </w:r>
      <w:r>
        <w:rPr>
          <w:rFonts w:hint="eastAsia"/>
          <w:b/>
          <w:color w:val="auto"/>
          <w:sz w:val="30"/>
          <w:szCs w:val="30"/>
          <w:highlight w:val="none"/>
        </w:rPr>
        <w:t xml:space="preserve">  </w:t>
      </w:r>
      <w:r>
        <w:rPr>
          <w:rFonts w:hint="eastAsia" w:ascii="宋体" w:hAnsi="宋体" w:cs="宋体"/>
          <w:b/>
          <w:bCs/>
          <w:spacing w:val="20"/>
          <w:sz w:val="30"/>
          <w:szCs w:val="30"/>
        </w:rPr>
        <w:t>响应承诺书</w:t>
      </w:r>
    </w:p>
    <w:p>
      <w:pPr>
        <w:pStyle w:val="11"/>
        <w:spacing w:line="460" w:lineRule="atLeast"/>
        <w:rPr>
          <w:rFonts w:ascii="宋体" w:cs="宋体"/>
          <w:sz w:val="24"/>
          <w:szCs w:val="24"/>
          <w:u w:val="single"/>
        </w:rPr>
      </w:pPr>
      <w:r>
        <w:rPr>
          <w:rFonts w:hint="eastAsia" w:ascii="宋体" w:hAnsi="宋体" w:cs="宋体"/>
          <w:sz w:val="24"/>
          <w:szCs w:val="24"/>
        </w:rPr>
        <w:t>谈判响应单位（盖章）：</w:t>
      </w:r>
    </w:p>
    <w:p>
      <w:pPr>
        <w:spacing w:line="460" w:lineRule="atLeast"/>
        <w:rPr>
          <w:rFonts w:ascii="宋体" w:cs="宋体"/>
          <w:sz w:val="24"/>
          <w:u w:val="single"/>
        </w:rPr>
      </w:pPr>
      <w:r>
        <w:rPr>
          <w:rFonts w:hint="eastAsia" w:ascii="宋体" w:hAnsi="宋体" w:cs="宋体"/>
          <w:sz w:val="24"/>
        </w:rPr>
        <w:t>投标单位全权代表：</w:t>
      </w:r>
    </w:p>
    <w:p>
      <w:pPr>
        <w:spacing w:beforeLines="100" w:line="460" w:lineRule="atLeast"/>
        <w:rPr>
          <w:rFonts w:ascii="宋体" w:cs="宋体"/>
          <w:sz w:val="24"/>
        </w:rPr>
      </w:pPr>
      <w:r>
        <w:rPr>
          <w:rFonts w:hint="eastAsia" w:ascii="宋体" w:hAnsi="宋体" w:cs="宋体"/>
          <w:sz w:val="24"/>
        </w:rPr>
        <w:t>新疆同孚招投标有限公司：</w:t>
      </w:r>
    </w:p>
    <w:p>
      <w:pPr>
        <w:spacing w:before="100" w:line="460" w:lineRule="atLeast"/>
        <w:ind w:firstLine="480" w:firstLineChars="200"/>
        <w:rPr>
          <w:rFonts w:ascii="宋体" w:cs="宋体"/>
          <w:sz w:val="24"/>
        </w:rPr>
      </w:pPr>
      <w:r>
        <w:rPr>
          <w:rFonts w:hint="eastAsia" w:ascii="宋体" w:hAnsi="宋体" w:cs="宋体"/>
          <w:sz w:val="24"/>
        </w:rPr>
        <w:t>我们收到你们</w:t>
      </w:r>
      <w:r>
        <w:rPr>
          <w:rFonts w:hint="eastAsia" w:ascii="宋体" w:hAnsi="宋体" w:cs="宋体"/>
          <w:sz w:val="24"/>
          <w:u w:val="single"/>
        </w:rPr>
        <w:t>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号竞争性谈判文件，经仔细阅读和研究，我们决定对参加谈判，</w:t>
      </w:r>
      <w:r>
        <w:rPr>
          <w:rFonts w:hint="eastAsia" w:ascii="宋体" w:hAnsi="宋体"/>
          <w:sz w:val="24"/>
        </w:rPr>
        <w:t>据此函，签字代表宣布并同意如下：</w:t>
      </w:r>
    </w:p>
    <w:p>
      <w:pPr>
        <w:spacing w:before="100" w:line="460" w:lineRule="atLeast"/>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sz w:val="24"/>
        </w:rPr>
        <w:t>我方按谈判文件要求响应提供和交付的货物详见</w:t>
      </w:r>
      <w:r>
        <w:rPr>
          <w:rFonts w:hint="eastAsia" w:ascii="宋体" w:hAnsi="宋体" w:cs="宋体"/>
          <w:sz w:val="24"/>
        </w:rPr>
        <w:t>《谈判响应报价表》。</w:t>
      </w:r>
    </w:p>
    <w:p>
      <w:pPr>
        <w:spacing w:before="100" w:line="460" w:lineRule="atLeast"/>
        <w:ind w:firstLine="480" w:firstLineChars="200"/>
        <w:rPr>
          <w:rFonts w:ascii="宋体" w:cs="宋体"/>
          <w:sz w:val="24"/>
        </w:rPr>
      </w:pPr>
      <w:r>
        <w:rPr>
          <w:rFonts w:ascii="宋体" w:hAnsi="宋体" w:cs="宋体"/>
          <w:sz w:val="24"/>
        </w:rPr>
        <w:t>2</w:t>
      </w:r>
      <w:r>
        <w:rPr>
          <w:rFonts w:hint="eastAsia" w:ascii="宋体" w:hAnsi="宋体" w:cs="宋体"/>
          <w:sz w:val="24"/>
        </w:rPr>
        <w:t>、如果我们的响应性文件被接受，我们将严格履行谈判采购文件中规定的每一项要求，按期、按质、按量履行供货义务。</w:t>
      </w:r>
    </w:p>
    <w:p>
      <w:pPr>
        <w:spacing w:line="460" w:lineRule="atLeast"/>
        <w:ind w:firstLine="480" w:firstLineChars="200"/>
        <w:rPr>
          <w:rFonts w:ascii="宋体" w:cs="宋体"/>
          <w:sz w:val="24"/>
        </w:rPr>
      </w:pPr>
      <w:r>
        <w:rPr>
          <w:rFonts w:ascii="宋体" w:hAnsi="宋体" w:cs="宋体"/>
          <w:sz w:val="24"/>
        </w:rPr>
        <w:t>3</w:t>
      </w:r>
      <w:r>
        <w:rPr>
          <w:rFonts w:hint="eastAsia" w:ascii="宋体" w:hAnsi="宋体" w:cs="宋体"/>
          <w:sz w:val="24"/>
        </w:rPr>
        <w:t>、投标人已详细阅读并理解了竞争性谈判文件的全部，包括修改文件（如有的话）。我们完全理解并同意放弃对这方面有不明及误解的权利。</w:t>
      </w:r>
    </w:p>
    <w:p>
      <w:pPr>
        <w:spacing w:before="100" w:line="460" w:lineRule="atLeast"/>
        <w:ind w:firstLine="480" w:firstLineChars="200"/>
        <w:rPr>
          <w:rFonts w:ascii="宋体" w:hAnsi="宋体" w:cs="宋体"/>
          <w:sz w:val="24"/>
        </w:rPr>
      </w:pPr>
      <w:r>
        <w:rPr>
          <w:rFonts w:ascii="宋体" w:hAnsi="宋体" w:cs="宋体"/>
          <w:sz w:val="24"/>
        </w:rPr>
        <w:t>4</w:t>
      </w:r>
      <w:r>
        <w:rPr>
          <w:rFonts w:hint="eastAsia" w:ascii="宋体" w:hAnsi="宋体" w:cs="宋体"/>
          <w:sz w:val="24"/>
        </w:rPr>
        <w:t>、我们同意按竞争性谈判文件中的规定，本响应性文件的有效期限为谈判后</w:t>
      </w:r>
      <w:r>
        <w:rPr>
          <w:rFonts w:hint="eastAsia" w:ascii="宋体" w:hAnsi="宋体" w:cs="宋体"/>
          <w:sz w:val="24"/>
          <w:u w:val="single"/>
        </w:rPr>
        <w:t>９０</w:t>
      </w:r>
      <w:r>
        <w:rPr>
          <w:rFonts w:hint="eastAsia" w:ascii="宋体" w:hAnsi="宋体" w:cs="宋体"/>
          <w:sz w:val="24"/>
        </w:rPr>
        <w:t>天。</w:t>
      </w:r>
    </w:p>
    <w:p>
      <w:pPr>
        <w:spacing w:line="440" w:lineRule="exact"/>
        <w:ind w:firstLine="480" w:firstLineChars="200"/>
        <w:rPr>
          <w:rFonts w:ascii="宋体" w:hAnsi="宋体"/>
          <w:spacing w:val="-2"/>
          <w:sz w:val="24"/>
        </w:rPr>
      </w:pPr>
      <w:r>
        <w:rPr>
          <w:rFonts w:hint="eastAsia" w:ascii="宋体" w:hAnsi="宋体" w:cs="Arial"/>
          <w:kern w:val="0"/>
          <w:sz w:val="24"/>
        </w:rPr>
        <w:t>5、</w:t>
      </w:r>
      <w:r>
        <w:rPr>
          <w:rFonts w:hint="eastAsia" w:ascii="宋体" w:hAnsi="宋体"/>
          <w:spacing w:val="-2"/>
          <w:sz w:val="24"/>
        </w:rPr>
        <w:t>若我方中标，我方承诺按投标产品规格向甲方提供</w:t>
      </w:r>
      <w:r>
        <w:rPr>
          <w:rFonts w:hint="eastAsia" w:ascii="宋体" w:hAnsi="宋体"/>
          <w:spacing w:val="-2"/>
          <w:sz w:val="24"/>
          <w:u w:val="single"/>
        </w:rPr>
        <w:t>2</w:t>
      </w:r>
      <w:r>
        <w:rPr>
          <w:rFonts w:hint="eastAsia" w:ascii="宋体" w:hAnsi="宋体"/>
          <w:spacing w:val="-2"/>
          <w:sz w:val="24"/>
          <w:u w:val="single"/>
          <w:lang w:val="en-US" w:eastAsia="zh-CN"/>
        </w:rPr>
        <w:t>年</w:t>
      </w:r>
      <w:r>
        <w:rPr>
          <w:rFonts w:hint="eastAsia" w:ascii="宋体" w:hAnsi="宋体"/>
          <w:spacing w:val="-2"/>
          <w:sz w:val="24"/>
        </w:rPr>
        <w:t>的供货服务。</w:t>
      </w:r>
    </w:p>
    <w:p>
      <w:pPr>
        <w:spacing w:before="100" w:line="460" w:lineRule="atLeast"/>
        <w:ind w:firstLine="480" w:firstLineChars="200"/>
        <w:rPr>
          <w:rFonts w:ascii="宋体" w:cs="宋体"/>
          <w:sz w:val="24"/>
        </w:rPr>
      </w:pPr>
      <w:r>
        <w:rPr>
          <w:rFonts w:hint="eastAsia" w:ascii="宋体" w:hAnsi="宋体" w:cs="宋体"/>
          <w:sz w:val="24"/>
        </w:rPr>
        <w:t>6、我们愿意提供采购人在谈判采购文件中要求的所有资料。</w:t>
      </w:r>
    </w:p>
    <w:p>
      <w:pPr>
        <w:spacing w:before="100" w:line="460" w:lineRule="atLeast"/>
        <w:ind w:firstLine="480" w:firstLineChars="200"/>
        <w:rPr>
          <w:rFonts w:ascii="宋体" w:cs="宋体"/>
          <w:sz w:val="24"/>
        </w:rPr>
      </w:pPr>
      <w:r>
        <w:rPr>
          <w:rFonts w:hint="eastAsia" w:ascii="宋体" w:hAnsi="宋体" w:cs="宋体"/>
          <w:sz w:val="24"/>
        </w:rPr>
        <w:t>7、我们认为你们有权决定成交供应商，还认为你们有权接受或拒绝所有的供应商成交。</w:t>
      </w:r>
    </w:p>
    <w:p>
      <w:pPr>
        <w:spacing w:before="100" w:line="460" w:lineRule="atLeast"/>
        <w:ind w:firstLine="480" w:firstLineChars="200"/>
        <w:rPr>
          <w:rFonts w:ascii="宋体" w:cs="宋体"/>
          <w:sz w:val="24"/>
        </w:rPr>
      </w:pPr>
      <w:r>
        <w:rPr>
          <w:rFonts w:hint="eastAsia" w:ascii="宋体" w:hAnsi="宋体" w:cs="宋体"/>
          <w:sz w:val="24"/>
        </w:rPr>
        <w:t>8、</w:t>
      </w:r>
      <w:r>
        <w:rPr>
          <w:rFonts w:hint="eastAsia" w:ascii="宋体" w:hAnsi="宋体"/>
          <w:sz w:val="24"/>
        </w:rPr>
        <w:t>保证忠实地执行双方所签订的合同，并承担合同规定的责任和义务。</w:t>
      </w:r>
    </w:p>
    <w:p>
      <w:pPr>
        <w:spacing w:before="100" w:line="460" w:lineRule="atLeast"/>
        <w:ind w:firstLine="480" w:firstLineChars="200"/>
        <w:rPr>
          <w:rFonts w:ascii="宋体" w:cs="宋体"/>
          <w:sz w:val="24"/>
        </w:rPr>
      </w:pPr>
      <w:r>
        <w:rPr>
          <w:rFonts w:hint="eastAsia" w:ascii="宋体" w:hAnsi="宋体" w:cs="宋体"/>
          <w:sz w:val="24"/>
        </w:rPr>
        <w:t>9、在规定的开标时间后，如果在投标有效期内撤回投标，同意投标保证金将被贵方没收。</w:t>
      </w:r>
    </w:p>
    <w:p>
      <w:pPr>
        <w:spacing w:before="100" w:line="460" w:lineRule="atLeast"/>
        <w:ind w:firstLine="480" w:firstLineChars="200"/>
        <w:rPr>
          <w:rFonts w:ascii="宋体" w:cs="宋体"/>
          <w:sz w:val="24"/>
        </w:rPr>
      </w:pPr>
      <w:r>
        <w:rPr>
          <w:rFonts w:hint="eastAsia" w:ascii="宋体" w:hAnsi="宋体" w:cs="宋体"/>
          <w:sz w:val="24"/>
        </w:rPr>
        <w:t>10、投标人同意提供按照贵方可能要求的与其投标有关的一切数据或资料，完全理解贵方不一定接受最低价的投标或收到的任何投标的约定。</w:t>
      </w:r>
    </w:p>
    <w:p>
      <w:pPr>
        <w:spacing w:before="100" w:line="460" w:lineRule="atLeast"/>
        <w:ind w:firstLine="480" w:firstLineChars="200"/>
        <w:rPr>
          <w:rFonts w:ascii="宋体" w:cs="宋体"/>
          <w:sz w:val="24"/>
        </w:rPr>
      </w:pPr>
      <w:r>
        <w:rPr>
          <w:rFonts w:ascii="宋体" w:hAnsi="宋体" w:cs="宋体"/>
          <w:sz w:val="24"/>
        </w:rPr>
        <w:t>1</w:t>
      </w:r>
      <w:r>
        <w:rPr>
          <w:rFonts w:hint="eastAsia" w:ascii="宋体" w:hAnsi="宋体" w:cs="宋体"/>
          <w:sz w:val="24"/>
        </w:rPr>
        <w:t>1、我方在谈判响应文件和谈判中所作的承诺在谈判后保持有效，不作任何更改和变动。</w:t>
      </w:r>
    </w:p>
    <w:p>
      <w:pPr>
        <w:spacing w:before="100" w:line="460" w:lineRule="atLeast"/>
        <w:ind w:firstLine="480" w:firstLineChars="200"/>
        <w:rPr>
          <w:rFonts w:ascii="宋体" w:cs="宋体"/>
          <w:sz w:val="24"/>
        </w:rPr>
      </w:pPr>
      <w:r>
        <w:rPr>
          <w:rFonts w:ascii="宋体" w:hAnsi="宋体" w:cs="宋体"/>
          <w:sz w:val="24"/>
        </w:rPr>
        <w:t>1</w:t>
      </w:r>
      <w:r>
        <w:rPr>
          <w:rFonts w:hint="eastAsia" w:ascii="宋体" w:hAnsi="宋体" w:cs="宋体"/>
          <w:sz w:val="24"/>
        </w:rPr>
        <w:t>2、我们愿意按竞争性谈判文件的规定交纳</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元的投标保证金。</w:t>
      </w:r>
    </w:p>
    <w:p>
      <w:pPr>
        <w:spacing w:before="100" w:line="460" w:lineRule="atLeast"/>
        <w:ind w:firstLine="480" w:firstLineChars="200"/>
        <w:rPr>
          <w:rFonts w:ascii="宋体" w:cs="宋体"/>
          <w:sz w:val="24"/>
        </w:rPr>
      </w:pPr>
      <w:r>
        <w:rPr>
          <w:rFonts w:ascii="宋体" w:hAnsi="宋体" w:cs="宋体"/>
          <w:sz w:val="24"/>
        </w:rPr>
        <w:t>1</w:t>
      </w:r>
      <w:r>
        <w:rPr>
          <w:rFonts w:hint="eastAsia" w:ascii="宋体" w:hAnsi="宋体" w:cs="宋体"/>
          <w:sz w:val="24"/>
        </w:rPr>
        <w:t>3、如我方成为成交供应商，我方愿意按采购文件的规定向招标代理机构支付成交服务费。</w:t>
      </w:r>
    </w:p>
    <w:p>
      <w:pPr>
        <w:spacing w:before="100" w:line="460" w:lineRule="atLeast"/>
        <w:ind w:firstLine="480" w:firstLineChars="200"/>
        <w:rPr>
          <w:rFonts w:ascii="宋体" w:cs="宋体"/>
          <w:sz w:val="24"/>
        </w:rPr>
      </w:pPr>
      <w:r>
        <w:rPr>
          <w:rFonts w:ascii="宋体" w:hAnsi="宋体" w:cs="宋体"/>
          <w:sz w:val="24"/>
        </w:rPr>
        <w:t>1</w:t>
      </w:r>
      <w:r>
        <w:rPr>
          <w:rFonts w:hint="eastAsia" w:ascii="宋体" w:hAnsi="宋体" w:cs="宋体"/>
          <w:sz w:val="24"/>
        </w:rPr>
        <w:t>4、综合说明：</w:t>
      </w:r>
    </w:p>
    <w:p>
      <w:pPr>
        <w:numPr>
          <w:ilvl w:val="0"/>
          <w:numId w:val="4"/>
        </w:numPr>
        <w:spacing w:before="100" w:line="460" w:lineRule="atLeast"/>
        <w:rPr>
          <w:rFonts w:ascii="宋体" w:cs="宋体"/>
          <w:sz w:val="24"/>
        </w:rPr>
      </w:pPr>
      <w:r>
        <w:rPr>
          <w:rFonts w:hint="eastAsia" w:ascii="宋体" w:hAnsi="宋体" w:cs="宋体"/>
          <w:sz w:val="24"/>
        </w:rPr>
        <w:t>伴随服务及配合措施；</w:t>
      </w:r>
    </w:p>
    <w:p>
      <w:pPr>
        <w:numPr>
          <w:ilvl w:val="0"/>
          <w:numId w:val="4"/>
        </w:numPr>
        <w:spacing w:before="100" w:line="460" w:lineRule="atLeast"/>
        <w:rPr>
          <w:rFonts w:ascii="宋体" w:cs="宋体"/>
          <w:sz w:val="24"/>
        </w:rPr>
      </w:pPr>
      <w:r>
        <w:rPr>
          <w:rFonts w:hint="eastAsia" w:ascii="宋体" w:hAnsi="宋体" w:cs="宋体"/>
          <w:sz w:val="24"/>
        </w:rPr>
        <w:t>要求需方提供的配合；</w:t>
      </w:r>
    </w:p>
    <w:p>
      <w:pPr>
        <w:numPr>
          <w:ilvl w:val="0"/>
          <w:numId w:val="4"/>
        </w:numPr>
        <w:spacing w:before="100" w:line="460" w:lineRule="atLeast"/>
        <w:rPr>
          <w:rFonts w:ascii="宋体" w:cs="宋体"/>
          <w:sz w:val="24"/>
        </w:rPr>
      </w:pPr>
      <w:r>
        <w:rPr>
          <w:rFonts w:hint="eastAsia" w:ascii="宋体" w:hAnsi="宋体" w:cs="宋体"/>
          <w:sz w:val="24"/>
        </w:rPr>
        <w:t>对竞争性谈判文件有不同意见的偏离说明；</w:t>
      </w:r>
      <w:r>
        <w:rPr>
          <w:rFonts w:ascii="宋体" w:hAnsi="宋体" w:cs="宋体"/>
          <w:sz w:val="24"/>
        </w:rPr>
        <w:t xml:space="preserve"> </w:t>
      </w:r>
    </w:p>
    <w:p>
      <w:pPr>
        <w:numPr>
          <w:ilvl w:val="0"/>
          <w:numId w:val="4"/>
        </w:numPr>
        <w:spacing w:before="100" w:line="460" w:lineRule="atLeast"/>
        <w:rPr>
          <w:rFonts w:ascii="宋体" w:cs="宋体"/>
          <w:sz w:val="24"/>
        </w:rPr>
      </w:pPr>
      <w:r>
        <w:rPr>
          <w:rFonts w:hint="eastAsia" w:ascii="宋体" w:hAnsi="宋体" w:cs="宋体"/>
          <w:sz w:val="24"/>
        </w:rPr>
        <w:t>其它说明：</w:t>
      </w:r>
      <w:r>
        <w:rPr>
          <w:rFonts w:ascii="宋体" w:hAnsi="宋体" w:cs="宋体"/>
          <w:sz w:val="24"/>
        </w:rPr>
        <w:t xml:space="preserve"> </w:t>
      </w:r>
    </w:p>
    <w:p>
      <w:pPr>
        <w:spacing w:before="100" w:line="460" w:lineRule="atLeast"/>
        <w:ind w:firstLine="480" w:firstLineChars="200"/>
        <w:rPr>
          <w:rFonts w:ascii="宋体" w:cs="宋体"/>
          <w:sz w:val="24"/>
        </w:rPr>
      </w:pPr>
      <w:r>
        <w:rPr>
          <w:rFonts w:hint="eastAsia" w:ascii="宋体" w:hAnsi="宋体" w:cs="宋体"/>
          <w:sz w:val="24"/>
        </w:rPr>
        <w:t>所有有关标书的函电，请按下列地址联系：</w:t>
      </w:r>
    </w:p>
    <w:p>
      <w:pPr>
        <w:spacing w:before="100" w:line="460" w:lineRule="atLeast"/>
        <w:ind w:firstLine="960" w:firstLineChars="400"/>
        <w:rPr>
          <w:rFonts w:ascii="宋体" w:cs="宋体"/>
          <w:sz w:val="24"/>
        </w:rPr>
      </w:pPr>
      <w:r>
        <w:rPr>
          <w:rFonts w:hint="eastAsia" w:ascii="宋体" w:hAnsi="宋体" w:cs="宋体"/>
          <w:sz w:val="24"/>
        </w:rPr>
        <w:t>单</w:t>
      </w:r>
      <w:r>
        <w:rPr>
          <w:rFonts w:ascii="宋体" w:hAnsi="宋体" w:cs="宋体"/>
          <w:sz w:val="24"/>
        </w:rPr>
        <w:t xml:space="preserve">    </w:t>
      </w:r>
      <w:r>
        <w:rPr>
          <w:rFonts w:hint="eastAsia" w:ascii="宋体" w:hAnsi="宋体" w:cs="宋体"/>
          <w:sz w:val="24"/>
        </w:rPr>
        <w:t>位：</w:t>
      </w:r>
      <w:r>
        <w:rPr>
          <w:rFonts w:ascii="宋体" w:hAnsi="宋体" w:cs="宋体"/>
          <w:sz w:val="24"/>
        </w:rPr>
        <w:t xml:space="preserve">                             </w:t>
      </w:r>
      <w:r>
        <w:rPr>
          <w:rFonts w:hint="eastAsia" w:ascii="宋体" w:hAnsi="宋体" w:cs="宋体"/>
          <w:sz w:val="24"/>
        </w:rPr>
        <w:t>　　　　邮</w:t>
      </w:r>
      <w:r>
        <w:rPr>
          <w:rFonts w:ascii="宋体" w:hAnsi="宋体" w:cs="宋体"/>
          <w:sz w:val="24"/>
        </w:rPr>
        <w:t xml:space="preserve">      </w:t>
      </w:r>
      <w:r>
        <w:rPr>
          <w:rFonts w:hint="eastAsia" w:ascii="宋体" w:hAnsi="宋体" w:cs="宋体"/>
          <w:sz w:val="24"/>
        </w:rPr>
        <w:t>编：</w:t>
      </w:r>
    </w:p>
    <w:p>
      <w:pPr>
        <w:spacing w:before="100" w:line="460" w:lineRule="atLeast"/>
        <w:ind w:firstLine="960" w:firstLineChars="400"/>
        <w:rPr>
          <w:rFonts w:ascii="宋体" w:cs="宋体"/>
          <w:sz w:val="24"/>
        </w:rPr>
      </w:pPr>
      <w:r>
        <w:rPr>
          <w:rFonts w:hint="eastAsia" w:ascii="宋体" w:hAnsi="宋体" w:cs="宋体"/>
          <w:sz w:val="24"/>
        </w:rPr>
        <w:t>联</w:t>
      </w:r>
      <w:r>
        <w:rPr>
          <w:rFonts w:ascii="宋体" w:hAnsi="宋体" w:cs="宋体"/>
          <w:sz w:val="24"/>
        </w:rPr>
        <w:t xml:space="preserve"> </w:t>
      </w:r>
      <w:r>
        <w:rPr>
          <w:rFonts w:hint="eastAsia" w:ascii="宋体" w:hAnsi="宋体" w:cs="宋体"/>
          <w:sz w:val="24"/>
        </w:rPr>
        <w:t>系</w:t>
      </w:r>
      <w:r>
        <w:rPr>
          <w:rFonts w:ascii="宋体" w:hAnsi="宋体" w:cs="宋体"/>
          <w:sz w:val="24"/>
        </w:rPr>
        <w:t xml:space="preserve"> </w:t>
      </w:r>
      <w:r>
        <w:rPr>
          <w:rFonts w:hint="eastAsia" w:ascii="宋体" w:hAnsi="宋体" w:cs="宋体"/>
          <w:sz w:val="24"/>
        </w:rPr>
        <w:t>人：</w:t>
      </w:r>
      <w:r>
        <w:rPr>
          <w:rFonts w:ascii="宋体" w:hAnsi="宋体" w:cs="宋体"/>
          <w:sz w:val="24"/>
        </w:rPr>
        <w:t xml:space="preserve">                            </w:t>
      </w:r>
      <w:r>
        <w:rPr>
          <w:rFonts w:hint="eastAsia" w:ascii="宋体" w:hAnsi="宋体" w:cs="宋体"/>
          <w:sz w:val="24"/>
        </w:rPr>
        <w:t>　　　　</w:t>
      </w:r>
      <w:r>
        <w:rPr>
          <w:rFonts w:ascii="宋体" w:hAnsi="宋体" w:cs="宋体"/>
          <w:sz w:val="24"/>
        </w:rPr>
        <w:t xml:space="preserve"> </w:t>
      </w: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p>
    <w:p>
      <w:pPr>
        <w:spacing w:before="100" w:line="460" w:lineRule="atLeast"/>
        <w:ind w:firstLine="960" w:firstLineChars="400"/>
        <w:rPr>
          <w:rFonts w:ascii="宋体" w:cs="宋体"/>
          <w:sz w:val="24"/>
        </w:rPr>
      </w:pPr>
      <w:r>
        <w:rPr>
          <w:rFonts w:hint="eastAsia" w:ascii="宋体" w:hAnsi="宋体" w:cs="宋体"/>
          <w:sz w:val="24"/>
        </w:rPr>
        <w:t>开户名称：</w:t>
      </w:r>
      <w:r>
        <w:rPr>
          <w:rFonts w:ascii="宋体" w:hAnsi="宋体" w:cs="宋体"/>
          <w:sz w:val="24"/>
        </w:rPr>
        <w:t xml:space="preserve">                            </w:t>
      </w:r>
      <w:r>
        <w:rPr>
          <w:rFonts w:hint="eastAsia" w:ascii="宋体" w:hAnsi="宋体" w:cs="宋体"/>
          <w:sz w:val="24"/>
        </w:rPr>
        <w:t>　　　　</w:t>
      </w:r>
      <w:r>
        <w:rPr>
          <w:rFonts w:ascii="宋体" w:hAnsi="宋体" w:cs="宋体"/>
          <w:sz w:val="24"/>
        </w:rPr>
        <w:t xml:space="preserve"> </w:t>
      </w:r>
      <w:r>
        <w:rPr>
          <w:rFonts w:hint="eastAsia" w:ascii="宋体" w:hAnsi="宋体" w:cs="宋体"/>
          <w:sz w:val="24"/>
        </w:rPr>
        <w:t>电</w:t>
      </w:r>
      <w:r>
        <w:rPr>
          <w:rFonts w:ascii="宋体" w:hAnsi="宋体" w:cs="宋体"/>
          <w:sz w:val="24"/>
        </w:rPr>
        <w:t xml:space="preserve">      </w:t>
      </w:r>
      <w:r>
        <w:rPr>
          <w:rFonts w:hint="eastAsia" w:ascii="宋体" w:hAnsi="宋体" w:cs="宋体"/>
          <w:sz w:val="24"/>
        </w:rPr>
        <w:t>话：</w:t>
      </w:r>
    </w:p>
    <w:p>
      <w:pPr>
        <w:spacing w:before="100" w:line="460" w:lineRule="atLeast"/>
        <w:ind w:firstLine="960" w:firstLineChars="400"/>
        <w:rPr>
          <w:rFonts w:ascii="宋体" w:cs="宋体"/>
          <w:sz w:val="24"/>
        </w:rPr>
      </w:pPr>
      <w:r>
        <w:rPr>
          <w:rFonts w:hint="eastAsia" w:ascii="宋体" w:hAnsi="宋体" w:cs="宋体"/>
          <w:sz w:val="24"/>
        </w:rPr>
        <w:t>开户银行：</w:t>
      </w:r>
      <w:r>
        <w:rPr>
          <w:rFonts w:ascii="宋体" w:hAnsi="宋体" w:cs="宋体"/>
          <w:sz w:val="24"/>
        </w:rPr>
        <w:t xml:space="preserve">                            </w:t>
      </w:r>
      <w:r>
        <w:rPr>
          <w:rFonts w:hint="eastAsia" w:ascii="宋体" w:hAnsi="宋体" w:cs="宋体"/>
          <w:sz w:val="24"/>
        </w:rPr>
        <w:t>　　　　</w:t>
      </w:r>
      <w:r>
        <w:rPr>
          <w:rFonts w:ascii="宋体" w:hAnsi="宋体" w:cs="宋体"/>
          <w:sz w:val="24"/>
        </w:rPr>
        <w:t xml:space="preserve"> </w:t>
      </w:r>
      <w:r>
        <w:rPr>
          <w:rFonts w:hint="eastAsia" w:ascii="宋体" w:hAnsi="宋体" w:cs="宋体"/>
          <w:sz w:val="24"/>
        </w:rPr>
        <w:t>传</w:t>
      </w:r>
      <w:r>
        <w:rPr>
          <w:rFonts w:ascii="宋体" w:hAnsi="宋体" w:cs="宋体"/>
          <w:sz w:val="24"/>
        </w:rPr>
        <w:t xml:space="preserve">      </w:t>
      </w:r>
      <w:r>
        <w:rPr>
          <w:rFonts w:hint="eastAsia" w:ascii="宋体" w:hAnsi="宋体" w:cs="宋体"/>
          <w:sz w:val="24"/>
        </w:rPr>
        <w:t>真：</w:t>
      </w:r>
    </w:p>
    <w:p>
      <w:pPr>
        <w:spacing w:before="100" w:line="460" w:lineRule="atLeast"/>
        <w:ind w:firstLine="960" w:firstLineChars="400"/>
        <w:rPr>
          <w:rFonts w:ascii="宋体" w:cs="宋体"/>
          <w:sz w:val="24"/>
        </w:rPr>
      </w:pPr>
      <w:r>
        <w:rPr>
          <w:rFonts w:hint="eastAsia" w:ascii="宋体" w:hAnsi="宋体" w:cs="宋体"/>
          <w:sz w:val="24"/>
        </w:rPr>
        <w:t>开户账号：</w:t>
      </w:r>
    </w:p>
    <w:p>
      <w:pPr>
        <w:adjustRightInd w:val="0"/>
        <w:snapToGrid w:val="0"/>
        <w:spacing w:line="440" w:lineRule="exact"/>
        <w:ind w:firstLine="482" w:firstLineChars="200"/>
        <w:rPr>
          <w:rFonts w:hint="eastAsia" w:ascii="宋体" w:hAnsi="宋体"/>
          <w:b/>
          <w:color w:val="auto"/>
          <w:sz w:val="24"/>
          <w:highlight w:val="none"/>
          <w:em w:val="dot"/>
        </w:rPr>
      </w:pPr>
    </w:p>
    <w:p>
      <w:pPr>
        <w:spacing w:beforeLines="50" w:afterLines="50" w:line="440" w:lineRule="exact"/>
        <w:jc w:val="center"/>
        <w:rPr>
          <w:b/>
          <w:color w:val="auto"/>
          <w:sz w:val="30"/>
          <w:szCs w:val="30"/>
          <w:highlight w:val="none"/>
        </w:rPr>
      </w:pPr>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2</w:t>
      </w:r>
      <w:r>
        <w:rPr>
          <w:rFonts w:hint="eastAsia"/>
          <w:b/>
          <w:color w:val="auto"/>
          <w:sz w:val="30"/>
          <w:szCs w:val="30"/>
          <w:highlight w:val="none"/>
        </w:rPr>
        <w:t xml:space="preserve">  反商业贿赂承诺书</w:t>
      </w:r>
    </w:p>
    <w:p>
      <w:pPr>
        <w:pStyle w:val="9"/>
        <w:spacing w:line="440" w:lineRule="exact"/>
        <w:ind w:left="480" w:firstLine="482"/>
        <w:rPr>
          <w:rFonts w:ascii="宋体" w:hAnsi="宋体"/>
          <w:color w:val="auto"/>
          <w:sz w:val="24"/>
          <w:highlight w:val="none"/>
        </w:rPr>
      </w:pPr>
      <w:r>
        <w:rPr>
          <w:rFonts w:hint="eastAsia" w:ascii="宋体" w:hAnsi="宋体"/>
          <w:color w:val="auto"/>
          <w:sz w:val="24"/>
          <w:highlight w:val="none"/>
        </w:rPr>
        <w:t>我公司承诺在</w:t>
      </w:r>
      <w:r>
        <w:rPr>
          <w:rFonts w:hint="eastAsia" w:ascii="宋体" w:hAnsi="宋体"/>
          <w:color w:val="auto"/>
          <w:sz w:val="24"/>
          <w:highlight w:val="none"/>
          <w:u w:val="single"/>
        </w:rPr>
        <w:t>（项目名称、项目编号）</w:t>
      </w:r>
      <w:r>
        <w:rPr>
          <w:rFonts w:hint="eastAsia" w:ascii="宋体" w:hAnsi="宋体"/>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9"/>
        <w:spacing w:line="440" w:lineRule="exact"/>
        <w:ind w:left="480" w:firstLine="482"/>
        <w:rPr>
          <w:rFonts w:ascii="宋体" w:hAnsi="宋体"/>
          <w:color w:val="auto"/>
          <w:sz w:val="24"/>
          <w:highlight w:val="none"/>
        </w:rPr>
      </w:pPr>
      <w:r>
        <w:rPr>
          <w:rFonts w:hint="eastAsia" w:ascii="宋体" w:hAnsi="宋体"/>
          <w:color w:val="auto"/>
          <w:sz w:val="24"/>
          <w:highlight w:val="none"/>
        </w:rPr>
        <w:t>公司法定代表：</w:t>
      </w:r>
    </w:p>
    <w:p>
      <w:pPr>
        <w:pStyle w:val="9"/>
        <w:spacing w:line="440" w:lineRule="exact"/>
        <w:ind w:left="480" w:firstLine="482"/>
        <w:rPr>
          <w:rFonts w:ascii="宋体" w:hAnsi="宋体"/>
          <w:color w:val="auto"/>
          <w:sz w:val="24"/>
          <w:highlight w:val="none"/>
        </w:rPr>
      </w:pPr>
      <w:r>
        <w:rPr>
          <w:rFonts w:hint="eastAsia" w:ascii="宋体" w:hAnsi="宋体"/>
          <w:color w:val="auto"/>
          <w:sz w:val="24"/>
          <w:highlight w:val="none"/>
        </w:rPr>
        <w:t>法人授权代表：</w:t>
      </w:r>
    </w:p>
    <w:p>
      <w:pPr>
        <w:pStyle w:val="9"/>
        <w:spacing w:line="440" w:lineRule="exact"/>
        <w:ind w:left="480" w:firstLine="480" w:firstLineChars="200"/>
        <w:rPr>
          <w:rFonts w:ascii="宋体" w:hAnsi="宋体"/>
          <w:color w:val="auto"/>
          <w:sz w:val="24"/>
          <w:highlight w:val="none"/>
        </w:rPr>
      </w:pPr>
      <w:r>
        <w:rPr>
          <w:rFonts w:hint="eastAsia" w:ascii="宋体" w:hAnsi="宋体"/>
          <w:color w:val="auto"/>
          <w:sz w:val="24"/>
          <w:highlight w:val="none"/>
        </w:rPr>
        <w:t>日期：</w:t>
      </w:r>
    </w:p>
    <w:p>
      <w:pPr>
        <w:spacing w:line="460" w:lineRule="atLeast"/>
        <w:jc w:val="center"/>
        <w:rPr>
          <w:rFonts w:hint="eastAsia" w:ascii="宋体" w:hAnsi="宋体" w:cs="宋体"/>
          <w:b/>
          <w:bCs/>
          <w:sz w:val="30"/>
          <w:szCs w:val="30"/>
        </w:rPr>
      </w:pPr>
      <w:r>
        <w:rPr>
          <w:color w:val="auto"/>
          <w:highlight w:val="none"/>
        </w:rPr>
        <w:br w:type="page"/>
      </w:r>
      <w:r>
        <w:rPr>
          <w:rFonts w:hint="eastAsia"/>
          <w:b/>
          <w:color w:val="auto"/>
          <w:sz w:val="30"/>
          <w:szCs w:val="30"/>
          <w:highlight w:val="none"/>
        </w:rPr>
        <w:t>附件</w:t>
      </w:r>
      <w:r>
        <w:rPr>
          <w:rFonts w:hint="eastAsia"/>
          <w:b/>
          <w:color w:val="auto"/>
          <w:sz w:val="30"/>
          <w:szCs w:val="30"/>
          <w:highlight w:val="none"/>
          <w:lang w:eastAsia="zh-CN"/>
        </w:rPr>
        <w:t>2-3</w:t>
      </w:r>
      <w:r>
        <w:rPr>
          <w:rFonts w:hint="eastAsia"/>
          <w:b/>
          <w:color w:val="auto"/>
          <w:sz w:val="30"/>
          <w:szCs w:val="30"/>
          <w:highlight w:val="none"/>
          <w:lang w:val="en-US" w:eastAsia="zh-CN"/>
        </w:rPr>
        <w:t xml:space="preserve"> </w:t>
      </w:r>
      <w:r>
        <w:rPr>
          <w:rFonts w:hint="eastAsia"/>
          <w:b/>
          <w:bCs/>
          <w:color w:val="auto"/>
          <w:sz w:val="30"/>
          <w:szCs w:val="30"/>
          <w:highlight w:val="none"/>
        </w:rPr>
        <w:t>开标一览表</w:t>
      </w:r>
      <w:r>
        <w:rPr>
          <w:rFonts w:hint="eastAsia" w:ascii="宋体" w:hAnsi="宋体" w:cs="宋体"/>
          <w:b/>
          <w:bCs/>
          <w:color w:val="auto"/>
          <w:sz w:val="30"/>
          <w:szCs w:val="30"/>
          <w:highlight w:val="none"/>
        </w:rPr>
        <w:t>（另需单独提交）</w:t>
      </w:r>
      <w:r>
        <w:rPr>
          <w:rFonts w:ascii="宋体" w:hAnsi="宋体"/>
          <w:color w:val="auto"/>
          <w:highlight w:val="none"/>
        </w:rPr>
        <w:t xml:space="preserve">                </w:t>
      </w:r>
    </w:p>
    <w:p>
      <w:pPr>
        <w:pStyle w:val="58"/>
        <w:spacing w:line="440" w:lineRule="exact"/>
        <w:ind w:left="145" w:leftChars="-86" w:hanging="326" w:hangingChars="163"/>
        <w:jc w:val="both"/>
        <w:rPr>
          <w:rFonts w:hint="eastAsia" w:ascii="宋体" w:hAnsi="宋体" w:cs="宋体"/>
          <w:color w:val="auto"/>
        </w:rPr>
      </w:pPr>
      <w:r>
        <w:rPr>
          <w:rFonts w:hint="eastAsia" w:ascii="宋体" w:hAnsi="宋体" w:cs="宋体"/>
          <w:color w:val="auto"/>
        </w:rPr>
        <w:t>招标项目名称：                          投标单位名称（公章）：</w:t>
      </w:r>
      <w:r>
        <w:rPr>
          <w:rFonts w:hint="eastAsia" w:ascii="宋体" w:hAnsi="宋体" w:cs="宋体"/>
          <w:color w:val="auto"/>
          <w:u w:val="single"/>
        </w:rPr>
        <w:t xml:space="preserve">                         </w:t>
      </w:r>
      <w:r>
        <w:rPr>
          <w:rFonts w:hint="eastAsia" w:ascii="宋体" w:hAnsi="宋体" w:cs="宋体"/>
          <w:color w:val="auto"/>
        </w:rPr>
        <w:t xml:space="preserve">   </w:t>
      </w:r>
    </w:p>
    <w:p>
      <w:pPr>
        <w:pStyle w:val="58"/>
        <w:spacing w:line="440" w:lineRule="exact"/>
        <w:ind w:left="145" w:leftChars="-86" w:hanging="326" w:hangingChars="163"/>
        <w:jc w:val="both"/>
        <w:rPr>
          <w:rFonts w:hint="eastAsia" w:ascii="宋体" w:hAnsi="宋体" w:cs="宋体"/>
          <w:color w:val="auto"/>
        </w:rPr>
      </w:pPr>
      <w:r>
        <w:rPr>
          <w:rFonts w:hint="eastAsia" w:ascii="宋体" w:hAnsi="宋体" w:cs="宋体"/>
          <w:color w:val="auto"/>
        </w:rPr>
        <w:t>招标编号：                               投标包号及内容：</w:t>
      </w:r>
    </w:p>
    <w:tbl>
      <w:tblPr>
        <w:tblStyle w:val="23"/>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179"/>
        <w:gridCol w:w="2024"/>
        <w:gridCol w:w="631"/>
        <w:gridCol w:w="631"/>
        <w:gridCol w:w="1248"/>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427" w:type="dxa"/>
            <w:gridSpan w:val="7"/>
            <w:noWrap/>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第1包：电工材料类选取1家服务商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38" w:type="dxa"/>
            <w:noWrap/>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  号</w:t>
            </w:r>
          </w:p>
        </w:tc>
        <w:tc>
          <w:tcPr>
            <w:tcW w:w="2179" w:type="dxa"/>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产品名称</w:t>
            </w:r>
          </w:p>
        </w:tc>
        <w:tc>
          <w:tcPr>
            <w:tcW w:w="2024" w:type="dxa"/>
            <w:noWrap/>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规格</w:t>
            </w:r>
          </w:p>
        </w:tc>
        <w:tc>
          <w:tcPr>
            <w:tcW w:w="631" w:type="dxa"/>
            <w:noWrap/>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数量</w:t>
            </w:r>
          </w:p>
        </w:tc>
        <w:tc>
          <w:tcPr>
            <w:tcW w:w="631" w:type="dxa"/>
            <w:noWrap/>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单位</w:t>
            </w:r>
          </w:p>
        </w:tc>
        <w:tc>
          <w:tcPr>
            <w:tcW w:w="1248" w:type="dxa"/>
            <w:noWrap w:val="0"/>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最高限价（元）</w:t>
            </w:r>
          </w:p>
        </w:tc>
        <w:tc>
          <w:tcPr>
            <w:tcW w:w="1150" w:type="dxa"/>
            <w:noWrap/>
            <w:vAlign w:val="center"/>
          </w:tcPr>
          <w:p>
            <w:pPr>
              <w:widowControl/>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PVC管</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穿线管 （PVC)</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3.1</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PVC</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PVC</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PVC</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2.6</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PVC</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3.6</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PVC</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铝合金</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3CM</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铝合金</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4CM</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铝合金</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5CM</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线槽 铝合金</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6CM</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20-20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3TH40-40E DC110V</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17</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CJ20-10A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CJ20-25A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19</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CJX2-0910 220V</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42</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CJX2-1810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21</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CJX2-2510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CJX2-25A-220V</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CJX2-3210 220V</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118.7</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24</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CJX2-3210 380V</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118.7</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CJX2-501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26</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JX2-1210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45.6</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27</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交流接触器 施耐德  </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LC1-D0910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 施耐德</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LC1D4011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247</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29</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 施耐德</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LC1D-8011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 西门子</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3TF42 220V</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268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31</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交流接触器 西门子</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448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32</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3TF3010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3TF4222</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34</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3TH4040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134</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3TH4262</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36</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 施耐德</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LC1D0901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37</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 西门子</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3TF30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325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接触器 西门子</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3TF40-22E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248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39</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过欠压保护器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HHD5-1 220V</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熔断器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支</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1670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41</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熔断器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630A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1950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42</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熔断器保险</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43</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熔断器保险</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630A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195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44</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JR36-160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46</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JR36-20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47</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JR36-63A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48</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JRS1-09-25 20A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49</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热继电器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JRS1-25 16A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按钮</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LA38-11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51</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按钮开关</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KND2</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52</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零排线 铜质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大孔5孔</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53</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零排线 铜质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小孔10孔</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54</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零排线 铜质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小孔5孔</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零排线 铜质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小孔7孔</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56</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明线盒</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4.4</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57</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40*20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58</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400*300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59</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400*500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60</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500*600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61</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600*700*200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62</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PZ30-12</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63</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PZ30-15</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90.2</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64</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PZ30-4</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65</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PZ30-6</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66</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PZ30-8</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67</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 帯电器</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7.5KW</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2350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68</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 帯电器</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2400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69</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 含配件</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400*500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70</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配电箱锁</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大号</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71</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百叶换气扇</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250*250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72</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保险底座</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NT100 125A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73</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保险底座</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NT100 63A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74</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电磁阀（开水锅）</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DN12  24V </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75</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蓄电池 </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6-QW-200N</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2200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76</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电力电容</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BSMJ0.4KV 15KVAR</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77</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电流表（钳形）</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UT200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78</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电瓶</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12V  42A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79</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防水盒</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国标</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5.7</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80</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防水胶布</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大</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卷</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81</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高压胶布</w:t>
            </w:r>
          </w:p>
        </w:tc>
        <w:tc>
          <w:tcPr>
            <w:tcW w:w="2024" w:type="dxa"/>
            <w:shd w:val="clear" w:color="000000" w:fill="FFFFFF"/>
            <w:noWrap/>
            <w:vAlign w:val="center"/>
          </w:tcPr>
          <w:p>
            <w:pPr>
              <w:widowControl/>
              <w:jc w:val="center"/>
              <w:rPr>
                <w:rFonts w:ascii="宋体" w:hAnsi="宋体" w:cs="宋体"/>
                <w:color w:val="auto"/>
                <w:kern w:val="0"/>
                <w:sz w:val="24"/>
                <w:highlight w:val="none"/>
              </w:rPr>
            </w:pP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卷</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82</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焊锡膏</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成分含量</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盒</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83</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焊锡丝</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1.2单位、成分含量</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卷</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116</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84</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换气扇</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220v </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换气扇</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380v </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86</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换气扇</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400*400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87</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换气扇</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300*300 25A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88</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换气扇 </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BE12-13</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89</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黄腊管</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φ10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90</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黄腊管</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φ12</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91</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集成风扇</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300*300 220v</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92</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开水锅探针</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380V 30CM</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93</w:t>
            </w:r>
          </w:p>
        </w:tc>
        <w:tc>
          <w:tcPr>
            <w:tcW w:w="2179" w:type="dxa"/>
            <w:shd w:val="clear" w:color="000000" w:fill="FFFFFF"/>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膨胀管</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φ6</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包</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94</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启动按钮</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LAY3</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95</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启辉器</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96</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桥架</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100*100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97</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桥架</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200*5</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98</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热缩管</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φ3</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99</w:t>
            </w:r>
          </w:p>
        </w:tc>
        <w:tc>
          <w:tcPr>
            <w:tcW w:w="2179" w:type="dxa"/>
            <w:shd w:val="clear" w:color="auto" w:fill="auto"/>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水位探头</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220V</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铜鼻子</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101</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轴流风机</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220V-550W</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102</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轴流风机</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380V500W</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103</w:t>
            </w:r>
          </w:p>
        </w:tc>
        <w:tc>
          <w:tcPr>
            <w:tcW w:w="2179" w:type="dxa"/>
            <w:noWrap w:val="0"/>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轴流风机电机</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380V  0.75KW</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104</w:t>
            </w:r>
          </w:p>
        </w:tc>
        <w:tc>
          <w:tcPr>
            <w:tcW w:w="2179" w:type="dxa"/>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φ16</w:t>
            </w:r>
          </w:p>
        </w:tc>
        <w:tc>
          <w:tcPr>
            <w:tcW w:w="631"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1248"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105</w:t>
            </w:r>
          </w:p>
        </w:tc>
        <w:tc>
          <w:tcPr>
            <w:tcW w:w="2179" w:type="dxa"/>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φ20</w:t>
            </w:r>
          </w:p>
        </w:tc>
        <w:tc>
          <w:tcPr>
            <w:tcW w:w="631"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1248"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106</w:t>
            </w:r>
          </w:p>
        </w:tc>
        <w:tc>
          <w:tcPr>
            <w:tcW w:w="2179" w:type="dxa"/>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波纹管</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φ25</w:t>
            </w:r>
          </w:p>
        </w:tc>
        <w:tc>
          <w:tcPr>
            <w:tcW w:w="631"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米</w:t>
            </w:r>
          </w:p>
        </w:tc>
        <w:tc>
          <w:tcPr>
            <w:tcW w:w="1248"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107</w:t>
            </w:r>
          </w:p>
        </w:tc>
        <w:tc>
          <w:tcPr>
            <w:tcW w:w="2179" w:type="dxa"/>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穿线管 （PVC)</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P20</w:t>
            </w:r>
          </w:p>
        </w:tc>
        <w:tc>
          <w:tcPr>
            <w:tcW w:w="631"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108</w:t>
            </w:r>
          </w:p>
        </w:tc>
        <w:tc>
          <w:tcPr>
            <w:tcW w:w="2179" w:type="dxa"/>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PVC管</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c>
          <w:tcPr>
            <w:tcW w:w="631"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根</w:t>
            </w:r>
          </w:p>
        </w:tc>
        <w:tc>
          <w:tcPr>
            <w:tcW w:w="1248"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109</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3P-60A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110</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CDM11-100L/4300</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111</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DZ47P60A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112</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空气开关 </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3P100A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113</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空气开关 </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3P60A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114</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 带漏电保护</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2P25A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115</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空气开关 </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DZ47-3P40A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31</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116</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空气开关1P16A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117</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空气开关1P16A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118</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空气开关1P20A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119</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空气开关1P-20A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DZ47LE19</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120</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空气开关1P25A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DE47LE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121</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空气开关1P25A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122</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空气开关1P32A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DE47LE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123</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空气开关2P16A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DE47LE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124</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空气开关2P20</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DE47LE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125</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空气开关2P20A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126</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空气开关2P25A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127</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空气开关2P25A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128</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空气开关2P32A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129</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空气开关2P32A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130</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空气开关2P40A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27</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131</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空气开关2P40A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台</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132</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空气开关2P60A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133</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空气开关2P80A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DZ158</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134</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空气开关3P100A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135</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空气开关3P20A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136</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空气开关3P20A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LEDZ47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137</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空气开关3P25A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138</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空气开关3P32A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139</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空气开关3P40A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140</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空气开关3P-40A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LEDZ47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141</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空气开关3P60A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DA47LE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142</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空气开关3P60A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143</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空气开关3P80A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DZ158</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144</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空气开关3P80A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DZ158LE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套</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145</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空气开关4P25A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DZ47</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61</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146</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空气开关4P80A</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DZ158LE</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110</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147</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三联开关</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19.6</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148</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三相插头</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4.2</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149</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三相插头</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6.1</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150</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三相插座 模数化</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151</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声光控制开关</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152</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声控开关</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36</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153</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双联开关 </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154</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时控开关 微电脑</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220v</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168</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155</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五孔插座</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156</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五孔插座 </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157</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按钮</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LA38-11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158</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按钮开关</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KND2</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159</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白面板</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国标</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160</w:t>
            </w:r>
          </w:p>
        </w:tc>
        <w:tc>
          <w:tcPr>
            <w:tcW w:w="2179"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两眼插头</w:t>
            </w:r>
          </w:p>
        </w:tc>
        <w:tc>
          <w:tcPr>
            <w:tcW w:w="2024"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10A</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2.3</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8"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161</w:t>
            </w:r>
          </w:p>
        </w:tc>
        <w:tc>
          <w:tcPr>
            <w:tcW w:w="2179" w:type="dxa"/>
            <w:shd w:val="clear" w:color="000000" w:fill="FFFFFF"/>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单联开关（飞雕）</w:t>
            </w:r>
          </w:p>
        </w:tc>
        <w:tc>
          <w:tcPr>
            <w:tcW w:w="2024"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大板</w:t>
            </w:r>
          </w:p>
        </w:tc>
        <w:tc>
          <w:tcPr>
            <w:tcW w:w="631" w:type="dxa"/>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31"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个</w:t>
            </w:r>
          </w:p>
        </w:tc>
        <w:tc>
          <w:tcPr>
            <w:tcW w:w="1248" w:type="dxa"/>
            <w:shd w:val="clear" w:color="000000" w:fill="FFFFFF"/>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9.5</w:t>
            </w:r>
          </w:p>
        </w:tc>
        <w:tc>
          <w:tcPr>
            <w:tcW w:w="1150" w:type="dxa"/>
            <w:noWrap/>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672" w:type="dxa"/>
            <w:gridSpan w:val="4"/>
            <w:vMerge w:val="restart"/>
            <w:shd w:val="clear" w:color="auto" w:fill="auto"/>
            <w:noWrap/>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投标单价合计金额</w:t>
            </w:r>
          </w:p>
        </w:tc>
        <w:tc>
          <w:tcPr>
            <w:tcW w:w="2755" w:type="dxa"/>
            <w:gridSpan w:val="3"/>
            <w:shd w:val="clear" w:color="000000" w:fill="FFFFFF"/>
            <w:noWrap/>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672" w:type="dxa"/>
            <w:gridSpan w:val="4"/>
            <w:vMerge w:val="continue"/>
            <w:noWrap/>
            <w:vAlign w:val="center"/>
          </w:tcPr>
          <w:p>
            <w:pPr>
              <w:widowControl/>
              <w:jc w:val="center"/>
              <w:rPr>
                <w:rFonts w:ascii="宋体" w:hAnsi="宋体" w:cs="宋体"/>
                <w:color w:val="auto"/>
                <w:kern w:val="0"/>
                <w:sz w:val="24"/>
                <w:highlight w:val="none"/>
              </w:rPr>
            </w:pPr>
          </w:p>
        </w:tc>
        <w:tc>
          <w:tcPr>
            <w:tcW w:w="2755" w:type="dxa"/>
            <w:gridSpan w:val="3"/>
            <w:noWrap/>
            <w:vAlign w:val="center"/>
          </w:tcPr>
          <w:p>
            <w:pPr>
              <w:widowControl/>
              <w:rPr>
                <w:rFonts w:ascii="宋体" w:hAnsi="宋体" w:cs="宋体"/>
                <w:color w:val="auto"/>
                <w:kern w:val="0"/>
                <w:sz w:val="24"/>
                <w:highlight w:val="none"/>
              </w:rPr>
            </w:pPr>
            <w:r>
              <w:rPr>
                <w:rFonts w:hint="eastAsia" w:ascii="宋体" w:hAnsi="宋体" w:cs="宋体"/>
                <w:color w:val="auto"/>
                <w:kern w:val="0"/>
                <w:sz w:val="24"/>
                <w:highlight w:val="none"/>
              </w:rPr>
              <w:t>大写：</w:t>
            </w:r>
          </w:p>
        </w:tc>
      </w:tr>
    </w:tbl>
    <w:p>
      <w:pPr>
        <w:pStyle w:val="58"/>
        <w:spacing w:line="440" w:lineRule="exact"/>
        <w:rPr>
          <w:rFonts w:hint="eastAsia" w:ascii="宋体" w:hAnsi="宋体" w:cs="宋体"/>
          <w:color w:val="auto"/>
          <w:highlight w:val="none"/>
        </w:rPr>
      </w:pPr>
      <w:r>
        <w:rPr>
          <w:rFonts w:hint="eastAsia" w:ascii="宋体" w:hAnsi="宋体" w:cs="宋体"/>
          <w:color w:val="auto"/>
          <w:highlight w:val="none"/>
        </w:rPr>
        <w:t>声明：以上投标报价在投标有效期内一直有效。</w:t>
      </w:r>
    </w:p>
    <w:p>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投标人名称（加盖公章）：</w:t>
      </w:r>
      <w:r>
        <w:rPr>
          <w:rFonts w:hint="eastAsia" w:ascii="宋体" w:hAnsi="宋体" w:cs="宋体"/>
          <w:bCs/>
          <w:color w:val="auto"/>
          <w:sz w:val="24"/>
          <w:szCs w:val="24"/>
          <w:highlight w:val="none"/>
          <w:u w:val="single"/>
        </w:rPr>
        <w:t xml:space="preserve">                               </w:t>
      </w:r>
    </w:p>
    <w:p>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代理（被授权人）签字：</w:t>
      </w:r>
      <w:r>
        <w:rPr>
          <w:rFonts w:hint="eastAsia" w:ascii="宋体" w:hAnsi="宋体" w:cs="宋体"/>
          <w:bCs/>
          <w:color w:val="auto"/>
          <w:sz w:val="24"/>
          <w:szCs w:val="24"/>
          <w:highlight w:val="none"/>
          <w:u w:val="single"/>
        </w:rPr>
        <w:t xml:space="preserve">                  </w:t>
      </w:r>
    </w:p>
    <w:p>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w:t>
      </w:r>
    </w:p>
    <w:p>
      <w:pPr>
        <w:spacing w:line="440" w:lineRule="exact"/>
        <w:rPr>
          <w:rFonts w:hint="eastAsia" w:ascii="宋体" w:hAnsi="宋体" w:cs="宋体"/>
          <w:b/>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color w:val="auto"/>
          <w:sz w:val="24"/>
          <w:szCs w:val="24"/>
          <w:highlight w:val="none"/>
        </w:rPr>
        <w:t>1、此表需密封后单独提交。</w:t>
      </w:r>
    </w:p>
    <w:p>
      <w:pPr>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2、投标人需对本表中所投内容的所有项进行报价，不得缺项漏项，不得自行更改格式及文本信息；且投标报价不得高于每项的最高限价。如果报价不符合要求则视为无效投标。</w:t>
      </w:r>
    </w:p>
    <w:p>
      <w:pPr>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3、投标单价合计金额需等于各分项投标单价金额的合计。</w:t>
      </w:r>
    </w:p>
    <w:p>
      <w:pPr>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4、投标报价以人民币为结算货币，须包括货物价款、途中运输费、装卸费、技术指导费、技术资料费、保险费、税费及合同中明示或暗示的所有一般风险、责任和义务等一切应由采购人支付的费用。</w:t>
      </w:r>
    </w:p>
    <w:p>
      <w:pPr>
        <w:spacing w:line="4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5、同一产品名称项下只接受一个报价（不接受选择性报价）。</w:t>
      </w:r>
    </w:p>
    <w:p>
      <w:pPr>
        <w:pStyle w:val="58"/>
        <w:spacing w:line="440" w:lineRule="exact"/>
        <w:ind w:left="145" w:leftChars="-86" w:hanging="326" w:hangingChars="163"/>
        <w:jc w:val="both"/>
        <w:rPr>
          <w:rFonts w:ascii="宋体" w:hAnsi="宋体"/>
          <w:color w:val="auto"/>
          <w:highlight w:val="none"/>
        </w:rPr>
      </w:pPr>
    </w:p>
    <w:p>
      <w:pPr>
        <w:spacing w:line="360" w:lineRule="auto"/>
        <w:ind w:firstLine="590" w:firstLineChars="196"/>
        <w:jc w:val="center"/>
        <w:rPr>
          <w:b/>
          <w:color w:val="auto"/>
          <w:sz w:val="32"/>
          <w:szCs w:val="32"/>
          <w:highlight w:val="none"/>
        </w:rPr>
      </w:pPr>
      <w:r>
        <w:rPr>
          <w:rFonts w:hint="eastAsia"/>
          <w:b/>
          <w:color w:val="auto"/>
          <w:sz w:val="30"/>
          <w:szCs w:val="30"/>
          <w:highlight w:val="none"/>
        </w:rPr>
        <w:br w:type="page"/>
      </w:r>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4</w:t>
      </w:r>
      <w:r>
        <w:rPr>
          <w:rFonts w:hint="eastAsia"/>
          <w:b/>
          <w:color w:val="auto"/>
          <w:sz w:val="30"/>
          <w:szCs w:val="30"/>
          <w:highlight w:val="none"/>
        </w:rPr>
        <w:t xml:space="preserve">  </w:t>
      </w:r>
      <w:r>
        <w:rPr>
          <w:rFonts w:hint="eastAsia"/>
          <w:b/>
          <w:color w:val="auto"/>
          <w:sz w:val="32"/>
          <w:szCs w:val="32"/>
          <w:highlight w:val="none"/>
        </w:rPr>
        <w:t>商务条款偏离表</w:t>
      </w:r>
    </w:p>
    <w:p>
      <w:pPr>
        <w:spacing w:line="440" w:lineRule="exact"/>
        <w:ind w:firstLine="105" w:firstLineChars="50"/>
        <w:rPr>
          <w:color w:val="auto"/>
          <w:highlight w:val="none"/>
          <w:u w:val="single"/>
        </w:rPr>
      </w:pPr>
      <w:r>
        <w:rPr>
          <w:rFonts w:hint="eastAsia"/>
          <w:color w:val="auto"/>
          <w:highlight w:val="none"/>
        </w:rPr>
        <w:t>投标人名称（公章）：</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w:t>
      </w:r>
    </w:p>
    <w:p>
      <w:pPr>
        <w:spacing w:line="440" w:lineRule="exact"/>
        <w:ind w:firstLine="105" w:firstLineChars="50"/>
        <w:rPr>
          <w:color w:val="auto"/>
          <w:highlight w:val="none"/>
        </w:rPr>
      </w:pPr>
      <w:r>
        <w:rPr>
          <w:rFonts w:hint="eastAsia"/>
          <w:color w:val="auto"/>
          <w:highlight w:val="none"/>
        </w:rPr>
        <w:t>所投内容/分包：</w:t>
      </w:r>
      <w:r>
        <w:rPr>
          <w:rFonts w:hint="eastAsia"/>
          <w:color w:val="auto"/>
          <w:highlight w:val="none"/>
          <w:u w:val="single"/>
        </w:rPr>
        <w:t xml:space="preserve">　　　　           </w:t>
      </w:r>
      <w:r>
        <w:rPr>
          <w:rFonts w:hint="eastAsia"/>
          <w:color w:val="auto"/>
          <w:highlight w:val="none"/>
        </w:rPr>
        <w:t>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color w:val="auto"/>
                <w:highlight w:val="none"/>
              </w:rPr>
            </w:pPr>
            <w:r>
              <w:rPr>
                <w:rFonts w:hint="eastAsia"/>
                <w:color w:val="auto"/>
                <w:highlight w:val="none"/>
              </w:rPr>
              <w:t>序号</w:t>
            </w:r>
          </w:p>
        </w:tc>
        <w:tc>
          <w:tcPr>
            <w:tcW w:w="1602" w:type="dxa"/>
            <w:noWrap w:val="0"/>
            <w:vAlign w:val="center"/>
          </w:tcPr>
          <w:p>
            <w:pPr>
              <w:spacing w:line="440" w:lineRule="exact"/>
              <w:rPr>
                <w:color w:val="auto"/>
                <w:highlight w:val="none"/>
              </w:rPr>
            </w:pPr>
            <w:r>
              <w:rPr>
                <w:rFonts w:hint="eastAsia"/>
                <w:color w:val="auto"/>
                <w:highlight w:val="none"/>
                <w:lang w:val="en-US" w:eastAsia="zh-CN"/>
              </w:rPr>
              <w:t>竞争性谈判文件</w:t>
            </w:r>
            <w:r>
              <w:rPr>
                <w:rFonts w:hint="eastAsia"/>
                <w:color w:val="auto"/>
                <w:highlight w:val="none"/>
              </w:rPr>
              <w:t>条目号</w:t>
            </w:r>
          </w:p>
        </w:tc>
        <w:tc>
          <w:tcPr>
            <w:tcW w:w="2458" w:type="dxa"/>
            <w:noWrap w:val="0"/>
            <w:vAlign w:val="center"/>
          </w:tcPr>
          <w:p>
            <w:pPr>
              <w:spacing w:line="440" w:lineRule="exact"/>
              <w:rPr>
                <w:color w:val="auto"/>
                <w:highlight w:val="none"/>
              </w:rPr>
            </w:pPr>
            <w:r>
              <w:rPr>
                <w:rFonts w:hint="eastAsia"/>
                <w:color w:val="auto"/>
                <w:highlight w:val="none"/>
                <w:lang w:val="en-US" w:eastAsia="zh-CN"/>
              </w:rPr>
              <w:t>竞争性谈判文件</w:t>
            </w:r>
            <w:r>
              <w:rPr>
                <w:rFonts w:hint="eastAsia"/>
                <w:color w:val="auto"/>
                <w:highlight w:val="none"/>
              </w:rPr>
              <w:t>的商务条款</w:t>
            </w:r>
          </w:p>
        </w:tc>
        <w:tc>
          <w:tcPr>
            <w:tcW w:w="2885" w:type="dxa"/>
            <w:noWrap w:val="0"/>
            <w:vAlign w:val="center"/>
          </w:tcPr>
          <w:p>
            <w:pPr>
              <w:spacing w:line="440" w:lineRule="exact"/>
              <w:rPr>
                <w:color w:val="auto"/>
                <w:highlight w:val="none"/>
              </w:rPr>
            </w:pPr>
            <w:r>
              <w:rPr>
                <w:rFonts w:hint="eastAsia"/>
                <w:color w:val="auto"/>
                <w:highlight w:val="none"/>
              </w:rPr>
              <w:t>投标文件的商务条款</w:t>
            </w:r>
          </w:p>
        </w:tc>
        <w:tc>
          <w:tcPr>
            <w:tcW w:w="2018" w:type="dxa"/>
            <w:noWrap w:val="0"/>
            <w:vAlign w:val="center"/>
          </w:tcPr>
          <w:p>
            <w:pPr>
              <w:spacing w:line="440" w:lineRule="exact"/>
              <w:rPr>
                <w:color w:val="auto"/>
                <w:highlight w:val="none"/>
              </w:rPr>
            </w:pPr>
            <w:r>
              <w:rPr>
                <w:rFonts w:hint="eastAsia"/>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color w:val="auto"/>
                <w:highlight w:val="none"/>
              </w:rPr>
            </w:pPr>
            <w:r>
              <w:rPr>
                <w:rFonts w:hint="eastAsia"/>
                <w:color w:val="auto"/>
                <w:highlight w:val="none"/>
              </w:rPr>
              <w:t>1</w:t>
            </w:r>
          </w:p>
        </w:tc>
        <w:tc>
          <w:tcPr>
            <w:tcW w:w="1602" w:type="dxa"/>
            <w:noWrap w:val="0"/>
            <w:vAlign w:val="top"/>
          </w:tcPr>
          <w:p>
            <w:pPr>
              <w:spacing w:line="440" w:lineRule="exact"/>
              <w:jc w:val="center"/>
              <w:rPr>
                <w:color w:val="auto"/>
                <w:highlight w:val="none"/>
              </w:rPr>
            </w:pPr>
          </w:p>
        </w:tc>
        <w:tc>
          <w:tcPr>
            <w:tcW w:w="2458" w:type="dxa"/>
            <w:noWrap w:val="0"/>
            <w:vAlign w:val="top"/>
          </w:tcPr>
          <w:p>
            <w:pPr>
              <w:spacing w:line="440" w:lineRule="exact"/>
              <w:rPr>
                <w:color w:val="auto"/>
                <w:highlight w:val="none"/>
              </w:rPr>
            </w:pPr>
          </w:p>
        </w:tc>
        <w:tc>
          <w:tcPr>
            <w:tcW w:w="2885" w:type="dxa"/>
            <w:noWrap w:val="0"/>
            <w:vAlign w:val="top"/>
          </w:tcPr>
          <w:p>
            <w:pPr>
              <w:spacing w:line="440" w:lineRule="exact"/>
              <w:rPr>
                <w:color w:val="auto"/>
                <w:highlight w:val="none"/>
              </w:rPr>
            </w:pPr>
          </w:p>
        </w:tc>
        <w:tc>
          <w:tcPr>
            <w:tcW w:w="2018" w:type="dxa"/>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color w:val="auto"/>
                <w:highlight w:val="none"/>
              </w:rPr>
            </w:pPr>
            <w:r>
              <w:rPr>
                <w:rFonts w:hint="eastAsia"/>
                <w:color w:val="auto"/>
                <w:highlight w:val="none"/>
              </w:rPr>
              <w:t>2</w:t>
            </w:r>
          </w:p>
        </w:tc>
        <w:tc>
          <w:tcPr>
            <w:tcW w:w="1602" w:type="dxa"/>
            <w:noWrap w:val="0"/>
            <w:vAlign w:val="top"/>
          </w:tcPr>
          <w:p>
            <w:pPr>
              <w:spacing w:line="440" w:lineRule="exact"/>
              <w:rPr>
                <w:color w:val="auto"/>
                <w:highlight w:val="none"/>
              </w:rPr>
            </w:pPr>
          </w:p>
        </w:tc>
        <w:tc>
          <w:tcPr>
            <w:tcW w:w="2458" w:type="dxa"/>
            <w:noWrap w:val="0"/>
            <w:vAlign w:val="top"/>
          </w:tcPr>
          <w:p>
            <w:pPr>
              <w:spacing w:line="440" w:lineRule="exact"/>
              <w:rPr>
                <w:color w:val="auto"/>
                <w:highlight w:val="none"/>
              </w:rPr>
            </w:pPr>
          </w:p>
        </w:tc>
        <w:tc>
          <w:tcPr>
            <w:tcW w:w="2885" w:type="dxa"/>
            <w:noWrap w:val="0"/>
            <w:vAlign w:val="top"/>
          </w:tcPr>
          <w:p>
            <w:pPr>
              <w:spacing w:line="440" w:lineRule="exact"/>
              <w:rPr>
                <w:color w:val="auto"/>
                <w:highlight w:val="none"/>
              </w:rPr>
            </w:pPr>
          </w:p>
        </w:tc>
        <w:tc>
          <w:tcPr>
            <w:tcW w:w="2018" w:type="dxa"/>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color w:val="auto"/>
                <w:highlight w:val="none"/>
              </w:rPr>
            </w:pPr>
            <w:r>
              <w:rPr>
                <w:rFonts w:hint="eastAsia"/>
                <w:color w:val="auto"/>
                <w:highlight w:val="none"/>
              </w:rPr>
              <w:t>3</w:t>
            </w:r>
          </w:p>
        </w:tc>
        <w:tc>
          <w:tcPr>
            <w:tcW w:w="1602" w:type="dxa"/>
            <w:noWrap w:val="0"/>
            <w:vAlign w:val="top"/>
          </w:tcPr>
          <w:p>
            <w:pPr>
              <w:spacing w:line="440" w:lineRule="exact"/>
              <w:rPr>
                <w:color w:val="auto"/>
                <w:highlight w:val="none"/>
              </w:rPr>
            </w:pPr>
          </w:p>
        </w:tc>
        <w:tc>
          <w:tcPr>
            <w:tcW w:w="2458" w:type="dxa"/>
            <w:noWrap w:val="0"/>
            <w:vAlign w:val="center"/>
          </w:tcPr>
          <w:p>
            <w:pPr>
              <w:spacing w:line="440" w:lineRule="exact"/>
              <w:rPr>
                <w:color w:val="auto"/>
                <w:highlight w:val="none"/>
              </w:rPr>
            </w:pPr>
          </w:p>
        </w:tc>
        <w:tc>
          <w:tcPr>
            <w:tcW w:w="2885" w:type="dxa"/>
            <w:noWrap w:val="0"/>
            <w:vAlign w:val="top"/>
          </w:tcPr>
          <w:p>
            <w:pPr>
              <w:spacing w:line="440" w:lineRule="exact"/>
              <w:rPr>
                <w:color w:val="auto"/>
                <w:highlight w:val="none"/>
              </w:rPr>
            </w:pPr>
          </w:p>
        </w:tc>
        <w:tc>
          <w:tcPr>
            <w:tcW w:w="2018" w:type="dxa"/>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color w:val="auto"/>
                <w:highlight w:val="none"/>
              </w:rPr>
            </w:pPr>
            <w:r>
              <w:rPr>
                <w:rFonts w:hint="eastAsia"/>
                <w:color w:val="auto"/>
                <w:highlight w:val="none"/>
              </w:rPr>
              <w:t>4</w:t>
            </w:r>
          </w:p>
        </w:tc>
        <w:tc>
          <w:tcPr>
            <w:tcW w:w="1602" w:type="dxa"/>
            <w:noWrap w:val="0"/>
            <w:vAlign w:val="top"/>
          </w:tcPr>
          <w:p>
            <w:pPr>
              <w:spacing w:line="440" w:lineRule="exact"/>
              <w:rPr>
                <w:color w:val="auto"/>
                <w:highlight w:val="none"/>
              </w:rPr>
            </w:pPr>
          </w:p>
        </w:tc>
        <w:tc>
          <w:tcPr>
            <w:tcW w:w="2458" w:type="dxa"/>
            <w:noWrap w:val="0"/>
            <w:vAlign w:val="center"/>
          </w:tcPr>
          <w:p>
            <w:pPr>
              <w:pStyle w:val="64"/>
              <w:spacing w:line="440" w:lineRule="exact"/>
              <w:rPr>
                <w:rFonts w:cs="Times New Roman"/>
                <w:color w:val="auto"/>
                <w:kern w:val="2"/>
                <w:highlight w:val="none"/>
              </w:rPr>
            </w:pPr>
          </w:p>
        </w:tc>
        <w:tc>
          <w:tcPr>
            <w:tcW w:w="2885" w:type="dxa"/>
            <w:noWrap w:val="0"/>
            <w:vAlign w:val="top"/>
          </w:tcPr>
          <w:p>
            <w:pPr>
              <w:spacing w:line="440" w:lineRule="exact"/>
              <w:rPr>
                <w:color w:val="auto"/>
                <w:highlight w:val="none"/>
              </w:rPr>
            </w:pPr>
          </w:p>
        </w:tc>
        <w:tc>
          <w:tcPr>
            <w:tcW w:w="2018" w:type="dxa"/>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color w:val="auto"/>
                <w:highlight w:val="none"/>
              </w:rPr>
            </w:pPr>
            <w:r>
              <w:rPr>
                <w:rFonts w:hint="eastAsia"/>
                <w:color w:val="auto"/>
                <w:highlight w:val="none"/>
              </w:rPr>
              <w:t>5</w:t>
            </w:r>
          </w:p>
        </w:tc>
        <w:tc>
          <w:tcPr>
            <w:tcW w:w="1602" w:type="dxa"/>
            <w:noWrap w:val="0"/>
            <w:vAlign w:val="top"/>
          </w:tcPr>
          <w:p>
            <w:pPr>
              <w:spacing w:line="440" w:lineRule="exact"/>
              <w:rPr>
                <w:color w:val="auto"/>
                <w:highlight w:val="none"/>
              </w:rPr>
            </w:pPr>
          </w:p>
        </w:tc>
        <w:tc>
          <w:tcPr>
            <w:tcW w:w="2458" w:type="dxa"/>
            <w:noWrap w:val="0"/>
            <w:vAlign w:val="top"/>
          </w:tcPr>
          <w:p>
            <w:pPr>
              <w:spacing w:line="440" w:lineRule="exact"/>
              <w:rPr>
                <w:color w:val="auto"/>
                <w:highlight w:val="none"/>
              </w:rPr>
            </w:pPr>
          </w:p>
        </w:tc>
        <w:tc>
          <w:tcPr>
            <w:tcW w:w="2885" w:type="dxa"/>
            <w:noWrap w:val="0"/>
            <w:vAlign w:val="top"/>
          </w:tcPr>
          <w:p>
            <w:pPr>
              <w:spacing w:line="440" w:lineRule="exact"/>
              <w:rPr>
                <w:color w:val="auto"/>
                <w:highlight w:val="none"/>
              </w:rPr>
            </w:pPr>
          </w:p>
        </w:tc>
        <w:tc>
          <w:tcPr>
            <w:tcW w:w="2018" w:type="dxa"/>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color w:val="auto"/>
                <w:highlight w:val="none"/>
              </w:rPr>
            </w:pPr>
            <w:r>
              <w:rPr>
                <w:color w:val="auto"/>
                <w:highlight w:val="none"/>
              </w:rPr>
              <w:t>…</w:t>
            </w:r>
          </w:p>
        </w:tc>
        <w:tc>
          <w:tcPr>
            <w:tcW w:w="1602" w:type="dxa"/>
            <w:noWrap w:val="0"/>
            <w:vAlign w:val="top"/>
          </w:tcPr>
          <w:p>
            <w:pPr>
              <w:spacing w:line="440" w:lineRule="exact"/>
              <w:rPr>
                <w:color w:val="auto"/>
                <w:highlight w:val="none"/>
              </w:rPr>
            </w:pPr>
          </w:p>
        </w:tc>
        <w:tc>
          <w:tcPr>
            <w:tcW w:w="2458" w:type="dxa"/>
            <w:noWrap w:val="0"/>
            <w:vAlign w:val="top"/>
          </w:tcPr>
          <w:p>
            <w:pPr>
              <w:spacing w:line="440" w:lineRule="exact"/>
              <w:rPr>
                <w:color w:val="auto"/>
                <w:highlight w:val="none"/>
              </w:rPr>
            </w:pPr>
          </w:p>
        </w:tc>
        <w:tc>
          <w:tcPr>
            <w:tcW w:w="2885" w:type="dxa"/>
            <w:noWrap w:val="0"/>
            <w:vAlign w:val="top"/>
          </w:tcPr>
          <w:p>
            <w:pPr>
              <w:spacing w:line="440" w:lineRule="exact"/>
              <w:rPr>
                <w:color w:val="auto"/>
                <w:highlight w:val="none"/>
              </w:rPr>
            </w:pPr>
          </w:p>
        </w:tc>
        <w:tc>
          <w:tcPr>
            <w:tcW w:w="2018" w:type="dxa"/>
            <w:noWrap w:val="0"/>
            <w:vAlign w:val="top"/>
          </w:tcPr>
          <w:p>
            <w:pPr>
              <w:spacing w:line="440" w:lineRule="exact"/>
              <w:rPr>
                <w:color w:val="auto"/>
                <w:highlight w:val="none"/>
              </w:rPr>
            </w:pPr>
          </w:p>
        </w:tc>
      </w:tr>
    </w:tbl>
    <w:p>
      <w:pPr>
        <w:spacing w:line="440" w:lineRule="exact"/>
        <w:rPr>
          <w:color w:val="auto"/>
          <w:highlight w:val="none"/>
        </w:rPr>
      </w:pPr>
      <w:r>
        <w:rPr>
          <w:rFonts w:hint="eastAsia"/>
          <w:color w:val="auto"/>
          <w:highlight w:val="none"/>
        </w:rPr>
        <w:t>投标人代表签字：</w:t>
      </w:r>
    </w:p>
    <w:p>
      <w:pPr>
        <w:spacing w:line="440" w:lineRule="exact"/>
        <w:rPr>
          <w:color w:val="auto"/>
          <w:highlight w:val="none"/>
        </w:rPr>
      </w:pPr>
      <w:r>
        <w:rPr>
          <w:rFonts w:hint="eastAsia"/>
          <w:color w:val="auto"/>
          <w:highlight w:val="none"/>
        </w:rPr>
        <w:t>日期：</w:t>
      </w:r>
      <w:r>
        <w:rPr>
          <w:color w:val="auto"/>
          <w:highlight w:val="none"/>
        </w:rPr>
        <w:t>20</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　</w:t>
      </w:r>
    </w:p>
    <w:p>
      <w:pPr>
        <w:spacing w:line="440" w:lineRule="exact"/>
        <w:jc w:val="center"/>
        <w:rPr>
          <w:b/>
          <w:color w:val="auto"/>
          <w:sz w:val="30"/>
          <w:szCs w:val="30"/>
          <w:highlight w:val="none"/>
        </w:rPr>
      </w:pPr>
      <w:r>
        <w:rPr>
          <w:color w:val="auto"/>
          <w:highlight w:val="none"/>
        </w:rPr>
        <w:br w:type="page"/>
      </w:r>
    </w:p>
    <w:p>
      <w:pPr>
        <w:spacing w:line="440" w:lineRule="exact"/>
        <w:ind w:firstLine="590" w:firstLineChars="196"/>
        <w:jc w:val="center"/>
        <w:rPr>
          <w:b/>
          <w:color w:val="auto"/>
          <w:sz w:val="32"/>
          <w:szCs w:val="32"/>
          <w:highlight w:val="none"/>
        </w:rPr>
      </w:pPr>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5</w:t>
      </w:r>
      <w:r>
        <w:rPr>
          <w:rFonts w:hint="eastAsia"/>
          <w:b/>
          <w:color w:val="auto"/>
          <w:sz w:val="30"/>
          <w:szCs w:val="30"/>
          <w:highlight w:val="none"/>
        </w:rPr>
        <w:t xml:space="preserve">  </w:t>
      </w:r>
      <w:r>
        <w:rPr>
          <w:rFonts w:hint="eastAsia"/>
          <w:b/>
          <w:color w:val="auto"/>
          <w:sz w:val="32"/>
          <w:szCs w:val="32"/>
          <w:highlight w:val="none"/>
        </w:rPr>
        <w:t>节能、环境标志产品优惠明细表</w:t>
      </w:r>
    </w:p>
    <w:p>
      <w:pPr>
        <w:spacing w:line="440" w:lineRule="exact"/>
        <w:jc w:val="center"/>
        <w:rPr>
          <w:b/>
          <w:color w:val="auto"/>
          <w:highlight w:val="none"/>
        </w:rPr>
      </w:pPr>
      <w:r>
        <w:rPr>
          <w:b/>
          <w:color w:val="auto"/>
          <w:highlight w:val="none"/>
        </w:rPr>
        <w:t>(</w:t>
      </w:r>
      <w:r>
        <w:rPr>
          <w:rFonts w:hint="eastAsia"/>
          <w:b/>
          <w:color w:val="auto"/>
          <w:highlight w:val="none"/>
        </w:rPr>
        <w:t>若有，请如实填写</w:t>
      </w:r>
      <w:r>
        <w:rPr>
          <w:b/>
          <w:color w:val="auto"/>
          <w:highlight w:val="none"/>
        </w:rPr>
        <w:t>)</w:t>
      </w:r>
    </w:p>
    <w:p>
      <w:pPr>
        <w:spacing w:line="440" w:lineRule="exact"/>
        <w:ind w:firstLine="105" w:firstLineChars="50"/>
        <w:rPr>
          <w:color w:val="auto"/>
          <w:highlight w:val="none"/>
          <w:u w:val="single"/>
        </w:rPr>
      </w:pPr>
      <w:r>
        <w:rPr>
          <w:rFonts w:hint="eastAsia"/>
          <w:color w:val="auto"/>
          <w:highlight w:val="none"/>
        </w:rPr>
        <w:t>投标人名称（公章）：</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w:t>
      </w:r>
    </w:p>
    <w:p>
      <w:pPr>
        <w:spacing w:line="440" w:lineRule="exact"/>
        <w:ind w:firstLine="105" w:firstLineChars="50"/>
        <w:rPr>
          <w:color w:val="auto"/>
          <w:highlight w:val="none"/>
        </w:rPr>
      </w:pPr>
      <w:r>
        <w:rPr>
          <w:rFonts w:hint="eastAsia"/>
          <w:color w:val="auto"/>
          <w:highlight w:val="none"/>
        </w:rPr>
        <w:t>所投内容/分包：</w:t>
      </w:r>
      <w:r>
        <w:rPr>
          <w:rFonts w:hint="eastAsia"/>
          <w:color w:val="auto"/>
          <w:highlight w:val="none"/>
          <w:u w:val="single"/>
        </w:rPr>
        <w:t xml:space="preserve">　　　　           </w:t>
      </w:r>
      <w:r>
        <w:rPr>
          <w:rFonts w:hint="eastAsia"/>
          <w:color w:val="auto"/>
          <w:highlight w:val="none"/>
        </w:rPr>
        <w:t>　</w:t>
      </w:r>
    </w:p>
    <w:p>
      <w:pPr>
        <w:spacing w:line="440" w:lineRule="exact"/>
        <w:rPr>
          <w:color w:val="auto"/>
          <w:highlight w:val="none"/>
        </w:rPr>
      </w:pPr>
      <w:r>
        <w:rPr>
          <w:rFonts w:hint="eastAsia"/>
          <w:color w:val="auto"/>
          <w:highlight w:val="none"/>
        </w:rPr>
        <w:t>（</w:t>
      </w:r>
      <w:r>
        <w:rPr>
          <w:color w:val="auto"/>
          <w:highlight w:val="none"/>
        </w:rPr>
        <w:t>1</w:t>
      </w:r>
      <w:r>
        <w:rPr>
          <w:rFonts w:hint="eastAsia"/>
          <w:color w:val="auto"/>
          <w:highlight w:val="none"/>
        </w:rPr>
        <w:t>）节能产品明细清单</w:t>
      </w:r>
      <w:r>
        <w:rPr>
          <w:color w:val="auto"/>
          <w:highlight w:val="none"/>
        </w:rPr>
        <w:t xml:space="preserve">                        </w:t>
      </w:r>
      <w:r>
        <w:rPr>
          <w:rFonts w:hint="eastAsia"/>
          <w:color w:val="auto"/>
          <w:highlight w:val="none"/>
        </w:rPr>
        <w:t>报价货币种类</w:t>
      </w:r>
      <w:r>
        <w:rPr>
          <w:color w:val="auto"/>
          <w:highlight w:val="none"/>
          <w:u w:val="single"/>
        </w:rPr>
        <w:t xml:space="preserve">      </w:t>
      </w:r>
      <w:r>
        <w:rPr>
          <w:rFonts w:hint="eastAsia"/>
          <w:color w:val="auto"/>
          <w:highlight w:val="none"/>
        </w:rPr>
        <w:t>金额单位：元</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562"/>
        <w:gridCol w:w="1767"/>
        <w:gridCol w:w="1166"/>
        <w:gridCol w:w="1827"/>
        <w:gridCol w:w="776"/>
        <w:gridCol w:w="672"/>
        <w:gridCol w:w="81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noWrap w:val="0"/>
            <w:vAlign w:val="center"/>
          </w:tcPr>
          <w:p>
            <w:pPr>
              <w:spacing w:line="440" w:lineRule="exact"/>
              <w:jc w:val="center"/>
              <w:rPr>
                <w:color w:val="auto"/>
                <w:highlight w:val="none"/>
              </w:rPr>
            </w:pPr>
            <w:r>
              <w:rPr>
                <w:rFonts w:hint="eastAsia"/>
                <w:color w:val="auto"/>
                <w:highlight w:val="none"/>
              </w:rPr>
              <w:t>制造商</w:t>
            </w:r>
          </w:p>
        </w:tc>
        <w:tc>
          <w:tcPr>
            <w:tcW w:w="330" w:type="pct"/>
            <w:noWrap w:val="0"/>
            <w:vAlign w:val="center"/>
          </w:tcPr>
          <w:p>
            <w:pPr>
              <w:spacing w:line="440" w:lineRule="exact"/>
              <w:jc w:val="center"/>
              <w:rPr>
                <w:color w:val="auto"/>
                <w:highlight w:val="none"/>
              </w:rPr>
            </w:pPr>
            <w:r>
              <w:rPr>
                <w:rFonts w:hint="eastAsia"/>
                <w:color w:val="auto"/>
                <w:highlight w:val="none"/>
              </w:rPr>
              <w:t>品牌</w:t>
            </w:r>
          </w:p>
        </w:tc>
        <w:tc>
          <w:tcPr>
            <w:tcW w:w="1037" w:type="pct"/>
            <w:noWrap w:val="0"/>
            <w:vAlign w:val="center"/>
          </w:tcPr>
          <w:p>
            <w:pPr>
              <w:spacing w:line="440" w:lineRule="exact"/>
              <w:jc w:val="center"/>
              <w:rPr>
                <w:color w:val="auto"/>
                <w:highlight w:val="none"/>
              </w:rPr>
            </w:pPr>
            <w:r>
              <w:rPr>
                <w:rFonts w:hint="eastAsia"/>
                <w:color w:val="auto"/>
                <w:highlight w:val="none"/>
              </w:rPr>
              <w:t>产品名称、规格型号</w:t>
            </w:r>
          </w:p>
        </w:tc>
        <w:tc>
          <w:tcPr>
            <w:tcW w:w="684" w:type="pct"/>
            <w:noWrap w:val="0"/>
            <w:vAlign w:val="center"/>
          </w:tcPr>
          <w:p>
            <w:pPr>
              <w:spacing w:line="440" w:lineRule="exact"/>
              <w:jc w:val="center"/>
              <w:rPr>
                <w:color w:val="auto"/>
                <w:highlight w:val="none"/>
              </w:rPr>
            </w:pPr>
            <w:r>
              <w:rPr>
                <w:rFonts w:hint="eastAsia"/>
                <w:color w:val="auto"/>
                <w:highlight w:val="none"/>
              </w:rPr>
              <w:t>节字标志认证证书号</w:t>
            </w:r>
          </w:p>
        </w:tc>
        <w:tc>
          <w:tcPr>
            <w:tcW w:w="1072" w:type="pct"/>
            <w:noWrap w:val="0"/>
            <w:vAlign w:val="center"/>
          </w:tcPr>
          <w:p>
            <w:pPr>
              <w:spacing w:line="440" w:lineRule="exact"/>
              <w:jc w:val="center"/>
              <w:rPr>
                <w:color w:val="auto"/>
                <w:highlight w:val="none"/>
              </w:rPr>
            </w:pPr>
            <w:r>
              <w:rPr>
                <w:rFonts w:hint="eastAsia"/>
                <w:color w:val="auto"/>
                <w:highlight w:val="none"/>
              </w:rPr>
              <w:t>节能产品认证证书有效截止日期</w:t>
            </w:r>
          </w:p>
        </w:tc>
        <w:tc>
          <w:tcPr>
            <w:tcW w:w="455" w:type="pct"/>
            <w:noWrap w:val="0"/>
            <w:vAlign w:val="center"/>
          </w:tcPr>
          <w:p>
            <w:pPr>
              <w:spacing w:line="440" w:lineRule="exact"/>
              <w:jc w:val="center"/>
              <w:rPr>
                <w:color w:val="auto"/>
                <w:highlight w:val="none"/>
              </w:rPr>
            </w:pPr>
            <w:r>
              <w:rPr>
                <w:rFonts w:hint="eastAsia"/>
                <w:color w:val="auto"/>
                <w:highlight w:val="none"/>
              </w:rPr>
              <w:t>单位</w:t>
            </w:r>
          </w:p>
        </w:tc>
        <w:tc>
          <w:tcPr>
            <w:tcW w:w="394" w:type="pct"/>
            <w:noWrap w:val="0"/>
            <w:vAlign w:val="center"/>
          </w:tcPr>
          <w:p>
            <w:pPr>
              <w:spacing w:line="440" w:lineRule="exact"/>
              <w:jc w:val="center"/>
              <w:rPr>
                <w:color w:val="auto"/>
                <w:highlight w:val="none"/>
              </w:rPr>
            </w:pPr>
            <w:r>
              <w:rPr>
                <w:rFonts w:hint="eastAsia"/>
                <w:color w:val="auto"/>
                <w:highlight w:val="none"/>
              </w:rPr>
              <w:t>数量</w:t>
            </w:r>
          </w:p>
        </w:tc>
        <w:tc>
          <w:tcPr>
            <w:tcW w:w="480" w:type="pct"/>
            <w:gridSpan w:val="2"/>
            <w:noWrap w:val="0"/>
            <w:vAlign w:val="center"/>
          </w:tcPr>
          <w:p>
            <w:pPr>
              <w:spacing w:line="440" w:lineRule="exact"/>
              <w:jc w:val="center"/>
              <w:rPr>
                <w:color w:val="auto"/>
                <w:highlight w:val="none"/>
              </w:rPr>
            </w:pPr>
            <w:r>
              <w:rPr>
                <w:rFonts w:hint="eastAsia"/>
                <w:color w:val="auto"/>
                <w:highlight w:val="none"/>
              </w:rPr>
              <w:t>+</w:t>
            </w:r>
          </w:p>
          <w:p>
            <w:pPr>
              <w:spacing w:line="440" w:lineRule="exact"/>
              <w:jc w:val="center"/>
              <w:rPr>
                <w:color w:val="auto"/>
                <w:highlight w:val="none"/>
              </w:rPr>
            </w:pPr>
          </w:p>
          <w:p>
            <w:pPr>
              <w:spacing w:line="440" w:lineRule="exact"/>
              <w:jc w:val="center"/>
              <w:rPr>
                <w:color w:val="auto"/>
                <w:highlight w:val="none"/>
              </w:rPr>
            </w:pPr>
            <w:r>
              <w:rPr>
                <w:rFonts w:hint="eastAsia"/>
                <w:color w:val="auto"/>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color w:val="auto"/>
                <w:highlight w:val="none"/>
              </w:rPr>
            </w:pPr>
          </w:p>
        </w:tc>
        <w:tc>
          <w:tcPr>
            <w:tcW w:w="330" w:type="pct"/>
            <w:noWrap w:val="0"/>
            <w:vAlign w:val="center"/>
          </w:tcPr>
          <w:p>
            <w:pPr>
              <w:spacing w:line="440" w:lineRule="exact"/>
              <w:jc w:val="center"/>
              <w:rPr>
                <w:color w:val="auto"/>
                <w:highlight w:val="none"/>
              </w:rPr>
            </w:pPr>
          </w:p>
        </w:tc>
        <w:tc>
          <w:tcPr>
            <w:tcW w:w="1037" w:type="pct"/>
            <w:noWrap w:val="0"/>
            <w:vAlign w:val="center"/>
          </w:tcPr>
          <w:p>
            <w:pPr>
              <w:spacing w:line="440" w:lineRule="exact"/>
              <w:jc w:val="center"/>
              <w:rPr>
                <w:color w:val="auto"/>
                <w:highlight w:val="none"/>
              </w:rPr>
            </w:pPr>
          </w:p>
        </w:tc>
        <w:tc>
          <w:tcPr>
            <w:tcW w:w="684" w:type="pct"/>
            <w:noWrap w:val="0"/>
            <w:vAlign w:val="center"/>
          </w:tcPr>
          <w:p>
            <w:pPr>
              <w:spacing w:line="440" w:lineRule="exact"/>
              <w:jc w:val="center"/>
              <w:rPr>
                <w:color w:val="auto"/>
                <w:highlight w:val="none"/>
              </w:rPr>
            </w:pPr>
          </w:p>
        </w:tc>
        <w:tc>
          <w:tcPr>
            <w:tcW w:w="1072" w:type="pct"/>
            <w:noWrap w:val="0"/>
            <w:vAlign w:val="center"/>
          </w:tcPr>
          <w:p>
            <w:pPr>
              <w:spacing w:line="440" w:lineRule="exact"/>
              <w:jc w:val="center"/>
              <w:rPr>
                <w:color w:val="auto"/>
                <w:highlight w:val="none"/>
              </w:rPr>
            </w:pPr>
          </w:p>
        </w:tc>
        <w:tc>
          <w:tcPr>
            <w:tcW w:w="455" w:type="pct"/>
            <w:noWrap w:val="0"/>
            <w:vAlign w:val="center"/>
          </w:tcPr>
          <w:p>
            <w:pPr>
              <w:spacing w:line="440" w:lineRule="exact"/>
              <w:jc w:val="center"/>
              <w:rPr>
                <w:color w:val="auto"/>
                <w:highlight w:val="none"/>
              </w:rPr>
            </w:pPr>
          </w:p>
        </w:tc>
        <w:tc>
          <w:tcPr>
            <w:tcW w:w="394" w:type="pct"/>
            <w:noWrap w:val="0"/>
            <w:vAlign w:val="center"/>
          </w:tcPr>
          <w:p>
            <w:pPr>
              <w:spacing w:line="440" w:lineRule="exact"/>
              <w:jc w:val="center"/>
              <w:rPr>
                <w:color w:val="auto"/>
                <w:highlight w:val="none"/>
              </w:rPr>
            </w:pPr>
          </w:p>
        </w:tc>
        <w:tc>
          <w:tcPr>
            <w:tcW w:w="480" w:type="pct"/>
            <w:gridSpan w:val="2"/>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color w:val="auto"/>
                <w:highlight w:val="none"/>
              </w:rPr>
            </w:pPr>
          </w:p>
        </w:tc>
        <w:tc>
          <w:tcPr>
            <w:tcW w:w="330" w:type="pct"/>
            <w:noWrap w:val="0"/>
            <w:vAlign w:val="center"/>
          </w:tcPr>
          <w:p>
            <w:pPr>
              <w:spacing w:line="440" w:lineRule="exact"/>
              <w:jc w:val="center"/>
              <w:rPr>
                <w:color w:val="auto"/>
                <w:highlight w:val="none"/>
              </w:rPr>
            </w:pPr>
          </w:p>
        </w:tc>
        <w:tc>
          <w:tcPr>
            <w:tcW w:w="1037" w:type="pct"/>
            <w:noWrap w:val="0"/>
            <w:vAlign w:val="center"/>
          </w:tcPr>
          <w:p>
            <w:pPr>
              <w:spacing w:line="440" w:lineRule="exact"/>
              <w:jc w:val="center"/>
              <w:rPr>
                <w:color w:val="auto"/>
                <w:highlight w:val="none"/>
              </w:rPr>
            </w:pPr>
          </w:p>
        </w:tc>
        <w:tc>
          <w:tcPr>
            <w:tcW w:w="684" w:type="pct"/>
            <w:noWrap w:val="0"/>
            <w:vAlign w:val="center"/>
          </w:tcPr>
          <w:p>
            <w:pPr>
              <w:spacing w:line="440" w:lineRule="exact"/>
              <w:jc w:val="center"/>
              <w:rPr>
                <w:color w:val="auto"/>
                <w:highlight w:val="none"/>
              </w:rPr>
            </w:pPr>
          </w:p>
        </w:tc>
        <w:tc>
          <w:tcPr>
            <w:tcW w:w="1072" w:type="pct"/>
            <w:noWrap w:val="0"/>
            <w:vAlign w:val="center"/>
          </w:tcPr>
          <w:p>
            <w:pPr>
              <w:spacing w:line="440" w:lineRule="exact"/>
              <w:jc w:val="center"/>
              <w:rPr>
                <w:color w:val="auto"/>
                <w:highlight w:val="none"/>
              </w:rPr>
            </w:pPr>
          </w:p>
        </w:tc>
        <w:tc>
          <w:tcPr>
            <w:tcW w:w="455" w:type="pct"/>
            <w:noWrap w:val="0"/>
            <w:vAlign w:val="center"/>
          </w:tcPr>
          <w:p>
            <w:pPr>
              <w:spacing w:line="440" w:lineRule="exact"/>
              <w:jc w:val="center"/>
              <w:rPr>
                <w:color w:val="auto"/>
                <w:highlight w:val="none"/>
              </w:rPr>
            </w:pPr>
          </w:p>
        </w:tc>
        <w:tc>
          <w:tcPr>
            <w:tcW w:w="394" w:type="pct"/>
            <w:noWrap w:val="0"/>
            <w:vAlign w:val="center"/>
          </w:tcPr>
          <w:p>
            <w:pPr>
              <w:spacing w:line="440" w:lineRule="exact"/>
              <w:jc w:val="center"/>
              <w:rPr>
                <w:color w:val="auto"/>
                <w:highlight w:val="none"/>
              </w:rPr>
            </w:pPr>
          </w:p>
        </w:tc>
        <w:tc>
          <w:tcPr>
            <w:tcW w:w="480" w:type="pct"/>
            <w:gridSpan w:val="2"/>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noWrap w:val="0"/>
            <w:vAlign w:val="center"/>
          </w:tcPr>
          <w:p>
            <w:pPr>
              <w:spacing w:line="440" w:lineRule="exact"/>
              <w:rPr>
                <w:color w:val="auto"/>
                <w:highlight w:val="none"/>
              </w:rPr>
            </w:pPr>
            <w:r>
              <w:rPr>
                <w:rFonts w:hint="eastAsia"/>
                <w:color w:val="auto"/>
                <w:highlight w:val="none"/>
              </w:rPr>
              <w:t>合计金额</w:t>
            </w:r>
          </w:p>
        </w:tc>
        <w:tc>
          <w:tcPr>
            <w:tcW w:w="1325" w:type="pct"/>
            <w:gridSpan w:val="3"/>
            <w:noWrap w:val="0"/>
            <w:vAlign w:val="center"/>
          </w:tcPr>
          <w:p>
            <w:pPr>
              <w:spacing w:line="440" w:lineRule="exact"/>
              <w:rPr>
                <w:color w:val="auto"/>
                <w:highlight w:val="none"/>
              </w:rPr>
            </w:pPr>
          </w:p>
        </w:tc>
      </w:tr>
    </w:tbl>
    <w:p>
      <w:pPr>
        <w:spacing w:line="440" w:lineRule="exact"/>
        <w:rPr>
          <w:color w:val="auto"/>
          <w:highlight w:val="none"/>
        </w:rPr>
      </w:pPr>
    </w:p>
    <w:p>
      <w:pPr>
        <w:spacing w:line="440" w:lineRule="exact"/>
        <w:rPr>
          <w:color w:val="auto"/>
          <w:highlight w:val="none"/>
        </w:rPr>
      </w:pPr>
      <w:r>
        <w:rPr>
          <w:rFonts w:hint="eastAsia"/>
          <w:color w:val="auto"/>
          <w:highlight w:val="none"/>
        </w:rPr>
        <w:t>（</w:t>
      </w:r>
      <w:r>
        <w:rPr>
          <w:color w:val="auto"/>
          <w:highlight w:val="none"/>
        </w:rPr>
        <w:t>2</w:t>
      </w:r>
      <w:r>
        <w:rPr>
          <w:rFonts w:hint="eastAsia"/>
          <w:color w:val="auto"/>
          <w:highlight w:val="none"/>
        </w:rPr>
        <w:t>）环保产品明细清单</w:t>
      </w:r>
      <w:r>
        <w:rPr>
          <w:color w:val="auto"/>
          <w:highlight w:val="none"/>
        </w:rPr>
        <w:t xml:space="preserve">                    </w:t>
      </w:r>
      <w:r>
        <w:rPr>
          <w:rFonts w:hint="eastAsia"/>
          <w:color w:val="auto"/>
          <w:highlight w:val="none"/>
        </w:rPr>
        <w:t>报价货币种类</w:t>
      </w:r>
      <w:r>
        <w:rPr>
          <w:color w:val="auto"/>
          <w:highlight w:val="none"/>
          <w:u w:val="single"/>
        </w:rPr>
        <w:t xml:space="preserve">      </w:t>
      </w:r>
      <w:r>
        <w:rPr>
          <w:rFonts w:hint="eastAsia"/>
          <w:color w:val="auto"/>
          <w:highlight w:val="none"/>
        </w:rPr>
        <w:t>金额单位：元</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915"/>
        <w:gridCol w:w="1239"/>
        <w:gridCol w:w="1600"/>
        <w:gridCol w:w="1602"/>
        <w:gridCol w:w="648"/>
        <w:gridCol w:w="72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noWrap w:val="0"/>
            <w:vAlign w:val="center"/>
          </w:tcPr>
          <w:p>
            <w:pPr>
              <w:spacing w:line="440" w:lineRule="exact"/>
              <w:jc w:val="center"/>
              <w:rPr>
                <w:color w:val="auto"/>
                <w:highlight w:val="none"/>
              </w:rPr>
            </w:pPr>
            <w:r>
              <w:rPr>
                <w:rFonts w:hint="eastAsia"/>
                <w:color w:val="auto"/>
                <w:highlight w:val="none"/>
              </w:rPr>
              <w:t>制造商</w:t>
            </w:r>
          </w:p>
        </w:tc>
        <w:tc>
          <w:tcPr>
            <w:tcW w:w="537" w:type="pct"/>
            <w:noWrap w:val="0"/>
            <w:vAlign w:val="center"/>
          </w:tcPr>
          <w:p>
            <w:pPr>
              <w:spacing w:line="440" w:lineRule="exact"/>
              <w:jc w:val="center"/>
              <w:rPr>
                <w:color w:val="auto"/>
                <w:highlight w:val="none"/>
              </w:rPr>
            </w:pPr>
            <w:r>
              <w:rPr>
                <w:rFonts w:hint="eastAsia"/>
                <w:color w:val="auto"/>
                <w:highlight w:val="none"/>
              </w:rPr>
              <w:t>品牌</w:t>
            </w:r>
          </w:p>
        </w:tc>
        <w:tc>
          <w:tcPr>
            <w:tcW w:w="727" w:type="pct"/>
            <w:noWrap w:val="0"/>
            <w:vAlign w:val="center"/>
          </w:tcPr>
          <w:p>
            <w:pPr>
              <w:spacing w:line="440" w:lineRule="exact"/>
              <w:jc w:val="center"/>
              <w:rPr>
                <w:color w:val="auto"/>
                <w:highlight w:val="none"/>
              </w:rPr>
            </w:pPr>
            <w:r>
              <w:rPr>
                <w:rFonts w:hint="eastAsia"/>
                <w:color w:val="auto"/>
                <w:highlight w:val="none"/>
              </w:rPr>
              <w:t>产品名称、规格型号</w:t>
            </w:r>
          </w:p>
        </w:tc>
        <w:tc>
          <w:tcPr>
            <w:tcW w:w="939" w:type="pct"/>
            <w:noWrap w:val="0"/>
            <w:vAlign w:val="center"/>
          </w:tcPr>
          <w:p>
            <w:pPr>
              <w:spacing w:line="440" w:lineRule="exact"/>
              <w:jc w:val="center"/>
              <w:rPr>
                <w:color w:val="auto"/>
                <w:highlight w:val="none"/>
              </w:rPr>
            </w:pPr>
            <w:r>
              <w:rPr>
                <w:rFonts w:hint="eastAsia"/>
                <w:color w:val="auto"/>
                <w:highlight w:val="none"/>
              </w:rPr>
              <w:t>中国环境标志认证证书编号</w:t>
            </w:r>
          </w:p>
        </w:tc>
        <w:tc>
          <w:tcPr>
            <w:tcW w:w="940" w:type="pct"/>
            <w:noWrap w:val="0"/>
            <w:vAlign w:val="center"/>
          </w:tcPr>
          <w:p>
            <w:pPr>
              <w:spacing w:line="440" w:lineRule="exact"/>
              <w:jc w:val="center"/>
              <w:rPr>
                <w:color w:val="auto"/>
                <w:highlight w:val="none"/>
              </w:rPr>
            </w:pPr>
            <w:r>
              <w:rPr>
                <w:rFonts w:hint="eastAsia"/>
                <w:color w:val="auto"/>
                <w:highlight w:val="none"/>
              </w:rPr>
              <w:t>认证证书有效截止日期</w:t>
            </w:r>
          </w:p>
        </w:tc>
        <w:tc>
          <w:tcPr>
            <w:tcW w:w="380" w:type="pct"/>
            <w:noWrap w:val="0"/>
            <w:vAlign w:val="center"/>
          </w:tcPr>
          <w:p>
            <w:pPr>
              <w:spacing w:line="440" w:lineRule="exact"/>
              <w:jc w:val="center"/>
              <w:rPr>
                <w:color w:val="auto"/>
                <w:highlight w:val="none"/>
              </w:rPr>
            </w:pPr>
            <w:r>
              <w:rPr>
                <w:rFonts w:hint="eastAsia"/>
                <w:color w:val="auto"/>
                <w:highlight w:val="none"/>
              </w:rPr>
              <w:t>单位</w:t>
            </w:r>
          </w:p>
        </w:tc>
        <w:tc>
          <w:tcPr>
            <w:tcW w:w="426" w:type="pct"/>
            <w:noWrap w:val="0"/>
            <w:vAlign w:val="center"/>
          </w:tcPr>
          <w:p>
            <w:pPr>
              <w:spacing w:line="440" w:lineRule="exact"/>
              <w:jc w:val="center"/>
              <w:rPr>
                <w:color w:val="auto"/>
                <w:highlight w:val="none"/>
              </w:rPr>
            </w:pPr>
            <w:r>
              <w:rPr>
                <w:rFonts w:hint="eastAsia"/>
                <w:color w:val="auto"/>
                <w:highlight w:val="none"/>
              </w:rPr>
              <w:t>数量</w:t>
            </w:r>
          </w:p>
        </w:tc>
        <w:tc>
          <w:tcPr>
            <w:tcW w:w="515" w:type="pct"/>
            <w:noWrap w:val="0"/>
            <w:vAlign w:val="center"/>
          </w:tcPr>
          <w:p>
            <w:pPr>
              <w:spacing w:line="440" w:lineRule="exact"/>
              <w:jc w:val="center"/>
              <w:rPr>
                <w:color w:val="auto"/>
                <w:highlight w:val="none"/>
              </w:rPr>
            </w:pPr>
            <w:r>
              <w:rPr>
                <w:rFonts w:hint="eastAsia"/>
                <w:color w:val="auto"/>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color w:val="auto"/>
                <w:highlight w:val="none"/>
              </w:rPr>
            </w:pPr>
          </w:p>
        </w:tc>
        <w:tc>
          <w:tcPr>
            <w:tcW w:w="537" w:type="pct"/>
            <w:noWrap w:val="0"/>
            <w:vAlign w:val="center"/>
          </w:tcPr>
          <w:p>
            <w:pPr>
              <w:spacing w:line="440" w:lineRule="exact"/>
              <w:jc w:val="center"/>
              <w:rPr>
                <w:color w:val="auto"/>
                <w:highlight w:val="none"/>
              </w:rPr>
            </w:pPr>
          </w:p>
        </w:tc>
        <w:tc>
          <w:tcPr>
            <w:tcW w:w="727" w:type="pct"/>
            <w:noWrap w:val="0"/>
            <w:vAlign w:val="center"/>
          </w:tcPr>
          <w:p>
            <w:pPr>
              <w:spacing w:line="440" w:lineRule="exact"/>
              <w:jc w:val="center"/>
              <w:rPr>
                <w:color w:val="auto"/>
                <w:highlight w:val="none"/>
              </w:rPr>
            </w:pPr>
          </w:p>
        </w:tc>
        <w:tc>
          <w:tcPr>
            <w:tcW w:w="939" w:type="pct"/>
            <w:noWrap w:val="0"/>
            <w:vAlign w:val="center"/>
          </w:tcPr>
          <w:p>
            <w:pPr>
              <w:spacing w:line="440" w:lineRule="exact"/>
              <w:jc w:val="center"/>
              <w:rPr>
                <w:color w:val="auto"/>
                <w:highlight w:val="none"/>
              </w:rPr>
            </w:pPr>
          </w:p>
        </w:tc>
        <w:tc>
          <w:tcPr>
            <w:tcW w:w="940" w:type="pct"/>
            <w:noWrap w:val="0"/>
            <w:vAlign w:val="center"/>
          </w:tcPr>
          <w:p>
            <w:pPr>
              <w:spacing w:line="440" w:lineRule="exact"/>
              <w:jc w:val="center"/>
              <w:rPr>
                <w:color w:val="auto"/>
                <w:highlight w:val="none"/>
              </w:rPr>
            </w:pPr>
          </w:p>
        </w:tc>
        <w:tc>
          <w:tcPr>
            <w:tcW w:w="380" w:type="pct"/>
            <w:noWrap w:val="0"/>
            <w:vAlign w:val="center"/>
          </w:tcPr>
          <w:p>
            <w:pPr>
              <w:spacing w:line="440" w:lineRule="exact"/>
              <w:jc w:val="center"/>
              <w:rPr>
                <w:color w:val="auto"/>
                <w:highlight w:val="none"/>
              </w:rPr>
            </w:pPr>
          </w:p>
        </w:tc>
        <w:tc>
          <w:tcPr>
            <w:tcW w:w="426" w:type="pct"/>
            <w:noWrap w:val="0"/>
            <w:vAlign w:val="center"/>
          </w:tcPr>
          <w:p>
            <w:pPr>
              <w:spacing w:line="440" w:lineRule="exact"/>
              <w:jc w:val="center"/>
              <w:rPr>
                <w:color w:val="auto"/>
                <w:highlight w:val="none"/>
              </w:rPr>
            </w:pPr>
          </w:p>
        </w:tc>
        <w:tc>
          <w:tcPr>
            <w:tcW w:w="515" w:type="pct"/>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color w:val="auto"/>
                <w:highlight w:val="none"/>
              </w:rPr>
            </w:pPr>
          </w:p>
        </w:tc>
        <w:tc>
          <w:tcPr>
            <w:tcW w:w="537" w:type="pct"/>
            <w:noWrap w:val="0"/>
            <w:vAlign w:val="center"/>
          </w:tcPr>
          <w:p>
            <w:pPr>
              <w:spacing w:line="440" w:lineRule="exact"/>
              <w:jc w:val="center"/>
              <w:rPr>
                <w:color w:val="auto"/>
                <w:highlight w:val="none"/>
              </w:rPr>
            </w:pPr>
          </w:p>
        </w:tc>
        <w:tc>
          <w:tcPr>
            <w:tcW w:w="727" w:type="pct"/>
            <w:noWrap w:val="0"/>
            <w:vAlign w:val="center"/>
          </w:tcPr>
          <w:p>
            <w:pPr>
              <w:spacing w:line="440" w:lineRule="exact"/>
              <w:jc w:val="center"/>
              <w:rPr>
                <w:color w:val="auto"/>
                <w:highlight w:val="none"/>
              </w:rPr>
            </w:pPr>
          </w:p>
        </w:tc>
        <w:tc>
          <w:tcPr>
            <w:tcW w:w="939" w:type="pct"/>
            <w:noWrap w:val="0"/>
            <w:vAlign w:val="center"/>
          </w:tcPr>
          <w:p>
            <w:pPr>
              <w:spacing w:line="440" w:lineRule="exact"/>
              <w:jc w:val="center"/>
              <w:rPr>
                <w:color w:val="auto"/>
                <w:highlight w:val="none"/>
              </w:rPr>
            </w:pPr>
          </w:p>
        </w:tc>
        <w:tc>
          <w:tcPr>
            <w:tcW w:w="940" w:type="pct"/>
            <w:noWrap w:val="0"/>
            <w:vAlign w:val="center"/>
          </w:tcPr>
          <w:p>
            <w:pPr>
              <w:spacing w:line="440" w:lineRule="exact"/>
              <w:jc w:val="center"/>
              <w:rPr>
                <w:color w:val="auto"/>
                <w:highlight w:val="none"/>
              </w:rPr>
            </w:pPr>
          </w:p>
        </w:tc>
        <w:tc>
          <w:tcPr>
            <w:tcW w:w="380" w:type="pct"/>
            <w:noWrap w:val="0"/>
            <w:vAlign w:val="center"/>
          </w:tcPr>
          <w:p>
            <w:pPr>
              <w:spacing w:line="440" w:lineRule="exact"/>
              <w:jc w:val="center"/>
              <w:rPr>
                <w:color w:val="auto"/>
                <w:highlight w:val="none"/>
              </w:rPr>
            </w:pPr>
          </w:p>
        </w:tc>
        <w:tc>
          <w:tcPr>
            <w:tcW w:w="426" w:type="pct"/>
            <w:noWrap w:val="0"/>
            <w:vAlign w:val="center"/>
          </w:tcPr>
          <w:p>
            <w:pPr>
              <w:spacing w:line="440" w:lineRule="exact"/>
              <w:jc w:val="center"/>
              <w:rPr>
                <w:color w:val="auto"/>
                <w:highlight w:val="none"/>
              </w:rPr>
            </w:pPr>
          </w:p>
        </w:tc>
        <w:tc>
          <w:tcPr>
            <w:tcW w:w="515" w:type="pct"/>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noWrap w:val="0"/>
            <w:vAlign w:val="center"/>
          </w:tcPr>
          <w:p>
            <w:pPr>
              <w:spacing w:line="440" w:lineRule="exact"/>
              <w:rPr>
                <w:color w:val="auto"/>
                <w:highlight w:val="none"/>
              </w:rPr>
            </w:pPr>
            <w:r>
              <w:rPr>
                <w:rFonts w:hint="eastAsia"/>
                <w:color w:val="auto"/>
                <w:highlight w:val="none"/>
              </w:rPr>
              <w:t>合计金额</w:t>
            </w:r>
          </w:p>
        </w:tc>
        <w:tc>
          <w:tcPr>
            <w:tcW w:w="1320" w:type="pct"/>
            <w:gridSpan w:val="3"/>
            <w:noWrap w:val="0"/>
            <w:vAlign w:val="center"/>
          </w:tcPr>
          <w:p>
            <w:pPr>
              <w:spacing w:line="440" w:lineRule="exact"/>
              <w:rPr>
                <w:color w:val="auto"/>
                <w:highlight w:val="none"/>
              </w:rPr>
            </w:pPr>
          </w:p>
        </w:tc>
      </w:tr>
    </w:tbl>
    <w:p>
      <w:pPr>
        <w:tabs>
          <w:tab w:val="left" w:pos="13000"/>
        </w:tabs>
        <w:spacing w:line="440" w:lineRule="exact"/>
        <w:rPr>
          <w:color w:val="auto"/>
          <w:highlight w:val="none"/>
        </w:rPr>
      </w:pPr>
      <w:r>
        <w:rPr>
          <w:rFonts w:hint="eastAsia"/>
          <w:color w:val="auto"/>
          <w:highlight w:val="none"/>
        </w:rPr>
        <w:t>注：</w:t>
      </w:r>
    </w:p>
    <w:p>
      <w:pPr>
        <w:tabs>
          <w:tab w:val="left" w:pos="13000"/>
        </w:tabs>
        <w:spacing w:line="440" w:lineRule="exact"/>
        <w:rPr>
          <w:b/>
          <w:color w:val="auto"/>
          <w:highlight w:val="none"/>
        </w:rPr>
      </w:pPr>
      <w:r>
        <w:rPr>
          <w:rFonts w:hint="eastAsia"/>
          <w:b/>
          <w:color w:val="auto"/>
          <w:highlight w:val="none"/>
        </w:rPr>
        <w:t>若无货物属于优先采购节能、环境标志产品的，则不填写此表。</w:t>
      </w:r>
    </w:p>
    <w:p>
      <w:pPr>
        <w:adjustRightInd w:val="0"/>
        <w:snapToGrid w:val="0"/>
        <w:spacing w:line="440" w:lineRule="exact"/>
        <w:rPr>
          <w:color w:val="auto"/>
          <w:highlight w:val="none"/>
        </w:rPr>
      </w:pPr>
    </w:p>
    <w:p>
      <w:pPr>
        <w:adjustRightInd w:val="0"/>
        <w:snapToGrid w:val="0"/>
        <w:spacing w:line="440" w:lineRule="exact"/>
        <w:rPr>
          <w:color w:val="auto"/>
          <w:highlight w:val="none"/>
        </w:rPr>
      </w:pPr>
      <w:r>
        <w:rPr>
          <w:rFonts w:hint="eastAsia"/>
          <w:color w:val="auto"/>
          <w:highlight w:val="none"/>
        </w:rPr>
        <w:t>投标人（加盖公章）：</w:t>
      </w:r>
    </w:p>
    <w:p>
      <w:pPr>
        <w:adjustRightInd w:val="0"/>
        <w:snapToGrid w:val="0"/>
        <w:spacing w:line="440" w:lineRule="exact"/>
        <w:rPr>
          <w:color w:val="auto"/>
          <w:highlight w:val="none"/>
        </w:rPr>
      </w:pPr>
      <w:r>
        <w:rPr>
          <w:rFonts w:hint="eastAsia"/>
          <w:color w:val="auto"/>
          <w:highlight w:val="none"/>
        </w:rPr>
        <w:t>法定代表人或其授权代表签字：</w:t>
      </w:r>
      <w:r>
        <w:rPr>
          <w:color w:val="auto"/>
          <w:highlight w:val="none"/>
          <w:u w:val="single"/>
        </w:rPr>
        <w:t xml:space="preserve">       </w:t>
      </w:r>
    </w:p>
    <w:p>
      <w:pPr>
        <w:spacing w:line="440" w:lineRule="exact"/>
        <w:rPr>
          <w:color w:val="auto"/>
          <w:highlight w:val="none"/>
        </w:rPr>
      </w:pPr>
      <w:r>
        <w:rPr>
          <w:rFonts w:hint="eastAsia"/>
          <w:color w:val="auto"/>
          <w:highlight w:val="none"/>
        </w:rPr>
        <w:t>日期：</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p>
    <w:p>
      <w:pPr>
        <w:adjustRightInd w:val="0"/>
        <w:snapToGrid w:val="0"/>
        <w:spacing w:line="440" w:lineRule="exact"/>
        <w:ind w:right="24"/>
        <w:rPr>
          <w:color w:val="auto"/>
          <w:highlight w:val="none"/>
        </w:rPr>
      </w:pPr>
    </w:p>
    <w:p>
      <w:pPr>
        <w:adjustRightInd w:val="0"/>
        <w:snapToGrid w:val="0"/>
        <w:spacing w:line="440" w:lineRule="exact"/>
        <w:ind w:right="24"/>
        <w:jc w:val="center"/>
        <w:rPr>
          <w:b/>
          <w:bCs/>
          <w:color w:val="auto"/>
          <w:sz w:val="32"/>
          <w:szCs w:val="32"/>
          <w:highlight w:val="none"/>
        </w:rPr>
      </w:pPr>
      <w:r>
        <w:rPr>
          <w:rFonts w:hint="eastAsia"/>
          <w:b/>
          <w:color w:val="auto"/>
          <w:sz w:val="30"/>
          <w:szCs w:val="30"/>
          <w:highlight w:val="none"/>
        </w:rPr>
        <w:br w:type="page"/>
      </w:r>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6</w:t>
      </w:r>
      <w:r>
        <w:rPr>
          <w:rFonts w:hint="eastAsia"/>
          <w:b/>
          <w:color w:val="auto"/>
          <w:sz w:val="30"/>
          <w:szCs w:val="30"/>
          <w:highlight w:val="none"/>
        </w:rPr>
        <w:t xml:space="preserve">  </w:t>
      </w:r>
      <w:r>
        <w:rPr>
          <w:rFonts w:hint="eastAsia"/>
          <w:b/>
          <w:color w:val="auto"/>
          <w:sz w:val="32"/>
          <w:szCs w:val="32"/>
          <w:highlight w:val="none"/>
        </w:rPr>
        <w:t>节能、环境标志产品证明材料</w:t>
      </w:r>
    </w:p>
    <w:p>
      <w:pPr>
        <w:adjustRightInd w:val="0"/>
        <w:snapToGrid w:val="0"/>
        <w:spacing w:line="440" w:lineRule="exact"/>
        <w:ind w:right="24"/>
        <w:rPr>
          <w:bCs/>
          <w:color w:val="auto"/>
          <w:highlight w:val="none"/>
        </w:rPr>
      </w:pPr>
    </w:p>
    <w:p>
      <w:pPr>
        <w:spacing w:line="440" w:lineRule="exact"/>
        <w:ind w:firstLine="420"/>
        <w:rPr>
          <w:color w:val="auto"/>
          <w:highlight w:val="none"/>
        </w:rPr>
      </w:pPr>
      <w:r>
        <w:rPr>
          <w:color w:val="auto"/>
          <w:highlight w:val="none"/>
        </w:rPr>
        <w:t>1.</w:t>
      </w:r>
      <w:r>
        <w:rPr>
          <w:rFonts w:hint="eastAsia"/>
          <w:color w:val="auto"/>
          <w:highlight w:val="none"/>
        </w:rPr>
        <w:t>节能产品：应在</w:t>
      </w:r>
    </w:p>
    <w:p>
      <w:pPr>
        <w:spacing w:line="440" w:lineRule="exact"/>
        <w:ind w:firstLine="420"/>
        <w:rPr>
          <w:color w:val="auto"/>
          <w:highlight w:val="none"/>
        </w:rPr>
      </w:pPr>
      <w:r>
        <w:rPr>
          <w:rFonts w:hint="eastAsia"/>
          <w:color w:val="auto"/>
          <w:highlight w:val="none"/>
        </w:rPr>
        <w:t>中国政府采购网（</w:t>
      </w:r>
      <w:r>
        <w:rPr>
          <w:color w:val="auto"/>
          <w:highlight w:val="none"/>
        </w:rPr>
        <w:t xml:space="preserve"> http://www.ccgp.gov.cn </w:t>
      </w:r>
      <w:r>
        <w:rPr>
          <w:rFonts w:hint="eastAsia"/>
          <w:color w:val="auto"/>
          <w:highlight w:val="none"/>
        </w:rPr>
        <w:t>）</w:t>
      </w:r>
    </w:p>
    <w:p>
      <w:pPr>
        <w:spacing w:line="440" w:lineRule="exact"/>
        <w:ind w:firstLine="420"/>
        <w:rPr>
          <w:color w:val="auto"/>
          <w:highlight w:val="none"/>
        </w:rPr>
      </w:pPr>
      <w:r>
        <w:rPr>
          <w:color w:val="auto"/>
          <w:highlight w:val="none"/>
        </w:rPr>
        <w:t>2.</w:t>
      </w:r>
      <w:r>
        <w:rPr>
          <w:rFonts w:hint="eastAsia"/>
          <w:color w:val="auto"/>
          <w:highlight w:val="none"/>
        </w:rPr>
        <w:t>环境标志产品：应在</w:t>
      </w:r>
    </w:p>
    <w:p>
      <w:pPr>
        <w:spacing w:line="440" w:lineRule="exact"/>
        <w:ind w:firstLine="420"/>
        <w:rPr>
          <w:color w:val="auto"/>
          <w:highlight w:val="none"/>
        </w:rPr>
      </w:pPr>
      <w:r>
        <w:rPr>
          <w:rFonts w:hint="eastAsia"/>
          <w:color w:val="auto"/>
          <w:highlight w:val="none"/>
        </w:rPr>
        <w:t>中国政府采购网（</w:t>
      </w:r>
      <w:r>
        <w:rPr>
          <w:color w:val="auto"/>
          <w:highlight w:val="none"/>
        </w:rPr>
        <w:t xml:space="preserve"> http://www.ccgp.gov.cn </w:t>
      </w:r>
      <w:r>
        <w:rPr>
          <w:rFonts w:hint="eastAsia"/>
          <w:color w:val="auto"/>
          <w:highlight w:val="none"/>
        </w:rPr>
        <w:t>）</w:t>
      </w:r>
    </w:p>
    <w:p>
      <w:pPr>
        <w:spacing w:line="440" w:lineRule="exact"/>
        <w:ind w:firstLine="420"/>
        <w:rPr>
          <w:color w:val="auto"/>
          <w:highlight w:val="none"/>
        </w:rPr>
      </w:pPr>
      <w:r>
        <w:rPr>
          <w:color w:val="auto"/>
          <w:highlight w:val="none"/>
        </w:rPr>
        <w:t>3.</w:t>
      </w:r>
      <w:r>
        <w:rPr>
          <w:rFonts w:hint="eastAsia"/>
          <w:color w:val="auto"/>
          <w:highlight w:val="none"/>
        </w:rPr>
        <w:t>属优先采购节能、环境标志产品须从以上权威媒体网站上查询并打印结果。</w:t>
      </w:r>
    </w:p>
    <w:p>
      <w:pPr>
        <w:spacing w:line="440" w:lineRule="exact"/>
        <w:ind w:firstLine="315" w:firstLineChars="150"/>
        <w:rPr>
          <w:b/>
          <w:color w:val="auto"/>
          <w:highlight w:val="none"/>
        </w:rPr>
      </w:pPr>
      <w:r>
        <w:rPr>
          <w:color w:val="auto"/>
          <w:highlight w:val="none"/>
        </w:rPr>
        <w:t>4.</w:t>
      </w:r>
      <w:r>
        <w:rPr>
          <w:rFonts w:hint="eastAsia"/>
          <w:color w:val="auto"/>
          <w:highlight w:val="none"/>
        </w:rPr>
        <w:t>证明材料加盖投标人公章。</w:t>
      </w:r>
    </w:p>
    <w:p>
      <w:pPr>
        <w:jc w:val="center"/>
        <w:rPr>
          <w:color w:val="auto"/>
          <w:highlight w:val="none"/>
        </w:rPr>
      </w:pPr>
      <w:r>
        <w:rPr>
          <w:rFonts w:hint="eastAsia"/>
          <w:b/>
          <w:color w:val="auto"/>
          <w:sz w:val="32"/>
          <w:szCs w:val="32"/>
          <w:highlight w:val="none"/>
        </w:rPr>
        <w:br w:type="page"/>
      </w:r>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7</w:t>
      </w:r>
      <w:r>
        <w:rPr>
          <w:rFonts w:hint="eastAsia"/>
          <w:b/>
          <w:color w:val="auto"/>
          <w:sz w:val="30"/>
          <w:szCs w:val="30"/>
          <w:highlight w:val="none"/>
        </w:rPr>
        <w:t xml:space="preserve">    </w:t>
      </w:r>
      <w:r>
        <w:rPr>
          <w:rFonts w:hint="eastAsia"/>
          <w:b/>
          <w:color w:val="auto"/>
          <w:sz w:val="32"/>
          <w:szCs w:val="32"/>
          <w:highlight w:val="none"/>
        </w:rPr>
        <w:t>中小微企业声明函</w:t>
      </w:r>
    </w:p>
    <w:p>
      <w:pPr>
        <w:ind w:firstLine="560" w:firstLineChars="200"/>
        <w:jc w:val="center"/>
        <w:rPr>
          <w:color w:val="auto"/>
          <w:sz w:val="28"/>
          <w:szCs w:val="28"/>
          <w:highlight w:val="none"/>
        </w:rPr>
      </w:pPr>
      <w:r>
        <w:rPr>
          <w:color w:val="auto"/>
          <w:sz w:val="28"/>
          <w:szCs w:val="28"/>
          <w:highlight w:val="none"/>
        </w:rPr>
        <w:t>中小企业声明函（货物）</w:t>
      </w:r>
    </w:p>
    <w:p>
      <w:pPr>
        <w:spacing w:line="360" w:lineRule="auto"/>
        <w:ind w:firstLine="420" w:firstLineChars="200"/>
        <w:rPr>
          <w:color w:val="auto"/>
          <w:highlight w:val="none"/>
        </w:rPr>
      </w:pPr>
      <w:r>
        <w:rPr>
          <w:color w:val="auto"/>
          <w:highlight w:val="none"/>
        </w:rPr>
        <w:t>本公司（联合体） 郑重声明， 根据《政府采购促进中小企业发展管理办法》（财库﹝ 2020﹞ 46 号） 的规定， 本公司（联合体） 参加</w:t>
      </w:r>
      <w:r>
        <w:rPr>
          <w:color w:val="auto"/>
          <w:highlight w:val="none"/>
          <w:u w:val="single"/>
        </w:rPr>
        <w:t>（单位名称）</w:t>
      </w:r>
      <w:r>
        <w:rPr>
          <w:color w:val="auto"/>
          <w:highlight w:val="none"/>
        </w:rPr>
        <w:t xml:space="preserve"> 的</w:t>
      </w:r>
      <w:r>
        <w:rPr>
          <w:color w:val="auto"/>
          <w:highlight w:val="none"/>
          <w:u w:val="single"/>
        </w:rPr>
        <w:t>（项目名称）</w:t>
      </w:r>
      <w:r>
        <w:rPr>
          <w:color w:val="auto"/>
          <w:highlight w:val="none"/>
        </w:rPr>
        <w:t xml:space="preserve"> 采购活动， 提供的货物全部由符合政策要求的中小企业制造。 相关企业（含联合体中的中小企业、 签订分包意向协议的中小企业）的具体情况如下：</w:t>
      </w:r>
    </w:p>
    <w:p>
      <w:pPr>
        <w:spacing w:line="360" w:lineRule="auto"/>
        <w:ind w:firstLine="420" w:firstLineChars="200"/>
        <w:rPr>
          <w:color w:val="auto"/>
          <w:highlight w:val="none"/>
        </w:rPr>
      </w:pPr>
      <w:r>
        <w:rPr>
          <w:color w:val="auto"/>
          <w:highlight w:val="none"/>
        </w:rPr>
        <w:t xml:space="preserve">1. </w:t>
      </w:r>
      <w:r>
        <w:rPr>
          <w:color w:val="auto"/>
          <w:highlight w:val="none"/>
          <w:u w:val="single"/>
        </w:rPr>
        <w:t>（标的名称）</w:t>
      </w:r>
      <w:r>
        <w:rPr>
          <w:color w:val="auto"/>
          <w:highlight w:val="none"/>
        </w:rPr>
        <w:t xml:space="preserve"> ， 属于</w:t>
      </w:r>
      <w:r>
        <w:rPr>
          <w:color w:val="auto"/>
          <w:highlight w:val="none"/>
          <w:u w:val="single"/>
        </w:rPr>
        <w:t>（采购文件中明确的所属行业）行业</w:t>
      </w:r>
      <w:r>
        <w:rPr>
          <w:color w:val="auto"/>
          <w:highlight w:val="none"/>
        </w:rPr>
        <w:t>； 制造商为</w:t>
      </w:r>
      <w:r>
        <w:rPr>
          <w:color w:val="auto"/>
          <w:highlight w:val="none"/>
          <w:u w:val="single"/>
        </w:rPr>
        <w:t>（ 企业名称）</w:t>
      </w:r>
      <w:r>
        <w:rPr>
          <w:color w:val="auto"/>
          <w:highlight w:val="none"/>
        </w:rPr>
        <w:t>， 从业人员</w:t>
      </w:r>
      <w:r>
        <w:rPr>
          <w:rFonts w:hint="eastAsia"/>
          <w:color w:val="auto"/>
          <w:highlight w:val="none"/>
          <w:u w:val="single"/>
        </w:rPr>
        <w:t xml:space="preserve">      </w:t>
      </w:r>
      <w:r>
        <w:rPr>
          <w:color w:val="auto"/>
          <w:highlight w:val="none"/>
        </w:rPr>
        <w:t>人， 营业收入为</w:t>
      </w:r>
      <w:r>
        <w:rPr>
          <w:rFonts w:hint="eastAsia"/>
          <w:color w:val="auto"/>
          <w:highlight w:val="none"/>
          <w:u w:val="single"/>
        </w:rPr>
        <w:t xml:space="preserve">     </w:t>
      </w:r>
      <w:r>
        <w:rPr>
          <w:color w:val="auto"/>
          <w:highlight w:val="none"/>
        </w:rPr>
        <w:t>万元， 资产总额为</w:t>
      </w:r>
      <w:r>
        <w:rPr>
          <w:rFonts w:hint="eastAsia"/>
          <w:color w:val="auto"/>
          <w:highlight w:val="none"/>
          <w:u w:val="single"/>
        </w:rPr>
        <w:t xml:space="preserve">      </w:t>
      </w:r>
      <w:r>
        <w:rPr>
          <w:color w:val="auto"/>
          <w:highlight w:val="none"/>
        </w:rPr>
        <w:t>万元</w:t>
      </w:r>
      <w:r>
        <w:rPr>
          <w:color w:val="auto"/>
          <w:highlight w:val="none"/>
          <w:vertAlign w:val="superscript"/>
        </w:rPr>
        <w:t>1</w:t>
      </w:r>
      <w:r>
        <w:rPr>
          <w:color w:val="auto"/>
          <w:highlight w:val="none"/>
        </w:rPr>
        <w:t>， 属于（</w:t>
      </w:r>
      <w:r>
        <w:rPr>
          <w:color w:val="auto"/>
          <w:highlight w:val="none"/>
          <w:u w:val="single"/>
        </w:rPr>
        <w:t>中型企业、 小型企业、 微型企业</w:t>
      </w:r>
      <w:r>
        <w:rPr>
          <w:color w:val="auto"/>
          <w:highlight w:val="none"/>
        </w:rPr>
        <w:t>）；</w:t>
      </w:r>
    </w:p>
    <w:p>
      <w:pPr>
        <w:spacing w:line="360" w:lineRule="auto"/>
        <w:ind w:firstLine="420" w:firstLineChars="200"/>
        <w:rPr>
          <w:color w:val="auto"/>
          <w:highlight w:val="none"/>
        </w:rPr>
      </w:pPr>
      <w:r>
        <w:rPr>
          <w:color w:val="auto"/>
          <w:highlight w:val="none"/>
        </w:rPr>
        <w:t xml:space="preserve">2. </w:t>
      </w:r>
      <w:r>
        <w:rPr>
          <w:color w:val="auto"/>
          <w:highlight w:val="none"/>
          <w:u w:val="single"/>
        </w:rPr>
        <w:t>（标的名称）</w:t>
      </w:r>
      <w:r>
        <w:rPr>
          <w:color w:val="auto"/>
          <w:highlight w:val="none"/>
        </w:rPr>
        <w:t xml:space="preserve"> ， 属于</w:t>
      </w:r>
      <w:r>
        <w:rPr>
          <w:color w:val="auto"/>
          <w:highlight w:val="none"/>
          <w:u w:val="single"/>
        </w:rPr>
        <w:t>（采购文件中明确的所属行业）</w:t>
      </w:r>
      <w:r>
        <w:rPr>
          <w:color w:val="auto"/>
          <w:highlight w:val="none"/>
        </w:rPr>
        <w:t>行业； 制造商为</w:t>
      </w:r>
      <w:r>
        <w:rPr>
          <w:color w:val="auto"/>
          <w:highlight w:val="none"/>
          <w:u w:val="single"/>
        </w:rPr>
        <w:t>（ 企业名称）</w:t>
      </w:r>
      <w:r>
        <w:rPr>
          <w:color w:val="auto"/>
          <w:highlight w:val="none"/>
        </w:rPr>
        <w:t>， 从业人员</w:t>
      </w:r>
      <w:r>
        <w:rPr>
          <w:color w:val="auto"/>
          <w:highlight w:val="none"/>
          <w:u w:val="single"/>
        </w:rPr>
        <w:t xml:space="preserve"> </w:t>
      </w:r>
      <w:r>
        <w:rPr>
          <w:rFonts w:hint="eastAsia"/>
          <w:color w:val="auto"/>
          <w:highlight w:val="none"/>
          <w:u w:val="single"/>
        </w:rPr>
        <w:t xml:space="preserve">     </w:t>
      </w:r>
      <w:r>
        <w:rPr>
          <w:color w:val="auto"/>
          <w:highlight w:val="none"/>
        </w:rPr>
        <w:t>人， 营业收为</w:t>
      </w:r>
      <w:r>
        <w:rPr>
          <w:color w:val="auto"/>
          <w:highlight w:val="none"/>
          <w:u w:val="single"/>
        </w:rPr>
        <w:t xml:space="preserve"> </w:t>
      </w:r>
      <w:r>
        <w:rPr>
          <w:rFonts w:hint="eastAsia"/>
          <w:color w:val="auto"/>
          <w:highlight w:val="none"/>
          <w:u w:val="single"/>
        </w:rPr>
        <w:t xml:space="preserve">     </w:t>
      </w:r>
      <w:r>
        <w:rPr>
          <w:color w:val="auto"/>
          <w:highlight w:val="none"/>
        </w:rPr>
        <w:t>万元， 资产总额为</w:t>
      </w:r>
      <w:r>
        <w:rPr>
          <w:color w:val="auto"/>
          <w:highlight w:val="none"/>
          <w:u w:val="single"/>
        </w:rPr>
        <w:t xml:space="preserve"> </w:t>
      </w:r>
      <w:r>
        <w:rPr>
          <w:rFonts w:hint="eastAsia"/>
          <w:color w:val="auto"/>
          <w:highlight w:val="none"/>
          <w:u w:val="single"/>
        </w:rPr>
        <w:t xml:space="preserve">  </w:t>
      </w:r>
      <w:r>
        <w:rPr>
          <w:color w:val="auto"/>
          <w:highlight w:val="none"/>
        </w:rPr>
        <w:t>万元， 属于</w:t>
      </w:r>
      <w:r>
        <w:rPr>
          <w:color w:val="auto"/>
          <w:highlight w:val="none"/>
          <w:u w:val="single"/>
        </w:rPr>
        <w:t>（中型企业、 小型企业、 微型企业）</w:t>
      </w:r>
      <w:r>
        <w:rPr>
          <w:color w:val="auto"/>
          <w:highlight w:val="none"/>
        </w:rPr>
        <w:t>；</w:t>
      </w:r>
    </w:p>
    <w:p>
      <w:pPr>
        <w:spacing w:line="360" w:lineRule="auto"/>
        <w:ind w:firstLine="420" w:firstLineChars="200"/>
        <w:rPr>
          <w:color w:val="auto"/>
          <w:highlight w:val="none"/>
        </w:rPr>
      </w:pPr>
      <w:r>
        <w:rPr>
          <w:color w:val="auto"/>
          <w:highlight w:val="none"/>
        </w:rPr>
        <w:t>……</w:t>
      </w:r>
    </w:p>
    <w:p>
      <w:pPr>
        <w:spacing w:line="360" w:lineRule="auto"/>
        <w:ind w:firstLine="420" w:firstLineChars="200"/>
        <w:rPr>
          <w:color w:val="auto"/>
          <w:highlight w:val="none"/>
        </w:rPr>
      </w:pPr>
      <w:r>
        <w:rPr>
          <w:color w:val="auto"/>
          <w:highlight w:val="none"/>
        </w:rPr>
        <w:t>以上企业， 不属于大企业的分支机构， 不存在控股股东为大企业的情形， 也不存在与大企业的负责人为同一人的情形。</w:t>
      </w:r>
    </w:p>
    <w:p>
      <w:pPr>
        <w:spacing w:line="360" w:lineRule="auto"/>
        <w:ind w:firstLine="420" w:firstLineChars="200"/>
        <w:rPr>
          <w:color w:val="auto"/>
          <w:highlight w:val="none"/>
        </w:rPr>
      </w:pPr>
      <w:r>
        <w:rPr>
          <w:color w:val="auto"/>
          <w:highlight w:val="none"/>
        </w:rPr>
        <w:t>本企业对上述声明内容的真实性负责。 如有虚假， 将依法承担相应责任。</w:t>
      </w:r>
    </w:p>
    <w:p>
      <w:pPr>
        <w:wordWrap w:val="0"/>
        <w:spacing w:line="360" w:lineRule="auto"/>
        <w:ind w:firstLine="420" w:firstLineChars="200"/>
        <w:jc w:val="right"/>
        <w:rPr>
          <w:color w:val="auto"/>
          <w:highlight w:val="none"/>
        </w:rPr>
      </w:pPr>
    </w:p>
    <w:p>
      <w:pPr>
        <w:wordWrap w:val="0"/>
        <w:spacing w:line="360" w:lineRule="auto"/>
        <w:ind w:firstLine="420" w:firstLineChars="200"/>
        <w:jc w:val="right"/>
        <w:rPr>
          <w:color w:val="auto"/>
          <w:highlight w:val="none"/>
        </w:rPr>
      </w:pPr>
      <w:r>
        <w:rPr>
          <w:color w:val="auto"/>
          <w:highlight w:val="none"/>
        </w:rPr>
        <w:t>企业名称（盖章）：</w:t>
      </w:r>
      <w:r>
        <w:rPr>
          <w:rFonts w:hint="eastAsia"/>
          <w:color w:val="auto"/>
          <w:highlight w:val="none"/>
        </w:rPr>
        <w:t xml:space="preserve">        </w:t>
      </w:r>
    </w:p>
    <w:p>
      <w:pPr>
        <w:wordWrap w:val="0"/>
        <w:spacing w:line="360" w:lineRule="auto"/>
        <w:ind w:right="480" w:firstLine="420" w:firstLineChars="200"/>
        <w:jc w:val="right"/>
        <w:rPr>
          <w:color w:val="auto"/>
          <w:highlight w:val="none"/>
        </w:rPr>
      </w:pPr>
      <w:r>
        <w:rPr>
          <w:color w:val="auto"/>
          <w:highlight w:val="none"/>
        </w:rPr>
        <w:t>日 期：</w:t>
      </w:r>
      <w:r>
        <w:rPr>
          <w:rFonts w:hint="eastAsia"/>
          <w:color w:val="auto"/>
          <w:highlight w:val="none"/>
        </w:rPr>
        <w:t xml:space="preserve">         </w:t>
      </w:r>
    </w:p>
    <w:p>
      <w:pPr>
        <w:spacing w:line="360" w:lineRule="auto"/>
        <w:ind w:right="480" w:firstLine="420" w:firstLineChars="200"/>
        <w:jc w:val="right"/>
        <w:rPr>
          <w:color w:val="auto"/>
          <w:highlight w:val="none"/>
        </w:rPr>
      </w:pPr>
    </w:p>
    <w:p>
      <w:pPr>
        <w:spacing w:line="360" w:lineRule="auto"/>
        <w:ind w:firstLine="420" w:firstLineChars="200"/>
        <w:rPr>
          <w:color w:val="auto"/>
          <w:highlight w:val="none"/>
        </w:rPr>
      </w:pPr>
      <w:r>
        <w:rPr>
          <w:color w:val="auto"/>
          <w:highlight w:val="none"/>
          <w:vertAlign w:val="superscript"/>
        </w:rPr>
        <w:t>1</w:t>
      </w:r>
      <w:r>
        <w:rPr>
          <w:color w:val="auto"/>
          <w:highlight w:val="none"/>
        </w:rPr>
        <w:t>从业人员、 营业收入、 资产总额填报上一年度数据， 无上一年度数据的新成立企业可不填报。</w:t>
      </w:r>
    </w:p>
    <w:p>
      <w:pPr>
        <w:spacing w:line="360" w:lineRule="auto"/>
        <w:ind w:firstLine="420" w:firstLineChars="200"/>
        <w:rPr>
          <w:color w:val="auto"/>
          <w:highlight w:val="none"/>
        </w:rPr>
      </w:pPr>
      <w:r>
        <w:rPr>
          <w:rFonts w:hint="eastAsia"/>
          <w:color w:val="auto"/>
          <w:highlight w:val="none"/>
        </w:rPr>
        <w:t>（若响应文件中无上述文件，则在评审时不考虑对该小、微企业的相关优惠。）</w:t>
      </w:r>
      <w:r>
        <w:rPr>
          <w:color w:val="auto"/>
          <w:highlight w:val="none"/>
        </w:rPr>
        <w:t xml:space="preserve"> </w:t>
      </w:r>
    </w:p>
    <w:p>
      <w:pPr>
        <w:spacing w:line="360" w:lineRule="auto"/>
        <w:ind w:firstLine="420" w:firstLineChars="200"/>
        <w:rPr>
          <w:color w:val="auto"/>
          <w:highlight w:val="none"/>
        </w:rPr>
      </w:pPr>
    </w:p>
    <w:p>
      <w:pPr>
        <w:tabs>
          <w:tab w:val="left" w:pos="3777"/>
          <w:tab w:val="center" w:pos="4819"/>
        </w:tabs>
        <w:spacing w:line="360" w:lineRule="auto"/>
        <w:ind w:firstLine="2409" w:firstLineChars="750"/>
        <w:rPr>
          <w:b/>
          <w:color w:val="auto"/>
          <w:sz w:val="32"/>
          <w:szCs w:val="32"/>
          <w:highlight w:val="none"/>
        </w:rPr>
      </w:pPr>
      <w:r>
        <w:rPr>
          <w:rFonts w:hint="eastAsia"/>
          <w:b/>
          <w:color w:val="auto"/>
          <w:sz w:val="32"/>
          <w:szCs w:val="32"/>
          <w:highlight w:val="none"/>
        </w:rPr>
        <w:br w:type="page"/>
      </w:r>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8</w:t>
      </w:r>
      <w:r>
        <w:rPr>
          <w:rFonts w:hint="eastAsia"/>
          <w:b/>
          <w:color w:val="auto"/>
          <w:sz w:val="30"/>
          <w:szCs w:val="30"/>
          <w:highlight w:val="none"/>
        </w:rPr>
        <w:t xml:space="preserve">  </w:t>
      </w:r>
      <w:r>
        <w:rPr>
          <w:rFonts w:hint="eastAsia"/>
          <w:b/>
          <w:color w:val="auto"/>
          <w:sz w:val="32"/>
          <w:szCs w:val="32"/>
          <w:highlight w:val="none"/>
        </w:rPr>
        <w:t>监狱企业声明函</w:t>
      </w:r>
    </w:p>
    <w:p>
      <w:pPr>
        <w:spacing w:line="360" w:lineRule="auto"/>
        <w:jc w:val="center"/>
        <w:rPr>
          <w:color w:val="auto"/>
          <w:highlight w:val="none"/>
        </w:rPr>
      </w:pPr>
      <w:r>
        <w:rPr>
          <w:rFonts w:hint="eastAsia"/>
          <w:color w:val="auto"/>
          <w:highlight w:val="none"/>
        </w:rPr>
        <w:t>（监狱企业适用）</w:t>
      </w:r>
    </w:p>
    <w:p>
      <w:pPr>
        <w:spacing w:line="360" w:lineRule="auto"/>
        <w:ind w:firstLine="472" w:firstLineChars="225"/>
        <w:rPr>
          <w:color w:val="auto"/>
          <w:highlight w:val="none"/>
        </w:rPr>
      </w:pPr>
      <w:r>
        <w:rPr>
          <w:rFonts w:hint="eastAsia"/>
          <w:color w:val="auto"/>
          <w:highlight w:val="none"/>
        </w:rPr>
        <w:t>本公司郑重声明，根据《关于政府采购支持监狱企业发展有关问题的通知》（财库</w:t>
      </w:r>
      <w:r>
        <w:rPr>
          <w:color w:val="auto"/>
          <w:highlight w:val="none"/>
        </w:rPr>
        <w:t>[2014]68</w:t>
      </w:r>
      <w:r>
        <w:rPr>
          <w:rFonts w:hint="eastAsia"/>
          <w:color w:val="auto"/>
          <w:highlight w:val="none"/>
        </w:rPr>
        <w:t>号）的规定，本公司为监狱企业。</w:t>
      </w:r>
    </w:p>
    <w:p>
      <w:pPr>
        <w:spacing w:line="360" w:lineRule="auto"/>
        <w:ind w:firstLine="472" w:firstLineChars="225"/>
        <w:rPr>
          <w:color w:val="auto"/>
          <w:highlight w:val="none"/>
        </w:rPr>
      </w:pPr>
      <w:r>
        <w:rPr>
          <w:rFonts w:hint="eastAsia"/>
          <w:color w:val="auto"/>
          <w:highlight w:val="none"/>
        </w:rPr>
        <w:t>本公司参加</w:t>
      </w:r>
      <w:r>
        <w:rPr>
          <w:color w:val="auto"/>
          <w:highlight w:val="none"/>
        </w:rPr>
        <w:t>______</w:t>
      </w:r>
      <w:r>
        <w:rPr>
          <w:rFonts w:hint="eastAsia"/>
          <w:color w:val="auto"/>
          <w:highlight w:val="none"/>
        </w:rPr>
        <w:t>单位的</w:t>
      </w:r>
      <w:r>
        <w:rPr>
          <w:color w:val="auto"/>
          <w:highlight w:val="none"/>
        </w:rPr>
        <w:t>______</w:t>
      </w:r>
      <w:r>
        <w:rPr>
          <w:rFonts w:hint="eastAsia"/>
          <w:color w:val="auto"/>
          <w:highlight w:val="none"/>
        </w:rPr>
        <w:t>项目采购活动，采购活动提供本企业（填写制造的货物，由本企业承担工程、提供服务）。</w:t>
      </w:r>
    </w:p>
    <w:p>
      <w:pPr>
        <w:spacing w:line="360" w:lineRule="auto"/>
        <w:ind w:firstLine="472" w:firstLineChars="225"/>
        <w:rPr>
          <w:color w:val="auto"/>
          <w:highlight w:val="none"/>
        </w:rPr>
      </w:pPr>
      <w:r>
        <w:rPr>
          <w:rFonts w:hint="eastAsia"/>
          <w:color w:val="auto"/>
          <w:highlight w:val="none"/>
        </w:rPr>
        <w:t>本条所称货物不包括使用大型企业注册商标的货物和服务。</w:t>
      </w:r>
    </w:p>
    <w:p>
      <w:pPr>
        <w:spacing w:line="360" w:lineRule="auto"/>
        <w:ind w:firstLine="472" w:firstLineChars="225"/>
        <w:rPr>
          <w:color w:val="auto"/>
          <w:highlight w:val="none"/>
        </w:rPr>
      </w:pPr>
      <w:r>
        <w:rPr>
          <w:rFonts w:hint="eastAsia"/>
          <w:color w:val="auto"/>
          <w:highlight w:val="none"/>
        </w:rPr>
        <w:t>本公司对上述声明的真实性负责。如有虚假，将依法承担相应责任。</w:t>
      </w:r>
    </w:p>
    <w:p>
      <w:pPr>
        <w:spacing w:line="360" w:lineRule="auto"/>
        <w:ind w:firstLine="4252" w:firstLineChars="2025"/>
        <w:rPr>
          <w:color w:val="auto"/>
          <w:highlight w:val="none"/>
        </w:rPr>
      </w:pPr>
    </w:p>
    <w:p>
      <w:pPr>
        <w:spacing w:line="360" w:lineRule="auto"/>
        <w:ind w:firstLine="4252" w:firstLineChars="2025"/>
        <w:rPr>
          <w:color w:val="auto"/>
          <w:highlight w:val="none"/>
        </w:rPr>
      </w:pPr>
      <w:r>
        <w:rPr>
          <w:rFonts w:hint="eastAsia"/>
          <w:color w:val="auto"/>
          <w:highlight w:val="none"/>
        </w:rPr>
        <w:t>企业名称（加盖公章）：</w:t>
      </w:r>
    </w:p>
    <w:p>
      <w:pPr>
        <w:spacing w:line="360" w:lineRule="auto"/>
        <w:ind w:firstLine="4252" w:firstLineChars="2025"/>
        <w:rPr>
          <w:color w:val="auto"/>
          <w:highlight w:val="none"/>
        </w:rPr>
      </w:pPr>
      <w:r>
        <w:rPr>
          <w:rFonts w:hint="eastAsia"/>
          <w:color w:val="auto"/>
          <w:highlight w:val="none"/>
        </w:rPr>
        <w:t>法定代表人（负责人）或其授权代表</w:t>
      </w:r>
      <w:r>
        <w:rPr>
          <w:color w:val="auto"/>
          <w:highlight w:val="none"/>
        </w:rPr>
        <w:t>(</w:t>
      </w:r>
      <w:r>
        <w:rPr>
          <w:rFonts w:hint="eastAsia"/>
          <w:color w:val="auto"/>
          <w:highlight w:val="none"/>
        </w:rPr>
        <w:t>签字</w:t>
      </w:r>
      <w:r>
        <w:rPr>
          <w:color w:val="auto"/>
          <w:highlight w:val="none"/>
        </w:rPr>
        <w:t>)</w:t>
      </w:r>
      <w:r>
        <w:rPr>
          <w:rFonts w:hint="eastAsia"/>
          <w:color w:val="auto"/>
          <w:highlight w:val="none"/>
        </w:rPr>
        <w:t>：</w:t>
      </w:r>
    </w:p>
    <w:p>
      <w:pPr>
        <w:tabs>
          <w:tab w:val="left" w:pos="2880"/>
        </w:tabs>
        <w:spacing w:line="460" w:lineRule="atLeast"/>
        <w:ind w:firstLine="4200" w:firstLineChars="2000"/>
        <w:rPr>
          <w:color w:val="auto"/>
          <w:highlight w:val="none"/>
        </w:rPr>
      </w:pPr>
      <w:r>
        <w:rPr>
          <w:rFonts w:hint="eastAsia"/>
          <w:color w:val="auto"/>
          <w:highlight w:val="none"/>
        </w:rPr>
        <w:t>日期：</w:t>
      </w:r>
    </w:p>
    <w:p>
      <w:pPr>
        <w:spacing w:line="360" w:lineRule="auto"/>
        <w:ind w:firstLine="420" w:firstLineChars="200"/>
        <w:rPr>
          <w:color w:val="auto"/>
          <w:highlight w:val="none"/>
        </w:rPr>
      </w:pPr>
      <w:r>
        <w:rPr>
          <w:rFonts w:hint="eastAsia"/>
          <w:color w:val="auto"/>
          <w:highlight w:val="none"/>
        </w:rPr>
        <w:t>注：后附监狱企业资格证明文件</w:t>
      </w:r>
    </w:p>
    <w:p>
      <w:pPr>
        <w:spacing w:line="440" w:lineRule="exact"/>
        <w:ind w:firstLine="567"/>
        <w:rPr>
          <w:color w:val="auto"/>
          <w:highlight w:val="none"/>
        </w:rPr>
      </w:pPr>
      <w:r>
        <w:rPr>
          <w:rFonts w:hint="eastAsia"/>
          <w:color w:val="auto"/>
          <w:highlight w:val="none"/>
        </w:rPr>
        <w:t>1. 省级以上监狱管理局、戒毒管理局（含新疆生产建设兵团）出具的属于监狱企业的证明文件；</w:t>
      </w:r>
    </w:p>
    <w:p>
      <w:pPr>
        <w:tabs>
          <w:tab w:val="left" w:pos="2880"/>
        </w:tabs>
        <w:spacing w:line="460" w:lineRule="atLeast"/>
        <w:ind w:firstLine="495" w:firstLineChars="236"/>
        <w:rPr>
          <w:b/>
          <w:color w:val="auto"/>
          <w:highlight w:val="none"/>
        </w:rPr>
      </w:pPr>
      <w:r>
        <w:rPr>
          <w:rFonts w:hint="eastAsia"/>
          <w:color w:val="auto"/>
          <w:highlight w:val="none"/>
        </w:rPr>
        <w:t>2.证明材料加盖供应商公章。</w:t>
      </w:r>
    </w:p>
    <w:p>
      <w:pPr>
        <w:spacing w:line="360" w:lineRule="auto"/>
        <w:rPr>
          <w:color w:val="auto"/>
          <w:highlight w:val="none"/>
        </w:rPr>
      </w:pPr>
      <w:r>
        <w:rPr>
          <w:rFonts w:hint="eastAsia"/>
          <w:color w:val="auto"/>
          <w:highlight w:val="none"/>
        </w:rPr>
        <w:t xml:space="preserve">（若响应性文件中无上述证明文件，则在评审时不考虑对该监狱企业的相关优惠。） </w:t>
      </w:r>
    </w:p>
    <w:p>
      <w:pPr>
        <w:tabs>
          <w:tab w:val="left" w:pos="3600"/>
        </w:tabs>
        <w:adjustRightInd w:val="0"/>
        <w:snapToGrid w:val="0"/>
        <w:spacing w:line="440" w:lineRule="exact"/>
        <w:jc w:val="center"/>
        <w:rPr>
          <w:color w:val="auto"/>
          <w:highlight w:val="none"/>
        </w:rPr>
      </w:pPr>
    </w:p>
    <w:p>
      <w:pPr>
        <w:tabs>
          <w:tab w:val="left" w:pos="3600"/>
        </w:tabs>
        <w:adjustRightInd w:val="0"/>
        <w:snapToGrid w:val="0"/>
        <w:spacing w:line="440" w:lineRule="exact"/>
        <w:jc w:val="center"/>
        <w:rPr>
          <w:rFonts w:cs="??_GB2312"/>
          <w:b/>
          <w:bCs/>
          <w:color w:val="auto"/>
          <w:spacing w:val="6"/>
          <w:sz w:val="32"/>
          <w:szCs w:val="32"/>
          <w:highlight w:val="none"/>
        </w:rPr>
      </w:pPr>
      <w:r>
        <w:rPr>
          <w:rFonts w:hint="eastAsia"/>
          <w:b/>
          <w:color w:val="auto"/>
          <w:sz w:val="30"/>
          <w:szCs w:val="30"/>
          <w:highlight w:val="none"/>
        </w:rPr>
        <w:t>附件</w:t>
      </w:r>
      <w:r>
        <w:rPr>
          <w:rFonts w:hint="eastAsia"/>
          <w:b/>
          <w:color w:val="auto"/>
          <w:sz w:val="30"/>
          <w:szCs w:val="30"/>
          <w:highlight w:val="none"/>
          <w:lang w:val="en-US" w:eastAsia="zh-CN"/>
        </w:rPr>
        <w:t>2</w:t>
      </w:r>
      <w:r>
        <w:rPr>
          <w:rFonts w:hint="eastAsia"/>
          <w:b/>
          <w:color w:val="auto"/>
          <w:sz w:val="30"/>
          <w:szCs w:val="30"/>
          <w:highlight w:val="none"/>
        </w:rPr>
        <w:t>-</w:t>
      </w:r>
      <w:r>
        <w:rPr>
          <w:rFonts w:hint="eastAsia"/>
          <w:b/>
          <w:color w:val="auto"/>
          <w:sz w:val="30"/>
          <w:szCs w:val="30"/>
          <w:highlight w:val="none"/>
          <w:lang w:val="en-US" w:eastAsia="zh-CN"/>
        </w:rPr>
        <w:t>9</w:t>
      </w:r>
      <w:r>
        <w:rPr>
          <w:rFonts w:hint="eastAsia"/>
          <w:b/>
          <w:color w:val="auto"/>
          <w:sz w:val="30"/>
          <w:szCs w:val="30"/>
          <w:highlight w:val="none"/>
        </w:rPr>
        <w:t xml:space="preserve">  </w:t>
      </w:r>
      <w:r>
        <w:rPr>
          <w:rFonts w:hint="eastAsia"/>
          <w:b/>
          <w:bCs/>
          <w:color w:val="auto"/>
          <w:spacing w:val="6"/>
          <w:sz w:val="32"/>
          <w:szCs w:val="32"/>
          <w:highlight w:val="none"/>
        </w:rPr>
        <w:t>残疾人福利性单位声明函</w:t>
      </w:r>
    </w:p>
    <w:p>
      <w:pPr>
        <w:autoSpaceDE w:val="0"/>
        <w:autoSpaceDN w:val="0"/>
        <w:adjustRightInd w:val="0"/>
        <w:spacing w:line="440" w:lineRule="exact"/>
        <w:rPr>
          <w:rFonts w:cs="??_GB2312"/>
          <w:b/>
          <w:bCs/>
          <w:color w:val="auto"/>
          <w:spacing w:val="6"/>
          <w:highlight w:val="none"/>
        </w:rPr>
      </w:pPr>
    </w:p>
    <w:p>
      <w:pPr>
        <w:adjustRightInd w:val="0"/>
        <w:snapToGrid w:val="0"/>
        <w:spacing w:line="440" w:lineRule="exact"/>
        <w:ind w:firstLine="444" w:firstLineChars="200"/>
        <w:rPr>
          <w:color w:val="auto"/>
          <w:spacing w:val="6"/>
          <w:highlight w:val="none"/>
        </w:rPr>
      </w:pPr>
      <w:r>
        <w:rPr>
          <w:rFonts w:hint="eastAsia"/>
          <w:color w:val="auto"/>
          <w:spacing w:val="6"/>
          <w:highlight w:val="none"/>
        </w:rPr>
        <w:t>本单位郑重声明，根据《财政部</w:t>
      </w:r>
      <w:r>
        <w:rPr>
          <w:color w:val="auto"/>
          <w:spacing w:val="6"/>
          <w:highlight w:val="none"/>
        </w:rPr>
        <w:t xml:space="preserve"> </w:t>
      </w:r>
      <w:r>
        <w:rPr>
          <w:rFonts w:hint="eastAsia"/>
          <w:color w:val="auto"/>
          <w:spacing w:val="6"/>
          <w:highlight w:val="none"/>
        </w:rPr>
        <w:t>民政部</w:t>
      </w:r>
      <w:r>
        <w:rPr>
          <w:color w:val="auto"/>
          <w:spacing w:val="6"/>
          <w:highlight w:val="none"/>
        </w:rPr>
        <w:t xml:space="preserve"> </w:t>
      </w:r>
      <w:r>
        <w:rPr>
          <w:rFonts w:hint="eastAsia"/>
          <w:color w:val="auto"/>
          <w:spacing w:val="6"/>
          <w:highlight w:val="none"/>
        </w:rPr>
        <w:t>中国残疾人联合会关于促进残疾人就业政府采购政策的通知》（财库〔</w:t>
      </w:r>
      <w:r>
        <w:rPr>
          <w:color w:val="auto"/>
          <w:spacing w:val="6"/>
          <w:highlight w:val="none"/>
        </w:rPr>
        <w:t>2017</w:t>
      </w:r>
      <w:r>
        <w:rPr>
          <w:rFonts w:hint="eastAsia"/>
          <w:color w:val="auto"/>
          <w:spacing w:val="6"/>
          <w:highlight w:val="none"/>
        </w:rPr>
        <w:t>〕</w:t>
      </w:r>
      <w:r>
        <w:rPr>
          <w:color w:val="auto"/>
          <w:spacing w:val="6"/>
          <w:highlight w:val="none"/>
        </w:rPr>
        <w:t xml:space="preserve"> 141</w:t>
      </w:r>
      <w:r>
        <w:rPr>
          <w:rFonts w:hint="eastAsia"/>
          <w:color w:val="auto"/>
          <w:spacing w:val="6"/>
          <w:highlight w:val="none"/>
        </w:rPr>
        <w:t>号）的规定，本单位为符合条件的残疾人福利性单位，且本单位参加</w:t>
      </w:r>
      <w:r>
        <w:rPr>
          <w:color w:val="auto"/>
          <w:spacing w:val="6"/>
          <w:highlight w:val="none"/>
        </w:rPr>
        <w:t>______</w:t>
      </w:r>
      <w:r>
        <w:rPr>
          <w:rFonts w:hint="eastAsia"/>
          <w:color w:val="auto"/>
          <w:spacing w:val="6"/>
          <w:highlight w:val="none"/>
        </w:rPr>
        <w:t>单位的</w:t>
      </w:r>
      <w:r>
        <w:rPr>
          <w:color w:val="auto"/>
          <w:spacing w:val="6"/>
          <w:highlight w:val="none"/>
        </w:rPr>
        <w:t>______</w:t>
      </w:r>
      <w:r>
        <w:rPr>
          <w:rFonts w:hint="eastAsia"/>
          <w:color w:val="auto"/>
          <w:spacing w:val="6"/>
          <w:highlight w:val="none"/>
        </w:rPr>
        <w:t>项目采购活动提供本单位制造的货物（由本单位承担工程</w:t>
      </w:r>
      <w:r>
        <w:rPr>
          <w:color w:val="auto"/>
          <w:spacing w:val="6"/>
          <w:highlight w:val="none"/>
        </w:rPr>
        <w:t>/</w:t>
      </w:r>
      <w:r>
        <w:rPr>
          <w:rFonts w:hint="eastAsia"/>
          <w:color w:val="auto"/>
          <w:spacing w:val="6"/>
          <w:highlight w:val="none"/>
        </w:rPr>
        <w:t>提供服务），或者提供其他残疾人福利性单位制造的货物（不包括使用非残疾人福利性单位注册商标的货物）。</w:t>
      </w:r>
    </w:p>
    <w:p>
      <w:pPr>
        <w:adjustRightInd w:val="0"/>
        <w:snapToGrid w:val="0"/>
        <w:spacing w:line="440" w:lineRule="exact"/>
        <w:ind w:firstLine="444" w:firstLineChars="200"/>
        <w:rPr>
          <w:color w:val="auto"/>
          <w:spacing w:val="6"/>
          <w:highlight w:val="none"/>
        </w:rPr>
      </w:pPr>
      <w:r>
        <w:rPr>
          <w:rFonts w:hint="eastAsia"/>
          <w:color w:val="auto"/>
          <w:spacing w:val="6"/>
          <w:highlight w:val="none"/>
        </w:rPr>
        <w:t>本单位对上述声明的真实性负责。如有虚假，将依法承担相应责任。</w:t>
      </w:r>
      <w:r>
        <w:rPr>
          <w:color w:val="auto"/>
          <w:spacing w:val="6"/>
          <w:highlight w:val="none"/>
        </w:rPr>
        <w:t xml:space="preserve"> </w:t>
      </w:r>
    </w:p>
    <w:p>
      <w:pPr>
        <w:adjustRightInd w:val="0"/>
        <w:snapToGrid w:val="0"/>
        <w:spacing w:line="440" w:lineRule="exact"/>
        <w:ind w:firstLine="444" w:firstLineChars="200"/>
        <w:rPr>
          <w:color w:val="auto"/>
          <w:spacing w:val="6"/>
          <w:highlight w:val="none"/>
        </w:rPr>
      </w:pPr>
    </w:p>
    <w:p>
      <w:pPr>
        <w:adjustRightInd w:val="0"/>
        <w:snapToGrid w:val="0"/>
        <w:spacing w:line="440" w:lineRule="exact"/>
        <w:ind w:firstLine="4884" w:firstLineChars="2200"/>
        <w:rPr>
          <w:color w:val="auto"/>
          <w:spacing w:val="6"/>
          <w:highlight w:val="none"/>
        </w:rPr>
      </w:pPr>
      <w:r>
        <w:rPr>
          <w:rFonts w:hint="eastAsia"/>
          <w:color w:val="auto"/>
          <w:spacing w:val="6"/>
          <w:highlight w:val="none"/>
        </w:rPr>
        <w:t>单位名称（盖章）：</w:t>
      </w:r>
    </w:p>
    <w:p>
      <w:pPr>
        <w:adjustRightInd w:val="0"/>
        <w:snapToGrid w:val="0"/>
        <w:spacing w:line="440" w:lineRule="exact"/>
        <w:ind w:firstLine="444" w:firstLineChars="200"/>
        <w:rPr>
          <w:b/>
          <w:color w:val="auto"/>
          <w:sz w:val="30"/>
          <w:szCs w:val="30"/>
          <w:highlight w:val="none"/>
        </w:rPr>
      </w:pPr>
      <w:r>
        <w:rPr>
          <w:color w:val="auto"/>
          <w:spacing w:val="6"/>
          <w:highlight w:val="none"/>
        </w:rPr>
        <w:t xml:space="preserve">                                      </w:t>
      </w:r>
      <w:r>
        <w:rPr>
          <w:rFonts w:hint="eastAsia"/>
          <w:color w:val="auto"/>
          <w:spacing w:val="6"/>
          <w:highlight w:val="none"/>
        </w:rPr>
        <w:t>日</w:t>
      </w:r>
      <w:r>
        <w:rPr>
          <w:color w:val="auto"/>
          <w:spacing w:val="6"/>
          <w:highlight w:val="none"/>
        </w:rPr>
        <w:t xml:space="preserve">  </w:t>
      </w:r>
      <w:r>
        <w:rPr>
          <w:rFonts w:hint="eastAsia"/>
          <w:color w:val="auto"/>
          <w:spacing w:val="6"/>
          <w:highlight w:val="none"/>
        </w:rPr>
        <w:t>期：</w:t>
      </w:r>
    </w:p>
    <w:p>
      <w:pPr>
        <w:spacing w:line="440" w:lineRule="exact"/>
        <w:jc w:val="center"/>
        <w:rPr>
          <w:b/>
          <w:color w:val="auto"/>
          <w:sz w:val="32"/>
          <w:szCs w:val="32"/>
          <w:highlight w:val="none"/>
        </w:rPr>
      </w:pPr>
      <w:r>
        <w:rPr>
          <w:rFonts w:hint="eastAsia"/>
          <w:b/>
          <w:color w:val="auto"/>
          <w:sz w:val="30"/>
          <w:szCs w:val="30"/>
          <w:highlight w:val="none"/>
        </w:rPr>
        <w:t>附件</w:t>
      </w:r>
      <w:r>
        <w:rPr>
          <w:b/>
          <w:color w:val="auto"/>
          <w:sz w:val="30"/>
          <w:szCs w:val="30"/>
          <w:highlight w:val="none"/>
        </w:rPr>
        <w:t>2</w:t>
      </w:r>
      <w:r>
        <w:rPr>
          <w:rFonts w:hint="eastAsia"/>
          <w:b/>
          <w:color w:val="auto"/>
          <w:sz w:val="30"/>
          <w:szCs w:val="30"/>
          <w:highlight w:val="none"/>
        </w:rPr>
        <w:t>-</w:t>
      </w:r>
      <w:r>
        <w:rPr>
          <w:b/>
          <w:color w:val="auto"/>
          <w:sz w:val="30"/>
          <w:szCs w:val="30"/>
          <w:highlight w:val="none"/>
        </w:rPr>
        <w:t>1</w:t>
      </w:r>
      <w:r>
        <w:rPr>
          <w:rFonts w:hint="eastAsia"/>
          <w:b/>
          <w:color w:val="auto"/>
          <w:sz w:val="30"/>
          <w:szCs w:val="30"/>
          <w:highlight w:val="none"/>
          <w:lang w:val="en-US" w:eastAsia="zh-CN"/>
        </w:rPr>
        <w:t>0</w:t>
      </w:r>
      <w:r>
        <w:rPr>
          <w:rFonts w:hint="eastAsia"/>
          <w:b/>
          <w:color w:val="auto"/>
          <w:sz w:val="30"/>
          <w:szCs w:val="30"/>
          <w:highlight w:val="none"/>
        </w:rPr>
        <w:t xml:space="preserve">  </w:t>
      </w:r>
      <w:r>
        <w:rPr>
          <w:rFonts w:hint="eastAsia"/>
          <w:b/>
          <w:color w:val="auto"/>
          <w:sz w:val="32"/>
          <w:szCs w:val="32"/>
          <w:highlight w:val="none"/>
        </w:rPr>
        <w:t>项目负责人简历表及拟投入本项目主要成员表</w:t>
      </w:r>
    </w:p>
    <w:p>
      <w:pPr>
        <w:numPr>
          <w:ilvl w:val="0"/>
          <w:numId w:val="5"/>
        </w:numPr>
        <w:spacing w:line="440" w:lineRule="exact"/>
        <w:rPr>
          <w:b/>
          <w:color w:val="auto"/>
          <w:highlight w:val="none"/>
        </w:rPr>
      </w:pPr>
      <w:r>
        <w:rPr>
          <w:rFonts w:hint="eastAsia"/>
          <w:b/>
          <w:color w:val="auto"/>
          <w:highlight w:val="none"/>
        </w:rPr>
        <w:t>项目负责人简历表</w:t>
      </w:r>
    </w:p>
    <w:tbl>
      <w:tblPr>
        <w:tblStyle w:val="23"/>
        <w:tblW w:w="0" w:type="auto"/>
        <w:tblInd w:w="0" w:type="dxa"/>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color w:val="auto"/>
                <w:highlight w:val="none"/>
              </w:rPr>
            </w:pPr>
            <w:r>
              <w:rPr>
                <w:rFonts w:hint="eastAsia"/>
                <w:color w:val="auto"/>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color w:val="auto"/>
                <w:highlight w:val="none"/>
              </w:rPr>
            </w:pPr>
          </w:p>
          <w:p>
            <w:pPr>
              <w:spacing w:line="440" w:lineRule="exact"/>
              <w:rPr>
                <w:color w:val="auto"/>
                <w:highlight w:val="none"/>
              </w:rPr>
            </w:pPr>
            <w:r>
              <w:rPr>
                <w:rFonts w:hint="eastAsia"/>
                <w:color w:val="auto"/>
                <w:highlight w:val="none"/>
              </w:rPr>
              <w:t>主要经历</w:t>
            </w:r>
          </w:p>
          <w:p>
            <w:pPr>
              <w:spacing w:line="440" w:lineRule="exact"/>
              <w:rPr>
                <w:color w:val="auto"/>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p>
            <w:pPr>
              <w:spacing w:line="440" w:lineRule="exact"/>
              <w:rPr>
                <w:color w:val="auto"/>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r>
              <w:rPr>
                <w:rFonts w:hint="eastAsia"/>
                <w:color w:val="auto"/>
                <w:highlight w:val="none"/>
              </w:rPr>
              <w:t>备注</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color w:val="auto"/>
                <w:highlight w:val="none"/>
              </w:rPr>
            </w:pPr>
          </w:p>
        </w:tc>
      </w:tr>
    </w:tbl>
    <w:p>
      <w:pPr>
        <w:autoSpaceDE w:val="0"/>
        <w:autoSpaceDN w:val="0"/>
        <w:adjustRightInd w:val="0"/>
        <w:spacing w:line="440" w:lineRule="exact"/>
        <w:rPr>
          <w:b/>
          <w:bCs/>
          <w:color w:val="auto"/>
          <w:highlight w:val="none"/>
        </w:rPr>
      </w:pPr>
      <w:r>
        <w:rPr>
          <w:b/>
          <w:bCs/>
          <w:color w:val="auto"/>
          <w:highlight w:val="none"/>
        </w:rPr>
        <w:t>2</w:t>
      </w:r>
      <w:r>
        <w:rPr>
          <w:rFonts w:hint="eastAsia"/>
          <w:b/>
          <w:bCs/>
          <w:color w:val="auto"/>
          <w:highlight w:val="none"/>
        </w:rPr>
        <w:t>、拟投入本项目的主要成员表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color w:val="auto"/>
                <w:highlight w:val="none"/>
              </w:rPr>
            </w:pPr>
            <w:r>
              <w:rPr>
                <w:rFonts w:hint="eastAsia"/>
                <w:color w:val="auto"/>
                <w:highlight w:val="none"/>
              </w:rPr>
              <w:t>序号</w:t>
            </w:r>
          </w:p>
        </w:tc>
        <w:tc>
          <w:tcPr>
            <w:tcW w:w="1330" w:type="dxa"/>
            <w:noWrap w:val="0"/>
            <w:vAlign w:val="center"/>
          </w:tcPr>
          <w:p>
            <w:pPr>
              <w:spacing w:line="440" w:lineRule="exact"/>
              <w:jc w:val="center"/>
              <w:rPr>
                <w:color w:val="auto"/>
                <w:highlight w:val="none"/>
              </w:rPr>
            </w:pPr>
            <w:r>
              <w:rPr>
                <w:rFonts w:hint="eastAsia"/>
                <w:color w:val="auto"/>
                <w:highlight w:val="none"/>
              </w:rPr>
              <w:t>姓名</w:t>
            </w:r>
          </w:p>
        </w:tc>
        <w:tc>
          <w:tcPr>
            <w:tcW w:w="2040" w:type="dxa"/>
            <w:noWrap w:val="0"/>
            <w:vAlign w:val="center"/>
          </w:tcPr>
          <w:p>
            <w:pPr>
              <w:spacing w:line="440" w:lineRule="exact"/>
              <w:jc w:val="center"/>
              <w:rPr>
                <w:color w:val="auto"/>
                <w:highlight w:val="none"/>
              </w:rPr>
            </w:pPr>
            <w:r>
              <w:rPr>
                <w:rFonts w:hint="eastAsia"/>
                <w:color w:val="auto"/>
                <w:highlight w:val="none"/>
              </w:rPr>
              <w:t>性别</w:t>
            </w:r>
          </w:p>
        </w:tc>
        <w:tc>
          <w:tcPr>
            <w:tcW w:w="1939" w:type="dxa"/>
            <w:noWrap w:val="0"/>
            <w:vAlign w:val="center"/>
          </w:tcPr>
          <w:p>
            <w:pPr>
              <w:spacing w:line="440" w:lineRule="exact"/>
              <w:jc w:val="center"/>
              <w:rPr>
                <w:color w:val="auto"/>
                <w:highlight w:val="none"/>
              </w:rPr>
            </w:pPr>
            <w:r>
              <w:rPr>
                <w:rFonts w:hint="eastAsia"/>
                <w:color w:val="auto"/>
                <w:highlight w:val="none"/>
              </w:rPr>
              <w:t>职称</w:t>
            </w:r>
          </w:p>
        </w:tc>
        <w:tc>
          <w:tcPr>
            <w:tcW w:w="1799" w:type="dxa"/>
            <w:noWrap w:val="0"/>
            <w:vAlign w:val="center"/>
          </w:tcPr>
          <w:p>
            <w:pPr>
              <w:spacing w:line="440" w:lineRule="exact"/>
              <w:jc w:val="center"/>
              <w:rPr>
                <w:color w:val="auto"/>
                <w:highlight w:val="none"/>
              </w:rPr>
            </w:pPr>
            <w:r>
              <w:rPr>
                <w:rFonts w:hint="eastAsia"/>
                <w:color w:val="auto"/>
                <w:highlight w:val="none"/>
              </w:rPr>
              <w:t>岗位</w:t>
            </w:r>
          </w:p>
        </w:tc>
        <w:tc>
          <w:tcPr>
            <w:tcW w:w="2006" w:type="dxa"/>
            <w:noWrap w:val="0"/>
            <w:vAlign w:val="center"/>
          </w:tcPr>
          <w:p>
            <w:pPr>
              <w:spacing w:line="440" w:lineRule="exact"/>
              <w:jc w:val="center"/>
              <w:rPr>
                <w:color w:val="auto"/>
                <w:highlight w:val="none"/>
              </w:rPr>
            </w:pPr>
            <w:r>
              <w:rPr>
                <w:rFonts w:hint="eastAsia"/>
                <w:color w:val="auto"/>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color w:val="auto"/>
                <w:highlight w:val="none"/>
              </w:rPr>
            </w:pPr>
            <w:r>
              <w:rPr>
                <w:color w:val="auto"/>
                <w:highlight w:val="none"/>
              </w:rPr>
              <w:t>1</w:t>
            </w:r>
          </w:p>
        </w:tc>
        <w:tc>
          <w:tcPr>
            <w:tcW w:w="1330" w:type="dxa"/>
            <w:noWrap w:val="0"/>
            <w:vAlign w:val="top"/>
          </w:tcPr>
          <w:p>
            <w:pPr>
              <w:spacing w:line="440" w:lineRule="exact"/>
              <w:jc w:val="center"/>
              <w:rPr>
                <w:color w:val="auto"/>
                <w:highlight w:val="none"/>
              </w:rPr>
            </w:pPr>
          </w:p>
        </w:tc>
        <w:tc>
          <w:tcPr>
            <w:tcW w:w="2040" w:type="dxa"/>
            <w:noWrap w:val="0"/>
            <w:vAlign w:val="top"/>
          </w:tcPr>
          <w:p>
            <w:pPr>
              <w:spacing w:line="440" w:lineRule="exact"/>
              <w:jc w:val="center"/>
              <w:rPr>
                <w:color w:val="auto"/>
                <w:highlight w:val="none"/>
              </w:rPr>
            </w:pPr>
          </w:p>
        </w:tc>
        <w:tc>
          <w:tcPr>
            <w:tcW w:w="1939" w:type="dxa"/>
            <w:noWrap w:val="0"/>
            <w:vAlign w:val="top"/>
          </w:tcPr>
          <w:p>
            <w:pPr>
              <w:spacing w:line="440" w:lineRule="exact"/>
              <w:jc w:val="center"/>
              <w:rPr>
                <w:color w:val="auto"/>
                <w:highlight w:val="none"/>
              </w:rPr>
            </w:pPr>
          </w:p>
        </w:tc>
        <w:tc>
          <w:tcPr>
            <w:tcW w:w="1799" w:type="dxa"/>
            <w:noWrap w:val="0"/>
            <w:vAlign w:val="top"/>
          </w:tcPr>
          <w:p>
            <w:pPr>
              <w:spacing w:line="440" w:lineRule="exact"/>
              <w:jc w:val="center"/>
              <w:rPr>
                <w:color w:val="auto"/>
                <w:highlight w:val="none"/>
              </w:rPr>
            </w:pPr>
          </w:p>
        </w:tc>
        <w:tc>
          <w:tcPr>
            <w:tcW w:w="2006"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color w:val="auto"/>
                <w:highlight w:val="none"/>
              </w:rPr>
            </w:pPr>
            <w:r>
              <w:rPr>
                <w:color w:val="auto"/>
                <w:highlight w:val="none"/>
              </w:rPr>
              <w:t>2</w:t>
            </w:r>
          </w:p>
        </w:tc>
        <w:tc>
          <w:tcPr>
            <w:tcW w:w="1330" w:type="dxa"/>
            <w:noWrap w:val="0"/>
            <w:vAlign w:val="top"/>
          </w:tcPr>
          <w:p>
            <w:pPr>
              <w:spacing w:line="440" w:lineRule="exact"/>
              <w:jc w:val="center"/>
              <w:rPr>
                <w:color w:val="auto"/>
                <w:highlight w:val="none"/>
              </w:rPr>
            </w:pPr>
          </w:p>
        </w:tc>
        <w:tc>
          <w:tcPr>
            <w:tcW w:w="2040" w:type="dxa"/>
            <w:noWrap w:val="0"/>
            <w:vAlign w:val="top"/>
          </w:tcPr>
          <w:p>
            <w:pPr>
              <w:spacing w:line="440" w:lineRule="exact"/>
              <w:jc w:val="center"/>
              <w:rPr>
                <w:color w:val="auto"/>
                <w:highlight w:val="none"/>
              </w:rPr>
            </w:pPr>
          </w:p>
        </w:tc>
        <w:tc>
          <w:tcPr>
            <w:tcW w:w="1939" w:type="dxa"/>
            <w:noWrap w:val="0"/>
            <w:vAlign w:val="top"/>
          </w:tcPr>
          <w:p>
            <w:pPr>
              <w:spacing w:line="440" w:lineRule="exact"/>
              <w:jc w:val="center"/>
              <w:rPr>
                <w:color w:val="auto"/>
                <w:highlight w:val="none"/>
              </w:rPr>
            </w:pPr>
          </w:p>
        </w:tc>
        <w:tc>
          <w:tcPr>
            <w:tcW w:w="1799" w:type="dxa"/>
            <w:noWrap w:val="0"/>
            <w:vAlign w:val="top"/>
          </w:tcPr>
          <w:p>
            <w:pPr>
              <w:spacing w:line="440" w:lineRule="exact"/>
              <w:jc w:val="center"/>
              <w:rPr>
                <w:color w:val="auto"/>
                <w:highlight w:val="none"/>
              </w:rPr>
            </w:pPr>
          </w:p>
        </w:tc>
        <w:tc>
          <w:tcPr>
            <w:tcW w:w="2006"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color w:val="auto"/>
                <w:highlight w:val="none"/>
              </w:rPr>
            </w:pPr>
            <w:r>
              <w:rPr>
                <w:color w:val="auto"/>
                <w:highlight w:val="none"/>
              </w:rPr>
              <w:t>3</w:t>
            </w:r>
          </w:p>
        </w:tc>
        <w:tc>
          <w:tcPr>
            <w:tcW w:w="1330" w:type="dxa"/>
            <w:noWrap w:val="0"/>
            <w:vAlign w:val="top"/>
          </w:tcPr>
          <w:p>
            <w:pPr>
              <w:spacing w:line="440" w:lineRule="exact"/>
              <w:jc w:val="center"/>
              <w:rPr>
                <w:color w:val="auto"/>
                <w:highlight w:val="none"/>
              </w:rPr>
            </w:pPr>
          </w:p>
        </w:tc>
        <w:tc>
          <w:tcPr>
            <w:tcW w:w="2040" w:type="dxa"/>
            <w:noWrap w:val="0"/>
            <w:vAlign w:val="top"/>
          </w:tcPr>
          <w:p>
            <w:pPr>
              <w:spacing w:line="440" w:lineRule="exact"/>
              <w:jc w:val="center"/>
              <w:rPr>
                <w:color w:val="auto"/>
                <w:highlight w:val="none"/>
              </w:rPr>
            </w:pPr>
          </w:p>
        </w:tc>
        <w:tc>
          <w:tcPr>
            <w:tcW w:w="1939" w:type="dxa"/>
            <w:noWrap w:val="0"/>
            <w:vAlign w:val="top"/>
          </w:tcPr>
          <w:p>
            <w:pPr>
              <w:spacing w:line="440" w:lineRule="exact"/>
              <w:jc w:val="center"/>
              <w:rPr>
                <w:color w:val="auto"/>
                <w:highlight w:val="none"/>
              </w:rPr>
            </w:pPr>
          </w:p>
        </w:tc>
        <w:tc>
          <w:tcPr>
            <w:tcW w:w="1799" w:type="dxa"/>
            <w:noWrap w:val="0"/>
            <w:vAlign w:val="top"/>
          </w:tcPr>
          <w:p>
            <w:pPr>
              <w:spacing w:line="440" w:lineRule="exact"/>
              <w:jc w:val="center"/>
              <w:rPr>
                <w:color w:val="auto"/>
                <w:highlight w:val="none"/>
              </w:rPr>
            </w:pPr>
          </w:p>
        </w:tc>
        <w:tc>
          <w:tcPr>
            <w:tcW w:w="2006"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color w:val="auto"/>
                <w:highlight w:val="none"/>
              </w:rPr>
            </w:pPr>
            <w:r>
              <w:rPr>
                <w:rFonts w:hint="eastAsia"/>
                <w:color w:val="auto"/>
                <w:highlight w:val="none"/>
              </w:rPr>
              <w:t>…</w:t>
            </w:r>
          </w:p>
        </w:tc>
        <w:tc>
          <w:tcPr>
            <w:tcW w:w="1330" w:type="dxa"/>
            <w:noWrap w:val="0"/>
            <w:vAlign w:val="top"/>
          </w:tcPr>
          <w:p>
            <w:pPr>
              <w:spacing w:line="440" w:lineRule="exact"/>
              <w:jc w:val="center"/>
              <w:rPr>
                <w:color w:val="auto"/>
                <w:highlight w:val="none"/>
              </w:rPr>
            </w:pPr>
          </w:p>
        </w:tc>
        <w:tc>
          <w:tcPr>
            <w:tcW w:w="2040" w:type="dxa"/>
            <w:noWrap w:val="0"/>
            <w:vAlign w:val="top"/>
          </w:tcPr>
          <w:p>
            <w:pPr>
              <w:spacing w:line="440" w:lineRule="exact"/>
              <w:jc w:val="center"/>
              <w:rPr>
                <w:color w:val="auto"/>
                <w:highlight w:val="none"/>
              </w:rPr>
            </w:pPr>
          </w:p>
        </w:tc>
        <w:tc>
          <w:tcPr>
            <w:tcW w:w="1939" w:type="dxa"/>
            <w:noWrap w:val="0"/>
            <w:vAlign w:val="top"/>
          </w:tcPr>
          <w:p>
            <w:pPr>
              <w:spacing w:line="440" w:lineRule="exact"/>
              <w:jc w:val="center"/>
              <w:rPr>
                <w:color w:val="auto"/>
                <w:highlight w:val="none"/>
              </w:rPr>
            </w:pPr>
          </w:p>
        </w:tc>
        <w:tc>
          <w:tcPr>
            <w:tcW w:w="1799" w:type="dxa"/>
            <w:noWrap w:val="0"/>
            <w:vAlign w:val="top"/>
          </w:tcPr>
          <w:p>
            <w:pPr>
              <w:spacing w:line="440" w:lineRule="exact"/>
              <w:jc w:val="center"/>
              <w:rPr>
                <w:color w:val="auto"/>
                <w:highlight w:val="none"/>
              </w:rPr>
            </w:pPr>
          </w:p>
        </w:tc>
        <w:tc>
          <w:tcPr>
            <w:tcW w:w="2006" w:type="dxa"/>
            <w:noWrap w:val="0"/>
            <w:vAlign w:val="top"/>
          </w:tcPr>
          <w:p>
            <w:pPr>
              <w:spacing w:line="440" w:lineRule="exact"/>
              <w:jc w:val="center"/>
              <w:rPr>
                <w:color w:val="auto"/>
                <w:highlight w:val="none"/>
              </w:rPr>
            </w:pPr>
          </w:p>
        </w:tc>
      </w:tr>
    </w:tbl>
    <w:p>
      <w:pPr>
        <w:spacing w:line="440" w:lineRule="exact"/>
        <w:rPr>
          <w:color w:val="auto"/>
          <w:highlight w:val="none"/>
          <w:u w:val="single"/>
        </w:rPr>
      </w:pPr>
      <w:r>
        <w:rPr>
          <w:rFonts w:hint="eastAsia"/>
          <w:color w:val="auto"/>
          <w:highlight w:val="none"/>
        </w:rPr>
        <w:t>投标人名称（公章）：</w:t>
      </w:r>
      <w:r>
        <w:rPr>
          <w:rFonts w:hint="eastAsia"/>
          <w:color w:val="auto"/>
          <w:highlight w:val="none"/>
          <w:u w:val="single"/>
        </w:rPr>
        <w:t xml:space="preserve">　　　　　         </w:t>
      </w:r>
    </w:p>
    <w:p>
      <w:pPr>
        <w:spacing w:line="440" w:lineRule="exact"/>
        <w:rPr>
          <w:color w:val="auto"/>
          <w:highlight w:val="none"/>
        </w:rPr>
      </w:pPr>
      <w:r>
        <w:rPr>
          <w:rFonts w:hint="eastAsia"/>
          <w:color w:val="auto"/>
          <w:highlight w:val="none"/>
        </w:rPr>
        <w:t>投标人代表签字：</w:t>
      </w:r>
    </w:p>
    <w:p>
      <w:pPr>
        <w:spacing w:line="440" w:lineRule="exact"/>
        <w:rPr>
          <w:color w:val="auto"/>
          <w:highlight w:val="none"/>
        </w:rPr>
      </w:pPr>
      <w:r>
        <w:rPr>
          <w:rFonts w:hint="eastAsia"/>
          <w:color w:val="auto"/>
          <w:highlight w:val="none"/>
        </w:rPr>
        <w:t>日期：</w:t>
      </w:r>
      <w:r>
        <w:rPr>
          <w:color w:val="auto"/>
          <w:highlight w:val="none"/>
        </w:rPr>
        <w:t>20</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　</w:t>
      </w:r>
    </w:p>
    <w:p>
      <w:pPr>
        <w:adjustRightInd w:val="0"/>
        <w:snapToGrid w:val="0"/>
        <w:spacing w:line="440" w:lineRule="exact"/>
        <w:ind w:firstLine="422" w:firstLineChars="200"/>
        <w:rPr>
          <w:b/>
          <w:color w:val="auto"/>
          <w:highlight w:val="none"/>
        </w:rPr>
      </w:pPr>
      <w:r>
        <w:rPr>
          <w:rFonts w:hint="eastAsia"/>
          <w:b/>
          <w:color w:val="auto"/>
          <w:highlight w:val="none"/>
        </w:rPr>
        <w:t>注：后附人员相关资格证书复印件。</w:t>
      </w:r>
    </w:p>
    <w:p>
      <w:pPr>
        <w:spacing w:line="440" w:lineRule="exact"/>
        <w:jc w:val="center"/>
        <w:rPr>
          <w:b/>
          <w:color w:val="auto"/>
          <w:sz w:val="32"/>
          <w:szCs w:val="32"/>
          <w:highlight w:val="none"/>
        </w:rPr>
      </w:pPr>
      <w:r>
        <w:rPr>
          <w:rFonts w:hint="eastAsia"/>
          <w:b/>
          <w:color w:val="auto"/>
          <w:sz w:val="32"/>
          <w:szCs w:val="32"/>
          <w:highlight w:val="none"/>
        </w:rPr>
        <w:br w:type="page"/>
      </w:r>
      <w:r>
        <w:rPr>
          <w:rFonts w:hint="eastAsia"/>
          <w:b/>
          <w:color w:val="auto"/>
          <w:sz w:val="30"/>
          <w:szCs w:val="30"/>
          <w:highlight w:val="none"/>
        </w:rPr>
        <w:t>附件</w:t>
      </w:r>
      <w:r>
        <w:rPr>
          <w:b/>
          <w:color w:val="auto"/>
          <w:sz w:val="30"/>
          <w:szCs w:val="30"/>
          <w:highlight w:val="none"/>
        </w:rPr>
        <w:t>2</w:t>
      </w:r>
      <w:r>
        <w:rPr>
          <w:rFonts w:hint="eastAsia"/>
          <w:b/>
          <w:color w:val="auto"/>
          <w:sz w:val="30"/>
          <w:szCs w:val="30"/>
          <w:highlight w:val="none"/>
        </w:rPr>
        <w:t>-</w:t>
      </w:r>
      <w:r>
        <w:rPr>
          <w:rFonts w:hint="eastAsia"/>
          <w:b/>
          <w:color w:val="auto"/>
          <w:sz w:val="30"/>
          <w:szCs w:val="30"/>
          <w:highlight w:val="none"/>
          <w:lang w:val="en-US" w:eastAsia="zh-CN"/>
        </w:rPr>
        <w:t>11</w:t>
      </w:r>
      <w:r>
        <w:rPr>
          <w:rFonts w:hint="eastAsia"/>
          <w:b/>
          <w:color w:val="auto"/>
          <w:sz w:val="30"/>
          <w:szCs w:val="30"/>
          <w:highlight w:val="none"/>
        </w:rPr>
        <w:t xml:space="preserve">  </w:t>
      </w:r>
      <w:r>
        <w:rPr>
          <w:rFonts w:hint="eastAsia"/>
          <w:b/>
          <w:color w:val="auto"/>
          <w:sz w:val="32"/>
          <w:szCs w:val="32"/>
          <w:highlight w:val="none"/>
        </w:rPr>
        <w:t>近三年经营业绩表</w:t>
      </w:r>
    </w:p>
    <w:p>
      <w:pPr>
        <w:spacing w:line="440" w:lineRule="exact"/>
        <w:rPr>
          <w:color w:val="auto"/>
          <w:highlight w:val="none"/>
          <w:u w:val="single"/>
        </w:rPr>
      </w:pPr>
      <w:r>
        <w:rPr>
          <w:rFonts w:hint="eastAsia"/>
          <w:color w:val="auto"/>
          <w:highlight w:val="none"/>
        </w:rPr>
        <w:t>投标人名称（公章）：</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w:t>
      </w:r>
    </w:p>
    <w:p>
      <w:pPr>
        <w:spacing w:line="440" w:lineRule="exact"/>
        <w:rPr>
          <w:color w:val="auto"/>
          <w:highlight w:val="none"/>
          <w:u w:val="single"/>
        </w:rPr>
      </w:pPr>
      <w:r>
        <w:rPr>
          <w:rFonts w:hint="eastAsia"/>
          <w:color w:val="auto"/>
          <w:highlight w:val="none"/>
        </w:rPr>
        <w:t>所投内容/分包：</w:t>
      </w:r>
      <w:r>
        <w:rPr>
          <w:rFonts w:hint="eastAsia"/>
          <w:color w:val="auto"/>
          <w:highlight w:val="none"/>
          <w:u w:val="single"/>
        </w:rPr>
        <w:t xml:space="preserve">　　　　           </w:t>
      </w:r>
      <w:r>
        <w:rPr>
          <w:rFonts w:hint="eastAsia"/>
          <w:color w:val="auto"/>
          <w:highlight w:val="none"/>
        </w:rPr>
        <w:t>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color w:val="auto"/>
                <w:highlight w:val="none"/>
              </w:rPr>
            </w:pPr>
            <w:r>
              <w:rPr>
                <w:rFonts w:hint="eastAsia"/>
                <w:color w:val="auto"/>
                <w:highlight w:val="none"/>
              </w:rPr>
              <w:t>地区</w:t>
            </w:r>
          </w:p>
        </w:tc>
        <w:tc>
          <w:tcPr>
            <w:tcW w:w="3763" w:type="dxa"/>
            <w:noWrap w:val="0"/>
            <w:vAlign w:val="top"/>
          </w:tcPr>
          <w:p>
            <w:pPr>
              <w:spacing w:line="440" w:lineRule="exact"/>
              <w:jc w:val="center"/>
              <w:rPr>
                <w:color w:val="auto"/>
                <w:highlight w:val="none"/>
              </w:rPr>
            </w:pPr>
            <w:r>
              <w:rPr>
                <w:rFonts w:hint="eastAsia"/>
                <w:color w:val="auto"/>
                <w:highlight w:val="none"/>
              </w:rPr>
              <w:t>项目名称</w:t>
            </w:r>
          </w:p>
        </w:tc>
        <w:tc>
          <w:tcPr>
            <w:tcW w:w="2154" w:type="dxa"/>
            <w:noWrap w:val="0"/>
            <w:vAlign w:val="top"/>
          </w:tcPr>
          <w:p>
            <w:pPr>
              <w:spacing w:line="440" w:lineRule="exact"/>
              <w:jc w:val="center"/>
              <w:rPr>
                <w:color w:val="auto"/>
                <w:highlight w:val="none"/>
              </w:rPr>
            </w:pPr>
            <w:r>
              <w:rPr>
                <w:rFonts w:hint="eastAsia"/>
                <w:color w:val="auto"/>
                <w:highlight w:val="none"/>
              </w:rPr>
              <w:t>金额</w:t>
            </w:r>
          </w:p>
        </w:tc>
        <w:tc>
          <w:tcPr>
            <w:tcW w:w="1719" w:type="dxa"/>
            <w:noWrap w:val="0"/>
            <w:vAlign w:val="top"/>
          </w:tcPr>
          <w:p>
            <w:pPr>
              <w:spacing w:line="440" w:lineRule="exact"/>
              <w:jc w:val="center"/>
              <w:rPr>
                <w:color w:val="auto"/>
                <w:highlight w:val="none"/>
              </w:rPr>
            </w:pPr>
            <w:r>
              <w:rPr>
                <w:rFonts w:hint="eastAsia"/>
                <w:color w:val="auto"/>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color w:val="auto"/>
                <w:highlight w:val="none"/>
              </w:rPr>
            </w:pPr>
          </w:p>
        </w:tc>
        <w:tc>
          <w:tcPr>
            <w:tcW w:w="3763" w:type="dxa"/>
            <w:noWrap w:val="0"/>
            <w:vAlign w:val="top"/>
          </w:tcPr>
          <w:p>
            <w:pPr>
              <w:spacing w:line="440" w:lineRule="exact"/>
              <w:jc w:val="center"/>
              <w:rPr>
                <w:color w:val="auto"/>
                <w:highlight w:val="none"/>
              </w:rPr>
            </w:pPr>
          </w:p>
        </w:tc>
        <w:tc>
          <w:tcPr>
            <w:tcW w:w="2154" w:type="dxa"/>
            <w:noWrap w:val="0"/>
            <w:vAlign w:val="top"/>
          </w:tcPr>
          <w:p>
            <w:pPr>
              <w:spacing w:line="440" w:lineRule="exact"/>
              <w:jc w:val="center"/>
              <w:rPr>
                <w:color w:val="auto"/>
                <w:highlight w:val="none"/>
              </w:rPr>
            </w:pPr>
          </w:p>
        </w:tc>
        <w:tc>
          <w:tcPr>
            <w:tcW w:w="1719"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color w:val="auto"/>
                <w:highlight w:val="none"/>
              </w:rPr>
            </w:pPr>
          </w:p>
        </w:tc>
        <w:tc>
          <w:tcPr>
            <w:tcW w:w="3763" w:type="dxa"/>
            <w:noWrap w:val="0"/>
            <w:vAlign w:val="top"/>
          </w:tcPr>
          <w:p>
            <w:pPr>
              <w:spacing w:line="440" w:lineRule="exact"/>
              <w:jc w:val="center"/>
              <w:rPr>
                <w:color w:val="auto"/>
                <w:highlight w:val="none"/>
              </w:rPr>
            </w:pPr>
          </w:p>
        </w:tc>
        <w:tc>
          <w:tcPr>
            <w:tcW w:w="2154" w:type="dxa"/>
            <w:noWrap w:val="0"/>
            <w:vAlign w:val="top"/>
          </w:tcPr>
          <w:p>
            <w:pPr>
              <w:spacing w:line="440" w:lineRule="exact"/>
              <w:jc w:val="center"/>
              <w:rPr>
                <w:color w:val="auto"/>
                <w:highlight w:val="none"/>
              </w:rPr>
            </w:pPr>
          </w:p>
        </w:tc>
        <w:tc>
          <w:tcPr>
            <w:tcW w:w="1719"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color w:val="auto"/>
                <w:highlight w:val="none"/>
              </w:rPr>
            </w:pPr>
          </w:p>
        </w:tc>
        <w:tc>
          <w:tcPr>
            <w:tcW w:w="3763" w:type="dxa"/>
            <w:noWrap w:val="0"/>
            <w:vAlign w:val="top"/>
          </w:tcPr>
          <w:p>
            <w:pPr>
              <w:spacing w:line="440" w:lineRule="exact"/>
              <w:jc w:val="center"/>
              <w:rPr>
                <w:color w:val="auto"/>
                <w:highlight w:val="none"/>
              </w:rPr>
            </w:pPr>
          </w:p>
        </w:tc>
        <w:tc>
          <w:tcPr>
            <w:tcW w:w="2154" w:type="dxa"/>
            <w:noWrap w:val="0"/>
            <w:vAlign w:val="top"/>
          </w:tcPr>
          <w:p>
            <w:pPr>
              <w:spacing w:line="440" w:lineRule="exact"/>
              <w:jc w:val="center"/>
              <w:rPr>
                <w:color w:val="auto"/>
                <w:highlight w:val="none"/>
              </w:rPr>
            </w:pPr>
          </w:p>
        </w:tc>
        <w:tc>
          <w:tcPr>
            <w:tcW w:w="1719" w:type="dxa"/>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color w:val="auto"/>
                <w:highlight w:val="none"/>
              </w:rPr>
            </w:pPr>
            <w:r>
              <w:rPr>
                <w:rFonts w:hint="eastAsia"/>
                <w:color w:val="auto"/>
                <w:highlight w:val="none"/>
              </w:rPr>
              <w:t>…</w:t>
            </w:r>
          </w:p>
        </w:tc>
        <w:tc>
          <w:tcPr>
            <w:tcW w:w="3763" w:type="dxa"/>
            <w:noWrap w:val="0"/>
            <w:vAlign w:val="top"/>
          </w:tcPr>
          <w:p>
            <w:pPr>
              <w:spacing w:line="440" w:lineRule="exact"/>
              <w:jc w:val="center"/>
              <w:rPr>
                <w:color w:val="auto"/>
                <w:highlight w:val="none"/>
              </w:rPr>
            </w:pPr>
            <w:r>
              <w:rPr>
                <w:rFonts w:hint="eastAsia"/>
                <w:color w:val="auto"/>
                <w:highlight w:val="none"/>
              </w:rPr>
              <w:t>…</w:t>
            </w:r>
          </w:p>
        </w:tc>
        <w:tc>
          <w:tcPr>
            <w:tcW w:w="2154" w:type="dxa"/>
            <w:noWrap w:val="0"/>
            <w:vAlign w:val="top"/>
          </w:tcPr>
          <w:p>
            <w:pPr>
              <w:spacing w:line="440" w:lineRule="exact"/>
              <w:jc w:val="center"/>
              <w:rPr>
                <w:color w:val="auto"/>
                <w:highlight w:val="none"/>
              </w:rPr>
            </w:pPr>
            <w:r>
              <w:rPr>
                <w:rFonts w:hint="eastAsia"/>
                <w:color w:val="auto"/>
                <w:highlight w:val="none"/>
              </w:rPr>
              <w:t>…</w:t>
            </w:r>
          </w:p>
        </w:tc>
        <w:tc>
          <w:tcPr>
            <w:tcW w:w="1719" w:type="dxa"/>
            <w:noWrap w:val="0"/>
            <w:vAlign w:val="top"/>
          </w:tcPr>
          <w:p>
            <w:pPr>
              <w:spacing w:line="440" w:lineRule="exact"/>
              <w:jc w:val="center"/>
              <w:rPr>
                <w:color w:val="auto"/>
                <w:highlight w:val="none"/>
              </w:rPr>
            </w:pPr>
            <w:r>
              <w:rPr>
                <w:rFonts w:hint="eastAsia"/>
                <w:color w:val="auto"/>
                <w:highlight w:val="none"/>
              </w:rPr>
              <w:t>…</w:t>
            </w:r>
          </w:p>
        </w:tc>
      </w:tr>
    </w:tbl>
    <w:p>
      <w:pPr>
        <w:spacing w:line="440" w:lineRule="exact"/>
        <w:rPr>
          <w:b/>
          <w:color w:val="auto"/>
          <w:highlight w:val="none"/>
        </w:rPr>
      </w:pPr>
      <w:r>
        <w:rPr>
          <w:rFonts w:hint="eastAsia"/>
          <w:b/>
          <w:color w:val="auto"/>
          <w:highlight w:val="none"/>
        </w:rPr>
        <w:t>附合同</w:t>
      </w:r>
      <w:r>
        <w:rPr>
          <w:rFonts w:hint="eastAsia"/>
          <w:b/>
          <w:color w:val="auto"/>
          <w:highlight w:val="none"/>
          <w:lang w:val="en-US" w:eastAsia="zh-CN"/>
        </w:rPr>
        <w:t>或</w:t>
      </w:r>
      <w:r>
        <w:rPr>
          <w:rFonts w:hint="eastAsia"/>
          <w:b/>
          <w:color w:val="auto"/>
          <w:highlight w:val="none"/>
        </w:rPr>
        <w:t>中标通知书复印件。</w:t>
      </w:r>
    </w:p>
    <w:p>
      <w:pPr>
        <w:spacing w:beforeLines="50" w:afterLines="50" w:line="440" w:lineRule="exact"/>
        <w:jc w:val="center"/>
        <w:rPr>
          <w:b/>
          <w:color w:val="auto"/>
          <w:sz w:val="30"/>
          <w:szCs w:val="30"/>
          <w:highlight w:val="none"/>
        </w:rPr>
      </w:pPr>
    </w:p>
    <w:p>
      <w:pPr>
        <w:tabs>
          <w:tab w:val="left" w:pos="2880"/>
        </w:tabs>
        <w:spacing w:line="460" w:lineRule="atLeast"/>
        <w:rPr>
          <w:color w:val="auto"/>
          <w:highlight w:val="none"/>
        </w:rPr>
      </w:pPr>
    </w:p>
    <w:p>
      <w:pPr>
        <w:tabs>
          <w:tab w:val="left" w:pos="3600"/>
        </w:tabs>
        <w:adjustRightInd w:val="0"/>
        <w:snapToGrid w:val="0"/>
        <w:spacing w:line="440" w:lineRule="exact"/>
        <w:jc w:val="center"/>
        <w:rPr>
          <w:b/>
          <w:color w:val="auto"/>
          <w:sz w:val="30"/>
          <w:szCs w:val="30"/>
          <w:highlight w:val="none"/>
        </w:rPr>
      </w:pPr>
      <w:r>
        <w:rPr>
          <w:rFonts w:hint="eastAsia"/>
          <w:color w:val="auto"/>
          <w:highlight w:val="none"/>
        </w:rPr>
        <w:br w:type="page"/>
      </w:r>
      <w:r>
        <w:rPr>
          <w:rFonts w:hint="eastAsia"/>
          <w:b/>
          <w:color w:val="auto"/>
          <w:sz w:val="30"/>
          <w:szCs w:val="30"/>
          <w:highlight w:val="none"/>
        </w:rPr>
        <w:t>附件2-</w:t>
      </w:r>
      <w:r>
        <w:rPr>
          <w:rFonts w:hint="eastAsia"/>
          <w:b/>
          <w:color w:val="auto"/>
          <w:sz w:val="30"/>
          <w:szCs w:val="30"/>
          <w:highlight w:val="none"/>
          <w:lang w:val="en-US" w:eastAsia="zh-CN"/>
        </w:rPr>
        <w:t>12</w:t>
      </w:r>
      <w:r>
        <w:rPr>
          <w:rFonts w:hint="eastAsia"/>
          <w:b/>
          <w:color w:val="auto"/>
          <w:sz w:val="30"/>
          <w:szCs w:val="30"/>
          <w:highlight w:val="none"/>
        </w:rPr>
        <w:t xml:space="preserve">  产品简要说明一览表</w:t>
      </w:r>
    </w:p>
    <w:p>
      <w:pPr>
        <w:spacing w:line="440" w:lineRule="exact"/>
        <w:ind w:firstLine="315" w:firstLineChars="150"/>
        <w:rPr>
          <w:color w:val="auto"/>
          <w:highlight w:val="none"/>
          <w:u w:val="single"/>
        </w:rPr>
      </w:pPr>
      <w:r>
        <w:rPr>
          <w:rFonts w:hint="eastAsia"/>
          <w:color w:val="auto"/>
          <w:highlight w:val="none"/>
        </w:rPr>
        <w:t>投标人名称（公章）：</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w:t>
      </w:r>
    </w:p>
    <w:p>
      <w:pPr>
        <w:spacing w:line="440" w:lineRule="exact"/>
        <w:ind w:firstLine="315" w:firstLineChars="150"/>
        <w:rPr>
          <w:color w:val="auto"/>
          <w:highlight w:val="none"/>
        </w:rPr>
      </w:pPr>
      <w:r>
        <w:rPr>
          <w:rFonts w:hint="eastAsia"/>
          <w:color w:val="auto"/>
          <w:highlight w:val="none"/>
        </w:rPr>
        <w:t>所投内容/分包：</w:t>
      </w:r>
      <w:r>
        <w:rPr>
          <w:rFonts w:hint="eastAsia"/>
          <w:color w:val="auto"/>
          <w:highlight w:val="none"/>
          <w:u w:val="single"/>
        </w:rPr>
        <w:t xml:space="preserve">　　　　　            </w:t>
      </w:r>
      <w:r>
        <w:rPr>
          <w:rFonts w:hint="eastAsia"/>
          <w:color w:val="auto"/>
          <w:highlight w:val="none"/>
        </w:rPr>
        <w:t>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2545"/>
        <w:gridCol w:w="157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64"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2783"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规格型号及主要技术参数</w:t>
            </w:r>
          </w:p>
        </w:tc>
        <w:tc>
          <w:tcPr>
            <w:tcW w:w="2545"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性能说明</w:t>
            </w:r>
          </w:p>
        </w:tc>
        <w:tc>
          <w:tcPr>
            <w:tcW w:w="1579" w:type="dxa"/>
            <w:noWrap w:val="0"/>
            <w:vAlign w:val="top"/>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品牌及</w:t>
            </w:r>
          </w:p>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产地</w:t>
            </w:r>
          </w:p>
        </w:tc>
        <w:tc>
          <w:tcPr>
            <w:tcW w:w="1579"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64" w:type="dxa"/>
            <w:noWrap w:val="0"/>
            <w:vAlign w:val="center"/>
          </w:tcPr>
          <w:p>
            <w:pPr>
              <w:spacing w:line="440" w:lineRule="exact"/>
              <w:jc w:val="center"/>
              <w:rPr>
                <w:rFonts w:hint="eastAsia" w:ascii="宋体" w:hAnsi="宋体" w:cs="宋体"/>
                <w:color w:val="auto"/>
                <w:sz w:val="24"/>
                <w:highlight w:val="none"/>
              </w:rPr>
            </w:pPr>
          </w:p>
        </w:tc>
        <w:tc>
          <w:tcPr>
            <w:tcW w:w="2783" w:type="dxa"/>
            <w:noWrap w:val="0"/>
            <w:vAlign w:val="center"/>
          </w:tcPr>
          <w:p>
            <w:pPr>
              <w:spacing w:line="440" w:lineRule="exact"/>
              <w:jc w:val="center"/>
              <w:rPr>
                <w:rFonts w:hint="eastAsia" w:ascii="宋体" w:hAnsi="宋体" w:cs="宋体"/>
                <w:color w:val="auto"/>
                <w:sz w:val="24"/>
                <w:highlight w:val="none"/>
              </w:rPr>
            </w:pPr>
          </w:p>
        </w:tc>
        <w:tc>
          <w:tcPr>
            <w:tcW w:w="2545" w:type="dxa"/>
            <w:noWrap w:val="0"/>
            <w:vAlign w:val="center"/>
          </w:tcPr>
          <w:p>
            <w:pPr>
              <w:spacing w:line="440" w:lineRule="exact"/>
              <w:jc w:val="center"/>
              <w:rPr>
                <w:rFonts w:hint="eastAsia" w:ascii="宋体" w:hAnsi="宋体" w:cs="宋体"/>
                <w:color w:val="auto"/>
                <w:sz w:val="24"/>
                <w:highlight w:val="none"/>
              </w:rPr>
            </w:pPr>
          </w:p>
        </w:tc>
        <w:tc>
          <w:tcPr>
            <w:tcW w:w="1579" w:type="dxa"/>
            <w:noWrap w:val="0"/>
            <w:vAlign w:val="top"/>
          </w:tcPr>
          <w:p>
            <w:pPr>
              <w:spacing w:line="440" w:lineRule="exact"/>
              <w:jc w:val="center"/>
              <w:rPr>
                <w:rFonts w:hint="eastAsia" w:ascii="宋体" w:hAnsi="宋体" w:cs="宋体"/>
                <w:color w:val="auto"/>
                <w:sz w:val="24"/>
                <w:highlight w:val="none"/>
              </w:rPr>
            </w:pPr>
          </w:p>
        </w:tc>
        <w:tc>
          <w:tcPr>
            <w:tcW w:w="1579" w:type="dxa"/>
            <w:noWrap w:val="0"/>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464" w:type="dxa"/>
            <w:noWrap w:val="0"/>
            <w:vAlign w:val="center"/>
          </w:tcPr>
          <w:p>
            <w:pPr>
              <w:spacing w:line="440" w:lineRule="exact"/>
              <w:jc w:val="center"/>
              <w:rPr>
                <w:rFonts w:hint="eastAsia" w:ascii="宋体" w:hAnsi="宋体" w:cs="宋体"/>
                <w:color w:val="auto"/>
                <w:sz w:val="24"/>
                <w:highlight w:val="none"/>
              </w:rPr>
            </w:pPr>
          </w:p>
        </w:tc>
        <w:tc>
          <w:tcPr>
            <w:tcW w:w="2783" w:type="dxa"/>
            <w:noWrap w:val="0"/>
            <w:vAlign w:val="center"/>
          </w:tcPr>
          <w:p>
            <w:pPr>
              <w:spacing w:line="440" w:lineRule="exact"/>
              <w:jc w:val="center"/>
              <w:rPr>
                <w:rFonts w:hint="eastAsia" w:ascii="宋体" w:hAnsi="宋体" w:cs="宋体"/>
                <w:color w:val="auto"/>
                <w:sz w:val="24"/>
                <w:highlight w:val="none"/>
              </w:rPr>
            </w:pPr>
          </w:p>
        </w:tc>
        <w:tc>
          <w:tcPr>
            <w:tcW w:w="2545" w:type="dxa"/>
            <w:noWrap w:val="0"/>
            <w:vAlign w:val="center"/>
          </w:tcPr>
          <w:p>
            <w:pPr>
              <w:spacing w:line="440" w:lineRule="exact"/>
              <w:jc w:val="center"/>
              <w:rPr>
                <w:rFonts w:hint="eastAsia" w:ascii="宋体" w:hAnsi="宋体" w:cs="宋体"/>
                <w:color w:val="auto"/>
                <w:sz w:val="24"/>
                <w:highlight w:val="none"/>
              </w:rPr>
            </w:pPr>
          </w:p>
        </w:tc>
        <w:tc>
          <w:tcPr>
            <w:tcW w:w="1579" w:type="dxa"/>
            <w:noWrap w:val="0"/>
            <w:vAlign w:val="top"/>
          </w:tcPr>
          <w:p>
            <w:pPr>
              <w:spacing w:line="440" w:lineRule="exact"/>
              <w:jc w:val="center"/>
              <w:rPr>
                <w:rFonts w:hint="eastAsia" w:ascii="宋体" w:hAnsi="宋体" w:cs="宋体"/>
                <w:color w:val="auto"/>
                <w:sz w:val="24"/>
                <w:highlight w:val="none"/>
              </w:rPr>
            </w:pPr>
          </w:p>
        </w:tc>
        <w:tc>
          <w:tcPr>
            <w:tcW w:w="1579" w:type="dxa"/>
            <w:noWrap w:val="0"/>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464" w:type="dxa"/>
            <w:noWrap w:val="0"/>
            <w:vAlign w:val="center"/>
          </w:tcPr>
          <w:p>
            <w:pPr>
              <w:spacing w:line="440" w:lineRule="exact"/>
              <w:jc w:val="center"/>
              <w:rPr>
                <w:rFonts w:hint="eastAsia" w:ascii="宋体" w:hAnsi="宋体" w:cs="宋体"/>
                <w:color w:val="auto"/>
                <w:sz w:val="24"/>
                <w:highlight w:val="none"/>
              </w:rPr>
            </w:pPr>
          </w:p>
        </w:tc>
        <w:tc>
          <w:tcPr>
            <w:tcW w:w="2783" w:type="dxa"/>
            <w:noWrap w:val="0"/>
            <w:vAlign w:val="center"/>
          </w:tcPr>
          <w:p>
            <w:pPr>
              <w:spacing w:line="440" w:lineRule="exact"/>
              <w:jc w:val="center"/>
              <w:rPr>
                <w:rFonts w:hint="eastAsia" w:ascii="宋体" w:hAnsi="宋体" w:cs="宋体"/>
                <w:color w:val="auto"/>
                <w:sz w:val="24"/>
                <w:highlight w:val="none"/>
              </w:rPr>
            </w:pPr>
          </w:p>
        </w:tc>
        <w:tc>
          <w:tcPr>
            <w:tcW w:w="2545" w:type="dxa"/>
            <w:noWrap w:val="0"/>
            <w:vAlign w:val="center"/>
          </w:tcPr>
          <w:p>
            <w:pPr>
              <w:spacing w:line="440" w:lineRule="exact"/>
              <w:jc w:val="center"/>
              <w:rPr>
                <w:rFonts w:hint="eastAsia" w:ascii="宋体" w:hAnsi="宋体" w:cs="宋体"/>
                <w:color w:val="auto"/>
                <w:sz w:val="24"/>
                <w:highlight w:val="none"/>
              </w:rPr>
            </w:pPr>
          </w:p>
        </w:tc>
        <w:tc>
          <w:tcPr>
            <w:tcW w:w="1579" w:type="dxa"/>
            <w:noWrap w:val="0"/>
            <w:vAlign w:val="top"/>
          </w:tcPr>
          <w:p>
            <w:pPr>
              <w:spacing w:line="440" w:lineRule="exact"/>
              <w:jc w:val="center"/>
              <w:rPr>
                <w:rFonts w:hint="eastAsia" w:ascii="宋体" w:hAnsi="宋体" w:cs="宋体"/>
                <w:color w:val="auto"/>
                <w:sz w:val="24"/>
                <w:highlight w:val="none"/>
              </w:rPr>
            </w:pPr>
          </w:p>
        </w:tc>
        <w:tc>
          <w:tcPr>
            <w:tcW w:w="1579" w:type="dxa"/>
            <w:noWrap w:val="0"/>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464" w:type="dxa"/>
            <w:noWrap w:val="0"/>
            <w:vAlign w:val="center"/>
          </w:tcPr>
          <w:p>
            <w:pPr>
              <w:spacing w:line="440" w:lineRule="exact"/>
              <w:jc w:val="center"/>
              <w:rPr>
                <w:rFonts w:hint="eastAsia" w:ascii="宋体" w:hAnsi="宋体" w:cs="宋体"/>
                <w:color w:val="auto"/>
                <w:sz w:val="24"/>
                <w:highlight w:val="none"/>
              </w:rPr>
            </w:pPr>
          </w:p>
        </w:tc>
        <w:tc>
          <w:tcPr>
            <w:tcW w:w="2783" w:type="dxa"/>
            <w:noWrap w:val="0"/>
            <w:vAlign w:val="center"/>
          </w:tcPr>
          <w:p>
            <w:pPr>
              <w:spacing w:line="440" w:lineRule="exact"/>
              <w:jc w:val="center"/>
              <w:rPr>
                <w:rFonts w:hint="eastAsia" w:ascii="宋体" w:hAnsi="宋体" w:cs="宋体"/>
                <w:color w:val="auto"/>
                <w:sz w:val="24"/>
                <w:highlight w:val="none"/>
              </w:rPr>
            </w:pPr>
          </w:p>
        </w:tc>
        <w:tc>
          <w:tcPr>
            <w:tcW w:w="2545" w:type="dxa"/>
            <w:noWrap w:val="0"/>
            <w:vAlign w:val="center"/>
          </w:tcPr>
          <w:p>
            <w:pPr>
              <w:spacing w:line="440" w:lineRule="exact"/>
              <w:jc w:val="center"/>
              <w:rPr>
                <w:rFonts w:hint="eastAsia" w:ascii="宋体" w:hAnsi="宋体" w:cs="宋体"/>
                <w:color w:val="auto"/>
                <w:sz w:val="24"/>
                <w:highlight w:val="none"/>
              </w:rPr>
            </w:pPr>
          </w:p>
        </w:tc>
        <w:tc>
          <w:tcPr>
            <w:tcW w:w="1579" w:type="dxa"/>
            <w:noWrap w:val="0"/>
            <w:vAlign w:val="top"/>
          </w:tcPr>
          <w:p>
            <w:pPr>
              <w:spacing w:line="440" w:lineRule="exact"/>
              <w:jc w:val="center"/>
              <w:rPr>
                <w:rFonts w:hint="eastAsia" w:ascii="宋体" w:hAnsi="宋体" w:cs="宋体"/>
                <w:color w:val="auto"/>
                <w:sz w:val="24"/>
                <w:highlight w:val="none"/>
              </w:rPr>
            </w:pPr>
          </w:p>
        </w:tc>
        <w:tc>
          <w:tcPr>
            <w:tcW w:w="1579" w:type="dxa"/>
            <w:noWrap w:val="0"/>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464" w:type="dxa"/>
            <w:noWrap w:val="0"/>
            <w:vAlign w:val="center"/>
          </w:tcPr>
          <w:p>
            <w:pPr>
              <w:spacing w:line="440" w:lineRule="exact"/>
              <w:jc w:val="center"/>
              <w:rPr>
                <w:rFonts w:hint="eastAsia" w:ascii="宋体" w:hAnsi="宋体" w:cs="宋体"/>
                <w:color w:val="auto"/>
                <w:sz w:val="24"/>
                <w:highlight w:val="none"/>
              </w:rPr>
            </w:pPr>
          </w:p>
        </w:tc>
        <w:tc>
          <w:tcPr>
            <w:tcW w:w="2783" w:type="dxa"/>
            <w:noWrap w:val="0"/>
            <w:vAlign w:val="center"/>
          </w:tcPr>
          <w:p>
            <w:pPr>
              <w:spacing w:line="440" w:lineRule="exact"/>
              <w:jc w:val="center"/>
              <w:rPr>
                <w:rFonts w:hint="eastAsia" w:ascii="宋体" w:hAnsi="宋体" w:cs="宋体"/>
                <w:color w:val="auto"/>
                <w:sz w:val="24"/>
                <w:highlight w:val="none"/>
              </w:rPr>
            </w:pPr>
          </w:p>
        </w:tc>
        <w:tc>
          <w:tcPr>
            <w:tcW w:w="2545" w:type="dxa"/>
            <w:noWrap w:val="0"/>
            <w:vAlign w:val="center"/>
          </w:tcPr>
          <w:p>
            <w:pPr>
              <w:spacing w:line="440" w:lineRule="exact"/>
              <w:jc w:val="center"/>
              <w:rPr>
                <w:rFonts w:hint="eastAsia" w:ascii="宋体" w:hAnsi="宋体" w:cs="宋体"/>
                <w:color w:val="auto"/>
                <w:sz w:val="24"/>
                <w:highlight w:val="none"/>
              </w:rPr>
            </w:pPr>
          </w:p>
        </w:tc>
        <w:tc>
          <w:tcPr>
            <w:tcW w:w="1579" w:type="dxa"/>
            <w:noWrap w:val="0"/>
            <w:vAlign w:val="top"/>
          </w:tcPr>
          <w:p>
            <w:pPr>
              <w:spacing w:line="440" w:lineRule="exact"/>
              <w:jc w:val="center"/>
              <w:rPr>
                <w:rFonts w:hint="eastAsia" w:ascii="宋体" w:hAnsi="宋体" w:cs="宋体"/>
                <w:color w:val="auto"/>
                <w:sz w:val="24"/>
                <w:highlight w:val="none"/>
              </w:rPr>
            </w:pPr>
          </w:p>
        </w:tc>
        <w:tc>
          <w:tcPr>
            <w:tcW w:w="1579" w:type="dxa"/>
            <w:noWrap w:val="0"/>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464" w:type="dxa"/>
            <w:noWrap w:val="0"/>
            <w:vAlign w:val="center"/>
          </w:tcPr>
          <w:p>
            <w:pPr>
              <w:spacing w:line="440" w:lineRule="exact"/>
              <w:jc w:val="center"/>
              <w:rPr>
                <w:rFonts w:hint="eastAsia" w:ascii="宋体" w:hAnsi="宋体" w:cs="宋体"/>
                <w:color w:val="auto"/>
                <w:sz w:val="24"/>
                <w:highlight w:val="none"/>
              </w:rPr>
            </w:pPr>
          </w:p>
        </w:tc>
        <w:tc>
          <w:tcPr>
            <w:tcW w:w="2783" w:type="dxa"/>
            <w:noWrap w:val="0"/>
            <w:vAlign w:val="center"/>
          </w:tcPr>
          <w:p>
            <w:pPr>
              <w:spacing w:line="440" w:lineRule="exact"/>
              <w:jc w:val="center"/>
              <w:rPr>
                <w:rFonts w:hint="eastAsia" w:ascii="宋体" w:hAnsi="宋体" w:cs="宋体"/>
                <w:color w:val="auto"/>
                <w:sz w:val="24"/>
                <w:highlight w:val="none"/>
              </w:rPr>
            </w:pPr>
          </w:p>
        </w:tc>
        <w:tc>
          <w:tcPr>
            <w:tcW w:w="2545" w:type="dxa"/>
            <w:noWrap w:val="0"/>
            <w:vAlign w:val="center"/>
          </w:tcPr>
          <w:p>
            <w:pPr>
              <w:spacing w:line="440" w:lineRule="exact"/>
              <w:jc w:val="center"/>
              <w:rPr>
                <w:rFonts w:hint="eastAsia" w:ascii="宋体" w:hAnsi="宋体" w:cs="宋体"/>
                <w:color w:val="auto"/>
                <w:sz w:val="24"/>
                <w:highlight w:val="none"/>
              </w:rPr>
            </w:pPr>
          </w:p>
        </w:tc>
        <w:tc>
          <w:tcPr>
            <w:tcW w:w="1579" w:type="dxa"/>
            <w:noWrap w:val="0"/>
            <w:vAlign w:val="top"/>
          </w:tcPr>
          <w:p>
            <w:pPr>
              <w:spacing w:line="440" w:lineRule="exact"/>
              <w:jc w:val="center"/>
              <w:rPr>
                <w:rFonts w:hint="eastAsia" w:ascii="宋体" w:hAnsi="宋体" w:cs="宋体"/>
                <w:color w:val="auto"/>
                <w:sz w:val="24"/>
                <w:highlight w:val="none"/>
              </w:rPr>
            </w:pPr>
          </w:p>
        </w:tc>
        <w:tc>
          <w:tcPr>
            <w:tcW w:w="1579" w:type="dxa"/>
            <w:noWrap w:val="0"/>
            <w:vAlign w:val="center"/>
          </w:tcPr>
          <w:p>
            <w:pPr>
              <w:spacing w:line="440" w:lineRule="exact"/>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464" w:type="dxa"/>
            <w:noWrap w:val="0"/>
            <w:vAlign w:val="center"/>
          </w:tcPr>
          <w:p>
            <w:pPr>
              <w:spacing w:line="440" w:lineRule="exact"/>
              <w:jc w:val="center"/>
              <w:rPr>
                <w:rFonts w:hint="eastAsia" w:ascii="宋体" w:hAnsi="宋体" w:cs="宋体"/>
                <w:color w:val="auto"/>
                <w:sz w:val="24"/>
                <w:highlight w:val="none"/>
              </w:rPr>
            </w:pPr>
          </w:p>
        </w:tc>
        <w:tc>
          <w:tcPr>
            <w:tcW w:w="2783" w:type="dxa"/>
            <w:noWrap w:val="0"/>
            <w:vAlign w:val="center"/>
          </w:tcPr>
          <w:p>
            <w:pPr>
              <w:spacing w:line="440" w:lineRule="exact"/>
              <w:jc w:val="center"/>
              <w:rPr>
                <w:rFonts w:hint="eastAsia" w:ascii="宋体" w:hAnsi="宋体" w:cs="宋体"/>
                <w:color w:val="auto"/>
                <w:sz w:val="24"/>
                <w:highlight w:val="none"/>
              </w:rPr>
            </w:pPr>
          </w:p>
        </w:tc>
        <w:tc>
          <w:tcPr>
            <w:tcW w:w="2545" w:type="dxa"/>
            <w:noWrap w:val="0"/>
            <w:vAlign w:val="center"/>
          </w:tcPr>
          <w:p>
            <w:pPr>
              <w:spacing w:line="440" w:lineRule="exact"/>
              <w:jc w:val="center"/>
              <w:rPr>
                <w:rFonts w:hint="eastAsia" w:ascii="宋体" w:hAnsi="宋体" w:cs="宋体"/>
                <w:color w:val="auto"/>
                <w:sz w:val="24"/>
                <w:highlight w:val="none"/>
              </w:rPr>
            </w:pPr>
          </w:p>
        </w:tc>
        <w:tc>
          <w:tcPr>
            <w:tcW w:w="1579" w:type="dxa"/>
            <w:noWrap w:val="0"/>
            <w:vAlign w:val="top"/>
          </w:tcPr>
          <w:p>
            <w:pPr>
              <w:spacing w:line="440" w:lineRule="exact"/>
              <w:jc w:val="center"/>
              <w:rPr>
                <w:rFonts w:hint="eastAsia" w:ascii="宋体" w:hAnsi="宋体" w:cs="宋体"/>
                <w:color w:val="auto"/>
                <w:sz w:val="24"/>
                <w:highlight w:val="none"/>
              </w:rPr>
            </w:pPr>
          </w:p>
        </w:tc>
        <w:tc>
          <w:tcPr>
            <w:tcW w:w="1579" w:type="dxa"/>
            <w:noWrap w:val="0"/>
            <w:vAlign w:val="center"/>
          </w:tcPr>
          <w:p>
            <w:pPr>
              <w:spacing w:line="440" w:lineRule="exact"/>
              <w:jc w:val="center"/>
              <w:rPr>
                <w:rFonts w:hint="eastAsia" w:ascii="宋体" w:hAnsi="宋体" w:cs="宋体"/>
                <w:color w:val="auto"/>
                <w:sz w:val="24"/>
                <w:highlight w:val="none"/>
              </w:rPr>
            </w:pPr>
          </w:p>
        </w:tc>
      </w:tr>
    </w:tbl>
    <w:p>
      <w:pPr>
        <w:spacing w:line="440" w:lineRule="exact"/>
        <w:rPr>
          <w:color w:val="auto"/>
          <w:highlight w:val="none"/>
          <w:u w:val="single"/>
        </w:rPr>
      </w:pPr>
      <w:r>
        <w:rPr>
          <w:rFonts w:hint="eastAsia"/>
          <w:color w:val="auto"/>
          <w:highlight w:val="none"/>
        </w:rPr>
        <w:t>投标人代表签字：</w:t>
      </w:r>
      <w:r>
        <w:rPr>
          <w:rFonts w:hint="eastAsia"/>
          <w:color w:val="auto"/>
          <w:highlight w:val="none"/>
          <w:u w:val="single"/>
        </w:rPr>
        <w:t>　　　　　　　　　</w:t>
      </w:r>
    </w:p>
    <w:p>
      <w:pPr>
        <w:spacing w:line="440" w:lineRule="exact"/>
        <w:rPr>
          <w:bCs/>
          <w:color w:val="auto"/>
          <w:highlight w:val="none"/>
        </w:rPr>
      </w:pPr>
      <w:r>
        <w:rPr>
          <w:rFonts w:hint="eastAsia"/>
          <w:color w:val="auto"/>
          <w:highlight w:val="none"/>
        </w:rPr>
        <w:t>日期：</w:t>
      </w:r>
      <w:r>
        <w:rPr>
          <w:bCs/>
          <w:color w:val="auto"/>
          <w:highlight w:val="none"/>
        </w:rPr>
        <w:t>20</w:t>
      </w:r>
      <w:r>
        <w:rPr>
          <w:rFonts w:hint="eastAsia"/>
          <w:color w:val="auto"/>
          <w:highlight w:val="none"/>
          <w:u w:val="single"/>
        </w:rPr>
        <w:t xml:space="preserve">　 </w:t>
      </w:r>
      <w:r>
        <w:rPr>
          <w:rFonts w:hint="eastAsia"/>
          <w:bCs/>
          <w:color w:val="auto"/>
          <w:highlight w:val="none"/>
        </w:rPr>
        <w:t>年</w:t>
      </w:r>
      <w:r>
        <w:rPr>
          <w:rFonts w:hint="eastAsia"/>
          <w:bCs/>
          <w:color w:val="auto"/>
          <w:highlight w:val="none"/>
          <w:u w:val="single"/>
        </w:rPr>
        <w:t>　</w:t>
      </w:r>
      <w:r>
        <w:rPr>
          <w:rFonts w:hint="eastAsia"/>
          <w:bCs/>
          <w:color w:val="auto"/>
          <w:highlight w:val="none"/>
        </w:rPr>
        <w:t>月</w:t>
      </w:r>
      <w:r>
        <w:rPr>
          <w:rFonts w:hint="eastAsia"/>
          <w:bCs/>
          <w:color w:val="auto"/>
          <w:highlight w:val="none"/>
          <w:u w:val="single"/>
        </w:rPr>
        <w:t>　</w:t>
      </w:r>
      <w:r>
        <w:rPr>
          <w:rFonts w:hint="eastAsia"/>
          <w:bCs/>
          <w:color w:val="auto"/>
          <w:highlight w:val="none"/>
        </w:rPr>
        <w:t>日</w:t>
      </w:r>
    </w:p>
    <w:p>
      <w:pPr>
        <w:spacing w:line="440" w:lineRule="exact"/>
        <w:ind w:firstLine="361" w:firstLineChars="150"/>
        <w:rPr>
          <w:rFonts w:hint="eastAsia" w:ascii="宋体" w:hAnsi="宋体" w:cs="宋体"/>
          <w:color w:val="auto"/>
          <w:sz w:val="24"/>
          <w:highlight w:val="none"/>
        </w:rPr>
      </w:pPr>
      <w:r>
        <w:rPr>
          <w:rFonts w:hint="eastAsia" w:ascii="宋体" w:hAnsi="宋体" w:cs="宋体"/>
          <w:b/>
          <w:color w:val="auto"/>
          <w:sz w:val="24"/>
          <w:highlight w:val="none"/>
        </w:rPr>
        <w:t>注：此表需详列投标的每种设备，请各投标人根据投标方案，在本表中详细写明所有产品型号规格、主要技术参数、性能说明、品牌和产地及供货厂（商）。</w:t>
      </w:r>
    </w:p>
    <w:p>
      <w:pPr>
        <w:spacing w:line="440" w:lineRule="exact"/>
        <w:rPr>
          <w:b/>
          <w:color w:val="auto"/>
          <w:sz w:val="32"/>
          <w:szCs w:val="32"/>
          <w:highlight w:val="none"/>
        </w:rPr>
      </w:pPr>
    </w:p>
    <w:p>
      <w:pPr>
        <w:spacing w:line="440" w:lineRule="exact"/>
        <w:ind w:left="2880" w:hanging="2880"/>
        <w:jc w:val="center"/>
        <w:rPr>
          <w:b/>
          <w:color w:val="auto"/>
          <w:sz w:val="32"/>
          <w:szCs w:val="32"/>
          <w:highlight w:val="none"/>
        </w:rPr>
      </w:pPr>
      <w:r>
        <w:rPr>
          <w:rFonts w:hint="eastAsia"/>
          <w:b/>
          <w:color w:val="auto"/>
          <w:sz w:val="30"/>
          <w:szCs w:val="30"/>
          <w:highlight w:val="none"/>
        </w:rPr>
        <w:t>附件2-</w:t>
      </w:r>
      <w:r>
        <w:rPr>
          <w:rFonts w:hint="eastAsia"/>
          <w:b/>
          <w:color w:val="auto"/>
          <w:sz w:val="30"/>
          <w:szCs w:val="30"/>
          <w:highlight w:val="none"/>
          <w:lang w:val="en-US" w:eastAsia="zh-CN"/>
        </w:rPr>
        <w:t>13</w:t>
      </w:r>
      <w:r>
        <w:rPr>
          <w:rFonts w:hint="eastAsia"/>
          <w:b/>
          <w:color w:val="auto"/>
          <w:sz w:val="30"/>
          <w:szCs w:val="30"/>
          <w:highlight w:val="none"/>
        </w:rPr>
        <w:t xml:space="preserve">  </w:t>
      </w:r>
      <w:r>
        <w:rPr>
          <w:rFonts w:hint="eastAsia"/>
          <w:b/>
          <w:color w:val="auto"/>
          <w:sz w:val="32"/>
          <w:szCs w:val="32"/>
          <w:highlight w:val="none"/>
        </w:rPr>
        <w:t>规格、技术参数偏离表</w:t>
      </w:r>
    </w:p>
    <w:p>
      <w:pPr>
        <w:spacing w:line="440" w:lineRule="exact"/>
        <w:rPr>
          <w:color w:val="auto"/>
          <w:highlight w:val="none"/>
        </w:rPr>
      </w:pPr>
    </w:p>
    <w:p>
      <w:pPr>
        <w:spacing w:line="440" w:lineRule="exact"/>
        <w:rPr>
          <w:color w:val="auto"/>
          <w:highlight w:val="none"/>
          <w:u w:val="single"/>
        </w:rPr>
      </w:pPr>
      <w:r>
        <w:rPr>
          <w:rFonts w:hint="eastAsia"/>
          <w:color w:val="auto"/>
          <w:highlight w:val="none"/>
        </w:rPr>
        <w:t>投标人名称（公章）：</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w:t>
      </w:r>
    </w:p>
    <w:p>
      <w:pPr>
        <w:spacing w:line="440" w:lineRule="exact"/>
        <w:rPr>
          <w:color w:val="auto"/>
          <w:highlight w:val="none"/>
          <w:u w:val="single"/>
        </w:rPr>
      </w:pPr>
      <w:r>
        <w:rPr>
          <w:rFonts w:hint="eastAsia"/>
          <w:color w:val="auto"/>
          <w:highlight w:val="none"/>
        </w:rPr>
        <w:t>所投内容/分包：</w:t>
      </w:r>
      <w:r>
        <w:rPr>
          <w:rFonts w:hint="eastAsia"/>
          <w:color w:val="auto"/>
          <w:highlight w:val="none"/>
          <w:u w:val="singl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noWrap w:val="0"/>
            <w:vAlign w:val="center"/>
          </w:tcPr>
          <w:p>
            <w:pPr>
              <w:spacing w:line="440" w:lineRule="exact"/>
              <w:jc w:val="center"/>
              <w:rPr>
                <w:color w:val="auto"/>
                <w:highlight w:val="none"/>
              </w:rPr>
            </w:pPr>
            <w:r>
              <w:rPr>
                <w:rFonts w:hint="eastAsia"/>
                <w:color w:val="auto"/>
                <w:highlight w:val="none"/>
              </w:rPr>
              <w:t>序号</w:t>
            </w:r>
          </w:p>
        </w:tc>
        <w:tc>
          <w:tcPr>
            <w:tcW w:w="1740" w:type="dxa"/>
            <w:noWrap w:val="0"/>
            <w:vAlign w:val="center"/>
          </w:tcPr>
          <w:p>
            <w:pPr>
              <w:spacing w:line="440" w:lineRule="exact"/>
              <w:jc w:val="center"/>
              <w:rPr>
                <w:color w:val="auto"/>
                <w:highlight w:val="none"/>
              </w:rPr>
            </w:pPr>
            <w:r>
              <w:rPr>
                <w:rFonts w:hint="eastAsia"/>
                <w:color w:val="auto"/>
                <w:highlight w:val="none"/>
                <w:lang w:val="en-US" w:eastAsia="zh-CN"/>
              </w:rPr>
              <w:t>谈判文件</w:t>
            </w:r>
            <w:r>
              <w:rPr>
                <w:rFonts w:hint="eastAsia"/>
                <w:color w:val="auto"/>
                <w:highlight w:val="none"/>
              </w:rPr>
              <w:t>规格条目号</w:t>
            </w:r>
          </w:p>
        </w:tc>
        <w:tc>
          <w:tcPr>
            <w:tcW w:w="2056" w:type="dxa"/>
            <w:noWrap w:val="0"/>
            <w:vAlign w:val="center"/>
          </w:tcPr>
          <w:p>
            <w:pPr>
              <w:spacing w:line="440" w:lineRule="exact"/>
              <w:jc w:val="center"/>
              <w:rPr>
                <w:color w:val="auto"/>
                <w:highlight w:val="none"/>
              </w:rPr>
            </w:pPr>
            <w:r>
              <w:rPr>
                <w:rFonts w:hint="eastAsia"/>
                <w:color w:val="auto"/>
                <w:highlight w:val="none"/>
              </w:rPr>
              <w:t>招标规格</w:t>
            </w:r>
          </w:p>
        </w:tc>
        <w:tc>
          <w:tcPr>
            <w:tcW w:w="2393" w:type="dxa"/>
            <w:noWrap w:val="0"/>
            <w:vAlign w:val="center"/>
          </w:tcPr>
          <w:p>
            <w:pPr>
              <w:spacing w:line="440" w:lineRule="exact"/>
              <w:jc w:val="center"/>
              <w:rPr>
                <w:color w:val="auto"/>
                <w:highlight w:val="none"/>
              </w:rPr>
            </w:pPr>
            <w:r>
              <w:rPr>
                <w:rFonts w:hint="eastAsia"/>
                <w:color w:val="auto"/>
                <w:highlight w:val="none"/>
              </w:rPr>
              <w:t>投标规格</w:t>
            </w:r>
          </w:p>
        </w:tc>
        <w:tc>
          <w:tcPr>
            <w:tcW w:w="1721" w:type="dxa"/>
            <w:noWrap w:val="0"/>
            <w:vAlign w:val="center"/>
          </w:tcPr>
          <w:p>
            <w:pPr>
              <w:spacing w:line="440" w:lineRule="exact"/>
              <w:jc w:val="center"/>
              <w:rPr>
                <w:color w:val="auto"/>
                <w:highlight w:val="none"/>
              </w:rPr>
            </w:pPr>
            <w:r>
              <w:rPr>
                <w:rFonts w:hint="eastAsia"/>
                <w:color w:val="auto"/>
                <w:highlight w:val="none"/>
              </w:rPr>
              <w:t>偏离</w:t>
            </w:r>
          </w:p>
        </w:tc>
        <w:tc>
          <w:tcPr>
            <w:tcW w:w="1218" w:type="dxa"/>
            <w:noWrap w:val="0"/>
            <w:vAlign w:val="center"/>
          </w:tcPr>
          <w:p>
            <w:pPr>
              <w:spacing w:line="440" w:lineRule="exact"/>
              <w:jc w:val="center"/>
              <w:rPr>
                <w:color w:val="auto"/>
                <w:highlight w:val="none"/>
              </w:rPr>
            </w:pPr>
            <w:r>
              <w:rPr>
                <w:rFonts w:hint="eastAsia"/>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color w:val="auto"/>
                <w:highlight w:val="none"/>
              </w:rPr>
            </w:pPr>
            <w:r>
              <w:rPr>
                <w:color w:val="auto"/>
                <w:highlight w:val="none"/>
              </w:rPr>
              <w:t>1</w:t>
            </w:r>
          </w:p>
        </w:tc>
        <w:tc>
          <w:tcPr>
            <w:tcW w:w="1740" w:type="dxa"/>
            <w:noWrap w:val="0"/>
            <w:vAlign w:val="top"/>
          </w:tcPr>
          <w:p>
            <w:pPr>
              <w:spacing w:line="440" w:lineRule="exact"/>
              <w:rPr>
                <w:color w:val="auto"/>
                <w:highlight w:val="none"/>
              </w:rPr>
            </w:pPr>
          </w:p>
        </w:tc>
        <w:tc>
          <w:tcPr>
            <w:tcW w:w="2056" w:type="dxa"/>
            <w:noWrap w:val="0"/>
            <w:vAlign w:val="top"/>
          </w:tcPr>
          <w:p>
            <w:pPr>
              <w:spacing w:line="440" w:lineRule="exact"/>
              <w:rPr>
                <w:color w:val="auto"/>
                <w:highlight w:val="none"/>
              </w:rPr>
            </w:pPr>
          </w:p>
        </w:tc>
        <w:tc>
          <w:tcPr>
            <w:tcW w:w="2393" w:type="dxa"/>
            <w:noWrap w:val="0"/>
            <w:vAlign w:val="top"/>
          </w:tcPr>
          <w:p>
            <w:pPr>
              <w:spacing w:line="440" w:lineRule="exact"/>
              <w:rPr>
                <w:color w:val="auto"/>
                <w:highlight w:val="none"/>
              </w:rPr>
            </w:pPr>
          </w:p>
        </w:tc>
        <w:tc>
          <w:tcPr>
            <w:tcW w:w="1721" w:type="dxa"/>
            <w:noWrap w:val="0"/>
            <w:vAlign w:val="top"/>
          </w:tcPr>
          <w:p>
            <w:pPr>
              <w:spacing w:line="440" w:lineRule="exact"/>
              <w:rPr>
                <w:color w:val="auto"/>
                <w:highlight w:val="none"/>
              </w:rPr>
            </w:pPr>
          </w:p>
        </w:tc>
        <w:tc>
          <w:tcPr>
            <w:tcW w:w="1218" w:type="dxa"/>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color w:val="auto"/>
                <w:highlight w:val="none"/>
              </w:rPr>
            </w:pPr>
            <w:r>
              <w:rPr>
                <w:color w:val="auto"/>
                <w:highlight w:val="none"/>
              </w:rPr>
              <w:t>2</w:t>
            </w:r>
          </w:p>
        </w:tc>
        <w:tc>
          <w:tcPr>
            <w:tcW w:w="1740" w:type="dxa"/>
            <w:noWrap w:val="0"/>
            <w:vAlign w:val="top"/>
          </w:tcPr>
          <w:p>
            <w:pPr>
              <w:spacing w:line="440" w:lineRule="exact"/>
              <w:rPr>
                <w:color w:val="auto"/>
                <w:highlight w:val="none"/>
              </w:rPr>
            </w:pPr>
          </w:p>
        </w:tc>
        <w:tc>
          <w:tcPr>
            <w:tcW w:w="2056" w:type="dxa"/>
            <w:noWrap w:val="0"/>
            <w:vAlign w:val="top"/>
          </w:tcPr>
          <w:p>
            <w:pPr>
              <w:spacing w:line="440" w:lineRule="exact"/>
              <w:rPr>
                <w:color w:val="auto"/>
                <w:highlight w:val="none"/>
              </w:rPr>
            </w:pPr>
          </w:p>
        </w:tc>
        <w:tc>
          <w:tcPr>
            <w:tcW w:w="2393" w:type="dxa"/>
            <w:noWrap w:val="0"/>
            <w:vAlign w:val="top"/>
          </w:tcPr>
          <w:p>
            <w:pPr>
              <w:spacing w:line="440" w:lineRule="exact"/>
              <w:rPr>
                <w:color w:val="auto"/>
                <w:highlight w:val="none"/>
              </w:rPr>
            </w:pPr>
          </w:p>
        </w:tc>
        <w:tc>
          <w:tcPr>
            <w:tcW w:w="1721" w:type="dxa"/>
            <w:noWrap w:val="0"/>
            <w:vAlign w:val="top"/>
          </w:tcPr>
          <w:p>
            <w:pPr>
              <w:spacing w:line="440" w:lineRule="exact"/>
              <w:rPr>
                <w:color w:val="auto"/>
                <w:highlight w:val="none"/>
              </w:rPr>
            </w:pPr>
          </w:p>
        </w:tc>
        <w:tc>
          <w:tcPr>
            <w:tcW w:w="1218" w:type="dxa"/>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color w:val="auto"/>
                <w:highlight w:val="none"/>
              </w:rPr>
            </w:pPr>
            <w:r>
              <w:rPr>
                <w:color w:val="auto"/>
                <w:highlight w:val="none"/>
              </w:rPr>
              <w:t>3</w:t>
            </w:r>
          </w:p>
        </w:tc>
        <w:tc>
          <w:tcPr>
            <w:tcW w:w="1740" w:type="dxa"/>
            <w:noWrap w:val="0"/>
            <w:vAlign w:val="top"/>
          </w:tcPr>
          <w:p>
            <w:pPr>
              <w:spacing w:line="440" w:lineRule="exact"/>
              <w:rPr>
                <w:color w:val="auto"/>
                <w:highlight w:val="none"/>
              </w:rPr>
            </w:pPr>
          </w:p>
        </w:tc>
        <w:tc>
          <w:tcPr>
            <w:tcW w:w="2056" w:type="dxa"/>
            <w:noWrap w:val="0"/>
            <w:vAlign w:val="top"/>
          </w:tcPr>
          <w:p>
            <w:pPr>
              <w:spacing w:line="440" w:lineRule="exact"/>
              <w:rPr>
                <w:color w:val="auto"/>
                <w:highlight w:val="none"/>
              </w:rPr>
            </w:pPr>
          </w:p>
        </w:tc>
        <w:tc>
          <w:tcPr>
            <w:tcW w:w="2393" w:type="dxa"/>
            <w:noWrap w:val="0"/>
            <w:vAlign w:val="top"/>
          </w:tcPr>
          <w:p>
            <w:pPr>
              <w:spacing w:line="440" w:lineRule="exact"/>
              <w:rPr>
                <w:color w:val="auto"/>
                <w:highlight w:val="none"/>
              </w:rPr>
            </w:pPr>
          </w:p>
        </w:tc>
        <w:tc>
          <w:tcPr>
            <w:tcW w:w="1721" w:type="dxa"/>
            <w:noWrap w:val="0"/>
            <w:vAlign w:val="top"/>
          </w:tcPr>
          <w:p>
            <w:pPr>
              <w:spacing w:line="440" w:lineRule="exact"/>
              <w:rPr>
                <w:color w:val="auto"/>
                <w:highlight w:val="none"/>
              </w:rPr>
            </w:pPr>
          </w:p>
        </w:tc>
        <w:tc>
          <w:tcPr>
            <w:tcW w:w="1218" w:type="dxa"/>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color w:val="auto"/>
                <w:highlight w:val="none"/>
              </w:rPr>
            </w:pPr>
            <w:r>
              <w:rPr>
                <w:rFonts w:hint="eastAsia"/>
                <w:color w:val="auto"/>
                <w:highlight w:val="none"/>
              </w:rPr>
              <w:t>…</w:t>
            </w:r>
          </w:p>
        </w:tc>
        <w:tc>
          <w:tcPr>
            <w:tcW w:w="1740" w:type="dxa"/>
            <w:noWrap w:val="0"/>
            <w:vAlign w:val="top"/>
          </w:tcPr>
          <w:p>
            <w:pPr>
              <w:spacing w:line="440" w:lineRule="exact"/>
              <w:rPr>
                <w:color w:val="auto"/>
                <w:highlight w:val="none"/>
              </w:rPr>
            </w:pPr>
          </w:p>
        </w:tc>
        <w:tc>
          <w:tcPr>
            <w:tcW w:w="2056" w:type="dxa"/>
            <w:noWrap w:val="0"/>
            <w:vAlign w:val="top"/>
          </w:tcPr>
          <w:p>
            <w:pPr>
              <w:spacing w:line="440" w:lineRule="exact"/>
              <w:rPr>
                <w:color w:val="auto"/>
                <w:highlight w:val="none"/>
              </w:rPr>
            </w:pPr>
          </w:p>
        </w:tc>
        <w:tc>
          <w:tcPr>
            <w:tcW w:w="2393" w:type="dxa"/>
            <w:noWrap w:val="0"/>
            <w:vAlign w:val="top"/>
          </w:tcPr>
          <w:p>
            <w:pPr>
              <w:spacing w:line="440" w:lineRule="exact"/>
              <w:rPr>
                <w:color w:val="auto"/>
                <w:highlight w:val="none"/>
              </w:rPr>
            </w:pPr>
          </w:p>
        </w:tc>
        <w:tc>
          <w:tcPr>
            <w:tcW w:w="1721" w:type="dxa"/>
            <w:noWrap w:val="0"/>
            <w:vAlign w:val="top"/>
          </w:tcPr>
          <w:p>
            <w:pPr>
              <w:spacing w:line="440" w:lineRule="exact"/>
              <w:rPr>
                <w:color w:val="auto"/>
                <w:highlight w:val="none"/>
              </w:rPr>
            </w:pPr>
          </w:p>
        </w:tc>
        <w:tc>
          <w:tcPr>
            <w:tcW w:w="1218" w:type="dxa"/>
            <w:noWrap w:val="0"/>
            <w:vAlign w:val="top"/>
          </w:tcPr>
          <w:p>
            <w:pPr>
              <w:spacing w:line="440" w:lineRule="exact"/>
              <w:rPr>
                <w:color w:val="auto"/>
                <w:highlight w:val="none"/>
              </w:rPr>
            </w:pPr>
          </w:p>
        </w:tc>
      </w:tr>
    </w:tbl>
    <w:p>
      <w:pPr>
        <w:spacing w:line="440" w:lineRule="exact"/>
        <w:rPr>
          <w:color w:val="auto"/>
          <w:highlight w:val="none"/>
        </w:rPr>
      </w:pPr>
      <w:r>
        <w:rPr>
          <w:rFonts w:hint="eastAsia"/>
          <w:color w:val="auto"/>
          <w:highlight w:val="none"/>
        </w:rPr>
        <w:t>注：与</w:t>
      </w:r>
      <w:r>
        <w:rPr>
          <w:rFonts w:hint="eastAsia"/>
          <w:color w:val="auto"/>
          <w:highlight w:val="none"/>
          <w:lang w:val="en-US" w:eastAsia="zh-CN"/>
        </w:rPr>
        <w:t>竞争性</w:t>
      </w:r>
      <w:r>
        <w:rPr>
          <w:rFonts w:hint="eastAsia"/>
          <w:color w:val="auto"/>
          <w:highlight w:val="none"/>
        </w:rPr>
        <w:t>谈判文件要求逐条对应填写。</w:t>
      </w:r>
    </w:p>
    <w:p>
      <w:pPr>
        <w:spacing w:line="440" w:lineRule="exact"/>
        <w:rPr>
          <w:color w:val="auto"/>
          <w:highlight w:val="none"/>
          <w:u w:val="single"/>
        </w:rPr>
      </w:pPr>
      <w:r>
        <w:rPr>
          <w:rFonts w:hint="eastAsia"/>
          <w:color w:val="auto"/>
          <w:highlight w:val="none"/>
        </w:rPr>
        <w:t>投标人代表签字：</w:t>
      </w:r>
    </w:p>
    <w:p>
      <w:pPr>
        <w:spacing w:line="440" w:lineRule="exact"/>
        <w:rPr>
          <w:b/>
          <w:color w:val="auto"/>
          <w:sz w:val="32"/>
          <w:szCs w:val="32"/>
          <w:highlight w:val="none"/>
        </w:rPr>
      </w:pPr>
      <w:r>
        <w:rPr>
          <w:rFonts w:hint="eastAsia"/>
          <w:color w:val="auto"/>
          <w:highlight w:val="none"/>
        </w:rPr>
        <w:t>日期：</w:t>
      </w:r>
      <w:r>
        <w:rPr>
          <w:bCs/>
          <w:color w:val="auto"/>
          <w:highlight w:val="none"/>
        </w:rPr>
        <w:t>20</w:t>
      </w:r>
      <w:r>
        <w:rPr>
          <w:rFonts w:hint="eastAsia"/>
          <w:color w:val="auto"/>
          <w:highlight w:val="none"/>
          <w:u w:val="single"/>
        </w:rPr>
        <w:t xml:space="preserve">　 </w:t>
      </w:r>
      <w:r>
        <w:rPr>
          <w:rFonts w:hint="eastAsia"/>
          <w:bCs/>
          <w:color w:val="auto"/>
          <w:highlight w:val="none"/>
        </w:rPr>
        <w:t>年</w:t>
      </w:r>
      <w:r>
        <w:rPr>
          <w:rFonts w:hint="eastAsia"/>
          <w:bCs/>
          <w:color w:val="auto"/>
          <w:highlight w:val="none"/>
          <w:u w:val="single"/>
        </w:rPr>
        <w:t>　</w:t>
      </w:r>
      <w:r>
        <w:rPr>
          <w:rFonts w:hint="eastAsia"/>
          <w:bCs/>
          <w:color w:val="auto"/>
          <w:highlight w:val="none"/>
        </w:rPr>
        <w:t>月</w:t>
      </w:r>
      <w:r>
        <w:rPr>
          <w:rFonts w:hint="eastAsia"/>
          <w:bCs/>
          <w:color w:val="auto"/>
          <w:highlight w:val="none"/>
          <w:u w:val="single"/>
        </w:rPr>
        <w:t>　</w:t>
      </w:r>
    </w:p>
    <w:p>
      <w:pPr>
        <w:jc w:val="center"/>
        <w:rPr>
          <w:b/>
          <w:color w:val="auto"/>
          <w:sz w:val="32"/>
          <w:szCs w:val="32"/>
          <w:highlight w:val="none"/>
        </w:rPr>
      </w:pPr>
      <w:r>
        <w:rPr>
          <w:b/>
          <w:color w:val="auto"/>
          <w:sz w:val="30"/>
          <w:szCs w:val="30"/>
          <w:highlight w:val="none"/>
        </w:rPr>
        <w:br w:type="page"/>
      </w:r>
      <w:r>
        <w:rPr>
          <w:rFonts w:hint="eastAsia"/>
          <w:b/>
          <w:color w:val="auto"/>
          <w:sz w:val="30"/>
          <w:szCs w:val="30"/>
          <w:highlight w:val="none"/>
        </w:rPr>
        <w:t>附件2-</w:t>
      </w:r>
      <w:r>
        <w:rPr>
          <w:rFonts w:hint="eastAsia"/>
          <w:b/>
          <w:color w:val="auto"/>
          <w:sz w:val="30"/>
          <w:szCs w:val="30"/>
          <w:highlight w:val="none"/>
          <w:lang w:val="en-US" w:eastAsia="zh-CN"/>
        </w:rPr>
        <w:t>14</w:t>
      </w:r>
      <w:r>
        <w:rPr>
          <w:rFonts w:hint="eastAsia"/>
          <w:b/>
          <w:color w:val="auto"/>
          <w:sz w:val="30"/>
          <w:szCs w:val="30"/>
          <w:highlight w:val="none"/>
        </w:rPr>
        <w:t xml:space="preserve">  售后</w:t>
      </w:r>
      <w:r>
        <w:rPr>
          <w:rFonts w:hint="eastAsia"/>
          <w:b/>
          <w:color w:val="auto"/>
          <w:sz w:val="32"/>
          <w:szCs w:val="32"/>
          <w:highlight w:val="none"/>
        </w:rPr>
        <w:t>服务承诺书</w:t>
      </w:r>
    </w:p>
    <w:p>
      <w:pPr>
        <w:pStyle w:val="5"/>
        <w:snapToGrid w:val="0"/>
        <w:spacing w:line="420" w:lineRule="atLeast"/>
        <w:ind w:firstLine="0"/>
        <w:rPr>
          <w:rFonts w:hint="eastAsia" w:ascii="宋体" w:hAnsi="宋体" w:cs="宋体"/>
          <w:sz w:val="24"/>
        </w:rPr>
      </w:pPr>
      <w:r>
        <w:rPr>
          <w:rFonts w:hint="eastAsia" w:ascii="宋体" w:hAnsi="宋体" w:cs="宋体"/>
          <w:sz w:val="24"/>
        </w:rPr>
        <w:t>致：新疆维吾尔自治区人民医院 ：</w:t>
      </w: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rPr>
        <w:t xml:space="preserve">投标人若在本次招标工作中中标，将按招标文件的规定，精心组织、加强管理，严格按合同约定保质保量的供应。具体承诺如下： </w:t>
      </w:r>
    </w:p>
    <w:p>
      <w:pPr>
        <w:pStyle w:val="5"/>
        <w:snapToGrid w:val="0"/>
        <w:spacing w:line="420" w:lineRule="atLeast"/>
        <w:ind w:firstLineChars="175"/>
        <w:rPr>
          <w:rFonts w:hint="eastAsia" w:ascii="宋体" w:hAnsi="宋体" w:cs="宋体"/>
          <w:sz w:val="24"/>
          <w:u w:val="single"/>
        </w:rPr>
      </w:pPr>
      <w:r>
        <w:rPr>
          <w:rFonts w:hint="eastAsia" w:ascii="宋体" w:hAnsi="宋体" w:cs="宋体"/>
          <w:sz w:val="24"/>
        </w:rPr>
        <w:t xml:space="preserve"> 一、具备</w:t>
      </w:r>
      <w:r>
        <w:rPr>
          <w:rFonts w:hint="eastAsia" w:ascii="宋体" w:hAnsi="宋体" w:cs="宋体"/>
          <w:sz w:val="24"/>
          <w:szCs w:val="24"/>
        </w:rPr>
        <w:t>开具与营业执照企业名称相符的</w:t>
      </w:r>
      <w:r>
        <w:rPr>
          <w:rFonts w:hint="eastAsia" w:ascii="宋体" w:hAnsi="宋体" w:cs="宋体"/>
          <w:b/>
          <w:sz w:val="24"/>
          <w:szCs w:val="24"/>
        </w:rPr>
        <w:t>正规发票及发票税务稽查单并加盖公章、财务专用章或发票专用章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pPr>
        <w:pStyle w:val="5"/>
        <w:snapToGrid w:val="0"/>
        <w:spacing w:line="420" w:lineRule="atLeast"/>
        <w:ind w:firstLine="480" w:firstLineChars="200"/>
        <w:rPr>
          <w:rFonts w:hint="eastAsia" w:ascii="宋体" w:hAnsi="宋体" w:cs="宋体"/>
          <w:sz w:val="24"/>
          <w:u w:val="single"/>
        </w:rPr>
      </w:pPr>
      <w:r>
        <w:rPr>
          <w:rFonts w:hint="eastAsia" w:ascii="宋体" w:hAnsi="宋体" w:cs="宋体"/>
          <w:sz w:val="24"/>
          <w:u w:val="single"/>
        </w:rPr>
        <w:t xml:space="preserve">                                                                               </w:t>
      </w:r>
    </w:p>
    <w:p>
      <w:pPr>
        <w:pStyle w:val="5"/>
        <w:snapToGrid w:val="0"/>
        <w:spacing w:line="420" w:lineRule="atLeast"/>
        <w:ind w:firstLine="480" w:firstLineChars="200"/>
        <w:rPr>
          <w:rFonts w:hint="eastAsia" w:ascii="宋体" w:hAnsi="宋体" w:cs="宋体"/>
          <w:sz w:val="24"/>
          <w:u w:val="single"/>
        </w:rPr>
      </w:pPr>
      <w:r>
        <w:rPr>
          <w:rFonts w:hint="eastAsia" w:ascii="宋体" w:hAnsi="宋体" w:cs="宋体"/>
          <w:sz w:val="24"/>
          <w:u w:val="single"/>
        </w:rPr>
        <w:t xml:space="preserve">                                                                               </w:t>
      </w:r>
    </w:p>
    <w:p>
      <w:pPr>
        <w:pStyle w:val="5"/>
        <w:snapToGrid w:val="0"/>
        <w:spacing w:line="420" w:lineRule="atLeast"/>
        <w:ind w:firstLine="480" w:firstLineChars="200"/>
        <w:rPr>
          <w:rFonts w:hint="eastAsia" w:ascii="宋体" w:hAnsi="宋体" w:cs="宋体"/>
          <w:sz w:val="24"/>
          <w:u w:val="single"/>
        </w:rPr>
      </w:pPr>
      <w:r>
        <w:rPr>
          <w:rFonts w:hint="eastAsia" w:ascii="宋体" w:hAnsi="宋体" w:cs="宋体"/>
          <w:sz w:val="24"/>
        </w:rPr>
        <w:t>二、质量承诺（食品卫生安全）：</w:t>
      </w:r>
      <w:r>
        <w:rPr>
          <w:rFonts w:hint="eastAsia" w:ascii="宋体" w:hAnsi="宋体" w:cs="宋体"/>
          <w:sz w:val="24"/>
          <w:u w:val="single"/>
        </w:rPr>
        <w:t xml:space="preserve">                                                                     </w:t>
      </w:r>
      <w:r>
        <w:rPr>
          <w:rFonts w:hint="eastAsia" w:ascii="宋体" w:hAnsi="宋体" w:cs="宋体"/>
          <w:sz w:val="24"/>
        </w:rPr>
        <w:t xml:space="preserve">       </w:t>
      </w:r>
    </w:p>
    <w:p>
      <w:pPr>
        <w:pStyle w:val="5"/>
        <w:snapToGrid w:val="0"/>
        <w:spacing w:line="420" w:lineRule="atLeast"/>
        <w:ind w:firstLine="480" w:firstLineChars="200"/>
        <w:rPr>
          <w:rFonts w:hint="eastAsia" w:ascii="宋体" w:hAnsi="宋体" w:cs="宋体"/>
          <w:sz w:val="24"/>
          <w:u w:val="single"/>
        </w:rPr>
      </w:pPr>
      <w:r>
        <w:rPr>
          <w:rFonts w:hint="eastAsia" w:ascii="宋体" w:hAnsi="宋体" w:cs="宋体"/>
          <w:sz w:val="24"/>
          <w:u w:val="single"/>
        </w:rPr>
        <w:t xml:space="preserve">                                                                               </w:t>
      </w: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u w:val="single"/>
        </w:rPr>
        <w:t xml:space="preserve">                                                                             </w:t>
      </w:r>
    </w:p>
    <w:p>
      <w:pPr>
        <w:pStyle w:val="5"/>
        <w:snapToGrid w:val="0"/>
        <w:spacing w:line="420" w:lineRule="atLeast"/>
        <w:ind w:firstLine="480" w:firstLineChars="200"/>
        <w:rPr>
          <w:rFonts w:hint="eastAsia" w:ascii="宋体" w:hAnsi="宋体" w:cs="宋体"/>
          <w:sz w:val="24"/>
          <w:u w:val="single"/>
        </w:rPr>
      </w:pPr>
      <w:r>
        <w:rPr>
          <w:rFonts w:hint="eastAsia" w:ascii="宋体" w:hAnsi="宋体" w:cs="宋体"/>
          <w:sz w:val="24"/>
        </w:rPr>
        <w:t>三、价格承诺：</w:t>
      </w:r>
      <w:r>
        <w:rPr>
          <w:rFonts w:hint="eastAsia" w:ascii="宋体" w:hAnsi="宋体" w:cs="宋体"/>
          <w:sz w:val="24"/>
          <w:u w:val="single"/>
        </w:rPr>
        <w:t xml:space="preserve">                                                                    </w:t>
      </w:r>
      <w:r>
        <w:rPr>
          <w:rFonts w:hint="eastAsia" w:ascii="宋体" w:hAnsi="宋体" w:cs="宋体"/>
          <w:sz w:val="24"/>
        </w:rPr>
        <w:t xml:space="preserve">       </w:t>
      </w:r>
    </w:p>
    <w:p>
      <w:pPr>
        <w:pStyle w:val="5"/>
        <w:snapToGrid w:val="0"/>
        <w:spacing w:line="420" w:lineRule="atLeast"/>
        <w:ind w:firstLine="480" w:firstLineChars="200"/>
        <w:rPr>
          <w:rFonts w:hint="eastAsia" w:ascii="宋体" w:hAnsi="宋体" w:cs="宋体"/>
          <w:sz w:val="24"/>
          <w:u w:val="single"/>
        </w:rPr>
      </w:pPr>
      <w:r>
        <w:rPr>
          <w:rFonts w:hint="eastAsia" w:ascii="宋体" w:hAnsi="宋体" w:cs="宋体"/>
          <w:sz w:val="24"/>
          <w:u w:val="single"/>
        </w:rPr>
        <w:t xml:space="preserve">                                                                               </w:t>
      </w: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u w:val="single"/>
        </w:rPr>
        <w:t xml:space="preserve">                                                                             </w:t>
      </w:r>
    </w:p>
    <w:p>
      <w:pPr>
        <w:pStyle w:val="5"/>
        <w:snapToGrid w:val="0"/>
        <w:spacing w:line="420" w:lineRule="atLeast"/>
        <w:ind w:firstLine="480" w:firstLineChars="200"/>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rPr>
        <w:t xml:space="preserve">       </w:t>
      </w: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u w:val="single"/>
        </w:rPr>
        <w:t xml:space="preserve">                                                                          </w:t>
      </w:r>
    </w:p>
    <w:p>
      <w:pPr>
        <w:pStyle w:val="5"/>
        <w:snapToGrid w:val="0"/>
        <w:spacing w:line="420" w:lineRule="atLeast"/>
        <w:ind w:firstLine="480" w:firstLineChars="200"/>
        <w:rPr>
          <w:rFonts w:hint="eastAsia" w:ascii="宋体" w:hAnsi="宋体" w:cs="宋体"/>
          <w:sz w:val="24"/>
          <w:u w:val="single"/>
        </w:rPr>
      </w:pPr>
      <w:r>
        <w:rPr>
          <w:rFonts w:hint="eastAsia" w:ascii="宋体" w:hAnsi="宋体" w:cs="宋体"/>
          <w:sz w:val="24"/>
          <w:u w:val="single"/>
        </w:rPr>
        <w:t xml:space="preserve">                                                                              </w:t>
      </w:r>
    </w:p>
    <w:p>
      <w:pPr>
        <w:pStyle w:val="5"/>
        <w:snapToGrid w:val="0"/>
        <w:spacing w:line="420" w:lineRule="atLeast"/>
        <w:ind w:firstLine="480" w:firstLineChars="200"/>
        <w:rPr>
          <w:rFonts w:hint="eastAsia" w:ascii="宋体" w:hAnsi="宋体" w:cs="宋体"/>
          <w:sz w:val="24"/>
          <w:u w:val="single"/>
        </w:rPr>
      </w:pPr>
      <w:r>
        <w:rPr>
          <w:rFonts w:hint="eastAsia" w:ascii="宋体" w:hAnsi="宋体" w:cs="宋体"/>
          <w:sz w:val="24"/>
        </w:rPr>
        <w:t>四、服务联系人及联系电话</w:t>
      </w:r>
      <w:r>
        <w:rPr>
          <w:rFonts w:hint="eastAsia" w:ascii="宋体" w:hAnsi="宋体" w:cs="宋体"/>
          <w:sz w:val="24"/>
          <w:u w:val="single"/>
        </w:rPr>
        <w:t xml:space="preserve">：                                                   </w:t>
      </w: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rPr>
        <w:t>五、其他承诺：</w:t>
      </w:r>
    </w:p>
    <w:p>
      <w:pPr>
        <w:spacing w:line="400" w:lineRule="exact"/>
        <w:ind w:firstLine="600" w:firstLineChars="250"/>
        <w:rPr>
          <w:rFonts w:hint="eastAsia" w:ascii="宋体" w:hAnsi="宋体" w:cs="宋体"/>
          <w:b/>
          <w:sz w:val="24"/>
          <w:szCs w:val="24"/>
        </w:rPr>
      </w:pPr>
      <w:r>
        <w:rPr>
          <w:rFonts w:hint="eastAsia" w:ascii="宋体" w:hAnsi="宋体" w:cs="宋体"/>
          <w:kern w:val="0"/>
          <w:sz w:val="24"/>
          <w:szCs w:val="24"/>
          <w:u w:val="single"/>
        </w:rPr>
        <w:t>投标人名称</w:t>
      </w:r>
      <w:r>
        <w:rPr>
          <w:rFonts w:hint="eastAsia" w:ascii="宋体" w:hAnsi="宋体" w:cs="宋体"/>
          <w:kern w:val="0"/>
          <w:sz w:val="24"/>
          <w:szCs w:val="24"/>
        </w:rPr>
        <w:t>愿意对新疆维吾尔自治区人民医院做出以下承诺（包括但不限于以下内容）：</w:t>
      </w:r>
    </w:p>
    <w:p>
      <w:pPr>
        <w:spacing w:line="400" w:lineRule="exact"/>
        <w:ind w:firstLine="477" w:firstLineChars="199"/>
        <w:rPr>
          <w:rFonts w:hint="eastAsia" w:ascii="宋体" w:hAnsi="宋体" w:cs="宋体"/>
          <w:kern w:val="0"/>
          <w:sz w:val="24"/>
          <w:szCs w:val="24"/>
        </w:rPr>
      </w:pPr>
      <w:r>
        <w:rPr>
          <w:rFonts w:hint="eastAsia" w:ascii="宋体" w:hAnsi="宋体" w:cs="宋体"/>
          <w:kern w:val="0"/>
          <w:sz w:val="24"/>
          <w:szCs w:val="24"/>
        </w:rPr>
        <w:t>1、按照国家《产品质量法》、《食品安全法》等相关规定，保质、保量为新疆维吾尔自治区人民医院供应所需</w:t>
      </w:r>
      <w:r>
        <w:rPr>
          <w:rFonts w:hint="eastAsia" w:ascii="宋体" w:hAnsi="宋体" w:cs="宋体"/>
          <w:kern w:val="0"/>
          <w:sz w:val="24"/>
          <w:szCs w:val="24"/>
          <w:u w:val="single"/>
        </w:rPr>
        <w:t>招标内容</w:t>
      </w:r>
      <w:r>
        <w:rPr>
          <w:rFonts w:hint="eastAsia" w:ascii="宋体" w:hAnsi="宋体" w:cs="宋体"/>
          <w:kern w:val="0"/>
          <w:sz w:val="24"/>
          <w:szCs w:val="24"/>
        </w:rPr>
        <w:t>，做到各类资质齐全。若供应的货物出现质量问题，引发不良事件发生，由我方承担全部经济责任和法律责任。</w:t>
      </w:r>
    </w:p>
    <w:p>
      <w:pPr>
        <w:spacing w:line="400" w:lineRule="exact"/>
        <w:ind w:firstLine="477" w:firstLineChars="199"/>
        <w:rPr>
          <w:rFonts w:hint="eastAsia" w:ascii="宋体" w:hAnsi="宋体" w:cs="宋体"/>
          <w:kern w:val="0"/>
          <w:sz w:val="24"/>
          <w:szCs w:val="24"/>
        </w:rPr>
      </w:pPr>
      <w:r>
        <w:rPr>
          <w:rFonts w:hint="eastAsia" w:ascii="宋体" w:hAnsi="宋体" w:cs="宋体"/>
          <w:kern w:val="0"/>
          <w:sz w:val="24"/>
          <w:szCs w:val="24"/>
        </w:rPr>
        <w:t>2、在服务过程中，我方严格按照甲方要求的时间供货，由于我方原因未按时将货物送达指定地点，给甲方造成的损失概由我方承担。</w:t>
      </w:r>
    </w:p>
    <w:p>
      <w:pPr>
        <w:spacing w:line="400" w:lineRule="exact"/>
        <w:ind w:firstLine="477" w:firstLineChars="199"/>
        <w:rPr>
          <w:rFonts w:hint="eastAsia" w:ascii="宋体" w:hAnsi="宋体" w:cs="宋体"/>
          <w:sz w:val="24"/>
          <w:szCs w:val="24"/>
        </w:rPr>
      </w:pPr>
      <w:r>
        <w:rPr>
          <w:rFonts w:hint="eastAsia" w:ascii="宋体" w:hAnsi="宋体" w:cs="宋体"/>
          <w:kern w:val="0"/>
          <w:sz w:val="24"/>
          <w:szCs w:val="24"/>
        </w:rPr>
        <w:t>3、我方保证按照甲方</w:t>
      </w:r>
      <w:r>
        <w:rPr>
          <w:rFonts w:hint="eastAsia" w:ascii="宋体" w:hAnsi="宋体" w:cs="宋体"/>
          <w:sz w:val="24"/>
          <w:szCs w:val="24"/>
        </w:rPr>
        <w:t>要求的品种、规格、数量进行配送，</w:t>
      </w:r>
      <w:r>
        <w:rPr>
          <w:rFonts w:hint="eastAsia" w:ascii="宋体" w:hAnsi="宋体" w:cs="宋体"/>
          <w:kern w:val="0"/>
          <w:sz w:val="24"/>
          <w:szCs w:val="24"/>
        </w:rPr>
        <w:t>验收时若发现货物质量未达到招标文件规定，我方无条件在甲方规定时间内更换，由此产生的相关费用由我方承担；</w:t>
      </w:r>
      <w:r>
        <w:rPr>
          <w:rFonts w:hint="eastAsia" w:ascii="宋体" w:hAnsi="宋体" w:cs="宋体"/>
          <w:sz w:val="24"/>
          <w:szCs w:val="24"/>
        </w:rPr>
        <w:t>若未更换或未按时更换，我方自愿接受甲方的处罚。</w:t>
      </w:r>
    </w:p>
    <w:p>
      <w:pPr>
        <w:pStyle w:val="65"/>
        <w:spacing w:line="400" w:lineRule="exact"/>
        <w:ind w:firstLineChars="0"/>
        <w:rPr>
          <w:rFonts w:hint="eastAsia" w:ascii="宋体" w:hAnsi="宋体" w:cs="宋体"/>
          <w:sz w:val="24"/>
        </w:rPr>
      </w:pPr>
      <w:r>
        <w:rPr>
          <w:rFonts w:hint="eastAsia" w:ascii="宋体" w:hAnsi="宋体" w:cs="宋体"/>
          <w:sz w:val="24"/>
        </w:rPr>
        <w:t>4、若我方出现对不符合质量要求的产品不予更换或未按时更换的情况三次，甲方有权解除本合同。</w:t>
      </w:r>
    </w:p>
    <w:p>
      <w:pPr>
        <w:pStyle w:val="65"/>
        <w:spacing w:line="400" w:lineRule="exact"/>
        <w:ind w:firstLineChars="0"/>
        <w:rPr>
          <w:rFonts w:hint="eastAsia" w:ascii="宋体" w:hAnsi="宋体" w:cs="宋体"/>
          <w:sz w:val="24"/>
        </w:rPr>
      </w:pPr>
      <w:r>
        <w:rPr>
          <w:rFonts w:hint="eastAsia" w:ascii="宋体" w:hAnsi="宋体" w:cs="宋体"/>
          <w:sz w:val="24"/>
        </w:rPr>
        <w:t xml:space="preserve">5、我方接到甲方每批次送货通知后，超过1日未能履行送货义务，甲方有权解除本合同。 </w:t>
      </w:r>
    </w:p>
    <w:p>
      <w:pPr>
        <w:pStyle w:val="65"/>
        <w:spacing w:line="400" w:lineRule="exact"/>
        <w:ind w:firstLine="480"/>
        <w:rPr>
          <w:rFonts w:hint="eastAsia" w:ascii="宋体" w:hAnsi="宋体" w:cs="宋体"/>
          <w:sz w:val="24"/>
        </w:rPr>
      </w:pPr>
      <w:r>
        <w:rPr>
          <w:rFonts w:hint="eastAsia" w:ascii="宋体" w:hAnsi="宋体" w:cs="宋体"/>
          <w:sz w:val="24"/>
        </w:rPr>
        <w:t>6、甲方临时补货，我方按要求按时送货，若未按时送货造成的所有损失由我方承担。</w:t>
      </w:r>
    </w:p>
    <w:p>
      <w:pPr>
        <w:spacing w:line="400" w:lineRule="exact"/>
        <w:ind w:firstLine="477" w:firstLineChars="199"/>
        <w:rPr>
          <w:rFonts w:hint="eastAsia" w:ascii="宋体" w:hAnsi="宋体" w:cs="宋体"/>
          <w:kern w:val="0"/>
          <w:sz w:val="24"/>
          <w:szCs w:val="24"/>
        </w:rPr>
      </w:pPr>
      <w:r>
        <w:rPr>
          <w:rFonts w:hint="eastAsia" w:ascii="宋体" w:hAnsi="宋体" w:cs="宋体"/>
          <w:kern w:val="0"/>
          <w:sz w:val="24"/>
          <w:szCs w:val="24"/>
        </w:rPr>
        <w:t>7、在服务过程中，我方保证不得新疆维吾尔自治区人民医院相关人员提供回扣等违纪事件的发生。</w:t>
      </w:r>
    </w:p>
    <w:p>
      <w:pPr>
        <w:spacing w:line="400" w:lineRule="exact"/>
        <w:ind w:firstLine="477" w:firstLineChars="199"/>
        <w:rPr>
          <w:rFonts w:hint="eastAsia" w:ascii="宋体" w:hAnsi="宋体" w:cs="宋体"/>
          <w:kern w:val="0"/>
          <w:sz w:val="24"/>
          <w:szCs w:val="24"/>
        </w:rPr>
      </w:pPr>
      <w:r>
        <w:rPr>
          <w:rFonts w:hint="eastAsia" w:ascii="宋体" w:hAnsi="宋体" w:cs="宋体"/>
          <w:kern w:val="0"/>
          <w:sz w:val="24"/>
          <w:szCs w:val="24"/>
        </w:rPr>
        <w:t>8、在服务过程中，供货方严格遵守新疆维吾尔自治区人民医院后勤部的交通安全规定及有关管理规定，如有违反，发生交通事故等，由我方承担全部经济责任和法律责任。</w:t>
      </w:r>
    </w:p>
    <w:p>
      <w:pPr>
        <w:spacing w:line="400" w:lineRule="exact"/>
        <w:ind w:firstLine="477" w:firstLineChars="199"/>
        <w:rPr>
          <w:rFonts w:hint="eastAsia" w:ascii="宋体" w:hAnsi="宋体" w:cs="宋体"/>
          <w:kern w:val="0"/>
          <w:sz w:val="24"/>
          <w:szCs w:val="24"/>
        </w:rPr>
      </w:pPr>
      <w:r>
        <w:rPr>
          <w:rFonts w:hint="eastAsia" w:ascii="宋体" w:hAnsi="宋体" w:cs="宋体"/>
          <w:kern w:val="0"/>
          <w:sz w:val="24"/>
          <w:szCs w:val="24"/>
        </w:rPr>
        <w:t>9、我方承诺若中标，严格遵守供应商考核处罚办法。</w:t>
      </w:r>
      <w:r>
        <w:rPr>
          <w:rFonts w:hint="eastAsia" w:ascii="宋体" w:hAnsi="宋体" w:cs="宋体"/>
          <w:b/>
          <w:kern w:val="0"/>
          <w:sz w:val="24"/>
          <w:szCs w:val="24"/>
        </w:rPr>
        <w:t>（具体详见附件）</w:t>
      </w:r>
    </w:p>
    <w:p>
      <w:pPr>
        <w:spacing w:line="400" w:lineRule="exact"/>
        <w:ind w:firstLine="477" w:firstLineChars="199"/>
        <w:rPr>
          <w:rFonts w:hint="eastAsia" w:ascii="宋体" w:hAnsi="宋体" w:cs="宋体"/>
          <w:kern w:val="0"/>
          <w:sz w:val="24"/>
          <w:szCs w:val="24"/>
        </w:rPr>
      </w:pPr>
      <w:r>
        <w:rPr>
          <w:rFonts w:hint="eastAsia" w:ascii="宋体" w:hAnsi="宋体" w:cs="宋体"/>
          <w:kern w:val="0"/>
          <w:sz w:val="24"/>
          <w:szCs w:val="24"/>
        </w:rPr>
        <w:t>10、我方承诺参加此次招标采购活动前三年内，无违法违规行为，无行业处罚、惩戒等不良执业记录及不良反映。如有隐瞒，我单位将承担一切法律后果。</w:t>
      </w:r>
    </w:p>
    <w:p>
      <w:pPr>
        <w:spacing w:line="400" w:lineRule="exact"/>
        <w:ind w:firstLine="477" w:firstLineChars="199"/>
        <w:rPr>
          <w:rFonts w:hint="eastAsia" w:ascii="宋体" w:hAnsi="宋体" w:cs="宋体"/>
          <w:kern w:val="0"/>
          <w:sz w:val="24"/>
          <w:szCs w:val="24"/>
        </w:rPr>
      </w:pPr>
      <w:r>
        <w:rPr>
          <w:rFonts w:hint="eastAsia" w:ascii="宋体" w:hAnsi="宋体" w:cs="宋体"/>
          <w:kern w:val="0"/>
          <w:sz w:val="24"/>
          <w:szCs w:val="24"/>
        </w:rPr>
        <w:t>11、对于违反上述条款要求，新疆维吾尔自治区人民医院有权终止和取消我单位的供货资格。</w:t>
      </w:r>
    </w:p>
    <w:p>
      <w:pPr>
        <w:spacing w:line="400" w:lineRule="exact"/>
        <w:ind w:firstLine="477" w:firstLineChars="199"/>
        <w:rPr>
          <w:rFonts w:hint="eastAsia" w:ascii="宋体" w:hAnsi="宋体" w:cs="宋体"/>
          <w:kern w:val="0"/>
          <w:sz w:val="24"/>
          <w:szCs w:val="24"/>
          <w:u w:val="single"/>
        </w:rPr>
      </w:pPr>
      <w:r>
        <w:rPr>
          <w:rFonts w:hint="eastAsia" w:ascii="宋体" w:hAnsi="宋体" w:cs="宋体"/>
          <w:kern w:val="0"/>
          <w:sz w:val="24"/>
          <w:szCs w:val="24"/>
        </w:rPr>
        <w:t>12、投标人还可根据单位情况自行编写、增加售后服务承诺条款或服务方案，充分体现本单位优质高效的售后服务和竞争优势：</w:t>
      </w:r>
      <w:r>
        <w:rPr>
          <w:rFonts w:hint="eastAsia" w:ascii="宋体" w:hAnsi="宋体" w:cs="宋体"/>
          <w:kern w:val="0"/>
          <w:sz w:val="24"/>
          <w:szCs w:val="24"/>
          <w:u w:val="single"/>
        </w:rPr>
        <w:t xml:space="preserve">                                                      </w:t>
      </w:r>
    </w:p>
    <w:p>
      <w:pPr>
        <w:spacing w:line="400" w:lineRule="exact"/>
        <w:ind w:firstLine="477" w:firstLineChars="199"/>
        <w:rPr>
          <w:rFonts w:hint="eastAsia" w:ascii="宋体" w:hAnsi="宋体" w:cs="宋体"/>
          <w:kern w:val="0"/>
          <w:sz w:val="24"/>
          <w:szCs w:val="24"/>
          <w:u w:val="single"/>
        </w:rPr>
      </w:pPr>
      <w:r>
        <w:rPr>
          <w:rFonts w:hint="eastAsia" w:ascii="宋体" w:hAnsi="宋体" w:cs="宋体"/>
          <w:kern w:val="0"/>
          <w:sz w:val="24"/>
          <w:szCs w:val="24"/>
          <w:u w:val="single"/>
        </w:rPr>
        <w:t xml:space="preserve">                                                                 </w:t>
      </w:r>
    </w:p>
    <w:p>
      <w:pPr>
        <w:pStyle w:val="5"/>
        <w:snapToGrid w:val="0"/>
        <w:spacing w:line="420" w:lineRule="atLeast"/>
        <w:ind w:firstLine="480" w:firstLineChars="200"/>
        <w:rPr>
          <w:rFonts w:hint="eastAsia" w:ascii="宋体" w:hAnsi="宋体" w:cs="宋体"/>
          <w:sz w:val="24"/>
        </w:rPr>
      </w:pPr>
      <w:r>
        <w:rPr>
          <w:rFonts w:hint="eastAsia" w:ascii="宋体" w:hAnsi="宋体" w:cs="宋体"/>
          <w:kern w:val="0"/>
          <w:sz w:val="24"/>
          <w:szCs w:val="24"/>
          <w:u w:val="single"/>
        </w:rPr>
        <w:t xml:space="preserve">13、...                                                           </w:t>
      </w: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rPr>
        <w:t xml:space="preserve">    特此承诺！</w:t>
      </w: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rPr>
        <w:t xml:space="preserve">                             </w:t>
      </w:r>
    </w:p>
    <w:p>
      <w:pPr>
        <w:pStyle w:val="5"/>
        <w:snapToGrid w:val="0"/>
        <w:spacing w:line="420" w:lineRule="atLeast"/>
        <w:ind w:firstLine="480" w:firstLineChars="200"/>
        <w:rPr>
          <w:rFonts w:hint="eastAsia" w:ascii="宋体" w:hAnsi="宋体" w:cs="宋体"/>
          <w:sz w:val="24"/>
        </w:rPr>
      </w:pP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rPr>
        <w:t xml:space="preserve">                                   承诺人(盖章)：</w:t>
      </w: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rPr>
        <w:t xml:space="preserve">               法定代表人(或委托代理人签名盖章)：</w:t>
      </w:r>
    </w:p>
    <w:p>
      <w:pPr>
        <w:pStyle w:val="5"/>
        <w:snapToGrid w:val="0"/>
        <w:spacing w:line="420" w:lineRule="atLeast"/>
        <w:ind w:firstLine="480" w:firstLineChars="200"/>
        <w:rPr>
          <w:rFonts w:hint="eastAsia" w:ascii="宋体" w:hAnsi="宋体" w:cs="宋体"/>
          <w:sz w:val="24"/>
        </w:rPr>
      </w:pPr>
      <w:r>
        <w:rPr>
          <w:rFonts w:hint="eastAsia" w:ascii="宋体" w:hAnsi="宋体" w:cs="宋体"/>
          <w:sz w:val="24"/>
        </w:rPr>
        <w:t xml:space="preserve">                                        年     月    日</w:t>
      </w:r>
    </w:p>
    <w:p>
      <w:pPr>
        <w:jc w:val="center"/>
        <w:rPr>
          <w:b/>
          <w:color w:val="auto"/>
          <w:sz w:val="32"/>
          <w:szCs w:val="32"/>
          <w:highlight w:val="none"/>
        </w:rPr>
      </w:pPr>
      <w:r>
        <w:rPr>
          <w:rFonts w:hint="eastAsia" w:ascii="宋体" w:hAnsi="宋体" w:cs="宋体"/>
          <w:color w:val="auto"/>
          <w:kern w:val="0"/>
          <w:sz w:val="24"/>
          <w:highlight w:val="none"/>
        </w:rPr>
        <w:br w:type="page"/>
      </w:r>
      <w:r>
        <w:rPr>
          <w:rFonts w:hint="eastAsia"/>
          <w:b/>
          <w:color w:val="auto"/>
          <w:sz w:val="30"/>
          <w:szCs w:val="30"/>
          <w:highlight w:val="none"/>
        </w:rPr>
        <w:t>附件2-</w:t>
      </w:r>
      <w:r>
        <w:rPr>
          <w:rFonts w:hint="eastAsia"/>
          <w:b/>
          <w:color w:val="auto"/>
          <w:sz w:val="30"/>
          <w:szCs w:val="30"/>
          <w:highlight w:val="none"/>
          <w:lang w:val="en-US" w:eastAsia="zh-CN"/>
        </w:rPr>
        <w:t>15</w:t>
      </w:r>
      <w:r>
        <w:rPr>
          <w:rFonts w:hint="eastAsia"/>
          <w:b/>
          <w:color w:val="auto"/>
          <w:sz w:val="30"/>
          <w:szCs w:val="30"/>
          <w:highlight w:val="none"/>
        </w:rPr>
        <w:t xml:space="preserve">  </w:t>
      </w:r>
      <w:r>
        <w:rPr>
          <w:rFonts w:hint="eastAsia" w:ascii="宋体" w:hAnsi="宋体" w:cs="宋体"/>
          <w:b/>
          <w:color w:val="auto"/>
          <w:sz w:val="30"/>
          <w:szCs w:val="30"/>
          <w:highlight w:val="none"/>
        </w:rPr>
        <w:t>备品、备件清单</w:t>
      </w:r>
    </w:p>
    <w:p>
      <w:pPr>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w:t>
      </w:r>
      <w:r>
        <w:rPr>
          <w:rFonts w:hint="eastAsia" w:ascii="宋体" w:hAnsi="宋体" w:cs="宋体"/>
          <w:color w:val="auto"/>
          <w:sz w:val="24"/>
          <w:highlight w:val="none"/>
        </w:rPr>
        <w:t>招标编号：</w:t>
      </w:r>
      <w:r>
        <w:rPr>
          <w:rFonts w:hint="eastAsia" w:ascii="宋体" w:hAnsi="宋体" w:cs="宋体"/>
          <w:color w:val="auto"/>
          <w:sz w:val="24"/>
          <w:highlight w:val="none"/>
          <w:u w:val="single"/>
        </w:rPr>
        <w:t>　　           　  　</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投标内容/包号：</w:t>
      </w:r>
      <w:r>
        <w:rPr>
          <w:rFonts w:hint="eastAsia" w:ascii="宋体" w:hAnsi="宋体" w:cs="宋体"/>
          <w:color w:val="auto"/>
          <w:sz w:val="24"/>
          <w:highlight w:val="none"/>
          <w:u w:val="single"/>
        </w:rPr>
        <w:t>　　           　  　</w:t>
      </w:r>
      <w:r>
        <w:rPr>
          <w:rFonts w:hint="eastAsia" w:ascii="宋体" w:hAnsi="宋体" w:cs="宋体"/>
          <w:color w:val="auto"/>
          <w:sz w:val="24"/>
          <w:highlight w:val="non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1"/>
        <w:gridCol w:w="1874"/>
        <w:gridCol w:w="2249"/>
        <w:gridCol w:w="881"/>
        <w:gridCol w:w="966"/>
        <w:gridCol w:w="93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01"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311"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备品、备件名称</w:t>
            </w:r>
          </w:p>
        </w:tc>
        <w:tc>
          <w:tcPr>
            <w:tcW w:w="1874"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2249"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生产厂家</w:t>
            </w:r>
          </w:p>
        </w:tc>
        <w:tc>
          <w:tcPr>
            <w:tcW w:w="881"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96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93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936" w:type="dxa"/>
            <w:noWrap w:val="0"/>
            <w:vAlign w:val="center"/>
          </w:tcPr>
          <w:p>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noWrap w:val="0"/>
            <w:vAlign w:val="top"/>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p>
        </w:tc>
        <w:tc>
          <w:tcPr>
            <w:tcW w:w="1311" w:type="dxa"/>
            <w:noWrap w:val="0"/>
            <w:vAlign w:val="top"/>
          </w:tcPr>
          <w:p>
            <w:pPr>
              <w:spacing w:line="440" w:lineRule="exact"/>
              <w:rPr>
                <w:rFonts w:hint="eastAsia" w:ascii="宋体" w:hAnsi="宋体" w:cs="宋体"/>
                <w:color w:val="auto"/>
                <w:sz w:val="24"/>
                <w:highlight w:val="none"/>
              </w:rPr>
            </w:pPr>
          </w:p>
        </w:tc>
        <w:tc>
          <w:tcPr>
            <w:tcW w:w="1874" w:type="dxa"/>
            <w:noWrap w:val="0"/>
            <w:vAlign w:val="top"/>
          </w:tcPr>
          <w:p>
            <w:pPr>
              <w:spacing w:line="440" w:lineRule="exact"/>
              <w:rPr>
                <w:rFonts w:hint="eastAsia" w:ascii="宋体" w:hAnsi="宋体" w:cs="宋体"/>
                <w:color w:val="auto"/>
                <w:sz w:val="24"/>
                <w:highlight w:val="none"/>
              </w:rPr>
            </w:pPr>
          </w:p>
        </w:tc>
        <w:tc>
          <w:tcPr>
            <w:tcW w:w="2249" w:type="dxa"/>
            <w:noWrap w:val="0"/>
            <w:vAlign w:val="top"/>
          </w:tcPr>
          <w:p>
            <w:pPr>
              <w:spacing w:line="440" w:lineRule="exact"/>
              <w:rPr>
                <w:rFonts w:hint="eastAsia" w:ascii="宋体" w:hAnsi="宋体" w:cs="宋体"/>
                <w:color w:val="auto"/>
                <w:sz w:val="24"/>
                <w:highlight w:val="none"/>
              </w:rPr>
            </w:pPr>
          </w:p>
        </w:tc>
        <w:tc>
          <w:tcPr>
            <w:tcW w:w="881" w:type="dxa"/>
            <w:noWrap w:val="0"/>
            <w:vAlign w:val="top"/>
          </w:tcPr>
          <w:p>
            <w:pPr>
              <w:spacing w:line="440" w:lineRule="exact"/>
              <w:rPr>
                <w:rFonts w:hint="eastAsia" w:ascii="宋体" w:hAnsi="宋体" w:cs="宋体"/>
                <w:color w:val="auto"/>
                <w:sz w:val="24"/>
                <w:highlight w:val="none"/>
              </w:rPr>
            </w:pPr>
          </w:p>
        </w:tc>
        <w:tc>
          <w:tcPr>
            <w:tcW w:w="966" w:type="dxa"/>
            <w:noWrap w:val="0"/>
            <w:vAlign w:val="top"/>
          </w:tcPr>
          <w:p>
            <w:pPr>
              <w:spacing w:line="440" w:lineRule="exact"/>
              <w:rPr>
                <w:rFonts w:hint="eastAsia" w:ascii="宋体" w:hAnsi="宋体" w:cs="宋体"/>
                <w:color w:val="auto"/>
                <w:sz w:val="24"/>
                <w:highlight w:val="none"/>
              </w:rPr>
            </w:pPr>
          </w:p>
        </w:tc>
        <w:tc>
          <w:tcPr>
            <w:tcW w:w="936" w:type="dxa"/>
            <w:noWrap w:val="0"/>
            <w:vAlign w:val="top"/>
          </w:tcPr>
          <w:p>
            <w:pPr>
              <w:spacing w:line="440" w:lineRule="exact"/>
              <w:rPr>
                <w:rFonts w:hint="eastAsia" w:ascii="宋体" w:hAnsi="宋体" w:cs="宋体"/>
                <w:color w:val="auto"/>
                <w:sz w:val="24"/>
                <w:highlight w:val="none"/>
              </w:rPr>
            </w:pPr>
          </w:p>
        </w:tc>
        <w:tc>
          <w:tcPr>
            <w:tcW w:w="936" w:type="dxa"/>
            <w:noWrap w:val="0"/>
            <w:vAlign w:val="top"/>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noWrap w:val="0"/>
            <w:vAlign w:val="top"/>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w:t>
            </w:r>
          </w:p>
        </w:tc>
        <w:tc>
          <w:tcPr>
            <w:tcW w:w="1311" w:type="dxa"/>
            <w:noWrap w:val="0"/>
            <w:vAlign w:val="top"/>
          </w:tcPr>
          <w:p>
            <w:pPr>
              <w:spacing w:line="440" w:lineRule="exact"/>
              <w:rPr>
                <w:rFonts w:hint="eastAsia" w:ascii="宋体" w:hAnsi="宋体" w:cs="宋体"/>
                <w:color w:val="auto"/>
                <w:sz w:val="24"/>
                <w:highlight w:val="none"/>
              </w:rPr>
            </w:pPr>
          </w:p>
        </w:tc>
        <w:tc>
          <w:tcPr>
            <w:tcW w:w="1874" w:type="dxa"/>
            <w:noWrap w:val="0"/>
            <w:vAlign w:val="top"/>
          </w:tcPr>
          <w:p>
            <w:pPr>
              <w:spacing w:line="440" w:lineRule="exact"/>
              <w:rPr>
                <w:rFonts w:hint="eastAsia" w:ascii="宋体" w:hAnsi="宋体" w:cs="宋体"/>
                <w:color w:val="auto"/>
                <w:sz w:val="24"/>
                <w:highlight w:val="none"/>
              </w:rPr>
            </w:pPr>
          </w:p>
        </w:tc>
        <w:tc>
          <w:tcPr>
            <w:tcW w:w="2249" w:type="dxa"/>
            <w:noWrap w:val="0"/>
            <w:vAlign w:val="top"/>
          </w:tcPr>
          <w:p>
            <w:pPr>
              <w:spacing w:line="440" w:lineRule="exact"/>
              <w:rPr>
                <w:rFonts w:hint="eastAsia" w:ascii="宋体" w:hAnsi="宋体" w:cs="宋体"/>
                <w:color w:val="auto"/>
                <w:sz w:val="24"/>
                <w:highlight w:val="none"/>
              </w:rPr>
            </w:pPr>
          </w:p>
        </w:tc>
        <w:tc>
          <w:tcPr>
            <w:tcW w:w="881" w:type="dxa"/>
            <w:noWrap w:val="0"/>
            <w:vAlign w:val="top"/>
          </w:tcPr>
          <w:p>
            <w:pPr>
              <w:spacing w:line="440" w:lineRule="exact"/>
              <w:rPr>
                <w:rFonts w:hint="eastAsia" w:ascii="宋体" w:hAnsi="宋体" w:cs="宋体"/>
                <w:color w:val="auto"/>
                <w:sz w:val="24"/>
                <w:highlight w:val="none"/>
              </w:rPr>
            </w:pPr>
          </w:p>
        </w:tc>
        <w:tc>
          <w:tcPr>
            <w:tcW w:w="966" w:type="dxa"/>
            <w:noWrap w:val="0"/>
            <w:vAlign w:val="top"/>
          </w:tcPr>
          <w:p>
            <w:pPr>
              <w:spacing w:line="440" w:lineRule="exact"/>
              <w:rPr>
                <w:rFonts w:hint="eastAsia" w:ascii="宋体" w:hAnsi="宋体" w:cs="宋体"/>
                <w:color w:val="auto"/>
                <w:sz w:val="24"/>
                <w:highlight w:val="none"/>
              </w:rPr>
            </w:pPr>
          </w:p>
        </w:tc>
        <w:tc>
          <w:tcPr>
            <w:tcW w:w="936" w:type="dxa"/>
            <w:noWrap w:val="0"/>
            <w:vAlign w:val="top"/>
          </w:tcPr>
          <w:p>
            <w:pPr>
              <w:spacing w:line="440" w:lineRule="exact"/>
              <w:rPr>
                <w:rFonts w:hint="eastAsia" w:ascii="宋体" w:hAnsi="宋体" w:cs="宋体"/>
                <w:color w:val="auto"/>
                <w:sz w:val="24"/>
                <w:highlight w:val="none"/>
              </w:rPr>
            </w:pPr>
          </w:p>
        </w:tc>
        <w:tc>
          <w:tcPr>
            <w:tcW w:w="936" w:type="dxa"/>
            <w:noWrap w:val="0"/>
            <w:vAlign w:val="top"/>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noWrap w:val="0"/>
            <w:vAlign w:val="top"/>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w:t>
            </w:r>
          </w:p>
        </w:tc>
        <w:tc>
          <w:tcPr>
            <w:tcW w:w="1311" w:type="dxa"/>
            <w:noWrap w:val="0"/>
            <w:vAlign w:val="top"/>
          </w:tcPr>
          <w:p>
            <w:pPr>
              <w:spacing w:line="440" w:lineRule="exact"/>
              <w:rPr>
                <w:rFonts w:hint="eastAsia" w:ascii="宋体" w:hAnsi="宋体" w:cs="宋体"/>
                <w:color w:val="auto"/>
                <w:sz w:val="24"/>
                <w:highlight w:val="none"/>
              </w:rPr>
            </w:pPr>
          </w:p>
        </w:tc>
        <w:tc>
          <w:tcPr>
            <w:tcW w:w="1874" w:type="dxa"/>
            <w:noWrap w:val="0"/>
            <w:vAlign w:val="top"/>
          </w:tcPr>
          <w:p>
            <w:pPr>
              <w:spacing w:line="440" w:lineRule="exact"/>
              <w:rPr>
                <w:rFonts w:hint="eastAsia" w:ascii="宋体" w:hAnsi="宋体" w:cs="宋体"/>
                <w:color w:val="auto"/>
                <w:sz w:val="24"/>
                <w:highlight w:val="none"/>
              </w:rPr>
            </w:pPr>
          </w:p>
        </w:tc>
        <w:tc>
          <w:tcPr>
            <w:tcW w:w="2249" w:type="dxa"/>
            <w:noWrap w:val="0"/>
            <w:vAlign w:val="top"/>
          </w:tcPr>
          <w:p>
            <w:pPr>
              <w:spacing w:line="440" w:lineRule="exact"/>
              <w:rPr>
                <w:rFonts w:hint="eastAsia" w:ascii="宋体" w:hAnsi="宋体" w:cs="宋体"/>
                <w:color w:val="auto"/>
                <w:sz w:val="24"/>
                <w:highlight w:val="none"/>
              </w:rPr>
            </w:pPr>
          </w:p>
        </w:tc>
        <w:tc>
          <w:tcPr>
            <w:tcW w:w="881" w:type="dxa"/>
            <w:noWrap w:val="0"/>
            <w:vAlign w:val="top"/>
          </w:tcPr>
          <w:p>
            <w:pPr>
              <w:spacing w:line="440" w:lineRule="exact"/>
              <w:rPr>
                <w:rFonts w:hint="eastAsia" w:ascii="宋体" w:hAnsi="宋体" w:cs="宋体"/>
                <w:color w:val="auto"/>
                <w:sz w:val="24"/>
                <w:highlight w:val="none"/>
              </w:rPr>
            </w:pPr>
          </w:p>
        </w:tc>
        <w:tc>
          <w:tcPr>
            <w:tcW w:w="966" w:type="dxa"/>
            <w:noWrap w:val="0"/>
            <w:vAlign w:val="top"/>
          </w:tcPr>
          <w:p>
            <w:pPr>
              <w:spacing w:line="440" w:lineRule="exact"/>
              <w:rPr>
                <w:rFonts w:hint="eastAsia" w:ascii="宋体" w:hAnsi="宋体" w:cs="宋体"/>
                <w:color w:val="auto"/>
                <w:sz w:val="24"/>
                <w:highlight w:val="none"/>
              </w:rPr>
            </w:pPr>
          </w:p>
        </w:tc>
        <w:tc>
          <w:tcPr>
            <w:tcW w:w="936" w:type="dxa"/>
            <w:noWrap w:val="0"/>
            <w:vAlign w:val="top"/>
          </w:tcPr>
          <w:p>
            <w:pPr>
              <w:spacing w:line="440" w:lineRule="exact"/>
              <w:rPr>
                <w:rFonts w:hint="eastAsia" w:ascii="宋体" w:hAnsi="宋体" w:cs="宋体"/>
                <w:color w:val="auto"/>
                <w:sz w:val="24"/>
                <w:highlight w:val="none"/>
              </w:rPr>
            </w:pPr>
          </w:p>
        </w:tc>
        <w:tc>
          <w:tcPr>
            <w:tcW w:w="936" w:type="dxa"/>
            <w:noWrap w:val="0"/>
            <w:vAlign w:val="top"/>
          </w:tcPr>
          <w:p>
            <w:pPr>
              <w:spacing w:line="44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noWrap w:val="0"/>
            <w:vAlign w:val="top"/>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311" w:type="dxa"/>
            <w:noWrap w:val="0"/>
            <w:vAlign w:val="top"/>
          </w:tcPr>
          <w:p>
            <w:pPr>
              <w:spacing w:line="440" w:lineRule="exact"/>
              <w:rPr>
                <w:rFonts w:hint="eastAsia" w:ascii="宋体" w:hAnsi="宋体" w:cs="宋体"/>
                <w:color w:val="auto"/>
                <w:sz w:val="24"/>
                <w:highlight w:val="none"/>
              </w:rPr>
            </w:pPr>
          </w:p>
        </w:tc>
        <w:tc>
          <w:tcPr>
            <w:tcW w:w="1874" w:type="dxa"/>
            <w:noWrap w:val="0"/>
            <w:vAlign w:val="top"/>
          </w:tcPr>
          <w:p>
            <w:pPr>
              <w:spacing w:line="440" w:lineRule="exact"/>
              <w:rPr>
                <w:rFonts w:hint="eastAsia" w:ascii="宋体" w:hAnsi="宋体" w:cs="宋体"/>
                <w:color w:val="auto"/>
                <w:sz w:val="24"/>
                <w:highlight w:val="none"/>
              </w:rPr>
            </w:pPr>
          </w:p>
        </w:tc>
        <w:tc>
          <w:tcPr>
            <w:tcW w:w="2249" w:type="dxa"/>
            <w:noWrap w:val="0"/>
            <w:vAlign w:val="top"/>
          </w:tcPr>
          <w:p>
            <w:pPr>
              <w:spacing w:line="440" w:lineRule="exact"/>
              <w:rPr>
                <w:rFonts w:hint="eastAsia" w:ascii="宋体" w:hAnsi="宋体" w:cs="宋体"/>
                <w:color w:val="auto"/>
                <w:sz w:val="24"/>
                <w:highlight w:val="none"/>
              </w:rPr>
            </w:pPr>
          </w:p>
        </w:tc>
        <w:tc>
          <w:tcPr>
            <w:tcW w:w="881" w:type="dxa"/>
            <w:noWrap w:val="0"/>
            <w:vAlign w:val="top"/>
          </w:tcPr>
          <w:p>
            <w:pPr>
              <w:spacing w:line="440" w:lineRule="exact"/>
              <w:rPr>
                <w:rFonts w:hint="eastAsia" w:ascii="宋体" w:hAnsi="宋体" w:cs="宋体"/>
                <w:color w:val="auto"/>
                <w:sz w:val="24"/>
                <w:highlight w:val="none"/>
              </w:rPr>
            </w:pPr>
          </w:p>
        </w:tc>
        <w:tc>
          <w:tcPr>
            <w:tcW w:w="966" w:type="dxa"/>
            <w:noWrap w:val="0"/>
            <w:vAlign w:val="top"/>
          </w:tcPr>
          <w:p>
            <w:pPr>
              <w:spacing w:line="440" w:lineRule="exact"/>
              <w:rPr>
                <w:rFonts w:hint="eastAsia" w:ascii="宋体" w:hAnsi="宋体" w:cs="宋体"/>
                <w:color w:val="auto"/>
                <w:sz w:val="24"/>
                <w:highlight w:val="none"/>
              </w:rPr>
            </w:pPr>
          </w:p>
        </w:tc>
        <w:tc>
          <w:tcPr>
            <w:tcW w:w="936" w:type="dxa"/>
            <w:noWrap w:val="0"/>
            <w:vAlign w:val="top"/>
          </w:tcPr>
          <w:p>
            <w:pPr>
              <w:spacing w:line="440" w:lineRule="exact"/>
              <w:rPr>
                <w:rFonts w:hint="eastAsia" w:ascii="宋体" w:hAnsi="宋体" w:cs="宋体"/>
                <w:color w:val="auto"/>
                <w:sz w:val="24"/>
                <w:highlight w:val="none"/>
              </w:rPr>
            </w:pPr>
          </w:p>
        </w:tc>
        <w:tc>
          <w:tcPr>
            <w:tcW w:w="936" w:type="dxa"/>
            <w:noWrap w:val="0"/>
            <w:vAlign w:val="top"/>
          </w:tcPr>
          <w:p>
            <w:pPr>
              <w:spacing w:line="440" w:lineRule="exact"/>
              <w:rPr>
                <w:rFonts w:hint="eastAsia" w:ascii="宋体" w:hAnsi="宋体" w:cs="宋体"/>
                <w:color w:val="auto"/>
                <w:sz w:val="24"/>
                <w:highlight w:val="none"/>
              </w:rPr>
            </w:pPr>
          </w:p>
        </w:tc>
      </w:tr>
    </w:tbl>
    <w:p>
      <w:pPr>
        <w:pStyle w:val="2"/>
        <w:rPr>
          <w:rFonts w:hint="eastAsia"/>
        </w:rPr>
      </w:pPr>
    </w:p>
    <w:p>
      <w:pPr>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投标人代表签字：</w:t>
      </w:r>
      <w:r>
        <w:rPr>
          <w:rFonts w:hint="eastAsia" w:ascii="宋体" w:hAnsi="宋体" w:cs="宋体"/>
          <w:color w:val="auto"/>
          <w:sz w:val="24"/>
          <w:highlight w:val="none"/>
          <w:u w:val="single"/>
        </w:rPr>
        <w:t>　　　　　　　　　</w:t>
      </w:r>
    </w:p>
    <w:p>
      <w:pPr>
        <w:spacing w:line="440" w:lineRule="exact"/>
        <w:rPr>
          <w:rFonts w:hint="eastAsia" w:ascii="宋体" w:hAnsi="宋体" w:cs="宋体"/>
          <w:bCs/>
          <w:color w:val="auto"/>
          <w:sz w:val="24"/>
          <w:highlight w:val="none"/>
        </w:rPr>
      </w:pPr>
      <w:r>
        <w:rPr>
          <w:rFonts w:hint="eastAsia" w:ascii="宋体" w:hAnsi="宋体" w:cs="宋体"/>
          <w:color w:val="auto"/>
          <w:sz w:val="24"/>
          <w:highlight w:val="none"/>
        </w:rPr>
        <w:t>日期：</w:t>
      </w:r>
      <w:r>
        <w:rPr>
          <w:rFonts w:hint="eastAsia" w:ascii="宋体" w:hAnsi="宋体" w:cs="宋体"/>
          <w:bCs/>
          <w:color w:val="auto"/>
          <w:sz w:val="24"/>
          <w:highlight w:val="none"/>
        </w:rPr>
        <w:t>20年</w:t>
      </w:r>
      <w:r>
        <w:rPr>
          <w:rFonts w:hint="eastAsia" w:ascii="宋体" w:hAnsi="宋体" w:cs="宋体"/>
          <w:bCs/>
          <w:color w:val="auto"/>
          <w:sz w:val="24"/>
          <w:highlight w:val="none"/>
          <w:u w:val="single"/>
        </w:rPr>
        <w:t>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w:t>
      </w:r>
      <w:r>
        <w:rPr>
          <w:rFonts w:hint="eastAsia" w:ascii="宋体" w:hAnsi="宋体" w:cs="宋体"/>
          <w:bCs/>
          <w:color w:val="auto"/>
          <w:sz w:val="24"/>
          <w:highlight w:val="none"/>
        </w:rPr>
        <w:t>日</w:t>
      </w:r>
    </w:p>
    <w:p>
      <w:pPr>
        <w:widowControl/>
        <w:adjustRightInd w:val="0"/>
        <w:spacing w:line="440" w:lineRule="exact"/>
        <w:jc w:val="left"/>
        <w:rPr>
          <w:rFonts w:hint="eastAsia" w:ascii="宋体" w:hAnsi="宋体" w:cs="宋体"/>
          <w:color w:val="auto"/>
          <w:kern w:val="0"/>
          <w:sz w:val="24"/>
          <w:highlight w:val="none"/>
        </w:rPr>
      </w:pPr>
    </w:p>
    <w:p>
      <w:pPr>
        <w:spacing w:line="440" w:lineRule="exact"/>
        <w:rPr>
          <w:rFonts w:hint="eastAsia" w:ascii="宋体" w:hAnsi="宋体"/>
          <w:sz w:val="24"/>
        </w:rPr>
      </w:pPr>
    </w:p>
    <w:p/>
    <w:p>
      <w:pPr>
        <w:pStyle w:val="2"/>
      </w:pPr>
    </w:p>
    <w:p>
      <w:pPr>
        <w:spacing w:before="100" w:line="460" w:lineRule="atLeast"/>
        <w:ind w:firstLine="960" w:firstLineChars="400"/>
        <w:rPr>
          <w:rFonts w:ascii="宋体" w:cs="宋体"/>
          <w:sz w:val="24"/>
        </w:rPr>
      </w:pPr>
    </w:p>
    <w:p>
      <w:pPr>
        <w:pStyle w:val="9"/>
        <w:spacing w:line="460" w:lineRule="atLeast"/>
        <w:ind w:left="0" w:leftChars="0" w:firstLine="0" w:firstLineChars="0"/>
        <w:rPr>
          <w:rFonts w:cs="宋体"/>
          <w:sz w:val="24"/>
        </w:rPr>
      </w:pPr>
      <w:permStart w:id="3" w:edGrp="everyone"/>
      <w:permEnd w:id="3"/>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7"/>
      </w:rPr>
    </w:pPr>
    <w:r>
      <w:rPr>
        <w:rStyle w:val="27"/>
        <w:rFonts w:hint="eastAsia"/>
      </w:rPr>
      <w:t>第</w:t>
    </w: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r>
      <w:rPr>
        <w:rStyle w:val="27"/>
        <w:rFonts w:hint="eastAsia"/>
      </w:rPr>
      <w:t>页</w:t>
    </w:r>
  </w:p>
  <w:p>
    <w:pPr>
      <w:pStyle w:val="14"/>
      <w:framePr w:wrap="around" w:vAnchor="text" w:hAnchor="margin" w:xAlign="right" w:y="1"/>
      <w:rPr>
        <w:rStyle w:val="27"/>
      </w:rPr>
    </w:pPr>
  </w:p>
  <w:p>
    <w:pPr>
      <w:pStyle w:val="14"/>
      <w:ind w:right="720"/>
    </w:pPr>
    <w:r>
      <w:pict>
        <v:line id="_x0000_s2049" o:spid="_x0000_s2049" o:spt="20" style="position:absolute;left:0pt;margin-left:0pt;margin-top:-0.1pt;height:0pt;width:486pt;z-index:251660288;mso-width-relative:page;mso-height-relative:page;" coordsize="21600,21600">
          <v:path arrowok="t"/>
          <v:fill focussize="0,0"/>
          <v:stroke/>
          <v:imagedata o:title=""/>
          <o:lock v:ext="edit"/>
        </v:line>
      </w:pict>
    </w:r>
    <w:r>
      <w:rPr>
        <w:rFonts w:hint="eastAsia"/>
      </w:rPr>
      <w:t>网址：</w:t>
    </w:r>
    <w:r>
      <w:fldChar w:fldCharType="begin"/>
    </w:r>
    <w:r>
      <w:instrText xml:space="preserve"> HYPERLINK "http://www.xjtf.net" </w:instrText>
    </w:r>
    <w:r>
      <w:fldChar w:fldCharType="separate"/>
    </w:r>
    <w:r>
      <w:rPr>
        <w:rStyle w:val="29"/>
      </w:rPr>
      <w:t>http://www.xjtf.net</w:t>
    </w:r>
    <w:r>
      <w:rPr>
        <w:rStyle w:val="29"/>
      </w:rPr>
      <w:fldChar w:fldCharType="end"/>
    </w:r>
    <w:r>
      <w:t xml:space="preserve">                                                         </w:t>
    </w:r>
    <w:r>
      <w:rPr>
        <w:rFonts w:hint="eastAsia"/>
      </w:rPr>
      <w:t>电话</w:t>
    </w:r>
    <w:r>
      <w:t>/</w:t>
    </w:r>
    <w:r>
      <w:rPr>
        <w:rFonts w:hint="eastAsia"/>
      </w:rPr>
      <w:t>传真：</w:t>
    </w:r>
    <w:r>
      <w:t>0991-4833033</w:t>
    </w:r>
  </w:p>
  <w:p>
    <w:pPr>
      <w:pStyle w:val="14"/>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b/>
      </w:rPr>
    </w:pPr>
    <w:r>
      <w:rPr>
        <w:rFonts w:hint="eastAsia" w:ascii="宋体" w:hAnsi="宋体"/>
        <w:b/>
      </w:rPr>
      <w:t>新疆同孚招投标有限公司</w:t>
    </w:r>
    <w:r>
      <w:rPr>
        <w:rFonts w:ascii="宋体" w:hAnsi="宋体"/>
        <w:b/>
      </w:rPr>
      <w:t xml:space="preserve"> </w:t>
    </w:r>
    <w:r>
      <w:rPr>
        <w:rFonts w:hint="eastAsia" w:ascii="宋体" w:hAnsi="宋体"/>
        <w:b/>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976B6"/>
    <w:multiLevelType w:val="singleLevel"/>
    <w:tmpl w:val="E31976B6"/>
    <w:lvl w:ilvl="0" w:tentative="0">
      <w:start w:val="2"/>
      <w:numFmt w:val="chineseCounting"/>
      <w:suff w:val="space"/>
      <w:lvlText w:val="第%1部分"/>
      <w:lvlJc w:val="left"/>
      <w:rPr>
        <w:rFonts w:hint="eastAsia"/>
      </w:rPr>
    </w:lvl>
  </w:abstractNum>
  <w:abstractNum w:abstractNumId="1">
    <w:nsid w:val="09816366"/>
    <w:multiLevelType w:val="singleLevel"/>
    <w:tmpl w:val="09816366"/>
    <w:lvl w:ilvl="0" w:tentative="0">
      <w:start w:val="1"/>
      <w:numFmt w:val="decimal"/>
      <w:lvlText w:val="%1."/>
      <w:lvlJc w:val="left"/>
      <w:pPr>
        <w:tabs>
          <w:tab w:val="left" w:pos="312"/>
        </w:tabs>
      </w:pPr>
    </w:lvl>
  </w:abstractNum>
  <w:abstractNum w:abstractNumId="2">
    <w:nsid w:val="23ED5E2E"/>
    <w:multiLevelType w:val="singleLevel"/>
    <w:tmpl w:val="23ED5E2E"/>
    <w:lvl w:ilvl="0" w:tentative="0">
      <w:start w:val="2"/>
      <w:numFmt w:val="decimal"/>
      <w:suff w:val="nothing"/>
      <w:lvlText w:val="%1、"/>
      <w:lvlJc w:val="left"/>
    </w:lvl>
  </w:abstractNum>
  <w:abstractNum w:abstractNumId="3">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DB92ECD"/>
    <w:multiLevelType w:val="multilevel"/>
    <w:tmpl w:val="6DB92ECD"/>
    <w:lvl w:ilvl="0" w:tentative="0">
      <w:start w:val="1"/>
      <w:numFmt w:val="decimal"/>
      <w:lvlText w:val="%1)"/>
      <w:lvlJc w:val="left"/>
      <w:pPr>
        <w:tabs>
          <w:tab w:val="left" w:pos="1260"/>
        </w:tabs>
        <w:ind w:left="1260" w:hanging="420"/>
      </w:pPr>
      <w:rPr>
        <w:rFonts w:cs="Times New Roman"/>
      </w:rPr>
    </w:lvl>
    <w:lvl w:ilvl="1" w:tentative="0">
      <w:start w:val="1"/>
      <w:numFmt w:val="lowerLetter"/>
      <w:lvlText w:val="%2)"/>
      <w:lvlJc w:val="left"/>
      <w:pPr>
        <w:tabs>
          <w:tab w:val="left" w:pos="1680"/>
        </w:tabs>
        <w:ind w:left="1680" w:hanging="420"/>
      </w:pPr>
      <w:rPr>
        <w:rFonts w:cs="Times New Roman"/>
      </w:rPr>
    </w:lvl>
    <w:lvl w:ilvl="2" w:tentative="0">
      <w:start w:val="1"/>
      <w:numFmt w:val="lowerRoman"/>
      <w:lvlText w:val="%3."/>
      <w:lvlJc w:val="right"/>
      <w:pPr>
        <w:tabs>
          <w:tab w:val="left" w:pos="2100"/>
        </w:tabs>
        <w:ind w:left="2100" w:hanging="420"/>
      </w:pPr>
      <w:rPr>
        <w:rFonts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dit="readOnly" w:enforcement="0"/>
  <w:defaultTabStop w:val="420"/>
  <w:drawingGridVerticalSpacing w:val="375"/>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3EE"/>
    <w:rsid w:val="00000414"/>
    <w:rsid w:val="000019BF"/>
    <w:rsid w:val="00001F09"/>
    <w:rsid w:val="0000253D"/>
    <w:rsid w:val="000035EC"/>
    <w:rsid w:val="000038A7"/>
    <w:rsid w:val="00004D14"/>
    <w:rsid w:val="00005728"/>
    <w:rsid w:val="0000592C"/>
    <w:rsid w:val="00005E60"/>
    <w:rsid w:val="000072B6"/>
    <w:rsid w:val="000073D8"/>
    <w:rsid w:val="00007616"/>
    <w:rsid w:val="0001008C"/>
    <w:rsid w:val="00011E4C"/>
    <w:rsid w:val="00012AEE"/>
    <w:rsid w:val="00013204"/>
    <w:rsid w:val="00013228"/>
    <w:rsid w:val="000134CB"/>
    <w:rsid w:val="000134F3"/>
    <w:rsid w:val="00013EE5"/>
    <w:rsid w:val="00013F7D"/>
    <w:rsid w:val="000158C8"/>
    <w:rsid w:val="00016A51"/>
    <w:rsid w:val="00016C4C"/>
    <w:rsid w:val="00016E7D"/>
    <w:rsid w:val="00017554"/>
    <w:rsid w:val="00017668"/>
    <w:rsid w:val="000176FE"/>
    <w:rsid w:val="00017A0F"/>
    <w:rsid w:val="0002110E"/>
    <w:rsid w:val="00021330"/>
    <w:rsid w:val="00022FD6"/>
    <w:rsid w:val="00023467"/>
    <w:rsid w:val="00024916"/>
    <w:rsid w:val="000249D0"/>
    <w:rsid w:val="0002533F"/>
    <w:rsid w:val="00025480"/>
    <w:rsid w:val="00025C52"/>
    <w:rsid w:val="000267BF"/>
    <w:rsid w:val="000268AB"/>
    <w:rsid w:val="00026ACF"/>
    <w:rsid w:val="00026E22"/>
    <w:rsid w:val="00026E7B"/>
    <w:rsid w:val="00027955"/>
    <w:rsid w:val="00027983"/>
    <w:rsid w:val="00030E8F"/>
    <w:rsid w:val="00030FA7"/>
    <w:rsid w:val="00032222"/>
    <w:rsid w:val="00032C83"/>
    <w:rsid w:val="00032E4F"/>
    <w:rsid w:val="00032FBA"/>
    <w:rsid w:val="00033D19"/>
    <w:rsid w:val="000341B7"/>
    <w:rsid w:val="000348A5"/>
    <w:rsid w:val="00034C13"/>
    <w:rsid w:val="00035836"/>
    <w:rsid w:val="00035971"/>
    <w:rsid w:val="00035CE6"/>
    <w:rsid w:val="00035E54"/>
    <w:rsid w:val="00036717"/>
    <w:rsid w:val="0003764C"/>
    <w:rsid w:val="0003794F"/>
    <w:rsid w:val="0004071A"/>
    <w:rsid w:val="000410FA"/>
    <w:rsid w:val="0004190A"/>
    <w:rsid w:val="000420B0"/>
    <w:rsid w:val="0004261F"/>
    <w:rsid w:val="00042E61"/>
    <w:rsid w:val="00042FBC"/>
    <w:rsid w:val="00042FF8"/>
    <w:rsid w:val="00043C0E"/>
    <w:rsid w:val="00043C8D"/>
    <w:rsid w:val="000446D4"/>
    <w:rsid w:val="00044A72"/>
    <w:rsid w:val="00044FB0"/>
    <w:rsid w:val="00047A40"/>
    <w:rsid w:val="0005102B"/>
    <w:rsid w:val="00051EE0"/>
    <w:rsid w:val="000529DC"/>
    <w:rsid w:val="00052D9D"/>
    <w:rsid w:val="0005309D"/>
    <w:rsid w:val="000531F4"/>
    <w:rsid w:val="00053872"/>
    <w:rsid w:val="00053C6A"/>
    <w:rsid w:val="0005416D"/>
    <w:rsid w:val="0005509E"/>
    <w:rsid w:val="00055F1B"/>
    <w:rsid w:val="000564DE"/>
    <w:rsid w:val="000605FF"/>
    <w:rsid w:val="000614AC"/>
    <w:rsid w:val="00061539"/>
    <w:rsid w:val="00061556"/>
    <w:rsid w:val="000630CD"/>
    <w:rsid w:val="00063C68"/>
    <w:rsid w:val="00064589"/>
    <w:rsid w:val="0006468D"/>
    <w:rsid w:val="00064C87"/>
    <w:rsid w:val="0006711A"/>
    <w:rsid w:val="000703AA"/>
    <w:rsid w:val="00070F4C"/>
    <w:rsid w:val="00071483"/>
    <w:rsid w:val="00071680"/>
    <w:rsid w:val="00071EB4"/>
    <w:rsid w:val="0007319E"/>
    <w:rsid w:val="00073A23"/>
    <w:rsid w:val="00073B74"/>
    <w:rsid w:val="00073C1B"/>
    <w:rsid w:val="00073F6A"/>
    <w:rsid w:val="00074CD2"/>
    <w:rsid w:val="0007509E"/>
    <w:rsid w:val="000754AB"/>
    <w:rsid w:val="00077339"/>
    <w:rsid w:val="0008047C"/>
    <w:rsid w:val="000817E0"/>
    <w:rsid w:val="00081B53"/>
    <w:rsid w:val="000828D9"/>
    <w:rsid w:val="0008311F"/>
    <w:rsid w:val="00083273"/>
    <w:rsid w:val="000832C9"/>
    <w:rsid w:val="000832FD"/>
    <w:rsid w:val="0008333B"/>
    <w:rsid w:val="000838A0"/>
    <w:rsid w:val="00084956"/>
    <w:rsid w:val="000854CC"/>
    <w:rsid w:val="00086F6C"/>
    <w:rsid w:val="00087FEA"/>
    <w:rsid w:val="0009089F"/>
    <w:rsid w:val="0009097A"/>
    <w:rsid w:val="00090BC5"/>
    <w:rsid w:val="00090D47"/>
    <w:rsid w:val="000920AC"/>
    <w:rsid w:val="0009256B"/>
    <w:rsid w:val="00093A2B"/>
    <w:rsid w:val="00094923"/>
    <w:rsid w:val="00095861"/>
    <w:rsid w:val="00095878"/>
    <w:rsid w:val="00095A5A"/>
    <w:rsid w:val="00097142"/>
    <w:rsid w:val="000A128A"/>
    <w:rsid w:val="000A1F73"/>
    <w:rsid w:val="000A25B2"/>
    <w:rsid w:val="000A274E"/>
    <w:rsid w:val="000A2DF6"/>
    <w:rsid w:val="000A39BF"/>
    <w:rsid w:val="000A4DC2"/>
    <w:rsid w:val="000A5B93"/>
    <w:rsid w:val="000A699C"/>
    <w:rsid w:val="000A6E3A"/>
    <w:rsid w:val="000A7BC4"/>
    <w:rsid w:val="000B033E"/>
    <w:rsid w:val="000B04A8"/>
    <w:rsid w:val="000B13E1"/>
    <w:rsid w:val="000B24FA"/>
    <w:rsid w:val="000B2831"/>
    <w:rsid w:val="000B42F6"/>
    <w:rsid w:val="000B49CE"/>
    <w:rsid w:val="000B51A3"/>
    <w:rsid w:val="000B55EB"/>
    <w:rsid w:val="000B5733"/>
    <w:rsid w:val="000B6132"/>
    <w:rsid w:val="000B691F"/>
    <w:rsid w:val="000B6E96"/>
    <w:rsid w:val="000B7473"/>
    <w:rsid w:val="000B7E19"/>
    <w:rsid w:val="000C029D"/>
    <w:rsid w:val="000C08E7"/>
    <w:rsid w:val="000C0FFC"/>
    <w:rsid w:val="000C1448"/>
    <w:rsid w:val="000C2048"/>
    <w:rsid w:val="000C2064"/>
    <w:rsid w:val="000C2E8A"/>
    <w:rsid w:val="000C384A"/>
    <w:rsid w:val="000C4102"/>
    <w:rsid w:val="000C4B65"/>
    <w:rsid w:val="000C4DC1"/>
    <w:rsid w:val="000C6948"/>
    <w:rsid w:val="000C6F1D"/>
    <w:rsid w:val="000D0979"/>
    <w:rsid w:val="000D0B9D"/>
    <w:rsid w:val="000D0D90"/>
    <w:rsid w:val="000D11A9"/>
    <w:rsid w:val="000D1600"/>
    <w:rsid w:val="000D2C2F"/>
    <w:rsid w:val="000D3345"/>
    <w:rsid w:val="000D35CB"/>
    <w:rsid w:val="000D37D0"/>
    <w:rsid w:val="000D41D4"/>
    <w:rsid w:val="000D44ED"/>
    <w:rsid w:val="000D4F98"/>
    <w:rsid w:val="000D5068"/>
    <w:rsid w:val="000D541D"/>
    <w:rsid w:val="000D658D"/>
    <w:rsid w:val="000D7228"/>
    <w:rsid w:val="000D72AD"/>
    <w:rsid w:val="000D7FE7"/>
    <w:rsid w:val="000E0E9C"/>
    <w:rsid w:val="000E1236"/>
    <w:rsid w:val="000E1EAF"/>
    <w:rsid w:val="000E3277"/>
    <w:rsid w:val="000E4341"/>
    <w:rsid w:val="000E5901"/>
    <w:rsid w:val="000E597B"/>
    <w:rsid w:val="000E5A7D"/>
    <w:rsid w:val="000E7982"/>
    <w:rsid w:val="000F0FB0"/>
    <w:rsid w:val="000F1015"/>
    <w:rsid w:val="000F105B"/>
    <w:rsid w:val="000F120B"/>
    <w:rsid w:val="000F1578"/>
    <w:rsid w:val="000F19B4"/>
    <w:rsid w:val="000F24D3"/>
    <w:rsid w:val="000F29DD"/>
    <w:rsid w:val="000F2B18"/>
    <w:rsid w:val="000F3703"/>
    <w:rsid w:val="000F4AFA"/>
    <w:rsid w:val="000F4B48"/>
    <w:rsid w:val="000F657A"/>
    <w:rsid w:val="000F6755"/>
    <w:rsid w:val="000F6E6A"/>
    <w:rsid w:val="0010176A"/>
    <w:rsid w:val="00101B16"/>
    <w:rsid w:val="00102256"/>
    <w:rsid w:val="00102902"/>
    <w:rsid w:val="00103158"/>
    <w:rsid w:val="001032F1"/>
    <w:rsid w:val="00103884"/>
    <w:rsid w:val="001040D5"/>
    <w:rsid w:val="00104314"/>
    <w:rsid w:val="0010484B"/>
    <w:rsid w:val="00104853"/>
    <w:rsid w:val="00104CB4"/>
    <w:rsid w:val="00106046"/>
    <w:rsid w:val="00106364"/>
    <w:rsid w:val="0010694E"/>
    <w:rsid w:val="00110E26"/>
    <w:rsid w:val="001110AC"/>
    <w:rsid w:val="00111C95"/>
    <w:rsid w:val="00111F0E"/>
    <w:rsid w:val="0011222B"/>
    <w:rsid w:val="00112573"/>
    <w:rsid w:val="00112F32"/>
    <w:rsid w:val="00113914"/>
    <w:rsid w:val="001153A3"/>
    <w:rsid w:val="00116CEB"/>
    <w:rsid w:val="00117198"/>
    <w:rsid w:val="001212BB"/>
    <w:rsid w:val="00122103"/>
    <w:rsid w:val="0012231A"/>
    <w:rsid w:val="00122CC6"/>
    <w:rsid w:val="00123BCE"/>
    <w:rsid w:val="001240BD"/>
    <w:rsid w:val="001243BC"/>
    <w:rsid w:val="00124BD4"/>
    <w:rsid w:val="00124FF0"/>
    <w:rsid w:val="00125280"/>
    <w:rsid w:val="00125B95"/>
    <w:rsid w:val="00126282"/>
    <w:rsid w:val="001267EF"/>
    <w:rsid w:val="00130214"/>
    <w:rsid w:val="00131D37"/>
    <w:rsid w:val="00132EC8"/>
    <w:rsid w:val="00133081"/>
    <w:rsid w:val="00133210"/>
    <w:rsid w:val="001337D0"/>
    <w:rsid w:val="00133A47"/>
    <w:rsid w:val="00134222"/>
    <w:rsid w:val="00134CF8"/>
    <w:rsid w:val="00135BA8"/>
    <w:rsid w:val="001378F2"/>
    <w:rsid w:val="0013793D"/>
    <w:rsid w:val="00137BE3"/>
    <w:rsid w:val="00141EB0"/>
    <w:rsid w:val="00143992"/>
    <w:rsid w:val="00143ABF"/>
    <w:rsid w:val="001454CE"/>
    <w:rsid w:val="00145F02"/>
    <w:rsid w:val="00146CC5"/>
    <w:rsid w:val="00146E20"/>
    <w:rsid w:val="00147B73"/>
    <w:rsid w:val="00147DCB"/>
    <w:rsid w:val="00150152"/>
    <w:rsid w:val="00150362"/>
    <w:rsid w:val="00150B75"/>
    <w:rsid w:val="00151C1E"/>
    <w:rsid w:val="0015298F"/>
    <w:rsid w:val="001530DD"/>
    <w:rsid w:val="00153465"/>
    <w:rsid w:val="00153F08"/>
    <w:rsid w:val="00155E29"/>
    <w:rsid w:val="00157B52"/>
    <w:rsid w:val="00160C1F"/>
    <w:rsid w:val="00162023"/>
    <w:rsid w:val="00162143"/>
    <w:rsid w:val="0016238E"/>
    <w:rsid w:val="001628FC"/>
    <w:rsid w:val="0016348A"/>
    <w:rsid w:val="00164053"/>
    <w:rsid w:val="001644B7"/>
    <w:rsid w:val="0016450A"/>
    <w:rsid w:val="00164ACD"/>
    <w:rsid w:val="001655F3"/>
    <w:rsid w:val="00166196"/>
    <w:rsid w:val="001667E4"/>
    <w:rsid w:val="00167207"/>
    <w:rsid w:val="00167817"/>
    <w:rsid w:val="00167E1D"/>
    <w:rsid w:val="001702BB"/>
    <w:rsid w:val="0017085C"/>
    <w:rsid w:val="001718CD"/>
    <w:rsid w:val="00171D09"/>
    <w:rsid w:val="00172122"/>
    <w:rsid w:val="001726C7"/>
    <w:rsid w:val="00172986"/>
    <w:rsid w:val="00172AB8"/>
    <w:rsid w:val="00173093"/>
    <w:rsid w:val="001738FE"/>
    <w:rsid w:val="00174F6E"/>
    <w:rsid w:val="00175F53"/>
    <w:rsid w:val="00176571"/>
    <w:rsid w:val="0017662A"/>
    <w:rsid w:val="0017667D"/>
    <w:rsid w:val="00176D32"/>
    <w:rsid w:val="00177468"/>
    <w:rsid w:val="00177674"/>
    <w:rsid w:val="00177CC9"/>
    <w:rsid w:val="00181703"/>
    <w:rsid w:val="00181D6A"/>
    <w:rsid w:val="00181F5C"/>
    <w:rsid w:val="001830F6"/>
    <w:rsid w:val="0018400D"/>
    <w:rsid w:val="00184C18"/>
    <w:rsid w:val="00184C40"/>
    <w:rsid w:val="001850B3"/>
    <w:rsid w:val="00185241"/>
    <w:rsid w:val="001857FF"/>
    <w:rsid w:val="00185EF3"/>
    <w:rsid w:val="00186B8D"/>
    <w:rsid w:val="00186C3D"/>
    <w:rsid w:val="00186DD4"/>
    <w:rsid w:val="00186DF2"/>
    <w:rsid w:val="00186E98"/>
    <w:rsid w:val="00186EEA"/>
    <w:rsid w:val="0018727C"/>
    <w:rsid w:val="001873C9"/>
    <w:rsid w:val="00187784"/>
    <w:rsid w:val="00187E6E"/>
    <w:rsid w:val="00190079"/>
    <w:rsid w:val="001901D6"/>
    <w:rsid w:val="00190FFC"/>
    <w:rsid w:val="001910E2"/>
    <w:rsid w:val="0019219E"/>
    <w:rsid w:val="00192274"/>
    <w:rsid w:val="001923F2"/>
    <w:rsid w:val="00192762"/>
    <w:rsid w:val="00192D86"/>
    <w:rsid w:val="00193274"/>
    <w:rsid w:val="00193603"/>
    <w:rsid w:val="001943B8"/>
    <w:rsid w:val="00195B5B"/>
    <w:rsid w:val="00195ED3"/>
    <w:rsid w:val="0019644D"/>
    <w:rsid w:val="00196764"/>
    <w:rsid w:val="001A0498"/>
    <w:rsid w:val="001A0964"/>
    <w:rsid w:val="001A1769"/>
    <w:rsid w:val="001A21E2"/>
    <w:rsid w:val="001A240D"/>
    <w:rsid w:val="001A3312"/>
    <w:rsid w:val="001A33A1"/>
    <w:rsid w:val="001A3659"/>
    <w:rsid w:val="001A3E39"/>
    <w:rsid w:val="001A40E7"/>
    <w:rsid w:val="001A5038"/>
    <w:rsid w:val="001A64EC"/>
    <w:rsid w:val="001A6A66"/>
    <w:rsid w:val="001A7AE2"/>
    <w:rsid w:val="001A7ED7"/>
    <w:rsid w:val="001B0C06"/>
    <w:rsid w:val="001B15E8"/>
    <w:rsid w:val="001B2648"/>
    <w:rsid w:val="001B297B"/>
    <w:rsid w:val="001B38F5"/>
    <w:rsid w:val="001B4782"/>
    <w:rsid w:val="001B49F2"/>
    <w:rsid w:val="001B4A76"/>
    <w:rsid w:val="001B5051"/>
    <w:rsid w:val="001B64DC"/>
    <w:rsid w:val="001B6C51"/>
    <w:rsid w:val="001B7950"/>
    <w:rsid w:val="001C0289"/>
    <w:rsid w:val="001C02AF"/>
    <w:rsid w:val="001C0FA1"/>
    <w:rsid w:val="001C1542"/>
    <w:rsid w:val="001C226E"/>
    <w:rsid w:val="001C2911"/>
    <w:rsid w:val="001C36AA"/>
    <w:rsid w:val="001C371D"/>
    <w:rsid w:val="001C4607"/>
    <w:rsid w:val="001C5C12"/>
    <w:rsid w:val="001C6318"/>
    <w:rsid w:val="001C7EF3"/>
    <w:rsid w:val="001D08C1"/>
    <w:rsid w:val="001D111C"/>
    <w:rsid w:val="001D2C6E"/>
    <w:rsid w:val="001D365D"/>
    <w:rsid w:val="001D3E64"/>
    <w:rsid w:val="001D4215"/>
    <w:rsid w:val="001D438A"/>
    <w:rsid w:val="001D5869"/>
    <w:rsid w:val="001D6301"/>
    <w:rsid w:val="001D789E"/>
    <w:rsid w:val="001D7DED"/>
    <w:rsid w:val="001E02C0"/>
    <w:rsid w:val="001E07C9"/>
    <w:rsid w:val="001E0B61"/>
    <w:rsid w:val="001E0CC8"/>
    <w:rsid w:val="001E1319"/>
    <w:rsid w:val="001E1710"/>
    <w:rsid w:val="001E22F0"/>
    <w:rsid w:val="001E38EC"/>
    <w:rsid w:val="001E5B4C"/>
    <w:rsid w:val="001E5D92"/>
    <w:rsid w:val="001E64DA"/>
    <w:rsid w:val="001F0E2B"/>
    <w:rsid w:val="001F1315"/>
    <w:rsid w:val="001F18AC"/>
    <w:rsid w:val="001F19F4"/>
    <w:rsid w:val="001F1EC5"/>
    <w:rsid w:val="001F229D"/>
    <w:rsid w:val="001F25FC"/>
    <w:rsid w:val="001F2B43"/>
    <w:rsid w:val="001F318D"/>
    <w:rsid w:val="001F4AFF"/>
    <w:rsid w:val="001F4C9E"/>
    <w:rsid w:val="001F511C"/>
    <w:rsid w:val="001F535E"/>
    <w:rsid w:val="001F5568"/>
    <w:rsid w:val="001F6292"/>
    <w:rsid w:val="001F7BA3"/>
    <w:rsid w:val="001F7CE9"/>
    <w:rsid w:val="00201410"/>
    <w:rsid w:val="002025E4"/>
    <w:rsid w:val="00202F77"/>
    <w:rsid w:val="002034B6"/>
    <w:rsid w:val="00203B67"/>
    <w:rsid w:val="00203CDD"/>
    <w:rsid w:val="00203D31"/>
    <w:rsid w:val="002043DA"/>
    <w:rsid w:val="00204A4C"/>
    <w:rsid w:val="00204C6B"/>
    <w:rsid w:val="00204CDE"/>
    <w:rsid w:val="00204FE9"/>
    <w:rsid w:val="002050A7"/>
    <w:rsid w:val="00205287"/>
    <w:rsid w:val="002054FF"/>
    <w:rsid w:val="002068A4"/>
    <w:rsid w:val="002068C3"/>
    <w:rsid w:val="00206C69"/>
    <w:rsid w:val="00206F6E"/>
    <w:rsid w:val="00207582"/>
    <w:rsid w:val="002112F8"/>
    <w:rsid w:val="00212D2E"/>
    <w:rsid w:val="0021404E"/>
    <w:rsid w:val="00214559"/>
    <w:rsid w:val="002157EB"/>
    <w:rsid w:val="00215994"/>
    <w:rsid w:val="00216175"/>
    <w:rsid w:val="002163DE"/>
    <w:rsid w:val="00216400"/>
    <w:rsid w:val="00216A49"/>
    <w:rsid w:val="00216B16"/>
    <w:rsid w:val="00216C20"/>
    <w:rsid w:val="00216DDA"/>
    <w:rsid w:val="00217427"/>
    <w:rsid w:val="002202F2"/>
    <w:rsid w:val="00220418"/>
    <w:rsid w:val="002206B8"/>
    <w:rsid w:val="002207CB"/>
    <w:rsid w:val="00220CFF"/>
    <w:rsid w:val="00221168"/>
    <w:rsid w:val="00221D25"/>
    <w:rsid w:val="00221DF7"/>
    <w:rsid w:val="00221E87"/>
    <w:rsid w:val="002224C9"/>
    <w:rsid w:val="00223F30"/>
    <w:rsid w:val="0022470A"/>
    <w:rsid w:val="0022501A"/>
    <w:rsid w:val="00226759"/>
    <w:rsid w:val="00227A8E"/>
    <w:rsid w:val="0023094B"/>
    <w:rsid w:val="00230B8A"/>
    <w:rsid w:val="0023231F"/>
    <w:rsid w:val="002328A7"/>
    <w:rsid w:val="00232B99"/>
    <w:rsid w:val="002332F0"/>
    <w:rsid w:val="00233F68"/>
    <w:rsid w:val="00235625"/>
    <w:rsid w:val="00235A7F"/>
    <w:rsid w:val="002362D9"/>
    <w:rsid w:val="002363E5"/>
    <w:rsid w:val="00237C5F"/>
    <w:rsid w:val="00240368"/>
    <w:rsid w:val="00241859"/>
    <w:rsid w:val="002419D7"/>
    <w:rsid w:val="00241B10"/>
    <w:rsid w:val="00241B46"/>
    <w:rsid w:val="00242CCA"/>
    <w:rsid w:val="00242E2F"/>
    <w:rsid w:val="0024436B"/>
    <w:rsid w:val="002446BC"/>
    <w:rsid w:val="00244828"/>
    <w:rsid w:val="002450FB"/>
    <w:rsid w:val="00245926"/>
    <w:rsid w:val="00246263"/>
    <w:rsid w:val="0025000A"/>
    <w:rsid w:val="002500B7"/>
    <w:rsid w:val="0025017B"/>
    <w:rsid w:val="00250528"/>
    <w:rsid w:val="00250BF7"/>
    <w:rsid w:val="00250CD4"/>
    <w:rsid w:val="0025145E"/>
    <w:rsid w:val="002517EC"/>
    <w:rsid w:val="00251E00"/>
    <w:rsid w:val="00252079"/>
    <w:rsid w:val="00252685"/>
    <w:rsid w:val="00252B01"/>
    <w:rsid w:val="00253197"/>
    <w:rsid w:val="00253CA9"/>
    <w:rsid w:val="00253D25"/>
    <w:rsid w:val="00253DBB"/>
    <w:rsid w:val="00256D80"/>
    <w:rsid w:val="00256E4F"/>
    <w:rsid w:val="00257721"/>
    <w:rsid w:val="00257F5B"/>
    <w:rsid w:val="00260372"/>
    <w:rsid w:val="00260683"/>
    <w:rsid w:val="00260A0B"/>
    <w:rsid w:val="00260F20"/>
    <w:rsid w:val="00261100"/>
    <w:rsid w:val="0026239F"/>
    <w:rsid w:val="0026272E"/>
    <w:rsid w:val="00262BA5"/>
    <w:rsid w:val="002632EB"/>
    <w:rsid w:val="0026333E"/>
    <w:rsid w:val="00264282"/>
    <w:rsid w:val="0026448E"/>
    <w:rsid w:val="00265A15"/>
    <w:rsid w:val="00265D46"/>
    <w:rsid w:val="002664CA"/>
    <w:rsid w:val="002668F5"/>
    <w:rsid w:val="002675E9"/>
    <w:rsid w:val="002677EA"/>
    <w:rsid w:val="00270A37"/>
    <w:rsid w:val="00270DD4"/>
    <w:rsid w:val="00272248"/>
    <w:rsid w:val="00272F8C"/>
    <w:rsid w:val="002734FA"/>
    <w:rsid w:val="00273962"/>
    <w:rsid w:val="00274098"/>
    <w:rsid w:val="002747AE"/>
    <w:rsid w:val="002747C6"/>
    <w:rsid w:val="00274A8C"/>
    <w:rsid w:val="00276061"/>
    <w:rsid w:val="0027773A"/>
    <w:rsid w:val="00277B10"/>
    <w:rsid w:val="002801F2"/>
    <w:rsid w:val="002813C4"/>
    <w:rsid w:val="002835B3"/>
    <w:rsid w:val="00284142"/>
    <w:rsid w:val="00285435"/>
    <w:rsid w:val="00285EA9"/>
    <w:rsid w:val="002866B6"/>
    <w:rsid w:val="00286CA8"/>
    <w:rsid w:val="00287B25"/>
    <w:rsid w:val="002902C4"/>
    <w:rsid w:val="00290459"/>
    <w:rsid w:val="0029046C"/>
    <w:rsid w:val="00291605"/>
    <w:rsid w:val="0029233D"/>
    <w:rsid w:val="002929DC"/>
    <w:rsid w:val="002932FC"/>
    <w:rsid w:val="00293354"/>
    <w:rsid w:val="00293F1E"/>
    <w:rsid w:val="002941BD"/>
    <w:rsid w:val="00294B1B"/>
    <w:rsid w:val="00294DB6"/>
    <w:rsid w:val="00295126"/>
    <w:rsid w:val="00295925"/>
    <w:rsid w:val="002960D0"/>
    <w:rsid w:val="0029664C"/>
    <w:rsid w:val="00297012"/>
    <w:rsid w:val="002A0C65"/>
    <w:rsid w:val="002A16CF"/>
    <w:rsid w:val="002A1B9A"/>
    <w:rsid w:val="002A2498"/>
    <w:rsid w:val="002A3F50"/>
    <w:rsid w:val="002B0223"/>
    <w:rsid w:val="002B11B3"/>
    <w:rsid w:val="002B22B2"/>
    <w:rsid w:val="002B3464"/>
    <w:rsid w:val="002B3E39"/>
    <w:rsid w:val="002B4442"/>
    <w:rsid w:val="002B4F7F"/>
    <w:rsid w:val="002B5D43"/>
    <w:rsid w:val="002B6734"/>
    <w:rsid w:val="002B7B84"/>
    <w:rsid w:val="002B7D67"/>
    <w:rsid w:val="002C068C"/>
    <w:rsid w:val="002C09FE"/>
    <w:rsid w:val="002C0AD4"/>
    <w:rsid w:val="002C13C1"/>
    <w:rsid w:val="002C3F21"/>
    <w:rsid w:val="002C4F20"/>
    <w:rsid w:val="002C52C8"/>
    <w:rsid w:val="002C54BD"/>
    <w:rsid w:val="002C5953"/>
    <w:rsid w:val="002D1808"/>
    <w:rsid w:val="002D1987"/>
    <w:rsid w:val="002D1CC6"/>
    <w:rsid w:val="002D22FA"/>
    <w:rsid w:val="002D2898"/>
    <w:rsid w:val="002D2DE3"/>
    <w:rsid w:val="002D35E9"/>
    <w:rsid w:val="002D3B99"/>
    <w:rsid w:val="002D49AA"/>
    <w:rsid w:val="002D49E2"/>
    <w:rsid w:val="002D4C40"/>
    <w:rsid w:val="002D59A2"/>
    <w:rsid w:val="002D5FF2"/>
    <w:rsid w:val="002D69C9"/>
    <w:rsid w:val="002E002A"/>
    <w:rsid w:val="002E0190"/>
    <w:rsid w:val="002E0536"/>
    <w:rsid w:val="002E1A35"/>
    <w:rsid w:val="002E2542"/>
    <w:rsid w:val="002E4122"/>
    <w:rsid w:val="002E4667"/>
    <w:rsid w:val="002E4979"/>
    <w:rsid w:val="002E5850"/>
    <w:rsid w:val="002E5D3E"/>
    <w:rsid w:val="002E6290"/>
    <w:rsid w:val="002E6A34"/>
    <w:rsid w:val="002E6CDF"/>
    <w:rsid w:val="002F0C20"/>
    <w:rsid w:val="002F100A"/>
    <w:rsid w:val="002F13F9"/>
    <w:rsid w:val="002F1BB2"/>
    <w:rsid w:val="002F20A0"/>
    <w:rsid w:val="002F2425"/>
    <w:rsid w:val="002F2BC3"/>
    <w:rsid w:val="002F4D58"/>
    <w:rsid w:val="002F5449"/>
    <w:rsid w:val="002F775A"/>
    <w:rsid w:val="0030017E"/>
    <w:rsid w:val="00301C29"/>
    <w:rsid w:val="00301C2F"/>
    <w:rsid w:val="00304927"/>
    <w:rsid w:val="00304ABE"/>
    <w:rsid w:val="00304FF0"/>
    <w:rsid w:val="003050BC"/>
    <w:rsid w:val="003062F1"/>
    <w:rsid w:val="003065DE"/>
    <w:rsid w:val="00307B89"/>
    <w:rsid w:val="0031027C"/>
    <w:rsid w:val="0031036F"/>
    <w:rsid w:val="00311F15"/>
    <w:rsid w:val="00312549"/>
    <w:rsid w:val="00312AA6"/>
    <w:rsid w:val="00313A67"/>
    <w:rsid w:val="0031407C"/>
    <w:rsid w:val="00314227"/>
    <w:rsid w:val="00314C30"/>
    <w:rsid w:val="00315769"/>
    <w:rsid w:val="0031586B"/>
    <w:rsid w:val="003158B2"/>
    <w:rsid w:val="00315E23"/>
    <w:rsid w:val="00316F53"/>
    <w:rsid w:val="0031793A"/>
    <w:rsid w:val="003179F4"/>
    <w:rsid w:val="0032139A"/>
    <w:rsid w:val="0032305E"/>
    <w:rsid w:val="0032305F"/>
    <w:rsid w:val="00323074"/>
    <w:rsid w:val="003245E8"/>
    <w:rsid w:val="0032460B"/>
    <w:rsid w:val="00325715"/>
    <w:rsid w:val="00325BC2"/>
    <w:rsid w:val="003265A6"/>
    <w:rsid w:val="00326F50"/>
    <w:rsid w:val="00327011"/>
    <w:rsid w:val="00327C90"/>
    <w:rsid w:val="00330451"/>
    <w:rsid w:val="003314CD"/>
    <w:rsid w:val="00332FCA"/>
    <w:rsid w:val="003332A7"/>
    <w:rsid w:val="00333B01"/>
    <w:rsid w:val="00333E17"/>
    <w:rsid w:val="003354C0"/>
    <w:rsid w:val="00336D01"/>
    <w:rsid w:val="00336E50"/>
    <w:rsid w:val="00337C17"/>
    <w:rsid w:val="00337EB6"/>
    <w:rsid w:val="003405CA"/>
    <w:rsid w:val="00340C93"/>
    <w:rsid w:val="003426CD"/>
    <w:rsid w:val="003428B4"/>
    <w:rsid w:val="00342B18"/>
    <w:rsid w:val="00343523"/>
    <w:rsid w:val="00343FB9"/>
    <w:rsid w:val="003442E8"/>
    <w:rsid w:val="00344409"/>
    <w:rsid w:val="00344FFA"/>
    <w:rsid w:val="0034510B"/>
    <w:rsid w:val="00345AE7"/>
    <w:rsid w:val="003467D9"/>
    <w:rsid w:val="00346916"/>
    <w:rsid w:val="00347165"/>
    <w:rsid w:val="00347268"/>
    <w:rsid w:val="0034767A"/>
    <w:rsid w:val="00347835"/>
    <w:rsid w:val="00350896"/>
    <w:rsid w:val="00350ECB"/>
    <w:rsid w:val="00351932"/>
    <w:rsid w:val="00351BD1"/>
    <w:rsid w:val="00352730"/>
    <w:rsid w:val="00352CE3"/>
    <w:rsid w:val="00352DF9"/>
    <w:rsid w:val="00353508"/>
    <w:rsid w:val="00353D2A"/>
    <w:rsid w:val="003550C3"/>
    <w:rsid w:val="003550F2"/>
    <w:rsid w:val="003552F6"/>
    <w:rsid w:val="00356456"/>
    <w:rsid w:val="003577A9"/>
    <w:rsid w:val="00357808"/>
    <w:rsid w:val="0036137E"/>
    <w:rsid w:val="00361C3B"/>
    <w:rsid w:val="0036252A"/>
    <w:rsid w:val="003625C6"/>
    <w:rsid w:val="0036410D"/>
    <w:rsid w:val="0036556B"/>
    <w:rsid w:val="00365DE5"/>
    <w:rsid w:val="00366F63"/>
    <w:rsid w:val="003707C6"/>
    <w:rsid w:val="00372921"/>
    <w:rsid w:val="00373ADE"/>
    <w:rsid w:val="003744EF"/>
    <w:rsid w:val="00374A47"/>
    <w:rsid w:val="00374DCD"/>
    <w:rsid w:val="00375085"/>
    <w:rsid w:val="00375260"/>
    <w:rsid w:val="003761F9"/>
    <w:rsid w:val="0037674F"/>
    <w:rsid w:val="00376870"/>
    <w:rsid w:val="003779D9"/>
    <w:rsid w:val="00377F56"/>
    <w:rsid w:val="003815ED"/>
    <w:rsid w:val="00381C7F"/>
    <w:rsid w:val="00382911"/>
    <w:rsid w:val="00382980"/>
    <w:rsid w:val="00382A78"/>
    <w:rsid w:val="0038437C"/>
    <w:rsid w:val="0038508D"/>
    <w:rsid w:val="00385E2B"/>
    <w:rsid w:val="003864BA"/>
    <w:rsid w:val="00387131"/>
    <w:rsid w:val="00387F08"/>
    <w:rsid w:val="00390508"/>
    <w:rsid w:val="00390556"/>
    <w:rsid w:val="003918B6"/>
    <w:rsid w:val="00392D78"/>
    <w:rsid w:val="00395285"/>
    <w:rsid w:val="00395734"/>
    <w:rsid w:val="003961C2"/>
    <w:rsid w:val="00396585"/>
    <w:rsid w:val="00397D61"/>
    <w:rsid w:val="003A0383"/>
    <w:rsid w:val="003A0444"/>
    <w:rsid w:val="003A1141"/>
    <w:rsid w:val="003A11B1"/>
    <w:rsid w:val="003A1635"/>
    <w:rsid w:val="003A2139"/>
    <w:rsid w:val="003A274B"/>
    <w:rsid w:val="003A2B6E"/>
    <w:rsid w:val="003A2FA0"/>
    <w:rsid w:val="003A3D81"/>
    <w:rsid w:val="003A40EE"/>
    <w:rsid w:val="003A4AD1"/>
    <w:rsid w:val="003A60C6"/>
    <w:rsid w:val="003A6BA2"/>
    <w:rsid w:val="003A6BC1"/>
    <w:rsid w:val="003A6C8E"/>
    <w:rsid w:val="003B00A0"/>
    <w:rsid w:val="003B0983"/>
    <w:rsid w:val="003B0A70"/>
    <w:rsid w:val="003B155C"/>
    <w:rsid w:val="003B288B"/>
    <w:rsid w:val="003B3D0D"/>
    <w:rsid w:val="003B4235"/>
    <w:rsid w:val="003B4487"/>
    <w:rsid w:val="003B5462"/>
    <w:rsid w:val="003B61A0"/>
    <w:rsid w:val="003B633D"/>
    <w:rsid w:val="003B661F"/>
    <w:rsid w:val="003B7161"/>
    <w:rsid w:val="003B745F"/>
    <w:rsid w:val="003B75CB"/>
    <w:rsid w:val="003C0457"/>
    <w:rsid w:val="003C1159"/>
    <w:rsid w:val="003C18E2"/>
    <w:rsid w:val="003C1924"/>
    <w:rsid w:val="003C296C"/>
    <w:rsid w:val="003C2F5B"/>
    <w:rsid w:val="003C3F15"/>
    <w:rsid w:val="003C41F8"/>
    <w:rsid w:val="003C59A7"/>
    <w:rsid w:val="003C71F4"/>
    <w:rsid w:val="003C7C86"/>
    <w:rsid w:val="003D0605"/>
    <w:rsid w:val="003D0E96"/>
    <w:rsid w:val="003D1489"/>
    <w:rsid w:val="003D28DA"/>
    <w:rsid w:val="003D343B"/>
    <w:rsid w:val="003D3E5D"/>
    <w:rsid w:val="003D4FD5"/>
    <w:rsid w:val="003D5768"/>
    <w:rsid w:val="003D5B9F"/>
    <w:rsid w:val="003D7D62"/>
    <w:rsid w:val="003E0452"/>
    <w:rsid w:val="003E09DC"/>
    <w:rsid w:val="003E2503"/>
    <w:rsid w:val="003E2955"/>
    <w:rsid w:val="003E326D"/>
    <w:rsid w:val="003E3AA3"/>
    <w:rsid w:val="003E467F"/>
    <w:rsid w:val="003E47AD"/>
    <w:rsid w:val="003E5102"/>
    <w:rsid w:val="003E5E17"/>
    <w:rsid w:val="003E5FDC"/>
    <w:rsid w:val="003E60C5"/>
    <w:rsid w:val="003F000A"/>
    <w:rsid w:val="003F1685"/>
    <w:rsid w:val="003F2F5F"/>
    <w:rsid w:val="003F3A13"/>
    <w:rsid w:val="003F3F7D"/>
    <w:rsid w:val="003F481F"/>
    <w:rsid w:val="003F490B"/>
    <w:rsid w:val="003F56DB"/>
    <w:rsid w:val="003F5773"/>
    <w:rsid w:val="003F5C8C"/>
    <w:rsid w:val="003F5E4A"/>
    <w:rsid w:val="003F5FF1"/>
    <w:rsid w:val="003F6607"/>
    <w:rsid w:val="003F74EE"/>
    <w:rsid w:val="003F7629"/>
    <w:rsid w:val="003F7D60"/>
    <w:rsid w:val="00400F4E"/>
    <w:rsid w:val="00401C89"/>
    <w:rsid w:val="00401D2B"/>
    <w:rsid w:val="00402858"/>
    <w:rsid w:val="00402B1B"/>
    <w:rsid w:val="00402F90"/>
    <w:rsid w:val="00403060"/>
    <w:rsid w:val="00403AB4"/>
    <w:rsid w:val="00403DFE"/>
    <w:rsid w:val="0040405F"/>
    <w:rsid w:val="00404758"/>
    <w:rsid w:val="00404886"/>
    <w:rsid w:val="004050F0"/>
    <w:rsid w:val="00405A1D"/>
    <w:rsid w:val="00405CD7"/>
    <w:rsid w:val="00406DAF"/>
    <w:rsid w:val="00407423"/>
    <w:rsid w:val="004074C1"/>
    <w:rsid w:val="00407F32"/>
    <w:rsid w:val="004100F2"/>
    <w:rsid w:val="00410397"/>
    <w:rsid w:val="004103DA"/>
    <w:rsid w:val="004103ED"/>
    <w:rsid w:val="004106CF"/>
    <w:rsid w:val="00411300"/>
    <w:rsid w:val="00411ACC"/>
    <w:rsid w:val="00411BB4"/>
    <w:rsid w:val="004139C2"/>
    <w:rsid w:val="00413A5C"/>
    <w:rsid w:val="0041515B"/>
    <w:rsid w:val="004151B0"/>
    <w:rsid w:val="00417568"/>
    <w:rsid w:val="00417E08"/>
    <w:rsid w:val="00417ED8"/>
    <w:rsid w:val="004200DD"/>
    <w:rsid w:val="00420334"/>
    <w:rsid w:val="0042039C"/>
    <w:rsid w:val="00420429"/>
    <w:rsid w:val="00421222"/>
    <w:rsid w:val="00421AD7"/>
    <w:rsid w:val="00422A9D"/>
    <w:rsid w:val="00422BF0"/>
    <w:rsid w:val="004243BD"/>
    <w:rsid w:val="00425529"/>
    <w:rsid w:val="00426A4E"/>
    <w:rsid w:val="00426ED0"/>
    <w:rsid w:val="00427145"/>
    <w:rsid w:val="00427AC9"/>
    <w:rsid w:val="004300B5"/>
    <w:rsid w:val="00430435"/>
    <w:rsid w:val="004308BC"/>
    <w:rsid w:val="0043149C"/>
    <w:rsid w:val="00431542"/>
    <w:rsid w:val="00431803"/>
    <w:rsid w:val="00431B67"/>
    <w:rsid w:val="00432123"/>
    <w:rsid w:val="0043280A"/>
    <w:rsid w:val="00432CE3"/>
    <w:rsid w:val="0043306B"/>
    <w:rsid w:val="004342A5"/>
    <w:rsid w:val="00434D30"/>
    <w:rsid w:val="00435222"/>
    <w:rsid w:val="0043663F"/>
    <w:rsid w:val="0043705A"/>
    <w:rsid w:val="00437E14"/>
    <w:rsid w:val="00440067"/>
    <w:rsid w:val="0044092E"/>
    <w:rsid w:val="00441369"/>
    <w:rsid w:val="004416A0"/>
    <w:rsid w:val="004425D0"/>
    <w:rsid w:val="00443A7E"/>
    <w:rsid w:val="00443D9B"/>
    <w:rsid w:val="004441EA"/>
    <w:rsid w:val="004451DC"/>
    <w:rsid w:val="0044618E"/>
    <w:rsid w:val="00446472"/>
    <w:rsid w:val="00446C05"/>
    <w:rsid w:val="00450550"/>
    <w:rsid w:val="004519F3"/>
    <w:rsid w:val="00451E67"/>
    <w:rsid w:val="00452471"/>
    <w:rsid w:val="0045383B"/>
    <w:rsid w:val="0045438F"/>
    <w:rsid w:val="004547B4"/>
    <w:rsid w:val="00454CAF"/>
    <w:rsid w:val="00454CDD"/>
    <w:rsid w:val="00456182"/>
    <w:rsid w:val="00456653"/>
    <w:rsid w:val="004571B4"/>
    <w:rsid w:val="004579F0"/>
    <w:rsid w:val="00461708"/>
    <w:rsid w:val="00461DEC"/>
    <w:rsid w:val="00463864"/>
    <w:rsid w:val="0046495B"/>
    <w:rsid w:val="00464C4F"/>
    <w:rsid w:val="00465F33"/>
    <w:rsid w:val="00466040"/>
    <w:rsid w:val="004663A3"/>
    <w:rsid w:val="0046647B"/>
    <w:rsid w:val="00470033"/>
    <w:rsid w:val="0047081F"/>
    <w:rsid w:val="004714FF"/>
    <w:rsid w:val="004717FF"/>
    <w:rsid w:val="00472D65"/>
    <w:rsid w:val="00473564"/>
    <w:rsid w:val="00474CDC"/>
    <w:rsid w:val="004762DD"/>
    <w:rsid w:val="00476AE8"/>
    <w:rsid w:val="00476E4A"/>
    <w:rsid w:val="00477DC1"/>
    <w:rsid w:val="004800C0"/>
    <w:rsid w:val="00480E23"/>
    <w:rsid w:val="00481ADF"/>
    <w:rsid w:val="00481D05"/>
    <w:rsid w:val="004830B7"/>
    <w:rsid w:val="00483387"/>
    <w:rsid w:val="004834C2"/>
    <w:rsid w:val="00483501"/>
    <w:rsid w:val="004838AA"/>
    <w:rsid w:val="00484F2B"/>
    <w:rsid w:val="0048611A"/>
    <w:rsid w:val="0048613F"/>
    <w:rsid w:val="00486EE1"/>
    <w:rsid w:val="00486EF6"/>
    <w:rsid w:val="00487259"/>
    <w:rsid w:val="0048735E"/>
    <w:rsid w:val="00487A17"/>
    <w:rsid w:val="00490850"/>
    <w:rsid w:val="004912CD"/>
    <w:rsid w:val="00491994"/>
    <w:rsid w:val="00491A46"/>
    <w:rsid w:val="00491CFC"/>
    <w:rsid w:val="00491ECA"/>
    <w:rsid w:val="00493D55"/>
    <w:rsid w:val="0049537C"/>
    <w:rsid w:val="004955B9"/>
    <w:rsid w:val="004961EF"/>
    <w:rsid w:val="00497C9A"/>
    <w:rsid w:val="004A007E"/>
    <w:rsid w:val="004A0105"/>
    <w:rsid w:val="004A01DE"/>
    <w:rsid w:val="004A06AA"/>
    <w:rsid w:val="004A0D3B"/>
    <w:rsid w:val="004A2A7A"/>
    <w:rsid w:val="004A2D51"/>
    <w:rsid w:val="004A3C24"/>
    <w:rsid w:val="004A4849"/>
    <w:rsid w:val="004A56AC"/>
    <w:rsid w:val="004A65C2"/>
    <w:rsid w:val="004A6D71"/>
    <w:rsid w:val="004A70ED"/>
    <w:rsid w:val="004A74DB"/>
    <w:rsid w:val="004A758D"/>
    <w:rsid w:val="004A7969"/>
    <w:rsid w:val="004B04AB"/>
    <w:rsid w:val="004B193E"/>
    <w:rsid w:val="004B1B19"/>
    <w:rsid w:val="004B28E1"/>
    <w:rsid w:val="004B3978"/>
    <w:rsid w:val="004B3A21"/>
    <w:rsid w:val="004B489D"/>
    <w:rsid w:val="004B48D6"/>
    <w:rsid w:val="004B4CAC"/>
    <w:rsid w:val="004B6A6E"/>
    <w:rsid w:val="004B6AC5"/>
    <w:rsid w:val="004B6B83"/>
    <w:rsid w:val="004B6E0C"/>
    <w:rsid w:val="004C022C"/>
    <w:rsid w:val="004C027C"/>
    <w:rsid w:val="004C0423"/>
    <w:rsid w:val="004C0E3A"/>
    <w:rsid w:val="004C1090"/>
    <w:rsid w:val="004C1282"/>
    <w:rsid w:val="004C15D6"/>
    <w:rsid w:val="004C1939"/>
    <w:rsid w:val="004C34BA"/>
    <w:rsid w:val="004C3812"/>
    <w:rsid w:val="004C44A2"/>
    <w:rsid w:val="004C4DF5"/>
    <w:rsid w:val="004C4EAB"/>
    <w:rsid w:val="004C6433"/>
    <w:rsid w:val="004C7050"/>
    <w:rsid w:val="004C7689"/>
    <w:rsid w:val="004C7C2B"/>
    <w:rsid w:val="004D1076"/>
    <w:rsid w:val="004D1217"/>
    <w:rsid w:val="004D13FE"/>
    <w:rsid w:val="004D1613"/>
    <w:rsid w:val="004D468C"/>
    <w:rsid w:val="004D508C"/>
    <w:rsid w:val="004D58A8"/>
    <w:rsid w:val="004D66B0"/>
    <w:rsid w:val="004D7097"/>
    <w:rsid w:val="004D7322"/>
    <w:rsid w:val="004E0451"/>
    <w:rsid w:val="004E06E0"/>
    <w:rsid w:val="004E10E4"/>
    <w:rsid w:val="004E15C4"/>
    <w:rsid w:val="004E1740"/>
    <w:rsid w:val="004E1989"/>
    <w:rsid w:val="004E2019"/>
    <w:rsid w:val="004E33A3"/>
    <w:rsid w:val="004E4256"/>
    <w:rsid w:val="004E43DF"/>
    <w:rsid w:val="004E45CB"/>
    <w:rsid w:val="004E510F"/>
    <w:rsid w:val="004E68D6"/>
    <w:rsid w:val="004E72EB"/>
    <w:rsid w:val="004F0749"/>
    <w:rsid w:val="004F099F"/>
    <w:rsid w:val="004F1677"/>
    <w:rsid w:val="004F1B7A"/>
    <w:rsid w:val="004F1E0A"/>
    <w:rsid w:val="004F29CF"/>
    <w:rsid w:val="004F3415"/>
    <w:rsid w:val="004F405E"/>
    <w:rsid w:val="004F41D8"/>
    <w:rsid w:val="004F43F9"/>
    <w:rsid w:val="004F4E53"/>
    <w:rsid w:val="004F4E98"/>
    <w:rsid w:val="004F54DF"/>
    <w:rsid w:val="004F6042"/>
    <w:rsid w:val="004F79BF"/>
    <w:rsid w:val="00500441"/>
    <w:rsid w:val="005005E0"/>
    <w:rsid w:val="0050328C"/>
    <w:rsid w:val="00504394"/>
    <w:rsid w:val="00504B2B"/>
    <w:rsid w:val="00505ADF"/>
    <w:rsid w:val="00506A5F"/>
    <w:rsid w:val="00507419"/>
    <w:rsid w:val="00510223"/>
    <w:rsid w:val="00510E4F"/>
    <w:rsid w:val="00511B17"/>
    <w:rsid w:val="00511DF3"/>
    <w:rsid w:val="00511EAA"/>
    <w:rsid w:val="0051200E"/>
    <w:rsid w:val="0051223D"/>
    <w:rsid w:val="00513170"/>
    <w:rsid w:val="00513960"/>
    <w:rsid w:val="005140D1"/>
    <w:rsid w:val="005148C6"/>
    <w:rsid w:val="00514F16"/>
    <w:rsid w:val="00515A81"/>
    <w:rsid w:val="00515E3B"/>
    <w:rsid w:val="005162A4"/>
    <w:rsid w:val="00516812"/>
    <w:rsid w:val="0051694A"/>
    <w:rsid w:val="00517088"/>
    <w:rsid w:val="005176A0"/>
    <w:rsid w:val="00517D35"/>
    <w:rsid w:val="00521C3E"/>
    <w:rsid w:val="00521E06"/>
    <w:rsid w:val="005230F1"/>
    <w:rsid w:val="0052320E"/>
    <w:rsid w:val="0052339C"/>
    <w:rsid w:val="00523695"/>
    <w:rsid w:val="00524303"/>
    <w:rsid w:val="00524998"/>
    <w:rsid w:val="00524BCB"/>
    <w:rsid w:val="00525E2A"/>
    <w:rsid w:val="00526DCE"/>
    <w:rsid w:val="00527CC5"/>
    <w:rsid w:val="00527E0A"/>
    <w:rsid w:val="00530D67"/>
    <w:rsid w:val="005311A4"/>
    <w:rsid w:val="00531810"/>
    <w:rsid w:val="0053228D"/>
    <w:rsid w:val="00532826"/>
    <w:rsid w:val="0053338B"/>
    <w:rsid w:val="00533556"/>
    <w:rsid w:val="005339B5"/>
    <w:rsid w:val="005357F7"/>
    <w:rsid w:val="0053709E"/>
    <w:rsid w:val="00537BA4"/>
    <w:rsid w:val="00537DF9"/>
    <w:rsid w:val="0054095C"/>
    <w:rsid w:val="005421EA"/>
    <w:rsid w:val="005431EB"/>
    <w:rsid w:val="00543384"/>
    <w:rsid w:val="00543574"/>
    <w:rsid w:val="00544523"/>
    <w:rsid w:val="00546044"/>
    <w:rsid w:val="00546292"/>
    <w:rsid w:val="00546392"/>
    <w:rsid w:val="005477CC"/>
    <w:rsid w:val="00547C10"/>
    <w:rsid w:val="00550702"/>
    <w:rsid w:val="00551243"/>
    <w:rsid w:val="00554003"/>
    <w:rsid w:val="005540CA"/>
    <w:rsid w:val="005543BD"/>
    <w:rsid w:val="00554A7F"/>
    <w:rsid w:val="00554BC2"/>
    <w:rsid w:val="00554E37"/>
    <w:rsid w:val="00555840"/>
    <w:rsid w:val="00555A51"/>
    <w:rsid w:val="00555F11"/>
    <w:rsid w:val="0055605F"/>
    <w:rsid w:val="005569EB"/>
    <w:rsid w:val="005579E3"/>
    <w:rsid w:val="00557B26"/>
    <w:rsid w:val="005602A5"/>
    <w:rsid w:val="005607B3"/>
    <w:rsid w:val="005609B8"/>
    <w:rsid w:val="00560BE0"/>
    <w:rsid w:val="0056134A"/>
    <w:rsid w:val="005618C6"/>
    <w:rsid w:val="00561EA4"/>
    <w:rsid w:val="005630AF"/>
    <w:rsid w:val="005633EE"/>
    <w:rsid w:val="00564120"/>
    <w:rsid w:val="00564315"/>
    <w:rsid w:val="00564951"/>
    <w:rsid w:val="005665B3"/>
    <w:rsid w:val="00566650"/>
    <w:rsid w:val="005667DD"/>
    <w:rsid w:val="00566A33"/>
    <w:rsid w:val="00566ADE"/>
    <w:rsid w:val="005675F2"/>
    <w:rsid w:val="005717EE"/>
    <w:rsid w:val="00571869"/>
    <w:rsid w:val="00571E58"/>
    <w:rsid w:val="00572259"/>
    <w:rsid w:val="00572590"/>
    <w:rsid w:val="00572F3F"/>
    <w:rsid w:val="00573504"/>
    <w:rsid w:val="00573A53"/>
    <w:rsid w:val="00574C42"/>
    <w:rsid w:val="00574EAF"/>
    <w:rsid w:val="00576116"/>
    <w:rsid w:val="00576A9C"/>
    <w:rsid w:val="00576ED1"/>
    <w:rsid w:val="00577A11"/>
    <w:rsid w:val="0058099F"/>
    <w:rsid w:val="00580A5C"/>
    <w:rsid w:val="00580A81"/>
    <w:rsid w:val="005812EE"/>
    <w:rsid w:val="00581348"/>
    <w:rsid w:val="005813BA"/>
    <w:rsid w:val="0058170C"/>
    <w:rsid w:val="00582CA3"/>
    <w:rsid w:val="00582E77"/>
    <w:rsid w:val="0058327C"/>
    <w:rsid w:val="00583C02"/>
    <w:rsid w:val="00583DA8"/>
    <w:rsid w:val="00585094"/>
    <w:rsid w:val="0058534D"/>
    <w:rsid w:val="005859EC"/>
    <w:rsid w:val="00585B45"/>
    <w:rsid w:val="005861D7"/>
    <w:rsid w:val="005874D6"/>
    <w:rsid w:val="00587ADE"/>
    <w:rsid w:val="00587F6B"/>
    <w:rsid w:val="00587FBF"/>
    <w:rsid w:val="005906B3"/>
    <w:rsid w:val="0059070C"/>
    <w:rsid w:val="00590E03"/>
    <w:rsid w:val="00591136"/>
    <w:rsid w:val="00592011"/>
    <w:rsid w:val="005923D7"/>
    <w:rsid w:val="0059328E"/>
    <w:rsid w:val="005936CE"/>
    <w:rsid w:val="00595610"/>
    <w:rsid w:val="00595981"/>
    <w:rsid w:val="00595E03"/>
    <w:rsid w:val="00596031"/>
    <w:rsid w:val="005975AE"/>
    <w:rsid w:val="00597C6A"/>
    <w:rsid w:val="005A02B6"/>
    <w:rsid w:val="005A077F"/>
    <w:rsid w:val="005A0F9C"/>
    <w:rsid w:val="005A2160"/>
    <w:rsid w:val="005A246C"/>
    <w:rsid w:val="005A293C"/>
    <w:rsid w:val="005A2D4D"/>
    <w:rsid w:val="005A2E83"/>
    <w:rsid w:val="005A344E"/>
    <w:rsid w:val="005A386A"/>
    <w:rsid w:val="005A3A31"/>
    <w:rsid w:val="005A3B29"/>
    <w:rsid w:val="005A5389"/>
    <w:rsid w:val="005A6056"/>
    <w:rsid w:val="005A6582"/>
    <w:rsid w:val="005A6C36"/>
    <w:rsid w:val="005A714F"/>
    <w:rsid w:val="005B22C3"/>
    <w:rsid w:val="005B35CC"/>
    <w:rsid w:val="005B36F0"/>
    <w:rsid w:val="005B39AB"/>
    <w:rsid w:val="005B5332"/>
    <w:rsid w:val="005B6F63"/>
    <w:rsid w:val="005B7EE5"/>
    <w:rsid w:val="005C0B9E"/>
    <w:rsid w:val="005C0D04"/>
    <w:rsid w:val="005C331B"/>
    <w:rsid w:val="005C33C3"/>
    <w:rsid w:val="005C3D39"/>
    <w:rsid w:val="005C493E"/>
    <w:rsid w:val="005C4C80"/>
    <w:rsid w:val="005C50CD"/>
    <w:rsid w:val="005C6EB7"/>
    <w:rsid w:val="005D024F"/>
    <w:rsid w:val="005D28BE"/>
    <w:rsid w:val="005D39B7"/>
    <w:rsid w:val="005D44F8"/>
    <w:rsid w:val="005D458D"/>
    <w:rsid w:val="005D4CD5"/>
    <w:rsid w:val="005D4E18"/>
    <w:rsid w:val="005D62B2"/>
    <w:rsid w:val="005D673F"/>
    <w:rsid w:val="005D79F7"/>
    <w:rsid w:val="005E04D0"/>
    <w:rsid w:val="005E0802"/>
    <w:rsid w:val="005E0BF8"/>
    <w:rsid w:val="005E0DA7"/>
    <w:rsid w:val="005E0E36"/>
    <w:rsid w:val="005E0E9D"/>
    <w:rsid w:val="005E0F9D"/>
    <w:rsid w:val="005E16E6"/>
    <w:rsid w:val="005E18DD"/>
    <w:rsid w:val="005E1DF0"/>
    <w:rsid w:val="005E2292"/>
    <w:rsid w:val="005E25E5"/>
    <w:rsid w:val="005E2FD5"/>
    <w:rsid w:val="005E302A"/>
    <w:rsid w:val="005E3516"/>
    <w:rsid w:val="005E393D"/>
    <w:rsid w:val="005E485B"/>
    <w:rsid w:val="005E4903"/>
    <w:rsid w:val="005E4A6A"/>
    <w:rsid w:val="005E5CCA"/>
    <w:rsid w:val="005E5DEB"/>
    <w:rsid w:val="005E63E3"/>
    <w:rsid w:val="005E6C0A"/>
    <w:rsid w:val="005E6C15"/>
    <w:rsid w:val="005E7537"/>
    <w:rsid w:val="005F0250"/>
    <w:rsid w:val="005F08D8"/>
    <w:rsid w:val="005F0C11"/>
    <w:rsid w:val="005F0FEF"/>
    <w:rsid w:val="005F10E6"/>
    <w:rsid w:val="005F11AE"/>
    <w:rsid w:val="005F11D9"/>
    <w:rsid w:val="005F1470"/>
    <w:rsid w:val="005F1D10"/>
    <w:rsid w:val="005F28E6"/>
    <w:rsid w:val="005F2959"/>
    <w:rsid w:val="005F2D02"/>
    <w:rsid w:val="005F38AE"/>
    <w:rsid w:val="005F3B21"/>
    <w:rsid w:val="005F4462"/>
    <w:rsid w:val="005F45EB"/>
    <w:rsid w:val="005F4A35"/>
    <w:rsid w:val="005F6408"/>
    <w:rsid w:val="005F74A5"/>
    <w:rsid w:val="00600160"/>
    <w:rsid w:val="006003CC"/>
    <w:rsid w:val="006023F6"/>
    <w:rsid w:val="006026DF"/>
    <w:rsid w:val="0060302B"/>
    <w:rsid w:val="00606651"/>
    <w:rsid w:val="0060694D"/>
    <w:rsid w:val="00606FCC"/>
    <w:rsid w:val="00607067"/>
    <w:rsid w:val="00607D98"/>
    <w:rsid w:val="006101AA"/>
    <w:rsid w:val="006107F6"/>
    <w:rsid w:val="00610A9D"/>
    <w:rsid w:val="00612798"/>
    <w:rsid w:val="00612E23"/>
    <w:rsid w:val="006133B2"/>
    <w:rsid w:val="00615016"/>
    <w:rsid w:val="00615019"/>
    <w:rsid w:val="0061692B"/>
    <w:rsid w:val="00617376"/>
    <w:rsid w:val="006176DB"/>
    <w:rsid w:val="006179DF"/>
    <w:rsid w:val="006205AF"/>
    <w:rsid w:val="00620BB5"/>
    <w:rsid w:val="006218D2"/>
    <w:rsid w:val="00621983"/>
    <w:rsid w:val="00621B1F"/>
    <w:rsid w:val="00621BA6"/>
    <w:rsid w:val="00622722"/>
    <w:rsid w:val="00623BFD"/>
    <w:rsid w:val="006248D4"/>
    <w:rsid w:val="00626349"/>
    <w:rsid w:val="006264C0"/>
    <w:rsid w:val="0062693D"/>
    <w:rsid w:val="00627B65"/>
    <w:rsid w:val="00627E30"/>
    <w:rsid w:val="0063086E"/>
    <w:rsid w:val="00631261"/>
    <w:rsid w:val="00631933"/>
    <w:rsid w:val="00631B92"/>
    <w:rsid w:val="00632354"/>
    <w:rsid w:val="006328A5"/>
    <w:rsid w:val="0063366A"/>
    <w:rsid w:val="00634176"/>
    <w:rsid w:val="0063491D"/>
    <w:rsid w:val="00634BF5"/>
    <w:rsid w:val="00634EDC"/>
    <w:rsid w:val="0063532D"/>
    <w:rsid w:val="0063587C"/>
    <w:rsid w:val="00635D29"/>
    <w:rsid w:val="00636ABD"/>
    <w:rsid w:val="00636B8B"/>
    <w:rsid w:val="00636ECD"/>
    <w:rsid w:val="00637803"/>
    <w:rsid w:val="0064093B"/>
    <w:rsid w:val="00641081"/>
    <w:rsid w:val="00642A87"/>
    <w:rsid w:val="006434F1"/>
    <w:rsid w:val="0064385D"/>
    <w:rsid w:val="0064446C"/>
    <w:rsid w:val="00644D19"/>
    <w:rsid w:val="0064581F"/>
    <w:rsid w:val="00646E20"/>
    <w:rsid w:val="0064734E"/>
    <w:rsid w:val="00647A7B"/>
    <w:rsid w:val="0065171B"/>
    <w:rsid w:val="00652AD0"/>
    <w:rsid w:val="0065447D"/>
    <w:rsid w:val="006546C9"/>
    <w:rsid w:val="00654B81"/>
    <w:rsid w:val="0065564D"/>
    <w:rsid w:val="006559D0"/>
    <w:rsid w:val="00655D9E"/>
    <w:rsid w:val="00655E9C"/>
    <w:rsid w:val="0065731D"/>
    <w:rsid w:val="00657370"/>
    <w:rsid w:val="0065789F"/>
    <w:rsid w:val="00657A57"/>
    <w:rsid w:val="006605BD"/>
    <w:rsid w:val="00661802"/>
    <w:rsid w:val="00661B44"/>
    <w:rsid w:val="00661F02"/>
    <w:rsid w:val="00662375"/>
    <w:rsid w:val="00662564"/>
    <w:rsid w:val="00664776"/>
    <w:rsid w:val="00664A32"/>
    <w:rsid w:val="00665B65"/>
    <w:rsid w:val="006661C6"/>
    <w:rsid w:val="0066663F"/>
    <w:rsid w:val="00666CDD"/>
    <w:rsid w:val="00667675"/>
    <w:rsid w:val="00667D2C"/>
    <w:rsid w:val="00670470"/>
    <w:rsid w:val="006723BD"/>
    <w:rsid w:val="00672428"/>
    <w:rsid w:val="00672686"/>
    <w:rsid w:val="00672782"/>
    <w:rsid w:val="00672871"/>
    <w:rsid w:val="006731D3"/>
    <w:rsid w:val="00673EA5"/>
    <w:rsid w:val="00674218"/>
    <w:rsid w:val="006745F5"/>
    <w:rsid w:val="00675826"/>
    <w:rsid w:val="0067618B"/>
    <w:rsid w:val="00676301"/>
    <w:rsid w:val="006766AE"/>
    <w:rsid w:val="006767C4"/>
    <w:rsid w:val="00680F65"/>
    <w:rsid w:val="006815B7"/>
    <w:rsid w:val="00683337"/>
    <w:rsid w:val="00684192"/>
    <w:rsid w:val="0068465C"/>
    <w:rsid w:val="006846C1"/>
    <w:rsid w:val="006848C0"/>
    <w:rsid w:val="0068515C"/>
    <w:rsid w:val="00685CFA"/>
    <w:rsid w:val="00687850"/>
    <w:rsid w:val="00687EF1"/>
    <w:rsid w:val="00690A40"/>
    <w:rsid w:val="006910FD"/>
    <w:rsid w:val="00691BE9"/>
    <w:rsid w:val="006921ED"/>
    <w:rsid w:val="006922C1"/>
    <w:rsid w:val="0069260D"/>
    <w:rsid w:val="0069279B"/>
    <w:rsid w:val="0069287C"/>
    <w:rsid w:val="006928BB"/>
    <w:rsid w:val="00693247"/>
    <w:rsid w:val="006941B5"/>
    <w:rsid w:val="00694742"/>
    <w:rsid w:val="00695690"/>
    <w:rsid w:val="00695A19"/>
    <w:rsid w:val="00696061"/>
    <w:rsid w:val="006966BB"/>
    <w:rsid w:val="0069684B"/>
    <w:rsid w:val="00697830"/>
    <w:rsid w:val="006979E2"/>
    <w:rsid w:val="006A23D2"/>
    <w:rsid w:val="006A35AF"/>
    <w:rsid w:val="006A4EC2"/>
    <w:rsid w:val="006A5E75"/>
    <w:rsid w:val="006A6938"/>
    <w:rsid w:val="006B0435"/>
    <w:rsid w:val="006B1880"/>
    <w:rsid w:val="006B1AB7"/>
    <w:rsid w:val="006B1D13"/>
    <w:rsid w:val="006B267B"/>
    <w:rsid w:val="006B3E9A"/>
    <w:rsid w:val="006B447C"/>
    <w:rsid w:val="006B48CD"/>
    <w:rsid w:val="006B5227"/>
    <w:rsid w:val="006B6315"/>
    <w:rsid w:val="006B6721"/>
    <w:rsid w:val="006B685A"/>
    <w:rsid w:val="006B7FF9"/>
    <w:rsid w:val="006C0949"/>
    <w:rsid w:val="006C271D"/>
    <w:rsid w:val="006C2CF7"/>
    <w:rsid w:val="006C2D86"/>
    <w:rsid w:val="006C2E27"/>
    <w:rsid w:val="006C3B10"/>
    <w:rsid w:val="006C4066"/>
    <w:rsid w:val="006C488C"/>
    <w:rsid w:val="006C5411"/>
    <w:rsid w:val="006C5881"/>
    <w:rsid w:val="006C5CAE"/>
    <w:rsid w:val="006C5F01"/>
    <w:rsid w:val="006C625A"/>
    <w:rsid w:val="006C686B"/>
    <w:rsid w:val="006C6C52"/>
    <w:rsid w:val="006C6FDC"/>
    <w:rsid w:val="006C6FE6"/>
    <w:rsid w:val="006D02F2"/>
    <w:rsid w:val="006D0301"/>
    <w:rsid w:val="006D03D5"/>
    <w:rsid w:val="006D0BF1"/>
    <w:rsid w:val="006D1694"/>
    <w:rsid w:val="006D27B5"/>
    <w:rsid w:val="006D29ED"/>
    <w:rsid w:val="006D3A02"/>
    <w:rsid w:val="006D57DE"/>
    <w:rsid w:val="006D5A9D"/>
    <w:rsid w:val="006D68E6"/>
    <w:rsid w:val="006D7021"/>
    <w:rsid w:val="006D737C"/>
    <w:rsid w:val="006D7AD2"/>
    <w:rsid w:val="006E1120"/>
    <w:rsid w:val="006E119E"/>
    <w:rsid w:val="006E2B58"/>
    <w:rsid w:val="006E2E15"/>
    <w:rsid w:val="006E3948"/>
    <w:rsid w:val="006E3B5A"/>
    <w:rsid w:val="006E3D47"/>
    <w:rsid w:val="006E3E7B"/>
    <w:rsid w:val="006E4A7E"/>
    <w:rsid w:val="006E4DA4"/>
    <w:rsid w:val="006E519C"/>
    <w:rsid w:val="006E528D"/>
    <w:rsid w:val="006E7580"/>
    <w:rsid w:val="006E7753"/>
    <w:rsid w:val="006F147F"/>
    <w:rsid w:val="006F2F5A"/>
    <w:rsid w:val="006F44BA"/>
    <w:rsid w:val="006F4937"/>
    <w:rsid w:val="006F56F2"/>
    <w:rsid w:val="006F572A"/>
    <w:rsid w:val="006F5D74"/>
    <w:rsid w:val="006F6005"/>
    <w:rsid w:val="006F61DE"/>
    <w:rsid w:val="006F68EA"/>
    <w:rsid w:val="006F72D2"/>
    <w:rsid w:val="006F74DC"/>
    <w:rsid w:val="006F7DF2"/>
    <w:rsid w:val="00700A67"/>
    <w:rsid w:val="007019CD"/>
    <w:rsid w:val="007021BD"/>
    <w:rsid w:val="007026A5"/>
    <w:rsid w:val="007035A3"/>
    <w:rsid w:val="00703906"/>
    <w:rsid w:val="00704ABF"/>
    <w:rsid w:val="00704E04"/>
    <w:rsid w:val="00704ECF"/>
    <w:rsid w:val="00705977"/>
    <w:rsid w:val="00705C55"/>
    <w:rsid w:val="0070606A"/>
    <w:rsid w:val="007068A3"/>
    <w:rsid w:val="00707898"/>
    <w:rsid w:val="00711C77"/>
    <w:rsid w:val="00714B30"/>
    <w:rsid w:val="00714BA1"/>
    <w:rsid w:val="007165C4"/>
    <w:rsid w:val="00716893"/>
    <w:rsid w:val="00716F9D"/>
    <w:rsid w:val="00720AA0"/>
    <w:rsid w:val="007216E9"/>
    <w:rsid w:val="00722120"/>
    <w:rsid w:val="007225B8"/>
    <w:rsid w:val="00723019"/>
    <w:rsid w:val="007234AA"/>
    <w:rsid w:val="00723A59"/>
    <w:rsid w:val="00725422"/>
    <w:rsid w:val="00727014"/>
    <w:rsid w:val="007270AC"/>
    <w:rsid w:val="007316C1"/>
    <w:rsid w:val="0073249C"/>
    <w:rsid w:val="0073260F"/>
    <w:rsid w:val="00732941"/>
    <w:rsid w:val="00732FC8"/>
    <w:rsid w:val="007342CE"/>
    <w:rsid w:val="00734BDD"/>
    <w:rsid w:val="00734F76"/>
    <w:rsid w:val="00736667"/>
    <w:rsid w:val="007373D5"/>
    <w:rsid w:val="0073785A"/>
    <w:rsid w:val="00737CA0"/>
    <w:rsid w:val="00737D8E"/>
    <w:rsid w:val="00737F03"/>
    <w:rsid w:val="00740259"/>
    <w:rsid w:val="00740F3A"/>
    <w:rsid w:val="00742174"/>
    <w:rsid w:val="007429E8"/>
    <w:rsid w:val="00743105"/>
    <w:rsid w:val="00743DBC"/>
    <w:rsid w:val="007451D7"/>
    <w:rsid w:val="00745E9B"/>
    <w:rsid w:val="0074622B"/>
    <w:rsid w:val="007464F9"/>
    <w:rsid w:val="00746620"/>
    <w:rsid w:val="00746A8B"/>
    <w:rsid w:val="00746BB9"/>
    <w:rsid w:val="00746EFC"/>
    <w:rsid w:val="007472F0"/>
    <w:rsid w:val="00747468"/>
    <w:rsid w:val="00747A18"/>
    <w:rsid w:val="00747F16"/>
    <w:rsid w:val="007502F1"/>
    <w:rsid w:val="0075030C"/>
    <w:rsid w:val="007507B2"/>
    <w:rsid w:val="00750DB4"/>
    <w:rsid w:val="00751282"/>
    <w:rsid w:val="007520A3"/>
    <w:rsid w:val="00752293"/>
    <w:rsid w:val="00753146"/>
    <w:rsid w:val="007534FA"/>
    <w:rsid w:val="00754CB8"/>
    <w:rsid w:val="0075690E"/>
    <w:rsid w:val="00757A78"/>
    <w:rsid w:val="00760446"/>
    <w:rsid w:val="00760584"/>
    <w:rsid w:val="00760D1D"/>
    <w:rsid w:val="00761AFB"/>
    <w:rsid w:val="00762106"/>
    <w:rsid w:val="00762284"/>
    <w:rsid w:val="00762573"/>
    <w:rsid w:val="00762BEB"/>
    <w:rsid w:val="00764DC5"/>
    <w:rsid w:val="00764F7F"/>
    <w:rsid w:val="00764FC3"/>
    <w:rsid w:val="0076575D"/>
    <w:rsid w:val="00765C85"/>
    <w:rsid w:val="00766202"/>
    <w:rsid w:val="007664DD"/>
    <w:rsid w:val="0076699D"/>
    <w:rsid w:val="00770CD2"/>
    <w:rsid w:val="007713E5"/>
    <w:rsid w:val="0077159E"/>
    <w:rsid w:val="00771DF1"/>
    <w:rsid w:val="00771F82"/>
    <w:rsid w:val="007720B0"/>
    <w:rsid w:val="00772B86"/>
    <w:rsid w:val="00773012"/>
    <w:rsid w:val="00773F94"/>
    <w:rsid w:val="00774EB2"/>
    <w:rsid w:val="0077535B"/>
    <w:rsid w:val="007757C5"/>
    <w:rsid w:val="00776392"/>
    <w:rsid w:val="007769C6"/>
    <w:rsid w:val="00776C36"/>
    <w:rsid w:val="00777441"/>
    <w:rsid w:val="00777C69"/>
    <w:rsid w:val="00780C1A"/>
    <w:rsid w:val="0078174E"/>
    <w:rsid w:val="00781A9C"/>
    <w:rsid w:val="00781B98"/>
    <w:rsid w:val="0078422A"/>
    <w:rsid w:val="00784B96"/>
    <w:rsid w:val="0078594A"/>
    <w:rsid w:val="00785DF6"/>
    <w:rsid w:val="0078622A"/>
    <w:rsid w:val="0078732E"/>
    <w:rsid w:val="00790D79"/>
    <w:rsid w:val="0079250C"/>
    <w:rsid w:val="0079268D"/>
    <w:rsid w:val="00793A6A"/>
    <w:rsid w:val="00793F20"/>
    <w:rsid w:val="00794549"/>
    <w:rsid w:val="00794841"/>
    <w:rsid w:val="00794B23"/>
    <w:rsid w:val="007960BA"/>
    <w:rsid w:val="0079672A"/>
    <w:rsid w:val="007A058D"/>
    <w:rsid w:val="007A3026"/>
    <w:rsid w:val="007A37E4"/>
    <w:rsid w:val="007A3FE0"/>
    <w:rsid w:val="007A43E5"/>
    <w:rsid w:val="007A4926"/>
    <w:rsid w:val="007A5159"/>
    <w:rsid w:val="007A5342"/>
    <w:rsid w:val="007A6EA3"/>
    <w:rsid w:val="007A7021"/>
    <w:rsid w:val="007A7106"/>
    <w:rsid w:val="007A7CA9"/>
    <w:rsid w:val="007A7D15"/>
    <w:rsid w:val="007B024C"/>
    <w:rsid w:val="007B1762"/>
    <w:rsid w:val="007B25D7"/>
    <w:rsid w:val="007B2F38"/>
    <w:rsid w:val="007B3EF9"/>
    <w:rsid w:val="007B3FC9"/>
    <w:rsid w:val="007B41C5"/>
    <w:rsid w:val="007B4904"/>
    <w:rsid w:val="007B4A71"/>
    <w:rsid w:val="007B4F5F"/>
    <w:rsid w:val="007B565C"/>
    <w:rsid w:val="007B569E"/>
    <w:rsid w:val="007B6B4D"/>
    <w:rsid w:val="007B6CD0"/>
    <w:rsid w:val="007B7099"/>
    <w:rsid w:val="007C1465"/>
    <w:rsid w:val="007C19D5"/>
    <w:rsid w:val="007C2237"/>
    <w:rsid w:val="007C2FBB"/>
    <w:rsid w:val="007C32C7"/>
    <w:rsid w:val="007C4D8A"/>
    <w:rsid w:val="007C65EA"/>
    <w:rsid w:val="007D057C"/>
    <w:rsid w:val="007D06A6"/>
    <w:rsid w:val="007D185E"/>
    <w:rsid w:val="007D2344"/>
    <w:rsid w:val="007D2B46"/>
    <w:rsid w:val="007D3C84"/>
    <w:rsid w:val="007D4CB2"/>
    <w:rsid w:val="007D556A"/>
    <w:rsid w:val="007D5FB8"/>
    <w:rsid w:val="007D6A1A"/>
    <w:rsid w:val="007D73D3"/>
    <w:rsid w:val="007D7B47"/>
    <w:rsid w:val="007E0515"/>
    <w:rsid w:val="007E0C76"/>
    <w:rsid w:val="007E1081"/>
    <w:rsid w:val="007E11F6"/>
    <w:rsid w:val="007E12F8"/>
    <w:rsid w:val="007E1A12"/>
    <w:rsid w:val="007E1C43"/>
    <w:rsid w:val="007E214C"/>
    <w:rsid w:val="007E28A8"/>
    <w:rsid w:val="007E2B59"/>
    <w:rsid w:val="007E2F57"/>
    <w:rsid w:val="007E461E"/>
    <w:rsid w:val="007E5BC0"/>
    <w:rsid w:val="007E656D"/>
    <w:rsid w:val="007E66C9"/>
    <w:rsid w:val="007E680C"/>
    <w:rsid w:val="007E6B69"/>
    <w:rsid w:val="007E6C7D"/>
    <w:rsid w:val="007E73DE"/>
    <w:rsid w:val="007E7CBF"/>
    <w:rsid w:val="007E7EB4"/>
    <w:rsid w:val="007F0DE4"/>
    <w:rsid w:val="007F17C9"/>
    <w:rsid w:val="007F2162"/>
    <w:rsid w:val="007F499B"/>
    <w:rsid w:val="007F4E31"/>
    <w:rsid w:val="007F589E"/>
    <w:rsid w:val="007F5B87"/>
    <w:rsid w:val="007F5C86"/>
    <w:rsid w:val="007F602F"/>
    <w:rsid w:val="007F62AE"/>
    <w:rsid w:val="007F6DF2"/>
    <w:rsid w:val="007F78E4"/>
    <w:rsid w:val="007F78EE"/>
    <w:rsid w:val="0080112F"/>
    <w:rsid w:val="0080116E"/>
    <w:rsid w:val="00801B1F"/>
    <w:rsid w:val="00802342"/>
    <w:rsid w:val="008026F3"/>
    <w:rsid w:val="0080272C"/>
    <w:rsid w:val="00802814"/>
    <w:rsid w:val="00802980"/>
    <w:rsid w:val="00802A3F"/>
    <w:rsid w:val="00803889"/>
    <w:rsid w:val="00805282"/>
    <w:rsid w:val="00805F17"/>
    <w:rsid w:val="00810CC8"/>
    <w:rsid w:val="0081161D"/>
    <w:rsid w:val="008119AC"/>
    <w:rsid w:val="00811F6D"/>
    <w:rsid w:val="00811FA8"/>
    <w:rsid w:val="00813006"/>
    <w:rsid w:val="008131CC"/>
    <w:rsid w:val="008134F2"/>
    <w:rsid w:val="0081364D"/>
    <w:rsid w:val="008139DA"/>
    <w:rsid w:val="008140A8"/>
    <w:rsid w:val="00815230"/>
    <w:rsid w:val="0081523E"/>
    <w:rsid w:val="008153EF"/>
    <w:rsid w:val="00815567"/>
    <w:rsid w:val="00815FCC"/>
    <w:rsid w:val="0081640E"/>
    <w:rsid w:val="00816C00"/>
    <w:rsid w:val="00817172"/>
    <w:rsid w:val="00817351"/>
    <w:rsid w:val="00817AFD"/>
    <w:rsid w:val="00820E87"/>
    <w:rsid w:val="00820F4E"/>
    <w:rsid w:val="0082236B"/>
    <w:rsid w:val="0082337D"/>
    <w:rsid w:val="008242E3"/>
    <w:rsid w:val="00824D7C"/>
    <w:rsid w:val="008254F6"/>
    <w:rsid w:val="00826882"/>
    <w:rsid w:val="00826CBF"/>
    <w:rsid w:val="00827189"/>
    <w:rsid w:val="00827DFF"/>
    <w:rsid w:val="00827EA5"/>
    <w:rsid w:val="00827ED9"/>
    <w:rsid w:val="0083002E"/>
    <w:rsid w:val="00830249"/>
    <w:rsid w:val="008306BA"/>
    <w:rsid w:val="0083110F"/>
    <w:rsid w:val="008316B4"/>
    <w:rsid w:val="008318B5"/>
    <w:rsid w:val="00831A43"/>
    <w:rsid w:val="00831B77"/>
    <w:rsid w:val="00831D03"/>
    <w:rsid w:val="00832ABB"/>
    <w:rsid w:val="00832B54"/>
    <w:rsid w:val="008332A8"/>
    <w:rsid w:val="008343E5"/>
    <w:rsid w:val="00834A61"/>
    <w:rsid w:val="00834D84"/>
    <w:rsid w:val="00835BC8"/>
    <w:rsid w:val="00836009"/>
    <w:rsid w:val="008365C2"/>
    <w:rsid w:val="00836E00"/>
    <w:rsid w:val="008404CC"/>
    <w:rsid w:val="0084097B"/>
    <w:rsid w:val="00840B82"/>
    <w:rsid w:val="008416BC"/>
    <w:rsid w:val="008418EC"/>
    <w:rsid w:val="00841964"/>
    <w:rsid w:val="00842639"/>
    <w:rsid w:val="00842F79"/>
    <w:rsid w:val="00843432"/>
    <w:rsid w:val="00844902"/>
    <w:rsid w:val="0084643E"/>
    <w:rsid w:val="008464FA"/>
    <w:rsid w:val="00847AC4"/>
    <w:rsid w:val="0085035E"/>
    <w:rsid w:val="0085177F"/>
    <w:rsid w:val="00851DBD"/>
    <w:rsid w:val="00852A22"/>
    <w:rsid w:val="00852E54"/>
    <w:rsid w:val="0085439C"/>
    <w:rsid w:val="008544D0"/>
    <w:rsid w:val="00854617"/>
    <w:rsid w:val="00854EA1"/>
    <w:rsid w:val="00856681"/>
    <w:rsid w:val="008568CB"/>
    <w:rsid w:val="0085729A"/>
    <w:rsid w:val="00860237"/>
    <w:rsid w:val="00860583"/>
    <w:rsid w:val="00860DD0"/>
    <w:rsid w:val="008638AA"/>
    <w:rsid w:val="0086447D"/>
    <w:rsid w:val="00866945"/>
    <w:rsid w:val="008673BA"/>
    <w:rsid w:val="008673E0"/>
    <w:rsid w:val="00870E7E"/>
    <w:rsid w:val="00872086"/>
    <w:rsid w:val="008733B8"/>
    <w:rsid w:val="0087372F"/>
    <w:rsid w:val="00873D39"/>
    <w:rsid w:val="0087589B"/>
    <w:rsid w:val="00876164"/>
    <w:rsid w:val="0087639E"/>
    <w:rsid w:val="008763AC"/>
    <w:rsid w:val="00881069"/>
    <w:rsid w:val="008814A0"/>
    <w:rsid w:val="00881B82"/>
    <w:rsid w:val="008842AE"/>
    <w:rsid w:val="008848AB"/>
    <w:rsid w:val="00885501"/>
    <w:rsid w:val="008855B4"/>
    <w:rsid w:val="008856C8"/>
    <w:rsid w:val="00886CA0"/>
    <w:rsid w:val="008875E8"/>
    <w:rsid w:val="00887624"/>
    <w:rsid w:val="0089081F"/>
    <w:rsid w:val="00891124"/>
    <w:rsid w:val="008926FA"/>
    <w:rsid w:val="0089299F"/>
    <w:rsid w:val="008933FB"/>
    <w:rsid w:val="00893D30"/>
    <w:rsid w:val="008940B6"/>
    <w:rsid w:val="008942FE"/>
    <w:rsid w:val="008947EC"/>
    <w:rsid w:val="00895126"/>
    <w:rsid w:val="008960AD"/>
    <w:rsid w:val="00896700"/>
    <w:rsid w:val="008967D0"/>
    <w:rsid w:val="00896D10"/>
    <w:rsid w:val="0089769D"/>
    <w:rsid w:val="008A0BEE"/>
    <w:rsid w:val="008A273D"/>
    <w:rsid w:val="008A2DE1"/>
    <w:rsid w:val="008A3409"/>
    <w:rsid w:val="008A39D6"/>
    <w:rsid w:val="008A4DC4"/>
    <w:rsid w:val="008A546B"/>
    <w:rsid w:val="008A6C3F"/>
    <w:rsid w:val="008A6E4E"/>
    <w:rsid w:val="008A7336"/>
    <w:rsid w:val="008B1485"/>
    <w:rsid w:val="008B2B13"/>
    <w:rsid w:val="008B35EB"/>
    <w:rsid w:val="008B46FF"/>
    <w:rsid w:val="008B5629"/>
    <w:rsid w:val="008B57AD"/>
    <w:rsid w:val="008B5EB9"/>
    <w:rsid w:val="008B633B"/>
    <w:rsid w:val="008B7CFB"/>
    <w:rsid w:val="008C0461"/>
    <w:rsid w:val="008C149C"/>
    <w:rsid w:val="008C1707"/>
    <w:rsid w:val="008C17EF"/>
    <w:rsid w:val="008C1E13"/>
    <w:rsid w:val="008C2218"/>
    <w:rsid w:val="008C221B"/>
    <w:rsid w:val="008C277C"/>
    <w:rsid w:val="008C29DE"/>
    <w:rsid w:val="008C408C"/>
    <w:rsid w:val="008C68FF"/>
    <w:rsid w:val="008C735B"/>
    <w:rsid w:val="008D07F9"/>
    <w:rsid w:val="008D10AF"/>
    <w:rsid w:val="008D134D"/>
    <w:rsid w:val="008D13F9"/>
    <w:rsid w:val="008D1882"/>
    <w:rsid w:val="008D2014"/>
    <w:rsid w:val="008D2D72"/>
    <w:rsid w:val="008D33E7"/>
    <w:rsid w:val="008D355F"/>
    <w:rsid w:val="008D3F03"/>
    <w:rsid w:val="008D5062"/>
    <w:rsid w:val="008D55C7"/>
    <w:rsid w:val="008D6348"/>
    <w:rsid w:val="008D64D9"/>
    <w:rsid w:val="008E1BA6"/>
    <w:rsid w:val="008E21B7"/>
    <w:rsid w:val="008E26A1"/>
    <w:rsid w:val="008E287E"/>
    <w:rsid w:val="008E3BDB"/>
    <w:rsid w:val="008E4C95"/>
    <w:rsid w:val="008E6044"/>
    <w:rsid w:val="008E65D2"/>
    <w:rsid w:val="008E7247"/>
    <w:rsid w:val="008E7FF0"/>
    <w:rsid w:val="008F0581"/>
    <w:rsid w:val="008F1857"/>
    <w:rsid w:val="008F247D"/>
    <w:rsid w:val="008F2708"/>
    <w:rsid w:val="008F2E76"/>
    <w:rsid w:val="008F3145"/>
    <w:rsid w:val="008F3CA0"/>
    <w:rsid w:val="008F413D"/>
    <w:rsid w:val="008F41EA"/>
    <w:rsid w:val="008F4606"/>
    <w:rsid w:val="008F5A34"/>
    <w:rsid w:val="008F6FFE"/>
    <w:rsid w:val="008F7B56"/>
    <w:rsid w:val="009002BD"/>
    <w:rsid w:val="009004DF"/>
    <w:rsid w:val="00903D90"/>
    <w:rsid w:val="00904385"/>
    <w:rsid w:val="00904EB8"/>
    <w:rsid w:val="00904EF0"/>
    <w:rsid w:val="00904F43"/>
    <w:rsid w:val="00904F9B"/>
    <w:rsid w:val="0090659C"/>
    <w:rsid w:val="00906BFB"/>
    <w:rsid w:val="0091016F"/>
    <w:rsid w:val="0091071F"/>
    <w:rsid w:val="0091250E"/>
    <w:rsid w:val="009125CE"/>
    <w:rsid w:val="009125D6"/>
    <w:rsid w:val="00912781"/>
    <w:rsid w:val="00912CB1"/>
    <w:rsid w:val="00914547"/>
    <w:rsid w:val="009145B9"/>
    <w:rsid w:val="00914D32"/>
    <w:rsid w:val="00914E6C"/>
    <w:rsid w:val="00915E81"/>
    <w:rsid w:val="00915FFA"/>
    <w:rsid w:val="00916827"/>
    <w:rsid w:val="0091687C"/>
    <w:rsid w:val="00917997"/>
    <w:rsid w:val="00920932"/>
    <w:rsid w:val="009216F6"/>
    <w:rsid w:val="00923066"/>
    <w:rsid w:val="00923B19"/>
    <w:rsid w:val="00923B5E"/>
    <w:rsid w:val="00924F5D"/>
    <w:rsid w:val="00925155"/>
    <w:rsid w:val="00925A91"/>
    <w:rsid w:val="00925F7F"/>
    <w:rsid w:val="00926115"/>
    <w:rsid w:val="0092677D"/>
    <w:rsid w:val="0092693E"/>
    <w:rsid w:val="009270A8"/>
    <w:rsid w:val="00927AB1"/>
    <w:rsid w:val="00927BBE"/>
    <w:rsid w:val="00931F52"/>
    <w:rsid w:val="009327B8"/>
    <w:rsid w:val="00932A56"/>
    <w:rsid w:val="00932BD2"/>
    <w:rsid w:val="00932EDD"/>
    <w:rsid w:val="009331FF"/>
    <w:rsid w:val="009336FC"/>
    <w:rsid w:val="00933B2B"/>
    <w:rsid w:val="00934CB9"/>
    <w:rsid w:val="00935123"/>
    <w:rsid w:val="009355A8"/>
    <w:rsid w:val="009357FD"/>
    <w:rsid w:val="00936A47"/>
    <w:rsid w:val="009402BF"/>
    <w:rsid w:val="0094077E"/>
    <w:rsid w:val="00940CCF"/>
    <w:rsid w:val="00940DDF"/>
    <w:rsid w:val="00940F63"/>
    <w:rsid w:val="00941189"/>
    <w:rsid w:val="00941602"/>
    <w:rsid w:val="00941759"/>
    <w:rsid w:val="00941CA4"/>
    <w:rsid w:val="00941D74"/>
    <w:rsid w:val="009421F7"/>
    <w:rsid w:val="00942267"/>
    <w:rsid w:val="00942B24"/>
    <w:rsid w:val="00942DA1"/>
    <w:rsid w:val="009440F1"/>
    <w:rsid w:val="0094601C"/>
    <w:rsid w:val="009471B8"/>
    <w:rsid w:val="0094725B"/>
    <w:rsid w:val="0094734E"/>
    <w:rsid w:val="00947779"/>
    <w:rsid w:val="009477B4"/>
    <w:rsid w:val="00947F49"/>
    <w:rsid w:val="00950761"/>
    <w:rsid w:val="00950C2A"/>
    <w:rsid w:val="00951D85"/>
    <w:rsid w:val="00951E78"/>
    <w:rsid w:val="00952362"/>
    <w:rsid w:val="00952672"/>
    <w:rsid w:val="009527AB"/>
    <w:rsid w:val="00952AC2"/>
    <w:rsid w:val="00952C6A"/>
    <w:rsid w:val="009540D7"/>
    <w:rsid w:val="0095483E"/>
    <w:rsid w:val="00954CB8"/>
    <w:rsid w:val="00954F28"/>
    <w:rsid w:val="00960653"/>
    <w:rsid w:val="009615B6"/>
    <w:rsid w:val="00962CAC"/>
    <w:rsid w:val="009640DE"/>
    <w:rsid w:val="009642AB"/>
    <w:rsid w:val="009643C0"/>
    <w:rsid w:val="00964A1F"/>
    <w:rsid w:val="0096587B"/>
    <w:rsid w:val="009678E8"/>
    <w:rsid w:val="009701B5"/>
    <w:rsid w:val="009711B6"/>
    <w:rsid w:val="009717D1"/>
    <w:rsid w:val="00971D67"/>
    <w:rsid w:val="0097258C"/>
    <w:rsid w:val="00972782"/>
    <w:rsid w:val="00972E40"/>
    <w:rsid w:val="00972F85"/>
    <w:rsid w:val="0097310C"/>
    <w:rsid w:val="00973402"/>
    <w:rsid w:val="009745B0"/>
    <w:rsid w:val="009746E7"/>
    <w:rsid w:val="00974BA6"/>
    <w:rsid w:val="0097571C"/>
    <w:rsid w:val="00975866"/>
    <w:rsid w:val="0097613D"/>
    <w:rsid w:val="0097689C"/>
    <w:rsid w:val="00980410"/>
    <w:rsid w:val="009804C4"/>
    <w:rsid w:val="00981A84"/>
    <w:rsid w:val="00981D5B"/>
    <w:rsid w:val="00981FAF"/>
    <w:rsid w:val="00982DF8"/>
    <w:rsid w:val="0098382F"/>
    <w:rsid w:val="00983EA5"/>
    <w:rsid w:val="009844F6"/>
    <w:rsid w:val="0098479C"/>
    <w:rsid w:val="00984E16"/>
    <w:rsid w:val="00987A3C"/>
    <w:rsid w:val="00987AE7"/>
    <w:rsid w:val="00987F4A"/>
    <w:rsid w:val="00987FA0"/>
    <w:rsid w:val="009914F7"/>
    <w:rsid w:val="00991F88"/>
    <w:rsid w:val="009920AB"/>
    <w:rsid w:val="00992932"/>
    <w:rsid w:val="00992E04"/>
    <w:rsid w:val="009932E0"/>
    <w:rsid w:val="00994E58"/>
    <w:rsid w:val="00995F75"/>
    <w:rsid w:val="00996C04"/>
    <w:rsid w:val="00997642"/>
    <w:rsid w:val="00997C57"/>
    <w:rsid w:val="009A0088"/>
    <w:rsid w:val="009A131D"/>
    <w:rsid w:val="009A2745"/>
    <w:rsid w:val="009A27A8"/>
    <w:rsid w:val="009A2CC3"/>
    <w:rsid w:val="009A30B7"/>
    <w:rsid w:val="009A3AD7"/>
    <w:rsid w:val="009A3BE3"/>
    <w:rsid w:val="009A3EAF"/>
    <w:rsid w:val="009A3F42"/>
    <w:rsid w:val="009A424B"/>
    <w:rsid w:val="009A4F1C"/>
    <w:rsid w:val="009A5744"/>
    <w:rsid w:val="009A5BF3"/>
    <w:rsid w:val="009A678F"/>
    <w:rsid w:val="009A75AE"/>
    <w:rsid w:val="009A773F"/>
    <w:rsid w:val="009A79A9"/>
    <w:rsid w:val="009B0F5F"/>
    <w:rsid w:val="009B14E5"/>
    <w:rsid w:val="009B27D5"/>
    <w:rsid w:val="009B2A7F"/>
    <w:rsid w:val="009B3424"/>
    <w:rsid w:val="009B43FA"/>
    <w:rsid w:val="009B57C9"/>
    <w:rsid w:val="009B5BB4"/>
    <w:rsid w:val="009B636B"/>
    <w:rsid w:val="009B644A"/>
    <w:rsid w:val="009B67F3"/>
    <w:rsid w:val="009B6C31"/>
    <w:rsid w:val="009C05A4"/>
    <w:rsid w:val="009C0A9E"/>
    <w:rsid w:val="009C1FB5"/>
    <w:rsid w:val="009C2548"/>
    <w:rsid w:val="009C2AF7"/>
    <w:rsid w:val="009C3141"/>
    <w:rsid w:val="009C3FCF"/>
    <w:rsid w:val="009C551E"/>
    <w:rsid w:val="009C5AC9"/>
    <w:rsid w:val="009C5B7E"/>
    <w:rsid w:val="009C5F5F"/>
    <w:rsid w:val="009C66C0"/>
    <w:rsid w:val="009C747A"/>
    <w:rsid w:val="009D00BA"/>
    <w:rsid w:val="009D069E"/>
    <w:rsid w:val="009D07C2"/>
    <w:rsid w:val="009D108F"/>
    <w:rsid w:val="009D1683"/>
    <w:rsid w:val="009D1E60"/>
    <w:rsid w:val="009D2309"/>
    <w:rsid w:val="009D2447"/>
    <w:rsid w:val="009D2BF8"/>
    <w:rsid w:val="009D3B38"/>
    <w:rsid w:val="009D402C"/>
    <w:rsid w:val="009D4740"/>
    <w:rsid w:val="009D5044"/>
    <w:rsid w:val="009D5A96"/>
    <w:rsid w:val="009D5CF0"/>
    <w:rsid w:val="009E0331"/>
    <w:rsid w:val="009E050A"/>
    <w:rsid w:val="009E088E"/>
    <w:rsid w:val="009E1005"/>
    <w:rsid w:val="009E28B5"/>
    <w:rsid w:val="009E2ADB"/>
    <w:rsid w:val="009E3721"/>
    <w:rsid w:val="009E4218"/>
    <w:rsid w:val="009E473D"/>
    <w:rsid w:val="009E497B"/>
    <w:rsid w:val="009E4A1B"/>
    <w:rsid w:val="009E4B5A"/>
    <w:rsid w:val="009E52D8"/>
    <w:rsid w:val="009E5325"/>
    <w:rsid w:val="009E5389"/>
    <w:rsid w:val="009E7CCB"/>
    <w:rsid w:val="009F0B76"/>
    <w:rsid w:val="009F112A"/>
    <w:rsid w:val="009F123D"/>
    <w:rsid w:val="009F239C"/>
    <w:rsid w:val="009F33A0"/>
    <w:rsid w:val="009F33CA"/>
    <w:rsid w:val="009F3426"/>
    <w:rsid w:val="009F4A34"/>
    <w:rsid w:val="009F57F6"/>
    <w:rsid w:val="009F5A3C"/>
    <w:rsid w:val="009F5BDD"/>
    <w:rsid w:val="009F5C51"/>
    <w:rsid w:val="009F5FC5"/>
    <w:rsid w:val="009F6280"/>
    <w:rsid w:val="009F7FCA"/>
    <w:rsid w:val="00A00ED4"/>
    <w:rsid w:val="00A0136A"/>
    <w:rsid w:val="00A02944"/>
    <w:rsid w:val="00A03251"/>
    <w:rsid w:val="00A03777"/>
    <w:rsid w:val="00A03AE2"/>
    <w:rsid w:val="00A03B11"/>
    <w:rsid w:val="00A04AC0"/>
    <w:rsid w:val="00A0507E"/>
    <w:rsid w:val="00A05837"/>
    <w:rsid w:val="00A06548"/>
    <w:rsid w:val="00A071BB"/>
    <w:rsid w:val="00A075D3"/>
    <w:rsid w:val="00A0764A"/>
    <w:rsid w:val="00A11C76"/>
    <w:rsid w:val="00A122A6"/>
    <w:rsid w:val="00A122BA"/>
    <w:rsid w:val="00A1272C"/>
    <w:rsid w:val="00A129B1"/>
    <w:rsid w:val="00A13953"/>
    <w:rsid w:val="00A13E04"/>
    <w:rsid w:val="00A14774"/>
    <w:rsid w:val="00A148E9"/>
    <w:rsid w:val="00A14BF6"/>
    <w:rsid w:val="00A159B4"/>
    <w:rsid w:val="00A162E0"/>
    <w:rsid w:val="00A16BE0"/>
    <w:rsid w:val="00A16F8D"/>
    <w:rsid w:val="00A20278"/>
    <w:rsid w:val="00A20F91"/>
    <w:rsid w:val="00A2141D"/>
    <w:rsid w:val="00A2208A"/>
    <w:rsid w:val="00A23271"/>
    <w:rsid w:val="00A2459E"/>
    <w:rsid w:val="00A24930"/>
    <w:rsid w:val="00A24F11"/>
    <w:rsid w:val="00A25876"/>
    <w:rsid w:val="00A25C1D"/>
    <w:rsid w:val="00A25FFE"/>
    <w:rsid w:val="00A26001"/>
    <w:rsid w:val="00A2621E"/>
    <w:rsid w:val="00A30926"/>
    <w:rsid w:val="00A326EE"/>
    <w:rsid w:val="00A3279D"/>
    <w:rsid w:val="00A32CA3"/>
    <w:rsid w:val="00A33AE6"/>
    <w:rsid w:val="00A34561"/>
    <w:rsid w:val="00A34920"/>
    <w:rsid w:val="00A356DE"/>
    <w:rsid w:val="00A35820"/>
    <w:rsid w:val="00A35C60"/>
    <w:rsid w:val="00A36011"/>
    <w:rsid w:val="00A36C0B"/>
    <w:rsid w:val="00A371A9"/>
    <w:rsid w:val="00A37E7B"/>
    <w:rsid w:val="00A4004F"/>
    <w:rsid w:val="00A408AF"/>
    <w:rsid w:val="00A40984"/>
    <w:rsid w:val="00A40CF3"/>
    <w:rsid w:val="00A4178B"/>
    <w:rsid w:val="00A421A5"/>
    <w:rsid w:val="00A42334"/>
    <w:rsid w:val="00A42384"/>
    <w:rsid w:val="00A428B0"/>
    <w:rsid w:val="00A45121"/>
    <w:rsid w:val="00A456E7"/>
    <w:rsid w:val="00A46024"/>
    <w:rsid w:val="00A46CE2"/>
    <w:rsid w:val="00A5019B"/>
    <w:rsid w:val="00A50352"/>
    <w:rsid w:val="00A509BC"/>
    <w:rsid w:val="00A51B27"/>
    <w:rsid w:val="00A51EAA"/>
    <w:rsid w:val="00A51FA0"/>
    <w:rsid w:val="00A5202F"/>
    <w:rsid w:val="00A52180"/>
    <w:rsid w:val="00A52F21"/>
    <w:rsid w:val="00A5326C"/>
    <w:rsid w:val="00A532DA"/>
    <w:rsid w:val="00A541DE"/>
    <w:rsid w:val="00A54296"/>
    <w:rsid w:val="00A54923"/>
    <w:rsid w:val="00A549D1"/>
    <w:rsid w:val="00A54EBC"/>
    <w:rsid w:val="00A550BE"/>
    <w:rsid w:val="00A558AA"/>
    <w:rsid w:val="00A55CA2"/>
    <w:rsid w:val="00A5622F"/>
    <w:rsid w:val="00A56602"/>
    <w:rsid w:val="00A56BFE"/>
    <w:rsid w:val="00A56FD5"/>
    <w:rsid w:val="00A57833"/>
    <w:rsid w:val="00A57AAB"/>
    <w:rsid w:val="00A57D10"/>
    <w:rsid w:val="00A6016D"/>
    <w:rsid w:val="00A60C49"/>
    <w:rsid w:val="00A60C75"/>
    <w:rsid w:val="00A6161E"/>
    <w:rsid w:val="00A6163E"/>
    <w:rsid w:val="00A62366"/>
    <w:rsid w:val="00A62E24"/>
    <w:rsid w:val="00A636DB"/>
    <w:rsid w:val="00A6411A"/>
    <w:rsid w:val="00A6421E"/>
    <w:rsid w:val="00A644B2"/>
    <w:rsid w:val="00A64826"/>
    <w:rsid w:val="00A65C6C"/>
    <w:rsid w:val="00A668ED"/>
    <w:rsid w:val="00A6693A"/>
    <w:rsid w:val="00A67292"/>
    <w:rsid w:val="00A708BF"/>
    <w:rsid w:val="00A71812"/>
    <w:rsid w:val="00A7190C"/>
    <w:rsid w:val="00A71C1D"/>
    <w:rsid w:val="00A72C5E"/>
    <w:rsid w:val="00A731C8"/>
    <w:rsid w:val="00A73385"/>
    <w:rsid w:val="00A73C30"/>
    <w:rsid w:val="00A73E61"/>
    <w:rsid w:val="00A74D7C"/>
    <w:rsid w:val="00A752F6"/>
    <w:rsid w:val="00A771EE"/>
    <w:rsid w:val="00A80B54"/>
    <w:rsid w:val="00A80D8C"/>
    <w:rsid w:val="00A811B3"/>
    <w:rsid w:val="00A81352"/>
    <w:rsid w:val="00A81946"/>
    <w:rsid w:val="00A81C01"/>
    <w:rsid w:val="00A82216"/>
    <w:rsid w:val="00A82501"/>
    <w:rsid w:val="00A8306B"/>
    <w:rsid w:val="00A8310D"/>
    <w:rsid w:val="00A831AF"/>
    <w:rsid w:val="00A83271"/>
    <w:rsid w:val="00A8477D"/>
    <w:rsid w:val="00A85143"/>
    <w:rsid w:val="00A856AB"/>
    <w:rsid w:val="00A865A4"/>
    <w:rsid w:val="00A86F52"/>
    <w:rsid w:val="00A90051"/>
    <w:rsid w:val="00A90184"/>
    <w:rsid w:val="00A905FA"/>
    <w:rsid w:val="00A90A70"/>
    <w:rsid w:val="00A927D4"/>
    <w:rsid w:val="00A9280C"/>
    <w:rsid w:val="00A9331D"/>
    <w:rsid w:val="00A937EB"/>
    <w:rsid w:val="00A95A55"/>
    <w:rsid w:val="00A95A73"/>
    <w:rsid w:val="00A95DFC"/>
    <w:rsid w:val="00A963B4"/>
    <w:rsid w:val="00A96497"/>
    <w:rsid w:val="00A96C26"/>
    <w:rsid w:val="00A979F5"/>
    <w:rsid w:val="00A97B50"/>
    <w:rsid w:val="00A97C4F"/>
    <w:rsid w:val="00AA0AE5"/>
    <w:rsid w:val="00AA12DF"/>
    <w:rsid w:val="00AA3260"/>
    <w:rsid w:val="00AA44CE"/>
    <w:rsid w:val="00AA51F5"/>
    <w:rsid w:val="00AA52EE"/>
    <w:rsid w:val="00AA5330"/>
    <w:rsid w:val="00AA58E2"/>
    <w:rsid w:val="00AA5AC4"/>
    <w:rsid w:val="00AA6365"/>
    <w:rsid w:val="00AA6CF6"/>
    <w:rsid w:val="00AB0360"/>
    <w:rsid w:val="00AB0B9E"/>
    <w:rsid w:val="00AB0F92"/>
    <w:rsid w:val="00AB1043"/>
    <w:rsid w:val="00AB1490"/>
    <w:rsid w:val="00AB19F7"/>
    <w:rsid w:val="00AB3649"/>
    <w:rsid w:val="00AB652F"/>
    <w:rsid w:val="00AB7591"/>
    <w:rsid w:val="00AB76DF"/>
    <w:rsid w:val="00AB7BB5"/>
    <w:rsid w:val="00AB7C62"/>
    <w:rsid w:val="00AC03A6"/>
    <w:rsid w:val="00AC0698"/>
    <w:rsid w:val="00AC097D"/>
    <w:rsid w:val="00AC0EA9"/>
    <w:rsid w:val="00AC1836"/>
    <w:rsid w:val="00AC192E"/>
    <w:rsid w:val="00AC1AE5"/>
    <w:rsid w:val="00AC2F10"/>
    <w:rsid w:val="00AC2F3A"/>
    <w:rsid w:val="00AC30F1"/>
    <w:rsid w:val="00AC3107"/>
    <w:rsid w:val="00AC31BB"/>
    <w:rsid w:val="00AC4B13"/>
    <w:rsid w:val="00AC4D8B"/>
    <w:rsid w:val="00AC5533"/>
    <w:rsid w:val="00AC57F3"/>
    <w:rsid w:val="00AC62B4"/>
    <w:rsid w:val="00AC63F5"/>
    <w:rsid w:val="00AC6A38"/>
    <w:rsid w:val="00AC75D0"/>
    <w:rsid w:val="00AC7954"/>
    <w:rsid w:val="00AD0807"/>
    <w:rsid w:val="00AD0B96"/>
    <w:rsid w:val="00AD0C98"/>
    <w:rsid w:val="00AD1277"/>
    <w:rsid w:val="00AD138C"/>
    <w:rsid w:val="00AD1B70"/>
    <w:rsid w:val="00AD22BD"/>
    <w:rsid w:val="00AD2C2F"/>
    <w:rsid w:val="00AD3230"/>
    <w:rsid w:val="00AD3B0C"/>
    <w:rsid w:val="00AD44B3"/>
    <w:rsid w:val="00AD4E44"/>
    <w:rsid w:val="00AD5B32"/>
    <w:rsid w:val="00AD6338"/>
    <w:rsid w:val="00AD66C4"/>
    <w:rsid w:val="00AE00E9"/>
    <w:rsid w:val="00AE0295"/>
    <w:rsid w:val="00AE173E"/>
    <w:rsid w:val="00AE3367"/>
    <w:rsid w:val="00AE42BE"/>
    <w:rsid w:val="00AE54AA"/>
    <w:rsid w:val="00AF26E7"/>
    <w:rsid w:val="00AF29FB"/>
    <w:rsid w:val="00AF4027"/>
    <w:rsid w:val="00AF4621"/>
    <w:rsid w:val="00AF51A9"/>
    <w:rsid w:val="00AF5B1C"/>
    <w:rsid w:val="00AF5F5A"/>
    <w:rsid w:val="00AF6669"/>
    <w:rsid w:val="00AF6834"/>
    <w:rsid w:val="00AF6C26"/>
    <w:rsid w:val="00AF71AD"/>
    <w:rsid w:val="00AF7F40"/>
    <w:rsid w:val="00B0070D"/>
    <w:rsid w:val="00B0189B"/>
    <w:rsid w:val="00B02388"/>
    <w:rsid w:val="00B02494"/>
    <w:rsid w:val="00B03795"/>
    <w:rsid w:val="00B046FC"/>
    <w:rsid w:val="00B048F0"/>
    <w:rsid w:val="00B04BB6"/>
    <w:rsid w:val="00B04FA4"/>
    <w:rsid w:val="00B05541"/>
    <w:rsid w:val="00B06311"/>
    <w:rsid w:val="00B0759C"/>
    <w:rsid w:val="00B1123D"/>
    <w:rsid w:val="00B12A80"/>
    <w:rsid w:val="00B1379E"/>
    <w:rsid w:val="00B14B33"/>
    <w:rsid w:val="00B14F9E"/>
    <w:rsid w:val="00B15102"/>
    <w:rsid w:val="00B16464"/>
    <w:rsid w:val="00B16606"/>
    <w:rsid w:val="00B168F4"/>
    <w:rsid w:val="00B171F8"/>
    <w:rsid w:val="00B17519"/>
    <w:rsid w:val="00B20D88"/>
    <w:rsid w:val="00B21886"/>
    <w:rsid w:val="00B236B2"/>
    <w:rsid w:val="00B246C2"/>
    <w:rsid w:val="00B24E9E"/>
    <w:rsid w:val="00B24FF3"/>
    <w:rsid w:val="00B250FA"/>
    <w:rsid w:val="00B25510"/>
    <w:rsid w:val="00B2560A"/>
    <w:rsid w:val="00B2560C"/>
    <w:rsid w:val="00B2597F"/>
    <w:rsid w:val="00B26458"/>
    <w:rsid w:val="00B26B23"/>
    <w:rsid w:val="00B26C02"/>
    <w:rsid w:val="00B26FA3"/>
    <w:rsid w:val="00B30A3A"/>
    <w:rsid w:val="00B31F7B"/>
    <w:rsid w:val="00B32B47"/>
    <w:rsid w:val="00B32E9E"/>
    <w:rsid w:val="00B33936"/>
    <w:rsid w:val="00B34CF7"/>
    <w:rsid w:val="00B34D1B"/>
    <w:rsid w:val="00B35651"/>
    <w:rsid w:val="00B356F9"/>
    <w:rsid w:val="00B361DB"/>
    <w:rsid w:val="00B36206"/>
    <w:rsid w:val="00B37642"/>
    <w:rsid w:val="00B37BAF"/>
    <w:rsid w:val="00B40590"/>
    <w:rsid w:val="00B41565"/>
    <w:rsid w:val="00B41638"/>
    <w:rsid w:val="00B43E12"/>
    <w:rsid w:val="00B44E0C"/>
    <w:rsid w:val="00B453AB"/>
    <w:rsid w:val="00B45F65"/>
    <w:rsid w:val="00B461CC"/>
    <w:rsid w:val="00B463D4"/>
    <w:rsid w:val="00B46DB0"/>
    <w:rsid w:val="00B471F1"/>
    <w:rsid w:val="00B47221"/>
    <w:rsid w:val="00B47A29"/>
    <w:rsid w:val="00B50DE2"/>
    <w:rsid w:val="00B51128"/>
    <w:rsid w:val="00B51959"/>
    <w:rsid w:val="00B51A5B"/>
    <w:rsid w:val="00B52929"/>
    <w:rsid w:val="00B52BDC"/>
    <w:rsid w:val="00B5399B"/>
    <w:rsid w:val="00B5675D"/>
    <w:rsid w:val="00B57E43"/>
    <w:rsid w:val="00B61E4E"/>
    <w:rsid w:val="00B61EDA"/>
    <w:rsid w:val="00B620F3"/>
    <w:rsid w:val="00B6297C"/>
    <w:rsid w:val="00B6319F"/>
    <w:rsid w:val="00B6374E"/>
    <w:rsid w:val="00B64B24"/>
    <w:rsid w:val="00B64CAD"/>
    <w:rsid w:val="00B650BB"/>
    <w:rsid w:val="00B65849"/>
    <w:rsid w:val="00B65AD7"/>
    <w:rsid w:val="00B65BC5"/>
    <w:rsid w:val="00B65E2C"/>
    <w:rsid w:val="00B66DEE"/>
    <w:rsid w:val="00B7012A"/>
    <w:rsid w:val="00B7048A"/>
    <w:rsid w:val="00B70A6A"/>
    <w:rsid w:val="00B73504"/>
    <w:rsid w:val="00B738F0"/>
    <w:rsid w:val="00B73A53"/>
    <w:rsid w:val="00B74305"/>
    <w:rsid w:val="00B74815"/>
    <w:rsid w:val="00B74874"/>
    <w:rsid w:val="00B75469"/>
    <w:rsid w:val="00B755FE"/>
    <w:rsid w:val="00B7618C"/>
    <w:rsid w:val="00B76392"/>
    <w:rsid w:val="00B767ED"/>
    <w:rsid w:val="00B80384"/>
    <w:rsid w:val="00B81245"/>
    <w:rsid w:val="00B817F5"/>
    <w:rsid w:val="00B81C51"/>
    <w:rsid w:val="00B82350"/>
    <w:rsid w:val="00B828DA"/>
    <w:rsid w:val="00B82F58"/>
    <w:rsid w:val="00B834D7"/>
    <w:rsid w:val="00B83709"/>
    <w:rsid w:val="00B83762"/>
    <w:rsid w:val="00B83D90"/>
    <w:rsid w:val="00B848D9"/>
    <w:rsid w:val="00B8496D"/>
    <w:rsid w:val="00B85ECB"/>
    <w:rsid w:val="00B8659C"/>
    <w:rsid w:val="00B86658"/>
    <w:rsid w:val="00B86D86"/>
    <w:rsid w:val="00B8731D"/>
    <w:rsid w:val="00B87D6E"/>
    <w:rsid w:val="00B90911"/>
    <w:rsid w:val="00B90FBA"/>
    <w:rsid w:val="00B9118C"/>
    <w:rsid w:val="00B91388"/>
    <w:rsid w:val="00B9384E"/>
    <w:rsid w:val="00B93A12"/>
    <w:rsid w:val="00B9508F"/>
    <w:rsid w:val="00B969ED"/>
    <w:rsid w:val="00B9717B"/>
    <w:rsid w:val="00B97871"/>
    <w:rsid w:val="00BA015F"/>
    <w:rsid w:val="00BA0A07"/>
    <w:rsid w:val="00BA0D96"/>
    <w:rsid w:val="00BA1360"/>
    <w:rsid w:val="00BA13E6"/>
    <w:rsid w:val="00BA20D2"/>
    <w:rsid w:val="00BA2192"/>
    <w:rsid w:val="00BA33DF"/>
    <w:rsid w:val="00BA416B"/>
    <w:rsid w:val="00BA445B"/>
    <w:rsid w:val="00BA46C2"/>
    <w:rsid w:val="00BA63B4"/>
    <w:rsid w:val="00BA709D"/>
    <w:rsid w:val="00BB0121"/>
    <w:rsid w:val="00BB211F"/>
    <w:rsid w:val="00BB325A"/>
    <w:rsid w:val="00BB326B"/>
    <w:rsid w:val="00BB4378"/>
    <w:rsid w:val="00BB4894"/>
    <w:rsid w:val="00BB532A"/>
    <w:rsid w:val="00BB5DB4"/>
    <w:rsid w:val="00BC218A"/>
    <w:rsid w:val="00BC26A1"/>
    <w:rsid w:val="00BC3917"/>
    <w:rsid w:val="00BC418D"/>
    <w:rsid w:val="00BC463C"/>
    <w:rsid w:val="00BC4A87"/>
    <w:rsid w:val="00BC6A30"/>
    <w:rsid w:val="00BD046D"/>
    <w:rsid w:val="00BD0FC3"/>
    <w:rsid w:val="00BD1023"/>
    <w:rsid w:val="00BD12A1"/>
    <w:rsid w:val="00BD152D"/>
    <w:rsid w:val="00BD20FD"/>
    <w:rsid w:val="00BD24DF"/>
    <w:rsid w:val="00BD2A8B"/>
    <w:rsid w:val="00BD2E05"/>
    <w:rsid w:val="00BD30F7"/>
    <w:rsid w:val="00BD36C0"/>
    <w:rsid w:val="00BD5386"/>
    <w:rsid w:val="00BD54BB"/>
    <w:rsid w:val="00BD6B16"/>
    <w:rsid w:val="00BD6B36"/>
    <w:rsid w:val="00BD6B8B"/>
    <w:rsid w:val="00BD75AC"/>
    <w:rsid w:val="00BD76A7"/>
    <w:rsid w:val="00BD78BF"/>
    <w:rsid w:val="00BE0035"/>
    <w:rsid w:val="00BE0C0C"/>
    <w:rsid w:val="00BE12C7"/>
    <w:rsid w:val="00BE13D4"/>
    <w:rsid w:val="00BE1A39"/>
    <w:rsid w:val="00BE22F8"/>
    <w:rsid w:val="00BE2A33"/>
    <w:rsid w:val="00BE2BE1"/>
    <w:rsid w:val="00BE446B"/>
    <w:rsid w:val="00BE4676"/>
    <w:rsid w:val="00BE58A4"/>
    <w:rsid w:val="00BE5ED5"/>
    <w:rsid w:val="00BE6699"/>
    <w:rsid w:val="00BE6709"/>
    <w:rsid w:val="00BE68C3"/>
    <w:rsid w:val="00BF07BC"/>
    <w:rsid w:val="00BF0F76"/>
    <w:rsid w:val="00BF2BC5"/>
    <w:rsid w:val="00BF2D11"/>
    <w:rsid w:val="00BF3285"/>
    <w:rsid w:val="00BF47B6"/>
    <w:rsid w:val="00BF485D"/>
    <w:rsid w:val="00BF4886"/>
    <w:rsid w:val="00BF5C1D"/>
    <w:rsid w:val="00BF5C2F"/>
    <w:rsid w:val="00BF5E8E"/>
    <w:rsid w:val="00BF743A"/>
    <w:rsid w:val="00BF75E9"/>
    <w:rsid w:val="00BF77C9"/>
    <w:rsid w:val="00BF7CF1"/>
    <w:rsid w:val="00C00242"/>
    <w:rsid w:val="00C00FF1"/>
    <w:rsid w:val="00C035F0"/>
    <w:rsid w:val="00C03C96"/>
    <w:rsid w:val="00C05E11"/>
    <w:rsid w:val="00C06139"/>
    <w:rsid w:val="00C063A2"/>
    <w:rsid w:val="00C06C46"/>
    <w:rsid w:val="00C078B3"/>
    <w:rsid w:val="00C102DE"/>
    <w:rsid w:val="00C10BA1"/>
    <w:rsid w:val="00C10C69"/>
    <w:rsid w:val="00C11BF4"/>
    <w:rsid w:val="00C11DA9"/>
    <w:rsid w:val="00C1271F"/>
    <w:rsid w:val="00C135C7"/>
    <w:rsid w:val="00C13698"/>
    <w:rsid w:val="00C14979"/>
    <w:rsid w:val="00C14D82"/>
    <w:rsid w:val="00C14E03"/>
    <w:rsid w:val="00C1588A"/>
    <w:rsid w:val="00C15CFA"/>
    <w:rsid w:val="00C176FE"/>
    <w:rsid w:val="00C17E22"/>
    <w:rsid w:val="00C2054C"/>
    <w:rsid w:val="00C205AF"/>
    <w:rsid w:val="00C20C00"/>
    <w:rsid w:val="00C211E7"/>
    <w:rsid w:val="00C21468"/>
    <w:rsid w:val="00C214AE"/>
    <w:rsid w:val="00C22052"/>
    <w:rsid w:val="00C229B6"/>
    <w:rsid w:val="00C23B75"/>
    <w:rsid w:val="00C23FDB"/>
    <w:rsid w:val="00C24540"/>
    <w:rsid w:val="00C248F7"/>
    <w:rsid w:val="00C249B7"/>
    <w:rsid w:val="00C24B65"/>
    <w:rsid w:val="00C2564E"/>
    <w:rsid w:val="00C268F6"/>
    <w:rsid w:val="00C26B55"/>
    <w:rsid w:val="00C26D40"/>
    <w:rsid w:val="00C26E2D"/>
    <w:rsid w:val="00C30F2F"/>
    <w:rsid w:val="00C31F19"/>
    <w:rsid w:val="00C31FC4"/>
    <w:rsid w:val="00C32CE9"/>
    <w:rsid w:val="00C34E9D"/>
    <w:rsid w:val="00C35370"/>
    <w:rsid w:val="00C36105"/>
    <w:rsid w:val="00C377E5"/>
    <w:rsid w:val="00C40441"/>
    <w:rsid w:val="00C40F02"/>
    <w:rsid w:val="00C43471"/>
    <w:rsid w:val="00C43C2B"/>
    <w:rsid w:val="00C444DB"/>
    <w:rsid w:val="00C4542F"/>
    <w:rsid w:val="00C46203"/>
    <w:rsid w:val="00C46B5C"/>
    <w:rsid w:val="00C4751A"/>
    <w:rsid w:val="00C476D5"/>
    <w:rsid w:val="00C5038C"/>
    <w:rsid w:val="00C51BC9"/>
    <w:rsid w:val="00C51D54"/>
    <w:rsid w:val="00C51E2B"/>
    <w:rsid w:val="00C52037"/>
    <w:rsid w:val="00C52299"/>
    <w:rsid w:val="00C53904"/>
    <w:rsid w:val="00C53E68"/>
    <w:rsid w:val="00C53EA2"/>
    <w:rsid w:val="00C549CB"/>
    <w:rsid w:val="00C56538"/>
    <w:rsid w:val="00C5657F"/>
    <w:rsid w:val="00C569D1"/>
    <w:rsid w:val="00C5767B"/>
    <w:rsid w:val="00C609B8"/>
    <w:rsid w:val="00C60DDE"/>
    <w:rsid w:val="00C6233E"/>
    <w:rsid w:val="00C649A7"/>
    <w:rsid w:val="00C65741"/>
    <w:rsid w:val="00C66AF7"/>
    <w:rsid w:val="00C6702C"/>
    <w:rsid w:val="00C673C7"/>
    <w:rsid w:val="00C67B47"/>
    <w:rsid w:val="00C67F35"/>
    <w:rsid w:val="00C70998"/>
    <w:rsid w:val="00C70AF7"/>
    <w:rsid w:val="00C71A52"/>
    <w:rsid w:val="00C71D4E"/>
    <w:rsid w:val="00C72110"/>
    <w:rsid w:val="00C750D1"/>
    <w:rsid w:val="00C76557"/>
    <w:rsid w:val="00C7770E"/>
    <w:rsid w:val="00C77A08"/>
    <w:rsid w:val="00C77F49"/>
    <w:rsid w:val="00C80903"/>
    <w:rsid w:val="00C80EA9"/>
    <w:rsid w:val="00C811EC"/>
    <w:rsid w:val="00C81A40"/>
    <w:rsid w:val="00C81C20"/>
    <w:rsid w:val="00C8258B"/>
    <w:rsid w:val="00C84276"/>
    <w:rsid w:val="00C856D5"/>
    <w:rsid w:val="00C85D39"/>
    <w:rsid w:val="00C86DE9"/>
    <w:rsid w:val="00C87107"/>
    <w:rsid w:val="00C876EE"/>
    <w:rsid w:val="00C876FB"/>
    <w:rsid w:val="00C90C54"/>
    <w:rsid w:val="00C9255A"/>
    <w:rsid w:val="00C93690"/>
    <w:rsid w:val="00C947AA"/>
    <w:rsid w:val="00C95AFE"/>
    <w:rsid w:val="00C96C40"/>
    <w:rsid w:val="00C975DF"/>
    <w:rsid w:val="00C97829"/>
    <w:rsid w:val="00CA084E"/>
    <w:rsid w:val="00CA1546"/>
    <w:rsid w:val="00CA17B7"/>
    <w:rsid w:val="00CA18BF"/>
    <w:rsid w:val="00CA1BDA"/>
    <w:rsid w:val="00CA1D9F"/>
    <w:rsid w:val="00CA2A34"/>
    <w:rsid w:val="00CA323A"/>
    <w:rsid w:val="00CA3A99"/>
    <w:rsid w:val="00CA49E3"/>
    <w:rsid w:val="00CA5F74"/>
    <w:rsid w:val="00CA64B1"/>
    <w:rsid w:val="00CA72B4"/>
    <w:rsid w:val="00CA737C"/>
    <w:rsid w:val="00CB016B"/>
    <w:rsid w:val="00CB07E3"/>
    <w:rsid w:val="00CB0ECD"/>
    <w:rsid w:val="00CB13BA"/>
    <w:rsid w:val="00CB1AEC"/>
    <w:rsid w:val="00CB2395"/>
    <w:rsid w:val="00CB2E92"/>
    <w:rsid w:val="00CB35D8"/>
    <w:rsid w:val="00CB3693"/>
    <w:rsid w:val="00CB4CF8"/>
    <w:rsid w:val="00CB51B2"/>
    <w:rsid w:val="00CB6A34"/>
    <w:rsid w:val="00CB791B"/>
    <w:rsid w:val="00CB7A9A"/>
    <w:rsid w:val="00CB7E6B"/>
    <w:rsid w:val="00CB7E94"/>
    <w:rsid w:val="00CC01CA"/>
    <w:rsid w:val="00CC059F"/>
    <w:rsid w:val="00CC0B37"/>
    <w:rsid w:val="00CC2557"/>
    <w:rsid w:val="00CC2C22"/>
    <w:rsid w:val="00CC399A"/>
    <w:rsid w:val="00CC3FC6"/>
    <w:rsid w:val="00CC556F"/>
    <w:rsid w:val="00CC5B86"/>
    <w:rsid w:val="00CC6043"/>
    <w:rsid w:val="00CC6544"/>
    <w:rsid w:val="00CC70AA"/>
    <w:rsid w:val="00CD01A7"/>
    <w:rsid w:val="00CD070B"/>
    <w:rsid w:val="00CD087A"/>
    <w:rsid w:val="00CD155F"/>
    <w:rsid w:val="00CD1800"/>
    <w:rsid w:val="00CD4376"/>
    <w:rsid w:val="00CD4835"/>
    <w:rsid w:val="00CD487C"/>
    <w:rsid w:val="00CD5190"/>
    <w:rsid w:val="00CD6AC6"/>
    <w:rsid w:val="00CD6B14"/>
    <w:rsid w:val="00CD777A"/>
    <w:rsid w:val="00CE0782"/>
    <w:rsid w:val="00CE0CB7"/>
    <w:rsid w:val="00CE0D88"/>
    <w:rsid w:val="00CE1728"/>
    <w:rsid w:val="00CE1932"/>
    <w:rsid w:val="00CE2026"/>
    <w:rsid w:val="00CE2188"/>
    <w:rsid w:val="00CE2BBF"/>
    <w:rsid w:val="00CE4533"/>
    <w:rsid w:val="00CE55F3"/>
    <w:rsid w:val="00CE5DD4"/>
    <w:rsid w:val="00CE6575"/>
    <w:rsid w:val="00CE7FC6"/>
    <w:rsid w:val="00CE7FEB"/>
    <w:rsid w:val="00CF03D9"/>
    <w:rsid w:val="00CF0A99"/>
    <w:rsid w:val="00CF28C6"/>
    <w:rsid w:val="00CF50DB"/>
    <w:rsid w:val="00CF5D1D"/>
    <w:rsid w:val="00CF62B2"/>
    <w:rsid w:val="00CF6707"/>
    <w:rsid w:val="00CF675A"/>
    <w:rsid w:val="00CF6A3A"/>
    <w:rsid w:val="00CF7498"/>
    <w:rsid w:val="00D00C73"/>
    <w:rsid w:val="00D01269"/>
    <w:rsid w:val="00D02B61"/>
    <w:rsid w:val="00D03821"/>
    <w:rsid w:val="00D04281"/>
    <w:rsid w:val="00D04848"/>
    <w:rsid w:val="00D05652"/>
    <w:rsid w:val="00D05C76"/>
    <w:rsid w:val="00D06B90"/>
    <w:rsid w:val="00D06EFF"/>
    <w:rsid w:val="00D070FD"/>
    <w:rsid w:val="00D07F36"/>
    <w:rsid w:val="00D10A07"/>
    <w:rsid w:val="00D10F41"/>
    <w:rsid w:val="00D119D8"/>
    <w:rsid w:val="00D11ACC"/>
    <w:rsid w:val="00D1216E"/>
    <w:rsid w:val="00D124DE"/>
    <w:rsid w:val="00D13408"/>
    <w:rsid w:val="00D13A2F"/>
    <w:rsid w:val="00D13CCB"/>
    <w:rsid w:val="00D14F26"/>
    <w:rsid w:val="00D15803"/>
    <w:rsid w:val="00D164C4"/>
    <w:rsid w:val="00D16554"/>
    <w:rsid w:val="00D1698F"/>
    <w:rsid w:val="00D17E2F"/>
    <w:rsid w:val="00D17F40"/>
    <w:rsid w:val="00D20889"/>
    <w:rsid w:val="00D20C60"/>
    <w:rsid w:val="00D21384"/>
    <w:rsid w:val="00D217FC"/>
    <w:rsid w:val="00D224F8"/>
    <w:rsid w:val="00D22A5B"/>
    <w:rsid w:val="00D22E76"/>
    <w:rsid w:val="00D2412E"/>
    <w:rsid w:val="00D243CF"/>
    <w:rsid w:val="00D24829"/>
    <w:rsid w:val="00D24EA7"/>
    <w:rsid w:val="00D24F88"/>
    <w:rsid w:val="00D250AB"/>
    <w:rsid w:val="00D26838"/>
    <w:rsid w:val="00D30316"/>
    <w:rsid w:val="00D304E9"/>
    <w:rsid w:val="00D30ADD"/>
    <w:rsid w:val="00D339EA"/>
    <w:rsid w:val="00D33A59"/>
    <w:rsid w:val="00D34417"/>
    <w:rsid w:val="00D34798"/>
    <w:rsid w:val="00D34C03"/>
    <w:rsid w:val="00D34EE6"/>
    <w:rsid w:val="00D3606D"/>
    <w:rsid w:val="00D36146"/>
    <w:rsid w:val="00D36487"/>
    <w:rsid w:val="00D37B45"/>
    <w:rsid w:val="00D40885"/>
    <w:rsid w:val="00D40960"/>
    <w:rsid w:val="00D40AA6"/>
    <w:rsid w:val="00D40E3B"/>
    <w:rsid w:val="00D415BF"/>
    <w:rsid w:val="00D415EF"/>
    <w:rsid w:val="00D41686"/>
    <w:rsid w:val="00D41BBD"/>
    <w:rsid w:val="00D42F56"/>
    <w:rsid w:val="00D437BF"/>
    <w:rsid w:val="00D447E1"/>
    <w:rsid w:val="00D44D03"/>
    <w:rsid w:val="00D44FD2"/>
    <w:rsid w:val="00D4503A"/>
    <w:rsid w:val="00D450F5"/>
    <w:rsid w:val="00D45292"/>
    <w:rsid w:val="00D45400"/>
    <w:rsid w:val="00D455BB"/>
    <w:rsid w:val="00D45975"/>
    <w:rsid w:val="00D45E64"/>
    <w:rsid w:val="00D4619A"/>
    <w:rsid w:val="00D47E16"/>
    <w:rsid w:val="00D47FB5"/>
    <w:rsid w:val="00D501B2"/>
    <w:rsid w:val="00D5028D"/>
    <w:rsid w:val="00D506EA"/>
    <w:rsid w:val="00D51DB6"/>
    <w:rsid w:val="00D525BC"/>
    <w:rsid w:val="00D52877"/>
    <w:rsid w:val="00D53A2D"/>
    <w:rsid w:val="00D53A95"/>
    <w:rsid w:val="00D553B6"/>
    <w:rsid w:val="00D560D8"/>
    <w:rsid w:val="00D56855"/>
    <w:rsid w:val="00D57E85"/>
    <w:rsid w:val="00D60073"/>
    <w:rsid w:val="00D60F96"/>
    <w:rsid w:val="00D611BA"/>
    <w:rsid w:val="00D61422"/>
    <w:rsid w:val="00D6218E"/>
    <w:rsid w:val="00D62997"/>
    <w:rsid w:val="00D65251"/>
    <w:rsid w:val="00D65DBF"/>
    <w:rsid w:val="00D6608E"/>
    <w:rsid w:val="00D66546"/>
    <w:rsid w:val="00D66A33"/>
    <w:rsid w:val="00D673A4"/>
    <w:rsid w:val="00D67734"/>
    <w:rsid w:val="00D7014F"/>
    <w:rsid w:val="00D707AE"/>
    <w:rsid w:val="00D70948"/>
    <w:rsid w:val="00D70AF8"/>
    <w:rsid w:val="00D72F8F"/>
    <w:rsid w:val="00D7307A"/>
    <w:rsid w:val="00D740F5"/>
    <w:rsid w:val="00D74465"/>
    <w:rsid w:val="00D74C0D"/>
    <w:rsid w:val="00D75C9C"/>
    <w:rsid w:val="00D76015"/>
    <w:rsid w:val="00D762F7"/>
    <w:rsid w:val="00D765BE"/>
    <w:rsid w:val="00D8044A"/>
    <w:rsid w:val="00D805BD"/>
    <w:rsid w:val="00D81669"/>
    <w:rsid w:val="00D8168C"/>
    <w:rsid w:val="00D818F2"/>
    <w:rsid w:val="00D81FDF"/>
    <w:rsid w:val="00D82041"/>
    <w:rsid w:val="00D820B7"/>
    <w:rsid w:val="00D82ABF"/>
    <w:rsid w:val="00D8320D"/>
    <w:rsid w:val="00D84972"/>
    <w:rsid w:val="00D8546F"/>
    <w:rsid w:val="00D856E6"/>
    <w:rsid w:val="00D863A8"/>
    <w:rsid w:val="00D879C1"/>
    <w:rsid w:val="00D87D62"/>
    <w:rsid w:val="00D900C4"/>
    <w:rsid w:val="00D90D68"/>
    <w:rsid w:val="00D90FDC"/>
    <w:rsid w:val="00D91DBC"/>
    <w:rsid w:val="00D92477"/>
    <w:rsid w:val="00D936EA"/>
    <w:rsid w:val="00D93A64"/>
    <w:rsid w:val="00D94A3D"/>
    <w:rsid w:val="00D950FD"/>
    <w:rsid w:val="00D95792"/>
    <w:rsid w:val="00D95FE9"/>
    <w:rsid w:val="00D9658A"/>
    <w:rsid w:val="00D96713"/>
    <w:rsid w:val="00D968F4"/>
    <w:rsid w:val="00D96959"/>
    <w:rsid w:val="00D9726E"/>
    <w:rsid w:val="00DA0AAD"/>
    <w:rsid w:val="00DA0C2E"/>
    <w:rsid w:val="00DA19FE"/>
    <w:rsid w:val="00DA28E5"/>
    <w:rsid w:val="00DA321D"/>
    <w:rsid w:val="00DA459E"/>
    <w:rsid w:val="00DA4A94"/>
    <w:rsid w:val="00DA5245"/>
    <w:rsid w:val="00DA5E12"/>
    <w:rsid w:val="00DA65C1"/>
    <w:rsid w:val="00DA737C"/>
    <w:rsid w:val="00DB0BFD"/>
    <w:rsid w:val="00DB0E58"/>
    <w:rsid w:val="00DB0E85"/>
    <w:rsid w:val="00DB0F53"/>
    <w:rsid w:val="00DB3354"/>
    <w:rsid w:val="00DB3CEF"/>
    <w:rsid w:val="00DB406F"/>
    <w:rsid w:val="00DB4C2E"/>
    <w:rsid w:val="00DB539F"/>
    <w:rsid w:val="00DB5403"/>
    <w:rsid w:val="00DB55F6"/>
    <w:rsid w:val="00DB6401"/>
    <w:rsid w:val="00DB71C6"/>
    <w:rsid w:val="00DB78CA"/>
    <w:rsid w:val="00DB7E9D"/>
    <w:rsid w:val="00DC089A"/>
    <w:rsid w:val="00DC09C3"/>
    <w:rsid w:val="00DC2040"/>
    <w:rsid w:val="00DC246F"/>
    <w:rsid w:val="00DC2D48"/>
    <w:rsid w:val="00DC3104"/>
    <w:rsid w:val="00DC369E"/>
    <w:rsid w:val="00DC403F"/>
    <w:rsid w:val="00DC4960"/>
    <w:rsid w:val="00DC575C"/>
    <w:rsid w:val="00DC5981"/>
    <w:rsid w:val="00DC6C1D"/>
    <w:rsid w:val="00DC703A"/>
    <w:rsid w:val="00DC756D"/>
    <w:rsid w:val="00DC7935"/>
    <w:rsid w:val="00DC7DE8"/>
    <w:rsid w:val="00DC7EB7"/>
    <w:rsid w:val="00DC7F6C"/>
    <w:rsid w:val="00DD29A5"/>
    <w:rsid w:val="00DD2F8F"/>
    <w:rsid w:val="00DD347A"/>
    <w:rsid w:val="00DD377E"/>
    <w:rsid w:val="00DD3821"/>
    <w:rsid w:val="00DD3B74"/>
    <w:rsid w:val="00DD3C0D"/>
    <w:rsid w:val="00DD3DFA"/>
    <w:rsid w:val="00DD5012"/>
    <w:rsid w:val="00DD5D97"/>
    <w:rsid w:val="00DD6E57"/>
    <w:rsid w:val="00DD79DE"/>
    <w:rsid w:val="00DE15E7"/>
    <w:rsid w:val="00DE1CEF"/>
    <w:rsid w:val="00DE1EBB"/>
    <w:rsid w:val="00DE262D"/>
    <w:rsid w:val="00DE2AAE"/>
    <w:rsid w:val="00DE3272"/>
    <w:rsid w:val="00DE4526"/>
    <w:rsid w:val="00DE5B0C"/>
    <w:rsid w:val="00DE5E6A"/>
    <w:rsid w:val="00DE73CC"/>
    <w:rsid w:val="00DE7775"/>
    <w:rsid w:val="00DE78EB"/>
    <w:rsid w:val="00DE7A44"/>
    <w:rsid w:val="00DE7A64"/>
    <w:rsid w:val="00DE7B9C"/>
    <w:rsid w:val="00DF0300"/>
    <w:rsid w:val="00DF0F88"/>
    <w:rsid w:val="00DF1413"/>
    <w:rsid w:val="00DF14BE"/>
    <w:rsid w:val="00DF1FBA"/>
    <w:rsid w:val="00DF23BA"/>
    <w:rsid w:val="00DF2BCF"/>
    <w:rsid w:val="00DF2C37"/>
    <w:rsid w:val="00DF3657"/>
    <w:rsid w:val="00DF3BF7"/>
    <w:rsid w:val="00DF3EA3"/>
    <w:rsid w:val="00DF42F9"/>
    <w:rsid w:val="00DF5704"/>
    <w:rsid w:val="00DF5F14"/>
    <w:rsid w:val="00DF6473"/>
    <w:rsid w:val="00DF66F3"/>
    <w:rsid w:val="00DF6C92"/>
    <w:rsid w:val="00DF71D3"/>
    <w:rsid w:val="00DF74DE"/>
    <w:rsid w:val="00E020D3"/>
    <w:rsid w:val="00E02CC3"/>
    <w:rsid w:val="00E04B47"/>
    <w:rsid w:val="00E051F0"/>
    <w:rsid w:val="00E06DA1"/>
    <w:rsid w:val="00E07A4A"/>
    <w:rsid w:val="00E07BF9"/>
    <w:rsid w:val="00E1047A"/>
    <w:rsid w:val="00E1104D"/>
    <w:rsid w:val="00E12877"/>
    <w:rsid w:val="00E12F83"/>
    <w:rsid w:val="00E17239"/>
    <w:rsid w:val="00E22C9B"/>
    <w:rsid w:val="00E2462D"/>
    <w:rsid w:val="00E24844"/>
    <w:rsid w:val="00E24EAF"/>
    <w:rsid w:val="00E24FBA"/>
    <w:rsid w:val="00E253D1"/>
    <w:rsid w:val="00E26D29"/>
    <w:rsid w:val="00E26F46"/>
    <w:rsid w:val="00E27A71"/>
    <w:rsid w:val="00E3013B"/>
    <w:rsid w:val="00E3128C"/>
    <w:rsid w:val="00E3204C"/>
    <w:rsid w:val="00E33545"/>
    <w:rsid w:val="00E33686"/>
    <w:rsid w:val="00E34494"/>
    <w:rsid w:val="00E35064"/>
    <w:rsid w:val="00E35A20"/>
    <w:rsid w:val="00E36AB2"/>
    <w:rsid w:val="00E372D4"/>
    <w:rsid w:val="00E376A2"/>
    <w:rsid w:val="00E37BA2"/>
    <w:rsid w:val="00E406E4"/>
    <w:rsid w:val="00E40993"/>
    <w:rsid w:val="00E42CFD"/>
    <w:rsid w:val="00E42EBA"/>
    <w:rsid w:val="00E4305F"/>
    <w:rsid w:val="00E4332E"/>
    <w:rsid w:val="00E43E46"/>
    <w:rsid w:val="00E43FEF"/>
    <w:rsid w:val="00E443BD"/>
    <w:rsid w:val="00E46055"/>
    <w:rsid w:val="00E460DB"/>
    <w:rsid w:val="00E4675C"/>
    <w:rsid w:val="00E5260F"/>
    <w:rsid w:val="00E52A04"/>
    <w:rsid w:val="00E52C5B"/>
    <w:rsid w:val="00E52F5D"/>
    <w:rsid w:val="00E537AF"/>
    <w:rsid w:val="00E53C26"/>
    <w:rsid w:val="00E54838"/>
    <w:rsid w:val="00E54889"/>
    <w:rsid w:val="00E55270"/>
    <w:rsid w:val="00E55417"/>
    <w:rsid w:val="00E55806"/>
    <w:rsid w:val="00E55AAC"/>
    <w:rsid w:val="00E55B39"/>
    <w:rsid w:val="00E55C41"/>
    <w:rsid w:val="00E57C83"/>
    <w:rsid w:val="00E600BD"/>
    <w:rsid w:val="00E60142"/>
    <w:rsid w:val="00E63193"/>
    <w:rsid w:val="00E632A1"/>
    <w:rsid w:val="00E63690"/>
    <w:rsid w:val="00E641BF"/>
    <w:rsid w:val="00E65D9C"/>
    <w:rsid w:val="00E6684E"/>
    <w:rsid w:val="00E670C4"/>
    <w:rsid w:val="00E67BCA"/>
    <w:rsid w:val="00E67C32"/>
    <w:rsid w:val="00E70CCC"/>
    <w:rsid w:val="00E7151E"/>
    <w:rsid w:val="00E716DF"/>
    <w:rsid w:val="00E71BC6"/>
    <w:rsid w:val="00E7207A"/>
    <w:rsid w:val="00E721F2"/>
    <w:rsid w:val="00E736BC"/>
    <w:rsid w:val="00E73702"/>
    <w:rsid w:val="00E74C0D"/>
    <w:rsid w:val="00E74E3B"/>
    <w:rsid w:val="00E74ECD"/>
    <w:rsid w:val="00E753D0"/>
    <w:rsid w:val="00E7551D"/>
    <w:rsid w:val="00E76DAA"/>
    <w:rsid w:val="00E7784E"/>
    <w:rsid w:val="00E778AB"/>
    <w:rsid w:val="00E80CB8"/>
    <w:rsid w:val="00E8149F"/>
    <w:rsid w:val="00E81C6D"/>
    <w:rsid w:val="00E82827"/>
    <w:rsid w:val="00E829C2"/>
    <w:rsid w:val="00E846D8"/>
    <w:rsid w:val="00E84AA6"/>
    <w:rsid w:val="00E84C1B"/>
    <w:rsid w:val="00E8501D"/>
    <w:rsid w:val="00E86139"/>
    <w:rsid w:val="00E862EF"/>
    <w:rsid w:val="00E867B2"/>
    <w:rsid w:val="00E87C07"/>
    <w:rsid w:val="00E87CEB"/>
    <w:rsid w:val="00E90505"/>
    <w:rsid w:val="00E90716"/>
    <w:rsid w:val="00E915CF"/>
    <w:rsid w:val="00E9200A"/>
    <w:rsid w:val="00E92BC7"/>
    <w:rsid w:val="00E94544"/>
    <w:rsid w:val="00E94A50"/>
    <w:rsid w:val="00E94EF4"/>
    <w:rsid w:val="00E95B80"/>
    <w:rsid w:val="00E9616F"/>
    <w:rsid w:val="00E96D9F"/>
    <w:rsid w:val="00E970D7"/>
    <w:rsid w:val="00EA35AB"/>
    <w:rsid w:val="00EA5591"/>
    <w:rsid w:val="00EA5EDC"/>
    <w:rsid w:val="00EA6246"/>
    <w:rsid w:val="00EA6C57"/>
    <w:rsid w:val="00EA7DA4"/>
    <w:rsid w:val="00EB1B9B"/>
    <w:rsid w:val="00EB223A"/>
    <w:rsid w:val="00EB2BC5"/>
    <w:rsid w:val="00EB3AD3"/>
    <w:rsid w:val="00EB3E0D"/>
    <w:rsid w:val="00EB5A50"/>
    <w:rsid w:val="00EB5E8C"/>
    <w:rsid w:val="00EB60AD"/>
    <w:rsid w:val="00EB6943"/>
    <w:rsid w:val="00EB6CBE"/>
    <w:rsid w:val="00EB7230"/>
    <w:rsid w:val="00EC108C"/>
    <w:rsid w:val="00EC134B"/>
    <w:rsid w:val="00EC1489"/>
    <w:rsid w:val="00EC19EE"/>
    <w:rsid w:val="00EC2F13"/>
    <w:rsid w:val="00EC48DB"/>
    <w:rsid w:val="00EC4FC9"/>
    <w:rsid w:val="00EC59B1"/>
    <w:rsid w:val="00EC61CA"/>
    <w:rsid w:val="00EC63AC"/>
    <w:rsid w:val="00EC67F2"/>
    <w:rsid w:val="00EC6829"/>
    <w:rsid w:val="00EC68EA"/>
    <w:rsid w:val="00EC69F2"/>
    <w:rsid w:val="00EC759A"/>
    <w:rsid w:val="00EC780D"/>
    <w:rsid w:val="00EC7A12"/>
    <w:rsid w:val="00EC7FE7"/>
    <w:rsid w:val="00ED059A"/>
    <w:rsid w:val="00ED07BD"/>
    <w:rsid w:val="00ED07D6"/>
    <w:rsid w:val="00ED1C6B"/>
    <w:rsid w:val="00ED3930"/>
    <w:rsid w:val="00ED4150"/>
    <w:rsid w:val="00ED4A3F"/>
    <w:rsid w:val="00ED53C0"/>
    <w:rsid w:val="00ED5E59"/>
    <w:rsid w:val="00ED5E84"/>
    <w:rsid w:val="00ED5F36"/>
    <w:rsid w:val="00ED5FC0"/>
    <w:rsid w:val="00ED636D"/>
    <w:rsid w:val="00ED6930"/>
    <w:rsid w:val="00ED71A1"/>
    <w:rsid w:val="00ED7630"/>
    <w:rsid w:val="00EE03A3"/>
    <w:rsid w:val="00EE104C"/>
    <w:rsid w:val="00EE1A6D"/>
    <w:rsid w:val="00EE2B21"/>
    <w:rsid w:val="00EE2BA4"/>
    <w:rsid w:val="00EE2E1D"/>
    <w:rsid w:val="00EE323F"/>
    <w:rsid w:val="00EE342A"/>
    <w:rsid w:val="00EE35F0"/>
    <w:rsid w:val="00EE39A1"/>
    <w:rsid w:val="00EE3D6A"/>
    <w:rsid w:val="00EE6520"/>
    <w:rsid w:val="00EF23B4"/>
    <w:rsid w:val="00EF2ADD"/>
    <w:rsid w:val="00EF2B31"/>
    <w:rsid w:val="00EF41E0"/>
    <w:rsid w:val="00EF45C6"/>
    <w:rsid w:val="00EF5361"/>
    <w:rsid w:val="00EF5BA5"/>
    <w:rsid w:val="00EF6FA3"/>
    <w:rsid w:val="00EF782B"/>
    <w:rsid w:val="00F0061E"/>
    <w:rsid w:val="00F00C70"/>
    <w:rsid w:val="00F0129F"/>
    <w:rsid w:val="00F012F1"/>
    <w:rsid w:val="00F01A3D"/>
    <w:rsid w:val="00F02D4B"/>
    <w:rsid w:val="00F030A9"/>
    <w:rsid w:val="00F0322E"/>
    <w:rsid w:val="00F037C7"/>
    <w:rsid w:val="00F03B37"/>
    <w:rsid w:val="00F03CA2"/>
    <w:rsid w:val="00F0599B"/>
    <w:rsid w:val="00F063CB"/>
    <w:rsid w:val="00F06415"/>
    <w:rsid w:val="00F06D00"/>
    <w:rsid w:val="00F070CE"/>
    <w:rsid w:val="00F07424"/>
    <w:rsid w:val="00F0795F"/>
    <w:rsid w:val="00F07B38"/>
    <w:rsid w:val="00F106FD"/>
    <w:rsid w:val="00F11E72"/>
    <w:rsid w:val="00F1215D"/>
    <w:rsid w:val="00F122A4"/>
    <w:rsid w:val="00F12389"/>
    <w:rsid w:val="00F12CB8"/>
    <w:rsid w:val="00F13A76"/>
    <w:rsid w:val="00F13B4D"/>
    <w:rsid w:val="00F13D2C"/>
    <w:rsid w:val="00F14141"/>
    <w:rsid w:val="00F14DAD"/>
    <w:rsid w:val="00F159D5"/>
    <w:rsid w:val="00F15C43"/>
    <w:rsid w:val="00F15FBD"/>
    <w:rsid w:val="00F1646F"/>
    <w:rsid w:val="00F16C1C"/>
    <w:rsid w:val="00F16D24"/>
    <w:rsid w:val="00F16E6F"/>
    <w:rsid w:val="00F16F6C"/>
    <w:rsid w:val="00F1710F"/>
    <w:rsid w:val="00F17BE6"/>
    <w:rsid w:val="00F20E58"/>
    <w:rsid w:val="00F227B7"/>
    <w:rsid w:val="00F233E9"/>
    <w:rsid w:val="00F23618"/>
    <w:rsid w:val="00F24228"/>
    <w:rsid w:val="00F24378"/>
    <w:rsid w:val="00F243E0"/>
    <w:rsid w:val="00F2504F"/>
    <w:rsid w:val="00F253D2"/>
    <w:rsid w:val="00F258CD"/>
    <w:rsid w:val="00F25C5A"/>
    <w:rsid w:val="00F27D47"/>
    <w:rsid w:val="00F27F77"/>
    <w:rsid w:val="00F30274"/>
    <w:rsid w:val="00F3041D"/>
    <w:rsid w:val="00F32D68"/>
    <w:rsid w:val="00F338F5"/>
    <w:rsid w:val="00F33964"/>
    <w:rsid w:val="00F33F27"/>
    <w:rsid w:val="00F35564"/>
    <w:rsid w:val="00F361F2"/>
    <w:rsid w:val="00F36C3A"/>
    <w:rsid w:val="00F370CA"/>
    <w:rsid w:val="00F37959"/>
    <w:rsid w:val="00F404E6"/>
    <w:rsid w:val="00F419BE"/>
    <w:rsid w:val="00F426C6"/>
    <w:rsid w:val="00F42757"/>
    <w:rsid w:val="00F42BB1"/>
    <w:rsid w:val="00F43243"/>
    <w:rsid w:val="00F435C7"/>
    <w:rsid w:val="00F443CC"/>
    <w:rsid w:val="00F4472A"/>
    <w:rsid w:val="00F44AF9"/>
    <w:rsid w:val="00F46024"/>
    <w:rsid w:val="00F466F9"/>
    <w:rsid w:val="00F4696A"/>
    <w:rsid w:val="00F50246"/>
    <w:rsid w:val="00F50582"/>
    <w:rsid w:val="00F50612"/>
    <w:rsid w:val="00F51550"/>
    <w:rsid w:val="00F525CD"/>
    <w:rsid w:val="00F5332A"/>
    <w:rsid w:val="00F54C50"/>
    <w:rsid w:val="00F561FF"/>
    <w:rsid w:val="00F56413"/>
    <w:rsid w:val="00F56A42"/>
    <w:rsid w:val="00F57B8D"/>
    <w:rsid w:val="00F60C32"/>
    <w:rsid w:val="00F6128B"/>
    <w:rsid w:val="00F62517"/>
    <w:rsid w:val="00F6284C"/>
    <w:rsid w:val="00F63AE6"/>
    <w:rsid w:val="00F64007"/>
    <w:rsid w:val="00F6424A"/>
    <w:rsid w:val="00F64E51"/>
    <w:rsid w:val="00F64FD3"/>
    <w:rsid w:val="00F655E2"/>
    <w:rsid w:val="00F66739"/>
    <w:rsid w:val="00F66ED3"/>
    <w:rsid w:val="00F6720E"/>
    <w:rsid w:val="00F67B2F"/>
    <w:rsid w:val="00F67BCD"/>
    <w:rsid w:val="00F67E57"/>
    <w:rsid w:val="00F67ED4"/>
    <w:rsid w:val="00F700DB"/>
    <w:rsid w:val="00F706DE"/>
    <w:rsid w:val="00F70785"/>
    <w:rsid w:val="00F71241"/>
    <w:rsid w:val="00F717EA"/>
    <w:rsid w:val="00F7193D"/>
    <w:rsid w:val="00F71BD3"/>
    <w:rsid w:val="00F72AE8"/>
    <w:rsid w:val="00F72D8C"/>
    <w:rsid w:val="00F73CA5"/>
    <w:rsid w:val="00F75CF3"/>
    <w:rsid w:val="00F76640"/>
    <w:rsid w:val="00F7732B"/>
    <w:rsid w:val="00F77637"/>
    <w:rsid w:val="00F77869"/>
    <w:rsid w:val="00F801A1"/>
    <w:rsid w:val="00F8043F"/>
    <w:rsid w:val="00F81A50"/>
    <w:rsid w:val="00F82F90"/>
    <w:rsid w:val="00F8316A"/>
    <w:rsid w:val="00F83FCE"/>
    <w:rsid w:val="00F840C6"/>
    <w:rsid w:val="00F84B6A"/>
    <w:rsid w:val="00F84BC9"/>
    <w:rsid w:val="00F866E1"/>
    <w:rsid w:val="00F87324"/>
    <w:rsid w:val="00F87431"/>
    <w:rsid w:val="00F878F1"/>
    <w:rsid w:val="00F87BB8"/>
    <w:rsid w:val="00F87EF0"/>
    <w:rsid w:val="00F906BA"/>
    <w:rsid w:val="00F90BD2"/>
    <w:rsid w:val="00F93907"/>
    <w:rsid w:val="00F94D11"/>
    <w:rsid w:val="00F96ABD"/>
    <w:rsid w:val="00F97593"/>
    <w:rsid w:val="00F97A9A"/>
    <w:rsid w:val="00FA0044"/>
    <w:rsid w:val="00FA2B8A"/>
    <w:rsid w:val="00FA2E10"/>
    <w:rsid w:val="00FA413B"/>
    <w:rsid w:val="00FA4388"/>
    <w:rsid w:val="00FA43DF"/>
    <w:rsid w:val="00FA4BE7"/>
    <w:rsid w:val="00FA5738"/>
    <w:rsid w:val="00FA65D6"/>
    <w:rsid w:val="00FA667C"/>
    <w:rsid w:val="00FA73CA"/>
    <w:rsid w:val="00FB0166"/>
    <w:rsid w:val="00FB0794"/>
    <w:rsid w:val="00FB1FEF"/>
    <w:rsid w:val="00FB2790"/>
    <w:rsid w:val="00FB3F72"/>
    <w:rsid w:val="00FB417F"/>
    <w:rsid w:val="00FB41A9"/>
    <w:rsid w:val="00FB4203"/>
    <w:rsid w:val="00FB44DD"/>
    <w:rsid w:val="00FB47D0"/>
    <w:rsid w:val="00FB4B12"/>
    <w:rsid w:val="00FB6544"/>
    <w:rsid w:val="00FB7812"/>
    <w:rsid w:val="00FB7A6C"/>
    <w:rsid w:val="00FC0131"/>
    <w:rsid w:val="00FC0B52"/>
    <w:rsid w:val="00FC0E7B"/>
    <w:rsid w:val="00FC1601"/>
    <w:rsid w:val="00FC16ED"/>
    <w:rsid w:val="00FC201B"/>
    <w:rsid w:val="00FC330D"/>
    <w:rsid w:val="00FC586B"/>
    <w:rsid w:val="00FC699B"/>
    <w:rsid w:val="00FC7D8E"/>
    <w:rsid w:val="00FC7DDE"/>
    <w:rsid w:val="00FD03DF"/>
    <w:rsid w:val="00FD0DEE"/>
    <w:rsid w:val="00FD2B0E"/>
    <w:rsid w:val="00FD2C9C"/>
    <w:rsid w:val="00FD3625"/>
    <w:rsid w:val="00FD4026"/>
    <w:rsid w:val="00FD5EF1"/>
    <w:rsid w:val="00FD64C2"/>
    <w:rsid w:val="00FD7441"/>
    <w:rsid w:val="00FD74E4"/>
    <w:rsid w:val="00FD7670"/>
    <w:rsid w:val="00FD7DE4"/>
    <w:rsid w:val="00FD7E59"/>
    <w:rsid w:val="00FE0AB6"/>
    <w:rsid w:val="00FE1971"/>
    <w:rsid w:val="00FE2E33"/>
    <w:rsid w:val="00FE3534"/>
    <w:rsid w:val="00FE370F"/>
    <w:rsid w:val="00FE43BD"/>
    <w:rsid w:val="00FE55BF"/>
    <w:rsid w:val="00FE5A64"/>
    <w:rsid w:val="00FE70C7"/>
    <w:rsid w:val="00FE7A6F"/>
    <w:rsid w:val="00FF0068"/>
    <w:rsid w:val="00FF0A97"/>
    <w:rsid w:val="00FF134D"/>
    <w:rsid w:val="00FF1BBF"/>
    <w:rsid w:val="00FF1EA6"/>
    <w:rsid w:val="00FF25A8"/>
    <w:rsid w:val="00FF4735"/>
    <w:rsid w:val="00FF5E8C"/>
    <w:rsid w:val="00FF674A"/>
    <w:rsid w:val="00FF75E6"/>
    <w:rsid w:val="00FF7F46"/>
    <w:rsid w:val="012565D8"/>
    <w:rsid w:val="015F3637"/>
    <w:rsid w:val="019C4AE6"/>
    <w:rsid w:val="01A2575B"/>
    <w:rsid w:val="01F73BBF"/>
    <w:rsid w:val="027163EA"/>
    <w:rsid w:val="02C16033"/>
    <w:rsid w:val="02DD1690"/>
    <w:rsid w:val="03633EAF"/>
    <w:rsid w:val="039A7C66"/>
    <w:rsid w:val="03A5634B"/>
    <w:rsid w:val="043C70C6"/>
    <w:rsid w:val="04B457ED"/>
    <w:rsid w:val="04BB63B2"/>
    <w:rsid w:val="04FE7707"/>
    <w:rsid w:val="054434A5"/>
    <w:rsid w:val="054510F0"/>
    <w:rsid w:val="05701691"/>
    <w:rsid w:val="063D5540"/>
    <w:rsid w:val="06A703AF"/>
    <w:rsid w:val="06CB4F5A"/>
    <w:rsid w:val="06D01E44"/>
    <w:rsid w:val="07661CF0"/>
    <w:rsid w:val="07B135FE"/>
    <w:rsid w:val="07F81320"/>
    <w:rsid w:val="07FD4E42"/>
    <w:rsid w:val="07FF71AB"/>
    <w:rsid w:val="083A2039"/>
    <w:rsid w:val="085C6DA0"/>
    <w:rsid w:val="08734FA9"/>
    <w:rsid w:val="08B93DFC"/>
    <w:rsid w:val="08C65D36"/>
    <w:rsid w:val="091E2041"/>
    <w:rsid w:val="09742D00"/>
    <w:rsid w:val="09C96B6F"/>
    <w:rsid w:val="0A3A2B86"/>
    <w:rsid w:val="0A9C57CE"/>
    <w:rsid w:val="0AAB6128"/>
    <w:rsid w:val="0B005690"/>
    <w:rsid w:val="0B190727"/>
    <w:rsid w:val="0B194F11"/>
    <w:rsid w:val="0B686AC1"/>
    <w:rsid w:val="0B6B051B"/>
    <w:rsid w:val="0BA22558"/>
    <w:rsid w:val="0BDE6FD2"/>
    <w:rsid w:val="0BE81A9A"/>
    <w:rsid w:val="0C0D5343"/>
    <w:rsid w:val="0C3B3D8F"/>
    <w:rsid w:val="0D2772D4"/>
    <w:rsid w:val="0DA548EC"/>
    <w:rsid w:val="0DAF1291"/>
    <w:rsid w:val="0DE60857"/>
    <w:rsid w:val="0E131A29"/>
    <w:rsid w:val="0E362842"/>
    <w:rsid w:val="0E417D6A"/>
    <w:rsid w:val="0E5A4973"/>
    <w:rsid w:val="0EAC7CA0"/>
    <w:rsid w:val="0EAD2BF9"/>
    <w:rsid w:val="0EB2020F"/>
    <w:rsid w:val="0F2E0FEE"/>
    <w:rsid w:val="0F697303"/>
    <w:rsid w:val="0F8F6B7E"/>
    <w:rsid w:val="0FBA732A"/>
    <w:rsid w:val="101A6BA8"/>
    <w:rsid w:val="10E5431F"/>
    <w:rsid w:val="112E14EB"/>
    <w:rsid w:val="11621128"/>
    <w:rsid w:val="11761294"/>
    <w:rsid w:val="11CC3615"/>
    <w:rsid w:val="12000903"/>
    <w:rsid w:val="120E3D44"/>
    <w:rsid w:val="1235718D"/>
    <w:rsid w:val="124349BC"/>
    <w:rsid w:val="129A2F41"/>
    <w:rsid w:val="12BB73D4"/>
    <w:rsid w:val="12BD7559"/>
    <w:rsid w:val="13060462"/>
    <w:rsid w:val="132C010A"/>
    <w:rsid w:val="133A14FD"/>
    <w:rsid w:val="13E93B6C"/>
    <w:rsid w:val="14085AAC"/>
    <w:rsid w:val="141F6347"/>
    <w:rsid w:val="14244813"/>
    <w:rsid w:val="142B3942"/>
    <w:rsid w:val="14652CAE"/>
    <w:rsid w:val="14BF0E46"/>
    <w:rsid w:val="150974EA"/>
    <w:rsid w:val="153A31D1"/>
    <w:rsid w:val="153D49F1"/>
    <w:rsid w:val="156C199C"/>
    <w:rsid w:val="157D3A24"/>
    <w:rsid w:val="159D7523"/>
    <w:rsid w:val="15D57D53"/>
    <w:rsid w:val="161322B2"/>
    <w:rsid w:val="164630B8"/>
    <w:rsid w:val="1670392F"/>
    <w:rsid w:val="167D2839"/>
    <w:rsid w:val="16991F57"/>
    <w:rsid w:val="16D627EB"/>
    <w:rsid w:val="16F7322B"/>
    <w:rsid w:val="16FF1DB2"/>
    <w:rsid w:val="17842A9A"/>
    <w:rsid w:val="178E0377"/>
    <w:rsid w:val="17BF366E"/>
    <w:rsid w:val="17CA51F9"/>
    <w:rsid w:val="18226C6B"/>
    <w:rsid w:val="182D70ED"/>
    <w:rsid w:val="18C369F2"/>
    <w:rsid w:val="18CB65B3"/>
    <w:rsid w:val="18E842DD"/>
    <w:rsid w:val="194C3653"/>
    <w:rsid w:val="19BA43EF"/>
    <w:rsid w:val="1A0B5D8F"/>
    <w:rsid w:val="1A9D019B"/>
    <w:rsid w:val="1ABA4449"/>
    <w:rsid w:val="1B2E1A36"/>
    <w:rsid w:val="1B6776B1"/>
    <w:rsid w:val="1BB12274"/>
    <w:rsid w:val="1BF66CBD"/>
    <w:rsid w:val="1C026A5A"/>
    <w:rsid w:val="1C124B19"/>
    <w:rsid w:val="1C576350"/>
    <w:rsid w:val="1C6E7BDB"/>
    <w:rsid w:val="1C7E4276"/>
    <w:rsid w:val="1C9C1090"/>
    <w:rsid w:val="1CB66CC7"/>
    <w:rsid w:val="1CF0217D"/>
    <w:rsid w:val="1D4314BD"/>
    <w:rsid w:val="1DEA7353"/>
    <w:rsid w:val="1E497E6B"/>
    <w:rsid w:val="1F09191E"/>
    <w:rsid w:val="1F2F40F4"/>
    <w:rsid w:val="1F38428D"/>
    <w:rsid w:val="1FB5089A"/>
    <w:rsid w:val="20603F26"/>
    <w:rsid w:val="20FD3FD7"/>
    <w:rsid w:val="21380A48"/>
    <w:rsid w:val="214C2423"/>
    <w:rsid w:val="214D5F9C"/>
    <w:rsid w:val="21545279"/>
    <w:rsid w:val="21944BED"/>
    <w:rsid w:val="219E4D4F"/>
    <w:rsid w:val="21BA1608"/>
    <w:rsid w:val="21D578CE"/>
    <w:rsid w:val="21E251D9"/>
    <w:rsid w:val="224060B6"/>
    <w:rsid w:val="226C6ECC"/>
    <w:rsid w:val="22AA6B2F"/>
    <w:rsid w:val="22AF4EEF"/>
    <w:rsid w:val="22C958E4"/>
    <w:rsid w:val="23013A51"/>
    <w:rsid w:val="231D1731"/>
    <w:rsid w:val="2325482B"/>
    <w:rsid w:val="232D5DD2"/>
    <w:rsid w:val="23A9707C"/>
    <w:rsid w:val="246937A6"/>
    <w:rsid w:val="24B0682F"/>
    <w:rsid w:val="253B21BA"/>
    <w:rsid w:val="256854DA"/>
    <w:rsid w:val="25A70776"/>
    <w:rsid w:val="25D91EA8"/>
    <w:rsid w:val="25E70A59"/>
    <w:rsid w:val="26127A22"/>
    <w:rsid w:val="26AB5BB5"/>
    <w:rsid w:val="271D581D"/>
    <w:rsid w:val="27390989"/>
    <w:rsid w:val="274D28D9"/>
    <w:rsid w:val="27986F6D"/>
    <w:rsid w:val="27D32522"/>
    <w:rsid w:val="28A5701B"/>
    <w:rsid w:val="28C826B1"/>
    <w:rsid w:val="28F75C06"/>
    <w:rsid w:val="293B5F41"/>
    <w:rsid w:val="29565CBC"/>
    <w:rsid w:val="29AE3835"/>
    <w:rsid w:val="29CB2D1F"/>
    <w:rsid w:val="2A4F7F1C"/>
    <w:rsid w:val="2A592942"/>
    <w:rsid w:val="2A8F0684"/>
    <w:rsid w:val="2AD20DF1"/>
    <w:rsid w:val="2ADD5FE1"/>
    <w:rsid w:val="2B002E95"/>
    <w:rsid w:val="2B026DC6"/>
    <w:rsid w:val="2B3758CC"/>
    <w:rsid w:val="2B79057D"/>
    <w:rsid w:val="2BF47C72"/>
    <w:rsid w:val="2C042507"/>
    <w:rsid w:val="2C2C7734"/>
    <w:rsid w:val="2C694148"/>
    <w:rsid w:val="2C833E64"/>
    <w:rsid w:val="2C992DA5"/>
    <w:rsid w:val="2CB63CDE"/>
    <w:rsid w:val="2CCE2946"/>
    <w:rsid w:val="2CD07D87"/>
    <w:rsid w:val="2DE24A5A"/>
    <w:rsid w:val="2E2D20BD"/>
    <w:rsid w:val="2E5E5E63"/>
    <w:rsid w:val="2E5F3714"/>
    <w:rsid w:val="2E8523F1"/>
    <w:rsid w:val="2F892559"/>
    <w:rsid w:val="2F8E38B1"/>
    <w:rsid w:val="2FDA2201"/>
    <w:rsid w:val="2FF4596E"/>
    <w:rsid w:val="30672CC5"/>
    <w:rsid w:val="30787A11"/>
    <w:rsid w:val="30890978"/>
    <w:rsid w:val="30B72E4A"/>
    <w:rsid w:val="316B0D96"/>
    <w:rsid w:val="31B224D5"/>
    <w:rsid w:val="31B465A4"/>
    <w:rsid w:val="325925CC"/>
    <w:rsid w:val="32641674"/>
    <w:rsid w:val="3264777E"/>
    <w:rsid w:val="32D37A94"/>
    <w:rsid w:val="330635B3"/>
    <w:rsid w:val="33185BF3"/>
    <w:rsid w:val="333E2275"/>
    <w:rsid w:val="33D03229"/>
    <w:rsid w:val="33E42288"/>
    <w:rsid w:val="347F0F09"/>
    <w:rsid w:val="350902DA"/>
    <w:rsid w:val="3541113F"/>
    <w:rsid w:val="354F5FC3"/>
    <w:rsid w:val="358E775F"/>
    <w:rsid w:val="35AA23AC"/>
    <w:rsid w:val="360705BB"/>
    <w:rsid w:val="36295C7A"/>
    <w:rsid w:val="36E75301"/>
    <w:rsid w:val="37367987"/>
    <w:rsid w:val="376C6563"/>
    <w:rsid w:val="377E7B34"/>
    <w:rsid w:val="380439A3"/>
    <w:rsid w:val="387525A6"/>
    <w:rsid w:val="38FA1B27"/>
    <w:rsid w:val="39333483"/>
    <w:rsid w:val="398E4864"/>
    <w:rsid w:val="399C400D"/>
    <w:rsid w:val="3A0D44D8"/>
    <w:rsid w:val="3ABD7C83"/>
    <w:rsid w:val="3B093F6C"/>
    <w:rsid w:val="3B3223E9"/>
    <w:rsid w:val="3B595F1B"/>
    <w:rsid w:val="3B6D0B0B"/>
    <w:rsid w:val="3B7831E7"/>
    <w:rsid w:val="3B9E14FD"/>
    <w:rsid w:val="3BCA6F53"/>
    <w:rsid w:val="3BDB15F1"/>
    <w:rsid w:val="3C0E383A"/>
    <w:rsid w:val="3C444C65"/>
    <w:rsid w:val="3C850B8E"/>
    <w:rsid w:val="3CB26BF7"/>
    <w:rsid w:val="3CD751BE"/>
    <w:rsid w:val="3D2A0F85"/>
    <w:rsid w:val="3D7B28B3"/>
    <w:rsid w:val="3DFF0094"/>
    <w:rsid w:val="3E0A4153"/>
    <w:rsid w:val="3E5719B8"/>
    <w:rsid w:val="3E6A290F"/>
    <w:rsid w:val="3E7B2A6D"/>
    <w:rsid w:val="3EA451FF"/>
    <w:rsid w:val="3EA61A48"/>
    <w:rsid w:val="3EA917D5"/>
    <w:rsid w:val="3EB35F74"/>
    <w:rsid w:val="3F10076A"/>
    <w:rsid w:val="3F590C39"/>
    <w:rsid w:val="3F9B73BB"/>
    <w:rsid w:val="3FCE2929"/>
    <w:rsid w:val="3FEC120D"/>
    <w:rsid w:val="404C6688"/>
    <w:rsid w:val="408007F2"/>
    <w:rsid w:val="40815BAA"/>
    <w:rsid w:val="40FD22D3"/>
    <w:rsid w:val="413A50A9"/>
    <w:rsid w:val="41436921"/>
    <w:rsid w:val="417B79B9"/>
    <w:rsid w:val="417F0395"/>
    <w:rsid w:val="41E262B9"/>
    <w:rsid w:val="41E476BF"/>
    <w:rsid w:val="42261C5F"/>
    <w:rsid w:val="428457D2"/>
    <w:rsid w:val="428F2198"/>
    <w:rsid w:val="428F3060"/>
    <w:rsid w:val="431A4E84"/>
    <w:rsid w:val="435E7B57"/>
    <w:rsid w:val="436F603D"/>
    <w:rsid w:val="43A820CE"/>
    <w:rsid w:val="43BC5977"/>
    <w:rsid w:val="43F07AB9"/>
    <w:rsid w:val="443B32A6"/>
    <w:rsid w:val="44492034"/>
    <w:rsid w:val="44851516"/>
    <w:rsid w:val="44C24F03"/>
    <w:rsid w:val="44CF61CC"/>
    <w:rsid w:val="4506786C"/>
    <w:rsid w:val="45560EEE"/>
    <w:rsid w:val="455B3519"/>
    <w:rsid w:val="45685A28"/>
    <w:rsid w:val="459B15E5"/>
    <w:rsid w:val="45F96699"/>
    <w:rsid w:val="46742A73"/>
    <w:rsid w:val="46855DFB"/>
    <w:rsid w:val="469E1AAB"/>
    <w:rsid w:val="46A81E96"/>
    <w:rsid w:val="46BB355D"/>
    <w:rsid w:val="46CB271A"/>
    <w:rsid w:val="46DA44EF"/>
    <w:rsid w:val="47057473"/>
    <w:rsid w:val="47386F6F"/>
    <w:rsid w:val="473F20BC"/>
    <w:rsid w:val="474E78E4"/>
    <w:rsid w:val="47B75EE4"/>
    <w:rsid w:val="47E333A9"/>
    <w:rsid w:val="488F234F"/>
    <w:rsid w:val="492153AD"/>
    <w:rsid w:val="49267EAC"/>
    <w:rsid w:val="49383242"/>
    <w:rsid w:val="497F6949"/>
    <w:rsid w:val="49FA7FDD"/>
    <w:rsid w:val="49FB2932"/>
    <w:rsid w:val="4A113C8E"/>
    <w:rsid w:val="4A2E2D93"/>
    <w:rsid w:val="4A565338"/>
    <w:rsid w:val="4A963F66"/>
    <w:rsid w:val="4AC162CD"/>
    <w:rsid w:val="4ACC1BF2"/>
    <w:rsid w:val="4B273FDC"/>
    <w:rsid w:val="4B5F5F7A"/>
    <w:rsid w:val="4BB80CE3"/>
    <w:rsid w:val="4BBF7FDB"/>
    <w:rsid w:val="4BD26063"/>
    <w:rsid w:val="4BE32A40"/>
    <w:rsid w:val="4BF64184"/>
    <w:rsid w:val="4C4F527E"/>
    <w:rsid w:val="4C5B25D1"/>
    <w:rsid w:val="4CE452E4"/>
    <w:rsid w:val="4D2F4809"/>
    <w:rsid w:val="4DAA0221"/>
    <w:rsid w:val="4DC36A8D"/>
    <w:rsid w:val="4DC373DD"/>
    <w:rsid w:val="4DC96400"/>
    <w:rsid w:val="4E675DBB"/>
    <w:rsid w:val="4E710F72"/>
    <w:rsid w:val="4ED85276"/>
    <w:rsid w:val="4FEB08B0"/>
    <w:rsid w:val="4FF77A20"/>
    <w:rsid w:val="501419D4"/>
    <w:rsid w:val="50690878"/>
    <w:rsid w:val="50A218B6"/>
    <w:rsid w:val="510B7875"/>
    <w:rsid w:val="511B3845"/>
    <w:rsid w:val="516E6A58"/>
    <w:rsid w:val="51A062DB"/>
    <w:rsid w:val="51D81D69"/>
    <w:rsid w:val="52012870"/>
    <w:rsid w:val="522B2406"/>
    <w:rsid w:val="52C5448B"/>
    <w:rsid w:val="531C0BE7"/>
    <w:rsid w:val="53320464"/>
    <w:rsid w:val="533D0D74"/>
    <w:rsid w:val="53561A4A"/>
    <w:rsid w:val="53563890"/>
    <w:rsid w:val="535A32FF"/>
    <w:rsid w:val="539F1AEB"/>
    <w:rsid w:val="53DF072C"/>
    <w:rsid w:val="53F10B08"/>
    <w:rsid w:val="54842521"/>
    <w:rsid w:val="548E1DB5"/>
    <w:rsid w:val="54C3743B"/>
    <w:rsid w:val="54C630D8"/>
    <w:rsid w:val="54C827F9"/>
    <w:rsid w:val="54D5021C"/>
    <w:rsid w:val="553A2485"/>
    <w:rsid w:val="55DF43D0"/>
    <w:rsid w:val="5634044B"/>
    <w:rsid w:val="56520309"/>
    <w:rsid w:val="56872541"/>
    <w:rsid w:val="56B95550"/>
    <w:rsid w:val="57A17B84"/>
    <w:rsid w:val="57D77871"/>
    <w:rsid w:val="57EA127B"/>
    <w:rsid w:val="582654B4"/>
    <w:rsid w:val="589D4802"/>
    <w:rsid w:val="58AA1F80"/>
    <w:rsid w:val="58D23DC1"/>
    <w:rsid w:val="597B154A"/>
    <w:rsid w:val="5A117360"/>
    <w:rsid w:val="5A1B3A51"/>
    <w:rsid w:val="5A3734CB"/>
    <w:rsid w:val="5A5B0F35"/>
    <w:rsid w:val="5A676AF5"/>
    <w:rsid w:val="5A6A103D"/>
    <w:rsid w:val="5B0909D3"/>
    <w:rsid w:val="5BB47AE0"/>
    <w:rsid w:val="5BB54B68"/>
    <w:rsid w:val="5BBD6CB0"/>
    <w:rsid w:val="5BD0188D"/>
    <w:rsid w:val="5BED0456"/>
    <w:rsid w:val="5C331267"/>
    <w:rsid w:val="5C6E6135"/>
    <w:rsid w:val="5C7C7F1A"/>
    <w:rsid w:val="5CC038AA"/>
    <w:rsid w:val="5CC415CA"/>
    <w:rsid w:val="5D2B4AF8"/>
    <w:rsid w:val="5DF449CC"/>
    <w:rsid w:val="5E625EA1"/>
    <w:rsid w:val="5E6B19AA"/>
    <w:rsid w:val="5E8444FB"/>
    <w:rsid w:val="5E84512C"/>
    <w:rsid w:val="5EBE278B"/>
    <w:rsid w:val="5EDB1EFE"/>
    <w:rsid w:val="5EE77231"/>
    <w:rsid w:val="5FBE38EB"/>
    <w:rsid w:val="60041A4E"/>
    <w:rsid w:val="60290B2B"/>
    <w:rsid w:val="60CC25C8"/>
    <w:rsid w:val="618F1524"/>
    <w:rsid w:val="61B17606"/>
    <w:rsid w:val="61B97B3A"/>
    <w:rsid w:val="61D01AEE"/>
    <w:rsid w:val="620D7264"/>
    <w:rsid w:val="62340288"/>
    <w:rsid w:val="628F122B"/>
    <w:rsid w:val="62DE60C9"/>
    <w:rsid w:val="62F171D6"/>
    <w:rsid w:val="63273A38"/>
    <w:rsid w:val="633B1863"/>
    <w:rsid w:val="637A7942"/>
    <w:rsid w:val="63983354"/>
    <w:rsid w:val="63A86D30"/>
    <w:rsid w:val="63D3688C"/>
    <w:rsid w:val="6450201C"/>
    <w:rsid w:val="648F5845"/>
    <w:rsid w:val="650D545E"/>
    <w:rsid w:val="652808B2"/>
    <w:rsid w:val="656831EA"/>
    <w:rsid w:val="656C76B0"/>
    <w:rsid w:val="65B022F5"/>
    <w:rsid w:val="65DA7EF0"/>
    <w:rsid w:val="66007888"/>
    <w:rsid w:val="66434B4A"/>
    <w:rsid w:val="665E7288"/>
    <w:rsid w:val="66677C56"/>
    <w:rsid w:val="66C47F11"/>
    <w:rsid w:val="66CE5466"/>
    <w:rsid w:val="66F1205A"/>
    <w:rsid w:val="671E33E2"/>
    <w:rsid w:val="674B769A"/>
    <w:rsid w:val="674E35EC"/>
    <w:rsid w:val="674E370C"/>
    <w:rsid w:val="67634176"/>
    <w:rsid w:val="67DC0049"/>
    <w:rsid w:val="67EE5E6F"/>
    <w:rsid w:val="67FD44A9"/>
    <w:rsid w:val="68616A7F"/>
    <w:rsid w:val="69300C2D"/>
    <w:rsid w:val="693B41E7"/>
    <w:rsid w:val="69562630"/>
    <w:rsid w:val="69CE6B4C"/>
    <w:rsid w:val="6A8C54E5"/>
    <w:rsid w:val="6AB24441"/>
    <w:rsid w:val="6B2254B4"/>
    <w:rsid w:val="6B4206CF"/>
    <w:rsid w:val="6B4F6F37"/>
    <w:rsid w:val="6B507F51"/>
    <w:rsid w:val="6B9E5191"/>
    <w:rsid w:val="6BA53262"/>
    <w:rsid w:val="6BC84A51"/>
    <w:rsid w:val="6BEB396F"/>
    <w:rsid w:val="6C0E677F"/>
    <w:rsid w:val="6C337D38"/>
    <w:rsid w:val="6C4A4F77"/>
    <w:rsid w:val="6C6770B8"/>
    <w:rsid w:val="6C743DA2"/>
    <w:rsid w:val="6C8137E7"/>
    <w:rsid w:val="6CA51B06"/>
    <w:rsid w:val="6CCA54A3"/>
    <w:rsid w:val="6D93632C"/>
    <w:rsid w:val="6DD36A36"/>
    <w:rsid w:val="6EBC7548"/>
    <w:rsid w:val="6ED23C27"/>
    <w:rsid w:val="6F08734C"/>
    <w:rsid w:val="6F3D0A33"/>
    <w:rsid w:val="6F8412EC"/>
    <w:rsid w:val="6F886750"/>
    <w:rsid w:val="6FE32EFA"/>
    <w:rsid w:val="6FEA20C3"/>
    <w:rsid w:val="70186F7F"/>
    <w:rsid w:val="703C77E9"/>
    <w:rsid w:val="708164D5"/>
    <w:rsid w:val="709A298C"/>
    <w:rsid w:val="70F20E42"/>
    <w:rsid w:val="712227FA"/>
    <w:rsid w:val="714108B3"/>
    <w:rsid w:val="71436818"/>
    <w:rsid w:val="7146405F"/>
    <w:rsid w:val="71FD2CE0"/>
    <w:rsid w:val="72A175F0"/>
    <w:rsid w:val="72E8061A"/>
    <w:rsid w:val="72FB2675"/>
    <w:rsid w:val="73720EC7"/>
    <w:rsid w:val="739C3CF1"/>
    <w:rsid w:val="73CC4624"/>
    <w:rsid w:val="745067C5"/>
    <w:rsid w:val="74931A3A"/>
    <w:rsid w:val="74A85F9D"/>
    <w:rsid w:val="74F27B8A"/>
    <w:rsid w:val="75322959"/>
    <w:rsid w:val="76555242"/>
    <w:rsid w:val="76AA2A35"/>
    <w:rsid w:val="76C36A88"/>
    <w:rsid w:val="76D977C0"/>
    <w:rsid w:val="77306584"/>
    <w:rsid w:val="7735503C"/>
    <w:rsid w:val="77731007"/>
    <w:rsid w:val="77C0077C"/>
    <w:rsid w:val="787B0727"/>
    <w:rsid w:val="78D5659F"/>
    <w:rsid w:val="78F4646A"/>
    <w:rsid w:val="79603E55"/>
    <w:rsid w:val="796E386F"/>
    <w:rsid w:val="7982369B"/>
    <w:rsid w:val="7A016D9E"/>
    <w:rsid w:val="7A0F6EBD"/>
    <w:rsid w:val="7A303873"/>
    <w:rsid w:val="7A326E2C"/>
    <w:rsid w:val="7A5528EC"/>
    <w:rsid w:val="7A5C37D6"/>
    <w:rsid w:val="7A7D6871"/>
    <w:rsid w:val="7B524795"/>
    <w:rsid w:val="7B9C4A67"/>
    <w:rsid w:val="7BE21F69"/>
    <w:rsid w:val="7C8D3682"/>
    <w:rsid w:val="7CB969EA"/>
    <w:rsid w:val="7CEC080D"/>
    <w:rsid w:val="7D8C483D"/>
    <w:rsid w:val="7DF05517"/>
    <w:rsid w:val="7E5C33CF"/>
    <w:rsid w:val="7E8823DF"/>
    <w:rsid w:val="7E9417AE"/>
    <w:rsid w:val="7F0476EE"/>
    <w:rsid w:val="7F273BF2"/>
    <w:rsid w:val="7F563027"/>
    <w:rsid w:val="7F6D21E3"/>
    <w:rsid w:val="7F7B1979"/>
    <w:rsid w:val="7FBC084C"/>
    <w:rsid w:val="7FCA61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qFormat="1" w:unhideWhenUsed="0" w:uiPriority="99" w:semiHidden="0" w:name="List 4"/>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99"/>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link w:val="33"/>
    <w:qFormat/>
    <w:uiPriority w:val="99"/>
    <w:pPr>
      <w:keepNext/>
      <w:keepLines/>
      <w:tabs>
        <w:tab w:val="left" w:pos="1080"/>
      </w:tabs>
      <w:spacing w:before="260" w:after="260" w:line="416" w:lineRule="auto"/>
      <w:ind w:left="1080" w:hanging="1080"/>
      <w:jc w:val="center"/>
      <w:outlineLvl w:val="2"/>
    </w:pPr>
    <w:rPr>
      <w:rFonts w:ascii="宋体" w:hAnsi="宋体"/>
      <w:sz w:val="28"/>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Document Map"/>
    <w:basedOn w:val="1"/>
    <w:link w:val="34"/>
    <w:semiHidden/>
    <w:qFormat/>
    <w:uiPriority w:val="99"/>
    <w:pPr>
      <w:shd w:val="clear" w:color="auto" w:fill="000080"/>
    </w:pPr>
  </w:style>
  <w:style w:type="paragraph" w:styleId="7">
    <w:name w:val="annotation text"/>
    <w:basedOn w:val="1"/>
    <w:link w:val="35"/>
    <w:qFormat/>
    <w:uiPriority w:val="99"/>
    <w:pPr>
      <w:jc w:val="left"/>
    </w:pPr>
  </w:style>
  <w:style w:type="paragraph" w:styleId="8">
    <w:name w:val="Body Text"/>
    <w:basedOn w:val="1"/>
    <w:link w:val="36"/>
    <w:qFormat/>
    <w:uiPriority w:val="99"/>
    <w:pPr>
      <w:spacing w:after="120"/>
    </w:pPr>
  </w:style>
  <w:style w:type="paragraph" w:styleId="9">
    <w:name w:val="Body Text Indent"/>
    <w:basedOn w:val="1"/>
    <w:link w:val="37"/>
    <w:qFormat/>
    <w:uiPriority w:val="99"/>
    <w:pPr>
      <w:ind w:firstLine="570"/>
    </w:pPr>
    <w:rPr>
      <w:rFonts w:ascii="宋体" w:hAnsi="宋体"/>
      <w:sz w:val="28"/>
    </w:rPr>
  </w:style>
  <w:style w:type="paragraph" w:styleId="10">
    <w:name w:val="Plain Text"/>
    <w:basedOn w:val="1"/>
    <w:link w:val="38"/>
    <w:qFormat/>
    <w:uiPriority w:val="99"/>
    <w:rPr>
      <w:rFonts w:ascii="宋体" w:hAnsi="Courier New"/>
      <w:szCs w:val="20"/>
    </w:rPr>
  </w:style>
  <w:style w:type="paragraph" w:styleId="11">
    <w:name w:val="Date"/>
    <w:basedOn w:val="1"/>
    <w:next w:val="1"/>
    <w:link w:val="39"/>
    <w:qFormat/>
    <w:uiPriority w:val="99"/>
    <w:rPr>
      <w:szCs w:val="20"/>
    </w:rPr>
  </w:style>
  <w:style w:type="paragraph" w:styleId="12">
    <w:name w:val="Body Text Indent 2"/>
    <w:basedOn w:val="1"/>
    <w:link w:val="40"/>
    <w:qFormat/>
    <w:uiPriority w:val="99"/>
    <w:pPr>
      <w:spacing w:after="120" w:line="480" w:lineRule="auto"/>
      <w:ind w:left="420" w:leftChars="200"/>
    </w:pPr>
  </w:style>
  <w:style w:type="paragraph" w:styleId="13">
    <w:name w:val="Balloon Text"/>
    <w:basedOn w:val="1"/>
    <w:link w:val="41"/>
    <w:semiHidden/>
    <w:qFormat/>
    <w:uiPriority w:val="99"/>
    <w:rPr>
      <w:sz w:val="18"/>
      <w:szCs w:val="18"/>
    </w:rPr>
  </w:style>
  <w:style w:type="paragraph" w:styleId="14">
    <w:name w:val="footer"/>
    <w:basedOn w:val="1"/>
    <w:link w:val="42"/>
    <w:qFormat/>
    <w:uiPriority w:val="99"/>
    <w:pPr>
      <w:tabs>
        <w:tab w:val="center" w:pos="4153"/>
        <w:tab w:val="right" w:pos="8306"/>
      </w:tabs>
      <w:snapToGrid w:val="0"/>
      <w:jc w:val="left"/>
    </w:pPr>
    <w:rPr>
      <w:sz w:val="18"/>
      <w:szCs w:val="18"/>
    </w:rPr>
  </w:style>
  <w:style w:type="paragraph" w:styleId="15">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tabs>
        <w:tab w:val="right" w:leader="dot" w:pos="9628"/>
      </w:tabs>
      <w:spacing w:line="360" w:lineRule="auto"/>
      <w:jc w:val="center"/>
    </w:pPr>
    <w:rPr>
      <w:rFonts w:ascii="仿宋_GB2312" w:hAnsi="宋体" w:eastAsia="仿宋_GB2312"/>
      <w:bCs/>
      <w:sz w:val="32"/>
      <w:szCs w:val="32"/>
    </w:rPr>
  </w:style>
  <w:style w:type="paragraph" w:styleId="17">
    <w:name w:val="Subtitle"/>
    <w:basedOn w:val="1"/>
    <w:next w:val="1"/>
    <w:link w:val="44"/>
    <w:qFormat/>
    <w:uiPriority w:val="99"/>
    <w:pPr>
      <w:spacing w:before="200" w:after="200"/>
      <w:jc w:val="center"/>
      <w:outlineLvl w:val="1"/>
    </w:pPr>
    <w:rPr>
      <w:rFonts w:ascii="Cambria" w:hAnsi="Cambria" w:eastAsia="仿宋_GB2312"/>
      <w:b/>
      <w:bCs/>
      <w:kern w:val="28"/>
      <w:sz w:val="32"/>
      <w:szCs w:val="32"/>
    </w:rPr>
  </w:style>
  <w:style w:type="paragraph" w:styleId="18">
    <w:name w:val="Body Text Indent 3"/>
    <w:basedOn w:val="1"/>
    <w:link w:val="45"/>
    <w:qFormat/>
    <w:uiPriority w:val="99"/>
    <w:pPr>
      <w:spacing w:after="120"/>
      <w:ind w:left="420" w:leftChars="200"/>
    </w:pPr>
    <w:rPr>
      <w:sz w:val="16"/>
      <w:szCs w:val="16"/>
    </w:rPr>
  </w:style>
  <w:style w:type="paragraph" w:styleId="19">
    <w:name w:val="toc 2"/>
    <w:basedOn w:val="1"/>
    <w:next w:val="1"/>
    <w:qFormat/>
    <w:uiPriority w:val="99"/>
    <w:pPr>
      <w:ind w:left="420" w:leftChars="200"/>
    </w:pPr>
  </w:style>
  <w:style w:type="paragraph" w:styleId="20">
    <w:name w:val="List 4"/>
    <w:basedOn w:val="1"/>
    <w:qFormat/>
    <w:uiPriority w:val="99"/>
    <w:pPr>
      <w:ind w:left="100" w:leftChars="600" w:hanging="200" w:hangingChars="2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annotation subject"/>
    <w:basedOn w:val="7"/>
    <w:next w:val="7"/>
    <w:link w:val="46"/>
    <w:qFormat/>
    <w:uiPriority w:val="99"/>
    <w:rPr>
      <w:b/>
      <w:bCs/>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99"/>
    <w:rPr>
      <w:rFonts w:cs="Times New Roman"/>
      <w:b/>
    </w:rPr>
  </w:style>
  <w:style w:type="character" w:styleId="27">
    <w:name w:val="page number"/>
    <w:basedOn w:val="25"/>
    <w:qFormat/>
    <w:uiPriority w:val="99"/>
    <w:rPr>
      <w:rFonts w:cs="Times New Roman"/>
    </w:rPr>
  </w:style>
  <w:style w:type="character" w:styleId="28">
    <w:name w:val="FollowedHyperlink"/>
    <w:basedOn w:val="25"/>
    <w:qFormat/>
    <w:uiPriority w:val="99"/>
    <w:rPr>
      <w:rFonts w:cs="Times New Roman"/>
      <w:color w:val="800080"/>
      <w:u w:val="single"/>
    </w:rPr>
  </w:style>
  <w:style w:type="character" w:styleId="29">
    <w:name w:val="Hyperlink"/>
    <w:basedOn w:val="25"/>
    <w:qFormat/>
    <w:uiPriority w:val="99"/>
    <w:rPr>
      <w:rFonts w:cs="Times New Roman"/>
      <w:color w:val="262626"/>
      <w:u w:val="none"/>
    </w:rPr>
  </w:style>
  <w:style w:type="character" w:styleId="30">
    <w:name w:val="annotation reference"/>
    <w:basedOn w:val="25"/>
    <w:qFormat/>
    <w:uiPriority w:val="99"/>
    <w:rPr>
      <w:rFonts w:cs="Times New Roman"/>
      <w:sz w:val="21"/>
    </w:rPr>
  </w:style>
  <w:style w:type="character" w:customStyle="1" w:styleId="31">
    <w:name w:val="标题 1 Char"/>
    <w:basedOn w:val="25"/>
    <w:link w:val="3"/>
    <w:qFormat/>
    <w:locked/>
    <w:uiPriority w:val="99"/>
    <w:rPr>
      <w:rFonts w:cs="Times New Roman"/>
      <w:b/>
      <w:bCs/>
      <w:kern w:val="44"/>
      <w:sz w:val="44"/>
      <w:szCs w:val="44"/>
    </w:rPr>
  </w:style>
  <w:style w:type="character" w:customStyle="1" w:styleId="32">
    <w:name w:val="标题 2 Char"/>
    <w:basedOn w:val="25"/>
    <w:link w:val="4"/>
    <w:semiHidden/>
    <w:qFormat/>
    <w:locked/>
    <w:uiPriority w:val="99"/>
    <w:rPr>
      <w:rFonts w:ascii="Cambria" w:hAnsi="Cambria" w:eastAsia="宋体" w:cs="Times New Roman"/>
      <w:b/>
      <w:bCs/>
      <w:sz w:val="32"/>
      <w:szCs w:val="32"/>
    </w:rPr>
  </w:style>
  <w:style w:type="character" w:customStyle="1" w:styleId="33">
    <w:name w:val="标题 3 Char"/>
    <w:basedOn w:val="25"/>
    <w:link w:val="2"/>
    <w:semiHidden/>
    <w:qFormat/>
    <w:locked/>
    <w:uiPriority w:val="99"/>
    <w:rPr>
      <w:rFonts w:cs="Times New Roman"/>
      <w:b/>
      <w:bCs/>
      <w:sz w:val="32"/>
      <w:szCs w:val="32"/>
    </w:rPr>
  </w:style>
  <w:style w:type="character" w:customStyle="1" w:styleId="34">
    <w:name w:val="文档结构图 Char"/>
    <w:basedOn w:val="25"/>
    <w:link w:val="6"/>
    <w:semiHidden/>
    <w:qFormat/>
    <w:locked/>
    <w:uiPriority w:val="99"/>
    <w:rPr>
      <w:rFonts w:cs="Times New Roman"/>
      <w:sz w:val="2"/>
    </w:rPr>
  </w:style>
  <w:style w:type="character" w:customStyle="1" w:styleId="35">
    <w:name w:val="批注文字 Char"/>
    <w:basedOn w:val="25"/>
    <w:link w:val="7"/>
    <w:qFormat/>
    <w:locked/>
    <w:uiPriority w:val="99"/>
    <w:rPr>
      <w:rFonts w:cs="Times New Roman"/>
      <w:kern w:val="2"/>
      <w:sz w:val="24"/>
    </w:rPr>
  </w:style>
  <w:style w:type="character" w:customStyle="1" w:styleId="36">
    <w:name w:val="正文文本 Char"/>
    <w:basedOn w:val="25"/>
    <w:link w:val="8"/>
    <w:semiHidden/>
    <w:qFormat/>
    <w:locked/>
    <w:uiPriority w:val="99"/>
    <w:rPr>
      <w:rFonts w:eastAsia="宋体" w:cs="Times New Roman"/>
      <w:kern w:val="2"/>
      <w:sz w:val="24"/>
      <w:lang w:val="en-US" w:eastAsia="zh-CN"/>
    </w:rPr>
  </w:style>
  <w:style w:type="character" w:customStyle="1" w:styleId="37">
    <w:name w:val="正文文本缩进 Char"/>
    <w:basedOn w:val="25"/>
    <w:link w:val="9"/>
    <w:semiHidden/>
    <w:qFormat/>
    <w:locked/>
    <w:uiPriority w:val="99"/>
    <w:rPr>
      <w:rFonts w:cs="Times New Roman"/>
      <w:sz w:val="24"/>
      <w:szCs w:val="24"/>
    </w:rPr>
  </w:style>
  <w:style w:type="character" w:customStyle="1" w:styleId="38">
    <w:name w:val="纯文本 Char1"/>
    <w:basedOn w:val="25"/>
    <w:link w:val="10"/>
    <w:qFormat/>
    <w:locked/>
    <w:uiPriority w:val="99"/>
    <w:rPr>
      <w:rFonts w:ascii="宋体" w:hAnsi="Courier New" w:cs="Times New Roman"/>
      <w:kern w:val="2"/>
      <w:sz w:val="21"/>
    </w:rPr>
  </w:style>
  <w:style w:type="character" w:customStyle="1" w:styleId="39">
    <w:name w:val="日期 Char1"/>
    <w:basedOn w:val="25"/>
    <w:link w:val="11"/>
    <w:semiHidden/>
    <w:qFormat/>
    <w:locked/>
    <w:uiPriority w:val="99"/>
    <w:rPr>
      <w:rFonts w:cs="Times New Roman"/>
      <w:sz w:val="24"/>
      <w:szCs w:val="24"/>
    </w:rPr>
  </w:style>
  <w:style w:type="character" w:customStyle="1" w:styleId="40">
    <w:name w:val="正文文本缩进 2 Char"/>
    <w:basedOn w:val="25"/>
    <w:link w:val="12"/>
    <w:semiHidden/>
    <w:qFormat/>
    <w:locked/>
    <w:uiPriority w:val="99"/>
    <w:rPr>
      <w:rFonts w:cs="Times New Roman"/>
      <w:sz w:val="24"/>
      <w:szCs w:val="24"/>
    </w:rPr>
  </w:style>
  <w:style w:type="character" w:customStyle="1" w:styleId="41">
    <w:name w:val="批注框文本 Char"/>
    <w:basedOn w:val="25"/>
    <w:link w:val="13"/>
    <w:semiHidden/>
    <w:qFormat/>
    <w:locked/>
    <w:uiPriority w:val="99"/>
    <w:rPr>
      <w:rFonts w:cs="Times New Roman"/>
      <w:sz w:val="2"/>
    </w:rPr>
  </w:style>
  <w:style w:type="character" w:customStyle="1" w:styleId="42">
    <w:name w:val="页脚 Char"/>
    <w:basedOn w:val="25"/>
    <w:link w:val="14"/>
    <w:semiHidden/>
    <w:qFormat/>
    <w:locked/>
    <w:uiPriority w:val="99"/>
    <w:rPr>
      <w:rFonts w:cs="Times New Roman"/>
      <w:sz w:val="18"/>
      <w:szCs w:val="18"/>
    </w:rPr>
  </w:style>
  <w:style w:type="character" w:customStyle="1" w:styleId="43">
    <w:name w:val="页眉 Char"/>
    <w:basedOn w:val="25"/>
    <w:link w:val="15"/>
    <w:semiHidden/>
    <w:qFormat/>
    <w:locked/>
    <w:uiPriority w:val="99"/>
    <w:rPr>
      <w:rFonts w:cs="Times New Roman"/>
      <w:sz w:val="18"/>
      <w:szCs w:val="18"/>
    </w:rPr>
  </w:style>
  <w:style w:type="character" w:customStyle="1" w:styleId="44">
    <w:name w:val="副标题 Char"/>
    <w:basedOn w:val="25"/>
    <w:link w:val="17"/>
    <w:qFormat/>
    <w:locked/>
    <w:uiPriority w:val="99"/>
    <w:rPr>
      <w:rFonts w:ascii="Cambria" w:hAnsi="Cambria" w:eastAsia="仿宋_GB2312" w:cs="Times New Roman"/>
      <w:b/>
      <w:kern w:val="28"/>
      <w:sz w:val="32"/>
    </w:rPr>
  </w:style>
  <w:style w:type="character" w:customStyle="1" w:styleId="45">
    <w:name w:val="正文文本缩进 3 Char"/>
    <w:basedOn w:val="25"/>
    <w:link w:val="18"/>
    <w:semiHidden/>
    <w:qFormat/>
    <w:locked/>
    <w:uiPriority w:val="99"/>
    <w:rPr>
      <w:rFonts w:cs="Times New Roman"/>
      <w:sz w:val="16"/>
      <w:szCs w:val="16"/>
    </w:rPr>
  </w:style>
  <w:style w:type="character" w:customStyle="1" w:styleId="46">
    <w:name w:val="批注主题 Char"/>
    <w:basedOn w:val="35"/>
    <w:link w:val="22"/>
    <w:qFormat/>
    <w:locked/>
    <w:uiPriority w:val="99"/>
    <w:rPr>
      <w:b/>
    </w:rPr>
  </w:style>
  <w:style w:type="character" w:customStyle="1" w:styleId="47">
    <w:name w:val="p2"/>
    <w:basedOn w:val="25"/>
    <w:qFormat/>
    <w:uiPriority w:val="99"/>
    <w:rPr>
      <w:rFonts w:cs="Times New Roman"/>
    </w:rPr>
  </w:style>
  <w:style w:type="character" w:customStyle="1" w:styleId="48">
    <w:name w:val="副标题 Char1"/>
    <w:qFormat/>
    <w:uiPriority w:val="99"/>
    <w:rPr>
      <w:rFonts w:ascii="Cambria" w:hAnsi="Cambria"/>
      <w:b/>
      <w:kern w:val="28"/>
      <w:sz w:val="32"/>
    </w:rPr>
  </w:style>
  <w:style w:type="character" w:customStyle="1" w:styleId="49">
    <w:name w:val="apple-converted-space"/>
    <w:basedOn w:val="25"/>
    <w:qFormat/>
    <w:uiPriority w:val="99"/>
    <w:rPr>
      <w:rFonts w:cs="Times New Roman"/>
    </w:rPr>
  </w:style>
  <w:style w:type="character" w:customStyle="1" w:styleId="50">
    <w:name w:val="hs14"/>
    <w:basedOn w:val="25"/>
    <w:qFormat/>
    <w:uiPriority w:val="99"/>
    <w:rPr>
      <w:rFonts w:cs="Times New Roman"/>
    </w:rPr>
  </w:style>
  <w:style w:type="character" w:customStyle="1" w:styleId="51">
    <w:name w:val="标题 2 Char Char Char Char Char Char Char Char Char Char Char Char Char Char Char Char Char Char Char Char Char"/>
    <w:basedOn w:val="25"/>
    <w:qFormat/>
    <w:uiPriority w:val="99"/>
    <w:rPr>
      <w:rFonts w:cs="Times New Roman"/>
    </w:rPr>
  </w:style>
  <w:style w:type="paragraph" w:customStyle="1" w:styleId="52">
    <w:name w:val="样式 宋体 五号 行距: 单倍行距"/>
    <w:basedOn w:val="1"/>
    <w:qFormat/>
    <w:uiPriority w:val="99"/>
    <w:pPr>
      <w:adjustRightInd w:val="0"/>
      <w:jc w:val="left"/>
      <w:textAlignment w:val="baseline"/>
    </w:pPr>
    <w:rPr>
      <w:rFonts w:ascii="宋体" w:hAnsi="宋体"/>
      <w:kern w:val="0"/>
      <w:szCs w:val="20"/>
    </w:rPr>
  </w:style>
  <w:style w:type="paragraph" w:customStyle="1" w:styleId="53">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szCs w:val="20"/>
    </w:rPr>
  </w:style>
  <w:style w:type="paragraph" w:customStyle="1" w:styleId="55">
    <w:name w:val="Char Char Char Char"/>
    <w:basedOn w:val="1"/>
    <w:qFormat/>
    <w:uiPriority w:val="99"/>
    <w:pPr>
      <w:widowControl/>
      <w:spacing w:after="160" w:line="240" w:lineRule="exact"/>
      <w:jc w:val="left"/>
    </w:pPr>
    <w:rPr>
      <w:rFonts w:ascii="Verdana" w:hAnsi="Verdana" w:cs="Verdana"/>
      <w:kern w:val="0"/>
      <w:szCs w:val="21"/>
      <w:lang w:eastAsia="en-US"/>
    </w:rPr>
  </w:style>
  <w:style w:type="paragraph" w:customStyle="1" w:styleId="56">
    <w:name w:val="Char1"/>
    <w:basedOn w:val="1"/>
    <w:qFormat/>
    <w:uiPriority w:val="99"/>
    <w:rPr>
      <w:rFonts w:ascii="Tahoma" w:hAnsi="Tahoma"/>
      <w:sz w:val="24"/>
      <w:szCs w:val="20"/>
    </w:rPr>
  </w:style>
  <w:style w:type="paragraph" w:customStyle="1" w:styleId="57">
    <w:name w:val="表格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60">
    <w:name w:val="Char"/>
    <w:basedOn w:val="1"/>
    <w:semiHidden/>
    <w:qFormat/>
    <w:uiPriority w:val="99"/>
    <w:pPr>
      <w:widowControl/>
      <w:spacing w:after="160" w:line="240" w:lineRule="exact"/>
      <w:jc w:val="left"/>
    </w:pPr>
    <w:rPr>
      <w:rFonts w:ascii="Arial" w:hAnsi="Arial" w:cs="Arial"/>
      <w:kern w:val="0"/>
      <w:sz w:val="22"/>
      <w:szCs w:val="22"/>
      <w:lang w:eastAsia="en-US"/>
    </w:rPr>
  </w:style>
  <w:style w:type="paragraph" w:customStyle="1" w:styleId="61">
    <w:name w:val="正文文字2"/>
    <w:basedOn w:val="8"/>
    <w:qFormat/>
    <w:uiPriority w:val="99"/>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62">
    <w:name w:val="样式3"/>
    <w:basedOn w:val="10"/>
    <w:qFormat/>
    <w:uiPriority w:val="99"/>
    <w:pPr>
      <w:spacing w:line="240" w:lineRule="atLeast"/>
      <w:outlineLvl w:val="0"/>
    </w:pPr>
    <w:rPr>
      <w:sz w:val="28"/>
      <w:szCs w:val="24"/>
    </w:rPr>
  </w:style>
  <w:style w:type="paragraph" w:styleId="63">
    <w:name w:val="List Paragraph"/>
    <w:basedOn w:val="1"/>
    <w:qFormat/>
    <w:uiPriority w:val="99"/>
    <w:pPr>
      <w:ind w:firstLine="420" w:firstLineChars="200"/>
    </w:pPr>
    <w:rPr>
      <w:rFonts w:ascii="Calibri" w:hAnsi="Calibri"/>
      <w:szCs w:val="22"/>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列出段落1"/>
    <w:basedOn w:val="1"/>
    <w:qFormat/>
    <w:uiPriority w:val="99"/>
    <w:pPr>
      <w:ind w:firstLine="420" w:firstLineChars="200"/>
    </w:pPr>
    <w:rPr>
      <w:rFonts w:ascii="Calibri" w:hAnsi="Calibri"/>
      <w:szCs w:val="22"/>
    </w:rPr>
  </w:style>
  <w:style w:type="paragraph" w:customStyle="1" w:styleId="66">
    <w:name w:val="样式1"/>
    <w:basedOn w:val="1"/>
    <w:qFormat/>
    <w:uiPriority w:val="99"/>
    <w:pPr>
      <w:tabs>
        <w:tab w:val="left" w:pos="480"/>
      </w:tabs>
      <w:adjustRightInd w:val="0"/>
      <w:ind w:left="480" w:hanging="480"/>
      <w:textAlignment w:val="baseline"/>
    </w:pPr>
    <w:rPr>
      <w:rFonts w:ascii="宋体" w:hAnsi="宋体"/>
      <w:kern w:val="0"/>
      <w:szCs w:val="21"/>
    </w:rPr>
  </w:style>
  <w:style w:type="paragraph" w:customStyle="1" w:styleId="67">
    <w:name w:val="p15"/>
    <w:basedOn w:val="1"/>
    <w:qFormat/>
    <w:uiPriority w:val="99"/>
    <w:pPr>
      <w:widowControl/>
      <w:spacing w:before="100" w:beforeAutospacing="1" w:after="100" w:afterAutospacing="1"/>
      <w:jc w:val="left"/>
    </w:pPr>
    <w:rPr>
      <w:rFonts w:ascii="宋体" w:hAnsi="宋体" w:cs="宋体"/>
      <w:kern w:val="0"/>
      <w:sz w:val="24"/>
    </w:rPr>
  </w:style>
  <w:style w:type="paragraph" w:customStyle="1" w:styleId="68">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69">
    <w:name w:val="正文_29_3_4"/>
    <w:qFormat/>
    <w:uiPriority w:val="99"/>
    <w:pPr>
      <w:widowControl w:val="0"/>
      <w:jc w:val="both"/>
    </w:pPr>
    <w:rPr>
      <w:rFonts w:ascii="Calibri" w:hAnsi="Calibri" w:eastAsia="宋体" w:cs="Times New Roman"/>
      <w:kern w:val="2"/>
      <w:sz w:val="21"/>
      <w:szCs w:val="24"/>
      <w:lang w:val="en-US" w:eastAsia="zh-CN" w:bidi="ar-SA"/>
    </w:rPr>
  </w:style>
  <w:style w:type="character" w:customStyle="1" w:styleId="70">
    <w:name w:val="Body text (2) + Garamond1"/>
    <w:basedOn w:val="71"/>
    <w:qFormat/>
    <w:uiPriority w:val="99"/>
    <w:rPr>
      <w:rFonts w:ascii="Garamond" w:hAnsi="Garamond" w:cs="Garamond"/>
      <w:sz w:val="21"/>
      <w:szCs w:val="21"/>
      <w:lang w:val="en-US" w:eastAsia="en-US"/>
    </w:rPr>
  </w:style>
  <w:style w:type="character" w:customStyle="1" w:styleId="71">
    <w:name w:val="Body text (2)_"/>
    <w:basedOn w:val="25"/>
    <w:link w:val="72"/>
    <w:qFormat/>
    <w:locked/>
    <w:uiPriority w:val="99"/>
    <w:rPr>
      <w:rFonts w:cs="Times New Roman"/>
      <w:sz w:val="19"/>
      <w:szCs w:val="19"/>
      <w:shd w:val="clear" w:color="auto" w:fill="FFFFFF"/>
    </w:rPr>
  </w:style>
  <w:style w:type="paragraph" w:customStyle="1" w:styleId="72">
    <w:name w:val="Body text (2)1"/>
    <w:basedOn w:val="1"/>
    <w:link w:val="71"/>
    <w:qFormat/>
    <w:uiPriority w:val="99"/>
    <w:pPr>
      <w:shd w:val="clear" w:color="auto" w:fill="FFFFFF"/>
      <w:spacing w:before="660" w:after="100" w:afterAutospacing="1" w:line="312" w:lineRule="exact"/>
      <w:ind w:left="400" w:hanging="400"/>
      <w:jc w:val="distribute"/>
    </w:pPr>
    <w:rPr>
      <w:kern w:val="0"/>
      <w:sz w:val="19"/>
      <w:szCs w:val="19"/>
    </w:rPr>
  </w:style>
  <w:style w:type="character" w:customStyle="1" w:styleId="73">
    <w:name w:val="Body text (2)"/>
    <w:basedOn w:val="71"/>
    <w:qFormat/>
    <w:uiPriority w:val="99"/>
  </w:style>
  <w:style w:type="character" w:customStyle="1" w:styleId="74">
    <w:name w:val="bookmark-item uuid-1536114230642 code-00004"/>
    <w:basedOn w:val="25"/>
    <w:qFormat/>
    <w:uiPriority w:val="99"/>
    <w:rPr>
      <w:rFonts w:cs="Times New Roman"/>
    </w:rPr>
  </w:style>
  <w:style w:type="character" w:customStyle="1" w:styleId="75">
    <w:name w:val="bookmark-item uuid-1536114237662 code-00006"/>
    <w:basedOn w:val="25"/>
    <w:qFormat/>
    <w:uiPriority w:val="99"/>
    <w:rPr>
      <w:rFonts w:cs="Times New Roman"/>
    </w:rPr>
  </w:style>
  <w:style w:type="character" w:customStyle="1" w:styleId="76">
    <w:name w:val="bookmark-item uuid-1536114797846 code-23002"/>
    <w:basedOn w:val="25"/>
    <w:qFormat/>
    <w:uiPriority w:val="99"/>
    <w:rPr>
      <w:rFonts w:cs="Times New Roman"/>
    </w:rPr>
  </w:style>
  <w:style w:type="character" w:customStyle="1" w:styleId="77">
    <w:name w:val="bookmark-item uuid-1536114308002 code-23005"/>
    <w:basedOn w:val="25"/>
    <w:qFormat/>
    <w:uiPriority w:val="99"/>
    <w:rPr>
      <w:rFonts w:cs="Times New Roman"/>
    </w:rPr>
  </w:style>
  <w:style w:type="character" w:customStyle="1" w:styleId="78">
    <w:name w:val="bookmark-item uuid-1536114315631 code-23006"/>
    <w:basedOn w:val="25"/>
    <w:qFormat/>
    <w:uiPriority w:val="99"/>
    <w:rPr>
      <w:rFonts w:cs="Times New Roman"/>
    </w:rPr>
  </w:style>
  <w:style w:type="character" w:customStyle="1" w:styleId="79">
    <w:name w:val="bookmark-item uuid-1536114326115 code-23007"/>
    <w:basedOn w:val="25"/>
    <w:qFormat/>
    <w:uiPriority w:val="99"/>
    <w:rPr>
      <w:rFonts w:cs="Times New Roman"/>
    </w:rPr>
  </w:style>
  <w:style w:type="character" w:customStyle="1" w:styleId="80">
    <w:name w:val="bookmark-item uuid-1541657111286 code-23008"/>
    <w:basedOn w:val="25"/>
    <w:qFormat/>
    <w:uiPriority w:val="99"/>
    <w:rPr>
      <w:rFonts w:cs="Times New Roman"/>
    </w:rPr>
  </w:style>
  <w:style w:type="character" w:customStyle="1" w:styleId="81">
    <w:name w:val="bookmark-item uuid-1536114367028 code-23012"/>
    <w:basedOn w:val="25"/>
    <w:qFormat/>
    <w:uiPriority w:val="99"/>
    <w:rPr>
      <w:rFonts w:cs="Times New Roman"/>
    </w:rPr>
  </w:style>
  <w:style w:type="character" w:customStyle="1" w:styleId="82">
    <w:name w:val="bookmark-item uuid-1536114381259 code-23015"/>
    <w:basedOn w:val="25"/>
    <w:qFormat/>
    <w:uiPriority w:val="99"/>
    <w:rPr>
      <w:rFonts w:cs="Times New Roman"/>
    </w:rPr>
  </w:style>
  <w:style w:type="character" w:customStyle="1" w:styleId="83">
    <w:name w:val="bookmark-item uuid-1536114672385 code-23021"/>
    <w:basedOn w:val="25"/>
    <w:qFormat/>
    <w:uiPriority w:val="99"/>
    <w:rPr>
      <w:rFonts w:cs="Times New Roman"/>
    </w:rPr>
  </w:style>
  <w:style w:type="character" w:customStyle="1" w:styleId="84">
    <w:name w:val="bookmark-item uuid-1536114681261 code-00009"/>
    <w:basedOn w:val="25"/>
    <w:qFormat/>
    <w:uiPriority w:val="99"/>
    <w:rPr>
      <w:rFonts w:cs="Times New Roman"/>
    </w:rPr>
  </w:style>
  <w:style w:type="character" w:customStyle="1" w:styleId="85">
    <w:name w:val="bookmark-item uuid-1536114688571 code-00010"/>
    <w:basedOn w:val="25"/>
    <w:qFormat/>
    <w:uiPriority w:val="99"/>
    <w:rPr>
      <w:rFonts w:cs="Times New Roman"/>
    </w:rPr>
  </w:style>
  <w:style w:type="character" w:customStyle="1" w:styleId="86">
    <w:name w:val="bookmark-item uuid-1536114695490 code-00011"/>
    <w:basedOn w:val="25"/>
    <w:qFormat/>
    <w:uiPriority w:val="99"/>
    <w:rPr>
      <w:rFonts w:cs="Times New Roman"/>
    </w:rPr>
  </w:style>
  <w:style w:type="character" w:customStyle="1" w:styleId="87">
    <w:name w:val="bookmark-item uuid-1536114708792 code-00013"/>
    <w:basedOn w:val="25"/>
    <w:qFormat/>
    <w:uiPriority w:val="99"/>
    <w:rPr>
      <w:rFonts w:cs="Times New Roman"/>
    </w:rPr>
  </w:style>
  <w:style w:type="character" w:customStyle="1" w:styleId="88">
    <w:name w:val="bookmark-item uuid-1536114715836 code-00014"/>
    <w:basedOn w:val="25"/>
    <w:qFormat/>
    <w:uiPriority w:val="99"/>
    <w:rPr>
      <w:rFonts w:cs="Times New Roman"/>
    </w:rPr>
  </w:style>
  <w:style w:type="character" w:customStyle="1" w:styleId="89">
    <w:name w:val="bookmark-item uuid-1536114722887 code-00015"/>
    <w:basedOn w:val="25"/>
    <w:qFormat/>
    <w:uiPriority w:val="99"/>
    <w:rPr>
      <w:rFonts w:cs="Times New Roman"/>
    </w:rPr>
  </w:style>
  <w:style w:type="character" w:customStyle="1" w:styleId="90">
    <w:name w:val="bookmark-item uuid-1536114730799 code-00016"/>
    <w:basedOn w:val="25"/>
    <w:qFormat/>
    <w:uiPriority w:val="99"/>
    <w:rPr>
      <w:rFonts w:cs="Times New Roman"/>
    </w:rPr>
  </w:style>
  <w:style w:type="character" w:customStyle="1" w:styleId="91">
    <w:name w:val="bookmark-item uuid-1536114744629 code-00018"/>
    <w:basedOn w:val="25"/>
    <w:qFormat/>
    <w:uiPriority w:val="99"/>
    <w:rPr>
      <w:rFonts w:cs="Times New Roman"/>
    </w:rPr>
  </w:style>
  <w:style w:type="character" w:customStyle="1" w:styleId="92">
    <w:name w:val="bookmark-item uuid-1536114752958 code-00019"/>
    <w:basedOn w:val="25"/>
    <w:qFormat/>
    <w:uiPriority w:val="99"/>
    <w:rPr>
      <w:rFonts w:cs="Times New Roman"/>
    </w:rPr>
  </w:style>
  <w:style w:type="character" w:customStyle="1" w:styleId="93">
    <w:name w:val="bookmark-item uuid-1536114761735 code-00020"/>
    <w:basedOn w:val="25"/>
    <w:qFormat/>
    <w:uiPriority w:val="99"/>
    <w:rPr>
      <w:rFonts w:cs="Times New Roman"/>
    </w:rPr>
  </w:style>
  <w:style w:type="character" w:customStyle="1" w:styleId="94">
    <w:name w:val="bookmark-item uuid-1536114769643 code-00021"/>
    <w:basedOn w:val="25"/>
    <w:qFormat/>
    <w:uiPriority w:val="99"/>
    <w:rPr>
      <w:rFonts w:cs="Times New Roman"/>
    </w:rPr>
  </w:style>
  <w:style w:type="character" w:customStyle="1" w:styleId="95">
    <w:name w:val="纯文本 Char"/>
    <w:qFormat/>
    <w:locked/>
    <w:uiPriority w:val="99"/>
    <w:rPr>
      <w:rFonts w:ascii="宋体" w:hAnsi="Courier New" w:eastAsia="宋体"/>
      <w:kern w:val="2"/>
      <w:sz w:val="21"/>
      <w:lang w:val="en-US" w:eastAsia="zh-CN"/>
    </w:rPr>
  </w:style>
  <w:style w:type="character" w:customStyle="1" w:styleId="96">
    <w:name w:val="日期 Char"/>
    <w:semiHidden/>
    <w:qFormat/>
    <w:locked/>
    <w:uiPriority w:val="99"/>
    <w:rPr>
      <w:sz w:val="20"/>
    </w:rPr>
  </w:style>
  <w:style w:type="paragraph" w:styleId="9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5241</Words>
  <Characters>29877</Characters>
  <Lines>248</Lines>
  <Paragraphs>70</Paragraphs>
  <TotalTime>6</TotalTime>
  <ScaleCrop>false</ScaleCrop>
  <LinksUpToDate>false</LinksUpToDate>
  <CharactersWithSpaces>35048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2018-09-04T05:13:00Z</dcterms:created>
  <dc:creator>h</dc:creator>
  <cp:lastModifiedBy>新疆同孚</cp:lastModifiedBy>
  <cp:lastPrinted>2020-06-02T08:16:00Z</cp:lastPrinted>
  <dcterms:modified xsi:type="dcterms:W3CDTF">2021-11-11T09:16:43Z</dcterms:modified>
  <dc:title>自治区政府采购印刷品招标技术规范书</dc:title>
  <cp:revision>612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B2075B3C594A4C04AACDC9C78BE6376C</vt:lpwstr>
  </property>
</Properties>
</file>