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tabs>
          <w:tab w:val="left" w:pos="5891"/>
          <w:tab w:val="right" w:leader="dot" w:pos="9004"/>
          <w:tab w:val="clear" w:pos="1050"/>
          <w:tab w:val="clear" w:pos="8269"/>
        </w:tabs>
        <w:jc w:val="center"/>
        <w:rPr>
          <w:rFonts w:hint="eastAsia" w:ascii="宋体" w:hAnsi="宋体" w:cs="宋体"/>
          <w:b/>
          <w:color w:val="auto"/>
          <w:sz w:val="32"/>
          <w:szCs w:val="32"/>
          <w:highlight w:val="none"/>
          <w:lang w:eastAsia="zh-CN"/>
        </w:rPr>
      </w:pPr>
      <w:r>
        <w:rPr>
          <w:rFonts w:hint="eastAsia" w:ascii="宋体" w:hAnsi="宋体" w:cs="宋体"/>
          <w:b/>
          <w:color w:val="auto"/>
          <w:sz w:val="44"/>
          <w:szCs w:val="44"/>
          <w:highlight w:val="none"/>
          <w:lang w:eastAsia="zh-CN"/>
        </w:rPr>
        <w:t>阿克苏地区塔里木歌舞团办公区地坪及彩钢房修建项目</w:t>
      </w:r>
    </w:p>
    <w:p>
      <w:pPr>
        <w:rPr>
          <w:rFonts w:hint="eastAsia"/>
          <w:color w:val="auto"/>
          <w:highlight w:val="none"/>
          <w:lang w:eastAsia="zh-CN"/>
        </w:rPr>
      </w:pPr>
    </w:p>
    <w:p>
      <w:pPr>
        <w:rPr>
          <w:rFonts w:hint="eastAsia"/>
          <w:color w:val="auto"/>
          <w:highlight w:val="none"/>
          <w:lang w:eastAsia="zh-CN"/>
        </w:rPr>
      </w:pPr>
    </w:p>
    <w:p>
      <w:pPr>
        <w:rPr>
          <w:rFonts w:hint="eastAsia" w:ascii="宋体" w:hAnsi="宋体" w:cs="宋体"/>
          <w:b/>
          <w:color w:val="auto"/>
          <w:sz w:val="32"/>
          <w:szCs w:val="32"/>
          <w:highlight w:val="none"/>
        </w:rPr>
      </w:pPr>
    </w:p>
    <w:p>
      <w:pPr>
        <w:pStyle w:val="4"/>
        <w:rPr>
          <w:rFonts w:hint="eastAsia"/>
          <w:color w:val="auto"/>
          <w:highlight w:val="none"/>
        </w:rPr>
      </w:pPr>
    </w:p>
    <w:p>
      <w:pPr>
        <w:rPr>
          <w:rFonts w:hint="eastAsia"/>
          <w:color w:val="auto"/>
          <w:highlight w:val="none"/>
        </w:rPr>
      </w:pPr>
    </w:p>
    <w:p>
      <w:pPr>
        <w:rPr>
          <w:rFonts w:hint="eastAsia"/>
          <w:color w:val="auto"/>
          <w:highlight w:val="none"/>
        </w:rPr>
      </w:pPr>
    </w:p>
    <w:p>
      <w:pPr>
        <w:pStyle w:val="6"/>
        <w:rPr>
          <w:rFonts w:hint="eastAsia"/>
          <w:color w:val="auto"/>
          <w:highlight w:val="none"/>
        </w:rPr>
      </w:pPr>
    </w:p>
    <w:p>
      <w:pPr>
        <w:rPr>
          <w:rFonts w:hint="eastAsia"/>
          <w:color w:val="auto"/>
          <w:highlight w:val="none"/>
        </w:rPr>
      </w:pPr>
    </w:p>
    <w:p>
      <w:pPr>
        <w:rPr>
          <w:rFonts w:hint="eastAsia" w:ascii="宋体" w:hAnsi="宋体" w:cs="宋体"/>
          <w:b/>
          <w:color w:val="auto"/>
          <w:sz w:val="32"/>
          <w:szCs w:val="32"/>
          <w:highlight w:val="none"/>
        </w:rPr>
      </w:pPr>
    </w:p>
    <w:p>
      <w:pPr>
        <w:pStyle w:val="6"/>
        <w:rPr>
          <w:rFonts w:hint="eastAsia"/>
          <w:color w:val="auto"/>
          <w:highlight w:val="none"/>
        </w:rPr>
      </w:pPr>
    </w:p>
    <w:p>
      <w:pPr>
        <w:pStyle w:val="10"/>
        <w:tabs>
          <w:tab w:val="right" w:leader="dot" w:pos="9004"/>
          <w:tab w:val="clear" w:pos="1050"/>
          <w:tab w:val="clear" w:pos="8269"/>
        </w:tabs>
        <w:jc w:val="center"/>
        <w:rPr>
          <w:rFonts w:hint="eastAsia" w:ascii="宋体" w:hAnsi="宋体" w:cs="宋体"/>
          <w:b/>
          <w:color w:val="auto"/>
          <w:sz w:val="56"/>
          <w:szCs w:val="56"/>
          <w:highlight w:val="none"/>
        </w:rPr>
      </w:pPr>
      <w:r>
        <w:rPr>
          <w:rFonts w:hint="eastAsia" w:ascii="宋体" w:hAnsi="宋体" w:cs="宋体"/>
          <w:b/>
          <w:color w:val="auto"/>
          <w:sz w:val="56"/>
          <w:szCs w:val="56"/>
          <w:highlight w:val="none"/>
          <w:lang w:eastAsia="zh-CN"/>
        </w:rPr>
        <w:t>竞争性磋商</w:t>
      </w:r>
      <w:r>
        <w:rPr>
          <w:rFonts w:hint="eastAsia" w:ascii="宋体" w:hAnsi="宋体" w:cs="宋体"/>
          <w:b/>
          <w:color w:val="auto"/>
          <w:sz w:val="56"/>
          <w:szCs w:val="56"/>
          <w:highlight w:val="none"/>
        </w:rPr>
        <w:t>文件</w:t>
      </w:r>
    </w:p>
    <w:p>
      <w:pPr>
        <w:jc w:val="center"/>
        <w:rPr>
          <w:rFonts w:hint="eastAsia" w:ascii="宋体" w:hAnsi="宋体" w:cs="宋体"/>
          <w:color w:val="auto"/>
          <w:sz w:val="16"/>
          <w:szCs w:val="20"/>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pStyle w:val="10"/>
        <w:tabs>
          <w:tab w:val="right" w:leader="dot" w:pos="9004"/>
          <w:tab w:val="clear" w:pos="1050"/>
          <w:tab w:val="clear" w:pos="8269"/>
        </w:tabs>
        <w:rPr>
          <w:rFonts w:hint="eastAsia" w:ascii="宋体" w:hAnsi="宋体" w:cs="宋体"/>
          <w:b/>
          <w:color w:val="auto"/>
          <w:sz w:val="32"/>
          <w:szCs w:val="32"/>
          <w:highlight w:val="none"/>
        </w:rPr>
      </w:pPr>
    </w:p>
    <w:p>
      <w:pPr>
        <w:rPr>
          <w:rFonts w:hint="eastAsia" w:ascii="宋体" w:hAnsi="宋体" w:cs="宋体"/>
          <w:b/>
          <w:color w:val="auto"/>
          <w:sz w:val="32"/>
          <w:szCs w:val="32"/>
          <w:highlight w:val="none"/>
        </w:rPr>
      </w:pPr>
    </w:p>
    <w:p>
      <w:pPr>
        <w:pStyle w:val="6"/>
        <w:rPr>
          <w:rFonts w:hint="eastAsia" w:ascii="宋体" w:hAnsi="宋体" w:cs="宋体"/>
          <w:b/>
          <w:color w:val="auto"/>
          <w:sz w:val="32"/>
          <w:szCs w:val="32"/>
          <w:highlight w:val="none"/>
        </w:rPr>
      </w:pPr>
    </w:p>
    <w:p>
      <w:pPr>
        <w:rPr>
          <w:rFonts w:hint="eastAsia" w:ascii="宋体" w:hAnsi="宋体" w:cs="宋体"/>
          <w:b/>
          <w:color w:val="auto"/>
          <w:sz w:val="32"/>
          <w:szCs w:val="32"/>
          <w:highlight w:val="none"/>
        </w:rPr>
      </w:pPr>
    </w:p>
    <w:p>
      <w:pPr>
        <w:pStyle w:val="6"/>
        <w:rPr>
          <w:rFonts w:hint="eastAsia" w:ascii="宋体" w:hAnsi="宋体" w:cs="宋体"/>
          <w:b/>
          <w:color w:val="auto"/>
          <w:sz w:val="32"/>
          <w:szCs w:val="32"/>
          <w:highlight w:val="none"/>
        </w:rPr>
      </w:pPr>
    </w:p>
    <w:p>
      <w:pPr>
        <w:rPr>
          <w:rFonts w:hint="eastAsia" w:ascii="宋体" w:hAnsi="宋体" w:cs="宋体"/>
          <w:b/>
          <w:color w:val="auto"/>
          <w:sz w:val="32"/>
          <w:szCs w:val="32"/>
          <w:highlight w:val="none"/>
        </w:rPr>
      </w:pPr>
    </w:p>
    <w:p>
      <w:pPr>
        <w:pStyle w:val="6"/>
        <w:rPr>
          <w:rFonts w:hint="eastAsia"/>
          <w:color w:val="auto"/>
          <w:highlight w:val="none"/>
        </w:rPr>
      </w:pPr>
    </w:p>
    <w:p>
      <w:pPr>
        <w:rPr>
          <w:rFonts w:hint="eastAsia"/>
          <w:color w:val="auto"/>
          <w:highlight w:val="none"/>
        </w:rPr>
      </w:pPr>
    </w:p>
    <w:p>
      <w:pPr>
        <w:pStyle w:val="10"/>
        <w:tabs>
          <w:tab w:val="right" w:leader="dot" w:pos="9004"/>
          <w:tab w:val="clear" w:pos="1050"/>
          <w:tab w:val="clear" w:pos="8269"/>
        </w:tabs>
        <w:jc w:val="both"/>
        <w:rPr>
          <w:rFonts w:hint="eastAsia" w:ascii="宋体" w:hAnsi="宋体" w:cs="宋体"/>
          <w:b/>
          <w:color w:val="auto"/>
          <w:sz w:val="32"/>
          <w:szCs w:val="32"/>
          <w:highlight w:val="none"/>
        </w:rPr>
      </w:pPr>
      <w:r>
        <w:rPr>
          <w:rFonts w:hint="eastAsia" w:ascii="宋体" w:hAnsi="宋体" w:cs="宋体"/>
          <w:b/>
          <w:color w:val="auto"/>
          <w:sz w:val="32"/>
          <w:szCs w:val="32"/>
          <w:highlight w:val="none"/>
        </w:rPr>
        <w:t xml:space="preserve">       </w:t>
      </w:r>
    </w:p>
    <w:p>
      <w:pPr>
        <w:pStyle w:val="10"/>
        <w:tabs>
          <w:tab w:val="right" w:leader="dot" w:pos="9004"/>
          <w:tab w:val="clear" w:pos="1050"/>
          <w:tab w:val="clear" w:pos="8269"/>
        </w:tabs>
        <w:jc w:val="both"/>
        <w:rPr>
          <w:rFonts w:hint="eastAsia" w:ascii="宋体" w:hAnsi="宋体" w:cs="宋体"/>
          <w:b/>
          <w:color w:val="auto"/>
          <w:sz w:val="32"/>
          <w:szCs w:val="32"/>
          <w:highlight w:val="none"/>
        </w:rPr>
      </w:pPr>
    </w:p>
    <w:p>
      <w:pPr>
        <w:pStyle w:val="10"/>
        <w:tabs>
          <w:tab w:val="right" w:leader="dot" w:pos="9004"/>
          <w:tab w:val="clear" w:pos="1050"/>
          <w:tab w:val="clear" w:pos="8269"/>
        </w:tabs>
        <w:jc w:val="both"/>
        <w:rPr>
          <w:rFonts w:hint="eastAsia" w:ascii="宋体" w:hAnsi="宋体" w:cs="宋体"/>
          <w:b/>
          <w:color w:val="auto"/>
          <w:sz w:val="32"/>
          <w:szCs w:val="32"/>
          <w:highlight w:val="none"/>
        </w:rPr>
      </w:pPr>
    </w:p>
    <w:p>
      <w:pPr>
        <w:spacing w:line="360" w:lineRule="auto"/>
        <w:ind w:firstLine="643" w:firstLineChars="200"/>
        <w:rPr>
          <w:rFonts w:hint="default" w:ascii="黑体" w:hAnsi="黑体" w:eastAsia="黑体" w:cs="黑体"/>
          <w:color w:val="auto"/>
          <w:sz w:val="28"/>
          <w:szCs w:val="28"/>
          <w:highlight w:val="none"/>
          <w:lang w:val="en-US" w:eastAsia="zh-CN"/>
        </w:rPr>
      </w:pPr>
      <w:r>
        <w:rPr>
          <w:rFonts w:hint="eastAsia" w:ascii="宋体" w:hAnsi="宋体" w:cs="宋体"/>
          <w:b/>
          <w:color w:val="auto"/>
          <w:sz w:val="32"/>
          <w:szCs w:val="32"/>
          <w:highlight w:val="none"/>
        </w:rPr>
        <w:t xml:space="preserve">  </w:t>
      </w:r>
      <w:r>
        <w:rPr>
          <w:rFonts w:hint="eastAsia" w:ascii="宋体" w:hAnsi="宋体" w:cs="宋体"/>
          <w:b/>
          <w:color w:val="auto"/>
          <w:sz w:val="32"/>
          <w:szCs w:val="32"/>
          <w:highlight w:val="none"/>
          <w:lang w:val="en-US" w:eastAsia="zh-CN"/>
        </w:rPr>
        <w:t xml:space="preserve"> </w:t>
      </w:r>
      <w:r>
        <w:rPr>
          <w:rFonts w:hint="eastAsia" w:ascii="黑体" w:hAnsi="黑体" w:eastAsia="黑体" w:cs="黑体"/>
          <w:color w:val="auto"/>
          <w:sz w:val="28"/>
          <w:szCs w:val="28"/>
          <w:highlight w:val="none"/>
        </w:rPr>
        <w:t>项目编号</w:t>
      </w:r>
      <w:r>
        <w:rPr>
          <w:rFonts w:hint="eastAsia" w:ascii="黑体" w:hAnsi="黑体" w:eastAsia="黑体" w:cs="黑体"/>
          <w:color w:val="auto"/>
          <w:sz w:val="28"/>
          <w:szCs w:val="28"/>
          <w:highlight w:val="none"/>
          <w:lang w:val="en-US" w:eastAsia="zh-CN"/>
        </w:rPr>
        <w:t>: 2021-XJZYXM-010</w:t>
      </w:r>
    </w:p>
    <w:p>
      <w:pPr>
        <w:pStyle w:val="10"/>
        <w:tabs>
          <w:tab w:val="right" w:leader="dot" w:pos="9004"/>
          <w:tab w:val="clear" w:pos="1050"/>
          <w:tab w:val="clear" w:pos="8269"/>
        </w:tabs>
        <w:spacing w:line="700" w:lineRule="exact"/>
        <w:ind w:firstLine="1106" w:firstLineChars="395"/>
        <w:jc w:val="both"/>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rPr>
        <w:t>采 购 人：</w:t>
      </w:r>
      <w:r>
        <w:rPr>
          <w:rFonts w:hint="eastAsia" w:ascii="黑体" w:hAnsi="黑体" w:eastAsia="黑体" w:cs="黑体"/>
          <w:color w:val="auto"/>
          <w:sz w:val="28"/>
          <w:szCs w:val="28"/>
          <w:highlight w:val="none"/>
          <w:lang w:eastAsia="zh-CN"/>
        </w:rPr>
        <w:t>阿克苏地区塔里木歌舞团</w:t>
      </w:r>
    </w:p>
    <w:p>
      <w:pPr>
        <w:pStyle w:val="10"/>
        <w:tabs>
          <w:tab w:val="right" w:leader="dot" w:pos="9004"/>
          <w:tab w:val="clear" w:pos="1050"/>
          <w:tab w:val="clear" w:pos="8269"/>
        </w:tabs>
        <w:spacing w:line="700" w:lineRule="exact"/>
        <w:ind w:firstLine="1106" w:firstLineChars="395"/>
        <w:jc w:val="both"/>
        <w:rPr>
          <w:rFonts w:hint="eastAsia" w:ascii="宋体" w:hAnsi="宋体" w:cs="宋体"/>
          <w:b/>
          <w:color w:val="auto"/>
          <w:sz w:val="32"/>
          <w:szCs w:val="32"/>
          <w:highlight w:val="none"/>
        </w:rPr>
      </w:pPr>
      <w:r>
        <w:rPr>
          <w:rFonts w:hint="eastAsia" w:ascii="黑体" w:hAnsi="黑体" w:eastAsia="黑体" w:cs="黑体"/>
          <w:color w:val="auto"/>
          <w:sz w:val="28"/>
          <w:szCs w:val="28"/>
          <w:highlight w:val="none"/>
        </w:rPr>
        <w:t>招标机构：</w:t>
      </w:r>
      <w:r>
        <w:rPr>
          <w:rFonts w:hint="eastAsia" w:ascii="黑体" w:hAnsi="黑体" w:eastAsia="黑体" w:cs="黑体"/>
          <w:color w:val="auto"/>
          <w:sz w:val="28"/>
          <w:szCs w:val="28"/>
          <w:highlight w:val="none"/>
          <w:lang w:val="en-US" w:eastAsia="zh-CN"/>
        </w:rPr>
        <w:t>新疆泽一项目管理有限公司</w:t>
      </w:r>
    </w:p>
    <w:p>
      <w:pPr>
        <w:pStyle w:val="10"/>
        <w:tabs>
          <w:tab w:val="right" w:leader="dot" w:pos="9004"/>
          <w:tab w:val="clear" w:pos="1050"/>
          <w:tab w:val="clear" w:pos="8269"/>
        </w:tabs>
        <w:spacing w:line="700" w:lineRule="exact"/>
        <w:ind w:firstLine="1269" w:firstLineChars="395"/>
        <w:jc w:val="both"/>
        <w:rPr>
          <w:rFonts w:hint="eastAsia" w:ascii="黑体" w:hAnsi="黑体" w:eastAsia="黑体" w:cs="黑体"/>
          <w:color w:val="auto"/>
          <w:sz w:val="28"/>
          <w:szCs w:val="28"/>
          <w:highlight w:val="none"/>
        </w:rPr>
      </w:pPr>
      <w:r>
        <w:rPr>
          <w:rFonts w:hint="eastAsia" w:ascii="宋体" w:hAnsi="宋体" w:cs="宋体"/>
          <w:b/>
          <w:color w:val="auto"/>
          <w:sz w:val="32"/>
          <w:szCs w:val="32"/>
          <w:highlight w:val="none"/>
        </w:rPr>
        <w:t xml:space="preserve">        </w:t>
      </w:r>
      <w:r>
        <w:rPr>
          <w:rFonts w:hint="eastAsia" w:ascii="黑体" w:hAnsi="黑体" w:eastAsia="黑体" w:cs="黑体"/>
          <w:color w:val="auto"/>
          <w:sz w:val="28"/>
          <w:szCs w:val="28"/>
          <w:highlight w:val="none"/>
        </w:rPr>
        <w:t xml:space="preserve">    二0二</w:t>
      </w:r>
      <w:r>
        <w:rPr>
          <w:rFonts w:hint="eastAsia" w:ascii="黑体" w:hAnsi="黑体" w:eastAsia="黑体" w:cs="黑体"/>
          <w:color w:val="auto"/>
          <w:sz w:val="28"/>
          <w:szCs w:val="28"/>
          <w:highlight w:val="none"/>
          <w:lang w:eastAsia="zh-CN"/>
        </w:rPr>
        <w:t>一</w:t>
      </w:r>
      <w:r>
        <w:rPr>
          <w:rFonts w:hint="eastAsia" w:ascii="黑体" w:hAnsi="黑体" w:eastAsia="黑体" w:cs="黑体"/>
          <w:color w:val="auto"/>
          <w:sz w:val="28"/>
          <w:szCs w:val="28"/>
          <w:highlight w:val="none"/>
        </w:rPr>
        <w:t>年</w:t>
      </w:r>
      <w:r>
        <w:rPr>
          <w:rFonts w:hint="eastAsia" w:ascii="黑体" w:hAnsi="黑体" w:eastAsia="黑体" w:cs="黑体"/>
          <w:color w:val="auto"/>
          <w:sz w:val="28"/>
          <w:szCs w:val="28"/>
          <w:highlight w:val="none"/>
          <w:lang w:eastAsia="zh-CN"/>
        </w:rPr>
        <w:t>十</w:t>
      </w:r>
      <w:r>
        <w:rPr>
          <w:rFonts w:hint="eastAsia" w:ascii="黑体" w:hAnsi="黑体" w:eastAsia="黑体" w:cs="黑体"/>
          <w:color w:val="auto"/>
          <w:sz w:val="28"/>
          <w:szCs w:val="28"/>
          <w:highlight w:val="none"/>
          <w:lang w:val="en-US" w:eastAsia="zh-CN"/>
        </w:rPr>
        <w:t>一</w:t>
      </w:r>
      <w:r>
        <w:rPr>
          <w:rFonts w:hint="eastAsia" w:ascii="黑体" w:hAnsi="黑体" w:eastAsia="黑体" w:cs="黑体"/>
          <w:color w:val="auto"/>
          <w:sz w:val="28"/>
          <w:szCs w:val="28"/>
          <w:highlight w:val="none"/>
        </w:rPr>
        <w:t>月</w:t>
      </w:r>
    </w:p>
    <w:p>
      <w:pPr>
        <w:rPr>
          <w:rFonts w:hint="eastAsia"/>
          <w:color w:val="auto"/>
          <w:highlight w:val="none"/>
        </w:rPr>
      </w:pPr>
    </w:p>
    <w:p>
      <w:pPr>
        <w:spacing w:before="312" w:beforeLines="100"/>
        <w:jc w:val="center"/>
        <w:rPr>
          <w:rFonts w:hint="eastAsia" w:ascii="宋体" w:hAnsi="宋体" w:cs="宋体"/>
          <w:b/>
          <w:color w:val="auto"/>
          <w:sz w:val="44"/>
          <w:szCs w:val="44"/>
          <w:highlight w:val="none"/>
          <w:lang w:eastAsia="zh-CN"/>
        </w:rPr>
      </w:pPr>
      <w:r>
        <w:rPr>
          <w:rFonts w:hint="eastAsia" w:ascii="宋体" w:hAnsi="宋体" w:cs="宋体"/>
          <w:b/>
          <w:color w:val="auto"/>
          <w:sz w:val="44"/>
          <w:szCs w:val="44"/>
          <w:highlight w:val="none"/>
          <w:lang w:eastAsia="zh-CN"/>
        </w:rPr>
        <w:drawing>
          <wp:inline distT="0" distB="0" distL="114300" distR="114300">
            <wp:extent cx="6047105" cy="8551545"/>
            <wp:effectExtent l="0" t="0" r="10795" b="1905"/>
            <wp:docPr id="12" name="图片 1" descr="doc00297820211110114742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doc00297820211110114742_001"/>
                    <pic:cNvPicPr>
                      <a:picLocks noChangeAspect="1"/>
                    </pic:cNvPicPr>
                  </pic:nvPicPr>
                  <pic:blipFill>
                    <a:blip r:embed="rId18"/>
                    <a:stretch>
                      <a:fillRect/>
                    </a:stretch>
                  </pic:blipFill>
                  <pic:spPr>
                    <a:xfrm>
                      <a:off x="0" y="0"/>
                      <a:ext cx="6047105" cy="8551545"/>
                    </a:xfrm>
                    <a:prstGeom prst="rect">
                      <a:avLst/>
                    </a:prstGeom>
                    <a:noFill/>
                    <a:ln>
                      <a:noFill/>
                    </a:ln>
                  </pic:spPr>
                </pic:pic>
              </a:graphicData>
            </a:graphic>
          </wp:inline>
        </w:drawing>
      </w:r>
      <w:r>
        <w:rPr>
          <w:rFonts w:hint="eastAsia" w:ascii="宋体" w:hAnsi="宋体" w:cs="宋体"/>
          <w:b/>
          <w:color w:val="auto"/>
          <w:sz w:val="44"/>
          <w:szCs w:val="44"/>
          <w:highlight w:val="none"/>
          <w:lang w:eastAsia="zh-CN"/>
        </w:rPr>
        <w:drawing>
          <wp:inline distT="0" distB="0" distL="114300" distR="114300">
            <wp:extent cx="6047105" cy="8551545"/>
            <wp:effectExtent l="0" t="0" r="10795" b="1905"/>
            <wp:docPr id="6" name="图片 2" descr="doc00297920211110114807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doc00297920211110114807_001"/>
                    <pic:cNvPicPr>
                      <a:picLocks noChangeAspect="1"/>
                    </pic:cNvPicPr>
                  </pic:nvPicPr>
                  <pic:blipFill>
                    <a:blip r:embed="rId19"/>
                    <a:stretch>
                      <a:fillRect/>
                    </a:stretch>
                  </pic:blipFill>
                  <pic:spPr>
                    <a:xfrm>
                      <a:off x="0" y="0"/>
                      <a:ext cx="6047105" cy="8551545"/>
                    </a:xfrm>
                    <a:prstGeom prst="rect">
                      <a:avLst/>
                    </a:prstGeom>
                    <a:noFill/>
                    <a:ln>
                      <a:noFill/>
                    </a:ln>
                  </pic:spPr>
                </pic:pic>
              </a:graphicData>
            </a:graphic>
          </wp:inline>
        </w:drawing>
      </w:r>
      <w:r>
        <w:rPr>
          <w:rFonts w:hint="eastAsia" w:ascii="宋体" w:hAnsi="宋体" w:cs="宋体"/>
          <w:b/>
          <w:color w:val="auto"/>
          <w:sz w:val="44"/>
          <w:szCs w:val="44"/>
          <w:highlight w:val="none"/>
          <w:lang w:eastAsia="zh-CN"/>
        </w:rPr>
        <w:drawing>
          <wp:inline distT="0" distB="0" distL="114300" distR="114300">
            <wp:extent cx="6047105" cy="8551545"/>
            <wp:effectExtent l="0" t="0" r="10795" b="1905"/>
            <wp:docPr id="9" name="图片 3" descr="doc00298020211110114833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doc00298020211110114833_001"/>
                    <pic:cNvPicPr>
                      <a:picLocks noChangeAspect="1"/>
                    </pic:cNvPicPr>
                  </pic:nvPicPr>
                  <pic:blipFill>
                    <a:blip r:embed="rId20"/>
                    <a:stretch>
                      <a:fillRect/>
                    </a:stretch>
                  </pic:blipFill>
                  <pic:spPr>
                    <a:xfrm>
                      <a:off x="0" y="0"/>
                      <a:ext cx="6047105" cy="8551545"/>
                    </a:xfrm>
                    <a:prstGeom prst="rect">
                      <a:avLst/>
                    </a:prstGeom>
                    <a:noFill/>
                    <a:ln>
                      <a:noFill/>
                    </a:ln>
                  </pic:spPr>
                </pic:pic>
              </a:graphicData>
            </a:graphic>
          </wp:inline>
        </w:drawing>
      </w:r>
    </w:p>
    <w:p>
      <w:pPr>
        <w:tabs>
          <w:tab w:val="left" w:pos="216"/>
          <w:tab w:val="center" w:pos="4824"/>
        </w:tabs>
        <w:spacing w:line="360" w:lineRule="auto"/>
        <w:jc w:val="left"/>
        <w:rPr>
          <w:rFonts w:hint="eastAsia" w:ascii="宋体" w:hAnsi="宋体"/>
          <w:b/>
          <w:bCs/>
          <w:color w:val="auto"/>
          <w:sz w:val="44"/>
          <w:szCs w:val="44"/>
          <w:highlight w:val="none"/>
        </w:rPr>
      </w:pPr>
      <w:r>
        <w:rPr>
          <w:rFonts w:hint="eastAsia" w:ascii="宋体" w:hAnsi="宋体"/>
          <w:b/>
          <w:bCs/>
          <w:color w:val="auto"/>
          <w:sz w:val="44"/>
          <w:szCs w:val="44"/>
          <w:highlight w:val="none"/>
          <w:lang w:eastAsia="zh-CN"/>
        </w:rPr>
        <w:tab/>
        <w:t/>
      </w:r>
      <w:r>
        <w:rPr>
          <w:rFonts w:hint="eastAsia" w:ascii="宋体" w:hAnsi="宋体"/>
          <w:b/>
          <w:bCs/>
          <w:color w:val="auto"/>
          <w:sz w:val="44"/>
          <w:szCs w:val="44"/>
          <w:highlight w:val="none"/>
          <w:lang w:eastAsia="zh-CN"/>
        </w:rPr>
        <w:tab/>
      </w:r>
      <w:r>
        <w:rPr>
          <w:rFonts w:hint="eastAsia" w:ascii="宋体" w:hAnsi="宋体"/>
          <w:b/>
          <w:bCs/>
          <w:color w:val="auto"/>
          <w:sz w:val="44"/>
          <w:szCs w:val="44"/>
          <w:highlight w:val="none"/>
        </w:rPr>
        <w:t>目    录</w:t>
      </w:r>
    </w:p>
    <w:p>
      <w:pPr>
        <w:pStyle w:val="10"/>
        <w:tabs>
          <w:tab w:val="right" w:leader="dot" w:pos="9525"/>
          <w:tab w:val="clear" w:pos="1050"/>
          <w:tab w:val="clear" w:pos="8269"/>
        </w:tabs>
        <w:spacing w:line="360" w:lineRule="auto"/>
        <w:rPr>
          <w:color w:val="auto"/>
          <w:highlight w:val="none"/>
        </w:rPr>
      </w:pPr>
      <w:bookmarkStart w:id="0" w:name="_Toc373314691"/>
      <w:r>
        <w:rPr>
          <w:rFonts w:ascii="宋体" w:hAnsi="宋体"/>
          <w:color w:val="auto"/>
          <w:sz w:val="24"/>
          <w:highlight w:val="none"/>
        </w:rPr>
        <w:fldChar w:fldCharType="begin"/>
      </w:r>
      <w:r>
        <w:rPr>
          <w:rFonts w:ascii="宋体" w:hAnsi="宋体"/>
          <w:color w:val="auto"/>
          <w:sz w:val="24"/>
          <w:highlight w:val="none"/>
        </w:rPr>
        <w:instrText xml:space="preserve"> TOC \o "1-2" \h \z \u </w:instrText>
      </w:r>
      <w:r>
        <w:rPr>
          <w:rFonts w:ascii="宋体" w:hAnsi="宋体"/>
          <w:color w:val="auto"/>
          <w:sz w:val="24"/>
          <w:highlight w:val="none"/>
        </w:rPr>
        <w:fldChar w:fldCharType="separate"/>
      </w:r>
      <w:r>
        <w:rPr>
          <w:rFonts w:ascii="宋体" w:hAnsi="宋体"/>
          <w:color w:val="auto"/>
          <w:highlight w:val="none"/>
        </w:rPr>
        <w:fldChar w:fldCharType="begin"/>
      </w:r>
      <w:r>
        <w:rPr>
          <w:rFonts w:ascii="宋体" w:hAnsi="宋体"/>
          <w:color w:val="auto"/>
          <w:highlight w:val="none"/>
        </w:rPr>
        <w:instrText xml:space="preserve"> HYPERLINK \l _Toc30206 </w:instrText>
      </w:r>
      <w:r>
        <w:rPr>
          <w:rFonts w:ascii="宋体" w:hAnsi="宋体"/>
          <w:color w:val="auto"/>
          <w:highlight w:val="none"/>
        </w:rPr>
        <w:fldChar w:fldCharType="separate"/>
      </w:r>
      <w:r>
        <w:rPr>
          <w:rFonts w:hint="eastAsia"/>
          <w:color w:val="auto"/>
          <w:highlight w:val="none"/>
        </w:rPr>
        <w:t xml:space="preserve">第一章  </w:t>
      </w:r>
      <w:r>
        <w:rPr>
          <w:rFonts w:hint="eastAsia"/>
          <w:color w:val="auto"/>
          <w:szCs w:val="30"/>
          <w:highlight w:val="none"/>
          <w:lang w:eastAsia="zh-CN"/>
        </w:rPr>
        <w:t>磋商</w:t>
      </w:r>
      <w:r>
        <w:rPr>
          <w:rFonts w:hint="eastAsia"/>
          <w:color w:val="auto"/>
          <w:szCs w:val="30"/>
          <w:highlight w:val="none"/>
        </w:rPr>
        <w:t>公告</w:t>
      </w:r>
      <w:r>
        <w:rPr>
          <w:color w:val="auto"/>
          <w:highlight w:val="none"/>
        </w:rPr>
        <w:tab/>
      </w:r>
      <w:r>
        <w:rPr>
          <w:color w:val="auto"/>
          <w:highlight w:val="none"/>
        </w:rPr>
        <w:fldChar w:fldCharType="begin"/>
      </w:r>
      <w:r>
        <w:rPr>
          <w:color w:val="auto"/>
          <w:highlight w:val="none"/>
        </w:rPr>
        <w:instrText xml:space="preserve"> PAGEREF _Toc30206 \h </w:instrText>
      </w:r>
      <w:r>
        <w:rPr>
          <w:color w:val="auto"/>
          <w:highlight w:val="none"/>
        </w:rPr>
        <w:fldChar w:fldCharType="separate"/>
      </w:r>
      <w:r>
        <w:rPr>
          <w:color w:val="auto"/>
          <w:highlight w:val="none"/>
        </w:rPr>
        <w:t>- 1 -</w:t>
      </w:r>
      <w:r>
        <w:rPr>
          <w:color w:val="auto"/>
          <w:highlight w:val="none"/>
        </w:rPr>
        <w:fldChar w:fldCharType="end"/>
      </w:r>
      <w:r>
        <w:rPr>
          <w:rFonts w:ascii="宋体" w:hAnsi="宋体"/>
          <w:color w:val="auto"/>
          <w:highlight w:val="none"/>
        </w:rPr>
        <w:fldChar w:fldCharType="end"/>
      </w:r>
    </w:p>
    <w:p>
      <w:pPr>
        <w:pStyle w:val="10"/>
        <w:tabs>
          <w:tab w:val="right" w:leader="dot" w:pos="9525"/>
          <w:tab w:val="clear" w:pos="1050"/>
          <w:tab w:val="clear" w:pos="8269"/>
        </w:tabs>
        <w:spacing w:line="360" w:lineRule="auto"/>
        <w:rPr>
          <w:color w:val="auto"/>
          <w:highlight w:val="none"/>
        </w:rPr>
      </w:pPr>
      <w:r>
        <w:rPr>
          <w:rFonts w:ascii="宋体" w:hAnsi="宋体"/>
          <w:color w:val="auto"/>
          <w:szCs w:val="24"/>
          <w:highlight w:val="none"/>
          <w:lang w:val="en-US" w:eastAsia="zh-CN"/>
        </w:rPr>
        <w:fldChar w:fldCharType="begin"/>
      </w:r>
      <w:r>
        <w:rPr>
          <w:rFonts w:ascii="宋体" w:hAnsi="宋体"/>
          <w:color w:val="auto"/>
          <w:szCs w:val="24"/>
          <w:highlight w:val="none"/>
          <w:lang w:val="en-US" w:eastAsia="zh-CN"/>
        </w:rPr>
        <w:instrText xml:space="preserve"> HYPERLINK \l _Toc19030 </w:instrText>
      </w:r>
      <w:r>
        <w:rPr>
          <w:rFonts w:ascii="宋体" w:hAnsi="宋体"/>
          <w:color w:val="auto"/>
          <w:szCs w:val="24"/>
          <w:highlight w:val="none"/>
          <w:lang w:val="en-US" w:eastAsia="zh-CN"/>
        </w:rPr>
        <w:fldChar w:fldCharType="separate"/>
      </w:r>
      <w:r>
        <w:rPr>
          <w:rFonts w:hint="eastAsia"/>
          <w:color w:val="auto"/>
          <w:szCs w:val="30"/>
          <w:highlight w:val="none"/>
        </w:rPr>
        <w:t>第二章  供应商须知及前附表</w:t>
      </w:r>
      <w:r>
        <w:rPr>
          <w:color w:val="auto"/>
          <w:highlight w:val="none"/>
        </w:rPr>
        <w:tab/>
      </w:r>
      <w:r>
        <w:rPr>
          <w:color w:val="auto"/>
          <w:highlight w:val="none"/>
        </w:rPr>
        <w:fldChar w:fldCharType="begin"/>
      </w:r>
      <w:r>
        <w:rPr>
          <w:color w:val="auto"/>
          <w:highlight w:val="none"/>
        </w:rPr>
        <w:instrText xml:space="preserve"> PAGEREF _Toc19030 \h </w:instrText>
      </w:r>
      <w:r>
        <w:rPr>
          <w:color w:val="auto"/>
          <w:highlight w:val="none"/>
        </w:rPr>
        <w:fldChar w:fldCharType="separate"/>
      </w:r>
      <w:r>
        <w:rPr>
          <w:color w:val="auto"/>
          <w:highlight w:val="none"/>
        </w:rPr>
        <w:t>- 6 -</w:t>
      </w:r>
      <w:r>
        <w:rPr>
          <w:color w:val="auto"/>
          <w:highlight w:val="none"/>
        </w:rPr>
        <w:fldChar w:fldCharType="end"/>
      </w:r>
      <w:r>
        <w:rPr>
          <w:rFonts w:ascii="宋体" w:hAnsi="宋体"/>
          <w:color w:val="auto"/>
          <w:szCs w:val="24"/>
          <w:highlight w:val="none"/>
          <w:lang w:val="en-US" w:eastAsia="zh-CN"/>
        </w:rPr>
        <w:fldChar w:fldCharType="end"/>
      </w:r>
    </w:p>
    <w:p>
      <w:pPr>
        <w:pStyle w:val="10"/>
        <w:tabs>
          <w:tab w:val="right" w:leader="dot" w:pos="9525"/>
          <w:tab w:val="clear" w:pos="1050"/>
          <w:tab w:val="clear" w:pos="8269"/>
        </w:tabs>
        <w:spacing w:line="360" w:lineRule="auto"/>
        <w:rPr>
          <w:color w:val="auto"/>
          <w:highlight w:val="none"/>
        </w:rPr>
      </w:pPr>
      <w:r>
        <w:rPr>
          <w:rFonts w:ascii="宋体" w:hAnsi="宋体"/>
          <w:color w:val="auto"/>
          <w:szCs w:val="24"/>
          <w:highlight w:val="none"/>
          <w:lang w:val="en-US" w:eastAsia="zh-CN"/>
        </w:rPr>
        <w:fldChar w:fldCharType="begin"/>
      </w:r>
      <w:r>
        <w:rPr>
          <w:rFonts w:ascii="宋体" w:hAnsi="宋体"/>
          <w:color w:val="auto"/>
          <w:szCs w:val="24"/>
          <w:highlight w:val="none"/>
          <w:lang w:val="en-US" w:eastAsia="zh-CN"/>
        </w:rPr>
        <w:instrText xml:space="preserve"> HYPERLINK \l _Toc2086 </w:instrText>
      </w:r>
      <w:r>
        <w:rPr>
          <w:rFonts w:ascii="宋体" w:hAnsi="宋体"/>
          <w:color w:val="auto"/>
          <w:szCs w:val="24"/>
          <w:highlight w:val="none"/>
          <w:lang w:val="en-US" w:eastAsia="zh-CN"/>
        </w:rPr>
        <w:fldChar w:fldCharType="separate"/>
      </w:r>
      <w:r>
        <w:rPr>
          <w:rFonts w:hint="eastAsia"/>
          <w:color w:val="auto"/>
          <w:highlight w:val="none"/>
        </w:rPr>
        <w:t>第三章  评标办法</w:t>
      </w:r>
      <w:r>
        <w:rPr>
          <w:color w:val="auto"/>
          <w:highlight w:val="none"/>
        </w:rPr>
        <w:tab/>
      </w:r>
      <w:r>
        <w:rPr>
          <w:color w:val="auto"/>
          <w:highlight w:val="none"/>
        </w:rPr>
        <w:fldChar w:fldCharType="begin"/>
      </w:r>
      <w:r>
        <w:rPr>
          <w:color w:val="auto"/>
          <w:highlight w:val="none"/>
        </w:rPr>
        <w:instrText xml:space="preserve"> PAGEREF _Toc2086 \h </w:instrText>
      </w:r>
      <w:r>
        <w:rPr>
          <w:color w:val="auto"/>
          <w:highlight w:val="none"/>
        </w:rPr>
        <w:fldChar w:fldCharType="separate"/>
      </w:r>
      <w:r>
        <w:rPr>
          <w:color w:val="auto"/>
          <w:highlight w:val="none"/>
        </w:rPr>
        <w:t>- 27 -</w:t>
      </w:r>
      <w:r>
        <w:rPr>
          <w:color w:val="auto"/>
          <w:highlight w:val="none"/>
        </w:rPr>
        <w:fldChar w:fldCharType="end"/>
      </w:r>
      <w:r>
        <w:rPr>
          <w:rFonts w:ascii="宋体" w:hAnsi="宋体"/>
          <w:color w:val="auto"/>
          <w:szCs w:val="24"/>
          <w:highlight w:val="none"/>
          <w:lang w:val="en-US" w:eastAsia="zh-CN"/>
        </w:rPr>
        <w:fldChar w:fldCharType="end"/>
      </w:r>
    </w:p>
    <w:p>
      <w:pPr>
        <w:pStyle w:val="10"/>
        <w:tabs>
          <w:tab w:val="right" w:leader="dot" w:pos="9525"/>
          <w:tab w:val="clear" w:pos="1050"/>
          <w:tab w:val="clear" w:pos="8269"/>
        </w:tabs>
        <w:spacing w:line="360" w:lineRule="auto"/>
        <w:rPr>
          <w:color w:val="auto"/>
          <w:highlight w:val="none"/>
        </w:rPr>
      </w:pPr>
      <w:r>
        <w:rPr>
          <w:rFonts w:ascii="宋体" w:hAnsi="宋体"/>
          <w:color w:val="auto"/>
          <w:szCs w:val="24"/>
          <w:highlight w:val="none"/>
          <w:lang w:val="en-US" w:eastAsia="zh-CN"/>
        </w:rPr>
        <w:fldChar w:fldCharType="begin"/>
      </w:r>
      <w:r>
        <w:rPr>
          <w:rFonts w:ascii="宋体" w:hAnsi="宋体"/>
          <w:color w:val="auto"/>
          <w:szCs w:val="24"/>
          <w:highlight w:val="none"/>
          <w:lang w:val="en-US" w:eastAsia="zh-CN"/>
        </w:rPr>
        <w:instrText xml:space="preserve"> HYPERLINK \l _Toc24503 </w:instrText>
      </w:r>
      <w:r>
        <w:rPr>
          <w:rFonts w:ascii="宋体" w:hAnsi="宋体"/>
          <w:color w:val="auto"/>
          <w:szCs w:val="24"/>
          <w:highlight w:val="none"/>
          <w:lang w:val="en-US" w:eastAsia="zh-CN"/>
        </w:rPr>
        <w:fldChar w:fldCharType="separate"/>
      </w:r>
      <w:r>
        <w:rPr>
          <w:rFonts w:hint="eastAsia"/>
          <w:color w:val="auto"/>
          <w:highlight w:val="none"/>
        </w:rPr>
        <w:t>第四章  招标内容</w:t>
      </w:r>
      <w:r>
        <w:rPr>
          <w:rFonts w:hint="eastAsia"/>
          <w:color w:val="auto"/>
          <w:highlight w:val="none"/>
          <w:lang w:eastAsia="zh-CN"/>
        </w:rPr>
        <w:t>及需求</w:t>
      </w:r>
      <w:r>
        <w:rPr>
          <w:color w:val="auto"/>
          <w:highlight w:val="none"/>
        </w:rPr>
        <w:tab/>
      </w:r>
      <w:r>
        <w:rPr>
          <w:color w:val="auto"/>
          <w:highlight w:val="none"/>
        </w:rPr>
        <w:fldChar w:fldCharType="begin"/>
      </w:r>
      <w:r>
        <w:rPr>
          <w:color w:val="auto"/>
          <w:highlight w:val="none"/>
        </w:rPr>
        <w:instrText xml:space="preserve"> PAGEREF _Toc24503 \h </w:instrText>
      </w:r>
      <w:r>
        <w:rPr>
          <w:color w:val="auto"/>
          <w:highlight w:val="none"/>
        </w:rPr>
        <w:fldChar w:fldCharType="separate"/>
      </w:r>
      <w:r>
        <w:rPr>
          <w:color w:val="auto"/>
          <w:highlight w:val="none"/>
        </w:rPr>
        <w:t>- 37 -</w:t>
      </w:r>
      <w:r>
        <w:rPr>
          <w:color w:val="auto"/>
          <w:highlight w:val="none"/>
        </w:rPr>
        <w:fldChar w:fldCharType="end"/>
      </w:r>
      <w:r>
        <w:rPr>
          <w:rFonts w:ascii="宋体" w:hAnsi="宋体"/>
          <w:color w:val="auto"/>
          <w:szCs w:val="24"/>
          <w:highlight w:val="none"/>
          <w:lang w:val="en-US" w:eastAsia="zh-CN"/>
        </w:rPr>
        <w:fldChar w:fldCharType="end"/>
      </w:r>
    </w:p>
    <w:p>
      <w:pPr>
        <w:pStyle w:val="10"/>
        <w:tabs>
          <w:tab w:val="right" w:leader="dot" w:pos="9525"/>
          <w:tab w:val="clear" w:pos="1050"/>
          <w:tab w:val="clear" w:pos="8269"/>
        </w:tabs>
        <w:spacing w:line="360" w:lineRule="auto"/>
        <w:rPr>
          <w:color w:val="auto"/>
          <w:highlight w:val="none"/>
        </w:rPr>
      </w:pPr>
      <w:r>
        <w:rPr>
          <w:rFonts w:ascii="宋体" w:hAnsi="宋体"/>
          <w:color w:val="auto"/>
          <w:szCs w:val="24"/>
          <w:highlight w:val="none"/>
          <w:lang w:val="en-US" w:eastAsia="zh-CN"/>
        </w:rPr>
        <w:fldChar w:fldCharType="begin"/>
      </w:r>
      <w:r>
        <w:rPr>
          <w:rFonts w:ascii="宋体" w:hAnsi="宋体"/>
          <w:color w:val="auto"/>
          <w:szCs w:val="24"/>
          <w:highlight w:val="none"/>
          <w:lang w:val="en-US" w:eastAsia="zh-CN"/>
        </w:rPr>
        <w:instrText xml:space="preserve"> HYPERLINK \l _Toc27056 </w:instrText>
      </w:r>
      <w:r>
        <w:rPr>
          <w:rFonts w:ascii="宋体" w:hAnsi="宋体"/>
          <w:color w:val="auto"/>
          <w:szCs w:val="24"/>
          <w:highlight w:val="none"/>
          <w:lang w:val="en-US" w:eastAsia="zh-CN"/>
        </w:rPr>
        <w:fldChar w:fldCharType="separate"/>
      </w:r>
      <w:r>
        <w:rPr>
          <w:rFonts w:hint="eastAsia" w:eastAsia="宋体" w:cs="Times New Roman"/>
          <w:color w:val="auto"/>
          <w:highlight w:val="none"/>
        </w:rPr>
        <w:t xml:space="preserve">第五章 </w:t>
      </w:r>
      <w:r>
        <w:rPr>
          <w:rFonts w:hint="eastAsia" w:eastAsia="宋体" w:cs="Times New Roman"/>
          <w:color w:val="auto"/>
          <w:highlight w:val="none"/>
          <w:lang w:eastAsia="zh-CN"/>
        </w:rPr>
        <w:t>磋商响应文件</w:t>
      </w:r>
      <w:r>
        <w:rPr>
          <w:rFonts w:hint="eastAsia" w:eastAsia="宋体" w:cs="Times New Roman"/>
          <w:color w:val="auto"/>
          <w:highlight w:val="none"/>
        </w:rPr>
        <w:t>格式</w:t>
      </w:r>
      <w:r>
        <w:rPr>
          <w:color w:val="auto"/>
          <w:highlight w:val="none"/>
        </w:rPr>
        <w:tab/>
      </w:r>
      <w:r>
        <w:rPr>
          <w:color w:val="auto"/>
          <w:highlight w:val="none"/>
        </w:rPr>
        <w:fldChar w:fldCharType="begin"/>
      </w:r>
      <w:r>
        <w:rPr>
          <w:color w:val="auto"/>
          <w:highlight w:val="none"/>
        </w:rPr>
        <w:instrText xml:space="preserve"> PAGEREF _Toc27056 \h </w:instrText>
      </w:r>
      <w:r>
        <w:rPr>
          <w:color w:val="auto"/>
          <w:highlight w:val="none"/>
        </w:rPr>
        <w:fldChar w:fldCharType="separate"/>
      </w:r>
      <w:r>
        <w:rPr>
          <w:color w:val="auto"/>
          <w:highlight w:val="none"/>
        </w:rPr>
        <w:t>- 39 -</w:t>
      </w:r>
      <w:r>
        <w:rPr>
          <w:color w:val="auto"/>
          <w:highlight w:val="none"/>
        </w:rPr>
        <w:fldChar w:fldCharType="end"/>
      </w:r>
      <w:r>
        <w:rPr>
          <w:rFonts w:ascii="宋体" w:hAnsi="宋体"/>
          <w:color w:val="auto"/>
          <w:szCs w:val="24"/>
          <w:highlight w:val="none"/>
          <w:lang w:val="en-US" w:eastAsia="zh-CN"/>
        </w:rPr>
        <w:fldChar w:fldCharType="end"/>
      </w:r>
    </w:p>
    <w:p>
      <w:pPr>
        <w:pStyle w:val="10"/>
        <w:tabs>
          <w:tab w:val="right" w:leader="dot" w:pos="9525"/>
          <w:tab w:val="clear" w:pos="1050"/>
          <w:tab w:val="clear" w:pos="8269"/>
        </w:tabs>
        <w:spacing w:line="360" w:lineRule="auto"/>
        <w:rPr>
          <w:color w:val="auto"/>
          <w:highlight w:val="none"/>
        </w:rPr>
      </w:pPr>
      <w:r>
        <w:rPr>
          <w:rFonts w:ascii="宋体" w:hAnsi="宋体"/>
          <w:color w:val="auto"/>
          <w:szCs w:val="24"/>
          <w:highlight w:val="none"/>
          <w:lang w:val="en-US" w:eastAsia="zh-CN"/>
        </w:rPr>
        <w:fldChar w:fldCharType="begin"/>
      </w:r>
      <w:r>
        <w:rPr>
          <w:rFonts w:ascii="宋体" w:hAnsi="宋体"/>
          <w:color w:val="auto"/>
          <w:szCs w:val="24"/>
          <w:highlight w:val="none"/>
          <w:lang w:val="en-US" w:eastAsia="zh-CN"/>
        </w:rPr>
        <w:instrText xml:space="preserve"> HYPERLINK \l _Toc11072 </w:instrText>
      </w:r>
      <w:r>
        <w:rPr>
          <w:rFonts w:ascii="宋体" w:hAnsi="宋体"/>
          <w:color w:val="auto"/>
          <w:szCs w:val="24"/>
          <w:highlight w:val="none"/>
          <w:lang w:val="en-US" w:eastAsia="zh-CN"/>
        </w:rPr>
        <w:fldChar w:fldCharType="separate"/>
      </w:r>
      <w:r>
        <w:rPr>
          <w:rFonts w:hint="eastAsia" w:eastAsia="宋体" w:cs="Times New Roman"/>
          <w:color w:val="auto"/>
          <w:highlight w:val="none"/>
          <w:lang w:eastAsia="zh-CN"/>
        </w:rPr>
        <w:t>第六章  合同条款及合同格式</w:t>
      </w:r>
      <w:r>
        <w:rPr>
          <w:color w:val="auto"/>
          <w:highlight w:val="none"/>
        </w:rPr>
        <w:tab/>
      </w:r>
      <w:r>
        <w:rPr>
          <w:color w:val="auto"/>
          <w:highlight w:val="none"/>
        </w:rPr>
        <w:fldChar w:fldCharType="begin"/>
      </w:r>
      <w:r>
        <w:rPr>
          <w:color w:val="auto"/>
          <w:highlight w:val="none"/>
        </w:rPr>
        <w:instrText xml:space="preserve"> PAGEREF _Toc11072 \h </w:instrText>
      </w:r>
      <w:r>
        <w:rPr>
          <w:color w:val="auto"/>
          <w:highlight w:val="none"/>
        </w:rPr>
        <w:fldChar w:fldCharType="separate"/>
      </w:r>
      <w:r>
        <w:rPr>
          <w:color w:val="auto"/>
          <w:highlight w:val="none"/>
        </w:rPr>
        <w:t>- 64 -</w:t>
      </w:r>
      <w:r>
        <w:rPr>
          <w:color w:val="auto"/>
          <w:highlight w:val="none"/>
        </w:rPr>
        <w:fldChar w:fldCharType="end"/>
      </w:r>
      <w:r>
        <w:rPr>
          <w:rFonts w:ascii="宋体" w:hAnsi="宋体"/>
          <w:color w:val="auto"/>
          <w:szCs w:val="24"/>
          <w:highlight w:val="none"/>
          <w:lang w:val="en-US" w:eastAsia="zh-CN"/>
        </w:rPr>
        <w:fldChar w:fldCharType="end"/>
      </w:r>
    </w:p>
    <w:p>
      <w:pPr>
        <w:pStyle w:val="13"/>
        <w:spacing w:before="4800" w:beforeLines="2000" w:after="0"/>
        <w:rPr>
          <w:rFonts w:ascii="宋体" w:hAnsi="宋体"/>
          <w:color w:val="auto"/>
          <w:szCs w:val="24"/>
          <w:highlight w:val="none"/>
          <w:lang w:val="en-US" w:eastAsia="zh-CN"/>
        </w:rPr>
        <w:sectPr>
          <w:headerReference r:id="rId3" w:type="default"/>
          <w:footerReference r:id="rId4" w:type="default"/>
          <w:pgSz w:w="11906" w:h="16838"/>
          <w:pgMar w:top="1418" w:right="1134" w:bottom="1418" w:left="1247" w:header="851" w:footer="992" w:gutter="0"/>
          <w:pgNumType w:fmt="decimal" w:start="1"/>
          <w:cols w:space="720" w:num="1"/>
          <w:docGrid w:linePitch="312" w:charSpace="0"/>
        </w:sectPr>
      </w:pPr>
      <w:r>
        <w:rPr>
          <w:rFonts w:ascii="宋体" w:hAnsi="宋体"/>
          <w:color w:val="auto"/>
          <w:szCs w:val="24"/>
          <w:highlight w:val="none"/>
          <w:lang w:val="en-US" w:eastAsia="zh-CN"/>
        </w:rPr>
        <w:fldChar w:fldCharType="end"/>
      </w:r>
      <w:bookmarkStart w:id="1" w:name="_Toc30206"/>
      <w:bookmarkStart w:id="2" w:name="_Hlk484387257"/>
    </w:p>
    <w:p>
      <w:pPr>
        <w:pStyle w:val="13"/>
        <w:spacing w:before="4800" w:beforeLines="2000" w:after="0"/>
        <w:rPr>
          <w:rFonts w:hint="eastAsia"/>
          <w:color w:val="auto"/>
          <w:highlight w:val="none"/>
          <w:lang w:eastAsia="zh-CN"/>
        </w:rPr>
      </w:pPr>
      <w:r>
        <w:rPr>
          <w:rFonts w:hint="eastAsia"/>
          <w:color w:val="auto"/>
          <w:highlight w:val="none"/>
        </w:rPr>
        <w:t xml:space="preserve">第一章  </w:t>
      </w:r>
      <w:r>
        <w:rPr>
          <w:rFonts w:hint="eastAsia"/>
          <w:color w:val="auto"/>
          <w:szCs w:val="30"/>
          <w:highlight w:val="none"/>
          <w:lang w:eastAsia="zh-CN"/>
        </w:rPr>
        <w:t>磋商</w:t>
      </w:r>
      <w:r>
        <w:rPr>
          <w:rFonts w:hint="eastAsia"/>
          <w:color w:val="auto"/>
          <w:szCs w:val="30"/>
          <w:highlight w:val="none"/>
        </w:rPr>
        <w:t>公告</w:t>
      </w:r>
      <w:bookmarkEnd w:id="1"/>
    </w:p>
    <w:bookmarkEnd w:id="0"/>
    <w:bookmarkEnd w:id="2"/>
    <w:p>
      <w:pPr>
        <w:pStyle w:val="3"/>
        <w:pageBreakBefore w:val="0"/>
        <w:widowControl w:val="0"/>
        <w:tabs>
          <w:tab w:val="left" w:pos="0"/>
        </w:tabs>
        <w:kinsoku/>
        <w:wordWrap/>
        <w:overflowPunct/>
        <w:topLinePunct w:val="0"/>
        <w:autoSpaceDE w:val="0"/>
        <w:autoSpaceDN w:val="0"/>
        <w:bidi w:val="0"/>
        <w:adjustRightInd w:val="0"/>
        <w:snapToGrid/>
        <w:spacing w:before="0" w:beforeAutospacing="0" w:after="0" w:afterAutospacing="0" w:line="500" w:lineRule="exact"/>
        <w:jc w:val="center"/>
        <w:textAlignment w:val="auto"/>
        <w:rPr>
          <w:rFonts w:hint="eastAsia" w:ascii="黑体" w:hAnsi="黑体" w:eastAsia="黑体" w:cs="黑体"/>
          <w:color w:val="auto"/>
          <w:sz w:val="40"/>
          <w:szCs w:val="40"/>
          <w:highlight w:val="none"/>
        </w:rPr>
      </w:pPr>
      <w:bookmarkStart w:id="3" w:name="_Toc373314696"/>
      <w:r>
        <w:rPr>
          <w:b w:val="0"/>
          <w:color w:val="auto"/>
          <w:sz w:val="22"/>
          <w:szCs w:val="36"/>
          <w:highlight w:val="none"/>
        </w:rPr>
        <w:br w:type="page"/>
      </w:r>
      <w:r>
        <w:rPr>
          <w:rFonts w:hint="eastAsia" w:ascii="黑体" w:hAnsi="黑体" w:eastAsia="黑体" w:cs="黑体"/>
          <w:color w:val="auto"/>
          <w:sz w:val="40"/>
          <w:szCs w:val="40"/>
          <w:highlight w:val="none"/>
          <w:lang w:eastAsia="zh-CN"/>
        </w:rPr>
        <w:t>阿克苏地区塔里木歌舞团办公区地坪及彩钢房修建项目竞争性磋商</w:t>
      </w:r>
      <w:r>
        <w:rPr>
          <w:rFonts w:hint="eastAsia" w:ascii="黑体" w:hAnsi="黑体" w:eastAsia="黑体" w:cs="黑体"/>
          <w:color w:val="auto"/>
          <w:sz w:val="40"/>
          <w:szCs w:val="40"/>
          <w:highlight w:val="none"/>
        </w:rPr>
        <w:t>公告</w:t>
      </w:r>
    </w:p>
    <w:p>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textAlignment w:val="auto"/>
        <w:rPr>
          <w:color w:val="auto"/>
          <w:sz w:val="18"/>
          <w:szCs w:val="18"/>
          <w:highlight w:val="none"/>
        </w:rPr>
      </w:pPr>
    </w:p>
    <w:p>
      <w:pPr>
        <w:pageBreakBefore w:val="0"/>
        <w:widowControl w:val="0"/>
        <w:pBdr>
          <w:top w:val="single" w:color="auto" w:sz="4" w:space="0"/>
          <w:left w:val="single" w:color="auto" w:sz="4" w:space="0"/>
          <w:bottom w:val="single" w:color="auto" w:sz="4" w:space="0"/>
          <w:right w:val="single" w:color="auto" w:sz="4" w:space="0"/>
          <w:between w:val="none" w:color="auto" w:sz="0" w:space="0"/>
        </w:pBdr>
        <w:kinsoku/>
        <w:wordWrap/>
        <w:overflowPunct/>
        <w:topLinePunct w:val="0"/>
        <w:autoSpaceDE/>
        <w:autoSpaceDN/>
        <w:bidi w:val="0"/>
        <w:adjustRightInd/>
        <w:snapToGrid/>
        <w:spacing w:beforeAutospacing="0" w:afterAutospacing="0" w:line="500" w:lineRule="exact"/>
        <w:textAlignment w:val="auto"/>
        <w:rPr>
          <w:rFonts w:hint="eastAsia" w:ascii="仿宋_GB2312" w:hAnsi="仿宋_GB2312" w:eastAsia="仿宋_GB2312" w:cs="仿宋_GB2312"/>
          <w:b w:val="0"/>
          <w:bCs w:val="0"/>
          <w:color w:val="auto"/>
          <w:sz w:val="28"/>
          <w:szCs w:val="28"/>
          <w:highlight w:val="none"/>
          <w:u w:val="none"/>
        </w:rPr>
      </w:pPr>
      <w:r>
        <w:rPr>
          <w:rFonts w:hint="eastAsia" w:ascii="仿宋_GB2312" w:hAnsi="仿宋_GB2312" w:eastAsia="仿宋_GB2312" w:cs="仿宋_GB2312"/>
          <w:b w:val="0"/>
          <w:bCs w:val="0"/>
          <w:color w:val="auto"/>
          <w:sz w:val="28"/>
          <w:szCs w:val="28"/>
          <w:highlight w:val="none"/>
          <w:u w:val="none"/>
        </w:rPr>
        <w:t>项目概况</w:t>
      </w:r>
    </w:p>
    <w:p>
      <w:pPr>
        <w:keepNext w:val="0"/>
        <w:keepLines w:val="0"/>
        <w:pageBreakBefore w:val="0"/>
        <w:widowControl w:val="0"/>
        <w:pBdr>
          <w:top w:val="single" w:color="auto" w:sz="4" w:space="0"/>
          <w:left w:val="single" w:color="auto" w:sz="4" w:space="0"/>
          <w:bottom w:val="single" w:color="auto" w:sz="4" w:space="0"/>
          <w:right w:val="single" w:color="auto" w:sz="4" w:space="0"/>
          <w:between w:val="none" w:color="auto" w:sz="0" w:space="0"/>
        </w:pBdr>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b w:val="0"/>
          <w:bCs w:val="0"/>
          <w:color w:val="auto"/>
          <w:sz w:val="28"/>
          <w:szCs w:val="28"/>
          <w:highlight w:val="none"/>
          <w:u w:val="none"/>
        </w:rPr>
      </w:pPr>
      <w:r>
        <w:rPr>
          <w:rFonts w:hint="eastAsia" w:ascii="仿宋_GB2312" w:hAnsi="仿宋_GB2312" w:eastAsia="仿宋_GB2312" w:cs="仿宋_GB2312"/>
          <w:b w:val="0"/>
          <w:bCs w:val="0"/>
          <w:color w:val="auto"/>
          <w:sz w:val="28"/>
          <w:szCs w:val="28"/>
          <w:highlight w:val="none"/>
          <w:u w:val="none"/>
          <w:lang w:eastAsia="zh-CN"/>
        </w:rPr>
        <w:t>阿克苏地区塔里木歌舞团办公区地坪及彩钢房修建项目</w:t>
      </w:r>
      <w:r>
        <w:rPr>
          <w:rFonts w:hint="eastAsia" w:ascii="仿宋_GB2312" w:hAnsi="仿宋_GB2312" w:eastAsia="仿宋_GB2312" w:cs="仿宋_GB2312"/>
          <w:b w:val="0"/>
          <w:bCs w:val="0"/>
          <w:color w:val="auto"/>
          <w:sz w:val="28"/>
          <w:szCs w:val="28"/>
          <w:highlight w:val="none"/>
          <w:u w:val="none"/>
        </w:rPr>
        <w:t>的潜在供应商应在</w:t>
      </w:r>
      <w:r>
        <w:rPr>
          <w:rFonts w:hint="eastAsia" w:ascii="仿宋_GB2312" w:hAnsi="仿宋_GB2312" w:eastAsia="仿宋_GB2312" w:cs="仿宋_GB2312"/>
          <w:b w:val="0"/>
          <w:bCs w:val="0"/>
          <w:color w:val="auto"/>
          <w:sz w:val="28"/>
          <w:szCs w:val="28"/>
          <w:highlight w:val="none"/>
          <w:u w:val="none"/>
          <w:lang w:eastAsia="zh-CN"/>
        </w:rPr>
        <w:t>政采云平台</w:t>
      </w:r>
      <w:r>
        <w:rPr>
          <w:rFonts w:hint="eastAsia" w:ascii="仿宋_GB2312" w:hAnsi="仿宋_GB2312" w:eastAsia="仿宋_GB2312" w:cs="仿宋_GB2312"/>
          <w:b w:val="0"/>
          <w:bCs w:val="0"/>
          <w:color w:val="auto"/>
          <w:sz w:val="28"/>
          <w:szCs w:val="28"/>
          <w:highlight w:val="none"/>
          <w:u w:val="none"/>
        </w:rPr>
        <w:t>获取</w:t>
      </w:r>
      <w:r>
        <w:rPr>
          <w:rFonts w:hint="eastAsia" w:ascii="仿宋_GB2312" w:hAnsi="仿宋_GB2312" w:eastAsia="仿宋_GB2312" w:cs="仿宋_GB2312"/>
          <w:b w:val="0"/>
          <w:bCs w:val="0"/>
          <w:color w:val="auto"/>
          <w:sz w:val="28"/>
          <w:szCs w:val="28"/>
          <w:highlight w:val="none"/>
          <w:u w:val="none"/>
          <w:lang w:eastAsia="zh-CN"/>
        </w:rPr>
        <w:t>（下载）</w:t>
      </w:r>
      <w:r>
        <w:rPr>
          <w:rFonts w:hint="eastAsia" w:ascii="仿宋_GB2312" w:hAnsi="仿宋_GB2312" w:eastAsia="仿宋_GB2312" w:cs="仿宋_GB2312"/>
          <w:b w:val="0"/>
          <w:bCs w:val="0"/>
          <w:color w:val="auto"/>
          <w:sz w:val="28"/>
          <w:szCs w:val="28"/>
          <w:highlight w:val="none"/>
          <w:u w:val="none"/>
        </w:rPr>
        <w:t xml:space="preserve">采购文件，并于 </w:t>
      </w:r>
      <w:r>
        <w:rPr>
          <w:rFonts w:hint="eastAsia" w:ascii="仿宋_GB2312" w:hAnsi="仿宋_GB2312" w:eastAsia="仿宋_GB2312" w:cs="仿宋_GB2312"/>
          <w:b w:val="0"/>
          <w:bCs w:val="0"/>
          <w:color w:val="auto"/>
          <w:sz w:val="28"/>
          <w:szCs w:val="28"/>
          <w:highlight w:val="none"/>
          <w:u w:val="none"/>
          <w:lang w:val="en-US" w:eastAsia="zh-CN"/>
        </w:rPr>
        <w:t>2021</w:t>
      </w:r>
      <w:r>
        <w:rPr>
          <w:rFonts w:hint="eastAsia" w:ascii="仿宋_GB2312" w:hAnsi="仿宋_GB2312" w:eastAsia="仿宋_GB2312" w:cs="仿宋_GB2312"/>
          <w:b w:val="0"/>
          <w:bCs w:val="0"/>
          <w:color w:val="auto"/>
          <w:sz w:val="28"/>
          <w:szCs w:val="28"/>
          <w:highlight w:val="none"/>
          <w:u w:val="none"/>
        </w:rPr>
        <w:t>年</w:t>
      </w:r>
      <w:r>
        <w:rPr>
          <w:rFonts w:hint="eastAsia" w:ascii="仿宋_GB2312" w:hAnsi="仿宋_GB2312" w:eastAsia="仿宋_GB2312" w:cs="仿宋_GB2312"/>
          <w:b w:val="0"/>
          <w:bCs w:val="0"/>
          <w:color w:val="auto"/>
          <w:sz w:val="28"/>
          <w:szCs w:val="28"/>
          <w:highlight w:val="none"/>
          <w:u w:val="none"/>
          <w:lang w:val="en-US" w:eastAsia="zh-CN"/>
        </w:rPr>
        <w:t>11</w:t>
      </w:r>
      <w:r>
        <w:rPr>
          <w:rFonts w:hint="eastAsia" w:ascii="仿宋_GB2312" w:hAnsi="仿宋_GB2312" w:eastAsia="仿宋_GB2312" w:cs="仿宋_GB2312"/>
          <w:b w:val="0"/>
          <w:bCs w:val="0"/>
          <w:color w:val="auto"/>
          <w:sz w:val="28"/>
          <w:szCs w:val="28"/>
          <w:highlight w:val="none"/>
          <w:u w:val="none"/>
        </w:rPr>
        <w:t>月</w:t>
      </w:r>
      <w:r>
        <w:rPr>
          <w:rFonts w:hint="eastAsia" w:ascii="仿宋_GB2312" w:hAnsi="仿宋_GB2312" w:eastAsia="仿宋_GB2312" w:cs="仿宋_GB2312"/>
          <w:b w:val="0"/>
          <w:bCs w:val="0"/>
          <w:color w:val="auto"/>
          <w:sz w:val="28"/>
          <w:szCs w:val="28"/>
          <w:highlight w:val="none"/>
          <w:u w:val="none"/>
          <w:lang w:val="en-US" w:eastAsia="zh-CN"/>
        </w:rPr>
        <w:t>22</w:t>
      </w:r>
      <w:r>
        <w:rPr>
          <w:rFonts w:hint="eastAsia" w:ascii="仿宋_GB2312" w:hAnsi="仿宋_GB2312" w:eastAsia="仿宋_GB2312" w:cs="仿宋_GB2312"/>
          <w:b w:val="0"/>
          <w:bCs w:val="0"/>
          <w:color w:val="auto"/>
          <w:sz w:val="28"/>
          <w:szCs w:val="28"/>
          <w:highlight w:val="none"/>
          <w:u w:val="none"/>
        </w:rPr>
        <w:t>日</w:t>
      </w:r>
      <w:r>
        <w:rPr>
          <w:rFonts w:hint="eastAsia" w:ascii="仿宋_GB2312" w:hAnsi="仿宋_GB2312" w:eastAsia="仿宋_GB2312" w:cs="仿宋_GB2312"/>
          <w:b w:val="0"/>
          <w:bCs w:val="0"/>
          <w:color w:val="auto"/>
          <w:sz w:val="28"/>
          <w:szCs w:val="28"/>
          <w:highlight w:val="none"/>
          <w:u w:val="none"/>
          <w:lang w:val="en-US" w:eastAsia="zh-CN"/>
        </w:rPr>
        <w:t>16</w:t>
      </w:r>
      <w:r>
        <w:rPr>
          <w:rFonts w:hint="eastAsia" w:ascii="仿宋_GB2312" w:hAnsi="仿宋_GB2312" w:eastAsia="仿宋_GB2312" w:cs="仿宋_GB2312"/>
          <w:b w:val="0"/>
          <w:bCs w:val="0"/>
          <w:color w:val="auto"/>
          <w:sz w:val="28"/>
          <w:szCs w:val="28"/>
          <w:highlight w:val="none"/>
          <w:u w:val="none"/>
        </w:rPr>
        <w:t>点</w:t>
      </w:r>
      <w:r>
        <w:rPr>
          <w:rFonts w:hint="eastAsia" w:ascii="仿宋_GB2312" w:hAnsi="仿宋_GB2312" w:eastAsia="仿宋_GB2312" w:cs="仿宋_GB2312"/>
          <w:b w:val="0"/>
          <w:bCs w:val="0"/>
          <w:color w:val="auto"/>
          <w:sz w:val="28"/>
          <w:szCs w:val="28"/>
          <w:highlight w:val="none"/>
          <w:u w:val="none"/>
          <w:lang w:val="en-US" w:eastAsia="zh-CN"/>
        </w:rPr>
        <w:t>00</w:t>
      </w:r>
      <w:r>
        <w:rPr>
          <w:rFonts w:hint="eastAsia" w:ascii="仿宋_GB2312" w:hAnsi="仿宋_GB2312" w:eastAsia="仿宋_GB2312" w:cs="仿宋_GB2312"/>
          <w:b w:val="0"/>
          <w:bCs w:val="0"/>
          <w:color w:val="auto"/>
          <w:sz w:val="28"/>
          <w:szCs w:val="28"/>
          <w:highlight w:val="none"/>
          <w:u w:val="none"/>
        </w:rPr>
        <w:t>分（北京时间）前提交响应文件。</w:t>
      </w:r>
    </w:p>
    <w:p>
      <w:pPr>
        <w:pStyle w:val="4"/>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_GB2312" w:hAnsi="仿宋_GB2312" w:eastAsia="仿宋_GB2312" w:cs="仿宋_GB2312"/>
          <w:b w:val="0"/>
          <w:bCs w:val="0"/>
          <w:color w:val="auto"/>
          <w:sz w:val="28"/>
          <w:szCs w:val="28"/>
          <w:highlight w:val="none"/>
        </w:rPr>
      </w:pPr>
      <w:bookmarkStart w:id="4" w:name="_Toc35393629"/>
      <w:bookmarkStart w:id="5" w:name="_Toc28359012"/>
      <w:bookmarkStart w:id="6" w:name="_Toc28359089"/>
      <w:bookmarkStart w:id="7" w:name="_Toc35393798"/>
      <w:r>
        <w:rPr>
          <w:rFonts w:hint="eastAsia" w:ascii="仿宋_GB2312" w:hAnsi="仿宋_GB2312" w:eastAsia="仿宋_GB2312" w:cs="仿宋_GB2312"/>
          <w:b w:val="0"/>
          <w:bCs w:val="0"/>
          <w:color w:val="auto"/>
          <w:sz w:val="28"/>
          <w:szCs w:val="28"/>
          <w:highlight w:val="none"/>
        </w:rPr>
        <w:t>一、项目基本情况</w:t>
      </w:r>
      <w:bookmarkEnd w:id="4"/>
      <w:bookmarkEnd w:id="5"/>
      <w:bookmarkEnd w:id="6"/>
      <w:bookmarkEnd w:id="7"/>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firstLine="560" w:firstLineChars="200"/>
        <w:textAlignment w:val="auto"/>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rPr>
        <w:t>项目编号：</w:t>
      </w:r>
      <w:r>
        <w:rPr>
          <w:rFonts w:hint="eastAsia" w:ascii="仿宋_GB2312" w:hAnsi="仿宋_GB2312" w:eastAsia="仿宋_GB2312" w:cs="仿宋_GB2312"/>
          <w:b w:val="0"/>
          <w:bCs w:val="0"/>
          <w:color w:val="auto"/>
          <w:sz w:val="28"/>
          <w:szCs w:val="28"/>
          <w:highlight w:val="none"/>
          <w:lang w:val="en-US" w:eastAsia="zh-CN"/>
        </w:rPr>
        <w:t>2021-XJZYXM-010</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项目名称：</w:t>
      </w:r>
      <w:r>
        <w:rPr>
          <w:rFonts w:hint="eastAsia" w:ascii="仿宋_GB2312" w:hAnsi="仿宋_GB2312" w:eastAsia="仿宋_GB2312" w:cs="仿宋_GB2312"/>
          <w:b w:val="0"/>
          <w:bCs w:val="0"/>
          <w:color w:val="auto"/>
          <w:sz w:val="28"/>
          <w:szCs w:val="28"/>
          <w:highlight w:val="none"/>
          <w:lang w:eastAsia="zh-CN"/>
        </w:rPr>
        <w:t>阿克苏地区塔里木歌舞团办公区地坪及彩钢房修建项目</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采购方式：竞争性</w:t>
      </w:r>
      <w:r>
        <w:rPr>
          <w:rFonts w:hint="eastAsia" w:ascii="仿宋_GB2312" w:hAnsi="仿宋_GB2312" w:eastAsia="仿宋_GB2312" w:cs="仿宋_GB2312"/>
          <w:b w:val="0"/>
          <w:bCs w:val="0"/>
          <w:color w:val="auto"/>
          <w:sz w:val="28"/>
          <w:szCs w:val="28"/>
          <w:highlight w:val="none"/>
          <w:lang w:eastAsia="zh-CN"/>
        </w:rPr>
        <w:t>磋商</w:t>
      </w:r>
      <w:r>
        <w:rPr>
          <w:rFonts w:hint="eastAsia" w:ascii="仿宋_GB2312" w:hAnsi="仿宋_GB2312" w:eastAsia="仿宋_GB2312" w:cs="仿宋_GB2312"/>
          <w:b w:val="0"/>
          <w:bCs w:val="0"/>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预算金额：</w:t>
      </w:r>
      <w:r>
        <w:rPr>
          <w:rFonts w:hint="eastAsia" w:ascii="仿宋_GB2312" w:hAnsi="仿宋_GB2312" w:eastAsia="仿宋_GB2312" w:cs="仿宋_GB2312"/>
          <w:b w:val="0"/>
          <w:bCs w:val="0"/>
          <w:color w:val="auto"/>
          <w:sz w:val="28"/>
          <w:szCs w:val="28"/>
          <w:highlight w:val="none"/>
          <w:lang w:val="en-US" w:eastAsia="zh-CN"/>
        </w:rPr>
        <w:t>886328.17</w:t>
      </w:r>
      <w:r>
        <w:rPr>
          <w:rFonts w:hint="eastAsia" w:ascii="仿宋_GB2312" w:hAnsi="仿宋_GB2312" w:eastAsia="仿宋_GB2312" w:cs="仿宋_GB2312"/>
          <w:b w:val="0"/>
          <w:bCs w:val="0"/>
          <w:color w:val="auto"/>
          <w:sz w:val="28"/>
          <w:szCs w:val="28"/>
          <w:highlight w:val="none"/>
          <w:lang w:eastAsia="zh-CN"/>
        </w:rPr>
        <w:t>元</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最高限价：</w:t>
      </w:r>
      <w:r>
        <w:rPr>
          <w:rFonts w:hint="eastAsia" w:ascii="仿宋_GB2312" w:hAnsi="仿宋_GB2312" w:eastAsia="仿宋_GB2312" w:cs="仿宋_GB2312"/>
          <w:b w:val="0"/>
          <w:bCs w:val="0"/>
          <w:color w:val="auto"/>
          <w:sz w:val="28"/>
          <w:szCs w:val="28"/>
          <w:highlight w:val="none"/>
          <w:lang w:val="en-US" w:eastAsia="zh-CN"/>
        </w:rPr>
        <w:t>886328.17</w:t>
      </w:r>
      <w:r>
        <w:rPr>
          <w:rFonts w:hint="eastAsia" w:ascii="仿宋_GB2312" w:hAnsi="仿宋_GB2312" w:eastAsia="仿宋_GB2312" w:cs="仿宋_GB2312"/>
          <w:b w:val="0"/>
          <w:bCs w:val="0"/>
          <w:color w:val="auto"/>
          <w:sz w:val="28"/>
          <w:szCs w:val="28"/>
          <w:highlight w:val="none"/>
          <w:lang w:eastAsia="zh-CN"/>
        </w:rPr>
        <w:t>元</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采购需求：</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638" w:leftChars="304" w:firstLine="0" w:firstLineChars="0"/>
        <w:textAlignment w:val="auto"/>
        <w:rPr>
          <w:rFonts w:hint="eastAsia" w:ascii="仿宋_GB2312" w:hAnsi="仿宋_GB2312" w:eastAsia="仿宋_GB2312" w:cs="仿宋_GB2312"/>
          <w:b w:val="0"/>
          <w:bCs w:val="0"/>
          <w:color w:val="auto"/>
          <w:sz w:val="28"/>
          <w:szCs w:val="28"/>
          <w:highlight w:val="none"/>
          <w:u w:val="none"/>
          <w:lang w:eastAsia="zh-CN"/>
        </w:rPr>
      </w:pPr>
      <w:r>
        <w:rPr>
          <w:rFonts w:hint="eastAsia" w:ascii="仿宋_GB2312" w:hAnsi="仿宋_GB2312" w:eastAsia="仿宋_GB2312" w:cs="仿宋_GB2312"/>
          <w:b w:val="0"/>
          <w:bCs w:val="0"/>
          <w:color w:val="auto"/>
          <w:sz w:val="28"/>
          <w:szCs w:val="28"/>
          <w:highlight w:val="none"/>
          <w:u w:val="none"/>
        </w:rPr>
        <w:t>数</w:t>
      </w:r>
      <w:r>
        <w:rPr>
          <w:rFonts w:hint="eastAsia" w:ascii="仿宋_GB2312" w:hAnsi="仿宋_GB2312" w:eastAsia="仿宋_GB2312" w:cs="仿宋_GB2312"/>
          <w:b w:val="0"/>
          <w:bCs w:val="0"/>
          <w:color w:val="auto"/>
          <w:sz w:val="28"/>
          <w:szCs w:val="28"/>
          <w:highlight w:val="none"/>
          <w:u w:val="none"/>
          <w:lang w:val="en-US" w:eastAsia="zh-CN"/>
        </w:rPr>
        <w:t xml:space="preserve">  </w:t>
      </w:r>
      <w:r>
        <w:rPr>
          <w:rFonts w:hint="eastAsia" w:ascii="仿宋_GB2312" w:hAnsi="仿宋_GB2312" w:eastAsia="仿宋_GB2312" w:cs="仿宋_GB2312"/>
          <w:b w:val="0"/>
          <w:bCs w:val="0"/>
          <w:color w:val="auto"/>
          <w:sz w:val="28"/>
          <w:szCs w:val="28"/>
          <w:highlight w:val="none"/>
          <w:u w:val="none"/>
        </w:rPr>
        <w:t>量：</w:t>
      </w:r>
      <w:r>
        <w:rPr>
          <w:rFonts w:hint="eastAsia" w:ascii="仿宋_GB2312" w:hAnsi="仿宋_GB2312" w:eastAsia="仿宋_GB2312" w:cs="仿宋_GB2312"/>
          <w:b w:val="0"/>
          <w:bCs w:val="0"/>
          <w:color w:val="auto"/>
          <w:sz w:val="28"/>
          <w:szCs w:val="28"/>
          <w:highlight w:val="none"/>
          <w:u w:val="none"/>
          <w:lang w:val="en-US" w:eastAsia="zh-CN"/>
        </w:rPr>
        <w:t xml:space="preserve">1 </w:t>
      </w:r>
      <w:r>
        <w:rPr>
          <w:rFonts w:hint="eastAsia" w:ascii="仿宋_GB2312" w:hAnsi="仿宋_GB2312" w:eastAsia="仿宋_GB2312" w:cs="仿宋_GB2312"/>
          <w:b w:val="0"/>
          <w:bCs w:val="0"/>
          <w:color w:val="auto"/>
          <w:sz w:val="28"/>
          <w:szCs w:val="28"/>
          <w:highlight w:val="none"/>
          <w:u w:val="none"/>
        </w:rPr>
        <w:t>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638" w:leftChars="304" w:firstLine="0" w:firstLineChars="0"/>
        <w:textAlignment w:val="auto"/>
        <w:rPr>
          <w:rFonts w:hint="eastAsia" w:ascii="仿宋_GB2312" w:hAnsi="仿宋_GB2312" w:eastAsia="仿宋_GB2312" w:cs="仿宋_GB2312"/>
          <w:b w:val="0"/>
          <w:bCs w:val="0"/>
          <w:color w:val="auto"/>
          <w:sz w:val="28"/>
          <w:szCs w:val="28"/>
          <w:highlight w:val="none"/>
          <w:u w:val="none"/>
          <w:lang w:eastAsia="zh-CN"/>
        </w:rPr>
      </w:pPr>
      <w:r>
        <w:rPr>
          <w:rFonts w:hint="eastAsia" w:ascii="仿宋_GB2312" w:hAnsi="仿宋_GB2312" w:eastAsia="仿宋_GB2312" w:cs="仿宋_GB2312"/>
          <w:b w:val="0"/>
          <w:bCs w:val="0"/>
          <w:color w:val="auto"/>
          <w:sz w:val="28"/>
          <w:szCs w:val="28"/>
          <w:highlight w:val="none"/>
          <w:u w:val="none"/>
        </w:rPr>
        <w:t>单</w:t>
      </w:r>
      <w:r>
        <w:rPr>
          <w:rFonts w:hint="eastAsia" w:ascii="仿宋_GB2312" w:hAnsi="仿宋_GB2312" w:eastAsia="仿宋_GB2312" w:cs="仿宋_GB2312"/>
          <w:b w:val="0"/>
          <w:bCs w:val="0"/>
          <w:color w:val="auto"/>
          <w:sz w:val="28"/>
          <w:szCs w:val="28"/>
          <w:highlight w:val="none"/>
          <w:u w:val="none"/>
          <w:lang w:val="en-US" w:eastAsia="zh-CN"/>
        </w:rPr>
        <w:t xml:space="preserve">  </w:t>
      </w:r>
      <w:r>
        <w:rPr>
          <w:rFonts w:hint="eastAsia" w:ascii="仿宋_GB2312" w:hAnsi="仿宋_GB2312" w:eastAsia="仿宋_GB2312" w:cs="仿宋_GB2312"/>
          <w:b w:val="0"/>
          <w:bCs w:val="0"/>
          <w:color w:val="auto"/>
          <w:sz w:val="28"/>
          <w:szCs w:val="28"/>
          <w:highlight w:val="none"/>
          <w:u w:val="none"/>
        </w:rPr>
        <w:t>位：</w:t>
      </w:r>
      <w:r>
        <w:rPr>
          <w:rFonts w:hint="eastAsia" w:ascii="仿宋_GB2312" w:hAnsi="仿宋_GB2312" w:eastAsia="仿宋_GB2312" w:cs="仿宋_GB2312"/>
          <w:b w:val="0"/>
          <w:bCs w:val="0"/>
          <w:color w:val="auto"/>
          <w:sz w:val="28"/>
          <w:szCs w:val="28"/>
          <w:highlight w:val="none"/>
          <w:u w:val="none"/>
          <w:lang w:eastAsia="zh-CN"/>
        </w:rPr>
        <w:t>批</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638" w:leftChars="304" w:firstLine="0" w:firstLineChars="0"/>
        <w:textAlignment w:val="auto"/>
        <w:rPr>
          <w:rFonts w:hint="eastAsia" w:ascii="仿宋_GB2312" w:hAnsi="仿宋_GB2312" w:eastAsia="仿宋_GB2312" w:cs="仿宋_GB2312"/>
          <w:b w:val="0"/>
          <w:bCs w:val="0"/>
          <w:color w:val="auto"/>
          <w:sz w:val="28"/>
          <w:szCs w:val="28"/>
          <w:highlight w:val="none"/>
          <w:u w:val="none"/>
          <w:lang w:eastAsia="zh-CN"/>
        </w:rPr>
      </w:pPr>
      <w:r>
        <w:rPr>
          <w:rFonts w:hint="eastAsia" w:ascii="仿宋_GB2312" w:hAnsi="仿宋_GB2312" w:eastAsia="仿宋_GB2312" w:cs="仿宋_GB2312"/>
          <w:b w:val="0"/>
          <w:bCs w:val="0"/>
          <w:color w:val="auto"/>
          <w:sz w:val="28"/>
          <w:szCs w:val="28"/>
          <w:highlight w:val="none"/>
          <w:u w:val="none"/>
        </w:rPr>
        <w:t>简要规格描述：</w:t>
      </w:r>
      <w:r>
        <w:rPr>
          <w:rFonts w:hint="eastAsia" w:ascii="仿宋_GB2312" w:hAnsi="仿宋_GB2312" w:eastAsia="仿宋_GB2312" w:cs="仿宋_GB2312"/>
          <w:b w:val="0"/>
          <w:bCs w:val="0"/>
          <w:color w:val="auto"/>
          <w:sz w:val="28"/>
          <w:szCs w:val="28"/>
          <w:highlight w:val="none"/>
          <w:u w:val="none"/>
          <w:lang w:eastAsia="zh-CN"/>
        </w:rPr>
        <w:t>详见</w:t>
      </w:r>
      <w:r>
        <w:rPr>
          <w:rFonts w:hint="eastAsia" w:ascii="仿宋_GB2312" w:hAnsi="仿宋_GB2312" w:eastAsia="仿宋_GB2312" w:cs="仿宋_GB2312"/>
          <w:b w:val="0"/>
          <w:bCs w:val="0"/>
          <w:color w:val="auto"/>
          <w:sz w:val="28"/>
          <w:szCs w:val="28"/>
          <w:highlight w:val="none"/>
          <w:u w:val="none"/>
          <w:lang w:val="en-US" w:eastAsia="zh-CN"/>
        </w:rPr>
        <w:t>磋商</w:t>
      </w:r>
      <w:r>
        <w:rPr>
          <w:rFonts w:hint="eastAsia" w:ascii="仿宋_GB2312" w:hAnsi="仿宋_GB2312" w:eastAsia="仿宋_GB2312" w:cs="仿宋_GB2312"/>
          <w:b w:val="0"/>
          <w:bCs w:val="0"/>
          <w:color w:val="auto"/>
          <w:sz w:val="28"/>
          <w:szCs w:val="28"/>
          <w:highlight w:val="none"/>
          <w:u w:val="none"/>
          <w:lang w:eastAsia="zh-CN"/>
        </w:rPr>
        <w:t>文件</w:t>
      </w:r>
      <w:r>
        <w:rPr>
          <w:rFonts w:hint="eastAsia" w:ascii="仿宋_GB2312" w:hAnsi="仿宋_GB2312" w:eastAsia="仿宋_GB2312" w:cs="仿宋_GB2312"/>
          <w:b w:val="0"/>
          <w:bCs w:val="0"/>
          <w:color w:val="auto"/>
          <w:sz w:val="28"/>
          <w:szCs w:val="28"/>
          <w:highlight w:val="none"/>
          <w:u w:val="none"/>
          <w:lang w:val="en-US" w:eastAsia="zh-CN"/>
        </w:rPr>
        <w:t>及</w:t>
      </w:r>
      <w:r>
        <w:rPr>
          <w:rFonts w:hint="eastAsia" w:ascii="仿宋_GB2312" w:hAnsi="仿宋_GB2312" w:eastAsia="仿宋_GB2312" w:cs="仿宋_GB2312"/>
          <w:b w:val="0"/>
          <w:bCs w:val="0"/>
          <w:color w:val="auto"/>
          <w:sz w:val="28"/>
          <w:szCs w:val="28"/>
          <w:highlight w:val="none"/>
          <w:u w:val="none"/>
          <w:lang w:eastAsia="zh-CN"/>
        </w:rPr>
        <w:t>清单。</w:t>
      </w:r>
      <w:r>
        <w:rPr>
          <w:rFonts w:hint="eastAsia" w:ascii="仿宋_GB2312" w:hAnsi="仿宋_GB2312" w:eastAsia="仿宋_GB2312" w:cs="仿宋_GB2312"/>
          <w:b w:val="0"/>
          <w:bCs w:val="0"/>
          <w:color w:val="auto"/>
          <w:sz w:val="28"/>
          <w:szCs w:val="28"/>
          <w:highlight w:val="none"/>
          <w:u w:val="none"/>
        </w:rPr>
        <w:t>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638" w:leftChars="304" w:firstLine="0" w:firstLineChars="0"/>
        <w:textAlignment w:val="auto"/>
        <w:rPr>
          <w:rFonts w:hint="eastAsia" w:ascii="仿宋_GB2312" w:hAnsi="仿宋_GB2312" w:eastAsia="仿宋_GB2312" w:cs="仿宋_GB2312"/>
          <w:b w:val="0"/>
          <w:bCs w:val="0"/>
          <w:color w:val="auto"/>
          <w:sz w:val="28"/>
          <w:szCs w:val="28"/>
          <w:highlight w:val="none"/>
          <w:u w:val="none"/>
          <w:lang w:eastAsia="zh-CN"/>
        </w:rPr>
      </w:pPr>
      <w:r>
        <w:rPr>
          <w:rFonts w:hint="eastAsia" w:ascii="仿宋_GB2312" w:hAnsi="仿宋_GB2312" w:eastAsia="仿宋_GB2312" w:cs="仿宋_GB2312"/>
          <w:b w:val="0"/>
          <w:bCs w:val="0"/>
          <w:color w:val="auto"/>
          <w:sz w:val="28"/>
          <w:szCs w:val="28"/>
          <w:highlight w:val="none"/>
          <w:u w:val="none"/>
        </w:rPr>
        <w:t>合同履行期限：</w:t>
      </w:r>
      <w:r>
        <w:rPr>
          <w:rFonts w:hint="eastAsia" w:ascii="仿宋_GB2312" w:hAnsi="仿宋_GB2312" w:eastAsia="仿宋_GB2312" w:cs="仿宋_GB2312"/>
          <w:b w:val="0"/>
          <w:bCs w:val="0"/>
          <w:color w:val="auto"/>
          <w:sz w:val="28"/>
          <w:szCs w:val="28"/>
          <w:highlight w:val="none"/>
          <w:u w:val="none"/>
          <w:lang w:eastAsia="zh-CN"/>
        </w:rPr>
        <w:t>按照甲乙双方签订合同执行。</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b w:val="0"/>
          <w:bCs w:val="0"/>
          <w:color w:val="auto"/>
          <w:sz w:val="28"/>
          <w:szCs w:val="28"/>
          <w:highlight w:val="none"/>
          <w:u w:val="none"/>
        </w:rPr>
      </w:pPr>
      <w:r>
        <w:rPr>
          <w:rFonts w:hint="eastAsia" w:ascii="仿宋_GB2312" w:hAnsi="仿宋_GB2312" w:eastAsia="仿宋_GB2312" w:cs="仿宋_GB2312"/>
          <w:b w:val="0"/>
          <w:bCs w:val="0"/>
          <w:color w:val="auto"/>
          <w:sz w:val="28"/>
          <w:szCs w:val="28"/>
          <w:highlight w:val="none"/>
          <w:u w:val="none"/>
        </w:rPr>
        <w:t>本项目</w:t>
      </w:r>
      <w:r>
        <w:rPr>
          <w:rFonts w:hint="eastAsia" w:ascii="仿宋_GB2312" w:hAnsi="仿宋_GB2312" w:eastAsia="仿宋_GB2312" w:cs="仿宋_GB2312"/>
          <w:b w:val="0"/>
          <w:bCs w:val="0"/>
          <w:color w:val="auto"/>
          <w:sz w:val="28"/>
          <w:szCs w:val="28"/>
          <w:highlight w:val="none"/>
          <w:u w:val="none"/>
          <w:lang w:eastAsia="zh-CN"/>
        </w:rPr>
        <w:t>不</w:t>
      </w:r>
      <w:r>
        <w:rPr>
          <w:rFonts w:hint="eastAsia" w:ascii="仿宋_GB2312" w:hAnsi="仿宋_GB2312" w:eastAsia="仿宋_GB2312" w:cs="仿宋_GB2312"/>
          <w:b w:val="0"/>
          <w:bCs w:val="0"/>
          <w:color w:val="auto"/>
          <w:sz w:val="28"/>
          <w:szCs w:val="28"/>
          <w:highlight w:val="none"/>
          <w:u w:val="none"/>
        </w:rPr>
        <w:t>接受联合体。</w:t>
      </w:r>
    </w:p>
    <w:p>
      <w:pPr>
        <w:pStyle w:val="4"/>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_GB2312" w:hAnsi="仿宋_GB2312" w:eastAsia="仿宋_GB2312" w:cs="仿宋_GB2312"/>
          <w:b w:val="0"/>
          <w:bCs w:val="0"/>
          <w:color w:val="auto"/>
          <w:sz w:val="28"/>
          <w:szCs w:val="28"/>
          <w:highlight w:val="none"/>
          <w:u w:val="none"/>
        </w:rPr>
      </w:pPr>
      <w:bookmarkStart w:id="8" w:name="_Toc28359013"/>
      <w:bookmarkStart w:id="9" w:name="_Toc35393630"/>
      <w:bookmarkStart w:id="10" w:name="_Toc35393799"/>
      <w:bookmarkStart w:id="11" w:name="_Toc28359090"/>
      <w:r>
        <w:rPr>
          <w:rFonts w:hint="eastAsia" w:ascii="仿宋_GB2312" w:hAnsi="仿宋_GB2312" w:eastAsia="仿宋_GB2312" w:cs="仿宋_GB2312"/>
          <w:b w:val="0"/>
          <w:bCs w:val="0"/>
          <w:color w:val="auto"/>
          <w:sz w:val="28"/>
          <w:szCs w:val="28"/>
          <w:highlight w:val="none"/>
          <w:u w:val="none"/>
        </w:rPr>
        <w:t>二、申请人的资格要求：</w:t>
      </w:r>
      <w:bookmarkEnd w:id="8"/>
      <w:bookmarkEnd w:id="9"/>
      <w:bookmarkEnd w:id="10"/>
      <w:bookmarkEnd w:id="11"/>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b w:val="0"/>
          <w:bCs w:val="0"/>
          <w:color w:val="auto"/>
          <w:sz w:val="28"/>
          <w:szCs w:val="28"/>
          <w:highlight w:val="none"/>
          <w:u w:val="none"/>
        </w:rPr>
      </w:pPr>
      <w:r>
        <w:rPr>
          <w:rFonts w:hint="eastAsia" w:ascii="仿宋_GB2312" w:hAnsi="仿宋_GB2312" w:eastAsia="仿宋_GB2312" w:cs="仿宋_GB2312"/>
          <w:b w:val="0"/>
          <w:bCs w:val="0"/>
          <w:color w:val="auto"/>
          <w:sz w:val="28"/>
          <w:szCs w:val="28"/>
          <w:highlight w:val="none"/>
          <w:u w:val="none"/>
        </w:rPr>
        <w:t>1</w:t>
      </w:r>
      <w:r>
        <w:rPr>
          <w:rFonts w:hint="eastAsia" w:ascii="仿宋_GB2312" w:hAnsi="仿宋_GB2312" w:eastAsia="仿宋_GB2312" w:cs="仿宋_GB2312"/>
          <w:b w:val="0"/>
          <w:bCs w:val="0"/>
          <w:color w:val="auto"/>
          <w:sz w:val="28"/>
          <w:szCs w:val="28"/>
          <w:highlight w:val="none"/>
          <w:u w:val="none"/>
          <w:lang w:val="en-US" w:eastAsia="zh-CN"/>
        </w:rPr>
        <w:t>、</w:t>
      </w:r>
      <w:r>
        <w:rPr>
          <w:rFonts w:hint="eastAsia" w:ascii="仿宋_GB2312" w:hAnsi="仿宋_GB2312" w:eastAsia="仿宋_GB2312" w:cs="仿宋_GB2312"/>
          <w:b w:val="0"/>
          <w:bCs w:val="0"/>
          <w:color w:val="auto"/>
          <w:sz w:val="28"/>
          <w:szCs w:val="28"/>
          <w:highlight w:val="none"/>
          <w:u w:val="none"/>
        </w:rPr>
        <w:t>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2、落实政府采购政策需满足的资格要求：</w:t>
      </w:r>
      <w:r>
        <w:rPr>
          <w:rFonts w:hint="eastAsia" w:ascii="仿宋_GB2312" w:hAnsi="仿宋_GB2312" w:eastAsia="仿宋_GB2312" w:cs="仿宋_GB2312"/>
          <w:color w:val="auto"/>
          <w:sz w:val="28"/>
          <w:szCs w:val="28"/>
          <w:highlight w:val="none"/>
          <w:lang w:eastAsia="zh-CN"/>
        </w:rPr>
        <w:t>本项目面向中小微企业。</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（1）</w:t>
      </w:r>
      <w:r>
        <w:rPr>
          <w:rFonts w:hint="eastAsia" w:ascii="仿宋_GB2312" w:hAnsi="仿宋_GB2312" w:eastAsia="仿宋_GB2312" w:cs="仿宋_GB2312"/>
          <w:color w:val="auto"/>
          <w:sz w:val="28"/>
          <w:szCs w:val="28"/>
          <w:highlight w:val="none"/>
          <w:lang w:val="en-US" w:eastAsia="zh-CN"/>
        </w:rPr>
        <w:t>《政府采购促进中小企业发展管理办法》（财库〔2020〕46号）</w:t>
      </w:r>
      <w:r>
        <w:rPr>
          <w:rFonts w:hint="eastAsia" w:ascii="仿宋_GB2312" w:hAnsi="仿宋_GB2312" w:eastAsia="仿宋_GB2312" w:cs="仿宋_GB2312"/>
          <w:b w:val="0"/>
          <w:bCs w:val="0"/>
          <w:color w:val="auto"/>
          <w:sz w:val="28"/>
          <w:szCs w:val="28"/>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（2）《财政部、司法部关于政府采购支持监狱企业发展有关问题的通知》（财库〔2014〕68号）；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（3）《国务院办公厅关于建立政府强制采购节能产品制度的通知》（国办发〔2007〕51号）；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（4）《财政部 民政部 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280" w:firstLineChars="1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3、本项目的特定资格要求：</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bookmarkStart w:id="12" w:name="_Toc28359014"/>
      <w:bookmarkStart w:id="13" w:name="_Toc35393800"/>
      <w:bookmarkStart w:id="14" w:name="_Toc28359091"/>
      <w:bookmarkStart w:id="15" w:name="_Toc35393631"/>
      <w:r>
        <w:rPr>
          <w:rFonts w:hint="eastAsia" w:ascii="仿宋_GB2312" w:hAnsi="仿宋_GB2312" w:eastAsia="仿宋_GB2312" w:cs="仿宋_GB2312"/>
          <w:b w:val="0"/>
          <w:bCs w:val="0"/>
          <w:color w:val="auto"/>
          <w:sz w:val="28"/>
          <w:szCs w:val="28"/>
          <w:highlight w:val="none"/>
          <w:u w:val="none"/>
          <w:lang w:val="en-US" w:eastAsia="zh-CN"/>
        </w:rPr>
        <w:t>（1）具有有效经年检的三证合一营业执照；</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（2）法定代表人到场需提供法定代表人身份证明及身份证原件，授权委托人到场的需提供附有法定代表人身份证明的授权委托书及被委托人身份证原件；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（3）具有有效的建筑工程施工总承包三级及以上资质、有效的安全生产许可证；</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（4）项目负责人须具备建筑工程二级及以上注册建造师证、安全生产考核合格证书；</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（5）提供近六个月完税证明和盖有社保局公章的近三个月的社保缴纳证明（含委托代理人、建造师、技术负责人、施工员、安全员、质量员的社保明细）；</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（6）具有近三年的财务审计报告或公司成立不足一年提供财务报表；</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color w:val="auto"/>
          <w:highlight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（7）外省投标企业须提供《新疆维吾尔自治区区外建设工程企业信息登记册》或新疆工程建设云下载审核通过的信息报送册；</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（8）未被“信用中国”（www.creditchina.gov.cn）、中国政府采购网（www.ccgp.gov.cn）列入失信被执行人、重大税收违法案件当事人名单、政府采购严重违法失信行为记录名单的﹙供应商网上自行打印后加盖公章﹚；</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三、获取采购文件</w:t>
      </w:r>
      <w:bookmarkEnd w:id="12"/>
      <w:bookmarkEnd w:id="13"/>
      <w:bookmarkEnd w:id="14"/>
      <w:bookmarkEnd w:id="15"/>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b w:val="0"/>
          <w:bCs w:val="0"/>
          <w:color w:val="auto"/>
          <w:sz w:val="28"/>
          <w:szCs w:val="28"/>
          <w:highlight w:val="none"/>
          <w:u w:val="none"/>
        </w:rPr>
      </w:pPr>
      <w:r>
        <w:rPr>
          <w:rFonts w:hint="eastAsia" w:ascii="仿宋_GB2312" w:hAnsi="仿宋_GB2312" w:eastAsia="仿宋_GB2312" w:cs="仿宋_GB2312"/>
          <w:b w:val="0"/>
          <w:bCs w:val="0"/>
          <w:color w:val="auto"/>
          <w:sz w:val="28"/>
          <w:szCs w:val="28"/>
          <w:highlight w:val="none"/>
          <w:u w:val="none"/>
        </w:rPr>
        <w:t>时间：</w:t>
      </w:r>
      <w:r>
        <w:rPr>
          <w:rFonts w:hint="eastAsia" w:ascii="仿宋_GB2312" w:hAnsi="仿宋_GB2312" w:eastAsia="仿宋_GB2312" w:cs="仿宋_GB2312"/>
          <w:b w:val="0"/>
          <w:bCs w:val="0"/>
          <w:color w:val="auto"/>
          <w:sz w:val="28"/>
          <w:szCs w:val="28"/>
          <w:highlight w:val="none"/>
          <w:u w:val="none"/>
          <w:lang w:val="en-US" w:eastAsia="zh-CN"/>
        </w:rPr>
        <w:t>2021</w:t>
      </w:r>
      <w:r>
        <w:rPr>
          <w:rFonts w:hint="eastAsia" w:ascii="仿宋_GB2312" w:hAnsi="仿宋_GB2312" w:eastAsia="仿宋_GB2312" w:cs="仿宋_GB2312"/>
          <w:b w:val="0"/>
          <w:bCs w:val="0"/>
          <w:color w:val="auto"/>
          <w:sz w:val="28"/>
          <w:szCs w:val="28"/>
          <w:highlight w:val="none"/>
          <w:u w:val="none"/>
        </w:rPr>
        <w:t>年</w:t>
      </w:r>
      <w:r>
        <w:rPr>
          <w:rFonts w:hint="eastAsia" w:ascii="仿宋_GB2312" w:hAnsi="仿宋_GB2312" w:eastAsia="仿宋_GB2312" w:cs="仿宋_GB2312"/>
          <w:b w:val="0"/>
          <w:bCs w:val="0"/>
          <w:color w:val="auto"/>
          <w:sz w:val="28"/>
          <w:szCs w:val="28"/>
          <w:highlight w:val="none"/>
          <w:u w:val="none"/>
          <w:lang w:val="en-US" w:eastAsia="zh-CN"/>
        </w:rPr>
        <w:t>11</w:t>
      </w:r>
      <w:r>
        <w:rPr>
          <w:rFonts w:hint="eastAsia" w:ascii="仿宋_GB2312" w:hAnsi="仿宋_GB2312" w:eastAsia="仿宋_GB2312" w:cs="仿宋_GB2312"/>
          <w:b w:val="0"/>
          <w:bCs w:val="0"/>
          <w:color w:val="auto"/>
          <w:sz w:val="28"/>
          <w:szCs w:val="28"/>
          <w:highlight w:val="none"/>
          <w:u w:val="none"/>
        </w:rPr>
        <w:t>月</w:t>
      </w:r>
      <w:r>
        <w:rPr>
          <w:rFonts w:hint="eastAsia" w:ascii="仿宋_GB2312" w:hAnsi="仿宋_GB2312" w:eastAsia="仿宋_GB2312" w:cs="仿宋_GB2312"/>
          <w:b w:val="0"/>
          <w:bCs w:val="0"/>
          <w:color w:val="auto"/>
          <w:sz w:val="28"/>
          <w:szCs w:val="28"/>
          <w:highlight w:val="none"/>
          <w:u w:val="none"/>
          <w:lang w:val="en-US" w:eastAsia="zh-CN"/>
        </w:rPr>
        <w:t>12</w:t>
      </w:r>
      <w:r>
        <w:rPr>
          <w:rFonts w:hint="eastAsia" w:ascii="仿宋_GB2312" w:hAnsi="仿宋_GB2312" w:eastAsia="仿宋_GB2312" w:cs="仿宋_GB2312"/>
          <w:b w:val="0"/>
          <w:bCs w:val="0"/>
          <w:color w:val="auto"/>
          <w:sz w:val="28"/>
          <w:szCs w:val="28"/>
          <w:highlight w:val="none"/>
          <w:u w:val="none"/>
        </w:rPr>
        <w:t xml:space="preserve">日至 </w:t>
      </w:r>
      <w:r>
        <w:rPr>
          <w:rFonts w:hint="eastAsia" w:ascii="仿宋_GB2312" w:hAnsi="仿宋_GB2312" w:eastAsia="仿宋_GB2312" w:cs="仿宋_GB2312"/>
          <w:b w:val="0"/>
          <w:bCs w:val="0"/>
          <w:color w:val="auto"/>
          <w:sz w:val="28"/>
          <w:szCs w:val="28"/>
          <w:highlight w:val="none"/>
          <w:u w:val="none"/>
          <w:lang w:val="en-US" w:eastAsia="zh-CN"/>
        </w:rPr>
        <w:t>2021</w:t>
      </w:r>
      <w:r>
        <w:rPr>
          <w:rFonts w:hint="eastAsia" w:ascii="仿宋_GB2312" w:hAnsi="仿宋_GB2312" w:eastAsia="仿宋_GB2312" w:cs="仿宋_GB2312"/>
          <w:b w:val="0"/>
          <w:bCs w:val="0"/>
          <w:color w:val="auto"/>
          <w:sz w:val="28"/>
          <w:szCs w:val="28"/>
          <w:highlight w:val="none"/>
          <w:u w:val="none"/>
        </w:rPr>
        <w:t>年</w:t>
      </w:r>
      <w:r>
        <w:rPr>
          <w:rFonts w:hint="eastAsia" w:ascii="仿宋_GB2312" w:hAnsi="仿宋_GB2312" w:eastAsia="仿宋_GB2312" w:cs="仿宋_GB2312"/>
          <w:b w:val="0"/>
          <w:bCs w:val="0"/>
          <w:color w:val="auto"/>
          <w:sz w:val="28"/>
          <w:szCs w:val="28"/>
          <w:highlight w:val="none"/>
          <w:u w:val="none"/>
          <w:lang w:val="en-US" w:eastAsia="zh-CN"/>
        </w:rPr>
        <w:t>11</w:t>
      </w:r>
      <w:r>
        <w:rPr>
          <w:rFonts w:hint="eastAsia" w:ascii="仿宋_GB2312" w:hAnsi="仿宋_GB2312" w:eastAsia="仿宋_GB2312" w:cs="仿宋_GB2312"/>
          <w:b w:val="0"/>
          <w:bCs w:val="0"/>
          <w:color w:val="auto"/>
          <w:sz w:val="28"/>
          <w:szCs w:val="28"/>
          <w:highlight w:val="none"/>
          <w:u w:val="none"/>
        </w:rPr>
        <w:t>月</w:t>
      </w:r>
      <w:r>
        <w:rPr>
          <w:rFonts w:hint="eastAsia" w:ascii="仿宋_GB2312" w:hAnsi="仿宋_GB2312" w:eastAsia="仿宋_GB2312" w:cs="仿宋_GB2312"/>
          <w:b w:val="0"/>
          <w:bCs w:val="0"/>
          <w:color w:val="auto"/>
          <w:sz w:val="28"/>
          <w:szCs w:val="28"/>
          <w:highlight w:val="none"/>
          <w:u w:val="none"/>
          <w:lang w:val="en-US" w:eastAsia="zh-CN"/>
        </w:rPr>
        <w:t>18</w:t>
      </w:r>
      <w:r>
        <w:rPr>
          <w:rFonts w:hint="eastAsia" w:ascii="仿宋_GB2312" w:hAnsi="仿宋_GB2312" w:eastAsia="仿宋_GB2312" w:cs="仿宋_GB2312"/>
          <w:b w:val="0"/>
          <w:bCs w:val="0"/>
          <w:color w:val="auto"/>
          <w:sz w:val="28"/>
          <w:szCs w:val="28"/>
          <w:highlight w:val="none"/>
          <w:u w:val="none"/>
        </w:rPr>
        <w:t>日，每天上午</w:t>
      </w:r>
      <w:r>
        <w:rPr>
          <w:rFonts w:hint="eastAsia" w:ascii="仿宋_GB2312" w:hAnsi="仿宋_GB2312" w:eastAsia="仿宋_GB2312" w:cs="仿宋_GB2312"/>
          <w:b w:val="0"/>
          <w:bCs w:val="0"/>
          <w:color w:val="auto"/>
          <w:sz w:val="28"/>
          <w:szCs w:val="28"/>
          <w:highlight w:val="none"/>
          <w:u w:val="none"/>
          <w:lang w:val="en-US" w:eastAsia="zh-CN"/>
        </w:rPr>
        <w:t>1</w:t>
      </w:r>
      <w:r>
        <w:rPr>
          <w:rFonts w:hint="eastAsia" w:ascii="仿宋_GB2312" w:hAnsi="仿宋_GB2312" w:eastAsia="仿宋_GB2312" w:cs="仿宋_GB2312"/>
          <w:b w:val="0"/>
          <w:bCs w:val="0"/>
          <w:color w:val="auto"/>
          <w:sz w:val="28"/>
          <w:szCs w:val="28"/>
          <w:highlight w:val="none"/>
          <w:u w:val="none"/>
        </w:rPr>
        <w:t>0:00至1</w:t>
      </w:r>
      <w:r>
        <w:rPr>
          <w:rFonts w:hint="eastAsia" w:ascii="仿宋_GB2312" w:hAnsi="仿宋_GB2312" w:eastAsia="仿宋_GB2312" w:cs="仿宋_GB2312"/>
          <w:b w:val="0"/>
          <w:bCs w:val="0"/>
          <w:color w:val="auto"/>
          <w:sz w:val="28"/>
          <w:szCs w:val="28"/>
          <w:highlight w:val="none"/>
          <w:u w:val="none"/>
          <w:lang w:val="en-US" w:eastAsia="zh-CN"/>
        </w:rPr>
        <w:t>4</w:t>
      </w:r>
      <w:r>
        <w:rPr>
          <w:rFonts w:hint="eastAsia" w:ascii="仿宋_GB2312" w:hAnsi="仿宋_GB2312" w:eastAsia="仿宋_GB2312" w:cs="仿宋_GB2312"/>
          <w:b w:val="0"/>
          <w:bCs w:val="0"/>
          <w:color w:val="auto"/>
          <w:sz w:val="28"/>
          <w:szCs w:val="28"/>
          <w:highlight w:val="none"/>
          <w:u w:val="none"/>
        </w:rPr>
        <w:t>:00，下午1</w:t>
      </w:r>
      <w:r>
        <w:rPr>
          <w:rFonts w:hint="eastAsia" w:ascii="仿宋_GB2312" w:hAnsi="仿宋_GB2312" w:eastAsia="仿宋_GB2312" w:cs="仿宋_GB2312"/>
          <w:b w:val="0"/>
          <w:bCs w:val="0"/>
          <w:color w:val="auto"/>
          <w:sz w:val="28"/>
          <w:szCs w:val="28"/>
          <w:highlight w:val="none"/>
          <w:u w:val="none"/>
          <w:lang w:val="en-US" w:eastAsia="zh-CN"/>
        </w:rPr>
        <w:t>5</w:t>
      </w:r>
      <w:r>
        <w:rPr>
          <w:rFonts w:hint="eastAsia" w:ascii="仿宋_GB2312" w:hAnsi="仿宋_GB2312" w:eastAsia="仿宋_GB2312" w:cs="仿宋_GB2312"/>
          <w:b w:val="0"/>
          <w:bCs w:val="0"/>
          <w:color w:val="auto"/>
          <w:sz w:val="28"/>
          <w:szCs w:val="28"/>
          <w:highlight w:val="none"/>
          <w:u w:val="none"/>
        </w:rPr>
        <w:t>:</w:t>
      </w:r>
      <w:r>
        <w:rPr>
          <w:rFonts w:hint="eastAsia" w:ascii="仿宋_GB2312" w:hAnsi="仿宋_GB2312" w:eastAsia="仿宋_GB2312" w:cs="仿宋_GB2312"/>
          <w:b w:val="0"/>
          <w:bCs w:val="0"/>
          <w:color w:val="auto"/>
          <w:sz w:val="28"/>
          <w:szCs w:val="28"/>
          <w:highlight w:val="none"/>
          <w:u w:val="none"/>
          <w:lang w:val="en-US" w:eastAsia="zh-CN"/>
        </w:rPr>
        <w:t>3</w:t>
      </w:r>
      <w:r>
        <w:rPr>
          <w:rFonts w:hint="eastAsia" w:ascii="仿宋_GB2312" w:hAnsi="仿宋_GB2312" w:eastAsia="仿宋_GB2312" w:cs="仿宋_GB2312"/>
          <w:b w:val="0"/>
          <w:bCs w:val="0"/>
          <w:color w:val="auto"/>
          <w:sz w:val="28"/>
          <w:szCs w:val="28"/>
          <w:highlight w:val="none"/>
          <w:u w:val="none"/>
        </w:rPr>
        <w:t>0至</w:t>
      </w:r>
      <w:r>
        <w:rPr>
          <w:rFonts w:hint="eastAsia" w:ascii="仿宋_GB2312" w:hAnsi="仿宋_GB2312" w:eastAsia="仿宋_GB2312" w:cs="仿宋_GB2312"/>
          <w:b w:val="0"/>
          <w:bCs w:val="0"/>
          <w:color w:val="auto"/>
          <w:sz w:val="28"/>
          <w:szCs w:val="28"/>
          <w:highlight w:val="none"/>
          <w:u w:val="none"/>
          <w:lang w:val="en-US" w:eastAsia="zh-CN"/>
        </w:rPr>
        <w:t>19</w:t>
      </w:r>
      <w:r>
        <w:rPr>
          <w:rFonts w:hint="eastAsia" w:ascii="仿宋_GB2312" w:hAnsi="仿宋_GB2312" w:eastAsia="仿宋_GB2312" w:cs="仿宋_GB2312"/>
          <w:b w:val="0"/>
          <w:bCs w:val="0"/>
          <w:color w:val="auto"/>
          <w:sz w:val="28"/>
          <w:szCs w:val="28"/>
          <w:highlight w:val="none"/>
          <w:u w:val="none"/>
        </w:rPr>
        <w:t>:</w:t>
      </w:r>
      <w:r>
        <w:rPr>
          <w:rFonts w:hint="eastAsia" w:ascii="仿宋_GB2312" w:hAnsi="仿宋_GB2312" w:eastAsia="仿宋_GB2312" w:cs="仿宋_GB2312"/>
          <w:b w:val="0"/>
          <w:bCs w:val="0"/>
          <w:color w:val="auto"/>
          <w:sz w:val="28"/>
          <w:szCs w:val="28"/>
          <w:highlight w:val="none"/>
          <w:u w:val="none"/>
          <w:lang w:val="en-US" w:eastAsia="zh-CN"/>
        </w:rPr>
        <w:t>30</w:t>
      </w:r>
      <w:r>
        <w:rPr>
          <w:rFonts w:hint="eastAsia" w:ascii="仿宋_GB2312" w:hAnsi="仿宋_GB2312" w:eastAsia="仿宋_GB2312" w:cs="仿宋_GB2312"/>
          <w:b w:val="0"/>
          <w:bCs w:val="0"/>
          <w:color w:val="auto"/>
          <w:sz w:val="28"/>
          <w:szCs w:val="28"/>
          <w:highlight w:val="none"/>
          <w:u w:val="none"/>
        </w:rPr>
        <w:t>（北京时间，法定节假日除外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b w:val="0"/>
          <w:bCs w:val="0"/>
          <w:color w:val="auto"/>
          <w:sz w:val="28"/>
          <w:szCs w:val="28"/>
          <w:highlight w:val="none"/>
          <w:u w:val="none"/>
        </w:rPr>
      </w:pPr>
      <w:r>
        <w:rPr>
          <w:rFonts w:hint="eastAsia" w:ascii="仿宋_GB2312" w:hAnsi="仿宋_GB2312" w:eastAsia="仿宋_GB2312" w:cs="仿宋_GB2312"/>
          <w:b w:val="0"/>
          <w:bCs w:val="0"/>
          <w:color w:val="auto"/>
          <w:sz w:val="28"/>
          <w:szCs w:val="28"/>
          <w:highlight w:val="none"/>
          <w:u w:val="none"/>
        </w:rPr>
        <w:t>地点：</w:t>
      </w:r>
      <w:r>
        <w:rPr>
          <w:rFonts w:hint="eastAsia" w:ascii="仿宋_GB2312" w:hAnsi="仿宋_GB2312" w:eastAsia="仿宋_GB2312" w:cs="仿宋_GB2312"/>
          <w:b w:val="0"/>
          <w:bCs w:val="0"/>
          <w:color w:val="auto"/>
          <w:kern w:val="0"/>
          <w:sz w:val="28"/>
          <w:szCs w:val="28"/>
          <w:highlight w:val="none"/>
          <w:u w:val="none"/>
          <w:lang w:eastAsia="zh-CN"/>
        </w:rPr>
        <w:t>政采云平台</w:t>
      </w:r>
      <w:r>
        <w:rPr>
          <w:rFonts w:hint="eastAsia" w:ascii="仿宋_GB2312" w:hAnsi="仿宋_GB2312" w:eastAsia="仿宋_GB2312" w:cs="仿宋_GB2312"/>
          <w:b w:val="0"/>
          <w:bCs w:val="0"/>
          <w:color w:val="auto"/>
          <w:sz w:val="28"/>
          <w:szCs w:val="28"/>
          <w:highlight w:val="none"/>
          <w:u w:val="none"/>
        </w:rPr>
        <w:t>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b w:val="0"/>
          <w:bCs w:val="0"/>
          <w:color w:val="auto"/>
          <w:sz w:val="28"/>
          <w:szCs w:val="28"/>
          <w:highlight w:val="none"/>
          <w:u w:val="none"/>
        </w:rPr>
      </w:pPr>
      <w:r>
        <w:rPr>
          <w:rFonts w:hint="eastAsia" w:ascii="仿宋_GB2312" w:hAnsi="仿宋_GB2312" w:eastAsia="仿宋_GB2312" w:cs="仿宋_GB2312"/>
          <w:b w:val="0"/>
          <w:bCs w:val="0"/>
          <w:color w:val="auto"/>
          <w:sz w:val="28"/>
          <w:szCs w:val="28"/>
          <w:highlight w:val="none"/>
          <w:u w:val="none"/>
        </w:rPr>
        <w:t>方式：政采云平台报名成功后下载</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rPr>
        <w:t>售价：</w:t>
      </w:r>
      <w:r>
        <w:rPr>
          <w:rFonts w:hint="eastAsia" w:ascii="仿宋_GB2312" w:hAnsi="仿宋_GB2312" w:eastAsia="仿宋_GB2312" w:cs="仿宋_GB2312"/>
          <w:b w:val="0"/>
          <w:bCs w:val="0"/>
          <w:color w:val="auto"/>
          <w:sz w:val="28"/>
          <w:szCs w:val="28"/>
          <w:highlight w:val="none"/>
          <w:u w:val="none"/>
          <w:lang w:val="en-US" w:eastAsia="zh-CN"/>
        </w:rPr>
        <w:t>0</w:t>
      </w:r>
      <w:r>
        <w:rPr>
          <w:rFonts w:hint="eastAsia" w:ascii="仿宋_GB2312" w:hAnsi="仿宋_GB2312" w:eastAsia="仿宋_GB2312" w:cs="仿宋_GB2312"/>
          <w:b w:val="0"/>
          <w:bCs w:val="0"/>
          <w:color w:val="auto"/>
          <w:sz w:val="28"/>
          <w:szCs w:val="28"/>
          <w:highlight w:val="none"/>
          <w:u w:val="none"/>
          <w:lang w:eastAsia="zh-CN"/>
        </w:rPr>
        <w:t>元</w:t>
      </w:r>
      <w:r>
        <w:rPr>
          <w:rFonts w:hint="eastAsia" w:ascii="仿宋_GB2312" w:hAnsi="仿宋_GB2312" w:eastAsia="仿宋_GB2312" w:cs="仿宋_GB2312"/>
          <w:b w:val="0"/>
          <w:bCs w:val="0"/>
          <w:color w:val="auto"/>
          <w:sz w:val="28"/>
          <w:szCs w:val="28"/>
          <w:highlight w:val="none"/>
          <w:u w:val="none"/>
          <w:lang w:val="en-US" w:eastAsia="zh-CN"/>
        </w:rPr>
        <w:t>/份</w:t>
      </w:r>
    </w:p>
    <w:p>
      <w:pPr>
        <w:pStyle w:val="4"/>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_GB2312" w:hAnsi="仿宋_GB2312" w:eastAsia="仿宋_GB2312" w:cs="仿宋_GB2312"/>
          <w:b w:val="0"/>
          <w:bCs w:val="0"/>
          <w:color w:val="auto"/>
          <w:sz w:val="28"/>
          <w:szCs w:val="28"/>
          <w:highlight w:val="none"/>
          <w:u w:val="none"/>
        </w:rPr>
      </w:pPr>
      <w:bookmarkStart w:id="16" w:name="_Toc35393801"/>
      <w:bookmarkStart w:id="17" w:name="_Toc35393632"/>
      <w:bookmarkStart w:id="18" w:name="_Toc28359092"/>
      <w:bookmarkStart w:id="19" w:name="_Toc28359015"/>
      <w:r>
        <w:rPr>
          <w:rFonts w:hint="eastAsia" w:ascii="仿宋_GB2312" w:hAnsi="仿宋_GB2312" w:eastAsia="仿宋_GB2312" w:cs="仿宋_GB2312"/>
          <w:b w:val="0"/>
          <w:bCs w:val="0"/>
          <w:color w:val="auto"/>
          <w:sz w:val="28"/>
          <w:szCs w:val="28"/>
          <w:highlight w:val="none"/>
          <w:u w:val="none"/>
        </w:rPr>
        <w:t>四、响应文件提交</w:t>
      </w:r>
      <w:bookmarkEnd w:id="16"/>
      <w:bookmarkEnd w:id="17"/>
      <w:bookmarkEnd w:id="18"/>
      <w:bookmarkEnd w:id="19"/>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b w:val="0"/>
          <w:bCs w:val="0"/>
          <w:color w:val="auto"/>
          <w:sz w:val="28"/>
          <w:szCs w:val="28"/>
          <w:highlight w:val="none"/>
          <w:u w:val="none"/>
        </w:rPr>
      </w:pPr>
      <w:r>
        <w:rPr>
          <w:rFonts w:hint="eastAsia" w:ascii="仿宋_GB2312" w:hAnsi="仿宋_GB2312" w:eastAsia="仿宋_GB2312" w:cs="仿宋_GB2312"/>
          <w:b w:val="0"/>
          <w:bCs w:val="0"/>
          <w:color w:val="auto"/>
          <w:sz w:val="28"/>
          <w:szCs w:val="28"/>
          <w:highlight w:val="none"/>
          <w:u w:val="none"/>
        </w:rPr>
        <w:t>截止时间：20</w:t>
      </w:r>
      <w:r>
        <w:rPr>
          <w:rFonts w:hint="eastAsia" w:ascii="仿宋_GB2312" w:hAnsi="仿宋_GB2312" w:eastAsia="仿宋_GB2312" w:cs="仿宋_GB2312"/>
          <w:b w:val="0"/>
          <w:bCs w:val="0"/>
          <w:color w:val="auto"/>
          <w:sz w:val="28"/>
          <w:szCs w:val="28"/>
          <w:highlight w:val="none"/>
          <w:u w:val="none"/>
          <w:lang w:val="en-US" w:eastAsia="zh-CN"/>
        </w:rPr>
        <w:t>21</w:t>
      </w:r>
      <w:r>
        <w:rPr>
          <w:rFonts w:hint="eastAsia" w:ascii="仿宋_GB2312" w:hAnsi="仿宋_GB2312" w:eastAsia="仿宋_GB2312" w:cs="仿宋_GB2312"/>
          <w:b w:val="0"/>
          <w:bCs w:val="0"/>
          <w:color w:val="auto"/>
          <w:sz w:val="28"/>
          <w:szCs w:val="28"/>
          <w:highlight w:val="none"/>
          <w:u w:val="none"/>
        </w:rPr>
        <w:t>年</w:t>
      </w:r>
      <w:r>
        <w:rPr>
          <w:rFonts w:hint="eastAsia" w:ascii="仿宋_GB2312" w:hAnsi="仿宋_GB2312" w:eastAsia="仿宋_GB2312" w:cs="仿宋_GB2312"/>
          <w:b w:val="0"/>
          <w:bCs w:val="0"/>
          <w:color w:val="auto"/>
          <w:sz w:val="28"/>
          <w:szCs w:val="28"/>
          <w:highlight w:val="none"/>
          <w:u w:val="none"/>
          <w:lang w:val="en-US" w:eastAsia="zh-CN"/>
        </w:rPr>
        <w:t>11</w:t>
      </w:r>
      <w:r>
        <w:rPr>
          <w:rFonts w:hint="eastAsia" w:ascii="仿宋_GB2312" w:hAnsi="仿宋_GB2312" w:eastAsia="仿宋_GB2312" w:cs="仿宋_GB2312"/>
          <w:b w:val="0"/>
          <w:bCs w:val="0"/>
          <w:color w:val="auto"/>
          <w:sz w:val="28"/>
          <w:szCs w:val="28"/>
          <w:highlight w:val="none"/>
          <w:u w:val="none"/>
        </w:rPr>
        <w:t>月</w:t>
      </w:r>
      <w:r>
        <w:rPr>
          <w:rFonts w:hint="eastAsia" w:ascii="仿宋_GB2312" w:hAnsi="仿宋_GB2312" w:eastAsia="仿宋_GB2312" w:cs="仿宋_GB2312"/>
          <w:b w:val="0"/>
          <w:bCs w:val="0"/>
          <w:color w:val="auto"/>
          <w:sz w:val="28"/>
          <w:szCs w:val="28"/>
          <w:highlight w:val="none"/>
          <w:u w:val="none"/>
          <w:lang w:val="en-US" w:eastAsia="zh-CN"/>
        </w:rPr>
        <w:t>22</w:t>
      </w:r>
      <w:r>
        <w:rPr>
          <w:rFonts w:hint="eastAsia" w:ascii="仿宋_GB2312" w:hAnsi="仿宋_GB2312" w:eastAsia="仿宋_GB2312" w:cs="仿宋_GB2312"/>
          <w:b w:val="0"/>
          <w:bCs w:val="0"/>
          <w:color w:val="auto"/>
          <w:sz w:val="28"/>
          <w:szCs w:val="28"/>
          <w:highlight w:val="none"/>
          <w:u w:val="none"/>
        </w:rPr>
        <w:t>日</w:t>
      </w:r>
      <w:r>
        <w:rPr>
          <w:rFonts w:hint="eastAsia" w:ascii="仿宋_GB2312" w:hAnsi="仿宋_GB2312" w:eastAsia="仿宋_GB2312" w:cs="仿宋_GB2312"/>
          <w:b w:val="0"/>
          <w:bCs w:val="0"/>
          <w:color w:val="auto"/>
          <w:sz w:val="28"/>
          <w:szCs w:val="28"/>
          <w:highlight w:val="none"/>
          <w:u w:val="none"/>
          <w:lang w:val="en-US" w:eastAsia="zh-CN"/>
        </w:rPr>
        <w:t>16</w:t>
      </w:r>
      <w:r>
        <w:rPr>
          <w:rFonts w:hint="eastAsia" w:ascii="仿宋_GB2312" w:hAnsi="仿宋_GB2312" w:eastAsia="仿宋_GB2312" w:cs="仿宋_GB2312"/>
          <w:b w:val="0"/>
          <w:bCs w:val="0"/>
          <w:color w:val="auto"/>
          <w:sz w:val="28"/>
          <w:szCs w:val="28"/>
          <w:highlight w:val="none"/>
          <w:u w:val="none"/>
        </w:rPr>
        <w:t>点</w:t>
      </w:r>
      <w:r>
        <w:rPr>
          <w:rFonts w:hint="eastAsia" w:ascii="仿宋_GB2312" w:hAnsi="仿宋_GB2312" w:eastAsia="仿宋_GB2312" w:cs="仿宋_GB2312"/>
          <w:b w:val="0"/>
          <w:bCs w:val="0"/>
          <w:color w:val="auto"/>
          <w:sz w:val="28"/>
          <w:szCs w:val="28"/>
          <w:highlight w:val="none"/>
          <w:u w:val="none"/>
          <w:lang w:val="en-US" w:eastAsia="zh-CN"/>
        </w:rPr>
        <w:t>00</w:t>
      </w:r>
      <w:r>
        <w:rPr>
          <w:rFonts w:hint="eastAsia" w:ascii="仿宋_GB2312" w:hAnsi="仿宋_GB2312" w:eastAsia="仿宋_GB2312" w:cs="仿宋_GB2312"/>
          <w:b w:val="0"/>
          <w:bCs w:val="0"/>
          <w:color w:val="auto"/>
          <w:sz w:val="28"/>
          <w:szCs w:val="28"/>
          <w:highlight w:val="none"/>
          <w:u w:val="none"/>
        </w:rPr>
        <w:t>分 （北京时间）</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rPr>
        <w:t>地</w:t>
      </w:r>
      <w:r>
        <w:rPr>
          <w:rFonts w:hint="eastAsia" w:ascii="仿宋_GB2312" w:hAnsi="仿宋_GB2312" w:eastAsia="仿宋_GB2312" w:cs="仿宋_GB2312"/>
          <w:b w:val="0"/>
          <w:bCs w:val="0"/>
          <w:color w:val="auto"/>
          <w:sz w:val="28"/>
          <w:szCs w:val="28"/>
          <w:highlight w:val="none"/>
          <w:u w:val="none"/>
          <w:lang w:val="en-US" w:eastAsia="zh-CN"/>
        </w:rPr>
        <w:t xml:space="preserve"> </w:t>
      </w:r>
      <w:r>
        <w:rPr>
          <w:rFonts w:hint="eastAsia" w:ascii="仿宋_GB2312" w:hAnsi="仿宋_GB2312" w:eastAsia="仿宋_GB2312" w:cs="仿宋_GB2312"/>
          <w:b w:val="0"/>
          <w:bCs w:val="0"/>
          <w:color w:val="auto"/>
          <w:sz w:val="28"/>
          <w:szCs w:val="28"/>
          <w:highlight w:val="none"/>
          <w:u w:val="none"/>
        </w:rPr>
        <w:t>点：</w:t>
      </w:r>
      <w:r>
        <w:rPr>
          <w:rFonts w:ascii="仿宋" w:hAnsi="仿宋" w:eastAsia="仿宋" w:cs="仿宋"/>
          <w:i w:val="0"/>
          <w:iCs w:val="0"/>
          <w:caps w:val="0"/>
          <w:color w:val="000000"/>
          <w:spacing w:val="0"/>
          <w:sz w:val="27"/>
          <w:szCs w:val="27"/>
        </w:rPr>
        <w:t>政采云网上不见面开标系统</w:t>
      </w:r>
    </w:p>
    <w:p>
      <w:pPr>
        <w:pStyle w:val="4"/>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_GB2312" w:hAnsi="仿宋_GB2312" w:eastAsia="仿宋_GB2312" w:cs="仿宋_GB2312"/>
          <w:b w:val="0"/>
          <w:bCs w:val="0"/>
          <w:color w:val="auto"/>
          <w:sz w:val="28"/>
          <w:szCs w:val="28"/>
          <w:highlight w:val="none"/>
          <w:u w:val="none"/>
        </w:rPr>
      </w:pPr>
      <w:bookmarkStart w:id="20" w:name="_Toc28359016"/>
      <w:bookmarkStart w:id="21" w:name="_Toc35393633"/>
      <w:bookmarkStart w:id="22" w:name="_Toc35393802"/>
      <w:bookmarkStart w:id="23" w:name="_Toc28359093"/>
      <w:r>
        <w:rPr>
          <w:rFonts w:hint="eastAsia" w:ascii="仿宋_GB2312" w:hAnsi="仿宋_GB2312" w:eastAsia="仿宋_GB2312" w:cs="仿宋_GB2312"/>
          <w:b w:val="0"/>
          <w:bCs w:val="0"/>
          <w:color w:val="auto"/>
          <w:sz w:val="28"/>
          <w:szCs w:val="28"/>
          <w:highlight w:val="none"/>
          <w:u w:val="none"/>
        </w:rPr>
        <w:t>五、</w:t>
      </w:r>
      <w:r>
        <w:rPr>
          <w:rFonts w:hint="eastAsia" w:ascii="仿宋_GB2312" w:hAnsi="仿宋_GB2312" w:eastAsia="仿宋_GB2312" w:cs="仿宋_GB2312"/>
          <w:b w:val="0"/>
          <w:bCs w:val="0"/>
          <w:color w:val="auto"/>
          <w:sz w:val="28"/>
          <w:szCs w:val="28"/>
          <w:highlight w:val="none"/>
          <w:u w:val="none"/>
          <w:lang w:eastAsia="zh-CN"/>
        </w:rPr>
        <w:t>响应文件</w:t>
      </w:r>
      <w:r>
        <w:rPr>
          <w:rFonts w:hint="eastAsia" w:ascii="仿宋_GB2312" w:hAnsi="仿宋_GB2312" w:eastAsia="仿宋_GB2312" w:cs="仿宋_GB2312"/>
          <w:b w:val="0"/>
          <w:bCs w:val="0"/>
          <w:color w:val="auto"/>
          <w:sz w:val="28"/>
          <w:szCs w:val="28"/>
          <w:highlight w:val="none"/>
          <w:u w:val="none"/>
        </w:rPr>
        <w:t>开启</w:t>
      </w:r>
      <w:bookmarkEnd w:id="20"/>
      <w:bookmarkEnd w:id="21"/>
      <w:bookmarkEnd w:id="22"/>
      <w:bookmarkEnd w:id="23"/>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b w:val="0"/>
          <w:bCs w:val="0"/>
          <w:color w:val="auto"/>
          <w:sz w:val="28"/>
          <w:szCs w:val="28"/>
          <w:highlight w:val="none"/>
          <w:u w:val="none"/>
        </w:rPr>
      </w:pPr>
      <w:r>
        <w:rPr>
          <w:rFonts w:hint="eastAsia" w:ascii="仿宋_GB2312" w:hAnsi="仿宋_GB2312" w:eastAsia="仿宋_GB2312" w:cs="仿宋_GB2312"/>
          <w:b w:val="0"/>
          <w:bCs w:val="0"/>
          <w:color w:val="auto"/>
          <w:sz w:val="28"/>
          <w:szCs w:val="28"/>
          <w:highlight w:val="none"/>
          <w:u w:val="none"/>
        </w:rPr>
        <w:t>时间：20</w:t>
      </w:r>
      <w:r>
        <w:rPr>
          <w:rFonts w:hint="eastAsia" w:ascii="仿宋_GB2312" w:hAnsi="仿宋_GB2312" w:eastAsia="仿宋_GB2312" w:cs="仿宋_GB2312"/>
          <w:b w:val="0"/>
          <w:bCs w:val="0"/>
          <w:color w:val="auto"/>
          <w:sz w:val="28"/>
          <w:szCs w:val="28"/>
          <w:highlight w:val="none"/>
          <w:u w:val="none"/>
          <w:lang w:val="en-US" w:eastAsia="zh-CN"/>
        </w:rPr>
        <w:t>21</w:t>
      </w:r>
      <w:r>
        <w:rPr>
          <w:rFonts w:hint="eastAsia" w:ascii="仿宋_GB2312" w:hAnsi="仿宋_GB2312" w:eastAsia="仿宋_GB2312" w:cs="仿宋_GB2312"/>
          <w:b w:val="0"/>
          <w:bCs w:val="0"/>
          <w:color w:val="auto"/>
          <w:sz w:val="28"/>
          <w:szCs w:val="28"/>
          <w:highlight w:val="none"/>
          <w:u w:val="none"/>
        </w:rPr>
        <w:t>年</w:t>
      </w:r>
      <w:r>
        <w:rPr>
          <w:rFonts w:hint="eastAsia" w:ascii="仿宋_GB2312" w:hAnsi="仿宋_GB2312" w:eastAsia="仿宋_GB2312" w:cs="仿宋_GB2312"/>
          <w:b w:val="0"/>
          <w:bCs w:val="0"/>
          <w:color w:val="auto"/>
          <w:sz w:val="28"/>
          <w:szCs w:val="28"/>
          <w:highlight w:val="none"/>
          <w:u w:val="none"/>
          <w:lang w:val="en-US" w:eastAsia="zh-CN"/>
        </w:rPr>
        <w:t>11</w:t>
      </w:r>
      <w:r>
        <w:rPr>
          <w:rFonts w:hint="eastAsia" w:ascii="仿宋_GB2312" w:hAnsi="仿宋_GB2312" w:eastAsia="仿宋_GB2312" w:cs="仿宋_GB2312"/>
          <w:b w:val="0"/>
          <w:bCs w:val="0"/>
          <w:color w:val="auto"/>
          <w:sz w:val="28"/>
          <w:szCs w:val="28"/>
          <w:highlight w:val="none"/>
          <w:u w:val="none"/>
        </w:rPr>
        <w:t>月</w:t>
      </w:r>
      <w:r>
        <w:rPr>
          <w:rFonts w:hint="eastAsia" w:ascii="仿宋_GB2312" w:hAnsi="仿宋_GB2312" w:eastAsia="仿宋_GB2312" w:cs="仿宋_GB2312"/>
          <w:b w:val="0"/>
          <w:bCs w:val="0"/>
          <w:color w:val="auto"/>
          <w:sz w:val="28"/>
          <w:szCs w:val="28"/>
          <w:highlight w:val="none"/>
          <w:u w:val="none"/>
          <w:lang w:val="en-US" w:eastAsia="zh-CN"/>
        </w:rPr>
        <w:t>22</w:t>
      </w:r>
      <w:r>
        <w:rPr>
          <w:rFonts w:hint="eastAsia" w:ascii="仿宋_GB2312" w:hAnsi="仿宋_GB2312" w:eastAsia="仿宋_GB2312" w:cs="仿宋_GB2312"/>
          <w:b w:val="0"/>
          <w:bCs w:val="0"/>
          <w:color w:val="auto"/>
          <w:sz w:val="28"/>
          <w:szCs w:val="28"/>
          <w:highlight w:val="none"/>
          <w:u w:val="none"/>
        </w:rPr>
        <w:t>日</w:t>
      </w:r>
      <w:r>
        <w:rPr>
          <w:rFonts w:hint="eastAsia" w:ascii="仿宋_GB2312" w:hAnsi="仿宋_GB2312" w:eastAsia="仿宋_GB2312" w:cs="仿宋_GB2312"/>
          <w:b w:val="0"/>
          <w:bCs w:val="0"/>
          <w:color w:val="auto"/>
          <w:sz w:val="28"/>
          <w:szCs w:val="28"/>
          <w:highlight w:val="none"/>
          <w:u w:val="none"/>
          <w:lang w:val="en-US" w:eastAsia="zh-CN"/>
        </w:rPr>
        <w:t>16</w:t>
      </w:r>
      <w:r>
        <w:rPr>
          <w:rFonts w:hint="eastAsia" w:ascii="仿宋_GB2312" w:hAnsi="仿宋_GB2312" w:eastAsia="仿宋_GB2312" w:cs="仿宋_GB2312"/>
          <w:b w:val="0"/>
          <w:bCs w:val="0"/>
          <w:color w:val="auto"/>
          <w:sz w:val="28"/>
          <w:szCs w:val="28"/>
          <w:highlight w:val="none"/>
          <w:u w:val="none"/>
        </w:rPr>
        <w:t>点</w:t>
      </w:r>
      <w:r>
        <w:rPr>
          <w:rFonts w:hint="eastAsia" w:ascii="仿宋_GB2312" w:hAnsi="仿宋_GB2312" w:eastAsia="仿宋_GB2312" w:cs="仿宋_GB2312"/>
          <w:b w:val="0"/>
          <w:bCs w:val="0"/>
          <w:color w:val="auto"/>
          <w:sz w:val="28"/>
          <w:szCs w:val="28"/>
          <w:highlight w:val="none"/>
          <w:u w:val="none"/>
          <w:lang w:val="en-US" w:eastAsia="zh-CN"/>
        </w:rPr>
        <w:t>00</w:t>
      </w:r>
      <w:r>
        <w:rPr>
          <w:rFonts w:hint="eastAsia" w:ascii="仿宋_GB2312" w:hAnsi="仿宋_GB2312" w:eastAsia="仿宋_GB2312" w:cs="仿宋_GB2312"/>
          <w:b w:val="0"/>
          <w:bCs w:val="0"/>
          <w:color w:val="auto"/>
          <w:sz w:val="28"/>
          <w:szCs w:val="28"/>
          <w:highlight w:val="none"/>
          <w:u w:val="none"/>
        </w:rPr>
        <w:t>分  （北京时间）</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b w:val="0"/>
          <w:bCs w:val="0"/>
          <w:color w:val="auto"/>
          <w:sz w:val="28"/>
          <w:szCs w:val="28"/>
          <w:highlight w:val="none"/>
          <w:u w:val="none"/>
        </w:rPr>
      </w:pPr>
      <w:r>
        <w:rPr>
          <w:rFonts w:hint="eastAsia" w:ascii="仿宋_GB2312" w:hAnsi="仿宋_GB2312" w:eastAsia="仿宋_GB2312" w:cs="仿宋_GB2312"/>
          <w:b w:val="0"/>
          <w:bCs w:val="0"/>
          <w:color w:val="auto"/>
          <w:sz w:val="28"/>
          <w:szCs w:val="28"/>
          <w:highlight w:val="none"/>
          <w:u w:val="none"/>
        </w:rPr>
        <w:t>地点：</w:t>
      </w:r>
      <w:r>
        <w:rPr>
          <w:rFonts w:ascii="仿宋" w:hAnsi="仿宋" w:eastAsia="仿宋" w:cs="仿宋"/>
          <w:i w:val="0"/>
          <w:iCs w:val="0"/>
          <w:caps w:val="0"/>
          <w:color w:val="000000"/>
          <w:spacing w:val="0"/>
          <w:sz w:val="27"/>
          <w:szCs w:val="27"/>
        </w:rPr>
        <w:t>政采云网上不见面开标系统</w:t>
      </w:r>
    </w:p>
    <w:p>
      <w:pPr>
        <w:pStyle w:val="4"/>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_GB2312" w:hAnsi="仿宋_GB2312" w:eastAsia="仿宋_GB2312" w:cs="仿宋_GB2312"/>
          <w:b w:val="0"/>
          <w:bCs w:val="0"/>
          <w:color w:val="auto"/>
          <w:sz w:val="28"/>
          <w:szCs w:val="28"/>
          <w:highlight w:val="none"/>
          <w:u w:val="none"/>
        </w:rPr>
      </w:pPr>
      <w:bookmarkStart w:id="24" w:name="_Toc35393803"/>
      <w:bookmarkStart w:id="25" w:name="_Toc35393634"/>
      <w:bookmarkStart w:id="26" w:name="_Toc28359017"/>
      <w:bookmarkStart w:id="27" w:name="_Toc28359094"/>
      <w:r>
        <w:rPr>
          <w:rFonts w:hint="eastAsia" w:ascii="仿宋_GB2312" w:hAnsi="仿宋_GB2312" w:eastAsia="仿宋_GB2312" w:cs="仿宋_GB2312"/>
          <w:b w:val="0"/>
          <w:bCs w:val="0"/>
          <w:color w:val="auto"/>
          <w:sz w:val="28"/>
          <w:szCs w:val="28"/>
          <w:highlight w:val="none"/>
          <w:u w:val="none"/>
        </w:rPr>
        <w:t>六、公告期限</w:t>
      </w:r>
      <w:bookmarkEnd w:id="24"/>
      <w:bookmarkEnd w:id="25"/>
      <w:bookmarkEnd w:id="26"/>
      <w:bookmarkEnd w:id="27"/>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b w:val="0"/>
          <w:bCs w:val="0"/>
          <w:color w:val="auto"/>
          <w:kern w:val="0"/>
          <w:sz w:val="28"/>
          <w:szCs w:val="28"/>
          <w:highlight w:val="none"/>
          <w:u w:val="none"/>
        </w:rPr>
      </w:pPr>
      <w:r>
        <w:rPr>
          <w:rFonts w:hint="eastAsia" w:ascii="仿宋_GB2312" w:hAnsi="仿宋_GB2312" w:eastAsia="仿宋_GB2312" w:cs="仿宋_GB2312"/>
          <w:b w:val="0"/>
          <w:bCs w:val="0"/>
          <w:color w:val="auto"/>
          <w:kern w:val="0"/>
          <w:sz w:val="28"/>
          <w:szCs w:val="28"/>
          <w:highlight w:val="none"/>
          <w:u w:val="none"/>
        </w:rPr>
        <w:t>自本公告发布之日起</w:t>
      </w:r>
      <w:r>
        <w:rPr>
          <w:rFonts w:hint="eastAsia" w:ascii="仿宋_GB2312" w:hAnsi="仿宋_GB2312" w:eastAsia="仿宋_GB2312" w:cs="仿宋_GB2312"/>
          <w:b w:val="0"/>
          <w:bCs w:val="0"/>
          <w:color w:val="auto"/>
          <w:kern w:val="0"/>
          <w:sz w:val="28"/>
          <w:szCs w:val="28"/>
          <w:highlight w:val="none"/>
          <w:u w:val="none"/>
          <w:lang w:val="en-US" w:eastAsia="zh-CN"/>
        </w:rPr>
        <w:t>5</w:t>
      </w:r>
      <w:r>
        <w:rPr>
          <w:rFonts w:hint="eastAsia" w:ascii="仿宋_GB2312" w:hAnsi="仿宋_GB2312" w:eastAsia="仿宋_GB2312" w:cs="仿宋_GB2312"/>
          <w:b w:val="0"/>
          <w:bCs w:val="0"/>
          <w:color w:val="auto"/>
          <w:kern w:val="0"/>
          <w:sz w:val="28"/>
          <w:szCs w:val="28"/>
          <w:highlight w:val="none"/>
          <w:u w:val="none"/>
        </w:rPr>
        <w:t>个工作日。</w:t>
      </w:r>
      <w:bookmarkStart w:id="28" w:name="_Toc35393804"/>
      <w:bookmarkStart w:id="29" w:name="_Toc35393635"/>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00" w:lineRule="exact"/>
        <w:textAlignment w:val="auto"/>
        <w:rPr>
          <w:rFonts w:hint="eastAsia" w:ascii="仿宋_GB2312" w:hAnsi="仿宋_GB2312" w:eastAsia="仿宋_GB2312" w:cs="仿宋_GB2312"/>
          <w:b w:val="0"/>
          <w:bCs w:val="0"/>
          <w:color w:val="auto"/>
          <w:sz w:val="28"/>
          <w:szCs w:val="28"/>
          <w:highlight w:val="none"/>
          <w:u w:val="none"/>
        </w:rPr>
      </w:pPr>
      <w:r>
        <w:rPr>
          <w:rFonts w:hint="eastAsia" w:ascii="仿宋_GB2312" w:hAnsi="仿宋_GB2312" w:eastAsia="仿宋_GB2312" w:cs="仿宋_GB2312"/>
          <w:b w:val="0"/>
          <w:bCs w:val="0"/>
          <w:color w:val="auto"/>
          <w:sz w:val="28"/>
          <w:szCs w:val="28"/>
          <w:highlight w:val="none"/>
          <w:u w:val="none"/>
        </w:rPr>
        <w:t>其他补充事宜</w:t>
      </w:r>
      <w:bookmarkEnd w:id="28"/>
      <w:bookmarkEnd w:id="29"/>
      <w:bookmarkStart w:id="30" w:name="_Toc35393636"/>
      <w:bookmarkStart w:id="31" w:name="_Toc28359018"/>
      <w:bookmarkStart w:id="32" w:name="_Toc35393805"/>
      <w:bookmarkStart w:id="33" w:name="_Toc28359095"/>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00" w:lineRule="exact"/>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本项目为电子招投标项目，投标人需要使用CA加密设备，凡参加本项目投标人可通过新疆数字证书认证中心官网（https://www.xjca.com.cn/）或下载“新疆政务通”APP自行进行线上申领，如有操作性问题可与政采云在线客服进行咨询，咨询电话：400-881-7190。</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00" w:lineRule="exact"/>
        <w:ind w:left="0" w:leftChars="0" w:firstLine="0" w:firstLineChars="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本项目实行网上投标，采用电子投标文件，若投标人参与投标，应自行承担投标一切费用。</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00" w:lineRule="exact"/>
        <w:ind w:left="0" w:leftChars="0" w:firstLine="0" w:firstLineChars="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投标人应在开标前应确保成为新疆政府采购网正式注册入库供应商，并完成CA数字证书申领。因未注册入库、未办理CA数字证书等原因造成无法投标或投标失败等后果由投标人自行承担。</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00" w:lineRule="exact"/>
        <w:ind w:left="0" w:leftChars="0" w:firstLine="0" w:firstLineChars="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投标人应使用最新版本的CA驱动和政采云投标客户端，客户端下载、安装完成后，可通过账号密码或CA登录客户端进行响应文件制作。在使用政采云投标客户端时，建议使用谷歌浏览器，电脑配置满足win7+64位以上操作系统（不能用mac或者linux系统）。客户端请至新疆政府采购网（www.ccgp-xinjiang.gov.cn）下载专区查看，如有问题可拨打政采云客户服务热线400-881-7190进行咨询。</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500" w:lineRule="exact"/>
        <w:ind w:leftChars="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（5）投标人应当在投标截止时间前，将生成的“电子加密投标文件”上传递交至“政府采购云平台”，投标截止时间以后上传递交的投标文件将被“政府采购云平台”拒收。</w:t>
      </w:r>
    </w:p>
    <w:p>
      <w:pPr>
        <w:pStyle w:val="4"/>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（6）投标人登录政采云平台，在开标时间后30分钟内（用“项目采购-开标评标”功能进行解密投标文件。若投标人在规定时间内未按时解密的，视为无效投标。解密与加密投标文件须为同一个CA。</w:t>
      </w:r>
    </w:p>
    <w:p>
      <w:pPr>
        <w:pStyle w:val="4"/>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_GB2312" w:hAnsi="仿宋_GB2312" w:eastAsia="仿宋_GB2312" w:cs="仿宋_GB2312"/>
          <w:b w:val="0"/>
          <w:bCs w:val="0"/>
          <w:color w:val="auto"/>
          <w:sz w:val="28"/>
          <w:szCs w:val="28"/>
          <w:highlight w:val="none"/>
          <w:u w:val="none"/>
        </w:rPr>
      </w:pPr>
      <w:r>
        <w:rPr>
          <w:rFonts w:hint="eastAsia" w:ascii="仿宋_GB2312" w:hAnsi="仿宋_GB2312" w:eastAsia="仿宋_GB2312" w:cs="仿宋_GB2312"/>
          <w:b w:val="0"/>
          <w:bCs w:val="0"/>
          <w:color w:val="auto"/>
          <w:sz w:val="28"/>
          <w:szCs w:val="28"/>
          <w:highlight w:val="none"/>
          <w:u w:val="none"/>
        </w:rPr>
        <w:t>八、凡对本次采购提出询问，请按以下方式联系。</w:t>
      </w:r>
      <w:bookmarkEnd w:id="30"/>
      <w:bookmarkEnd w:id="31"/>
      <w:bookmarkEnd w:id="32"/>
      <w:bookmarkEnd w:id="33"/>
    </w:p>
    <w:p>
      <w:pPr>
        <w:spacing w:line="620" w:lineRule="exact"/>
        <w:ind w:firstLine="560" w:firstLineChars="200"/>
        <w:rPr>
          <w:rFonts w:ascii="仿宋_GB2312" w:hAnsi="仿宋_GB2312" w:eastAsia="仿宋_GB2312" w:cs="仿宋_GB2312"/>
          <w:color w:val="auto"/>
          <w:sz w:val="28"/>
          <w:szCs w:val="28"/>
          <w:highlight w:val="none"/>
        </w:rPr>
      </w:pPr>
      <w:bookmarkStart w:id="34" w:name="_Toc35393637"/>
      <w:bookmarkStart w:id="35" w:name="_Toc35393806"/>
      <w:bookmarkStart w:id="36" w:name="_Toc28359019"/>
      <w:bookmarkStart w:id="37" w:name="_Toc28359096"/>
      <w:r>
        <w:rPr>
          <w:rFonts w:hint="eastAsia" w:ascii="仿宋_GB2312" w:hAnsi="仿宋_GB2312" w:eastAsia="仿宋_GB2312" w:cs="仿宋_GB2312"/>
          <w:color w:val="auto"/>
          <w:sz w:val="28"/>
          <w:szCs w:val="28"/>
          <w:highlight w:val="none"/>
        </w:rPr>
        <w:t>1.采购人信息</w:t>
      </w:r>
      <w:bookmarkEnd w:id="34"/>
      <w:bookmarkEnd w:id="35"/>
      <w:bookmarkEnd w:id="36"/>
      <w:bookmarkEnd w:id="37"/>
    </w:p>
    <w:p>
      <w:pPr>
        <w:spacing w:line="62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名    称：</w:t>
      </w:r>
      <w:r>
        <w:rPr>
          <w:rFonts w:hint="eastAsia" w:ascii="仿宋_GB2312" w:hAnsi="仿宋_GB2312" w:eastAsia="仿宋_GB2312" w:cs="仿宋_GB2312"/>
          <w:color w:val="auto"/>
          <w:sz w:val="28"/>
          <w:szCs w:val="28"/>
          <w:highlight w:val="none"/>
          <w:lang w:eastAsia="zh-CN"/>
        </w:rPr>
        <w:t>阿克苏地区塔里木歌舞团</w:t>
      </w:r>
    </w:p>
    <w:p>
      <w:pPr>
        <w:spacing w:line="620" w:lineRule="exact"/>
        <w:ind w:firstLine="560" w:firstLineChars="200"/>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sz w:val="28"/>
          <w:szCs w:val="28"/>
          <w:highlight w:val="none"/>
        </w:rPr>
        <w:t>地    址：</w:t>
      </w:r>
      <w:r>
        <w:rPr>
          <w:rFonts w:hint="eastAsia" w:ascii="仿宋_GB2312" w:hAnsi="仿宋_GB2312" w:eastAsia="仿宋_GB2312" w:cs="仿宋_GB2312"/>
          <w:color w:val="auto"/>
          <w:kern w:val="0"/>
          <w:sz w:val="28"/>
          <w:szCs w:val="28"/>
          <w:highlight w:val="none"/>
        </w:rPr>
        <w:t>阿克苏市</w:t>
      </w:r>
      <w:r>
        <w:rPr>
          <w:rFonts w:hint="eastAsia" w:ascii="仿宋_GB2312" w:hAnsi="仿宋_GB2312" w:eastAsia="仿宋_GB2312" w:cs="仿宋_GB2312"/>
          <w:color w:val="auto"/>
          <w:kern w:val="0"/>
          <w:sz w:val="28"/>
          <w:szCs w:val="28"/>
          <w:highlight w:val="none"/>
          <w:lang w:val="en-US" w:eastAsia="zh-CN"/>
        </w:rPr>
        <w:t>西大</w:t>
      </w:r>
      <w:r>
        <w:rPr>
          <w:rFonts w:hint="eastAsia" w:ascii="仿宋_GB2312" w:hAnsi="仿宋_GB2312" w:eastAsia="仿宋_GB2312" w:cs="仿宋_GB2312"/>
          <w:color w:val="auto"/>
          <w:kern w:val="0"/>
          <w:sz w:val="28"/>
          <w:szCs w:val="28"/>
          <w:highlight w:val="none"/>
        </w:rPr>
        <w:t>街</w:t>
      </w:r>
      <w:r>
        <w:rPr>
          <w:rFonts w:hint="eastAsia" w:ascii="仿宋_GB2312" w:hAnsi="仿宋_GB2312" w:eastAsia="仿宋_GB2312" w:cs="仿宋_GB2312"/>
          <w:color w:val="auto"/>
          <w:kern w:val="0"/>
          <w:sz w:val="28"/>
          <w:szCs w:val="28"/>
          <w:highlight w:val="none"/>
          <w:lang w:val="en-US" w:eastAsia="zh-CN"/>
        </w:rPr>
        <w:t>8号</w:t>
      </w:r>
    </w:p>
    <w:p>
      <w:pPr>
        <w:spacing w:line="6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联系方式：</w:t>
      </w:r>
      <w:r>
        <w:rPr>
          <w:rFonts w:hint="eastAsia" w:ascii="仿宋_GB2312" w:hAnsi="仿宋_GB2312" w:eastAsia="仿宋_GB2312" w:cs="仿宋_GB2312"/>
          <w:color w:val="auto"/>
          <w:kern w:val="0"/>
          <w:sz w:val="28"/>
          <w:szCs w:val="28"/>
          <w:highlight w:val="none"/>
          <w:lang w:val="en-US" w:eastAsia="zh-CN"/>
        </w:rPr>
        <w:t>13899209121</w:t>
      </w:r>
      <w:r>
        <w:rPr>
          <w:rFonts w:hint="eastAsia" w:ascii="仿宋_GB2312" w:hAnsi="仿宋_GB2312" w:eastAsia="仿宋_GB2312" w:cs="仿宋_GB2312"/>
          <w:color w:val="auto"/>
          <w:sz w:val="28"/>
          <w:szCs w:val="28"/>
          <w:highlight w:val="none"/>
        </w:rPr>
        <w:t>　　</w:t>
      </w:r>
    </w:p>
    <w:p>
      <w:pPr>
        <w:spacing w:line="620" w:lineRule="exact"/>
        <w:ind w:firstLine="560" w:firstLineChars="200"/>
        <w:rPr>
          <w:rFonts w:ascii="仿宋_GB2312" w:hAnsi="仿宋_GB2312" w:eastAsia="仿宋_GB2312" w:cs="仿宋_GB2312"/>
          <w:color w:val="auto"/>
          <w:sz w:val="28"/>
          <w:szCs w:val="28"/>
          <w:highlight w:val="none"/>
        </w:rPr>
      </w:pPr>
      <w:bookmarkStart w:id="38" w:name="_Toc35393638"/>
      <w:bookmarkStart w:id="39" w:name="_Toc35393807"/>
      <w:bookmarkStart w:id="40" w:name="_Toc28359020"/>
      <w:bookmarkStart w:id="41" w:name="_Toc28359097"/>
      <w:r>
        <w:rPr>
          <w:rFonts w:hint="eastAsia" w:ascii="仿宋_GB2312" w:hAnsi="仿宋_GB2312" w:eastAsia="仿宋_GB2312" w:cs="仿宋_GB2312"/>
          <w:color w:val="auto"/>
          <w:sz w:val="28"/>
          <w:szCs w:val="28"/>
          <w:highlight w:val="none"/>
        </w:rPr>
        <w:t>2.采购代理机构信息</w:t>
      </w:r>
      <w:bookmarkEnd w:id="38"/>
      <w:bookmarkEnd w:id="39"/>
      <w:bookmarkEnd w:id="40"/>
      <w:bookmarkEnd w:id="41"/>
    </w:p>
    <w:p>
      <w:pPr>
        <w:spacing w:line="62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名    称：</w:t>
      </w:r>
      <w:r>
        <w:rPr>
          <w:rFonts w:hint="eastAsia" w:ascii="仿宋_GB2312" w:hAnsi="仿宋_GB2312" w:eastAsia="仿宋_GB2312" w:cs="仿宋_GB2312"/>
          <w:color w:val="auto"/>
          <w:kern w:val="0"/>
          <w:sz w:val="28"/>
          <w:szCs w:val="28"/>
          <w:highlight w:val="none"/>
          <w:lang w:eastAsia="zh-CN"/>
        </w:rPr>
        <w:t>新疆泽一项目管理有限公司</w:t>
      </w:r>
    </w:p>
    <w:p>
      <w:pPr>
        <w:spacing w:line="6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地　　址：</w:t>
      </w:r>
      <w:r>
        <w:rPr>
          <w:rFonts w:hint="eastAsia" w:ascii="仿宋_GB2312" w:hAnsi="仿宋_GB2312" w:eastAsia="仿宋_GB2312" w:cs="仿宋_GB2312"/>
          <w:color w:val="auto"/>
          <w:kern w:val="0"/>
          <w:sz w:val="28"/>
          <w:szCs w:val="28"/>
          <w:highlight w:val="none"/>
          <w:lang w:eastAsia="zh-CN"/>
        </w:rPr>
        <w:t>新疆阿克苏地区阿克苏市幸福南路6号锦程·玫瑰园小区1号商铺楼401室</w:t>
      </w:r>
      <w:r>
        <w:rPr>
          <w:rFonts w:hint="eastAsia" w:ascii="仿宋_GB2312" w:hAnsi="仿宋_GB2312" w:eastAsia="仿宋_GB2312" w:cs="仿宋_GB2312"/>
          <w:color w:val="auto"/>
          <w:kern w:val="0"/>
          <w:sz w:val="28"/>
          <w:szCs w:val="28"/>
          <w:highlight w:val="none"/>
        </w:rPr>
        <w:t>  </w:t>
      </w:r>
      <w:r>
        <w:rPr>
          <w:rFonts w:hint="eastAsia" w:ascii="仿宋_GB2312" w:hAnsi="仿宋_GB2312" w:eastAsia="仿宋_GB2312" w:cs="仿宋_GB2312"/>
          <w:color w:val="auto"/>
          <w:sz w:val="28"/>
          <w:szCs w:val="28"/>
          <w:highlight w:val="none"/>
        </w:rPr>
        <w:t> </w:t>
      </w:r>
    </w:p>
    <w:p>
      <w:pPr>
        <w:spacing w:line="6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联系方式：</w:t>
      </w:r>
      <w:r>
        <w:rPr>
          <w:rFonts w:hint="eastAsia" w:ascii="仿宋_GB2312" w:hAnsi="仿宋_GB2312" w:eastAsia="仿宋_GB2312" w:cs="仿宋_GB2312"/>
          <w:color w:val="auto"/>
          <w:sz w:val="28"/>
          <w:szCs w:val="28"/>
          <w:highlight w:val="none"/>
          <w:lang w:val="en-US" w:eastAsia="zh-CN"/>
        </w:rPr>
        <w:t>15886806770</w:t>
      </w:r>
    </w:p>
    <w:p>
      <w:pPr>
        <w:spacing w:line="620" w:lineRule="exact"/>
        <w:ind w:firstLine="560" w:firstLineChars="200"/>
        <w:rPr>
          <w:rFonts w:ascii="仿宋_GB2312" w:hAnsi="仿宋_GB2312" w:eastAsia="仿宋_GB2312" w:cs="仿宋_GB2312"/>
          <w:color w:val="auto"/>
          <w:sz w:val="28"/>
          <w:szCs w:val="28"/>
          <w:highlight w:val="none"/>
        </w:rPr>
      </w:pPr>
      <w:bookmarkStart w:id="42" w:name="_Toc35393808"/>
      <w:bookmarkStart w:id="43" w:name="_Toc28359021"/>
      <w:bookmarkStart w:id="44" w:name="_Toc28359098"/>
      <w:bookmarkStart w:id="45" w:name="_Toc35393639"/>
      <w:r>
        <w:rPr>
          <w:rFonts w:hint="eastAsia" w:ascii="仿宋_GB2312" w:hAnsi="仿宋_GB2312" w:eastAsia="仿宋_GB2312" w:cs="仿宋_GB2312"/>
          <w:color w:val="auto"/>
          <w:sz w:val="28"/>
          <w:szCs w:val="28"/>
          <w:highlight w:val="none"/>
        </w:rPr>
        <w:t>3.项目联系方式</w:t>
      </w:r>
      <w:bookmarkEnd w:id="42"/>
      <w:bookmarkEnd w:id="43"/>
      <w:bookmarkEnd w:id="44"/>
      <w:bookmarkEnd w:id="45"/>
    </w:p>
    <w:p>
      <w:pPr>
        <w:spacing w:line="6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项目联系人：</w:t>
      </w:r>
      <w:r>
        <w:rPr>
          <w:rFonts w:hint="eastAsia" w:ascii="仿宋_GB2312" w:hAnsi="仿宋_GB2312" w:eastAsia="仿宋_GB2312" w:cs="仿宋_GB2312"/>
          <w:color w:val="auto"/>
          <w:sz w:val="28"/>
          <w:szCs w:val="28"/>
          <w:highlight w:val="none"/>
          <w:lang w:val="en-US" w:eastAsia="zh-CN"/>
        </w:rPr>
        <w:t>李凤娇</w:t>
      </w:r>
    </w:p>
    <w:p>
      <w:pPr>
        <w:spacing w:line="620" w:lineRule="exact"/>
        <w:ind w:firstLine="56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28"/>
          <w:szCs w:val="28"/>
          <w:highlight w:val="none"/>
        </w:rPr>
        <w:t>电　　  话：</w:t>
      </w:r>
      <w:r>
        <w:rPr>
          <w:rFonts w:hint="eastAsia" w:ascii="仿宋_GB2312" w:hAnsi="仿宋_GB2312" w:eastAsia="仿宋_GB2312" w:cs="仿宋_GB2312"/>
          <w:color w:val="auto"/>
          <w:sz w:val="28"/>
          <w:szCs w:val="28"/>
          <w:highlight w:val="none"/>
          <w:lang w:val="en-US" w:eastAsia="zh-CN"/>
        </w:rPr>
        <w:t>15886806770</w:t>
      </w:r>
      <w:r>
        <w:rPr>
          <w:rFonts w:hint="eastAsia" w:ascii="仿宋_GB2312" w:hAnsi="仿宋_GB2312" w:eastAsia="仿宋_GB2312" w:cs="仿宋_GB2312"/>
          <w:color w:val="auto"/>
          <w:sz w:val="32"/>
          <w:szCs w:val="32"/>
          <w:highlight w:val="none"/>
        </w:rPr>
        <w:t xml:space="preserve">  </w:t>
      </w:r>
    </w:p>
    <w:p>
      <w:pPr>
        <w:rPr>
          <w:color w:val="auto"/>
          <w:highlight w:val="none"/>
        </w:rPr>
      </w:pPr>
    </w:p>
    <w:p>
      <w:pPr>
        <w:ind w:firstLine="560" w:firstLineChars="200"/>
        <w:rPr>
          <w:color w:val="auto"/>
          <w:sz w:val="20"/>
          <w:szCs w:val="22"/>
          <w:highlight w:val="none"/>
        </w:rPr>
      </w:pPr>
      <w:r>
        <w:rPr>
          <w:rFonts w:hint="eastAsia" w:ascii="仿宋_GB2312" w:hAnsi="仿宋_GB2312" w:eastAsia="仿宋_GB2312" w:cs="仿宋_GB2312"/>
          <w:color w:val="auto"/>
          <w:kern w:val="0"/>
          <w:sz w:val="28"/>
          <w:szCs w:val="28"/>
          <w:highlight w:val="none"/>
          <w:lang w:val="en-US" w:eastAsia="zh-CN"/>
        </w:rPr>
        <w:t xml:space="preserve"> </w:t>
      </w:r>
      <w:r>
        <w:rPr>
          <w:rFonts w:hint="eastAsia" w:ascii="仿宋_GB2312" w:hAnsi="仿宋_GB2312" w:eastAsia="仿宋_GB2312" w:cs="仿宋_GB2312"/>
          <w:color w:val="auto"/>
          <w:kern w:val="0"/>
          <w:sz w:val="28"/>
          <w:szCs w:val="28"/>
          <w:highlight w:val="none"/>
        </w:rPr>
        <w:t> </w:t>
      </w:r>
    </w:p>
    <w:p>
      <w:pPr>
        <w:rPr>
          <w:color w:val="auto"/>
          <w:highlight w:val="none"/>
        </w:rPr>
      </w:pPr>
    </w:p>
    <w:p>
      <w:pPr>
        <w:pageBreakBefore w:val="0"/>
        <w:widowControl w:val="0"/>
        <w:kinsoku/>
        <w:wordWrap/>
        <w:overflowPunct/>
        <w:topLinePunct w:val="0"/>
        <w:autoSpaceDE/>
        <w:autoSpaceDN/>
        <w:bidi w:val="0"/>
        <w:adjustRightInd/>
        <w:snapToGrid/>
        <w:spacing w:line="480" w:lineRule="exact"/>
        <w:ind w:firstLine="420" w:firstLineChars="200"/>
        <w:textAlignment w:val="auto"/>
        <w:rPr>
          <w:color w:val="auto"/>
          <w:highlight w:val="none"/>
        </w:rPr>
      </w:pPr>
    </w:p>
    <w:p>
      <w:pPr>
        <w:pStyle w:val="13"/>
        <w:spacing w:before="4800" w:beforeLines="2000" w:after="0"/>
        <w:jc w:val="center"/>
        <w:rPr>
          <w:rFonts w:hint="eastAsia"/>
          <w:color w:val="auto"/>
          <w:szCs w:val="30"/>
          <w:highlight w:val="none"/>
        </w:rPr>
      </w:pPr>
      <w:r>
        <w:rPr>
          <w:rFonts w:hint="eastAsia"/>
          <w:color w:val="auto"/>
          <w:highlight w:val="none"/>
        </w:rPr>
        <w:br w:type="page"/>
      </w:r>
      <w:bookmarkStart w:id="46" w:name="_Toc19030"/>
      <w:r>
        <w:rPr>
          <w:rFonts w:hint="eastAsia"/>
          <w:color w:val="auto"/>
          <w:szCs w:val="30"/>
          <w:highlight w:val="none"/>
        </w:rPr>
        <w:t>第二章  供应商须知及前附表</w:t>
      </w:r>
      <w:bookmarkEnd w:id="3"/>
      <w:bookmarkEnd w:id="46"/>
    </w:p>
    <w:p>
      <w:pPr>
        <w:pStyle w:val="3"/>
        <w:spacing w:before="0" w:after="0" w:line="360" w:lineRule="auto"/>
        <w:rPr>
          <w:rFonts w:hint="eastAsia"/>
          <w:color w:val="auto"/>
          <w:highlight w:val="none"/>
        </w:rPr>
      </w:pPr>
      <w:r>
        <w:rPr>
          <w:color w:val="auto"/>
          <w:highlight w:val="none"/>
        </w:rPr>
        <w:br w:type="page"/>
      </w:r>
      <w:bookmarkStart w:id="47" w:name="_Toc3571"/>
      <w:bookmarkStart w:id="48" w:name="_Toc18384"/>
      <w:r>
        <w:rPr>
          <w:rFonts w:hint="eastAsia"/>
          <w:color w:val="auto"/>
          <w:highlight w:val="none"/>
        </w:rPr>
        <w:t>（一）供应商须知前附表</w:t>
      </w:r>
      <w:bookmarkEnd w:id="47"/>
      <w:bookmarkEnd w:id="48"/>
    </w:p>
    <w:tbl>
      <w:tblPr>
        <w:tblStyle w:val="15"/>
        <w:tblW w:w="0" w:type="auto"/>
        <w:jc w:val="center"/>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21"/>
        <w:gridCol w:w="8782"/>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PrEx>
        <w:trPr>
          <w:trHeight w:val="1031" w:hRule="atLeast"/>
          <w:jc w:val="center"/>
        </w:trPr>
        <w:tc>
          <w:tcPr>
            <w:tcW w:w="721" w:type="dxa"/>
            <w:noWrap w:val="0"/>
            <w:vAlign w:val="center"/>
          </w:tcPr>
          <w:p>
            <w:pPr>
              <w:spacing w:line="276" w:lineRule="auto"/>
              <w:jc w:val="center"/>
              <w:rPr>
                <w:rFonts w:hint="eastAsia" w:ascii="宋体" w:hAnsi="宋体"/>
                <w:b/>
                <w:color w:val="auto"/>
                <w:sz w:val="24"/>
                <w:highlight w:val="none"/>
              </w:rPr>
            </w:pPr>
            <w:bookmarkStart w:id="49" w:name="_Toc373314697"/>
            <w:bookmarkStart w:id="50" w:name="_Toc373309552"/>
            <w:r>
              <w:rPr>
                <w:rFonts w:hint="eastAsia" w:ascii="宋体" w:hAnsi="宋体"/>
                <w:b/>
                <w:color w:val="auto"/>
                <w:sz w:val="24"/>
                <w:highlight w:val="none"/>
              </w:rPr>
              <w:t>序号</w:t>
            </w:r>
          </w:p>
        </w:tc>
        <w:tc>
          <w:tcPr>
            <w:tcW w:w="8782" w:type="dxa"/>
            <w:noWrap w:val="0"/>
            <w:vAlign w:val="center"/>
          </w:tcPr>
          <w:p>
            <w:pPr>
              <w:spacing w:line="276" w:lineRule="auto"/>
              <w:ind w:firstLine="482" w:firstLineChars="200"/>
              <w:jc w:val="center"/>
              <w:rPr>
                <w:rFonts w:hint="eastAsia" w:ascii="宋体" w:hAnsi="宋体"/>
                <w:b/>
                <w:color w:val="auto"/>
                <w:sz w:val="24"/>
                <w:highlight w:val="none"/>
              </w:rPr>
            </w:pPr>
            <w:r>
              <w:rPr>
                <w:rFonts w:hint="eastAsia" w:ascii="宋体" w:hAnsi="宋体"/>
                <w:b/>
                <w:color w:val="auto"/>
                <w:sz w:val="24"/>
                <w:highlight w:val="none"/>
              </w:rPr>
              <w:t>内   容   规   定</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1" w:type="dxa"/>
            <w:noWrap w:val="0"/>
            <w:vAlign w:val="center"/>
          </w:tcPr>
          <w:p>
            <w:pPr>
              <w:spacing w:line="276" w:lineRule="auto"/>
              <w:jc w:val="center"/>
              <w:textAlignment w:val="baseline"/>
              <w:rPr>
                <w:rFonts w:hint="eastAsia" w:ascii="宋体" w:hAnsi="宋体"/>
                <w:color w:val="auto"/>
                <w:sz w:val="24"/>
                <w:highlight w:val="none"/>
              </w:rPr>
            </w:pPr>
            <w:r>
              <w:rPr>
                <w:rFonts w:hint="eastAsia" w:ascii="宋体" w:hAnsi="宋体"/>
                <w:color w:val="auto"/>
                <w:sz w:val="24"/>
                <w:highlight w:val="none"/>
              </w:rPr>
              <w:t>1</w:t>
            </w:r>
          </w:p>
        </w:tc>
        <w:tc>
          <w:tcPr>
            <w:tcW w:w="8782" w:type="dxa"/>
            <w:noWrap w:val="0"/>
            <w:vAlign w:val="center"/>
          </w:tcPr>
          <w:p>
            <w:pPr>
              <w:spacing w:line="276" w:lineRule="auto"/>
              <w:ind w:left="1205" w:hanging="1205" w:hangingChars="500"/>
              <w:rPr>
                <w:rFonts w:hint="eastAsia" w:ascii="宋体" w:hAnsi="宋体" w:eastAsia="宋体" w:cs="Times New Roman"/>
                <w:color w:val="auto"/>
                <w:sz w:val="24"/>
                <w:highlight w:val="none"/>
                <w:lang w:val="en-US" w:eastAsia="zh-CN"/>
              </w:rPr>
            </w:pPr>
            <w:r>
              <w:rPr>
                <w:rFonts w:hint="eastAsia" w:ascii="宋体" w:hAnsi="宋体"/>
                <w:b/>
                <w:color w:val="auto"/>
                <w:sz w:val="24"/>
                <w:highlight w:val="none"/>
              </w:rPr>
              <w:t>项目名称：</w:t>
            </w:r>
            <w:r>
              <w:rPr>
                <w:rFonts w:hint="eastAsia" w:ascii="宋体" w:hAnsi="宋体" w:eastAsia="宋体" w:cs="Times New Roman"/>
                <w:color w:val="auto"/>
                <w:kern w:val="2"/>
                <w:sz w:val="24"/>
                <w:szCs w:val="24"/>
                <w:highlight w:val="none"/>
                <w:lang w:val="en-US" w:eastAsia="zh-CN" w:bidi="ar-SA"/>
              </w:rPr>
              <w:t>阿克苏地区塔里木歌舞团办公区地坪及彩钢房修建项目</w:t>
            </w:r>
          </w:p>
          <w:p>
            <w:pPr>
              <w:pStyle w:val="17"/>
              <w:spacing w:line="276" w:lineRule="auto"/>
              <w:ind w:firstLine="0" w:firstLineChars="0"/>
              <w:jc w:val="left"/>
              <w:rPr>
                <w:rFonts w:hint="default" w:ascii="宋体" w:hAnsi="宋体"/>
                <w:color w:val="auto"/>
                <w:sz w:val="24"/>
                <w:highlight w:val="none"/>
                <w:lang w:val="en-US"/>
              </w:rPr>
            </w:pPr>
            <w:r>
              <w:rPr>
                <w:rFonts w:hint="eastAsia" w:ascii="宋体" w:hAnsi="宋体"/>
                <w:b/>
                <w:color w:val="auto"/>
                <w:sz w:val="24"/>
                <w:highlight w:val="none"/>
                <w:lang w:eastAsia="zh-CN"/>
              </w:rPr>
              <w:t>项目</w:t>
            </w:r>
            <w:r>
              <w:rPr>
                <w:rFonts w:hint="eastAsia" w:ascii="宋体" w:hAnsi="宋体"/>
                <w:b/>
                <w:color w:val="auto"/>
                <w:sz w:val="24"/>
                <w:highlight w:val="none"/>
              </w:rPr>
              <w:t>编号：</w:t>
            </w:r>
            <w:r>
              <w:rPr>
                <w:rFonts w:hint="eastAsia" w:ascii="宋体" w:hAnsi="宋体" w:eastAsia="宋体" w:cs="Times New Roman"/>
                <w:color w:val="auto"/>
                <w:kern w:val="2"/>
                <w:sz w:val="24"/>
                <w:szCs w:val="24"/>
                <w:highlight w:val="none"/>
                <w:lang w:val="en-US" w:eastAsia="zh-CN" w:bidi="ar-SA"/>
              </w:rPr>
              <w:t>2021-XJZYXM-010</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1" w:type="dxa"/>
            <w:noWrap w:val="0"/>
            <w:vAlign w:val="center"/>
          </w:tcPr>
          <w:p>
            <w:pPr>
              <w:spacing w:line="276" w:lineRule="auto"/>
              <w:jc w:val="center"/>
              <w:textAlignment w:val="baseline"/>
              <w:rPr>
                <w:rFonts w:hint="eastAsia" w:ascii="宋体" w:hAnsi="宋体"/>
                <w:color w:val="auto"/>
                <w:sz w:val="24"/>
                <w:highlight w:val="none"/>
              </w:rPr>
            </w:pPr>
            <w:r>
              <w:rPr>
                <w:rFonts w:hint="eastAsia" w:ascii="宋体" w:hAnsi="宋体"/>
                <w:color w:val="auto"/>
                <w:sz w:val="24"/>
                <w:highlight w:val="none"/>
              </w:rPr>
              <w:t>2</w:t>
            </w:r>
          </w:p>
        </w:tc>
        <w:tc>
          <w:tcPr>
            <w:tcW w:w="8782" w:type="dxa"/>
            <w:noWrap w:val="0"/>
            <w:vAlign w:val="center"/>
          </w:tcPr>
          <w:p>
            <w:pPr>
              <w:spacing w:line="276" w:lineRule="auto"/>
              <w:rPr>
                <w:rFonts w:hint="eastAsia" w:ascii="宋体" w:hAnsi="宋体" w:eastAsia="宋体" w:cs="Times New Roman"/>
                <w:color w:val="auto"/>
                <w:sz w:val="24"/>
                <w:highlight w:val="none"/>
                <w:lang w:val="en-US" w:eastAsia="zh-CN"/>
              </w:rPr>
            </w:pPr>
            <w:r>
              <w:rPr>
                <w:rFonts w:hint="eastAsia" w:ascii="宋体" w:hAnsi="宋体"/>
                <w:b/>
                <w:color w:val="auto"/>
                <w:sz w:val="24"/>
                <w:highlight w:val="none"/>
              </w:rPr>
              <w:t>采</w:t>
            </w:r>
            <w:r>
              <w:rPr>
                <w:rFonts w:hint="eastAsia" w:ascii="宋体" w:hAnsi="宋体"/>
                <w:b/>
                <w:color w:val="auto"/>
                <w:sz w:val="24"/>
                <w:highlight w:val="none"/>
                <w:lang w:eastAsia="zh-CN"/>
              </w:rPr>
              <w:t>购</w:t>
            </w:r>
            <w:r>
              <w:rPr>
                <w:rFonts w:hint="eastAsia" w:ascii="宋体" w:hAnsi="宋体"/>
                <w:b/>
                <w:color w:val="auto"/>
                <w:sz w:val="24"/>
                <w:highlight w:val="none"/>
              </w:rPr>
              <w:t>人：</w:t>
            </w:r>
            <w:r>
              <w:rPr>
                <w:rFonts w:hint="eastAsia" w:ascii="宋体" w:hAnsi="宋体" w:eastAsia="宋体" w:cs="Times New Roman"/>
                <w:color w:val="auto"/>
                <w:sz w:val="24"/>
                <w:highlight w:val="none"/>
                <w:lang w:val="en-US" w:eastAsia="zh-CN"/>
              </w:rPr>
              <w:t>阿克苏地区塔里木歌舞团</w:t>
            </w:r>
          </w:p>
          <w:p>
            <w:pPr>
              <w:spacing w:line="276" w:lineRule="auto"/>
              <w:rPr>
                <w:rFonts w:hint="eastAsia" w:ascii="宋体" w:hAnsi="宋体"/>
                <w:b/>
                <w:color w:val="auto"/>
                <w:sz w:val="24"/>
                <w:highlight w:val="none"/>
              </w:rPr>
            </w:pPr>
            <w:r>
              <w:rPr>
                <w:rFonts w:hint="eastAsia" w:ascii="宋体" w:hAnsi="宋体"/>
                <w:b/>
                <w:color w:val="auto"/>
                <w:sz w:val="24"/>
                <w:highlight w:val="none"/>
              </w:rPr>
              <w:t>地址：</w:t>
            </w:r>
            <w:r>
              <w:rPr>
                <w:rFonts w:hint="eastAsia" w:ascii="宋体" w:hAnsi="宋体"/>
                <w:color w:val="auto"/>
                <w:sz w:val="24"/>
                <w:highlight w:val="none"/>
                <w:lang w:val="en-US" w:eastAsia="zh-CN"/>
              </w:rPr>
              <w:t>阿克苏市西大街8号</w:t>
            </w:r>
          </w:p>
          <w:p>
            <w:pPr>
              <w:spacing w:line="276" w:lineRule="auto"/>
              <w:rPr>
                <w:rFonts w:ascii="宋体" w:hAnsi="宋体"/>
                <w:color w:val="auto"/>
                <w:sz w:val="24"/>
                <w:highlight w:val="none"/>
              </w:rPr>
            </w:pPr>
            <w:r>
              <w:rPr>
                <w:rFonts w:hint="eastAsia" w:ascii="宋体" w:hAnsi="宋体"/>
                <w:b/>
                <w:color w:val="auto"/>
                <w:sz w:val="24"/>
                <w:highlight w:val="none"/>
              </w:rPr>
              <w:t>联系人</w:t>
            </w:r>
            <w:r>
              <w:rPr>
                <w:rFonts w:hint="eastAsia" w:ascii="宋体" w:hAnsi="宋体"/>
                <w:color w:val="auto"/>
                <w:sz w:val="24"/>
                <w:highlight w:val="none"/>
              </w:rPr>
              <w:t>：</w:t>
            </w:r>
            <w:r>
              <w:rPr>
                <w:rFonts w:hint="eastAsia" w:ascii="宋体" w:hAnsi="宋体" w:cs="宋体"/>
                <w:color w:val="auto"/>
                <w:sz w:val="24"/>
                <w:highlight w:val="none"/>
                <w:lang w:val="en-US" w:eastAsia="zh-CN"/>
              </w:rPr>
              <w:t>李珍</w:t>
            </w:r>
          </w:p>
          <w:p>
            <w:pPr>
              <w:spacing w:line="276" w:lineRule="auto"/>
              <w:rPr>
                <w:rFonts w:hint="eastAsia" w:ascii="宋体" w:hAnsi="宋体"/>
                <w:color w:val="auto"/>
                <w:sz w:val="24"/>
                <w:highlight w:val="none"/>
              </w:rPr>
            </w:pPr>
            <w:r>
              <w:rPr>
                <w:rFonts w:hint="eastAsia" w:ascii="宋体" w:hAnsi="宋体"/>
                <w:b/>
                <w:color w:val="auto"/>
                <w:sz w:val="24"/>
                <w:highlight w:val="none"/>
              </w:rPr>
              <w:t>电话：</w:t>
            </w:r>
            <w:r>
              <w:rPr>
                <w:rFonts w:hint="eastAsia" w:ascii="宋体" w:hAnsi="宋体" w:cs="宋体"/>
                <w:color w:val="auto"/>
                <w:sz w:val="24"/>
                <w:highlight w:val="none"/>
                <w:lang w:val="en-US" w:eastAsia="zh-CN"/>
              </w:rPr>
              <w:t>13899209121</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1" w:type="dxa"/>
            <w:noWrap w:val="0"/>
            <w:vAlign w:val="center"/>
          </w:tcPr>
          <w:p>
            <w:pPr>
              <w:spacing w:line="276" w:lineRule="auto"/>
              <w:jc w:val="center"/>
              <w:textAlignment w:val="baseline"/>
              <w:rPr>
                <w:rFonts w:hint="eastAsia" w:ascii="宋体" w:hAnsi="宋体"/>
                <w:color w:val="auto"/>
                <w:sz w:val="24"/>
                <w:highlight w:val="none"/>
              </w:rPr>
            </w:pPr>
            <w:r>
              <w:rPr>
                <w:rFonts w:hint="eastAsia" w:ascii="宋体" w:hAnsi="宋体"/>
                <w:color w:val="auto"/>
                <w:sz w:val="24"/>
                <w:highlight w:val="none"/>
              </w:rPr>
              <w:t>3</w:t>
            </w:r>
          </w:p>
        </w:tc>
        <w:tc>
          <w:tcPr>
            <w:tcW w:w="8782" w:type="dxa"/>
            <w:noWrap w:val="0"/>
            <w:vAlign w:val="center"/>
          </w:tcPr>
          <w:p>
            <w:pPr>
              <w:spacing w:line="276" w:lineRule="auto"/>
              <w:textAlignment w:val="baseline"/>
              <w:rPr>
                <w:rFonts w:hint="eastAsia" w:ascii="宋体" w:hAnsi="宋体" w:eastAsia="宋体"/>
                <w:color w:val="auto"/>
                <w:sz w:val="24"/>
                <w:highlight w:val="none"/>
                <w:lang w:eastAsia="zh-CN"/>
              </w:rPr>
            </w:pPr>
            <w:r>
              <w:rPr>
                <w:rFonts w:hint="eastAsia" w:ascii="宋体" w:hAnsi="宋体"/>
                <w:b/>
                <w:color w:val="auto"/>
                <w:sz w:val="24"/>
                <w:highlight w:val="none"/>
              </w:rPr>
              <w:t>招标代理机构：</w:t>
            </w:r>
            <w:r>
              <w:rPr>
                <w:rFonts w:hint="eastAsia" w:ascii="宋体" w:hAnsi="宋体"/>
                <w:color w:val="auto"/>
                <w:sz w:val="24"/>
                <w:highlight w:val="none"/>
                <w:lang w:eastAsia="zh-CN"/>
              </w:rPr>
              <w:t>新疆泽一项目管理有限公司</w:t>
            </w:r>
          </w:p>
          <w:p>
            <w:pPr>
              <w:spacing w:line="276" w:lineRule="auto"/>
              <w:textAlignment w:val="baseline"/>
              <w:rPr>
                <w:rFonts w:hint="eastAsia" w:ascii="宋体" w:hAnsi="宋体" w:eastAsia="宋体"/>
                <w:color w:val="auto"/>
                <w:sz w:val="24"/>
                <w:highlight w:val="none"/>
                <w:lang w:eastAsia="zh-CN"/>
              </w:rPr>
            </w:pPr>
            <w:r>
              <w:rPr>
                <w:rFonts w:hint="eastAsia" w:ascii="宋体" w:hAnsi="宋体"/>
                <w:b/>
                <w:color w:val="auto"/>
                <w:sz w:val="24"/>
                <w:highlight w:val="none"/>
              </w:rPr>
              <w:t>地  址：</w:t>
            </w:r>
            <w:r>
              <w:rPr>
                <w:rFonts w:hint="eastAsia" w:ascii="宋体" w:hAnsi="宋体"/>
                <w:b w:val="0"/>
                <w:bCs/>
                <w:color w:val="auto"/>
                <w:sz w:val="24"/>
                <w:highlight w:val="none"/>
                <w:lang w:eastAsia="zh-CN"/>
              </w:rPr>
              <w:t>新疆阿克苏地区阿克苏市幸福南路6号锦程·玫瑰园小区1号商铺楼401室</w:t>
            </w:r>
            <w:r>
              <w:rPr>
                <w:rFonts w:hint="eastAsia" w:ascii="宋体" w:hAnsi="宋体"/>
                <w:color w:val="auto"/>
                <w:sz w:val="24"/>
                <w:highlight w:val="none"/>
                <w:lang w:eastAsia="zh-CN"/>
              </w:rPr>
              <w:t> </w:t>
            </w:r>
          </w:p>
          <w:p>
            <w:pPr>
              <w:spacing w:line="276" w:lineRule="auto"/>
              <w:textAlignment w:val="baseline"/>
              <w:rPr>
                <w:rFonts w:hint="default" w:ascii="宋体" w:hAnsi="宋体" w:eastAsia="宋体"/>
                <w:color w:val="auto"/>
                <w:sz w:val="24"/>
                <w:highlight w:val="none"/>
                <w:lang w:val="en-US" w:eastAsia="zh-CN"/>
              </w:rPr>
            </w:pPr>
            <w:r>
              <w:rPr>
                <w:rFonts w:hint="eastAsia" w:ascii="宋体" w:hAnsi="宋体"/>
                <w:b/>
                <w:color w:val="auto"/>
                <w:sz w:val="24"/>
                <w:highlight w:val="none"/>
              </w:rPr>
              <w:t>联系人：</w:t>
            </w:r>
            <w:r>
              <w:rPr>
                <w:rFonts w:hint="eastAsia" w:ascii="宋体" w:hAnsi="宋体"/>
                <w:color w:val="auto"/>
                <w:sz w:val="24"/>
                <w:highlight w:val="none"/>
                <w:lang w:val="en-US" w:eastAsia="zh-CN"/>
              </w:rPr>
              <w:t>李凤娇</w:t>
            </w:r>
          </w:p>
          <w:p>
            <w:pPr>
              <w:spacing w:line="276" w:lineRule="auto"/>
              <w:textAlignment w:val="baseline"/>
              <w:rPr>
                <w:rFonts w:hint="default" w:ascii="宋体" w:hAnsi="宋体" w:eastAsia="宋体"/>
                <w:color w:val="auto"/>
                <w:sz w:val="24"/>
                <w:highlight w:val="none"/>
                <w:lang w:val="en-US" w:eastAsia="zh-CN"/>
              </w:rPr>
            </w:pPr>
            <w:r>
              <w:rPr>
                <w:rFonts w:hint="eastAsia" w:ascii="宋体" w:hAnsi="宋体"/>
                <w:b/>
                <w:color w:val="auto"/>
                <w:sz w:val="24"/>
                <w:highlight w:val="none"/>
              </w:rPr>
              <w:t>联系电话：</w:t>
            </w:r>
            <w:r>
              <w:rPr>
                <w:rFonts w:hint="eastAsia" w:ascii="宋体" w:hAnsi="宋体"/>
                <w:color w:val="auto"/>
                <w:sz w:val="24"/>
                <w:highlight w:val="none"/>
                <w:lang w:val="en-US" w:eastAsia="zh-CN"/>
              </w:rPr>
              <w:t>15886806770</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1" w:type="dxa"/>
            <w:noWrap w:val="0"/>
            <w:vAlign w:val="center"/>
          </w:tcPr>
          <w:p>
            <w:pPr>
              <w:spacing w:line="276" w:lineRule="auto"/>
              <w:jc w:val="center"/>
              <w:textAlignment w:val="baseline"/>
              <w:rPr>
                <w:rFonts w:hint="eastAsia" w:ascii="宋体" w:hAnsi="宋体"/>
                <w:color w:val="auto"/>
                <w:sz w:val="24"/>
                <w:highlight w:val="none"/>
              </w:rPr>
            </w:pPr>
            <w:r>
              <w:rPr>
                <w:rFonts w:hint="eastAsia" w:ascii="宋体" w:hAnsi="宋体"/>
                <w:color w:val="auto"/>
                <w:sz w:val="24"/>
                <w:highlight w:val="none"/>
              </w:rPr>
              <w:t>4</w:t>
            </w:r>
          </w:p>
        </w:tc>
        <w:tc>
          <w:tcPr>
            <w:tcW w:w="8782" w:type="dxa"/>
            <w:noWrap w:val="0"/>
            <w:vAlign w:val="center"/>
          </w:tcPr>
          <w:p>
            <w:pPr>
              <w:spacing w:line="276" w:lineRule="auto"/>
              <w:textAlignment w:val="baseline"/>
              <w:rPr>
                <w:rFonts w:hint="default" w:ascii="宋体" w:hAnsi="宋体" w:eastAsia="宋体" w:cs="Times New Roman"/>
                <w:color w:val="auto"/>
                <w:sz w:val="24"/>
                <w:highlight w:val="none"/>
                <w:lang w:val="en-US" w:eastAsia="zh-CN"/>
              </w:rPr>
            </w:pPr>
            <w:r>
              <w:rPr>
                <w:rFonts w:hint="eastAsia" w:ascii="宋体" w:hAnsi="宋体" w:eastAsia="宋体" w:cs="Times New Roman"/>
                <w:b/>
                <w:color w:val="auto"/>
                <w:sz w:val="24"/>
                <w:highlight w:val="none"/>
              </w:rPr>
              <w:t>招标内容</w:t>
            </w:r>
            <w:r>
              <w:rPr>
                <w:rFonts w:hint="eastAsia" w:ascii="宋体" w:hAnsi="宋体" w:eastAsia="宋体" w:cs="Times New Roman"/>
                <w:b/>
                <w:color w:val="auto"/>
                <w:sz w:val="24"/>
                <w:highlight w:val="none"/>
                <w:lang w:eastAsia="zh-CN"/>
              </w:rPr>
              <w:t>与范围</w:t>
            </w:r>
            <w:r>
              <w:rPr>
                <w:rFonts w:hint="eastAsia" w:ascii="宋体" w:hAnsi="宋体" w:eastAsia="宋体" w:cs="Times New Roman"/>
                <w:b/>
                <w:color w:val="auto"/>
                <w:sz w:val="24"/>
                <w:highlight w:val="none"/>
              </w:rPr>
              <w:t>：</w:t>
            </w:r>
            <w:r>
              <w:rPr>
                <w:rFonts w:hint="eastAsia" w:ascii="宋体" w:hAnsi="宋体" w:eastAsia="宋体" w:cs="Times New Roman"/>
                <w:color w:val="auto"/>
                <w:kern w:val="2"/>
                <w:sz w:val="24"/>
                <w:szCs w:val="24"/>
                <w:highlight w:val="none"/>
                <w:lang w:val="en-US" w:eastAsia="zh-CN" w:bidi="ar-SA"/>
              </w:rPr>
              <w:t>阿克苏地区塔里木歌舞团办公区地坪及彩钢房修建，工程量清单内所有工程施工。</w:t>
            </w:r>
          </w:p>
          <w:p>
            <w:pPr>
              <w:spacing w:line="276" w:lineRule="auto"/>
              <w:textAlignment w:val="baseline"/>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工期：</w:t>
            </w:r>
            <w:r>
              <w:rPr>
                <w:rFonts w:hint="eastAsia" w:ascii="宋体" w:hAnsi="宋体" w:eastAsia="宋体" w:cs="Times New Roman"/>
                <w:b w:val="0"/>
                <w:bCs/>
                <w:color w:val="auto"/>
                <w:sz w:val="24"/>
                <w:highlight w:val="none"/>
                <w:lang w:val="en-US" w:eastAsia="zh-CN"/>
              </w:rPr>
              <w:t xml:space="preserve">合同签订后30个日历天。    </w:t>
            </w:r>
          </w:p>
          <w:p>
            <w:pPr>
              <w:rPr>
                <w:rFonts w:hint="default"/>
                <w:color w:val="auto"/>
                <w:highlight w:val="none"/>
                <w:lang w:val="en-US" w:eastAsia="zh-CN"/>
              </w:rPr>
            </w:pPr>
            <w:r>
              <w:rPr>
                <w:rFonts w:hint="eastAsia" w:ascii="宋体" w:hAnsi="宋体" w:eastAsia="宋体" w:cs="Times New Roman"/>
                <w:b/>
                <w:color w:val="auto"/>
                <w:sz w:val="24"/>
                <w:highlight w:val="none"/>
                <w:lang w:val="en-US" w:eastAsia="zh-CN"/>
              </w:rPr>
              <w:t>质 量：</w:t>
            </w:r>
            <w:r>
              <w:rPr>
                <w:rFonts w:hint="eastAsia" w:ascii="宋体" w:hAnsi="宋体" w:eastAsia="宋体" w:cs="Times New Roman"/>
                <w:color w:val="auto"/>
                <w:sz w:val="24"/>
                <w:highlight w:val="none"/>
                <w:lang w:val="en-US" w:eastAsia="zh-CN"/>
              </w:rPr>
              <w:t>达到国家合格标准。</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721" w:type="dxa"/>
            <w:noWrap w:val="0"/>
            <w:vAlign w:val="center"/>
          </w:tcPr>
          <w:p>
            <w:pPr>
              <w:spacing w:line="276" w:lineRule="auto"/>
              <w:jc w:val="center"/>
              <w:textAlignment w:val="baseline"/>
              <w:rPr>
                <w:rFonts w:hint="eastAsia" w:ascii="宋体" w:hAnsi="宋体"/>
                <w:color w:val="auto"/>
                <w:sz w:val="24"/>
                <w:highlight w:val="none"/>
              </w:rPr>
            </w:pPr>
            <w:r>
              <w:rPr>
                <w:rFonts w:hint="eastAsia" w:ascii="宋体" w:hAnsi="宋体"/>
                <w:color w:val="auto"/>
                <w:sz w:val="24"/>
                <w:highlight w:val="none"/>
              </w:rPr>
              <w:t>5</w:t>
            </w:r>
          </w:p>
        </w:tc>
        <w:tc>
          <w:tcPr>
            <w:tcW w:w="8782" w:type="dxa"/>
            <w:noWrap w:val="0"/>
            <w:vAlign w:val="center"/>
          </w:tcPr>
          <w:p>
            <w:pPr>
              <w:adjustRightInd w:val="0"/>
              <w:snapToGrid w:val="0"/>
              <w:spacing w:line="276" w:lineRule="auto"/>
              <w:jc w:val="left"/>
              <w:textAlignment w:val="baseline"/>
              <w:rPr>
                <w:rFonts w:hint="default" w:ascii="宋体" w:hAnsi="宋体" w:eastAsia="宋体" w:cs="仿宋_GB2312"/>
                <w:bCs/>
                <w:color w:val="auto"/>
                <w:kern w:val="0"/>
                <w:sz w:val="24"/>
                <w:highlight w:val="none"/>
                <w:lang w:val="en-US" w:eastAsia="zh-CN"/>
              </w:rPr>
            </w:pPr>
            <w:r>
              <w:rPr>
                <w:rFonts w:hint="eastAsia" w:ascii="宋体" w:hAnsi="宋体"/>
                <w:b/>
                <w:color w:val="auto"/>
                <w:sz w:val="24"/>
                <w:highlight w:val="none"/>
                <w:lang w:eastAsia="zh-CN"/>
              </w:rPr>
              <w:t>本项目最高限价</w:t>
            </w:r>
            <w:r>
              <w:rPr>
                <w:rFonts w:hint="eastAsia" w:ascii="宋体" w:hAnsi="宋体"/>
                <w:b/>
                <w:color w:val="auto"/>
                <w:sz w:val="24"/>
                <w:highlight w:val="none"/>
              </w:rPr>
              <w:t>：</w:t>
            </w:r>
            <w:r>
              <w:rPr>
                <w:rFonts w:hint="eastAsia" w:ascii="宋体" w:hAnsi="宋体"/>
                <w:b/>
                <w:color w:val="auto"/>
                <w:sz w:val="24"/>
                <w:highlight w:val="none"/>
                <w:lang w:val="en-US" w:eastAsia="zh-CN"/>
              </w:rPr>
              <w:t>886328.17</w:t>
            </w:r>
            <w:r>
              <w:rPr>
                <w:rFonts w:hint="eastAsia" w:ascii="宋体" w:hAnsi="宋体"/>
                <w:b/>
                <w:color w:val="auto"/>
                <w:sz w:val="24"/>
                <w:highlight w:val="none"/>
                <w:lang w:eastAsia="zh-CN"/>
              </w:rPr>
              <w:t>元。投标报价不得高于最高限价，否则视为无效投标。</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1" w:type="dxa"/>
            <w:noWrap w:val="0"/>
            <w:vAlign w:val="center"/>
          </w:tcPr>
          <w:p>
            <w:pPr>
              <w:spacing w:line="276" w:lineRule="auto"/>
              <w:jc w:val="center"/>
              <w:textAlignment w:val="baseline"/>
              <w:rPr>
                <w:rFonts w:hint="eastAsia" w:ascii="宋体" w:hAnsi="宋体"/>
                <w:color w:val="auto"/>
                <w:sz w:val="24"/>
                <w:highlight w:val="none"/>
              </w:rPr>
            </w:pPr>
            <w:r>
              <w:rPr>
                <w:rFonts w:hint="eastAsia" w:ascii="宋体" w:hAnsi="宋体"/>
                <w:color w:val="auto"/>
                <w:sz w:val="24"/>
                <w:highlight w:val="none"/>
              </w:rPr>
              <w:t>6</w:t>
            </w:r>
          </w:p>
        </w:tc>
        <w:tc>
          <w:tcPr>
            <w:tcW w:w="8782" w:type="dxa"/>
            <w:noWrap w:val="0"/>
            <w:vAlign w:val="center"/>
          </w:tcPr>
          <w:p>
            <w:pPr>
              <w:spacing w:line="276" w:lineRule="auto"/>
              <w:textAlignment w:val="baseline"/>
              <w:rPr>
                <w:rFonts w:hint="eastAsia" w:ascii="宋体" w:hAnsi="宋体"/>
                <w:b/>
                <w:color w:val="auto"/>
                <w:sz w:val="24"/>
                <w:highlight w:val="none"/>
              </w:rPr>
            </w:pPr>
            <w:r>
              <w:rPr>
                <w:rFonts w:hint="eastAsia" w:ascii="宋体" w:hAnsi="宋体"/>
                <w:b/>
                <w:color w:val="auto"/>
                <w:sz w:val="24"/>
                <w:highlight w:val="none"/>
              </w:rPr>
              <w:t>供应商资格</w:t>
            </w:r>
            <w:r>
              <w:rPr>
                <w:rFonts w:hint="eastAsia" w:ascii="宋体" w:hAnsi="宋体"/>
                <w:b/>
                <w:color w:val="auto"/>
                <w:kern w:val="0"/>
                <w:sz w:val="24"/>
                <w:highlight w:val="none"/>
              </w:rPr>
              <w:t>、能力、信誉及其它</w:t>
            </w:r>
            <w:r>
              <w:rPr>
                <w:rFonts w:hint="eastAsia" w:ascii="宋体" w:hAnsi="宋体"/>
                <w:b/>
                <w:color w:val="auto"/>
                <w:sz w:val="24"/>
                <w:highlight w:val="none"/>
              </w:rPr>
              <w:t>要求：</w:t>
            </w:r>
          </w:p>
          <w:p>
            <w:pPr>
              <w:spacing w:line="276" w:lineRule="auto"/>
              <w:textAlignment w:val="baseline"/>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1.满足《中华人民共和国政府采购法》第二十二条规定；</w:t>
            </w:r>
          </w:p>
          <w:p>
            <w:pPr>
              <w:spacing w:line="276" w:lineRule="auto"/>
              <w:textAlignment w:val="baseline"/>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（1）具有独立承担民事责任的能力；</w:t>
            </w:r>
          </w:p>
          <w:p>
            <w:pPr>
              <w:spacing w:line="276" w:lineRule="auto"/>
              <w:textAlignment w:val="baseline"/>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（2）具有良好的商业信誉和健全的财务会计制度；</w:t>
            </w:r>
          </w:p>
          <w:p>
            <w:pPr>
              <w:spacing w:line="276" w:lineRule="auto"/>
              <w:textAlignment w:val="baseline"/>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（3）具有履行合同所必需的设备和专业技术能力；</w:t>
            </w:r>
          </w:p>
          <w:p>
            <w:pPr>
              <w:spacing w:line="276" w:lineRule="auto"/>
              <w:textAlignment w:val="baseline"/>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（4）有依法缴纳税收和社会保障资金的良好记录；</w:t>
            </w:r>
          </w:p>
          <w:p>
            <w:pPr>
              <w:spacing w:line="276" w:lineRule="auto"/>
              <w:textAlignment w:val="baseline"/>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（5）参加政府采购活动前三年内，在经营活动中没有重大违法记录（自行承诺，提供承诺函原件）；</w:t>
            </w:r>
          </w:p>
          <w:p>
            <w:pPr>
              <w:spacing w:line="276" w:lineRule="auto"/>
              <w:textAlignment w:val="baseline"/>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（6）法律、行政法规规定的其他条件。</w:t>
            </w:r>
          </w:p>
          <w:p>
            <w:pPr>
              <w:spacing w:line="276" w:lineRule="auto"/>
              <w:textAlignment w:val="baseline"/>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2.落实政府采购政策需满足的资格要求：本项目面向中小微企业。</w:t>
            </w:r>
          </w:p>
          <w:p>
            <w:pPr>
              <w:spacing w:line="276" w:lineRule="auto"/>
              <w:textAlignment w:val="baseline"/>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（1）《政府采购促进中小企业发展管理办法》（财库〔2020〕46号）；</w:t>
            </w:r>
          </w:p>
          <w:p>
            <w:pPr>
              <w:spacing w:line="276" w:lineRule="auto"/>
              <w:textAlignment w:val="baseline"/>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（2）《财政部、司法部关于政府采购支持监狱企业发展有关问题的通知》（财库〔2014〕68号）；</w:t>
            </w:r>
          </w:p>
          <w:p>
            <w:pPr>
              <w:spacing w:line="276" w:lineRule="auto"/>
              <w:textAlignment w:val="baseline"/>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（3）《国务院办公厅关于建立政府强制采购节能产品制度的通知》（国办发〔2007〕51号）；</w:t>
            </w:r>
          </w:p>
          <w:p>
            <w:pPr>
              <w:spacing w:line="276" w:lineRule="auto"/>
              <w:textAlignment w:val="baseline"/>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（4）《财政部 民政部 中国残疾人联合会关于促进残疾人就业政府采购政策的通知》财库〔2017〕141号。</w:t>
            </w:r>
          </w:p>
          <w:p>
            <w:pPr>
              <w:spacing w:line="276" w:lineRule="auto"/>
              <w:textAlignment w:val="baseline"/>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 </w:t>
            </w:r>
          </w:p>
          <w:p>
            <w:pPr>
              <w:spacing w:line="276" w:lineRule="auto"/>
              <w:textAlignment w:val="baseline"/>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3.本项目的特定资格要求：</w:t>
            </w:r>
          </w:p>
          <w:p>
            <w:pPr>
              <w:spacing w:line="276" w:lineRule="auto"/>
              <w:textAlignment w:val="baseline"/>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（1）具有有效经年检的三证合一营业执照；</w:t>
            </w:r>
          </w:p>
          <w:p>
            <w:pPr>
              <w:spacing w:line="276" w:lineRule="auto"/>
              <w:textAlignment w:val="baseline"/>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（2）法定代表人到场需提供法定代表人身份证明及身份证原件，授权委托人到场的需提供附有法定代表人身份证明的授权委托书及被委托人身份证原件；</w:t>
            </w:r>
          </w:p>
          <w:p>
            <w:pPr>
              <w:spacing w:line="276" w:lineRule="auto"/>
              <w:textAlignment w:val="baseline"/>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（3）具有有效的建筑工程施工总承包三级及以上资质、有效的安全生产许可证；</w:t>
            </w:r>
          </w:p>
          <w:p>
            <w:pPr>
              <w:spacing w:line="276" w:lineRule="auto"/>
              <w:textAlignment w:val="baseline"/>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（4）项目负责人须具备建筑工程二级及以上注册建造师证、安全生产考核合格证书；</w:t>
            </w:r>
          </w:p>
          <w:p>
            <w:pPr>
              <w:spacing w:line="276" w:lineRule="auto"/>
              <w:textAlignment w:val="baseline"/>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（5）提供近六个月完税证明和盖有社保局公章的近三个月社保缴纳证明（含委托代理人、建造师、技术负责人、施工员、安全员、质量员的社保明细）；</w:t>
            </w:r>
          </w:p>
          <w:p>
            <w:pPr>
              <w:spacing w:line="276" w:lineRule="auto"/>
              <w:textAlignment w:val="baseline"/>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（6）具有近三年的财务审计报告或公司成立不足一年提供财务报表；</w:t>
            </w:r>
          </w:p>
          <w:p>
            <w:pPr>
              <w:spacing w:line="276" w:lineRule="auto"/>
              <w:textAlignment w:val="baseline"/>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（7）外省投标企业须提供《新疆维吾尔自治区区外建设工程企业信息登记册》或新疆工程建设云下载审核通过的信息报送册；</w:t>
            </w:r>
          </w:p>
          <w:p>
            <w:pPr>
              <w:spacing w:line="276" w:lineRule="auto"/>
              <w:textAlignment w:val="baseline"/>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（8）未被“信用中国”（www.creditchina.gov.cn）、中国政府采购网（www.ccgp.gov.cn）列入失信被执行人、重大税收违法案件当事人名单、政府采购严重违法失信行为记录名单的﹙供应商网上自行打印后加盖公章﹚；</w:t>
            </w:r>
          </w:p>
          <w:p>
            <w:pPr>
              <w:spacing w:line="276" w:lineRule="auto"/>
              <w:textAlignment w:val="baseline"/>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 xml:space="preserve">本项目不接受联合体参加。  </w:t>
            </w:r>
          </w:p>
          <w:p>
            <w:pPr>
              <w:spacing w:line="276" w:lineRule="auto"/>
              <w:textAlignment w:val="baseline"/>
              <w:rPr>
                <w:rFonts w:hint="eastAsia" w:ascii="宋体" w:hAnsi="宋体"/>
                <w:b/>
                <w:color w:val="auto"/>
                <w:sz w:val="24"/>
                <w:highlight w:val="none"/>
              </w:rPr>
            </w:pPr>
            <w:r>
              <w:rPr>
                <w:rFonts w:hint="eastAsia" w:ascii="宋体" w:hAnsi="宋体"/>
                <w:b/>
                <w:color w:val="auto"/>
                <w:sz w:val="24"/>
                <w:szCs w:val="21"/>
                <w:highlight w:val="none"/>
              </w:rPr>
              <w:t>注：供应商提交的所有证明文件及材料必须清晰、准确、真实。</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1" w:type="dxa"/>
            <w:noWrap w:val="0"/>
            <w:vAlign w:val="center"/>
          </w:tcPr>
          <w:p>
            <w:pPr>
              <w:spacing w:line="276" w:lineRule="auto"/>
              <w:jc w:val="center"/>
              <w:textAlignment w:val="baseline"/>
              <w:rPr>
                <w:rFonts w:hint="eastAsia" w:ascii="宋体" w:hAnsi="宋体"/>
                <w:color w:val="auto"/>
                <w:sz w:val="24"/>
                <w:highlight w:val="none"/>
              </w:rPr>
            </w:pPr>
            <w:r>
              <w:rPr>
                <w:rFonts w:hint="eastAsia" w:ascii="宋体" w:hAnsi="宋体"/>
                <w:color w:val="auto"/>
                <w:sz w:val="24"/>
                <w:highlight w:val="none"/>
              </w:rPr>
              <w:t>7</w:t>
            </w:r>
          </w:p>
        </w:tc>
        <w:tc>
          <w:tcPr>
            <w:tcW w:w="8782" w:type="dxa"/>
            <w:noWrap w:val="0"/>
            <w:vAlign w:val="bottom"/>
          </w:tcPr>
          <w:p>
            <w:pPr>
              <w:spacing w:line="276" w:lineRule="auto"/>
              <w:rPr>
                <w:rFonts w:hint="eastAsia" w:ascii="宋体" w:hAnsi="宋体"/>
                <w:color w:val="auto"/>
                <w:sz w:val="24"/>
                <w:highlight w:val="none"/>
              </w:rPr>
            </w:pPr>
            <w:r>
              <w:rPr>
                <w:rFonts w:hint="eastAsia" w:ascii="宋体" w:hAnsi="宋体"/>
                <w:b/>
                <w:bCs/>
                <w:color w:val="auto"/>
                <w:sz w:val="24"/>
                <w:highlight w:val="none"/>
              </w:rPr>
              <w:t>资格审查方式：</w:t>
            </w:r>
            <w:r>
              <w:rPr>
                <w:rFonts w:hint="eastAsia" w:ascii="宋体" w:hAnsi="宋体"/>
                <w:color w:val="auto"/>
                <w:sz w:val="24"/>
                <w:highlight w:val="none"/>
              </w:rPr>
              <w:t>资格后审</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1" w:type="dxa"/>
            <w:noWrap w:val="0"/>
            <w:vAlign w:val="center"/>
          </w:tcPr>
          <w:p>
            <w:pPr>
              <w:spacing w:line="276" w:lineRule="auto"/>
              <w:jc w:val="center"/>
              <w:textAlignment w:val="baseline"/>
              <w:rPr>
                <w:rFonts w:hint="eastAsia" w:ascii="宋体" w:hAnsi="宋体"/>
                <w:color w:val="auto"/>
                <w:sz w:val="24"/>
                <w:highlight w:val="none"/>
              </w:rPr>
            </w:pPr>
            <w:r>
              <w:rPr>
                <w:rFonts w:hint="eastAsia" w:ascii="宋体" w:hAnsi="宋体"/>
                <w:color w:val="auto"/>
                <w:sz w:val="24"/>
                <w:highlight w:val="none"/>
              </w:rPr>
              <w:t>8</w:t>
            </w:r>
          </w:p>
        </w:tc>
        <w:tc>
          <w:tcPr>
            <w:tcW w:w="8782" w:type="dxa"/>
            <w:noWrap w:val="0"/>
            <w:vAlign w:val="bottom"/>
          </w:tcPr>
          <w:p>
            <w:pPr>
              <w:spacing w:line="276" w:lineRule="auto"/>
              <w:rPr>
                <w:rFonts w:hint="eastAsia" w:ascii="宋体" w:hAnsi="宋体"/>
                <w:color w:val="auto"/>
                <w:sz w:val="24"/>
                <w:highlight w:val="none"/>
              </w:rPr>
            </w:pPr>
            <w:r>
              <w:rPr>
                <w:rFonts w:hint="eastAsia" w:ascii="宋体" w:hAnsi="宋体"/>
                <w:b/>
                <w:color w:val="auto"/>
                <w:sz w:val="24"/>
                <w:highlight w:val="none"/>
              </w:rPr>
              <w:t>投标语言：</w:t>
            </w:r>
            <w:r>
              <w:rPr>
                <w:rFonts w:hint="eastAsia" w:ascii="宋体" w:hAnsi="宋体"/>
                <w:color w:val="auto"/>
                <w:sz w:val="24"/>
                <w:highlight w:val="none"/>
              </w:rPr>
              <w:t>中文</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1" w:type="dxa"/>
            <w:noWrap w:val="0"/>
            <w:vAlign w:val="center"/>
          </w:tcPr>
          <w:p>
            <w:pPr>
              <w:spacing w:line="276" w:lineRule="auto"/>
              <w:jc w:val="center"/>
              <w:textAlignment w:val="baseline"/>
              <w:rPr>
                <w:rFonts w:hint="eastAsia" w:ascii="宋体" w:hAnsi="宋体"/>
                <w:color w:val="auto"/>
                <w:sz w:val="24"/>
                <w:highlight w:val="none"/>
              </w:rPr>
            </w:pPr>
            <w:r>
              <w:rPr>
                <w:rFonts w:hint="eastAsia" w:ascii="宋体" w:hAnsi="宋体"/>
                <w:color w:val="auto"/>
                <w:sz w:val="24"/>
                <w:highlight w:val="none"/>
              </w:rPr>
              <w:t>9</w:t>
            </w:r>
          </w:p>
        </w:tc>
        <w:tc>
          <w:tcPr>
            <w:tcW w:w="8782" w:type="dxa"/>
            <w:noWrap w:val="0"/>
            <w:vAlign w:val="bottom"/>
          </w:tcPr>
          <w:p>
            <w:pPr>
              <w:spacing w:line="276" w:lineRule="auto"/>
              <w:textAlignment w:val="baseline"/>
              <w:rPr>
                <w:rFonts w:hint="eastAsia" w:ascii="宋体" w:hAnsi="宋体"/>
                <w:b/>
                <w:color w:val="auto"/>
                <w:sz w:val="24"/>
                <w:highlight w:val="none"/>
              </w:rPr>
            </w:pPr>
            <w:r>
              <w:rPr>
                <w:rFonts w:hint="eastAsia" w:ascii="宋体" w:hAnsi="宋体"/>
                <w:b/>
                <w:color w:val="auto"/>
                <w:sz w:val="24"/>
                <w:highlight w:val="none"/>
              </w:rPr>
              <w:t>投标有效期：</w:t>
            </w:r>
            <w:r>
              <w:rPr>
                <w:rFonts w:hint="eastAsia" w:ascii="宋体" w:hAnsi="宋体"/>
                <w:bCs/>
                <w:color w:val="auto"/>
                <w:sz w:val="24"/>
                <w:highlight w:val="none"/>
                <w:lang w:val="en-US" w:eastAsia="zh-CN"/>
              </w:rPr>
              <w:t>9</w:t>
            </w:r>
            <w:r>
              <w:rPr>
                <w:rFonts w:hint="eastAsia" w:ascii="宋体" w:hAnsi="宋体"/>
                <w:bCs/>
                <w:color w:val="auto"/>
                <w:sz w:val="24"/>
                <w:highlight w:val="none"/>
              </w:rPr>
              <w:t>0</w:t>
            </w:r>
            <w:r>
              <w:rPr>
                <w:rFonts w:hint="eastAsia" w:ascii="宋体" w:hAnsi="宋体"/>
                <w:color w:val="auto"/>
                <w:sz w:val="24"/>
                <w:highlight w:val="none"/>
              </w:rPr>
              <w:t>日历天；（从投标截止之日算起）</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1" w:type="dxa"/>
            <w:noWrap w:val="0"/>
            <w:vAlign w:val="center"/>
          </w:tcPr>
          <w:p>
            <w:pPr>
              <w:spacing w:line="276" w:lineRule="auto"/>
              <w:jc w:val="center"/>
              <w:textAlignment w:val="baseline"/>
              <w:rPr>
                <w:rFonts w:hint="eastAsia" w:ascii="宋体" w:hAnsi="宋体"/>
                <w:color w:val="auto"/>
                <w:sz w:val="24"/>
                <w:highlight w:val="none"/>
              </w:rPr>
            </w:pPr>
            <w:r>
              <w:rPr>
                <w:rFonts w:hint="eastAsia" w:ascii="宋体" w:hAnsi="宋体"/>
                <w:color w:val="auto"/>
                <w:sz w:val="24"/>
                <w:highlight w:val="none"/>
              </w:rPr>
              <w:t>10</w:t>
            </w:r>
          </w:p>
        </w:tc>
        <w:tc>
          <w:tcPr>
            <w:tcW w:w="8782" w:type="dxa"/>
            <w:noWrap w:val="0"/>
            <w:vAlign w:val="bottom"/>
          </w:tcPr>
          <w:p>
            <w:pPr>
              <w:tabs>
                <w:tab w:val="left" w:pos="7665"/>
              </w:tabs>
              <w:spacing w:line="276" w:lineRule="auto"/>
              <w:rPr>
                <w:rFonts w:hint="eastAsia" w:ascii="宋体" w:hAnsi="宋体" w:eastAsia="宋体"/>
                <w:b/>
                <w:color w:val="auto"/>
                <w:kern w:val="0"/>
                <w:sz w:val="24"/>
                <w:highlight w:val="none"/>
                <w:lang w:eastAsia="zh-CN"/>
              </w:rPr>
            </w:pPr>
            <w:r>
              <w:rPr>
                <w:rFonts w:hint="eastAsia" w:ascii="宋体" w:hAnsi="宋体"/>
                <w:b/>
                <w:color w:val="auto"/>
                <w:kern w:val="0"/>
                <w:sz w:val="24"/>
                <w:highlight w:val="none"/>
              </w:rPr>
              <w:t>采购方式：</w:t>
            </w:r>
            <w:r>
              <w:rPr>
                <w:rFonts w:hint="eastAsia" w:ascii="宋体" w:hAnsi="宋体"/>
                <w:color w:val="auto"/>
                <w:sz w:val="24"/>
                <w:highlight w:val="none"/>
                <w:lang w:eastAsia="zh-CN"/>
              </w:rPr>
              <w:t>竞争性磋商</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PrEx>
        <w:trPr>
          <w:trHeight w:val="1031" w:hRule="atLeast"/>
          <w:jc w:val="center"/>
        </w:trPr>
        <w:tc>
          <w:tcPr>
            <w:tcW w:w="721" w:type="dxa"/>
            <w:noWrap w:val="0"/>
            <w:vAlign w:val="center"/>
          </w:tcPr>
          <w:p>
            <w:pPr>
              <w:adjustRightInd w:val="0"/>
              <w:snapToGrid w:val="0"/>
              <w:spacing w:line="276" w:lineRule="auto"/>
              <w:jc w:val="center"/>
              <w:textAlignment w:val="baseline"/>
              <w:rPr>
                <w:rFonts w:hint="eastAsia" w:ascii="宋体" w:hAnsi="宋体"/>
                <w:color w:val="auto"/>
                <w:sz w:val="24"/>
                <w:highlight w:val="none"/>
              </w:rPr>
            </w:pPr>
            <w:r>
              <w:rPr>
                <w:rFonts w:hint="eastAsia" w:ascii="宋体" w:hAnsi="宋体"/>
                <w:color w:val="auto"/>
                <w:sz w:val="24"/>
                <w:highlight w:val="none"/>
              </w:rPr>
              <w:t>11</w:t>
            </w:r>
          </w:p>
        </w:tc>
        <w:tc>
          <w:tcPr>
            <w:tcW w:w="8782" w:type="dxa"/>
            <w:noWrap w:val="0"/>
            <w:vAlign w:val="bottom"/>
          </w:tcPr>
          <w:p>
            <w:pPr>
              <w:tabs>
                <w:tab w:val="left" w:pos="7665"/>
              </w:tabs>
              <w:spacing w:line="276" w:lineRule="auto"/>
              <w:rPr>
                <w:rFonts w:hint="eastAsia" w:ascii="宋体" w:hAnsi="宋体"/>
                <w:b/>
                <w:color w:val="auto"/>
                <w:sz w:val="24"/>
                <w:highlight w:val="none"/>
              </w:rPr>
            </w:pPr>
            <w:r>
              <w:rPr>
                <w:rFonts w:hint="eastAsia" w:ascii="宋体" w:hAnsi="宋体"/>
                <w:b/>
                <w:color w:val="auto"/>
                <w:kern w:val="0"/>
                <w:sz w:val="24"/>
                <w:highlight w:val="none"/>
              </w:rPr>
              <w:t>评标办法：</w:t>
            </w:r>
            <w:r>
              <w:rPr>
                <w:rFonts w:hint="eastAsia" w:ascii="宋体" w:hAnsi="宋体"/>
                <w:color w:val="auto"/>
                <w:sz w:val="24"/>
                <w:highlight w:val="none"/>
              </w:rPr>
              <w:t>综合评分法</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1" w:type="dxa"/>
            <w:noWrap w:val="0"/>
            <w:vAlign w:val="center"/>
          </w:tcPr>
          <w:p>
            <w:pPr>
              <w:adjustRightInd w:val="0"/>
              <w:snapToGrid w:val="0"/>
              <w:spacing w:line="276" w:lineRule="auto"/>
              <w:jc w:val="center"/>
              <w:textAlignment w:val="baseline"/>
              <w:rPr>
                <w:rFonts w:hint="eastAsia" w:ascii="宋体" w:hAnsi="宋体"/>
                <w:color w:val="auto"/>
                <w:sz w:val="24"/>
                <w:highlight w:val="none"/>
              </w:rPr>
            </w:pPr>
            <w:r>
              <w:rPr>
                <w:rFonts w:hint="eastAsia" w:ascii="宋体" w:hAnsi="宋体"/>
                <w:color w:val="auto"/>
                <w:sz w:val="24"/>
                <w:highlight w:val="none"/>
              </w:rPr>
              <w:t>12</w:t>
            </w:r>
          </w:p>
        </w:tc>
        <w:tc>
          <w:tcPr>
            <w:tcW w:w="8782" w:type="dxa"/>
            <w:noWrap w:val="0"/>
            <w:vAlign w:val="bottom"/>
          </w:tcPr>
          <w:p>
            <w:pPr>
              <w:spacing w:line="276" w:lineRule="auto"/>
              <w:ind w:left="2125" w:hanging="2125" w:hangingChars="882"/>
              <w:textAlignment w:val="baseline"/>
              <w:rPr>
                <w:rFonts w:hint="eastAsia" w:ascii="宋体" w:hAnsi="宋体"/>
                <w:b/>
                <w:color w:val="auto"/>
                <w:kern w:val="0"/>
                <w:sz w:val="24"/>
                <w:highlight w:val="none"/>
              </w:rPr>
            </w:pPr>
            <w:r>
              <w:rPr>
                <w:rFonts w:hint="eastAsia" w:ascii="宋体" w:hAnsi="宋体"/>
                <w:b/>
                <w:color w:val="auto"/>
                <w:kern w:val="0"/>
                <w:sz w:val="24"/>
                <w:highlight w:val="none"/>
                <w:lang w:eastAsia="zh-CN"/>
              </w:rPr>
              <w:t>磋商小组</w:t>
            </w:r>
            <w:r>
              <w:rPr>
                <w:rFonts w:hint="eastAsia" w:ascii="宋体" w:hAnsi="宋体"/>
                <w:b/>
                <w:color w:val="auto"/>
                <w:kern w:val="0"/>
                <w:sz w:val="24"/>
                <w:highlight w:val="none"/>
              </w:rPr>
              <w:t>的组建：</w:t>
            </w:r>
          </w:p>
          <w:p>
            <w:pPr>
              <w:spacing w:line="276" w:lineRule="auto"/>
              <w:ind w:left="2125" w:hanging="2125" w:hangingChars="882"/>
              <w:textAlignment w:val="baseline"/>
              <w:rPr>
                <w:rFonts w:hint="eastAsia" w:ascii="宋体" w:hAnsi="宋体"/>
                <w:color w:val="auto"/>
                <w:kern w:val="0"/>
                <w:sz w:val="24"/>
                <w:highlight w:val="none"/>
              </w:rPr>
            </w:pPr>
            <w:r>
              <w:rPr>
                <w:rFonts w:hint="eastAsia" w:ascii="宋体" w:hAnsi="宋体"/>
                <w:b/>
                <w:color w:val="auto"/>
                <w:kern w:val="0"/>
                <w:sz w:val="24"/>
                <w:highlight w:val="none"/>
                <w:lang w:eastAsia="zh-CN"/>
              </w:rPr>
              <w:t>磋商小组</w:t>
            </w:r>
            <w:r>
              <w:rPr>
                <w:rFonts w:hint="eastAsia" w:ascii="宋体" w:hAnsi="宋体"/>
                <w:b/>
                <w:color w:val="auto"/>
                <w:kern w:val="0"/>
                <w:sz w:val="24"/>
                <w:highlight w:val="none"/>
              </w:rPr>
              <w:t>构成：</w:t>
            </w:r>
            <w:r>
              <w:rPr>
                <w:rFonts w:hint="eastAsia" w:ascii="宋体" w:hAnsi="宋体" w:eastAsia="宋体" w:cs="Times New Roman"/>
                <w:color w:val="auto"/>
                <w:kern w:val="0"/>
                <w:sz w:val="24"/>
                <w:highlight w:val="none"/>
              </w:rPr>
              <w:t>由采购人和有关技术、经济等方面的专家组成，共</w:t>
            </w:r>
            <w:r>
              <w:rPr>
                <w:rFonts w:hint="eastAsia" w:ascii="宋体" w:hAnsi="宋体" w:eastAsia="宋体" w:cs="Times New Roman"/>
                <w:color w:val="auto"/>
                <w:kern w:val="0"/>
                <w:sz w:val="24"/>
                <w:highlight w:val="none"/>
                <w:lang w:val="en-US" w:eastAsia="zh-CN"/>
              </w:rPr>
              <w:t>3</w:t>
            </w:r>
            <w:r>
              <w:rPr>
                <w:rFonts w:hint="eastAsia" w:ascii="宋体" w:hAnsi="宋体" w:eastAsia="宋体" w:cs="Times New Roman"/>
                <w:color w:val="auto"/>
                <w:kern w:val="0"/>
                <w:sz w:val="24"/>
                <w:highlight w:val="none"/>
              </w:rPr>
              <w:t>人</w:t>
            </w:r>
            <w:r>
              <w:rPr>
                <w:rFonts w:hint="eastAsia" w:ascii="宋体" w:hAnsi="宋体" w:eastAsia="宋体" w:cs="Times New Roman"/>
                <w:color w:val="auto"/>
                <w:kern w:val="0"/>
                <w:sz w:val="24"/>
                <w:highlight w:val="none"/>
                <w:lang w:eastAsia="zh-CN"/>
              </w:rPr>
              <w:t>以上</w:t>
            </w:r>
            <w:r>
              <w:rPr>
                <w:rFonts w:hint="eastAsia" w:ascii="宋体" w:hAnsi="宋体" w:eastAsia="宋体" w:cs="Times New Roman"/>
                <w:color w:val="auto"/>
                <w:kern w:val="0"/>
                <w:sz w:val="24"/>
                <w:highlight w:val="none"/>
              </w:rPr>
              <w:t>单数。</w:t>
            </w:r>
          </w:p>
          <w:p>
            <w:pPr>
              <w:spacing w:line="276" w:lineRule="auto"/>
              <w:ind w:left="2125" w:hanging="2125" w:hangingChars="882"/>
              <w:textAlignment w:val="baseline"/>
              <w:rPr>
                <w:rFonts w:hint="eastAsia" w:ascii="宋体" w:hAnsi="宋体"/>
                <w:b/>
                <w:color w:val="auto"/>
                <w:kern w:val="0"/>
                <w:sz w:val="24"/>
                <w:highlight w:val="none"/>
              </w:rPr>
            </w:pPr>
            <w:r>
              <w:rPr>
                <w:rFonts w:hint="eastAsia" w:ascii="宋体" w:hAnsi="宋体"/>
                <w:b/>
                <w:color w:val="auto"/>
                <w:kern w:val="0"/>
                <w:sz w:val="24"/>
                <w:highlight w:val="none"/>
              </w:rPr>
              <w:t>评标专家确定方式：</w:t>
            </w:r>
            <w:r>
              <w:rPr>
                <w:rFonts w:hint="eastAsia" w:ascii="宋体" w:hAnsi="宋体"/>
                <w:color w:val="auto"/>
                <w:kern w:val="0"/>
                <w:sz w:val="24"/>
                <w:highlight w:val="none"/>
                <w:lang w:eastAsia="zh-CN"/>
              </w:rPr>
              <w:t>政采云</w:t>
            </w:r>
            <w:r>
              <w:rPr>
                <w:rFonts w:ascii="宋体" w:hAnsi="宋体"/>
                <w:color w:val="auto"/>
                <w:kern w:val="0"/>
                <w:sz w:val="24"/>
                <w:highlight w:val="none"/>
              </w:rPr>
              <w:t>专家库中随机抽取</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1" w:type="dxa"/>
            <w:noWrap w:val="0"/>
            <w:vAlign w:val="center"/>
          </w:tcPr>
          <w:p>
            <w:pPr>
              <w:adjustRightInd w:val="0"/>
              <w:snapToGrid w:val="0"/>
              <w:spacing w:line="276" w:lineRule="auto"/>
              <w:jc w:val="center"/>
              <w:textAlignment w:val="baseline"/>
              <w:rPr>
                <w:rFonts w:hint="eastAsia" w:ascii="宋体" w:hAnsi="宋体"/>
                <w:color w:val="auto"/>
                <w:sz w:val="24"/>
                <w:highlight w:val="none"/>
              </w:rPr>
            </w:pPr>
            <w:r>
              <w:rPr>
                <w:rFonts w:hint="eastAsia" w:ascii="宋体" w:hAnsi="宋体"/>
                <w:color w:val="auto"/>
                <w:sz w:val="24"/>
                <w:highlight w:val="none"/>
              </w:rPr>
              <w:t>13</w:t>
            </w:r>
          </w:p>
        </w:tc>
        <w:tc>
          <w:tcPr>
            <w:tcW w:w="8782" w:type="dxa"/>
            <w:noWrap w:val="0"/>
            <w:vAlign w:val="bottom"/>
          </w:tcPr>
          <w:p>
            <w:pPr>
              <w:spacing w:line="276" w:lineRule="auto"/>
              <w:ind w:left="2125" w:hanging="2125" w:hangingChars="882"/>
              <w:textAlignment w:val="baseline"/>
              <w:rPr>
                <w:rFonts w:hint="eastAsia" w:ascii="宋体" w:hAnsi="宋体"/>
                <w:color w:val="auto"/>
                <w:kern w:val="0"/>
                <w:sz w:val="24"/>
                <w:highlight w:val="none"/>
              </w:rPr>
            </w:pPr>
            <w:r>
              <w:rPr>
                <w:rFonts w:hint="eastAsia" w:ascii="宋体" w:hAnsi="宋体"/>
                <w:b/>
                <w:color w:val="auto"/>
                <w:kern w:val="0"/>
                <w:sz w:val="24"/>
                <w:highlight w:val="none"/>
              </w:rPr>
              <w:t>是否授权</w:t>
            </w:r>
            <w:r>
              <w:rPr>
                <w:rFonts w:hint="eastAsia" w:ascii="宋体" w:hAnsi="宋体"/>
                <w:b/>
                <w:color w:val="auto"/>
                <w:kern w:val="0"/>
                <w:sz w:val="24"/>
                <w:highlight w:val="none"/>
                <w:lang w:eastAsia="zh-CN"/>
              </w:rPr>
              <w:t>磋商小组</w:t>
            </w:r>
            <w:r>
              <w:rPr>
                <w:rFonts w:hint="eastAsia" w:ascii="宋体" w:hAnsi="宋体"/>
                <w:b/>
                <w:color w:val="auto"/>
                <w:kern w:val="0"/>
                <w:sz w:val="24"/>
                <w:highlight w:val="none"/>
              </w:rPr>
              <w:t>确定</w:t>
            </w:r>
            <w:r>
              <w:rPr>
                <w:rFonts w:hint="eastAsia" w:ascii="宋体" w:hAnsi="宋体"/>
                <w:b/>
                <w:color w:val="auto"/>
                <w:kern w:val="0"/>
                <w:sz w:val="24"/>
                <w:highlight w:val="none"/>
                <w:lang w:eastAsia="zh-CN"/>
              </w:rPr>
              <w:t>中标</w:t>
            </w:r>
            <w:r>
              <w:rPr>
                <w:rFonts w:hint="eastAsia" w:ascii="宋体" w:hAnsi="宋体"/>
                <w:b/>
                <w:color w:val="auto"/>
                <w:kern w:val="0"/>
                <w:sz w:val="24"/>
                <w:highlight w:val="none"/>
              </w:rPr>
              <w:t>供应商：</w:t>
            </w:r>
            <w:r>
              <w:rPr>
                <w:rFonts w:hint="eastAsia" w:ascii="宋体" w:hAnsi="宋体"/>
                <w:color w:val="auto"/>
                <w:kern w:val="0"/>
                <w:sz w:val="24"/>
                <w:highlight w:val="none"/>
                <w:lang w:val="en-US" w:eastAsia="zh-CN"/>
              </w:rPr>
              <w:t xml:space="preserve"> </w:t>
            </w:r>
            <w:r>
              <w:rPr>
                <w:rFonts w:hint="eastAsia" w:ascii="宋体" w:hAnsi="宋体"/>
                <w:color w:val="auto"/>
                <w:kern w:val="0"/>
                <w:sz w:val="24"/>
                <w:highlight w:val="none"/>
              </w:rPr>
              <w:fldChar w:fldCharType="begin"/>
            </w:r>
            <w:r>
              <w:rPr>
                <w:rFonts w:hint="eastAsia" w:ascii="宋体" w:hAnsi="宋体"/>
                <w:color w:val="auto"/>
                <w:kern w:val="0"/>
                <w:sz w:val="24"/>
                <w:highlight w:val="none"/>
              </w:rPr>
              <w:instrText xml:space="preserve"> eq \o\ac(□)</w:instrText>
            </w:r>
            <w:r>
              <w:rPr>
                <w:rFonts w:hint="eastAsia" w:ascii="宋体" w:hAnsi="宋体"/>
                <w:color w:val="auto"/>
                <w:kern w:val="0"/>
                <w:sz w:val="24"/>
                <w:highlight w:val="none"/>
              </w:rPr>
              <w:fldChar w:fldCharType="end"/>
            </w:r>
            <w:r>
              <w:rPr>
                <w:rFonts w:hint="eastAsia" w:ascii="宋体" w:hAnsi="宋体"/>
                <w:color w:val="auto"/>
                <w:kern w:val="0"/>
                <w:sz w:val="24"/>
                <w:highlight w:val="none"/>
              </w:rPr>
              <w:t>是</w:t>
            </w:r>
          </w:p>
          <w:p>
            <w:pPr>
              <w:spacing w:line="276" w:lineRule="auto"/>
              <w:ind w:left="2153" w:leftChars="1025" w:firstLine="1735" w:firstLineChars="723"/>
              <w:textAlignment w:val="baseline"/>
              <w:rPr>
                <w:rFonts w:hint="eastAsia" w:ascii="宋体" w:hAnsi="宋体"/>
                <w:b/>
                <w:color w:val="auto"/>
                <w:sz w:val="24"/>
                <w:highlight w:val="none"/>
              </w:rPr>
            </w:pPr>
            <w:r>
              <w:rPr>
                <w:rFonts w:hint="eastAsia" w:ascii="宋体" w:hAnsi="宋体"/>
                <w:color w:val="auto"/>
                <w:kern w:val="0"/>
                <w:sz w:val="24"/>
                <w:highlight w:val="none"/>
                <w:lang w:eastAsia="zh-CN"/>
              </w:rPr>
              <w:t>☑</w:t>
            </w:r>
            <w:r>
              <w:rPr>
                <w:rFonts w:hint="eastAsia" w:ascii="宋体" w:hAnsi="宋体"/>
                <w:color w:val="auto"/>
                <w:kern w:val="0"/>
                <w:sz w:val="24"/>
                <w:highlight w:val="none"/>
              </w:rPr>
              <w:t>否，推荐的</w:t>
            </w:r>
            <w:r>
              <w:rPr>
                <w:rFonts w:hint="eastAsia" w:ascii="宋体" w:hAnsi="宋体"/>
                <w:color w:val="auto"/>
                <w:kern w:val="0"/>
                <w:sz w:val="24"/>
                <w:highlight w:val="none"/>
                <w:lang w:eastAsia="zh-CN"/>
              </w:rPr>
              <w:t>成交</w:t>
            </w:r>
            <w:r>
              <w:rPr>
                <w:rFonts w:hint="eastAsia" w:ascii="宋体" w:hAnsi="宋体"/>
                <w:color w:val="auto"/>
                <w:kern w:val="0"/>
                <w:sz w:val="24"/>
                <w:highlight w:val="none"/>
              </w:rPr>
              <w:t>候选人数：3 人</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1" w:type="dxa"/>
            <w:noWrap w:val="0"/>
            <w:vAlign w:val="center"/>
          </w:tcPr>
          <w:p>
            <w:pPr>
              <w:adjustRightInd w:val="0"/>
              <w:snapToGrid w:val="0"/>
              <w:spacing w:line="276" w:lineRule="auto"/>
              <w:jc w:val="center"/>
              <w:textAlignment w:val="baseline"/>
              <w:rPr>
                <w:rFonts w:hint="eastAsia" w:ascii="宋体" w:hAnsi="宋体"/>
                <w:color w:val="auto"/>
                <w:sz w:val="24"/>
                <w:highlight w:val="none"/>
              </w:rPr>
            </w:pPr>
            <w:r>
              <w:rPr>
                <w:rFonts w:hint="eastAsia" w:ascii="宋体" w:hAnsi="宋体"/>
                <w:color w:val="auto"/>
                <w:sz w:val="24"/>
                <w:highlight w:val="none"/>
              </w:rPr>
              <w:t>14</w:t>
            </w:r>
          </w:p>
        </w:tc>
        <w:tc>
          <w:tcPr>
            <w:tcW w:w="8782" w:type="dxa"/>
            <w:noWrap w:val="0"/>
            <w:vAlign w:val="bottom"/>
          </w:tcPr>
          <w:p>
            <w:pPr>
              <w:tabs>
                <w:tab w:val="left" w:pos="7665"/>
              </w:tabs>
              <w:spacing w:line="276" w:lineRule="auto"/>
              <w:rPr>
                <w:rFonts w:hint="eastAsia" w:ascii="宋体" w:hAnsi="宋体"/>
                <w:b/>
                <w:color w:val="auto"/>
                <w:kern w:val="0"/>
                <w:sz w:val="24"/>
                <w:highlight w:val="none"/>
              </w:rPr>
            </w:pPr>
            <w:r>
              <w:rPr>
                <w:rFonts w:ascii="宋体" w:hAnsi="宋体"/>
                <w:b/>
                <w:color w:val="auto"/>
                <w:sz w:val="24"/>
                <w:highlight w:val="none"/>
                <w:lang w:val="zh-CN"/>
              </w:rPr>
              <w:t>考察现场、标前答疑会</w:t>
            </w:r>
            <w:r>
              <w:rPr>
                <w:rFonts w:hint="eastAsia" w:ascii="宋体" w:hAnsi="宋体"/>
                <w:b/>
                <w:color w:val="auto"/>
                <w:kern w:val="0"/>
                <w:sz w:val="24"/>
                <w:highlight w:val="none"/>
              </w:rPr>
              <w:t>：</w:t>
            </w:r>
            <w:r>
              <w:rPr>
                <w:rFonts w:ascii="宋体" w:hAnsi="宋体"/>
                <w:color w:val="auto"/>
                <w:sz w:val="24"/>
                <w:highlight w:val="none"/>
                <w:lang w:val="zh-CN"/>
              </w:rPr>
              <w:t>招标采购单位认为有必要，另行通知。</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721" w:type="dxa"/>
            <w:noWrap w:val="0"/>
            <w:vAlign w:val="center"/>
          </w:tcPr>
          <w:p>
            <w:pPr>
              <w:adjustRightInd w:val="0"/>
              <w:snapToGrid w:val="0"/>
              <w:spacing w:line="276" w:lineRule="auto"/>
              <w:jc w:val="center"/>
              <w:textAlignment w:val="baseline"/>
              <w:rPr>
                <w:rFonts w:hint="eastAsia" w:ascii="宋体" w:hAnsi="宋体"/>
                <w:color w:val="auto"/>
                <w:sz w:val="24"/>
                <w:highlight w:val="none"/>
              </w:rPr>
            </w:pPr>
            <w:r>
              <w:rPr>
                <w:rFonts w:hint="eastAsia" w:ascii="宋体" w:hAnsi="宋体"/>
                <w:color w:val="auto"/>
                <w:sz w:val="24"/>
                <w:highlight w:val="none"/>
              </w:rPr>
              <w:t>15</w:t>
            </w:r>
          </w:p>
        </w:tc>
        <w:tc>
          <w:tcPr>
            <w:tcW w:w="8782" w:type="dxa"/>
            <w:noWrap w:val="0"/>
            <w:vAlign w:val="bottom"/>
          </w:tcPr>
          <w:p>
            <w:pPr>
              <w:tabs>
                <w:tab w:val="left" w:pos="7665"/>
              </w:tabs>
              <w:spacing w:line="276" w:lineRule="auto"/>
              <w:rPr>
                <w:rFonts w:hint="eastAsia" w:ascii="宋体" w:hAnsi="宋体"/>
                <w:b/>
                <w:color w:val="auto"/>
                <w:kern w:val="0"/>
                <w:sz w:val="24"/>
                <w:highlight w:val="none"/>
              </w:rPr>
            </w:pPr>
            <w:r>
              <w:rPr>
                <w:rFonts w:ascii="宋体" w:hAnsi="宋体"/>
                <w:b/>
                <w:color w:val="auto"/>
                <w:sz w:val="24"/>
                <w:highlight w:val="none"/>
                <w:lang w:val="zh-CN"/>
              </w:rPr>
              <w:t>投标供应商对</w:t>
            </w:r>
            <w:r>
              <w:rPr>
                <w:rFonts w:hint="eastAsia" w:ascii="宋体" w:hAnsi="宋体"/>
                <w:b/>
                <w:color w:val="auto"/>
                <w:sz w:val="24"/>
                <w:highlight w:val="none"/>
                <w:lang w:val="zh-CN"/>
              </w:rPr>
              <w:t>磋商文件</w:t>
            </w:r>
            <w:r>
              <w:rPr>
                <w:rFonts w:ascii="宋体" w:hAnsi="宋体"/>
                <w:b/>
                <w:color w:val="auto"/>
                <w:sz w:val="24"/>
                <w:highlight w:val="none"/>
                <w:lang w:val="zh-CN"/>
              </w:rPr>
              <w:t>提出质疑的时间</w:t>
            </w:r>
            <w:r>
              <w:rPr>
                <w:rFonts w:hint="eastAsia" w:ascii="宋体" w:hAnsi="宋体"/>
                <w:b/>
                <w:color w:val="auto"/>
                <w:sz w:val="24"/>
                <w:highlight w:val="none"/>
                <w:lang w:val="zh-CN"/>
              </w:rPr>
              <w:t>：</w:t>
            </w:r>
            <w:r>
              <w:rPr>
                <w:rFonts w:ascii="宋体" w:hAnsi="宋体"/>
                <w:color w:val="auto"/>
                <w:sz w:val="24"/>
                <w:highlight w:val="none"/>
                <w:lang w:val="zh-CN"/>
              </w:rPr>
              <w:t>投标截止时间</w:t>
            </w:r>
            <w:r>
              <w:rPr>
                <w:rFonts w:hint="eastAsia" w:ascii="宋体" w:hAnsi="宋体"/>
                <w:color w:val="auto"/>
                <w:sz w:val="24"/>
                <w:highlight w:val="none"/>
                <w:lang w:val="zh-CN"/>
              </w:rPr>
              <w:t>三</w:t>
            </w:r>
            <w:r>
              <w:rPr>
                <w:rFonts w:ascii="宋体" w:hAnsi="宋体"/>
                <w:color w:val="auto"/>
                <w:sz w:val="24"/>
                <w:highlight w:val="none"/>
                <w:lang w:val="zh-CN"/>
              </w:rPr>
              <w:t>日前</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721" w:type="dxa"/>
            <w:noWrap w:val="0"/>
            <w:vAlign w:val="center"/>
          </w:tcPr>
          <w:p>
            <w:pPr>
              <w:adjustRightInd w:val="0"/>
              <w:snapToGrid w:val="0"/>
              <w:spacing w:line="276" w:lineRule="auto"/>
              <w:jc w:val="center"/>
              <w:textAlignment w:val="baseline"/>
              <w:rPr>
                <w:rFonts w:hint="eastAsia" w:ascii="宋体" w:hAnsi="宋体"/>
                <w:color w:val="auto"/>
                <w:sz w:val="24"/>
                <w:highlight w:val="none"/>
              </w:rPr>
            </w:pPr>
            <w:r>
              <w:rPr>
                <w:rFonts w:hint="eastAsia" w:ascii="宋体" w:hAnsi="宋体"/>
                <w:color w:val="auto"/>
                <w:sz w:val="24"/>
                <w:highlight w:val="none"/>
              </w:rPr>
              <w:t>16</w:t>
            </w:r>
          </w:p>
        </w:tc>
        <w:tc>
          <w:tcPr>
            <w:tcW w:w="8782" w:type="dxa"/>
            <w:noWrap w:val="0"/>
            <w:vAlign w:val="center"/>
          </w:tcPr>
          <w:p>
            <w:pPr>
              <w:tabs>
                <w:tab w:val="left" w:pos="7665"/>
              </w:tabs>
              <w:spacing w:line="276" w:lineRule="auto"/>
              <w:ind w:left="3542" w:hanging="3542" w:hangingChars="1470"/>
              <w:rPr>
                <w:rFonts w:hint="eastAsia" w:ascii="宋体" w:hAnsi="宋体"/>
                <w:b/>
                <w:color w:val="auto"/>
                <w:sz w:val="24"/>
                <w:highlight w:val="none"/>
                <w:lang w:val="zh-CN"/>
              </w:rPr>
            </w:pPr>
            <w:r>
              <w:rPr>
                <w:rFonts w:ascii="宋体" w:hAnsi="宋体"/>
                <w:b/>
                <w:color w:val="auto"/>
                <w:sz w:val="24"/>
                <w:highlight w:val="none"/>
                <w:lang w:val="zh-CN"/>
              </w:rPr>
              <w:t>构成</w:t>
            </w:r>
            <w:r>
              <w:rPr>
                <w:rFonts w:hint="eastAsia" w:ascii="宋体" w:hAnsi="宋体"/>
                <w:b/>
                <w:color w:val="auto"/>
                <w:sz w:val="24"/>
                <w:highlight w:val="none"/>
                <w:lang w:val="zh-CN"/>
              </w:rPr>
              <w:t>磋商文件</w:t>
            </w:r>
            <w:r>
              <w:rPr>
                <w:rFonts w:ascii="宋体" w:hAnsi="宋体"/>
                <w:b/>
                <w:color w:val="auto"/>
                <w:sz w:val="24"/>
                <w:highlight w:val="none"/>
                <w:lang w:val="zh-CN"/>
              </w:rPr>
              <w:t>的其他文件</w:t>
            </w:r>
            <w:r>
              <w:rPr>
                <w:rFonts w:hint="eastAsia" w:ascii="宋体" w:hAnsi="宋体"/>
                <w:b/>
                <w:color w:val="auto"/>
                <w:sz w:val="24"/>
                <w:highlight w:val="none"/>
                <w:lang w:val="zh-CN"/>
              </w:rPr>
              <w:t>：</w:t>
            </w:r>
          </w:p>
          <w:p>
            <w:pPr>
              <w:tabs>
                <w:tab w:val="left" w:pos="7665"/>
              </w:tabs>
              <w:spacing w:line="276" w:lineRule="auto"/>
              <w:ind w:left="3517" w:leftChars="228" w:hanging="3038" w:hangingChars="1266"/>
              <w:rPr>
                <w:rFonts w:hint="eastAsia" w:ascii="宋体" w:hAnsi="宋体"/>
                <w:b/>
                <w:color w:val="auto"/>
                <w:kern w:val="0"/>
                <w:sz w:val="24"/>
                <w:highlight w:val="none"/>
              </w:rPr>
            </w:pPr>
            <w:r>
              <w:rPr>
                <w:rFonts w:hint="eastAsia" w:ascii="宋体" w:hAnsi="宋体"/>
                <w:color w:val="auto"/>
                <w:sz w:val="24"/>
                <w:highlight w:val="none"/>
                <w:lang w:val="zh-CN"/>
              </w:rPr>
              <w:t>磋商文件</w:t>
            </w:r>
            <w:r>
              <w:rPr>
                <w:rFonts w:ascii="宋体" w:hAnsi="宋体"/>
                <w:color w:val="auto"/>
                <w:sz w:val="24"/>
                <w:highlight w:val="none"/>
                <w:lang w:val="zh-CN"/>
              </w:rPr>
              <w:t>的澄清</w:t>
            </w:r>
            <w:r>
              <w:rPr>
                <w:rFonts w:ascii="宋体" w:hAnsi="宋体"/>
                <w:color w:val="auto"/>
                <w:sz w:val="24"/>
                <w:highlight w:val="none"/>
              </w:rPr>
              <w:t>、修改书及有关补充通知为</w:t>
            </w:r>
            <w:r>
              <w:rPr>
                <w:rFonts w:hint="eastAsia" w:ascii="宋体" w:hAnsi="宋体"/>
                <w:color w:val="auto"/>
                <w:sz w:val="24"/>
                <w:highlight w:val="none"/>
                <w:lang w:val="zh-CN"/>
              </w:rPr>
              <w:t>磋商文件</w:t>
            </w:r>
            <w:r>
              <w:rPr>
                <w:rFonts w:ascii="宋体" w:hAnsi="宋体"/>
                <w:color w:val="auto"/>
                <w:sz w:val="24"/>
                <w:highlight w:val="none"/>
              </w:rPr>
              <w:t>的有效组成部分。</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21" w:type="dxa"/>
            <w:noWrap w:val="0"/>
            <w:vAlign w:val="center"/>
          </w:tcPr>
          <w:p>
            <w:pPr>
              <w:adjustRightInd w:val="0"/>
              <w:snapToGrid w:val="0"/>
              <w:spacing w:line="276" w:lineRule="auto"/>
              <w:jc w:val="center"/>
              <w:textAlignment w:val="baseline"/>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7</w:t>
            </w:r>
          </w:p>
        </w:tc>
        <w:tc>
          <w:tcPr>
            <w:tcW w:w="8782" w:type="dxa"/>
            <w:noWrap w:val="0"/>
            <w:vAlign w:val="bottom"/>
          </w:tcPr>
          <w:p>
            <w:pPr>
              <w:adjustRightInd w:val="0"/>
              <w:snapToGrid w:val="0"/>
              <w:spacing w:line="276" w:lineRule="auto"/>
              <w:rPr>
                <w:rFonts w:hint="eastAsia" w:ascii="宋体" w:hAnsi="宋体"/>
                <w:b/>
                <w:color w:val="auto"/>
                <w:sz w:val="24"/>
                <w:highlight w:val="none"/>
              </w:rPr>
            </w:pPr>
            <w:r>
              <w:rPr>
                <w:rFonts w:hint="eastAsia" w:ascii="宋体" w:hAnsi="宋体" w:cs="仿宋_GB2312"/>
                <w:b/>
                <w:color w:val="auto"/>
                <w:sz w:val="24"/>
                <w:highlight w:val="none"/>
              </w:rPr>
              <w:t>报名要求</w:t>
            </w:r>
            <w:r>
              <w:rPr>
                <w:rFonts w:hint="eastAsia" w:ascii="宋体" w:hAnsi="宋体"/>
                <w:b/>
                <w:color w:val="auto"/>
                <w:sz w:val="24"/>
                <w:highlight w:val="none"/>
              </w:rPr>
              <w:t>：</w:t>
            </w:r>
            <w:r>
              <w:rPr>
                <w:rFonts w:hint="eastAsia" w:ascii="宋体" w:hAnsi="宋体"/>
                <w:color w:val="auto"/>
                <w:sz w:val="24"/>
                <w:highlight w:val="none"/>
              </w:rPr>
              <w:t>见公告内容。</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1" w:type="dxa"/>
            <w:noWrap w:val="0"/>
            <w:vAlign w:val="center"/>
          </w:tcPr>
          <w:p>
            <w:pPr>
              <w:adjustRightInd w:val="0"/>
              <w:snapToGrid w:val="0"/>
              <w:spacing w:line="276" w:lineRule="auto"/>
              <w:jc w:val="center"/>
              <w:textAlignment w:val="baseline"/>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18</w:t>
            </w:r>
          </w:p>
        </w:tc>
        <w:tc>
          <w:tcPr>
            <w:tcW w:w="8782" w:type="dxa"/>
            <w:noWrap w:val="0"/>
            <w:vAlign w:val="bottom"/>
          </w:tcPr>
          <w:p>
            <w:pPr>
              <w:tabs>
                <w:tab w:val="left" w:pos="7665"/>
              </w:tabs>
              <w:spacing w:line="276" w:lineRule="auto"/>
              <w:rPr>
                <w:rFonts w:hint="eastAsia" w:ascii="宋体" w:hAnsi="宋体"/>
                <w:b/>
                <w:color w:val="auto"/>
                <w:sz w:val="24"/>
                <w:highlight w:val="none"/>
              </w:rPr>
            </w:pPr>
            <w:r>
              <w:rPr>
                <w:rFonts w:hint="eastAsia" w:ascii="宋体" w:hAnsi="宋体"/>
                <w:b/>
                <w:color w:val="auto"/>
                <w:sz w:val="24"/>
                <w:highlight w:val="none"/>
              </w:rPr>
              <w:t>分包（转让）：</w:t>
            </w:r>
            <w:r>
              <w:rPr>
                <w:rFonts w:hint="eastAsia" w:ascii="宋体" w:hAnsi="宋体"/>
                <w:color w:val="auto"/>
                <w:sz w:val="24"/>
                <w:highlight w:val="none"/>
              </w:rPr>
              <w:t>不允许。</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1" w:type="dxa"/>
            <w:noWrap w:val="0"/>
            <w:vAlign w:val="center"/>
          </w:tcPr>
          <w:p>
            <w:pPr>
              <w:adjustRightInd w:val="0"/>
              <w:snapToGrid w:val="0"/>
              <w:spacing w:line="276" w:lineRule="auto"/>
              <w:jc w:val="center"/>
              <w:textAlignment w:val="baseline"/>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19</w:t>
            </w:r>
          </w:p>
        </w:tc>
        <w:tc>
          <w:tcPr>
            <w:tcW w:w="8782" w:type="dxa"/>
            <w:noWrap w:val="0"/>
            <w:vAlign w:val="bottom"/>
          </w:tcPr>
          <w:p>
            <w:pPr>
              <w:tabs>
                <w:tab w:val="left" w:pos="7665"/>
              </w:tabs>
              <w:spacing w:line="276" w:lineRule="auto"/>
              <w:rPr>
                <w:rFonts w:hint="eastAsia" w:ascii="宋体" w:hAnsi="宋体"/>
                <w:b/>
                <w:color w:val="auto"/>
                <w:sz w:val="24"/>
                <w:highlight w:val="none"/>
              </w:rPr>
            </w:pPr>
            <w:r>
              <w:rPr>
                <w:rFonts w:hint="eastAsia" w:ascii="宋体" w:hAnsi="宋体"/>
                <w:b/>
                <w:color w:val="auto"/>
                <w:sz w:val="24"/>
                <w:highlight w:val="none"/>
              </w:rPr>
              <w:t>联合投标：</w:t>
            </w:r>
            <w:r>
              <w:rPr>
                <w:rFonts w:hint="eastAsia" w:ascii="宋体" w:hAnsi="宋体"/>
                <w:color w:val="auto"/>
                <w:sz w:val="24"/>
                <w:highlight w:val="none"/>
              </w:rPr>
              <w:t>本项目不接受联合体投标。</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21" w:type="dxa"/>
            <w:noWrap w:val="0"/>
            <w:vAlign w:val="center"/>
          </w:tcPr>
          <w:p>
            <w:pPr>
              <w:adjustRightInd w:val="0"/>
              <w:snapToGrid w:val="0"/>
              <w:spacing w:line="276" w:lineRule="auto"/>
              <w:jc w:val="center"/>
              <w:textAlignment w:val="baseline"/>
              <w:rPr>
                <w:rFonts w:hint="eastAsia" w:ascii="宋体" w:hAnsi="宋体" w:eastAsia="宋体"/>
                <w:color w:val="auto"/>
                <w:sz w:val="24"/>
                <w:highlight w:val="none"/>
                <w:lang w:eastAsia="zh-CN"/>
              </w:rPr>
            </w:pPr>
            <w:r>
              <w:rPr>
                <w:rFonts w:hint="eastAsia" w:ascii="宋体" w:hAnsi="宋体"/>
                <w:color w:val="auto"/>
                <w:sz w:val="24"/>
                <w:highlight w:val="none"/>
              </w:rPr>
              <w:t>2</w:t>
            </w:r>
            <w:r>
              <w:rPr>
                <w:rFonts w:hint="eastAsia" w:ascii="宋体" w:hAnsi="宋体"/>
                <w:color w:val="auto"/>
                <w:sz w:val="24"/>
                <w:highlight w:val="none"/>
                <w:lang w:val="en-US" w:eastAsia="zh-CN"/>
              </w:rPr>
              <w:t>0</w:t>
            </w:r>
          </w:p>
        </w:tc>
        <w:tc>
          <w:tcPr>
            <w:tcW w:w="8782" w:type="dxa"/>
            <w:noWrap w:val="0"/>
            <w:vAlign w:val="bottom"/>
          </w:tcPr>
          <w:p>
            <w:pPr>
              <w:adjustRightInd w:val="0"/>
              <w:snapToGrid w:val="0"/>
              <w:spacing w:line="276" w:lineRule="auto"/>
              <w:textAlignment w:val="baseline"/>
              <w:rPr>
                <w:rFonts w:hint="eastAsia" w:ascii="宋体" w:hAnsi="宋体"/>
                <w:b/>
                <w:color w:val="auto"/>
                <w:sz w:val="24"/>
                <w:highlight w:val="none"/>
              </w:rPr>
            </w:pPr>
            <w:r>
              <w:rPr>
                <w:rFonts w:hint="eastAsia" w:ascii="宋体" w:hAnsi="宋体"/>
                <w:b/>
                <w:color w:val="auto"/>
                <w:sz w:val="24"/>
                <w:highlight w:val="none"/>
              </w:rPr>
              <w:t>是否退还</w:t>
            </w:r>
            <w:r>
              <w:rPr>
                <w:rFonts w:hint="eastAsia" w:ascii="宋体" w:hAnsi="宋体"/>
                <w:b/>
                <w:color w:val="auto"/>
                <w:sz w:val="24"/>
                <w:highlight w:val="none"/>
                <w:lang w:eastAsia="zh-CN"/>
              </w:rPr>
              <w:t>磋商响应文件</w:t>
            </w:r>
            <w:r>
              <w:rPr>
                <w:rFonts w:hint="eastAsia" w:ascii="宋体" w:hAnsi="宋体"/>
                <w:b/>
                <w:color w:val="auto"/>
                <w:sz w:val="24"/>
                <w:highlight w:val="none"/>
              </w:rPr>
              <w:t>：</w:t>
            </w:r>
            <w:r>
              <w:rPr>
                <w:rFonts w:hint="eastAsia" w:ascii="宋体" w:hAnsi="宋体"/>
                <w:color w:val="auto"/>
                <w:sz w:val="24"/>
                <w:highlight w:val="none"/>
              </w:rPr>
              <w:t>否</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21" w:type="dxa"/>
            <w:noWrap w:val="0"/>
            <w:vAlign w:val="center"/>
          </w:tcPr>
          <w:p>
            <w:pPr>
              <w:spacing w:line="276" w:lineRule="auto"/>
              <w:jc w:val="center"/>
              <w:textAlignment w:val="baseline"/>
              <w:rPr>
                <w:rFonts w:hint="eastAsia" w:ascii="宋体" w:hAnsi="宋体" w:eastAsia="宋体"/>
                <w:color w:val="auto"/>
                <w:sz w:val="24"/>
                <w:highlight w:val="none"/>
                <w:lang w:eastAsia="zh-CN"/>
              </w:rPr>
            </w:pPr>
            <w:r>
              <w:rPr>
                <w:rFonts w:hint="eastAsia" w:ascii="宋体" w:hAnsi="宋体"/>
                <w:color w:val="auto"/>
                <w:sz w:val="24"/>
                <w:highlight w:val="none"/>
              </w:rPr>
              <w:t>2</w:t>
            </w:r>
            <w:r>
              <w:rPr>
                <w:rFonts w:hint="eastAsia" w:ascii="宋体" w:hAnsi="宋体"/>
                <w:color w:val="auto"/>
                <w:sz w:val="24"/>
                <w:highlight w:val="none"/>
                <w:lang w:val="en-US" w:eastAsia="zh-CN"/>
              </w:rPr>
              <w:t>1</w:t>
            </w:r>
          </w:p>
        </w:tc>
        <w:tc>
          <w:tcPr>
            <w:tcW w:w="8782" w:type="dxa"/>
            <w:noWrap w:val="0"/>
            <w:vAlign w:val="center"/>
          </w:tcPr>
          <w:p>
            <w:pPr>
              <w:spacing w:line="276" w:lineRule="auto"/>
              <w:rPr>
                <w:rFonts w:hint="eastAsia" w:ascii="宋体" w:hAnsi="宋体"/>
                <w:b/>
                <w:color w:val="auto"/>
                <w:kern w:val="0"/>
                <w:sz w:val="24"/>
                <w:highlight w:val="none"/>
              </w:rPr>
            </w:pPr>
            <w:r>
              <w:rPr>
                <w:rFonts w:hint="eastAsia" w:ascii="宋体" w:hAnsi="宋体"/>
                <w:b/>
                <w:color w:val="auto"/>
                <w:kern w:val="0"/>
                <w:sz w:val="24"/>
                <w:highlight w:val="none"/>
              </w:rPr>
              <w:t>磋商响应文件份数：</w:t>
            </w:r>
          </w:p>
          <w:p>
            <w:pPr>
              <w:spacing w:line="276" w:lineRule="auto"/>
              <w:ind w:firstLine="480"/>
              <w:rPr>
                <w:rFonts w:hint="eastAsia" w:ascii="宋体" w:hAnsi="宋体"/>
                <w:b/>
                <w:color w:val="auto"/>
                <w:kern w:val="0"/>
                <w:sz w:val="24"/>
                <w:highlight w:val="none"/>
              </w:rPr>
            </w:pPr>
            <w:r>
              <w:rPr>
                <w:rFonts w:hint="eastAsia" w:ascii="宋体" w:hAnsi="宋体"/>
                <w:b/>
                <w:color w:val="auto"/>
                <w:kern w:val="0"/>
                <w:sz w:val="24"/>
                <w:highlight w:val="none"/>
              </w:rPr>
              <w:t>（1）“电子加密磋商响应文件”：在线上传递交，一份。</w:t>
            </w:r>
          </w:p>
          <w:p>
            <w:pPr>
              <w:spacing w:line="276" w:lineRule="auto"/>
              <w:ind w:firstLine="482" w:firstLineChars="200"/>
              <w:textAlignment w:val="baseline"/>
              <w:rPr>
                <w:rFonts w:hint="eastAsia"/>
                <w:color w:val="auto"/>
                <w:highlight w:val="none"/>
              </w:rPr>
            </w:pPr>
            <w:r>
              <w:rPr>
                <w:rFonts w:hint="eastAsia" w:ascii="宋体" w:hAnsi="宋体"/>
                <w:b/>
                <w:color w:val="auto"/>
                <w:kern w:val="0"/>
                <w:sz w:val="24"/>
                <w:highlight w:val="none"/>
              </w:rPr>
              <w:t>（2）</w:t>
            </w:r>
            <w:r>
              <w:rPr>
                <w:rFonts w:hint="eastAsia" w:ascii="宋体" w:hAnsi="宋体"/>
                <w:b/>
                <w:color w:val="auto"/>
                <w:kern w:val="0"/>
                <w:sz w:val="24"/>
                <w:highlight w:val="none"/>
                <w:lang w:val="en-US" w:eastAsia="zh-CN"/>
              </w:rPr>
              <w:t>2</w:t>
            </w:r>
            <w:r>
              <w:rPr>
                <w:rFonts w:hint="eastAsia" w:ascii="宋体" w:hAnsi="宋体"/>
                <w:b/>
                <w:color w:val="auto"/>
                <w:kern w:val="0"/>
                <w:sz w:val="24"/>
                <w:highlight w:val="none"/>
              </w:rPr>
              <w:t>套纸质版磋商响应文件，磋商响应文件须与最终上传电子加密文件一致，“备份磋商响应文件”一份：密封包装后于（邮寄形式）磋商响应截止时间前递交（邮寄地址：</w:t>
            </w:r>
            <w:r>
              <w:rPr>
                <w:rFonts w:hint="eastAsia" w:ascii="宋体" w:hAnsi="宋体"/>
                <w:b/>
                <w:color w:val="auto"/>
                <w:kern w:val="0"/>
                <w:sz w:val="24"/>
                <w:highlight w:val="none"/>
                <w:lang w:eastAsia="zh-CN"/>
              </w:rPr>
              <w:t>新疆阿克苏地区阿克苏市幸福南路6号锦程·玫瑰园小区1#楼401商铺</w:t>
            </w:r>
            <w:r>
              <w:rPr>
                <w:rFonts w:hint="eastAsia" w:ascii="宋体" w:hAnsi="宋体"/>
                <w:b/>
                <w:color w:val="auto"/>
                <w:kern w:val="0"/>
                <w:sz w:val="24"/>
                <w:highlight w:val="none"/>
              </w:rPr>
              <w:t>；收件人：</w:t>
            </w:r>
            <w:r>
              <w:rPr>
                <w:rFonts w:hint="eastAsia" w:ascii="宋体" w:hAnsi="宋体"/>
                <w:b/>
                <w:color w:val="auto"/>
                <w:kern w:val="0"/>
                <w:sz w:val="24"/>
                <w:highlight w:val="none"/>
                <w:lang w:eastAsia="zh-CN"/>
              </w:rPr>
              <w:t>李凤娇</w:t>
            </w:r>
            <w:r>
              <w:rPr>
                <w:rFonts w:hint="eastAsia" w:ascii="宋体" w:hAnsi="宋体"/>
                <w:b/>
                <w:color w:val="auto"/>
                <w:kern w:val="0"/>
                <w:sz w:val="24"/>
                <w:highlight w:val="none"/>
              </w:rPr>
              <w:t>；联系电话：</w:t>
            </w:r>
            <w:r>
              <w:rPr>
                <w:rFonts w:hint="eastAsia" w:ascii="宋体" w:hAnsi="宋体"/>
                <w:b/>
                <w:color w:val="auto"/>
                <w:kern w:val="0"/>
                <w:sz w:val="24"/>
                <w:highlight w:val="none"/>
                <w:lang w:eastAsia="zh-CN"/>
              </w:rPr>
              <w:t>15886806770</w:t>
            </w:r>
            <w:r>
              <w:rPr>
                <w:rFonts w:hint="eastAsia" w:ascii="宋体" w:hAnsi="宋体"/>
                <w:b/>
                <w:color w:val="auto"/>
                <w:kern w:val="0"/>
                <w:sz w:val="24"/>
                <w:highlight w:val="none"/>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21" w:type="dxa"/>
            <w:noWrap w:val="0"/>
            <w:vAlign w:val="center"/>
          </w:tcPr>
          <w:p>
            <w:pPr>
              <w:spacing w:line="276" w:lineRule="auto"/>
              <w:jc w:val="center"/>
              <w:textAlignment w:val="baseline"/>
              <w:rPr>
                <w:rFonts w:hint="eastAsia" w:ascii="宋体" w:hAnsi="宋体" w:eastAsia="宋体"/>
                <w:color w:val="auto"/>
                <w:sz w:val="24"/>
                <w:highlight w:val="none"/>
                <w:lang w:eastAsia="zh-CN"/>
              </w:rPr>
            </w:pPr>
            <w:r>
              <w:rPr>
                <w:rFonts w:hint="eastAsia" w:ascii="宋体" w:hAnsi="宋体"/>
                <w:color w:val="auto"/>
                <w:sz w:val="24"/>
                <w:highlight w:val="none"/>
              </w:rPr>
              <w:t>2</w:t>
            </w:r>
            <w:r>
              <w:rPr>
                <w:rFonts w:hint="eastAsia" w:ascii="宋体" w:hAnsi="宋体"/>
                <w:color w:val="auto"/>
                <w:sz w:val="24"/>
                <w:highlight w:val="none"/>
                <w:lang w:val="en-US" w:eastAsia="zh-CN"/>
              </w:rPr>
              <w:t>2</w:t>
            </w:r>
          </w:p>
        </w:tc>
        <w:tc>
          <w:tcPr>
            <w:tcW w:w="878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磋商响应文件的编制：</w:t>
            </w:r>
            <w:r>
              <w:rPr>
                <w:rFonts w:hint="eastAsia" w:ascii="Times New Roman" w:hAnsi="Times New Roman" w:cs="Times New Roman"/>
                <w:b w:val="0"/>
                <w:bCs/>
                <w:color w:val="auto"/>
                <w:sz w:val="24"/>
                <w:highlight w:val="none"/>
                <w:lang w:val="en-US" w:eastAsia="zh-CN"/>
              </w:rPr>
              <w:t>供应商应先安装“政采云电子交易客户端”，并按照本磋商文件和“政府采购云平台”的要求，通过“政采云电子交易客户端”编制并加密磋商响应文件。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Times New Roman"/>
                <w:color w:val="auto"/>
                <w:sz w:val="24"/>
                <w:highlight w:val="none"/>
                <w:lang w:val="en-US" w:eastAsia="zh-CN"/>
              </w:rPr>
            </w:pPr>
            <w:r>
              <w:rPr>
                <w:rFonts w:hint="eastAsia" w:ascii="Times New Roman" w:hAnsi="Times New Roman" w:cs="Times New Roman"/>
                <w:b/>
                <w:color w:val="auto"/>
                <w:sz w:val="24"/>
                <w:highlight w:val="none"/>
                <w:lang w:val="en-US" w:eastAsia="zh-CN"/>
              </w:rPr>
              <w:t>磋商响应文件的形式：</w:t>
            </w:r>
            <w:r>
              <w:rPr>
                <w:rFonts w:hint="eastAsia" w:ascii="宋体" w:hAnsi="宋体" w:cs="Times New Roman"/>
                <w:color w:val="auto"/>
                <w:sz w:val="24"/>
                <w:highlight w:val="none"/>
                <w:lang w:val="en-US" w:eastAsia="zh-CN"/>
              </w:rPr>
              <w:t>电子磋商响应文件（包括“电子加密磋商响应文件”和“备份磋商响应文件”、“纸质版响应文件”，在磋商响应文件编制完成后同时生成）；</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（1）“电子加密磋商响应文件”是指通过“政采云电子交易客户端”完成磋商响应文件编制后生成并加密的数据电文形式的磋商响应文件。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（2）“备份磋商响应文件”是指与“电子加密磋商响应文件”同时生成的数据电文形式的电子文件（备份标书），其他方式编制的备份磋商响应文件视为无效备份磋商响应文件。</w:t>
            </w:r>
          </w:p>
          <w:p>
            <w:pPr>
              <w:spacing w:line="276" w:lineRule="auto"/>
              <w:ind w:firstLine="480"/>
              <w:rPr>
                <w:rFonts w:hint="eastAsia" w:ascii="宋体" w:hAnsi="宋体"/>
                <w:b/>
                <w:color w:val="auto"/>
                <w:kern w:val="0"/>
                <w:sz w:val="24"/>
                <w:highlight w:val="none"/>
              </w:rPr>
            </w:pPr>
            <w:r>
              <w:rPr>
                <w:rFonts w:hint="eastAsia" w:ascii="宋体" w:hAnsi="宋体" w:cs="Times New Roman"/>
                <w:color w:val="auto"/>
                <w:sz w:val="24"/>
                <w:highlight w:val="none"/>
                <w:lang w:val="en-US" w:eastAsia="zh-CN"/>
              </w:rPr>
              <w:t>（3）“纸质版响应文件”是指“电子加密磋商响应文件”打印出的纸质版响应文件，须与最终上传电子加密文件一致。</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1" w:type="dxa"/>
            <w:noWrap w:val="0"/>
            <w:vAlign w:val="center"/>
          </w:tcPr>
          <w:p>
            <w:pPr>
              <w:spacing w:line="276" w:lineRule="auto"/>
              <w:jc w:val="center"/>
              <w:textAlignment w:val="baseline"/>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23</w:t>
            </w:r>
          </w:p>
        </w:tc>
        <w:tc>
          <w:tcPr>
            <w:tcW w:w="8782" w:type="dxa"/>
            <w:noWrap w:val="0"/>
            <w:vAlign w:val="center"/>
          </w:tcPr>
          <w:p>
            <w:pPr>
              <w:adjustRightInd w:val="0"/>
              <w:snapToGrid w:val="0"/>
              <w:spacing w:line="276" w:lineRule="auto"/>
              <w:jc w:val="left"/>
              <w:rPr>
                <w:rFonts w:hint="eastAsia" w:ascii="宋体" w:hAnsi="宋体"/>
                <w:b/>
                <w:color w:val="auto"/>
                <w:sz w:val="24"/>
                <w:highlight w:val="none"/>
              </w:rPr>
            </w:pPr>
            <w:r>
              <w:rPr>
                <w:rFonts w:hint="eastAsia" w:ascii="宋体" w:hAnsi="宋体"/>
                <w:b/>
                <w:color w:val="auto"/>
                <w:sz w:val="24"/>
                <w:highlight w:val="none"/>
              </w:rPr>
              <w:t>开标时间及地点：</w:t>
            </w:r>
          </w:p>
          <w:p>
            <w:pPr>
              <w:widowControl/>
              <w:shd w:val="clear" w:color="auto" w:fill="FFFFFF"/>
              <w:spacing w:line="276" w:lineRule="auto"/>
              <w:jc w:val="left"/>
              <w:rPr>
                <w:rFonts w:hint="eastAsia" w:ascii="宋体" w:hAnsi="宋体"/>
                <w:color w:val="auto"/>
                <w:sz w:val="24"/>
                <w:highlight w:val="none"/>
              </w:rPr>
            </w:pPr>
            <w:r>
              <w:rPr>
                <w:rFonts w:hint="eastAsia" w:ascii="宋体" w:hAnsi="宋体"/>
                <w:b/>
                <w:bCs/>
                <w:color w:val="auto"/>
                <w:sz w:val="24"/>
                <w:highlight w:val="none"/>
              </w:rPr>
              <w:t>开标时间：20</w:t>
            </w:r>
            <w:r>
              <w:rPr>
                <w:rFonts w:hint="eastAsia" w:ascii="宋体" w:hAnsi="宋体"/>
                <w:b/>
                <w:bCs/>
                <w:color w:val="auto"/>
                <w:sz w:val="24"/>
                <w:highlight w:val="none"/>
                <w:lang w:val="en-US" w:eastAsia="zh-CN"/>
              </w:rPr>
              <w:t>21</w:t>
            </w:r>
            <w:r>
              <w:rPr>
                <w:rFonts w:hint="eastAsia" w:ascii="宋体" w:hAnsi="宋体"/>
                <w:b/>
                <w:bCs/>
                <w:color w:val="auto"/>
                <w:sz w:val="24"/>
                <w:highlight w:val="none"/>
              </w:rPr>
              <w:t>年</w:t>
            </w:r>
            <w:r>
              <w:rPr>
                <w:rFonts w:hint="eastAsia" w:ascii="宋体" w:hAnsi="宋体"/>
                <w:b/>
                <w:bCs/>
                <w:color w:val="auto"/>
                <w:sz w:val="24"/>
                <w:highlight w:val="none"/>
                <w:lang w:val="en-US" w:eastAsia="zh-CN"/>
              </w:rPr>
              <w:t>11</w:t>
            </w:r>
            <w:r>
              <w:rPr>
                <w:rFonts w:hint="eastAsia" w:ascii="宋体" w:hAnsi="宋体"/>
                <w:b/>
                <w:bCs/>
                <w:color w:val="auto"/>
                <w:sz w:val="24"/>
                <w:highlight w:val="none"/>
              </w:rPr>
              <w:t>月</w:t>
            </w:r>
            <w:r>
              <w:rPr>
                <w:rFonts w:hint="eastAsia" w:ascii="宋体" w:hAnsi="宋体"/>
                <w:b/>
                <w:bCs/>
                <w:color w:val="auto"/>
                <w:sz w:val="24"/>
                <w:highlight w:val="none"/>
                <w:lang w:val="en-US" w:eastAsia="zh-CN"/>
              </w:rPr>
              <w:t>22</w:t>
            </w:r>
            <w:r>
              <w:rPr>
                <w:rFonts w:hint="eastAsia" w:ascii="宋体" w:hAnsi="宋体"/>
                <w:b/>
                <w:bCs/>
                <w:color w:val="auto"/>
                <w:sz w:val="24"/>
                <w:highlight w:val="none"/>
              </w:rPr>
              <w:t>日</w:t>
            </w:r>
            <w:r>
              <w:rPr>
                <w:rFonts w:hint="eastAsia" w:ascii="宋体" w:hAnsi="宋体"/>
                <w:b/>
                <w:bCs/>
                <w:color w:val="auto"/>
                <w:sz w:val="24"/>
                <w:highlight w:val="none"/>
                <w:lang w:val="en-US" w:eastAsia="zh-CN"/>
              </w:rPr>
              <w:t>16</w:t>
            </w:r>
            <w:r>
              <w:rPr>
                <w:rFonts w:hint="eastAsia" w:ascii="宋体" w:hAnsi="宋体"/>
                <w:b/>
                <w:bCs/>
                <w:color w:val="auto"/>
                <w:sz w:val="24"/>
                <w:highlight w:val="none"/>
              </w:rPr>
              <w:t>点</w:t>
            </w:r>
            <w:r>
              <w:rPr>
                <w:rFonts w:hint="eastAsia" w:ascii="宋体" w:hAnsi="宋体"/>
                <w:b/>
                <w:bCs/>
                <w:color w:val="auto"/>
                <w:sz w:val="24"/>
                <w:highlight w:val="none"/>
                <w:lang w:val="en-US" w:eastAsia="zh-CN"/>
              </w:rPr>
              <w:t>00</w:t>
            </w:r>
            <w:r>
              <w:rPr>
                <w:rFonts w:hint="eastAsia" w:ascii="宋体" w:hAnsi="宋体"/>
                <w:b/>
                <w:bCs/>
                <w:color w:val="auto"/>
                <w:sz w:val="24"/>
                <w:highlight w:val="none"/>
              </w:rPr>
              <w:t>分（北京时间）</w:t>
            </w:r>
          </w:p>
          <w:p>
            <w:pPr>
              <w:tabs>
                <w:tab w:val="left" w:pos="400"/>
              </w:tabs>
              <w:spacing w:line="276" w:lineRule="auto"/>
              <w:textAlignment w:val="baseline"/>
              <w:rPr>
                <w:rFonts w:hint="eastAsia" w:ascii="宋体" w:hAnsi="宋体"/>
                <w:color w:val="auto"/>
                <w:sz w:val="24"/>
                <w:highlight w:val="none"/>
              </w:rPr>
            </w:pPr>
            <w:r>
              <w:rPr>
                <w:rFonts w:hint="eastAsia" w:ascii="宋体" w:hAnsi="宋体"/>
                <w:b/>
                <w:color w:val="auto"/>
                <w:sz w:val="24"/>
                <w:highlight w:val="none"/>
              </w:rPr>
              <w:t>开标地点：</w:t>
            </w:r>
            <w:r>
              <w:rPr>
                <w:rFonts w:hint="eastAsia" w:ascii="宋体" w:hAnsi="宋体"/>
                <w:b/>
                <w:color w:val="auto"/>
                <w:sz w:val="24"/>
                <w:highlight w:val="none"/>
                <w:lang w:val="en-US" w:eastAsia="zh-CN"/>
              </w:rPr>
              <w:t xml:space="preserve">政采云不见面开标平台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1" w:type="dxa"/>
            <w:noWrap w:val="0"/>
            <w:vAlign w:val="center"/>
          </w:tcPr>
          <w:p>
            <w:pPr>
              <w:spacing w:line="276" w:lineRule="auto"/>
              <w:jc w:val="center"/>
              <w:textAlignment w:val="baseline"/>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24</w:t>
            </w:r>
          </w:p>
        </w:tc>
        <w:tc>
          <w:tcPr>
            <w:tcW w:w="878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olor w:val="auto"/>
                <w:sz w:val="24"/>
                <w:highlight w:val="none"/>
              </w:rPr>
            </w:pPr>
            <w:r>
              <w:rPr>
                <w:rFonts w:hint="eastAsia"/>
                <w:b/>
                <w:color w:val="auto"/>
                <w:sz w:val="24"/>
                <w:highlight w:val="none"/>
                <w:lang w:eastAsia="zh-CN"/>
              </w:rPr>
              <w:t>履约保证金</w:t>
            </w:r>
            <w:r>
              <w:rPr>
                <w:rFonts w:hint="eastAsia"/>
                <w:b/>
                <w:color w:val="auto"/>
                <w:sz w:val="24"/>
                <w:highlight w:val="none"/>
              </w:rPr>
              <w:t>：</w:t>
            </w:r>
            <w:r>
              <w:rPr>
                <w:rFonts w:hint="eastAsia"/>
                <w:b/>
                <w:color w:val="auto"/>
                <w:sz w:val="24"/>
                <w:highlight w:val="none"/>
                <w:lang w:val="en-US" w:eastAsia="zh-CN"/>
              </w:rPr>
              <w:t xml:space="preserve"> </w:t>
            </w:r>
            <w:r>
              <w:rPr>
                <w:rFonts w:hint="eastAsia" w:ascii="宋体" w:hAnsi="宋体" w:eastAsia="宋体" w:cs="Times New Roman"/>
                <w:color w:val="auto"/>
                <w:sz w:val="24"/>
                <w:highlight w:val="none"/>
                <w:lang w:val="en-US" w:eastAsia="zh-CN"/>
              </w:rPr>
              <w:t>无</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25</w:t>
            </w:r>
          </w:p>
        </w:tc>
        <w:tc>
          <w:tcPr>
            <w:tcW w:w="878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Times New Roman"/>
                <w:color w:val="auto"/>
                <w:sz w:val="24"/>
                <w:highlight w:val="none"/>
                <w:lang w:val="en-US" w:eastAsia="zh-CN"/>
              </w:rPr>
            </w:pPr>
            <w:r>
              <w:rPr>
                <w:rFonts w:hint="eastAsia" w:ascii="宋体" w:hAnsi="宋体" w:cs="Times New Roman"/>
                <w:b/>
                <w:bCs/>
                <w:color w:val="auto"/>
                <w:sz w:val="24"/>
                <w:highlight w:val="none"/>
                <w:lang w:val="en-US" w:eastAsia="zh-CN"/>
              </w:rPr>
              <w:t>磋商响应文件的上传和递交</w:t>
            </w:r>
            <w:r>
              <w:rPr>
                <w:rFonts w:hint="eastAsia" w:ascii="宋体" w:hAnsi="宋体" w:cs="Times New Roman"/>
                <w:color w:val="auto"/>
                <w:sz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（1）“电子加密磋商响应文件”的上传、递交：</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a.磋商供应商应在磋商响应截止时间前将“电子加密磋商响应文件”成功上传递交至“政府采购云平台”，否则磋商响应无效。</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b.“电子加密磋商响应文件”成功上传递交后，供应商可自行打印磋商响应文件接收回执。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（2）“备份磋商响应文件”的密封包装、递交：</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a.磋商供应商在“政府采购云平台”完成“电子加密磋商响应文件”的上传递交后，以（邮寄形式）在磋商响应截止时间前递交2套纸质版磋商响应文件和以介质（U盘）存储的 “备份磋商响应文件”（一份）；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b.“备份磋商响应文件”应当密封包装，并在包装上标注投标项目名称、磋商供应商名称并加盖公章。没有密封包装或者逾期邮寄送达至磋商地点的“备份磋商响应文件”将不予接收；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c.通过“政府采购云平台”成功上传递交的“电子加密磋商响应文件”已按时解密的，“备份磋商响应文件”自动失效。磋商响应截止时间前，磋商供应商仅递交了“备份磋商响应文件”而未将“电子加密磋商响应文件”成功上传至“政府采购云平台”的，磋商响应无效。</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21" w:type="dxa"/>
            <w:noWrap w:val="0"/>
            <w:vAlign w:val="center"/>
          </w:tcPr>
          <w:p>
            <w:pPr>
              <w:spacing w:line="276" w:lineRule="auto"/>
              <w:jc w:val="center"/>
              <w:textAlignment w:val="baseline"/>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26</w:t>
            </w:r>
          </w:p>
        </w:tc>
        <w:tc>
          <w:tcPr>
            <w:tcW w:w="878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b/>
                <w:color w:val="auto"/>
                <w:sz w:val="24"/>
                <w:highlight w:val="none"/>
              </w:rPr>
            </w:pPr>
            <w:r>
              <w:rPr>
                <w:rFonts w:hint="eastAsia" w:ascii="宋体" w:hAnsi="宋体"/>
                <w:b/>
                <w:color w:val="auto"/>
                <w:sz w:val="24"/>
                <w:highlight w:val="none"/>
                <w:lang w:val="zh-CN" w:eastAsia="zh-CN"/>
              </w:rPr>
              <w:t>中标成交结果公告：</w:t>
            </w:r>
            <w:r>
              <w:rPr>
                <w:rFonts w:hint="eastAsia" w:ascii="宋体" w:hAnsi="宋体"/>
                <w:color w:val="auto"/>
                <w:sz w:val="24"/>
                <w:highlight w:val="none"/>
                <w:lang w:val="en-US" w:eastAsia="zh-CN"/>
              </w:rPr>
              <w:t>成交结果公告在新疆政府采购网予以公告，公告期不少于1个工作日。</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1" w:type="dxa"/>
            <w:noWrap w:val="0"/>
            <w:vAlign w:val="center"/>
          </w:tcPr>
          <w:p>
            <w:pPr>
              <w:spacing w:line="276" w:lineRule="auto"/>
              <w:jc w:val="center"/>
              <w:textAlignment w:val="baseline"/>
              <w:rPr>
                <w:rFonts w:hint="default" w:ascii="宋体" w:hAnsi="宋体"/>
                <w:color w:val="auto"/>
                <w:sz w:val="24"/>
                <w:highlight w:val="none"/>
                <w:lang w:val="en-US" w:eastAsia="zh-CN"/>
              </w:rPr>
            </w:pPr>
            <w:r>
              <w:rPr>
                <w:rFonts w:hint="eastAsia" w:ascii="宋体" w:hAnsi="宋体"/>
                <w:color w:val="auto"/>
                <w:sz w:val="24"/>
                <w:highlight w:val="none"/>
                <w:lang w:val="en-US" w:eastAsia="zh-CN"/>
              </w:rPr>
              <w:t>27</w:t>
            </w:r>
          </w:p>
        </w:tc>
        <w:tc>
          <w:tcPr>
            <w:tcW w:w="878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olor w:val="auto"/>
                <w:sz w:val="24"/>
                <w:highlight w:val="none"/>
                <w:lang w:val="en-US" w:eastAsia="zh-CN"/>
              </w:rPr>
            </w:pPr>
            <w:r>
              <w:rPr>
                <w:rFonts w:hint="eastAsia" w:ascii="宋体" w:hAnsi="宋体"/>
                <w:b/>
                <w:color w:val="auto"/>
                <w:sz w:val="24"/>
                <w:highlight w:val="none"/>
                <w:lang w:val="zh-CN" w:eastAsia="zh-CN"/>
              </w:rPr>
              <w:t>相关费用：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1.场地服务费：投标人在提交投标文件时，需按规定缴纳场地服务费。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2.代理服务费：成交供应商按《招标代理服务收费管理暂行办法》（计价格[2002]1980号）向采购代理机构交纳成交服务费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3.成交供应商在开标完成后向公证机关交纳公证费。</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1" w:type="dxa"/>
            <w:noWrap w:val="0"/>
            <w:vAlign w:val="center"/>
          </w:tcPr>
          <w:p>
            <w:pPr>
              <w:spacing w:line="276" w:lineRule="auto"/>
              <w:jc w:val="center"/>
              <w:textAlignment w:val="baseline"/>
              <w:rPr>
                <w:rFonts w:hint="default" w:ascii="宋体" w:hAnsi="宋体"/>
                <w:color w:val="auto"/>
                <w:sz w:val="24"/>
                <w:highlight w:val="none"/>
                <w:lang w:val="en-US" w:eastAsia="zh-CN"/>
              </w:rPr>
            </w:pPr>
            <w:r>
              <w:rPr>
                <w:rFonts w:hint="eastAsia" w:ascii="宋体" w:hAnsi="宋体"/>
                <w:color w:val="auto"/>
                <w:sz w:val="24"/>
                <w:highlight w:val="none"/>
                <w:lang w:val="en-US" w:eastAsia="zh-CN"/>
              </w:rPr>
              <w:t>28</w:t>
            </w:r>
          </w:p>
        </w:tc>
        <w:tc>
          <w:tcPr>
            <w:tcW w:w="878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1、采用死页胶装方式装订,装订应牢固、不易拆散和换页，不得采用活页装订。</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b/>
                <w:color w:val="auto"/>
                <w:sz w:val="24"/>
                <w:highlight w:val="none"/>
                <w:lang w:val="zh-CN" w:eastAsia="zh-CN"/>
              </w:rPr>
            </w:pPr>
            <w:r>
              <w:rPr>
                <w:rFonts w:hint="eastAsia" w:ascii="宋体" w:hAnsi="宋体" w:cs="Times New Roman"/>
                <w:color w:val="auto"/>
                <w:sz w:val="24"/>
                <w:highlight w:val="none"/>
                <w:lang w:val="en-US" w:eastAsia="zh-CN"/>
              </w:rPr>
              <w:t>2、投标文件正副本装于一个档案袋中，电子版光盘单独密封，投标文件的封套上应写明项目名称、项目编号、投标人名称、联系人及联系电话。投标文件外封套须加盖投标单位公章以及法定代表人签字或盖章，并应确保密封完好。</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1" w:type="dxa"/>
            <w:noWrap w:val="0"/>
            <w:vAlign w:val="center"/>
          </w:tcPr>
          <w:p>
            <w:pPr>
              <w:spacing w:line="276" w:lineRule="auto"/>
              <w:jc w:val="center"/>
              <w:textAlignment w:val="baseline"/>
              <w:rPr>
                <w:rFonts w:hint="default" w:ascii="宋体" w:hAnsi="宋体"/>
                <w:color w:val="auto"/>
                <w:sz w:val="24"/>
                <w:highlight w:val="none"/>
                <w:lang w:val="en-US" w:eastAsia="zh-CN"/>
              </w:rPr>
            </w:pPr>
            <w:r>
              <w:rPr>
                <w:rFonts w:hint="eastAsia" w:ascii="宋体" w:hAnsi="宋体"/>
                <w:color w:val="auto"/>
                <w:sz w:val="24"/>
                <w:highlight w:val="none"/>
                <w:lang w:val="en-US" w:eastAsia="zh-CN"/>
              </w:rPr>
              <w:t>29</w:t>
            </w:r>
          </w:p>
        </w:tc>
        <w:tc>
          <w:tcPr>
            <w:tcW w:w="878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1、响应文件应按第五章“响应文件格式”进行编写，如有必要，可以增加附页，作为响应文件的组成部分。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olor w:val="auto"/>
                <w:sz w:val="24"/>
                <w:highlight w:val="none"/>
                <w:lang w:val="en-US" w:eastAsia="zh-CN"/>
              </w:rPr>
            </w:pPr>
            <w:r>
              <w:rPr>
                <w:rFonts w:hint="eastAsia" w:ascii="宋体" w:hAnsi="宋体" w:eastAsia="宋体" w:cs="Times New Roman"/>
                <w:color w:val="auto"/>
                <w:sz w:val="24"/>
                <w:highlight w:val="none"/>
                <w:lang w:val="en-US" w:eastAsia="zh-CN"/>
              </w:rPr>
              <w:t>2、正本和副本的封面右上角上应清楚地标记“正本”或“副本”的字样。当副本和正本不一致时，以正本为准。</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1" w:type="dxa"/>
            <w:noWrap w:val="0"/>
            <w:vAlign w:val="center"/>
          </w:tcPr>
          <w:p>
            <w:pPr>
              <w:spacing w:line="276" w:lineRule="auto"/>
              <w:jc w:val="center"/>
              <w:textAlignment w:val="baseline"/>
              <w:rPr>
                <w:rFonts w:hint="default" w:ascii="宋体" w:hAnsi="宋体"/>
                <w:color w:val="auto"/>
                <w:sz w:val="24"/>
                <w:highlight w:val="none"/>
                <w:lang w:val="en-US" w:eastAsia="zh-CN"/>
              </w:rPr>
            </w:pPr>
            <w:bookmarkStart w:id="51" w:name="_Toc16893"/>
            <w:bookmarkStart w:id="52" w:name="_Toc13424"/>
            <w:r>
              <w:rPr>
                <w:rFonts w:hint="eastAsia" w:ascii="宋体" w:hAnsi="宋体"/>
                <w:color w:val="auto"/>
                <w:sz w:val="24"/>
                <w:highlight w:val="none"/>
                <w:lang w:val="en-US" w:eastAsia="zh-CN"/>
              </w:rPr>
              <w:t>30</w:t>
            </w:r>
          </w:p>
        </w:tc>
        <w:tc>
          <w:tcPr>
            <w:tcW w:w="8782" w:type="dxa"/>
            <w:noWrap w:val="0"/>
            <w:vAlign w:val="center"/>
          </w:tcPr>
          <w:p>
            <w:pPr>
              <w:pStyle w:val="18"/>
              <w:jc w:val="both"/>
              <w:rPr>
                <w:rFonts w:hint="eastAsia" w:eastAsia="宋体"/>
                <w:b/>
                <w:bCs/>
                <w:color w:val="auto"/>
                <w:sz w:val="21"/>
                <w:szCs w:val="21"/>
                <w:highlight w:val="none"/>
                <w:lang w:eastAsia="zh-CN"/>
              </w:rPr>
            </w:pPr>
            <w:r>
              <w:rPr>
                <w:rFonts w:hint="eastAsia"/>
                <w:b/>
                <w:bCs/>
                <w:color w:val="auto"/>
                <w:sz w:val="21"/>
                <w:szCs w:val="21"/>
                <w:highlight w:val="none"/>
              </w:rPr>
              <w:t>低于成本价不正当竞争预防措施（实质性要求</w:t>
            </w:r>
            <w:r>
              <w:rPr>
                <w:rFonts w:hint="eastAsia"/>
                <w:b/>
                <w:bCs/>
                <w:color w:val="auto"/>
                <w:sz w:val="21"/>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Times New Roman"/>
                <w:color w:val="auto"/>
                <w:sz w:val="24"/>
                <w:highlight w:val="none"/>
                <w:lang w:val="en-US" w:eastAsia="zh-CN"/>
              </w:rPr>
            </w:pPr>
            <w:r>
              <w:rPr>
                <w:rFonts w:hint="eastAsia"/>
                <w:color w:val="auto"/>
                <w:sz w:val="21"/>
                <w:szCs w:val="21"/>
                <w:highlight w:val="none"/>
              </w:rPr>
              <w:t>1</w:t>
            </w:r>
            <w:r>
              <w:rPr>
                <w:rFonts w:hint="eastAsia" w:ascii="宋体" w:hAnsi="宋体" w:eastAsia="宋体" w:cs="Times New Roman"/>
                <w:color w:val="auto"/>
                <w:sz w:val="24"/>
                <w:highlight w:val="none"/>
                <w:lang w:val="en-US" w:eastAsia="zh-CN"/>
              </w:rPr>
              <w:t>. 在评审过程中，评审委员会认为供应商投标价低于成本价，有可能影响产品质量或者不能诚信履约的，谈判小组应当要求其在现场合理的时间内提供书面说明，并提交相关证明材料，供应商不能证明其报价合理性的，谈判小组应当将其作为无效处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2.供应商的书面说明材料应当按照国家财务会计制度的规定要求，逐项就供应商提供的货物、工程和服务的主营业务成本、税金及附加、销售费用、管理费用、财务费用等成本构成事项详细陈述）。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 xml:space="preserve">3. 供应商书面说明应当签字确认或者加盖公章，否则无效。书面说明的签字确认，由其法定代表人或者其授权代表签字确认。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4.供应商提供书面说明后，谈判小组应当结合采购项目采购需求、专业实际情况、供应商财务状况报告、与其他供应商比较情况等就供应商书面说明进行审查评价。</w:t>
            </w:r>
            <w:r>
              <w:rPr>
                <w:rFonts w:hint="eastAsia"/>
                <w:b/>
                <w:color w:val="auto"/>
                <w:sz w:val="21"/>
                <w:szCs w:val="21"/>
                <w:highlight w:val="none"/>
              </w:rPr>
              <w:t>供应商拒绝或者变相拒绝提供有效书面说明或者书面说明不能证明其报价合理性的或未在规定时间内递交有效书面说明书的，</w:t>
            </w:r>
            <w:r>
              <w:rPr>
                <w:rFonts w:hint="eastAsia"/>
                <w:b/>
                <w:color w:val="auto"/>
                <w:sz w:val="21"/>
                <w:szCs w:val="21"/>
                <w:highlight w:val="none"/>
                <w:lang w:eastAsia="zh-CN"/>
              </w:rPr>
              <w:t>谈判</w:t>
            </w:r>
            <w:r>
              <w:rPr>
                <w:rFonts w:hint="eastAsia"/>
                <w:b/>
                <w:color w:val="auto"/>
                <w:sz w:val="21"/>
                <w:szCs w:val="21"/>
                <w:highlight w:val="none"/>
              </w:rPr>
              <w:t>小组应当将其响应文件作为无效处理。</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1" w:type="dxa"/>
            <w:noWrap w:val="0"/>
            <w:vAlign w:val="center"/>
          </w:tcPr>
          <w:p>
            <w:pPr>
              <w:spacing w:line="276" w:lineRule="auto"/>
              <w:jc w:val="center"/>
              <w:textAlignment w:val="baseline"/>
              <w:rPr>
                <w:rFonts w:hint="default" w:ascii="宋体" w:hAnsi="宋体"/>
                <w:color w:val="auto"/>
                <w:sz w:val="24"/>
                <w:highlight w:val="none"/>
                <w:lang w:val="en-US" w:eastAsia="zh-CN"/>
              </w:rPr>
            </w:pPr>
            <w:r>
              <w:rPr>
                <w:rFonts w:hint="eastAsia" w:ascii="宋体" w:hAnsi="宋体"/>
                <w:color w:val="auto"/>
                <w:sz w:val="24"/>
                <w:highlight w:val="none"/>
                <w:lang w:val="en-US" w:eastAsia="zh-CN"/>
              </w:rPr>
              <w:t>31</w:t>
            </w:r>
          </w:p>
        </w:tc>
        <w:tc>
          <w:tcPr>
            <w:tcW w:w="878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b/>
                <w:bCs/>
                <w:color w:val="auto"/>
                <w:sz w:val="24"/>
                <w:highlight w:val="none"/>
                <w:lang w:val="en-US" w:eastAsia="zh-CN"/>
              </w:rPr>
              <w:t>电子加密磋商响应文件的解密和异常情况处理：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（1）开标后，采购代理机构将向各磋商供应商发出“电子加密磋商响应文件”的解密通知，各磋商供应商代表应当在接到解密通知后30分钟内自行完成“电子加密磋商响应文件”的在线解密。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通过“政府采购云平台”成功上传递交的“电子加密磋商响应文件”无法按时解密（磋商供应商已进行解密操作但未完成解密），磋商供应商如按规定递交了“备份磋商响应文件”的，以“备份磋商响应文件”为依据（由采购代理机构按“政府采购云平台”操作规范将“备份磋商响应文件”上传至“政府采购云平台”，上传成功后，“电子加密磋商响应文件”自动失效），否则视为磋商响应文件撤回。</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（3）磋商响应截止时间前，磋商供应商仅递交了“备份磋商响应文件”而未将电子加密磋商响应文件上传至“政府采购云平台”的，磋商响应无效。</w:t>
            </w:r>
          </w:p>
        </w:tc>
      </w:tr>
    </w:tbl>
    <w:p>
      <w:pPr>
        <w:pStyle w:val="4"/>
        <w:adjustRightInd/>
        <w:spacing w:before="120" w:after="120"/>
        <w:textAlignment w:val="auto"/>
        <w:rPr>
          <w:rFonts w:hint="eastAsia"/>
          <w:color w:val="auto"/>
          <w:highlight w:val="none"/>
        </w:rPr>
      </w:pPr>
      <w:r>
        <w:rPr>
          <w:rFonts w:hint="eastAsia"/>
          <w:color w:val="auto"/>
          <w:highlight w:val="none"/>
        </w:rPr>
        <w:t>（二）供应商须知</w:t>
      </w:r>
      <w:bookmarkEnd w:id="49"/>
      <w:bookmarkEnd w:id="50"/>
      <w:bookmarkEnd w:id="51"/>
      <w:bookmarkEnd w:id="52"/>
    </w:p>
    <w:p>
      <w:pPr>
        <w:pStyle w:val="2"/>
        <w:spacing w:before="0"/>
        <w:rPr>
          <w:rFonts w:hint="eastAsia" w:ascii="宋体" w:hAnsi="宋体"/>
          <w:color w:val="auto"/>
          <w:sz w:val="24"/>
          <w:highlight w:val="none"/>
          <w:lang w:eastAsia="zh-CN"/>
        </w:rPr>
      </w:pPr>
      <w:bookmarkStart w:id="53" w:name="_Toc485912303"/>
      <w:r>
        <w:rPr>
          <w:rFonts w:hint="eastAsia" w:ascii="宋体" w:hAnsi="宋体"/>
          <w:color w:val="auto"/>
          <w:sz w:val="24"/>
          <w:highlight w:val="none"/>
        </w:rPr>
        <w:t>1.定义</w:t>
      </w:r>
      <w:r>
        <w:rPr>
          <w:rFonts w:hint="eastAsia" w:ascii="宋体" w:hAnsi="宋体"/>
          <w:color w:val="auto"/>
          <w:sz w:val="24"/>
          <w:highlight w:val="none"/>
          <w:lang w:eastAsia="zh-CN"/>
        </w:rPr>
        <w:t>、</w:t>
      </w:r>
      <w:bookmarkEnd w:id="53"/>
      <w:r>
        <w:rPr>
          <w:rFonts w:hint="eastAsia" w:ascii="宋体" w:hAnsi="宋体"/>
          <w:color w:val="auto"/>
          <w:sz w:val="24"/>
          <w:highlight w:val="none"/>
          <w:lang w:eastAsia="zh-CN"/>
        </w:rPr>
        <w:t xml:space="preserve"> </w:t>
      </w:r>
    </w:p>
    <w:p>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1.1“政府采购当事人”系指在政府采购活动中享有权利和 承担义务的各类主体，包括采购人、供应商和采购代理机构。</w:t>
      </w:r>
    </w:p>
    <w:p>
      <w:pPr>
        <w:spacing w:line="360" w:lineRule="auto"/>
        <w:ind w:firstLine="480" w:firstLineChars="200"/>
        <w:rPr>
          <w:rFonts w:hint="eastAsia" w:ascii="宋体" w:hAnsi="宋体" w:eastAsia="宋体"/>
          <w:bCs/>
          <w:color w:val="auto"/>
          <w:sz w:val="24"/>
          <w:highlight w:val="none"/>
          <w:u w:val="single"/>
          <w:lang w:eastAsia="zh-CN"/>
        </w:rPr>
      </w:pPr>
      <w:r>
        <w:rPr>
          <w:rFonts w:hint="eastAsia" w:ascii="宋体" w:hAnsi="宋体"/>
          <w:bCs/>
          <w:color w:val="auto"/>
          <w:sz w:val="24"/>
          <w:highlight w:val="none"/>
        </w:rPr>
        <w:t>1.2“采购人”和“甲方”系指</w:t>
      </w:r>
      <w:r>
        <w:rPr>
          <w:rFonts w:hint="eastAsia" w:ascii="宋体" w:hAnsi="宋体"/>
          <w:bCs/>
          <w:color w:val="auto"/>
          <w:sz w:val="24"/>
          <w:highlight w:val="none"/>
          <w:u w:val="single"/>
          <w:lang w:eastAsia="zh-CN"/>
        </w:rPr>
        <w:t>阿克苏地区塔里木歌舞团</w:t>
      </w:r>
    </w:p>
    <w:p>
      <w:pPr>
        <w:spacing w:line="360" w:lineRule="auto"/>
        <w:ind w:firstLine="480" w:firstLineChars="200"/>
        <w:rPr>
          <w:rFonts w:hint="eastAsia" w:ascii="宋体" w:hAnsi="宋体"/>
          <w:bCs/>
          <w:color w:val="auto"/>
          <w:sz w:val="24"/>
          <w:highlight w:val="none"/>
          <w:u w:val="single"/>
        </w:rPr>
      </w:pPr>
      <w:r>
        <w:rPr>
          <w:rFonts w:hint="eastAsia" w:ascii="宋体" w:hAnsi="宋体"/>
          <w:bCs/>
          <w:color w:val="auto"/>
          <w:sz w:val="24"/>
          <w:highlight w:val="none"/>
        </w:rPr>
        <w:t>。</w:t>
      </w:r>
    </w:p>
    <w:p>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1.3“采购代理机构”系指</w:t>
      </w:r>
      <w:r>
        <w:rPr>
          <w:rFonts w:hint="eastAsia" w:ascii="宋体" w:hAnsi="宋体"/>
          <w:bCs/>
          <w:color w:val="auto"/>
          <w:sz w:val="24"/>
          <w:highlight w:val="none"/>
          <w:u w:val="single"/>
          <w:lang w:eastAsia="zh-CN"/>
        </w:rPr>
        <w:t>新疆泽一项目管理有限公司</w:t>
      </w:r>
      <w:r>
        <w:rPr>
          <w:rFonts w:hint="eastAsia" w:ascii="宋体" w:hAnsi="宋体"/>
          <w:bCs/>
          <w:color w:val="auto"/>
          <w:sz w:val="24"/>
          <w:highlight w:val="none"/>
        </w:rPr>
        <w:t>。</w:t>
      </w:r>
    </w:p>
    <w:p>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1.4“供应商”系指</w:t>
      </w:r>
      <w:r>
        <w:rPr>
          <w:rFonts w:hint="eastAsia" w:ascii="宋体" w:hAnsi="宋体"/>
          <w:color w:val="auto"/>
          <w:sz w:val="24"/>
          <w:highlight w:val="none"/>
        </w:rPr>
        <w:t>向指</w:t>
      </w:r>
      <w:r>
        <w:rPr>
          <w:rFonts w:hint="eastAsia" w:ascii="宋体" w:hAnsi="宋体"/>
          <w:color w:val="auto"/>
          <w:sz w:val="24"/>
          <w:highlight w:val="none"/>
          <w:lang w:eastAsia="zh-CN"/>
        </w:rPr>
        <w:t>获取了</w:t>
      </w:r>
      <w:r>
        <w:rPr>
          <w:rFonts w:hint="eastAsia" w:ascii="宋体" w:hAnsi="宋体"/>
          <w:color w:val="auto"/>
          <w:sz w:val="24"/>
          <w:highlight w:val="none"/>
        </w:rPr>
        <w:t>采购文件拟参加</w:t>
      </w:r>
      <w:r>
        <w:rPr>
          <w:rFonts w:hint="eastAsia" w:ascii="宋体" w:hAnsi="宋体"/>
          <w:color w:val="auto"/>
          <w:sz w:val="24"/>
          <w:highlight w:val="none"/>
          <w:lang w:eastAsia="zh-CN"/>
        </w:rPr>
        <w:t>投标</w:t>
      </w:r>
      <w:r>
        <w:rPr>
          <w:rFonts w:hint="eastAsia" w:ascii="宋体" w:hAnsi="宋体"/>
          <w:color w:val="auto"/>
          <w:sz w:val="24"/>
          <w:highlight w:val="none"/>
        </w:rPr>
        <w:t>和向采购人提供</w:t>
      </w:r>
      <w:r>
        <w:rPr>
          <w:rFonts w:hint="eastAsia" w:ascii="宋体" w:hAnsi="宋体"/>
          <w:color w:val="auto"/>
          <w:sz w:val="24"/>
          <w:highlight w:val="none"/>
          <w:lang w:eastAsia="zh-CN"/>
        </w:rPr>
        <w:t>工程、</w:t>
      </w:r>
      <w:r>
        <w:rPr>
          <w:rFonts w:hint="eastAsia" w:ascii="宋体" w:hAnsi="宋体"/>
          <w:color w:val="auto"/>
          <w:sz w:val="24"/>
          <w:highlight w:val="none"/>
        </w:rPr>
        <w:t>货物及相应服务的供应商</w:t>
      </w:r>
      <w:r>
        <w:rPr>
          <w:rFonts w:hint="eastAsia" w:ascii="宋体" w:hAnsi="宋体"/>
          <w:bCs/>
          <w:color w:val="auto"/>
          <w:sz w:val="24"/>
          <w:highlight w:val="none"/>
        </w:rPr>
        <w:t>。</w:t>
      </w:r>
    </w:p>
    <w:p>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1.5“</w:t>
      </w:r>
      <w:r>
        <w:rPr>
          <w:rFonts w:hint="eastAsia" w:ascii="宋体" w:hAnsi="宋体"/>
          <w:bCs/>
          <w:color w:val="auto"/>
          <w:sz w:val="24"/>
          <w:highlight w:val="none"/>
          <w:lang w:eastAsia="zh-CN"/>
        </w:rPr>
        <w:t>磋商文件或采购文件</w:t>
      </w:r>
      <w:r>
        <w:rPr>
          <w:rFonts w:hint="eastAsia" w:ascii="宋体" w:hAnsi="宋体"/>
          <w:bCs/>
          <w:color w:val="auto"/>
          <w:sz w:val="24"/>
          <w:highlight w:val="none"/>
        </w:rPr>
        <w:t xml:space="preserve">”系指由采购人发出的文本、文件，包括全部章节和附件及答疑会议纪要。 </w:t>
      </w:r>
    </w:p>
    <w:p>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1.6“</w:t>
      </w:r>
      <w:r>
        <w:rPr>
          <w:rFonts w:hint="eastAsia" w:ascii="宋体" w:hAnsi="宋体"/>
          <w:bCs/>
          <w:color w:val="auto"/>
          <w:sz w:val="24"/>
          <w:highlight w:val="none"/>
          <w:lang w:eastAsia="zh-CN"/>
        </w:rPr>
        <w:t>磋商响应文件</w:t>
      </w:r>
      <w:r>
        <w:rPr>
          <w:rFonts w:hint="eastAsia" w:ascii="宋体" w:hAnsi="宋体"/>
          <w:bCs/>
          <w:color w:val="auto"/>
          <w:sz w:val="24"/>
          <w:highlight w:val="none"/>
        </w:rPr>
        <w:t>”系指供应商根据本</w:t>
      </w:r>
      <w:r>
        <w:rPr>
          <w:rFonts w:hint="eastAsia" w:ascii="宋体" w:hAnsi="宋体"/>
          <w:bCs/>
          <w:color w:val="auto"/>
          <w:sz w:val="24"/>
          <w:highlight w:val="none"/>
          <w:lang w:eastAsia="zh-CN"/>
        </w:rPr>
        <w:t>磋商文件</w:t>
      </w:r>
      <w:r>
        <w:rPr>
          <w:rFonts w:hint="eastAsia" w:ascii="宋体" w:hAnsi="宋体"/>
          <w:bCs/>
          <w:color w:val="auto"/>
          <w:sz w:val="24"/>
          <w:highlight w:val="none"/>
        </w:rPr>
        <w:t>向采购人提交的全部文件。</w:t>
      </w:r>
    </w:p>
    <w:p>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1.7“采购文件”系指包括采购活动的记录、采购预算、</w:t>
      </w:r>
      <w:r>
        <w:rPr>
          <w:rFonts w:hint="eastAsia" w:ascii="宋体" w:hAnsi="宋体"/>
          <w:bCs/>
          <w:color w:val="auto"/>
          <w:sz w:val="24"/>
          <w:highlight w:val="none"/>
          <w:lang w:eastAsia="zh-CN"/>
        </w:rPr>
        <w:t>磋商文件</w:t>
      </w:r>
      <w:r>
        <w:rPr>
          <w:rFonts w:hint="eastAsia" w:ascii="宋体" w:hAnsi="宋体"/>
          <w:bCs/>
          <w:color w:val="auto"/>
          <w:sz w:val="24"/>
          <w:highlight w:val="none"/>
        </w:rPr>
        <w:t>、</w:t>
      </w:r>
      <w:r>
        <w:rPr>
          <w:rFonts w:hint="eastAsia" w:ascii="宋体" w:hAnsi="宋体"/>
          <w:bCs/>
          <w:color w:val="auto"/>
          <w:sz w:val="24"/>
          <w:highlight w:val="none"/>
          <w:lang w:eastAsia="zh-CN"/>
        </w:rPr>
        <w:t>磋商响应文件</w:t>
      </w:r>
      <w:r>
        <w:rPr>
          <w:rFonts w:hint="eastAsia" w:ascii="宋体" w:hAnsi="宋体"/>
          <w:bCs/>
          <w:color w:val="auto"/>
          <w:sz w:val="24"/>
          <w:highlight w:val="none"/>
        </w:rPr>
        <w:t>、评标标准、评标报告、定标文件、合同文本、验收证明、质疑答复、投诉处理决定及其他有关文件、资料。</w:t>
      </w:r>
    </w:p>
    <w:p>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1.8“书面形式”系指任</w:t>
      </w:r>
      <w:bookmarkStart w:id="54" w:name="_Toc89058522"/>
      <w:bookmarkStart w:id="55" w:name="_Toc89586883"/>
      <w:bookmarkStart w:id="56" w:name="_Toc274816705"/>
      <w:bookmarkStart w:id="57" w:name="_Toc229198016"/>
      <w:bookmarkStart w:id="58" w:name="_Toc91029993"/>
      <w:bookmarkStart w:id="59" w:name="_Toc139343527"/>
      <w:bookmarkStart w:id="60" w:name="_Toc469850042"/>
      <w:bookmarkStart w:id="61" w:name="_Toc91477243"/>
      <w:r>
        <w:rPr>
          <w:rFonts w:hint="eastAsia" w:ascii="宋体" w:hAnsi="宋体"/>
          <w:bCs/>
          <w:color w:val="auto"/>
          <w:sz w:val="24"/>
          <w:highlight w:val="none"/>
        </w:rPr>
        <w:t>何手写、打印或印刷的各种函件，不包括电传、电报、传真、电子邮件。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1.9“货物”系指各种形态和种类的物品，包括原材料、燃料、设备、产品等，详见《政府采购品目分类目录》(财库[2013]189号)。</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1.10“服务”系指供应商中标后根据《</w:t>
      </w:r>
      <w:r>
        <w:rPr>
          <w:rFonts w:hint="eastAsia" w:ascii="宋体" w:hAnsi="宋体"/>
          <w:bCs/>
          <w:color w:val="auto"/>
          <w:sz w:val="24"/>
          <w:highlight w:val="none"/>
          <w:lang w:eastAsia="zh-CN"/>
        </w:rPr>
        <w:t>磋商文件</w:t>
      </w:r>
      <w:r>
        <w:rPr>
          <w:rFonts w:hint="eastAsia" w:ascii="宋体" w:hAnsi="宋体"/>
          <w:bCs/>
          <w:color w:val="auto"/>
          <w:sz w:val="24"/>
          <w:highlight w:val="none"/>
        </w:rPr>
        <w:t>》和合同的规定承担与供货、安装有关的服务，包括运输、仓储、保险以及其它的伴随服务，如售后、维修、更换和应承担的其它义务,</w:t>
      </w:r>
      <w:r>
        <w:rPr>
          <w:rFonts w:hint="eastAsia"/>
          <w:color w:val="auto"/>
          <w:highlight w:val="none"/>
        </w:rPr>
        <w:t xml:space="preserve"> </w:t>
      </w:r>
      <w:r>
        <w:rPr>
          <w:rFonts w:hint="eastAsia" w:ascii="宋体" w:hAnsi="宋体"/>
          <w:bCs/>
          <w:color w:val="auto"/>
          <w:sz w:val="24"/>
          <w:highlight w:val="none"/>
        </w:rPr>
        <w:t>详见《政府采购品目分类目录》(财库[2013]189号)。</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1.11“节能产品”是指列入财政部、发展改革委发布的《节能产品政府采购清单》（以下简称节能清单）内所列型号的产品。</w:t>
      </w:r>
    </w:p>
    <w:p>
      <w:pPr>
        <w:adjustRightInd w:val="0"/>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1.12“环境标志产品”是指列入财政部、国家环境保护总局公布的《环境标志产品政府采购清单》（以下简称环保清单）内所列型号的产品。</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1.13“进口产品”是指通过中国海关报关验放进入中国境内且产自关境外的产品，详见《关于政府采购进口产品管理有关问题的通知》(财库[2007]119号)。</w:t>
      </w:r>
    </w:p>
    <w:p>
      <w:pPr>
        <w:adjustRightInd w:val="0"/>
        <w:snapToGrid w:val="0"/>
        <w:spacing w:line="360" w:lineRule="auto"/>
        <w:ind w:firstLine="480" w:firstLineChars="200"/>
        <w:rPr>
          <w:rFonts w:hint="eastAsia"/>
          <w:color w:val="auto"/>
          <w:highlight w:val="none"/>
        </w:rPr>
      </w:pPr>
      <w:r>
        <w:rPr>
          <w:rFonts w:hint="eastAsia" w:ascii="宋体" w:hAnsi="宋体" w:eastAsia="宋体" w:cs="Times New Roman"/>
          <w:bCs/>
          <w:color w:val="auto"/>
          <w:sz w:val="24"/>
          <w:highlight w:val="none"/>
          <w:lang w:val="en-US" w:eastAsia="zh-CN"/>
        </w:rPr>
        <w:t>1.14</w:t>
      </w:r>
      <w:r>
        <w:rPr>
          <w:rFonts w:hint="eastAsia" w:ascii="宋体" w:hAnsi="宋体" w:eastAsia="宋体" w:cs="Times New Roman"/>
          <w:bCs/>
          <w:color w:val="auto"/>
          <w:sz w:val="24"/>
          <w:highlight w:val="none"/>
        </w:rPr>
        <w:t>实质性条款：除法律、法规和规章规定外，招标文件中用“拒绝”、“不接受”、“无效”、“不得”、“未响应”、“废标”等文字规定或标注“★”符号的条款为实质性要求条款，对其中任何一条的偏离，在评审时将其视为无效投标（但技术规格参数涉及到评分的情形除外）。未用上述文字规定或符号标注的条款为非实质性要求条款(即一般条款)。</w:t>
      </w:r>
    </w:p>
    <w:bookmarkEnd w:id="54"/>
    <w:bookmarkEnd w:id="55"/>
    <w:bookmarkEnd w:id="56"/>
    <w:bookmarkEnd w:id="57"/>
    <w:bookmarkEnd w:id="58"/>
    <w:bookmarkEnd w:id="59"/>
    <w:bookmarkEnd w:id="60"/>
    <w:bookmarkEnd w:id="61"/>
    <w:p>
      <w:pPr>
        <w:pStyle w:val="2"/>
        <w:spacing w:before="0"/>
        <w:rPr>
          <w:rFonts w:hint="eastAsia" w:ascii="宋体" w:hAnsi="宋体"/>
          <w:color w:val="auto"/>
          <w:sz w:val="24"/>
          <w:highlight w:val="none"/>
        </w:rPr>
      </w:pPr>
      <w:bookmarkStart w:id="62" w:name="_Toc485912304"/>
      <w:bookmarkStart w:id="63" w:name="_Toc229198017"/>
      <w:bookmarkStart w:id="64" w:name="_Toc469850043"/>
      <w:bookmarkStart w:id="65" w:name="_Toc91477244"/>
      <w:bookmarkStart w:id="66" w:name="_Toc274816706"/>
      <w:bookmarkStart w:id="67" w:name="_Toc89058523"/>
      <w:bookmarkStart w:id="68" w:name="_Toc91029994"/>
      <w:bookmarkStart w:id="69" w:name="_Toc89586884"/>
      <w:bookmarkStart w:id="70" w:name="_Toc139343528"/>
      <w:r>
        <w:rPr>
          <w:rFonts w:hint="eastAsia" w:ascii="宋体" w:hAnsi="宋体" w:eastAsia="宋体" w:cs="Times New Roman"/>
          <w:bCs/>
          <w:color w:val="auto"/>
          <w:sz w:val="24"/>
          <w:highlight w:val="none"/>
        </w:rPr>
        <w:t>★</w:t>
      </w:r>
      <w:r>
        <w:rPr>
          <w:rFonts w:hint="eastAsia" w:ascii="宋体" w:hAnsi="宋体"/>
          <w:color w:val="auto"/>
          <w:sz w:val="24"/>
          <w:highlight w:val="none"/>
        </w:rPr>
        <w:t>2.综合说明</w:t>
      </w:r>
      <w:bookmarkEnd w:id="62"/>
    </w:p>
    <w:p>
      <w:pPr>
        <w:spacing w:line="360" w:lineRule="auto"/>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本项目按照《中华人民共和国政府采购法》及相关法规，已办理招标申请，并得到招标管理机构批准，现通过招标来择优选定设备服务的供货商。</w:t>
      </w:r>
      <w:bookmarkStart w:id="71" w:name="_Toc128372733"/>
      <w:bookmarkStart w:id="72" w:name="_Toc139965329"/>
      <w:bookmarkStart w:id="73" w:name="_Toc128372055"/>
      <w:r>
        <w:rPr>
          <w:rFonts w:hint="eastAsia" w:ascii="宋体" w:hAnsi="宋体"/>
          <w:bCs/>
          <w:color w:val="auto"/>
          <w:sz w:val="24"/>
          <w:highlight w:val="none"/>
        </w:rPr>
        <w:t>本</w:t>
      </w:r>
      <w:r>
        <w:rPr>
          <w:rFonts w:hint="eastAsia" w:ascii="宋体" w:hAnsi="宋体"/>
          <w:bCs/>
          <w:color w:val="auto"/>
          <w:sz w:val="24"/>
          <w:highlight w:val="none"/>
          <w:lang w:eastAsia="zh-CN"/>
        </w:rPr>
        <w:t>磋商文件</w:t>
      </w:r>
      <w:r>
        <w:rPr>
          <w:rFonts w:hint="eastAsia" w:ascii="宋体" w:hAnsi="宋体"/>
          <w:bCs/>
          <w:color w:val="auto"/>
          <w:sz w:val="24"/>
          <w:highlight w:val="none"/>
        </w:rPr>
        <w:t>包括本文所列内容及按本须知发出的全部和补充资料。供应商应认真阅读本</w:t>
      </w:r>
      <w:r>
        <w:rPr>
          <w:rFonts w:hint="eastAsia" w:ascii="宋体" w:hAnsi="宋体"/>
          <w:bCs/>
          <w:color w:val="auto"/>
          <w:sz w:val="24"/>
          <w:highlight w:val="none"/>
          <w:lang w:eastAsia="zh-CN"/>
        </w:rPr>
        <w:t>磋商文件</w:t>
      </w:r>
      <w:r>
        <w:rPr>
          <w:rFonts w:hint="eastAsia" w:ascii="宋体" w:hAnsi="宋体"/>
          <w:bCs/>
          <w:color w:val="auto"/>
          <w:sz w:val="24"/>
          <w:highlight w:val="none"/>
        </w:rPr>
        <w:t>中所有的事项、格式、条款、技术规范等实质性的条件和要求。供应商被视为充分熟悉本招标项目的全部内容及与履行合同有关的全部内容，熟悉</w:t>
      </w:r>
      <w:r>
        <w:rPr>
          <w:rFonts w:hint="eastAsia" w:ascii="宋体" w:hAnsi="宋体"/>
          <w:bCs/>
          <w:color w:val="auto"/>
          <w:sz w:val="24"/>
          <w:highlight w:val="none"/>
          <w:lang w:eastAsia="zh-CN"/>
        </w:rPr>
        <w:t>磋商文件</w:t>
      </w:r>
      <w:r>
        <w:rPr>
          <w:rFonts w:hint="eastAsia" w:ascii="宋体" w:hAnsi="宋体"/>
          <w:bCs/>
          <w:color w:val="auto"/>
          <w:sz w:val="24"/>
          <w:highlight w:val="none"/>
        </w:rPr>
        <w:t>的格式、条件和范围。供应商没有按照</w:t>
      </w:r>
      <w:r>
        <w:rPr>
          <w:rFonts w:hint="eastAsia" w:ascii="宋体" w:hAnsi="宋体"/>
          <w:bCs/>
          <w:color w:val="auto"/>
          <w:sz w:val="24"/>
          <w:highlight w:val="none"/>
          <w:lang w:eastAsia="zh-CN"/>
        </w:rPr>
        <w:t>磋商文件</w:t>
      </w:r>
      <w:r>
        <w:rPr>
          <w:rFonts w:hint="eastAsia" w:ascii="宋体" w:hAnsi="宋体"/>
          <w:bCs/>
          <w:color w:val="auto"/>
          <w:sz w:val="24"/>
          <w:highlight w:val="none"/>
        </w:rPr>
        <w:t>的要求提交相关资料，或者供应商没有对</w:t>
      </w:r>
      <w:r>
        <w:rPr>
          <w:rFonts w:hint="eastAsia" w:ascii="宋体" w:hAnsi="宋体"/>
          <w:bCs/>
          <w:color w:val="auto"/>
          <w:sz w:val="24"/>
          <w:highlight w:val="none"/>
          <w:lang w:eastAsia="zh-CN"/>
        </w:rPr>
        <w:t>磋商文件</w:t>
      </w:r>
      <w:r>
        <w:rPr>
          <w:rFonts w:hint="eastAsia" w:ascii="宋体" w:hAnsi="宋体"/>
          <w:bCs/>
          <w:color w:val="auto"/>
          <w:sz w:val="24"/>
          <w:highlight w:val="none"/>
        </w:rPr>
        <w:t>相关内容都做出实质性响应是供应商的风险，并可能导致其投标无效。</w:t>
      </w:r>
    </w:p>
    <w:bookmarkEnd w:id="71"/>
    <w:bookmarkEnd w:id="72"/>
    <w:bookmarkEnd w:id="73"/>
    <w:p>
      <w:pPr>
        <w:pStyle w:val="2"/>
        <w:spacing w:before="0"/>
        <w:rPr>
          <w:rFonts w:hint="eastAsia" w:ascii="宋体" w:hAnsi="宋体"/>
          <w:color w:val="auto"/>
          <w:sz w:val="24"/>
          <w:highlight w:val="none"/>
        </w:rPr>
      </w:pPr>
      <w:bookmarkStart w:id="74" w:name="_Toc485912305"/>
      <w:r>
        <w:rPr>
          <w:rFonts w:ascii="宋体" w:hAnsi="宋体"/>
          <w:color w:val="auto"/>
          <w:sz w:val="24"/>
          <w:highlight w:val="none"/>
        </w:rPr>
        <w:t>3.</w:t>
      </w:r>
      <w:r>
        <w:rPr>
          <w:rFonts w:hint="eastAsia" w:ascii="宋体" w:hAnsi="宋体"/>
          <w:color w:val="auto"/>
          <w:sz w:val="24"/>
          <w:highlight w:val="none"/>
        </w:rPr>
        <w:t>政府采购政策支持</w:t>
      </w:r>
      <w:bookmarkEnd w:id="74"/>
    </w:p>
    <w:p>
      <w:pPr>
        <w:adjustRightInd w:val="0"/>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3.1根据财库【20</w:t>
      </w:r>
      <w:r>
        <w:rPr>
          <w:rFonts w:hint="eastAsia" w:ascii="宋体" w:hAnsi="宋体"/>
          <w:color w:val="auto"/>
          <w:sz w:val="24"/>
          <w:highlight w:val="none"/>
          <w:lang w:val="en-US" w:eastAsia="zh-CN"/>
        </w:rPr>
        <w:t>20</w:t>
      </w:r>
      <w:r>
        <w:rPr>
          <w:rFonts w:hint="eastAsia" w:ascii="宋体" w:hAnsi="宋体"/>
          <w:color w:val="auto"/>
          <w:sz w:val="24"/>
          <w:highlight w:val="none"/>
        </w:rPr>
        <w:t>】</w:t>
      </w:r>
      <w:r>
        <w:rPr>
          <w:rFonts w:hint="eastAsia" w:ascii="宋体" w:hAnsi="宋体"/>
          <w:color w:val="auto"/>
          <w:sz w:val="24"/>
          <w:highlight w:val="none"/>
          <w:lang w:val="en-US" w:eastAsia="zh-CN"/>
        </w:rPr>
        <w:t>46</w:t>
      </w:r>
      <w:r>
        <w:rPr>
          <w:rFonts w:hint="eastAsia" w:ascii="宋体" w:hAnsi="宋体"/>
          <w:color w:val="auto"/>
          <w:sz w:val="24"/>
          <w:highlight w:val="none"/>
        </w:rPr>
        <w:t>号文件规定，对于非专门面向中小型企业的采购项目，对小型和微型企业产品的价格给予</w:t>
      </w:r>
      <w:r>
        <w:rPr>
          <w:rFonts w:hint="eastAsia" w:ascii="宋体" w:hAnsi="宋体"/>
          <w:color w:val="auto"/>
          <w:sz w:val="24"/>
          <w:highlight w:val="none"/>
          <w:lang w:val="en-US" w:eastAsia="zh-CN"/>
        </w:rPr>
        <w:t>3</w:t>
      </w: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%的扣除，</w:t>
      </w:r>
      <w:r>
        <w:rPr>
          <w:rFonts w:hint="eastAsia" w:ascii="宋体" w:hAnsi="宋体"/>
          <w:b/>
          <w:bCs/>
          <w:color w:val="auto"/>
          <w:sz w:val="24"/>
          <w:highlight w:val="none"/>
        </w:rPr>
        <w:t>本项目</w:t>
      </w:r>
      <w:r>
        <w:rPr>
          <w:rFonts w:hint="eastAsia" w:ascii="宋体" w:hAnsi="宋体"/>
          <w:b/>
          <w:bCs/>
          <w:color w:val="auto"/>
          <w:sz w:val="24"/>
          <w:highlight w:val="none"/>
          <w:lang w:eastAsia="zh-CN"/>
        </w:rPr>
        <w:t>按照</w:t>
      </w:r>
      <w:r>
        <w:rPr>
          <w:rFonts w:hint="eastAsia" w:ascii="宋体" w:hAnsi="宋体"/>
          <w:b/>
          <w:bCs/>
          <w:color w:val="auto"/>
          <w:sz w:val="24"/>
          <w:highlight w:val="none"/>
          <w:lang w:val="en-US" w:eastAsia="zh-CN"/>
        </w:rPr>
        <w:t>3</w:t>
      </w:r>
      <w:r>
        <w:rPr>
          <w:rFonts w:hint="eastAsia" w:ascii="宋体" w:hAnsi="宋体"/>
          <w:b/>
          <w:bCs/>
          <w:color w:val="auto"/>
          <w:sz w:val="24"/>
          <w:highlight w:val="none"/>
          <w:lang w:eastAsia="zh-CN"/>
        </w:rPr>
        <w:t>%扣除</w:t>
      </w:r>
      <w:r>
        <w:rPr>
          <w:rFonts w:hint="eastAsia" w:ascii="宋体" w:hAnsi="宋体"/>
          <w:b/>
          <w:bCs/>
          <w:color w:val="auto"/>
          <w:sz w:val="24"/>
          <w:highlight w:val="none"/>
        </w:rPr>
        <w:t>，</w:t>
      </w:r>
      <w:r>
        <w:rPr>
          <w:rFonts w:hint="eastAsia" w:ascii="宋体" w:hAnsi="宋体"/>
          <w:color w:val="auto"/>
          <w:sz w:val="24"/>
          <w:highlight w:val="none"/>
        </w:rPr>
        <w:t>用扣除后的价格参与评审</w:t>
      </w:r>
      <w:r>
        <w:rPr>
          <w:rFonts w:hint="eastAsia" w:ascii="宋体" w:hAnsi="宋体"/>
          <w:b/>
          <w:color w:val="auto"/>
          <w:sz w:val="24"/>
          <w:highlight w:val="none"/>
        </w:rPr>
        <w:t>（其投标报价不变）</w:t>
      </w:r>
      <w:r>
        <w:rPr>
          <w:rFonts w:hint="eastAsia" w:ascii="宋体" w:hAnsi="宋体"/>
          <w:color w:val="auto"/>
          <w:sz w:val="24"/>
          <w:highlight w:val="none"/>
        </w:rPr>
        <w:t>。参加政府采购活动的中小企业应当提供《</w:t>
      </w:r>
      <w:r>
        <w:rPr>
          <w:rFonts w:hint="eastAsia"/>
          <w:color w:val="auto"/>
          <w:sz w:val="24"/>
          <w:highlight w:val="none"/>
        </w:rPr>
        <w:t>中小企业声明函</w:t>
      </w:r>
      <w:r>
        <w:rPr>
          <w:rFonts w:hint="eastAsia" w:ascii="宋体" w:hAnsi="宋体"/>
          <w:color w:val="auto"/>
          <w:sz w:val="24"/>
          <w:highlight w:val="none"/>
        </w:rPr>
        <w:t>》。</w:t>
      </w:r>
    </w:p>
    <w:p>
      <w:pPr>
        <w:pStyle w:val="2"/>
        <w:spacing w:before="0"/>
        <w:rPr>
          <w:rFonts w:hint="eastAsia" w:ascii="宋体" w:hAnsi="宋体"/>
          <w:color w:val="auto"/>
          <w:sz w:val="24"/>
          <w:highlight w:val="none"/>
        </w:rPr>
      </w:pPr>
      <w:bookmarkStart w:id="75" w:name="_Toc485912306"/>
      <w:r>
        <w:rPr>
          <w:rFonts w:ascii="宋体" w:hAnsi="宋体"/>
          <w:color w:val="auto"/>
          <w:sz w:val="24"/>
          <w:highlight w:val="none"/>
        </w:rPr>
        <w:t>4</w:t>
      </w:r>
      <w:r>
        <w:rPr>
          <w:rFonts w:hint="eastAsia" w:ascii="宋体" w:hAnsi="宋体"/>
          <w:color w:val="auto"/>
          <w:sz w:val="24"/>
          <w:highlight w:val="none"/>
        </w:rPr>
        <w:t>.合格的供应商</w:t>
      </w:r>
      <w:bookmarkEnd w:id="63"/>
      <w:bookmarkEnd w:id="64"/>
      <w:bookmarkEnd w:id="65"/>
      <w:bookmarkEnd w:id="66"/>
      <w:bookmarkEnd w:id="67"/>
      <w:bookmarkEnd w:id="68"/>
      <w:bookmarkEnd w:id="69"/>
      <w:bookmarkEnd w:id="70"/>
      <w:bookmarkEnd w:id="75"/>
    </w:p>
    <w:p>
      <w:pPr>
        <w:tabs>
          <w:tab w:val="left" w:pos="1276"/>
        </w:tabs>
        <w:adjustRightInd w:val="0"/>
        <w:snapToGrid w:val="0"/>
        <w:spacing w:line="360" w:lineRule="auto"/>
        <w:ind w:firstLine="480" w:firstLineChars="200"/>
        <w:rPr>
          <w:rFonts w:ascii="宋体" w:hAnsi="宋体"/>
          <w:color w:val="auto"/>
          <w:sz w:val="24"/>
          <w:highlight w:val="none"/>
        </w:rPr>
      </w:pPr>
      <w:bookmarkStart w:id="76" w:name="_Toc274816708"/>
      <w:bookmarkStart w:id="77" w:name="_Toc469850045"/>
      <w:bookmarkStart w:id="78" w:name="_Toc91477246"/>
      <w:bookmarkStart w:id="79" w:name="_Toc89586886"/>
      <w:bookmarkStart w:id="80" w:name="_Toc91029996"/>
      <w:bookmarkStart w:id="81" w:name="_Toc229198019"/>
      <w:bookmarkStart w:id="82" w:name="_Toc89058525"/>
      <w:bookmarkStart w:id="83" w:name="_Toc139343530"/>
      <w:r>
        <w:rPr>
          <w:rFonts w:ascii="宋体" w:hAnsi="宋体"/>
          <w:color w:val="auto"/>
          <w:sz w:val="24"/>
          <w:highlight w:val="none"/>
        </w:rPr>
        <w:t>4</w:t>
      </w:r>
      <w:r>
        <w:rPr>
          <w:rFonts w:hint="eastAsia" w:ascii="宋体" w:hAnsi="宋体"/>
          <w:color w:val="auto"/>
          <w:sz w:val="24"/>
          <w:highlight w:val="none"/>
        </w:rPr>
        <w:t>.1具备“供应商须知前附表”的基本条件；</w:t>
      </w:r>
    </w:p>
    <w:p>
      <w:pPr>
        <w:tabs>
          <w:tab w:val="left" w:pos="1276"/>
        </w:tabs>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.2</w:t>
      </w:r>
      <w:r>
        <w:rPr>
          <w:rFonts w:ascii="宋体" w:hAnsi="宋体"/>
          <w:color w:val="auto"/>
          <w:sz w:val="24"/>
          <w:highlight w:val="none"/>
        </w:rPr>
        <w:t>凡是符合国家工商行政管理部门登记审核，具有相应生产经营许可的，有</w:t>
      </w:r>
      <w:r>
        <w:rPr>
          <w:rFonts w:hint="eastAsia" w:ascii="宋体" w:hAnsi="宋体"/>
          <w:color w:val="auto"/>
          <w:sz w:val="24"/>
          <w:highlight w:val="none"/>
        </w:rPr>
        <w:t>一定</w:t>
      </w:r>
      <w:r>
        <w:rPr>
          <w:rFonts w:ascii="宋体" w:hAnsi="宋体"/>
          <w:color w:val="auto"/>
          <w:sz w:val="24"/>
          <w:highlight w:val="none"/>
        </w:rPr>
        <w:t>技术实力和规模，并有能力提供招标</w:t>
      </w:r>
      <w:r>
        <w:rPr>
          <w:rFonts w:hint="eastAsia" w:ascii="宋体" w:hAnsi="宋体"/>
          <w:color w:val="auto"/>
          <w:sz w:val="24"/>
          <w:highlight w:val="none"/>
        </w:rPr>
        <w:t>服务</w:t>
      </w:r>
      <w:r>
        <w:rPr>
          <w:rFonts w:ascii="宋体" w:hAnsi="宋体"/>
          <w:color w:val="auto"/>
          <w:sz w:val="24"/>
          <w:highlight w:val="none"/>
        </w:rPr>
        <w:t>的</w:t>
      </w:r>
      <w:r>
        <w:rPr>
          <w:rFonts w:hint="eastAsia" w:ascii="宋体" w:hAnsi="宋体"/>
          <w:color w:val="auto"/>
          <w:sz w:val="24"/>
          <w:highlight w:val="none"/>
        </w:rPr>
        <w:t>供应</w:t>
      </w:r>
      <w:r>
        <w:rPr>
          <w:rFonts w:ascii="宋体" w:hAnsi="宋体"/>
          <w:color w:val="auto"/>
          <w:sz w:val="24"/>
          <w:highlight w:val="none"/>
        </w:rPr>
        <w:t>商</w:t>
      </w:r>
      <w:r>
        <w:rPr>
          <w:rFonts w:hint="eastAsia" w:ascii="宋体" w:hAnsi="宋体"/>
          <w:color w:val="auto"/>
          <w:sz w:val="24"/>
          <w:highlight w:val="none"/>
        </w:rPr>
        <w:t>；</w:t>
      </w:r>
    </w:p>
    <w:p>
      <w:pPr>
        <w:tabs>
          <w:tab w:val="left" w:pos="1276"/>
        </w:tabs>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.3</w:t>
      </w:r>
      <w:r>
        <w:rPr>
          <w:rFonts w:ascii="宋体" w:hAnsi="宋体"/>
          <w:color w:val="auto"/>
          <w:sz w:val="24"/>
          <w:highlight w:val="none"/>
        </w:rPr>
        <w:t>供应商不得直接或间接地与本次招标的货物进行设计、编制规范和其他文件所委托的咨询公司或其附属机构有任何关联</w:t>
      </w:r>
      <w:r>
        <w:rPr>
          <w:rFonts w:hint="eastAsia" w:ascii="宋体" w:hAnsi="宋体"/>
          <w:color w:val="auto"/>
          <w:sz w:val="24"/>
          <w:highlight w:val="none"/>
        </w:rPr>
        <w:t>；</w:t>
      </w:r>
    </w:p>
    <w:p>
      <w:pPr>
        <w:tabs>
          <w:tab w:val="left" w:pos="1276"/>
        </w:tabs>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.4</w:t>
      </w:r>
      <w:r>
        <w:rPr>
          <w:rFonts w:ascii="宋体" w:hAnsi="宋体"/>
          <w:color w:val="auto"/>
          <w:sz w:val="24"/>
          <w:highlight w:val="none"/>
        </w:rPr>
        <w:t>供应商与</w:t>
      </w:r>
      <w:r>
        <w:rPr>
          <w:rFonts w:hint="eastAsia" w:ascii="宋体" w:hAnsi="宋体"/>
          <w:color w:val="auto"/>
          <w:sz w:val="24"/>
          <w:highlight w:val="none"/>
        </w:rPr>
        <w:t>采购</w:t>
      </w:r>
      <w:r>
        <w:rPr>
          <w:rFonts w:ascii="宋体" w:hAnsi="宋体"/>
          <w:color w:val="auto"/>
          <w:sz w:val="24"/>
          <w:highlight w:val="none"/>
        </w:rPr>
        <w:t>人存在利害关系可能影响招标公正性的法人、其他组织或个人，不得参加投标。单位负责人为同一人或者存在控股、管理关系的不同单位，不得参加同一标段投标或者未划分标段的同一招标项目投标</w:t>
      </w:r>
      <w:r>
        <w:rPr>
          <w:rFonts w:hint="eastAsia" w:ascii="宋体" w:hAnsi="宋体"/>
          <w:color w:val="auto"/>
          <w:sz w:val="24"/>
          <w:highlight w:val="none"/>
        </w:rPr>
        <w:t>；</w:t>
      </w:r>
    </w:p>
    <w:p>
      <w:pPr>
        <w:tabs>
          <w:tab w:val="left" w:pos="1276"/>
        </w:tabs>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.5供应商</w:t>
      </w:r>
      <w:r>
        <w:rPr>
          <w:rFonts w:ascii="宋体" w:hAnsi="宋体"/>
          <w:color w:val="auto"/>
          <w:sz w:val="24"/>
          <w:highlight w:val="none"/>
        </w:rPr>
        <w:t>未向招标代理机构</w:t>
      </w:r>
      <w:r>
        <w:rPr>
          <w:rFonts w:hint="eastAsia" w:ascii="宋体" w:hAnsi="宋体"/>
          <w:color w:val="auto"/>
          <w:sz w:val="24"/>
          <w:highlight w:val="none"/>
        </w:rPr>
        <w:t>获取《</w:t>
      </w:r>
      <w:r>
        <w:rPr>
          <w:rFonts w:hint="eastAsia" w:ascii="宋体" w:hAnsi="宋体"/>
          <w:color w:val="auto"/>
          <w:sz w:val="24"/>
          <w:highlight w:val="none"/>
          <w:lang w:eastAsia="zh-CN"/>
        </w:rPr>
        <w:t>磋商文件</w:t>
      </w:r>
      <w:r>
        <w:rPr>
          <w:rFonts w:hint="eastAsia" w:ascii="宋体" w:hAnsi="宋体"/>
          <w:color w:val="auto"/>
          <w:sz w:val="24"/>
          <w:highlight w:val="none"/>
        </w:rPr>
        <w:t>》</w:t>
      </w:r>
      <w:r>
        <w:rPr>
          <w:rFonts w:ascii="宋体" w:hAnsi="宋体"/>
          <w:color w:val="auto"/>
          <w:sz w:val="24"/>
          <w:highlight w:val="none"/>
        </w:rPr>
        <w:t>并登记备案的潜在供应商均无资格参加投标</w:t>
      </w:r>
      <w:r>
        <w:rPr>
          <w:rFonts w:hint="eastAsia" w:ascii="宋体" w:hAnsi="宋体"/>
          <w:color w:val="auto"/>
          <w:sz w:val="24"/>
          <w:highlight w:val="none"/>
        </w:rPr>
        <w:t>；</w:t>
      </w:r>
    </w:p>
    <w:p>
      <w:pPr>
        <w:tabs>
          <w:tab w:val="left" w:pos="525"/>
        </w:tabs>
        <w:spacing w:line="360" w:lineRule="auto"/>
        <w:ind w:firstLine="480" w:firstLineChars="200"/>
        <w:rPr>
          <w:rFonts w:hint="eastAsia"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.6遵守国家有关的法律、法规和条例及《</w:t>
      </w:r>
      <w:r>
        <w:rPr>
          <w:rFonts w:hint="eastAsia" w:ascii="宋体" w:hAnsi="宋体"/>
          <w:color w:val="auto"/>
          <w:sz w:val="24"/>
          <w:highlight w:val="none"/>
          <w:lang w:eastAsia="zh-CN"/>
        </w:rPr>
        <w:t>磋商文件</w:t>
      </w:r>
      <w:r>
        <w:rPr>
          <w:rFonts w:hint="eastAsia" w:ascii="宋体" w:hAnsi="宋体"/>
          <w:color w:val="auto"/>
          <w:sz w:val="24"/>
          <w:highlight w:val="none"/>
        </w:rPr>
        <w:t>》的规定。</w:t>
      </w:r>
    </w:p>
    <w:bookmarkEnd w:id="76"/>
    <w:bookmarkEnd w:id="77"/>
    <w:bookmarkEnd w:id="78"/>
    <w:bookmarkEnd w:id="79"/>
    <w:bookmarkEnd w:id="80"/>
    <w:bookmarkEnd w:id="81"/>
    <w:bookmarkEnd w:id="82"/>
    <w:bookmarkEnd w:id="83"/>
    <w:p>
      <w:pPr>
        <w:pStyle w:val="2"/>
        <w:spacing w:before="0"/>
        <w:rPr>
          <w:rFonts w:hint="eastAsia" w:ascii="宋体" w:hAnsi="宋体"/>
          <w:color w:val="auto"/>
          <w:sz w:val="24"/>
          <w:highlight w:val="none"/>
        </w:rPr>
      </w:pPr>
      <w:bookmarkStart w:id="84" w:name="_Toc469524740"/>
      <w:bookmarkStart w:id="85" w:name="_Toc485912307"/>
      <w:bookmarkStart w:id="86" w:name="_Toc484102378"/>
      <w:r>
        <w:rPr>
          <w:rFonts w:ascii="宋体" w:hAnsi="宋体"/>
          <w:color w:val="auto"/>
          <w:sz w:val="24"/>
          <w:highlight w:val="none"/>
        </w:rPr>
        <w:t>5</w:t>
      </w:r>
      <w:r>
        <w:rPr>
          <w:rFonts w:hint="eastAsia" w:ascii="宋体" w:hAnsi="宋体"/>
          <w:color w:val="auto"/>
          <w:sz w:val="24"/>
          <w:highlight w:val="none"/>
        </w:rPr>
        <w:t>.伴随服务</w:t>
      </w:r>
      <w:bookmarkEnd w:id="84"/>
      <w:bookmarkEnd w:id="85"/>
      <w:bookmarkEnd w:id="86"/>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供应商按照</w:t>
      </w:r>
      <w:r>
        <w:rPr>
          <w:rFonts w:hint="eastAsia" w:ascii="宋体" w:hAnsi="宋体"/>
          <w:color w:val="auto"/>
          <w:sz w:val="24"/>
          <w:highlight w:val="none"/>
          <w:lang w:eastAsia="zh-CN"/>
        </w:rPr>
        <w:t>磋商文件</w:t>
      </w:r>
      <w:r>
        <w:rPr>
          <w:rFonts w:hint="eastAsia" w:ascii="宋体" w:hAnsi="宋体"/>
          <w:color w:val="auto"/>
          <w:sz w:val="24"/>
          <w:highlight w:val="none"/>
        </w:rPr>
        <w:t>要求提供服务，以上服务的费用应包含在报价中，不再单独进行支付。</w:t>
      </w:r>
    </w:p>
    <w:p>
      <w:pPr>
        <w:pStyle w:val="2"/>
        <w:spacing w:before="0"/>
        <w:rPr>
          <w:rFonts w:hint="eastAsia" w:ascii="宋体" w:hAnsi="宋体"/>
          <w:color w:val="auto"/>
          <w:sz w:val="24"/>
          <w:highlight w:val="none"/>
        </w:rPr>
      </w:pPr>
      <w:bookmarkStart w:id="87" w:name="_Toc484102382"/>
      <w:bookmarkStart w:id="88" w:name="_Toc485912311"/>
      <w:bookmarkStart w:id="89" w:name="_Toc469524744"/>
      <w:r>
        <w:rPr>
          <w:rFonts w:hint="eastAsia" w:ascii="宋体" w:hAnsi="宋体"/>
          <w:color w:val="auto"/>
          <w:sz w:val="24"/>
          <w:highlight w:val="none"/>
          <w:lang w:eastAsia="zh-CN"/>
        </w:rPr>
        <w:t>6</w:t>
      </w:r>
      <w:r>
        <w:rPr>
          <w:rFonts w:hint="eastAsia" w:ascii="宋体" w:hAnsi="宋体"/>
          <w:color w:val="auto"/>
          <w:sz w:val="24"/>
          <w:highlight w:val="none"/>
        </w:rPr>
        <w:t>.投标费用</w:t>
      </w:r>
      <w:bookmarkEnd w:id="87"/>
      <w:bookmarkEnd w:id="88"/>
      <w:bookmarkEnd w:id="89"/>
    </w:p>
    <w:p>
      <w:pPr>
        <w:tabs>
          <w:tab w:val="left" w:pos="525"/>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供应商应承担与采购活动有关的一切费用。不论采购的结果如何，采购代理机构和采购人在任何情况下均无义务和责任承担这些费用。</w:t>
      </w:r>
    </w:p>
    <w:p>
      <w:pPr>
        <w:pStyle w:val="2"/>
        <w:spacing w:before="0"/>
        <w:rPr>
          <w:rFonts w:hint="eastAsia" w:ascii="宋体" w:hAnsi="宋体"/>
          <w:color w:val="auto"/>
          <w:sz w:val="24"/>
          <w:highlight w:val="none"/>
        </w:rPr>
      </w:pPr>
      <w:bookmarkStart w:id="90" w:name="_Toc485912312"/>
      <w:bookmarkStart w:id="91" w:name="_Toc469524745"/>
      <w:bookmarkStart w:id="92" w:name="_Toc484102383"/>
      <w:r>
        <w:rPr>
          <w:rFonts w:hint="eastAsia" w:ascii="宋体" w:hAnsi="宋体"/>
          <w:color w:val="auto"/>
          <w:sz w:val="24"/>
          <w:highlight w:val="none"/>
          <w:lang w:eastAsia="zh-CN"/>
        </w:rPr>
        <w:t>7</w:t>
      </w:r>
      <w:r>
        <w:rPr>
          <w:rFonts w:hint="eastAsia" w:ascii="宋体" w:hAnsi="宋体"/>
          <w:color w:val="auto"/>
          <w:sz w:val="24"/>
          <w:highlight w:val="none"/>
        </w:rPr>
        <w:t>.招标代理机构相关费用</w:t>
      </w:r>
      <w:bookmarkEnd w:id="90"/>
      <w:bookmarkEnd w:id="91"/>
      <w:bookmarkEnd w:id="92"/>
    </w:p>
    <w:p>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7.1</w:t>
      </w:r>
      <w:r>
        <w:rPr>
          <w:rFonts w:hint="eastAsia" w:ascii="宋体" w:hAnsi="宋体"/>
          <w:b/>
          <w:bCs/>
          <w:color w:val="auto"/>
          <w:sz w:val="24"/>
          <w:highlight w:val="none"/>
          <w:lang w:eastAsia="zh-CN"/>
        </w:rPr>
        <w:t>参照</w:t>
      </w:r>
      <w:r>
        <w:rPr>
          <w:rFonts w:hint="eastAsia" w:ascii="宋体" w:hAnsi="宋体"/>
          <w:b/>
          <w:bCs/>
          <w:color w:val="auto"/>
          <w:sz w:val="24"/>
          <w:highlight w:val="none"/>
        </w:rPr>
        <w:t>财政部、国家计委、国家物价局（2002）1980号文件，国家发改委(2003)857号文件、（2015）299号文件规定和采购人与招标代理机构签署的委托招标代理合同相关条款约定收取</w:t>
      </w:r>
      <w:r>
        <w:rPr>
          <w:rFonts w:hint="eastAsia" w:ascii="宋体" w:hAnsi="宋体"/>
          <w:b/>
          <w:bCs/>
          <w:color w:val="auto"/>
          <w:sz w:val="24"/>
          <w:highlight w:val="none"/>
          <w:lang w:val="en-US" w:eastAsia="zh-CN"/>
        </w:rPr>
        <w:t>，</w:t>
      </w:r>
      <w:r>
        <w:rPr>
          <w:rFonts w:hint="eastAsia" w:ascii="宋体" w:hAnsi="宋体"/>
          <w:b/>
          <w:bCs/>
          <w:color w:val="auto"/>
          <w:sz w:val="24"/>
          <w:highlight w:val="none"/>
        </w:rPr>
        <w:t>由</w:t>
      </w:r>
      <w:r>
        <w:rPr>
          <w:rFonts w:hint="eastAsia" w:ascii="宋体" w:hAnsi="宋体"/>
          <w:b/>
          <w:bCs/>
          <w:color w:val="auto"/>
          <w:sz w:val="24"/>
          <w:highlight w:val="none"/>
          <w:lang w:eastAsia="zh-CN"/>
        </w:rPr>
        <w:t>中标</w:t>
      </w:r>
      <w:r>
        <w:rPr>
          <w:rFonts w:hint="eastAsia" w:ascii="宋体" w:hAnsi="宋体"/>
          <w:b/>
          <w:bCs/>
          <w:color w:val="auto"/>
          <w:sz w:val="24"/>
          <w:highlight w:val="none"/>
        </w:rPr>
        <w:t>供应商</w:t>
      </w:r>
      <w:r>
        <w:rPr>
          <w:rFonts w:hint="eastAsia" w:ascii="宋体" w:hAnsi="宋体"/>
          <w:b/>
          <w:bCs/>
          <w:color w:val="auto"/>
          <w:sz w:val="24"/>
          <w:highlight w:val="none"/>
          <w:lang w:eastAsia="zh-CN"/>
        </w:rPr>
        <w:t>领取中标通知书前向代理机构支付</w:t>
      </w:r>
      <w:r>
        <w:rPr>
          <w:rFonts w:hint="eastAsia" w:ascii="宋体" w:hAnsi="宋体"/>
          <w:color w:val="auto"/>
          <w:sz w:val="24"/>
          <w:highlight w:val="none"/>
        </w:rPr>
        <w:t>。</w:t>
      </w:r>
    </w:p>
    <w:p>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7.2本项目招标代理服务费由</w:t>
      </w:r>
      <w:r>
        <w:rPr>
          <w:rFonts w:hint="eastAsia" w:ascii="宋体" w:hAnsi="宋体"/>
          <w:color w:val="auto"/>
          <w:sz w:val="24"/>
          <w:highlight w:val="none"/>
          <w:lang w:eastAsia="zh-CN"/>
        </w:rPr>
        <w:t>中标</w:t>
      </w:r>
      <w:r>
        <w:rPr>
          <w:rFonts w:hint="eastAsia" w:ascii="宋体" w:hAnsi="宋体"/>
          <w:color w:val="auto"/>
          <w:sz w:val="24"/>
          <w:highlight w:val="none"/>
        </w:rPr>
        <w:t>供应商支付给招标代理机构。</w:t>
      </w:r>
    </w:p>
    <w:p>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7.3费用缴纳可采用电汇、转支（公户）的方式支付，在发放《</w:t>
      </w:r>
      <w:r>
        <w:rPr>
          <w:rFonts w:hint="eastAsia" w:ascii="宋体" w:hAnsi="宋体"/>
          <w:color w:val="auto"/>
          <w:sz w:val="24"/>
          <w:highlight w:val="none"/>
          <w:lang w:eastAsia="zh-CN"/>
        </w:rPr>
        <w:t>中标</w:t>
      </w:r>
      <w:r>
        <w:rPr>
          <w:rFonts w:hint="eastAsia" w:ascii="宋体" w:hAnsi="宋体"/>
          <w:color w:val="auto"/>
          <w:sz w:val="24"/>
          <w:highlight w:val="none"/>
        </w:rPr>
        <w:t>通知书》前一次性支付给招标代理机构。</w:t>
      </w:r>
    </w:p>
    <w:p>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10</w:t>
      </w:r>
      <w:r>
        <w:rPr>
          <w:rFonts w:hint="eastAsia" w:ascii="宋体" w:hAnsi="宋体"/>
          <w:color w:val="auto"/>
          <w:sz w:val="24"/>
          <w:highlight w:val="none"/>
        </w:rPr>
        <w:t>.4不支付以上费用，招标代理机构将不予发放《</w:t>
      </w:r>
      <w:r>
        <w:rPr>
          <w:rFonts w:hint="eastAsia" w:ascii="宋体" w:hAnsi="宋体"/>
          <w:color w:val="auto"/>
          <w:sz w:val="24"/>
          <w:highlight w:val="none"/>
          <w:lang w:eastAsia="zh-CN"/>
        </w:rPr>
        <w:t>中标</w:t>
      </w:r>
      <w:r>
        <w:rPr>
          <w:rFonts w:hint="eastAsia" w:ascii="宋体" w:hAnsi="宋体"/>
          <w:color w:val="auto"/>
          <w:sz w:val="24"/>
          <w:highlight w:val="none"/>
        </w:rPr>
        <w:t>通知书》。</w:t>
      </w:r>
    </w:p>
    <w:p>
      <w:pPr>
        <w:pStyle w:val="2"/>
        <w:spacing w:before="0"/>
        <w:rPr>
          <w:rFonts w:ascii="宋体" w:hAnsi="宋体"/>
          <w:color w:val="auto"/>
          <w:sz w:val="24"/>
          <w:highlight w:val="none"/>
        </w:rPr>
      </w:pPr>
      <w:bookmarkStart w:id="93" w:name="_Toc469524746"/>
      <w:bookmarkStart w:id="94" w:name="_Toc484102384"/>
      <w:bookmarkStart w:id="95" w:name="_Toc485912313"/>
      <w:r>
        <w:rPr>
          <w:rFonts w:hint="eastAsia" w:ascii="宋体" w:hAnsi="宋体"/>
          <w:color w:val="auto"/>
          <w:sz w:val="24"/>
          <w:highlight w:val="none"/>
          <w:lang w:eastAsia="zh-CN"/>
        </w:rPr>
        <w:t>8</w:t>
      </w:r>
      <w:r>
        <w:rPr>
          <w:rFonts w:hint="eastAsia" w:ascii="宋体" w:hAnsi="宋体"/>
          <w:color w:val="auto"/>
          <w:sz w:val="24"/>
          <w:highlight w:val="none"/>
        </w:rPr>
        <w:t>.保密</w:t>
      </w:r>
      <w:bookmarkEnd w:id="93"/>
      <w:bookmarkEnd w:id="94"/>
      <w:bookmarkEnd w:id="95"/>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参与招标投标活动的各方应对</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和</w:t>
      </w:r>
      <w:r>
        <w:rPr>
          <w:rFonts w:hint="eastAsia" w:ascii="宋体" w:hAnsi="宋体" w:cs="宋体"/>
          <w:color w:val="auto"/>
          <w:sz w:val="24"/>
          <w:highlight w:val="none"/>
          <w:lang w:eastAsia="zh-CN"/>
        </w:rPr>
        <w:t>磋商响应文件</w:t>
      </w:r>
      <w:r>
        <w:rPr>
          <w:rFonts w:hint="eastAsia" w:ascii="宋体" w:hAnsi="宋体" w:cs="宋体"/>
          <w:color w:val="auto"/>
          <w:sz w:val="24"/>
          <w:highlight w:val="none"/>
        </w:rPr>
        <w:t>中的商业和技术等秘密保密，违者应对由此造成的后果承担法律责任。</w:t>
      </w:r>
    </w:p>
    <w:p>
      <w:pPr>
        <w:pStyle w:val="2"/>
        <w:spacing w:before="0"/>
        <w:rPr>
          <w:rFonts w:ascii="宋体" w:hAnsi="宋体"/>
          <w:color w:val="auto"/>
          <w:sz w:val="24"/>
          <w:highlight w:val="none"/>
        </w:rPr>
      </w:pPr>
      <w:bookmarkStart w:id="96" w:name="_Toc484102385"/>
      <w:bookmarkStart w:id="97" w:name="_Toc469524747"/>
      <w:bookmarkStart w:id="98" w:name="_Toc485912314"/>
      <w:r>
        <w:rPr>
          <w:rFonts w:hint="eastAsia" w:ascii="宋体" w:hAnsi="宋体"/>
          <w:color w:val="auto"/>
          <w:sz w:val="24"/>
          <w:highlight w:val="none"/>
          <w:lang w:eastAsia="zh-CN"/>
        </w:rPr>
        <w:t>9</w:t>
      </w:r>
      <w:r>
        <w:rPr>
          <w:rFonts w:ascii="宋体" w:hAnsi="宋体"/>
          <w:color w:val="auto"/>
          <w:sz w:val="24"/>
          <w:highlight w:val="none"/>
        </w:rPr>
        <w:t>.适用法律</w:t>
      </w:r>
      <w:bookmarkEnd w:id="96"/>
      <w:bookmarkEnd w:id="97"/>
      <w:bookmarkEnd w:id="98"/>
    </w:p>
    <w:p>
      <w:pPr>
        <w:tabs>
          <w:tab w:val="left" w:pos="7665"/>
        </w:tabs>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本次招标属服务类政府采购，招标采购单位、供应商、</w:t>
      </w:r>
      <w:r>
        <w:rPr>
          <w:rFonts w:hint="eastAsia" w:ascii="宋体" w:hAnsi="宋体"/>
          <w:color w:val="auto"/>
          <w:sz w:val="24"/>
          <w:highlight w:val="none"/>
          <w:lang w:eastAsia="zh-CN"/>
        </w:rPr>
        <w:t>磋商小组</w:t>
      </w:r>
      <w:r>
        <w:rPr>
          <w:rFonts w:hint="eastAsia" w:ascii="宋体" w:hAnsi="宋体"/>
          <w:color w:val="auto"/>
          <w:sz w:val="24"/>
          <w:highlight w:val="none"/>
        </w:rPr>
        <w:t>的相关行为均受《中华人民共和国政府采购法》、《中华人民共和国政府采购法实施条例》、《政府采购货物和服务招标投标管理办法》、《政府采购非招标采购方式管理办法》、《财政部关于印发〈政府采购品目分类目录〉的通知》（财库［201</w:t>
      </w:r>
      <w:r>
        <w:rPr>
          <w:rFonts w:hint="eastAsia" w:ascii="宋体" w:hAnsi="宋体"/>
          <w:color w:val="auto"/>
          <w:sz w:val="24"/>
          <w:highlight w:val="none"/>
          <w:lang w:val="en-US" w:eastAsia="zh-CN"/>
        </w:rPr>
        <w:t>9</w:t>
      </w:r>
      <w:r>
        <w:rPr>
          <w:rFonts w:hint="eastAsia" w:ascii="宋体" w:hAnsi="宋体"/>
          <w:color w:val="auto"/>
          <w:sz w:val="24"/>
          <w:highlight w:val="none"/>
        </w:rPr>
        <w:t>］</w:t>
      </w:r>
      <w:r>
        <w:rPr>
          <w:rFonts w:hint="eastAsia" w:ascii="宋体" w:hAnsi="宋体"/>
          <w:color w:val="auto"/>
          <w:sz w:val="24"/>
          <w:highlight w:val="none"/>
          <w:lang w:val="en-US" w:eastAsia="zh-CN"/>
        </w:rPr>
        <w:t>69</w:t>
      </w:r>
      <w:r>
        <w:rPr>
          <w:rFonts w:hint="eastAsia" w:ascii="宋体" w:hAnsi="宋体"/>
          <w:color w:val="auto"/>
          <w:sz w:val="24"/>
          <w:highlight w:val="none"/>
        </w:rPr>
        <w:t>号）、本项目采购人本级和上级财政部门政府采购有关规定的约束，其权利受到上述法律法规的保护。</w:t>
      </w:r>
    </w:p>
    <w:p>
      <w:pPr>
        <w:pStyle w:val="4"/>
        <w:spacing w:before="0"/>
        <w:rPr>
          <w:rFonts w:hint="eastAsia" w:ascii="宋体" w:hAnsi="宋体" w:eastAsia="宋体"/>
          <w:color w:val="auto"/>
          <w:sz w:val="24"/>
          <w:highlight w:val="none"/>
        </w:rPr>
      </w:pPr>
      <w:bookmarkStart w:id="99" w:name="_Toc476758947"/>
      <w:bookmarkStart w:id="100" w:name="_Toc1198"/>
      <w:bookmarkStart w:id="101" w:name="_Toc10603"/>
      <w:r>
        <w:rPr>
          <w:rFonts w:hint="eastAsia" w:ascii="宋体" w:hAnsi="宋体" w:eastAsia="宋体"/>
          <w:color w:val="auto"/>
          <w:highlight w:val="none"/>
        </w:rPr>
        <w:t>（三）《</w:t>
      </w:r>
      <w:r>
        <w:rPr>
          <w:rFonts w:hint="eastAsia" w:ascii="宋体" w:hAnsi="宋体" w:eastAsia="宋体"/>
          <w:color w:val="auto"/>
          <w:highlight w:val="none"/>
          <w:lang w:eastAsia="zh-CN"/>
        </w:rPr>
        <w:t>磋商文件</w:t>
      </w:r>
      <w:r>
        <w:rPr>
          <w:rFonts w:hint="eastAsia" w:ascii="宋体" w:hAnsi="宋体" w:eastAsia="宋体"/>
          <w:color w:val="auto"/>
          <w:highlight w:val="none"/>
        </w:rPr>
        <w:t>》</w:t>
      </w:r>
      <w:bookmarkEnd w:id="99"/>
      <w:bookmarkEnd w:id="100"/>
      <w:bookmarkEnd w:id="101"/>
    </w:p>
    <w:p>
      <w:pPr>
        <w:pStyle w:val="2"/>
        <w:spacing w:before="0" w:after="0" w:line="360" w:lineRule="auto"/>
        <w:rPr>
          <w:rFonts w:hint="eastAsia" w:ascii="宋体" w:hAnsi="宋体"/>
          <w:color w:val="auto"/>
          <w:sz w:val="24"/>
          <w:highlight w:val="none"/>
        </w:rPr>
      </w:pPr>
      <w:bookmarkStart w:id="102" w:name="_Toc91477248"/>
      <w:bookmarkStart w:id="103" w:name="_Toc229198021"/>
      <w:bookmarkStart w:id="104" w:name="_Toc89586888"/>
      <w:bookmarkStart w:id="105" w:name="_Toc89058527"/>
      <w:bookmarkStart w:id="106" w:name="_Toc274816710"/>
      <w:bookmarkStart w:id="107" w:name="_Toc139343532"/>
      <w:bookmarkStart w:id="108" w:name="_Toc469850047"/>
      <w:bookmarkStart w:id="109" w:name="_Toc91029998"/>
      <w:bookmarkStart w:id="110" w:name="_Toc485912316"/>
      <w:r>
        <w:rPr>
          <w:rFonts w:hint="eastAsia" w:ascii="宋体" w:hAnsi="宋体"/>
          <w:color w:val="auto"/>
          <w:sz w:val="24"/>
          <w:highlight w:val="none"/>
        </w:rPr>
        <w:t>1.</w:t>
      </w:r>
      <w:bookmarkEnd w:id="102"/>
      <w:bookmarkEnd w:id="103"/>
      <w:bookmarkEnd w:id="104"/>
      <w:bookmarkEnd w:id="105"/>
      <w:bookmarkEnd w:id="106"/>
      <w:bookmarkEnd w:id="107"/>
      <w:bookmarkEnd w:id="108"/>
      <w:bookmarkEnd w:id="109"/>
      <w:r>
        <w:rPr>
          <w:rFonts w:hint="eastAsia" w:ascii="宋体" w:hAnsi="宋体"/>
          <w:color w:val="auto"/>
          <w:sz w:val="24"/>
          <w:highlight w:val="none"/>
        </w:rPr>
        <w:t>《</w:t>
      </w:r>
      <w:r>
        <w:rPr>
          <w:rFonts w:hint="eastAsia" w:ascii="宋体" w:hAnsi="宋体"/>
          <w:color w:val="auto"/>
          <w:sz w:val="24"/>
          <w:highlight w:val="none"/>
          <w:lang w:eastAsia="zh-CN"/>
        </w:rPr>
        <w:t>磋商文件</w:t>
      </w:r>
      <w:r>
        <w:rPr>
          <w:rFonts w:hint="eastAsia" w:ascii="宋体" w:hAnsi="宋体"/>
          <w:color w:val="auto"/>
          <w:sz w:val="24"/>
          <w:highlight w:val="none"/>
        </w:rPr>
        <w:t>》的组成</w:t>
      </w:r>
      <w:bookmarkEnd w:id="110"/>
    </w:p>
    <w:p>
      <w:pPr>
        <w:tabs>
          <w:tab w:val="left" w:pos="7665"/>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磋商文件</w:t>
      </w:r>
      <w:r>
        <w:rPr>
          <w:rFonts w:hint="eastAsia" w:ascii="宋体" w:hAnsi="宋体"/>
          <w:color w:val="auto"/>
          <w:sz w:val="24"/>
          <w:highlight w:val="none"/>
        </w:rPr>
        <w:t>用以阐明招标项目所需的资质、技术、服务及报价等要求、招标投标程序、有关规定和注意事项以及合同主要条款等。本</w:t>
      </w:r>
      <w:r>
        <w:rPr>
          <w:rFonts w:hint="eastAsia" w:ascii="宋体" w:hAnsi="宋体"/>
          <w:color w:val="auto"/>
          <w:sz w:val="24"/>
          <w:highlight w:val="none"/>
          <w:lang w:eastAsia="zh-CN"/>
        </w:rPr>
        <w:t>磋商文件</w:t>
      </w:r>
      <w:r>
        <w:rPr>
          <w:rFonts w:hint="eastAsia" w:ascii="宋体" w:hAnsi="宋体"/>
          <w:color w:val="auto"/>
          <w:sz w:val="24"/>
          <w:highlight w:val="none"/>
        </w:rPr>
        <w:t>包括以下内容,但不限于这些内容：</w:t>
      </w:r>
    </w:p>
    <w:p>
      <w:pPr>
        <w:tabs>
          <w:tab w:val="left" w:pos="3645"/>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eastAsia="zh-CN"/>
        </w:rPr>
        <w:t>磋商</w:t>
      </w:r>
      <w:r>
        <w:rPr>
          <w:rFonts w:hint="eastAsia" w:ascii="宋体" w:hAnsi="宋体"/>
          <w:color w:val="auto"/>
          <w:sz w:val="24"/>
          <w:highlight w:val="none"/>
        </w:rPr>
        <w:t>公告</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（2）供应商须知及前附表</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（3）评标办法</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（4）招标内容</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w:t>
      </w:r>
      <w:r>
        <w:rPr>
          <w:rFonts w:hint="eastAsia" w:ascii="宋体" w:hAnsi="宋体"/>
          <w:color w:val="auto"/>
          <w:sz w:val="24"/>
          <w:highlight w:val="none"/>
          <w:lang w:eastAsia="zh-CN"/>
        </w:rPr>
        <w:t>磋商响应文件</w:t>
      </w:r>
      <w:r>
        <w:rPr>
          <w:rFonts w:hint="eastAsia" w:ascii="宋体" w:hAnsi="宋体"/>
          <w:color w:val="auto"/>
          <w:sz w:val="24"/>
          <w:highlight w:val="none"/>
        </w:rPr>
        <w:t>》格式</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（6）合同条款及合同格式</w:t>
      </w:r>
    </w:p>
    <w:p>
      <w:pPr>
        <w:pStyle w:val="2"/>
        <w:spacing w:before="0" w:after="0" w:line="360" w:lineRule="auto"/>
        <w:rPr>
          <w:rFonts w:hint="eastAsia" w:ascii="宋体" w:hAnsi="宋体"/>
          <w:color w:val="auto"/>
          <w:sz w:val="24"/>
          <w:highlight w:val="none"/>
        </w:rPr>
      </w:pPr>
      <w:bookmarkStart w:id="111" w:name="_Toc392272740"/>
      <w:bookmarkStart w:id="112" w:name="_Toc390084852"/>
      <w:bookmarkStart w:id="113" w:name="_Toc440006348"/>
      <w:bookmarkStart w:id="114" w:name="_Toc229198022"/>
      <w:bookmarkStart w:id="115" w:name="_Toc91029999"/>
      <w:bookmarkStart w:id="116" w:name="_Toc458096894"/>
      <w:bookmarkStart w:id="117" w:name="_Toc440006301"/>
      <w:bookmarkStart w:id="118" w:name="_Toc91477249"/>
      <w:bookmarkStart w:id="119" w:name="_Toc440010887"/>
      <w:bookmarkStart w:id="120" w:name="_Toc390078410"/>
      <w:bookmarkStart w:id="121" w:name="_Toc443313543"/>
      <w:bookmarkStart w:id="122" w:name="_Toc139343533"/>
      <w:bookmarkStart w:id="123" w:name="_Toc485912317"/>
      <w:bookmarkStart w:id="124" w:name="_Toc443313392"/>
      <w:bookmarkStart w:id="125" w:name="_Toc89586889"/>
      <w:bookmarkStart w:id="126" w:name="_Toc89058528"/>
      <w:bookmarkStart w:id="127" w:name="_Toc390084376"/>
      <w:bookmarkStart w:id="128" w:name="_Toc390084916"/>
      <w:bookmarkStart w:id="129" w:name="_Toc484102387"/>
      <w:bookmarkStart w:id="130" w:name="_Toc457219450"/>
      <w:bookmarkStart w:id="131" w:name="_Toc469524750"/>
      <w:bookmarkStart w:id="132" w:name="_Toc440062292"/>
      <w:bookmarkStart w:id="133" w:name="_Toc274816711"/>
      <w:bookmarkStart w:id="134" w:name="_Toc469850048"/>
      <w:bookmarkStart w:id="135" w:name="_Toc440618804"/>
      <w:bookmarkStart w:id="136" w:name="_Toc389731524"/>
      <w:bookmarkStart w:id="137" w:name="_Toc89586890"/>
      <w:bookmarkStart w:id="138" w:name="_Toc274816712"/>
      <w:bookmarkStart w:id="139" w:name="_Toc139343534"/>
      <w:bookmarkStart w:id="140" w:name="_Toc91477250"/>
      <w:bookmarkStart w:id="141" w:name="_Toc229198023"/>
      <w:bookmarkStart w:id="142" w:name="_Toc91030000"/>
      <w:bookmarkStart w:id="143" w:name="_Toc469850049"/>
      <w:bookmarkStart w:id="144" w:name="_Toc89058529"/>
      <w:bookmarkStart w:id="145" w:name="_Toc139343536"/>
      <w:bookmarkStart w:id="146" w:name="_Toc91477252"/>
      <w:bookmarkStart w:id="147" w:name="_Toc89058531"/>
      <w:bookmarkStart w:id="148" w:name="_Toc274816714"/>
      <w:bookmarkStart w:id="149" w:name="_Toc89586892"/>
      <w:bookmarkStart w:id="150" w:name="_Toc91030002"/>
      <w:bookmarkStart w:id="151" w:name="_Toc229198025"/>
      <w:bookmarkStart w:id="152" w:name="_Toc469850051"/>
      <w:r>
        <w:rPr>
          <w:rFonts w:hint="eastAsia" w:ascii="宋体" w:hAnsi="宋体"/>
          <w:color w:val="auto"/>
          <w:sz w:val="24"/>
          <w:highlight w:val="none"/>
        </w:rPr>
        <w:t>2.</w:t>
      </w:r>
      <w:bookmarkEnd w:id="111"/>
      <w:r>
        <w:rPr>
          <w:rFonts w:hint="eastAsia" w:ascii="宋体" w:hAnsi="宋体"/>
          <w:color w:val="auto"/>
          <w:sz w:val="24"/>
          <w:highlight w:val="none"/>
        </w:rPr>
        <w:t>《</w:t>
      </w:r>
      <w:r>
        <w:rPr>
          <w:rFonts w:hint="eastAsia" w:ascii="宋体" w:hAnsi="宋体"/>
          <w:color w:val="auto"/>
          <w:sz w:val="24"/>
          <w:highlight w:val="none"/>
          <w:lang w:eastAsia="zh-CN"/>
        </w:rPr>
        <w:t>磋商文件</w:t>
      </w:r>
      <w:r>
        <w:rPr>
          <w:rFonts w:hint="eastAsia" w:ascii="宋体" w:hAnsi="宋体"/>
          <w:color w:val="auto"/>
          <w:sz w:val="24"/>
          <w:highlight w:val="none"/>
        </w:rPr>
        <w:t>》的澄清</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pPr>
        <w:tabs>
          <w:tab w:val="left" w:pos="525"/>
        </w:tabs>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供应商若对《</w:t>
      </w:r>
      <w:r>
        <w:rPr>
          <w:rFonts w:hint="eastAsia" w:ascii="宋体" w:hAnsi="宋体"/>
          <w:color w:val="auto"/>
          <w:sz w:val="24"/>
          <w:highlight w:val="none"/>
          <w:lang w:eastAsia="zh-CN"/>
        </w:rPr>
        <w:t>磋商文件</w:t>
      </w:r>
      <w:r>
        <w:rPr>
          <w:rFonts w:hint="eastAsia" w:ascii="宋体" w:hAnsi="宋体"/>
          <w:color w:val="auto"/>
          <w:sz w:val="24"/>
          <w:highlight w:val="none"/>
        </w:rPr>
        <w:t>》有任何疑问，根据 《中华人民共和国财政部令第</w:t>
      </w:r>
      <w:r>
        <w:rPr>
          <w:rFonts w:hint="eastAsia" w:ascii="宋体" w:hAnsi="宋体"/>
          <w:color w:val="auto"/>
          <w:sz w:val="24"/>
          <w:highlight w:val="none"/>
          <w:lang w:val="en-US" w:eastAsia="zh-CN"/>
        </w:rPr>
        <w:t>94</w:t>
      </w:r>
      <w:r>
        <w:rPr>
          <w:rFonts w:hint="eastAsia" w:ascii="宋体" w:hAnsi="宋体"/>
          <w:color w:val="auto"/>
          <w:sz w:val="24"/>
          <w:highlight w:val="none"/>
        </w:rPr>
        <w:t>号》第</w:t>
      </w:r>
      <w:r>
        <w:rPr>
          <w:rFonts w:hint="eastAsia" w:ascii="宋体" w:hAnsi="宋体"/>
          <w:color w:val="auto"/>
          <w:sz w:val="24"/>
          <w:highlight w:val="none"/>
          <w:lang w:eastAsia="zh-CN"/>
        </w:rPr>
        <w:t>十二条</w:t>
      </w:r>
      <w:r>
        <w:rPr>
          <w:rFonts w:hint="eastAsia" w:ascii="宋体" w:hAnsi="宋体"/>
          <w:color w:val="auto"/>
          <w:sz w:val="24"/>
          <w:highlight w:val="none"/>
        </w:rPr>
        <w:t>条规定，供应商应于投标截止日期前</w:t>
      </w:r>
      <w:r>
        <w:rPr>
          <w:rFonts w:hint="eastAsia" w:ascii="宋体" w:hAnsi="宋体"/>
          <w:color w:val="auto"/>
          <w:sz w:val="24"/>
          <w:highlight w:val="none"/>
          <w:lang w:val="en-US" w:eastAsia="zh-CN"/>
        </w:rPr>
        <w:t>3</w:t>
      </w:r>
      <w:r>
        <w:rPr>
          <w:rFonts w:hint="eastAsia" w:ascii="宋体" w:hAnsi="宋体"/>
          <w:color w:val="auto"/>
          <w:sz w:val="24"/>
          <w:highlight w:val="none"/>
        </w:rPr>
        <w:t>日以书面形式向招标代理机构提出澄清要求，送至招标代理机构。如认为有必要，招标代理机构将以书面形式予以澄清，同时将书面澄清文件向所有供应商发送。供应商在收到该澄清文件后，应于1日内以书面形式（加盖公章）向招标代理机构予以确认，该答复作为《</w:t>
      </w:r>
      <w:r>
        <w:rPr>
          <w:rFonts w:hint="eastAsia" w:ascii="宋体" w:hAnsi="宋体"/>
          <w:color w:val="auto"/>
          <w:sz w:val="24"/>
          <w:highlight w:val="none"/>
          <w:lang w:eastAsia="zh-CN"/>
        </w:rPr>
        <w:t>磋商文件</w:t>
      </w:r>
      <w:r>
        <w:rPr>
          <w:rFonts w:hint="eastAsia" w:ascii="宋体" w:hAnsi="宋体"/>
          <w:color w:val="auto"/>
          <w:sz w:val="24"/>
          <w:highlight w:val="none"/>
        </w:rPr>
        <w:t>》的组成部分，具有同《</w:t>
      </w:r>
      <w:r>
        <w:rPr>
          <w:rFonts w:hint="eastAsia" w:ascii="宋体" w:hAnsi="宋体"/>
          <w:color w:val="auto"/>
          <w:sz w:val="24"/>
          <w:highlight w:val="none"/>
          <w:lang w:eastAsia="zh-CN"/>
        </w:rPr>
        <w:t>磋商文件</w:t>
      </w:r>
      <w:r>
        <w:rPr>
          <w:rFonts w:hint="eastAsia" w:ascii="宋体" w:hAnsi="宋体"/>
          <w:color w:val="auto"/>
          <w:sz w:val="24"/>
          <w:highlight w:val="none"/>
        </w:rPr>
        <w:t>》同样的约束作用。未确认情况应当视为对</w:t>
      </w:r>
      <w:r>
        <w:rPr>
          <w:rFonts w:hint="eastAsia" w:ascii="宋体" w:hAnsi="宋体"/>
          <w:color w:val="auto"/>
          <w:sz w:val="24"/>
          <w:highlight w:val="none"/>
          <w:lang w:eastAsia="zh-CN"/>
        </w:rPr>
        <w:t>磋商文件</w:t>
      </w:r>
      <w:r>
        <w:rPr>
          <w:rFonts w:hint="eastAsia" w:ascii="宋体" w:hAnsi="宋体"/>
          <w:color w:val="auto"/>
          <w:sz w:val="24"/>
          <w:highlight w:val="none"/>
        </w:rPr>
        <w:t>修改的知晓，也将视为对修改内容接受的默认。对于未在</w:t>
      </w:r>
      <w:r>
        <w:rPr>
          <w:rFonts w:hint="eastAsia" w:ascii="宋体" w:hAnsi="宋体"/>
          <w:color w:val="auto"/>
          <w:sz w:val="24"/>
          <w:highlight w:val="none"/>
          <w:lang w:eastAsia="zh-CN"/>
        </w:rPr>
        <w:t>磋商响应文件</w:t>
      </w:r>
      <w:r>
        <w:rPr>
          <w:rFonts w:hint="eastAsia" w:ascii="宋体" w:hAnsi="宋体"/>
          <w:color w:val="auto"/>
          <w:sz w:val="24"/>
          <w:highlight w:val="none"/>
        </w:rPr>
        <w:t>中对修改内容做实质性响应的，对其产生的不利因素由未确认者自行承担。</w:t>
      </w:r>
    </w:p>
    <w:bookmarkEnd w:id="137"/>
    <w:bookmarkEnd w:id="138"/>
    <w:bookmarkEnd w:id="139"/>
    <w:bookmarkEnd w:id="140"/>
    <w:bookmarkEnd w:id="141"/>
    <w:bookmarkEnd w:id="142"/>
    <w:bookmarkEnd w:id="143"/>
    <w:bookmarkEnd w:id="144"/>
    <w:p>
      <w:pPr>
        <w:pStyle w:val="2"/>
        <w:spacing w:before="0" w:after="0" w:line="360" w:lineRule="auto"/>
        <w:rPr>
          <w:rFonts w:hint="eastAsia" w:ascii="宋体" w:hAnsi="宋体"/>
          <w:color w:val="auto"/>
          <w:sz w:val="24"/>
          <w:highlight w:val="none"/>
        </w:rPr>
      </w:pPr>
      <w:bookmarkStart w:id="153" w:name="_Toc440006349"/>
      <w:bookmarkStart w:id="154" w:name="_Toc440618805"/>
      <w:bookmarkStart w:id="155" w:name="_Toc443313393"/>
      <w:bookmarkStart w:id="156" w:name="_Toc440006302"/>
      <w:bookmarkStart w:id="157" w:name="_Toc484102388"/>
      <w:bookmarkStart w:id="158" w:name="_Toc457219451"/>
      <w:bookmarkStart w:id="159" w:name="_Toc458096895"/>
      <w:bookmarkStart w:id="160" w:name="_Toc443313544"/>
      <w:bookmarkStart w:id="161" w:name="_Toc469524751"/>
      <w:bookmarkStart w:id="162" w:name="_Toc389731525"/>
      <w:bookmarkStart w:id="163" w:name="_Toc390078411"/>
      <w:bookmarkStart w:id="164" w:name="_Toc440010888"/>
      <w:bookmarkStart w:id="165" w:name="_Toc390084377"/>
      <w:bookmarkStart w:id="166" w:name="_Toc390084853"/>
      <w:bookmarkStart w:id="167" w:name="_Toc440062293"/>
      <w:bookmarkStart w:id="168" w:name="_Toc485912318"/>
      <w:bookmarkStart w:id="169" w:name="_Toc390084917"/>
      <w:r>
        <w:rPr>
          <w:rFonts w:hint="eastAsia" w:ascii="宋体" w:hAnsi="宋体"/>
          <w:color w:val="auto"/>
          <w:sz w:val="24"/>
          <w:highlight w:val="none"/>
        </w:rPr>
        <w:t>3.《</w:t>
      </w:r>
      <w:r>
        <w:rPr>
          <w:rFonts w:hint="eastAsia" w:ascii="宋体" w:hAnsi="宋体"/>
          <w:color w:val="auto"/>
          <w:sz w:val="24"/>
          <w:highlight w:val="none"/>
          <w:lang w:eastAsia="zh-CN"/>
        </w:rPr>
        <w:t>磋商文件</w:t>
      </w:r>
      <w:r>
        <w:rPr>
          <w:rFonts w:hint="eastAsia" w:ascii="宋体" w:hAnsi="宋体"/>
          <w:color w:val="auto"/>
          <w:sz w:val="24"/>
          <w:highlight w:val="none"/>
        </w:rPr>
        <w:t>》的修改</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pPr>
        <w:tabs>
          <w:tab w:val="left" w:pos="-900"/>
        </w:tabs>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3.1投标截止期</w:t>
      </w:r>
      <w:r>
        <w:rPr>
          <w:rFonts w:hint="eastAsia" w:ascii="宋体" w:hAnsi="宋体"/>
          <w:color w:val="auto"/>
          <w:sz w:val="24"/>
          <w:highlight w:val="none"/>
          <w:lang w:val="en-US" w:eastAsia="zh-CN"/>
        </w:rPr>
        <w:t>3</w:t>
      </w:r>
      <w:r>
        <w:rPr>
          <w:rFonts w:hint="eastAsia" w:ascii="宋体" w:hAnsi="宋体"/>
          <w:color w:val="auto"/>
          <w:sz w:val="24"/>
          <w:highlight w:val="none"/>
        </w:rPr>
        <w:t>日前，无论出于何种原因，招标采购单位可主动地或在解答供应商提出的澄清问题时对《</w:t>
      </w:r>
      <w:r>
        <w:rPr>
          <w:rFonts w:hint="eastAsia" w:ascii="宋体" w:hAnsi="宋体"/>
          <w:color w:val="auto"/>
          <w:sz w:val="24"/>
          <w:highlight w:val="none"/>
          <w:lang w:eastAsia="zh-CN"/>
        </w:rPr>
        <w:t>磋商文件</w:t>
      </w:r>
      <w:r>
        <w:rPr>
          <w:rFonts w:hint="eastAsia" w:ascii="宋体" w:hAnsi="宋体"/>
          <w:color w:val="auto"/>
          <w:sz w:val="24"/>
          <w:highlight w:val="none"/>
        </w:rPr>
        <w:t>》进行修改，《</w:t>
      </w:r>
      <w:r>
        <w:rPr>
          <w:rFonts w:hint="eastAsia" w:ascii="宋体" w:hAnsi="宋体"/>
          <w:color w:val="auto"/>
          <w:sz w:val="24"/>
          <w:highlight w:val="none"/>
          <w:lang w:eastAsia="zh-CN"/>
        </w:rPr>
        <w:t>磋商文件</w:t>
      </w:r>
      <w:r>
        <w:rPr>
          <w:rFonts w:hint="eastAsia" w:ascii="宋体" w:hAnsi="宋体"/>
          <w:color w:val="auto"/>
          <w:sz w:val="24"/>
          <w:highlight w:val="none"/>
        </w:rPr>
        <w:t>》的修改书将构成《</w:t>
      </w:r>
      <w:r>
        <w:rPr>
          <w:rFonts w:hint="eastAsia" w:ascii="宋体" w:hAnsi="宋体"/>
          <w:color w:val="auto"/>
          <w:sz w:val="24"/>
          <w:highlight w:val="none"/>
          <w:lang w:eastAsia="zh-CN"/>
        </w:rPr>
        <w:t>磋商文件</w:t>
      </w:r>
      <w:r>
        <w:rPr>
          <w:rFonts w:hint="eastAsia" w:ascii="宋体" w:hAnsi="宋体"/>
          <w:color w:val="auto"/>
          <w:sz w:val="24"/>
          <w:highlight w:val="none"/>
        </w:rPr>
        <w:t>》的组成部分。</w:t>
      </w:r>
    </w:p>
    <w:p>
      <w:pPr>
        <w:tabs>
          <w:tab w:val="left" w:pos="-900"/>
        </w:tabs>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3.2《</w:t>
      </w:r>
      <w:r>
        <w:rPr>
          <w:rFonts w:hint="eastAsia" w:ascii="宋体" w:hAnsi="宋体"/>
          <w:color w:val="auto"/>
          <w:sz w:val="24"/>
          <w:highlight w:val="none"/>
          <w:lang w:eastAsia="zh-CN"/>
        </w:rPr>
        <w:t>磋商文件</w:t>
      </w:r>
      <w:r>
        <w:rPr>
          <w:rFonts w:hint="eastAsia" w:ascii="宋体" w:hAnsi="宋体"/>
          <w:color w:val="auto"/>
          <w:sz w:val="24"/>
          <w:highlight w:val="none"/>
        </w:rPr>
        <w:t>》的修改将以书面形式通知所有获取《</w:t>
      </w:r>
      <w:r>
        <w:rPr>
          <w:rFonts w:hint="eastAsia" w:ascii="宋体" w:hAnsi="宋体"/>
          <w:color w:val="auto"/>
          <w:sz w:val="24"/>
          <w:highlight w:val="none"/>
          <w:lang w:eastAsia="zh-CN"/>
        </w:rPr>
        <w:t>磋商文件</w:t>
      </w:r>
      <w:r>
        <w:rPr>
          <w:rFonts w:hint="eastAsia" w:ascii="宋体" w:hAnsi="宋体"/>
          <w:color w:val="auto"/>
          <w:sz w:val="24"/>
          <w:highlight w:val="none"/>
        </w:rPr>
        <w:t>》的投标单位，并对其具有约束力。供应商在收到上述通知后，应于1日内以书面形式（加盖公章）向招标代理机构予以确认。未确认情况应当视为对</w:t>
      </w:r>
      <w:r>
        <w:rPr>
          <w:rFonts w:hint="eastAsia" w:ascii="宋体" w:hAnsi="宋体"/>
          <w:color w:val="auto"/>
          <w:sz w:val="24"/>
          <w:highlight w:val="none"/>
          <w:lang w:eastAsia="zh-CN"/>
        </w:rPr>
        <w:t>磋商文件</w:t>
      </w:r>
      <w:r>
        <w:rPr>
          <w:rFonts w:hint="eastAsia" w:ascii="宋体" w:hAnsi="宋体"/>
          <w:color w:val="auto"/>
          <w:sz w:val="24"/>
          <w:highlight w:val="none"/>
        </w:rPr>
        <w:t>修改的知晓，也将视为对修改内容接受的默认。</w:t>
      </w:r>
    </w:p>
    <w:p>
      <w:pPr>
        <w:tabs>
          <w:tab w:val="left" w:pos="-900"/>
        </w:tabs>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3.3为使供应商在编制《</w:t>
      </w:r>
      <w:r>
        <w:rPr>
          <w:rFonts w:hint="eastAsia" w:ascii="宋体" w:hAnsi="宋体"/>
          <w:color w:val="auto"/>
          <w:sz w:val="24"/>
          <w:highlight w:val="none"/>
          <w:lang w:eastAsia="zh-CN"/>
        </w:rPr>
        <w:t>磋商响应文件</w:t>
      </w:r>
      <w:r>
        <w:rPr>
          <w:rFonts w:hint="eastAsia" w:ascii="宋体" w:hAnsi="宋体"/>
          <w:color w:val="auto"/>
          <w:sz w:val="24"/>
          <w:highlight w:val="none"/>
        </w:rPr>
        <w:t>》时有充分时间对《</w:t>
      </w:r>
      <w:r>
        <w:rPr>
          <w:rFonts w:hint="eastAsia" w:ascii="宋体" w:hAnsi="宋体"/>
          <w:color w:val="auto"/>
          <w:sz w:val="24"/>
          <w:highlight w:val="none"/>
          <w:lang w:eastAsia="zh-CN"/>
        </w:rPr>
        <w:t>磋商文件</w:t>
      </w:r>
      <w:r>
        <w:rPr>
          <w:rFonts w:hint="eastAsia" w:ascii="宋体" w:hAnsi="宋体"/>
          <w:color w:val="auto"/>
          <w:sz w:val="24"/>
          <w:highlight w:val="none"/>
        </w:rPr>
        <w:t>》的修改部分进行研究，招标代理机构可自行决定是否延长投标截止日期和推迟开标时间，并通知全部供应商。</w:t>
      </w:r>
    </w:p>
    <w:p>
      <w:pPr>
        <w:pStyle w:val="11"/>
        <w:spacing w:line="360" w:lineRule="auto"/>
        <w:outlineLvl w:val="2"/>
        <w:rPr>
          <w:rFonts w:hint="eastAsia"/>
          <w:color w:val="auto"/>
          <w:highlight w:val="none"/>
        </w:rPr>
      </w:pPr>
      <w:bookmarkStart w:id="170" w:name="_Toc19932"/>
      <w:bookmarkStart w:id="171" w:name="_Toc5849"/>
      <w:bookmarkStart w:id="172" w:name="_Toc476758948"/>
      <w:r>
        <w:rPr>
          <w:rFonts w:hint="eastAsia" w:ascii="宋体" w:hAnsi="宋体"/>
          <w:color w:val="auto"/>
          <w:sz w:val="28"/>
          <w:szCs w:val="28"/>
          <w:highlight w:val="none"/>
        </w:rPr>
        <w:t>（四）《</w:t>
      </w:r>
      <w:r>
        <w:rPr>
          <w:rFonts w:hint="eastAsia" w:ascii="宋体" w:hAnsi="宋体"/>
          <w:color w:val="auto"/>
          <w:sz w:val="28"/>
          <w:szCs w:val="28"/>
          <w:highlight w:val="none"/>
          <w:lang w:eastAsia="zh-CN"/>
        </w:rPr>
        <w:t>磋商响应文件</w:t>
      </w:r>
      <w:r>
        <w:rPr>
          <w:rFonts w:hint="eastAsia" w:ascii="宋体" w:hAnsi="宋体"/>
          <w:color w:val="auto"/>
          <w:sz w:val="28"/>
          <w:szCs w:val="28"/>
          <w:highlight w:val="none"/>
        </w:rPr>
        <w:t>》的编制</w:t>
      </w:r>
      <w:bookmarkEnd w:id="170"/>
      <w:bookmarkEnd w:id="171"/>
      <w:bookmarkEnd w:id="172"/>
    </w:p>
    <w:bookmarkEnd w:id="145"/>
    <w:bookmarkEnd w:id="146"/>
    <w:bookmarkEnd w:id="147"/>
    <w:bookmarkEnd w:id="148"/>
    <w:bookmarkEnd w:id="149"/>
    <w:bookmarkEnd w:id="150"/>
    <w:bookmarkEnd w:id="151"/>
    <w:bookmarkEnd w:id="152"/>
    <w:p>
      <w:pPr>
        <w:pStyle w:val="2"/>
        <w:spacing w:before="0" w:after="0" w:line="360" w:lineRule="auto"/>
        <w:rPr>
          <w:rFonts w:hint="eastAsia" w:ascii="宋体" w:hAnsi="宋体"/>
          <w:color w:val="auto"/>
          <w:sz w:val="24"/>
          <w:highlight w:val="none"/>
        </w:rPr>
      </w:pPr>
      <w:bookmarkStart w:id="173" w:name="_Toc443313395"/>
      <w:bookmarkStart w:id="174" w:name="_Toc440006351"/>
      <w:bookmarkStart w:id="175" w:name="_Toc440618807"/>
      <w:bookmarkStart w:id="176" w:name="_Toc458096897"/>
      <w:bookmarkStart w:id="177" w:name="_Toc440062295"/>
      <w:bookmarkStart w:id="178" w:name="_Toc395785342"/>
      <w:bookmarkStart w:id="179" w:name="_Toc457219453"/>
      <w:bookmarkStart w:id="180" w:name="_Toc440010890"/>
      <w:bookmarkStart w:id="181" w:name="_Toc485912320"/>
      <w:bookmarkStart w:id="182" w:name="_Toc484102390"/>
      <w:bookmarkStart w:id="183" w:name="_Toc443313546"/>
      <w:bookmarkStart w:id="184" w:name="_Toc469524753"/>
      <w:bookmarkStart w:id="185" w:name="_Toc390084379"/>
      <w:bookmarkStart w:id="186" w:name="_Toc389731527"/>
      <w:bookmarkStart w:id="187" w:name="_Toc390084919"/>
      <w:bookmarkStart w:id="188" w:name="_Toc390084855"/>
      <w:bookmarkStart w:id="189" w:name="_Toc390078413"/>
      <w:bookmarkStart w:id="190" w:name="_Toc274816716"/>
      <w:bookmarkStart w:id="191" w:name="_Toc229198027"/>
      <w:bookmarkStart w:id="192" w:name="_Toc91477254"/>
      <w:bookmarkStart w:id="193" w:name="_Toc469850052"/>
      <w:bookmarkStart w:id="194" w:name="_Toc139343538"/>
      <w:bookmarkStart w:id="195" w:name="_Toc89586894"/>
      <w:bookmarkStart w:id="196" w:name="_Toc91030004"/>
      <w:bookmarkStart w:id="197" w:name="_Toc89058533"/>
      <w:r>
        <w:rPr>
          <w:rFonts w:hint="eastAsia" w:ascii="宋体" w:hAnsi="宋体" w:eastAsia="宋体" w:cs="Times New Roman"/>
          <w:bCs/>
          <w:color w:val="auto"/>
          <w:sz w:val="24"/>
          <w:highlight w:val="none"/>
        </w:rPr>
        <w:t>★</w:t>
      </w:r>
      <w:r>
        <w:rPr>
          <w:rFonts w:hint="eastAsia" w:ascii="宋体" w:hAnsi="宋体"/>
          <w:color w:val="auto"/>
          <w:sz w:val="24"/>
          <w:highlight w:val="none"/>
        </w:rPr>
        <w:t>1. 《</w:t>
      </w:r>
      <w:r>
        <w:rPr>
          <w:rFonts w:hint="eastAsia" w:ascii="宋体" w:hAnsi="宋体"/>
          <w:color w:val="auto"/>
          <w:sz w:val="24"/>
          <w:highlight w:val="none"/>
          <w:lang w:eastAsia="zh-CN"/>
        </w:rPr>
        <w:t>磋商响应文件</w:t>
      </w:r>
      <w:r>
        <w:rPr>
          <w:rFonts w:hint="eastAsia" w:ascii="宋体" w:hAnsi="宋体"/>
          <w:color w:val="auto"/>
          <w:sz w:val="24"/>
          <w:highlight w:val="none"/>
        </w:rPr>
        <w:t>》编制要求</w:t>
      </w:r>
      <w:bookmarkEnd w:id="173"/>
      <w:bookmarkEnd w:id="174"/>
      <w:bookmarkEnd w:id="175"/>
      <w:bookmarkEnd w:id="176"/>
      <w:bookmarkEnd w:id="177"/>
      <w:bookmarkEnd w:id="178"/>
      <w:bookmarkEnd w:id="179"/>
      <w:bookmarkEnd w:id="180"/>
      <w:bookmarkEnd w:id="181"/>
      <w:bookmarkEnd w:id="182"/>
      <w:bookmarkEnd w:id="183"/>
      <w:bookmarkEnd w:id="184"/>
    </w:p>
    <w:p>
      <w:pPr>
        <w:tabs>
          <w:tab w:val="left" w:pos="1276"/>
        </w:tabs>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1）供应商应仔细阅读和充分理解《</w:t>
      </w:r>
      <w:r>
        <w:rPr>
          <w:rFonts w:hint="eastAsia" w:ascii="宋体" w:hAnsi="宋体"/>
          <w:color w:val="auto"/>
          <w:sz w:val="24"/>
          <w:highlight w:val="none"/>
          <w:lang w:eastAsia="zh-CN"/>
        </w:rPr>
        <w:t>磋商文件</w:t>
      </w:r>
      <w:r>
        <w:rPr>
          <w:rFonts w:hint="eastAsia" w:ascii="宋体" w:hAnsi="宋体"/>
          <w:color w:val="auto"/>
          <w:sz w:val="24"/>
          <w:highlight w:val="none"/>
        </w:rPr>
        <w:t>》中所有的事项、格式、条款等要求，并按照《</w:t>
      </w:r>
      <w:r>
        <w:rPr>
          <w:rFonts w:hint="eastAsia" w:ascii="宋体" w:hAnsi="宋体"/>
          <w:color w:val="auto"/>
          <w:sz w:val="24"/>
          <w:highlight w:val="none"/>
          <w:lang w:eastAsia="zh-CN"/>
        </w:rPr>
        <w:t>磋商文件</w:t>
      </w:r>
      <w:r>
        <w:rPr>
          <w:rFonts w:hint="eastAsia" w:ascii="宋体" w:hAnsi="宋体"/>
          <w:color w:val="auto"/>
          <w:sz w:val="24"/>
          <w:highlight w:val="none"/>
        </w:rPr>
        <w:t>》的“</w:t>
      </w:r>
      <w:r>
        <w:rPr>
          <w:rFonts w:hint="eastAsia" w:ascii="宋体" w:hAnsi="宋体"/>
          <w:color w:val="auto"/>
          <w:sz w:val="24"/>
          <w:highlight w:val="none"/>
          <w:lang w:eastAsia="zh-CN"/>
        </w:rPr>
        <w:t>磋商响应文件</w:t>
      </w:r>
      <w:r>
        <w:rPr>
          <w:rFonts w:hint="eastAsia" w:ascii="宋体" w:hAnsi="宋体"/>
          <w:color w:val="auto"/>
          <w:sz w:val="24"/>
          <w:highlight w:val="none"/>
        </w:rPr>
        <w:t>格式”规定及要求内容的格式提交完整的《</w:t>
      </w:r>
      <w:r>
        <w:rPr>
          <w:rFonts w:hint="eastAsia" w:ascii="宋体" w:hAnsi="宋体"/>
          <w:color w:val="auto"/>
          <w:sz w:val="24"/>
          <w:highlight w:val="none"/>
          <w:lang w:eastAsia="zh-CN"/>
        </w:rPr>
        <w:t>磋商响应文件</w:t>
      </w:r>
      <w:r>
        <w:rPr>
          <w:rFonts w:hint="eastAsia" w:ascii="宋体" w:hAnsi="宋体"/>
          <w:color w:val="auto"/>
          <w:sz w:val="24"/>
          <w:highlight w:val="none"/>
        </w:rPr>
        <w:t>》。</w:t>
      </w:r>
      <w:r>
        <w:rPr>
          <w:rFonts w:hint="eastAsia" w:ascii="宋体" w:hAnsi="宋体"/>
          <w:b/>
          <w:bCs/>
          <w:color w:val="auto"/>
          <w:sz w:val="24"/>
          <w:highlight w:val="none"/>
          <w:lang w:eastAsia="zh-CN"/>
        </w:rPr>
        <w:t>磋商响应文件</w:t>
      </w:r>
      <w:r>
        <w:rPr>
          <w:rFonts w:hint="eastAsia" w:ascii="宋体" w:hAnsi="宋体"/>
          <w:b/>
          <w:bCs/>
          <w:color w:val="auto"/>
          <w:sz w:val="24"/>
          <w:highlight w:val="none"/>
        </w:rPr>
        <w:t>应使用中文、编排有序，并按要求编制文件目录和页码，</w:t>
      </w:r>
      <w:r>
        <w:rPr>
          <w:rFonts w:hint="eastAsia" w:ascii="宋体" w:hAnsi="宋体"/>
          <w:b/>
          <w:bCs/>
          <w:color w:val="auto"/>
          <w:sz w:val="24"/>
          <w:highlight w:val="none"/>
          <w:lang w:val="en-US" w:eastAsia="zh-CN"/>
        </w:rPr>
        <w:t>编页码从正文目录后一页开始自编页码，</w:t>
      </w:r>
      <w:r>
        <w:rPr>
          <w:rFonts w:hint="eastAsia" w:ascii="宋体" w:hAnsi="宋体"/>
          <w:b/>
          <w:bCs/>
          <w:color w:val="auto"/>
          <w:sz w:val="24"/>
          <w:highlight w:val="none"/>
        </w:rPr>
        <w:t>准确标明文件内容所在位置。</w:t>
      </w:r>
      <w:r>
        <w:rPr>
          <w:rFonts w:hint="eastAsia" w:ascii="宋体" w:hAnsi="宋体"/>
          <w:color w:val="auto"/>
          <w:sz w:val="24"/>
          <w:highlight w:val="none"/>
        </w:rPr>
        <w:t>供应商没有对</w:t>
      </w:r>
      <w:r>
        <w:rPr>
          <w:rFonts w:hint="eastAsia" w:ascii="宋体" w:hAnsi="宋体"/>
          <w:color w:val="auto"/>
          <w:sz w:val="24"/>
          <w:highlight w:val="none"/>
          <w:lang w:eastAsia="zh-CN"/>
        </w:rPr>
        <w:t>磋商文件</w:t>
      </w:r>
      <w:r>
        <w:rPr>
          <w:rFonts w:hint="eastAsia" w:ascii="宋体" w:hAnsi="宋体"/>
          <w:color w:val="auto"/>
          <w:sz w:val="24"/>
          <w:highlight w:val="none"/>
        </w:rPr>
        <w:t>全面做出实质性响应是供应商的风险。没有按照</w:t>
      </w:r>
      <w:r>
        <w:rPr>
          <w:rFonts w:hint="eastAsia" w:ascii="宋体" w:hAnsi="宋体"/>
          <w:color w:val="auto"/>
          <w:sz w:val="24"/>
          <w:highlight w:val="none"/>
          <w:lang w:eastAsia="zh-CN"/>
        </w:rPr>
        <w:t>磋商文件</w:t>
      </w:r>
      <w:r>
        <w:rPr>
          <w:rFonts w:hint="eastAsia" w:ascii="宋体" w:hAnsi="宋体"/>
          <w:color w:val="auto"/>
          <w:sz w:val="24"/>
          <w:highlight w:val="none"/>
        </w:rPr>
        <w:t>要求作出实质性响应的</w:t>
      </w:r>
      <w:r>
        <w:rPr>
          <w:rFonts w:hint="eastAsia" w:ascii="宋体" w:hAnsi="宋体"/>
          <w:color w:val="auto"/>
          <w:sz w:val="24"/>
          <w:highlight w:val="none"/>
          <w:lang w:eastAsia="zh-CN"/>
        </w:rPr>
        <w:t>磋商响应文件</w:t>
      </w:r>
      <w:r>
        <w:rPr>
          <w:rFonts w:hint="eastAsia" w:ascii="宋体" w:hAnsi="宋体"/>
          <w:color w:val="auto"/>
          <w:sz w:val="24"/>
          <w:highlight w:val="none"/>
        </w:rPr>
        <w:t>将被拒绝。</w:t>
      </w:r>
    </w:p>
    <w:p>
      <w:pPr>
        <w:spacing w:line="360" w:lineRule="auto"/>
        <w:rPr>
          <w:rFonts w:hint="eastAsia" w:ascii="宋体" w:hAnsi="宋体"/>
          <w:color w:val="auto"/>
          <w:sz w:val="24"/>
          <w:highlight w:val="none"/>
        </w:rPr>
      </w:pPr>
      <w:r>
        <w:rPr>
          <w:rFonts w:hint="eastAsia" w:ascii="宋体" w:hAnsi="宋体"/>
          <w:color w:val="auto"/>
          <w:sz w:val="24"/>
          <w:highlight w:val="none"/>
        </w:rPr>
        <w:t xml:space="preserve">    2）</w:t>
      </w:r>
      <w:r>
        <w:rPr>
          <w:rFonts w:hint="eastAsia" w:ascii="宋体" w:hAnsi="宋体"/>
          <w:color w:val="auto"/>
          <w:sz w:val="24"/>
          <w:highlight w:val="none"/>
          <w:lang w:eastAsia="zh-CN"/>
        </w:rPr>
        <w:t>磋商响应文件</w:t>
      </w:r>
      <w:r>
        <w:rPr>
          <w:rFonts w:hint="eastAsia" w:ascii="宋体" w:hAnsi="宋体"/>
          <w:color w:val="auto"/>
          <w:sz w:val="24"/>
          <w:highlight w:val="none"/>
        </w:rPr>
        <w:t>应字迹清楚，内容齐全，不得涂改和增删。如有修改错漏处，必须由供应商法定代表人或其授权代表签字。资格证明材料的复印件应是清晰可辨并加盖供应商鲜章。</w:t>
      </w:r>
    </w:p>
    <w:p>
      <w:pPr>
        <w:numPr>
          <w:ilvl w:val="0"/>
          <w:numId w:val="4"/>
        </w:num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磋商响应文件</w:t>
      </w:r>
      <w:r>
        <w:rPr>
          <w:rFonts w:hint="eastAsia" w:ascii="宋体" w:hAnsi="宋体"/>
          <w:color w:val="auto"/>
          <w:sz w:val="24"/>
          <w:highlight w:val="none"/>
        </w:rPr>
        <w:t>所提供的全部资料必须真实可靠。若</w:t>
      </w:r>
      <w:r>
        <w:rPr>
          <w:rFonts w:hint="eastAsia" w:ascii="宋体" w:hAnsi="宋体"/>
          <w:color w:val="auto"/>
          <w:sz w:val="24"/>
          <w:highlight w:val="none"/>
          <w:lang w:eastAsia="zh-CN"/>
        </w:rPr>
        <w:t>磋商响应文件</w:t>
      </w:r>
      <w:r>
        <w:rPr>
          <w:rFonts w:hint="eastAsia" w:ascii="宋体" w:hAnsi="宋体"/>
          <w:color w:val="auto"/>
          <w:sz w:val="24"/>
          <w:highlight w:val="none"/>
        </w:rPr>
        <w:t>填报的内容资料不详，或提供了虚假资料，其</w:t>
      </w:r>
      <w:r>
        <w:rPr>
          <w:rFonts w:hint="eastAsia" w:ascii="宋体" w:hAnsi="宋体"/>
          <w:color w:val="auto"/>
          <w:sz w:val="24"/>
          <w:highlight w:val="none"/>
          <w:lang w:eastAsia="zh-CN"/>
        </w:rPr>
        <w:t>磋商响应文件</w:t>
      </w:r>
      <w:r>
        <w:rPr>
          <w:rFonts w:hint="eastAsia" w:ascii="宋体" w:hAnsi="宋体"/>
          <w:color w:val="auto"/>
          <w:sz w:val="24"/>
          <w:highlight w:val="none"/>
        </w:rPr>
        <w:t>为无效</w:t>
      </w:r>
      <w:r>
        <w:rPr>
          <w:rFonts w:hint="eastAsia" w:ascii="宋体" w:hAnsi="宋体"/>
          <w:color w:val="auto"/>
          <w:sz w:val="24"/>
          <w:highlight w:val="none"/>
          <w:lang w:eastAsia="zh-CN"/>
        </w:rPr>
        <w:t>磋商响应文件</w:t>
      </w:r>
      <w:r>
        <w:rPr>
          <w:rFonts w:hint="eastAsia" w:ascii="宋体" w:hAnsi="宋体"/>
          <w:color w:val="auto"/>
          <w:sz w:val="24"/>
          <w:highlight w:val="none"/>
        </w:rPr>
        <w:t>。</w:t>
      </w:r>
    </w:p>
    <w:p>
      <w:pPr>
        <w:numPr>
          <w:ilvl w:val="0"/>
          <w:numId w:val="4"/>
        </w:num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磋商响应文件</w:t>
      </w:r>
      <w:r>
        <w:rPr>
          <w:rFonts w:hint="eastAsia" w:ascii="宋体" w:hAnsi="宋体"/>
          <w:color w:val="auto"/>
          <w:sz w:val="24"/>
          <w:highlight w:val="none"/>
        </w:rPr>
        <w:t>应严格按照</w:t>
      </w:r>
      <w:r>
        <w:rPr>
          <w:rFonts w:hint="eastAsia" w:ascii="宋体" w:hAnsi="宋体"/>
          <w:color w:val="auto"/>
          <w:sz w:val="24"/>
          <w:highlight w:val="none"/>
          <w:lang w:eastAsia="zh-CN"/>
        </w:rPr>
        <w:t>磋商文件</w:t>
      </w:r>
      <w:r>
        <w:rPr>
          <w:rFonts w:hint="eastAsia" w:ascii="宋体" w:hAnsi="宋体"/>
          <w:color w:val="auto"/>
          <w:sz w:val="24"/>
          <w:highlight w:val="none"/>
        </w:rPr>
        <w:t>格式的要求提交，并按规定的统一格式逐项填写，不准有空项；无相应内容可填的项应填写“无”、“未测试”、“没有相应指标”等明确的回答文字。</w:t>
      </w:r>
      <w:bookmarkEnd w:id="185"/>
      <w:bookmarkEnd w:id="186"/>
      <w:bookmarkEnd w:id="187"/>
      <w:bookmarkEnd w:id="188"/>
      <w:bookmarkEnd w:id="189"/>
    </w:p>
    <w:p>
      <w:pPr>
        <w:numPr>
          <w:ilvl w:val="0"/>
          <w:numId w:val="4"/>
        </w:numPr>
        <w:spacing w:line="360" w:lineRule="auto"/>
        <w:ind w:firstLine="480" w:firstLineChars="200"/>
        <w:rPr>
          <w:rFonts w:hint="eastAsia" w:ascii="宋体" w:hAnsi="宋体"/>
          <w:color w:val="auto"/>
          <w:sz w:val="24"/>
          <w:highlight w:val="none"/>
        </w:rPr>
      </w:pPr>
      <w:r>
        <w:rPr>
          <w:rFonts w:hint="eastAsia" w:ascii="宋体" w:hAnsi="宋体"/>
          <w:bCs/>
          <w:color w:val="auto"/>
          <w:sz w:val="24"/>
          <w:highlight w:val="none"/>
        </w:rPr>
        <w:t>投标语言：</w:t>
      </w:r>
      <w:r>
        <w:rPr>
          <w:rFonts w:hint="eastAsia" w:ascii="宋体" w:hAnsi="宋体" w:cs="仿宋_GB2312"/>
          <w:color w:val="auto"/>
          <w:sz w:val="24"/>
          <w:highlight w:val="none"/>
        </w:rPr>
        <w:t>除专用术语外，与招标投标有关的</w:t>
      </w:r>
      <w:r>
        <w:rPr>
          <w:rFonts w:hint="eastAsia" w:ascii="宋体" w:hAnsi="宋体"/>
          <w:color w:val="auto"/>
          <w:sz w:val="24"/>
          <w:highlight w:val="none"/>
          <w:lang w:eastAsia="zh-CN"/>
        </w:rPr>
        <w:t>磋商响应文件</w:t>
      </w:r>
      <w:r>
        <w:rPr>
          <w:rFonts w:hint="eastAsia" w:ascii="宋体" w:hAnsi="宋体"/>
          <w:color w:val="auto"/>
          <w:sz w:val="24"/>
          <w:highlight w:val="none"/>
        </w:rPr>
        <w:t>、投标交换的文件和往来信件应</w:t>
      </w:r>
      <w:r>
        <w:rPr>
          <w:rFonts w:hint="eastAsia" w:ascii="宋体" w:hAnsi="宋体" w:cs="仿宋_GB2312"/>
          <w:color w:val="auto"/>
          <w:sz w:val="24"/>
          <w:highlight w:val="none"/>
        </w:rPr>
        <w:t>均使用中文。必要时专用术语应附有中文注释。</w:t>
      </w:r>
    </w:p>
    <w:p>
      <w:pPr>
        <w:numPr>
          <w:ilvl w:val="0"/>
          <w:numId w:val="4"/>
        </w:numPr>
        <w:spacing w:line="360" w:lineRule="auto"/>
        <w:ind w:firstLine="480" w:firstLineChars="200"/>
        <w:rPr>
          <w:rFonts w:hint="eastAsia" w:ascii="宋体" w:hAnsi="宋体"/>
          <w:color w:val="auto"/>
          <w:sz w:val="24"/>
          <w:highlight w:val="none"/>
        </w:rPr>
      </w:pPr>
      <w:r>
        <w:rPr>
          <w:rFonts w:hint="eastAsia" w:ascii="宋体" w:hAnsi="宋体"/>
          <w:bCs/>
          <w:color w:val="auto"/>
          <w:sz w:val="24"/>
          <w:highlight w:val="none"/>
        </w:rPr>
        <w:t>计量单位：</w:t>
      </w:r>
      <w:r>
        <w:rPr>
          <w:rFonts w:hint="eastAsia" w:ascii="宋体" w:hAnsi="宋体"/>
          <w:color w:val="auto"/>
          <w:sz w:val="24"/>
          <w:highlight w:val="none"/>
        </w:rPr>
        <w:t>除法律规范中另有规定外，</w:t>
      </w:r>
      <w:r>
        <w:rPr>
          <w:rFonts w:hint="eastAsia" w:ascii="宋体" w:hAnsi="宋体"/>
          <w:color w:val="auto"/>
          <w:sz w:val="24"/>
          <w:highlight w:val="none"/>
          <w:lang w:eastAsia="zh-CN"/>
        </w:rPr>
        <w:t>磋商响应文件</w:t>
      </w:r>
      <w:r>
        <w:rPr>
          <w:rFonts w:hint="eastAsia" w:ascii="宋体" w:hAnsi="宋体"/>
          <w:color w:val="auto"/>
          <w:sz w:val="24"/>
          <w:highlight w:val="none"/>
        </w:rPr>
        <w:t>使用的度量衡单位，均应使用中华人民共和国法定计量单位。</w:t>
      </w:r>
    </w:p>
    <w:p>
      <w:pPr>
        <w:numPr>
          <w:ilvl w:val="0"/>
          <w:numId w:val="4"/>
        </w:numPr>
        <w:spacing w:line="360" w:lineRule="auto"/>
        <w:ind w:firstLine="482" w:firstLineChars="200"/>
        <w:rPr>
          <w:rFonts w:hint="eastAsia" w:ascii="宋体" w:hAnsi="宋体"/>
          <w:color w:val="auto"/>
          <w:sz w:val="24"/>
          <w:highlight w:val="none"/>
        </w:rPr>
      </w:pPr>
      <w:r>
        <w:rPr>
          <w:rFonts w:hint="eastAsia" w:ascii="宋体" w:hAnsi="宋体" w:cs="宋体"/>
          <w:b/>
          <w:color w:val="auto"/>
          <w:sz w:val="24"/>
          <w:highlight w:val="none"/>
        </w:rPr>
        <w:t>投标货币：</w:t>
      </w:r>
      <w:r>
        <w:rPr>
          <w:rFonts w:hint="eastAsia" w:ascii="宋体" w:hAnsi="宋体"/>
          <w:b/>
          <w:color w:val="auto"/>
          <w:sz w:val="24"/>
          <w:highlight w:val="none"/>
        </w:rPr>
        <w:t>本次招标项目的投标均以人民币报价</w:t>
      </w:r>
      <w:r>
        <w:rPr>
          <w:rFonts w:hint="eastAsia" w:ascii="宋体" w:hAnsi="宋体"/>
          <w:color w:val="auto"/>
          <w:sz w:val="24"/>
          <w:highlight w:val="none"/>
        </w:rPr>
        <w:t>。</w:t>
      </w:r>
    </w:p>
    <w:p>
      <w:pPr>
        <w:numPr>
          <w:ilvl w:val="0"/>
          <w:numId w:val="4"/>
        </w:numPr>
        <w:spacing w:line="360" w:lineRule="auto"/>
        <w:ind w:firstLine="480" w:firstLineChars="200"/>
        <w:rPr>
          <w:rFonts w:hint="eastAsia" w:ascii="宋体" w:hAnsi="宋体"/>
          <w:color w:val="auto"/>
          <w:sz w:val="24"/>
          <w:highlight w:val="none"/>
        </w:rPr>
      </w:pPr>
      <w:r>
        <w:rPr>
          <w:rFonts w:hint="eastAsia" w:ascii="宋体" w:hAnsi="宋体" w:cs="宋体"/>
          <w:bCs/>
          <w:color w:val="auto"/>
          <w:sz w:val="24"/>
          <w:highlight w:val="none"/>
        </w:rPr>
        <w:t>联合投标：</w:t>
      </w:r>
      <w:r>
        <w:rPr>
          <w:rFonts w:hint="eastAsia" w:ascii="宋体" w:hAnsi="宋体"/>
          <w:color w:val="auto"/>
          <w:sz w:val="24"/>
          <w:highlight w:val="none"/>
        </w:rPr>
        <w:t>本项目不接受联合体投标。</w:t>
      </w:r>
    </w:p>
    <w:p>
      <w:pPr>
        <w:pStyle w:val="2"/>
        <w:spacing w:before="0" w:after="0" w:line="360" w:lineRule="auto"/>
        <w:rPr>
          <w:rFonts w:hint="eastAsia" w:ascii="宋体" w:hAnsi="宋体"/>
          <w:color w:val="auto"/>
          <w:sz w:val="24"/>
          <w:highlight w:val="none"/>
        </w:rPr>
      </w:pPr>
      <w:bookmarkStart w:id="198" w:name="_Toc458096898"/>
      <w:bookmarkStart w:id="199" w:name="_Toc469524754"/>
      <w:bookmarkStart w:id="200" w:name="_Toc484102391"/>
      <w:bookmarkStart w:id="201" w:name="_Toc485912321"/>
      <w:r>
        <w:rPr>
          <w:rFonts w:hint="eastAsia" w:ascii="宋体" w:hAnsi="宋体"/>
          <w:color w:val="auto"/>
          <w:sz w:val="24"/>
          <w:highlight w:val="none"/>
        </w:rPr>
        <w:t>2.《</w:t>
      </w:r>
      <w:r>
        <w:rPr>
          <w:rFonts w:hint="eastAsia" w:ascii="宋体" w:hAnsi="宋体"/>
          <w:color w:val="auto"/>
          <w:sz w:val="24"/>
          <w:highlight w:val="none"/>
          <w:lang w:eastAsia="zh-CN"/>
        </w:rPr>
        <w:t>磋商响应文件</w:t>
      </w:r>
      <w:r>
        <w:rPr>
          <w:rFonts w:hint="eastAsia" w:ascii="宋体" w:hAnsi="宋体"/>
          <w:color w:val="auto"/>
          <w:sz w:val="24"/>
          <w:highlight w:val="none"/>
        </w:rPr>
        <w:t>》的组成</w:t>
      </w:r>
      <w:bookmarkEnd w:id="198"/>
      <w:bookmarkEnd w:id="199"/>
      <w:bookmarkEnd w:id="200"/>
      <w:bookmarkEnd w:id="201"/>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磋商响应文件</w:t>
      </w:r>
      <w:r>
        <w:rPr>
          <w:rFonts w:hint="eastAsia" w:ascii="宋体" w:hAnsi="宋体"/>
          <w:color w:val="auto"/>
          <w:sz w:val="24"/>
          <w:highlight w:val="none"/>
        </w:rPr>
        <w:t>》应由商务文件部分（包括资格证明文件）、技术文件部分（包括技术响应、</w:t>
      </w:r>
      <w:r>
        <w:rPr>
          <w:rFonts w:hint="eastAsia" w:ascii="宋体" w:hAnsi="宋体"/>
          <w:color w:val="auto"/>
          <w:sz w:val="24"/>
          <w:highlight w:val="none"/>
          <w:lang w:eastAsia="zh-CN"/>
        </w:rPr>
        <w:t>实施</w:t>
      </w:r>
      <w:r>
        <w:rPr>
          <w:rFonts w:hint="eastAsia" w:ascii="宋体" w:hAnsi="宋体"/>
          <w:color w:val="auto"/>
          <w:sz w:val="24"/>
          <w:highlight w:val="none"/>
        </w:rPr>
        <w:t>方案等）及其他部分组成，所有复印件须加盖公章。按如下顺序编制：</w:t>
      </w:r>
    </w:p>
    <w:bookmarkEnd w:id="190"/>
    <w:bookmarkEnd w:id="191"/>
    <w:bookmarkEnd w:id="192"/>
    <w:bookmarkEnd w:id="193"/>
    <w:bookmarkEnd w:id="194"/>
    <w:bookmarkEnd w:id="195"/>
    <w:bookmarkEnd w:id="196"/>
    <w:bookmarkEnd w:id="197"/>
    <w:p>
      <w:pPr>
        <w:spacing w:line="360" w:lineRule="auto"/>
        <w:ind w:firstLine="472" w:firstLineChars="196"/>
        <w:rPr>
          <w:rFonts w:hint="eastAsia" w:ascii="宋体" w:hAnsi="宋体"/>
          <w:b/>
          <w:color w:val="auto"/>
          <w:sz w:val="24"/>
          <w:highlight w:val="none"/>
        </w:rPr>
      </w:pPr>
      <w:bookmarkStart w:id="202" w:name="_Toc274816723"/>
      <w:bookmarkStart w:id="203" w:name="_Toc89058542"/>
      <w:bookmarkStart w:id="204" w:name="_Toc229198036"/>
      <w:bookmarkStart w:id="205" w:name="_Toc91477263"/>
      <w:bookmarkStart w:id="206" w:name="_Toc139343547"/>
      <w:bookmarkStart w:id="207" w:name="_Toc91030013"/>
      <w:bookmarkStart w:id="208" w:name="_Toc89586903"/>
      <w:bookmarkStart w:id="209" w:name="_Toc469850062"/>
      <w:r>
        <w:rPr>
          <w:rFonts w:hint="eastAsia" w:ascii="宋体" w:hAnsi="宋体"/>
          <w:b/>
          <w:color w:val="auto"/>
          <w:sz w:val="24"/>
          <w:highlight w:val="none"/>
        </w:rPr>
        <w:t>2.1商务文件部分、</w:t>
      </w:r>
      <w:r>
        <w:rPr>
          <w:rFonts w:hint="eastAsia" w:ascii="宋体" w:hAnsi="宋体"/>
          <w:b/>
          <w:color w:val="auto"/>
          <w:sz w:val="24"/>
          <w:highlight w:val="none"/>
          <w:lang w:eastAsia="zh-CN"/>
        </w:rPr>
        <w:t>投标报价</w:t>
      </w:r>
      <w:r>
        <w:rPr>
          <w:rFonts w:hint="eastAsia" w:ascii="宋体" w:hAnsi="宋体"/>
          <w:b/>
          <w:color w:val="auto"/>
          <w:sz w:val="24"/>
          <w:highlight w:val="none"/>
        </w:rPr>
        <w:t>部分应包括：</w:t>
      </w:r>
    </w:p>
    <w:p>
      <w:pPr>
        <w:spacing w:line="360" w:lineRule="auto"/>
        <w:ind w:firstLine="470" w:firstLineChars="196"/>
        <w:rPr>
          <w:rFonts w:hint="eastAsia" w:ascii="宋体" w:hAnsi="宋体"/>
          <w:b/>
          <w:color w:val="auto"/>
          <w:sz w:val="24"/>
          <w:highlight w:val="none"/>
        </w:rPr>
      </w:pPr>
      <w:r>
        <w:rPr>
          <w:rFonts w:hint="eastAsia" w:ascii="宋体" w:hAnsi="宋体"/>
          <w:color w:val="auto"/>
          <w:sz w:val="24"/>
          <w:highlight w:val="none"/>
        </w:rPr>
        <w:t>目录（编制连续页码）</w:t>
      </w:r>
    </w:p>
    <w:p>
      <w:pPr>
        <w:numPr>
          <w:ilvl w:val="0"/>
          <w:numId w:val="5"/>
        </w:numPr>
        <w:spacing w:line="360" w:lineRule="auto"/>
        <w:ind w:left="570" w:leftChars="0" w:firstLineChars="0"/>
        <w:jc w:val="left"/>
        <w:rPr>
          <w:rFonts w:hint="eastAsia" w:ascii="宋体" w:hAnsi="宋体"/>
          <w:color w:val="auto"/>
          <w:sz w:val="24"/>
          <w:highlight w:val="none"/>
        </w:rPr>
      </w:pPr>
      <w:r>
        <w:rPr>
          <w:rFonts w:hint="eastAsia" w:ascii="宋体" w:hAnsi="宋体"/>
          <w:color w:val="auto"/>
          <w:sz w:val="24"/>
          <w:highlight w:val="none"/>
        </w:rPr>
        <w:t>投标函；</w:t>
      </w:r>
    </w:p>
    <w:p>
      <w:pPr>
        <w:numPr>
          <w:ilvl w:val="0"/>
          <w:numId w:val="5"/>
        </w:numPr>
        <w:spacing w:line="360" w:lineRule="auto"/>
        <w:ind w:left="570" w:leftChars="0" w:firstLineChars="0"/>
        <w:jc w:val="left"/>
        <w:rPr>
          <w:rFonts w:ascii="宋体" w:hAnsi="宋体"/>
          <w:b/>
          <w:bCs/>
          <w:color w:val="auto"/>
          <w:sz w:val="24"/>
          <w:highlight w:val="none"/>
        </w:rPr>
      </w:pPr>
      <w:r>
        <w:rPr>
          <w:rFonts w:hint="eastAsia" w:ascii="宋体" w:hAnsi="宋体"/>
          <w:color w:val="auto"/>
          <w:sz w:val="24"/>
          <w:highlight w:val="none"/>
        </w:rPr>
        <w:t>开标一览表；</w:t>
      </w:r>
    </w:p>
    <w:p>
      <w:pPr>
        <w:pStyle w:val="7"/>
        <w:numPr>
          <w:ilvl w:val="0"/>
          <w:numId w:val="5"/>
        </w:numPr>
        <w:spacing w:line="360" w:lineRule="auto"/>
        <w:ind w:left="570" w:leftChars="0" w:firstLineChars="0"/>
        <w:jc w:val="left"/>
        <w:rPr>
          <w:rFonts w:hint="eastAsia" w:hAnsi="宋体"/>
          <w:color w:val="auto"/>
          <w:sz w:val="24"/>
          <w:highlight w:val="none"/>
        </w:rPr>
      </w:pPr>
      <w:r>
        <w:rPr>
          <w:rFonts w:hint="eastAsia" w:hAnsi="宋体"/>
          <w:color w:val="auto"/>
          <w:sz w:val="24"/>
          <w:highlight w:val="none"/>
          <w:lang w:eastAsia="zh-CN"/>
        </w:rPr>
        <w:t>报价明细表</w:t>
      </w:r>
      <w:r>
        <w:rPr>
          <w:rFonts w:hint="eastAsia" w:ascii="宋体" w:hAnsi="宋体"/>
          <w:color w:val="auto"/>
          <w:sz w:val="24"/>
          <w:highlight w:val="none"/>
        </w:rPr>
        <w:t>；</w:t>
      </w:r>
    </w:p>
    <w:p>
      <w:pPr>
        <w:pStyle w:val="7"/>
        <w:numPr>
          <w:ilvl w:val="0"/>
          <w:numId w:val="5"/>
        </w:numPr>
        <w:spacing w:line="360" w:lineRule="auto"/>
        <w:ind w:left="570" w:leftChars="0" w:firstLineChars="0"/>
        <w:jc w:val="left"/>
        <w:rPr>
          <w:rFonts w:hint="eastAsia" w:hAnsi="宋体"/>
          <w:color w:val="auto"/>
          <w:sz w:val="24"/>
          <w:highlight w:val="none"/>
        </w:rPr>
      </w:pPr>
      <w:r>
        <w:rPr>
          <w:rFonts w:hint="eastAsia" w:hAnsi="宋体"/>
          <w:color w:val="auto"/>
          <w:sz w:val="24"/>
          <w:highlight w:val="none"/>
          <w:lang w:eastAsia="zh-CN"/>
        </w:rPr>
        <w:t>投标保证金汇款凭证</w:t>
      </w:r>
      <w:r>
        <w:rPr>
          <w:rFonts w:hint="eastAsia" w:ascii="宋体" w:hAnsi="宋体"/>
          <w:color w:val="auto"/>
          <w:sz w:val="24"/>
          <w:highlight w:val="none"/>
        </w:rPr>
        <w:t>；</w:t>
      </w:r>
    </w:p>
    <w:p>
      <w:pPr>
        <w:pStyle w:val="7"/>
        <w:numPr>
          <w:ilvl w:val="0"/>
          <w:numId w:val="5"/>
        </w:numPr>
        <w:spacing w:line="360" w:lineRule="auto"/>
        <w:ind w:left="570" w:leftChars="0" w:firstLineChars="0"/>
        <w:jc w:val="left"/>
        <w:rPr>
          <w:rFonts w:hint="eastAsia" w:hAnsi="宋体"/>
          <w:color w:val="auto"/>
          <w:sz w:val="24"/>
          <w:highlight w:val="none"/>
        </w:rPr>
      </w:pPr>
      <w:r>
        <w:rPr>
          <w:rFonts w:hint="eastAsia" w:hAnsi="宋体"/>
          <w:color w:val="auto"/>
          <w:sz w:val="24"/>
          <w:highlight w:val="none"/>
        </w:rPr>
        <w:t>法定代表人身份证明（附法定代表人身份证复印件）；</w:t>
      </w:r>
    </w:p>
    <w:p>
      <w:pPr>
        <w:pStyle w:val="7"/>
        <w:numPr>
          <w:ilvl w:val="0"/>
          <w:numId w:val="5"/>
        </w:numPr>
        <w:spacing w:line="360" w:lineRule="auto"/>
        <w:ind w:left="570" w:leftChars="0" w:firstLineChars="0"/>
        <w:jc w:val="left"/>
        <w:rPr>
          <w:rFonts w:hint="eastAsia" w:hAnsi="宋体"/>
          <w:color w:val="auto"/>
          <w:sz w:val="24"/>
          <w:highlight w:val="none"/>
        </w:rPr>
      </w:pPr>
      <w:r>
        <w:rPr>
          <w:rFonts w:hint="eastAsia" w:hAnsi="宋体"/>
          <w:color w:val="auto"/>
          <w:sz w:val="24"/>
          <w:highlight w:val="none"/>
        </w:rPr>
        <w:t>法定代表人授权委托书（附委托代理人身份证复印件）；</w:t>
      </w:r>
    </w:p>
    <w:p>
      <w:pPr>
        <w:pStyle w:val="7"/>
        <w:numPr>
          <w:ilvl w:val="0"/>
          <w:numId w:val="5"/>
        </w:numPr>
        <w:spacing w:line="360" w:lineRule="auto"/>
        <w:ind w:left="570" w:leftChars="0" w:firstLineChars="0"/>
        <w:jc w:val="left"/>
        <w:rPr>
          <w:rFonts w:hint="eastAsia" w:hAnsi="宋体"/>
          <w:color w:val="auto"/>
          <w:sz w:val="24"/>
          <w:highlight w:val="none"/>
        </w:rPr>
      </w:pPr>
      <w:r>
        <w:rPr>
          <w:rFonts w:hint="eastAsia" w:hAnsi="宋体"/>
          <w:color w:val="auto"/>
          <w:sz w:val="24"/>
          <w:highlight w:val="none"/>
        </w:rPr>
        <w:t>供应商资格（填写供应商基本情况表，表后附以下证明资料）：</w:t>
      </w:r>
    </w:p>
    <w:p>
      <w:pPr>
        <w:pStyle w:val="7"/>
        <w:spacing w:line="360" w:lineRule="auto"/>
        <w:ind w:firstLine="720" w:firstLineChars="300"/>
        <w:jc w:val="left"/>
        <w:rPr>
          <w:rFonts w:hint="eastAsia" w:hAnsi="宋体"/>
          <w:color w:val="auto"/>
          <w:sz w:val="24"/>
          <w:highlight w:val="none"/>
        </w:rPr>
      </w:pPr>
      <w:r>
        <w:rPr>
          <w:rFonts w:hint="eastAsia" w:hAnsi="宋体"/>
          <w:color w:val="auto"/>
          <w:sz w:val="24"/>
          <w:highlight w:val="none"/>
        </w:rPr>
        <w:t>1）包括企业简介、经营范围、职工人数、技术人员状况等；</w:t>
      </w:r>
    </w:p>
    <w:p>
      <w:pPr>
        <w:pStyle w:val="7"/>
        <w:numPr>
          <w:ilvl w:val="0"/>
          <w:numId w:val="0"/>
        </w:numPr>
        <w:spacing w:line="360" w:lineRule="auto"/>
        <w:ind w:leftChars="200" w:firstLine="240" w:firstLineChars="100"/>
        <w:jc w:val="left"/>
        <w:rPr>
          <w:rFonts w:hAnsi="宋体"/>
          <w:color w:val="auto"/>
          <w:sz w:val="24"/>
          <w:highlight w:val="none"/>
        </w:rPr>
      </w:pPr>
      <w:r>
        <w:rPr>
          <w:rFonts w:hint="eastAsia" w:hAnsi="宋体"/>
          <w:color w:val="auto"/>
          <w:sz w:val="24"/>
          <w:highlight w:val="none"/>
        </w:rPr>
        <w:t>2）供应商资格、能力、信誉及其它要求</w:t>
      </w:r>
      <w:r>
        <w:rPr>
          <w:rFonts w:hint="eastAsia" w:hAnsi="宋体"/>
          <w:color w:val="auto"/>
          <w:sz w:val="24"/>
          <w:highlight w:val="none"/>
          <w:lang w:eastAsia="zh-CN"/>
        </w:rPr>
        <w:t>的证明材料</w:t>
      </w:r>
      <w:r>
        <w:rPr>
          <w:rFonts w:hint="eastAsia" w:hAnsi="宋体"/>
          <w:color w:val="auto"/>
          <w:kern w:val="0"/>
          <w:sz w:val="24"/>
          <w:highlight w:val="none"/>
          <w:lang w:val="en-US"/>
        </w:rPr>
        <w:t>；</w:t>
      </w:r>
    </w:p>
    <w:p>
      <w:pPr>
        <w:pStyle w:val="7"/>
        <w:numPr>
          <w:ilvl w:val="0"/>
          <w:numId w:val="0"/>
        </w:numPr>
        <w:spacing w:line="360" w:lineRule="auto"/>
        <w:ind w:left="710" w:leftChars="0"/>
        <w:jc w:val="left"/>
        <w:rPr>
          <w:rFonts w:hint="eastAsia" w:hAnsi="宋体"/>
          <w:color w:val="auto"/>
          <w:kern w:val="0"/>
          <w:sz w:val="24"/>
          <w:highlight w:val="none"/>
        </w:rPr>
      </w:pPr>
      <w:r>
        <w:rPr>
          <w:rFonts w:hint="eastAsia" w:hAnsi="宋体"/>
          <w:color w:val="auto"/>
          <w:kern w:val="0"/>
          <w:sz w:val="24"/>
          <w:highlight w:val="none"/>
          <w:lang w:val="en-US" w:eastAsia="zh-CN"/>
        </w:rPr>
        <w:t>3）</w:t>
      </w:r>
      <w:r>
        <w:rPr>
          <w:rFonts w:hint="eastAsia" w:hAnsi="宋体"/>
          <w:color w:val="auto"/>
          <w:kern w:val="0"/>
          <w:sz w:val="24"/>
          <w:highlight w:val="none"/>
        </w:rPr>
        <w:t>其它商务部分（</w:t>
      </w:r>
      <w:r>
        <w:rPr>
          <w:rFonts w:hint="eastAsia" w:hAnsi="宋体"/>
          <w:color w:val="auto"/>
          <w:sz w:val="24"/>
          <w:highlight w:val="none"/>
        </w:rPr>
        <w:t>格式自行设计</w:t>
      </w:r>
      <w:r>
        <w:rPr>
          <w:rFonts w:hint="eastAsia" w:hAnsi="宋体"/>
          <w:color w:val="auto"/>
          <w:kern w:val="0"/>
          <w:sz w:val="24"/>
          <w:highlight w:val="none"/>
        </w:rPr>
        <w:t>），按资格性、符合性、综合评分表要求提供。</w:t>
      </w:r>
    </w:p>
    <w:p>
      <w:pPr>
        <w:pStyle w:val="7"/>
        <w:numPr>
          <w:ilvl w:val="0"/>
          <w:numId w:val="0"/>
        </w:numPr>
        <w:adjustRightInd w:val="0"/>
        <w:snapToGrid w:val="0"/>
        <w:spacing w:line="360" w:lineRule="auto"/>
        <w:ind w:firstLine="720" w:firstLineChars="300"/>
        <w:rPr>
          <w:rFonts w:hint="eastAsia" w:hAnsi="宋体"/>
          <w:color w:val="auto"/>
          <w:kern w:val="0"/>
          <w:sz w:val="24"/>
          <w:highlight w:val="none"/>
        </w:rPr>
      </w:pPr>
      <w:r>
        <w:rPr>
          <w:rFonts w:hint="eastAsia" w:hAnsi="宋体"/>
          <w:color w:val="auto"/>
          <w:sz w:val="24"/>
          <w:highlight w:val="none"/>
          <w:lang w:val="en-US" w:eastAsia="zh-CN"/>
        </w:rPr>
        <w:t>4</w:t>
      </w:r>
      <w:r>
        <w:rPr>
          <w:rFonts w:hint="eastAsia" w:hAnsi="宋体"/>
          <w:color w:val="auto"/>
          <w:sz w:val="24"/>
          <w:highlight w:val="none"/>
          <w:lang w:eastAsia="zh-CN"/>
        </w:rPr>
        <w:t>）商务偏离表</w:t>
      </w:r>
    </w:p>
    <w:p>
      <w:pPr>
        <w:pStyle w:val="7"/>
        <w:adjustRightInd w:val="0"/>
        <w:snapToGrid w:val="0"/>
        <w:spacing w:line="360" w:lineRule="auto"/>
        <w:ind w:firstLine="482" w:firstLineChars="200"/>
        <w:rPr>
          <w:rFonts w:hAnsi="宋体"/>
          <w:color w:val="auto"/>
          <w:sz w:val="24"/>
          <w:highlight w:val="none"/>
        </w:rPr>
      </w:pPr>
      <w:r>
        <w:rPr>
          <w:rFonts w:hint="eastAsia" w:hAnsi="宋体"/>
          <w:b/>
          <w:color w:val="auto"/>
          <w:sz w:val="24"/>
          <w:highlight w:val="none"/>
        </w:rPr>
        <w:t>2.2技术文件部分应包括：</w:t>
      </w:r>
    </w:p>
    <w:p>
      <w:pPr>
        <w:pStyle w:val="7"/>
        <w:numPr>
          <w:ilvl w:val="0"/>
          <w:numId w:val="0"/>
        </w:numPr>
        <w:adjustRightInd w:val="0"/>
        <w:snapToGrid w:val="0"/>
        <w:spacing w:line="360" w:lineRule="auto"/>
        <w:ind w:left="840" w:leftChars="0"/>
        <w:rPr>
          <w:rFonts w:hint="eastAsia" w:hAnsi="宋体"/>
          <w:color w:val="auto"/>
          <w:sz w:val="24"/>
          <w:highlight w:val="none"/>
          <w:lang w:eastAsia="zh-CN"/>
        </w:rPr>
      </w:pPr>
      <w:r>
        <w:rPr>
          <w:rFonts w:hint="eastAsia" w:hAnsi="宋体"/>
          <w:color w:val="auto"/>
          <w:sz w:val="24"/>
          <w:highlight w:val="none"/>
          <w:lang w:val="en-US" w:eastAsia="zh-CN"/>
        </w:rPr>
        <w:t>5</w:t>
      </w:r>
      <w:r>
        <w:rPr>
          <w:rFonts w:hint="eastAsia" w:hAnsi="宋体"/>
          <w:color w:val="auto"/>
          <w:sz w:val="24"/>
          <w:highlight w:val="none"/>
          <w:lang w:eastAsia="zh-CN"/>
        </w:rPr>
        <w:t>）施工组织设计</w:t>
      </w:r>
    </w:p>
    <w:p>
      <w:pPr>
        <w:pStyle w:val="7"/>
        <w:numPr>
          <w:ilvl w:val="0"/>
          <w:numId w:val="0"/>
        </w:numPr>
        <w:adjustRightInd w:val="0"/>
        <w:snapToGrid w:val="0"/>
        <w:spacing w:line="360" w:lineRule="auto"/>
        <w:ind w:left="840" w:leftChars="0"/>
        <w:rPr>
          <w:rFonts w:hint="default" w:hAnsi="宋体"/>
          <w:color w:val="auto"/>
          <w:sz w:val="24"/>
          <w:highlight w:val="none"/>
          <w:lang w:val="en-US" w:eastAsia="zh-CN"/>
        </w:rPr>
      </w:pPr>
      <w:r>
        <w:rPr>
          <w:rFonts w:hint="eastAsia" w:hAnsi="宋体"/>
          <w:color w:val="auto"/>
          <w:sz w:val="24"/>
          <w:highlight w:val="none"/>
          <w:lang w:val="en-US" w:eastAsia="zh-CN"/>
        </w:rPr>
        <w:t>6</w:t>
      </w:r>
      <w:r>
        <w:rPr>
          <w:rFonts w:hint="eastAsia" w:hAnsi="宋体"/>
          <w:color w:val="auto"/>
          <w:sz w:val="24"/>
          <w:highlight w:val="none"/>
          <w:lang w:eastAsia="zh-CN"/>
        </w:rPr>
        <w:t>）项目管理机构</w:t>
      </w:r>
    </w:p>
    <w:p>
      <w:pPr>
        <w:pStyle w:val="7"/>
        <w:numPr>
          <w:ilvl w:val="0"/>
          <w:numId w:val="0"/>
        </w:numPr>
        <w:adjustRightInd w:val="0"/>
        <w:snapToGrid w:val="0"/>
        <w:spacing w:line="360" w:lineRule="auto"/>
        <w:ind w:left="840" w:leftChars="0"/>
        <w:rPr>
          <w:rFonts w:hint="eastAsia" w:hAnsi="宋体"/>
          <w:color w:val="auto"/>
          <w:sz w:val="24"/>
          <w:highlight w:val="none"/>
          <w:lang w:eastAsia="zh-CN"/>
        </w:rPr>
      </w:pPr>
      <w:r>
        <w:rPr>
          <w:rFonts w:hint="eastAsia" w:hAnsi="宋体"/>
          <w:color w:val="auto"/>
          <w:sz w:val="24"/>
          <w:highlight w:val="none"/>
          <w:lang w:val="en-US" w:eastAsia="zh-CN"/>
        </w:rPr>
        <w:t>7)</w:t>
      </w:r>
      <w:r>
        <w:rPr>
          <w:rFonts w:hint="eastAsia" w:hAnsi="宋体"/>
          <w:color w:val="auto"/>
          <w:sz w:val="24"/>
          <w:highlight w:val="none"/>
          <w:lang w:eastAsia="zh-CN"/>
        </w:rPr>
        <w:t>售后方案及承诺</w:t>
      </w:r>
    </w:p>
    <w:p>
      <w:pPr>
        <w:pStyle w:val="7"/>
        <w:numPr>
          <w:ilvl w:val="0"/>
          <w:numId w:val="0"/>
        </w:numPr>
        <w:spacing w:line="360" w:lineRule="auto"/>
        <w:ind w:left="840" w:leftChars="0"/>
        <w:jc w:val="left"/>
        <w:rPr>
          <w:rFonts w:hint="eastAsia" w:hAnsi="宋体"/>
          <w:color w:val="auto"/>
          <w:sz w:val="24"/>
          <w:highlight w:val="none"/>
        </w:rPr>
      </w:pPr>
      <w:r>
        <w:rPr>
          <w:rFonts w:hint="eastAsia" w:hAnsi="宋体"/>
          <w:color w:val="auto"/>
          <w:sz w:val="24"/>
          <w:highlight w:val="none"/>
          <w:lang w:val="en-US" w:eastAsia="zh-CN"/>
        </w:rPr>
        <w:t>8</w:t>
      </w:r>
      <w:r>
        <w:rPr>
          <w:rFonts w:hint="eastAsia" w:hAnsi="宋体"/>
          <w:color w:val="auto"/>
          <w:sz w:val="24"/>
          <w:highlight w:val="none"/>
          <w:lang w:eastAsia="zh-CN"/>
        </w:rPr>
        <w:t>）</w:t>
      </w:r>
      <w:r>
        <w:rPr>
          <w:rFonts w:hint="eastAsia" w:hAnsi="宋体"/>
          <w:color w:val="auto"/>
          <w:kern w:val="0"/>
          <w:sz w:val="24"/>
          <w:highlight w:val="none"/>
        </w:rPr>
        <w:t>其它技术部分（</w:t>
      </w:r>
      <w:r>
        <w:rPr>
          <w:rFonts w:hint="eastAsia" w:hAnsi="宋体"/>
          <w:color w:val="auto"/>
          <w:sz w:val="24"/>
          <w:highlight w:val="none"/>
        </w:rPr>
        <w:t>格式自行设计</w:t>
      </w:r>
      <w:r>
        <w:rPr>
          <w:rFonts w:hint="eastAsia" w:hAnsi="宋体"/>
          <w:color w:val="auto"/>
          <w:kern w:val="0"/>
          <w:sz w:val="24"/>
          <w:highlight w:val="none"/>
        </w:rPr>
        <w:t>），按资格性、符合性、综合评分表要求提供。</w:t>
      </w:r>
    </w:p>
    <w:p>
      <w:pPr>
        <w:pStyle w:val="7"/>
        <w:adjustRightInd w:val="0"/>
        <w:snapToGrid w:val="0"/>
        <w:spacing w:line="360" w:lineRule="auto"/>
        <w:ind w:firstLine="482" w:firstLineChars="200"/>
        <w:rPr>
          <w:rFonts w:hint="eastAsia" w:hAnsi="宋体"/>
          <w:b/>
          <w:color w:val="auto"/>
          <w:sz w:val="24"/>
          <w:highlight w:val="none"/>
          <w:lang w:eastAsia="zh-CN"/>
        </w:rPr>
      </w:pPr>
      <w:r>
        <w:rPr>
          <w:rFonts w:hint="eastAsia" w:hAnsi="宋体"/>
          <w:b/>
          <w:color w:val="auto"/>
          <w:sz w:val="24"/>
          <w:highlight w:val="none"/>
        </w:rPr>
        <w:t>2.3其他部分：</w:t>
      </w:r>
    </w:p>
    <w:p>
      <w:pPr>
        <w:pStyle w:val="7"/>
        <w:numPr>
          <w:ilvl w:val="0"/>
          <w:numId w:val="0"/>
        </w:numPr>
        <w:spacing w:line="360" w:lineRule="auto"/>
        <w:ind w:left="1050" w:leftChars="0"/>
        <w:jc w:val="left"/>
        <w:rPr>
          <w:rFonts w:hint="eastAsia" w:hAnsi="宋体"/>
          <w:color w:val="auto"/>
          <w:sz w:val="24"/>
          <w:highlight w:val="none"/>
        </w:rPr>
      </w:pPr>
      <w:r>
        <w:rPr>
          <w:rFonts w:hint="eastAsia" w:hAnsi="宋体"/>
          <w:color w:val="auto"/>
          <w:sz w:val="24"/>
          <w:highlight w:val="none"/>
          <w:lang w:eastAsia="zh-CN"/>
        </w:rPr>
        <w:t>（</w:t>
      </w:r>
      <w:r>
        <w:rPr>
          <w:rFonts w:hint="eastAsia" w:hAnsi="宋体"/>
          <w:color w:val="auto"/>
          <w:sz w:val="24"/>
          <w:highlight w:val="none"/>
          <w:lang w:val="en-US" w:eastAsia="zh-CN"/>
        </w:rPr>
        <w:t>8</w:t>
      </w:r>
      <w:r>
        <w:rPr>
          <w:rFonts w:hint="eastAsia" w:hAnsi="宋体"/>
          <w:color w:val="auto"/>
          <w:sz w:val="24"/>
          <w:highlight w:val="none"/>
          <w:lang w:eastAsia="zh-CN"/>
        </w:rPr>
        <w:t>）</w:t>
      </w:r>
      <w:r>
        <w:rPr>
          <w:rFonts w:hint="eastAsia" w:hAnsi="宋体"/>
          <w:color w:val="auto"/>
          <w:sz w:val="24"/>
          <w:highlight w:val="none"/>
        </w:rPr>
        <w:t>供应商认为需要提交的其他证明资料（格式自行设计）；</w:t>
      </w:r>
    </w:p>
    <w:p>
      <w:pPr>
        <w:pStyle w:val="7"/>
        <w:spacing w:line="360" w:lineRule="auto"/>
        <w:ind w:firstLine="241" w:firstLineChars="100"/>
        <w:outlineLvl w:val="2"/>
        <w:rPr>
          <w:rFonts w:hint="eastAsia" w:hAnsi="宋体" w:cs="宋体"/>
          <w:color w:val="auto"/>
          <w:sz w:val="24"/>
          <w:highlight w:val="none"/>
        </w:rPr>
      </w:pPr>
      <w:bookmarkStart w:id="210" w:name="_Toc469524755"/>
      <w:bookmarkStart w:id="211" w:name="_Toc484102392"/>
      <w:bookmarkStart w:id="212" w:name="_Toc485912322"/>
      <w:bookmarkStart w:id="213" w:name="_Toc458096899"/>
      <w:r>
        <w:rPr>
          <w:rFonts w:hint="eastAsia" w:hAnsi="宋体" w:cs="宋体"/>
          <w:b/>
          <w:bCs/>
          <w:color w:val="auto"/>
          <w:sz w:val="24"/>
          <w:highlight w:val="none"/>
        </w:rPr>
        <w:t>3.</w:t>
      </w:r>
      <w:r>
        <w:rPr>
          <w:rFonts w:hint="eastAsia" w:hAnsi="宋体" w:cs="宋体"/>
          <w:b/>
          <w:color w:val="auto"/>
          <w:sz w:val="24"/>
          <w:highlight w:val="none"/>
          <w:lang w:eastAsia="zh-CN"/>
        </w:rPr>
        <w:t>价格</w:t>
      </w:r>
      <w:bookmarkEnd w:id="210"/>
      <w:bookmarkEnd w:id="211"/>
      <w:bookmarkEnd w:id="212"/>
      <w:bookmarkEnd w:id="213"/>
    </w:p>
    <w:p>
      <w:pPr>
        <w:tabs>
          <w:tab w:val="left" w:pos="8640"/>
        </w:tabs>
        <w:spacing w:line="360" w:lineRule="auto"/>
        <w:ind w:firstLine="472" w:firstLineChars="196"/>
        <w:rPr>
          <w:rFonts w:hint="eastAsia" w:ascii="宋体" w:hAnsi="宋体"/>
          <w:b/>
          <w:color w:val="auto"/>
          <w:sz w:val="24"/>
          <w:highlight w:val="none"/>
        </w:rPr>
      </w:pPr>
      <w:r>
        <w:rPr>
          <w:rFonts w:hint="eastAsia" w:ascii="宋体" w:hAnsi="宋体"/>
          <w:b/>
          <w:color w:val="auto"/>
          <w:sz w:val="24"/>
          <w:highlight w:val="none"/>
        </w:rPr>
        <w:t>（1）报价方式：</w:t>
      </w:r>
    </w:p>
    <w:p>
      <w:pPr>
        <w:spacing w:line="360" w:lineRule="auto"/>
        <w:ind w:firstLine="600" w:firstLineChars="250"/>
        <w:rPr>
          <w:rFonts w:hint="eastAsia" w:ascii="宋体" w:hAnsi="宋体"/>
          <w:color w:val="auto"/>
          <w:sz w:val="24"/>
          <w:highlight w:val="none"/>
        </w:rPr>
      </w:pPr>
      <w:r>
        <w:rPr>
          <w:rFonts w:hint="eastAsia" w:ascii="宋体" w:hAnsi="宋体"/>
          <w:color w:val="auto"/>
          <w:sz w:val="24"/>
          <w:highlight w:val="none"/>
        </w:rPr>
        <w:t>投标人应按</w:t>
      </w:r>
      <w:r>
        <w:rPr>
          <w:rFonts w:hint="eastAsia" w:ascii="宋体" w:hAnsi="宋体"/>
          <w:color w:val="auto"/>
          <w:sz w:val="24"/>
          <w:highlight w:val="none"/>
          <w:lang w:eastAsia="zh-CN"/>
        </w:rPr>
        <w:t>磋商文件</w:t>
      </w:r>
      <w:r>
        <w:rPr>
          <w:rFonts w:hint="eastAsia" w:ascii="宋体" w:hAnsi="宋体"/>
          <w:color w:val="auto"/>
          <w:sz w:val="24"/>
          <w:highlight w:val="none"/>
        </w:rPr>
        <w:t>规定的供货及服务要求、责任范围和合同条件，以人民币进行报价</w:t>
      </w:r>
    </w:p>
    <w:p>
      <w:pPr>
        <w:tabs>
          <w:tab w:val="left" w:pos="8640"/>
        </w:tabs>
        <w:spacing w:line="360" w:lineRule="auto"/>
        <w:ind w:firstLine="236" w:firstLineChars="98"/>
        <w:rPr>
          <w:rFonts w:hint="eastAsia" w:ascii="宋体" w:hAnsi="宋体"/>
          <w:b/>
          <w:color w:val="auto"/>
          <w:sz w:val="24"/>
          <w:highlight w:val="none"/>
        </w:rPr>
      </w:pPr>
      <w:r>
        <w:rPr>
          <w:rFonts w:hint="eastAsia" w:ascii="宋体" w:hAnsi="宋体"/>
          <w:b/>
          <w:color w:val="auto"/>
          <w:sz w:val="24"/>
          <w:highlight w:val="none"/>
        </w:rPr>
        <w:t>（2）报价要求：</w:t>
      </w:r>
    </w:p>
    <w:p>
      <w:pPr>
        <w:spacing w:line="360" w:lineRule="auto"/>
        <w:ind w:firstLine="600" w:firstLineChars="250"/>
        <w:rPr>
          <w:rFonts w:hint="eastAsia" w:ascii="宋体" w:hAnsi="宋体"/>
          <w:color w:val="auto"/>
          <w:sz w:val="24"/>
          <w:highlight w:val="none"/>
        </w:rPr>
      </w:pPr>
      <w:r>
        <w:rPr>
          <w:rFonts w:hint="eastAsia" w:ascii="宋体" w:hAnsi="宋体"/>
          <w:color w:val="auto"/>
          <w:sz w:val="24"/>
          <w:highlight w:val="none"/>
        </w:rPr>
        <w:t>①本项目只允许供应商在</w:t>
      </w:r>
      <w:r>
        <w:rPr>
          <w:rFonts w:hint="eastAsia" w:ascii="宋体" w:hAnsi="宋体"/>
          <w:color w:val="auto"/>
          <w:sz w:val="24"/>
          <w:highlight w:val="none"/>
          <w:lang w:eastAsia="zh-CN"/>
        </w:rPr>
        <w:t>磋商响应文件</w:t>
      </w:r>
      <w:r>
        <w:rPr>
          <w:rFonts w:hint="eastAsia" w:ascii="宋体" w:hAnsi="宋体"/>
          <w:color w:val="auto"/>
          <w:sz w:val="24"/>
          <w:highlight w:val="none"/>
        </w:rPr>
        <w:t>中有一个投标方案，不接受任何有选择的方案和报价；供应商未按要求，提供了选择方案和/或报价的，其投标将被视为无效投标。</w:t>
      </w:r>
    </w:p>
    <w:p>
      <w:pPr>
        <w:tabs>
          <w:tab w:val="left" w:pos="8640"/>
        </w:tabs>
        <w:spacing w:line="360" w:lineRule="auto"/>
        <w:ind w:firstLine="600" w:firstLineChars="250"/>
        <w:rPr>
          <w:rFonts w:hint="eastAsia" w:ascii="宋体" w:hAnsi="宋体"/>
          <w:color w:val="auto"/>
          <w:sz w:val="24"/>
          <w:highlight w:val="none"/>
        </w:rPr>
      </w:pPr>
      <w:r>
        <w:rPr>
          <w:rFonts w:hint="eastAsia" w:ascii="宋体" w:hAnsi="宋体"/>
          <w:color w:val="auto"/>
          <w:sz w:val="24"/>
          <w:highlight w:val="none"/>
        </w:rPr>
        <w:sym w:font="Wingdings" w:char="F082"/>
      </w:r>
      <w:r>
        <w:rPr>
          <w:rFonts w:hint="eastAsia" w:ascii="宋体" w:hAnsi="宋体"/>
          <w:color w:val="auto"/>
          <w:sz w:val="24"/>
          <w:highlight w:val="none"/>
        </w:rPr>
        <w:t>供应商按</w:t>
      </w:r>
      <w:r>
        <w:rPr>
          <w:rFonts w:hint="eastAsia" w:ascii="宋体" w:hAnsi="宋体"/>
          <w:color w:val="auto"/>
          <w:sz w:val="24"/>
          <w:highlight w:val="none"/>
          <w:lang w:eastAsia="zh-CN"/>
        </w:rPr>
        <w:t>磋商文件</w:t>
      </w:r>
      <w:r>
        <w:rPr>
          <w:rFonts w:hint="eastAsia" w:ascii="宋体" w:hAnsi="宋体"/>
          <w:color w:val="auto"/>
          <w:sz w:val="24"/>
          <w:highlight w:val="none"/>
        </w:rPr>
        <w:t>要求填写“开标一览表”。</w:t>
      </w:r>
    </w:p>
    <w:p>
      <w:pPr>
        <w:spacing w:line="360" w:lineRule="auto"/>
        <w:ind w:firstLine="720" w:firstLineChars="300"/>
        <w:rPr>
          <w:rFonts w:hint="eastAsia" w:ascii="宋体" w:hAnsi="宋体"/>
          <w:color w:val="auto"/>
          <w:sz w:val="24"/>
          <w:highlight w:val="none"/>
        </w:rPr>
      </w:pPr>
      <w:r>
        <w:rPr>
          <w:rFonts w:hint="eastAsia" w:ascii="宋体" w:hAnsi="宋体"/>
          <w:color w:val="auto"/>
          <w:sz w:val="24"/>
          <w:highlight w:val="none"/>
        </w:rPr>
        <w:sym w:font="Wingdings" w:char="F083"/>
      </w:r>
      <w:r>
        <w:rPr>
          <w:rFonts w:hint="eastAsia" w:ascii="宋体" w:hAnsi="宋体"/>
          <w:color w:val="auto"/>
          <w:sz w:val="24"/>
          <w:highlight w:val="none"/>
        </w:rPr>
        <w:t>报价：★具有建筑、水利、电力、公路行业部门颁布施工资质的公司按照国家取费标准计取相应管理费及劳保统筹费、利润、税金。（建筑行业部门颁发专业资质主要包括：建筑、安装、市政、园林、修缮、抗震、加固、装饰装修）。</w:t>
      </w:r>
    </w:p>
    <w:p>
      <w:pPr>
        <w:spacing w:line="360" w:lineRule="auto"/>
        <w:ind w:firstLine="720" w:firstLineChars="300"/>
        <w:rPr>
          <w:rFonts w:hint="eastAsia" w:ascii="宋体" w:hAnsi="宋体"/>
          <w:color w:val="auto"/>
          <w:sz w:val="24"/>
          <w:highlight w:val="none"/>
        </w:rPr>
      </w:pPr>
      <w:r>
        <w:rPr>
          <w:rFonts w:hint="eastAsia" w:ascii="宋体" w:hAnsi="宋体"/>
          <w:color w:val="auto"/>
          <w:sz w:val="24"/>
          <w:highlight w:val="none"/>
        </w:rPr>
        <w:t>★除建筑、水利、电力、公路行业部门颁布具有相应施工资质外的设备（材料）经销商、广告装饰、抗震加固（维修修缮）、商贸服务等公司及私营个体，预算（含投标预算、控制价）及结算均不考虑企业管理费及劳保统筹费用，只计取相关费用标准的利润和税金。</w:t>
      </w:r>
    </w:p>
    <w:p>
      <w:pPr>
        <w:pStyle w:val="2"/>
        <w:spacing w:before="0" w:after="0" w:line="360" w:lineRule="auto"/>
        <w:rPr>
          <w:rFonts w:ascii="宋体" w:hAnsi="宋体"/>
          <w:color w:val="auto"/>
          <w:sz w:val="24"/>
          <w:highlight w:val="none"/>
        </w:rPr>
      </w:pPr>
      <w:bookmarkStart w:id="214" w:name="_Toc484102393"/>
      <w:bookmarkStart w:id="215" w:name="_Toc469524756"/>
      <w:bookmarkStart w:id="216" w:name="_Toc485912323"/>
      <w:bookmarkStart w:id="217" w:name="_Toc458096900"/>
      <w:r>
        <w:rPr>
          <w:rFonts w:hint="eastAsia" w:ascii="宋体" w:hAnsi="宋体"/>
          <w:color w:val="auto"/>
          <w:sz w:val="24"/>
          <w:highlight w:val="none"/>
        </w:rPr>
        <w:t>4.</w:t>
      </w:r>
      <w:r>
        <w:rPr>
          <w:rFonts w:hint="eastAsia" w:ascii="宋体" w:hAnsi="宋体"/>
          <w:color w:val="auto"/>
          <w:sz w:val="24"/>
          <w:highlight w:val="none"/>
          <w:lang w:eastAsia="zh-CN"/>
        </w:rPr>
        <w:t>磋商响应文件</w:t>
      </w:r>
      <w:r>
        <w:rPr>
          <w:rFonts w:hint="eastAsia" w:ascii="宋体" w:hAnsi="宋体"/>
          <w:color w:val="auto"/>
          <w:sz w:val="24"/>
          <w:highlight w:val="none"/>
        </w:rPr>
        <w:t>格式</w:t>
      </w:r>
      <w:bookmarkEnd w:id="214"/>
      <w:bookmarkEnd w:id="215"/>
      <w:bookmarkEnd w:id="216"/>
      <w:bookmarkEnd w:id="217"/>
    </w:p>
    <w:p>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4.1供应商应按《</w:t>
      </w:r>
      <w:r>
        <w:rPr>
          <w:rFonts w:hint="eastAsia" w:ascii="宋体" w:hAnsi="宋体"/>
          <w:color w:val="auto"/>
          <w:sz w:val="24"/>
          <w:highlight w:val="none"/>
          <w:lang w:eastAsia="zh-CN"/>
        </w:rPr>
        <w:t>磋商文件</w:t>
      </w:r>
      <w:r>
        <w:rPr>
          <w:rFonts w:hint="eastAsia" w:ascii="宋体" w:hAnsi="宋体"/>
          <w:color w:val="auto"/>
          <w:sz w:val="24"/>
          <w:highlight w:val="none"/>
        </w:rPr>
        <w:t>》的内容与要求和第五章提供的格式编写其《</w:t>
      </w:r>
      <w:r>
        <w:rPr>
          <w:rFonts w:hint="eastAsia" w:ascii="宋体" w:hAnsi="宋体"/>
          <w:color w:val="auto"/>
          <w:sz w:val="24"/>
          <w:highlight w:val="none"/>
          <w:lang w:eastAsia="zh-CN"/>
        </w:rPr>
        <w:t>磋商响应文件</w:t>
      </w:r>
      <w:r>
        <w:rPr>
          <w:rFonts w:hint="eastAsia" w:ascii="宋体" w:hAnsi="宋体"/>
          <w:color w:val="auto"/>
          <w:sz w:val="24"/>
          <w:highlight w:val="none"/>
        </w:rPr>
        <w:t>》，供应商不得空留或缺少任何《</w:t>
      </w:r>
      <w:r>
        <w:rPr>
          <w:rFonts w:hint="eastAsia" w:ascii="宋体" w:hAnsi="宋体"/>
          <w:color w:val="auto"/>
          <w:sz w:val="24"/>
          <w:highlight w:val="none"/>
          <w:lang w:eastAsia="zh-CN"/>
        </w:rPr>
        <w:t>磋商文件</w:t>
      </w:r>
      <w:r>
        <w:rPr>
          <w:rFonts w:hint="eastAsia" w:ascii="宋体" w:hAnsi="宋体"/>
          <w:color w:val="auto"/>
          <w:sz w:val="24"/>
          <w:highlight w:val="none"/>
        </w:rPr>
        <w:t>》要求填写的表格或提交的资料，未列出格式的部分供应商可自行编制。</w:t>
      </w:r>
    </w:p>
    <w:p>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4.2供应商提交的《</w:t>
      </w:r>
      <w:r>
        <w:rPr>
          <w:rFonts w:hint="eastAsia" w:ascii="宋体" w:hAnsi="宋体"/>
          <w:color w:val="auto"/>
          <w:sz w:val="24"/>
          <w:highlight w:val="none"/>
          <w:lang w:eastAsia="zh-CN"/>
        </w:rPr>
        <w:t>磋商响应文件</w:t>
      </w:r>
      <w:r>
        <w:rPr>
          <w:rFonts w:hint="eastAsia" w:ascii="宋体" w:hAnsi="宋体"/>
          <w:color w:val="auto"/>
          <w:sz w:val="24"/>
          <w:highlight w:val="none"/>
        </w:rPr>
        <w:t>》中全部资料必须真实可靠，并接受采购人、招标代理机构对其中任何资料进一步审查的要求。</w:t>
      </w:r>
    </w:p>
    <w:p>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4.3 《</w:t>
      </w:r>
      <w:r>
        <w:rPr>
          <w:rFonts w:hint="eastAsia" w:ascii="宋体" w:hAnsi="宋体"/>
          <w:color w:val="auto"/>
          <w:sz w:val="24"/>
          <w:highlight w:val="none"/>
          <w:lang w:eastAsia="zh-CN"/>
        </w:rPr>
        <w:t>磋商响应文件</w:t>
      </w:r>
      <w:r>
        <w:rPr>
          <w:rFonts w:hint="eastAsia" w:ascii="宋体" w:hAnsi="宋体"/>
          <w:color w:val="auto"/>
          <w:sz w:val="24"/>
          <w:highlight w:val="none"/>
        </w:rPr>
        <w:t>》的封面及密封袋封面编制格式详见</w:t>
      </w:r>
      <w:r>
        <w:rPr>
          <w:rFonts w:hint="eastAsia" w:ascii="宋体" w:hAnsi="宋体"/>
          <w:color w:val="auto"/>
          <w:sz w:val="24"/>
          <w:highlight w:val="none"/>
          <w:lang w:eastAsia="zh-CN"/>
        </w:rPr>
        <w:t>格式</w:t>
      </w:r>
      <w:r>
        <w:rPr>
          <w:rFonts w:hint="eastAsia" w:ascii="宋体" w:hAnsi="宋体"/>
          <w:color w:val="auto"/>
          <w:sz w:val="24"/>
          <w:highlight w:val="none"/>
        </w:rPr>
        <w:t>。</w:t>
      </w:r>
    </w:p>
    <w:p>
      <w:pPr>
        <w:pStyle w:val="2"/>
        <w:spacing w:before="0" w:after="0" w:line="360" w:lineRule="auto"/>
        <w:rPr>
          <w:rFonts w:hint="eastAsia" w:ascii="宋体" w:hAnsi="宋体" w:eastAsia="宋体"/>
          <w:color w:val="auto"/>
          <w:sz w:val="24"/>
          <w:highlight w:val="none"/>
          <w:lang w:eastAsia="zh-CN"/>
        </w:rPr>
      </w:pPr>
      <w:bookmarkStart w:id="218" w:name="_Toc485912324"/>
      <w:bookmarkStart w:id="219" w:name="_Toc469524757"/>
      <w:bookmarkStart w:id="220" w:name="_Toc458096901"/>
      <w:bookmarkStart w:id="221" w:name="_Toc484102394"/>
      <w:r>
        <w:rPr>
          <w:rFonts w:hint="eastAsia" w:ascii="宋体" w:hAnsi="宋体"/>
          <w:color w:val="auto"/>
          <w:sz w:val="24"/>
          <w:highlight w:val="none"/>
        </w:rPr>
        <w:t>5.投标有效期和</w:t>
      </w:r>
      <w:bookmarkEnd w:id="218"/>
      <w:bookmarkEnd w:id="219"/>
      <w:bookmarkEnd w:id="220"/>
      <w:bookmarkEnd w:id="221"/>
      <w:r>
        <w:rPr>
          <w:rFonts w:hint="eastAsia" w:ascii="宋体" w:hAnsi="宋体"/>
          <w:color w:val="auto"/>
          <w:sz w:val="24"/>
          <w:highlight w:val="none"/>
          <w:lang w:eastAsia="zh-CN"/>
        </w:rPr>
        <w:t>服务期限</w:t>
      </w:r>
    </w:p>
    <w:p>
      <w:pPr>
        <w:pStyle w:val="19"/>
        <w:numPr>
          <w:ilvl w:val="0"/>
          <w:numId w:val="0"/>
        </w:numPr>
        <w:spacing w:line="360" w:lineRule="auto"/>
        <w:ind w:firstLine="480" w:firstLineChars="200"/>
        <w:textAlignment w:val="auto"/>
        <w:rPr>
          <w:rFonts w:hint="eastAsia"/>
          <w:color w:val="auto"/>
          <w:sz w:val="24"/>
          <w:szCs w:val="24"/>
          <w:highlight w:val="none"/>
        </w:rPr>
      </w:pPr>
      <w:r>
        <w:rPr>
          <w:color w:val="auto"/>
          <w:sz w:val="24"/>
          <w:highlight w:val="none"/>
        </w:rPr>
        <w:t>5.1</w:t>
      </w:r>
      <w:r>
        <w:rPr>
          <w:rFonts w:hint="eastAsia"/>
          <w:color w:val="auto"/>
          <w:sz w:val="24"/>
          <w:szCs w:val="24"/>
          <w:highlight w:val="none"/>
          <w:lang w:eastAsia="zh-CN"/>
        </w:rPr>
        <w:t>磋商响应文件</w:t>
      </w:r>
      <w:r>
        <w:rPr>
          <w:rFonts w:hint="eastAsia"/>
          <w:color w:val="auto"/>
          <w:sz w:val="24"/>
          <w:szCs w:val="24"/>
          <w:highlight w:val="none"/>
        </w:rPr>
        <w:t>有效期从开标日起计算</w:t>
      </w:r>
      <w:r>
        <w:rPr>
          <w:rFonts w:hint="eastAsia"/>
          <w:color w:val="auto"/>
          <w:sz w:val="24"/>
          <w:szCs w:val="24"/>
          <w:highlight w:val="none"/>
          <w:lang w:val="en-US" w:eastAsia="zh-CN"/>
        </w:rPr>
        <w:t>9</w:t>
      </w:r>
      <w:r>
        <w:rPr>
          <w:rFonts w:hint="eastAsia"/>
          <w:color w:val="auto"/>
          <w:sz w:val="24"/>
          <w:szCs w:val="24"/>
          <w:highlight w:val="none"/>
        </w:rPr>
        <w:t>0天，有效期短于该规定期限的</w:t>
      </w:r>
      <w:r>
        <w:rPr>
          <w:rFonts w:hint="eastAsia"/>
          <w:color w:val="auto"/>
          <w:sz w:val="24"/>
          <w:szCs w:val="24"/>
          <w:highlight w:val="none"/>
          <w:lang w:eastAsia="zh-CN"/>
        </w:rPr>
        <w:t>磋商响应文件</w:t>
      </w:r>
      <w:r>
        <w:rPr>
          <w:rFonts w:hint="eastAsia"/>
          <w:color w:val="auto"/>
          <w:sz w:val="24"/>
          <w:szCs w:val="24"/>
          <w:highlight w:val="none"/>
        </w:rPr>
        <w:t>将被拒绝。</w:t>
      </w:r>
      <w:r>
        <w:rPr>
          <w:rFonts w:hint="eastAsia"/>
          <w:color w:val="auto"/>
          <w:sz w:val="24"/>
          <w:highlight w:val="none"/>
        </w:rPr>
        <w:t>在此期限内，</w:t>
      </w:r>
      <w:r>
        <w:rPr>
          <w:rFonts w:hint="eastAsia" w:cs="宋体"/>
          <w:color w:val="auto"/>
          <w:sz w:val="24"/>
          <w:highlight w:val="none"/>
        </w:rPr>
        <w:t>供应商</w:t>
      </w:r>
      <w:r>
        <w:rPr>
          <w:rFonts w:cs="宋体"/>
          <w:color w:val="auto"/>
          <w:sz w:val="24"/>
          <w:highlight w:val="none"/>
        </w:rPr>
        <w:t>不得要求撤销或修改其</w:t>
      </w:r>
      <w:r>
        <w:rPr>
          <w:rFonts w:hint="eastAsia" w:cs="宋体"/>
          <w:color w:val="auto"/>
          <w:sz w:val="24"/>
          <w:highlight w:val="none"/>
          <w:lang w:eastAsia="zh-CN"/>
        </w:rPr>
        <w:t>磋商响应文件</w:t>
      </w:r>
      <w:r>
        <w:rPr>
          <w:rFonts w:hint="eastAsia"/>
          <w:color w:val="auto"/>
          <w:sz w:val="24"/>
          <w:highlight w:val="none"/>
        </w:rPr>
        <w:t>。</w:t>
      </w:r>
      <w:r>
        <w:rPr>
          <w:rFonts w:hint="eastAsia"/>
          <w:color w:val="auto"/>
          <w:sz w:val="24"/>
          <w:highlight w:val="none"/>
          <w:lang w:val="en-US" w:eastAsia="zh-CN"/>
        </w:rPr>
        <w:t>（投标单位须在投标文件中做出响应）</w:t>
      </w:r>
    </w:p>
    <w:p>
      <w:pPr>
        <w:pStyle w:val="7"/>
        <w:tabs>
          <w:tab w:val="left" w:pos="732"/>
        </w:tabs>
        <w:spacing w:line="360" w:lineRule="auto"/>
        <w:ind w:firstLine="480" w:firstLineChars="200"/>
        <w:rPr>
          <w:rFonts w:hint="eastAsia" w:hAnsi="宋体"/>
          <w:color w:val="auto"/>
          <w:sz w:val="24"/>
          <w:highlight w:val="none"/>
        </w:rPr>
      </w:pPr>
      <w:r>
        <w:rPr>
          <w:rFonts w:hAnsi="宋体"/>
          <w:color w:val="auto"/>
          <w:sz w:val="24"/>
          <w:highlight w:val="none"/>
        </w:rPr>
        <w:t>5.3</w:t>
      </w:r>
      <w:r>
        <w:rPr>
          <w:rFonts w:hint="eastAsia" w:hAnsi="宋体"/>
          <w:color w:val="auto"/>
          <w:sz w:val="24"/>
          <w:highlight w:val="none"/>
        </w:rPr>
        <w:t>若供应商被确定为</w:t>
      </w:r>
      <w:r>
        <w:rPr>
          <w:rFonts w:hint="eastAsia" w:hAnsi="宋体"/>
          <w:color w:val="auto"/>
          <w:sz w:val="24"/>
          <w:highlight w:val="none"/>
          <w:lang w:eastAsia="zh-CN"/>
        </w:rPr>
        <w:t>本次中标</w:t>
      </w:r>
      <w:r>
        <w:rPr>
          <w:rFonts w:hint="eastAsia" w:hAnsi="宋体"/>
          <w:color w:val="auto"/>
          <w:sz w:val="24"/>
          <w:highlight w:val="none"/>
        </w:rPr>
        <w:t>供</w:t>
      </w:r>
      <w:r>
        <w:rPr>
          <w:rFonts w:hint="eastAsia" w:hAnsi="宋体"/>
          <w:color w:val="auto"/>
          <w:sz w:val="24"/>
          <w:highlight w:val="none"/>
          <w:lang w:eastAsia="zh-CN"/>
        </w:rPr>
        <w:t>应</w:t>
      </w:r>
      <w:r>
        <w:rPr>
          <w:rFonts w:hint="eastAsia" w:hAnsi="宋体"/>
          <w:color w:val="auto"/>
          <w:sz w:val="24"/>
          <w:highlight w:val="none"/>
        </w:rPr>
        <w:t>商，则其作为本项目服务商的资格。</w:t>
      </w:r>
    </w:p>
    <w:p>
      <w:pPr>
        <w:pStyle w:val="17"/>
        <w:adjustRightInd w:val="0"/>
        <w:snapToGrid w:val="0"/>
        <w:spacing w:line="360" w:lineRule="auto"/>
        <w:ind w:firstLine="480"/>
        <w:rPr>
          <w:rFonts w:hint="eastAsia" w:ascii="宋体" w:hAnsi="宋体"/>
          <w:color w:val="auto"/>
          <w:sz w:val="24"/>
          <w:highlight w:val="none"/>
        </w:rPr>
      </w:pPr>
      <w:bookmarkStart w:id="222" w:name="_Toc440006352"/>
      <w:bookmarkStart w:id="223" w:name="_Toc440062296"/>
      <w:bookmarkStart w:id="224" w:name="_Toc457219454"/>
      <w:bookmarkStart w:id="225" w:name="_Toc440618808"/>
      <w:bookmarkStart w:id="226" w:name="_Toc443313547"/>
      <w:bookmarkStart w:id="227" w:name="_Toc443313396"/>
      <w:bookmarkStart w:id="228" w:name="_Toc440010891"/>
      <w:r>
        <w:rPr>
          <w:rFonts w:ascii="宋体" w:hAnsi="宋体"/>
          <w:color w:val="auto"/>
          <w:sz w:val="24"/>
          <w:highlight w:val="none"/>
        </w:rPr>
        <w:t>5.4</w:t>
      </w:r>
      <w:r>
        <w:rPr>
          <w:rFonts w:hint="eastAsia" w:ascii="宋体" w:hAnsi="宋体"/>
          <w:color w:val="auto"/>
          <w:sz w:val="24"/>
          <w:highlight w:val="none"/>
        </w:rPr>
        <w:t>在特殊情况下，采购人在原定投标有效期内，可以根据需要以书面形式向供应商提出延长投标有效期的要求，对此要求供应商须以书面形式予以答复。供应商可以拒绝采购人这种要求，而不被没收投标保证金。同意延长投标有效期的供应商既不能要求也不允许修改其</w:t>
      </w:r>
      <w:r>
        <w:rPr>
          <w:rFonts w:hint="eastAsia" w:ascii="宋体" w:hAnsi="宋体"/>
          <w:color w:val="auto"/>
          <w:sz w:val="24"/>
          <w:highlight w:val="none"/>
          <w:lang w:eastAsia="zh-CN"/>
        </w:rPr>
        <w:t>磋商响应文件</w:t>
      </w:r>
      <w:r>
        <w:rPr>
          <w:rFonts w:hint="eastAsia" w:ascii="宋体" w:hAnsi="宋体"/>
          <w:color w:val="auto"/>
          <w:sz w:val="24"/>
          <w:highlight w:val="none"/>
        </w:rPr>
        <w:t>，但需要相应的延长投标担保的有效期，在延长的投标有效期内本须知第30条关于投标保证金的退还与没收的规定仍然适用。</w:t>
      </w:r>
      <w:bookmarkEnd w:id="222"/>
      <w:bookmarkEnd w:id="223"/>
      <w:bookmarkEnd w:id="224"/>
      <w:bookmarkEnd w:id="225"/>
      <w:bookmarkEnd w:id="226"/>
      <w:bookmarkEnd w:id="227"/>
      <w:bookmarkEnd w:id="228"/>
    </w:p>
    <w:p>
      <w:pPr>
        <w:pStyle w:val="2"/>
        <w:spacing w:before="0" w:after="0" w:line="360" w:lineRule="auto"/>
        <w:rPr>
          <w:rFonts w:hint="eastAsia" w:ascii="宋体" w:hAnsi="宋体"/>
          <w:color w:val="auto"/>
          <w:sz w:val="24"/>
          <w:highlight w:val="none"/>
        </w:rPr>
      </w:pPr>
      <w:bookmarkStart w:id="229" w:name="_Toc440062297"/>
      <w:bookmarkStart w:id="230" w:name="_Toc440010892"/>
      <w:bookmarkStart w:id="231" w:name="_Toc469524758"/>
      <w:bookmarkStart w:id="232" w:name="_Toc457219455"/>
      <w:bookmarkStart w:id="233" w:name="_Toc484102395"/>
      <w:bookmarkStart w:id="234" w:name="_Toc440618809"/>
      <w:bookmarkStart w:id="235" w:name="_Toc443313548"/>
      <w:bookmarkStart w:id="236" w:name="_Toc397067889"/>
      <w:bookmarkStart w:id="237" w:name="_Toc485912325"/>
      <w:bookmarkStart w:id="238" w:name="_Toc440006353"/>
      <w:bookmarkStart w:id="239" w:name="_Toc458096902"/>
      <w:bookmarkStart w:id="240" w:name="_Toc443313397"/>
      <w:r>
        <w:rPr>
          <w:rFonts w:hint="eastAsia" w:ascii="宋体" w:hAnsi="宋体"/>
          <w:color w:val="auto"/>
          <w:sz w:val="24"/>
          <w:highlight w:val="none"/>
        </w:rPr>
        <w:t>6.投标保证金</w:t>
      </w:r>
      <w:bookmarkEnd w:id="229"/>
      <w:bookmarkEnd w:id="230"/>
      <w:bookmarkEnd w:id="231"/>
      <w:bookmarkEnd w:id="232"/>
      <w:bookmarkEnd w:id="233"/>
      <w:bookmarkEnd w:id="234"/>
      <w:bookmarkEnd w:id="235"/>
      <w:bookmarkEnd w:id="236"/>
      <w:bookmarkEnd w:id="237"/>
      <w:bookmarkEnd w:id="238"/>
      <w:bookmarkEnd w:id="239"/>
      <w:bookmarkEnd w:id="240"/>
    </w:p>
    <w:p>
      <w:pPr>
        <w:keepNext w:val="0"/>
        <w:keepLines w:val="0"/>
        <w:pageBreakBefore w:val="0"/>
        <w:numPr>
          <w:ilvl w:val="0"/>
          <w:numId w:val="0"/>
        </w:numPr>
        <w:kinsoku/>
        <w:wordWrap/>
        <w:overflowPunct/>
        <w:topLinePunct w:val="0"/>
        <w:autoSpaceDE/>
        <w:autoSpaceDN/>
        <w:bidi w:val="0"/>
        <w:spacing w:line="480" w:lineRule="exact"/>
        <w:ind w:leftChars="0"/>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6.1投标保证金金额及缴纳方式详见“投标须知前附表”。</w:t>
      </w:r>
    </w:p>
    <w:p>
      <w:pPr>
        <w:keepNext w:val="0"/>
        <w:keepLines w:val="0"/>
        <w:pageBreakBefore w:val="0"/>
        <w:numPr>
          <w:ilvl w:val="0"/>
          <w:numId w:val="0"/>
        </w:numPr>
        <w:kinsoku/>
        <w:wordWrap/>
        <w:overflowPunct/>
        <w:topLinePunct w:val="0"/>
        <w:autoSpaceDE/>
        <w:autoSpaceDN/>
        <w:bidi w:val="0"/>
        <w:spacing w:line="480" w:lineRule="exact"/>
        <w:ind w:leftChars="0"/>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6.2投标人须将汇转凭证复印件装订在投标文件内，证明其具有投标资格。</w:t>
      </w:r>
    </w:p>
    <w:p>
      <w:pPr>
        <w:keepNext w:val="0"/>
        <w:keepLines w:val="0"/>
        <w:pageBreakBefore w:val="0"/>
        <w:numPr>
          <w:ilvl w:val="0"/>
          <w:numId w:val="0"/>
        </w:numPr>
        <w:kinsoku/>
        <w:wordWrap/>
        <w:overflowPunct/>
        <w:topLinePunct w:val="0"/>
        <w:autoSpaceDE/>
        <w:autoSpaceDN/>
        <w:bidi w:val="0"/>
        <w:spacing w:line="480" w:lineRule="exact"/>
        <w:ind w:leftChars="0"/>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6.3未中标投标人的保证金应当在中标通知书发出后5个工作日内退还，中标人的保证金应当在采购合同签订后5个工作日内退还。</w:t>
      </w:r>
    </w:p>
    <w:p>
      <w:pPr>
        <w:keepNext w:val="0"/>
        <w:keepLines w:val="0"/>
        <w:pageBreakBefore w:val="0"/>
        <w:widowControl/>
        <w:kinsoku/>
        <w:wordWrap/>
        <w:overflowPunct/>
        <w:topLinePunct w:val="0"/>
        <w:autoSpaceDE/>
        <w:autoSpaceDN/>
        <w:bidi w:val="0"/>
        <w:spacing w:line="480" w:lineRule="exact"/>
        <w:ind w:left="425" w:firstLine="120" w:firstLineChars="50"/>
        <w:jc w:val="lef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有下列情形之一的，保证金不予退还：</w:t>
      </w:r>
    </w:p>
    <w:p>
      <w:pPr>
        <w:keepNext w:val="0"/>
        <w:keepLines w:val="0"/>
        <w:pageBreakBefore w:val="0"/>
        <w:widowControl/>
        <w:kinsoku/>
        <w:wordWrap/>
        <w:overflowPunct/>
        <w:topLinePunct w:val="0"/>
        <w:autoSpaceDE/>
        <w:autoSpaceDN/>
        <w:bidi w:val="0"/>
        <w:spacing w:line="480" w:lineRule="exact"/>
        <w:ind w:left="425"/>
        <w:jc w:val="lef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（1）投标人在提交投标文件截止时间后撤回投标文件的；</w:t>
      </w:r>
    </w:p>
    <w:p>
      <w:pPr>
        <w:keepNext w:val="0"/>
        <w:keepLines w:val="0"/>
        <w:pageBreakBefore w:val="0"/>
        <w:widowControl/>
        <w:kinsoku/>
        <w:wordWrap/>
        <w:overflowPunct/>
        <w:topLinePunct w:val="0"/>
        <w:autoSpaceDE/>
        <w:autoSpaceDN/>
        <w:bidi w:val="0"/>
        <w:spacing w:line="480" w:lineRule="exact"/>
        <w:ind w:left="425"/>
        <w:jc w:val="lef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（2）投标人在投标文件中提供虚假材料的；</w:t>
      </w:r>
    </w:p>
    <w:p>
      <w:pPr>
        <w:keepNext w:val="0"/>
        <w:keepLines w:val="0"/>
        <w:pageBreakBefore w:val="0"/>
        <w:widowControl/>
        <w:kinsoku/>
        <w:wordWrap/>
        <w:overflowPunct/>
        <w:topLinePunct w:val="0"/>
        <w:autoSpaceDE/>
        <w:autoSpaceDN/>
        <w:bidi w:val="0"/>
        <w:spacing w:line="480" w:lineRule="exact"/>
        <w:ind w:left="425"/>
        <w:jc w:val="lef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（3）除因不可抗力或招标文件认可的情形以外，中标人不与招标人签订合同的；</w:t>
      </w:r>
    </w:p>
    <w:p>
      <w:pPr>
        <w:keepNext w:val="0"/>
        <w:keepLines w:val="0"/>
        <w:pageBreakBefore w:val="0"/>
        <w:widowControl/>
        <w:kinsoku/>
        <w:wordWrap/>
        <w:overflowPunct/>
        <w:topLinePunct w:val="0"/>
        <w:autoSpaceDE/>
        <w:autoSpaceDN/>
        <w:bidi w:val="0"/>
        <w:spacing w:line="480" w:lineRule="exact"/>
        <w:ind w:left="425"/>
        <w:jc w:val="lef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（4）投标人与招标人、其他投标人或者招标代理机构恶意串通的；</w:t>
      </w:r>
    </w:p>
    <w:p>
      <w:pPr>
        <w:keepNext w:val="0"/>
        <w:keepLines w:val="0"/>
        <w:pageBreakBefore w:val="0"/>
        <w:widowControl/>
        <w:kinsoku/>
        <w:wordWrap/>
        <w:overflowPunct/>
        <w:topLinePunct w:val="0"/>
        <w:autoSpaceDE/>
        <w:autoSpaceDN/>
        <w:bidi w:val="0"/>
        <w:spacing w:line="480" w:lineRule="exact"/>
        <w:ind w:left="425"/>
        <w:jc w:val="lef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（5）招标文件规定的其他情形。</w:t>
      </w:r>
    </w:p>
    <w:p>
      <w:pPr>
        <w:pStyle w:val="2"/>
        <w:spacing w:before="0" w:after="0" w:line="360" w:lineRule="auto"/>
        <w:rPr>
          <w:rFonts w:hint="eastAsia" w:ascii="宋体" w:hAnsi="宋体" w:eastAsia="宋体" w:cs="Times New Roman"/>
          <w:b/>
          <w:color w:val="auto"/>
          <w:sz w:val="24"/>
          <w:highlight w:val="none"/>
        </w:rPr>
      </w:pPr>
    </w:p>
    <w:p>
      <w:pPr>
        <w:pStyle w:val="2"/>
        <w:spacing w:before="0" w:after="0" w:line="360" w:lineRule="auto"/>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7.</w:t>
      </w:r>
      <w:r>
        <w:rPr>
          <w:rFonts w:hint="eastAsia" w:ascii="宋体" w:hAnsi="宋体" w:eastAsia="宋体" w:cs="Times New Roman"/>
          <w:b/>
          <w:color w:val="auto"/>
          <w:sz w:val="24"/>
          <w:highlight w:val="none"/>
          <w:lang w:eastAsia="zh-CN"/>
        </w:rPr>
        <w:t>磋商响应文件</w:t>
      </w:r>
      <w:r>
        <w:rPr>
          <w:rFonts w:hint="eastAsia" w:ascii="宋体" w:hAnsi="宋体" w:eastAsia="宋体" w:cs="Times New Roman"/>
          <w:b/>
          <w:color w:val="auto"/>
          <w:sz w:val="24"/>
          <w:highlight w:val="none"/>
        </w:rPr>
        <w:t>的印制和签署</w:t>
      </w:r>
    </w:p>
    <w:p>
      <w:pPr>
        <w:spacing w:line="360" w:lineRule="auto"/>
        <w:ind w:firstLine="480" w:firstLineChars="200"/>
        <w:rPr>
          <w:rFonts w:hint="eastAsia" w:ascii="宋体" w:hAnsi="宋体"/>
          <w:bCs/>
          <w:color w:val="auto"/>
          <w:sz w:val="24"/>
          <w:highlight w:val="none"/>
        </w:rPr>
      </w:pPr>
      <w:r>
        <w:rPr>
          <w:rFonts w:hint="eastAsia" w:ascii="宋体" w:hAnsi="宋体"/>
          <w:color w:val="auto"/>
          <w:sz w:val="24"/>
          <w:highlight w:val="none"/>
        </w:rPr>
        <w:t>7.1供应商</w:t>
      </w:r>
      <w:r>
        <w:rPr>
          <w:rFonts w:hint="eastAsia" w:ascii="宋体" w:hAnsi="宋体"/>
          <w:bCs/>
          <w:color w:val="auto"/>
          <w:sz w:val="24"/>
          <w:highlight w:val="none"/>
        </w:rPr>
        <w:t>应按“</w:t>
      </w:r>
      <w:r>
        <w:rPr>
          <w:rFonts w:hint="eastAsia" w:ascii="宋体" w:hAnsi="宋体"/>
          <w:color w:val="auto"/>
          <w:sz w:val="24"/>
          <w:highlight w:val="none"/>
        </w:rPr>
        <w:t>供应商</w:t>
      </w:r>
      <w:r>
        <w:rPr>
          <w:rFonts w:hint="eastAsia" w:ascii="宋体" w:hAnsi="宋体"/>
          <w:bCs/>
          <w:color w:val="auto"/>
          <w:sz w:val="24"/>
          <w:highlight w:val="none"/>
        </w:rPr>
        <w:t>须知前附表”规定的份数提交《</w:t>
      </w:r>
      <w:r>
        <w:rPr>
          <w:rFonts w:hint="eastAsia" w:ascii="宋体" w:hAnsi="宋体"/>
          <w:bCs/>
          <w:color w:val="auto"/>
          <w:sz w:val="24"/>
          <w:highlight w:val="none"/>
          <w:lang w:eastAsia="zh-CN"/>
        </w:rPr>
        <w:t>磋商响应文件</w:t>
      </w:r>
      <w:r>
        <w:rPr>
          <w:rFonts w:hint="eastAsia" w:ascii="宋体" w:hAnsi="宋体"/>
          <w:bCs/>
          <w:color w:val="auto"/>
          <w:sz w:val="24"/>
          <w:highlight w:val="none"/>
        </w:rPr>
        <w:t>》，否则视为无效投标。</w:t>
      </w:r>
    </w:p>
    <w:p>
      <w:pPr>
        <w:autoSpaceDE w:val="0"/>
        <w:autoSpaceDN w:val="0"/>
        <w:adjustRightInd w:val="0"/>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7.2 《</w:t>
      </w:r>
      <w:r>
        <w:rPr>
          <w:rFonts w:hint="eastAsia" w:ascii="宋体" w:hAnsi="宋体"/>
          <w:color w:val="auto"/>
          <w:sz w:val="24"/>
          <w:highlight w:val="none"/>
          <w:lang w:eastAsia="zh-CN"/>
        </w:rPr>
        <w:t>磋商响应文件</w:t>
      </w:r>
      <w:r>
        <w:rPr>
          <w:rFonts w:hint="eastAsia" w:ascii="宋体" w:hAnsi="宋体"/>
          <w:color w:val="auto"/>
          <w:sz w:val="24"/>
          <w:highlight w:val="none"/>
        </w:rPr>
        <w:t>》的正本和副本均需打印或使用不褪色墨水笔书写，字迹应清晰易于辨认，并应在《</w:t>
      </w:r>
      <w:r>
        <w:rPr>
          <w:rFonts w:hint="eastAsia" w:ascii="宋体" w:hAnsi="宋体"/>
          <w:color w:val="auto"/>
          <w:sz w:val="24"/>
          <w:highlight w:val="none"/>
          <w:lang w:eastAsia="zh-CN"/>
        </w:rPr>
        <w:t>磋商响应文件</w:t>
      </w:r>
      <w:r>
        <w:rPr>
          <w:rFonts w:hint="eastAsia" w:ascii="宋体" w:hAnsi="宋体"/>
          <w:color w:val="auto"/>
          <w:sz w:val="24"/>
          <w:highlight w:val="none"/>
        </w:rPr>
        <w:t>》封面的右上角清楚地注明“正本”或“副本”</w:t>
      </w:r>
      <w:r>
        <w:rPr>
          <w:rFonts w:hint="eastAsia" w:ascii="宋体" w:hAnsi="宋体"/>
          <w:color w:val="auto"/>
          <w:sz w:val="24"/>
          <w:highlight w:val="none"/>
          <w:lang w:eastAsia="zh-CN"/>
        </w:rPr>
        <w:t>，正本应</w:t>
      </w:r>
      <w:r>
        <w:rPr>
          <w:rFonts w:hint="eastAsia" w:ascii="宋体" w:hAnsi="宋体"/>
          <w:color w:val="auto"/>
          <w:sz w:val="24"/>
          <w:highlight w:val="none"/>
          <w:lang w:val="en-US" w:eastAsia="zh-CN"/>
        </w:rPr>
        <w:t>由法人或授权委托人在</w:t>
      </w:r>
      <w:r>
        <w:rPr>
          <w:rFonts w:hint="eastAsia" w:ascii="宋体" w:hAnsi="宋体"/>
          <w:color w:val="auto"/>
          <w:sz w:val="24"/>
          <w:highlight w:val="none"/>
          <w:lang w:eastAsia="zh-CN"/>
        </w:rPr>
        <w:t>右下角逐页签字加盖公章并在</w:t>
      </w:r>
      <w:r>
        <w:rPr>
          <w:rFonts w:hint="eastAsia" w:ascii="宋体" w:hAnsi="宋体"/>
          <w:color w:val="auto"/>
          <w:sz w:val="24"/>
          <w:highlight w:val="none"/>
          <w:lang w:val="en-US" w:eastAsia="zh-CN"/>
        </w:rPr>
        <w:t>标书侧面加盖</w:t>
      </w:r>
      <w:r>
        <w:rPr>
          <w:rFonts w:hint="eastAsia" w:ascii="宋体" w:hAnsi="宋体"/>
          <w:color w:val="auto"/>
          <w:sz w:val="24"/>
          <w:highlight w:val="none"/>
          <w:lang w:eastAsia="zh-CN"/>
        </w:rPr>
        <w:t>骑缝章，</w:t>
      </w:r>
      <w:r>
        <w:rPr>
          <w:rFonts w:hint="eastAsia" w:ascii="宋体" w:hAnsi="宋体"/>
          <w:color w:val="auto"/>
          <w:sz w:val="24"/>
          <w:highlight w:val="none"/>
        </w:rPr>
        <w:t>正本和副本如有不一致之处，以正本为准。</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7.3 《</w:t>
      </w:r>
      <w:r>
        <w:rPr>
          <w:rFonts w:hint="eastAsia" w:ascii="宋体" w:hAnsi="宋体"/>
          <w:color w:val="auto"/>
          <w:sz w:val="24"/>
          <w:highlight w:val="none"/>
          <w:lang w:eastAsia="zh-CN"/>
        </w:rPr>
        <w:t>磋商响应文件</w:t>
      </w:r>
      <w:r>
        <w:rPr>
          <w:rFonts w:hint="eastAsia" w:ascii="宋体" w:hAnsi="宋体"/>
          <w:color w:val="auto"/>
          <w:sz w:val="24"/>
          <w:highlight w:val="none"/>
        </w:rPr>
        <w:t>》的正本和副本均应加盖投标单位公章并经法定代表人或其委托代理人签字。由委托代理人签字或盖章的《</w:t>
      </w:r>
      <w:r>
        <w:rPr>
          <w:rFonts w:hint="eastAsia" w:ascii="宋体" w:hAnsi="宋体"/>
          <w:color w:val="auto"/>
          <w:sz w:val="24"/>
          <w:highlight w:val="none"/>
          <w:lang w:eastAsia="zh-CN"/>
        </w:rPr>
        <w:t>磋商响应文件</w:t>
      </w:r>
      <w:r>
        <w:rPr>
          <w:rFonts w:hint="eastAsia" w:ascii="宋体" w:hAnsi="宋体"/>
          <w:color w:val="auto"/>
          <w:sz w:val="24"/>
          <w:highlight w:val="none"/>
        </w:rPr>
        <w:t>》中须同时提交“法定代表人授权委托书”。</w:t>
      </w:r>
    </w:p>
    <w:p>
      <w:pPr>
        <w:autoSpaceDE w:val="0"/>
        <w:autoSpaceDN w:val="0"/>
        <w:adjustRightInd w:val="0"/>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7.4 除供应商对错误处须修改外，全套《</w:t>
      </w:r>
      <w:r>
        <w:rPr>
          <w:rFonts w:hint="eastAsia" w:ascii="宋体" w:hAnsi="宋体"/>
          <w:color w:val="auto"/>
          <w:sz w:val="24"/>
          <w:highlight w:val="none"/>
          <w:lang w:eastAsia="zh-CN"/>
        </w:rPr>
        <w:t>磋商响应文件</w:t>
      </w:r>
      <w:r>
        <w:rPr>
          <w:rFonts w:hint="eastAsia" w:ascii="宋体" w:hAnsi="宋体"/>
          <w:color w:val="auto"/>
          <w:sz w:val="24"/>
          <w:highlight w:val="none"/>
        </w:rPr>
        <w:t>》应无涂改或行间插字和增删。如有修改，修改处应由供应商加盖投标单位的印章或由《</w:t>
      </w:r>
      <w:r>
        <w:rPr>
          <w:rFonts w:hint="eastAsia" w:ascii="宋体" w:hAnsi="宋体"/>
          <w:color w:val="auto"/>
          <w:sz w:val="24"/>
          <w:highlight w:val="none"/>
          <w:lang w:eastAsia="zh-CN"/>
        </w:rPr>
        <w:t>磋商响应文件</w:t>
      </w:r>
      <w:r>
        <w:rPr>
          <w:rFonts w:hint="eastAsia" w:ascii="宋体" w:hAnsi="宋体"/>
          <w:color w:val="auto"/>
          <w:sz w:val="24"/>
          <w:highlight w:val="none"/>
        </w:rPr>
        <w:t>》签字人签字或盖章。字迹潦草、表达不清或可能导致非唯一理解的</w:t>
      </w:r>
      <w:r>
        <w:rPr>
          <w:rFonts w:hint="eastAsia" w:ascii="宋体" w:hAnsi="宋体"/>
          <w:color w:val="auto"/>
          <w:sz w:val="24"/>
          <w:highlight w:val="none"/>
          <w:lang w:eastAsia="zh-CN"/>
        </w:rPr>
        <w:t>磋商响应文件</w:t>
      </w:r>
      <w:r>
        <w:rPr>
          <w:rFonts w:hint="eastAsia" w:ascii="宋体" w:hAnsi="宋体"/>
          <w:color w:val="auto"/>
          <w:sz w:val="24"/>
          <w:highlight w:val="none"/>
        </w:rPr>
        <w:t>可能视为无效投标。</w:t>
      </w:r>
    </w:p>
    <w:p>
      <w:pPr>
        <w:autoSpaceDE w:val="0"/>
        <w:autoSpaceDN w:val="0"/>
        <w:adjustRightInd w:val="0"/>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7.5 《</w:t>
      </w:r>
      <w:r>
        <w:rPr>
          <w:rFonts w:hint="eastAsia" w:ascii="宋体" w:hAnsi="宋体"/>
          <w:color w:val="auto"/>
          <w:sz w:val="24"/>
          <w:highlight w:val="none"/>
          <w:lang w:eastAsia="zh-CN"/>
        </w:rPr>
        <w:t>磋商响应文件</w:t>
      </w:r>
      <w:r>
        <w:rPr>
          <w:rFonts w:hint="eastAsia" w:ascii="宋体" w:hAnsi="宋体"/>
          <w:color w:val="auto"/>
          <w:sz w:val="24"/>
          <w:highlight w:val="none"/>
        </w:rPr>
        <w:t>》的印制应采用70克以上的复印纸打印，采用胶装方式装订，即不可抽取调换内页的书式平装方式，无脱落无散页，有目录、有页码，否则将被视为无效投标。</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rPr>
        <w:t>7.6 《</w:t>
      </w:r>
      <w:r>
        <w:rPr>
          <w:rFonts w:hint="eastAsia" w:ascii="宋体" w:hAnsi="宋体"/>
          <w:color w:val="auto"/>
          <w:sz w:val="24"/>
          <w:highlight w:val="none"/>
          <w:lang w:eastAsia="zh-CN"/>
        </w:rPr>
        <w:t>磋商响应文件</w:t>
      </w:r>
      <w:r>
        <w:rPr>
          <w:rFonts w:hint="eastAsia" w:ascii="宋体" w:hAnsi="宋体"/>
          <w:color w:val="auto"/>
          <w:sz w:val="24"/>
          <w:highlight w:val="none"/>
        </w:rPr>
        <w:t>》</w:t>
      </w:r>
      <w:r>
        <w:rPr>
          <w:rFonts w:hint="eastAsia" w:ascii="宋体" w:hAnsi="宋体" w:eastAsia="宋体" w:cs="Times New Roman"/>
          <w:color w:val="auto"/>
          <w:sz w:val="24"/>
          <w:highlight w:val="none"/>
          <w:lang w:val="en-US" w:eastAsia="zh-CN"/>
        </w:rPr>
        <w:t>中营业</w:t>
      </w:r>
      <w:r>
        <w:rPr>
          <w:rFonts w:hint="eastAsia" w:ascii="宋体" w:hAnsi="宋体"/>
          <w:color w:val="auto"/>
          <w:sz w:val="24"/>
          <w:highlight w:val="none"/>
          <w:lang w:val="en-US" w:eastAsia="zh-CN"/>
        </w:rPr>
        <w:t>执照、授权委托书、法定代表人资格证明、法人及授权委托人身份证复印件均需加盖复印无效的章子；</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7.7</w:t>
      </w:r>
      <w:r>
        <w:rPr>
          <w:rFonts w:hint="eastAsia" w:ascii="宋体" w:hAnsi="宋体"/>
          <w:color w:val="auto"/>
          <w:sz w:val="24"/>
          <w:highlight w:val="none"/>
        </w:rPr>
        <w:t>《</w:t>
      </w:r>
      <w:r>
        <w:rPr>
          <w:rFonts w:hint="eastAsia" w:ascii="宋体" w:hAnsi="宋体"/>
          <w:color w:val="auto"/>
          <w:sz w:val="24"/>
          <w:highlight w:val="none"/>
          <w:lang w:eastAsia="zh-CN"/>
        </w:rPr>
        <w:t>磋商响应文件</w:t>
      </w:r>
      <w:r>
        <w:rPr>
          <w:rFonts w:hint="eastAsia" w:ascii="宋体" w:hAnsi="宋体"/>
          <w:color w:val="auto"/>
          <w:sz w:val="24"/>
          <w:highlight w:val="none"/>
        </w:rPr>
        <w:t>》应根据《</w:t>
      </w:r>
      <w:r>
        <w:rPr>
          <w:rFonts w:hint="eastAsia" w:ascii="宋体" w:hAnsi="宋体"/>
          <w:color w:val="auto"/>
          <w:sz w:val="24"/>
          <w:highlight w:val="none"/>
          <w:lang w:eastAsia="zh-CN"/>
        </w:rPr>
        <w:t>磋商文件</w:t>
      </w:r>
      <w:r>
        <w:rPr>
          <w:rFonts w:hint="eastAsia" w:ascii="宋体" w:hAnsi="宋体"/>
          <w:color w:val="auto"/>
          <w:sz w:val="24"/>
          <w:highlight w:val="none"/>
        </w:rPr>
        <w:t>》的要求签署及盖章，内容应完整详细，如有遗漏，将被视为无效投标。</w:t>
      </w:r>
    </w:p>
    <w:bookmarkEnd w:id="202"/>
    <w:bookmarkEnd w:id="203"/>
    <w:bookmarkEnd w:id="204"/>
    <w:bookmarkEnd w:id="205"/>
    <w:bookmarkEnd w:id="206"/>
    <w:bookmarkEnd w:id="207"/>
    <w:bookmarkEnd w:id="208"/>
    <w:bookmarkEnd w:id="209"/>
    <w:p>
      <w:pPr>
        <w:pStyle w:val="4"/>
        <w:rPr>
          <w:rFonts w:hint="eastAsia" w:ascii="宋体" w:hAnsi="宋体" w:eastAsia="宋体"/>
          <w:color w:val="auto"/>
          <w:sz w:val="28"/>
          <w:szCs w:val="28"/>
          <w:highlight w:val="none"/>
        </w:rPr>
      </w:pPr>
      <w:bookmarkStart w:id="241" w:name="_Toc397067888"/>
      <w:bookmarkStart w:id="242" w:name="_Toc30079"/>
      <w:bookmarkStart w:id="243" w:name="_Toc476758949"/>
      <w:bookmarkStart w:id="244" w:name="_Toc15784"/>
      <w:bookmarkStart w:id="245" w:name="_Toc12958"/>
      <w:bookmarkStart w:id="246" w:name="_Toc390084384"/>
      <w:bookmarkStart w:id="247" w:name="_Toc390084860"/>
      <w:bookmarkStart w:id="248" w:name="_Toc390078418"/>
      <w:bookmarkStart w:id="249" w:name="_Toc389731532"/>
      <w:bookmarkStart w:id="250" w:name="_Toc390084924"/>
      <w:bookmarkStart w:id="251" w:name="_Toc304793816"/>
      <w:bookmarkStart w:id="252" w:name="_Toc365216566"/>
      <w:bookmarkStart w:id="253" w:name="_Toc352938603"/>
      <w:bookmarkStart w:id="254" w:name="_Toc352938393"/>
      <w:bookmarkStart w:id="255" w:name="_Toc365208972"/>
      <w:bookmarkStart w:id="256" w:name="_Toc304794545"/>
      <w:bookmarkStart w:id="257" w:name="_Toc352939538"/>
      <w:bookmarkStart w:id="258" w:name="_Toc365208833"/>
      <w:bookmarkStart w:id="259" w:name="_Toc352939482"/>
      <w:bookmarkStart w:id="260" w:name="_Toc373314704"/>
      <w:bookmarkStart w:id="261" w:name="_Toc352938907"/>
      <w:r>
        <w:rPr>
          <w:rFonts w:hint="eastAsia" w:ascii="宋体" w:hAnsi="宋体" w:eastAsia="宋体"/>
          <w:color w:val="auto"/>
          <w:sz w:val="28"/>
          <w:szCs w:val="28"/>
          <w:highlight w:val="none"/>
        </w:rPr>
        <w:t>（五）</w:t>
      </w:r>
      <w:bookmarkEnd w:id="241"/>
      <w:bookmarkStart w:id="262" w:name="_Toc60537382"/>
      <w:bookmarkStart w:id="263" w:name="_Toc56590917"/>
      <w:r>
        <w:rPr>
          <w:rFonts w:hint="eastAsia" w:ascii="宋体" w:hAnsi="宋体" w:eastAsia="宋体"/>
          <w:color w:val="auto"/>
          <w:sz w:val="28"/>
          <w:szCs w:val="28"/>
          <w:highlight w:val="none"/>
          <w:lang w:eastAsia="zh-CN"/>
        </w:rPr>
        <w:t>磋商响应文件</w:t>
      </w:r>
      <w:r>
        <w:rPr>
          <w:rFonts w:hint="eastAsia" w:ascii="宋体" w:hAnsi="宋体" w:eastAsia="宋体"/>
          <w:color w:val="auto"/>
          <w:sz w:val="28"/>
          <w:szCs w:val="28"/>
          <w:highlight w:val="none"/>
        </w:rPr>
        <w:t>的提交</w:t>
      </w:r>
      <w:bookmarkEnd w:id="262"/>
      <w:bookmarkEnd w:id="263"/>
      <w:r>
        <w:rPr>
          <w:rFonts w:hint="eastAsia" w:ascii="宋体" w:hAnsi="宋体" w:eastAsia="宋体"/>
          <w:color w:val="auto"/>
          <w:sz w:val="28"/>
          <w:szCs w:val="28"/>
          <w:highlight w:val="none"/>
        </w:rPr>
        <w:t>及相关事项</w:t>
      </w:r>
      <w:bookmarkEnd w:id="242"/>
      <w:bookmarkEnd w:id="243"/>
      <w:bookmarkEnd w:id="244"/>
      <w:bookmarkEnd w:id="245"/>
    </w:p>
    <w:bookmarkEnd w:id="246"/>
    <w:bookmarkEnd w:id="247"/>
    <w:bookmarkEnd w:id="248"/>
    <w:bookmarkEnd w:id="249"/>
    <w:bookmarkEnd w:id="250"/>
    <w:p>
      <w:pPr>
        <w:adjustRightInd w:val="0"/>
        <w:snapToGrid w:val="0"/>
        <w:spacing w:line="360" w:lineRule="auto"/>
        <w:rPr>
          <w:rFonts w:hint="eastAsia" w:ascii="宋体" w:hAnsi="宋体"/>
          <w:b/>
          <w:color w:val="auto"/>
          <w:sz w:val="24"/>
          <w:highlight w:val="none"/>
        </w:rPr>
      </w:pPr>
      <w:bookmarkStart w:id="264" w:name="_Toc458096904"/>
      <w:r>
        <w:rPr>
          <w:rFonts w:hint="eastAsia" w:ascii="宋体" w:hAnsi="宋体"/>
          <w:b/>
          <w:color w:val="auto"/>
          <w:sz w:val="24"/>
          <w:highlight w:val="none"/>
        </w:rPr>
        <w:t>1.</w:t>
      </w:r>
      <w:r>
        <w:rPr>
          <w:rFonts w:hint="eastAsia" w:ascii="宋体" w:hAnsi="宋体"/>
          <w:b/>
          <w:color w:val="auto"/>
          <w:sz w:val="24"/>
          <w:highlight w:val="none"/>
          <w:lang w:eastAsia="zh-CN"/>
        </w:rPr>
        <w:t>磋商响应文件</w:t>
      </w:r>
      <w:r>
        <w:rPr>
          <w:rFonts w:hint="eastAsia" w:ascii="宋体" w:hAnsi="宋体"/>
          <w:b/>
          <w:color w:val="auto"/>
          <w:sz w:val="24"/>
          <w:highlight w:val="none"/>
        </w:rPr>
        <w:t>的密封和标记</w:t>
      </w:r>
      <w:bookmarkEnd w:id="264"/>
    </w:p>
    <w:p>
      <w:pPr>
        <w:wordWrap w:val="0"/>
        <w:spacing w:line="360" w:lineRule="auto"/>
        <w:ind w:firstLine="482" w:firstLineChars="200"/>
        <w:rPr>
          <w:rFonts w:hint="eastAsia" w:ascii="宋体" w:hAnsi="宋体"/>
          <w:b/>
          <w:bCs/>
          <w:color w:val="auto"/>
          <w:sz w:val="24"/>
          <w:highlight w:val="none"/>
        </w:rPr>
      </w:pPr>
      <w:bookmarkStart w:id="265" w:name="_Toc469850063"/>
      <w:bookmarkStart w:id="266" w:name="_Toc91477264"/>
      <w:bookmarkStart w:id="267" w:name="_Toc89586904"/>
      <w:bookmarkStart w:id="268" w:name="_Toc229198037"/>
      <w:bookmarkStart w:id="269" w:name="_Toc274816724"/>
      <w:bookmarkStart w:id="270" w:name="_Toc89058543"/>
      <w:bookmarkStart w:id="271" w:name="_Toc139343548"/>
      <w:bookmarkStart w:id="272" w:name="_Toc91030014"/>
      <w:r>
        <w:rPr>
          <w:rFonts w:hint="eastAsia" w:ascii="宋体" w:hAnsi="宋体"/>
          <w:b/>
          <w:color w:val="auto"/>
          <w:sz w:val="24"/>
          <w:highlight w:val="none"/>
        </w:rPr>
        <w:t>1.1</w:t>
      </w:r>
      <w:r>
        <w:rPr>
          <w:rFonts w:hint="eastAsia" w:ascii="宋体" w:hAnsi="宋体"/>
          <w:b/>
          <w:bCs/>
          <w:color w:val="auto"/>
          <w:sz w:val="24"/>
          <w:highlight w:val="none"/>
          <w:lang w:eastAsia="zh-CN"/>
        </w:rPr>
        <w:t>磋商响应文件</w:t>
      </w:r>
      <w:r>
        <w:rPr>
          <w:rFonts w:hint="eastAsia" w:ascii="宋体" w:hAnsi="宋体"/>
          <w:b/>
          <w:bCs/>
          <w:color w:val="auto"/>
          <w:sz w:val="24"/>
          <w:highlight w:val="none"/>
        </w:rPr>
        <w:t>正本与副本应包装在一起，在封口处应加盖公章。</w:t>
      </w:r>
    </w:p>
    <w:p>
      <w:pPr>
        <w:wordWrap w:val="0"/>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1.2在封套上注明</w:t>
      </w:r>
      <w:r>
        <w:rPr>
          <w:rFonts w:hint="eastAsia" w:ascii="宋体" w:hAnsi="宋体"/>
          <w:b/>
          <w:bCs/>
          <w:color w:val="auto"/>
          <w:sz w:val="24"/>
          <w:highlight w:val="none"/>
          <w:lang w:val="en-US" w:eastAsia="zh-CN"/>
        </w:rPr>
        <w:t>项目名称、项目编号、投标人名称、联系人及联系电话</w:t>
      </w:r>
      <w:r>
        <w:rPr>
          <w:rFonts w:hint="eastAsia" w:ascii="宋体" w:hAnsi="宋体"/>
          <w:b/>
          <w:bCs/>
          <w:color w:val="auto"/>
          <w:sz w:val="24"/>
          <w:highlight w:val="none"/>
        </w:rPr>
        <w:t>及</w:t>
      </w:r>
      <w:r>
        <w:rPr>
          <w:rFonts w:hint="eastAsia" w:ascii="宋体" w:hAnsi="宋体"/>
          <w:b/>
          <w:bCs/>
          <w:color w:val="auto"/>
          <w:spacing w:val="-4"/>
          <w:sz w:val="24"/>
          <w:highlight w:val="none"/>
        </w:rPr>
        <w:t>“</w:t>
      </w:r>
      <w:r>
        <w:rPr>
          <w:rFonts w:hint="eastAsia" w:ascii="宋体" w:hAnsi="宋体"/>
          <w:b/>
          <w:bCs/>
          <w:color w:val="auto"/>
          <w:sz w:val="24"/>
          <w:highlight w:val="none"/>
        </w:rPr>
        <w:t>在</w:t>
      </w:r>
      <w:r>
        <w:rPr>
          <w:rFonts w:hint="eastAsia" w:ascii="宋体" w:hAnsi="宋体"/>
          <w:b/>
          <w:bCs/>
          <w:color w:val="auto"/>
          <w:sz w:val="24"/>
          <w:highlight w:val="none"/>
          <w:u w:val="single"/>
        </w:rPr>
        <w:t xml:space="preserve">   </w:t>
      </w:r>
      <w:r>
        <w:rPr>
          <w:rFonts w:hint="eastAsia" w:ascii="宋体" w:hAnsi="宋体"/>
          <w:b/>
          <w:bCs/>
          <w:color w:val="auto"/>
          <w:sz w:val="24"/>
          <w:highlight w:val="none"/>
        </w:rPr>
        <w:t>年</w:t>
      </w:r>
      <w:r>
        <w:rPr>
          <w:rFonts w:hint="eastAsia" w:ascii="宋体" w:hAnsi="宋体"/>
          <w:b/>
          <w:bCs/>
          <w:color w:val="auto"/>
          <w:sz w:val="24"/>
          <w:highlight w:val="none"/>
          <w:u w:val="single"/>
        </w:rPr>
        <w:t xml:space="preserve">     </w:t>
      </w:r>
      <w:r>
        <w:rPr>
          <w:rFonts w:hint="eastAsia" w:ascii="宋体" w:hAnsi="宋体"/>
          <w:b/>
          <w:bCs/>
          <w:color w:val="auto"/>
          <w:sz w:val="24"/>
          <w:highlight w:val="none"/>
        </w:rPr>
        <w:t>月</w:t>
      </w:r>
      <w:r>
        <w:rPr>
          <w:rFonts w:hint="eastAsia" w:ascii="宋体" w:hAnsi="宋体"/>
          <w:b/>
          <w:bCs/>
          <w:color w:val="auto"/>
          <w:sz w:val="24"/>
          <w:highlight w:val="none"/>
          <w:u w:val="single"/>
        </w:rPr>
        <w:t xml:space="preserve">     </w:t>
      </w:r>
      <w:r>
        <w:rPr>
          <w:rFonts w:hint="eastAsia" w:ascii="宋体" w:hAnsi="宋体"/>
          <w:b/>
          <w:bCs/>
          <w:color w:val="auto"/>
          <w:sz w:val="24"/>
          <w:highlight w:val="none"/>
        </w:rPr>
        <w:t>日</w:t>
      </w:r>
      <w:r>
        <w:rPr>
          <w:rFonts w:hint="eastAsia" w:ascii="宋体" w:hAnsi="宋体"/>
          <w:b/>
          <w:bCs/>
          <w:color w:val="auto"/>
          <w:sz w:val="24"/>
          <w:highlight w:val="none"/>
          <w:u w:val="single"/>
        </w:rPr>
        <w:t xml:space="preserve">     </w:t>
      </w:r>
      <w:r>
        <w:rPr>
          <w:rFonts w:hint="eastAsia" w:ascii="宋体" w:hAnsi="宋体"/>
          <w:b/>
          <w:bCs/>
          <w:color w:val="auto"/>
          <w:sz w:val="24"/>
          <w:highlight w:val="none"/>
        </w:rPr>
        <w:t>时</w:t>
      </w:r>
      <w:r>
        <w:rPr>
          <w:rFonts w:hint="eastAsia" w:ascii="宋体" w:hAnsi="宋体"/>
          <w:b/>
          <w:bCs/>
          <w:color w:val="auto"/>
          <w:sz w:val="24"/>
          <w:highlight w:val="none"/>
          <w:u w:val="single"/>
        </w:rPr>
        <w:t xml:space="preserve">     </w:t>
      </w:r>
      <w:r>
        <w:rPr>
          <w:rFonts w:hint="eastAsia" w:ascii="宋体" w:hAnsi="宋体"/>
          <w:b/>
          <w:bCs/>
          <w:color w:val="auto"/>
          <w:sz w:val="24"/>
          <w:highlight w:val="none"/>
        </w:rPr>
        <w:t>分之前不得启封</w:t>
      </w:r>
      <w:r>
        <w:rPr>
          <w:rFonts w:hint="eastAsia" w:ascii="宋体" w:hAnsi="宋体"/>
          <w:b/>
          <w:bCs/>
          <w:color w:val="auto"/>
          <w:spacing w:val="-4"/>
          <w:sz w:val="24"/>
          <w:highlight w:val="none"/>
        </w:rPr>
        <w:t>”字样，密封后粘贴密封条，加盖骑缝章。</w:t>
      </w:r>
    </w:p>
    <w:p>
      <w:pPr>
        <w:wordWrap w:val="0"/>
        <w:spacing w:line="360" w:lineRule="auto"/>
        <w:ind w:firstLine="466" w:firstLineChars="200"/>
        <w:rPr>
          <w:rFonts w:hint="eastAsia" w:ascii="宋体" w:hAnsi="宋体"/>
          <w:b/>
          <w:bCs/>
          <w:color w:val="auto"/>
          <w:sz w:val="24"/>
          <w:highlight w:val="none"/>
        </w:rPr>
      </w:pPr>
      <w:r>
        <w:rPr>
          <w:rFonts w:hint="eastAsia" w:ascii="宋体" w:hAnsi="宋体"/>
          <w:b/>
          <w:bCs/>
          <w:color w:val="auto"/>
          <w:spacing w:val="-4"/>
          <w:sz w:val="24"/>
          <w:highlight w:val="none"/>
        </w:rPr>
        <w:t>1.3未按本章第1.1项或1.2项密封和加写标记的</w:t>
      </w:r>
      <w:r>
        <w:rPr>
          <w:rFonts w:hint="eastAsia" w:ascii="宋体" w:hAnsi="宋体"/>
          <w:b/>
          <w:bCs/>
          <w:color w:val="auto"/>
          <w:spacing w:val="-4"/>
          <w:sz w:val="24"/>
          <w:highlight w:val="none"/>
          <w:lang w:eastAsia="zh-CN"/>
        </w:rPr>
        <w:t>磋商响应文件</w:t>
      </w:r>
      <w:r>
        <w:rPr>
          <w:rFonts w:hint="eastAsia" w:ascii="宋体" w:hAnsi="宋体"/>
          <w:b/>
          <w:bCs/>
          <w:color w:val="auto"/>
          <w:spacing w:val="-4"/>
          <w:sz w:val="24"/>
          <w:highlight w:val="none"/>
        </w:rPr>
        <w:t xml:space="preserve">, </w:t>
      </w:r>
      <w:r>
        <w:rPr>
          <w:rFonts w:hint="eastAsia" w:ascii="宋体" w:hAnsi="宋体"/>
          <w:b/>
          <w:bCs/>
          <w:color w:val="auto"/>
          <w:sz w:val="24"/>
          <w:highlight w:val="none"/>
        </w:rPr>
        <w:t>造成的不利后果由供应商自行承担</w:t>
      </w:r>
      <w:r>
        <w:rPr>
          <w:rFonts w:hint="eastAsia" w:ascii="宋体" w:hAnsi="宋体"/>
          <w:b/>
          <w:bCs/>
          <w:color w:val="auto"/>
          <w:spacing w:val="-4"/>
          <w:sz w:val="24"/>
          <w:highlight w:val="none"/>
        </w:rPr>
        <w:t>。</w:t>
      </w:r>
    </w:p>
    <w:p>
      <w:pPr>
        <w:adjustRightInd w:val="0"/>
        <w:snapToGrid w:val="0"/>
        <w:spacing w:line="360" w:lineRule="auto"/>
        <w:rPr>
          <w:rFonts w:ascii="宋体" w:hAnsi="宋体"/>
          <w:b/>
          <w:color w:val="auto"/>
          <w:sz w:val="24"/>
          <w:highlight w:val="none"/>
        </w:rPr>
      </w:pPr>
      <w:bookmarkStart w:id="273" w:name="_Toc458096905"/>
      <w:r>
        <w:rPr>
          <w:rFonts w:hint="eastAsia" w:ascii="宋体" w:hAnsi="宋体"/>
          <w:b/>
          <w:color w:val="auto"/>
          <w:sz w:val="24"/>
          <w:highlight w:val="none"/>
        </w:rPr>
        <w:t>2.</w:t>
      </w:r>
      <w:r>
        <w:rPr>
          <w:rFonts w:hint="eastAsia" w:ascii="宋体" w:hAnsi="宋体"/>
          <w:b/>
          <w:color w:val="auto"/>
          <w:sz w:val="24"/>
          <w:highlight w:val="none"/>
          <w:lang w:eastAsia="zh-CN"/>
        </w:rPr>
        <w:t>磋商响应文件</w:t>
      </w:r>
      <w:r>
        <w:rPr>
          <w:rFonts w:hint="eastAsia" w:ascii="宋体" w:hAnsi="宋体"/>
          <w:b/>
          <w:color w:val="auto"/>
          <w:sz w:val="24"/>
          <w:highlight w:val="none"/>
        </w:rPr>
        <w:t>的提交</w:t>
      </w:r>
      <w:bookmarkEnd w:id="273"/>
    </w:p>
    <w:p>
      <w:pPr>
        <w:adjustRightInd w:val="0"/>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w:t>
      </w:r>
      <w:r>
        <w:rPr>
          <w:rFonts w:ascii="宋体" w:hAnsi="宋体"/>
          <w:bCs/>
          <w:color w:val="auto"/>
          <w:sz w:val="24"/>
          <w:highlight w:val="none"/>
        </w:rPr>
        <w:t xml:space="preserve">1 </w:t>
      </w:r>
      <w:r>
        <w:rPr>
          <w:rFonts w:hint="eastAsia" w:ascii="宋体" w:hAnsi="宋体"/>
          <w:bCs/>
          <w:color w:val="auto"/>
          <w:sz w:val="24"/>
          <w:highlight w:val="none"/>
        </w:rPr>
        <w:t>供应商应按本须知前附表所规定的地点，于递交截止时间前提交</w:t>
      </w:r>
      <w:r>
        <w:rPr>
          <w:rFonts w:hint="eastAsia" w:ascii="宋体" w:hAnsi="宋体"/>
          <w:bCs/>
          <w:color w:val="auto"/>
          <w:sz w:val="24"/>
          <w:highlight w:val="none"/>
          <w:lang w:eastAsia="zh-CN"/>
        </w:rPr>
        <w:t>磋商响应文件</w:t>
      </w:r>
      <w:r>
        <w:rPr>
          <w:rFonts w:hint="eastAsia" w:ascii="宋体" w:hAnsi="宋体"/>
          <w:bCs/>
          <w:color w:val="auto"/>
          <w:sz w:val="24"/>
          <w:highlight w:val="none"/>
        </w:rPr>
        <w:t>。</w:t>
      </w:r>
      <w:bookmarkStart w:id="274" w:name="_Toc17216810"/>
    </w:p>
    <w:bookmarkEnd w:id="274"/>
    <w:p>
      <w:pPr>
        <w:adjustRightInd w:val="0"/>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2.2投标截止时间为《</w:t>
      </w:r>
      <w:r>
        <w:rPr>
          <w:rFonts w:hint="eastAsia" w:ascii="宋体" w:hAnsi="宋体"/>
          <w:bCs/>
          <w:color w:val="auto"/>
          <w:sz w:val="24"/>
          <w:highlight w:val="none"/>
          <w:lang w:eastAsia="zh-CN"/>
        </w:rPr>
        <w:t>磋商文件</w:t>
      </w:r>
      <w:r>
        <w:rPr>
          <w:rFonts w:hint="eastAsia" w:ascii="宋体" w:hAnsi="宋体"/>
          <w:bCs/>
          <w:color w:val="auto"/>
          <w:sz w:val="24"/>
          <w:highlight w:val="none"/>
        </w:rPr>
        <w:t>》“</w:t>
      </w:r>
      <w:r>
        <w:rPr>
          <w:rFonts w:hint="eastAsia" w:ascii="宋体" w:hAnsi="宋体"/>
          <w:color w:val="auto"/>
          <w:sz w:val="24"/>
          <w:highlight w:val="none"/>
        </w:rPr>
        <w:t>供应商</w:t>
      </w:r>
      <w:r>
        <w:rPr>
          <w:rFonts w:hint="eastAsia" w:ascii="宋体" w:hAnsi="宋体"/>
          <w:bCs/>
          <w:color w:val="auto"/>
          <w:sz w:val="24"/>
          <w:highlight w:val="none"/>
        </w:rPr>
        <w:t>须知前附表”中规定时间，逾期送达的《</w:t>
      </w:r>
      <w:r>
        <w:rPr>
          <w:rFonts w:hint="eastAsia" w:ascii="宋体" w:hAnsi="宋体"/>
          <w:bCs/>
          <w:color w:val="auto"/>
          <w:sz w:val="24"/>
          <w:highlight w:val="none"/>
          <w:lang w:eastAsia="zh-CN"/>
        </w:rPr>
        <w:t>磋商响应文件</w:t>
      </w:r>
      <w:r>
        <w:rPr>
          <w:rFonts w:hint="eastAsia" w:ascii="宋体" w:hAnsi="宋体"/>
          <w:bCs/>
          <w:color w:val="auto"/>
          <w:sz w:val="24"/>
          <w:highlight w:val="none"/>
        </w:rPr>
        <w:t>》招标代理机构和采购人概不接受。</w:t>
      </w:r>
    </w:p>
    <w:p>
      <w:pPr>
        <w:adjustRightInd w:val="0"/>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2.3</w:t>
      </w:r>
      <w:r>
        <w:rPr>
          <w:rFonts w:ascii="宋体" w:hAnsi="宋体"/>
          <w:bCs/>
          <w:color w:val="auto"/>
          <w:sz w:val="24"/>
          <w:highlight w:val="none"/>
        </w:rPr>
        <w:t xml:space="preserve"> </w:t>
      </w:r>
      <w:r>
        <w:rPr>
          <w:rFonts w:hint="eastAsia" w:ascii="宋体" w:hAnsi="宋体"/>
          <w:bCs/>
          <w:color w:val="auto"/>
          <w:sz w:val="24"/>
          <w:highlight w:val="none"/>
        </w:rPr>
        <w:t>采购人可按本须知规定以修改补充通知的方式，酌情延长提交</w:t>
      </w:r>
      <w:r>
        <w:rPr>
          <w:rFonts w:hint="eastAsia" w:ascii="宋体" w:hAnsi="宋体"/>
          <w:bCs/>
          <w:color w:val="auto"/>
          <w:sz w:val="24"/>
          <w:highlight w:val="none"/>
          <w:lang w:eastAsia="zh-CN"/>
        </w:rPr>
        <w:t>磋商响应文件</w:t>
      </w:r>
      <w:r>
        <w:rPr>
          <w:rFonts w:hint="eastAsia" w:ascii="宋体" w:hAnsi="宋体"/>
          <w:bCs/>
          <w:color w:val="auto"/>
          <w:sz w:val="24"/>
          <w:highlight w:val="none"/>
        </w:rPr>
        <w:t>的截止时间。在此情况下，供应商的所有权利和义务以及供应商受制约的截止时间，均以延长后新的投标截止时间为准。</w:t>
      </w:r>
    </w:p>
    <w:p>
      <w:pPr>
        <w:pStyle w:val="17"/>
        <w:adjustRightInd w:val="0"/>
        <w:snapToGrid w:val="0"/>
        <w:spacing w:line="360" w:lineRule="auto"/>
        <w:ind w:firstLine="480"/>
        <w:rPr>
          <w:rFonts w:hint="eastAsia" w:ascii="宋体" w:hAnsi="宋体"/>
          <w:color w:val="auto"/>
          <w:sz w:val="24"/>
          <w:highlight w:val="none"/>
        </w:rPr>
      </w:pPr>
      <w:bookmarkStart w:id="275" w:name="_Toc443313552"/>
      <w:bookmarkStart w:id="276" w:name="_Toc440062301"/>
      <w:bookmarkStart w:id="277" w:name="_Toc440618813"/>
      <w:bookmarkStart w:id="278" w:name="_Toc440010896"/>
      <w:bookmarkStart w:id="279" w:name="_Toc443313401"/>
      <w:bookmarkStart w:id="280" w:name="_Toc440006357"/>
      <w:bookmarkStart w:id="281" w:name="_Toc457219459"/>
      <w:r>
        <w:rPr>
          <w:rFonts w:hint="eastAsia" w:ascii="宋体" w:hAnsi="宋体"/>
          <w:color w:val="auto"/>
          <w:sz w:val="24"/>
          <w:highlight w:val="none"/>
        </w:rPr>
        <w:t>2.4</w:t>
      </w:r>
      <w:r>
        <w:rPr>
          <w:rFonts w:ascii="宋体" w:hAnsi="宋体"/>
          <w:color w:val="auto"/>
          <w:sz w:val="24"/>
          <w:highlight w:val="none"/>
        </w:rPr>
        <w:t xml:space="preserve"> </w:t>
      </w:r>
      <w:r>
        <w:rPr>
          <w:rFonts w:hint="eastAsia" w:ascii="宋体" w:hAnsi="宋体"/>
          <w:color w:val="auto"/>
          <w:sz w:val="24"/>
          <w:highlight w:val="none"/>
        </w:rPr>
        <w:t>到投标截止时间止，采购人收到的</w:t>
      </w:r>
      <w:r>
        <w:rPr>
          <w:rFonts w:hint="eastAsia" w:ascii="宋体" w:hAnsi="宋体"/>
          <w:color w:val="auto"/>
          <w:sz w:val="24"/>
          <w:highlight w:val="none"/>
          <w:lang w:eastAsia="zh-CN"/>
        </w:rPr>
        <w:t>磋商响应文件</w:t>
      </w:r>
      <w:r>
        <w:rPr>
          <w:rFonts w:hint="eastAsia" w:ascii="宋体" w:hAnsi="宋体"/>
          <w:color w:val="auto"/>
          <w:sz w:val="24"/>
          <w:highlight w:val="none"/>
        </w:rPr>
        <w:t>少于</w:t>
      </w:r>
      <w:r>
        <w:rPr>
          <w:rFonts w:ascii="宋体" w:hAnsi="宋体"/>
          <w:color w:val="auto"/>
          <w:sz w:val="24"/>
          <w:highlight w:val="none"/>
        </w:rPr>
        <w:t>3</w:t>
      </w:r>
      <w:r>
        <w:rPr>
          <w:rFonts w:hint="eastAsia" w:ascii="宋体" w:hAnsi="宋体"/>
          <w:color w:val="auto"/>
          <w:sz w:val="24"/>
          <w:highlight w:val="none"/>
        </w:rPr>
        <w:t>个的，采购人将依法重新组织招标。</w:t>
      </w:r>
      <w:bookmarkEnd w:id="275"/>
      <w:bookmarkEnd w:id="276"/>
      <w:bookmarkEnd w:id="277"/>
      <w:bookmarkEnd w:id="278"/>
      <w:bookmarkEnd w:id="279"/>
      <w:bookmarkEnd w:id="280"/>
      <w:bookmarkEnd w:id="281"/>
    </w:p>
    <w:p>
      <w:pPr>
        <w:pStyle w:val="17"/>
        <w:adjustRightInd w:val="0"/>
        <w:snapToGrid w:val="0"/>
        <w:spacing w:line="360" w:lineRule="auto"/>
        <w:ind w:firstLine="480"/>
        <w:rPr>
          <w:rFonts w:hint="eastAsia" w:ascii="宋体" w:hAnsi="宋体"/>
          <w:color w:val="auto"/>
          <w:sz w:val="24"/>
          <w:highlight w:val="none"/>
        </w:rPr>
      </w:pPr>
      <w:bookmarkStart w:id="282" w:name="_Toc440618814"/>
      <w:bookmarkStart w:id="283" w:name="_Toc457219460"/>
      <w:bookmarkStart w:id="284" w:name="_Toc440010897"/>
      <w:bookmarkStart w:id="285" w:name="_Toc443313402"/>
      <w:bookmarkStart w:id="286" w:name="_Toc443313553"/>
      <w:bookmarkStart w:id="287" w:name="_Toc440062302"/>
      <w:bookmarkStart w:id="288" w:name="_Toc440006358"/>
      <w:r>
        <w:rPr>
          <w:rFonts w:hint="eastAsia" w:ascii="宋体" w:hAnsi="宋体"/>
          <w:color w:val="auto"/>
          <w:sz w:val="24"/>
          <w:highlight w:val="none"/>
        </w:rPr>
        <w:t>2.5本次招标不接受邮寄的</w:t>
      </w:r>
      <w:r>
        <w:rPr>
          <w:rFonts w:hint="eastAsia" w:ascii="宋体" w:hAnsi="宋体"/>
          <w:color w:val="auto"/>
          <w:sz w:val="24"/>
          <w:highlight w:val="none"/>
          <w:lang w:eastAsia="zh-CN"/>
        </w:rPr>
        <w:t>磋商响应文件</w:t>
      </w:r>
      <w:r>
        <w:rPr>
          <w:rFonts w:hint="eastAsia" w:ascii="宋体" w:hAnsi="宋体"/>
          <w:color w:val="auto"/>
          <w:sz w:val="24"/>
          <w:highlight w:val="none"/>
        </w:rPr>
        <w:t>。</w:t>
      </w:r>
      <w:bookmarkEnd w:id="282"/>
      <w:bookmarkEnd w:id="283"/>
      <w:bookmarkEnd w:id="284"/>
      <w:bookmarkEnd w:id="285"/>
      <w:bookmarkEnd w:id="286"/>
      <w:bookmarkEnd w:id="287"/>
      <w:bookmarkEnd w:id="288"/>
    </w:p>
    <w:p>
      <w:pPr>
        <w:adjustRightInd w:val="0"/>
        <w:snapToGrid w:val="0"/>
        <w:spacing w:line="360" w:lineRule="auto"/>
        <w:rPr>
          <w:rFonts w:hint="eastAsia" w:ascii="宋体" w:hAnsi="宋体"/>
          <w:b/>
          <w:color w:val="auto"/>
          <w:sz w:val="24"/>
          <w:highlight w:val="none"/>
        </w:rPr>
      </w:pPr>
      <w:bookmarkStart w:id="289" w:name="_Toc458096906"/>
      <w:r>
        <w:rPr>
          <w:rFonts w:hint="eastAsia" w:ascii="宋体" w:hAnsi="宋体"/>
          <w:b/>
          <w:color w:val="auto"/>
          <w:sz w:val="24"/>
          <w:highlight w:val="none"/>
        </w:rPr>
        <w:t>3.投标截止</w:t>
      </w:r>
      <w:bookmarkEnd w:id="265"/>
      <w:r>
        <w:rPr>
          <w:rFonts w:hint="eastAsia" w:ascii="宋体" w:hAnsi="宋体"/>
          <w:b/>
          <w:color w:val="auto"/>
          <w:sz w:val="24"/>
          <w:highlight w:val="none"/>
        </w:rPr>
        <w:t>时间</w:t>
      </w:r>
      <w:bookmarkEnd w:id="266"/>
      <w:bookmarkEnd w:id="267"/>
      <w:bookmarkEnd w:id="268"/>
      <w:bookmarkEnd w:id="269"/>
      <w:bookmarkEnd w:id="270"/>
      <w:bookmarkEnd w:id="271"/>
      <w:bookmarkEnd w:id="272"/>
      <w:bookmarkEnd w:id="289"/>
    </w:p>
    <w:p>
      <w:pPr>
        <w:tabs>
          <w:tab w:val="left" w:pos="864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投标截止时间为“供应商须知前附表”中规定时间。</w:t>
      </w:r>
      <w:bookmarkStart w:id="290" w:name="_Toc89586905"/>
      <w:bookmarkStart w:id="291" w:name="_Toc469850064"/>
      <w:bookmarkStart w:id="292" w:name="_Toc91477265"/>
      <w:bookmarkStart w:id="293" w:name="_Toc91030015"/>
      <w:bookmarkStart w:id="294" w:name="_Toc229198038"/>
      <w:bookmarkStart w:id="295" w:name="_Toc139343549"/>
      <w:bookmarkStart w:id="296" w:name="_Toc89058544"/>
      <w:bookmarkStart w:id="297" w:name="_Toc274816725"/>
    </w:p>
    <w:p>
      <w:pPr>
        <w:adjustRightInd w:val="0"/>
        <w:snapToGrid w:val="0"/>
        <w:spacing w:line="360" w:lineRule="auto"/>
        <w:rPr>
          <w:rFonts w:hint="eastAsia" w:ascii="宋体" w:hAnsi="宋体" w:eastAsia="宋体"/>
          <w:b/>
          <w:color w:val="auto"/>
          <w:sz w:val="24"/>
          <w:highlight w:val="none"/>
          <w:lang w:eastAsia="zh-CN"/>
        </w:rPr>
      </w:pPr>
      <w:bookmarkStart w:id="298" w:name="_Toc458096907"/>
      <w:r>
        <w:rPr>
          <w:rFonts w:hint="eastAsia" w:ascii="宋体" w:hAnsi="宋体"/>
          <w:b/>
          <w:color w:val="auto"/>
          <w:sz w:val="24"/>
          <w:highlight w:val="none"/>
        </w:rPr>
        <w:t>4.迟交的</w:t>
      </w:r>
      <w:bookmarkEnd w:id="290"/>
      <w:bookmarkEnd w:id="291"/>
      <w:bookmarkEnd w:id="292"/>
      <w:bookmarkEnd w:id="293"/>
      <w:bookmarkEnd w:id="294"/>
      <w:bookmarkEnd w:id="295"/>
      <w:bookmarkEnd w:id="296"/>
      <w:bookmarkEnd w:id="297"/>
      <w:bookmarkEnd w:id="298"/>
      <w:r>
        <w:rPr>
          <w:rFonts w:hint="eastAsia" w:ascii="宋体" w:hAnsi="宋体"/>
          <w:b/>
          <w:color w:val="auto"/>
          <w:sz w:val="24"/>
          <w:highlight w:val="none"/>
          <w:lang w:eastAsia="zh-CN"/>
        </w:rPr>
        <w:t>磋商响应文件</w:t>
      </w:r>
    </w:p>
    <w:p>
      <w:pPr>
        <w:tabs>
          <w:tab w:val="left" w:pos="8640"/>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采购人将拒绝并退回在其规定的截止时间后收到的任何</w:t>
      </w:r>
      <w:r>
        <w:rPr>
          <w:rFonts w:hint="eastAsia" w:ascii="宋体" w:hAnsi="宋体"/>
          <w:color w:val="auto"/>
          <w:sz w:val="24"/>
          <w:highlight w:val="none"/>
          <w:lang w:eastAsia="zh-CN"/>
        </w:rPr>
        <w:t>磋商响应文件</w:t>
      </w:r>
      <w:r>
        <w:rPr>
          <w:rFonts w:hint="eastAsia" w:ascii="宋体" w:hAnsi="宋体"/>
          <w:color w:val="auto"/>
          <w:sz w:val="24"/>
          <w:highlight w:val="none"/>
        </w:rPr>
        <w:t>。</w:t>
      </w:r>
      <w:bookmarkStart w:id="299" w:name="_Toc91477266"/>
      <w:bookmarkStart w:id="300" w:name="_Toc229198039"/>
      <w:bookmarkStart w:id="301" w:name="_Toc469850065"/>
      <w:bookmarkStart w:id="302" w:name="_Toc91030016"/>
      <w:bookmarkStart w:id="303" w:name="_Toc139343550"/>
      <w:bookmarkStart w:id="304" w:name="_Toc89058545"/>
      <w:bookmarkStart w:id="305" w:name="_Toc274816726"/>
      <w:bookmarkStart w:id="306" w:name="_Toc89586906"/>
    </w:p>
    <w:p>
      <w:pPr>
        <w:adjustRightInd w:val="0"/>
        <w:snapToGrid w:val="0"/>
        <w:spacing w:line="360" w:lineRule="auto"/>
        <w:rPr>
          <w:rFonts w:hint="eastAsia" w:ascii="宋体" w:hAnsi="宋体"/>
          <w:b/>
          <w:color w:val="auto"/>
          <w:sz w:val="24"/>
          <w:highlight w:val="none"/>
        </w:rPr>
      </w:pPr>
      <w:bookmarkStart w:id="307" w:name="_Toc458096908"/>
      <w:r>
        <w:rPr>
          <w:rFonts w:hint="eastAsia" w:ascii="宋体" w:hAnsi="宋体"/>
          <w:b/>
          <w:color w:val="auto"/>
          <w:sz w:val="24"/>
          <w:highlight w:val="none"/>
        </w:rPr>
        <w:t>5.</w:t>
      </w:r>
      <w:r>
        <w:rPr>
          <w:rFonts w:hint="eastAsia" w:ascii="宋体" w:hAnsi="宋体"/>
          <w:b/>
          <w:color w:val="auto"/>
          <w:sz w:val="24"/>
          <w:highlight w:val="none"/>
          <w:lang w:eastAsia="zh-CN"/>
        </w:rPr>
        <w:t>磋商响应文件</w:t>
      </w:r>
      <w:r>
        <w:rPr>
          <w:rFonts w:hint="eastAsia" w:ascii="宋体" w:hAnsi="宋体"/>
          <w:b/>
          <w:color w:val="auto"/>
          <w:sz w:val="24"/>
          <w:highlight w:val="none"/>
        </w:rPr>
        <w:t>的修改与撤回</w:t>
      </w:r>
      <w:bookmarkEnd w:id="299"/>
      <w:bookmarkEnd w:id="300"/>
      <w:bookmarkEnd w:id="301"/>
      <w:bookmarkEnd w:id="302"/>
      <w:bookmarkEnd w:id="303"/>
      <w:bookmarkEnd w:id="304"/>
      <w:bookmarkEnd w:id="305"/>
      <w:bookmarkEnd w:id="306"/>
      <w:bookmarkEnd w:id="307"/>
    </w:p>
    <w:p>
      <w:pPr>
        <w:adjustRightInd w:val="0"/>
        <w:snapToGrid w:val="0"/>
        <w:spacing w:line="360" w:lineRule="auto"/>
        <w:ind w:firstLine="480" w:firstLineChars="200"/>
        <w:rPr>
          <w:rFonts w:ascii="宋体" w:hAnsi="宋体"/>
          <w:bCs/>
          <w:color w:val="auto"/>
          <w:sz w:val="24"/>
          <w:highlight w:val="none"/>
        </w:rPr>
      </w:pPr>
      <w:bookmarkStart w:id="308" w:name="_Toc373309556"/>
      <w:bookmarkStart w:id="309" w:name="_Toc352938601"/>
      <w:bookmarkStart w:id="310" w:name="_Toc89058546"/>
      <w:bookmarkStart w:id="311" w:name="_Toc89586907"/>
      <w:bookmarkStart w:id="312" w:name="_Toc469850066"/>
      <w:bookmarkStart w:id="313" w:name="_Toc91030017"/>
      <w:bookmarkStart w:id="314" w:name="_Toc352938391"/>
      <w:bookmarkStart w:id="315" w:name="_Toc438631247"/>
      <w:bookmarkStart w:id="316" w:name="_Toc91477267"/>
      <w:bookmarkStart w:id="317" w:name="_Toc229198040"/>
      <w:bookmarkStart w:id="318" w:name="_Toc139343551"/>
      <w:bookmarkStart w:id="319" w:name="_Toc373314701"/>
      <w:bookmarkStart w:id="320" w:name="_Toc274816727"/>
      <w:r>
        <w:rPr>
          <w:rFonts w:hint="eastAsia" w:ascii="宋体" w:hAnsi="宋体"/>
          <w:bCs/>
          <w:color w:val="auto"/>
          <w:sz w:val="24"/>
          <w:highlight w:val="none"/>
        </w:rPr>
        <w:t>5.</w:t>
      </w:r>
      <w:r>
        <w:rPr>
          <w:rFonts w:ascii="宋体" w:hAnsi="宋体"/>
          <w:bCs/>
          <w:color w:val="auto"/>
          <w:sz w:val="24"/>
          <w:highlight w:val="none"/>
        </w:rPr>
        <w:t xml:space="preserve">1 </w:t>
      </w:r>
      <w:r>
        <w:rPr>
          <w:rFonts w:hint="eastAsia" w:ascii="宋体" w:hAnsi="宋体"/>
          <w:bCs/>
          <w:color w:val="auto"/>
          <w:sz w:val="24"/>
          <w:highlight w:val="none"/>
        </w:rPr>
        <w:t>供应商在提交</w:t>
      </w:r>
      <w:r>
        <w:rPr>
          <w:rFonts w:hint="eastAsia" w:ascii="宋体" w:hAnsi="宋体"/>
          <w:bCs/>
          <w:color w:val="auto"/>
          <w:sz w:val="24"/>
          <w:highlight w:val="none"/>
          <w:lang w:eastAsia="zh-CN"/>
        </w:rPr>
        <w:t>磋商响应文件</w:t>
      </w:r>
      <w:r>
        <w:rPr>
          <w:rFonts w:hint="eastAsia" w:ascii="宋体" w:hAnsi="宋体"/>
          <w:bCs/>
          <w:color w:val="auto"/>
          <w:sz w:val="24"/>
          <w:highlight w:val="none"/>
        </w:rPr>
        <w:t>以后，在规定的投标截止时间之前，可以书面形式补充修改或撤回已提交的</w:t>
      </w:r>
      <w:r>
        <w:rPr>
          <w:rFonts w:hint="eastAsia" w:ascii="宋体" w:hAnsi="宋体"/>
          <w:bCs/>
          <w:color w:val="auto"/>
          <w:sz w:val="24"/>
          <w:highlight w:val="none"/>
          <w:lang w:eastAsia="zh-CN"/>
        </w:rPr>
        <w:t>磋商响应文件</w:t>
      </w:r>
      <w:r>
        <w:rPr>
          <w:rFonts w:hint="eastAsia" w:ascii="宋体" w:hAnsi="宋体"/>
          <w:bCs/>
          <w:color w:val="auto"/>
          <w:sz w:val="24"/>
          <w:highlight w:val="none"/>
        </w:rPr>
        <w:t>，并以书面形式通知采购人。补充、修改的内容为</w:t>
      </w:r>
      <w:r>
        <w:rPr>
          <w:rFonts w:hint="eastAsia" w:ascii="宋体" w:hAnsi="宋体"/>
          <w:bCs/>
          <w:color w:val="auto"/>
          <w:sz w:val="24"/>
          <w:highlight w:val="none"/>
          <w:lang w:eastAsia="zh-CN"/>
        </w:rPr>
        <w:t>磋商响应文件</w:t>
      </w:r>
      <w:r>
        <w:rPr>
          <w:rFonts w:hint="eastAsia" w:ascii="宋体" w:hAnsi="宋体"/>
          <w:bCs/>
          <w:color w:val="auto"/>
          <w:sz w:val="24"/>
          <w:highlight w:val="none"/>
        </w:rPr>
        <w:t>的组成部分。</w:t>
      </w:r>
    </w:p>
    <w:p>
      <w:pPr>
        <w:adjustRightInd w:val="0"/>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5.</w:t>
      </w:r>
      <w:r>
        <w:rPr>
          <w:rFonts w:ascii="宋体" w:hAnsi="宋体"/>
          <w:bCs/>
          <w:color w:val="auto"/>
          <w:sz w:val="24"/>
          <w:highlight w:val="none"/>
        </w:rPr>
        <w:t xml:space="preserve">2 </w:t>
      </w:r>
      <w:r>
        <w:rPr>
          <w:rFonts w:hint="eastAsia" w:ascii="宋体" w:hAnsi="宋体"/>
          <w:bCs/>
          <w:color w:val="auto"/>
          <w:sz w:val="24"/>
          <w:highlight w:val="none"/>
        </w:rPr>
        <w:t>供应商对</w:t>
      </w:r>
      <w:r>
        <w:rPr>
          <w:rFonts w:hint="eastAsia" w:ascii="宋体" w:hAnsi="宋体"/>
          <w:bCs/>
          <w:color w:val="auto"/>
          <w:sz w:val="24"/>
          <w:highlight w:val="none"/>
          <w:lang w:eastAsia="zh-CN"/>
        </w:rPr>
        <w:t>磋商响应文件</w:t>
      </w:r>
      <w:r>
        <w:rPr>
          <w:rFonts w:hint="eastAsia" w:ascii="宋体" w:hAnsi="宋体"/>
          <w:bCs/>
          <w:color w:val="auto"/>
          <w:sz w:val="24"/>
          <w:highlight w:val="none"/>
        </w:rPr>
        <w:t>的补充、修改，应按本须知有关规定密封、标记和提交，并在内外层</w:t>
      </w:r>
      <w:r>
        <w:rPr>
          <w:rFonts w:hint="eastAsia" w:ascii="宋体" w:hAnsi="宋体"/>
          <w:bCs/>
          <w:color w:val="auto"/>
          <w:sz w:val="24"/>
          <w:highlight w:val="none"/>
          <w:lang w:eastAsia="zh-CN"/>
        </w:rPr>
        <w:t>磋商响应文件</w:t>
      </w:r>
      <w:r>
        <w:rPr>
          <w:rFonts w:hint="eastAsia" w:ascii="宋体" w:hAnsi="宋体"/>
          <w:bCs/>
          <w:color w:val="auto"/>
          <w:sz w:val="24"/>
          <w:highlight w:val="none"/>
        </w:rPr>
        <w:t>密封袋上清楚标明“补充、修改”或“撤回”字样。</w:t>
      </w:r>
    </w:p>
    <w:p>
      <w:pPr>
        <w:adjustRightInd w:val="0"/>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5.</w:t>
      </w:r>
      <w:r>
        <w:rPr>
          <w:rFonts w:ascii="宋体" w:hAnsi="宋体"/>
          <w:bCs/>
          <w:color w:val="auto"/>
          <w:sz w:val="24"/>
          <w:highlight w:val="none"/>
        </w:rPr>
        <w:t>3</w:t>
      </w:r>
      <w:r>
        <w:rPr>
          <w:rFonts w:hint="eastAsia" w:ascii="宋体" w:hAnsi="宋体"/>
          <w:bCs/>
          <w:color w:val="auto"/>
          <w:sz w:val="24"/>
          <w:highlight w:val="none"/>
        </w:rPr>
        <w:t xml:space="preserve"> 在投标截止时间之后，供应商不得补充、修改</w:t>
      </w:r>
      <w:r>
        <w:rPr>
          <w:rFonts w:hint="eastAsia" w:ascii="宋体" w:hAnsi="宋体"/>
          <w:bCs/>
          <w:color w:val="auto"/>
          <w:sz w:val="24"/>
          <w:highlight w:val="none"/>
          <w:lang w:eastAsia="zh-CN"/>
        </w:rPr>
        <w:t>磋商响应文件</w:t>
      </w:r>
      <w:r>
        <w:rPr>
          <w:rFonts w:hint="eastAsia" w:ascii="宋体" w:hAnsi="宋体"/>
          <w:bCs/>
          <w:color w:val="auto"/>
          <w:sz w:val="24"/>
          <w:highlight w:val="none"/>
        </w:rPr>
        <w:t>。</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w:t>
      </w:r>
      <w:r>
        <w:rPr>
          <w:rFonts w:ascii="宋体" w:hAnsi="宋体"/>
          <w:bCs/>
          <w:color w:val="auto"/>
          <w:sz w:val="24"/>
          <w:highlight w:val="none"/>
        </w:rPr>
        <w:t xml:space="preserve">4 </w:t>
      </w:r>
      <w:r>
        <w:rPr>
          <w:rFonts w:hint="eastAsia" w:ascii="宋体" w:hAnsi="宋体"/>
          <w:bCs/>
          <w:color w:val="auto"/>
          <w:sz w:val="24"/>
          <w:highlight w:val="none"/>
        </w:rPr>
        <w:t>在投标截止时间至投标有效期满之前，供应商不得撤回其</w:t>
      </w:r>
      <w:r>
        <w:rPr>
          <w:rFonts w:hint="eastAsia" w:ascii="宋体" w:hAnsi="宋体"/>
          <w:bCs/>
          <w:color w:val="auto"/>
          <w:sz w:val="24"/>
          <w:highlight w:val="none"/>
          <w:lang w:eastAsia="zh-CN"/>
        </w:rPr>
        <w:t>磋商响应文件</w:t>
      </w:r>
      <w:r>
        <w:rPr>
          <w:rFonts w:hint="eastAsia" w:ascii="宋体" w:hAnsi="宋体"/>
          <w:bCs/>
          <w:color w:val="auto"/>
          <w:sz w:val="24"/>
          <w:highlight w:val="none"/>
        </w:rPr>
        <w:t>，否则其投标保证金将被没收。</w:t>
      </w:r>
      <w:bookmarkStart w:id="321" w:name="_Toc5820"/>
    </w:p>
    <w:p>
      <w:pPr>
        <w:pStyle w:val="4"/>
        <w:rPr>
          <w:rFonts w:hint="eastAsia" w:ascii="宋体" w:hAnsi="宋体" w:eastAsia="宋体"/>
          <w:color w:val="auto"/>
          <w:highlight w:val="none"/>
        </w:rPr>
      </w:pPr>
      <w:bookmarkStart w:id="322" w:name="_Toc476758950"/>
      <w:bookmarkStart w:id="323" w:name="_Toc4158"/>
      <w:bookmarkStart w:id="324" w:name="_Toc6035"/>
      <w:r>
        <w:rPr>
          <w:rFonts w:hint="eastAsia" w:ascii="宋体" w:hAnsi="宋体" w:eastAsia="宋体"/>
          <w:color w:val="auto"/>
          <w:highlight w:val="none"/>
        </w:rPr>
        <w:t>（六）开标</w:t>
      </w:r>
      <w:bookmarkEnd w:id="321"/>
      <w:bookmarkEnd w:id="322"/>
      <w:bookmarkEnd w:id="323"/>
      <w:bookmarkEnd w:id="324"/>
    </w:p>
    <w:p>
      <w:pPr>
        <w:spacing w:line="360" w:lineRule="auto"/>
        <w:rPr>
          <w:rFonts w:hint="eastAsia" w:ascii="宋体" w:hAnsi="宋体"/>
          <w:b/>
          <w:color w:val="auto"/>
          <w:sz w:val="24"/>
          <w:highlight w:val="none"/>
        </w:rPr>
      </w:pPr>
      <w:bookmarkStart w:id="325" w:name="_Toc390078428"/>
      <w:bookmarkStart w:id="326" w:name="_Toc390084394"/>
      <w:bookmarkStart w:id="327" w:name="_Toc390084870"/>
      <w:bookmarkStart w:id="328" w:name="_Toc390084934"/>
      <w:bookmarkStart w:id="329" w:name="_Toc389731539"/>
      <w:r>
        <w:rPr>
          <w:rFonts w:hint="eastAsia" w:ascii="宋体" w:hAnsi="宋体"/>
          <w:b/>
          <w:color w:val="auto"/>
          <w:sz w:val="24"/>
          <w:highlight w:val="none"/>
        </w:rPr>
        <w:t>1.开标时间、地点：</w:t>
      </w:r>
    </w:p>
    <w:bookmarkEnd w:id="325"/>
    <w:bookmarkEnd w:id="326"/>
    <w:bookmarkEnd w:id="327"/>
    <w:bookmarkEnd w:id="328"/>
    <w:bookmarkEnd w:id="329"/>
    <w:p>
      <w:pPr>
        <w:adjustRightInd w:val="0"/>
        <w:snapToGrid w:val="0"/>
        <w:spacing w:line="360" w:lineRule="auto"/>
        <w:ind w:firstLine="480" w:firstLineChars="200"/>
        <w:rPr>
          <w:rFonts w:hint="eastAsia" w:ascii="宋体" w:hAnsi="宋体"/>
          <w:bCs/>
          <w:color w:val="auto"/>
          <w:sz w:val="24"/>
          <w:highlight w:val="none"/>
        </w:rPr>
      </w:pPr>
      <w:r>
        <w:rPr>
          <w:rFonts w:ascii="宋体" w:hAnsi="宋体"/>
          <w:bCs/>
          <w:color w:val="auto"/>
          <w:sz w:val="24"/>
          <w:highlight w:val="none"/>
        </w:rPr>
        <w:t>1.1</w:t>
      </w:r>
      <w:r>
        <w:rPr>
          <w:rFonts w:hint="eastAsia" w:ascii="宋体" w:hAnsi="宋体"/>
          <w:bCs/>
          <w:color w:val="auto"/>
          <w:sz w:val="24"/>
          <w:highlight w:val="none"/>
        </w:rPr>
        <w:t>开标时间、地点：招标代理机构将按照《中华人民共和国政府采购法》、《中华人民共和国政府采购法实施条例》及《</w:t>
      </w:r>
      <w:r>
        <w:rPr>
          <w:rFonts w:hint="eastAsia" w:ascii="宋体" w:hAnsi="宋体"/>
          <w:bCs/>
          <w:color w:val="auto"/>
          <w:sz w:val="24"/>
          <w:highlight w:val="none"/>
          <w:lang w:eastAsia="zh-CN"/>
        </w:rPr>
        <w:t>磋商文件</w:t>
      </w:r>
      <w:r>
        <w:rPr>
          <w:rFonts w:hint="eastAsia" w:ascii="宋体" w:hAnsi="宋体"/>
          <w:bCs/>
          <w:color w:val="auto"/>
          <w:sz w:val="24"/>
          <w:highlight w:val="none"/>
        </w:rPr>
        <w:t>》中须知前表规定的时间和地点组织开标会议，</w:t>
      </w:r>
      <w:r>
        <w:rPr>
          <w:rFonts w:hint="eastAsia" w:ascii="宋体" w:hAnsi="宋体"/>
          <w:color w:val="auto"/>
          <w:sz w:val="24"/>
          <w:highlight w:val="none"/>
        </w:rPr>
        <w:t>邀请所有供应商的法定代表人或授权代表准时到场参加开标会议。</w:t>
      </w:r>
    </w:p>
    <w:p>
      <w:pPr>
        <w:adjustRightInd w:val="0"/>
        <w:snapToGrid w:val="0"/>
        <w:spacing w:line="360" w:lineRule="auto"/>
        <w:ind w:firstLine="480" w:firstLineChars="200"/>
        <w:rPr>
          <w:rFonts w:hint="eastAsia" w:ascii="宋体" w:hAnsi="宋体"/>
          <w:bCs/>
          <w:color w:val="auto"/>
          <w:sz w:val="24"/>
          <w:highlight w:val="none"/>
        </w:rPr>
      </w:pPr>
      <w:r>
        <w:rPr>
          <w:rFonts w:ascii="宋体" w:hAnsi="宋体"/>
          <w:bCs/>
          <w:color w:val="auto"/>
          <w:sz w:val="24"/>
          <w:highlight w:val="none"/>
        </w:rPr>
        <w:t>1.2</w:t>
      </w:r>
      <w:r>
        <w:rPr>
          <w:rFonts w:hint="eastAsia" w:ascii="宋体" w:hAnsi="宋体"/>
          <w:color w:val="auto"/>
          <w:sz w:val="24"/>
          <w:highlight w:val="none"/>
        </w:rPr>
        <w:t>开标会议在有关监督部门的监督下，由招标代理机构组织并主持，检查供应商身份和《</w:t>
      </w:r>
      <w:r>
        <w:rPr>
          <w:rFonts w:hint="eastAsia" w:ascii="宋体" w:hAnsi="宋体"/>
          <w:color w:val="auto"/>
          <w:sz w:val="24"/>
          <w:highlight w:val="none"/>
          <w:lang w:eastAsia="zh-CN"/>
        </w:rPr>
        <w:t>磋商响应文件</w:t>
      </w:r>
      <w:r>
        <w:rPr>
          <w:rFonts w:hint="eastAsia" w:ascii="宋体" w:hAnsi="宋体"/>
          <w:color w:val="auto"/>
          <w:sz w:val="24"/>
          <w:highlight w:val="none"/>
        </w:rPr>
        <w:t>》是否符合《</w:t>
      </w:r>
      <w:r>
        <w:rPr>
          <w:rFonts w:hint="eastAsia" w:ascii="宋体" w:hAnsi="宋体"/>
          <w:color w:val="auto"/>
          <w:sz w:val="24"/>
          <w:highlight w:val="none"/>
          <w:lang w:eastAsia="zh-CN"/>
        </w:rPr>
        <w:t>磋商文件</w:t>
      </w:r>
      <w:r>
        <w:rPr>
          <w:rFonts w:hint="eastAsia" w:ascii="宋体" w:hAnsi="宋体"/>
          <w:color w:val="auto"/>
          <w:sz w:val="24"/>
          <w:highlight w:val="none"/>
        </w:rPr>
        <w:t>》的密封完好要求，《</w:t>
      </w:r>
      <w:r>
        <w:rPr>
          <w:rFonts w:hint="eastAsia" w:ascii="宋体" w:hAnsi="宋体"/>
          <w:color w:val="auto"/>
          <w:sz w:val="24"/>
          <w:highlight w:val="none"/>
          <w:lang w:eastAsia="zh-CN"/>
        </w:rPr>
        <w:t>磋商响应文件</w:t>
      </w:r>
      <w:r>
        <w:rPr>
          <w:rFonts w:hint="eastAsia" w:ascii="宋体" w:hAnsi="宋体"/>
          <w:color w:val="auto"/>
          <w:sz w:val="24"/>
          <w:highlight w:val="none"/>
        </w:rPr>
        <w:t>》未被提前开启。</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1.3</w:t>
      </w:r>
      <w:r>
        <w:rPr>
          <w:rFonts w:hint="eastAsia" w:ascii="宋体" w:hAnsi="宋体"/>
          <w:color w:val="auto"/>
          <w:sz w:val="24"/>
          <w:highlight w:val="none"/>
        </w:rPr>
        <w:t>开标时，除《</w:t>
      </w:r>
      <w:r>
        <w:rPr>
          <w:rFonts w:hint="eastAsia" w:ascii="宋体" w:hAnsi="宋体"/>
          <w:color w:val="auto"/>
          <w:sz w:val="24"/>
          <w:highlight w:val="none"/>
          <w:lang w:eastAsia="zh-CN"/>
        </w:rPr>
        <w:t>磋商响应文件</w:t>
      </w:r>
      <w:r>
        <w:rPr>
          <w:rFonts w:hint="eastAsia" w:ascii="宋体" w:hAnsi="宋体"/>
          <w:color w:val="auto"/>
          <w:sz w:val="24"/>
          <w:highlight w:val="none"/>
        </w:rPr>
        <w:t>》递交截止时间前，递交合格“撤回通知”的《</w:t>
      </w:r>
      <w:r>
        <w:rPr>
          <w:rFonts w:hint="eastAsia" w:ascii="宋体" w:hAnsi="宋体"/>
          <w:color w:val="auto"/>
          <w:sz w:val="24"/>
          <w:highlight w:val="none"/>
          <w:lang w:eastAsia="zh-CN"/>
        </w:rPr>
        <w:t>磋商响应文件</w:t>
      </w:r>
      <w:r>
        <w:rPr>
          <w:rFonts w:hint="eastAsia" w:ascii="宋体" w:hAnsi="宋体"/>
          <w:color w:val="auto"/>
          <w:sz w:val="24"/>
          <w:highlight w:val="none"/>
        </w:rPr>
        <w:t>》不予开封外，将由招标代理机构按照递交《</w:t>
      </w:r>
      <w:r>
        <w:rPr>
          <w:rFonts w:hint="eastAsia" w:ascii="宋体" w:hAnsi="宋体"/>
          <w:color w:val="auto"/>
          <w:sz w:val="24"/>
          <w:highlight w:val="none"/>
          <w:lang w:eastAsia="zh-CN"/>
        </w:rPr>
        <w:t>磋商响应文件</w:t>
      </w:r>
      <w:r>
        <w:rPr>
          <w:rFonts w:hint="eastAsia" w:ascii="宋体" w:hAnsi="宋体"/>
          <w:color w:val="auto"/>
          <w:sz w:val="24"/>
          <w:highlight w:val="none"/>
        </w:rPr>
        <w:t>》的逆顺序公开宣读有效供应商的所有内容，以及采购人认为必要的其它内容。</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1.4</w:t>
      </w:r>
      <w:r>
        <w:rPr>
          <w:rFonts w:hint="eastAsia" w:ascii="宋体" w:hAnsi="宋体"/>
          <w:color w:val="auto"/>
          <w:sz w:val="24"/>
          <w:highlight w:val="none"/>
        </w:rPr>
        <w:t>所有投标唱标完毕，如供应商代表对宣读的“开标一览表”上的内容有异议的，应在获得开标会主持人同意后当场提出。如确实属于唱标人员宣读错的，经现场监督人员核实后，当场予以更正。</w:t>
      </w:r>
    </w:p>
    <w:p>
      <w:pPr>
        <w:adjustRightInd w:val="0"/>
        <w:snapToGrid w:val="0"/>
        <w:spacing w:line="360" w:lineRule="auto"/>
        <w:rPr>
          <w:rFonts w:hint="eastAsia" w:ascii="宋体" w:hAnsi="宋体"/>
          <w:b/>
          <w:bCs/>
          <w:color w:val="auto"/>
          <w:sz w:val="24"/>
          <w:highlight w:val="none"/>
        </w:rPr>
      </w:pPr>
      <w:r>
        <w:rPr>
          <w:rFonts w:hint="eastAsia" w:ascii="宋体" w:hAnsi="宋体"/>
          <w:b/>
          <w:bCs/>
          <w:color w:val="auto"/>
          <w:sz w:val="24"/>
          <w:highlight w:val="none"/>
        </w:rPr>
        <w:t>2. 开标程序：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主持人按下列程序进行开标：</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 宣布开标纪律；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 公布在投标截止时间前递交</w:t>
      </w:r>
      <w:r>
        <w:rPr>
          <w:rFonts w:hint="eastAsia" w:ascii="宋体" w:hAnsi="宋体"/>
          <w:bCs/>
          <w:color w:val="auto"/>
          <w:sz w:val="24"/>
          <w:highlight w:val="none"/>
          <w:lang w:eastAsia="zh-CN"/>
        </w:rPr>
        <w:t>磋商响应文件</w:t>
      </w:r>
      <w:r>
        <w:rPr>
          <w:rFonts w:hint="eastAsia" w:ascii="宋体" w:hAnsi="宋体"/>
          <w:bCs/>
          <w:color w:val="auto"/>
          <w:sz w:val="24"/>
          <w:highlight w:val="none"/>
        </w:rPr>
        <w:t>的供应商名称，并点名确认供应商是否派人到场；</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宣布开标人、唱标人、记录人、监督人等有关人员姓名；</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 按照规定检查法定代表人或其授权委托代理人的有效身份证件及</w:t>
      </w:r>
      <w:r>
        <w:rPr>
          <w:rFonts w:hint="eastAsia" w:ascii="宋体" w:hAnsi="宋体"/>
          <w:bCs/>
          <w:color w:val="auto"/>
          <w:sz w:val="24"/>
          <w:highlight w:val="none"/>
          <w:lang w:eastAsia="zh-CN"/>
        </w:rPr>
        <w:t>磋商响应文件</w:t>
      </w:r>
      <w:r>
        <w:rPr>
          <w:rFonts w:hint="eastAsia" w:ascii="宋体" w:hAnsi="宋体"/>
          <w:bCs/>
          <w:color w:val="auto"/>
          <w:sz w:val="24"/>
          <w:highlight w:val="none"/>
        </w:rPr>
        <w:t>的密封情况；</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 经确认无误后，按照</w:t>
      </w:r>
      <w:r>
        <w:rPr>
          <w:rFonts w:hint="eastAsia" w:ascii="宋体" w:hAnsi="宋体"/>
          <w:bCs/>
          <w:color w:val="auto"/>
          <w:sz w:val="24"/>
          <w:highlight w:val="none"/>
          <w:lang w:eastAsia="zh-CN"/>
        </w:rPr>
        <w:t>磋商响应文件</w:t>
      </w:r>
      <w:r>
        <w:rPr>
          <w:rFonts w:hint="eastAsia" w:ascii="宋体" w:hAnsi="宋体"/>
          <w:bCs/>
          <w:color w:val="auto"/>
          <w:sz w:val="24"/>
          <w:highlight w:val="none"/>
        </w:rPr>
        <w:t>送达的逆顺序当众开标，公布供应商名称、招标项目名称、</w:t>
      </w:r>
      <w:r>
        <w:rPr>
          <w:rFonts w:hint="eastAsia" w:ascii="宋体" w:hAnsi="宋体"/>
          <w:bCs/>
          <w:color w:val="auto"/>
          <w:sz w:val="24"/>
          <w:highlight w:val="none"/>
          <w:lang w:eastAsia="zh-CN"/>
        </w:rPr>
        <w:t>投标报价</w:t>
      </w:r>
      <w:r>
        <w:rPr>
          <w:rFonts w:hint="eastAsia" w:ascii="宋体" w:hAnsi="宋体"/>
          <w:bCs/>
          <w:color w:val="auto"/>
          <w:sz w:val="24"/>
          <w:highlight w:val="none"/>
        </w:rPr>
        <w:t>及其他内容，并记录在案，并存档备查；</w:t>
      </w:r>
      <w:r>
        <w:rPr>
          <w:rFonts w:hint="eastAsia" w:ascii="宋体" w:hAnsi="宋体" w:cs="宋体"/>
          <w:color w:val="auto"/>
          <w:sz w:val="24"/>
          <w:highlight w:val="none"/>
        </w:rPr>
        <w:t>如有遗漏或错误请举手示意，若无错误,请在</w:t>
      </w:r>
      <w:r>
        <w:rPr>
          <w:rFonts w:hint="eastAsia" w:ascii="宋体" w:hAnsi="宋体" w:cs="宋体"/>
          <w:color w:val="auto"/>
          <w:sz w:val="24"/>
          <w:highlight w:val="none"/>
          <w:lang w:eastAsia="zh-CN"/>
        </w:rPr>
        <w:t>投标报价</w:t>
      </w:r>
      <w:r>
        <w:rPr>
          <w:rFonts w:hint="eastAsia" w:ascii="宋体" w:hAnsi="宋体" w:cs="宋体"/>
          <w:color w:val="auto"/>
          <w:sz w:val="24"/>
          <w:highlight w:val="none"/>
        </w:rPr>
        <w:t>表上签字确认；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 供应商的法定代表人或其委托代理人、采购人代表、监督人、记录人等有关人员在开标记录上签字确认；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 开标结束。</w:t>
      </w:r>
      <w:bookmarkStart w:id="330" w:name="_Toc5160"/>
      <w:bookmarkStart w:id="331" w:name="_Toc411671250"/>
    </w:p>
    <w:p>
      <w:pPr>
        <w:pStyle w:val="4"/>
        <w:rPr>
          <w:rFonts w:hint="eastAsia" w:ascii="宋体" w:hAnsi="宋体" w:eastAsia="宋体"/>
          <w:color w:val="auto"/>
          <w:highlight w:val="none"/>
        </w:rPr>
      </w:pPr>
      <w:bookmarkStart w:id="332" w:name="_Toc476758951"/>
      <w:bookmarkStart w:id="333" w:name="_Toc31094"/>
      <w:bookmarkStart w:id="334" w:name="_Toc21143"/>
      <w:r>
        <w:rPr>
          <w:rFonts w:hint="eastAsia" w:ascii="宋体" w:hAnsi="宋体" w:eastAsia="宋体"/>
          <w:color w:val="auto"/>
          <w:highlight w:val="none"/>
        </w:rPr>
        <w:t>（七）评标</w:t>
      </w:r>
      <w:bookmarkEnd w:id="330"/>
      <w:bookmarkEnd w:id="332"/>
      <w:bookmarkEnd w:id="333"/>
      <w:bookmarkEnd w:id="334"/>
    </w:p>
    <w:p>
      <w:pPr>
        <w:adjustRightInd w:val="0"/>
        <w:snapToGrid w:val="0"/>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1.评标</w:t>
      </w:r>
      <w:bookmarkEnd w:id="331"/>
    </w:p>
    <w:p>
      <w:pPr>
        <w:adjustRightInd w:val="0"/>
        <w:snapToGrid w:val="0"/>
        <w:spacing w:line="360" w:lineRule="auto"/>
        <w:ind w:firstLine="482" w:firstLineChars="200"/>
        <w:rPr>
          <w:rFonts w:hint="eastAsia" w:ascii="宋体" w:hAnsi="宋体" w:eastAsia="宋体"/>
          <w:b/>
          <w:color w:val="auto"/>
          <w:sz w:val="24"/>
          <w:highlight w:val="none"/>
          <w:lang w:eastAsia="zh-CN"/>
        </w:rPr>
      </w:pPr>
      <w:bookmarkStart w:id="335" w:name="_Toc411671251"/>
      <w:r>
        <w:rPr>
          <w:rFonts w:hint="eastAsia" w:ascii="宋体" w:hAnsi="宋体"/>
          <w:b/>
          <w:color w:val="auto"/>
          <w:sz w:val="24"/>
          <w:highlight w:val="none"/>
        </w:rPr>
        <w:t>1.1　</w:t>
      </w:r>
      <w:bookmarkEnd w:id="335"/>
      <w:r>
        <w:rPr>
          <w:rFonts w:hint="eastAsia" w:ascii="宋体" w:hAnsi="宋体"/>
          <w:b/>
          <w:color w:val="auto"/>
          <w:sz w:val="24"/>
          <w:highlight w:val="none"/>
          <w:lang w:eastAsia="zh-CN"/>
        </w:rPr>
        <w:t>磋商小组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1.1.1　评标由采购人依法组建的</w:t>
      </w:r>
      <w:r>
        <w:rPr>
          <w:rFonts w:hint="eastAsia" w:ascii="宋体" w:hAnsi="宋体"/>
          <w:bCs/>
          <w:color w:val="auto"/>
          <w:sz w:val="24"/>
          <w:highlight w:val="none"/>
          <w:lang w:eastAsia="zh-CN"/>
        </w:rPr>
        <w:t>磋商小组</w:t>
      </w:r>
      <w:r>
        <w:rPr>
          <w:rFonts w:hint="eastAsia" w:ascii="宋体" w:hAnsi="宋体"/>
          <w:bCs/>
          <w:color w:val="auto"/>
          <w:sz w:val="24"/>
          <w:highlight w:val="none"/>
        </w:rPr>
        <w:t>负责。</w:t>
      </w:r>
      <w:r>
        <w:rPr>
          <w:rFonts w:hint="eastAsia" w:ascii="宋体" w:hAnsi="宋体"/>
          <w:bCs/>
          <w:color w:val="auto"/>
          <w:sz w:val="24"/>
          <w:highlight w:val="none"/>
          <w:lang w:eastAsia="zh-CN"/>
        </w:rPr>
        <w:t>磋商小组</w:t>
      </w:r>
      <w:r>
        <w:rPr>
          <w:rFonts w:hint="eastAsia" w:ascii="宋体" w:hAnsi="宋体"/>
          <w:bCs/>
          <w:color w:val="auto"/>
          <w:sz w:val="24"/>
          <w:highlight w:val="none"/>
        </w:rPr>
        <w:t>由采购人和有关技术、经济等方面的专家组成</w:t>
      </w:r>
      <w:r>
        <w:rPr>
          <w:rFonts w:ascii="宋体" w:hAnsi="宋体"/>
          <w:bCs/>
          <w:color w:val="auto"/>
          <w:sz w:val="24"/>
          <w:highlight w:val="none"/>
        </w:rPr>
        <w:t>，共</w:t>
      </w:r>
      <w:r>
        <w:rPr>
          <w:rFonts w:hint="eastAsia" w:ascii="宋体" w:hAnsi="宋体"/>
          <w:bCs/>
          <w:color w:val="auto"/>
          <w:sz w:val="24"/>
          <w:highlight w:val="none"/>
          <w:lang w:val="en-US" w:eastAsia="zh-CN"/>
        </w:rPr>
        <w:t>3</w:t>
      </w:r>
      <w:r>
        <w:rPr>
          <w:rFonts w:hint="eastAsia" w:ascii="宋体" w:hAnsi="宋体"/>
          <w:bCs/>
          <w:color w:val="auto"/>
          <w:sz w:val="24"/>
          <w:highlight w:val="none"/>
        </w:rPr>
        <w:t>人</w:t>
      </w:r>
      <w:r>
        <w:rPr>
          <w:rFonts w:hint="eastAsia" w:ascii="宋体" w:hAnsi="宋体"/>
          <w:bCs/>
          <w:color w:val="auto"/>
          <w:sz w:val="24"/>
          <w:highlight w:val="none"/>
          <w:lang w:val="en-US" w:eastAsia="zh-CN"/>
        </w:rPr>
        <w:t>及</w:t>
      </w:r>
      <w:r>
        <w:rPr>
          <w:rFonts w:hint="eastAsia" w:ascii="宋体" w:hAnsi="宋体"/>
          <w:bCs/>
          <w:color w:val="auto"/>
          <w:sz w:val="24"/>
          <w:highlight w:val="none"/>
          <w:lang w:eastAsia="zh-CN"/>
        </w:rPr>
        <w:t>以上</w:t>
      </w:r>
      <w:r>
        <w:rPr>
          <w:rFonts w:hint="eastAsia" w:ascii="宋体" w:hAnsi="宋体"/>
          <w:bCs/>
          <w:color w:val="auto"/>
          <w:sz w:val="24"/>
          <w:highlight w:val="none"/>
        </w:rPr>
        <w:t>单数，</w:t>
      </w:r>
      <w:r>
        <w:rPr>
          <w:rFonts w:hint="eastAsia" w:ascii="宋体" w:hAnsi="宋体"/>
          <w:bCs/>
          <w:color w:val="auto"/>
          <w:sz w:val="24"/>
          <w:highlight w:val="none"/>
          <w:lang w:eastAsia="zh-CN"/>
        </w:rPr>
        <w:t>若由于项目投标人数过多可征求监管部门同意后增加磋商小组人数，</w:t>
      </w:r>
      <w:r>
        <w:rPr>
          <w:rFonts w:hint="eastAsia" w:ascii="宋体" w:hAnsi="宋体"/>
          <w:bCs/>
          <w:color w:val="auto"/>
          <w:sz w:val="24"/>
          <w:highlight w:val="none"/>
        </w:rPr>
        <w:t>评标专家从</w:t>
      </w:r>
      <w:r>
        <w:rPr>
          <w:rFonts w:hint="eastAsia" w:ascii="宋体" w:hAnsi="宋体"/>
          <w:color w:val="auto"/>
          <w:sz w:val="24"/>
          <w:highlight w:val="none"/>
          <w:lang w:eastAsia="zh-CN"/>
        </w:rPr>
        <w:t>政采云</w:t>
      </w:r>
      <w:r>
        <w:rPr>
          <w:rFonts w:hint="eastAsia" w:ascii="宋体" w:hAnsi="宋体"/>
          <w:bCs/>
          <w:color w:val="auto"/>
          <w:sz w:val="24"/>
          <w:highlight w:val="none"/>
        </w:rPr>
        <w:t>专家库中随机抽取产生。</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1.1.2　</w:t>
      </w:r>
      <w:r>
        <w:rPr>
          <w:rFonts w:hint="eastAsia" w:ascii="宋体" w:hAnsi="宋体"/>
          <w:bCs/>
          <w:color w:val="auto"/>
          <w:sz w:val="24"/>
          <w:highlight w:val="none"/>
          <w:lang w:eastAsia="zh-CN"/>
        </w:rPr>
        <w:t>磋商小组</w:t>
      </w:r>
      <w:r>
        <w:rPr>
          <w:rFonts w:hint="eastAsia" w:ascii="宋体" w:hAnsi="宋体"/>
          <w:bCs/>
          <w:color w:val="auto"/>
          <w:sz w:val="24"/>
          <w:highlight w:val="none"/>
        </w:rPr>
        <w:t>成员有下列情形之一的，应当回避；</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（1）采购人或供应商的主要负责人的近亲属；</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（2）项目主管部门或者行政监督部门的人员；</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（3）与供应商有经济利益关系，可能影响对投标公正评审的；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（4）曾因在招标、评标以及其他与招标投标有关活动中从事违法行为而受过行政处罚或刑事处罚的。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（5）其它可能影响公正评标的情形。</w:t>
      </w:r>
    </w:p>
    <w:p>
      <w:pPr>
        <w:adjustRightInd w:val="0"/>
        <w:snapToGrid w:val="0"/>
        <w:spacing w:line="360" w:lineRule="auto"/>
        <w:ind w:firstLine="482" w:firstLineChars="200"/>
        <w:rPr>
          <w:rFonts w:hint="eastAsia" w:ascii="宋体" w:hAnsi="宋体"/>
          <w:b/>
          <w:color w:val="auto"/>
          <w:sz w:val="24"/>
          <w:highlight w:val="none"/>
        </w:rPr>
      </w:pPr>
      <w:bookmarkStart w:id="336" w:name="_Toc411671252"/>
      <w:r>
        <w:rPr>
          <w:rFonts w:hint="eastAsia" w:ascii="宋体" w:hAnsi="宋体"/>
          <w:b/>
          <w:color w:val="auto"/>
          <w:sz w:val="24"/>
          <w:highlight w:val="none"/>
        </w:rPr>
        <w:t>1.2　评标原则</w:t>
      </w:r>
      <w:bookmarkEnd w:id="336"/>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评标活动遵循公平、公正、科学和择优的原则。</w:t>
      </w:r>
    </w:p>
    <w:p>
      <w:pPr>
        <w:adjustRightInd w:val="0"/>
        <w:snapToGrid w:val="0"/>
        <w:spacing w:line="360" w:lineRule="auto"/>
        <w:ind w:firstLine="482" w:firstLineChars="200"/>
        <w:rPr>
          <w:rFonts w:hint="eastAsia" w:ascii="宋体" w:hAnsi="宋体"/>
          <w:b/>
          <w:color w:val="auto"/>
          <w:sz w:val="24"/>
          <w:highlight w:val="none"/>
        </w:rPr>
      </w:pPr>
      <w:bookmarkStart w:id="337" w:name="_Toc411671253"/>
      <w:r>
        <w:rPr>
          <w:rFonts w:hint="eastAsia" w:ascii="宋体" w:hAnsi="宋体"/>
          <w:b/>
          <w:color w:val="auto"/>
          <w:sz w:val="24"/>
          <w:highlight w:val="none"/>
        </w:rPr>
        <w:t>1.3　评标</w:t>
      </w:r>
      <w:bookmarkEnd w:id="337"/>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eastAsia="zh-CN"/>
        </w:rPr>
        <w:t>磋商小组</w:t>
      </w:r>
      <w:r>
        <w:rPr>
          <w:rFonts w:hint="eastAsia" w:ascii="宋体" w:hAnsi="宋体"/>
          <w:bCs/>
          <w:color w:val="auto"/>
          <w:sz w:val="24"/>
          <w:highlight w:val="none"/>
        </w:rPr>
        <w:t>按照</w:t>
      </w:r>
      <w:r>
        <w:rPr>
          <w:rFonts w:hint="eastAsia" w:ascii="宋体" w:hAnsi="宋体"/>
          <w:bCs/>
          <w:color w:val="auto"/>
          <w:sz w:val="24"/>
          <w:highlight w:val="none"/>
          <w:lang w:eastAsia="zh-CN"/>
        </w:rPr>
        <w:t>磋商文件</w:t>
      </w:r>
      <w:r>
        <w:rPr>
          <w:rFonts w:hint="eastAsia" w:ascii="宋体" w:hAnsi="宋体"/>
          <w:bCs/>
          <w:color w:val="auto"/>
          <w:sz w:val="24"/>
          <w:highlight w:val="none"/>
        </w:rPr>
        <w:t>中规定的方法、评审因素、标准和程序对</w:t>
      </w:r>
      <w:r>
        <w:rPr>
          <w:rFonts w:hint="eastAsia" w:ascii="宋体" w:hAnsi="宋体"/>
          <w:bCs/>
          <w:color w:val="auto"/>
          <w:sz w:val="24"/>
          <w:highlight w:val="none"/>
          <w:lang w:eastAsia="zh-CN"/>
        </w:rPr>
        <w:t>磋商响应文件</w:t>
      </w:r>
      <w:r>
        <w:rPr>
          <w:rFonts w:hint="eastAsia" w:ascii="宋体" w:hAnsi="宋体"/>
          <w:bCs/>
          <w:color w:val="auto"/>
          <w:sz w:val="24"/>
          <w:highlight w:val="none"/>
        </w:rPr>
        <w:t>进行评审。</w:t>
      </w:r>
      <w:r>
        <w:rPr>
          <w:rFonts w:hint="eastAsia" w:ascii="宋体" w:hAnsi="宋体"/>
          <w:bCs/>
          <w:color w:val="auto"/>
          <w:sz w:val="24"/>
          <w:highlight w:val="none"/>
          <w:lang w:eastAsia="zh-CN"/>
        </w:rPr>
        <w:t>磋商文件</w:t>
      </w:r>
      <w:r>
        <w:rPr>
          <w:rFonts w:hint="eastAsia" w:ascii="宋体" w:hAnsi="宋体"/>
          <w:bCs/>
          <w:color w:val="auto"/>
          <w:sz w:val="24"/>
          <w:highlight w:val="none"/>
        </w:rPr>
        <w:t>中没有规定的方法、评审因素和标准，不作为评标依据。</w:t>
      </w:r>
    </w:p>
    <w:p>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bCs/>
          <w:color w:val="auto"/>
          <w:sz w:val="24"/>
          <w:highlight w:val="none"/>
        </w:rPr>
        <w:t>详见</w:t>
      </w:r>
      <w:r>
        <w:rPr>
          <w:rFonts w:ascii="宋体" w:hAnsi="宋体"/>
          <w:color w:val="auto"/>
          <w:sz w:val="24"/>
          <w:highlight w:val="none"/>
        </w:rPr>
        <w:t>“评标办法”内容。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1.4评标过程严格保密。供应商对评委会的评标过程或合同授予决定施加影响的任何行为都可能导致其投标被拒绝。</w:t>
      </w:r>
    </w:p>
    <w:p>
      <w:pPr>
        <w:spacing w:line="360" w:lineRule="auto"/>
        <w:ind w:firstLine="480" w:firstLineChars="200"/>
        <w:rPr>
          <w:rFonts w:hint="eastAsia" w:ascii="宋体" w:hAnsi="宋体"/>
          <w:b/>
          <w:color w:val="auto"/>
          <w:sz w:val="24"/>
          <w:highlight w:val="none"/>
        </w:rPr>
      </w:pPr>
      <w:r>
        <w:rPr>
          <w:rFonts w:hint="eastAsia" w:ascii="宋体" w:hAnsi="宋体"/>
          <w:color w:val="auto"/>
          <w:sz w:val="24"/>
          <w:highlight w:val="none"/>
        </w:rPr>
        <w:t>1.5在评标期间，评委会可要求供应商对其</w:t>
      </w:r>
      <w:r>
        <w:rPr>
          <w:rFonts w:hint="eastAsia" w:ascii="宋体" w:hAnsi="宋体"/>
          <w:color w:val="auto"/>
          <w:sz w:val="24"/>
          <w:highlight w:val="none"/>
          <w:lang w:eastAsia="zh-CN"/>
        </w:rPr>
        <w:t>磋商响应文件</w:t>
      </w:r>
      <w:r>
        <w:rPr>
          <w:rFonts w:hint="eastAsia" w:ascii="宋体" w:hAnsi="宋体"/>
          <w:color w:val="auto"/>
          <w:sz w:val="24"/>
          <w:highlight w:val="none"/>
        </w:rPr>
        <w:t>中非实质性的有关问题进行澄清、说明或者补正。有关澄清、说明或者补正的要求和答复应以书面形式提交。供应商的澄清、说明或者补正不得超出</w:t>
      </w:r>
      <w:r>
        <w:rPr>
          <w:rFonts w:hint="eastAsia" w:ascii="宋体" w:hAnsi="宋体"/>
          <w:color w:val="auto"/>
          <w:sz w:val="24"/>
          <w:highlight w:val="none"/>
          <w:lang w:eastAsia="zh-CN"/>
        </w:rPr>
        <w:t>磋商响应文件</w:t>
      </w:r>
      <w:r>
        <w:rPr>
          <w:rFonts w:hint="eastAsia" w:ascii="宋体" w:hAnsi="宋体"/>
          <w:color w:val="auto"/>
          <w:sz w:val="24"/>
          <w:highlight w:val="none"/>
        </w:rPr>
        <w:t>的范围或者改变</w:t>
      </w:r>
      <w:r>
        <w:rPr>
          <w:rFonts w:hint="eastAsia" w:ascii="宋体" w:hAnsi="宋体"/>
          <w:color w:val="auto"/>
          <w:sz w:val="24"/>
          <w:highlight w:val="none"/>
          <w:lang w:eastAsia="zh-CN"/>
        </w:rPr>
        <w:t>磋商响应文件</w:t>
      </w:r>
      <w:r>
        <w:rPr>
          <w:rFonts w:hint="eastAsia" w:ascii="宋体" w:hAnsi="宋体"/>
          <w:color w:val="auto"/>
          <w:sz w:val="24"/>
          <w:highlight w:val="none"/>
        </w:rPr>
        <w:t>的实质性内容。</w:t>
      </w:r>
    </w:p>
    <w:p>
      <w:pPr>
        <w:spacing w:line="360" w:lineRule="auto"/>
        <w:ind w:firstLine="480" w:firstLineChars="200"/>
        <w:rPr>
          <w:rFonts w:hint="eastAsia" w:ascii="宋体" w:hAnsi="宋体"/>
          <w:b/>
          <w:color w:val="auto"/>
          <w:sz w:val="24"/>
          <w:highlight w:val="none"/>
        </w:rPr>
      </w:pPr>
      <w:r>
        <w:rPr>
          <w:rFonts w:hint="eastAsia" w:ascii="宋体" w:hAnsi="宋体"/>
          <w:color w:val="auto"/>
          <w:sz w:val="24"/>
          <w:highlight w:val="none"/>
        </w:rPr>
        <w:t>1.6评委会认定实质性响应</w:t>
      </w:r>
      <w:r>
        <w:rPr>
          <w:rFonts w:hint="eastAsia" w:ascii="宋体" w:hAnsi="宋体"/>
          <w:color w:val="auto"/>
          <w:sz w:val="24"/>
          <w:highlight w:val="none"/>
          <w:lang w:eastAsia="zh-CN"/>
        </w:rPr>
        <w:t>磋商文件</w:t>
      </w:r>
      <w:r>
        <w:rPr>
          <w:rFonts w:hint="eastAsia" w:ascii="宋体" w:hAnsi="宋体"/>
          <w:color w:val="auto"/>
          <w:sz w:val="24"/>
          <w:highlight w:val="none"/>
        </w:rPr>
        <w:t>的投标是</w:t>
      </w:r>
      <w:r>
        <w:rPr>
          <w:rFonts w:hint="eastAsia" w:ascii="宋体" w:hAnsi="宋体"/>
          <w:color w:val="auto"/>
          <w:sz w:val="24"/>
          <w:highlight w:val="none"/>
          <w:lang w:eastAsia="zh-CN"/>
        </w:rPr>
        <w:t>磋商响应文件</w:t>
      </w:r>
      <w:r>
        <w:rPr>
          <w:rFonts w:hint="eastAsia" w:ascii="宋体" w:hAnsi="宋体"/>
          <w:color w:val="auto"/>
          <w:sz w:val="24"/>
          <w:highlight w:val="none"/>
        </w:rPr>
        <w:t>与</w:t>
      </w:r>
      <w:r>
        <w:rPr>
          <w:rFonts w:hint="eastAsia" w:ascii="宋体" w:hAnsi="宋体"/>
          <w:color w:val="auto"/>
          <w:sz w:val="24"/>
          <w:highlight w:val="none"/>
          <w:lang w:eastAsia="zh-CN"/>
        </w:rPr>
        <w:t>磋商文件</w:t>
      </w:r>
      <w:r>
        <w:rPr>
          <w:rFonts w:hint="eastAsia" w:ascii="宋体" w:hAnsi="宋体"/>
          <w:color w:val="auto"/>
          <w:sz w:val="24"/>
          <w:highlight w:val="none"/>
        </w:rPr>
        <w:t>要求的全部条款、条件和规格相符，没有实质性负偏离。评委会评审</w:t>
      </w:r>
      <w:r>
        <w:rPr>
          <w:rFonts w:hint="eastAsia" w:ascii="宋体" w:hAnsi="宋体"/>
          <w:color w:val="auto"/>
          <w:sz w:val="24"/>
          <w:highlight w:val="none"/>
          <w:lang w:eastAsia="zh-CN"/>
        </w:rPr>
        <w:t>磋商响应文件</w:t>
      </w:r>
      <w:r>
        <w:rPr>
          <w:rFonts w:hint="eastAsia" w:ascii="宋体" w:hAnsi="宋体"/>
          <w:color w:val="auto"/>
          <w:sz w:val="24"/>
          <w:highlight w:val="none"/>
        </w:rPr>
        <w:t>的响应性依据是</w:t>
      </w:r>
      <w:r>
        <w:rPr>
          <w:rFonts w:hint="eastAsia" w:ascii="宋体" w:hAnsi="宋体"/>
          <w:color w:val="auto"/>
          <w:sz w:val="24"/>
          <w:highlight w:val="none"/>
          <w:lang w:eastAsia="zh-CN"/>
        </w:rPr>
        <w:t>磋商响应文件</w:t>
      </w:r>
      <w:r>
        <w:rPr>
          <w:rFonts w:hint="eastAsia" w:ascii="宋体" w:hAnsi="宋体"/>
          <w:color w:val="auto"/>
          <w:sz w:val="24"/>
          <w:highlight w:val="none"/>
        </w:rPr>
        <w:t>本身的内容，而不寻求外部的证据。</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1.7如果</w:t>
      </w:r>
      <w:r>
        <w:rPr>
          <w:rFonts w:hint="eastAsia" w:ascii="宋体" w:hAnsi="宋体"/>
          <w:color w:val="auto"/>
          <w:sz w:val="24"/>
          <w:highlight w:val="none"/>
          <w:lang w:eastAsia="zh-CN"/>
        </w:rPr>
        <w:t>磋商响应文件</w:t>
      </w:r>
      <w:r>
        <w:rPr>
          <w:rFonts w:hint="eastAsia" w:ascii="宋体" w:hAnsi="宋体"/>
          <w:color w:val="auto"/>
          <w:sz w:val="24"/>
          <w:highlight w:val="none"/>
        </w:rPr>
        <w:t>没有实质性响应</w:t>
      </w:r>
      <w:r>
        <w:rPr>
          <w:rFonts w:hint="eastAsia" w:ascii="宋体" w:hAnsi="宋体"/>
          <w:color w:val="auto"/>
          <w:sz w:val="24"/>
          <w:highlight w:val="none"/>
          <w:lang w:eastAsia="zh-CN"/>
        </w:rPr>
        <w:t>磋商文件</w:t>
      </w:r>
      <w:r>
        <w:rPr>
          <w:rFonts w:hint="eastAsia" w:ascii="宋体" w:hAnsi="宋体"/>
          <w:color w:val="auto"/>
          <w:sz w:val="24"/>
          <w:highlight w:val="none"/>
        </w:rPr>
        <w:t>的要求，评委会将予以拒绝。供应商不得通过修正或撤消不合要求的偏离或保留从而使其投标成为实质性响应的投标。</w:t>
      </w:r>
    </w:p>
    <w:p>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1.8评委会只对确定为实质性响应</w:t>
      </w:r>
      <w:r>
        <w:rPr>
          <w:rFonts w:hint="eastAsia" w:ascii="宋体" w:hAnsi="宋体"/>
          <w:bCs/>
          <w:color w:val="auto"/>
          <w:sz w:val="24"/>
          <w:highlight w:val="none"/>
          <w:lang w:eastAsia="zh-CN"/>
        </w:rPr>
        <w:t>磋商文件</w:t>
      </w:r>
      <w:r>
        <w:rPr>
          <w:rFonts w:hint="eastAsia" w:ascii="宋体" w:hAnsi="宋体"/>
          <w:bCs/>
          <w:color w:val="auto"/>
          <w:sz w:val="24"/>
          <w:highlight w:val="none"/>
        </w:rPr>
        <w:t>要求的</w:t>
      </w:r>
      <w:r>
        <w:rPr>
          <w:rFonts w:hint="eastAsia" w:ascii="宋体" w:hAnsi="宋体"/>
          <w:bCs/>
          <w:color w:val="auto"/>
          <w:sz w:val="24"/>
          <w:highlight w:val="none"/>
          <w:lang w:eastAsia="zh-CN"/>
        </w:rPr>
        <w:t>磋商响应文件</w:t>
      </w:r>
      <w:r>
        <w:rPr>
          <w:rFonts w:hint="eastAsia" w:ascii="宋体" w:hAnsi="宋体"/>
          <w:bCs/>
          <w:color w:val="auto"/>
          <w:sz w:val="24"/>
          <w:highlight w:val="none"/>
        </w:rPr>
        <w:t>，根据</w:t>
      </w:r>
      <w:r>
        <w:rPr>
          <w:rFonts w:hint="eastAsia" w:ascii="宋体" w:hAnsi="宋体"/>
          <w:bCs/>
          <w:color w:val="auto"/>
          <w:sz w:val="24"/>
          <w:highlight w:val="none"/>
          <w:lang w:eastAsia="zh-CN"/>
        </w:rPr>
        <w:t>磋商文件</w:t>
      </w:r>
      <w:r>
        <w:rPr>
          <w:rFonts w:hint="eastAsia" w:ascii="宋体" w:hAnsi="宋体"/>
          <w:bCs/>
          <w:color w:val="auto"/>
          <w:sz w:val="24"/>
          <w:highlight w:val="none"/>
        </w:rPr>
        <w:t>的评审标准采用相同的评标程序、评分办法进行评价和比较。</w:t>
      </w:r>
    </w:p>
    <w:p>
      <w:pPr>
        <w:pStyle w:val="4"/>
        <w:rPr>
          <w:rFonts w:hint="eastAsia" w:ascii="宋体" w:hAnsi="宋体" w:eastAsia="宋体"/>
          <w:color w:val="auto"/>
          <w:sz w:val="24"/>
          <w:highlight w:val="none"/>
        </w:rPr>
      </w:pPr>
      <w:bookmarkStart w:id="338" w:name="_Toc476758952"/>
      <w:bookmarkStart w:id="339" w:name="_Toc27605"/>
      <w:bookmarkStart w:id="340" w:name="_Toc1566"/>
      <w:r>
        <w:rPr>
          <w:rFonts w:hint="eastAsia" w:ascii="宋体" w:hAnsi="宋体" w:eastAsia="宋体"/>
          <w:color w:val="auto"/>
          <w:highlight w:val="none"/>
        </w:rPr>
        <w:t>（八）定标</w:t>
      </w:r>
      <w:bookmarkEnd w:id="338"/>
      <w:bookmarkEnd w:id="339"/>
      <w:bookmarkEnd w:id="340"/>
    </w:p>
    <w:p>
      <w:pPr>
        <w:spacing w:line="360" w:lineRule="auto"/>
        <w:jc w:val="left"/>
        <w:rPr>
          <w:rFonts w:hint="eastAsia" w:ascii="宋体" w:hAnsi="宋体"/>
          <w:b/>
          <w:color w:val="auto"/>
          <w:sz w:val="24"/>
          <w:highlight w:val="none"/>
        </w:rPr>
      </w:pPr>
      <w:r>
        <w:rPr>
          <w:rFonts w:hint="eastAsia" w:ascii="宋体" w:hAnsi="宋体"/>
          <w:b/>
          <w:color w:val="auto"/>
          <w:sz w:val="24"/>
          <w:highlight w:val="none"/>
        </w:rPr>
        <w:t>1.定标：</w:t>
      </w:r>
    </w:p>
    <w:p>
      <w:pPr>
        <w:pStyle w:val="5"/>
        <w:spacing w:line="360" w:lineRule="auto"/>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1.1定标原则</w:t>
      </w:r>
      <w:r>
        <w:rPr>
          <w:rFonts w:hint="eastAsia" w:ascii="宋体" w:hAnsi="宋体"/>
          <w:bCs/>
          <w:color w:val="auto"/>
          <w:sz w:val="24"/>
          <w:highlight w:val="none"/>
          <w:lang w:eastAsia="zh-CN"/>
        </w:rPr>
        <w:t>：</w:t>
      </w:r>
      <w:r>
        <w:rPr>
          <w:rFonts w:hint="eastAsia" w:ascii="宋体" w:hAnsi="宋体"/>
          <w:bCs/>
          <w:color w:val="auto"/>
          <w:sz w:val="24"/>
          <w:highlight w:val="none"/>
        </w:rPr>
        <w:t>能够最大限度满足</w:t>
      </w:r>
      <w:r>
        <w:rPr>
          <w:rFonts w:hint="eastAsia" w:ascii="宋体" w:hAnsi="宋体"/>
          <w:bCs/>
          <w:color w:val="auto"/>
          <w:sz w:val="24"/>
          <w:highlight w:val="none"/>
          <w:lang w:eastAsia="zh-CN"/>
        </w:rPr>
        <w:t>磋商文件</w:t>
      </w:r>
      <w:r>
        <w:rPr>
          <w:rFonts w:hint="eastAsia" w:ascii="宋体" w:hAnsi="宋体"/>
          <w:bCs/>
          <w:color w:val="auto"/>
          <w:sz w:val="24"/>
          <w:highlight w:val="none"/>
        </w:rPr>
        <w:t>中规定的各项综合评价标准得分由高到底依序确定。</w:t>
      </w:r>
    </w:p>
    <w:p>
      <w:pPr>
        <w:pStyle w:val="5"/>
        <w:spacing w:line="360" w:lineRule="auto"/>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1.2定标方法：综合评分法。</w:t>
      </w:r>
    </w:p>
    <w:p>
      <w:pPr>
        <w:pStyle w:val="5"/>
        <w:spacing w:line="360" w:lineRule="auto"/>
        <w:ind w:firstLine="480" w:firstLineChars="200"/>
        <w:jc w:val="left"/>
        <w:rPr>
          <w:rFonts w:hint="eastAsia" w:ascii="宋体" w:hAnsi="宋体"/>
          <w:color w:val="auto"/>
          <w:sz w:val="24"/>
          <w:highlight w:val="none"/>
        </w:rPr>
      </w:pPr>
      <w:r>
        <w:rPr>
          <w:rFonts w:hint="eastAsia" w:ascii="宋体" w:hAnsi="宋体"/>
          <w:bCs/>
          <w:color w:val="auto"/>
          <w:sz w:val="24"/>
          <w:highlight w:val="none"/>
        </w:rPr>
        <w:t>1.3定标方式：</w:t>
      </w:r>
      <w:r>
        <w:rPr>
          <w:rFonts w:hint="eastAsia" w:ascii="宋体" w:hAnsi="宋体"/>
          <w:color w:val="auto"/>
          <w:sz w:val="24"/>
          <w:highlight w:val="none"/>
        </w:rPr>
        <w:t>根据评委会推荐的</w:t>
      </w:r>
      <w:r>
        <w:rPr>
          <w:rFonts w:hint="eastAsia" w:ascii="宋体" w:hAnsi="宋体"/>
          <w:color w:val="auto"/>
          <w:sz w:val="24"/>
          <w:highlight w:val="none"/>
          <w:lang w:eastAsia="zh-CN"/>
        </w:rPr>
        <w:t>中标</w:t>
      </w:r>
      <w:r>
        <w:rPr>
          <w:rFonts w:hint="eastAsia" w:ascii="宋体" w:hAnsi="宋体"/>
          <w:color w:val="auto"/>
          <w:sz w:val="24"/>
          <w:highlight w:val="none"/>
        </w:rPr>
        <w:t>候选人名单，按顺序确定</w:t>
      </w:r>
      <w:r>
        <w:rPr>
          <w:rFonts w:hint="eastAsia" w:ascii="宋体" w:hAnsi="宋体"/>
          <w:color w:val="auto"/>
          <w:sz w:val="24"/>
          <w:highlight w:val="none"/>
          <w:lang w:eastAsia="zh-CN"/>
        </w:rPr>
        <w:t>中标</w:t>
      </w:r>
      <w:r>
        <w:rPr>
          <w:rFonts w:hint="eastAsia" w:ascii="宋体" w:hAnsi="宋体"/>
          <w:color w:val="auto"/>
          <w:sz w:val="24"/>
          <w:highlight w:val="none"/>
        </w:rPr>
        <w:t>供应商。</w:t>
      </w:r>
    </w:p>
    <w:p>
      <w:pPr>
        <w:pStyle w:val="5"/>
        <w:spacing w:line="360" w:lineRule="auto"/>
        <w:ind w:firstLine="0"/>
        <w:jc w:val="left"/>
        <w:rPr>
          <w:rFonts w:hint="eastAsia" w:ascii="宋体" w:hAnsi="宋体"/>
          <w:b/>
          <w:color w:val="auto"/>
          <w:sz w:val="24"/>
          <w:highlight w:val="none"/>
        </w:rPr>
      </w:pPr>
      <w:r>
        <w:rPr>
          <w:rFonts w:hint="eastAsia" w:ascii="宋体" w:hAnsi="宋体"/>
          <w:b/>
          <w:color w:val="auto"/>
          <w:sz w:val="24"/>
          <w:highlight w:val="none"/>
        </w:rPr>
        <w:t>2.定标程序</w:t>
      </w:r>
    </w:p>
    <w:p>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2.1</w:t>
      </w:r>
      <w:r>
        <w:rPr>
          <w:rFonts w:hint="eastAsia" w:ascii="宋体" w:hAnsi="宋体"/>
          <w:color w:val="auto"/>
          <w:sz w:val="24"/>
          <w:highlight w:val="none"/>
          <w:lang w:eastAsia="zh-CN"/>
        </w:rPr>
        <w:t>磋商小组</w:t>
      </w:r>
      <w:r>
        <w:rPr>
          <w:rFonts w:hint="eastAsia" w:ascii="宋体" w:hAnsi="宋体"/>
          <w:color w:val="auto"/>
          <w:sz w:val="24"/>
          <w:highlight w:val="none"/>
        </w:rPr>
        <w:t>按照综合评审打分结果由高到低排列顺序。</w:t>
      </w:r>
    </w:p>
    <w:p>
      <w:pPr>
        <w:pStyle w:val="5"/>
        <w:spacing w:line="360" w:lineRule="auto"/>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2.2</w:t>
      </w:r>
      <w:r>
        <w:rPr>
          <w:rFonts w:hint="eastAsia" w:ascii="宋体" w:hAnsi="宋体"/>
          <w:bCs/>
          <w:color w:val="auto"/>
          <w:sz w:val="24"/>
          <w:highlight w:val="none"/>
          <w:lang w:eastAsia="zh-CN"/>
        </w:rPr>
        <w:t>磋商小组</w:t>
      </w:r>
      <w:r>
        <w:rPr>
          <w:rFonts w:hint="eastAsia" w:ascii="宋体" w:hAnsi="宋体"/>
          <w:bCs/>
          <w:color w:val="auto"/>
          <w:sz w:val="24"/>
          <w:highlight w:val="none"/>
        </w:rPr>
        <w:t>根据书面评标报告和被推荐的</w:t>
      </w:r>
      <w:r>
        <w:rPr>
          <w:rFonts w:hint="eastAsia" w:ascii="宋体" w:hAnsi="宋体"/>
          <w:bCs/>
          <w:color w:val="auto"/>
          <w:sz w:val="24"/>
          <w:highlight w:val="none"/>
          <w:lang w:eastAsia="zh-CN"/>
        </w:rPr>
        <w:t>中标</w:t>
      </w:r>
      <w:r>
        <w:rPr>
          <w:rFonts w:hint="eastAsia" w:ascii="宋体" w:hAnsi="宋体"/>
          <w:bCs/>
          <w:color w:val="auto"/>
          <w:sz w:val="24"/>
          <w:highlight w:val="none"/>
        </w:rPr>
        <w:t>候选人，按综合得分高低排列顺序依序确定</w:t>
      </w:r>
      <w:r>
        <w:rPr>
          <w:rFonts w:hint="eastAsia" w:ascii="宋体" w:hAnsi="宋体"/>
          <w:bCs/>
          <w:color w:val="auto"/>
          <w:sz w:val="24"/>
          <w:highlight w:val="none"/>
          <w:lang w:eastAsia="zh-CN"/>
        </w:rPr>
        <w:t>中标</w:t>
      </w:r>
      <w:r>
        <w:rPr>
          <w:rFonts w:hint="eastAsia" w:ascii="宋体" w:hAnsi="宋体"/>
          <w:bCs/>
          <w:color w:val="auto"/>
          <w:sz w:val="24"/>
          <w:highlight w:val="none"/>
        </w:rPr>
        <w:t>供应商。</w:t>
      </w:r>
    </w:p>
    <w:p>
      <w:pPr>
        <w:pStyle w:val="5"/>
        <w:spacing w:line="360" w:lineRule="auto"/>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2.3</w:t>
      </w:r>
      <w:r>
        <w:rPr>
          <w:rFonts w:hint="eastAsia" w:ascii="宋体" w:hAnsi="宋体"/>
          <w:bCs/>
          <w:color w:val="auto"/>
          <w:sz w:val="24"/>
          <w:highlight w:val="none"/>
          <w:lang w:eastAsia="zh-CN"/>
        </w:rPr>
        <w:t>中标</w:t>
      </w:r>
      <w:r>
        <w:rPr>
          <w:rFonts w:hint="eastAsia" w:ascii="宋体" w:hAnsi="宋体"/>
          <w:bCs/>
          <w:color w:val="auto"/>
          <w:sz w:val="24"/>
          <w:highlight w:val="none"/>
        </w:rPr>
        <w:t>结果</w:t>
      </w:r>
      <w:r>
        <w:rPr>
          <w:rFonts w:hint="eastAsia" w:ascii="宋体" w:hAnsi="宋体"/>
          <w:bCs/>
          <w:color w:val="auto"/>
          <w:sz w:val="24"/>
          <w:highlight w:val="none"/>
          <w:lang w:eastAsia="zh-CN"/>
        </w:rPr>
        <w:t>现场公布</w:t>
      </w:r>
      <w:r>
        <w:rPr>
          <w:rFonts w:hint="eastAsia" w:ascii="宋体" w:hAnsi="宋体"/>
          <w:bCs/>
          <w:color w:val="auto"/>
          <w:sz w:val="24"/>
          <w:highlight w:val="none"/>
        </w:rPr>
        <w:t>。同时向</w:t>
      </w:r>
      <w:r>
        <w:rPr>
          <w:rFonts w:hint="eastAsia" w:ascii="宋体" w:hAnsi="宋体"/>
          <w:bCs/>
          <w:color w:val="auto"/>
          <w:sz w:val="24"/>
          <w:highlight w:val="none"/>
          <w:lang w:eastAsia="zh-CN"/>
        </w:rPr>
        <w:t>中标</w:t>
      </w:r>
      <w:r>
        <w:rPr>
          <w:rFonts w:hint="eastAsia" w:ascii="宋体" w:hAnsi="宋体"/>
          <w:bCs/>
          <w:color w:val="auto"/>
          <w:sz w:val="24"/>
          <w:highlight w:val="none"/>
        </w:rPr>
        <w:t>供应商发出《</w:t>
      </w:r>
      <w:r>
        <w:rPr>
          <w:rFonts w:hint="eastAsia" w:ascii="宋体" w:hAnsi="宋体"/>
          <w:bCs/>
          <w:color w:val="auto"/>
          <w:sz w:val="24"/>
          <w:highlight w:val="none"/>
          <w:lang w:eastAsia="zh-CN"/>
        </w:rPr>
        <w:t>中标</w:t>
      </w:r>
      <w:r>
        <w:rPr>
          <w:rFonts w:hint="eastAsia" w:ascii="宋体" w:hAnsi="宋体"/>
          <w:bCs/>
          <w:color w:val="auto"/>
          <w:sz w:val="24"/>
          <w:highlight w:val="none"/>
        </w:rPr>
        <w:t>通知书》。</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2.4招标采购单位不解释</w:t>
      </w:r>
      <w:r>
        <w:rPr>
          <w:rFonts w:hint="eastAsia" w:ascii="宋体" w:hAnsi="宋体"/>
          <w:color w:val="auto"/>
          <w:sz w:val="24"/>
          <w:highlight w:val="none"/>
          <w:lang w:eastAsia="zh-CN"/>
        </w:rPr>
        <w:t>中标</w:t>
      </w:r>
      <w:r>
        <w:rPr>
          <w:rFonts w:hint="eastAsia" w:ascii="宋体" w:hAnsi="宋体"/>
          <w:color w:val="auto"/>
          <w:sz w:val="24"/>
          <w:highlight w:val="none"/>
        </w:rPr>
        <w:t>或落标原因，不退回</w:t>
      </w:r>
      <w:r>
        <w:rPr>
          <w:rFonts w:hint="eastAsia" w:ascii="宋体" w:hAnsi="宋体"/>
          <w:color w:val="auto"/>
          <w:sz w:val="24"/>
          <w:highlight w:val="none"/>
          <w:lang w:eastAsia="zh-CN"/>
        </w:rPr>
        <w:t>磋商响应文件</w:t>
      </w:r>
      <w:r>
        <w:rPr>
          <w:rFonts w:hint="eastAsia" w:ascii="宋体" w:hAnsi="宋体"/>
          <w:color w:val="auto"/>
          <w:sz w:val="24"/>
          <w:highlight w:val="none"/>
        </w:rPr>
        <w:t>和其他投标资料。</w:t>
      </w:r>
    </w:p>
    <w:p>
      <w:pPr>
        <w:spacing w:line="360" w:lineRule="auto"/>
        <w:jc w:val="left"/>
        <w:rPr>
          <w:rFonts w:hint="eastAsia" w:ascii="宋体" w:hAnsi="宋体"/>
          <w:b/>
          <w:color w:val="auto"/>
          <w:sz w:val="24"/>
          <w:highlight w:val="none"/>
        </w:rPr>
      </w:pPr>
      <w:r>
        <w:rPr>
          <w:rFonts w:hint="eastAsia" w:ascii="宋体" w:hAnsi="宋体"/>
          <w:b/>
          <w:bCs/>
          <w:color w:val="auto"/>
          <w:sz w:val="24"/>
          <w:highlight w:val="none"/>
        </w:rPr>
        <w:t>3.</w:t>
      </w:r>
      <w:r>
        <w:rPr>
          <w:rFonts w:hint="eastAsia" w:ascii="宋体" w:hAnsi="宋体"/>
          <w:b/>
          <w:color w:val="auto"/>
          <w:sz w:val="24"/>
          <w:highlight w:val="none"/>
        </w:rPr>
        <w:t xml:space="preserve"> </w:t>
      </w:r>
      <w:r>
        <w:rPr>
          <w:rFonts w:hint="eastAsia" w:ascii="宋体" w:hAnsi="宋体"/>
          <w:b/>
          <w:color w:val="auto"/>
          <w:sz w:val="24"/>
          <w:highlight w:val="none"/>
          <w:lang w:eastAsia="zh-CN"/>
        </w:rPr>
        <w:t>中标</w:t>
      </w:r>
      <w:r>
        <w:rPr>
          <w:rFonts w:hint="eastAsia" w:ascii="宋体" w:hAnsi="宋体"/>
          <w:b/>
          <w:bCs/>
          <w:color w:val="auto"/>
          <w:sz w:val="24"/>
          <w:highlight w:val="none"/>
        </w:rPr>
        <w:t>通知书</w:t>
      </w:r>
    </w:p>
    <w:p>
      <w:pPr>
        <w:tabs>
          <w:tab w:val="left" w:pos="7665"/>
        </w:tabs>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3.1招标代理机构将以书面形式《</w:t>
      </w:r>
      <w:r>
        <w:rPr>
          <w:rFonts w:hint="eastAsia" w:ascii="宋体" w:hAnsi="宋体"/>
          <w:color w:val="auto"/>
          <w:sz w:val="24"/>
          <w:highlight w:val="none"/>
          <w:lang w:eastAsia="zh-CN"/>
        </w:rPr>
        <w:t>中标</w:t>
      </w:r>
      <w:r>
        <w:rPr>
          <w:rFonts w:hint="eastAsia" w:ascii="宋体" w:hAnsi="宋体"/>
          <w:color w:val="auto"/>
          <w:sz w:val="24"/>
          <w:highlight w:val="none"/>
        </w:rPr>
        <w:t>通知书》通知</w:t>
      </w:r>
      <w:r>
        <w:rPr>
          <w:rFonts w:hint="eastAsia" w:ascii="宋体" w:hAnsi="宋体"/>
          <w:color w:val="auto"/>
          <w:sz w:val="24"/>
          <w:highlight w:val="none"/>
          <w:lang w:eastAsia="zh-CN"/>
        </w:rPr>
        <w:t>中标</w:t>
      </w:r>
      <w:r>
        <w:rPr>
          <w:rFonts w:hint="eastAsia" w:ascii="宋体" w:hAnsi="宋体"/>
          <w:color w:val="auto"/>
          <w:sz w:val="24"/>
          <w:highlight w:val="none"/>
        </w:rPr>
        <w:t>的供应商其投标被接受。在该通知书发出</w:t>
      </w:r>
      <w:r>
        <w:rPr>
          <w:rFonts w:hint="eastAsia" w:ascii="宋体" w:hAnsi="宋体"/>
          <w:color w:val="auto"/>
          <w:sz w:val="24"/>
          <w:highlight w:val="none"/>
          <w:lang w:eastAsia="zh-CN"/>
        </w:rPr>
        <w:t>三</w:t>
      </w:r>
      <w:r>
        <w:rPr>
          <w:rFonts w:hint="eastAsia" w:ascii="宋体" w:hAnsi="宋体"/>
          <w:color w:val="auto"/>
          <w:sz w:val="24"/>
          <w:highlight w:val="none"/>
        </w:rPr>
        <w:t>十日内，</w:t>
      </w:r>
      <w:r>
        <w:rPr>
          <w:rFonts w:hint="eastAsia" w:ascii="宋体" w:hAnsi="宋体"/>
          <w:color w:val="auto"/>
          <w:sz w:val="24"/>
          <w:highlight w:val="none"/>
          <w:lang w:eastAsia="zh-CN"/>
        </w:rPr>
        <w:t>中标</w:t>
      </w:r>
      <w:r>
        <w:rPr>
          <w:rFonts w:hint="eastAsia" w:ascii="宋体" w:hAnsi="宋体"/>
          <w:color w:val="auto"/>
          <w:sz w:val="24"/>
          <w:highlight w:val="none"/>
        </w:rPr>
        <w:t>单位应与采购人签订《</w:t>
      </w:r>
      <w:r>
        <w:rPr>
          <w:rFonts w:hint="eastAsia" w:ascii="宋体" w:hAnsi="宋体"/>
          <w:color w:val="auto"/>
          <w:sz w:val="24"/>
          <w:highlight w:val="none"/>
          <w:lang w:eastAsia="zh-CN"/>
        </w:rPr>
        <w:t>合同</w:t>
      </w:r>
      <w:r>
        <w:rPr>
          <w:rFonts w:hint="eastAsia" w:ascii="宋体" w:hAnsi="宋体"/>
          <w:color w:val="auto"/>
          <w:sz w:val="24"/>
          <w:highlight w:val="none"/>
        </w:rPr>
        <w:t>》。</w:t>
      </w:r>
    </w:p>
    <w:p>
      <w:pPr>
        <w:tabs>
          <w:tab w:val="left" w:pos="7665"/>
        </w:tabs>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3.2</w:t>
      </w:r>
      <w:r>
        <w:rPr>
          <w:rFonts w:hint="eastAsia" w:ascii="宋体" w:hAnsi="宋体"/>
          <w:color w:val="auto"/>
          <w:sz w:val="24"/>
          <w:highlight w:val="none"/>
          <w:lang w:eastAsia="zh-CN"/>
        </w:rPr>
        <w:t>中标</w:t>
      </w:r>
      <w:r>
        <w:rPr>
          <w:rFonts w:hint="eastAsia" w:ascii="宋体" w:hAnsi="宋体"/>
          <w:color w:val="auto"/>
          <w:sz w:val="24"/>
          <w:highlight w:val="none"/>
        </w:rPr>
        <w:t>通知书为签订《</w:t>
      </w:r>
      <w:r>
        <w:rPr>
          <w:rFonts w:hint="eastAsia" w:ascii="宋体" w:hAnsi="宋体"/>
          <w:color w:val="auto"/>
          <w:sz w:val="24"/>
          <w:highlight w:val="none"/>
          <w:lang w:eastAsia="zh-CN"/>
        </w:rPr>
        <w:t>合同</w:t>
      </w:r>
      <w:r>
        <w:rPr>
          <w:rFonts w:hint="eastAsia" w:ascii="宋体" w:hAnsi="宋体"/>
          <w:color w:val="auto"/>
          <w:sz w:val="24"/>
          <w:highlight w:val="none"/>
        </w:rPr>
        <w:t>》的依据，是合同的有效组成部分。</w:t>
      </w:r>
    </w:p>
    <w:p>
      <w:pPr>
        <w:tabs>
          <w:tab w:val="left" w:pos="7665"/>
        </w:tabs>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3.3</w:t>
      </w:r>
      <w:r>
        <w:rPr>
          <w:rFonts w:hint="eastAsia" w:ascii="宋体" w:hAnsi="宋体"/>
          <w:color w:val="auto"/>
          <w:sz w:val="24"/>
          <w:highlight w:val="none"/>
          <w:lang w:eastAsia="zh-CN"/>
        </w:rPr>
        <w:t>中标</w:t>
      </w:r>
      <w:r>
        <w:rPr>
          <w:rFonts w:hint="eastAsia" w:ascii="宋体" w:hAnsi="宋体"/>
          <w:color w:val="auto"/>
          <w:sz w:val="24"/>
          <w:highlight w:val="none"/>
        </w:rPr>
        <w:t>通知书对采购人和</w:t>
      </w:r>
      <w:r>
        <w:rPr>
          <w:rFonts w:hint="eastAsia" w:ascii="宋体" w:hAnsi="宋体"/>
          <w:color w:val="auto"/>
          <w:sz w:val="24"/>
          <w:highlight w:val="none"/>
          <w:lang w:eastAsia="zh-CN"/>
        </w:rPr>
        <w:t>中标</w:t>
      </w:r>
      <w:r>
        <w:rPr>
          <w:rFonts w:hint="eastAsia" w:ascii="宋体" w:hAnsi="宋体"/>
          <w:color w:val="auto"/>
          <w:sz w:val="24"/>
          <w:highlight w:val="none"/>
        </w:rPr>
        <w:t>供应商均具有法律效力。</w:t>
      </w:r>
      <w:r>
        <w:rPr>
          <w:rFonts w:hint="eastAsia" w:ascii="宋体" w:hAnsi="宋体"/>
          <w:color w:val="auto"/>
          <w:sz w:val="24"/>
          <w:highlight w:val="none"/>
          <w:lang w:eastAsia="zh-CN"/>
        </w:rPr>
        <w:t>中标</w:t>
      </w:r>
      <w:r>
        <w:rPr>
          <w:rFonts w:hint="eastAsia" w:ascii="宋体" w:hAnsi="宋体"/>
          <w:color w:val="auto"/>
          <w:sz w:val="24"/>
          <w:highlight w:val="none"/>
        </w:rPr>
        <w:t>通知书发出后，采购人改变</w:t>
      </w:r>
      <w:r>
        <w:rPr>
          <w:rFonts w:hint="eastAsia" w:ascii="宋体" w:hAnsi="宋体"/>
          <w:color w:val="auto"/>
          <w:sz w:val="24"/>
          <w:highlight w:val="none"/>
          <w:lang w:eastAsia="zh-CN"/>
        </w:rPr>
        <w:t>中标</w:t>
      </w:r>
      <w:r>
        <w:rPr>
          <w:rFonts w:hint="eastAsia" w:ascii="宋体" w:hAnsi="宋体"/>
          <w:color w:val="auto"/>
          <w:sz w:val="24"/>
          <w:highlight w:val="none"/>
        </w:rPr>
        <w:t>结果，或者</w:t>
      </w:r>
      <w:r>
        <w:rPr>
          <w:rFonts w:hint="eastAsia" w:ascii="宋体" w:hAnsi="宋体"/>
          <w:color w:val="auto"/>
          <w:sz w:val="24"/>
          <w:highlight w:val="none"/>
          <w:lang w:eastAsia="zh-CN"/>
        </w:rPr>
        <w:t>中标</w:t>
      </w:r>
      <w:r>
        <w:rPr>
          <w:rFonts w:hint="eastAsia" w:ascii="宋体" w:hAnsi="宋体"/>
          <w:color w:val="auto"/>
          <w:sz w:val="24"/>
          <w:highlight w:val="none"/>
        </w:rPr>
        <w:t>供应商无正当理由放弃</w:t>
      </w:r>
      <w:r>
        <w:rPr>
          <w:rFonts w:hint="eastAsia" w:ascii="宋体" w:hAnsi="宋体"/>
          <w:color w:val="auto"/>
          <w:sz w:val="24"/>
          <w:highlight w:val="none"/>
          <w:lang w:eastAsia="zh-CN"/>
        </w:rPr>
        <w:t>中标</w:t>
      </w:r>
      <w:r>
        <w:rPr>
          <w:rFonts w:hint="eastAsia" w:ascii="宋体" w:hAnsi="宋体"/>
          <w:color w:val="auto"/>
          <w:sz w:val="24"/>
          <w:highlight w:val="none"/>
        </w:rPr>
        <w:t>的，应当承担相应的法律责任。</w:t>
      </w:r>
    </w:p>
    <w:p>
      <w:pPr>
        <w:tabs>
          <w:tab w:val="left" w:pos="7665"/>
        </w:tabs>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3.4</w:t>
      </w:r>
      <w:r>
        <w:rPr>
          <w:rFonts w:hint="eastAsia" w:ascii="宋体" w:hAnsi="宋体"/>
          <w:color w:val="auto"/>
          <w:sz w:val="24"/>
          <w:highlight w:val="none"/>
          <w:lang w:eastAsia="zh-CN"/>
        </w:rPr>
        <w:t>中标</w:t>
      </w:r>
      <w:r>
        <w:rPr>
          <w:rFonts w:hint="eastAsia" w:ascii="宋体" w:hAnsi="宋体"/>
          <w:color w:val="auto"/>
          <w:sz w:val="24"/>
          <w:highlight w:val="none"/>
        </w:rPr>
        <w:t>供应商的</w:t>
      </w:r>
      <w:r>
        <w:rPr>
          <w:rFonts w:hint="eastAsia" w:ascii="宋体" w:hAnsi="宋体"/>
          <w:color w:val="auto"/>
          <w:sz w:val="24"/>
          <w:highlight w:val="none"/>
          <w:lang w:eastAsia="zh-CN"/>
        </w:rPr>
        <w:t>磋商响应文件</w:t>
      </w:r>
      <w:r>
        <w:rPr>
          <w:rFonts w:hint="eastAsia" w:ascii="宋体" w:hAnsi="宋体"/>
          <w:color w:val="auto"/>
          <w:sz w:val="24"/>
          <w:highlight w:val="none"/>
        </w:rPr>
        <w:t>本应作为无效投标处理或者有政府采购法律法规规章制度规定的</w:t>
      </w:r>
      <w:r>
        <w:rPr>
          <w:rFonts w:hint="eastAsia" w:ascii="宋体" w:hAnsi="宋体"/>
          <w:color w:val="auto"/>
          <w:sz w:val="24"/>
          <w:highlight w:val="none"/>
          <w:lang w:eastAsia="zh-CN"/>
        </w:rPr>
        <w:t>中标</w:t>
      </w:r>
      <w:r>
        <w:rPr>
          <w:rFonts w:hint="eastAsia" w:ascii="宋体" w:hAnsi="宋体"/>
          <w:color w:val="auto"/>
          <w:sz w:val="24"/>
          <w:highlight w:val="none"/>
        </w:rPr>
        <w:t>无效情形的，招标代理机构在取得有权主体的认定以后，应当宣布发出的</w:t>
      </w:r>
      <w:r>
        <w:rPr>
          <w:rFonts w:hint="eastAsia" w:ascii="宋体" w:hAnsi="宋体"/>
          <w:color w:val="auto"/>
          <w:sz w:val="24"/>
          <w:highlight w:val="none"/>
          <w:lang w:eastAsia="zh-CN"/>
        </w:rPr>
        <w:t>中标</w:t>
      </w:r>
      <w:r>
        <w:rPr>
          <w:rFonts w:hint="eastAsia" w:ascii="宋体" w:hAnsi="宋体"/>
          <w:color w:val="auto"/>
          <w:sz w:val="24"/>
          <w:highlight w:val="none"/>
        </w:rPr>
        <w:t>通知书无效，并收回发出的</w:t>
      </w:r>
      <w:r>
        <w:rPr>
          <w:rFonts w:hint="eastAsia" w:ascii="宋体" w:hAnsi="宋体"/>
          <w:color w:val="auto"/>
          <w:sz w:val="24"/>
          <w:highlight w:val="none"/>
          <w:lang w:eastAsia="zh-CN"/>
        </w:rPr>
        <w:t>中标</w:t>
      </w:r>
      <w:r>
        <w:rPr>
          <w:rFonts w:hint="eastAsia" w:ascii="宋体" w:hAnsi="宋体"/>
          <w:color w:val="auto"/>
          <w:sz w:val="24"/>
          <w:highlight w:val="none"/>
        </w:rPr>
        <w:t>通知书（</w:t>
      </w:r>
      <w:r>
        <w:rPr>
          <w:rFonts w:hint="eastAsia" w:ascii="宋体" w:hAnsi="宋体"/>
          <w:color w:val="auto"/>
          <w:sz w:val="24"/>
          <w:highlight w:val="none"/>
          <w:lang w:eastAsia="zh-CN"/>
        </w:rPr>
        <w:t>中标</w:t>
      </w:r>
      <w:r>
        <w:rPr>
          <w:rFonts w:hint="eastAsia" w:ascii="宋体" w:hAnsi="宋体"/>
          <w:color w:val="auto"/>
          <w:sz w:val="24"/>
          <w:highlight w:val="none"/>
        </w:rPr>
        <w:t>供应商也应当缴回），依法重新确定</w:t>
      </w:r>
      <w:r>
        <w:rPr>
          <w:rFonts w:hint="eastAsia" w:ascii="宋体" w:hAnsi="宋体"/>
          <w:color w:val="auto"/>
          <w:sz w:val="24"/>
          <w:highlight w:val="none"/>
          <w:lang w:eastAsia="zh-CN"/>
        </w:rPr>
        <w:t>中标</w:t>
      </w:r>
      <w:r>
        <w:rPr>
          <w:rFonts w:hint="eastAsia" w:ascii="宋体" w:hAnsi="宋体"/>
          <w:color w:val="auto"/>
          <w:sz w:val="24"/>
          <w:highlight w:val="none"/>
        </w:rPr>
        <w:t>供应商或者重新开展采购活动。</w:t>
      </w:r>
      <w:bookmarkStart w:id="341" w:name="_Toc764"/>
    </w:p>
    <w:bookmarkEnd w:id="308"/>
    <w:bookmarkEnd w:id="309"/>
    <w:bookmarkEnd w:id="310"/>
    <w:bookmarkEnd w:id="311"/>
    <w:bookmarkEnd w:id="312"/>
    <w:bookmarkEnd w:id="313"/>
    <w:bookmarkEnd w:id="314"/>
    <w:bookmarkEnd w:id="315"/>
    <w:bookmarkEnd w:id="316"/>
    <w:bookmarkEnd w:id="317"/>
    <w:bookmarkEnd w:id="318"/>
    <w:bookmarkEnd w:id="319"/>
    <w:bookmarkEnd w:id="320"/>
    <w:bookmarkEnd w:id="341"/>
    <w:p>
      <w:pPr>
        <w:pStyle w:val="4"/>
        <w:rPr>
          <w:rFonts w:hint="eastAsia" w:ascii="宋体" w:hAnsi="宋体" w:eastAsia="宋体"/>
          <w:color w:val="auto"/>
          <w:highlight w:val="none"/>
        </w:rPr>
      </w:pPr>
      <w:bookmarkStart w:id="342" w:name="_Toc21326"/>
      <w:bookmarkStart w:id="343" w:name="_Toc26920"/>
      <w:bookmarkStart w:id="344" w:name="_Toc476758955"/>
      <w:bookmarkStart w:id="345" w:name="_Toc26982"/>
      <w:r>
        <w:rPr>
          <w:rFonts w:hint="eastAsia" w:ascii="宋体" w:hAnsi="宋体" w:eastAsia="宋体"/>
          <w:color w:val="auto"/>
          <w:highlight w:val="none"/>
        </w:rPr>
        <w:t>（</w:t>
      </w:r>
      <w:r>
        <w:rPr>
          <w:rFonts w:hint="eastAsia" w:ascii="宋体" w:hAnsi="宋体" w:eastAsia="宋体"/>
          <w:color w:val="auto"/>
          <w:highlight w:val="none"/>
          <w:lang w:eastAsia="zh-CN"/>
        </w:rPr>
        <w:t>九</w:t>
      </w:r>
      <w:r>
        <w:rPr>
          <w:rFonts w:hint="eastAsia" w:ascii="宋体" w:hAnsi="宋体" w:eastAsia="宋体"/>
          <w:color w:val="auto"/>
          <w:highlight w:val="none"/>
        </w:rPr>
        <w:t>）重新招标和不再招标</w:t>
      </w:r>
      <w:bookmarkEnd w:id="342"/>
      <w:bookmarkEnd w:id="343"/>
      <w:bookmarkEnd w:id="344"/>
      <w:bookmarkEnd w:id="345"/>
    </w:p>
    <w:p>
      <w:pPr>
        <w:adjustRightInd w:val="0"/>
        <w:snapToGrid w:val="0"/>
        <w:spacing w:line="360" w:lineRule="auto"/>
        <w:rPr>
          <w:rFonts w:hint="eastAsia" w:ascii="宋体" w:hAnsi="宋体"/>
          <w:b/>
          <w:bCs/>
          <w:color w:val="auto"/>
          <w:sz w:val="24"/>
          <w:highlight w:val="none"/>
        </w:rPr>
      </w:pPr>
      <w:bookmarkStart w:id="346" w:name="_Toc411671260"/>
      <w:r>
        <w:rPr>
          <w:rFonts w:hint="eastAsia" w:ascii="宋体" w:hAnsi="宋体"/>
          <w:b/>
          <w:bCs/>
          <w:color w:val="auto"/>
          <w:sz w:val="24"/>
          <w:highlight w:val="none"/>
        </w:rPr>
        <w:t>1．重新招标</w:t>
      </w:r>
      <w:bookmarkEnd w:id="346"/>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有下列情形之一的，采购人将重新招标：</w:t>
      </w:r>
    </w:p>
    <w:p>
      <w:pPr>
        <w:adjustRightInd w:val="0"/>
        <w:snapToGrid w:val="0"/>
        <w:spacing w:line="360" w:lineRule="auto"/>
        <w:ind w:firstLine="360" w:firstLineChars="150"/>
        <w:rPr>
          <w:rFonts w:hint="eastAsia" w:ascii="宋体" w:hAnsi="宋体"/>
          <w:bCs/>
          <w:color w:val="auto"/>
          <w:sz w:val="24"/>
          <w:highlight w:val="none"/>
        </w:rPr>
      </w:pPr>
      <w:r>
        <w:rPr>
          <w:rFonts w:hint="eastAsia" w:ascii="宋体" w:hAnsi="宋体"/>
          <w:bCs/>
          <w:color w:val="auto"/>
          <w:sz w:val="24"/>
          <w:highlight w:val="none"/>
        </w:rPr>
        <w:t>（1）投标截止时间止，供应商少于3个的；</w:t>
      </w:r>
    </w:p>
    <w:p>
      <w:pPr>
        <w:adjustRightInd w:val="0"/>
        <w:snapToGrid w:val="0"/>
        <w:spacing w:line="360" w:lineRule="auto"/>
        <w:ind w:firstLine="360" w:firstLineChars="150"/>
        <w:rPr>
          <w:rFonts w:hint="eastAsia" w:ascii="宋体" w:hAnsi="宋体"/>
          <w:bCs/>
          <w:color w:val="auto"/>
          <w:sz w:val="24"/>
          <w:highlight w:val="none"/>
        </w:rPr>
      </w:pPr>
      <w:r>
        <w:rPr>
          <w:rFonts w:hint="eastAsia" w:ascii="宋体" w:hAnsi="宋体"/>
          <w:bCs/>
          <w:color w:val="auto"/>
          <w:sz w:val="24"/>
          <w:highlight w:val="none"/>
        </w:rPr>
        <w:t>（2）经</w:t>
      </w:r>
      <w:r>
        <w:rPr>
          <w:rFonts w:hint="eastAsia" w:ascii="宋体" w:hAnsi="宋体"/>
          <w:bCs/>
          <w:color w:val="auto"/>
          <w:sz w:val="24"/>
          <w:highlight w:val="none"/>
          <w:lang w:eastAsia="zh-CN"/>
        </w:rPr>
        <w:t>磋商小组</w:t>
      </w:r>
      <w:r>
        <w:rPr>
          <w:rFonts w:hint="eastAsia" w:ascii="宋体" w:hAnsi="宋体"/>
          <w:bCs/>
          <w:color w:val="auto"/>
          <w:sz w:val="24"/>
          <w:highlight w:val="none"/>
        </w:rPr>
        <w:t>评审后否决所有投标的。</w:t>
      </w:r>
    </w:p>
    <w:p>
      <w:pPr>
        <w:adjustRightInd w:val="0"/>
        <w:snapToGrid w:val="0"/>
        <w:spacing w:line="360" w:lineRule="auto"/>
        <w:rPr>
          <w:rFonts w:hint="eastAsia" w:ascii="宋体" w:hAnsi="宋体"/>
          <w:b/>
          <w:bCs/>
          <w:color w:val="auto"/>
          <w:sz w:val="24"/>
          <w:highlight w:val="none"/>
        </w:rPr>
      </w:pPr>
      <w:bookmarkStart w:id="347" w:name="_Toc411671261"/>
      <w:r>
        <w:rPr>
          <w:rFonts w:hint="eastAsia" w:ascii="宋体" w:hAnsi="宋体"/>
          <w:b/>
          <w:bCs/>
          <w:color w:val="auto"/>
          <w:sz w:val="24"/>
          <w:highlight w:val="none"/>
        </w:rPr>
        <w:t>2．不再招标</w:t>
      </w:r>
      <w:bookmarkEnd w:id="347"/>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重新招标后供应商仍少于3个或者所有投标被否决的，属于必须审批或核准的项目，经原审批或核准部门批准后不再进行招标。</w:t>
      </w:r>
      <w:bookmarkStart w:id="348" w:name="_Toc4107"/>
    </w:p>
    <w:p>
      <w:pPr>
        <w:pStyle w:val="4"/>
        <w:rPr>
          <w:rFonts w:hint="eastAsia" w:ascii="宋体" w:hAnsi="宋体" w:eastAsia="宋体"/>
          <w:color w:val="auto"/>
          <w:highlight w:val="none"/>
        </w:rPr>
      </w:pPr>
      <w:bookmarkStart w:id="349" w:name="_Toc23619"/>
      <w:bookmarkStart w:id="350" w:name="_Toc16185"/>
      <w:bookmarkStart w:id="351" w:name="_Toc476758956"/>
      <w:r>
        <w:rPr>
          <w:rFonts w:hint="eastAsia" w:ascii="宋体" w:hAnsi="宋体" w:eastAsia="宋体"/>
          <w:color w:val="auto"/>
          <w:highlight w:val="none"/>
        </w:rPr>
        <w:t>（十）纪律和监督</w:t>
      </w:r>
      <w:bookmarkEnd w:id="348"/>
      <w:bookmarkEnd w:id="349"/>
      <w:bookmarkEnd w:id="350"/>
      <w:bookmarkEnd w:id="351"/>
    </w:p>
    <w:p>
      <w:pPr>
        <w:adjustRightInd w:val="0"/>
        <w:snapToGrid w:val="0"/>
        <w:spacing w:line="360" w:lineRule="auto"/>
        <w:rPr>
          <w:rFonts w:hint="eastAsia" w:ascii="宋体" w:hAnsi="宋体"/>
          <w:b/>
          <w:bCs/>
          <w:color w:val="auto"/>
          <w:sz w:val="24"/>
          <w:highlight w:val="none"/>
        </w:rPr>
      </w:pPr>
      <w:r>
        <w:rPr>
          <w:rFonts w:hint="eastAsia" w:ascii="宋体" w:hAnsi="宋体"/>
          <w:b/>
          <w:bCs/>
          <w:color w:val="auto"/>
          <w:sz w:val="24"/>
          <w:highlight w:val="none"/>
        </w:rPr>
        <w:t>1．对采购人的纪律要求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采购人不得泄漏招标投标活动中应当保密的情况和资料，不得与供应商串通损害国家利益、社会公共利益或者他人合法权益。</w:t>
      </w:r>
    </w:p>
    <w:p>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下列行为视为采购人与供应商串通投标：</w:t>
      </w:r>
    </w:p>
    <w:p>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(1）采购人在开标前开启</w:t>
      </w:r>
      <w:r>
        <w:rPr>
          <w:rFonts w:hint="eastAsia" w:ascii="宋体" w:hAnsi="宋体" w:cs="仿宋_GB2312"/>
          <w:color w:val="auto"/>
          <w:sz w:val="24"/>
          <w:highlight w:val="none"/>
          <w:lang w:eastAsia="zh-CN"/>
        </w:rPr>
        <w:t>磋商响应文件</w:t>
      </w:r>
      <w:r>
        <w:rPr>
          <w:rFonts w:hint="eastAsia" w:ascii="宋体" w:hAnsi="宋体" w:cs="仿宋_GB2312"/>
          <w:color w:val="auto"/>
          <w:sz w:val="24"/>
          <w:highlight w:val="none"/>
        </w:rPr>
        <w:t>，并将投标情况告知其它供应商，或者协助供应商撤换</w:t>
      </w:r>
      <w:r>
        <w:rPr>
          <w:rFonts w:hint="eastAsia" w:ascii="宋体" w:hAnsi="宋体" w:cs="仿宋_GB2312"/>
          <w:color w:val="auto"/>
          <w:sz w:val="24"/>
          <w:highlight w:val="none"/>
          <w:lang w:eastAsia="zh-CN"/>
        </w:rPr>
        <w:t>磋商响应文件</w:t>
      </w:r>
      <w:r>
        <w:rPr>
          <w:rFonts w:hint="eastAsia" w:ascii="宋体" w:hAnsi="宋体" w:cs="仿宋_GB2312"/>
          <w:color w:val="auto"/>
          <w:sz w:val="24"/>
          <w:highlight w:val="none"/>
        </w:rPr>
        <w:t>，更改报价；</w:t>
      </w:r>
    </w:p>
    <w:p>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(2）采购人向供应商泄露标底；</w:t>
      </w:r>
    </w:p>
    <w:p>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(3）采购人与供应商商定，投标时压低或抬高标价，</w:t>
      </w:r>
      <w:r>
        <w:rPr>
          <w:rFonts w:hint="eastAsia" w:ascii="宋体" w:hAnsi="宋体" w:cs="仿宋_GB2312"/>
          <w:color w:val="auto"/>
          <w:sz w:val="24"/>
          <w:highlight w:val="none"/>
          <w:lang w:eastAsia="zh-CN"/>
        </w:rPr>
        <w:t>中标</w:t>
      </w:r>
      <w:r>
        <w:rPr>
          <w:rFonts w:hint="eastAsia" w:ascii="宋体" w:hAnsi="宋体" w:cs="仿宋_GB2312"/>
          <w:color w:val="auto"/>
          <w:sz w:val="24"/>
          <w:highlight w:val="none"/>
        </w:rPr>
        <w:t>后再给供应商或采购人额外补偿；</w:t>
      </w:r>
    </w:p>
    <w:p>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(4）采购人预先内定</w:t>
      </w:r>
      <w:r>
        <w:rPr>
          <w:rFonts w:hint="eastAsia" w:ascii="宋体" w:hAnsi="宋体" w:cs="仿宋_GB2312"/>
          <w:color w:val="auto"/>
          <w:sz w:val="24"/>
          <w:highlight w:val="none"/>
          <w:lang w:eastAsia="zh-CN"/>
        </w:rPr>
        <w:t>中标</w:t>
      </w:r>
      <w:r>
        <w:rPr>
          <w:rFonts w:hint="eastAsia" w:ascii="宋体" w:hAnsi="宋体" w:cs="仿宋_GB2312"/>
          <w:color w:val="auto"/>
          <w:sz w:val="24"/>
          <w:highlight w:val="none"/>
        </w:rPr>
        <w:t>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cs="仿宋_GB2312"/>
          <w:color w:val="auto"/>
          <w:sz w:val="24"/>
          <w:highlight w:val="none"/>
        </w:rPr>
        <w:t>(5）其它串通投标行为。</w:t>
      </w:r>
    </w:p>
    <w:p>
      <w:pPr>
        <w:adjustRightInd w:val="0"/>
        <w:snapToGrid w:val="0"/>
        <w:spacing w:line="360" w:lineRule="auto"/>
        <w:rPr>
          <w:rFonts w:hint="eastAsia" w:ascii="宋体" w:hAnsi="宋体"/>
          <w:b/>
          <w:bCs/>
          <w:color w:val="auto"/>
          <w:sz w:val="24"/>
          <w:highlight w:val="none"/>
        </w:rPr>
      </w:pPr>
      <w:r>
        <w:rPr>
          <w:rFonts w:hint="eastAsia" w:ascii="宋体" w:hAnsi="宋体"/>
          <w:b/>
          <w:bCs/>
          <w:color w:val="auto"/>
          <w:sz w:val="24"/>
          <w:highlight w:val="none"/>
        </w:rPr>
        <w:t>2.对供应商的纪律要求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供应商不得相互串通投标或者与采购人串通投标，不得向采购人或者</w:t>
      </w:r>
      <w:r>
        <w:rPr>
          <w:rFonts w:hint="eastAsia" w:ascii="宋体" w:hAnsi="宋体"/>
          <w:bCs/>
          <w:color w:val="auto"/>
          <w:sz w:val="24"/>
          <w:highlight w:val="none"/>
          <w:lang w:eastAsia="zh-CN"/>
        </w:rPr>
        <w:t>磋商小组</w:t>
      </w:r>
      <w:r>
        <w:rPr>
          <w:rFonts w:hint="eastAsia" w:ascii="宋体" w:hAnsi="宋体"/>
          <w:bCs/>
          <w:color w:val="auto"/>
          <w:sz w:val="24"/>
          <w:highlight w:val="none"/>
        </w:rPr>
        <w:t>成员行贿谋取</w:t>
      </w:r>
      <w:r>
        <w:rPr>
          <w:rFonts w:hint="eastAsia" w:ascii="宋体" w:hAnsi="宋体"/>
          <w:bCs/>
          <w:color w:val="auto"/>
          <w:sz w:val="24"/>
          <w:highlight w:val="none"/>
          <w:lang w:eastAsia="zh-CN"/>
        </w:rPr>
        <w:t>中标</w:t>
      </w:r>
      <w:r>
        <w:rPr>
          <w:rFonts w:hint="eastAsia" w:ascii="宋体" w:hAnsi="宋体"/>
          <w:bCs/>
          <w:color w:val="auto"/>
          <w:sz w:val="24"/>
          <w:highlight w:val="none"/>
        </w:rPr>
        <w:t>，不得以他人名义投标或者以其他方式弄虚作假骗取</w:t>
      </w:r>
      <w:r>
        <w:rPr>
          <w:rFonts w:hint="eastAsia" w:ascii="宋体" w:hAnsi="宋体"/>
          <w:bCs/>
          <w:color w:val="auto"/>
          <w:sz w:val="24"/>
          <w:highlight w:val="none"/>
          <w:lang w:eastAsia="zh-CN"/>
        </w:rPr>
        <w:t>中标</w:t>
      </w:r>
      <w:r>
        <w:rPr>
          <w:rFonts w:hint="eastAsia" w:ascii="宋体" w:hAnsi="宋体"/>
          <w:bCs/>
          <w:color w:val="auto"/>
          <w:sz w:val="24"/>
          <w:highlight w:val="none"/>
        </w:rPr>
        <w:t>；供应商不得以任何方式干扰、影响评标工作；不得诋毁、排挤其他供应商；不得在招标过程中与招标采购单位进行协商谈判；不得拒绝有关部门的监督检查或者向监督检查部门提供虚假情况。</w:t>
      </w:r>
    </w:p>
    <w:p>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2.1 下列行为视为以他人名义投标：</w:t>
      </w:r>
    </w:p>
    <w:p>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（1）供应商挂靠其他单位；</w:t>
      </w:r>
    </w:p>
    <w:p>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（2）供应商从其它单位通过转让或租借的方式获取资格或资质证书；</w:t>
      </w:r>
    </w:p>
    <w:p>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（3）由其它单位及法定代表人在自己编制的</w:t>
      </w:r>
      <w:r>
        <w:rPr>
          <w:rFonts w:hint="eastAsia" w:ascii="宋体" w:hAnsi="宋体" w:cs="仿宋_GB2312"/>
          <w:color w:val="auto"/>
          <w:sz w:val="24"/>
          <w:highlight w:val="none"/>
          <w:lang w:eastAsia="zh-CN"/>
        </w:rPr>
        <w:t>磋商响应文件</w:t>
      </w:r>
      <w:r>
        <w:rPr>
          <w:rFonts w:hint="eastAsia" w:ascii="宋体" w:hAnsi="宋体" w:cs="仿宋_GB2312"/>
          <w:color w:val="auto"/>
          <w:sz w:val="24"/>
          <w:highlight w:val="none"/>
        </w:rPr>
        <w:t>上加盖印章或签字；</w:t>
      </w:r>
    </w:p>
    <w:p>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（4）法律法规规定的其它情形。</w:t>
      </w:r>
    </w:p>
    <w:p>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2.2 下列行为，视为允许他人以本单位名义承揽项目：</w:t>
      </w:r>
    </w:p>
    <w:p>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（1）供应商的法定代表人的委托代理人不是供应商本单位人员；</w:t>
      </w:r>
    </w:p>
    <w:p>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（2）供应商拟在担任本项目的项目负责人或主要技术人员等不是本单位人员；</w:t>
      </w:r>
    </w:p>
    <w:p>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w:t>
      </w:r>
      <w:r>
        <w:rPr>
          <w:rFonts w:ascii="宋体" w:hAnsi="宋体" w:cs="仿宋_GB2312"/>
          <w:color w:val="auto"/>
          <w:sz w:val="24"/>
          <w:highlight w:val="none"/>
        </w:rPr>
        <w:t>3</w:t>
      </w:r>
      <w:r>
        <w:rPr>
          <w:rFonts w:hint="eastAsia" w:ascii="宋体" w:hAnsi="宋体" w:cs="仿宋_GB2312"/>
          <w:color w:val="auto"/>
          <w:sz w:val="24"/>
          <w:highlight w:val="none"/>
        </w:rPr>
        <w:t>）通过出租、出借资质证书或者收取管理费等方式允许他人以本单位名义承接项目；</w:t>
      </w:r>
      <w:bookmarkStart w:id="352" w:name="_Toc256690748"/>
      <w:bookmarkStart w:id="353" w:name="_Toc256694624"/>
    </w:p>
    <w:p>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（4）投标保证金非投标单位银行基本账户转出，或虽由投标单位银行基本账户转出，但先由非投标单位人员将投标保证金存入投标单位或有关个人账户，或以其他方式抵押的；</w:t>
      </w:r>
      <w:bookmarkEnd w:id="352"/>
      <w:bookmarkEnd w:id="353"/>
    </w:p>
    <w:p>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（5）项目资金未实行项目资金专户分账管理或独立核算制度的；财务管理人员（财务主管和出纳）非本单位人员，或项目资金的使用未经项目经理本人签字、审批的；</w:t>
      </w:r>
      <w:bookmarkStart w:id="354" w:name="_Toc256690752"/>
      <w:bookmarkStart w:id="355" w:name="_Toc256694628"/>
    </w:p>
    <w:p>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（6）</w:t>
      </w:r>
      <w:r>
        <w:rPr>
          <w:rFonts w:hint="eastAsia" w:ascii="宋体" w:hAnsi="宋体" w:cs="仿宋_GB2312"/>
          <w:color w:val="auto"/>
          <w:sz w:val="24"/>
          <w:highlight w:val="none"/>
          <w:lang w:eastAsia="zh-CN"/>
        </w:rPr>
        <w:t>中标</w:t>
      </w:r>
      <w:r>
        <w:rPr>
          <w:rFonts w:hint="eastAsia" w:ascii="宋体" w:hAnsi="宋体" w:cs="仿宋_GB2312"/>
          <w:color w:val="auto"/>
          <w:sz w:val="24"/>
          <w:highlight w:val="none"/>
        </w:rPr>
        <w:t>后，实际由他人履行职责且他人非本单位人员的(项目负责人换为非本单位人员，或其他主要技术人员有2个及以上换为非本单位人员)</w:t>
      </w:r>
      <w:bookmarkEnd w:id="354"/>
      <w:bookmarkEnd w:id="355"/>
      <w:r>
        <w:rPr>
          <w:rFonts w:hint="eastAsia" w:ascii="宋体" w:hAnsi="宋体" w:cs="仿宋_GB2312"/>
          <w:color w:val="auto"/>
          <w:sz w:val="24"/>
          <w:highlight w:val="none"/>
        </w:rPr>
        <w:t>；</w:t>
      </w:r>
    </w:p>
    <w:p>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（7）法律法规规定的其它情形。</w:t>
      </w:r>
    </w:p>
    <w:p>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上述条件中，供应商本单位人员，必须同时满足以下条件：</w:t>
      </w:r>
    </w:p>
    <w:p>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（1）聘任合同必须由供应商单位与之签订，项目负责人的聘任合同投标前已执行合同</w:t>
      </w:r>
      <w:r>
        <w:rPr>
          <w:rFonts w:hint="eastAsia" w:ascii="宋体" w:hAnsi="宋体" w:cs="仿宋_GB2312"/>
          <w:color w:val="auto"/>
          <w:sz w:val="24"/>
          <w:highlight w:val="none"/>
          <w:lang w:eastAsia="zh-CN"/>
        </w:rPr>
        <w:t>半</w:t>
      </w:r>
      <w:r>
        <w:rPr>
          <w:rFonts w:hint="eastAsia" w:ascii="宋体" w:hAnsi="宋体" w:cs="仿宋_GB2312"/>
          <w:color w:val="auto"/>
          <w:sz w:val="24"/>
          <w:highlight w:val="none"/>
        </w:rPr>
        <w:t>年以上；</w:t>
      </w:r>
    </w:p>
    <w:p>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（2）与供应商单位有合法的工资关系，且投标前已连续支付工资</w:t>
      </w:r>
      <w:r>
        <w:rPr>
          <w:rFonts w:hint="eastAsia" w:ascii="宋体" w:hAnsi="宋体" w:cs="仿宋_GB2312"/>
          <w:color w:val="auto"/>
          <w:sz w:val="24"/>
          <w:highlight w:val="none"/>
          <w:lang w:eastAsia="zh-CN"/>
        </w:rPr>
        <w:t>半</w:t>
      </w:r>
      <w:r>
        <w:rPr>
          <w:rFonts w:hint="eastAsia" w:ascii="宋体" w:hAnsi="宋体" w:cs="仿宋_GB2312"/>
          <w:color w:val="auto"/>
          <w:sz w:val="24"/>
          <w:highlight w:val="none"/>
        </w:rPr>
        <w:t>年以上；</w:t>
      </w:r>
    </w:p>
    <w:p>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（3）供应商单位为其办理社会保险关系，政府人事或社保管理部门出具的有效证明其为本单位人员身份的文件。</w:t>
      </w:r>
    </w:p>
    <w:p>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2.3 下列行为均视为供应商串通投标：</w:t>
      </w:r>
    </w:p>
    <w:p>
      <w:pPr>
        <w:tabs>
          <w:tab w:val="left" w:pos="630"/>
          <w:tab w:val="left" w:pos="735"/>
          <w:tab w:val="left" w:pos="1155"/>
        </w:tabs>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2.3.1供应商串通</w:t>
      </w:r>
      <w:r>
        <w:rPr>
          <w:rFonts w:hint="eastAsia" w:ascii="宋体" w:hAnsi="宋体" w:cs="仿宋_GB2312"/>
          <w:color w:val="auto"/>
          <w:sz w:val="24"/>
          <w:highlight w:val="none"/>
          <w:lang w:eastAsia="zh-CN"/>
        </w:rPr>
        <w:t>投标报价</w:t>
      </w:r>
      <w:r>
        <w:rPr>
          <w:rFonts w:hint="eastAsia" w:ascii="宋体" w:hAnsi="宋体" w:cs="仿宋_GB2312"/>
          <w:color w:val="auto"/>
          <w:sz w:val="24"/>
          <w:highlight w:val="none"/>
        </w:rPr>
        <w:t>：</w:t>
      </w:r>
    </w:p>
    <w:p>
      <w:pP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a）供应商之间相互约定抬高或压低</w:t>
      </w:r>
      <w:r>
        <w:rPr>
          <w:rFonts w:hint="eastAsia" w:ascii="宋体" w:hAnsi="宋体" w:cs="仿宋_GB2312"/>
          <w:color w:val="auto"/>
          <w:sz w:val="24"/>
          <w:highlight w:val="none"/>
          <w:lang w:eastAsia="zh-CN"/>
        </w:rPr>
        <w:t>投标报价</w:t>
      </w:r>
      <w:r>
        <w:rPr>
          <w:rFonts w:hint="eastAsia" w:ascii="宋体" w:hAnsi="宋体" w:cs="仿宋_GB2312"/>
          <w:color w:val="auto"/>
          <w:sz w:val="24"/>
          <w:highlight w:val="none"/>
        </w:rPr>
        <w:t>；</w:t>
      </w:r>
    </w:p>
    <w:p>
      <w:pP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b）供应商之间相互约定，在招标项目中分别以高、中、低价位报价；</w:t>
      </w:r>
    </w:p>
    <w:p>
      <w:pP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c）供应商之间先进行内部竞价，内定</w:t>
      </w:r>
      <w:r>
        <w:rPr>
          <w:rFonts w:hint="eastAsia" w:ascii="宋体" w:hAnsi="宋体" w:cs="仿宋_GB2312"/>
          <w:color w:val="auto"/>
          <w:sz w:val="24"/>
          <w:highlight w:val="none"/>
          <w:lang w:eastAsia="zh-CN"/>
        </w:rPr>
        <w:t>中标</w:t>
      </w:r>
      <w:r>
        <w:rPr>
          <w:rFonts w:hint="eastAsia" w:ascii="宋体" w:hAnsi="宋体" w:cs="仿宋_GB2312"/>
          <w:color w:val="auto"/>
          <w:sz w:val="24"/>
          <w:highlight w:val="none"/>
        </w:rPr>
        <w:t>供应商，然后再参加投标；</w:t>
      </w:r>
    </w:p>
    <w:p>
      <w:pP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d）不同供应商的</w:t>
      </w:r>
      <w:r>
        <w:rPr>
          <w:rFonts w:hint="eastAsia" w:ascii="宋体" w:hAnsi="宋体" w:cs="仿宋_GB2312"/>
          <w:color w:val="auto"/>
          <w:sz w:val="24"/>
          <w:highlight w:val="none"/>
          <w:lang w:eastAsia="zh-CN"/>
        </w:rPr>
        <w:t>投标报价</w:t>
      </w:r>
      <w:r>
        <w:rPr>
          <w:rFonts w:hint="eastAsia" w:ascii="宋体" w:hAnsi="宋体" w:cs="仿宋_GB2312"/>
          <w:color w:val="auto"/>
          <w:sz w:val="24"/>
          <w:highlight w:val="none"/>
        </w:rPr>
        <w:t>或报价组成异常一致的；</w:t>
      </w:r>
    </w:p>
    <w:p>
      <w:pP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e）供应商之间其它串通</w:t>
      </w:r>
      <w:r>
        <w:rPr>
          <w:rFonts w:hint="eastAsia" w:ascii="宋体" w:hAnsi="宋体" w:cs="仿宋_GB2312"/>
          <w:color w:val="auto"/>
          <w:sz w:val="24"/>
          <w:highlight w:val="none"/>
          <w:lang w:eastAsia="zh-CN"/>
        </w:rPr>
        <w:t>投标报价</w:t>
      </w:r>
      <w:r>
        <w:rPr>
          <w:rFonts w:hint="eastAsia" w:ascii="宋体" w:hAnsi="宋体" w:cs="仿宋_GB2312"/>
          <w:color w:val="auto"/>
          <w:sz w:val="24"/>
          <w:highlight w:val="none"/>
        </w:rPr>
        <w:t>的行为。</w:t>
      </w:r>
    </w:p>
    <w:p>
      <w:pPr>
        <w:tabs>
          <w:tab w:val="left" w:pos="630"/>
          <w:tab w:val="left" w:pos="735"/>
          <w:tab w:val="left" w:pos="1155"/>
        </w:tabs>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2.3.2不同供应商</w:t>
      </w:r>
      <w:r>
        <w:rPr>
          <w:rFonts w:hint="eastAsia" w:ascii="宋体" w:hAnsi="宋体" w:cs="仿宋_GB2312"/>
          <w:color w:val="auto"/>
          <w:sz w:val="24"/>
          <w:highlight w:val="none"/>
          <w:lang w:eastAsia="zh-CN"/>
        </w:rPr>
        <w:t>磋商响应文件</w:t>
      </w:r>
      <w:r>
        <w:rPr>
          <w:rFonts w:hint="eastAsia" w:ascii="宋体" w:hAnsi="宋体" w:cs="仿宋_GB2312"/>
          <w:color w:val="auto"/>
          <w:sz w:val="24"/>
          <w:highlight w:val="none"/>
        </w:rPr>
        <w:t>的编制人或审核人为同一人或同一单位人员的；</w:t>
      </w:r>
    </w:p>
    <w:p>
      <w:pPr>
        <w:tabs>
          <w:tab w:val="left" w:pos="630"/>
          <w:tab w:val="left" w:pos="735"/>
          <w:tab w:val="left" w:pos="1155"/>
        </w:tabs>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2.3.3不同供应商</w:t>
      </w:r>
      <w:r>
        <w:rPr>
          <w:rFonts w:hint="eastAsia" w:ascii="宋体" w:hAnsi="宋体" w:cs="仿宋_GB2312"/>
          <w:color w:val="auto"/>
          <w:sz w:val="24"/>
          <w:highlight w:val="none"/>
          <w:lang w:eastAsia="zh-CN"/>
        </w:rPr>
        <w:t>磋商响应文件</w:t>
      </w:r>
      <w:r>
        <w:rPr>
          <w:rFonts w:hint="eastAsia" w:ascii="宋体" w:hAnsi="宋体" w:cs="仿宋_GB2312"/>
          <w:color w:val="auto"/>
          <w:sz w:val="24"/>
          <w:highlight w:val="none"/>
        </w:rPr>
        <w:t>的授权签署人为同一人或同一单位人员的；</w:t>
      </w:r>
    </w:p>
    <w:p>
      <w:pPr>
        <w:tabs>
          <w:tab w:val="left" w:pos="630"/>
          <w:tab w:val="left" w:pos="735"/>
          <w:tab w:val="left" w:pos="1155"/>
        </w:tabs>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2.3.4不同供应商委托同一人办理投标事宜的；</w:t>
      </w:r>
    </w:p>
    <w:p>
      <w:pPr>
        <w:tabs>
          <w:tab w:val="left" w:pos="630"/>
          <w:tab w:val="left" w:pos="735"/>
          <w:tab w:val="left" w:pos="1155"/>
        </w:tabs>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2.3.5不同供应商的</w:t>
      </w:r>
      <w:r>
        <w:rPr>
          <w:rFonts w:hint="eastAsia" w:ascii="宋体" w:hAnsi="宋体" w:cs="仿宋_GB2312"/>
          <w:color w:val="auto"/>
          <w:sz w:val="24"/>
          <w:highlight w:val="none"/>
          <w:lang w:eastAsia="zh-CN"/>
        </w:rPr>
        <w:t>磋商响应文件</w:t>
      </w:r>
      <w:r>
        <w:rPr>
          <w:rFonts w:hint="eastAsia" w:ascii="宋体" w:hAnsi="宋体" w:cs="仿宋_GB2312"/>
          <w:color w:val="auto"/>
          <w:sz w:val="24"/>
          <w:highlight w:val="none"/>
        </w:rPr>
        <w:t>相互混装的；</w:t>
      </w:r>
    </w:p>
    <w:p>
      <w:pPr>
        <w:tabs>
          <w:tab w:val="left" w:pos="630"/>
          <w:tab w:val="left" w:pos="735"/>
          <w:tab w:val="left" w:pos="1155"/>
        </w:tabs>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2.3.6不同供应商使用同一单位的资金缴纳投标保证金的；</w:t>
      </w:r>
    </w:p>
    <w:p>
      <w:pPr>
        <w:tabs>
          <w:tab w:val="left" w:pos="630"/>
          <w:tab w:val="left" w:pos="735"/>
          <w:tab w:val="left" w:pos="1155"/>
        </w:tabs>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2.3.7不同供应商的</w:t>
      </w:r>
      <w:r>
        <w:rPr>
          <w:rFonts w:hint="eastAsia" w:ascii="宋体" w:hAnsi="宋体" w:cs="仿宋_GB2312"/>
          <w:color w:val="auto"/>
          <w:sz w:val="24"/>
          <w:highlight w:val="none"/>
          <w:lang w:eastAsia="zh-CN"/>
        </w:rPr>
        <w:t>磋商响应文件</w:t>
      </w:r>
      <w:r>
        <w:rPr>
          <w:rFonts w:hint="eastAsia" w:ascii="宋体" w:hAnsi="宋体" w:cs="仿宋_GB2312"/>
          <w:color w:val="auto"/>
          <w:sz w:val="24"/>
          <w:highlight w:val="none"/>
        </w:rPr>
        <w:t>载明的项目成员出现相同人员的；</w:t>
      </w:r>
    </w:p>
    <w:p>
      <w:pPr>
        <w:tabs>
          <w:tab w:val="left" w:pos="315"/>
          <w:tab w:val="left" w:pos="420"/>
          <w:tab w:val="left" w:pos="448"/>
          <w:tab w:val="left" w:pos="1155"/>
        </w:tabs>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2.3.8不同供应商的</w:t>
      </w:r>
      <w:r>
        <w:rPr>
          <w:rFonts w:hint="eastAsia" w:ascii="宋体" w:hAnsi="宋体" w:cs="仿宋_GB2312"/>
          <w:color w:val="auto"/>
          <w:sz w:val="24"/>
          <w:highlight w:val="none"/>
          <w:lang w:eastAsia="zh-CN"/>
        </w:rPr>
        <w:t>磋商响应文件</w:t>
      </w:r>
      <w:r>
        <w:rPr>
          <w:rFonts w:hint="eastAsia" w:ascii="宋体" w:hAnsi="宋体" w:cs="仿宋_GB2312"/>
          <w:color w:val="auto"/>
          <w:sz w:val="24"/>
          <w:highlight w:val="none"/>
        </w:rPr>
        <w:t>内容存在非正常一致的；</w:t>
      </w:r>
    </w:p>
    <w:p>
      <w:pPr>
        <w:tabs>
          <w:tab w:val="left" w:pos="315"/>
          <w:tab w:val="left" w:pos="420"/>
          <w:tab w:val="left" w:pos="448"/>
          <w:tab w:val="left" w:pos="1155"/>
        </w:tabs>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 xml:space="preserve">2.3.9不同供应商的服务方案中专门针对本项目的内容基本雷同的； </w:t>
      </w:r>
    </w:p>
    <w:p>
      <w:pPr>
        <w:tabs>
          <w:tab w:val="left" w:pos="315"/>
          <w:tab w:val="left" w:pos="420"/>
          <w:tab w:val="left" w:pos="448"/>
          <w:tab w:val="left" w:pos="1155"/>
        </w:tabs>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2.3.10不同供应商的</w:t>
      </w:r>
      <w:r>
        <w:rPr>
          <w:rFonts w:hint="eastAsia" w:ascii="宋体" w:hAnsi="宋体" w:cs="仿宋_GB2312"/>
          <w:color w:val="auto"/>
          <w:sz w:val="24"/>
          <w:highlight w:val="none"/>
          <w:lang w:eastAsia="zh-CN"/>
        </w:rPr>
        <w:t>磋商响应文件</w:t>
      </w:r>
      <w:r>
        <w:rPr>
          <w:rFonts w:hint="eastAsia" w:ascii="宋体" w:hAnsi="宋体" w:cs="仿宋_GB2312"/>
          <w:color w:val="auto"/>
          <w:sz w:val="24"/>
          <w:highlight w:val="none"/>
        </w:rPr>
        <w:t>出现</w:t>
      </w:r>
      <w:r>
        <w:rPr>
          <w:rFonts w:hint="eastAsia" w:ascii="宋体" w:hAnsi="宋体" w:cs="仿宋_GB2312"/>
          <w:color w:val="auto"/>
          <w:sz w:val="24"/>
          <w:highlight w:val="none"/>
          <w:lang w:eastAsia="zh-CN"/>
        </w:rPr>
        <w:t>磋商小组</w:t>
      </w:r>
      <w:r>
        <w:rPr>
          <w:rFonts w:hint="eastAsia" w:ascii="宋体" w:hAnsi="宋体" w:cs="仿宋_GB2312"/>
          <w:color w:val="auto"/>
          <w:sz w:val="24"/>
          <w:highlight w:val="none"/>
        </w:rPr>
        <w:t>认为不应当雷同的情况的；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cs="仿宋_GB2312"/>
          <w:color w:val="auto"/>
          <w:sz w:val="24"/>
          <w:highlight w:val="none"/>
        </w:rPr>
        <w:t>2.3.11法律法规规章规定的其他围标串标行为。</w:t>
      </w:r>
    </w:p>
    <w:p>
      <w:pPr>
        <w:adjustRightInd w:val="0"/>
        <w:snapToGrid w:val="0"/>
        <w:spacing w:line="360" w:lineRule="auto"/>
        <w:rPr>
          <w:rFonts w:hint="eastAsia" w:ascii="宋体" w:hAnsi="宋体"/>
          <w:b/>
          <w:bCs/>
          <w:color w:val="auto"/>
          <w:sz w:val="24"/>
          <w:highlight w:val="none"/>
        </w:rPr>
      </w:pPr>
      <w:r>
        <w:rPr>
          <w:rFonts w:hint="eastAsia" w:ascii="宋体" w:hAnsi="宋体"/>
          <w:b/>
          <w:bCs/>
          <w:color w:val="auto"/>
          <w:sz w:val="24"/>
          <w:highlight w:val="none"/>
        </w:rPr>
        <w:t>3.对</w:t>
      </w:r>
      <w:r>
        <w:rPr>
          <w:rFonts w:hint="eastAsia" w:ascii="宋体" w:hAnsi="宋体"/>
          <w:b/>
          <w:bCs/>
          <w:color w:val="auto"/>
          <w:sz w:val="24"/>
          <w:highlight w:val="none"/>
          <w:lang w:eastAsia="zh-CN"/>
        </w:rPr>
        <w:t>磋商小组</w:t>
      </w:r>
      <w:r>
        <w:rPr>
          <w:rFonts w:hint="eastAsia" w:ascii="宋体" w:hAnsi="宋体"/>
          <w:b/>
          <w:bCs/>
          <w:color w:val="auto"/>
          <w:sz w:val="24"/>
          <w:highlight w:val="none"/>
        </w:rPr>
        <w:t>成员的纪律要求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eastAsia="zh-CN"/>
        </w:rPr>
        <w:t>磋商小组</w:t>
      </w:r>
      <w:r>
        <w:rPr>
          <w:rFonts w:hint="eastAsia" w:ascii="宋体" w:hAnsi="宋体"/>
          <w:bCs/>
          <w:color w:val="auto"/>
          <w:sz w:val="24"/>
          <w:highlight w:val="none"/>
        </w:rPr>
        <w:t>成员不得收受他人的财物或者其他好处，不得向他人透漏对</w:t>
      </w:r>
      <w:r>
        <w:rPr>
          <w:rFonts w:hint="eastAsia" w:ascii="宋体" w:hAnsi="宋体"/>
          <w:bCs/>
          <w:color w:val="auto"/>
          <w:sz w:val="24"/>
          <w:highlight w:val="none"/>
          <w:lang w:eastAsia="zh-CN"/>
        </w:rPr>
        <w:t>磋商响应文件</w:t>
      </w:r>
      <w:r>
        <w:rPr>
          <w:rFonts w:hint="eastAsia" w:ascii="宋体" w:hAnsi="宋体"/>
          <w:bCs/>
          <w:color w:val="auto"/>
          <w:sz w:val="24"/>
          <w:highlight w:val="none"/>
        </w:rPr>
        <w:t>的评审和比较、</w:t>
      </w:r>
      <w:r>
        <w:rPr>
          <w:rFonts w:hint="eastAsia" w:ascii="宋体" w:hAnsi="宋体"/>
          <w:bCs/>
          <w:color w:val="auto"/>
          <w:sz w:val="24"/>
          <w:highlight w:val="none"/>
          <w:lang w:eastAsia="zh-CN"/>
        </w:rPr>
        <w:t>中标</w:t>
      </w:r>
      <w:r>
        <w:rPr>
          <w:rFonts w:hint="eastAsia" w:ascii="宋体" w:hAnsi="宋体"/>
          <w:bCs/>
          <w:color w:val="auto"/>
          <w:sz w:val="24"/>
          <w:highlight w:val="none"/>
        </w:rPr>
        <w:t>候选人的推荐情况以及评标有关的其他情况。在评标活动中，</w:t>
      </w:r>
      <w:r>
        <w:rPr>
          <w:rFonts w:hint="eastAsia" w:ascii="宋体" w:hAnsi="宋体"/>
          <w:bCs/>
          <w:color w:val="auto"/>
          <w:sz w:val="24"/>
          <w:highlight w:val="none"/>
          <w:lang w:eastAsia="zh-CN"/>
        </w:rPr>
        <w:t>磋商小组</w:t>
      </w:r>
      <w:r>
        <w:rPr>
          <w:rFonts w:hint="eastAsia" w:ascii="宋体" w:hAnsi="宋体"/>
          <w:bCs/>
          <w:color w:val="auto"/>
          <w:sz w:val="24"/>
          <w:highlight w:val="none"/>
        </w:rPr>
        <w:t>成员不得擅离职守，影响评标程序正常进行，不得使用“评标办法”没有规定的评审因素和标准进行评标。</w:t>
      </w:r>
    </w:p>
    <w:p>
      <w:pPr>
        <w:adjustRightInd w:val="0"/>
        <w:snapToGrid w:val="0"/>
        <w:spacing w:line="360" w:lineRule="auto"/>
        <w:rPr>
          <w:rFonts w:hint="eastAsia" w:ascii="宋体" w:hAnsi="宋体"/>
          <w:b/>
          <w:bCs/>
          <w:color w:val="auto"/>
          <w:sz w:val="24"/>
          <w:highlight w:val="none"/>
        </w:rPr>
      </w:pPr>
      <w:r>
        <w:rPr>
          <w:rFonts w:hint="eastAsia" w:ascii="宋体" w:hAnsi="宋体"/>
          <w:b/>
          <w:bCs/>
          <w:color w:val="auto"/>
          <w:sz w:val="24"/>
          <w:highlight w:val="none"/>
        </w:rPr>
        <w:t>4.对与评标活动有关的工作人员的纪律要求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与评标活动有关的工作人员不得收受他人的财物或者其他好处，不得向他人透漏对</w:t>
      </w:r>
      <w:r>
        <w:rPr>
          <w:rFonts w:hint="eastAsia" w:ascii="宋体" w:hAnsi="宋体"/>
          <w:bCs/>
          <w:color w:val="auto"/>
          <w:sz w:val="24"/>
          <w:highlight w:val="none"/>
          <w:lang w:eastAsia="zh-CN"/>
        </w:rPr>
        <w:t>磋商响应文件</w:t>
      </w:r>
      <w:r>
        <w:rPr>
          <w:rFonts w:hint="eastAsia" w:ascii="宋体" w:hAnsi="宋体"/>
          <w:bCs/>
          <w:color w:val="auto"/>
          <w:sz w:val="24"/>
          <w:highlight w:val="none"/>
        </w:rPr>
        <w:t>的评审和比较、</w:t>
      </w:r>
      <w:r>
        <w:rPr>
          <w:rFonts w:hint="eastAsia" w:ascii="宋体" w:hAnsi="宋体"/>
          <w:bCs/>
          <w:color w:val="auto"/>
          <w:sz w:val="24"/>
          <w:highlight w:val="none"/>
          <w:lang w:eastAsia="zh-CN"/>
        </w:rPr>
        <w:t>中标</w:t>
      </w:r>
      <w:r>
        <w:rPr>
          <w:rFonts w:hint="eastAsia" w:ascii="宋体" w:hAnsi="宋体"/>
          <w:bCs/>
          <w:color w:val="auto"/>
          <w:sz w:val="24"/>
          <w:highlight w:val="none"/>
        </w:rPr>
        <w:t>候选人的推荐情况以及评标有关的其他情况。在评标活动中，与评标活动有关的工作人员不得擅离职守，影响评标程序正常进行。</w:t>
      </w:r>
      <w:bookmarkStart w:id="356" w:name="_Toc31783"/>
    </w:p>
    <w:p>
      <w:pPr>
        <w:pStyle w:val="4"/>
        <w:rPr>
          <w:rFonts w:hint="eastAsia" w:ascii="宋体" w:hAnsi="宋体" w:eastAsia="宋体"/>
          <w:color w:val="auto"/>
          <w:highlight w:val="none"/>
        </w:rPr>
      </w:pPr>
      <w:bookmarkStart w:id="357" w:name="_Toc10927"/>
      <w:bookmarkStart w:id="358" w:name="_Toc476758957"/>
      <w:bookmarkStart w:id="359" w:name="_Toc12524"/>
      <w:r>
        <w:rPr>
          <w:rFonts w:hint="eastAsia" w:ascii="宋体" w:hAnsi="宋体" w:eastAsia="宋体"/>
          <w:color w:val="auto"/>
          <w:highlight w:val="none"/>
        </w:rPr>
        <w:t>（十</w:t>
      </w:r>
      <w:r>
        <w:rPr>
          <w:rFonts w:hint="eastAsia" w:ascii="宋体" w:hAnsi="宋体" w:eastAsia="宋体"/>
          <w:color w:val="auto"/>
          <w:highlight w:val="none"/>
          <w:lang w:eastAsia="zh-CN"/>
        </w:rPr>
        <w:t>一</w:t>
      </w:r>
      <w:r>
        <w:rPr>
          <w:rFonts w:hint="eastAsia" w:ascii="宋体" w:hAnsi="宋体" w:eastAsia="宋体"/>
          <w:color w:val="auto"/>
          <w:highlight w:val="none"/>
        </w:rPr>
        <w:t>）废标</w:t>
      </w:r>
      <w:bookmarkEnd w:id="356"/>
      <w:bookmarkEnd w:id="357"/>
      <w:bookmarkEnd w:id="358"/>
      <w:bookmarkEnd w:id="359"/>
      <w:bookmarkStart w:id="360" w:name="_Toc217446072"/>
    </w:p>
    <w:bookmarkEnd w:id="360"/>
    <w:p>
      <w:pPr>
        <w:pStyle w:val="5"/>
        <w:spacing w:line="360" w:lineRule="auto"/>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招标采购中，出现下列情形之一的，予以废标：</w:t>
      </w:r>
    </w:p>
    <w:p>
      <w:pPr>
        <w:pStyle w:val="5"/>
        <w:spacing w:line="360" w:lineRule="auto"/>
        <w:ind w:firstLine="480" w:firstLineChars="200"/>
        <w:jc w:val="left"/>
        <w:rPr>
          <w:rFonts w:hint="eastAsia" w:ascii="宋体" w:hAnsi="宋体"/>
          <w:bCs/>
          <w:color w:val="auto"/>
          <w:sz w:val="24"/>
          <w:highlight w:val="none"/>
        </w:rPr>
      </w:pPr>
      <w:r>
        <w:rPr>
          <w:rFonts w:hint="eastAsia" w:ascii="宋体" w:hAnsi="宋体"/>
          <w:color w:val="auto"/>
          <w:sz w:val="24"/>
          <w:highlight w:val="none"/>
        </w:rPr>
        <w:t>（1）符合专业条件的投标单位或者对</w:t>
      </w:r>
      <w:r>
        <w:rPr>
          <w:rFonts w:hint="eastAsia" w:ascii="宋体" w:hAnsi="宋体"/>
          <w:color w:val="auto"/>
          <w:sz w:val="24"/>
          <w:highlight w:val="none"/>
          <w:lang w:eastAsia="zh-CN"/>
        </w:rPr>
        <w:t>磋商文件</w:t>
      </w:r>
      <w:r>
        <w:rPr>
          <w:rFonts w:hint="eastAsia" w:ascii="宋体" w:hAnsi="宋体"/>
          <w:color w:val="auto"/>
          <w:sz w:val="24"/>
          <w:highlight w:val="none"/>
        </w:rPr>
        <w:t>作实质响应的投标单位不足三家的；</w:t>
      </w:r>
    </w:p>
    <w:p>
      <w:pPr>
        <w:pStyle w:val="5"/>
        <w:spacing w:line="360" w:lineRule="auto"/>
        <w:ind w:firstLine="480" w:firstLineChars="200"/>
        <w:jc w:val="left"/>
        <w:rPr>
          <w:rFonts w:hint="eastAsia" w:ascii="宋体" w:hAnsi="宋体"/>
          <w:bCs/>
          <w:color w:val="auto"/>
          <w:sz w:val="24"/>
          <w:highlight w:val="none"/>
        </w:rPr>
      </w:pPr>
      <w:r>
        <w:rPr>
          <w:rFonts w:hint="eastAsia" w:ascii="宋体" w:hAnsi="宋体"/>
          <w:color w:val="auto"/>
          <w:sz w:val="24"/>
          <w:highlight w:val="none"/>
        </w:rPr>
        <w:t>（2）出现影响采购公正的违法、违规行为的；</w:t>
      </w:r>
    </w:p>
    <w:p>
      <w:pPr>
        <w:pStyle w:val="5"/>
        <w:spacing w:line="360" w:lineRule="auto"/>
        <w:ind w:firstLine="480" w:firstLineChars="200"/>
        <w:jc w:val="left"/>
        <w:rPr>
          <w:rFonts w:hint="eastAsia" w:ascii="宋体" w:hAnsi="宋体"/>
          <w:bCs/>
          <w:color w:val="auto"/>
          <w:sz w:val="24"/>
          <w:highlight w:val="none"/>
        </w:rPr>
      </w:pPr>
      <w:r>
        <w:rPr>
          <w:rFonts w:hint="eastAsia" w:ascii="宋体" w:hAnsi="宋体"/>
          <w:color w:val="auto"/>
          <w:sz w:val="24"/>
          <w:highlight w:val="none"/>
        </w:rPr>
        <w:t>（3）供应商的报价均超过了采购预算，采购人不能支付的；</w:t>
      </w:r>
    </w:p>
    <w:p>
      <w:pPr>
        <w:pStyle w:val="5"/>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（4）因重大变故，采购任务取消的。</w:t>
      </w:r>
    </w:p>
    <w:p>
      <w:pPr>
        <w:pStyle w:val="5"/>
        <w:spacing w:line="360" w:lineRule="auto"/>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5</w:t>
      </w:r>
      <w:r>
        <w:rPr>
          <w:rFonts w:hint="eastAsia" w:ascii="宋体" w:hAnsi="宋体"/>
          <w:color w:val="auto"/>
          <w:sz w:val="24"/>
          <w:highlight w:val="none"/>
          <w:lang w:eastAsia="zh-CN"/>
        </w:rPr>
        <w:t>）其他不符合磋商文件要求的。</w:t>
      </w:r>
    </w:p>
    <w:p>
      <w:pPr>
        <w:pStyle w:val="4"/>
        <w:rPr>
          <w:rFonts w:hint="eastAsia" w:ascii="宋体" w:hAnsi="宋体" w:eastAsia="宋体"/>
          <w:color w:val="auto"/>
          <w:sz w:val="24"/>
          <w:highlight w:val="none"/>
        </w:rPr>
      </w:pPr>
      <w:bookmarkStart w:id="361" w:name="_Toc27599"/>
      <w:bookmarkStart w:id="362" w:name="_Toc3721"/>
      <w:bookmarkStart w:id="363" w:name="_Toc19793"/>
      <w:bookmarkStart w:id="364" w:name="_Toc476758958"/>
      <w:r>
        <w:rPr>
          <w:rFonts w:hint="eastAsia" w:ascii="宋体" w:hAnsi="宋体" w:eastAsia="宋体"/>
          <w:color w:val="auto"/>
          <w:highlight w:val="none"/>
        </w:rPr>
        <w:t>（十</w:t>
      </w:r>
      <w:r>
        <w:rPr>
          <w:rFonts w:hint="eastAsia" w:ascii="宋体" w:hAnsi="宋体" w:eastAsia="宋体"/>
          <w:color w:val="auto"/>
          <w:highlight w:val="none"/>
          <w:lang w:eastAsia="zh-CN"/>
        </w:rPr>
        <w:t>二</w:t>
      </w:r>
      <w:r>
        <w:rPr>
          <w:rFonts w:hint="eastAsia" w:ascii="宋体" w:hAnsi="宋体" w:eastAsia="宋体"/>
          <w:color w:val="auto"/>
          <w:highlight w:val="none"/>
        </w:rPr>
        <w:t>）质疑和投诉</w:t>
      </w:r>
      <w:bookmarkEnd w:id="361"/>
      <w:bookmarkEnd w:id="362"/>
      <w:bookmarkEnd w:id="363"/>
      <w:bookmarkEnd w:id="364"/>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1.供应商对政府采购活动事项有疑问的，可以向采购人提出询问，采购人应当及时作出答复，但答复的内容不得涉及商业秘密。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2.供应商认为采购文件、采购过程、中标或者成交结果使自己的权益受到损害的，可以在知道或者应知其权益受到损害之日起7个工作日内，以书面形式向采购人、采购代理机构提出质疑</w:t>
      </w:r>
      <w:r>
        <w:rPr>
          <w:rFonts w:hint="eastAsia" w:ascii="宋体" w:hAnsi="宋体"/>
          <w:bCs/>
          <w:color w:val="auto"/>
          <w:sz w:val="24"/>
          <w:highlight w:val="none"/>
          <w:lang w:eastAsia="zh-CN"/>
        </w:rPr>
        <w:t>，供应商在法定质疑期内一次性提出针对同一采购程序环节的质疑</w:t>
      </w:r>
      <w:r>
        <w:rPr>
          <w:rFonts w:hint="eastAsia" w:ascii="宋体" w:hAnsi="宋体"/>
          <w:bCs/>
          <w:color w:val="auto"/>
          <w:sz w:val="24"/>
          <w:highlight w:val="none"/>
        </w:rPr>
        <w:t>。</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3.采购人应当在收到供应商的书面质疑后七个工作日内作出答复，并以书面形式通知质疑供应商和其他有关供应商，但答复的内容不得涉及商业秘密。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4.采购人委托采购代理机构采购的，供应商可以向采购代理机构提出询问或者质疑，采购代理机构应当就采购人委托授权范围内的事项作出答复。</w:t>
      </w:r>
    </w:p>
    <w:p>
      <w:pPr>
        <w:adjustRightInd w:val="0"/>
        <w:snapToGrid w:val="0"/>
        <w:spacing w:line="360" w:lineRule="auto"/>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 </w:t>
      </w:r>
      <w:r>
        <w:rPr>
          <w:rFonts w:hint="eastAsia" w:ascii="宋体" w:hAnsi="宋体"/>
          <w:bCs/>
          <w:color w:val="auto"/>
          <w:sz w:val="24"/>
          <w:highlight w:val="none"/>
          <w:lang w:val="en-US" w:eastAsia="zh-CN"/>
        </w:rPr>
        <w:t>5</w:t>
      </w:r>
      <w:r>
        <w:rPr>
          <w:rFonts w:hint="eastAsia" w:ascii="宋体" w:hAnsi="宋体"/>
          <w:bCs/>
          <w:color w:val="auto"/>
          <w:sz w:val="24"/>
          <w:highlight w:val="none"/>
        </w:rPr>
        <w:t>.质疑、投诉书应当包括下列主要内容：</w:t>
      </w:r>
    </w:p>
    <w:p>
      <w:pPr>
        <w:adjustRightInd w:val="0"/>
        <w:snapToGrid w:val="0"/>
        <w:spacing w:line="336"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(一)供应商的姓名或者名称、地址、邮编、联系人及联系电话;</w:t>
      </w:r>
    </w:p>
    <w:p>
      <w:pPr>
        <w:adjustRightInd w:val="0"/>
        <w:snapToGrid w:val="0"/>
        <w:spacing w:line="336"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(二)质疑项目的名称、编号;</w:t>
      </w:r>
    </w:p>
    <w:p>
      <w:pPr>
        <w:adjustRightInd w:val="0"/>
        <w:snapToGrid w:val="0"/>
        <w:spacing w:line="336"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(三)具体、明确的质疑事项和与质疑事项相关的请求;</w:t>
      </w:r>
    </w:p>
    <w:p>
      <w:pPr>
        <w:adjustRightInd w:val="0"/>
        <w:snapToGrid w:val="0"/>
        <w:spacing w:line="336"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(四)事实依据;</w:t>
      </w:r>
    </w:p>
    <w:p>
      <w:pPr>
        <w:adjustRightInd w:val="0"/>
        <w:snapToGrid w:val="0"/>
        <w:spacing w:line="336"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(五)必要的法律依据;</w:t>
      </w:r>
    </w:p>
    <w:p>
      <w:pPr>
        <w:adjustRightInd w:val="0"/>
        <w:snapToGrid w:val="0"/>
        <w:spacing w:line="336"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(六)提出质疑的日期。</w:t>
      </w:r>
    </w:p>
    <w:p>
      <w:pPr>
        <w:adjustRightInd w:val="0"/>
        <w:snapToGrid w:val="0"/>
        <w:spacing w:line="336"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供应商为自然人的，应当由本人签字;供应商为法人或者其他组织的，应当由法定代表人、主要负责人，或者其授权代表签字或者盖章，并加盖公章。</w:t>
      </w:r>
    </w:p>
    <w:p>
      <w:pPr>
        <w:adjustRightInd w:val="0"/>
        <w:snapToGrid w:val="0"/>
        <w:spacing w:line="336"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.投诉人有下列情形之一的，属于虚假、恶意投诉，财政部门应当驳回投诉，将其列入不良行为记录名单，并依法予以处罚：</w:t>
      </w:r>
    </w:p>
    <w:p>
      <w:pPr>
        <w:adjustRightInd w:val="0"/>
        <w:snapToGrid w:val="0"/>
        <w:spacing w:line="336"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（1）1年内3次以上投诉均查无实据的；</w:t>
      </w:r>
    </w:p>
    <w:p>
      <w:pPr>
        <w:adjustRightInd w:val="0"/>
        <w:snapToGrid w:val="0"/>
        <w:spacing w:line="336"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（2）捏造事实或者提供虚假投诉材料的。</w:t>
      </w:r>
    </w:p>
    <w:p>
      <w:pPr>
        <w:spacing w:line="336" w:lineRule="auto"/>
        <w:ind w:firstLine="482" w:firstLineChars="200"/>
        <w:rPr>
          <w:rFonts w:hint="eastAsia" w:ascii="宋体" w:hAnsi="宋体"/>
          <w:b/>
          <w:color w:val="auto"/>
          <w:sz w:val="24"/>
          <w:highlight w:val="none"/>
        </w:rPr>
      </w:pPr>
      <w:bookmarkStart w:id="365" w:name="_Toc440062312"/>
      <w:bookmarkStart w:id="366" w:name="_Toc440618824"/>
      <w:bookmarkStart w:id="367" w:name="_Toc440006359"/>
      <w:bookmarkStart w:id="368" w:name="_Toc457219470"/>
      <w:bookmarkStart w:id="369" w:name="_Toc443313412"/>
      <w:bookmarkStart w:id="370" w:name="_Toc443313563"/>
      <w:bookmarkStart w:id="371" w:name="_Toc440010907"/>
      <w:r>
        <w:rPr>
          <w:rFonts w:hint="eastAsia" w:ascii="宋体" w:hAnsi="宋体"/>
          <w:b/>
          <w:color w:val="auto"/>
          <w:sz w:val="24"/>
          <w:highlight w:val="none"/>
          <w:lang w:val="en-US" w:eastAsia="zh-CN"/>
        </w:rPr>
        <w:t>7</w:t>
      </w:r>
      <w:r>
        <w:rPr>
          <w:rFonts w:hint="eastAsia" w:ascii="宋体" w:hAnsi="宋体"/>
          <w:b/>
          <w:color w:val="auto"/>
          <w:sz w:val="24"/>
          <w:highlight w:val="none"/>
        </w:rPr>
        <w:t>.澄清或质疑不予受理的情况</w:t>
      </w:r>
      <w:bookmarkEnd w:id="365"/>
      <w:bookmarkEnd w:id="366"/>
      <w:bookmarkEnd w:id="367"/>
      <w:bookmarkEnd w:id="368"/>
      <w:bookmarkEnd w:id="369"/>
      <w:bookmarkEnd w:id="370"/>
      <w:bookmarkEnd w:id="371"/>
    </w:p>
    <w:p>
      <w:pPr>
        <w:widowControl/>
        <w:spacing w:line="336" w:lineRule="auto"/>
        <w:ind w:firstLine="480" w:firstLineChars="200"/>
        <w:rPr>
          <w:rFonts w:ascii="宋体" w:hAnsi="宋体" w:cs="宋体"/>
          <w:color w:val="auto"/>
          <w:kern w:val="0"/>
          <w:sz w:val="24"/>
          <w:highlight w:val="none"/>
        </w:rPr>
      </w:pPr>
      <w:r>
        <w:rPr>
          <w:rFonts w:ascii="宋体" w:hAnsi="宋体" w:cs="宋体"/>
          <w:color w:val="auto"/>
          <w:kern w:val="0"/>
          <w:sz w:val="24"/>
          <w:highlight w:val="none"/>
        </w:rPr>
        <w:t>有下列情形之一的，属于无效质疑，被质疑人不予受理</w:t>
      </w:r>
      <w:r>
        <w:rPr>
          <w:rFonts w:hint="eastAsia" w:ascii="宋体" w:hAnsi="宋体" w:cs="宋体"/>
          <w:color w:val="auto"/>
          <w:kern w:val="0"/>
          <w:sz w:val="24"/>
          <w:highlight w:val="none"/>
        </w:rPr>
        <w:t>，</w:t>
      </w:r>
      <w:r>
        <w:rPr>
          <w:rFonts w:hint="eastAsia" w:ascii="宋体" w:hAnsi="宋体"/>
          <w:color w:val="auto"/>
          <w:sz w:val="24"/>
          <w:highlight w:val="none"/>
        </w:rPr>
        <w:t>由此产生的影响由供应商自行承担</w:t>
      </w:r>
      <w:r>
        <w:rPr>
          <w:rFonts w:ascii="宋体" w:hAnsi="宋体" w:cs="宋体"/>
          <w:color w:val="auto"/>
          <w:kern w:val="0"/>
          <w:sz w:val="24"/>
          <w:highlight w:val="none"/>
        </w:rPr>
        <w:t>：</w:t>
      </w:r>
    </w:p>
    <w:p>
      <w:pPr>
        <w:widowControl/>
        <w:spacing w:line="33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w:t>
      </w:r>
      <w:r>
        <w:rPr>
          <w:rFonts w:ascii="宋体" w:hAnsi="宋体" w:cs="宋体"/>
          <w:color w:val="auto"/>
          <w:kern w:val="0"/>
          <w:sz w:val="24"/>
          <w:highlight w:val="none"/>
        </w:rPr>
        <w:t>不是参与该政府采购项目活动</w:t>
      </w:r>
      <w:r>
        <w:rPr>
          <w:rFonts w:hint="eastAsia" w:ascii="宋体" w:hAnsi="宋体" w:cs="宋体"/>
          <w:color w:val="auto"/>
          <w:kern w:val="0"/>
          <w:sz w:val="24"/>
          <w:highlight w:val="none"/>
        </w:rPr>
        <w:t>供应商</w:t>
      </w:r>
      <w:r>
        <w:rPr>
          <w:rFonts w:ascii="宋体" w:hAnsi="宋体" w:cs="宋体"/>
          <w:color w:val="auto"/>
          <w:kern w:val="0"/>
          <w:sz w:val="24"/>
          <w:highlight w:val="none"/>
        </w:rPr>
        <w:t>的；</w:t>
      </w:r>
    </w:p>
    <w:p>
      <w:pPr>
        <w:widowControl/>
        <w:spacing w:line="336"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w:t>
      </w:r>
      <w:r>
        <w:rPr>
          <w:rFonts w:ascii="宋体" w:hAnsi="宋体" w:cs="宋体"/>
          <w:color w:val="auto"/>
          <w:kern w:val="0"/>
          <w:sz w:val="24"/>
          <w:highlight w:val="none"/>
        </w:rPr>
        <w:t>被质疑人为采购人或政府采购代理机构之外的；</w:t>
      </w:r>
    </w:p>
    <w:p>
      <w:pPr>
        <w:widowControl/>
        <w:spacing w:line="336"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w:t>
      </w:r>
      <w:r>
        <w:rPr>
          <w:rFonts w:ascii="宋体" w:hAnsi="宋体" w:cs="宋体"/>
          <w:color w:val="auto"/>
          <w:kern w:val="0"/>
          <w:sz w:val="24"/>
          <w:highlight w:val="none"/>
        </w:rPr>
        <w:t>所有质疑事项超过质疑有效期的；</w:t>
      </w:r>
    </w:p>
    <w:p>
      <w:pPr>
        <w:widowControl/>
        <w:spacing w:line="336"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w:t>
      </w:r>
      <w:r>
        <w:rPr>
          <w:rFonts w:ascii="宋体" w:hAnsi="宋体" w:cs="宋体"/>
          <w:color w:val="auto"/>
          <w:kern w:val="0"/>
          <w:sz w:val="24"/>
          <w:highlight w:val="none"/>
        </w:rPr>
        <w:t>以具有法律效力的文书送达之外方式提出的；</w:t>
      </w:r>
    </w:p>
    <w:p>
      <w:pPr>
        <w:widowControl/>
        <w:spacing w:line="336"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w:t>
      </w:r>
      <w:r>
        <w:rPr>
          <w:rFonts w:hint="eastAsia" w:ascii="宋体" w:hAnsi="宋体"/>
          <w:color w:val="auto"/>
          <w:sz w:val="24"/>
          <w:highlight w:val="none"/>
        </w:rPr>
        <w:t>未按上述规定递交澄清或质疑函的</w:t>
      </w:r>
      <w:r>
        <w:rPr>
          <w:rFonts w:ascii="宋体" w:hAnsi="宋体" w:cs="宋体"/>
          <w:color w:val="auto"/>
          <w:kern w:val="0"/>
          <w:sz w:val="24"/>
          <w:highlight w:val="none"/>
        </w:rPr>
        <w:t>；</w:t>
      </w:r>
    </w:p>
    <w:p>
      <w:pPr>
        <w:tabs>
          <w:tab w:val="left" w:pos="993"/>
        </w:tabs>
        <w:adjustRightInd w:val="0"/>
        <w:snapToGrid w:val="0"/>
        <w:spacing w:line="33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（6）</w:t>
      </w:r>
      <w:r>
        <w:rPr>
          <w:rFonts w:ascii="宋体" w:hAnsi="宋体" w:cs="宋体"/>
          <w:color w:val="auto"/>
          <w:kern w:val="0"/>
          <w:sz w:val="24"/>
          <w:highlight w:val="none"/>
        </w:rPr>
        <w:t>其它不符合受理条件的情形。</w:t>
      </w:r>
    </w:p>
    <w:p>
      <w:pPr>
        <w:spacing w:line="336" w:lineRule="auto"/>
        <w:ind w:firstLine="482" w:firstLineChars="200"/>
        <w:rPr>
          <w:rFonts w:hint="eastAsia" w:ascii="宋体" w:hAnsi="宋体"/>
          <w:b/>
          <w:bCs/>
          <w:color w:val="auto"/>
          <w:sz w:val="24"/>
          <w:highlight w:val="none"/>
        </w:rPr>
      </w:pPr>
      <w:bookmarkStart w:id="372" w:name="_Toc443313413"/>
      <w:bookmarkStart w:id="373" w:name="_Toc440006360"/>
      <w:bookmarkStart w:id="374" w:name="_Toc440618825"/>
      <w:bookmarkStart w:id="375" w:name="_Toc440062313"/>
      <w:bookmarkStart w:id="376" w:name="_Toc440010908"/>
      <w:bookmarkStart w:id="377" w:name="_Toc443313564"/>
      <w:bookmarkStart w:id="378" w:name="_Toc457219471"/>
      <w:r>
        <w:rPr>
          <w:rFonts w:hint="eastAsia" w:ascii="宋体" w:hAnsi="宋体"/>
          <w:b/>
          <w:bCs/>
          <w:color w:val="auto"/>
          <w:sz w:val="24"/>
          <w:highlight w:val="none"/>
          <w:lang w:val="en-US" w:eastAsia="zh-CN"/>
        </w:rPr>
        <w:t>8</w:t>
      </w:r>
      <w:r>
        <w:rPr>
          <w:rFonts w:hint="eastAsia" w:ascii="宋体" w:hAnsi="宋体"/>
          <w:b/>
          <w:bCs/>
          <w:color w:val="auto"/>
          <w:sz w:val="24"/>
          <w:highlight w:val="none"/>
        </w:rPr>
        <w:t>.腐败和欺诈行为</w:t>
      </w:r>
      <w:bookmarkEnd w:id="372"/>
      <w:bookmarkEnd w:id="373"/>
      <w:bookmarkEnd w:id="374"/>
      <w:bookmarkEnd w:id="375"/>
      <w:bookmarkEnd w:id="376"/>
      <w:bookmarkEnd w:id="377"/>
      <w:bookmarkEnd w:id="378"/>
    </w:p>
    <w:p>
      <w:pPr>
        <w:adjustRightInd w:val="0"/>
        <w:snapToGrid w:val="0"/>
        <w:spacing w:line="336" w:lineRule="auto"/>
        <w:ind w:firstLine="480" w:firstLineChars="200"/>
        <w:rPr>
          <w:rFonts w:hint="eastAsia" w:ascii="宋体" w:hAnsi="宋体"/>
          <w:color w:val="auto"/>
          <w:sz w:val="24"/>
          <w:highlight w:val="none"/>
        </w:rPr>
      </w:pPr>
      <w:r>
        <w:rPr>
          <w:rFonts w:hint="eastAsia" w:ascii="宋体" w:hAnsi="宋体"/>
          <w:color w:val="auto"/>
          <w:sz w:val="24"/>
          <w:highlight w:val="none"/>
        </w:rPr>
        <w:t>（1）定义</w:t>
      </w:r>
    </w:p>
    <w:p>
      <w:pPr>
        <w:adjustRightInd w:val="0"/>
        <w:snapToGrid w:val="0"/>
        <w:spacing w:line="336"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“腐败行为”系指提供、给予、接受或索取任何有价值的物品来影响招标代理机构和/或采购人在采购过程或合同实施过程中的行为。</w:t>
      </w:r>
    </w:p>
    <w:p>
      <w:pPr>
        <w:adjustRightInd w:val="0"/>
        <w:snapToGrid w:val="0"/>
        <w:spacing w:line="336"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“欺诈行为”系指为了影响采购过程或合同实施过程而谎报事实，损害招标代理机构和采购人的利益，包括供应商之间串通投标（递交《</w:t>
      </w:r>
      <w:r>
        <w:rPr>
          <w:rFonts w:hint="eastAsia" w:ascii="宋体" w:hAnsi="宋体"/>
          <w:color w:val="auto"/>
          <w:sz w:val="24"/>
          <w:highlight w:val="none"/>
          <w:lang w:eastAsia="zh-CN"/>
        </w:rPr>
        <w:t>磋商响应文件</w:t>
      </w:r>
      <w:r>
        <w:rPr>
          <w:rFonts w:hint="eastAsia" w:ascii="宋体" w:hAnsi="宋体"/>
          <w:color w:val="auto"/>
          <w:sz w:val="24"/>
          <w:highlight w:val="none"/>
        </w:rPr>
        <w:t>》之前和之后），人为地使投标丧失竞争性，剥夺采购人从自由公开竞争所能获得的权益。</w:t>
      </w:r>
    </w:p>
    <w:p>
      <w:pPr>
        <w:spacing w:line="336" w:lineRule="auto"/>
        <w:ind w:firstLine="480" w:firstLineChars="200"/>
        <w:jc w:val="left"/>
        <w:rPr>
          <w:rFonts w:hint="eastAsia" w:ascii="宋体" w:hAnsi="宋体"/>
          <w:bCs/>
          <w:color w:val="auto"/>
          <w:sz w:val="24"/>
          <w:highlight w:val="none"/>
        </w:rPr>
      </w:pPr>
      <w:r>
        <w:rPr>
          <w:rFonts w:hint="eastAsia" w:ascii="宋体" w:hAnsi="宋体"/>
          <w:bCs/>
          <w:color w:val="auto"/>
          <w:sz w:val="24"/>
          <w:highlight w:val="none"/>
          <w:lang w:val="en-US" w:eastAsia="zh-CN"/>
        </w:rPr>
        <w:t>9</w:t>
      </w:r>
      <w:r>
        <w:rPr>
          <w:rFonts w:hint="eastAsia" w:ascii="宋体" w:hAnsi="宋体"/>
          <w:bCs/>
          <w:color w:val="auto"/>
          <w:sz w:val="24"/>
          <w:highlight w:val="none"/>
        </w:rPr>
        <w:t>.其他</w:t>
      </w:r>
    </w:p>
    <w:p>
      <w:pPr>
        <w:spacing w:line="336"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lang w:eastAsia="zh-CN"/>
        </w:rPr>
        <w:t>磋商文件</w:t>
      </w:r>
      <w:r>
        <w:rPr>
          <w:rFonts w:hint="eastAsia" w:ascii="宋体" w:hAnsi="宋体"/>
          <w:color w:val="auto"/>
          <w:sz w:val="24"/>
          <w:highlight w:val="none"/>
        </w:rPr>
        <w:t>和</w:t>
      </w:r>
      <w:r>
        <w:rPr>
          <w:rFonts w:hint="eastAsia" w:ascii="宋体" w:hAnsi="宋体"/>
          <w:color w:val="auto"/>
          <w:sz w:val="24"/>
          <w:highlight w:val="none"/>
          <w:lang w:eastAsia="zh-CN"/>
        </w:rPr>
        <w:t>磋商响应文件</w:t>
      </w:r>
      <w:r>
        <w:rPr>
          <w:rFonts w:hint="eastAsia" w:ascii="宋体" w:hAnsi="宋体"/>
          <w:color w:val="auto"/>
          <w:sz w:val="24"/>
          <w:highlight w:val="none"/>
        </w:rPr>
        <w:t>未尽事宜另行商定。本</w:t>
      </w:r>
      <w:r>
        <w:rPr>
          <w:rFonts w:hint="eastAsia" w:ascii="宋体" w:hAnsi="宋体"/>
          <w:color w:val="auto"/>
          <w:sz w:val="24"/>
          <w:highlight w:val="none"/>
          <w:lang w:eastAsia="zh-CN"/>
        </w:rPr>
        <w:t>磋商文件</w:t>
      </w:r>
      <w:r>
        <w:rPr>
          <w:rFonts w:hint="eastAsia" w:ascii="宋体" w:hAnsi="宋体"/>
          <w:color w:val="auto"/>
          <w:sz w:val="24"/>
          <w:highlight w:val="none"/>
        </w:rPr>
        <w:t>由招标代理机构负责解释。</w:t>
      </w:r>
    </w:p>
    <w:p>
      <w:pPr>
        <w:spacing w:before="4800" w:beforeLines="2000"/>
        <w:jc w:val="center"/>
        <w:rPr>
          <w:color w:val="auto"/>
          <w:highlight w:val="none"/>
        </w:rPr>
      </w:pPr>
      <w:r>
        <w:rPr>
          <w:color w:val="auto"/>
          <w:highlight w:val="none"/>
        </w:rPr>
        <w:br w:type="page"/>
      </w:r>
      <w:bookmarkEnd w:id="251"/>
      <w:bookmarkEnd w:id="252"/>
      <w:bookmarkEnd w:id="253"/>
      <w:bookmarkEnd w:id="254"/>
      <w:bookmarkEnd w:id="255"/>
      <w:bookmarkEnd w:id="256"/>
      <w:bookmarkEnd w:id="257"/>
      <w:bookmarkEnd w:id="258"/>
      <w:bookmarkEnd w:id="259"/>
      <w:bookmarkEnd w:id="260"/>
      <w:bookmarkEnd w:id="261"/>
      <w:bookmarkStart w:id="379" w:name="_Toc2086"/>
      <w:bookmarkStart w:id="380" w:name="_Toc476758959"/>
      <w:r>
        <w:rPr>
          <w:rStyle w:val="20"/>
          <w:rFonts w:hint="eastAsia"/>
          <w:color w:val="auto"/>
          <w:highlight w:val="none"/>
        </w:rPr>
        <w:t>第三章  评标办法</w:t>
      </w:r>
      <w:bookmarkEnd w:id="379"/>
      <w:bookmarkEnd w:id="380"/>
    </w:p>
    <w:p>
      <w:pPr>
        <w:pStyle w:val="4"/>
        <w:spacing w:before="0"/>
        <w:rPr>
          <w:rFonts w:hint="eastAsia" w:ascii="宋体" w:hAnsi="宋体" w:eastAsia="宋体"/>
          <w:color w:val="auto"/>
          <w:sz w:val="28"/>
          <w:highlight w:val="none"/>
        </w:rPr>
      </w:pPr>
      <w:bookmarkStart w:id="381" w:name="_Toc476758960"/>
      <w:r>
        <w:rPr>
          <w:rFonts w:ascii="宋体" w:hAnsi="宋体" w:eastAsia="宋体"/>
          <w:color w:val="auto"/>
          <w:sz w:val="28"/>
          <w:highlight w:val="none"/>
        </w:rPr>
        <w:br w:type="page"/>
      </w:r>
      <w:bookmarkStart w:id="382" w:name="_Toc5456"/>
      <w:bookmarkStart w:id="383" w:name="_Toc29693"/>
      <w:r>
        <w:rPr>
          <w:rFonts w:hint="eastAsia" w:ascii="宋体" w:hAnsi="宋体" w:eastAsia="宋体"/>
          <w:color w:val="auto"/>
          <w:sz w:val="28"/>
          <w:highlight w:val="none"/>
        </w:rPr>
        <w:t>一、总则</w:t>
      </w:r>
      <w:bookmarkEnd w:id="381"/>
      <w:bookmarkEnd w:id="382"/>
      <w:bookmarkEnd w:id="383"/>
    </w:p>
    <w:p>
      <w:pPr>
        <w:spacing w:line="360" w:lineRule="auto"/>
        <w:ind w:firstLine="470" w:firstLineChars="196"/>
        <w:rPr>
          <w:rFonts w:hint="eastAsia" w:ascii="宋体" w:hAnsi="宋体"/>
          <w:b/>
          <w:color w:val="auto"/>
          <w:sz w:val="24"/>
          <w:highlight w:val="none"/>
        </w:rPr>
      </w:pPr>
      <w:r>
        <w:rPr>
          <w:rFonts w:hint="eastAsia" w:ascii="宋体" w:hAnsi="宋体"/>
          <w:color w:val="auto"/>
          <w:sz w:val="24"/>
          <w:highlight w:val="none"/>
        </w:rPr>
        <w:t>1.根据《中华人民共和国政府采购法》、《中华人民共和国政府采购法实施条例》及《政府采购货物和服务招标投标管理办法》（财政部第87号令）等法律规章，结合采购项目特点制定本评标办法。</w:t>
      </w:r>
    </w:p>
    <w:p>
      <w:pPr>
        <w:spacing w:line="360" w:lineRule="auto"/>
        <w:ind w:firstLine="470" w:firstLineChars="196"/>
        <w:rPr>
          <w:rFonts w:hint="eastAsia" w:ascii="宋体" w:hAnsi="宋体"/>
          <w:b/>
          <w:color w:val="auto"/>
          <w:sz w:val="24"/>
          <w:highlight w:val="none"/>
        </w:rPr>
      </w:pPr>
      <w:r>
        <w:rPr>
          <w:rFonts w:hint="eastAsia" w:ascii="宋体" w:hAnsi="宋体"/>
          <w:color w:val="auto"/>
          <w:sz w:val="24"/>
          <w:highlight w:val="none"/>
        </w:rPr>
        <w:t>2.</w:t>
      </w:r>
      <w:r>
        <w:rPr>
          <w:rFonts w:hint="eastAsia" w:ascii="宋体" w:hAnsi="宋体"/>
          <w:bCs/>
          <w:color w:val="auto"/>
          <w:sz w:val="24"/>
          <w:highlight w:val="none"/>
        </w:rPr>
        <w:t>评标工作由招标代理机构负责组织，具体评标事务由招标代理机构依法组建的</w:t>
      </w:r>
      <w:r>
        <w:rPr>
          <w:rFonts w:hint="eastAsia" w:ascii="宋体" w:hAnsi="宋体"/>
          <w:bCs/>
          <w:color w:val="auto"/>
          <w:sz w:val="24"/>
          <w:highlight w:val="none"/>
          <w:lang w:eastAsia="zh-CN"/>
        </w:rPr>
        <w:t>磋商小组</w:t>
      </w:r>
      <w:r>
        <w:rPr>
          <w:rFonts w:hint="eastAsia" w:ascii="宋体" w:hAnsi="宋体"/>
          <w:bCs/>
          <w:color w:val="auto"/>
          <w:sz w:val="24"/>
          <w:highlight w:val="none"/>
        </w:rPr>
        <w:t>负责。</w:t>
      </w:r>
      <w:r>
        <w:rPr>
          <w:rFonts w:hint="eastAsia" w:ascii="宋体" w:hAnsi="宋体"/>
          <w:bCs/>
          <w:color w:val="auto"/>
          <w:sz w:val="24"/>
          <w:highlight w:val="none"/>
          <w:lang w:eastAsia="zh-CN"/>
        </w:rPr>
        <w:t>磋商小组</w:t>
      </w:r>
      <w:r>
        <w:rPr>
          <w:rFonts w:hint="eastAsia" w:ascii="宋体" w:hAnsi="宋体"/>
          <w:bCs/>
          <w:color w:val="auto"/>
          <w:sz w:val="24"/>
          <w:highlight w:val="none"/>
        </w:rPr>
        <w:t>由采购人代表和有关技术、经济等方面的专家组成。</w:t>
      </w:r>
    </w:p>
    <w:p>
      <w:pPr>
        <w:spacing w:line="360" w:lineRule="auto"/>
        <w:ind w:firstLine="470" w:firstLineChars="196"/>
        <w:rPr>
          <w:rFonts w:hint="eastAsia" w:ascii="宋体" w:hAnsi="宋体"/>
          <w:b/>
          <w:color w:val="auto"/>
          <w:sz w:val="24"/>
          <w:highlight w:val="none"/>
        </w:rPr>
      </w:pPr>
      <w:r>
        <w:rPr>
          <w:rFonts w:hint="eastAsia" w:ascii="宋体" w:hAnsi="宋体"/>
          <w:color w:val="auto"/>
          <w:sz w:val="24"/>
          <w:highlight w:val="none"/>
        </w:rPr>
        <w:t>3.评标工作应遵循公平、公正、科学及择优的原则，并以相同的评标程序和标准对待所有的供应商。</w:t>
      </w:r>
    </w:p>
    <w:p>
      <w:pPr>
        <w:spacing w:line="360" w:lineRule="auto"/>
        <w:ind w:firstLine="470" w:firstLineChars="196"/>
        <w:rPr>
          <w:rFonts w:hint="eastAsia" w:ascii="宋体" w:hAnsi="宋体"/>
          <w:b/>
          <w:color w:val="auto"/>
          <w:sz w:val="24"/>
          <w:highlight w:val="none"/>
        </w:rPr>
      </w:pPr>
      <w:r>
        <w:rPr>
          <w:rFonts w:hint="eastAsia" w:ascii="宋体" w:hAnsi="宋体"/>
          <w:color w:val="auto"/>
          <w:sz w:val="24"/>
          <w:highlight w:val="none"/>
        </w:rPr>
        <w:t>4.</w:t>
      </w:r>
      <w:r>
        <w:rPr>
          <w:rFonts w:hint="eastAsia" w:ascii="宋体" w:hAnsi="宋体"/>
          <w:color w:val="auto"/>
          <w:sz w:val="24"/>
          <w:highlight w:val="none"/>
          <w:lang w:eastAsia="zh-CN"/>
        </w:rPr>
        <w:t>磋商小组</w:t>
      </w:r>
      <w:r>
        <w:rPr>
          <w:rFonts w:hint="eastAsia" w:ascii="宋体" w:hAnsi="宋体"/>
          <w:color w:val="auto"/>
          <w:sz w:val="24"/>
          <w:highlight w:val="none"/>
        </w:rPr>
        <w:t>按照</w:t>
      </w:r>
      <w:r>
        <w:rPr>
          <w:rFonts w:hint="eastAsia" w:ascii="宋体" w:hAnsi="宋体"/>
          <w:color w:val="auto"/>
          <w:sz w:val="24"/>
          <w:highlight w:val="none"/>
          <w:lang w:eastAsia="zh-CN"/>
        </w:rPr>
        <w:t>磋商文件</w:t>
      </w:r>
      <w:r>
        <w:rPr>
          <w:rFonts w:hint="eastAsia" w:ascii="宋体" w:hAnsi="宋体"/>
          <w:color w:val="auto"/>
          <w:sz w:val="24"/>
          <w:highlight w:val="none"/>
        </w:rPr>
        <w:t>规定的评标方法和标准进行评标，并独立履行下列职责：</w:t>
      </w:r>
    </w:p>
    <w:p>
      <w:pPr>
        <w:spacing w:line="360" w:lineRule="auto"/>
        <w:ind w:firstLine="470" w:firstLineChars="196"/>
        <w:rPr>
          <w:rFonts w:hint="eastAsia" w:ascii="宋体" w:hAnsi="宋体"/>
          <w:b/>
          <w:color w:val="auto"/>
          <w:sz w:val="24"/>
          <w:highlight w:val="none"/>
        </w:rPr>
      </w:pPr>
      <w:r>
        <w:rPr>
          <w:rFonts w:hint="eastAsia" w:ascii="宋体" w:hAnsi="宋体"/>
          <w:color w:val="auto"/>
          <w:sz w:val="24"/>
          <w:highlight w:val="none"/>
        </w:rPr>
        <w:t>（1）审查</w:t>
      </w:r>
      <w:r>
        <w:rPr>
          <w:rFonts w:hint="eastAsia" w:ascii="宋体" w:hAnsi="宋体"/>
          <w:color w:val="auto"/>
          <w:sz w:val="24"/>
          <w:highlight w:val="none"/>
          <w:lang w:eastAsia="zh-CN"/>
        </w:rPr>
        <w:t>磋商响应文件</w:t>
      </w:r>
      <w:r>
        <w:rPr>
          <w:rFonts w:hint="eastAsia" w:ascii="宋体" w:hAnsi="宋体"/>
          <w:color w:val="auto"/>
          <w:sz w:val="24"/>
          <w:highlight w:val="none"/>
        </w:rPr>
        <w:t>是否符合</w:t>
      </w:r>
      <w:r>
        <w:rPr>
          <w:rFonts w:hint="eastAsia" w:ascii="宋体" w:hAnsi="宋体"/>
          <w:color w:val="auto"/>
          <w:sz w:val="24"/>
          <w:highlight w:val="none"/>
          <w:lang w:eastAsia="zh-CN"/>
        </w:rPr>
        <w:t>磋商文件</w:t>
      </w:r>
      <w:r>
        <w:rPr>
          <w:rFonts w:hint="eastAsia" w:ascii="宋体" w:hAnsi="宋体"/>
          <w:color w:val="auto"/>
          <w:sz w:val="24"/>
          <w:highlight w:val="none"/>
        </w:rPr>
        <w:t>要求，并做出评价；</w:t>
      </w:r>
    </w:p>
    <w:p>
      <w:pPr>
        <w:spacing w:line="360" w:lineRule="auto"/>
        <w:ind w:firstLine="470" w:firstLineChars="196"/>
        <w:rPr>
          <w:rFonts w:hint="eastAsia" w:ascii="宋体" w:hAnsi="宋体"/>
          <w:b/>
          <w:color w:val="auto"/>
          <w:sz w:val="24"/>
          <w:highlight w:val="none"/>
        </w:rPr>
      </w:pPr>
      <w:r>
        <w:rPr>
          <w:rFonts w:hint="eastAsia" w:ascii="宋体" w:hAnsi="宋体"/>
          <w:color w:val="auto"/>
          <w:sz w:val="24"/>
          <w:highlight w:val="none"/>
        </w:rPr>
        <w:t>（2）要求投标供应商对</w:t>
      </w:r>
      <w:r>
        <w:rPr>
          <w:rFonts w:hint="eastAsia" w:ascii="宋体" w:hAnsi="宋体"/>
          <w:color w:val="auto"/>
          <w:sz w:val="24"/>
          <w:highlight w:val="none"/>
          <w:lang w:eastAsia="zh-CN"/>
        </w:rPr>
        <w:t>磋商响应文件</w:t>
      </w:r>
      <w:r>
        <w:rPr>
          <w:rFonts w:hint="eastAsia" w:ascii="宋体" w:hAnsi="宋体"/>
          <w:color w:val="auto"/>
          <w:sz w:val="24"/>
          <w:highlight w:val="none"/>
        </w:rPr>
        <w:t>有关事项做出解释或者澄清；</w:t>
      </w:r>
    </w:p>
    <w:p>
      <w:pPr>
        <w:spacing w:line="360" w:lineRule="auto"/>
        <w:ind w:firstLine="470" w:firstLineChars="196"/>
        <w:rPr>
          <w:rFonts w:hint="eastAsia" w:ascii="宋体" w:hAnsi="宋体"/>
          <w:b/>
          <w:color w:val="auto"/>
          <w:sz w:val="24"/>
          <w:highlight w:val="none"/>
        </w:rPr>
      </w:pPr>
      <w:r>
        <w:rPr>
          <w:rFonts w:hint="eastAsia" w:ascii="宋体" w:hAnsi="宋体"/>
          <w:color w:val="auto"/>
          <w:sz w:val="24"/>
          <w:highlight w:val="none"/>
        </w:rPr>
        <w:t>（3）推荐</w:t>
      </w:r>
      <w:r>
        <w:rPr>
          <w:rFonts w:hint="eastAsia" w:ascii="宋体" w:hAnsi="宋体"/>
          <w:color w:val="auto"/>
          <w:sz w:val="24"/>
          <w:highlight w:val="none"/>
          <w:lang w:eastAsia="zh-CN"/>
        </w:rPr>
        <w:t>中标</w:t>
      </w:r>
      <w:r>
        <w:rPr>
          <w:rFonts w:hint="eastAsia" w:ascii="宋体" w:hAnsi="宋体"/>
          <w:color w:val="auto"/>
          <w:sz w:val="24"/>
          <w:highlight w:val="none"/>
        </w:rPr>
        <w:t>候选供应商名单，或者受采购人委托按照事先确定的办法直接确定</w:t>
      </w:r>
      <w:r>
        <w:rPr>
          <w:rFonts w:hint="eastAsia" w:ascii="宋体" w:hAnsi="宋体"/>
          <w:color w:val="auto"/>
          <w:sz w:val="24"/>
          <w:highlight w:val="none"/>
          <w:lang w:eastAsia="zh-CN"/>
        </w:rPr>
        <w:t>中标</w:t>
      </w:r>
      <w:r>
        <w:rPr>
          <w:rFonts w:hint="eastAsia" w:ascii="宋体" w:hAnsi="宋体"/>
          <w:color w:val="auto"/>
          <w:sz w:val="24"/>
          <w:highlight w:val="none"/>
        </w:rPr>
        <w:t>单位；</w:t>
      </w:r>
    </w:p>
    <w:p>
      <w:pPr>
        <w:spacing w:line="360" w:lineRule="auto"/>
        <w:ind w:firstLine="470" w:firstLineChars="196"/>
        <w:rPr>
          <w:rFonts w:hint="eastAsia" w:ascii="宋体" w:hAnsi="宋体"/>
          <w:color w:val="auto"/>
          <w:sz w:val="24"/>
          <w:highlight w:val="none"/>
        </w:rPr>
      </w:pPr>
      <w:r>
        <w:rPr>
          <w:rFonts w:hint="eastAsia" w:ascii="宋体" w:hAnsi="宋体"/>
          <w:color w:val="auto"/>
          <w:sz w:val="24"/>
          <w:highlight w:val="none"/>
        </w:rPr>
        <w:t>（4）向招标采购单位或者有关部门报告非法干预评标工作的行为。</w:t>
      </w:r>
    </w:p>
    <w:p>
      <w:pPr>
        <w:pStyle w:val="4"/>
        <w:rPr>
          <w:rFonts w:hint="eastAsia" w:ascii="宋体" w:hAnsi="宋体" w:eastAsia="宋体"/>
          <w:color w:val="auto"/>
          <w:sz w:val="28"/>
          <w:highlight w:val="none"/>
        </w:rPr>
      </w:pPr>
      <w:bookmarkStart w:id="384" w:name="_Toc476758962"/>
      <w:bookmarkStart w:id="385" w:name="_Toc11189"/>
      <w:bookmarkStart w:id="386" w:name="_Toc3026"/>
      <w:r>
        <w:rPr>
          <w:rFonts w:hint="eastAsia" w:ascii="宋体" w:hAnsi="宋体" w:eastAsia="宋体"/>
          <w:color w:val="auto"/>
          <w:sz w:val="28"/>
          <w:highlight w:val="none"/>
          <w:lang w:eastAsia="zh-CN"/>
        </w:rPr>
        <w:t>二</w:t>
      </w:r>
      <w:r>
        <w:rPr>
          <w:rFonts w:hint="eastAsia" w:ascii="宋体" w:hAnsi="宋体" w:eastAsia="宋体"/>
          <w:color w:val="auto"/>
          <w:sz w:val="28"/>
          <w:highlight w:val="none"/>
        </w:rPr>
        <w:t>、评标原则</w:t>
      </w:r>
      <w:bookmarkEnd w:id="384"/>
      <w:bookmarkEnd w:id="385"/>
      <w:bookmarkEnd w:id="386"/>
      <w:r>
        <w:rPr>
          <w:rFonts w:hint="eastAsia" w:ascii="宋体" w:hAnsi="宋体" w:eastAsia="宋体"/>
          <w:color w:val="auto"/>
          <w:sz w:val="28"/>
          <w:highlight w:val="none"/>
        </w:rPr>
        <w:t xml:space="preserve"> </w:t>
      </w:r>
    </w:p>
    <w:p>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eastAsia="zh-CN"/>
        </w:rPr>
        <w:t>磋商小组</w:t>
      </w:r>
      <w:r>
        <w:rPr>
          <w:rFonts w:hint="eastAsia" w:ascii="宋体" w:hAnsi="宋体"/>
          <w:color w:val="auto"/>
          <w:sz w:val="24"/>
          <w:highlight w:val="none"/>
        </w:rPr>
        <w:t>按照公开、公平、公正、科学、择优的原则对待所有的供应商。</w:t>
      </w:r>
    </w:p>
    <w:p>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eastAsia="zh-CN"/>
        </w:rPr>
        <w:t>磋商小组</w:t>
      </w:r>
      <w:r>
        <w:rPr>
          <w:rFonts w:hint="eastAsia" w:ascii="宋体" w:hAnsi="宋体"/>
          <w:color w:val="auto"/>
          <w:sz w:val="24"/>
          <w:highlight w:val="none"/>
        </w:rPr>
        <w:t>成员应当客观、公正地履行职责，遵守职业道德，对所提出的评审意见承担个人责任；</w:t>
      </w:r>
      <w:r>
        <w:rPr>
          <w:rFonts w:hint="eastAsia" w:ascii="宋体" w:hAnsi="宋体"/>
          <w:color w:val="auto"/>
          <w:sz w:val="24"/>
          <w:highlight w:val="none"/>
          <w:lang w:eastAsia="zh-CN"/>
        </w:rPr>
        <w:t>磋商小组</w:t>
      </w:r>
      <w:r>
        <w:rPr>
          <w:rFonts w:hint="eastAsia" w:ascii="宋体" w:hAnsi="宋体"/>
          <w:color w:val="auto"/>
          <w:sz w:val="24"/>
          <w:highlight w:val="none"/>
        </w:rPr>
        <w:t>成员实行主动回避制度；</w:t>
      </w:r>
      <w:r>
        <w:rPr>
          <w:rFonts w:hint="eastAsia" w:ascii="宋体" w:hAnsi="宋体"/>
          <w:color w:val="auto"/>
          <w:sz w:val="24"/>
          <w:highlight w:val="none"/>
          <w:lang w:eastAsia="zh-CN"/>
        </w:rPr>
        <w:t>磋商小组</w:t>
      </w:r>
      <w:r>
        <w:rPr>
          <w:rFonts w:hint="eastAsia" w:ascii="宋体" w:hAnsi="宋体"/>
          <w:color w:val="auto"/>
          <w:sz w:val="24"/>
          <w:highlight w:val="none"/>
        </w:rPr>
        <w:t>成员及工作人员对整个评标活动保密。</w:t>
      </w:r>
    </w:p>
    <w:p>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eastAsia="zh-CN"/>
        </w:rPr>
        <w:t>磋商小组</w:t>
      </w:r>
      <w:r>
        <w:rPr>
          <w:rFonts w:hint="eastAsia" w:ascii="宋体" w:hAnsi="宋体"/>
          <w:color w:val="auto"/>
          <w:sz w:val="24"/>
          <w:highlight w:val="none"/>
        </w:rPr>
        <w:t>审查</w:t>
      </w:r>
      <w:r>
        <w:rPr>
          <w:rFonts w:hint="eastAsia" w:ascii="宋体" w:hAnsi="宋体"/>
          <w:color w:val="auto"/>
          <w:sz w:val="24"/>
          <w:highlight w:val="none"/>
          <w:lang w:eastAsia="zh-CN"/>
        </w:rPr>
        <w:t>磋商响应文件</w:t>
      </w:r>
      <w:r>
        <w:rPr>
          <w:rFonts w:hint="eastAsia" w:ascii="宋体" w:hAnsi="宋体"/>
          <w:color w:val="auto"/>
          <w:sz w:val="24"/>
          <w:highlight w:val="none"/>
        </w:rPr>
        <w:t>是否符合</w:t>
      </w:r>
      <w:r>
        <w:rPr>
          <w:rFonts w:hint="eastAsia" w:ascii="宋体" w:hAnsi="宋体"/>
          <w:color w:val="auto"/>
          <w:sz w:val="24"/>
          <w:highlight w:val="none"/>
          <w:lang w:eastAsia="zh-CN"/>
        </w:rPr>
        <w:t>磋商文件</w:t>
      </w:r>
      <w:r>
        <w:rPr>
          <w:rFonts w:hint="eastAsia" w:ascii="宋体" w:hAnsi="宋体"/>
          <w:color w:val="auto"/>
          <w:sz w:val="24"/>
          <w:highlight w:val="none"/>
        </w:rPr>
        <w:t>的所有条款、条件和规定。</w:t>
      </w:r>
    </w:p>
    <w:p>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4.评标只对实质上响应</w:t>
      </w:r>
      <w:r>
        <w:rPr>
          <w:rFonts w:hint="eastAsia" w:ascii="宋体" w:hAnsi="宋体"/>
          <w:color w:val="auto"/>
          <w:sz w:val="24"/>
          <w:highlight w:val="none"/>
          <w:lang w:eastAsia="zh-CN"/>
        </w:rPr>
        <w:t>磋商文件</w:t>
      </w:r>
      <w:r>
        <w:rPr>
          <w:rFonts w:hint="eastAsia" w:ascii="宋体" w:hAnsi="宋体"/>
          <w:color w:val="auto"/>
          <w:sz w:val="24"/>
          <w:highlight w:val="none"/>
        </w:rPr>
        <w:t>要求的有效</w:t>
      </w:r>
      <w:r>
        <w:rPr>
          <w:rFonts w:hint="eastAsia" w:ascii="宋体" w:hAnsi="宋体"/>
          <w:color w:val="auto"/>
          <w:sz w:val="24"/>
          <w:highlight w:val="none"/>
          <w:lang w:eastAsia="zh-CN"/>
        </w:rPr>
        <w:t>磋商响应文件</w:t>
      </w:r>
      <w:r>
        <w:rPr>
          <w:rFonts w:hint="eastAsia" w:ascii="宋体" w:hAnsi="宋体"/>
          <w:color w:val="auto"/>
          <w:sz w:val="24"/>
          <w:highlight w:val="none"/>
        </w:rPr>
        <w:t>进行评审，响应的依据是</w:t>
      </w:r>
      <w:r>
        <w:rPr>
          <w:rFonts w:hint="eastAsia" w:ascii="宋体" w:hAnsi="宋体"/>
          <w:color w:val="auto"/>
          <w:sz w:val="24"/>
          <w:highlight w:val="none"/>
          <w:lang w:eastAsia="zh-CN"/>
        </w:rPr>
        <w:t>磋商响应文件</w:t>
      </w:r>
      <w:r>
        <w:rPr>
          <w:rFonts w:hint="eastAsia" w:ascii="宋体" w:hAnsi="宋体"/>
          <w:color w:val="auto"/>
          <w:sz w:val="24"/>
          <w:highlight w:val="none"/>
        </w:rPr>
        <w:t xml:space="preserve">本身的内容，而不寻求其它证据。 </w:t>
      </w:r>
    </w:p>
    <w:p>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5.评标将依据</w:t>
      </w:r>
      <w:r>
        <w:rPr>
          <w:rFonts w:hint="eastAsia" w:ascii="宋体" w:hAnsi="宋体"/>
          <w:color w:val="auto"/>
          <w:sz w:val="24"/>
          <w:highlight w:val="none"/>
          <w:lang w:eastAsia="zh-CN"/>
        </w:rPr>
        <w:t>磋商文件</w:t>
      </w:r>
      <w:r>
        <w:rPr>
          <w:rFonts w:hint="eastAsia" w:ascii="宋体" w:hAnsi="宋体"/>
          <w:color w:val="auto"/>
          <w:sz w:val="24"/>
          <w:highlight w:val="none"/>
        </w:rPr>
        <w:t>确定的标准和方法，结合</w:t>
      </w:r>
      <w:r>
        <w:rPr>
          <w:rFonts w:hint="eastAsia" w:ascii="宋体" w:hAnsi="宋体"/>
          <w:color w:val="auto"/>
          <w:sz w:val="24"/>
          <w:highlight w:val="none"/>
          <w:lang w:eastAsia="zh-CN"/>
        </w:rPr>
        <w:t>磋商响应文件</w:t>
      </w:r>
      <w:r>
        <w:rPr>
          <w:rFonts w:hint="eastAsia" w:ascii="宋体" w:hAnsi="宋体"/>
          <w:color w:val="auto"/>
          <w:sz w:val="24"/>
          <w:highlight w:val="none"/>
        </w:rPr>
        <w:t>及其补充文件进行，不得忽视</w:t>
      </w:r>
      <w:r>
        <w:rPr>
          <w:rFonts w:hint="eastAsia" w:ascii="宋体" w:hAnsi="宋体"/>
          <w:color w:val="auto"/>
          <w:sz w:val="24"/>
          <w:highlight w:val="none"/>
          <w:lang w:eastAsia="zh-CN"/>
        </w:rPr>
        <w:t>磋商响应文件</w:t>
      </w:r>
      <w:r>
        <w:rPr>
          <w:rFonts w:hint="eastAsia" w:ascii="宋体" w:hAnsi="宋体"/>
          <w:color w:val="auto"/>
          <w:sz w:val="24"/>
          <w:highlight w:val="none"/>
        </w:rPr>
        <w:t>的实质性内容进行评标。</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6.评标活动依法进行，任何单位和个人不得非法干预、阻挠采购人采购代理机构的正常工作或者影响评标过程和结果。</w:t>
      </w:r>
    </w:p>
    <w:p>
      <w:pPr>
        <w:pStyle w:val="4"/>
        <w:rPr>
          <w:rFonts w:hint="eastAsia" w:ascii="宋体" w:hAnsi="宋体" w:eastAsia="宋体"/>
          <w:color w:val="auto"/>
          <w:sz w:val="28"/>
          <w:highlight w:val="none"/>
        </w:rPr>
      </w:pPr>
      <w:bookmarkStart w:id="387" w:name="_Toc16774"/>
      <w:bookmarkStart w:id="388" w:name="_Toc24889"/>
      <w:bookmarkStart w:id="389" w:name="_Toc476758963"/>
      <w:r>
        <w:rPr>
          <w:rFonts w:hint="eastAsia" w:ascii="宋体" w:hAnsi="宋体" w:eastAsia="宋体"/>
          <w:color w:val="auto"/>
          <w:sz w:val="28"/>
          <w:highlight w:val="none"/>
          <w:lang w:eastAsia="zh-CN"/>
        </w:rPr>
        <w:t>三</w:t>
      </w:r>
      <w:r>
        <w:rPr>
          <w:rFonts w:hint="eastAsia" w:ascii="宋体" w:hAnsi="宋体" w:eastAsia="宋体"/>
          <w:color w:val="auto"/>
          <w:sz w:val="28"/>
          <w:highlight w:val="none"/>
        </w:rPr>
        <w:t>、评标方法</w:t>
      </w:r>
      <w:bookmarkEnd w:id="387"/>
      <w:bookmarkEnd w:id="388"/>
      <w:bookmarkEnd w:id="389"/>
    </w:p>
    <w:p>
      <w:pPr>
        <w:spacing w:line="360" w:lineRule="auto"/>
        <w:rPr>
          <w:rFonts w:hint="eastAsia" w:ascii="宋体" w:hAnsi="宋体"/>
          <w:b/>
          <w:color w:val="auto"/>
          <w:sz w:val="24"/>
          <w:highlight w:val="none"/>
        </w:rPr>
      </w:pPr>
      <w:bookmarkStart w:id="390" w:name="_Toc12054"/>
      <w:bookmarkStart w:id="391" w:name="_Toc476758964"/>
      <w:r>
        <w:rPr>
          <w:rFonts w:hint="eastAsia" w:ascii="宋体" w:hAnsi="宋体"/>
          <w:b/>
          <w:color w:val="auto"/>
          <w:sz w:val="24"/>
          <w:highlight w:val="none"/>
        </w:rPr>
        <w:t>1、竞争性磋商要求</w:t>
      </w:r>
      <w:bookmarkEnd w:id="390"/>
    </w:p>
    <w:p>
      <w:pPr>
        <w:spacing w:line="360" w:lineRule="auto"/>
        <w:rPr>
          <w:rFonts w:hint="eastAsia" w:ascii="宋体" w:hAnsi="宋体"/>
          <w:color w:val="auto"/>
          <w:sz w:val="24"/>
          <w:highlight w:val="none"/>
        </w:rPr>
      </w:pPr>
      <w:r>
        <w:rPr>
          <w:rFonts w:hint="eastAsia" w:ascii="宋体" w:hAnsi="宋体"/>
          <w:color w:val="auto"/>
          <w:sz w:val="24"/>
          <w:highlight w:val="none"/>
        </w:rPr>
        <w:t>1.1 招标代理机构将在“竞争性磋商须知前附表”规定的时间、地点组织竞争性磋商。供应商应委派代表参加。</w:t>
      </w:r>
    </w:p>
    <w:p>
      <w:pPr>
        <w:spacing w:line="360" w:lineRule="auto"/>
        <w:rPr>
          <w:rFonts w:hint="eastAsia" w:ascii="宋体" w:hAnsi="宋体"/>
          <w:color w:val="auto"/>
          <w:sz w:val="24"/>
          <w:highlight w:val="none"/>
        </w:rPr>
      </w:pPr>
      <w:r>
        <w:rPr>
          <w:rFonts w:hint="eastAsia" w:ascii="宋体" w:hAnsi="宋体"/>
          <w:color w:val="auto"/>
          <w:sz w:val="24"/>
          <w:highlight w:val="none"/>
        </w:rPr>
        <w:t>1.2 提交了可接受的“撤回”通知的报价将不予开封。</w:t>
      </w:r>
    </w:p>
    <w:p>
      <w:pPr>
        <w:spacing w:line="360" w:lineRule="auto"/>
        <w:rPr>
          <w:rFonts w:hint="eastAsia" w:ascii="宋体" w:hAnsi="宋体"/>
          <w:b/>
          <w:color w:val="auto"/>
          <w:sz w:val="24"/>
          <w:highlight w:val="none"/>
        </w:rPr>
      </w:pPr>
      <w:bookmarkStart w:id="392" w:name="_Toc28204"/>
      <w:r>
        <w:rPr>
          <w:rFonts w:hint="eastAsia" w:ascii="宋体" w:hAnsi="宋体"/>
          <w:b/>
          <w:color w:val="auto"/>
          <w:sz w:val="24"/>
          <w:highlight w:val="none"/>
        </w:rPr>
        <w:t>2、竞争性磋商小组组建及工作</w:t>
      </w:r>
      <w:bookmarkEnd w:id="392"/>
    </w:p>
    <w:p>
      <w:pPr>
        <w:spacing w:line="360" w:lineRule="auto"/>
        <w:rPr>
          <w:rFonts w:hint="eastAsia" w:ascii="宋体" w:hAnsi="宋体"/>
          <w:color w:val="auto"/>
          <w:sz w:val="24"/>
          <w:highlight w:val="none"/>
        </w:rPr>
      </w:pPr>
      <w:r>
        <w:rPr>
          <w:rFonts w:hint="eastAsia" w:ascii="宋体" w:hAnsi="宋体"/>
          <w:color w:val="auto"/>
          <w:sz w:val="24"/>
          <w:highlight w:val="none"/>
        </w:rPr>
        <w:t>2.1招标机构将按照《中华人民共和国政府采购法》及有关规定组建磋商小组。</w:t>
      </w:r>
    </w:p>
    <w:p>
      <w:pPr>
        <w:spacing w:line="360" w:lineRule="auto"/>
        <w:rPr>
          <w:rFonts w:hint="eastAsia" w:ascii="宋体" w:hAnsi="宋体"/>
          <w:color w:val="auto"/>
          <w:sz w:val="24"/>
          <w:highlight w:val="none"/>
        </w:rPr>
      </w:pPr>
      <w:r>
        <w:rPr>
          <w:rFonts w:hint="eastAsia" w:ascii="宋体" w:hAnsi="宋体"/>
          <w:color w:val="auto"/>
          <w:sz w:val="24"/>
          <w:highlight w:val="none"/>
        </w:rPr>
        <w:t>2.2磋商小组由采购人代表和评审专家共3人以上单数组成，其中评审专家人数不得少于磋商小组成员总数的2/3。采购代理机构人员不得参加本机构代理的采购项目的评审。</w:t>
      </w:r>
    </w:p>
    <w:p>
      <w:pPr>
        <w:spacing w:line="360" w:lineRule="auto"/>
        <w:rPr>
          <w:rFonts w:hint="eastAsia" w:ascii="宋体" w:hAnsi="宋体"/>
          <w:color w:val="auto"/>
          <w:sz w:val="24"/>
          <w:highlight w:val="none"/>
        </w:rPr>
      </w:pPr>
      <w:r>
        <w:rPr>
          <w:rFonts w:ascii="宋体" w:hAnsi="宋体"/>
          <w:color w:val="auto"/>
          <w:sz w:val="24"/>
          <w:highlight w:val="none"/>
        </w:rPr>
        <w:t>采用竞争性磋商方式的政府采购项目，评审专家应当从政府采购评审专家库内相关专业的专家名单中随机抽取。符合本办法第三条第四项规定情形的项目，以及情况特殊、通过随机方式难以确定合适的评审专家的项目，经主管预算单位同意，可以自行选定评审专家。技术复杂、专业性强的采购项目，评审专家中应当包含1名法律专家。</w:t>
      </w:r>
    </w:p>
    <w:p>
      <w:pPr>
        <w:spacing w:line="360" w:lineRule="auto"/>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3</w:t>
      </w:r>
      <w:r>
        <w:rPr>
          <w:rFonts w:hint="eastAsia" w:ascii="宋体" w:hAnsi="宋体"/>
          <w:color w:val="auto"/>
          <w:sz w:val="24"/>
          <w:highlight w:val="none"/>
        </w:rPr>
        <w:t>在磋商期间，响应文件中有不满足竞争性磋商文件资质要求的或不符合竞争性磋商文件带</w:t>
      </w:r>
      <w:r>
        <w:rPr>
          <w:rFonts w:hint="eastAsia" w:ascii="宋体" w:hAnsi="宋体" w:eastAsia="宋体" w:cs="Times New Roman"/>
          <w:bCs/>
          <w:color w:val="auto"/>
          <w:sz w:val="24"/>
          <w:highlight w:val="none"/>
        </w:rPr>
        <w:t>“★”</w:t>
      </w:r>
      <w:r>
        <w:rPr>
          <w:rFonts w:hint="eastAsia" w:ascii="宋体" w:hAnsi="宋体"/>
          <w:color w:val="auto"/>
          <w:sz w:val="24"/>
          <w:highlight w:val="none"/>
        </w:rPr>
        <w:t>要求的内容的，将视为无效投标；磋商小组可要求供应商对其磋商响应文件中含义不明确的内容作必要的澄清或说明，但澄清或说明不得超出磋商响应文件的范围或改变磋商响应文件实质性内容。有关澄清的要求和答复均应以书面形式提交，澄清的内容为磋商响应文件的组成部分。</w:t>
      </w:r>
    </w:p>
    <w:p>
      <w:pPr>
        <w:spacing w:line="360" w:lineRule="auto"/>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4</w:t>
      </w:r>
      <w:r>
        <w:rPr>
          <w:rFonts w:ascii="宋体" w:hAnsi="宋体"/>
          <w:color w:val="auto"/>
          <w:sz w:val="24"/>
          <w:highlight w:val="none"/>
        </w:rPr>
        <w:t>参加磋商的供应商应当对磋商的承诺</w:t>
      </w:r>
      <w:r>
        <w:rPr>
          <w:rFonts w:hint="eastAsia" w:ascii="宋体" w:hAnsi="宋体"/>
          <w:color w:val="auto"/>
          <w:sz w:val="24"/>
          <w:highlight w:val="none"/>
        </w:rPr>
        <w:t>和最后报价</w:t>
      </w:r>
      <w:r>
        <w:rPr>
          <w:rFonts w:ascii="宋体" w:hAnsi="宋体"/>
          <w:color w:val="auto"/>
          <w:sz w:val="24"/>
          <w:highlight w:val="none"/>
        </w:rPr>
        <w:t>以书面形式确认，并由全权代表签</w:t>
      </w:r>
      <w:r>
        <w:rPr>
          <w:rFonts w:hint="eastAsia" w:ascii="宋体" w:hAnsi="宋体"/>
          <w:color w:val="auto"/>
          <w:sz w:val="24"/>
          <w:highlight w:val="none"/>
        </w:rPr>
        <w:t>字或盖章</w:t>
      </w:r>
      <w:r>
        <w:rPr>
          <w:rFonts w:ascii="宋体" w:hAnsi="宋体"/>
          <w:color w:val="auto"/>
          <w:sz w:val="24"/>
          <w:highlight w:val="none"/>
        </w:rPr>
        <w:t>。</w:t>
      </w:r>
    </w:p>
    <w:p>
      <w:pPr>
        <w:spacing w:line="360" w:lineRule="auto"/>
        <w:rPr>
          <w:rFonts w:hint="eastAsia" w:ascii="宋体" w:hAnsi="宋体"/>
          <w:b/>
          <w:color w:val="auto"/>
          <w:sz w:val="24"/>
          <w:highlight w:val="none"/>
        </w:rPr>
      </w:pPr>
      <w:bookmarkStart w:id="393" w:name="_Toc31367"/>
      <w:r>
        <w:rPr>
          <w:rFonts w:hint="eastAsia" w:ascii="宋体" w:hAnsi="宋体"/>
          <w:b/>
          <w:color w:val="auto"/>
          <w:sz w:val="24"/>
          <w:highlight w:val="none"/>
        </w:rPr>
        <w:t>3、竞争性磋商过程的保密性</w:t>
      </w:r>
      <w:bookmarkEnd w:id="393"/>
    </w:p>
    <w:p>
      <w:pPr>
        <w:spacing w:line="360" w:lineRule="auto"/>
        <w:rPr>
          <w:rFonts w:hint="eastAsia" w:ascii="宋体" w:hAnsi="宋体"/>
          <w:color w:val="auto"/>
          <w:sz w:val="24"/>
          <w:highlight w:val="none"/>
        </w:rPr>
      </w:pPr>
      <w:r>
        <w:rPr>
          <w:rFonts w:hint="eastAsia" w:ascii="宋体" w:hAnsi="宋体"/>
          <w:color w:val="auto"/>
          <w:sz w:val="24"/>
          <w:highlight w:val="none"/>
        </w:rPr>
        <w:t>3.1从开始竞争性磋商，直到向成交的供应商授予合同时止，凡与审查、澄清、评价和比较报价有关资料以及评审意见等，均不得向供应商及与竞争性磋商无关的其他人透露。</w:t>
      </w:r>
    </w:p>
    <w:p>
      <w:pPr>
        <w:spacing w:line="360" w:lineRule="auto"/>
        <w:rPr>
          <w:rFonts w:hint="eastAsia" w:ascii="宋体" w:hAnsi="宋体"/>
          <w:color w:val="auto"/>
          <w:sz w:val="24"/>
          <w:highlight w:val="none"/>
        </w:rPr>
      </w:pPr>
      <w:r>
        <w:rPr>
          <w:rFonts w:hint="eastAsia" w:ascii="宋体" w:hAnsi="宋体"/>
          <w:color w:val="auto"/>
          <w:sz w:val="24"/>
          <w:highlight w:val="none"/>
        </w:rPr>
        <w:t>3.2 在竞争性磋商过程中，如果供应商试图在响应文件审查、澄清、比较及授予合同方面向采购人施加任何影响，其报价将被拒绝。</w:t>
      </w:r>
    </w:p>
    <w:p>
      <w:pPr>
        <w:spacing w:line="360" w:lineRule="auto"/>
        <w:rPr>
          <w:rFonts w:ascii="宋体" w:hAnsi="宋体"/>
          <w:b/>
          <w:color w:val="auto"/>
          <w:sz w:val="24"/>
          <w:highlight w:val="none"/>
        </w:rPr>
      </w:pPr>
      <w:bookmarkStart w:id="394" w:name="_Toc16784"/>
      <w:r>
        <w:rPr>
          <w:rFonts w:hint="eastAsia" w:ascii="宋体" w:hAnsi="宋体"/>
          <w:b/>
          <w:color w:val="auto"/>
          <w:sz w:val="24"/>
          <w:highlight w:val="none"/>
        </w:rPr>
        <w:t>4.竞争性磋商程序</w:t>
      </w:r>
      <w:bookmarkEnd w:id="394"/>
    </w:p>
    <w:p>
      <w:pPr>
        <w:spacing w:line="360" w:lineRule="auto"/>
        <w:rPr>
          <w:rFonts w:ascii="宋体" w:hAnsi="宋体"/>
          <w:color w:val="auto"/>
          <w:sz w:val="24"/>
          <w:highlight w:val="none"/>
        </w:rPr>
      </w:pPr>
      <w:r>
        <w:rPr>
          <w:rFonts w:hint="eastAsia" w:ascii="宋体" w:hAnsi="宋体"/>
          <w:color w:val="auto"/>
          <w:sz w:val="24"/>
          <w:highlight w:val="none"/>
        </w:rPr>
        <w:t>4.1竞争性磋商程序：</w:t>
      </w:r>
      <w:r>
        <w:rPr>
          <w:rFonts w:hint="eastAsia" w:ascii="宋体" w:hAnsi="宋体"/>
          <w:color w:val="auto"/>
          <w:sz w:val="24"/>
          <w:highlight w:val="none"/>
          <w:lang w:eastAsia="zh-CN"/>
        </w:rPr>
        <w:t>资格性</w:t>
      </w:r>
      <w:r>
        <w:rPr>
          <w:rFonts w:hint="eastAsia" w:ascii="宋体" w:hAnsi="宋体"/>
          <w:color w:val="auto"/>
          <w:sz w:val="24"/>
          <w:highlight w:val="none"/>
        </w:rPr>
        <w:t>审查、</w:t>
      </w:r>
      <w:r>
        <w:rPr>
          <w:rFonts w:hint="eastAsia" w:ascii="宋体" w:hAnsi="宋体"/>
          <w:color w:val="auto"/>
          <w:sz w:val="24"/>
          <w:highlight w:val="none"/>
          <w:lang w:eastAsia="zh-CN"/>
        </w:rPr>
        <w:t>符合性审查</w:t>
      </w:r>
      <w:r>
        <w:rPr>
          <w:rFonts w:hint="eastAsia" w:ascii="宋体" w:hAnsi="宋体"/>
          <w:color w:val="auto"/>
          <w:sz w:val="24"/>
          <w:highlight w:val="none"/>
        </w:rPr>
        <w:t>、磋商报价、详细评审、推荐成交供应商。其中，竞争性磋商按本章第9.1款情形进行。</w:t>
      </w:r>
    </w:p>
    <w:p>
      <w:pPr>
        <w:spacing w:line="360" w:lineRule="auto"/>
        <w:rPr>
          <w:rFonts w:ascii="宋体" w:hAnsi="宋体"/>
          <w:b/>
          <w:color w:val="auto"/>
          <w:sz w:val="24"/>
          <w:highlight w:val="none"/>
        </w:rPr>
      </w:pPr>
      <w:bookmarkStart w:id="395" w:name="_Toc32351"/>
      <w:r>
        <w:rPr>
          <w:rFonts w:hint="eastAsia" w:ascii="宋体" w:hAnsi="宋体"/>
          <w:b/>
          <w:color w:val="auto"/>
          <w:sz w:val="24"/>
          <w:highlight w:val="none"/>
          <w:lang w:val="en-US" w:eastAsia="zh-CN"/>
        </w:rPr>
        <w:t>5</w:t>
      </w:r>
      <w:r>
        <w:rPr>
          <w:rFonts w:hint="eastAsia" w:ascii="宋体" w:hAnsi="宋体"/>
          <w:b/>
          <w:color w:val="auto"/>
          <w:sz w:val="24"/>
          <w:highlight w:val="none"/>
        </w:rPr>
        <w:t>.澄清</w:t>
      </w:r>
      <w:bookmarkEnd w:id="395"/>
    </w:p>
    <w:p>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rPr>
          <w:rFonts w:ascii="宋体" w:hAnsi="宋体"/>
          <w:color w:val="auto"/>
          <w:sz w:val="24"/>
          <w:highlight w:val="none"/>
        </w:rPr>
      </w:pPr>
      <w:r>
        <w:rPr>
          <w:rFonts w:hint="eastAsia" w:ascii="宋体" w:hAnsi="宋体"/>
          <w:color w:val="auto"/>
          <w:sz w:val="24"/>
          <w:highlight w:val="none"/>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360" w:lineRule="auto"/>
        <w:rPr>
          <w:rFonts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.2 最后报价计算错误修正的原则：最后报价的大写金额和小写金额不一致的，以大写金额为准；总价金额与按单价汇总金额不一致的，以单价金额计算结果为准；单价金额小数点有明显错位的，应以总价为准，并修改单价。</w:t>
      </w:r>
    </w:p>
    <w:p>
      <w:pPr>
        <w:spacing w:line="360" w:lineRule="auto"/>
        <w:rPr>
          <w:rFonts w:hint="eastAsia" w:ascii="宋体" w:hAnsi="宋体"/>
          <w:b/>
          <w:color w:val="auto"/>
          <w:sz w:val="24"/>
          <w:highlight w:val="none"/>
        </w:rPr>
      </w:pPr>
      <w:bookmarkStart w:id="396" w:name="_Toc436398538"/>
      <w:bookmarkStart w:id="397" w:name="_Toc3435"/>
      <w:bookmarkStart w:id="398" w:name="_Toc436398669"/>
      <w:r>
        <w:rPr>
          <w:rFonts w:hint="eastAsia" w:ascii="宋体" w:hAnsi="宋体"/>
          <w:b/>
          <w:color w:val="auto"/>
          <w:sz w:val="24"/>
          <w:highlight w:val="none"/>
          <w:lang w:val="en-US" w:eastAsia="zh-CN"/>
        </w:rPr>
        <w:t>6</w:t>
      </w:r>
      <w:r>
        <w:rPr>
          <w:rFonts w:hint="eastAsia" w:ascii="宋体" w:hAnsi="宋体"/>
          <w:b/>
          <w:color w:val="auto"/>
          <w:sz w:val="24"/>
          <w:highlight w:val="none"/>
        </w:rPr>
        <w:t>.供应商家数计算</w:t>
      </w:r>
      <w:bookmarkEnd w:id="396"/>
      <w:bookmarkEnd w:id="397"/>
      <w:bookmarkEnd w:id="398"/>
    </w:p>
    <w:p>
      <w:pPr>
        <w:spacing w:line="360" w:lineRule="auto"/>
        <w:rPr>
          <w:rFonts w:hint="eastAsia" w:ascii="宋体" w:hAnsi="宋体"/>
          <w:color w:val="auto"/>
          <w:sz w:val="24"/>
          <w:highlight w:val="none"/>
        </w:rPr>
      </w:pPr>
      <w:r>
        <w:rPr>
          <w:rFonts w:hint="eastAsia" w:ascii="宋体" w:hAnsi="宋体"/>
          <w:color w:val="auto"/>
          <w:sz w:val="24"/>
          <w:highlight w:val="none"/>
        </w:rPr>
        <w:t xml:space="preserve">     产品为</w:t>
      </w:r>
      <w:r>
        <w:rPr>
          <w:rFonts w:ascii="宋体" w:hAnsi="宋体"/>
          <w:color w:val="auto"/>
          <w:sz w:val="24"/>
          <w:highlight w:val="none"/>
        </w:rPr>
        <w:t>同一品牌同一型号</w:t>
      </w:r>
      <w:r>
        <w:rPr>
          <w:rFonts w:hint="eastAsia" w:ascii="宋体" w:hAnsi="宋体"/>
          <w:color w:val="auto"/>
          <w:sz w:val="24"/>
          <w:highlight w:val="none"/>
        </w:rPr>
        <w:t>的视为一家，</w:t>
      </w:r>
      <w:r>
        <w:rPr>
          <w:rFonts w:ascii="宋体" w:hAnsi="宋体"/>
          <w:color w:val="auto"/>
          <w:sz w:val="24"/>
          <w:highlight w:val="none"/>
        </w:rPr>
        <w:t>如果有多家</w:t>
      </w:r>
      <w:r>
        <w:rPr>
          <w:rFonts w:hint="eastAsia" w:ascii="宋体" w:hAnsi="宋体"/>
          <w:color w:val="auto"/>
          <w:sz w:val="24"/>
          <w:highlight w:val="none"/>
        </w:rPr>
        <w:t>供应</w:t>
      </w:r>
      <w:r>
        <w:rPr>
          <w:rFonts w:ascii="宋体" w:hAnsi="宋体"/>
          <w:color w:val="auto"/>
          <w:sz w:val="24"/>
          <w:highlight w:val="none"/>
        </w:rPr>
        <w:t>商</w:t>
      </w:r>
      <w:r>
        <w:rPr>
          <w:rFonts w:hint="eastAsia" w:ascii="宋体" w:hAnsi="宋体"/>
          <w:color w:val="auto"/>
          <w:sz w:val="24"/>
          <w:highlight w:val="none"/>
        </w:rPr>
        <w:t>以</w:t>
      </w:r>
      <w:r>
        <w:rPr>
          <w:rFonts w:ascii="宋体" w:hAnsi="宋体"/>
          <w:color w:val="auto"/>
          <w:sz w:val="24"/>
          <w:highlight w:val="none"/>
        </w:rPr>
        <w:t>同一品牌同一型号产品</w:t>
      </w:r>
      <w:r>
        <w:rPr>
          <w:rFonts w:hint="eastAsia" w:ascii="宋体" w:hAnsi="宋体"/>
          <w:color w:val="auto"/>
          <w:sz w:val="24"/>
          <w:highlight w:val="none"/>
        </w:rPr>
        <w:t>参加竞争性磋商</w:t>
      </w:r>
      <w:r>
        <w:rPr>
          <w:rFonts w:ascii="宋体" w:hAnsi="宋体"/>
          <w:color w:val="auto"/>
          <w:sz w:val="24"/>
          <w:highlight w:val="none"/>
        </w:rPr>
        <w:t>的，应作为一个</w:t>
      </w:r>
      <w:r>
        <w:rPr>
          <w:rFonts w:hint="eastAsia" w:ascii="宋体" w:hAnsi="宋体"/>
          <w:color w:val="auto"/>
          <w:sz w:val="24"/>
          <w:highlight w:val="none"/>
        </w:rPr>
        <w:t>供应商</w:t>
      </w:r>
      <w:r>
        <w:rPr>
          <w:rFonts w:ascii="宋体" w:hAnsi="宋体"/>
          <w:color w:val="auto"/>
          <w:sz w:val="24"/>
          <w:highlight w:val="none"/>
        </w:rPr>
        <w:t>计算</w:t>
      </w:r>
      <w:r>
        <w:rPr>
          <w:rFonts w:hint="eastAsia" w:ascii="宋体" w:hAnsi="宋体"/>
          <w:color w:val="auto"/>
          <w:sz w:val="24"/>
          <w:highlight w:val="none"/>
        </w:rPr>
        <w:t>，以符合竞争性磋商文件要求的最低报价者为该品牌及型号产品的唯一有效供应商。</w:t>
      </w:r>
    </w:p>
    <w:p>
      <w:pPr>
        <w:spacing w:line="360" w:lineRule="auto"/>
        <w:rPr>
          <w:rFonts w:ascii="宋体" w:hAnsi="宋体"/>
          <w:b/>
          <w:color w:val="auto"/>
          <w:sz w:val="24"/>
          <w:highlight w:val="none"/>
        </w:rPr>
      </w:pPr>
      <w:bookmarkStart w:id="399" w:name="_Toc23261"/>
      <w:r>
        <w:rPr>
          <w:rFonts w:hint="eastAsia" w:ascii="宋体" w:hAnsi="宋体"/>
          <w:b/>
          <w:color w:val="auto"/>
          <w:sz w:val="24"/>
          <w:highlight w:val="none"/>
          <w:lang w:val="en-US" w:eastAsia="zh-CN"/>
        </w:rPr>
        <w:t>7</w:t>
      </w:r>
      <w:r>
        <w:rPr>
          <w:rFonts w:hint="eastAsia" w:ascii="宋体" w:hAnsi="宋体"/>
          <w:b/>
          <w:color w:val="auto"/>
          <w:sz w:val="24"/>
          <w:highlight w:val="none"/>
        </w:rPr>
        <w:t>.竞争性磋商</w:t>
      </w:r>
      <w:bookmarkEnd w:id="399"/>
    </w:p>
    <w:p>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7</w:t>
      </w:r>
      <w:r>
        <w:rPr>
          <w:rFonts w:hint="eastAsia" w:ascii="宋体" w:hAnsi="宋体"/>
          <w:color w:val="auto"/>
          <w:sz w:val="24"/>
          <w:highlight w:val="none"/>
        </w:rPr>
        <w:t>.1在磋商过程中，磋商小组可以根据磋商文件和磋商情况实质性变动采购需求中的技术、服务要求以及合同草案条款，但不得变动磋商文件中的其他内容。实质性变动的内容，须经采购人代表确认。</w:t>
      </w:r>
    </w:p>
    <w:p>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7</w:t>
      </w:r>
      <w:r>
        <w:rPr>
          <w:rFonts w:hint="eastAsia" w:ascii="宋体" w:hAnsi="宋体"/>
          <w:color w:val="auto"/>
          <w:sz w:val="24"/>
          <w:highlight w:val="none"/>
        </w:rPr>
        <w:t>.2对磋商文件作出的实质性变动是磋商文件的有效组成部分，磋商小组应当及时以书面形式同时通知所有参加磋商的供应商。</w:t>
      </w:r>
    </w:p>
    <w:p>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7</w:t>
      </w:r>
      <w:r>
        <w:rPr>
          <w:rFonts w:hint="eastAsia" w:ascii="宋体" w:hAnsi="宋体"/>
          <w:color w:val="auto"/>
          <w:sz w:val="24"/>
          <w:highlight w:val="none"/>
        </w:rPr>
        <w:t>.3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7</w:t>
      </w:r>
      <w:r>
        <w:rPr>
          <w:rFonts w:hint="eastAsia" w:ascii="宋体" w:hAnsi="宋体"/>
          <w:color w:val="auto"/>
          <w:sz w:val="24"/>
          <w:highlight w:val="none"/>
        </w:rPr>
        <w:t>.4磋商</w:t>
      </w:r>
      <w:r>
        <w:rPr>
          <w:rFonts w:hint="eastAsia" w:ascii="宋体" w:hAnsi="宋体"/>
          <w:color w:val="auto"/>
          <w:sz w:val="24"/>
          <w:highlight w:val="none"/>
          <w:lang w:eastAsia="zh-CN"/>
        </w:rPr>
        <w:t>报价</w:t>
      </w:r>
      <w:r>
        <w:rPr>
          <w:rFonts w:hint="eastAsia" w:ascii="宋体" w:hAnsi="宋体"/>
          <w:color w:val="auto"/>
          <w:sz w:val="24"/>
          <w:highlight w:val="none"/>
        </w:rPr>
        <w:t>实行</w:t>
      </w:r>
      <w:r>
        <w:rPr>
          <w:rFonts w:hint="eastAsia" w:ascii="宋体" w:hAnsi="宋体"/>
          <w:color w:val="auto"/>
          <w:sz w:val="24"/>
          <w:highlight w:val="none"/>
          <w:lang w:eastAsia="zh-CN"/>
        </w:rPr>
        <w:t>三</w:t>
      </w:r>
      <w:r>
        <w:rPr>
          <w:rFonts w:hint="eastAsia" w:ascii="宋体" w:hAnsi="宋体"/>
          <w:color w:val="auto"/>
          <w:sz w:val="24"/>
          <w:highlight w:val="none"/>
        </w:rPr>
        <w:t>轮报价，第一轮审查投标供应商的响应文件，响应文件报价为供应商第一</w:t>
      </w:r>
      <w:r>
        <w:rPr>
          <w:rFonts w:hint="eastAsia" w:ascii="宋体" w:hAnsi="宋体"/>
          <w:color w:val="auto"/>
          <w:sz w:val="24"/>
          <w:highlight w:val="none"/>
          <w:lang w:eastAsia="zh-CN"/>
        </w:rPr>
        <w:t>轮</w:t>
      </w:r>
      <w:r>
        <w:rPr>
          <w:rFonts w:hint="eastAsia" w:ascii="宋体" w:hAnsi="宋体"/>
          <w:color w:val="auto"/>
          <w:sz w:val="24"/>
          <w:highlight w:val="none"/>
        </w:rPr>
        <w:t>报价。第二轮</w:t>
      </w:r>
      <w:r>
        <w:rPr>
          <w:rFonts w:hint="eastAsia" w:ascii="宋体" w:hAnsi="宋体"/>
          <w:color w:val="auto"/>
          <w:sz w:val="24"/>
          <w:highlight w:val="none"/>
          <w:lang w:eastAsia="zh-CN"/>
        </w:rPr>
        <w:t>报价磋商小组</w:t>
      </w:r>
      <w:r>
        <w:rPr>
          <w:rFonts w:hint="eastAsia" w:ascii="宋体" w:hAnsi="宋体"/>
          <w:color w:val="auto"/>
          <w:sz w:val="24"/>
          <w:highlight w:val="none"/>
        </w:rPr>
        <w:t>将只</w:t>
      </w:r>
      <w:r>
        <w:rPr>
          <w:rFonts w:hint="eastAsia" w:ascii="宋体" w:hAnsi="宋体"/>
          <w:color w:val="auto"/>
          <w:sz w:val="24"/>
          <w:highlight w:val="none"/>
          <w:lang w:eastAsia="zh-CN"/>
        </w:rPr>
        <w:t>要求</w:t>
      </w:r>
      <w:r>
        <w:rPr>
          <w:rFonts w:hint="eastAsia" w:ascii="宋体" w:hAnsi="宋体"/>
          <w:color w:val="auto"/>
          <w:sz w:val="24"/>
          <w:highlight w:val="none"/>
        </w:rPr>
        <w:t>通过了“资格性检查</w:t>
      </w:r>
      <w:r>
        <w:rPr>
          <w:rFonts w:hint="eastAsia" w:ascii="宋体" w:hAnsi="宋体"/>
          <w:color w:val="auto"/>
          <w:sz w:val="24"/>
          <w:highlight w:val="none"/>
          <w:lang w:eastAsia="zh-CN"/>
        </w:rPr>
        <w:t>和</w:t>
      </w:r>
      <w:r>
        <w:rPr>
          <w:rFonts w:hint="eastAsia" w:ascii="宋体" w:hAnsi="宋体"/>
          <w:color w:val="auto"/>
          <w:sz w:val="24"/>
          <w:highlight w:val="none"/>
        </w:rPr>
        <w:t>符合性检查”的</w:t>
      </w:r>
      <w:r>
        <w:rPr>
          <w:rFonts w:hint="eastAsia" w:ascii="宋体" w:hAnsi="宋体"/>
          <w:color w:val="auto"/>
          <w:sz w:val="24"/>
          <w:highlight w:val="none"/>
          <w:lang w:eastAsia="zh-CN"/>
        </w:rPr>
        <w:t>供应商进行磋商报价</w:t>
      </w:r>
      <w:r>
        <w:rPr>
          <w:rFonts w:hint="eastAsia" w:ascii="宋体" w:hAnsi="宋体"/>
          <w:color w:val="auto"/>
          <w:sz w:val="24"/>
          <w:highlight w:val="none"/>
        </w:rPr>
        <w:t>。第三轮为供应商最终承诺报价。原则上第</w:t>
      </w:r>
      <w:r>
        <w:rPr>
          <w:rFonts w:hint="eastAsia" w:ascii="宋体" w:hAnsi="宋体"/>
          <w:color w:val="auto"/>
          <w:sz w:val="24"/>
          <w:highlight w:val="none"/>
          <w:lang w:eastAsia="zh-CN"/>
        </w:rPr>
        <w:t>三</w:t>
      </w:r>
      <w:r>
        <w:rPr>
          <w:rFonts w:hint="eastAsia" w:ascii="宋体" w:hAnsi="宋体"/>
          <w:color w:val="auto"/>
          <w:sz w:val="24"/>
          <w:highlight w:val="none"/>
        </w:rPr>
        <w:t>轮报价为最终报价。超过</w:t>
      </w:r>
      <w:r>
        <w:rPr>
          <w:rFonts w:hint="eastAsia" w:ascii="宋体" w:hAnsi="宋体"/>
          <w:color w:val="auto"/>
          <w:sz w:val="24"/>
          <w:highlight w:val="none"/>
          <w:lang w:eastAsia="zh-CN"/>
        </w:rPr>
        <w:t>三</w:t>
      </w:r>
      <w:r>
        <w:rPr>
          <w:rFonts w:hint="eastAsia" w:ascii="宋体" w:hAnsi="宋体"/>
          <w:color w:val="auto"/>
          <w:sz w:val="24"/>
          <w:highlight w:val="none"/>
        </w:rPr>
        <w:t>轮报价的由磋商小组现场集体决定</w:t>
      </w:r>
      <w:r>
        <w:rPr>
          <w:rFonts w:hint="eastAsia" w:ascii="宋体" w:hAnsi="宋体"/>
          <w:color w:val="auto"/>
          <w:sz w:val="24"/>
          <w:highlight w:val="none"/>
          <w:lang w:eastAsia="zh-CN"/>
        </w:rPr>
        <w:t>是否继续报价</w:t>
      </w:r>
      <w:r>
        <w:rPr>
          <w:rFonts w:hint="eastAsia" w:ascii="宋体" w:hAnsi="宋体"/>
          <w:color w:val="auto"/>
          <w:sz w:val="24"/>
          <w:highlight w:val="none"/>
        </w:rPr>
        <w:t>，供应商后一轮报价不得高于其前一轮报价；否则磋商小组有权据此确定为无效报价，参与磋商的供应商少于三家的予以废标。</w:t>
      </w:r>
    </w:p>
    <w:p>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7.5</w:t>
      </w:r>
      <w:r>
        <w:rPr>
          <w:rFonts w:hint="eastAsia" w:ascii="宋体" w:hAnsi="宋体"/>
          <w:color w:val="auto"/>
          <w:sz w:val="24"/>
          <w:highlight w:val="none"/>
        </w:rPr>
        <w:t>特殊情况及处置：</w:t>
      </w:r>
    </w:p>
    <w:p>
      <w:pPr>
        <w:numPr>
          <w:ilvl w:val="0"/>
          <w:numId w:val="6"/>
        </w:numPr>
        <w:spacing w:line="360" w:lineRule="auto"/>
        <w:ind w:left="420" w:leftChars="0" w:firstLineChars="0"/>
        <w:rPr>
          <w:rFonts w:hint="eastAsia" w:ascii="宋体" w:hAnsi="宋体"/>
          <w:color w:val="auto"/>
          <w:sz w:val="24"/>
          <w:highlight w:val="none"/>
        </w:rPr>
      </w:pPr>
      <w:r>
        <w:rPr>
          <w:rFonts w:hint="eastAsia" w:ascii="宋体" w:hAnsi="宋体"/>
          <w:color w:val="auto"/>
          <w:sz w:val="24"/>
          <w:highlight w:val="none"/>
        </w:rPr>
        <w:t>采购范围变化且总价不超过预算价的；</w:t>
      </w:r>
    </w:p>
    <w:p>
      <w:pPr>
        <w:numPr>
          <w:ilvl w:val="0"/>
          <w:numId w:val="6"/>
        </w:numPr>
        <w:spacing w:line="360" w:lineRule="auto"/>
        <w:ind w:left="420" w:leftChars="0" w:firstLineChars="0"/>
        <w:rPr>
          <w:rFonts w:hint="eastAsia" w:ascii="宋体" w:hAnsi="宋体"/>
          <w:color w:val="auto"/>
          <w:sz w:val="24"/>
          <w:highlight w:val="none"/>
        </w:rPr>
      </w:pPr>
      <w:r>
        <w:rPr>
          <w:rFonts w:hint="eastAsia" w:ascii="宋体" w:hAnsi="宋体"/>
          <w:color w:val="auto"/>
          <w:sz w:val="24"/>
          <w:highlight w:val="none"/>
        </w:rPr>
        <w:t>采购货物的市场价格明显降价的；</w:t>
      </w:r>
    </w:p>
    <w:p>
      <w:pPr>
        <w:numPr>
          <w:ilvl w:val="0"/>
          <w:numId w:val="6"/>
        </w:numPr>
        <w:spacing w:line="360" w:lineRule="auto"/>
        <w:ind w:left="420" w:leftChars="0" w:firstLineChars="0"/>
        <w:rPr>
          <w:rFonts w:hint="eastAsia" w:ascii="宋体" w:hAnsi="宋体"/>
          <w:color w:val="auto"/>
          <w:sz w:val="24"/>
          <w:highlight w:val="none"/>
        </w:rPr>
      </w:pPr>
      <w:r>
        <w:rPr>
          <w:rFonts w:hint="eastAsia" w:ascii="宋体" w:hAnsi="宋体"/>
          <w:color w:val="auto"/>
          <w:sz w:val="24"/>
          <w:highlight w:val="none"/>
        </w:rPr>
        <w:t>报价明细中个别报价明显高于市场价且无明确报价依据的；</w:t>
      </w:r>
    </w:p>
    <w:p>
      <w:pPr>
        <w:numPr>
          <w:ilvl w:val="0"/>
          <w:numId w:val="6"/>
        </w:numPr>
        <w:spacing w:line="360" w:lineRule="auto"/>
        <w:ind w:left="420" w:leftChars="0" w:firstLineChars="0"/>
        <w:rPr>
          <w:rFonts w:hint="eastAsia" w:ascii="宋体" w:hAnsi="宋体"/>
          <w:color w:val="auto"/>
          <w:sz w:val="24"/>
          <w:highlight w:val="none"/>
        </w:rPr>
      </w:pPr>
      <w:r>
        <w:rPr>
          <w:rFonts w:hint="eastAsia" w:ascii="宋体" w:hAnsi="宋体"/>
          <w:color w:val="auto"/>
          <w:sz w:val="24"/>
          <w:highlight w:val="none"/>
        </w:rPr>
        <w:t>最后一轮报价中最低报价相同的。</w:t>
      </w:r>
    </w:p>
    <w:p>
      <w:pPr>
        <w:numPr>
          <w:ilvl w:val="0"/>
          <w:numId w:val="0"/>
        </w:numPr>
        <w:spacing w:line="360" w:lineRule="auto"/>
        <w:ind w:left="420" w:leftChars="0" w:firstLine="240" w:firstLineChars="100"/>
        <w:rPr>
          <w:rFonts w:hint="eastAsia" w:ascii="宋体" w:hAnsi="宋体"/>
          <w:color w:val="auto"/>
          <w:sz w:val="24"/>
          <w:highlight w:val="none"/>
        </w:rPr>
      </w:pPr>
      <w:r>
        <w:rPr>
          <w:rFonts w:hint="eastAsia" w:ascii="宋体" w:hAnsi="宋体"/>
          <w:color w:val="auto"/>
          <w:sz w:val="24"/>
          <w:highlight w:val="none"/>
        </w:rPr>
        <w:t>发生上述情形之一的，磋商小组有权予以废标或者与供应商进行磋商后继续报价。</w:t>
      </w:r>
    </w:p>
    <w:p>
      <w:pPr>
        <w:numPr>
          <w:ilvl w:val="0"/>
          <w:numId w:val="0"/>
        </w:num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7.6</w:t>
      </w:r>
      <w:r>
        <w:rPr>
          <w:rFonts w:ascii="宋体" w:hAnsi="宋体"/>
          <w:color w:val="auto"/>
          <w:sz w:val="24"/>
          <w:highlight w:val="none"/>
        </w:rPr>
        <w:t>磋商小组所有成员应当集中与单一供应商分别进行磋商，并给予所有参加磋商的供应商平等的磋商机会。</w:t>
      </w:r>
      <w:r>
        <w:rPr>
          <w:rFonts w:hint="eastAsia" w:ascii="宋体" w:hAnsi="宋体"/>
          <w:color w:val="auto"/>
          <w:sz w:val="24"/>
          <w:highlight w:val="none"/>
        </w:rPr>
        <w:t>在磋商中，磋商的任何一方不得透露与磋商有关的其他供应商的技术资料、价格和其他信息。磋商文件有实质性变动的，磋商小组应当以书面形式通知所有参加磋商的供应商。</w:t>
      </w:r>
    </w:p>
    <w:p>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7</w:t>
      </w:r>
      <w:r>
        <w:rPr>
          <w:rFonts w:hint="eastAsia" w:ascii="宋体" w:hAnsi="宋体"/>
          <w:color w:val="auto"/>
          <w:sz w:val="24"/>
          <w:highlight w:val="none"/>
        </w:rPr>
        <w:t>.</w:t>
      </w:r>
      <w:r>
        <w:rPr>
          <w:rFonts w:hint="eastAsia" w:ascii="宋体" w:hAnsi="宋体"/>
          <w:color w:val="auto"/>
          <w:sz w:val="24"/>
          <w:highlight w:val="none"/>
          <w:lang w:val="en-US" w:eastAsia="zh-CN"/>
        </w:rPr>
        <w:t>7</w:t>
      </w:r>
      <w:r>
        <w:rPr>
          <w:rFonts w:ascii="宋体" w:hAnsi="宋体"/>
          <w:color w:val="auto"/>
          <w:sz w:val="24"/>
          <w:highlight w:val="none"/>
        </w:rPr>
        <w:t>磋商结束后，磋商小组应当要求所有实质性响应的供应商在规定时间内提交最后报价，经磋商确定最终采购需求和提交最后报价的供应商后，由磋商小组采用综合评分法对提交最后报价的供应商的响应文件和最后报价进行综合评分。</w:t>
      </w:r>
    </w:p>
    <w:p>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7</w:t>
      </w:r>
      <w:r>
        <w:rPr>
          <w:rFonts w:hint="eastAsia" w:ascii="宋体" w:hAnsi="宋体"/>
          <w:color w:val="auto"/>
          <w:sz w:val="24"/>
          <w:highlight w:val="none"/>
        </w:rPr>
        <w:t>.</w:t>
      </w:r>
      <w:r>
        <w:rPr>
          <w:rFonts w:hint="eastAsia" w:ascii="宋体" w:hAnsi="宋体"/>
          <w:color w:val="auto"/>
          <w:sz w:val="24"/>
          <w:highlight w:val="none"/>
          <w:lang w:val="en-US" w:eastAsia="zh-CN"/>
        </w:rPr>
        <w:t>8</w:t>
      </w:r>
      <w:r>
        <w:rPr>
          <w:rFonts w:hint="eastAsia" w:ascii="宋体" w:hAnsi="宋体"/>
          <w:color w:val="auto"/>
          <w:sz w:val="24"/>
          <w:highlight w:val="none"/>
        </w:rPr>
        <w:t>已提交响应文件的供应商，在提交最后报价之前，可以根据磋商情况退出磋商。采购人、采购代理机构应当退还退出磋商的供应商的保证金。</w:t>
      </w:r>
    </w:p>
    <w:p>
      <w:pPr>
        <w:spacing w:line="360" w:lineRule="auto"/>
        <w:rPr>
          <w:rFonts w:hint="eastAsia" w:ascii="宋体" w:hAnsi="宋体"/>
          <w:b/>
          <w:color w:val="auto"/>
          <w:sz w:val="24"/>
          <w:highlight w:val="none"/>
        </w:rPr>
      </w:pPr>
      <w:bookmarkStart w:id="400" w:name="_Toc13877"/>
      <w:r>
        <w:rPr>
          <w:rFonts w:hint="eastAsia" w:ascii="宋体" w:hAnsi="宋体"/>
          <w:b/>
          <w:color w:val="auto"/>
          <w:sz w:val="24"/>
          <w:highlight w:val="none"/>
          <w:lang w:val="en-US" w:eastAsia="zh-CN"/>
        </w:rPr>
        <w:t>8</w:t>
      </w:r>
      <w:r>
        <w:rPr>
          <w:rFonts w:hint="eastAsia" w:ascii="宋体" w:hAnsi="宋体"/>
          <w:b/>
          <w:color w:val="auto"/>
          <w:sz w:val="24"/>
          <w:highlight w:val="none"/>
        </w:rPr>
        <w:t>、磋商响应文件的详细评审</w:t>
      </w:r>
      <w:bookmarkEnd w:id="400"/>
    </w:p>
    <w:p>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8</w:t>
      </w:r>
      <w:r>
        <w:rPr>
          <w:rFonts w:hint="eastAsia" w:ascii="宋体" w:hAnsi="宋体"/>
          <w:color w:val="auto"/>
          <w:sz w:val="24"/>
          <w:highlight w:val="none"/>
        </w:rPr>
        <w:t>.1磋商小组将只对确定为实质上响应采购文件要求的磋商进行详细磋商。</w:t>
      </w:r>
    </w:p>
    <w:p>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8</w:t>
      </w:r>
      <w:r>
        <w:rPr>
          <w:rFonts w:hint="eastAsia" w:ascii="宋体" w:hAnsi="宋体"/>
          <w:color w:val="auto"/>
          <w:sz w:val="24"/>
          <w:highlight w:val="none"/>
        </w:rPr>
        <w:t>.2</w:t>
      </w:r>
      <w:r>
        <w:rPr>
          <w:rFonts w:ascii="宋体" w:hAnsi="宋体"/>
          <w:color w:val="auto"/>
          <w:sz w:val="24"/>
          <w:highlight w:val="none"/>
        </w:rPr>
        <w:t>综合评分法</w:t>
      </w:r>
      <w:r>
        <w:rPr>
          <w:rFonts w:hint="eastAsia" w:ascii="宋体" w:hAnsi="宋体"/>
          <w:color w:val="auto"/>
          <w:sz w:val="24"/>
          <w:highlight w:val="none"/>
        </w:rPr>
        <w:t>：</w:t>
      </w:r>
    </w:p>
    <w:p>
      <w:pPr>
        <w:pStyle w:val="4"/>
        <w:rPr>
          <w:rFonts w:hint="eastAsia" w:ascii="宋体" w:hAnsi="宋体" w:eastAsia="宋体"/>
          <w:color w:val="auto"/>
          <w:sz w:val="28"/>
          <w:highlight w:val="none"/>
        </w:rPr>
      </w:pPr>
      <w:bookmarkStart w:id="401" w:name="_Toc125"/>
      <w:bookmarkStart w:id="402" w:name="_Toc32000"/>
      <w:r>
        <w:rPr>
          <w:rFonts w:hint="eastAsia" w:ascii="宋体" w:hAnsi="宋体" w:eastAsia="宋体"/>
          <w:color w:val="auto"/>
          <w:sz w:val="28"/>
          <w:highlight w:val="none"/>
          <w:lang w:eastAsia="zh-CN"/>
        </w:rPr>
        <w:t>四</w:t>
      </w:r>
      <w:r>
        <w:rPr>
          <w:rFonts w:hint="eastAsia" w:ascii="宋体" w:hAnsi="宋体" w:eastAsia="宋体"/>
          <w:color w:val="auto"/>
          <w:sz w:val="28"/>
          <w:highlight w:val="none"/>
        </w:rPr>
        <w:t>、评标过程的保密性</w:t>
      </w:r>
      <w:bookmarkEnd w:id="391"/>
      <w:bookmarkEnd w:id="401"/>
      <w:bookmarkEnd w:id="402"/>
    </w:p>
    <w:p>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1.开标后，至到向</w:t>
      </w:r>
      <w:r>
        <w:rPr>
          <w:rFonts w:hint="eastAsia" w:ascii="宋体" w:hAnsi="宋体"/>
          <w:color w:val="auto"/>
          <w:sz w:val="24"/>
          <w:highlight w:val="none"/>
          <w:lang w:eastAsia="zh-CN"/>
        </w:rPr>
        <w:t>中标</w:t>
      </w:r>
      <w:r>
        <w:rPr>
          <w:rFonts w:hint="eastAsia" w:ascii="宋体" w:hAnsi="宋体"/>
          <w:color w:val="auto"/>
          <w:sz w:val="24"/>
          <w:highlight w:val="none"/>
        </w:rPr>
        <w:t>供应商授予合同时止，凡与审查、澄清、评价和比较投标的有关资料以及授标意见等，均不得向供应商及与评标无关的其他人透露。</w:t>
      </w:r>
    </w:p>
    <w:p>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2.在评标过程中，如果供应商试图在</w:t>
      </w:r>
      <w:r>
        <w:rPr>
          <w:rFonts w:hint="eastAsia" w:ascii="宋体" w:hAnsi="宋体"/>
          <w:color w:val="auto"/>
          <w:sz w:val="24"/>
          <w:highlight w:val="none"/>
          <w:lang w:eastAsia="zh-CN"/>
        </w:rPr>
        <w:t>磋商响应文件</w:t>
      </w:r>
      <w:r>
        <w:rPr>
          <w:rFonts w:hint="eastAsia" w:ascii="宋体" w:hAnsi="宋体"/>
          <w:color w:val="auto"/>
          <w:sz w:val="24"/>
          <w:highlight w:val="none"/>
        </w:rPr>
        <w:t>审查、澄清、比较及授予合同方面向采购人施加任何影响，其投标将被拒绝。</w:t>
      </w:r>
    </w:p>
    <w:p>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3.评标人员严格遵守国家的有关保密法律、法规的规定，严格自律，同时接受有关部门的监督、审查。</w:t>
      </w:r>
    </w:p>
    <w:p>
      <w:pPr>
        <w:pStyle w:val="4"/>
        <w:rPr>
          <w:rFonts w:hint="eastAsia" w:ascii="宋体" w:hAnsi="宋体" w:eastAsia="宋体"/>
          <w:color w:val="auto"/>
          <w:sz w:val="28"/>
          <w:highlight w:val="none"/>
        </w:rPr>
      </w:pPr>
      <w:bookmarkStart w:id="403" w:name="_Toc390084875"/>
      <w:bookmarkStart w:id="404" w:name="_Toc440062316"/>
      <w:bookmarkStart w:id="405" w:name="_Toc31742"/>
      <w:bookmarkStart w:id="406" w:name="_Toc390084939"/>
      <w:bookmarkStart w:id="407" w:name="_Toc457219474"/>
      <w:bookmarkStart w:id="408" w:name="_Toc443313416"/>
      <w:bookmarkStart w:id="409" w:name="_Toc440010911"/>
      <w:bookmarkStart w:id="410" w:name="_Toc390084399"/>
      <w:bookmarkStart w:id="411" w:name="_Toc440006363"/>
      <w:bookmarkStart w:id="412" w:name="_Toc389731544"/>
      <w:bookmarkStart w:id="413" w:name="_Toc440618828"/>
      <w:bookmarkStart w:id="414" w:name="_Toc390078433"/>
      <w:bookmarkStart w:id="415" w:name="_Toc443313567"/>
      <w:bookmarkStart w:id="416" w:name="_Toc476758967"/>
      <w:bookmarkStart w:id="417" w:name="_Toc8632"/>
      <w:r>
        <w:rPr>
          <w:rFonts w:hint="eastAsia" w:ascii="宋体" w:hAnsi="宋体" w:eastAsia="宋体"/>
          <w:color w:val="auto"/>
          <w:sz w:val="28"/>
          <w:highlight w:val="none"/>
          <w:lang w:eastAsia="zh-CN"/>
        </w:rPr>
        <w:t>五</w:t>
      </w:r>
      <w:r>
        <w:rPr>
          <w:rFonts w:hint="eastAsia" w:ascii="宋体" w:hAnsi="宋体" w:eastAsia="宋体"/>
          <w:color w:val="auto"/>
          <w:sz w:val="28"/>
          <w:highlight w:val="none"/>
        </w:rPr>
        <w:t>、定标方法</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eastAsia="zh-CN"/>
        </w:rPr>
        <w:t>磋商小组</w:t>
      </w:r>
      <w:r>
        <w:rPr>
          <w:rFonts w:hint="eastAsia" w:ascii="宋体" w:hAnsi="宋体"/>
          <w:color w:val="auto"/>
          <w:sz w:val="24"/>
          <w:highlight w:val="none"/>
        </w:rPr>
        <w:t>以开标、评标情况为基本依据，对符合条件的《</w:t>
      </w:r>
      <w:r>
        <w:rPr>
          <w:rFonts w:hint="eastAsia" w:ascii="宋体" w:hAnsi="宋体"/>
          <w:color w:val="auto"/>
          <w:sz w:val="24"/>
          <w:highlight w:val="none"/>
          <w:lang w:eastAsia="zh-CN"/>
        </w:rPr>
        <w:t>磋商响应文件</w:t>
      </w:r>
      <w:r>
        <w:rPr>
          <w:rFonts w:hint="eastAsia" w:ascii="宋体" w:hAnsi="宋体"/>
          <w:color w:val="auto"/>
          <w:sz w:val="24"/>
          <w:highlight w:val="none"/>
        </w:rPr>
        <w:t>》及供应商进行综合评审打分，总分值设定为</w:t>
      </w:r>
      <w:r>
        <w:rPr>
          <w:rFonts w:hint="eastAsia" w:ascii="宋体" w:hAnsi="宋体"/>
          <w:b/>
          <w:color w:val="auto"/>
          <w:sz w:val="24"/>
          <w:highlight w:val="none"/>
        </w:rPr>
        <w:t>100</w:t>
      </w:r>
      <w:r>
        <w:rPr>
          <w:rFonts w:hint="eastAsia" w:ascii="宋体" w:hAnsi="宋体"/>
          <w:color w:val="auto"/>
          <w:sz w:val="24"/>
          <w:highlight w:val="none"/>
        </w:rPr>
        <w:t>分。</w:t>
      </w:r>
    </w:p>
    <w:p>
      <w:pPr>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2.本项目采用“综合评分法”定标，即指在最大限度地满足</w:t>
      </w:r>
      <w:r>
        <w:rPr>
          <w:rFonts w:hint="eastAsia" w:ascii="宋体" w:hAnsi="宋体"/>
          <w:color w:val="auto"/>
          <w:sz w:val="24"/>
          <w:highlight w:val="none"/>
          <w:lang w:eastAsia="zh-CN"/>
        </w:rPr>
        <w:t>磋商文件</w:t>
      </w:r>
      <w:r>
        <w:rPr>
          <w:rFonts w:hint="eastAsia" w:ascii="宋体" w:hAnsi="宋体"/>
          <w:color w:val="auto"/>
          <w:sz w:val="24"/>
          <w:highlight w:val="none"/>
        </w:rPr>
        <w:t>实质性要求前提下，按照</w:t>
      </w:r>
      <w:r>
        <w:rPr>
          <w:rFonts w:hint="eastAsia" w:ascii="宋体" w:hAnsi="宋体"/>
          <w:color w:val="auto"/>
          <w:sz w:val="24"/>
          <w:highlight w:val="none"/>
          <w:lang w:eastAsia="zh-CN"/>
        </w:rPr>
        <w:t>磋商文件</w:t>
      </w:r>
      <w:r>
        <w:rPr>
          <w:rFonts w:hint="eastAsia" w:ascii="宋体" w:hAnsi="宋体"/>
          <w:color w:val="auto"/>
          <w:sz w:val="24"/>
          <w:highlight w:val="none"/>
        </w:rPr>
        <w:t>中规定的各项因素进行综合评审后，按照评标总得分由高到低进行排名顺序确定</w:t>
      </w:r>
      <w:r>
        <w:rPr>
          <w:rFonts w:hint="eastAsia" w:ascii="宋体" w:hAnsi="宋体"/>
          <w:color w:val="auto"/>
          <w:sz w:val="24"/>
          <w:highlight w:val="none"/>
          <w:lang w:eastAsia="zh-CN"/>
        </w:rPr>
        <w:t>中标</w:t>
      </w:r>
      <w:r>
        <w:rPr>
          <w:rFonts w:hint="eastAsia" w:ascii="宋体" w:hAnsi="宋体"/>
          <w:color w:val="auto"/>
          <w:sz w:val="24"/>
          <w:highlight w:val="none"/>
        </w:rPr>
        <w:t>供应商</w:t>
      </w:r>
      <w:r>
        <w:rPr>
          <w:rFonts w:hint="eastAsia" w:ascii="宋体" w:hAnsi="宋体"/>
          <w:color w:val="auto"/>
          <w:sz w:val="24"/>
          <w:highlight w:val="none"/>
          <w:lang w:eastAsia="zh-CN"/>
        </w:rPr>
        <w:t>，本项目不保证最低价中标。</w:t>
      </w:r>
    </w:p>
    <w:p>
      <w:pPr>
        <w:pStyle w:val="4"/>
        <w:rPr>
          <w:rFonts w:hint="eastAsia" w:ascii="宋体" w:hAnsi="宋体" w:eastAsia="宋体"/>
          <w:color w:val="auto"/>
          <w:kern w:val="44"/>
          <w:sz w:val="28"/>
          <w:highlight w:val="none"/>
        </w:rPr>
      </w:pPr>
      <w:bookmarkStart w:id="418" w:name="_Toc26789"/>
      <w:bookmarkStart w:id="419" w:name="_Toc476758968"/>
      <w:bookmarkStart w:id="420" w:name="_Toc12851"/>
      <w:r>
        <w:rPr>
          <w:rFonts w:hint="eastAsia" w:ascii="宋体" w:hAnsi="宋体" w:eastAsia="宋体"/>
          <w:color w:val="auto"/>
          <w:sz w:val="28"/>
          <w:highlight w:val="none"/>
          <w:lang w:eastAsia="zh-CN"/>
        </w:rPr>
        <w:t>六</w:t>
      </w:r>
      <w:r>
        <w:rPr>
          <w:rFonts w:hint="eastAsia" w:ascii="宋体" w:hAnsi="宋体" w:eastAsia="宋体"/>
          <w:color w:val="auto"/>
          <w:sz w:val="28"/>
          <w:highlight w:val="none"/>
        </w:rPr>
        <w:t>、评标程序及标准</w:t>
      </w:r>
      <w:r>
        <w:rPr>
          <w:rFonts w:hint="eastAsia" w:ascii="宋体" w:hAnsi="宋体" w:eastAsia="宋体"/>
          <w:color w:val="auto"/>
          <w:kern w:val="44"/>
          <w:sz w:val="28"/>
          <w:highlight w:val="none"/>
        </w:rPr>
        <w:t>（综合评分法）</w:t>
      </w:r>
      <w:bookmarkEnd w:id="418"/>
      <w:bookmarkEnd w:id="419"/>
      <w:bookmarkEnd w:id="420"/>
    </w:p>
    <w:p>
      <w:pPr>
        <w:spacing w:line="360" w:lineRule="auto"/>
        <w:ind w:firstLine="482" w:firstLineChars="200"/>
        <w:jc w:val="left"/>
        <w:rPr>
          <w:rFonts w:hint="eastAsia" w:ascii="宋体" w:hAnsi="宋体" w:cs="Arial"/>
          <w:b/>
          <w:color w:val="auto"/>
          <w:sz w:val="24"/>
          <w:highlight w:val="none"/>
        </w:rPr>
      </w:pPr>
      <w:r>
        <w:rPr>
          <w:rFonts w:hint="eastAsia" w:ascii="宋体" w:hAnsi="宋体" w:cs="Arial"/>
          <w:b/>
          <w:color w:val="auto"/>
          <w:sz w:val="24"/>
          <w:highlight w:val="none"/>
        </w:rPr>
        <w:t>1.评标准备工作</w:t>
      </w:r>
    </w:p>
    <w:p>
      <w:pPr>
        <w:spacing w:line="360" w:lineRule="auto"/>
        <w:ind w:firstLine="480" w:firstLineChars="200"/>
        <w:jc w:val="left"/>
        <w:rPr>
          <w:rFonts w:hint="eastAsia" w:ascii="宋体" w:hAnsi="宋体" w:cs="Arial"/>
          <w:color w:val="auto"/>
          <w:sz w:val="24"/>
          <w:highlight w:val="none"/>
        </w:rPr>
      </w:pPr>
      <w:r>
        <w:rPr>
          <w:rFonts w:hint="eastAsia" w:ascii="宋体" w:hAnsi="宋体" w:cs="Arial"/>
          <w:color w:val="auto"/>
          <w:sz w:val="24"/>
          <w:highlight w:val="none"/>
          <w:lang w:eastAsia="zh-CN"/>
        </w:rPr>
        <w:t>磋商小组</w:t>
      </w:r>
      <w:r>
        <w:rPr>
          <w:rFonts w:hint="eastAsia" w:ascii="宋体" w:hAnsi="宋体" w:cs="Arial"/>
          <w:color w:val="auto"/>
          <w:sz w:val="24"/>
          <w:highlight w:val="none"/>
        </w:rPr>
        <w:t>成员应当认真阅读</w:t>
      </w:r>
      <w:r>
        <w:rPr>
          <w:rFonts w:hint="eastAsia" w:ascii="宋体" w:hAnsi="宋体" w:cs="Arial"/>
          <w:color w:val="auto"/>
          <w:sz w:val="24"/>
          <w:highlight w:val="none"/>
          <w:lang w:eastAsia="zh-CN"/>
        </w:rPr>
        <w:t>磋商文件</w:t>
      </w:r>
      <w:r>
        <w:rPr>
          <w:rFonts w:hint="eastAsia" w:ascii="宋体" w:hAnsi="宋体" w:cs="Arial"/>
          <w:color w:val="auto"/>
          <w:sz w:val="24"/>
          <w:highlight w:val="none"/>
        </w:rPr>
        <w:t>，全面正确地理解和掌握以下内容：</w:t>
      </w:r>
    </w:p>
    <w:p>
      <w:pPr>
        <w:spacing w:line="360" w:lineRule="auto"/>
        <w:ind w:firstLine="480" w:firstLineChars="200"/>
        <w:jc w:val="left"/>
        <w:rPr>
          <w:rFonts w:hint="eastAsia" w:ascii="宋体" w:hAnsi="宋体" w:cs="Arial"/>
          <w:color w:val="auto"/>
          <w:sz w:val="24"/>
          <w:highlight w:val="none"/>
        </w:rPr>
      </w:pPr>
      <w:r>
        <w:rPr>
          <w:rFonts w:hint="eastAsia" w:ascii="宋体" w:hAnsi="宋体" w:cs="Arial"/>
          <w:color w:val="auto"/>
          <w:sz w:val="24"/>
          <w:highlight w:val="none"/>
        </w:rPr>
        <w:t>①招标的目的；</w:t>
      </w:r>
    </w:p>
    <w:p>
      <w:pPr>
        <w:spacing w:line="360" w:lineRule="auto"/>
        <w:ind w:firstLine="480" w:firstLineChars="200"/>
        <w:jc w:val="left"/>
        <w:rPr>
          <w:rFonts w:hint="eastAsia" w:ascii="宋体" w:hAnsi="宋体" w:cs="Arial"/>
          <w:color w:val="auto"/>
          <w:sz w:val="24"/>
          <w:highlight w:val="none"/>
        </w:rPr>
      </w:pPr>
      <w:r>
        <w:rPr>
          <w:rFonts w:hint="eastAsia" w:ascii="宋体" w:hAnsi="宋体" w:cs="Arial"/>
          <w:color w:val="auto"/>
          <w:sz w:val="24"/>
          <w:highlight w:val="none"/>
        </w:rPr>
        <w:t>②招标的范围和性质；</w:t>
      </w:r>
    </w:p>
    <w:p>
      <w:pPr>
        <w:spacing w:line="360" w:lineRule="auto"/>
        <w:ind w:firstLine="480" w:firstLineChars="200"/>
        <w:jc w:val="left"/>
        <w:rPr>
          <w:rFonts w:hint="eastAsia" w:ascii="宋体" w:hAnsi="宋体" w:cs="Arial"/>
          <w:color w:val="auto"/>
          <w:sz w:val="24"/>
          <w:highlight w:val="none"/>
        </w:rPr>
      </w:pPr>
      <w:r>
        <w:rPr>
          <w:rFonts w:hint="eastAsia" w:ascii="宋体" w:hAnsi="宋体" w:cs="Arial"/>
          <w:color w:val="auto"/>
          <w:sz w:val="24"/>
          <w:highlight w:val="none"/>
        </w:rPr>
        <w:t>③</w:t>
      </w:r>
      <w:r>
        <w:rPr>
          <w:rFonts w:hint="eastAsia" w:ascii="宋体" w:hAnsi="宋体" w:cs="Arial"/>
          <w:color w:val="auto"/>
          <w:sz w:val="24"/>
          <w:highlight w:val="none"/>
          <w:lang w:eastAsia="zh-CN"/>
        </w:rPr>
        <w:t>磋商文件</w:t>
      </w:r>
      <w:r>
        <w:rPr>
          <w:rFonts w:hint="eastAsia" w:ascii="宋体" w:hAnsi="宋体" w:cs="Arial"/>
          <w:color w:val="auto"/>
          <w:sz w:val="24"/>
          <w:highlight w:val="none"/>
        </w:rPr>
        <w:t>的主要商务、技术条款要求；</w:t>
      </w:r>
    </w:p>
    <w:p>
      <w:pPr>
        <w:spacing w:line="360" w:lineRule="auto"/>
        <w:ind w:firstLine="480" w:firstLineChars="200"/>
        <w:jc w:val="left"/>
        <w:rPr>
          <w:rFonts w:hint="eastAsia" w:ascii="宋体" w:hAnsi="宋体" w:cs="Arial"/>
          <w:color w:val="auto"/>
          <w:sz w:val="24"/>
          <w:highlight w:val="none"/>
        </w:rPr>
      </w:pPr>
      <w:r>
        <w:rPr>
          <w:rFonts w:hint="eastAsia" w:ascii="宋体" w:hAnsi="宋体" w:cs="Arial"/>
          <w:color w:val="auto"/>
          <w:sz w:val="24"/>
          <w:highlight w:val="none"/>
        </w:rPr>
        <w:t>④</w:t>
      </w:r>
      <w:r>
        <w:rPr>
          <w:rFonts w:hint="eastAsia" w:ascii="宋体" w:hAnsi="宋体" w:cs="Arial"/>
          <w:color w:val="auto"/>
          <w:sz w:val="24"/>
          <w:highlight w:val="none"/>
          <w:lang w:eastAsia="zh-CN"/>
        </w:rPr>
        <w:t>磋商文件</w:t>
      </w:r>
      <w:r>
        <w:rPr>
          <w:rFonts w:hint="eastAsia" w:ascii="宋体" w:hAnsi="宋体" w:cs="Arial"/>
          <w:color w:val="auto"/>
          <w:sz w:val="24"/>
          <w:highlight w:val="none"/>
        </w:rPr>
        <w:t>规定的评标标准、评标方法和在评标过程中要考虑的因素。</w:t>
      </w:r>
    </w:p>
    <w:p>
      <w:pPr>
        <w:adjustRightInd w:val="0"/>
        <w:snapToGrid w:val="0"/>
        <w:spacing w:line="360" w:lineRule="auto"/>
        <w:ind w:firstLine="482" w:firstLineChars="200"/>
        <w:jc w:val="left"/>
        <w:rPr>
          <w:rFonts w:hint="eastAsia" w:ascii="宋体" w:hAnsi="宋体"/>
          <w:color w:val="auto"/>
          <w:sz w:val="24"/>
          <w:highlight w:val="none"/>
        </w:rPr>
      </w:pPr>
      <w:r>
        <w:rPr>
          <w:rFonts w:hint="eastAsia" w:ascii="宋体" w:hAnsi="宋体"/>
          <w:b/>
          <w:color w:val="auto"/>
          <w:sz w:val="24"/>
          <w:highlight w:val="none"/>
        </w:rPr>
        <w:t>2.评审（资格后审）</w:t>
      </w:r>
      <w:r>
        <w:rPr>
          <w:rFonts w:hint="eastAsia" w:ascii="宋体" w:hAnsi="宋体"/>
          <w:color w:val="auto"/>
          <w:sz w:val="24"/>
          <w:highlight w:val="none"/>
        </w:rPr>
        <w:t>：</w:t>
      </w:r>
    </w:p>
    <w:p>
      <w:pPr>
        <w:adjustRightInd w:val="0"/>
        <w:snapToGrid w:val="0"/>
        <w:spacing w:line="360" w:lineRule="auto"/>
        <w:ind w:firstLine="482" w:firstLineChars="200"/>
        <w:rPr>
          <w:rFonts w:hint="eastAsia" w:ascii="宋体" w:hAnsi="宋体"/>
          <w:color w:val="auto"/>
          <w:sz w:val="24"/>
          <w:highlight w:val="none"/>
        </w:rPr>
      </w:pPr>
      <w:r>
        <w:rPr>
          <w:rFonts w:hint="eastAsia" w:ascii="宋体" w:hAnsi="宋体"/>
          <w:b/>
          <w:color w:val="auto"/>
          <w:sz w:val="24"/>
          <w:highlight w:val="none"/>
        </w:rPr>
        <w:t>2.1资格性审查：</w:t>
      </w:r>
      <w:r>
        <w:rPr>
          <w:rFonts w:hint="eastAsia" w:ascii="宋体" w:hAnsi="宋体"/>
          <w:color w:val="auto"/>
          <w:sz w:val="24"/>
          <w:highlight w:val="none"/>
        </w:rPr>
        <w:t>依据法律法规和《</w:t>
      </w:r>
      <w:r>
        <w:rPr>
          <w:rFonts w:hint="eastAsia" w:ascii="宋体" w:hAnsi="宋体"/>
          <w:color w:val="auto"/>
          <w:sz w:val="24"/>
          <w:highlight w:val="none"/>
          <w:lang w:eastAsia="zh-CN"/>
        </w:rPr>
        <w:t>磋商文件</w:t>
      </w:r>
      <w:r>
        <w:rPr>
          <w:rFonts w:hint="eastAsia" w:ascii="宋体" w:hAnsi="宋体"/>
          <w:color w:val="auto"/>
          <w:sz w:val="24"/>
          <w:highlight w:val="none"/>
        </w:rPr>
        <w:t>》的规定，对《</w:t>
      </w:r>
      <w:r>
        <w:rPr>
          <w:rFonts w:hint="eastAsia" w:ascii="宋体" w:hAnsi="宋体"/>
          <w:color w:val="auto"/>
          <w:sz w:val="24"/>
          <w:highlight w:val="none"/>
          <w:lang w:eastAsia="zh-CN"/>
        </w:rPr>
        <w:t>磋商响应文件</w:t>
      </w:r>
      <w:r>
        <w:rPr>
          <w:rFonts w:hint="eastAsia" w:ascii="宋体" w:hAnsi="宋体"/>
          <w:color w:val="auto"/>
          <w:sz w:val="24"/>
          <w:highlight w:val="none"/>
        </w:rPr>
        <w:t>》中的资格证明、投标保证金等进行审查，以确定供应商是否具备投标资格。</w:t>
      </w:r>
    </w:p>
    <w:p>
      <w:pPr>
        <w:adjustRightInd w:val="0"/>
        <w:snapToGri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资格性审查有一项不符合的，由</w:t>
      </w:r>
      <w:r>
        <w:rPr>
          <w:rFonts w:hint="eastAsia" w:ascii="宋体" w:hAnsi="宋体"/>
          <w:color w:val="auto"/>
          <w:sz w:val="24"/>
          <w:highlight w:val="none"/>
          <w:lang w:eastAsia="zh-CN"/>
        </w:rPr>
        <w:t>磋商小组</w:t>
      </w:r>
      <w:r>
        <w:rPr>
          <w:rFonts w:hint="eastAsia" w:ascii="宋体" w:hAnsi="宋体"/>
          <w:color w:val="auto"/>
          <w:sz w:val="24"/>
          <w:highlight w:val="none"/>
        </w:rPr>
        <w:t>按无效投标处理</w:t>
      </w:r>
      <w:r>
        <w:rPr>
          <w:rFonts w:hint="eastAsia" w:ascii="宋体" w:hAnsi="宋体"/>
          <w:color w:val="auto"/>
          <w:sz w:val="24"/>
          <w:highlight w:val="none"/>
          <w:lang w:eastAsia="zh-CN"/>
        </w:rPr>
        <w:t>。</w:t>
      </w:r>
    </w:p>
    <w:p>
      <w:pPr>
        <w:adjustRightInd w:val="0"/>
        <w:snapToGrid w:val="0"/>
        <w:spacing w:line="360" w:lineRule="auto"/>
        <w:ind w:firstLine="562" w:firstLineChars="200"/>
        <w:rPr>
          <w:rFonts w:hint="eastAsia" w:ascii="宋体" w:hAnsi="宋体"/>
          <w:b/>
          <w:bCs/>
          <w:color w:val="auto"/>
          <w:sz w:val="28"/>
          <w:szCs w:val="28"/>
          <w:highlight w:val="none"/>
        </w:rPr>
      </w:pPr>
      <w:r>
        <w:rPr>
          <w:rFonts w:hint="eastAsia" w:ascii="宋体" w:hAnsi="宋体"/>
          <w:b/>
          <w:bCs/>
          <w:color w:val="auto"/>
          <w:sz w:val="28"/>
          <w:szCs w:val="28"/>
          <w:highlight w:val="none"/>
        </w:rPr>
        <w:t>资格性审查表：</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61"/>
        <w:gridCol w:w="69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jc w:val="center"/>
        </w:trPr>
        <w:tc>
          <w:tcPr>
            <w:tcW w:w="1861" w:type="dxa"/>
            <w:noWrap w:val="0"/>
            <w:vAlign w:val="center"/>
          </w:tcPr>
          <w:p>
            <w:pPr>
              <w:spacing w:line="280" w:lineRule="exact"/>
              <w:jc w:val="center"/>
              <w:rPr>
                <w:rFonts w:hint="eastAsia" w:ascii="宋体" w:hAnsi="宋体" w:cs="仿宋_GB2312"/>
                <w:color w:val="auto"/>
                <w:kern w:val="0"/>
                <w:sz w:val="24"/>
                <w:highlight w:val="none"/>
              </w:rPr>
            </w:pPr>
            <w:r>
              <w:rPr>
                <w:rFonts w:hint="eastAsia" w:ascii="宋体" w:hAnsi="宋体" w:cs="仿宋_GB2312"/>
                <w:color w:val="auto"/>
                <w:kern w:val="0"/>
                <w:sz w:val="24"/>
                <w:highlight w:val="none"/>
              </w:rPr>
              <w:t>评审内容</w:t>
            </w:r>
          </w:p>
        </w:tc>
        <w:tc>
          <w:tcPr>
            <w:tcW w:w="6958" w:type="dxa"/>
            <w:noWrap w:val="0"/>
            <w:vAlign w:val="center"/>
          </w:tcPr>
          <w:p>
            <w:pPr>
              <w:spacing w:line="280" w:lineRule="exact"/>
              <w:jc w:val="center"/>
              <w:rPr>
                <w:rFonts w:hint="eastAsia" w:ascii="宋体" w:hAnsi="宋体" w:cs="仿宋_GB2312"/>
                <w:color w:val="auto"/>
                <w:kern w:val="0"/>
                <w:sz w:val="24"/>
                <w:highlight w:val="none"/>
              </w:rPr>
            </w:pPr>
            <w:r>
              <w:rPr>
                <w:rFonts w:hint="eastAsia" w:ascii="宋体" w:hAnsi="宋体" w:cs="仿宋_GB2312"/>
                <w:color w:val="auto"/>
                <w:kern w:val="0"/>
                <w:sz w:val="24"/>
                <w:highlight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exact"/>
          <w:jc w:val="center"/>
        </w:trPr>
        <w:tc>
          <w:tcPr>
            <w:tcW w:w="1861" w:type="dxa"/>
            <w:vMerge w:val="restart"/>
            <w:noWrap w:val="0"/>
            <w:vAlign w:val="center"/>
          </w:tcPr>
          <w:p>
            <w:pPr>
              <w:spacing w:line="280" w:lineRule="exact"/>
              <w:jc w:val="center"/>
              <w:rPr>
                <w:rFonts w:hint="eastAsia" w:ascii="宋体" w:hAnsi="宋体" w:cs="仿宋_GB2312"/>
                <w:color w:val="auto"/>
                <w:kern w:val="0"/>
                <w:sz w:val="24"/>
                <w:highlight w:val="none"/>
              </w:rPr>
            </w:pPr>
            <w:r>
              <w:rPr>
                <w:rFonts w:hint="eastAsia" w:ascii="宋体" w:hAnsi="宋体" w:cs="仿宋_GB2312"/>
                <w:color w:val="auto"/>
                <w:kern w:val="0"/>
                <w:sz w:val="24"/>
                <w:highlight w:val="none"/>
              </w:rPr>
              <w:t>资格性</w:t>
            </w:r>
          </w:p>
          <w:p>
            <w:pPr>
              <w:spacing w:line="280" w:lineRule="exact"/>
              <w:jc w:val="center"/>
              <w:rPr>
                <w:rFonts w:hint="eastAsia" w:ascii="宋体" w:hAnsi="宋体" w:cs="仿宋_GB2312"/>
                <w:color w:val="auto"/>
                <w:kern w:val="0"/>
                <w:sz w:val="24"/>
                <w:highlight w:val="none"/>
              </w:rPr>
            </w:pPr>
            <w:r>
              <w:rPr>
                <w:rFonts w:hint="eastAsia" w:ascii="宋体" w:hAnsi="宋体" w:cs="仿宋_GB2312"/>
                <w:color w:val="auto"/>
                <w:kern w:val="0"/>
                <w:sz w:val="24"/>
                <w:highlight w:val="none"/>
              </w:rPr>
              <w:t>检查</w:t>
            </w:r>
          </w:p>
        </w:tc>
        <w:tc>
          <w:tcPr>
            <w:tcW w:w="6958" w:type="dxa"/>
            <w:noWrap w:val="0"/>
            <w:vAlign w:val="center"/>
          </w:tcPr>
          <w:p>
            <w:pPr>
              <w:spacing w:line="276" w:lineRule="auto"/>
              <w:jc w:val="left"/>
              <w:textAlignment w:val="baseline"/>
              <w:rPr>
                <w:rFonts w:hint="eastAsia" w:ascii="宋体" w:hAnsi="宋体" w:cs="仿宋_GB2312"/>
                <w:color w:val="auto"/>
                <w:kern w:val="0"/>
                <w:sz w:val="24"/>
                <w:highlight w:val="none"/>
              </w:rPr>
            </w:pPr>
            <w:r>
              <w:rPr>
                <w:rFonts w:hint="eastAsia" w:ascii="宋体" w:hAnsi="宋体"/>
                <w:bCs/>
                <w:color w:val="auto"/>
                <w:sz w:val="24"/>
                <w:highlight w:val="none"/>
                <w:lang w:val="en-US" w:eastAsia="zh-CN"/>
              </w:rPr>
              <w:t>是否具有有效经年检的三证合一营业执照；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exact"/>
          <w:jc w:val="center"/>
        </w:trPr>
        <w:tc>
          <w:tcPr>
            <w:tcW w:w="1861" w:type="dxa"/>
            <w:vMerge w:val="continue"/>
            <w:noWrap w:val="0"/>
            <w:vAlign w:val="center"/>
          </w:tcPr>
          <w:p>
            <w:pPr>
              <w:spacing w:line="280" w:lineRule="exact"/>
              <w:jc w:val="left"/>
              <w:rPr>
                <w:rFonts w:hint="eastAsia" w:ascii="宋体" w:hAnsi="宋体" w:cs="仿宋_GB2312"/>
                <w:color w:val="auto"/>
                <w:kern w:val="0"/>
                <w:sz w:val="24"/>
                <w:highlight w:val="none"/>
              </w:rPr>
            </w:pPr>
          </w:p>
        </w:tc>
        <w:tc>
          <w:tcPr>
            <w:tcW w:w="6958" w:type="dxa"/>
            <w:noWrap w:val="0"/>
            <w:vAlign w:val="center"/>
          </w:tcPr>
          <w:p>
            <w:pPr>
              <w:spacing w:line="276" w:lineRule="auto"/>
              <w:jc w:val="left"/>
              <w:textAlignment w:val="baseline"/>
              <w:rPr>
                <w:rFonts w:hint="eastAsia" w:ascii="宋体" w:hAnsi="宋体" w:cs="仿宋_GB2312"/>
                <w:color w:val="auto"/>
                <w:kern w:val="0"/>
                <w:sz w:val="24"/>
                <w:highlight w:val="none"/>
              </w:rPr>
            </w:pPr>
            <w:r>
              <w:rPr>
                <w:rFonts w:hint="eastAsia" w:ascii="宋体" w:hAnsi="宋体"/>
                <w:bCs/>
                <w:color w:val="auto"/>
                <w:sz w:val="24"/>
                <w:highlight w:val="none"/>
                <w:lang w:val="en-US" w:eastAsia="zh-CN"/>
              </w:rPr>
              <w:t>法定代表人到场需提供法定代表人身份证明及身份证原件，授权委托人到场的需提供附有法定代表人身份证明的授权委托书及被委托人身份证原件；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8" w:hRule="atLeast"/>
          <w:jc w:val="center"/>
        </w:trPr>
        <w:tc>
          <w:tcPr>
            <w:tcW w:w="1861" w:type="dxa"/>
            <w:vMerge w:val="continue"/>
            <w:noWrap w:val="0"/>
            <w:vAlign w:val="center"/>
          </w:tcPr>
          <w:p>
            <w:pPr>
              <w:spacing w:line="280" w:lineRule="exact"/>
              <w:jc w:val="left"/>
              <w:rPr>
                <w:rFonts w:hint="eastAsia" w:ascii="宋体" w:hAnsi="宋体" w:cs="仿宋_GB2312"/>
                <w:color w:val="auto"/>
                <w:kern w:val="0"/>
                <w:sz w:val="24"/>
                <w:highlight w:val="none"/>
              </w:rPr>
            </w:pPr>
          </w:p>
        </w:tc>
        <w:tc>
          <w:tcPr>
            <w:tcW w:w="6958" w:type="dxa"/>
            <w:noWrap w:val="0"/>
            <w:vAlign w:val="center"/>
          </w:tcPr>
          <w:p>
            <w:pPr>
              <w:spacing w:line="276" w:lineRule="auto"/>
              <w:jc w:val="left"/>
              <w:textAlignment w:val="baseline"/>
              <w:rPr>
                <w:rFonts w:hint="eastAsia" w:ascii="宋体" w:hAnsi="宋体" w:cs="仿宋_GB2312"/>
                <w:color w:val="auto"/>
                <w:kern w:val="0"/>
                <w:sz w:val="24"/>
                <w:highlight w:val="none"/>
              </w:rPr>
            </w:pPr>
            <w:r>
              <w:rPr>
                <w:rFonts w:hint="eastAsia" w:ascii="宋体" w:hAnsi="宋体"/>
                <w:bCs/>
                <w:color w:val="auto"/>
                <w:sz w:val="24"/>
                <w:highlight w:val="none"/>
                <w:lang w:val="en-US" w:eastAsia="zh-CN"/>
              </w:rPr>
              <w:t>具有有效的建筑工程施工总承包三级及以上资质、有效的安全生产许可证；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jc w:val="center"/>
        </w:trPr>
        <w:tc>
          <w:tcPr>
            <w:tcW w:w="1861" w:type="dxa"/>
            <w:vMerge w:val="continue"/>
            <w:noWrap w:val="0"/>
            <w:vAlign w:val="center"/>
          </w:tcPr>
          <w:p>
            <w:pPr>
              <w:spacing w:line="280" w:lineRule="exact"/>
              <w:jc w:val="left"/>
              <w:rPr>
                <w:rFonts w:hint="eastAsia" w:ascii="宋体" w:hAnsi="宋体" w:cs="仿宋_GB2312"/>
                <w:color w:val="auto"/>
                <w:kern w:val="0"/>
                <w:sz w:val="24"/>
                <w:highlight w:val="none"/>
              </w:rPr>
            </w:pPr>
          </w:p>
        </w:tc>
        <w:tc>
          <w:tcPr>
            <w:tcW w:w="6958" w:type="dxa"/>
            <w:noWrap w:val="0"/>
            <w:vAlign w:val="center"/>
          </w:tcPr>
          <w:p>
            <w:pPr>
              <w:spacing w:line="276" w:lineRule="auto"/>
              <w:jc w:val="left"/>
              <w:textAlignment w:val="baseline"/>
              <w:rPr>
                <w:rFonts w:hint="eastAsia" w:ascii="宋体" w:hAnsi="宋体" w:cs="仿宋_GB2312"/>
                <w:color w:val="auto"/>
                <w:kern w:val="0"/>
                <w:sz w:val="24"/>
                <w:highlight w:val="none"/>
              </w:rPr>
            </w:pPr>
            <w:r>
              <w:rPr>
                <w:rFonts w:hint="eastAsia" w:ascii="宋体" w:hAnsi="宋体"/>
                <w:bCs/>
                <w:color w:val="auto"/>
                <w:sz w:val="24"/>
                <w:highlight w:val="none"/>
                <w:lang w:val="en-US" w:eastAsia="zh-CN"/>
              </w:rPr>
              <w:t>项目负责人须具备建筑工程二级及以上注册建造师证、安全生产考核合格证书；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9" w:hRule="atLeast"/>
          <w:jc w:val="center"/>
        </w:trPr>
        <w:tc>
          <w:tcPr>
            <w:tcW w:w="1861" w:type="dxa"/>
            <w:vMerge w:val="continue"/>
            <w:noWrap w:val="0"/>
            <w:vAlign w:val="center"/>
          </w:tcPr>
          <w:p>
            <w:pPr>
              <w:spacing w:line="280" w:lineRule="exact"/>
              <w:jc w:val="left"/>
              <w:rPr>
                <w:rFonts w:hint="eastAsia" w:ascii="宋体" w:hAnsi="宋体" w:cs="仿宋_GB2312"/>
                <w:color w:val="auto"/>
                <w:kern w:val="0"/>
                <w:sz w:val="24"/>
                <w:highlight w:val="none"/>
              </w:rPr>
            </w:pPr>
          </w:p>
        </w:tc>
        <w:tc>
          <w:tcPr>
            <w:tcW w:w="6958" w:type="dxa"/>
            <w:noWrap w:val="0"/>
            <w:vAlign w:val="center"/>
          </w:tcPr>
          <w:p>
            <w:pPr>
              <w:spacing w:line="276" w:lineRule="auto"/>
              <w:jc w:val="left"/>
              <w:textAlignment w:val="baseline"/>
              <w:rPr>
                <w:rFonts w:hint="eastAsia" w:ascii="宋体" w:hAnsi="宋体" w:cs="仿宋_GB2312"/>
                <w:color w:val="auto"/>
                <w:kern w:val="0"/>
                <w:sz w:val="24"/>
                <w:highlight w:val="none"/>
              </w:rPr>
            </w:pPr>
            <w:r>
              <w:rPr>
                <w:rFonts w:hint="eastAsia" w:ascii="宋体" w:hAnsi="宋体"/>
                <w:bCs/>
                <w:color w:val="auto"/>
                <w:sz w:val="24"/>
                <w:highlight w:val="none"/>
                <w:lang w:val="en-US" w:eastAsia="zh-CN"/>
              </w:rPr>
              <w:t>提供近六个月完税证明和盖有社保局公章的近三个月社保缴纳证明（含委托代理人、建造师、技术负责人、施工员、安全员、质量员的社保明细）；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1861" w:type="dxa"/>
            <w:vMerge w:val="continue"/>
            <w:noWrap w:val="0"/>
            <w:vAlign w:val="center"/>
          </w:tcPr>
          <w:p>
            <w:pPr>
              <w:spacing w:line="280" w:lineRule="exact"/>
              <w:jc w:val="left"/>
              <w:rPr>
                <w:rFonts w:hint="eastAsia" w:ascii="宋体" w:hAnsi="宋体" w:cs="仿宋_GB2312"/>
                <w:color w:val="auto"/>
                <w:kern w:val="0"/>
                <w:sz w:val="24"/>
                <w:highlight w:val="none"/>
              </w:rPr>
            </w:pPr>
          </w:p>
        </w:tc>
        <w:tc>
          <w:tcPr>
            <w:tcW w:w="6958" w:type="dxa"/>
            <w:noWrap w:val="0"/>
            <w:vAlign w:val="center"/>
          </w:tcPr>
          <w:p>
            <w:pPr>
              <w:spacing w:line="276" w:lineRule="auto"/>
              <w:jc w:val="left"/>
              <w:textAlignment w:val="baseline"/>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具有近三年的财务审计报告或公司成立不足一年提供财务报表；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jc w:val="center"/>
        </w:trPr>
        <w:tc>
          <w:tcPr>
            <w:tcW w:w="1861" w:type="dxa"/>
            <w:vMerge w:val="continue"/>
            <w:noWrap w:val="0"/>
            <w:vAlign w:val="center"/>
          </w:tcPr>
          <w:p>
            <w:pPr>
              <w:spacing w:line="280" w:lineRule="exact"/>
              <w:jc w:val="left"/>
              <w:rPr>
                <w:rFonts w:hint="eastAsia" w:ascii="宋体" w:hAnsi="宋体" w:cs="仿宋_GB2312"/>
                <w:color w:val="auto"/>
                <w:kern w:val="0"/>
                <w:sz w:val="24"/>
                <w:highlight w:val="none"/>
              </w:rPr>
            </w:pPr>
          </w:p>
        </w:tc>
        <w:tc>
          <w:tcPr>
            <w:tcW w:w="6958" w:type="dxa"/>
            <w:noWrap w:val="0"/>
            <w:vAlign w:val="center"/>
          </w:tcPr>
          <w:p>
            <w:pPr>
              <w:spacing w:line="276" w:lineRule="auto"/>
              <w:jc w:val="left"/>
              <w:textAlignment w:val="baseline"/>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外省投标企业须提供《新疆维吾尔自治区区外建设工程企业信息登记册》或新疆工程建设云下载审核通过的信息报送册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1861" w:type="dxa"/>
            <w:vMerge w:val="continue"/>
            <w:noWrap w:val="0"/>
            <w:vAlign w:val="center"/>
          </w:tcPr>
          <w:p>
            <w:pPr>
              <w:spacing w:line="280" w:lineRule="exact"/>
              <w:jc w:val="left"/>
              <w:rPr>
                <w:rFonts w:hint="eastAsia" w:ascii="宋体" w:hAnsi="宋体" w:cs="仿宋_GB2312"/>
                <w:color w:val="auto"/>
                <w:kern w:val="0"/>
                <w:sz w:val="24"/>
                <w:highlight w:val="none"/>
              </w:rPr>
            </w:pPr>
          </w:p>
        </w:tc>
        <w:tc>
          <w:tcPr>
            <w:tcW w:w="6958" w:type="dxa"/>
            <w:noWrap w:val="0"/>
            <w:vAlign w:val="center"/>
          </w:tcPr>
          <w:p>
            <w:pPr>
              <w:spacing w:line="276" w:lineRule="auto"/>
              <w:jc w:val="left"/>
              <w:textAlignment w:val="baseline"/>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未被“信用中国”（www.creditchina.gov.cn）、中国政府采购网（www.ccgp.gov.cn）列入失信被执行人、重大税收违法案件当事人名单、政府采购严重违法失信行为记录名单的﹙供应商网上自行打印后加盖公章﹚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1861" w:type="dxa"/>
            <w:vMerge w:val="continue"/>
            <w:noWrap w:val="0"/>
            <w:vAlign w:val="center"/>
          </w:tcPr>
          <w:p>
            <w:pPr>
              <w:spacing w:line="280" w:lineRule="exact"/>
              <w:jc w:val="left"/>
              <w:rPr>
                <w:rFonts w:hint="eastAsia" w:ascii="宋体" w:hAnsi="宋体" w:cs="仿宋_GB2312"/>
                <w:color w:val="auto"/>
                <w:kern w:val="0"/>
                <w:sz w:val="24"/>
                <w:highlight w:val="none"/>
              </w:rPr>
            </w:pPr>
          </w:p>
        </w:tc>
        <w:tc>
          <w:tcPr>
            <w:tcW w:w="6958" w:type="dxa"/>
            <w:noWrap w:val="0"/>
            <w:vAlign w:val="center"/>
          </w:tcPr>
          <w:p>
            <w:pPr>
              <w:spacing w:line="276" w:lineRule="auto"/>
              <w:jc w:val="left"/>
              <w:textAlignment w:val="baseline"/>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投标保证金收据原件（本项目不需要）</w:t>
            </w:r>
          </w:p>
        </w:tc>
      </w:tr>
    </w:tbl>
    <w:p>
      <w:pPr>
        <w:adjustRightInd w:val="0"/>
        <w:snapToGrid w:val="0"/>
        <w:spacing w:before="240" w:line="360" w:lineRule="auto"/>
        <w:ind w:firstLine="482" w:firstLineChars="200"/>
        <w:rPr>
          <w:rFonts w:hint="eastAsia" w:ascii="宋体" w:hAnsi="宋体"/>
          <w:color w:val="auto"/>
          <w:sz w:val="24"/>
          <w:highlight w:val="none"/>
        </w:rPr>
      </w:pPr>
      <w:r>
        <w:rPr>
          <w:rFonts w:hint="eastAsia" w:ascii="宋体" w:hAnsi="宋体"/>
          <w:b/>
          <w:color w:val="auto"/>
          <w:sz w:val="24"/>
          <w:highlight w:val="none"/>
        </w:rPr>
        <w:t>2.2符合性审查：</w:t>
      </w:r>
      <w:r>
        <w:rPr>
          <w:rFonts w:hint="eastAsia" w:ascii="宋体" w:hAnsi="宋体"/>
          <w:color w:val="auto"/>
          <w:sz w:val="24"/>
          <w:highlight w:val="none"/>
        </w:rPr>
        <w:t>依据《</w:t>
      </w:r>
      <w:r>
        <w:rPr>
          <w:rFonts w:hint="eastAsia" w:ascii="宋体" w:hAnsi="宋体"/>
          <w:color w:val="auto"/>
          <w:sz w:val="24"/>
          <w:highlight w:val="none"/>
          <w:lang w:eastAsia="zh-CN"/>
        </w:rPr>
        <w:t>磋商文件</w:t>
      </w:r>
      <w:r>
        <w:rPr>
          <w:rFonts w:hint="eastAsia" w:ascii="宋体" w:hAnsi="宋体"/>
          <w:color w:val="auto"/>
          <w:sz w:val="24"/>
          <w:highlight w:val="none"/>
        </w:rPr>
        <w:t>》的规定，从《</w:t>
      </w:r>
      <w:r>
        <w:rPr>
          <w:rFonts w:hint="eastAsia" w:ascii="宋体" w:hAnsi="宋体"/>
          <w:color w:val="auto"/>
          <w:sz w:val="24"/>
          <w:highlight w:val="none"/>
          <w:lang w:eastAsia="zh-CN"/>
        </w:rPr>
        <w:t>磋商响应文件</w:t>
      </w:r>
      <w:r>
        <w:rPr>
          <w:rFonts w:hint="eastAsia" w:ascii="宋体" w:hAnsi="宋体"/>
          <w:color w:val="auto"/>
          <w:sz w:val="24"/>
          <w:highlight w:val="none"/>
        </w:rPr>
        <w:t>》的有效性、完整性和对《</w:t>
      </w:r>
      <w:r>
        <w:rPr>
          <w:rFonts w:hint="eastAsia" w:ascii="宋体" w:hAnsi="宋体"/>
          <w:color w:val="auto"/>
          <w:sz w:val="24"/>
          <w:highlight w:val="none"/>
          <w:lang w:eastAsia="zh-CN"/>
        </w:rPr>
        <w:t>磋商文件</w:t>
      </w:r>
      <w:r>
        <w:rPr>
          <w:rFonts w:hint="eastAsia" w:ascii="宋体" w:hAnsi="宋体"/>
          <w:color w:val="auto"/>
          <w:sz w:val="24"/>
          <w:highlight w:val="none"/>
        </w:rPr>
        <w:t>》的响应程度进行审查，以确定是否对《</w:t>
      </w:r>
      <w:r>
        <w:rPr>
          <w:rFonts w:hint="eastAsia" w:ascii="宋体" w:hAnsi="宋体"/>
          <w:color w:val="auto"/>
          <w:sz w:val="24"/>
          <w:highlight w:val="none"/>
          <w:lang w:eastAsia="zh-CN"/>
        </w:rPr>
        <w:t>磋商文件</w:t>
      </w:r>
      <w:r>
        <w:rPr>
          <w:rFonts w:hint="eastAsia" w:ascii="宋体" w:hAnsi="宋体"/>
          <w:color w:val="auto"/>
          <w:sz w:val="24"/>
          <w:highlight w:val="none"/>
        </w:rPr>
        <w:t>》的实质性要求做出响应。</w:t>
      </w:r>
    </w:p>
    <w:p>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符合性审查时有下列情形之一的，由</w:t>
      </w:r>
      <w:r>
        <w:rPr>
          <w:rFonts w:hint="eastAsia" w:ascii="宋体" w:hAnsi="宋体"/>
          <w:color w:val="auto"/>
          <w:sz w:val="24"/>
          <w:highlight w:val="none"/>
          <w:lang w:eastAsia="zh-CN"/>
        </w:rPr>
        <w:t>磋商小组</w:t>
      </w:r>
      <w:r>
        <w:rPr>
          <w:rFonts w:hint="eastAsia" w:ascii="宋体" w:hAnsi="宋体"/>
          <w:color w:val="auto"/>
          <w:sz w:val="24"/>
          <w:highlight w:val="none"/>
        </w:rPr>
        <w:t>按无效《</w:t>
      </w:r>
      <w:r>
        <w:rPr>
          <w:rFonts w:hint="eastAsia" w:ascii="宋体" w:hAnsi="宋体"/>
          <w:color w:val="auto"/>
          <w:sz w:val="24"/>
          <w:highlight w:val="none"/>
          <w:lang w:eastAsia="zh-CN"/>
        </w:rPr>
        <w:t>磋商响应文件</w:t>
      </w:r>
      <w:r>
        <w:rPr>
          <w:rFonts w:hint="eastAsia" w:ascii="宋体" w:hAnsi="宋体"/>
          <w:color w:val="auto"/>
          <w:sz w:val="24"/>
          <w:highlight w:val="none"/>
        </w:rPr>
        <w:t>》处理：</w:t>
      </w:r>
    </w:p>
    <w:p>
      <w:pPr>
        <w:numPr>
          <w:ilvl w:val="0"/>
          <w:numId w:val="7"/>
        </w:numPr>
        <w:adjustRightInd w:val="0"/>
        <w:snapToGrid w:val="0"/>
        <w:spacing w:line="360" w:lineRule="auto"/>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磋商文件</w:t>
      </w:r>
      <w:r>
        <w:rPr>
          <w:rFonts w:hint="eastAsia" w:ascii="宋体" w:hAnsi="宋体"/>
          <w:color w:val="auto"/>
          <w:sz w:val="24"/>
          <w:highlight w:val="none"/>
        </w:rPr>
        <w:t>》中要求的法人代表或被授权代表签字处未签字、投标单位未加盖公章的；</w:t>
      </w:r>
    </w:p>
    <w:p>
      <w:pPr>
        <w:numPr>
          <w:ilvl w:val="0"/>
          <w:numId w:val="7"/>
        </w:numPr>
        <w:adjustRightInd w:val="0"/>
        <w:snapToGrid w:val="0"/>
        <w:spacing w:line="360" w:lineRule="auto"/>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磋商响应文件</w:t>
      </w:r>
      <w:r>
        <w:rPr>
          <w:rFonts w:hint="eastAsia" w:ascii="宋体" w:hAnsi="宋体"/>
          <w:color w:val="auto"/>
          <w:sz w:val="24"/>
          <w:highlight w:val="none"/>
        </w:rPr>
        <w:t>》中更改之处未加盖公章的</w:t>
      </w:r>
      <w:r>
        <w:rPr>
          <w:rFonts w:hint="eastAsia" w:ascii="宋体" w:hAnsi="宋体"/>
          <w:color w:val="auto"/>
          <w:sz w:val="24"/>
          <w:highlight w:val="none"/>
          <w:lang w:eastAsia="zh-CN"/>
        </w:rPr>
        <w:t>，</w:t>
      </w:r>
      <w:r>
        <w:rPr>
          <w:rFonts w:hint="eastAsia" w:ascii="宋体" w:hAnsi="宋体"/>
          <w:color w:val="auto"/>
          <w:sz w:val="24"/>
          <w:highlight w:val="none"/>
        </w:rPr>
        <w:t>填写潦草，字迹或数据难以辨认的；</w:t>
      </w:r>
    </w:p>
    <w:p>
      <w:pPr>
        <w:numPr>
          <w:ilvl w:val="0"/>
          <w:numId w:val="7"/>
        </w:numPr>
        <w:adjustRightInd w:val="0"/>
        <w:snapToGrid w:val="0"/>
        <w:spacing w:line="360" w:lineRule="auto"/>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磋商响应文件</w:t>
      </w:r>
      <w:r>
        <w:rPr>
          <w:rFonts w:hint="eastAsia" w:ascii="宋体" w:hAnsi="宋体"/>
          <w:color w:val="auto"/>
          <w:sz w:val="24"/>
          <w:highlight w:val="none"/>
        </w:rPr>
        <w:t>》不按照《</w:t>
      </w:r>
      <w:r>
        <w:rPr>
          <w:rFonts w:hint="eastAsia" w:ascii="宋体" w:hAnsi="宋体"/>
          <w:color w:val="auto"/>
          <w:sz w:val="24"/>
          <w:highlight w:val="none"/>
          <w:lang w:eastAsia="zh-CN"/>
        </w:rPr>
        <w:t>磋商文件</w:t>
      </w:r>
      <w:r>
        <w:rPr>
          <w:rFonts w:hint="eastAsia" w:ascii="宋体" w:hAnsi="宋体"/>
          <w:color w:val="auto"/>
          <w:sz w:val="24"/>
          <w:highlight w:val="none"/>
        </w:rPr>
        <w:t>》制作和密封投标文件的；</w:t>
      </w:r>
    </w:p>
    <w:p>
      <w:pPr>
        <w:numPr>
          <w:ilvl w:val="0"/>
          <w:numId w:val="7"/>
        </w:numPr>
        <w:adjustRightInd w:val="0"/>
        <w:snapToGrid w:val="0"/>
        <w:spacing w:line="360" w:lineRule="auto"/>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磋商响应文件</w:t>
      </w:r>
      <w:r>
        <w:rPr>
          <w:rFonts w:hint="eastAsia" w:ascii="宋体" w:hAnsi="宋体"/>
          <w:color w:val="auto"/>
          <w:sz w:val="24"/>
          <w:highlight w:val="none"/>
        </w:rPr>
        <w:t>》未按照《</w:t>
      </w:r>
      <w:r>
        <w:rPr>
          <w:rFonts w:hint="eastAsia" w:ascii="宋体" w:hAnsi="宋体"/>
          <w:color w:val="auto"/>
          <w:sz w:val="24"/>
          <w:highlight w:val="none"/>
          <w:lang w:eastAsia="zh-CN"/>
        </w:rPr>
        <w:t>磋商文件</w:t>
      </w:r>
      <w:r>
        <w:rPr>
          <w:rFonts w:hint="eastAsia" w:ascii="宋体" w:hAnsi="宋体"/>
          <w:color w:val="auto"/>
          <w:sz w:val="24"/>
          <w:highlight w:val="none"/>
        </w:rPr>
        <w:t>》规定要求签署、盖章的；</w:t>
      </w:r>
    </w:p>
    <w:p>
      <w:pPr>
        <w:numPr>
          <w:ilvl w:val="0"/>
          <w:numId w:val="7"/>
        </w:numPr>
        <w:adjustRightInd w:val="0"/>
        <w:snapToGrid w:val="0"/>
        <w:spacing w:line="360" w:lineRule="auto"/>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磋商响应文件</w:t>
      </w:r>
      <w:r>
        <w:rPr>
          <w:rFonts w:hint="eastAsia" w:ascii="宋体" w:hAnsi="宋体"/>
          <w:color w:val="auto"/>
          <w:sz w:val="24"/>
          <w:highlight w:val="none"/>
        </w:rPr>
        <w:t>》</w:t>
      </w:r>
      <w:r>
        <w:rPr>
          <w:rFonts w:hint="eastAsia" w:ascii="宋体" w:hAnsi="宋体"/>
          <w:color w:val="auto"/>
          <w:sz w:val="24"/>
          <w:highlight w:val="none"/>
          <w:lang w:eastAsia="zh-CN"/>
        </w:rPr>
        <w:t>清单项</w:t>
      </w:r>
      <w:r>
        <w:rPr>
          <w:rFonts w:hint="eastAsia" w:ascii="宋体" w:hAnsi="宋体"/>
          <w:color w:val="auto"/>
          <w:sz w:val="24"/>
          <w:highlight w:val="none"/>
        </w:rPr>
        <w:t>不完整，填写漏项，无法确认供应商责任或投标意向的；</w:t>
      </w:r>
    </w:p>
    <w:p>
      <w:pPr>
        <w:numPr>
          <w:ilvl w:val="0"/>
          <w:numId w:val="7"/>
        </w:numPr>
        <w:adjustRightInd w:val="0"/>
        <w:snapToGrid w:val="0"/>
        <w:spacing w:line="360" w:lineRule="auto"/>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磋商响应文件</w:t>
      </w:r>
      <w:r>
        <w:rPr>
          <w:rFonts w:hint="eastAsia" w:ascii="宋体" w:hAnsi="宋体"/>
          <w:color w:val="auto"/>
          <w:sz w:val="24"/>
          <w:highlight w:val="none"/>
        </w:rPr>
        <w:t xml:space="preserve">》内容不真实，提供虚假证明文件、虚假技术参数的； </w:t>
      </w:r>
    </w:p>
    <w:p>
      <w:pPr>
        <w:numPr>
          <w:ilvl w:val="0"/>
          <w:numId w:val="7"/>
        </w:numPr>
        <w:adjustRightInd w:val="0"/>
        <w:snapToGrid w:val="0"/>
        <w:spacing w:line="360" w:lineRule="auto"/>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磋商响应文件</w:t>
      </w:r>
      <w:r>
        <w:rPr>
          <w:rFonts w:hint="eastAsia" w:ascii="宋体" w:hAnsi="宋体"/>
          <w:color w:val="auto"/>
          <w:sz w:val="24"/>
          <w:highlight w:val="none"/>
        </w:rPr>
        <w:t>》附有采购人不能接受的条件；</w:t>
      </w:r>
    </w:p>
    <w:p>
      <w:pPr>
        <w:numPr>
          <w:ilvl w:val="0"/>
          <w:numId w:val="7"/>
        </w:numPr>
        <w:adjustRightInd w:val="0"/>
        <w:snapToGrid w:val="0"/>
        <w:spacing w:line="360" w:lineRule="auto"/>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磋商响应文件</w:t>
      </w:r>
      <w:r>
        <w:rPr>
          <w:rFonts w:hint="eastAsia" w:ascii="宋体" w:hAnsi="宋体"/>
          <w:color w:val="auto"/>
          <w:sz w:val="24"/>
          <w:highlight w:val="none"/>
        </w:rPr>
        <w:t>》不满足采购人技术参数要求或严重偏离的；</w:t>
      </w:r>
    </w:p>
    <w:p>
      <w:pPr>
        <w:numPr>
          <w:ilvl w:val="0"/>
          <w:numId w:val="7"/>
        </w:numPr>
        <w:adjustRightInd w:val="0"/>
        <w:snapToGrid w:val="0"/>
        <w:spacing w:line="360" w:lineRule="auto"/>
        <w:rPr>
          <w:rFonts w:hint="eastAsia" w:ascii="宋体" w:hAnsi="宋体"/>
          <w:color w:val="auto"/>
          <w:sz w:val="24"/>
          <w:highlight w:val="none"/>
        </w:rPr>
      </w:pPr>
      <w:r>
        <w:rPr>
          <w:rFonts w:hint="eastAsia" w:ascii="宋体" w:hAnsi="宋体"/>
          <w:color w:val="auto"/>
          <w:sz w:val="24"/>
          <w:highlight w:val="none"/>
        </w:rPr>
        <w:t>投标人有不良记录的；</w:t>
      </w:r>
    </w:p>
    <w:p>
      <w:pPr>
        <w:numPr>
          <w:ilvl w:val="0"/>
          <w:numId w:val="7"/>
        </w:numPr>
        <w:adjustRightInd w:val="0"/>
        <w:snapToGrid w:val="0"/>
        <w:spacing w:line="360" w:lineRule="auto"/>
        <w:rPr>
          <w:rFonts w:hint="eastAsia"/>
          <w:color w:val="auto"/>
          <w:highlight w:val="none"/>
        </w:rPr>
      </w:pPr>
      <w:r>
        <w:rPr>
          <w:rFonts w:hint="eastAsia" w:ascii="宋体" w:hAnsi="宋体" w:eastAsia="宋体" w:cs="Times New Roman"/>
          <w:color w:val="auto"/>
          <w:sz w:val="24"/>
          <w:highlight w:val="none"/>
        </w:rPr>
        <w:t>不符合法律、法规和《</w:t>
      </w:r>
      <w:r>
        <w:rPr>
          <w:rFonts w:hint="eastAsia" w:ascii="宋体" w:hAnsi="宋体" w:eastAsia="宋体" w:cs="Times New Roman"/>
          <w:color w:val="auto"/>
          <w:sz w:val="24"/>
          <w:highlight w:val="none"/>
          <w:lang w:eastAsia="zh-CN"/>
        </w:rPr>
        <w:t>磋商文件</w:t>
      </w:r>
      <w:r>
        <w:rPr>
          <w:rFonts w:hint="eastAsia" w:ascii="宋体" w:hAnsi="宋体" w:eastAsia="宋体" w:cs="Times New Roman"/>
          <w:color w:val="auto"/>
          <w:sz w:val="24"/>
          <w:highlight w:val="none"/>
        </w:rPr>
        <w:t>》中规定的其他实质性要求的。</w:t>
      </w:r>
    </w:p>
    <w:p>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1.3实质上没有响应《</w:t>
      </w:r>
      <w:r>
        <w:rPr>
          <w:rFonts w:hint="eastAsia" w:ascii="宋体" w:hAnsi="宋体"/>
          <w:color w:val="auto"/>
          <w:sz w:val="24"/>
          <w:highlight w:val="none"/>
          <w:lang w:eastAsia="zh-CN"/>
        </w:rPr>
        <w:t>磋商文件</w:t>
      </w:r>
      <w:r>
        <w:rPr>
          <w:rFonts w:hint="eastAsia" w:ascii="宋体" w:hAnsi="宋体"/>
          <w:color w:val="auto"/>
          <w:sz w:val="24"/>
          <w:highlight w:val="none"/>
        </w:rPr>
        <w:t>》要求的《</w:t>
      </w:r>
      <w:r>
        <w:rPr>
          <w:rFonts w:hint="eastAsia" w:ascii="宋体" w:hAnsi="宋体"/>
          <w:color w:val="auto"/>
          <w:sz w:val="24"/>
          <w:highlight w:val="none"/>
          <w:lang w:eastAsia="zh-CN"/>
        </w:rPr>
        <w:t>磋商响应文件</w:t>
      </w:r>
      <w:r>
        <w:rPr>
          <w:rFonts w:hint="eastAsia" w:ascii="宋体" w:hAnsi="宋体"/>
          <w:color w:val="auto"/>
          <w:sz w:val="24"/>
          <w:highlight w:val="none"/>
        </w:rPr>
        <w:t>》将被拒绝。</w:t>
      </w:r>
    </w:p>
    <w:p>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1.4供应商不得通过修正或撤消不符合要求的偏离或保留从而使其《</w:t>
      </w:r>
      <w:r>
        <w:rPr>
          <w:rFonts w:hint="eastAsia" w:ascii="宋体" w:hAnsi="宋体"/>
          <w:color w:val="auto"/>
          <w:sz w:val="24"/>
          <w:highlight w:val="none"/>
          <w:lang w:eastAsia="zh-CN"/>
        </w:rPr>
        <w:t>磋商响应文件</w:t>
      </w:r>
      <w:r>
        <w:rPr>
          <w:rFonts w:hint="eastAsia" w:ascii="宋体" w:hAnsi="宋体"/>
          <w:color w:val="auto"/>
          <w:sz w:val="24"/>
          <w:highlight w:val="none"/>
        </w:rPr>
        <w:t>》成为实质上响应的《</w:t>
      </w:r>
      <w:r>
        <w:rPr>
          <w:rFonts w:hint="eastAsia" w:ascii="宋体" w:hAnsi="宋体"/>
          <w:color w:val="auto"/>
          <w:sz w:val="24"/>
          <w:highlight w:val="none"/>
          <w:lang w:eastAsia="zh-CN"/>
        </w:rPr>
        <w:t>磋商响应文件</w:t>
      </w:r>
      <w:r>
        <w:rPr>
          <w:rFonts w:hint="eastAsia" w:ascii="宋体" w:hAnsi="宋体"/>
          <w:color w:val="auto"/>
          <w:sz w:val="24"/>
          <w:highlight w:val="none"/>
        </w:rPr>
        <w:t>》。</w:t>
      </w:r>
    </w:p>
    <w:p>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符合性审查表：</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2"/>
        <w:gridCol w:w="78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1802" w:type="dxa"/>
            <w:noWrap w:val="0"/>
            <w:vAlign w:val="center"/>
          </w:tcPr>
          <w:p>
            <w:pPr>
              <w:spacing w:line="280" w:lineRule="exact"/>
              <w:jc w:val="center"/>
              <w:rPr>
                <w:rFonts w:hint="eastAsia" w:ascii="宋体" w:hAnsi="宋体" w:cs="仿宋_GB2312"/>
                <w:color w:val="auto"/>
                <w:kern w:val="0"/>
                <w:sz w:val="24"/>
                <w:highlight w:val="none"/>
              </w:rPr>
            </w:pPr>
            <w:r>
              <w:rPr>
                <w:rFonts w:hint="eastAsia" w:ascii="宋体" w:hAnsi="宋体" w:cs="仿宋_GB2312"/>
                <w:color w:val="auto"/>
                <w:kern w:val="0"/>
                <w:sz w:val="24"/>
                <w:highlight w:val="none"/>
              </w:rPr>
              <w:t>评审内容</w:t>
            </w:r>
          </w:p>
        </w:tc>
        <w:tc>
          <w:tcPr>
            <w:tcW w:w="7817" w:type="dxa"/>
            <w:noWrap w:val="0"/>
            <w:vAlign w:val="center"/>
          </w:tcPr>
          <w:p>
            <w:pPr>
              <w:spacing w:line="280" w:lineRule="exact"/>
              <w:jc w:val="center"/>
              <w:rPr>
                <w:rFonts w:hint="eastAsia" w:ascii="宋体" w:hAnsi="宋体" w:cs="仿宋_GB2312"/>
                <w:color w:val="auto"/>
                <w:kern w:val="0"/>
                <w:sz w:val="24"/>
                <w:highlight w:val="none"/>
              </w:rPr>
            </w:pPr>
            <w:r>
              <w:rPr>
                <w:rFonts w:hint="eastAsia" w:ascii="宋体" w:hAnsi="宋体" w:cs="仿宋_GB2312"/>
                <w:color w:val="auto"/>
                <w:kern w:val="0"/>
                <w:sz w:val="24"/>
                <w:highlight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exact"/>
        </w:trPr>
        <w:tc>
          <w:tcPr>
            <w:tcW w:w="1802" w:type="dxa"/>
            <w:vMerge w:val="restart"/>
            <w:noWrap w:val="0"/>
            <w:vAlign w:val="center"/>
          </w:tcPr>
          <w:p>
            <w:pPr>
              <w:spacing w:line="280" w:lineRule="exact"/>
              <w:jc w:val="center"/>
              <w:rPr>
                <w:rFonts w:hint="eastAsia" w:ascii="宋体" w:hAnsi="宋体" w:cs="仿宋_GB2312"/>
                <w:color w:val="auto"/>
                <w:kern w:val="0"/>
                <w:sz w:val="24"/>
                <w:highlight w:val="none"/>
              </w:rPr>
            </w:pPr>
            <w:r>
              <w:rPr>
                <w:rFonts w:hint="eastAsia" w:ascii="宋体" w:hAnsi="宋体" w:cs="仿宋_GB2312"/>
                <w:color w:val="auto"/>
                <w:kern w:val="0"/>
                <w:sz w:val="24"/>
                <w:highlight w:val="none"/>
              </w:rPr>
              <w:t>符合性</w:t>
            </w:r>
          </w:p>
          <w:p>
            <w:pPr>
              <w:spacing w:line="280" w:lineRule="exact"/>
              <w:jc w:val="center"/>
              <w:rPr>
                <w:rFonts w:hint="eastAsia" w:ascii="宋体" w:hAnsi="宋体" w:cs="仿宋_GB2312"/>
                <w:color w:val="auto"/>
                <w:kern w:val="0"/>
                <w:sz w:val="24"/>
                <w:highlight w:val="none"/>
              </w:rPr>
            </w:pPr>
            <w:r>
              <w:rPr>
                <w:rFonts w:hint="eastAsia" w:ascii="宋体" w:hAnsi="宋体" w:cs="仿宋_GB2312"/>
                <w:color w:val="auto"/>
                <w:kern w:val="0"/>
                <w:sz w:val="24"/>
                <w:highlight w:val="none"/>
              </w:rPr>
              <w:t>检查</w:t>
            </w:r>
          </w:p>
        </w:tc>
        <w:tc>
          <w:tcPr>
            <w:tcW w:w="7817" w:type="dxa"/>
            <w:noWrap w:val="0"/>
            <w:vAlign w:val="center"/>
          </w:tcPr>
          <w:p>
            <w:pPr>
              <w:spacing w:line="280" w:lineRule="exact"/>
              <w:rPr>
                <w:rFonts w:hint="eastAsia" w:ascii="宋体" w:hAnsi="宋体" w:eastAsia="宋体" w:cs="仿宋_GB2312"/>
                <w:color w:val="auto"/>
                <w:kern w:val="0"/>
                <w:sz w:val="24"/>
                <w:highlight w:val="none"/>
              </w:rPr>
            </w:pPr>
            <w:r>
              <w:rPr>
                <w:rFonts w:hint="eastAsia" w:ascii="宋体" w:hAnsi="宋体" w:eastAsia="宋体" w:cs="仿宋_GB2312"/>
                <w:color w:val="auto"/>
                <w:kern w:val="0"/>
                <w:sz w:val="24"/>
                <w:highlight w:val="none"/>
              </w:rPr>
              <w:t>《</w:t>
            </w:r>
            <w:r>
              <w:rPr>
                <w:rFonts w:hint="eastAsia" w:ascii="宋体" w:hAnsi="宋体" w:eastAsia="宋体" w:cs="仿宋_GB2312"/>
                <w:color w:val="auto"/>
                <w:kern w:val="0"/>
                <w:sz w:val="24"/>
                <w:highlight w:val="none"/>
                <w:lang w:eastAsia="zh-CN"/>
              </w:rPr>
              <w:t>磋商文件</w:t>
            </w:r>
            <w:r>
              <w:rPr>
                <w:rFonts w:hint="eastAsia" w:ascii="宋体" w:hAnsi="宋体" w:eastAsia="宋体" w:cs="仿宋_GB2312"/>
                <w:color w:val="auto"/>
                <w:kern w:val="0"/>
                <w:sz w:val="24"/>
                <w:highlight w:val="none"/>
              </w:rPr>
              <w:t>》中要求的法人代表或被授权代表签字处未签字、投标单位未加盖公章的；</w:t>
            </w:r>
          </w:p>
          <w:p>
            <w:pPr>
              <w:spacing w:line="280" w:lineRule="exact"/>
              <w:rPr>
                <w:rFonts w:hint="eastAsia" w:ascii="宋体" w:hAnsi="宋体" w:eastAsia="宋体" w:cs="仿宋_GB2312"/>
                <w:color w:val="auto"/>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exact"/>
        </w:trPr>
        <w:tc>
          <w:tcPr>
            <w:tcW w:w="1802" w:type="dxa"/>
            <w:vMerge w:val="continue"/>
            <w:noWrap w:val="0"/>
            <w:vAlign w:val="center"/>
          </w:tcPr>
          <w:p>
            <w:pPr>
              <w:spacing w:line="280" w:lineRule="exact"/>
              <w:ind w:firstLine="360"/>
              <w:jc w:val="center"/>
              <w:rPr>
                <w:rFonts w:hint="eastAsia" w:ascii="宋体" w:hAnsi="宋体" w:cs="仿宋_GB2312"/>
                <w:color w:val="auto"/>
                <w:kern w:val="0"/>
                <w:sz w:val="24"/>
                <w:highlight w:val="none"/>
              </w:rPr>
            </w:pPr>
          </w:p>
        </w:tc>
        <w:tc>
          <w:tcPr>
            <w:tcW w:w="7817" w:type="dxa"/>
            <w:noWrap w:val="0"/>
            <w:vAlign w:val="center"/>
          </w:tcPr>
          <w:p>
            <w:pPr>
              <w:spacing w:line="280" w:lineRule="exact"/>
              <w:rPr>
                <w:rFonts w:hint="eastAsia" w:ascii="宋体" w:hAnsi="宋体" w:eastAsia="宋体" w:cs="仿宋_GB2312"/>
                <w:color w:val="auto"/>
                <w:kern w:val="0"/>
                <w:sz w:val="24"/>
                <w:highlight w:val="none"/>
              </w:rPr>
            </w:pPr>
            <w:r>
              <w:rPr>
                <w:rFonts w:hint="eastAsia" w:ascii="宋体" w:hAnsi="宋体" w:eastAsia="宋体" w:cs="仿宋_GB2312"/>
                <w:color w:val="auto"/>
                <w:kern w:val="0"/>
                <w:sz w:val="24"/>
                <w:highlight w:val="none"/>
              </w:rPr>
              <w:t>《</w:t>
            </w:r>
            <w:r>
              <w:rPr>
                <w:rFonts w:hint="eastAsia" w:ascii="宋体" w:hAnsi="宋体" w:eastAsia="宋体" w:cs="仿宋_GB2312"/>
                <w:color w:val="auto"/>
                <w:kern w:val="0"/>
                <w:sz w:val="24"/>
                <w:highlight w:val="none"/>
                <w:lang w:eastAsia="zh-CN"/>
              </w:rPr>
              <w:t>磋商响应文件</w:t>
            </w:r>
            <w:r>
              <w:rPr>
                <w:rFonts w:hint="eastAsia" w:ascii="宋体" w:hAnsi="宋体" w:eastAsia="宋体" w:cs="仿宋_GB2312"/>
                <w:color w:val="auto"/>
                <w:kern w:val="0"/>
                <w:sz w:val="24"/>
                <w:highlight w:val="none"/>
              </w:rPr>
              <w:t>》中更改之处未加盖公章的</w:t>
            </w:r>
            <w:r>
              <w:rPr>
                <w:rFonts w:hint="eastAsia" w:ascii="宋体" w:hAnsi="宋体" w:eastAsia="宋体" w:cs="仿宋_GB2312"/>
                <w:color w:val="auto"/>
                <w:kern w:val="0"/>
                <w:sz w:val="24"/>
                <w:highlight w:val="none"/>
                <w:lang w:eastAsia="zh-CN"/>
              </w:rPr>
              <w:t>，</w:t>
            </w:r>
            <w:r>
              <w:rPr>
                <w:rFonts w:hint="eastAsia" w:ascii="宋体" w:hAnsi="宋体" w:eastAsia="宋体" w:cs="仿宋_GB2312"/>
                <w:color w:val="auto"/>
                <w:kern w:val="0"/>
                <w:sz w:val="24"/>
                <w:highlight w:val="none"/>
              </w:rPr>
              <w:t>填写潦草，字迹或数据难以辨认的；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trPr>
        <w:tc>
          <w:tcPr>
            <w:tcW w:w="1802" w:type="dxa"/>
            <w:vMerge w:val="continue"/>
            <w:noWrap w:val="0"/>
            <w:vAlign w:val="center"/>
          </w:tcPr>
          <w:p>
            <w:pPr>
              <w:spacing w:line="280" w:lineRule="exact"/>
              <w:ind w:firstLine="360"/>
              <w:jc w:val="center"/>
              <w:rPr>
                <w:rFonts w:hint="eastAsia" w:ascii="宋体" w:hAnsi="宋体" w:cs="仿宋_GB2312"/>
                <w:color w:val="auto"/>
                <w:kern w:val="0"/>
                <w:sz w:val="24"/>
                <w:highlight w:val="none"/>
              </w:rPr>
            </w:pPr>
          </w:p>
        </w:tc>
        <w:tc>
          <w:tcPr>
            <w:tcW w:w="7817" w:type="dxa"/>
            <w:noWrap w:val="0"/>
            <w:vAlign w:val="center"/>
          </w:tcPr>
          <w:p>
            <w:pPr>
              <w:spacing w:line="280" w:lineRule="exact"/>
              <w:rPr>
                <w:rFonts w:hint="eastAsia" w:ascii="宋体" w:hAnsi="宋体" w:eastAsia="宋体" w:cs="仿宋_GB2312"/>
                <w:color w:val="auto"/>
                <w:kern w:val="0"/>
                <w:sz w:val="24"/>
                <w:highlight w:val="none"/>
              </w:rPr>
            </w:pPr>
            <w:r>
              <w:rPr>
                <w:rFonts w:hint="eastAsia" w:ascii="宋体" w:hAnsi="宋体" w:eastAsia="宋体" w:cs="仿宋_GB2312"/>
                <w:color w:val="auto"/>
                <w:kern w:val="0"/>
                <w:sz w:val="24"/>
                <w:highlight w:val="none"/>
              </w:rPr>
              <w:t>《</w:t>
            </w:r>
            <w:r>
              <w:rPr>
                <w:rFonts w:hint="eastAsia" w:ascii="宋体" w:hAnsi="宋体" w:eastAsia="宋体" w:cs="仿宋_GB2312"/>
                <w:color w:val="auto"/>
                <w:kern w:val="0"/>
                <w:sz w:val="24"/>
                <w:highlight w:val="none"/>
                <w:lang w:eastAsia="zh-CN"/>
              </w:rPr>
              <w:t>磋商响应文件</w:t>
            </w:r>
            <w:r>
              <w:rPr>
                <w:rFonts w:hint="eastAsia" w:ascii="宋体" w:hAnsi="宋体" w:eastAsia="宋体" w:cs="仿宋_GB2312"/>
                <w:color w:val="auto"/>
                <w:kern w:val="0"/>
                <w:sz w:val="24"/>
                <w:highlight w:val="none"/>
              </w:rPr>
              <w:t>》不按照《</w:t>
            </w:r>
            <w:r>
              <w:rPr>
                <w:rFonts w:hint="eastAsia" w:ascii="宋体" w:hAnsi="宋体" w:eastAsia="宋体" w:cs="仿宋_GB2312"/>
                <w:color w:val="auto"/>
                <w:kern w:val="0"/>
                <w:sz w:val="24"/>
                <w:highlight w:val="none"/>
                <w:lang w:eastAsia="zh-CN"/>
              </w:rPr>
              <w:t>磋商文件</w:t>
            </w:r>
            <w:r>
              <w:rPr>
                <w:rFonts w:hint="eastAsia" w:ascii="宋体" w:hAnsi="宋体" w:eastAsia="宋体" w:cs="仿宋_GB2312"/>
                <w:color w:val="auto"/>
                <w:kern w:val="0"/>
                <w:sz w:val="24"/>
                <w:highlight w:val="none"/>
              </w:rPr>
              <w:t>》制作和密封投标文件的；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1802" w:type="dxa"/>
            <w:vMerge w:val="continue"/>
            <w:noWrap w:val="0"/>
            <w:vAlign w:val="center"/>
          </w:tcPr>
          <w:p>
            <w:pPr>
              <w:spacing w:line="280" w:lineRule="exact"/>
              <w:ind w:firstLine="360"/>
              <w:jc w:val="center"/>
              <w:rPr>
                <w:rFonts w:hint="eastAsia" w:ascii="宋体" w:hAnsi="宋体" w:cs="仿宋_GB2312"/>
                <w:color w:val="auto"/>
                <w:kern w:val="0"/>
                <w:sz w:val="24"/>
                <w:highlight w:val="none"/>
              </w:rPr>
            </w:pPr>
          </w:p>
        </w:tc>
        <w:tc>
          <w:tcPr>
            <w:tcW w:w="7817" w:type="dxa"/>
            <w:noWrap w:val="0"/>
            <w:vAlign w:val="center"/>
          </w:tcPr>
          <w:p>
            <w:pPr>
              <w:spacing w:line="280" w:lineRule="exact"/>
              <w:rPr>
                <w:rFonts w:hint="eastAsia" w:ascii="宋体" w:hAnsi="宋体" w:eastAsia="宋体" w:cs="仿宋_GB2312"/>
                <w:color w:val="auto"/>
                <w:kern w:val="0"/>
                <w:sz w:val="24"/>
                <w:highlight w:val="none"/>
              </w:rPr>
            </w:pPr>
            <w:r>
              <w:rPr>
                <w:rFonts w:hint="eastAsia" w:ascii="宋体" w:hAnsi="宋体" w:eastAsia="宋体" w:cs="仿宋_GB2312"/>
                <w:color w:val="auto"/>
                <w:kern w:val="0"/>
                <w:sz w:val="24"/>
                <w:highlight w:val="none"/>
              </w:rPr>
              <w:t>《</w:t>
            </w:r>
            <w:r>
              <w:rPr>
                <w:rFonts w:hint="eastAsia" w:ascii="宋体" w:hAnsi="宋体" w:eastAsia="宋体" w:cs="仿宋_GB2312"/>
                <w:color w:val="auto"/>
                <w:kern w:val="0"/>
                <w:sz w:val="24"/>
                <w:highlight w:val="none"/>
                <w:lang w:eastAsia="zh-CN"/>
              </w:rPr>
              <w:t>磋商响应文件</w:t>
            </w:r>
            <w:r>
              <w:rPr>
                <w:rFonts w:hint="eastAsia" w:ascii="宋体" w:hAnsi="宋体" w:eastAsia="宋体" w:cs="仿宋_GB2312"/>
                <w:color w:val="auto"/>
                <w:kern w:val="0"/>
                <w:sz w:val="24"/>
                <w:highlight w:val="none"/>
              </w:rPr>
              <w:t>》未按照《</w:t>
            </w:r>
            <w:r>
              <w:rPr>
                <w:rFonts w:hint="eastAsia" w:ascii="宋体" w:hAnsi="宋体" w:eastAsia="宋体" w:cs="仿宋_GB2312"/>
                <w:color w:val="auto"/>
                <w:kern w:val="0"/>
                <w:sz w:val="24"/>
                <w:highlight w:val="none"/>
                <w:lang w:eastAsia="zh-CN"/>
              </w:rPr>
              <w:t>磋商文件</w:t>
            </w:r>
            <w:r>
              <w:rPr>
                <w:rFonts w:hint="eastAsia" w:ascii="宋体" w:hAnsi="宋体" w:eastAsia="宋体" w:cs="仿宋_GB2312"/>
                <w:color w:val="auto"/>
                <w:kern w:val="0"/>
                <w:sz w:val="24"/>
                <w:highlight w:val="none"/>
              </w:rPr>
              <w:t>》规定要求签署、盖章的；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trPr>
        <w:tc>
          <w:tcPr>
            <w:tcW w:w="1802" w:type="dxa"/>
            <w:vMerge w:val="continue"/>
            <w:noWrap w:val="0"/>
            <w:vAlign w:val="center"/>
          </w:tcPr>
          <w:p>
            <w:pPr>
              <w:spacing w:line="280" w:lineRule="exact"/>
              <w:ind w:firstLine="360"/>
              <w:jc w:val="center"/>
              <w:rPr>
                <w:rFonts w:hint="eastAsia" w:ascii="宋体" w:hAnsi="宋体" w:cs="仿宋_GB2312"/>
                <w:color w:val="auto"/>
                <w:kern w:val="0"/>
                <w:sz w:val="24"/>
                <w:highlight w:val="none"/>
              </w:rPr>
            </w:pPr>
          </w:p>
        </w:tc>
        <w:tc>
          <w:tcPr>
            <w:tcW w:w="7817" w:type="dxa"/>
            <w:noWrap w:val="0"/>
            <w:vAlign w:val="center"/>
          </w:tcPr>
          <w:p>
            <w:pPr>
              <w:spacing w:line="280" w:lineRule="exact"/>
              <w:rPr>
                <w:rFonts w:hint="eastAsia" w:ascii="宋体" w:hAnsi="宋体" w:eastAsia="宋体" w:cs="仿宋_GB2312"/>
                <w:color w:val="auto"/>
                <w:kern w:val="0"/>
                <w:sz w:val="24"/>
                <w:highlight w:val="none"/>
                <w:lang w:eastAsia="zh-CN"/>
              </w:rPr>
            </w:pPr>
            <w:r>
              <w:rPr>
                <w:rFonts w:hint="eastAsia" w:ascii="宋体" w:hAnsi="宋体" w:eastAsia="宋体" w:cs="仿宋_GB2312"/>
                <w:color w:val="auto"/>
                <w:kern w:val="0"/>
                <w:sz w:val="24"/>
                <w:highlight w:val="none"/>
              </w:rPr>
              <w:t>《</w:t>
            </w:r>
            <w:r>
              <w:rPr>
                <w:rFonts w:hint="eastAsia" w:ascii="宋体" w:hAnsi="宋体" w:eastAsia="宋体" w:cs="仿宋_GB2312"/>
                <w:color w:val="auto"/>
                <w:kern w:val="0"/>
                <w:sz w:val="24"/>
                <w:highlight w:val="none"/>
                <w:lang w:eastAsia="zh-CN"/>
              </w:rPr>
              <w:t>磋商响应文件</w:t>
            </w:r>
            <w:r>
              <w:rPr>
                <w:rFonts w:hint="eastAsia" w:ascii="宋体" w:hAnsi="宋体" w:eastAsia="宋体" w:cs="仿宋_GB2312"/>
                <w:color w:val="auto"/>
                <w:kern w:val="0"/>
                <w:sz w:val="24"/>
                <w:highlight w:val="none"/>
              </w:rPr>
              <w:t>》</w:t>
            </w:r>
            <w:r>
              <w:rPr>
                <w:rFonts w:hint="eastAsia" w:ascii="宋体" w:hAnsi="宋体" w:eastAsia="宋体" w:cs="仿宋_GB2312"/>
                <w:color w:val="auto"/>
                <w:kern w:val="0"/>
                <w:sz w:val="24"/>
                <w:highlight w:val="none"/>
                <w:lang w:eastAsia="zh-CN"/>
              </w:rPr>
              <w:t>清单项</w:t>
            </w:r>
            <w:r>
              <w:rPr>
                <w:rFonts w:hint="eastAsia" w:ascii="宋体" w:hAnsi="宋体" w:eastAsia="宋体" w:cs="仿宋_GB2312"/>
                <w:color w:val="auto"/>
                <w:kern w:val="0"/>
                <w:sz w:val="24"/>
                <w:highlight w:val="none"/>
              </w:rPr>
              <w:t>不完整，填写漏项，无法确认供应商责任或投标意向的；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1802" w:type="dxa"/>
            <w:vMerge w:val="continue"/>
            <w:noWrap w:val="0"/>
            <w:vAlign w:val="center"/>
          </w:tcPr>
          <w:p>
            <w:pPr>
              <w:spacing w:line="280" w:lineRule="exact"/>
              <w:ind w:firstLine="360"/>
              <w:jc w:val="center"/>
              <w:rPr>
                <w:rFonts w:hint="eastAsia" w:ascii="宋体" w:hAnsi="宋体" w:cs="仿宋_GB2312"/>
                <w:color w:val="auto"/>
                <w:kern w:val="0"/>
                <w:sz w:val="24"/>
                <w:highlight w:val="none"/>
              </w:rPr>
            </w:pPr>
          </w:p>
        </w:tc>
        <w:tc>
          <w:tcPr>
            <w:tcW w:w="7817" w:type="dxa"/>
            <w:noWrap w:val="0"/>
            <w:vAlign w:val="center"/>
          </w:tcPr>
          <w:p>
            <w:pPr>
              <w:spacing w:line="280" w:lineRule="exact"/>
              <w:rPr>
                <w:rFonts w:hint="eastAsia" w:ascii="宋体" w:hAnsi="宋体" w:eastAsia="宋体" w:cs="仿宋_GB2312"/>
                <w:color w:val="auto"/>
                <w:kern w:val="0"/>
                <w:sz w:val="24"/>
                <w:highlight w:val="none"/>
              </w:rPr>
            </w:pPr>
            <w:r>
              <w:rPr>
                <w:rFonts w:hint="eastAsia" w:ascii="宋体" w:hAnsi="宋体" w:eastAsia="宋体" w:cs="仿宋_GB2312"/>
                <w:color w:val="auto"/>
                <w:kern w:val="0"/>
                <w:sz w:val="24"/>
                <w:highlight w:val="none"/>
              </w:rPr>
              <w:t>《</w:t>
            </w:r>
            <w:r>
              <w:rPr>
                <w:rFonts w:hint="eastAsia" w:ascii="宋体" w:hAnsi="宋体" w:eastAsia="宋体" w:cs="仿宋_GB2312"/>
                <w:color w:val="auto"/>
                <w:kern w:val="0"/>
                <w:sz w:val="24"/>
                <w:highlight w:val="none"/>
                <w:lang w:eastAsia="zh-CN"/>
              </w:rPr>
              <w:t>磋商响应文件</w:t>
            </w:r>
            <w:r>
              <w:rPr>
                <w:rFonts w:hint="eastAsia" w:ascii="宋体" w:hAnsi="宋体" w:eastAsia="宋体" w:cs="仿宋_GB2312"/>
                <w:color w:val="auto"/>
                <w:kern w:val="0"/>
                <w:sz w:val="24"/>
                <w:highlight w:val="none"/>
              </w:rPr>
              <w:t xml:space="preserve">》内容不真实，提供虚假证明文件、虚假技术参数的；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1802" w:type="dxa"/>
            <w:vMerge w:val="continue"/>
            <w:noWrap w:val="0"/>
            <w:vAlign w:val="center"/>
          </w:tcPr>
          <w:p>
            <w:pPr>
              <w:spacing w:line="280" w:lineRule="exact"/>
              <w:ind w:firstLine="360"/>
              <w:jc w:val="center"/>
              <w:rPr>
                <w:rFonts w:hint="eastAsia" w:ascii="宋体" w:hAnsi="宋体" w:cs="仿宋_GB2312"/>
                <w:color w:val="auto"/>
                <w:kern w:val="0"/>
                <w:sz w:val="24"/>
                <w:highlight w:val="none"/>
              </w:rPr>
            </w:pPr>
          </w:p>
        </w:tc>
        <w:tc>
          <w:tcPr>
            <w:tcW w:w="7817" w:type="dxa"/>
            <w:noWrap w:val="0"/>
            <w:vAlign w:val="center"/>
          </w:tcPr>
          <w:p>
            <w:pPr>
              <w:spacing w:line="280" w:lineRule="exact"/>
              <w:rPr>
                <w:rFonts w:hint="eastAsia" w:ascii="宋体" w:hAnsi="宋体" w:eastAsia="宋体" w:cs="仿宋_GB2312"/>
                <w:color w:val="auto"/>
                <w:kern w:val="0"/>
                <w:sz w:val="24"/>
                <w:highlight w:val="none"/>
                <w:lang w:eastAsia="zh-CN"/>
              </w:rPr>
            </w:pPr>
            <w:r>
              <w:rPr>
                <w:rFonts w:hint="eastAsia" w:ascii="宋体" w:hAnsi="宋体" w:eastAsia="宋体" w:cs="仿宋_GB2312"/>
                <w:color w:val="auto"/>
                <w:kern w:val="0"/>
                <w:sz w:val="24"/>
                <w:highlight w:val="none"/>
              </w:rPr>
              <w:t>《</w:t>
            </w:r>
            <w:r>
              <w:rPr>
                <w:rFonts w:hint="eastAsia" w:ascii="宋体" w:hAnsi="宋体" w:eastAsia="宋体" w:cs="仿宋_GB2312"/>
                <w:color w:val="auto"/>
                <w:kern w:val="0"/>
                <w:sz w:val="24"/>
                <w:highlight w:val="none"/>
                <w:lang w:eastAsia="zh-CN"/>
              </w:rPr>
              <w:t>磋商响应文件</w:t>
            </w:r>
            <w:r>
              <w:rPr>
                <w:rFonts w:hint="eastAsia" w:ascii="宋体" w:hAnsi="宋体" w:eastAsia="宋体" w:cs="仿宋_GB2312"/>
                <w:color w:val="auto"/>
                <w:kern w:val="0"/>
                <w:sz w:val="24"/>
                <w:highlight w:val="none"/>
              </w:rPr>
              <w:t>》附有采购人不能接受的条件；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exact"/>
        </w:trPr>
        <w:tc>
          <w:tcPr>
            <w:tcW w:w="1802" w:type="dxa"/>
            <w:vMerge w:val="continue"/>
            <w:noWrap w:val="0"/>
            <w:vAlign w:val="center"/>
          </w:tcPr>
          <w:p>
            <w:pPr>
              <w:spacing w:line="280" w:lineRule="exact"/>
              <w:ind w:firstLine="360"/>
              <w:jc w:val="center"/>
              <w:rPr>
                <w:rFonts w:hint="eastAsia" w:ascii="宋体" w:hAnsi="宋体" w:cs="仿宋_GB2312"/>
                <w:color w:val="auto"/>
                <w:kern w:val="0"/>
                <w:sz w:val="24"/>
                <w:highlight w:val="none"/>
              </w:rPr>
            </w:pPr>
          </w:p>
        </w:tc>
        <w:tc>
          <w:tcPr>
            <w:tcW w:w="7817" w:type="dxa"/>
            <w:noWrap w:val="0"/>
            <w:vAlign w:val="center"/>
          </w:tcPr>
          <w:p>
            <w:pPr>
              <w:spacing w:line="280" w:lineRule="exac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w:t>
            </w:r>
            <w:r>
              <w:rPr>
                <w:rFonts w:hint="eastAsia" w:ascii="宋体" w:hAnsi="宋体" w:cs="仿宋_GB2312"/>
                <w:color w:val="auto"/>
                <w:kern w:val="0"/>
                <w:sz w:val="24"/>
                <w:highlight w:val="none"/>
                <w:lang w:eastAsia="zh-CN"/>
              </w:rPr>
              <w:t>磋商响应文件</w:t>
            </w:r>
            <w:r>
              <w:rPr>
                <w:rFonts w:hint="eastAsia" w:ascii="宋体" w:hAnsi="宋体" w:cs="仿宋_GB2312"/>
                <w:color w:val="auto"/>
                <w:kern w:val="0"/>
                <w:sz w:val="24"/>
                <w:highlight w:val="none"/>
              </w:rPr>
              <w:t>》不满足采购人技术参数要求或严重偏离的；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exact"/>
        </w:trPr>
        <w:tc>
          <w:tcPr>
            <w:tcW w:w="1802" w:type="dxa"/>
            <w:vMerge w:val="continue"/>
            <w:noWrap w:val="0"/>
            <w:vAlign w:val="center"/>
          </w:tcPr>
          <w:p>
            <w:pPr>
              <w:spacing w:line="280" w:lineRule="exact"/>
              <w:ind w:firstLine="360"/>
              <w:jc w:val="center"/>
              <w:rPr>
                <w:rFonts w:hint="eastAsia" w:ascii="宋体" w:hAnsi="宋体" w:cs="仿宋_GB2312"/>
                <w:color w:val="auto"/>
                <w:kern w:val="0"/>
                <w:sz w:val="24"/>
                <w:highlight w:val="none"/>
              </w:rPr>
            </w:pPr>
          </w:p>
        </w:tc>
        <w:tc>
          <w:tcPr>
            <w:tcW w:w="7817" w:type="dxa"/>
            <w:noWrap w:val="0"/>
            <w:vAlign w:val="center"/>
          </w:tcPr>
          <w:p>
            <w:pPr>
              <w:spacing w:line="280" w:lineRule="exact"/>
              <w:rPr>
                <w:rFonts w:hint="eastAsia" w:ascii="宋体" w:hAnsi="宋体" w:eastAsia="宋体" w:cs="仿宋_GB2312"/>
                <w:color w:val="auto"/>
                <w:kern w:val="0"/>
                <w:sz w:val="24"/>
                <w:highlight w:val="none"/>
                <w:lang w:eastAsia="zh-CN"/>
              </w:rPr>
            </w:pPr>
            <w:r>
              <w:rPr>
                <w:rFonts w:hint="eastAsia" w:ascii="宋体" w:hAnsi="宋体" w:eastAsia="宋体" w:cs="仿宋_GB2312"/>
                <w:color w:val="auto"/>
                <w:kern w:val="0"/>
                <w:sz w:val="24"/>
                <w:highlight w:val="none"/>
              </w:rPr>
              <w:t>投标人有不良记录的；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exact"/>
        </w:trPr>
        <w:tc>
          <w:tcPr>
            <w:tcW w:w="1802" w:type="dxa"/>
            <w:vMerge w:val="continue"/>
            <w:noWrap w:val="0"/>
            <w:vAlign w:val="center"/>
          </w:tcPr>
          <w:p>
            <w:pPr>
              <w:spacing w:line="280" w:lineRule="exact"/>
              <w:ind w:firstLine="360"/>
              <w:jc w:val="center"/>
              <w:rPr>
                <w:rFonts w:hint="eastAsia" w:ascii="宋体" w:hAnsi="宋体" w:cs="仿宋_GB2312"/>
                <w:color w:val="auto"/>
                <w:kern w:val="0"/>
                <w:sz w:val="24"/>
                <w:highlight w:val="none"/>
              </w:rPr>
            </w:pPr>
          </w:p>
        </w:tc>
        <w:tc>
          <w:tcPr>
            <w:tcW w:w="7817" w:type="dxa"/>
            <w:noWrap w:val="0"/>
            <w:vAlign w:val="center"/>
          </w:tcPr>
          <w:p>
            <w:pPr>
              <w:spacing w:line="280" w:lineRule="exact"/>
              <w:rPr>
                <w:rFonts w:hint="eastAsia" w:ascii="宋体" w:hAnsi="宋体" w:eastAsia="宋体" w:cs="仿宋_GB2312"/>
                <w:color w:val="auto"/>
                <w:kern w:val="0"/>
                <w:sz w:val="24"/>
                <w:highlight w:val="none"/>
                <w:lang w:val="en-US" w:eastAsia="zh-CN"/>
              </w:rPr>
            </w:pPr>
            <w:r>
              <w:rPr>
                <w:rFonts w:hint="eastAsia" w:ascii="宋体" w:hAnsi="宋体" w:eastAsia="宋体" w:cs="仿宋_GB2312"/>
                <w:color w:val="auto"/>
                <w:kern w:val="0"/>
                <w:sz w:val="24"/>
                <w:highlight w:val="none"/>
              </w:rPr>
              <w:t>不符合法律、法规和《</w:t>
            </w:r>
            <w:r>
              <w:rPr>
                <w:rFonts w:hint="eastAsia" w:ascii="宋体" w:hAnsi="宋体" w:eastAsia="宋体" w:cs="仿宋_GB2312"/>
                <w:color w:val="auto"/>
                <w:kern w:val="0"/>
                <w:sz w:val="24"/>
                <w:highlight w:val="none"/>
                <w:lang w:eastAsia="zh-CN"/>
              </w:rPr>
              <w:t>磋商文件</w:t>
            </w:r>
            <w:r>
              <w:rPr>
                <w:rFonts w:hint="eastAsia" w:ascii="宋体" w:hAnsi="宋体" w:eastAsia="宋体" w:cs="仿宋_GB2312"/>
                <w:color w:val="auto"/>
                <w:kern w:val="0"/>
                <w:sz w:val="24"/>
                <w:highlight w:val="none"/>
              </w:rPr>
              <w:t>》中规定的其他实质性要求的。</w:t>
            </w:r>
          </w:p>
        </w:tc>
      </w:tr>
    </w:tbl>
    <w:p>
      <w:pPr>
        <w:adjustRightInd w:val="0"/>
        <w:snapToGrid w:val="0"/>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3.详细评审：</w:t>
      </w:r>
    </w:p>
    <w:p>
      <w:pPr>
        <w:adjustRightInd w:val="0"/>
        <w:snapToGrid w:val="0"/>
        <w:spacing w:line="360" w:lineRule="auto"/>
        <w:ind w:firstLine="480" w:firstLineChars="200"/>
        <w:rPr>
          <w:rFonts w:hint="eastAsia" w:ascii="宋体" w:hAnsi="宋体"/>
          <w:b/>
          <w:color w:val="auto"/>
          <w:sz w:val="24"/>
          <w:highlight w:val="none"/>
        </w:rPr>
      </w:pPr>
      <w:r>
        <w:rPr>
          <w:rFonts w:hint="eastAsia" w:ascii="宋体" w:hAnsi="宋体"/>
          <w:color w:val="auto"/>
          <w:sz w:val="24"/>
          <w:highlight w:val="none"/>
        </w:rPr>
        <w:t>3.1</w:t>
      </w:r>
      <w:r>
        <w:rPr>
          <w:rFonts w:hint="eastAsia" w:ascii="宋体" w:hAnsi="宋体"/>
          <w:color w:val="auto"/>
          <w:sz w:val="24"/>
          <w:highlight w:val="none"/>
          <w:lang w:eastAsia="zh-CN"/>
        </w:rPr>
        <w:t>磋商小组</w:t>
      </w:r>
      <w:r>
        <w:rPr>
          <w:rFonts w:hint="eastAsia" w:ascii="宋体" w:hAnsi="宋体"/>
          <w:color w:val="auto"/>
          <w:sz w:val="24"/>
          <w:highlight w:val="none"/>
        </w:rPr>
        <w:t>将只</w:t>
      </w:r>
      <w:r>
        <w:rPr>
          <w:rFonts w:hint="eastAsia" w:ascii="宋体" w:hAnsi="宋体"/>
          <w:color w:val="auto"/>
          <w:sz w:val="24"/>
          <w:highlight w:val="none"/>
          <w:lang w:eastAsia="zh-CN"/>
        </w:rPr>
        <w:t>要求</w:t>
      </w:r>
      <w:r>
        <w:rPr>
          <w:rFonts w:hint="eastAsia" w:ascii="宋体" w:hAnsi="宋体"/>
          <w:color w:val="auto"/>
          <w:sz w:val="24"/>
          <w:highlight w:val="none"/>
        </w:rPr>
        <w:t>通过了“资格性检查</w:t>
      </w:r>
      <w:r>
        <w:rPr>
          <w:rFonts w:hint="eastAsia" w:ascii="宋体" w:hAnsi="宋体"/>
          <w:color w:val="auto"/>
          <w:sz w:val="24"/>
          <w:highlight w:val="none"/>
          <w:lang w:eastAsia="zh-CN"/>
        </w:rPr>
        <w:t>和</w:t>
      </w:r>
      <w:r>
        <w:rPr>
          <w:rFonts w:hint="eastAsia" w:ascii="宋体" w:hAnsi="宋体"/>
          <w:color w:val="auto"/>
          <w:sz w:val="24"/>
          <w:highlight w:val="none"/>
        </w:rPr>
        <w:t>符合性检查”的</w:t>
      </w:r>
      <w:r>
        <w:rPr>
          <w:rFonts w:hint="eastAsia" w:ascii="宋体" w:hAnsi="宋体"/>
          <w:color w:val="auto"/>
          <w:sz w:val="24"/>
          <w:highlight w:val="none"/>
          <w:lang w:eastAsia="zh-CN"/>
        </w:rPr>
        <w:t>供应商进行磋商报价，</w:t>
      </w:r>
      <w:r>
        <w:rPr>
          <w:rFonts w:hint="eastAsia" w:ascii="宋体" w:hAnsi="宋体"/>
          <w:color w:val="auto"/>
          <w:sz w:val="24"/>
          <w:highlight w:val="none"/>
        </w:rPr>
        <w:t>确定为实质上响应《</w:t>
      </w:r>
      <w:r>
        <w:rPr>
          <w:rFonts w:hint="eastAsia" w:ascii="宋体" w:hAnsi="宋体"/>
          <w:color w:val="auto"/>
          <w:sz w:val="24"/>
          <w:highlight w:val="none"/>
          <w:lang w:eastAsia="zh-CN"/>
        </w:rPr>
        <w:t>磋商文件</w:t>
      </w:r>
      <w:r>
        <w:rPr>
          <w:rFonts w:hint="eastAsia" w:ascii="宋体" w:hAnsi="宋体"/>
          <w:color w:val="auto"/>
          <w:sz w:val="24"/>
          <w:highlight w:val="none"/>
        </w:rPr>
        <w:t>》要求的《</w:t>
      </w:r>
      <w:r>
        <w:rPr>
          <w:rFonts w:hint="eastAsia" w:ascii="宋体" w:hAnsi="宋体"/>
          <w:color w:val="auto"/>
          <w:sz w:val="24"/>
          <w:highlight w:val="none"/>
          <w:lang w:eastAsia="zh-CN"/>
        </w:rPr>
        <w:t>磋商响应文件</w:t>
      </w:r>
      <w:r>
        <w:rPr>
          <w:rFonts w:hint="eastAsia" w:ascii="宋体" w:hAnsi="宋体"/>
          <w:color w:val="auto"/>
          <w:sz w:val="24"/>
          <w:highlight w:val="none"/>
        </w:rPr>
        <w:t>》进行详细评审（综合评审评分），详见《综合评分表》。</w:t>
      </w:r>
    </w:p>
    <w:p>
      <w:pPr>
        <w:adjustRightInd w:val="0"/>
        <w:snapToGrid w:val="0"/>
        <w:spacing w:line="360" w:lineRule="auto"/>
        <w:ind w:firstLine="480" w:firstLineChars="200"/>
        <w:rPr>
          <w:rFonts w:hint="eastAsia" w:ascii="宋体" w:hAnsi="宋体"/>
          <w:b/>
          <w:color w:val="auto"/>
          <w:sz w:val="24"/>
          <w:highlight w:val="none"/>
        </w:rPr>
      </w:pPr>
      <w:r>
        <w:rPr>
          <w:rFonts w:hint="eastAsia" w:ascii="宋体" w:hAnsi="宋体"/>
          <w:bCs/>
          <w:color w:val="auto"/>
          <w:sz w:val="24"/>
          <w:szCs w:val="28"/>
          <w:highlight w:val="none"/>
        </w:rPr>
        <w:t>3.2</w:t>
      </w:r>
      <w:r>
        <w:rPr>
          <w:rFonts w:hint="eastAsia" w:ascii="宋体" w:hAnsi="宋体"/>
          <w:bCs/>
          <w:color w:val="auto"/>
          <w:sz w:val="24"/>
          <w:szCs w:val="28"/>
          <w:highlight w:val="none"/>
          <w:lang w:eastAsia="zh-CN"/>
        </w:rPr>
        <w:t>磋商小组</w:t>
      </w:r>
      <w:r>
        <w:rPr>
          <w:rFonts w:hint="eastAsia" w:ascii="宋体" w:hAnsi="宋体"/>
          <w:color w:val="auto"/>
          <w:sz w:val="24"/>
          <w:highlight w:val="none"/>
        </w:rPr>
        <w:t>要审查每份《</w:t>
      </w:r>
      <w:r>
        <w:rPr>
          <w:rFonts w:hint="eastAsia" w:ascii="宋体" w:hAnsi="宋体"/>
          <w:color w:val="auto"/>
          <w:sz w:val="24"/>
          <w:highlight w:val="none"/>
          <w:lang w:eastAsia="zh-CN"/>
        </w:rPr>
        <w:t>磋商响应文件</w:t>
      </w:r>
      <w:r>
        <w:rPr>
          <w:rFonts w:hint="eastAsia" w:ascii="宋体" w:hAnsi="宋体"/>
          <w:color w:val="auto"/>
          <w:sz w:val="24"/>
          <w:highlight w:val="none"/>
        </w:rPr>
        <w:t>》是否实质上响应了《</w:t>
      </w:r>
      <w:r>
        <w:rPr>
          <w:rFonts w:hint="eastAsia" w:ascii="宋体" w:hAnsi="宋体"/>
          <w:color w:val="auto"/>
          <w:sz w:val="24"/>
          <w:highlight w:val="none"/>
          <w:lang w:eastAsia="zh-CN"/>
        </w:rPr>
        <w:t>磋商文件</w:t>
      </w:r>
      <w:r>
        <w:rPr>
          <w:rFonts w:hint="eastAsia" w:ascii="宋体" w:hAnsi="宋体"/>
          <w:color w:val="auto"/>
          <w:sz w:val="24"/>
          <w:highlight w:val="none"/>
        </w:rPr>
        <w:t>》的要求。实质上响应的</w:t>
      </w:r>
      <w:r>
        <w:rPr>
          <w:rFonts w:hint="eastAsia" w:ascii="宋体" w:hAnsi="宋体"/>
          <w:color w:val="auto"/>
          <w:sz w:val="24"/>
          <w:highlight w:val="none"/>
          <w:lang w:eastAsia="zh-CN"/>
        </w:rPr>
        <w:t>磋商响应文件</w:t>
      </w:r>
      <w:r>
        <w:rPr>
          <w:rFonts w:hint="eastAsia" w:ascii="宋体" w:hAnsi="宋体"/>
          <w:color w:val="auto"/>
          <w:sz w:val="24"/>
          <w:highlight w:val="none"/>
        </w:rPr>
        <w:t>应该是与</w:t>
      </w:r>
      <w:r>
        <w:rPr>
          <w:rFonts w:hint="eastAsia" w:ascii="宋体" w:hAnsi="宋体"/>
          <w:color w:val="auto"/>
          <w:sz w:val="24"/>
          <w:highlight w:val="none"/>
          <w:lang w:eastAsia="zh-CN"/>
        </w:rPr>
        <w:t>磋商文件</w:t>
      </w:r>
      <w:r>
        <w:rPr>
          <w:rFonts w:hint="eastAsia" w:ascii="宋体" w:hAnsi="宋体"/>
          <w:color w:val="auto"/>
          <w:sz w:val="24"/>
          <w:highlight w:val="none"/>
        </w:rPr>
        <w:t>要求的全部条款、条件和技术参数相符。对关键条款的偏离、保留或反对将被认为是实质上的偏</w:t>
      </w:r>
      <w:r>
        <w:rPr>
          <w:rFonts w:hint="eastAsia" w:ascii="宋体" w:hAnsi="宋体"/>
          <w:bCs/>
          <w:color w:val="auto"/>
          <w:sz w:val="24"/>
          <w:szCs w:val="28"/>
          <w:highlight w:val="none"/>
        </w:rPr>
        <w:t>离。</w:t>
      </w:r>
      <w:r>
        <w:rPr>
          <w:rFonts w:hint="eastAsia" w:ascii="宋体" w:hAnsi="宋体"/>
          <w:bCs/>
          <w:color w:val="auto"/>
          <w:sz w:val="24"/>
          <w:szCs w:val="28"/>
          <w:highlight w:val="none"/>
          <w:lang w:eastAsia="zh-CN"/>
        </w:rPr>
        <w:t>磋商小组</w:t>
      </w:r>
      <w:r>
        <w:rPr>
          <w:rFonts w:hint="eastAsia" w:ascii="宋体" w:hAnsi="宋体"/>
          <w:bCs/>
          <w:color w:val="auto"/>
          <w:sz w:val="24"/>
          <w:szCs w:val="28"/>
          <w:highlight w:val="none"/>
        </w:rPr>
        <w:t>决定评标的响应性只根据《</w:t>
      </w:r>
      <w:r>
        <w:rPr>
          <w:rFonts w:hint="eastAsia" w:ascii="宋体" w:hAnsi="宋体"/>
          <w:bCs/>
          <w:color w:val="auto"/>
          <w:sz w:val="24"/>
          <w:szCs w:val="28"/>
          <w:highlight w:val="none"/>
          <w:lang w:eastAsia="zh-CN"/>
        </w:rPr>
        <w:t>磋商响应文件</w:t>
      </w:r>
      <w:r>
        <w:rPr>
          <w:rFonts w:hint="eastAsia" w:ascii="宋体" w:hAnsi="宋体"/>
          <w:bCs/>
          <w:color w:val="auto"/>
          <w:sz w:val="24"/>
          <w:szCs w:val="28"/>
          <w:highlight w:val="none"/>
        </w:rPr>
        <w:t>》本身的内容，而不寻求外部的任何证据。</w:t>
      </w:r>
    </w:p>
    <w:p>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磋商响应文件</w:t>
      </w:r>
      <w:r>
        <w:rPr>
          <w:rFonts w:hint="eastAsia" w:ascii="宋体" w:hAnsi="宋体"/>
          <w:color w:val="auto"/>
          <w:sz w:val="24"/>
          <w:highlight w:val="none"/>
        </w:rPr>
        <w:t>》的大写金额和小写金额不一致的，以大写金额为准；总价金额与单项单价汇总金额不一致的，以单价金额计算结果为准；单价金额小数点有明显错位的，应以总价为准，并修改单价；对不同文字文本《</w:t>
      </w:r>
      <w:r>
        <w:rPr>
          <w:rFonts w:hint="eastAsia" w:ascii="宋体" w:hAnsi="宋体"/>
          <w:color w:val="auto"/>
          <w:sz w:val="24"/>
          <w:highlight w:val="none"/>
          <w:lang w:eastAsia="zh-CN"/>
        </w:rPr>
        <w:t>磋商响应文件</w:t>
      </w:r>
      <w:r>
        <w:rPr>
          <w:rFonts w:hint="eastAsia" w:ascii="宋体" w:hAnsi="宋体"/>
          <w:color w:val="auto"/>
          <w:sz w:val="24"/>
          <w:highlight w:val="none"/>
        </w:rPr>
        <w:t>》的解释发生异议的，以中文文本为准。</w:t>
      </w:r>
    </w:p>
    <w:p>
      <w:pPr>
        <w:numPr>
          <w:ilvl w:val="0"/>
          <w:numId w:val="8"/>
        </w:numPr>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综合评分表：</w:t>
      </w:r>
    </w:p>
    <w:tbl>
      <w:tblPr>
        <w:tblStyle w:val="15"/>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793"/>
        <w:gridCol w:w="1466"/>
        <w:gridCol w:w="6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502" w:type="dxa"/>
            <w:noWrap w:val="0"/>
            <w:vAlign w:val="center"/>
          </w:tcPr>
          <w:p>
            <w:pPr>
              <w:spacing w:line="28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793" w:type="dxa"/>
            <w:noWrap w:val="0"/>
            <w:vAlign w:val="center"/>
          </w:tcPr>
          <w:p>
            <w:pPr>
              <w:spacing w:line="280" w:lineRule="exact"/>
              <w:jc w:val="center"/>
              <w:rPr>
                <w:rFonts w:hint="eastAsia" w:ascii="宋体" w:hAnsi="宋体"/>
                <w:color w:val="auto"/>
                <w:szCs w:val="21"/>
                <w:highlight w:val="none"/>
              </w:rPr>
            </w:pPr>
            <w:r>
              <w:rPr>
                <w:rFonts w:hint="eastAsia" w:ascii="宋体" w:hAnsi="宋体"/>
                <w:color w:val="auto"/>
                <w:szCs w:val="21"/>
                <w:highlight w:val="none"/>
              </w:rPr>
              <w:t>项目</w:t>
            </w:r>
          </w:p>
        </w:tc>
        <w:tc>
          <w:tcPr>
            <w:tcW w:w="1466" w:type="dxa"/>
            <w:noWrap w:val="0"/>
            <w:vAlign w:val="center"/>
          </w:tcPr>
          <w:p>
            <w:pPr>
              <w:spacing w:line="280" w:lineRule="exact"/>
              <w:jc w:val="center"/>
              <w:rPr>
                <w:rFonts w:hint="eastAsia" w:ascii="宋体" w:hAnsi="宋体"/>
                <w:color w:val="auto"/>
                <w:szCs w:val="21"/>
                <w:highlight w:val="none"/>
              </w:rPr>
            </w:pPr>
            <w:r>
              <w:rPr>
                <w:rFonts w:hint="eastAsia" w:ascii="宋体" w:hAnsi="宋体"/>
                <w:color w:val="auto"/>
                <w:szCs w:val="21"/>
                <w:highlight w:val="none"/>
              </w:rPr>
              <w:t>项目及分值</w:t>
            </w:r>
          </w:p>
        </w:tc>
        <w:tc>
          <w:tcPr>
            <w:tcW w:w="6717" w:type="dxa"/>
            <w:noWrap w:val="0"/>
            <w:vAlign w:val="center"/>
          </w:tcPr>
          <w:p>
            <w:pPr>
              <w:spacing w:line="280" w:lineRule="exact"/>
              <w:jc w:val="center"/>
              <w:rPr>
                <w:rFonts w:hint="eastAsia" w:ascii="宋体" w:hAnsi="宋体"/>
                <w:color w:val="auto"/>
                <w:szCs w:val="21"/>
                <w:highlight w:val="none"/>
              </w:rPr>
            </w:pPr>
            <w:r>
              <w:rPr>
                <w:rFonts w:hint="eastAsia" w:ascii="宋体" w:hAnsi="宋体"/>
                <w:b/>
                <w:color w:val="auto"/>
                <w:sz w:val="24"/>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502" w:type="dxa"/>
            <w:noWrap w:val="0"/>
            <w:vAlign w:val="center"/>
          </w:tcPr>
          <w:p>
            <w:pPr>
              <w:spacing w:line="28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793" w:type="dxa"/>
            <w:noWrap w:val="0"/>
            <w:vAlign w:val="center"/>
          </w:tcPr>
          <w:p>
            <w:pPr>
              <w:spacing w:line="280" w:lineRule="exact"/>
              <w:jc w:val="center"/>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报价</w:t>
            </w:r>
            <w:r>
              <w:rPr>
                <w:rFonts w:hint="eastAsia" w:ascii="宋体" w:hAnsi="宋体" w:cs="宋体"/>
                <w:color w:val="auto"/>
                <w:kern w:val="0"/>
                <w:szCs w:val="21"/>
                <w:highlight w:val="none"/>
              </w:rPr>
              <w:t>部分</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分</w:t>
            </w:r>
          </w:p>
        </w:tc>
        <w:tc>
          <w:tcPr>
            <w:tcW w:w="1466" w:type="dxa"/>
            <w:noWrap w:val="0"/>
            <w:vAlign w:val="center"/>
          </w:tcPr>
          <w:p>
            <w:pPr>
              <w:spacing w:line="28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投标报价</w:t>
            </w:r>
          </w:p>
          <w:p>
            <w:pPr>
              <w:spacing w:line="28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分）</w:t>
            </w:r>
          </w:p>
        </w:tc>
        <w:tc>
          <w:tcPr>
            <w:tcW w:w="671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eastAsia" w:ascii="宋体" w:hAnsi="宋体"/>
                <w:color w:val="auto"/>
                <w:szCs w:val="21"/>
                <w:highlight w:val="none"/>
              </w:rPr>
            </w:pPr>
            <w:r>
              <w:rPr>
                <w:rFonts w:hint="eastAsia" w:ascii="宋体" w:hAnsi="宋体"/>
                <w:color w:val="auto"/>
                <w:szCs w:val="21"/>
                <w:highlight w:val="none"/>
              </w:rPr>
              <w:t>价格分统一采用低价优先法计算，即满足磋商文件要求且最后报价最低的供应商的价格为基准价，其价格分为满分。其他供应商的价格分统一按照下列公式计算：</w:t>
            </w:r>
          </w:p>
          <w:p>
            <w:pPr>
              <w:spacing w:line="280" w:lineRule="exact"/>
              <w:rPr>
                <w:rFonts w:hint="eastAsia" w:ascii="宋体" w:hAnsi="宋体" w:eastAsia="宋体"/>
                <w:color w:val="auto"/>
                <w:szCs w:val="21"/>
                <w:highlight w:val="none"/>
                <w:lang w:eastAsia="zh-CN"/>
              </w:rPr>
            </w:pPr>
            <w:r>
              <w:rPr>
                <w:rFonts w:ascii="宋体" w:hAnsi="宋体"/>
                <w:color w:val="auto"/>
                <w:szCs w:val="21"/>
                <w:highlight w:val="none"/>
              </w:rPr>
              <w:t>投标报价得分=（评标基准价/</w:t>
            </w:r>
            <w:r>
              <w:rPr>
                <w:rFonts w:hint="eastAsia" w:ascii="宋体" w:hAnsi="宋体"/>
                <w:color w:val="auto"/>
                <w:szCs w:val="21"/>
                <w:highlight w:val="none"/>
                <w:lang w:eastAsia="zh-CN"/>
              </w:rPr>
              <w:t>最终</w:t>
            </w:r>
            <w:r>
              <w:rPr>
                <w:rFonts w:ascii="宋体" w:hAnsi="宋体"/>
                <w:color w:val="auto"/>
                <w:szCs w:val="21"/>
                <w:highlight w:val="none"/>
              </w:rPr>
              <w:t>报价）*价格权重*100</w:t>
            </w:r>
          </w:p>
          <w:p>
            <w:pPr>
              <w:spacing w:line="280" w:lineRule="exact"/>
              <w:rPr>
                <w:rFonts w:ascii="宋体" w:hAnsi="宋体" w:cs="宋体"/>
                <w:color w:val="auto"/>
                <w:kern w:val="0"/>
                <w:szCs w:val="21"/>
                <w:highlight w:val="none"/>
              </w:rPr>
            </w:pPr>
            <w:r>
              <w:rPr>
                <w:rFonts w:ascii="宋体" w:hAnsi="宋体"/>
                <w:color w:val="auto"/>
                <w:szCs w:val="21"/>
                <w:highlight w:val="none"/>
              </w:rPr>
              <w:t>注：</w:t>
            </w:r>
            <w:r>
              <w:rPr>
                <w:rFonts w:hint="eastAsia" w:ascii="宋体" w:hAnsi="宋体"/>
                <w:color w:val="auto"/>
                <w:szCs w:val="21"/>
                <w:highlight w:val="none"/>
              </w:rPr>
              <w:t>根据《政府采购支持中小企业发展暂行办法》（财库[20</w:t>
            </w:r>
            <w:r>
              <w:rPr>
                <w:rFonts w:hint="eastAsia" w:ascii="宋体" w:hAnsi="宋体"/>
                <w:color w:val="auto"/>
                <w:szCs w:val="21"/>
                <w:highlight w:val="none"/>
                <w:lang w:val="en-US" w:eastAsia="zh-CN"/>
              </w:rPr>
              <w:t>20</w:t>
            </w:r>
            <w:r>
              <w:rPr>
                <w:rFonts w:hint="eastAsia" w:ascii="宋体" w:hAnsi="宋体"/>
                <w:color w:val="auto"/>
                <w:szCs w:val="21"/>
                <w:highlight w:val="none"/>
              </w:rPr>
              <w:t>]</w:t>
            </w:r>
            <w:r>
              <w:rPr>
                <w:rFonts w:hint="eastAsia" w:ascii="宋体" w:hAnsi="宋体"/>
                <w:color w:val="auto"/>
                <w:szCs w:val="21"/>
                <w:highlight w:val="none"/>
                <w:lang w:val="en-US" w:eastAsia="zh-CN"/>
              </w:rPr>
              <w:t>46</w:t>
            </w:r>
            <w:r>
              <w:rPr>
                <w:rFonts w:hint="eastAsia" w:ascii="宋体" w:hAnsi="宋体"/>
                <w:color w:val="auto"/>
                <w:szCs w:val="21"/>
                <w:highlight w:val="none"/>
              </w:rPr>
              <w:t>号）规定，供应商属于</w:t>
            </w:r>
            <w:r>
              <w:rPr>
                <w:rFonts w:hint="eastAsia" w:ascii="宋体" w:hAnsi="宋体"/>
                <w:color w:val="auto"/>
                <w:szCs w:val="21"/>
                <w:highlight w:val="none"/>
                <w:lang w:eastAsia="zh-CN"/>
              </w:rPr>
              <w:t>中</w:t>
            </w:r>
            <w:r>
              <w:rPr>
                <w:rFonts w:hint="eastAsia" w:ascii="宋体" w:hAnsi="宋体"/>
                <w:color w:val="auto"/>
                <w:szCs w:val="21"/>
                <w:highlight w:val="none"/>
              </w:rPr>
              <w:t>小型或微型企业且所提供产品属于</w:t>
            </w:r>
            <w:r>
              <w:rPr>
                <w:rFonts w:hint="eastAsia" w:ascii="宋体" w:hAnsi="宋体"/>
                <w:color w:val="auto"/>
                <w:szCs w:val="21"/>
                <w:highlight w:val="none"/>
                <w:lang w:eastAsia="zh-CN"/>
              </w:rPr>
              <w:t>中</w:t>
            </w:r>
            <w:r>
              <w:rPr>
                <w:rFonts w:hint="eastAsia" w:ascii="宋体" w:hAnsi="宋体"/>
                <w:color w:val="auto"/>
                <w:szCs w:val="21"/>
                <w:highlight w:val="none"/>
              </w:rPr>
              <w:t>小型或微型企业生产的，将对供应商的最终报价给予</w:t>
            </w:r>
            <w:r>
              <w:rPr>
                <w:rFonts w:hint="eastAsia" w:ascii="宋体" w:hAnsi="宋体"/>
                <w:color w:val="auto"/>
                <w:szCs w:val="21"/>
                <w:highlight w:val="none"/>
                <w:lang w:val="en-US" w:eastAsia="zh-CN"/>
              </w:rPr>
              <w:t>3</w:t>
            </w:r>
            <w:r>
              <w:rPr>
                <w:rFonts w:hint="eastAsia" w:ascii="宋体" w:hAnsi="宋体"/>
                <w:color w:val="auto"/>
                <w:szCs w:val="21"/>
                <w:highlight w:val="none"/>
              </w:rPr>
              <w:t>%的扣除</w:t>
            </w:r>
            <w:r>
              <w:rPr>
                <w:rFonts w:hint="eastAsia" w:ascii="宋体" w:hAnsi="宋体"/>
                <w:color w:val="auto"/>
                <w:szCs w:val="21"/>
                <w:highlight w:val="none"/>
                <w:lang w:eastAsia="zh-CN"/>
              </w:rPr>
              <w:t>，以扣除后的价格作为评标价格</w:t>
            </w:r>
            <w:r>
              <w:rPr>
                <w:rFonts w:hint="eastAsia" w:ascii="宋体" w:hAnsi="宋体"/>
                <w:color w:val="auto"/>
                <w:szCs w:val="21"/>
                <w:highlight w:val="none"/>
              </w:rPr>
              <w:t>。</w:t>
            </w:r>
            <w:r>
              <w:rPr>
                <w:rFonts w:ascii="宋体" w:hAnsi="宋体"/>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502" w:type="dxa"/>
            <w:noWrap w:val="0"/>
            <w:vAlign w:val="center"/>
          </w:tcPr>
          <w:p>
            <w:pPr>
              <w:spacing w:line="28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2</w:t>
            </w:r>
          </w:p>
        </w:tc>
        <w:tc>
          <w:tcPr>
            <w:tcW w:w="793" w:type="dxa"/>
            <w:vMerge w:val="restart"/>
            <w:noWrap w:val="0"/>
            <w:vAlign w:val="center"/>
          </w:tcPr>
          <w:p>
            <w:pPr>
              <w:spacing w:line="28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技术</w:t>
            </w:r>
            <w:r>
              <w:rPr>
                <w:rFonts w:hint="eastAsia" w:ascii="宋体" w:hAnsi="宋体" w:eastAsia="宋体" w:cs="宋体"/>
                <w:color w:val="auto"/>
                <w:kern w:val="0"/>
                <w:szCs w:val="21"/>
                <w:highlight w:val="none"/>
                <w:lang w:val="en-US" w:eastAsia="zh-CN"/>
              </w:rPr>
              <w:t>部分</w:t>
            </w:r>
            <w:r>
              <w:rPr>
                <w:rFonts w:hint="eastAsia" w:ascii="宋体" w:hAnsi="宋体" w:eastAsia="宋体" w:cs="Times New Roman"/>
                <w:color w:val="auto"/>
                <w:szCs w:val="21"/>
                <w:highlight w:val="none"/>
                <w:lang w:val="en-US" w:eastAsia="zh-CN"/>
              </w:rPr>
              <w:t>90</w:t>
            </w:r>
            <w:r>
              <w:rPr>
                <w:rFonts w:hint="eastAsia" w:ascii="宋体" w:hAnsi="宋体" w:eastAsia="宋体" w:cs="Times New Roman"/>
                <w:color w:val="auto"/>
                <w:szCs w:val="21"/>
                <w:highlight w:val="none"/>
              </w:rPr>
              <w:t>分</w:t>
            </w:r>
          </w:p>
          <w:p>
            <w:pPr>
              <w:spacing w:line="280" w:lineRule="exact"/>
              <w:jc w:val="center"/>
              <w:rPr>
                <w:rFonts w:hint="default" w:ascii="宋体" w:hAnsi="宋体" w:eastAsia="宋体" w:cs="Times New Roman"/>
                <w:color w:val="auto"/>
                <w:szCs w:val="21"/>
                <w:highlight w:val="none"/>
                <w:lang w:val="en-US" w:eastAsia="zh-CN"/>
              </w:rPr>
            </w:pPr>
          </w:p>
        </w:tc>
        <w:tc>
          <w:tcPr>
            <w:tcW w:w="1466"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firstLine="210" w:firstLineChars="100"/>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工程业绩</w:t>
            </w:r>
          </w:p>
          <w:p>
            <w:pPr>
              <w:spacing w:line="28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lang w:val="zh-CN"/>
              </w:rPr>
              <w:t>分）</w:t>
            </w:r>
          </w:p>
        </w:tc>
        <w:tc>
          <w:tcPr>
            <w:tcW w:w="671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w:t>
            </w:r>
            <w:r>
              <w:rPr>
                <w:rFonts w:hint="eastAsia" w:ascii="宋体" w:hAnsi="宋体" w:eastAsia="宋体" w:cs="Times New Roman"/>
                <w:color w:val="auto"/>
                <w:szCs w:val="21"/>
                <w:highlight w:val="none"/>
                <w:lang w:val="en-US" w:eastAsia="zh-CN"/>
              </w:rPr>
              <w:t>近一年</w:t>
            </w:r>
            <w:r>
              <w:rPr>
                <w:rFonts w:hint="eastAsia" w:ascii="宋体" w:hAnsi="宋体" w:eastAsia="宋体" w:cs="Times New Roman"/>
                <w:color w:val="auto"/>
                <w:szCs w:val="21"/>
                <w:highlight w:val="none"/>
              </w:rPr>
              <w:t>以来已完成的</w:t>
            </w:r>
            <w:r>
              <w:rPr>
                <w:rFonts w:hint="eastAsia" w:ascii="宋体" w:hAnsi="宋体" w:eastAsia="宋体" w:cs="Times New Roman"/>
                <w:color w:val="auto"/>
                <w:szCs w:val="21"/>
                <w:highlight w:val="none"/>
                <w:lang w:val="en-US" w:eastAsia="zh-CN"/>
              </w:rPr>
              <w:t>类似</w:t>
            </w:r>
            <w:r>
              <w:rPr>
                <w:rFonts w:hint="eastAsia" w:ascii="宋体" w:hAnsi="宋体" w:eastAsia="宋体" w:cs="Times New Roman"/>
                <w:color w:val="auto"/>
                <w:szCs w:val="21"/>
                <w:highlight w:val="none"/>
              </w:rPr>
              <w:t>工程业绩，每一项得</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分，最多得</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分；</w:t>
            </w:r>
          </w:p>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zh-CN"/>
              </w:rPr>
              <w:t>评审依据：以提供的合同原件及</w:t>
            </w:r>
            <w:r>
              <w:rPr>
                <w:rFonts w:hint="eastAsia" w:ascii="宋体" w:hAnsi="宋体" w:eastAsia="宋体" w:cs="Times New Roman"/>
                <w:color w:val="auto"/>
                <w:szCs w:val="21"/>
                <w:highlight w:val="none"/>
                <w:lang w:val="en-US" w:eastAsia="zh-CN"/>
              </w:rPr>
              <w:t>中标通知书</w:t>
            </w:r>
            <w:r>
              <w:rPr>
                <w:rFonts w:hint="eastAsia" w:ascii="宋体" w:hAnsi="宋体" w:eastAsia="宋体" w:cs="Times New Roman"/>
                <w:color w:val="auto"/>
                <w:szCs w:val="21"/>
                <w:highlight w:val="none"/>
                <w:lang w:val="zh-CN"/>
              </w:rPr>
              <w:t>为准，没有或不按要求提供的不得分，业绩不得重复累计计算。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502" w:type="dxa"/>
            <w:noWrap w:val="0"/>
            <w:vAlign w:val="center"/>
          </w:tcPr>
          <w:p>
            <w:pPr>
              <w:spacing w:line="28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3</w:t>
            </w:r>
          </w:p>
        </w:tc>
        <w:tc>
          <w:tcPr>
            <w:tcW w:w="793" w:type="dxa"/>
            <w:vMerge w:val="continue"/>
            <w:noWrap w:val="0"/>
            <w:vAlign w:val="center"/>
          </w:tcPr>
          <w:p>
            <w:pPr>
              <w:spacing w:line="280" w:lineRule="exact"/>
              <w:jc w:val="center"/>
              <w:rPr>
                <w:rFonts w:hint="default" w:ascii="宋体" w:hAnsi="宋体" w:eastAsia="宋体" w:cs="Times New Roman"/>
                <w:color w:val="auto"/>
                <w:szCs w:val="21"/>
                <w:highlight w:val="none"/>
                <w:lang w:val="en-US" w:eastAsia="zh-CN"/>
              </w:rPr>
            </w:pPr>
          </w:p>
        </w:tc>
        <w:tc>
          <w:tcPr>
            <w:tcW w:w="1466" w:type="dxa"/>
            <w:noWrap w:val="0"/>
            <w:vAlign w:val="center"/>
          </w:tcPr>
          <w:p>
            <w:pPr>
              <w:spacing w:line="280" w:lineRule="exact"/>
              <w:jc w:val="center"/>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施工</w:t>
            </w:r>
            <w:r>
              <w:rPr>
                <w:rFonts w:hint="eastAsia" w:ascii="宋体" w:hAnsi="宋体" w:eastAsia="宋体" w:cs="Times New Roman"/>
                <w:color w:val="auto"/>
                <w:szCs w:val="21"/>
                <w:highlight w:val="none"/>
                <w:lang w:val="zh-CN" w:eastAsia="zh-CN"/>
              </w:rPr>
              <w:t>组织</w:t>
            </w:r>
            <w:r>
              <w:rPr>
                <w:rFonts w:hint="eastAsia" w:ascii="宋体" w:hAnsi="宋体" w:eastAsia="宋体" w:cs="Times New Roman"/>
                <w:color w:val="auto"/>
                <w:szCs w:val="21"/>
                <w:highlight w:val="none"/>
                <w:lang w:val="zh-CN"/>
              </w:rPr>
              <w:t>设计</w:t>
            </w:r>
          </w:p>
          <w:p>
            <w:pPr>
              <w:spacing w:line="28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en-US" w:eastAsia="zh-CN"/>
              </w:rPr>
              <w:t>25</w:t>
            </w:r>
            <w:r>
              <w:rPr>
                <w:rFonts w:hint="eastAsia" w:ascii="宋体" w:hAnsi="宋体" w:eastAsia="宋体" w:cs="Times New Roman"/>
                <w:color w:val="auto"/>
                <w:szCs w:val="21"/>
                <w:highlight w:val="none"/>
                <w:lang w:val="zh-CN"/>
              </w:rPr>
              <w:t>分）</w:t>
            </w:r>
          </w:p>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eastAsia" w:ascii="宋体" w:hAnsi="宋体" w:eastAsia="宋体" w:cs="Times New Roman"/>
                <w:color w:val="auto"/>
                <w:szCs w:val="21"/>
                <w:highlight w:val="none"/>
              </w:rPr>
            </w:pPr>
          </w:p>
        </w:tc>
        <w:tc>
          <w:tcPr>
            <w:tcW w:w="671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（1）施工方法是否明确，技术措施是否可靠；（≥0～≤</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分）</w:t>
            </w:r>
          </w:p>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（2）施工技术难点是否进行分析论述或者控制方法是否可靠；（≥0～≤</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分）</w:t>
            </w:r>
          </w:p>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（3）施工进度计划安排是否合理；（≥0～≤</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分）</w:t>
            </w:r>
          </w:p>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（4）对控制性工期和关键工序的进度安排说明是否明确合理；（≥0～≤</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分）</w:t>
            </w:r>
          </w:p>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（5）网络图和横道图与施工安排是否一致。（≥0～≤</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2" w:type="dxa"/>
            <w:noWrap w:val="0"/>
            <w:vAlign w:val="center"/>
          </w:tcPr>
          <w:p>
            <w:pPr>
              <w:spacing w:line="28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793"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eastAsia" w:ascii="宋体" w:hAnsi="宋体" w:eastAsia="宋体" w:cs="Times New Roman"/>
                <w:color w:val="auto"/>
                <w:szCs w:val="21"/>
                <w:highlight w:val="none"/>
              </w:rPr>
            </w:pPr>
          </w:p>
        </w:tc>
        <w:tc>
          <w:tcPr>
            <w:tcW w:w="1466" w:type="dxa"/>
            <w:noWrap w:val="0"/>
            <w:vAlign w:val="center"/>
          </w:tcPr>
          <w:p>
            <w:pPr>
              <w:spacing w:line="28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施工技术力量、机械设备及人力资源配置</w:t>
            </w:r>
          </w:p>
          <w:p>
            <w:pPr>
              <w:spacing w:line="28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20</w:t>
            </w:r>
            <w:r>
              <w:rPr>
                <w:rFonts w:hint="eastAsia" w:ascii="宋体" w:hAnsi="宋体" w:eastAsia="宋体" w:cs="Times New Roman"/>
                <w:color w:val="auto"/>
                <w:szCs w:val="21"/>
                <w:highlight w:val="none"/>
              </w:rPr>
              <w:t>分）</w:t>
            </w:r>
          </w:p>
        </w:tc>
        <w:tc>
          <w:tcPr>
            <w:tcW w:w="671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（1）项目部机构设置是否合理；（</w:t>
            </w:r>
            <w:r>
              <w:rPr>
                <w:rFonts w:hint="eastAsia" w:ascii="宋体" w:hAnsi="宋体" w:eastAsia="宋体" w:cs="Times New Roman"/>
                <w:color w:val="auto"/>
                <w:szCs w:val="21"/>
                <w:highlight w:val="none"/>
                <w:lang w:eastAsia="zh-CN"/>
              </w:rPr>
              <w:t>优：</w:t>
            </w:r>
            <w:r>
              <w:rPr>
                <w:rFonts w:hint="eastAsia" w:ascii="宋体" w:hAnsi="宋体" w:eastAsia="宋体" w:cs="Times New Roman"/>
                <w:color w:val="auto"/>
                <w:szCs w:val="21"/>
                <w:highlight w:val="none"/>
                <w:lang w:val="en-US" w:eastAsia="zh-CN"/>
              </w:rPr>
              <w:t>4分，</w:t>
            </w:r>
            <w:r>
              <w:rPr>
                <w:rFonts w:hint="eastAsia" w:ascii="宋体" w:hAnsi="宋体" w:eastAsia="宋体" w:cs="Times New Roman"/>
                <w:color w:val="auto"/>
                <w:szCs w:val="21"/>
                <w:highlight w:val="none"/>
                <w:lang w:eastAsia="zh-CN"/>
              </w:rPr>
              <w:t>良：</w:t>
            </w:r>
            <w:r>
              <w:rPr>
                <w:rFonts w:hint="eastAsia" w:ascii="宋体" w:hAnsi="宋体" w:eastAsia="宋体" w:cs="Times New Roman"/>
                <w:color w:val="auto"/>
                <w:szCs w:val="21"/>
                <w:highlight w:val="none"/>
                <w:lang w:val="en-US" w:eastAsia="zh-CN"/>
              </w:rPr>
              <w:t>2分，</w:t>
            </w:r>
            <w:r>
              <w:rPr>
                <w:rFonts w:hint="eastAsia" w:ascii="宋体" w:hAnsi="宋体" w:eastAsia="宋体" w:cs="Times New Roman"/>
                <w:color w:val="auto"/>
                <w:szCs w:val="21"/>
                <w:highlight w:val="none"/>
                <w:lang w:eastAsia="zh-CN"/>
              </w:rPr>
              <w:t>一般：</w:t>
            </w:r>
            <w:r>
              <w:rPr>
                <w:rFonts w:hint="eastAsia" w:ascii="宋体" w:hAnsi="宋体" w:eastAsia="宋体" w:cs="Times New Roman"/>
                <w:color w:val="auto"/>
                <w:szCs w:val="21"/>
                <w:highlight w:val="none"/>
                <w:lang w:val="en-US" w:eastAsia="zh-CN"/>
              </w:rPr>
              <w:t>1分</w:t>
            </w:r>
            <w:r>
              <w:rPr>
                <w:rFonts w:hint="eastAsia" w:ascii="宋体" w:hAnsi="宋体" w:eastAsia="宋体" w:cs="Times New Roman"/>
                <w:color w:val="auto"/>
                <w:szCs w:val="21"/>
                <w:highlight w:val="none"/>
              </w:rPr>
              <w:t>）</w:t>
            </w:r>
          </w:p>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（2）项目经理及技术负责人职称是否满足招标文件要求，是否主持或者参与过类似工程施工且担任主要负责人，驻工地时间是否有明确承诺并有处罚措施；（</w:t>
            </w:r>
            <w:r>
              <w:rPr>
                <w:rFonts w:hint="eastAsia" w:ascii="宋体" w:hAnsi="宋体" w:eastAsia="宋体" w:cs="Times New Roman"/>
                <w:color w:val="auto"/>
                <w:szCs w:val="21"/>
                <w:highlight w:val="none"/>
                <w:lang w:eastAsia="zh-CN"/>
              </w:rPr>
              <w:t>优：</w:t>
            </w:r>
            <w:r>
              <w:rPr>
                <w:rFonts w:hint="eastAsia" w:ascii="宋体" w:hAnsi="宋体" w:eastAsia="宋体" w:cs="Times New Roman"/>
                <w:color w:val="auto"/>
                <w:szCs w:val="21"/>
                <w:highlight w:val="none"/>
                <w:lang w:val="en-US" w:eastAsia="zh-CN"/>
              </w:rPr>
              <w:t>4分，</w:t>
            </w:r>
            <w:r>
              <w:rPr>
                <w:rFonts w:hint="eastAsia" w:ascii="宋体" w:hAnsi="宋体" w:eastAsia="宋体" w:cs="Times New Roman"/>
                <w:color w:val="auto"/>
                <w:szCs w:val="21"/>
                <w:highlight w:val="none"/>
                <w:lang w:eastAsia="zh-CN"/>
              </w:rPr>
              <w:t>良：</w:t>
            </w:r>
            <w:r>
              <w:rPr>
                <w:rFonts w:hint="eastAsia" w:ascii="宋体" w:hAnsi="宋体" w:eastAsia="宋体" w:cs="Times New Roman"/>
                <w:color w:val="auto"/>
                <w:szCs w:val="21"/>
                <w:highlight w:val="none"/>
                <w:lang w:val="en-US" w:eastAsia="zh-CN"/>
              </w:rPr>
              <w:t>2分，</w:t>
            </w:r>
            <w:r>
              <w:rPr>
                <w:rFonts w:hint="eastAsia" w:ascii="宋体" w:hAnsi="宋体" w:eastAsia="宋体" w:cs="Times New Roman"/>
                <w:color w:val="auto"/>
                <w:szCs w:val="21"/>
                <w:highlight w:val="none"/>
                <w:lang w:eastAsia="zh-CN"/>
              </w:rPr>
              <w:t>一般：</w:t>
            </w:r>
            <w:r>
              <w:rPr>
                <w:rFonts w:hint="eastAsia" w:ascii="宋体" w:hAnsi="宋体" w:eastAsia="宋体" w:cs="Times New Roman"/>
                <w:color w:val="auto"/>
                <w:szCs w:val="21"/>
                <w:highlight w:val="none"/>
                <w:lang w:val="en-US" w:eastAsia="zh-CN"/>
              </w:rPr>
              <w:t>1分</w:t>
            </w:r>
            <w:r>
              <w:rPr>
                <w:rFonts w:hint="eastAsia" w:ascii="宋体" w:hAnsi="宋体" w:eastAsia="宋体" w:cs="Times New Roman"/>
                <w:color w:val="auto"/>
                <w:szCs w:val="21"/>
                <w:highlight w:val="none"/>
              </w:rPr>
              <w:t>）</w:t>
            </w:r>
          </w:p>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（3）各关键人员配置是否是否齐全，是否做到全员持证上岗，且岗位职责明确；（</w:t>
            </w:r>
            <w:r>
              <w:rPr>
                <w:rFonts w:hint="eastAsia" w:ascii="宋体" w:hAnsi="宋体" w:eastAsia="宋体" w:cs="Times New Roman"/>
                <w:color w:val="auto"/>
                <w:szCs w:val="21"/>
                <w:highlight w:val="none"/>
                <w:lang w:eastAsia="zh-CN"/>
              </w:rPr>
              <w:t>优：</w:t>
            </w:r>
            <w:r>
              <w:rPr>
                <w:rFonts w:hint="eastAsia" w:ascii="宋体" w:hAnsi="宋体" w:eastAsia="宋体" w:cs="Times New Roman"/>
                <w:color w:val="auto"/>
                <w:szCs w:val="21"/>
                <w:highlight w:val="none"/>
                <w:lang w:val="en-US" w:eastAsia="zh-CN"/>
              </w:rPr>
              <w:t>4分，</w:t>
            </w:r>
            <w:r>
              <w:rPr>
                <w:rFonts w:hint="eastAsia" w:ascii="宋体" w:hAnsi="宋体" w:eastAsia="宋体" w:cs="Times New Roman"/>
                <w:color w:val="auto"/>
                <w:szCs w:val="21"/>
                <w:highlight w:val="none"/>
                <w:lang w:eastAsia="zh-CN"/>
              </w:rPr>
              <w:t>良：</w:t>
            </w:r>
            <w:r>
              <w:rPr>
                <w:rFonts w:hint="eastAsia" w:ascii="宋体" w:hAnsi="宋体" w:eastAsia="宋体" w:cs="Times New Roman"/>
                <w:color w:val="auto"/>
                <w:szCs w:val="21"/>
                <w:highlight w:val="none"/>
                <w:lang w:val="en-US" w:eastAsia="zh-CN"/>
              </w:rPr>
              <w:t>2分，</w:t>
            </w:r>
            <w:r>
              <w:rPr>
                <w:rFonts w:hint="eastAsia" w:ascii="宋体" w:hAnsi="宋体" w:eastAsia="宋体" w:cs="Times New Roman"/>
                <w:color w:val="auto"/>
                <w:szCs w:val="21"/>
                <w:highlight w:val="none"/>
                <w:lang w:eastAsia="zh-CN"/>
              </w:rPr>
              <w:t>一般：</w:t>
            </w:r>
            <w:r>
              <w:rPr>
                <w:rFonts w:hint="eastAsia" w:ascii="宋体" w:hAnsi="宋体" w:eastAsia="宋体" w:cs="Times New Roman"/>
                <w:color w:val="auto"/>
                <w:szCs w:val="21"/>
                <w:highlight w:val="none"/>
                <w:lang w:val="en-US" w:eastAsia="zh-CN"/>
              </w:rPr>
              <w:t>1分</w:t>
            </w:r>
            <w:r>
              <w:rPr>
                <w:rFonts w:hint="eastAsia" w:ascii="宋体" w:hAnsi="宋体" w:eastAsia="宋体" w:cs="Times New Roman"/>
                <w:color w:val="auto"/>
                <w:szCs w:val="21"/>
                <w:highlight w:val="none"/>
              </w:rPr>
              <w:t>）</w:t>
            </w:r>
          </w:p>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（4）主要机构设备配置分析依据否充分，配置是否合理，进退场计划是否明确；（</w:t>
            </w:r>
            <w:r>
              <w:rPr>
                <w:rFonts w:hint="eastAsia" w:ascii="宋体" w:hAnsi="宋体" w:eastAsia="宋体" w:cs="Times New Roman"/>
                <w:color w:val="auto"/>
                <w:szCs w:val="21"/>
                <w:highlight w:val="none"/>
                <w:lang w:eastAsia="zh-CN"/>
              </w:rPr>
              <w:t>优：</w:t>
            </w:r>
            <w:r>
              <w:rPr>
                <w:rFonts w:hint="eastAsia" w:ascii="宋体" w:hAnsi="宋体" w:eastAsia="宋体" w:cs="Times New Roman"/>
                <w:color w:val="auto"/>
                <w:szCs w:val="21"/>
                <w:highlight w:val="none"/>
                <w:lang w:val="en-US" w:eastAsia="zh-CN"/>
              </w:rPr>
              <w:t>4分，</w:t>
            </w:r>
            <w:r>
              <w:rPr>
                <w:rFonts w:hint="eastAsia" w:ascii="宋体" w:hAnsi="宋体" w:eastAsia="宋体" w:cs="Times New Roman"/>
                <w:color w:val="auto"/>
                <w:szCs w:val="21"/>
                <w:highlight w:val="none"/>
                <w:lang w:eastAsia="zh-CN"/>
              </w:rPr>
              <w:t>良：</w:t>
            </w:r>
            <w:r>
              <w:rPr>
                <w:rFonts w:hint="eastAsia" w:ascii="宋体" w:hAnsi="宋体" w:eastAsia="宋体" w:cs="Times New Roman"/>
                <w:color w:val="auto"/>
                <w:szCs w:val="21"/>
                <w:highlight w:val="none"/>
                <w:lang w:val="en-US" w:eastAsia="zh-CN"/>
              </w:rPr>
              <w:t>2分，</w:t>
            </w:r>
            <w:r>
              <w:rPr>
                <w:rFonts w:hint="eastAsia" w:ascii="宋体" w:hAnsi="宋体" w:eastAsia="宋体" w:cs="Times New Roman"/>
                <w:color w:val="auto"/>
                <w:szCs w:val="21"/>
                <w:highlight w:val="none"/>
                <w:lang w:eastAsia="zh-CN"/>
              </w:rPr>
              <w:t>一般：</w:t>
            </w:r>
            <w:r>
              <w:rPr>
                <w:rFonts w:hint="eastAsia" w:ascii="宋体" w:hAnsi="宋体" w:eastAsia="宋体" w:cs="Times New Roman"/>
                <w:color w:val="auto"/>
                <w:szCs w:val="21"/>
                <w:highlight w:val="none"/>
                <w:lang w:val="en-US" w:eastAsia="zh-CN"/>
              </w:rPr>
              <w:t>1分</w:t>
            </w:r>
            <w:r>
              <w:rPr>
                <w:rFonts w:hint="eastAsia" w:ascii="宋体" w:hAnsi="宋体" w:eastAsia="宋体" w:cs="Times New Roman"/>
                <w:color w:val="auto"/>
                <w:szCs w:val="21"/>
                <w:highlight w:val="none"/>
              </w:rPr>
              <w:t>）</w:t>
            </w:r>
          </w:p>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（5）劳力计划安排是否具体，技工与普工搭配是否合理；（</w:t>
            </w:r>
            <w:r>
              <w:rPr>
                <w:rFonts w:hint="eastAsia" w:ascii="宋体" w:hAnsi="宋体" w:eastAsia="宋体" w:cs="Times New Roman"/>
                <w:color w:val="auto"/>
                <w:szCs w:val="21"/>
                <w:highlight w:val="none"/>
                <w:lang w:eastAsia="zh-CN"/>
              </w:rPr>
              <w:t>优：</w:t>
            </w:r>
            <w:r>
              <w:rPr>
                <w:rFonts w:hint="eastAsia" w:ascii="宋体" w:hAnsi="宋体" w:eastAsia="宋体" w:cs="Times New Roman"/>
                <w:color w:val="auto"/>
                <w:szCs w:val="21"/>
                <w:highlight w:val="none"/>
                <w:lang w:val="en-US" w:eastAsia="zh-CN"/>
              </w:rPr>
              <w:t>4分，</w:t>
            </w:r>
            <w:r>
              <w:rPr>
                <w:rFonts w:hint="eastAsia" w:ascii="宋体" w:hAnsi="宋体" w:eastAsia="宋体" w:cs="Times New Roman"/>
                <w:color w:val="auto"/>
                <w:szCs w:val="21"/>
                <w:highlight w:val="none"/>
                <w:lang w:eastAsia="zh-CN"/>
              </w:rPr>
              <w:t>良：</w:t>
            </w:r>
            <w:r>
              <w:rPr>
                <w:rFonts w:hint="eastAsia" w:ascii="宋体" w:hAnsi="宋体" w:eastAsia="宋体" w:cs="Times New Roman"/>
                <w:color w:val="auto"/>
                <w:szCs w:val="21"/>
                <w:highlight w:val="none"/>
                <w:lang w:val="en-US" w:eastAsia="zh-CN"/>
              </w:rPr>
              <w:t>2分，</w:t>
            </w:r>
            <w:r>
              <w:rPr>
                <w:rFonts w:hint="eastAsia" w:ascii="宋体" w:hAnsi="宋体" w:eastAsia="宋体" w:cs="Times New Roman"/>
                <w:color w:val="auto"/>
                <w:szCs w:val="21"/>
                <w:highlight w:val="none"/>
                <w:lang w:eastAsia="zh-CN"/>
              </w:rPr>
              <w:t>一般：</w:t>
            </w:r>
            <w:r>
              <w:rPr>
                <w:rFonts w:hint="eastAsia" w:ascii="宋体" w:hAnsi="宋体" w:eastAsia="宋体" w:cs="Times New Roman"/>
                <w:color w:val="auto"/>
                <w:szCs w:val="21"/>
                <w:highlight w:val="none"/>
                <w:lang w:val="en-US" w:eastAsia="zh-CN"/>
              </w:rPr>
              <w:t>1分</w:t>
            </w:r>
            <w:r>
              <w:rPr>
                <w:rFonts w:hint="eastAsia" w:ascii="宋体" w:hAnsi="宋体" w:eastAsia="宋体" w:cs="Times New Roman"/>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502" w:type="dxa"/>
            <w:noWrap w:val="0"/>
            <w:vAlign w:val="center"/>
          </w:tcPr>
          <w:p>
            <w:pPr>
              <w:spacing w:line="28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5</w:t>
            </w:r>
          </w:p>
        </w:tc>
        <w:tc>
          <w:tcPr>
            <w:tcW w:w="793"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eastAsia" w:ascii="宋体" w:hAnsi="宋体" w:eastAsia="宋体" w:cs="Times New Roman"/>
                <w:color w:val="auto"/>
                <w:szCs w:val="21"/>
                <w:highlight w:val="none"/>
              </w:rPr>
            </w:pPr>
          </w:p>
        </w:tc>
        <w:tc>
          <w:tcPr>
            <w:tcW w:w="1466" w:type="dxa"/>
            <w:noWrap w:val="0"/>
            <w:vAlign w:val="center"/>
          </w:tcPr>
          <w:p>
            <w:pPr>
              <w:spacing w:line="28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质量安全保证体系及措施</w:t>
            </w:r>
          </w:p>
          <w:p>
            <w:pPr>
              <w:spacing w:line="280" w:lineRule="exact"/>
              <w:jc w:val="center"/>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(15分)</w:t>
            </w:r>
          </w:p>
        </w:tc>
        <w:tc>
          <w:tcPr>
            <w:tcW w:w="671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（1）质量安全保证体系是否健全，职责是否明确；（</w:t>
            </w:r>
            <w:r>
              <w:rPr>
                <w:rFonts w:hint="eastAsia" w:ascii="宋体" w:hAnsi="宋体" w:eastAsia="宋体" w:cs="Times New Roman"/>
                <w:color w:val="auto"/>
                <w:szCs w:val="21"/>
                <w:highlight w:val="none"/>
                <w:lang w:eastAsia="zh-CN"/>
              </w:rPr>
              <w:t>优：</w:t>
            </w:r>
            <w:r>
              <w:rPr>
                <w:rFonts w:hint="eastAsia" w:ascii="宋体" w:hAnsi="宋体" w:eastAsia="宋体" w:cs="Times New Roman"/>
                <w:color w:val="auto"/>
                <w:szCs w:val="21"/>
                <w:highlight w:val="none"/>
                <w:lang w:val="en-US" w:eastAsia="zh-CN"/>
              </w:rPr>
              <w:t>5分，</w:t>
            </w:r>
            <w:r>
              <w:rPr>
                <w:rFonts w:hint="eastAsia" w:ascii="宋体" w:hAnsi="宋体" w:eastAsia="宋体" w:cs="Times New Roman"/>
                <w:color w:val="auto"/>
                <w:szCs w:val="21"/>
                <w:highlight w:val="none"/>
                <w:lang w:eastAsia="zh-CN"/>
              </w:rPr>
              <w:t>良：</w:t>
            </w:r>
            <w:r>
              <w:rPr>
                <w:rFonts w:hint="eastAsia" w:ascii="宋体" w:hAnsi="宋体" w:eastAsia="宋体" w:cs="Times New Roman"/>
                <w:color w:val="auto"/>
                <w:szCs w:val="21"/>
                <w:highlight w:val="none"/>
                <w:lang w:val="en-US" w:eastAsia="zh-CN"/>
              </w:rPr>
              <w:t>3分，</w:t>
            </w:r>
            <w:r>
              <w:rPr>
                <w:rFonts w:hint="eastAsia" w:ascii="宋体" w:hAnsi="宋体" w:eastAsia="宋体" w:cs="Times New Roman"/>
                <w:color w:val="auto"/>
                <w:szCs w:val="21"/>
                <w:highlight w:val="none"/>
                <w:lang w:eastAsia="zh-CN"/>
              </w:rPr>
              <w:t>一般：</w:t>
            </w:r>
            <w:r>
              <w:rPr>
                <w:rFonts w:hint="eastAsia" w:ascii="宋体" w:hAnsi="宋体" w:eastAsia="宋体" w:cs="Times New Roman"/>
                <w:color w:val="auto"/>
                <w:szCs w:val="21"/>
                <w:highlight w:val="none"/>
                <w:lang w:val="en-US" w:eastAsia="zh-CN"/>
              </w:rPr>
              <w:t>1分</w:t>
            </w:r>
            <w:r>
              <w:rPr>
                <w:rFonts w:hint="eastAsia" w:ascii="宋体" w:hAnsi="宋体" w:eastAsia="宋体" w:cs="Times New Roman"/>
                <w:color w:val="auto"/>
                <w:szCs w:val="21"/>
                <w:highlight w:val="none"/>
              </w:rPr>
              <w:t>）</w:t>
            </w:r>
          </w:p>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（2）质量安全目标管理措施是否明确；（</w:t>
            </w:r>
            <w:r>
              <w:rPr>
                <w:rFonts w:hint="eastAsia" w:ascii="宋体" w:hAnsi="宋体" w:eastAsia="宋体" w:cs="Times New Roman"/>
                <w:color w:val="auto"/>
                <w:szCs w:val="21"/>
                <w:highlight w:val="none"/>
                <w:lang w:eastAsia="zh-CN"/>
              </w:rPr>
              <w:t>优：</w:t>
            </w:r>
            <w:r>
              <w:rPr>
                <w:rFonts w:hint="eastAsia" w:ascii="宋体" w:hAnsi="宋体" w:eastAsia="宋体" w:cs="Times New Roman"/>
                <w:color w:val="auto"/>
                <w:szCs w:val="21"/>
                <w:highlight w:val="none"/>
                <w:lang w:val="en-US" w:eastAsia="zh-CN"/>
              </w:rPr>
              <w:t>5分，</w:t>
            </w:r>
            <w:r>
              <w:rPr>
                <w:rFonts w:hint="eastAsia" w:ascii="宋体" w:hAnsi="宋体" w:eastAsia="宋体" w:cs="Times New Roman"/>
                <w:color w:val="auto"/>
                <w:szCs w:val="21"/>
                <w:highlight w:val="none"/>
                <w:lang w:eastAsia="zh-CN"/>
              </w:rPr>
              <w:t>良：</w:t>
            </w:r>
            <w:r>
              <w:rPr>
                <w:rFonts w:hint="eastAsia" w:ascii="宋体" w:hAnsi="宋体" w:eastAsia="宋体" w:cs="Times New Roman"/>
                <w:color w:val="auto"/>
                <w:szCs w:val="21"/>
                <w:highlight w:val="none"/>
                <w:lang w:val="en-US" w:eastAsia="zh-CN"/>
              </w:rPr>
              <w:t>3分，</w:t>
            </w:r>
            <w:r>
              <w:rPr>
                <w:rFonts w:hint="eastAsia" w:ascii="宋体" w:hAnsi="宋体" w:eastAsia="宋体" w:cs="Times New Roman"/>
                <w:color w:val="auto"/>
                <w:szCs w:val="21"/>
                <w:highlight w:val="none"/>
                <w:lang w:eastAsia="zh-CN"/>
              </w:rPr>
              <w:t>一般：</w:t>
            </w:r>
            <w:r>
              <w:rPr>
                <w:rFonts w:hint="eastAsia" w:ascii="宋体" w:hAnsi="宋体" w:eastAsia="宋体" w:cs="Times New Roman"/>
                <w:color w:val="auto"/>
                <w:szCs w:val="21"/>
                <w:highlight w:val="none"/>
                <w:lang w:val="en-US" w:eastAsia="zh-CN"/>
              </w:rPr>
              <w:t>1分</w:t>
            </w:r>
            <w:r>
              <w:rPr>
                <w:rFonts w:hint="eastAsia" w:ascii="宋体" w:hAnsi="宋体" w:eastAsia="宋体" w:cs="Times New Roman"/>
                <w:color w:val="auto"/>
                <w:szCs w:val="21"/>
                <w:highlight w:val="none"/>
              </w:rPr>
              <w:t>）</w:t>
            </w:r>
          </w:p>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（3）质量标准是否符合招标文件及现行规程要求；（</w:t>
            </w:r>
            <w:r>
              <w:rPr>
                <w:rFonts w:hint="eastAsia" w:ascii="宋体" w:hAnsi="宋体" w:eastAsia="宋体" w:cs="Times New Roman"/>
                <w:color w:val="auto"/>
                <w:szCs w:val="21"/>
                <w:highlight w:val="none"/>
                <w:lang w:eastAsia="zh-CN"/>
              </w:rPr>
              <w:t>优：</w:t>
            </w:r>
            <w:r>
              <w:rPr>
                <w:rFonts w:hint="eastAsia" w:ascii="宋体" w:hAnsi="宋体" w:eastAsia="宋体" w:cs="Times New Roman"/>
                <w:color w:val="auto"/>
                <w:szCs w:val="21"/>
                <w:highlight w:val="none"/>
                <w:lang w:val="en-US" w:eastAsia="zh-CN"/>
              </w:rPr>
              <w:t>3分，</w:t>
            </w:r>
            <w:r>
              <w:rPr>
                <w:rFonts w:hint="eastAsia" w:ascii="宋体" w:hAnsi="宋体" w:eastAsia="宋体" w:cs="Times New Roman"/>
                <w:color w:val="auto"/>
                <w:szCs w:val="21"/>
                <w:highlight w:val="none"/>
                <w:lang w:eastAsia="zh-CN"/>
              </w:rPr>
              <w:t>良：</w:t>
            </w:r>
            <w:r>
              <w:rPr>
                <w:rFonts w:hint="eastAsia" w:ascii="宋体" w:hAnsi="宋体" w:eastAsia="宋体" w:cs="Times New Roman"/>
                <w:color w:val="auto"/>
                <w:szCs w:val="21"/>
                <w:highlight w:val="none"/>
                <w:lang w:val="en-US" w:eastAsia="zh-CN"/>
              </w:rPr>
              <w:t>1分，</w:t>
            </w:r>
            <w:r>
              <w:rPr>
                <w:rFonts w:hint="eastAsia" w:ascii="宋体" w:hAnsi="宋体" w:eastAsia="宋体" w:cs="Times New Roman"/>
                <w:color w:val="auto"/>
                <w:szCs w:val="21"/>
                <w:highlight w:val="none"/>
                <w:lang w:eastAsia="zh-CN"/>
              </w:rPr>
              <w:t>一般：</w:t>
            </w:r>
            <w:r>
              <w:rPr>
                <w:rFonts w:hint="eastAsia" w:ascii="宋体" w:hAnsi="宋体" w:eastAsia="宋体" w:cs="Times New Roman"/>
                <w:color w:val="auto"/>
                <w:szCs w:val="21"/>
                <w:highlight w:val="none"/>
                <w:lang w:val="en-US" w:eastAsia="zh-CN"/>
              </w:rPr>
              <w:t>0分</w:t>
            </w:r>
            <w:r>
              <w:rPr>
                <w:rFonts w:hint="eastAsia" w:ascii="宋体" w:hAnsi="宋体" w:eastAsia="宋体" w:cs="Times New Roman"/>
                <w:color w:val="auto"/>
                <w:szCs w:val="21"/>
                <w:highlight w:val="none"/>
              </w:rPr>
              <w:t>）</w:t>
            </w:r>
          </w:p>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（4）质量检测设备、数量是否满足要求，检测计划是否合理；（</w:t>
            </w:r>
            <w:r>
              <w:rPr>
                <w:rFonts w:hint="eastAsia" w:ascii="宋体" w:hAnsi="宋体" w:eastAsia="宋体" w:cs="Times New Roman"/>
                <w:color w:val="auto"/>
                <w:szCs w:val="21"/>
                <w:highlight w:val="none"/>
                <w:lang w:eastAsia="zh-CN"/>
              </w:rPr>
              <w:t>优：</w:t>
            </w:r>
            <w:r>
              <w:rPr>
                <w:rFonts w:hint="eastAsia" w:ascii="宋体" w:hAnsi="宋体" w:eastAsia="宋体" w:cs="Times New Roman"/>
                <w:color w:val="auto"/>
                <w:szCs w:val="21"/>
                <w:highlight w:val="none"/>
                <w:lang w:val="en-US" w:eastAsia="zh-CN"/>
              </w:rPr>
              <w:t>2分，</w:t>
            </w:r>
            <w:r>
              <w:rPr>
                <w:rFonts w:hint="eastAsia" w:ascii="宋体" w:hAnsi="宋体" w:eastAsia="宋体" w:cs="Times New Roman"/>
                <w:color w:val="auto"/>
                <w:szCs w:val="21"/>
                <w:highlight w:val="none"/>
                <w:lang w:eastAsia="zh-CN"/>
              </w:rPr>
              <w:t>良：</w:t>
            </w:r>
            <w:r>
              <w:rPr>
                <w:rFonts w:hint="eastAsia" w:ascii="宋体" w:hAnsi="宋体" w:eastAsia="宋体" w:cs="Times New Roman"/>
                <w:color w:val="auto"/>
                <w:szCs w:val="21"/>
                <w:highlight w:val="none"/>
                <w:lang w:val="en-US" w:eastAsia="zh-CN"/>
              </w:rPr>
              <w:t>1分，</w:t>
            </w:r>
            <w:r>
              <w:rPr>
                <w:rFonts w:hint="eastAsia" w:ascii="宋体" w:hAnsi="宋体" w:eastAsia="宋体" w:cs="Times New Roman"/>
                <w:color w:val="auto"/>
                <w:szCs w:val="21"/>
                <w:highlight w:val="none"/>
                <w:lang w:eastAsia="zh-CN"/>
              </w:rPr>
              <w:t>一般：</w:t>
            </w:r>
            <w:r>
              <w:rPr>
                <w:rFonts w:hint="eastAsia" w:ascii="宋体" w:hAnsi="宋体" w:eastAsia="宋体" w:cs="Times New Roman"/>
                <w:color w:val="auto"/>
                <w:szCs w:val="21"/>
                <w:highlight w:val="none"/>
                <w:lang w:val="en-US" w:eastAsia="zh-CN"/>
              </w:rPr>
              <w:t>0分</w:t>
            </w:r>
            <w:r>
              <w:rPr>
                <w:rFonts w:hint="eastAsia" w:ascii="宋体" w:hAnsi="宋体" w:eastAsia="宋体" w:cs="Times New Roman"/>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502" w:type="dxa"/>
            <w:noWrap w:val="0"/>
            <w:vAlign w:val="center"/>
          </w:tcPr>
          <w:p>
            <w:pPr>
              <w:spacing w:line="280" w:lineRule="exact"/>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6</w:t>
            </w:r>
          </w:p>
        </w:tc>
        <w:tc>
          <w:tcPr>
            <w:tcW w:w="793"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eastAsia" w:ascii="宋体" w:hAnsi="宋体" w:eastAsia="宋体" w:cs="Times New Roman"/>
                <w:color w:val="auto"/>
                <w:szCs w:val="21"/>
                <w:highlight w:val="none"/>
              </w:rPr>
            </w:pPr>
          </w:p>
        </w:tc>
        <w:tc>
          <w:tcPr>
            <w:tcW w:w="1466" w:type="dxa"/>
            <w:noWrap w:val="0"/>
            <w:vAlign w:val="center"/>
          </w:tcPr>
          <w:p>
            <w:pPr>
              <w:spacing w:line="28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环境保护技术措施</w:t>
            </w:r>
          </w:p>
          <w:p>
            <w:pPr>
              <w:spacing w:line="280" w:lineRule="exact"/>
              <w:jc w:val="center"/>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10分</w:t>
            </w:r>
            <w:r>
              <w:rPr>
                <w:rFonts w:hint="eastAsia" w:ascii="宋体" w:hAnsi="宋体" w:eastAsia="宋体" w:cs="Times New Roman"/>
                <w:color w:val="auto"/>
                <w:szCs w:val="21"/>
                <w:highlight w:val="none"/>
                <w:lang w:eastAsia="zh-CN"/>
              </w:rPr>
              <w:t>）</w:t>
            </w:r>
          </w:p>
        </w:tc>
        <w:tc>
          <w:tcPr>
            <w:tcW w:w="671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（1）环保措施是否符合国家和招标文件提出的环保要求；（</w:t>
            </w:r>
            <w:r>
              <w:rPr>
                <w:rFonts w:hint="eastAsia" w:ascii="宋体" w:hAnsi="宋体" w:eastAsia="宋体" w:cs="Times New Roman"/>
                <w:color w:val="auto"/>
                <w:szCs w:val="21"/>
                <w:highlight w:val="none"/>
                <w:lang w:eastAsia="zh-CN"/>
              </w:rPr>
              <w:t>优：</w:t>
            </w:r>
            <w:r>
              <w:rPr>
                <w:rFonts w:hint="eastAsia" w:ascii="宋体" w:hAnsi="宋体" w:eastAsia="宋体" w:cs="Times New Roman"/>
                <w:color w:val="auto"/>
                <w:szCs w:val="21"/>
                <w:highlight w:val="none"/>
                <w:lang w:val="en-US" w:eastAsia="zh-CN"/>
              </w:rPr>
              <w:t>5分，</w:t>
            </w:r>
            <w:r>
              <w:rPr>
                <w:rFonts w:hint="eastAsia" w:ascii="宋体" w:hAnsi="宋体" w:eastAsia="宋体" w:cs="Times New Roman"/>
                <w:color w:val="auto"/>
                <w:szCs w:val="21"/>
                <w:highlight w:val="none"/>
                <w:lang w:eastAsia="zh-CN"/>
              </w:rPr>
              <w:t>良：</w:t>
            </w:r>
            <w:r>
              <w:rPr>
                <w:rFonts w:hint="eastAsia" w:ascii="宋体" w:hAnsi="宋体" w:eastAsia="宋体" w:cs="Times New Roman"/>
                <w:color w:val="auto"/>
                <w:szCs w:val="21"/>
                <w:highlight w:val="none"/>
                <w:lang w:val="en-US" w:eastAsia="zh-CN"/>
              </w:rPr>
              <w:t>3分，</w:t>
            </w:r>
            <w:r>
              <w:rPr>
                <w:rFonts w:hint="eastAsia" w:ascii="宋体" w:hAnsi="宋体" w:eastAsia="宋体" w:cs="Times New Roman"/>
                <w:color w:val="auto"/>
                <w:szCs w:val="21"/>
                <w:highlight w:val="none"/>
                <w:lang w:eastAsia="zh-CN"/>
              </w:rPr>
              <w:t>一般：</w:t>
            </w:r>
            <w:r>
              <w:rPr>
                <w:rFonts w:hint="eastAsia" w:ascii="宋体" w:hAnsi="宋体" w:eastAsia="宋体" w:cs="Times New Roman"/>
                <w:color w:val="auto"/>
                <w:szCs w:val="21"/>
                <w:highlight w:val="none"/>
                <w:lang w:val="en-US" w:eastAsia="zh-CN"/>
              </w:rPr>
              <w:t>1分</w:t>
            </w:r>
            <w:r>
              <w:rPr>
                <w:rFonts w:hint="eastAsia" w:ascii="宋体" w:hAnsi="宋体" w:eastAsia="宋体" w:cs="Times New Roman"/>
                <w:color w:val="auto"/>
                <w:szCs w:val="21"/>
                <w:highlight w:val="none"/>
              </w:rPr>
              <w:t>）</w:t>
            </w:r>
          </w:p>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（2）施工平面布置、</w:t>
            </w:r>
            <w:r>
              <w:rPr>
                <w:rFonts w:hint="eastAsia" w:ascii="宋体" w:hAnsi="宋体" w:eastAsia="宋体" w:cs="Times New Roman"/>
                <w:color w:val="auto"/>
                <w:szCs w:val="21"/>
                <w:highlight w:val="none"/>
                <w:lang w:eastAsia="zh-CN"/>
              </w:rPr>
              <w:t>生活垃圾及建筑垃圾处理</w:t>
            </w:r>
            <w:r>
              <w:rPr>
                <w:rFonts w:hint="eastAsia" w:ascii="宋体" w:hAnsi="宋体" w:eastAsia="宋体" w:cs="Times New Roman"/>
                <w:color w:val="auto"/>
                <w:szCs w:val="21"/>
                <w:highlight w:val="none"/>
              </w:rPr>
              <w:t>是否考虑环保要求；（</w:t>
            </w:r>
            <w:r>
              <w:rPr>
                <w:rFonts w:hint="eastAsia" w:ascii="宋体" w:hAnsi="宋体" w:eastAsia="宋体" w:cs="Times New Roman"/>
                <w:color w:val="auto"/>
                <w:szCs w:val="21"/>
                <w:highlight w:val="none"/>
                <w:lang w:eastAsia="zh-CN"/>
              </w:rPr>
              <w:t>优：</w:t>
            </w:r>
            <w:r>
              <w:rPr>
                <w:rFonts w:hint="eastAsia" w:ascii="宋体" w:hAnsi="宋体" w:eastAsia="宋体" w:cs="Times New Roman"/>
                <w:color w:val="auto"/>
                <w:szCs w:val="21"/>
                <w:highlight w:val="none"/>
                <w:lang w:val="en-US" w:eastAsia="zh-CN"/>
              </w:rPr>
              <w:t>5分，</w:t>
            </w:r>
            <w:r>
              <w:rPr>
                <w:rFonts w:hint="eastAsia" w:ascii="宋体" w:hAnsi="宋体" w:eastAsia="宋体" w:cs="Times New Roman"/>
                <w:color w:val="auto"/>
                <w:szCs w:val="21"/>
                <w:highlight w:val="none"/>
                <w:lang w:eastAsia="zh-CN"/>
              </w:rPr>
              <w:t>良：</w:t>
            </w:r>
            <w:r>
              <w:rPr>
                <w:rFonts w:hint="eastAsia" w:ascii="宋体" w:hAnsi="宋体" w:eastAsia="宋体" w:cs="Times New Roman"/>
                <w:color w:val="auto"/>
                <w:szCs w:val="21"/>
                <w:highlight w:val="none"/>
                <w:lang w:val="en-US" w:eastAsia="zh-CN"/>
              </w:rPr>
              <w:t>3分，</w:t>
            </w:r>
            <w:r>
              <w:rPr>
                <w:rFonts w:hint="eastAsia" w:ascii="宋体" w:hAnsi="宋体" w:eastAsia="宋体" w:cs="Times New Roman"/>
                <w:color w:val="auto"/>
                <w:szCs w:val="21"/>
                <w:highlight w:val="none"/>
                <w:lang w:eastAsia="zh-CN"/>
              </w:rPr>
              <w:t>一般：</w:t>
            </w:r>
            <w:r>
              <w:rPr>
                <w:rFonts w:hint="eastAsia" w:ascii="宋体" w:hAnsi="宋体" w:eastAsia="宋体" w:cs="Times New Roman"/>
                <w:color w:val="auto"/>
                <w:szCs w:val="21"/>
                <w:highlight w:val="none"/>
                <w:lang w:val="en-US" w:eastAsia="zh-CN"/>
              </w:rPr>
              <w:t>1分</w:t>
            </w:r>
            <w:r>
              <w:rPr>
                <w:rFonts w:hint="eastAsia" w:ascii="宋体" w:hAnsi="宋体" w:eastAsia="宋体" w:cs="Times New Roman"/>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502" w:type="dxa"/>
            <w:noWrap w:val="0"/>
            <w:vAlign w:val="center"/>
          </w:tcPr>
          <w:p>
            <w:pPr>
              <w:spacing w:line="280" w:lineRule="exact"/>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7</w:t>
            </w:r>
          </w:p>
        </w:tc>
        <w:tc>
          <w:tcPr>
            <w:tcW w:w="793" w:type="dxa"/>
            <w:vMerge w:val="continue"/>
            <w:noWrap w:val="0"/>
            <w:vAlign w:val="center"/>
          </w:tcPr>
          <w:p>
            <w:pPr>
              <w:spacing w:line="280" w:lineRule="exact"/>
              <w:jc w:val="center"/>
              <w:rPr>
                <w:rFonts w:hint="default" w:ascii="宋体" w:hAnsi="宋体" w:eastAsia="宋体" w:cs="Times New Roman"/>
                <w:color w:val="auto"/>
                <w:szCs w:val="21"/>
                <w:highlight w:val="none"/>
                <w:lang w:val="en-US" w:eastAsia="zh-CN"/>
              </w:rPr>
            </w:pPr>
          </w:p>
        </w:tc>
        <w:tc>
          <w:tcPr>
            <w:tcW w:w="1466" w:type="dxa"/>
            <w:noWrap w:val="0"/>
            <w:vAlign w:val="center"/>
          </w:tcPr>
          <w:p>
            <w:pPr>
              <w:spacing w:line="280" w:lineRule="exact"/>
              <w:jc w:val="center"/>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售后服务</w:t>
            </w:r>
          </w:p>
          <w:p>
            <w:pPr>
              <w:spacing w:line="28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en-US" w:eastAsia="zh-CN"/>
              </w:rPr>
              <w:t>10</w:t>
            </w:r>
            <w:r>
              <w:rPr>
                <w:rFonts w:hint="eastAsia" w:ascii="宋体" w:hAnsi="宋体" w:eastAsia="宋体" w:cs="Times New Roman"/>
                <w:color w:val="auto"/>
                <w:szCs w:val="21"/>
                <w:highlight w:val="none"/>
                <w:lang w:val="zh-CN"/>
              </w:rPr>
              <w:t>分）</w:t>
            </w:r>
          </w:p>
        </w:tc>
        <w:tc>
          <w:tcPr>
            <w:tcW w:w="6717" w:type="dxa"/>
            <w:noWrap w:val="0"/>
            <w:vAlign w:val="center"/>
          </w:tcPr>
          <w:p>
            <w:pPr>
              <w:numPr>
                <w:ilvl w:val="0"/>
                <w:numId w:val="9"/>
              </w:numPr>
              <w:adjustRightInd w:val="0"/>
              <w:snapToGrid w:val="0"/>
              <w:spacing w:line="360" w:lineRule="auto"/>
              <w:rPr>
                <w:rFonts w:hint="eastAsia"/>
                <w:color w:val="auto"/>
                <w:highlight w:val="none"/>
              </w:rPr>
            </w:pPr>
            <w:r>
              <w:rPr>
                <w:rFonts w:hint="eastAsia"/>
                <w:color w:val="auto"/>
                <w:highlight w:val="none"/>
              </w:rPr>
              <w:t>售后服务的内容及期限满足招标文件要求、且措施齐全、具体、合理（</w:t>
            </w:r>
            <w:r>
              <w:rPr>
                <w:rFonts w:hint="eastAsia"/>
                <w:color w:val="auto"/>
                <w:highlight w:val="none"/>
                <w:lang w:val="en-US" w:eastAsia="zh-CN"/>
              </w:rPr>
              <w:t>6</w:t>
            </w:r>
            <w:r>
              <w:rPr>
                <w:rFonts w:hint="eastAsia"/>
                <w:color w:val="auto"/>
                <w:highlight w:val="none"/>
              </w:rPr>
              <w:t>分），内容一般（0-</w:t>
            </w:r>
            <w:r>
              <w:rPr>
                <w:rFonts w:hint="eastAsia"/>
                <w:color w:val="auto"/>
                <w:highlight w:val="none"/>
                <w:lang w:val="en-US" w:eastAsia="zh-CN"/>
              </w:rPr>
              <w:t>2</w:t>
            </w:r>
            <w:r>
              <w:rPr>
                <w:rFonts w:hint="eastAsia"/>
                <w:color w:val="auto"/>
                <w:highlight w:val="none"/>
              </w:rPr>
              <w:t>分），无内容不得分；</w:t>
            </w:r>
          </w:p>
          <w:p>
            <w:pPr>
              <w:keepNext w:val="0"/>
              <w:keepLines w:val="0"/>
              <w:pageBreakBefore w:val="0"/>
              <w:widowControl w:val="0"/>
              <w:numPr>
                <w:ilvl w:val="0"/>
                <w:numId w:val="9"/>
              </w:numPr>
              <w:kinsoku/>
              <w:wordWrap/>
              <w:overflowPunct/>
              <w:topLinePunct w:val="0"/>
              <w:autoSpaceDE w:val="0"/>
              <w:autoSpaceDN w:val="0"/>
              <w:bidi w:val="0"/>
              <w:adjustRightInd w:val="0"/>
              <w:snapToGrid w:val="0"/>
              <w:spacing w:line="360" w:lineRule="exact"/>
              <w:ind w:left="0" w:leftChars="0" w:firstLine="0" w:firstLineChars="0"/>
              <w:textAlignment w:val="auto"/>
              <w:rPr>
                <w:rFonts w:hint="eastAsia" w:ascii="宋体" w:hAnsi="宋体" w:eastAsia="宋体" w:cs="Times New Roman"/>
                <w:color w:val="auto"/>
                <w:szCs w:val="21"/>
                <w:highlight w:val="none"/>
              </w:rPr>
            </w:pPr>
            <w:r>
              <w:rPr>
                <w:color w:val="auto"/>
                <w:highlight w:val="none"/>
              </w:rPr>
              <w:t>投标单位承诺可在4个小时内派能处理故障的工程师赶到现场得</w:t>
            </w:r>
            <w:r>
              <w:rPr>
                <w:rFonts w:hint="eastAsia"/>
                <w:color w:val="auto"/>
                <w:highlight w:val="none"/>
                <w:lang w:val="en-US" w:eastAsia="zh-CN"/>
              </w:rPr>
              <w:t>2</w:t>
            </w:r>
            <w:r>
              <w:rPr>
                <w:color w:val="auto"/>
                <w:highlight w:val="none"/>
              </w:rPr>
              <w:t>分；能在1个小时内派能处理故障的工程师赶到现场得</w:t>
            </w:r>
            <w:r>
              <w:rPr>
                <w:rFonts w:hint="eastAsia"/>
                <w:color w:val="auto"/>
                <w:highlight w:val="none"/>
                <w:lang w:val="en-US" w:eastAsia="zh-CN"/>
              </w:rPr>
              <w:t>4</w:t>
            </w:r>
            <w:r>
              <w:rPr>
                <w:color w:val="auto"/>
                <w:highlight w:val="none"/>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502" w:type="dxa"/>
            <w:noWrap w:val="0"/>
            <w:vAlign w:val="center"/>
          </w:tcPr>
          <w:p>
            <w:pPr>
              <w:spacing w:line="280" w:lineRule="exact"/>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8</w:t>
            </w:r>
          </w:p>
        </w:tc>
        <w:tc>
          <w:tcPr>
            <w:tcW w:w="793" w:type="dxa"/>
            <w:vMerge w:val="continue"/>
            <w:noWrap w:val="0"/>
            <w:vAlign w:val="center"/>
          </w:tcPr>
          <w:p>
            <w:pPr>
              <w:spacing w:line="280" w:lineRule="exact"/>
              <w:jc w:val="center"/>
              <w:rPr>
                <w:rFonts w:hint="default" w:ascii="宋体" w:hAnsi="宋体" w:eastAsia="宋体" w:cs="Times New Roman"/>
                <w:color w:val="auto"/>
                <w:szCs w:val="21"/>
                <w:highlight w:val="none"/>
                <w:lang w:val="en-US" w:eastAsia="zh-CN"/>
              </w:rPr>
            </w:pPr>
          </w:p>
        </w:tc>
        <w:tc>
          <w:tcPr>
            <w:tcW w:w="1466" w:type="dxa"/>
            <w:noWrap w:val="0"/>
            <w:vAlign w:val="center"/>
          </w:tcPr>
          <w:p>
            <w:pPr>
              <w:spacing w:line="280" w:lineRule="exact"/>
              <w:jc w:val="center"/>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标书制作情况（4分）</w:t>
            </w:r>
          </w:p>
        </w:tc>
        <w:tc>
          <w:tcPr>
            <w:tcW w:w="6717"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exact"/>
              <w:ind w:leftChars="0"/>
              <w:textAlignment w:val="auto"/>
              <w:rPr>
                <w:color w:val="auto"/>
                <w:highlight w:val="none"/>
              </w:rPr>
            </w:pPr>
            <w:r>
              <w:rPr>
                <w:rFonts w:hint="default"/>
                <w:color w:val="auto"/>
                <w:highlight w:val="none"/>
                <w:lang w:val="en-US" w:eastAsia="zh-CN"/>
              </w:rPr>
              <w:t>按招标文件要求编制投标文件， 投标文件组成完整性、编目条理性，主要施工计划说明材料充分性等综合情况，优得</w:t>
            </w:r>
            <w:r>
              <w:rPr>
                <w:rFonts w:hint="eastAsia"/>
                <w:color w:val="auto"/>
                <w:highlight w:val="none"/>
                <w:lang w:val="en-US" w:eastAsia="zh-CN"/>
              </w:rPr>
              <w:t>4</w:t>
            </w:r>
            <w:r>
              <w:rPr>
                <w:rFonts w:hint="default"/>
                <w:color w:val="auto"/>
                <w:highlight w:val="none"/>
                <w:lang w:val="en-US" w:eastAsia="zh-CN"/>
              </w:rPr>
              <w:t>分，良得</w:t>
            </w:r>
            <w:r>
              <w:rPr>
                <w:rFonts w:hint="eastAsia"/>
                <w:color w:val="auto"/>
                <w:highlight w:val="none"/>
                <w:lang w:val="en-US" w:eastAsia="zh-CN"/>
              </w:rPr>
              <w:t>2</w:t>
            </w:r>
            <w:r>
              <w:rPr>
                <w:rFonts w:hint="default"/>
                <w:color w:val="auto"/>
                <w:highlight w:val="none"/>
                <w:lang w:val="en-US" w:eastAsia="zh-CN"/>
              </w:rPr>
              <w:t>分，一般不得分。</w:t>
            </w:r>
          </w:p>
        </w:tc>
      </w:tr>
    </w:tbl>
    <w:p>
      <w:pPr>
        <w:spacing w:line="360" w:lineRule="auto"/>
        <w:rPr>
          <w:rFonts w:hint="eastAsia" w:ascii="宋体" w:hAnsi="宋体"/>
          <w:color w:val="auto"/>
          <w:sz w:val="24"/>
          <w:highlight w:val="none"/>
        </w:rPr>
      </w:pPr>
      <w:r>
        <w:rPr>
          <w:rFonts w:hint="eastAsia" w:ascii="宋体" w:hAnsi="宋体"/>
          <w:b/>
          <w:color w:val="auto"/>
          <w:sz w:val="24"/>
          <w:highlight w:val="none"/>
        </w:rPr>
        <w:t>注：计分原则：</w:t>
      </w:r>
    </w:p>
    <w:p>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1</w:t>
      </w:r>
      <w:r>
        <w:rPr>
          <w:rFonts w:hint="eastAsia" w:ascii="宋体" w:hAnsi="宋体"/>
          <w:color w:val="auto"/>
          <w:sz w:val="24"/>
          <w:highlight w:val="none"/>
        </w:rPr>
        <w:t>）技术部分由</w:t>
      </w:r>
      <w:r>
        <w:rPr>
          <w:rFonts w:hint="eastAsia" w:ascii="宋体" w:hAnsi="宋体"/>
          <w:color w:val="auto"/>
          <w:sz w:val="24"/>
          <w:highlight w:val="none"/>
          <w:lang w:eastAsia="zh-CN"/>
        </w:rPr>
        <w:t>磋商小组</w:t>
      </w:r>
      <w:r>
        <w:rPr>
          <w:rFonts w:hint="eastAsia" w:ascii="宋体" w:hAnsi="宋体"/>
          <w:color w:val="auto"/>
          <w:sz w:val="24"/>
          <w:highlight w:val="none"/>
        </w:rPr>
        <w:t>专家分别打分后，取平均分作为技术分最后得分。</w:t>
      </w:r>
    </w:p>
    <w:p>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2</w:t>
      </w:r>
      <w:r>
        <w:rPr>
          <w:rFonts w:hint="eastAsia" w:ascii="宋体" w:hAnsi="宋体"/>
          <w:color w:val="auto"/>
          <w:sz w:val="24"/>
          <w:highlight w:val="none"/>
        </w:rPr>
        <w:t>）</w:t>
      </w:r>
      <w:r>
        <w:rPr>
          <w:rFonts w:hint="eastAsia" w:ascii="宋体" w:hAnsi="宋体"/>
          <w:color w:val="auto"/>
          <w:sz w:val="24"/>
          <w:highlight w:val="none"/>
          <w:lang w:eastAsia="zh-CN"/>
        </w:rPr>
        <w:t>磋商小组</w:t>
      </w:r>
      <w:r>
        <w:rPr>
          <w:rFonts w:hint="eastAsia" w:ascii="宋体" w:hAnsi="宋体"/>
          <w:color w:val="auto"/>
          <w:sz w:val="24"/>
          <w:highlight w:val="none"/>
        </w:rPr>
        <w:t>委员评分的算术平均值为供应商的最终得分。评分计算保留2位小数，第三位小数四舍五入。</w:t>
      </w:r>
    </w:p>
    <w:p>
      <w:pPr>
        <w:spacing w:line="360" w:lineRule="auto"/>
        <w:ind w:firstLine="523" w:firstLineChars="218"/>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hint="eastAsia" w:ascii="宋体" w:hAnsi="宋体"/>
          <w:color w:val="auto"/>
          <w:sz w:val="24"/>
          <w:highlight w:val="none"/>
        </w:rPr>
        <w:t>）得分相同的，按技术指标优劣顺序排列。</w:t>
      </w:r>
    </w:p>
    <w:p>
      <w:pPr>
        <w:spacing w:line="360" w:lineRule="auto"/>
        <w:ind w:firstLine="523" w:firstLineChars="218"/>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w:t>
      </w:r>
      <w:r>
        <w:rPr>
          <w:rFonts w:hint="eastAsia" w:ascii="宋体" w:hAnsi="宋体"/>
          <w:color w:val="auto"/>
          <w:sz w:val="24"/>
          <w:highlight w:val="none"/>
          <w:lang w:eastAsia="zh-CN"/>
        </w:rPr>
        <w:t>磋商小组</w:t>
      </w:r>
      <w:r>
        <w:rPr>
          <w:rFonts w:hint="eastAsia" w:ascii="宋体" w:hAnsi="宋体"/>
          <w:color w:val="auto"/>
          <w:sz w:val="24"/>
          <w:highlight w:val="none"/>
        </w:rPr>
        <w:t>按评分排序确定</w:t>
      </w:r>
      <w:r>
        <w:rPr>
          <w:rFonts w:hint="eastAsia" w:ascii="宋体" w:hAnsi="宋体"/>
          <w:color w:val="auto"/>
          <w:sz w:val="24"/>
          <w:highlight w:val="none"/>
          <w:lang w:eastAsia="zh-CN"/>
        </w:rPr>
        <w:t>中标</w:t>
      </w:r>
      <w:r>
        <w:rPr>
          <w:rFonts w:hint="eastAsia" w:ascii="宋体" w:hAnsi="宋体"/>
          <w:color w:val="auto"/>
          <w:sz w:val="24"/>
          <w:highlight w:val="none"/>
        </w:rPr>
        <w:t>供应商，同时提交评标报告，由</w:t>
      </w:r>
      <w:r>
        <w:rPr>
          <w:rFonts w:hint="eastAsia" w:ascii="宋体" w:hAnsi="宋体"/>
          <w:color w:val="auto"/>
          <w:sz w:val="24"/>
          <w:highlight w:val="none"/>
          <w:lang w:eastAsia="zh-CN"/>
        </w:rPr>
        <w:t>磋商小组</w:t>
      </w:r>
      <w:r>
        <w:rPr>
          <w:rFonts w:hint="eastAsia" w:ascii="宋体" w:hAnsi="宋体"/>
          <w:color w:val="auto"/>
          <w:sz w:val="24"/>
          <w:highlight w:val="none"/>
        </w:rPr>
        <w:t>成员集体签名。</w:t>
      </w:r>
    </w:p>
    <w:p>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）评标中如遇未考虑到的问题，由</w:t>
      </w:r>
      <w:r>
        <w:rPr>
          <w:rFonts w:hint="eastAsia" w:ascii="宋体" w:hAnsi="宋体"/>
          <w:color w:val="auto"/>
          <w:sz w:val="24"/>
          <w:highlight w:val="none"/>
          <w:lang w:eastAsia="zh-CN"/>
        </w:rPr>
        <w:t>磋商小组</w:t>
      </w:r>
      <w:r>
        <w:rPr>
          <w:rFonts w:hint="eastAsia" w:ascii="宋体" w:hAnsi="宋体"/>
          <w:color w:val="auto"/>
          <w:sz w:val="24"/>
          <w:highlight w:val="none"/>
        </w:rPr>
        <w:t>成员集体研究处理决定。</w:t>
      </w:r>
    </w:p>
    <w:p>
      <w:pPr>
        <w:spacing w:line="360" w:lineRule="auto"/>
        <w:ind w:firstLine="525" w:firstLineChars="218"/>
        <w:rPr>
          <w:rFonts w:hint="eastAsia" w:ascii="宋体" w:hAnsi="宋体"/>
          <w:color w:val="auto"/>
          <w:sz w:val="24"/>
          <w:highlight w:val="none"/>
        </w:rPr>
      </w:pPr>
      <w:r>
        <w:rPr>
          <w:rFonts w:ascii="宋体" w:hAnsi="宋体"/>
          <w:b/>
          <w:bCs/>
          <w:color w:val="auto"/>
          <w:sz w:val="24"/>
          <w:highlight w:val="none"/>
        </w:rPr>
        <w:t>5.</w:t>
      </w:r>
      <w:r>
        <w:rPr>
          <w:rFonts w:hint="eastAsia" w:ascii="宋体" w:hAnsi="宋体"/>
          <w:b/>
          <w:bCs/>
          <w:color w:val="auto"/>
          <w:sz w:val="24"/>
          <w:highlight w:val="none"/>
        </w:rPr>
        <w:t>其他注意事项：</w:t>
      </w:r>
    </w:p>
    <w:p>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（1）评标工作在</w:t>
      </w:r>
      <w:r>
        <w:rPr>
          <w:rFonts w:hint="eastAsia" w:ascii="宋体" w:hAnsi="宋体"/>
          <w:color w:val="auto"/>
          <w:sz w:val="24"/>
          <w:highlight w:val="none"/>
          <w:lang w:eastAsia="zh-CN"/>
        </w:rPr>
        <w:t>磋商小组</w:t>
      </w:r>
      <w:r>
        <w:rPr>
          <w:rFonts w:hint="eastAsia" w:ascii="宋体" w:hAnsi="宋体"/>
          <w:color w:val="auto"/>
          <w:sz w:val="24"/>
          <w:highlight w:val="none"/>
        </w:rPr>
        <w:t>内独立进行。</w:t>
      </w:r>
    </w:p>
    <w:p>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（2）为了有助于对投标进行审查、评估和比较，</w:t>
      </w:r>
      <w:r>
        <w:rPr>
          <w:rFonts w:hint="eastAsia" w:ascii="宋体" w:hAnsi="宋体"/>
          <w:color w:val="auto"/>
          <w:sz w:val="24"/>
          <w:highlight w:val="none"/>
          <w:lang w:eastAsia="zh-CN"/>
        </w:rPr>
        <w:t>磋商小组</w:t>
      </w:r>
      <w:r>
        <w:rPr>
          <w:rFonts w:hint="eastAsia" w:ascii="宋体" w:hAnsi="宋体"/>
          <w:color w:val="auto"/>
          <w:sz w:val="24"/>
          <w:highlight w:val="none"/>
        </w:rPr>
        <w:t>有权向供应商质疑、查看有关资质原件、供应商解释投标内容。供应商有责任按照</w:t>
      </w:r>
      <w:r>
        <w:rPr>
          <w:rFonts w:hint="eastAsia" w:ascii="宋体" w:hAnsi="宋体"/>
          <w:color w:val="auto"/>
          <w:sz w:val="24"/>
          <w:highlight w:val="none"/>
          <w:lang w:eastAsia="zh-CN"/>
        </w:rPr>
        <w:t>磋商小组</w:t>
      </w:r>
      <w:r>
        <w:rPr>
          <w:rFonts w:hint="eastAsia" w:ascii="宋体" w:hAnsi="宋体"/>
          <w:color w:val="auto"/>
          <w:sz w:val="24"/>
          <w:highlight w:val="none"/>
        </w:rPr>
        <w:t>通知的时间、地点指派专人进行答疑、澄清、提供有关资质原件。</w:t>
      </w:r>
    </w:p>
    <w:p>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（3）在开标、评标期间，供应商不得向</w:t>
      </w:r>
      <w:r>
        <w:rPr>
          <w:rFonts w:hint="eastAsia" w:ascii="宋体" w:hAnsi="宋体"/>
          <w:color w:val="auto"/>
          <w:sz w:val="24"/>
          <w:highlight w:val="none"/>
          <w:lang w:eastAsia="zh-CN"/>
        </w:rPr>
        <w:t>磋商小组</w:t>
      </w:r>
      <w:r>
        <w:rPr>
          <w:rFonts w:hint="eastAsia" w:ascii="宋体" w:hAnsi="宋体"/>
          <w:color w:val="auto"/>
          <w:sz w:val="24"/>
          <w:highlight w:val="none"/>
        </w:rPr>
        <w:t>成员询问情况，不得进行影响评标结果的活动。</w:t>
      </w:r>
    </w:p>
    <w:p>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（4）采购人、招标机构及</w:t>
      </w:r>
      <w:r>
        <w:rPr>
          <w:rFonts w:hint="eastAsia" w:ascii="宋体" w:hAnsi="宋体"/>
          <w:color w:val="auto"/>
          <w:sz w:val="24"/>
          <w:highlight w:val="none"/>
          <w:lang w:eastAsia="zh-CN"/>
        </w:rPr>
        <w:t>磋商小组</w:t>
      </w:r>
      <w:r>
        <w:rPr>
          <w:rFonts w:hint="eastAsia" w:ascii="宋体" w:hAnsi="宋体"/>
          <w:color w:val="auto"/>
          <w:sz w:val="24"/>
          <w:highlight w:val="none"/>
        </w:rPr>
        <w:t>不向落标方解释原因，不退还</w:t>
      </w:r>
      <w:r>
        <w:rPr>
          <w:rFonts w:hint="eastAsia" w:ascii="宋体" w:hAnsi="宋体"/>
          <w:color w:val="auto"/>
          <w:sz w:val="24"/>
          <w:highlight w:val="none"/>
          <w:lang w:eastAsia="zh-CN"/>
        </w:rPr>
        <w:t>磋商响应文件</w:t>
      </w:r>
      <w:r>
        <w:rPr>
          <w:rFonts w:hint="eastAsia" w:ascii="宋体" w:hAnsi="宋体"/>
          <w:color w:val="auto"/>
          <w:sz w:val="24"/>
          <w:highlight w:val="none"/>
        </w:rPr>
        <w:t>。</w:t>
      </w:r>
    </w:p>
    <w:p>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（5）在招标过程中如供应商有不正当行为时，</w:t>
      </w:r>
      <w:r>
        <w:rPr>
          <w:rFonts w:hint="eastAsia" w:ascii="宋体" w:hAnsi="宋体"/>
          <w:color w:val="auto"/>
          <w:sz w:val="24"/>
          <w:highlight w:val="none"/>
          <w:lang w:eastAsia="zh-CN"/>
        </w:rPr>
        <w:t>磋商小组</w:t>
      </w:r>
      <w:r>
        <w:rPr>
          <w:rFonts w:hint="eastAsia" w:ascii="宋体" w:hAnsi="宋体"/>
          <w:color w:val="auto"/>
          <w:sz w:val="24"/>
          <w:highlight w:val="none"/>
        </w:rPr>
        <w:t>有权中止其投标资格。</w:t>
      </w:r>
    </w:p>
    <w:p>
      <w:pPr>
        <w:pStyle w:val="2"/>
      </w:pPr>
    </w:p>
    <w:p/>
    <w:p>
      <w:pPr>
        <w:pStyle w:val="2"/>
      </w:pPr>
    </w:p>
    <w:p/>
    <w:p>
      <w:pPr>
        <w:pStyle w:val="2"/>
      </w:pPr>
    </w:p>
    <w:p/>
    <w:p>
      <w:pPr>
        <w:pStyle w:val="2"/>
      </w:pPr>
    </w:p>
    <w:p>
      <w:bookmarkStart w:id="605" w:name="_GoBack"/>
      <w:bookmarkEnd w:id="605"/>
    </w:p>
    <w:p>
      <w:pPr>
        <w:pStyle w:val="13"/>
        <w:numPr>
          <w:ilvl w:val="0"/>
          <w:numId w:val="10"/>
        </w:numPr>
        <w:spacing w:before="4800" w:beforeLines="2000" w:after="0"/>
        <w:ind w:left="2520" w:leftChars="0" w:firstLineChars="0"/>
        <w:rPr>
          <w:rFonts w:hint="eastAsia"/>
          <w:color w:val="auto"/>
          <w:highlight w:val="none"/>
          <w:lang w:eastAsia="zh-CN"/>
        </w:rPr>
      </w:pPr>
      <w:bookmarkStart w:id="421" w:name="_Toc24503"/>
      <w:r>
        <w:rPr>
          <w:rFonts w:hint="eastAsia"/>
          <w:color w:val="auto"/>
          <w:highlight w:val="none"/>
        </w:rPr>
        <w:t xml:space="preserve"> </w:t>
      </w:r>
      <w:bookmarkEnd w:id="421"/>
      <w:r>
        <w:rPr>
          <w:rFonts w:hint="eastAsia"/>
          <w:color w:val="auto"/>
          <w:highlight w:val="none"/>
          <w:lang w:eastAsia="zh-CN"/>
        </w:rPr>
        <w:t>招标要求及工程量清单</w:t>
      </w: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8"/>
        <w:gridCol w:w="2558"/>
        <w:gridCol w:w="3881"/>
        <w:gridCol w:w="1284"/>
        <w:gridCol w:w="1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000" w:type="pct"/>
            <w:gridSpan w:val="5"/>
            <w:tcBorders>
              <w:top w:val="nil"/>
              <w:left w:val="nil"/>
              <w:bottom w:val="nil"/>
              <w:right w:val="nil"/>
            </w:tcBorders>
            <w:noWrap/>
            <w:vAlign w:val="center"/>
          </w:tcPr>
          <w:p>
            <w:pPr>
              <w:keepNext w:val="0"/>
              <w:keepLines w:val="0"/>
              <w:widowControl/>
              <w:suppressLineNumbers w:val="0"/>
              <w:jc w:val="center"/>
              <w:textAlignment w:val="center"/>
              <w:rPr>
                <w:rFonts w:hint="default" w:ascii="黑体" w:hAnsi="宋体" w:eastAsia="黑体" w:cs="黑体"/>
                <w:i w:val="0"/>
                <w:iCs w:val="0"/>
                <w:color w:val="auto"/>
                <w:sz w:val="44"/>
                <w:szCs w:val="44"/>
                <w:highlight w:val="none"/>
                <w:u w:val="none"/>
                <w:lang w:val="en-US"/>
              </w:rPr>
            </w:pPr>
            <w:r>
              <w:rPr>
                <w:rFonts w:hint="eastAsia" w:ascii="黑体" w:hAnsi="宋体" w:eastAsia="黑体" w:cs="黑体"/>
                <w:i w:val="0"/>
                <w:iCs w:val="0"/>
                <w:color w:val="auto"/>
                <w:kern w:val="0"/>
                <w:sz w:val="44"/>
                <w:szCs w:val="44"/>
                <w:highlight w:val="none"/>
                <w:u w:val="none"/>
                <w:lang w:val="en-US" w:eastAsia="zh-CN" w:bidi="ar"/>
              </w:rPr>
              <w:t>阿克苏地区塔里木歌舞团提升改造项目参数要求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3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3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项目名称</w:t>
            </w:r>
          </w:p>
        </w:tc>
        <w:tc>
          <w:tcPr>
            <w:tcW w:w="19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规格参数</w:t>
            </w:r>
          </w:p>
        </w:tc>
        <w:tc>
          <w:tcPr>
            <w:tcW w:w="6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6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7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1</w:t>
            </w:r>
          </w:p>
        </w:tc>
        <w:tc>
          <w:tcPr>
            <w:tcW w:w="131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室外地坪</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    1、C25混凝土垫层</w:t>
            </w:r>
          </w:p>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    2、4*6mm切缝</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平方米</w:t>
            </w:r>
          </w:p>
        </w:tc>
        <w:tc>
          <w:tcPr>
            <w:tcW w:w="6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7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auto"/>
                <w:sz w:val="24"/>
                <w:szCs w:val="24"/>
                <w:highlight w:val="none"/>
                <w:u w:val="none"/>
              </w:rPr>
            </w:pPr>
          </w:p>
        </w:tc>
        <w:tc>
          <w:tcPr>
            <w:tcW w:w="13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auto"/>
                <w:sz w:val="24"/>
                <w:szCs w:val="24"/>
                <w:highlight w:val="none"/>
                <w:u w:val="none"/>
              </w:rPr>
            </w:pPr>
          </w:p>
        </w:tc>
        <w:tc>
          <w:tcPr>
            <w:tcW w:w="19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40CM厚砂垫层</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平方米</w:t>
            </w:r>
          </w:p>
        </w:tc>
        <w:tc>
          <w:tcPr>
            <w:tcW w:w="6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7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auto"/>
                <w:sz w:val="24"/>
                <w:szCs w:val="24"/>
                <w:highlight w:val="none"/>
                <w:u w:val="none"/>
              </w:rPr>
            </w:pPr>
          </w:p>
        </w:tc>
        <w:tc>
          <w:tcPr>
            <w:tcW w:w="13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auto"/>
                <w:sz w:val="24"/>
                <w:szCs w:val="24"/>
                <w:highlight w:val="none"/>
                <w:u w:val="none"/>
              </w:rPr>
            </w:pPr>
          </w:p>
        </w:tc>
        <w:tc>
          <w:tcPr>
            <w:tcW w:w="19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    1、拆除混凝土地坪及垫层</w:t>
            </w:r>
          </w:p>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    2、建筑垃圾外运20KM</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立方米</w:t>
            </w:r>
          </w:p>
        </w:tc>
        <w:tc>
          <w:tcPr>
            <w:tcW w:w="6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596.2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7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2</w:t>
            </w:r>
          </w:p>
        </w:tc>
        <w:tc>
          <w:tcPr>
            <w:tcW w:w="131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彩钢房</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彩板门4座（型号大小：1米*2米—2.5米*4米不等）</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樘</w:t>
            </w:r>
          </w:p>
        </w:tc>
        <w:tc>
          <w:tcPr>
            <w:tcW w:w="6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7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auto"/>
                <w:sz w:val="24"/>
                <w:szCs w:val="24"/>
                <w:highlight w:val="none"/>
                <w:u w:val="none"/>
              </w:rPr>
            </w:pPr>
          </w:p>
        </w:tc>
        <w:tc>
          <w:tcPr>
            <w:tcW w:w="13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auto"/>
                <w:sz w:val="24"/>
                <w:szCs w:val="24"/>
                <w:highlight w:val="none"/>
                <w:u w:val="none"/>
              </w:rPr>
            </w:pPr>
          </w:p>
        </w:tc>
        <w:tc>
          <w:tcPr>
            <w:tcW w:w="19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金属塑钢窗</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平方米</w:t>
            </w:r>
          </w:p>
        </w:tc>
        <w:tc>
          <w:tcPr>
            <w:tcW w:w="6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7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auto"/>
                <w:sz w:val="24"/>
                <w:szCs w:val="24"/>
                <w:highlight w:val="none"/>
                <w:u w:val="none"/>
              </w:rPr>
            </w:pPr>
          </w:p>
        </w:tc>
        <w:tc>
          <w:tcPr>
            <w:tcW w:w="13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auto"/>
                <w:sz w:val="24"/>
                <w:szCs w:val="24"/>
                <w:highlight w:val="none"/>
                <w:u w:val="none"/>
              </w:rPr>
            </w:pPr>
          </w:p>
        </w:tc>
        <w:tc>
          <w:tcPr>
            <w:tcW w:w="19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屋顶卷材防水双层SBS</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平方米</w:t>
            </w:r>
          </w:p>
        </w:tc>
        <w:tc>
          <w:tcPr>
            <w:tcW w:w="6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7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auto"/>
                <w:sz w:val="24"/>
                <w:szCs w:val="24"/>
                <w:highlight w:val="none"/>
                <w:u w:val="none"/>
              </w:rPr>
            </w:pPr>
          </w:p>
        </w:tc>
        <w:tc>
          <w:tcPr>
            <w:tcW w:w="13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auto"/>
                <w:sz w:val="24"/>
                <w:szCs w:val="24"/>
                <w:highlight w:val="none"/>
                <w:u w:val="none"/>
              </w:rPr>
            </w:pPr>
          </w:p>
        </w:tc>
        <w:tc>
          <w:tcPr>
            <w:tcW w:w="19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彩钢房地面硬化（含拆除）</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平方米</w:t>
            </w:r>
          </w:p>
        </w:tc>
        <w:tc>
          <w:tcPr>
            <w:tcW w:w="6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7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auto"/>
                <w:sz w:val="24"/>
                <w:szCs w:val="24"/>
                <w:highlight w:val="none"/>
                <w:u w:val="none"/>
              </w:rPr>
            </w:pPr>
          </w:p>
        </w:tc>
        <w:tc>
          <w:tcPr>
            <w:tcW w:w="13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auto"/>
                <w:sz w:val="24"/>
                <w:szCs w:val="24"/>
                <w:highlight w:val="none"/>
                <w:u w:val="none"/>
              </w:rPr>
            </w:pPr>
          </w:p>
        </w:tc>
        <w:tc>
          <w:tcPr>
            <w:tcW w:w="19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彩钢棚墙面粉刷</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平方米</w:t>
            </w:r>
          </w:p>
        </w:tc>
        <w:tc>
          <w:tcPr>
            <w:tcW w:w="6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7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auto"/>
                <w:sz w:val="24"/>
                <w:szCs w:val="24"/>
                <w:highlight w:val="none"/>
                <w:u w:val="none"/>
              </w:rPr>
            </w:pPr>
          </w:p>
        </w:tc>
        <w:tc>
          <w:tcPr>
            <w:tcW w:w="13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auto"/>
                <w:sz w:val="24"/>
                <w:szCs w:val="24"/>
                <w:highlight w:val="none"/>
                <w:u w:val="none"/>
              </w:rPr>
            </w:pPr>
          </w:p>
        </w:tc>
        <w:tc>
          <w:tcPr>
            <w:tcW w:w="19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钢结构（镀锌钢管、槽钢、角铁）</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吨</w:t>
            </w:r>
          </w:p>
        </w:tc>
        <w:tc>
          <w:tcPr>
            <w:tcW w:w="6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7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auto"/>
                <w:sz w:val="24"/>
                <w:szCs w:val="24"/>
                <w:highlight w:val="none"/>
                <w:u w:val="none"/>
              </w:rPr>
            </w:pPr>
          </w:p>
        </w:tc>
        <w:tc>
          <w:tcPr>
            <w:tcW w:w="13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auto"/>
                <w:sz w:val="24"/>
                <w:szCs w:val="24"/>
                <w:highlight w:val="none"/>
                <w:u w:val="none"/>
              </w:rPr>
            </w:pPr>
          </w:p>
        </w:tc>
        <w:tc>
          <w:tcPr>
            <w:tcW w:w="19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钢板墙板（100MM厚夹芯岩棉板）</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平方米</w:t>
            </w:r>
          </w:p>
        </w:tc>
        <w:tc>
          <w:tcPr>
            <w:tcW w:w="6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340.22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7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auto"/>
                <w:sz w:val="24"/>
                <w:szCs w:val="24"/>
                <w:highlight w:val="none"/>
                <w:u w:val="none"/>
              </w:rPr>
            </w:pPr>
          </w:p>
        </w:tc>
        <w:tc>
          <w:tcPr>
            <w:tcW w:w="13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auto"/>
                <w:sz w:val="24"/>
                <w:szCs w:val="24"/>
                <w:highlight w:val="none"/>
                <w:u w:val="none"/>
              </w:rPr>
            </w:pPr>
          </w:p>
        </w:tc>
        <w:tc>
          <w:tcPr>
            <w:tcW w:w="19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型材屋顶（彩钢单板+100mm厚彩钢夹芯板）</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平方米</w:t>
            </w:r>
          </w:p>
        </w:tc>
        <w:tc>
          <w:tcPr>
            <w:tcW w:w="6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373.12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7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auto"/>
                <w:sz w:val="24"/>
                <w:szCs w:val="24"/>
                <w:highlight w:val="none"/>
                <w:u w:val="none"/>
              </w:rPr>
            </w:pPr>
          </w:p>
        </w:tc>
        <w:tc>
          <w:tcPr>
            <w:tcW w:w="13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auto"/>
                <w:sz w:val="24"/>
                <w:szCs w:val="24"/>
                <w:highlight w:val="none"/>
                <w:u w:val="none"/>
              </w:rPr>
            </w:pPr>
          </w:p>
        </w:tc>
        <w:tc>
          <w:tcPr>
            <w:tcW w:w="19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建筑垃圾清运</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c>
          <w:tcPr>
            <w:tcW w:w="6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c>
          <w:tcPr>
            <w:tcW w:w="4625"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74" w:type="pct"/>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c>
          <w:tcPr>
            <w:tcW w:w="13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项目名称</w:t>
            </w:r>
          </w:p>
        </w:tc>
        <w:tc>
          <w:tcPr>
            <w:tcW w:w="19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规格参数</w:t>
            </w:r>
          </w:p>
        </w:tc>
        <w:tc>
          <w:tcPr>
            <w:tcW w:w="6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6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37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3</w:t>
            </w:r>
          </w:p>
        </w:tc>
        <w:tc>
          <w:tcPr>
            <w:tcW w:w="131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绿化</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1、栽植乔木：法桐</w:t>
            </w:r>
          </w:p>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2、胸径及杆径：10CM</w:t>
            </w:r>
          </w:p>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3、养护期：2年</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珠</w:t>
            </w:r>
          </w:p>
        </w:tc>
        <w:tc>
          <w:tcPr>
            <w:tcW w:w="6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7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auto"/>
                <w:sz w:val="24"/>
                <w:szCs w:val="24"/>
                <w:highlight w:val="none"/>
                <w:u w:val="none"/>
              </w:rPr>
            </w:pPr>
          </w:p>
        </w:tc>
        <w:tc>
          <w:tcPr>
            <w:tcW w:w="13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auto"/>
                <w:sz w:val="24"/>
                <w:szCs w:val="24"/>
                <w:highlight w:val="none"/>
                <w:u w:val="none"/>
              </w:rPr>
            </w:pPr>
          </w:p>
        </w:tc>
        <w:tc>
          <w:tcPr>
            <w:tcW w:w="19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种植土回填（含农家肥）</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立方米</w:t>
            </w:r>
          </w:p>
        </w:tc>
        <w:tc>
          <w:tcPr>
            <w:tcW w:w="6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7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auto"/>
                <w:sz w:val="24"/>
                <w:szCs w:val="24"/>
                <w:highlight w:val="none"/>
                <w:u w:val="none"/>
              </w:rPr>
            </w:pPr>
          </w:p>
        </w:tc>
        <w:tc>
          <w:tcPr>
            <w:tcW w:w="13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auto"/>
                <w:sz w:val="24"/>
                <w:szCs w:val="24"/>
                <w:highlight w:val="none"/>
                <w:u w:val="none"/>
              </w:rPr>
            </w:pPr>
          </w:p>
        </w:tc>
        <w:tc>
          <w:tcPr>
            <w:tcW w:w="19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整理绿化用地</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平方米</w:t>
            </w:r>
          </w:p>
        </w:tc>
        <w:tc>
          <w:tcPr>
            <w:tcW w:w="6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7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auto"/>
                <w:sz w:val="24"/>
                <w:szCs w:val="24"/>
                <w:highlight w:val="none"/>
                <w:u w:val="none"/>
              </w:rPr>
            </w:pPr>
          </w:p>
        </w:tc>
        <w:tc>
          <w:tcPr>
            <w:tcW w:w="13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auto"/>
                <w:sz w:val="24"/>
                <w:szCs w:val="24"/>
                <w:highlight w:val="none"/>
                <w:u w:val="none"/>
              </w:rPr>
            </w:pPr>
          </w:p>
        </w:tc>
        <w:tc>
          <w:tcPr>
            <w:tcW w:w="19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拆除路面（切缝开挖）</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平方米</w:t>
            </w:r>
          </w:p>
        </w:tc>
        <w:tc>
          <w:tcPr>
            <w:tcW w:w="6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7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auto"/>
                <w:sz w:val="24"/>
                <w:szCs w:val="24"/>
                <w:highlight w:val="none"/>
                <w:u w:val="none"/>
              </w:rPr>
            </w:pPr>
          </w:p>
        </w:tc>
        <w:tc>
          <w:tcPr>
            <w:tcW w:w="13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auto"/>
                <w:sz w:val="24"/>
                <w:szCs w:val="24"/>
                <w:highlight w:val="none"/>
                <w:u w:val="none"/>
              </w:rPr>
            </w:pPr>
          </w:p>
        </w:tc>
        <w:tc>
          <w:tcPr>
            <w:tcW w:w="19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人工开挖土方（挖深1米）</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平方米</w:t>
            </w:r>
          </w:p>
        </w:tc>
        <w:tc>
          <w:tcPr>
            <w:tcW w:w="6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7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auto"/>
                <w:sz w:val="24"/>
                <w:szCs w:val="24"/>
                <w:highlight w:val="none"/>
                <w:u w:val="none"/>
              </w:rPr>
            </w:pPr>
          </w:p>
        </w:tc>
        <w:tc>
          <w:tcPr>
            <w:tcW w:w="13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auto"/>
                <w:sz w:val="24"/>
                <w:szCs w:val="24"/>
                <w:highlight w:val="none"/>
                <w:u w:val="none"/>
              </w:rPr>
            </w:pPr>
          </w:p>
        </w:tc>
        <w:tc>
          <w:tcPr>
            <w:tcW w:w="19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安装路缘石（混凝土垫层20CM*30CM）</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米</w:t>
            </w:r>
          </w:p>
        </w:tc>
        <w:tc>
          <w:tcPr>
            <w:tcW w:w="6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7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auto"/>
                <w:sz w:val="24"/>
                <w:szCs w:val="24"/>
                <w:highlight w:val="none"/>
                <w:u w:val="none"/>
              </w:rPr>
            </w:pPr>
          </w:p>
        </w:tc>
        <w:tc>
          <w:tcPr>
            <w:tcW w:w="13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auto"/>
                <w:sz w:val="24"/>
                <w:szCs w:val="24"/>
                <w:highlight w:val="none"/>
                <w:u w:val="none"/>
              </w:rPr>
            </w:pPr>
          </w:p>
        </w:tc>
        <w:tc>
          <w:tcPr>
            <w:tcW w:w="19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建筑垃圾清运</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立方米</w:t>
            </w:r>
          </w:p>
        </w:tc>
        <w:tc>
          <w:tcPr>
            <w:tcW w:w="6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4</w:t>
            </w:r>
          </w:p>
        </w:tc>
        <w:tc>
          <w:tcPr>
            <w:tcW w:w="13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储物架定制</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2.6米*0.8米径深、50*50角钢切割焊接、2CM木板</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米</w:t>
            </w:r>
          </w:p>
        </w:tc>
        <w:tc>
          <w:tcPr>
            <w:tcW w:w="6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highlight w:val="none"/>
                <w:u w:val="none"/>
              </w:rPr>
            </w:pPr>
          </w:p>
        </w:tc>
        <w:tc>
          <w:tcPr>
            <w:tcW w:w="4625"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5"/>
            <w:tcBorders>
              <w:top w:val="nil"/>
              <w:left w:val="nil"/>
              <w:bottom w:val="nil"/>
              <w:right w:val="nil"/>
            </w:tcBorders>
            <w:noWrap w:val="0"/>
            <w:vAlign w:val="center"/>
          </w:tcPr>
          <w:p>
            <w:pPr>
              <w:keepNext w:val="0"/>
              <w:keepLines w:val="0"/>
              <w:widowControl/>
              <w:suppressLineNumbers w:val="0"/>
              <w:jc w:val="left"/>
              <w:textAlignment w:val="center"/>
              <w:rPr>
                <w:rFonts w:ascii="等线" w:hAnsi="等线" w:eastAsia="等线" w:cs="等线"/>
                <w:i w:val="0"/>
                <w:iCs w:val="0"/>
                <w:color w:val="auto"/>
                <w:sz w:val="28"/>
                <w:szCs w:val="28"/>
                <w:highlight w:val="none"/>
                <w:u w:val="none"/>
              </w:rPr>
            </w:pPr>
            <w:r>
              <w:rPr>
                <w:rFonts w:hint="eastAsia" w:ascii="等线" w:hAnsi="等线" w:eastAsia="等线" w:cs="等线"/>
                <w:i w:val="0"/>
                <w:iCs w:val="0"/>
                <w:color w:val="auto"/>
                <w:kern w:val="0"/>
                <w:sz w:val="28"/>
                <w:szCs w:val="28"/>
                <w:highlight w:val="none"/>
                <w:u w:val="none"/>
                <w:lang w:val="en-US" w:eastAsia="zh-CN" w:bidi="ar"/>
              </w:rPr>
              <w:t xml:space="preserve">       备注：以上预算含材料、人工、机械、运费、税金等。</w:t>
            </w:r>
          </w:p>
        </w:tc>
      </w:tr>
    </w:tbl>
    <w:p>
      <w:pPr>
        <w:numPr>
          <w:ilvl w:val="0"/>
          <w:numId w:val="0"/>
        </w:numPr>
        <w:rPr>
          <w:rFonts w:hint="eastAsia"/>
          <w:color w:val="auto"/>
          <w:highlight w:val="none"/>
          <w:lang w:eastAsia="zh-CN"/>
        </w:rPr>
      </w:pPr>
    </w:p>
    <w:p>
      <w:pPr>
        <w:spacing w:line="360" w:lineRule="auto"/>
        <w:ind w:firstLine="3935" w:firstLineChars="1400"/>
        <w:rPr>
          <w:rFonts w:hint="eastAsia" w:ascii="Times New Roman" w:hAnsi="Times New Roman" w:eastAsia="宋体" w:cs="Times New Roman"/>
          <w:b/>
          <w:color w:val="auto"/>
          <w:sz w:val="28"/>
          <w:szCs w:val="28"/>
          <w:highlight w:val="none"/>
          <w:lang w:eastAsia="zh-CN"/>
        </w:rPr>
      </w:pPr>
      <w:r>
        <w:rPr>
          <w:rFonts w:hint="eastAsia" w:ascii="Times New Roman" w:hAnsi="Times New Roman" w:eastAsia="宋体" w:cs="Times New Roman"/>
          <w:b/>
          <w:color w:val="auto"/>
          <w:sz w:val="28"/>
          <w:szCs w:val="28"/>
          <w:highlight w:val="none"/>
          <w:lang w:eastAsia="zh-CN"/>
        </w:rPr>
        <w:t>工程</w:t>
      </w:r>
      <w:r>
        <w:rPr>
          <w:rFonts w:hint="eastAsia" w:ascii="Times New Roman" w:hAnsi="Times New Roman" w:eastAsia="宋体" w:cs="Times New Roman"/>
          <w:b/>
          <w:color w:val="auto"/>
          <w:sz w:val="28"/>
          <w:szCs w:val="28"/>
          <w:highlight w:val="none"/>
          <w:lang w:val="en-US" w:eastAsia="zh-CN"/>
        </w:rPr>
        <w:t>量清单（另附）</w:t>
      </w:r>
      <w:r>
        <w:rPr>
          <w:rFonts w:hint="eastAsia" w:ascii="Times New Roman" w:hAnsi="Times New Roman" w:eastAsia="宋体" w:cs="Times New Roman"/>
          <w:b/>
          <w:color w:val="auto"/>
          <w:sz w:val="28"/>
          <w:szCs w:val="28"/>
          <w:highlight w:val="none"/>
          <w:lang w:eastAsia="zh-CN"/>
        </w:rPr>
        <w:t xml:space="preserve"> </w:t>
      </w:r>
    </w:p>
    <w:p>
      <w:pPr>
        <w:adjustRightInd w:val="0"/>
        <w:snapToGrid w:val="0"/>
        <w:spacing w:line="440" w:lineRule="exact"/>
        <w:ind w:firstLine="420" w:firstLineChars="200"/>
        <w:jc w:val="center"/>
        <w:rPr>
          <w:rFonts w:hint="eastAsia" w:ascii="宋体" w:hAnsi="宋体"/>
          <w:color w:val="auto"/>
          <w:sz w:val="24"/>
          <w:highlight w:val="none"/>
        </w:rPr>
      </w:pPr>
      <w:r>
        <w:rPr>
          <w:rFonts w:hint="eastAsia" w:ascii="宋体" w:hAnsi="宋体" w:eastAsia="宋体" w:cs="宋体"/>
          <w:color w:val="auto"/>
          <w:sz w:val="21"/>
          <w:szCs w:val="21"/>
          <w:highlight w:val="none"/>
        </w:rPr>
        <w:br w:type="page"/>
      </w:r>
    </w:p>
    <w:p>
      <w:pPr>
        <w:adjustRightInd w:val="0"/>
        <w:snapToGrid w:val="0"/>
        <w:spacing w:line="440" w:lineRule="exact"/>
        <w:ind w:firstLine="480" w:firstLineChars="200"/>
        <w:jc w:val="center"/>
        <w:rPr>
          <w:rFonts w:hint="eastAsia" w:ascii="宋体" w:hAnsi="宋体"/>
          <w:color w:val="auto"/>
          <w:sz w:val="24"/>
          <w:highlight w:val="none"/>
        </w:rPr>
      </w:pPr>
    </w:p>
    <w:p>
      <w:pPr>
        <w:adjustRightInd w:val="0"/>
        <w:snapToGrid w:val="0"/>
        <w:spacing w:line="440" w:lineRule="exact"/>
        <w:ind w:firstLine="480" w:firstLineChars="200"/>
        <w:jc w:val="center"/>
        <w:rPr>
          <w:rFonts w:hint="eastAsia" w:ascii="宋体" w:hAnsi="宋体"/>
          <w:color w:val="auto"/>
          <w:sz w:val="24"/>
          <w:highlight w:val="none"/>
        </w:rPr>
      </w:pPr>
    </w:p>
    <w:p>
      <w:pPr>
        <w:spacing w:before="4800" w:beforeLines="2000"/>
        <w:jc w:val="center"/>
        <w:rPr>
          <w:rStyle w:val="20"/>
          <w:rFonts w:hint="eastAsia" w:eastAsia="宋体" w:cs="Times New Roman"/>
          <w:color w:val="auto"/>
          <w:highlight w:val="none"/>
        </w:rPr>
      </w:pPr>
      <w:bookmarkStart w:id="422" w:name="_Toc27056"/>
      <w:r>
        <w:rPr>
          <w:rStyle w:val="20"/>
          <w:rFonts w:hint="eastAsia" w:eastAsia="宋体" w:cs="Times New Roman"/>
          <w:color w:val="auto"/>
          <w:highlight w:val="none"/>
        </w:rPr>
        <w:t xml:space="preserve">第五章 </w:t>
      </w:r>
      <w:r>
        <w:rPr>
          <w:rStyle w:val="20"/>
          <w:rFonts w:hint="eastAsia" w:eastAsia="宋体" w:cs="Times New Roman"/>
          <w:color w:val="auto"/>
          <w:highlight w:val="none"/>
          <w:lang w:eastAsia="zh-CN"/>
        </w:rPr>
        <w:t>磋商响应文件</w:t>
      </w:r>
      <w:r>
        <w:rPr>
          <w:rStyle w:val="20"/>
          <w:rFonts w:hint="eastAsia" w:eastAsia="宋体" w:cs="Times New Roman"/>
          <w:color w:val="auto"/>
          <w:highlight w:val="none"/>
        </w:rPr>
        <w:t>格式</w:t>
      </w:r>
    </w:p>
    <w:bookmarkEnd w:id="422"/>
    <w:p>
      <w:pPr>
        <w:widowControl/>
        <w:spacing w:line="440" w:lineRule="exact"/>
        <w:jc w:val="center"/>
        <w:rPr>
          <w:rFonts w:hint="eastAsia" w:ascii="宋体"/>
          <w:color w:val="auto"/>
          <w:sz w:val="28"/>
          <w:szCs w:val="28"/>
          <w:highlight w:val="none"/>
          <w:u w:val="single"/>
        </w:rPr>
      </w:pPr>
      <w:bookmarkStart w:id="423" w:name="_Toc274816744"/>
      <w:bookmarkStart w:id="424" w:name="_Toc229198098"/>
    </w:p>
    <w:p>
      <w:pPr>
        <w:widowControl/>
        <w:spacing w:line="440" w:lineRule="exact"/>
        <w:jc w:val="center"/>
        <w:rPr>
          <w:rFonts w:hint="eastAsia" w:ascii="宋体"/>
          <w:color w:val="auto"/>
          <w:sz w:val="28"/>
          <w:szCs w:val="28"/>
          <w:highlight w:val="none"/>
          <w:u w:val="single"/>
        </w:rPr>
      </w:pPr>
    </w:p>
    <w:p>
      <w:pPr>
        <w:widowControl/>
        <w:spacing w:line="440" w:lineRule="exact"/>
        <w:jc w:val="center"/>
        <w:rPr>
          <w:rFonts w:hint="eastAsia" w:ascii="宋体"/>
          <w:color w:val="auto"/>
          <w:sz w:val="28"/>
          <w:szCs w:val="28"/>
          <w:highlight w:val="none"/>
          <w:u w:val="single"/>
        </w:rPr>
      </w:pPr>
    </w:p>
    <w:p>
      <w:pPr>
        <w:widowControl/>
        <w:spacing w:line="440" w:lineRule="exact"/>
        <w:jc w:val="center"/>
        <w:rPr>
          <w:rFonts w:hint="eastAsia" w:ascii="宋体"/>
          <w:color w:val="auto"/>
          <w:sz w:val="28"/>
          <w:szCs w:val="28"/>
          <w:highlight w:val="none"/>
          <w:u w:val="single"/>
        </w:rPr>
      </w:pPr>
    </w:p>
    <w:p>
      <w:pPr>
        <w:widowControl/>
        <w:spacing w:line="440" w:lineRule="exact"/>
        <w:jc w:val="center"/>
        <w:rPr>
          <w:rFonts w:hint="eastAsia" w:ascii="宋体"/>
          <w:color w:val="auto"/>
          <w:sz w:val="28"/>
          <w:szCs w:val="28"/>
          <w:highlight w:val="none"/>
          <w:u w:val="single"/>
        </w:rPr>
      </w:pPr>
    </w:p>
    <w:p>
      <w:pPr>
        <w:widowControl/>
        <w:spacing w:line="440" w:lineRule="exact"/>
        <w:jc w:val="center"/>
        <w:rPr>
          <w:rFonts w:hint="eastAsia" w:ascii="宋体"/>
          <w:color w:val="auto"/>
          <w:sz w:val="28"/>
          <w:szCs w:val="28"/>
          <w:highlight w:val="none"/>
          <w:u w:val="single"/>
        </w:rPr>
      </w:pPr>
    </w:p>
    <w:p>
      <w:pPr>
        <w:widowControl/>
        <w:spacing w:line="440" w:lineRule="exact"/>
        <w:jc w:val="center"/>
        <w:rPr>
          <w:rFonts w:hint="eastAsia" w:ascii="宋体"/>
          <w:color w:val="auto"/>
          <w:sz w:val="28"/>
          <w:szCs w:val="28"/>
          <w:highlight w:val="none"/>
          <w:u w:val="single"/>
        </w:rPr>
      </w:pPr>
    </w:p>
    <w:p>
      <w:pPr>
        <w:widowControl/>
        <w:spacing w:line="440" w:lineRule="exact"/>
        <w:jc w:val="center"/>
        <w:rPr>
          <w:rFonts w:hint="eastAsia" w:ascii="宋体"/>
          <w:color w:val="auto"/>
          <w:sz w:val="28"/>
          <w:szCs w:val="28"/>
          <w:highlight w:val="none"/>
          <w:u w:val="single"/>
        </w:rPr>
      </w:pPr>
    </w:p>
    <w:p>
      <w:pPr>
        <w:widowControl/>
        <w:spacing w:line="440" w:lineRule="exact"/>
        <w:jc w:val="center"/>
        <w:rPr>
          <w:rFonts w:hint="eastAsia" w:ascii="宋体"/>
          <w:color w:val="auto"/>
          <w:sz w:val="28"/>
          <w:szCs w:val="28"/>
          <w:highlight w:val="none"/>
          <w:u w:val="single"/>
        </w:rPr>
      </w:pPr>
    </w:p>
    <w:p>
      <w:pPr>
        <w:widowControl/>
        <w:spacing w:line="440" w:lineRule="exact"/>
        <w:jc w:val="center"/>
        <w:rPr>
          <w:rFonts w:hint="eastAsia" w:ascii="宋体"/>
          <w:color w:val="auto"/>
          <w:sz w:val="28"/>
          <w:szCs w:val="28"/>
          <w:highlight w:val="none"/>
          <w:u w:val="single"/>
        </w:rPr>
      </w:pPr>
    </w:p>
    <w:p>
      <w:pPr>
        <w:widowControl/>
        <w:spacing w:line="440" w:lineRule="exact"/>
        <w:jc w:val="center"/>
        <w:rPr>
          <w:rFonts w:hint="eastAsia" w:ascii="宋体"/>
          <w:color w:val="auto"/>
          <w:sz w:val="28"/>
          <w:szCs w:val="28"/>
          <w:highlight w:val="none"/>
          <w:u w:val="single"/>
        </w:rPr>
      </w:pPr>
    </w:p>
    <w:p>
      <w:pPr>
        <w:widowControl/>
        <w:spacing w:line="440" w:lineRule="exact"/>
        <w:jc w:val="center"/>
        <w:rPr>
          <w:rFonts w:hint="eastAsia" w:ascii="宋体"/>
          <w:color w:val="auto"/>
          <w:sz w:val="28"/>
          <w:szCs w:val="28"/>
          <w:highlight w:val="none"/>
          <w:u w:val="single"/>
        </w:rPr>
      </w:pPr>
    </w:p>
    <w:p>
      <w:pPr>
        <w:widowControl/>
        <w:spacing w:line="440" w:lineRule="exact"/>
        <w:jc w:val="center"/>
        <w:rPr>
          <w:rFonts w:hint="eastAsia" w:ascii="宋体"/>
          <w:color w:val="auto"/>
          <w:sz w:val="28"/>
          <w:szCs w:val="28"/>
          <w:highlight w:val="none"/>
          <w:u w:val="single"/>
        </w:rPr>
      </w:pPr>
    </w:p>
    <w:p>
      <w:pPr>
        <w:widowControl/>
        <w:spacing w:line="440" w:lineRule="exact"/>
        <w:jc w:val="center"/>
        <w:rPr>
          <w:rFonts w:hint="eastAsia" w:ascii="宋体"/>
          <w:color w:val="auto"/>
          <w:sz w:val="28"/>
          <w:szCs w:val="28"/>
          <w:highlight w:val="none"/>
          <w:u w:val="single"/>
        </w:rPr>
      </w:pPr>
    </w:p>
    <w:p>
      <w:pPr>
        <w:widowControl/>
        <w:spacing w:line="440" w:lineRule="exact"/>
        <w:jc w:val="center"/>
        <w:rPr>
          <w:rFonts w:hint="eastAsia" w:ascii="宋体"/>
          <w:color w:val="auto"/>
          <w:sz w:val="28"/>
          <w:szCs w:val="28"/>
          <w:highlight w:val="none"/>
          <w:u w:val="single"/>
        </w:rPr>
      </w:pPr>
    </w:p>
    <w:p>
      <w:pPr>
        <w:widowControl/>
        <w:spacing w:line="440" w:lineRule="exact"/>
        <w:jc w:val="center"/>
        <w:rPr>
          <w:rFonts w:hint="eastAsia" w:ascii="宋体"/>
          <w:color w:val="auto"/>
          <w:sz w:val="28"/>
          <w:szCs w:val="28"/>
          <w:highlight w:val="none"/>
          <w:u w:val="single"/>
        </w:rPr>
      </w:pPr>
    </w:p>
    <w:p>
      <w:pPr>
        <w:widowControl/>
        <w:spacing w:line="440" w:lineRule="exact"/>
        <w:jc w:val="center"/>
        <w:rPr>
          <w:rFonts w:hint="eastAsia" w:ascii="宋体"/>
          <w:color w:val="auto"/>
          <w:sz w:val="28"/>
          <w:szCs w:val="28"/>
          <w:highlight w:val="none"/>
          <w:u w:val="single"/>
        </w:rPr>
      </w:pPr>
    </w:p>
    <w:p>
      <w:pPr>
        <w:widowControl/>
        <w:spacing w:line="440" w:lineRule="exact"/>
        <w:jc w:val="center"/>
        <w:rPr>
          <w:rFonts w:ascii="宋体" w:hAnsi="宋体" w:cs="宋体"/>
          <w:b/>
          <w:color w:val="auto"/>
          <w:kern w:val="0"/>
          <w:sz w:val="32"/>
          <w:szCs w:val="32"/>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u w:val="single"/>
          <w:lang w:eastAsia="zh-CN"/>
        </w:rPr>
        <w:t>项目</w:t>
      </w:r>
      <w:r>
        <w:rPr>
          <w:rFonts w:hint="eastAsia" w:ascii="宋体"/>
          <w:color w:val="auto"/>
          <w:sz w:val="28"/>
          <w:szCs w:val="28"/>
          <w:highlight w:val="none"/>
          <w:u w:val="single"/>
        </w:rPr>
        <w:t xml:space="preserve">名称）             </w:t>
      </w:r>
      <w:r>
        <w:rPr>
          <w:rFonts w:hint="eastAsia" w:ascii="宋体" w:hAnsi="宋体" w:cs="宋体"/>
          <w:b/>
          <w:color w:val="auto"/>
          <w:kern w:val="0"/>
          <w:sz w:val="32"/>
          <w:szCs w:val="32"/>
          <w:highlight w:val="none"/>
        </w:rPr>
        <w:t>项目</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color w:val="auto"/>
          <w:sz w:val="28"/>
          <w:szCs w:val="28"/>
          <w:highlight w:val="none"/>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color w:val="auto"/>
          <w:sz w:val="28"/>
          <w:szCs w:val="28"/>
          <w:highlight w:val="none"/>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color w:val="auto"/>
          <w:sz w:val="28"/>
          <w:szCs w:val="28"/>
          <w:highlight w:val="none"/>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color w:val="auto"/>
          <w:sz w:val="20"/>
          <w:szCs w:val="20"/>
          <w:highlight w:val="none"/>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color w:val="auto"/>
          <w:sz w:val="20"/>
          <w:szCs w:val="20"/>
          <w:highlight w:val="none"/>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color w:val="auto"/>
          <w:sz w:val="20"/>
          <w:szCs w:val="20"/>
          <w:highlight w:val="none"/>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color w:val="auto"/>
          <w:sz w:val="20"/>
          <w:szCs w:val="20"/>
          <w:highlight w:val="none"/>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color w:val="auto"/>
          <w:sz w:val="20"/>
          <w:szCs w:val="20"/>
          <w:highlight w:val="none"/>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宋体"/>
          <w:b/>
          <w:bCs/>
          <w:color w:val="auto"/>
          <w:sz w:val="44"/>
          <w:szCs w:val="44"/>
          <w:highlight w:val="none"/>
        </w:rPr>
      </w:pPr>
      <w:bookmarkStart w:id="425" w:name="_Toc4985"/>
      <w:bookmarkStart w:id="426" w:name="_Toc18600"/>
      <w:bookmarkStart w:id="427" w:name="_Toc17105"/>
      <w:bookmarkStart w:id="428" w:name="_Toc3765"/>
      <w:bookmarkStart w:id="429" w:name="_Toc17512"/>
      <w:bookmarkStart w:id="430" w:name="_Toc5140"/>
      <w:bookmarkStart w:id="431" w:name="_Toc4127"/>
      <w:r>
        <w:rPr>
          <w:rFonts w:hint="eastAsia" w:ascii="宋体"/>
          <w:b/>
          <w:bCs/>
          <w:color w:val="auto"/>
          <w:sz w:val="44"/>
          <w:szCs w:val="44"/>
          <w:highlight w:val="none"/>
        </w:rPr>
        <w:t>投  标  文  件</w:t>
      </w:r>
      <w:bookmarkEnd w:id="425"/>
      <w:bookmarkEnd w:id="426"/>
      <w:bookmarkEnd w:id="427"/>
      <w:bookmarkEnd w:id="428"/>
      <w:bookmarkEnd w:id="429"/>
      <w:bookmarkEnd w:id="430"/>
      <w:bookmarkEnd w:id="431"/>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b/>
          <w:bCs/>
          <w:color w:val="auto"/>
          <w:sz w:val="28"/>
          <w:szCs w:val="28"/>
          <w:highlight w:val="none"/>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宋体"/>
          <w:color w:val="auto"/>
          <w:highlight w:val="none"/>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宋体"/>
          <w:bCs/>
          <w:color w:val="auto"/>
          <w:sz w:val="30"/>
          <w:szCs w:val="30"/>
          <w:highlight w:val="none"/>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宋体"/>
          <w:bCs/>
          <w:color w:val="auto"/>
          <w:sz w:val="30"/>
          <w:szCs w:val="30"/>
          <w:highlight w:val="none"/>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宋体"/>
          <w:bCs/>
          <w:color w:val="auto"/>
          <w:sz w:val="30"/>
          <w:szCs w:val="30"/>
          <w:highlight w:val="none"/>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宋体"/>
          <w:bCs/>
          <w:color w:val="auto"/>
          <w:sz w:val="30"/>
          <w:szCs w:val="30"/>
          <w:highlight w:val="none"/>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宋体"/>
          <w:bCs/>
          <w:color w:val="auto"/>
          <w:sz w:val="30"/>
          <w:szCs w:val="30"/>
          <w:highlight w:val="none"/>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宋体"/>
          <w:bCs/>
          <w:color w:val="auto"/>
          <w:sz w:val="30"/>
          <w:szCs w:val="30"/>
          <w:highlight w:val="none"/>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宋体"/>
          <w:bCs/>
          <w:color w:val="auto"/>
          <w:sz w:val="30"/>
          <w:szCs w:val="30"/>
          <w:highlight w:val="none"/>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宋体"/>
          <w:bCs/>
          <w:color w:val="auto"/>
          <w:sz w:val="30"/>
          <w:szCs w:val="30"/>
          <w:highlight w:val="none"/>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宋体"/>
          <w:bCs/>
          <w:color w:val="auto"/>
          <w:sz w:val="30"/>
          <w:szCs w:val="30"/>
          <w:highlight w:val="none"/>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宋体"/>
          <w:color w:val="auto"/>
          <w:sz w:val="28"/>
          <w:szCs w:val="28"/>
          <w:highlight w:val="none"/>
          <w:u w:val="single"/>
        </w:rPr>
      </w:pPr>
      <w:bookmarkStart w:id="432" w:name="_Toc27851"/>
      <w:bookmarkStart w:id="433" w:name="_Toc30788"/>
      <w:bookmarkStart w:id="434" w:name="_Toc23815"/>
      <w:bookmarkStart w:id="435" w:name="_Toc955"/>
      <w:bookmarkStart w:id="436" w:name="_Toc30292"/>
      <w:bookmarkStart w:id="437" w:name="_Toc19802"/>
      <w:bookmarkStart w:id="438" w:name="_Toc12817"/>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bookmarkEnd w:id="432"/>
      <w:bookmarkEnd w:id="433"/>
      <w:bookmarkEnd w:id="434"/>
      <w:bookmarkEnd w:id="435"/>
      <w:bookmarkEnd w:id="436"/>
      <w:bookmarkEnd w:id="437"/>
      <w:bookmarkEnd w:id="438"/>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宋体"/>
          <w:color w:val="auto"/>
          <w:sz w:val="28"/>
          <w:szCs w:val="28"/>
          <w:highlight w:val="none"/>
        </w:rPr>
      </w:pPr>
      <w:bookmarkStart w:id="439" w:name="_Toc32511"/>
      <w:bookmarkStart w:id="440" w:name="_Toc13042"/>
      <w:bookmarkStart w:id="441" w:name="_Toc8395"/>
      <w:bookmarkStart w:id="442" w:name="_Toc4401"/>
      <w:bookmarkStart w:id="443" w:name="_Toc1096"/>
      <w:bookmarkStart w:id="444" w:name="_Toc4269"/>
      <w:bookmarkStart w:id="445" w:name="_Toc5338"/>
      <w:r>
        <w:rPr>
          <w:rFonts w:hint="eastAsia" w:ascii="宋体"/>
          <w:color w:val="auto"/>
          <w:sz w:val="28"/>
          <w:szCs w:val="28"/>
          <w:highlight w:val="none"/>
        </w:rPr>
        <w:t>法定代表人或其委托代理人：</w:t>
      </w:r>
      <w:r>
        <w:rPr>
          <w:rFonts w:hint="eastAsia" w:ascii="宋体"/>
          <w:color w:val="auto"/>
          <w:sz w:val="28"/>
          <w:szCs w:val="28"/>
          <w:highlight w:val="none"/>
          <w:u w:val="single"/>
        </w:rPr>
        <w:t xml:space="preserve">                </w:t>
      </w:r>
      <w:r>
        <w:rPr>
          <w:rFonts w:hint="eastAsia" w:ascii="宋体"/>
          <w:color w:val="auto"/>
          <w:sz w:val="28"/>
          <w:szCs w:val="28"/>
          <w:highlight w:val="none"/>
        </w:rPr>
        <w:t>（签字）</w:t>
      </w:r>
      <w:bookmarkEnd w:id="439"/>
      <w:bookmarkEnd w:id="440"/>
      <w:bookmarkEnd w:id="441"/>
      <w:bookmarkEnd w:id="442"/>
      <w:bookmarkEnd w:id="443"/>
      <w:bookmarkEnd w:id="444"/>
      <w:bookmarkEnd w:id="445"/>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auto"/>
          <w:sz w:val="28"/>
          <w:szCs w:val="28"/>
          <w:highlight w:val="none"/>
        </w:rPr>
      </w:pPr>
      <w:r>
        <w:rPr>
          <w:rFonts w:hint="eastAsia"/>
          <w:color w:val="auto"/>
          <w:sz w:val="28"/>
          <w:szCs w:val="28"/>
          <w:highlight w:val="none"/>
        </w:rPr>
        <w:t xml:space="preserve">       </w:t>
      </w:r>
      <w:bookmarkStart w:id="446" w:name="_Toc14494"/>
      <w:bookmarkStart w:id="447" w:name="_Toc11973"/>
      <w:bookmarkStart w:id="448" w:name="_Toc14391"/>
      <w:bookmarkStart w:id="449" w:name="_Toc28537"/>
      <w:bookmarkStart w:id="450" w:name="_Toc19518"/>
      <w:bookmarkStart w:id="451" w:name="_Toc1600"/>
      <w:r>
        <w:rPr>
          <w:rFonts w:hint="eastAsia"/>
          <w:color w:val="auto"/>
          <w:sz w:val="28"/>
          <w:szCs w:val="28"/>
          <w:highlight w:val="none"/>
        </w:rPr>
        <w:t>年        月        日</w:t>
      </w:r>
      <w:bookmarkEnd w:id="446"/>
      <w:bookmarkEnd w:id="447"/>
      <w:bookmarkEnd w:id="448"/>
      <w:bookmarkEnd w:id="449"/>
      <w:bookmarkEnd w:id="450"/>
      <w:bookmarkEnd w:id="451"/>
    </w:p>
    <w:p>
      <w:pPr>
        <w:pStyle w:val="4"/>
        <w:jc w:val="center"/>
        <w:rPr>
          <w:rFonts w:hint="eastAsia"/>
          <w:bCs/>
          <w:color w:val="auto"/>
          <w:szCs w:val="32"/>
          <w:highlight w:val="none"/>
        </w:rPr>
      </w:pPr>
      <w:r>
        <w:rPr>
          <w:color w:val="auto"/>
          <w:highlight w:val="none"/>
        </w:rPr>
        <w:br w:type="page"/>
      </w:r>
      <w:bookmarkEnd w:id="423"/>
      <w:bookmarkEnd w:id="424"/>
      <w:bookmarkStart w:id="452" w:name="_Toc31652"/>
      <w:bookmarkStart w:id="453" w:name="_Toc385671123"/>
      <w:bookmarkStart w:id="454" w:name="_Toc19888"/>
      <w:bookmarkStart w:id="455" w:name="_Toc19306"/>
      <w:r>
        <w:rPr>
          <w:rFonts w:hint="eastAsia"/>
          <w:bCs/>
          <w:color w:val="auto"/>
          <w:szCs w:val="32"/>
          <w:highlight w:val="none"/>
          <w:lang w:eastAsia="zh-CN"/>
        </w:rPr>
        <w:t>一</w:t>
      </w:r>
      <w:r>
        <w:rPr>
          <w:rFonts w:hint="eastAsia"/>
          <w:bCs/>
          <w:color w:val="auto"/>
          <w:szCs w:val="32"/>
          <w:highlight w:val="none"/>
        </w:rPr>
        <w:t>、投标函</w:t>
      </w:r>
      <w:bookmarkEnd w:id="452"/>
      <w:bookmarkEnd w:id="453"/>
      <w:bookmarkEnd w:id="454"/>
      <w:bookmarkEnd w:id="455"/>
    </w:p>
    <w:p>
      <w:pPr>
        <w:adjustRightInd w:val="0"/>
        <w:snapToGrid w:val="0"/>
        <w:spacing w:before="120" w:beforeLines="50" w:line="336" w:lineRule="auto"/>
        <w:rPr>
          <w:rFonts w:hint="eastAsia"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(招标人)：</w:t>
      </w:r>
    </w:p>
    <w:p>
      <w:pPr>
        <w:adjustRightInd w:val="0"/>
        <w:snapToGrid w:val="0"/>
        <w:spacing w:before="120" w:beforeLines="50" w:line="360" w:lineRule="auto"/>
        <w:ind w:firstLine="435"/>
        <w:rPr>
          <w:rFonts w:hint="eastAsia" w:ascii="宋体" w:hAnsi="宋体"/>
          <w:color w:val="auto"/>
          <w:sz w:val="21"/>
          <w:szCs w:val="21"/>
          <w:highlight w:val="none"/>
        </w:rPr>
      </w:pP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根据贵方为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（项目名称）的要求，签字代表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（姓名、职务）经正式授权并代表投标人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（投标人名称、地址）提交下述文件正本</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份、副本</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份（电子版</w:t>
      </w:r>
      <w:r>
        <w:rPr>
          <w:rFonts w:hint="eastAsia" w:ascii="宋体" w:hAnsi="宋体"/>
          <w:color w:val="auto"/>
          <w:sz w:val="21"/>
          <w:szCs w:val="21"/>
          <w:highlight w:val="none"/>
          <w:lang w:eastAsia="zh-CN"/>
        </w:rPr>
        <w:t>磋商响应文件</w:t>
      </w:r>
      <w:r>
        <w:rPr>
          <w:rFonts w:hint="eastAsia" w:ascii="宋体" w:hAnsi="宋体"/>
          <w:color w:val="auto"/>
          <w:sz w:val="21"/>
          <w:szCs w:val="21"/>
          <w:highlight w:val="none"/>
        </w:rPr>
        <w:t>光盘</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份）</w:t>
      </w:r>
      <w:r>
        <w:rPr>
          <w:rFonts w:hint="eastAsia" w:ascii="宋体" w:hAnsi="宋体"/>
          <w:color w:val="auto"/>
          <w:sz w:val="21"/>
          <w:szCs w:val="21"/>
          <w:highlight w:val="none"/>
          <w:lang w:eastAsia="zh-CN"/>
        </w:rPr>
        <w:t>，我方愿意以人民币</w:t>
      </w:r>
      <w:r>
        <w:rPr>
          <w:rFonts w:hint="eastAsia" w:ascii="宋体" w:hAnsi="宋体"/>
          <w:color w:val="auto"/>
          <w:sz w:val="21"/>
          <w:szCs w:val="21"/>
          <w:highlight w:val="none"/>
          <w:u w:val="single"/>
          <w:lang w:eastAsia="zh-CN"/>
        </w:rPr>
        <w:t xml:space="preserve">（大写）         </w:t>
      </w:r>
      <w:r>
        <w:rPr>
          <w:rFonts w:hint="eastAsia" w:ascii="宋体" w:hAnsi="宋体"/>
          <w:color w:val="auto"/>
          <w:sz w:val="21"/>
          <w:szCs w:val="21"/>
          <w:highlight w:val="none"/>
          <w:lang w:eastAsia="zh-CN"/>
        </w:rPr>
        <w:t>元（¥</w:t>
      </w:r>
      <w:r>
        <w:rPr>
          <w:rFonts w:hint="eastAsia" w:ascii="宋体" w:hAnsi="宋体"/>
          <w:color w:val="auto"/>
          <w:sz w:val="21"/>
          <w:szCs w:val="21"/>
          <w:highlight w:val="none"/>
          <w:u w:val="single"/>
          <w:lang w:eastAsia="zh-CN"/>
        </w:rPr>
        <w:t xml:space="preserve">           </w:t>
      </w:r>
      <w:r>
        <w:rPr>
          <w:rFonts w:hint="eastAsia" w:ascii="宋体" w:hAnsi="宋体"/>
          <w:color w:val="auto"/>
          <w:sz w:val="21"/>
          <w:szCs w:val="21"/>
          <w:highlight w:val="none"/>
          <w:lang w:eastAsia="zh-CN"/>
        </w:rPr>
        <w:t>）的投标总报价，</w:t>
      </w:r>
      <w:r>
        <w:rPr>
          <w:rFonts w:hint="eastAsia" w:ascii="宋体" w:hAnsi="宋体"/>
          <w:color w:val="auto"/>
          <w:sz w:val="21"/>
          <w:szCs w:val="21"/>
          <w:highlight w:val="none"/>
          <w:lang w:val="en-US" w:eastAsia="zh-CN"/>
        </w:rPr>
        <w:t>工</w:t>
      </w:r>
      <w:r>
        <w:rPr>
          <w:rFonts w:hint="eastAsia" w:ascii="宋体" w:hAnsi="宋体"/>
          <w:color w:val="auto"/>
          <w:sz w:val="21"/>
          <w:szCs w:val="21"/>
          <w:highlight w:val="none"/>
          <w:lang w:eastAsia="zh-CN"/>
        </w:rPr>
        <w:t>期</w:t>
      </w:r>
      <w:r>
        <w:rPr>
          <w:rFonts w:hint="eastAsia" w:ascii="宋体" w:hAnsi="宋体"/>
          <w:color w:val="auto"/>
          <w:sz w:val="21"/>
          <w:szCs w:val="21"/>
          <w:highlight w:val="none"/>
          <w:u w:val="single"/>
          <w:lang w:eastAsia="zh-CN"/>
        </w:rPr>
        <w:t xml:space="preserve">          </w:t>
      </w:r>
      <w:r>
        <w:rPr>
          <w:rFonts w:hint="eastAsia" w:ascii="宋体" w:hAnsi="宋体"/>
          <w:color w:val="auto"/>
          <w:sz w:val="21"/>
          <w:szCs w:val="21"/>
          <w:highlight w:val="none"/>
          <w:lang w:eastAsia="zh-CN"/>
        </w:rPr>
        <w:t xml:space="preserve"> 日历天，按合同约定实施和完成承包工程，修补工程中的任何缺陷，质量达到</w:t>
      </w:r>
      <w:r>
        <w:rPr>
          <w:rFonts w:hint="eastAsia" w:ascii="宋体" w:hAnsi="宋体"/>
          <w:color w:val="auto"/>
          <w:sz w:val="21"/>
          <w:szCs w:val="21"/>
          <w:highlight w:val="none"/>
          <w:u w:val="single"/>
          <w:lang w:eastAsia="zh-CN"/>
        </w:rPr>
        <w:t xml:space="preserve">           </w:t>
      </w:r>
      <w:r>
        <w:rPr>
          <w:rFonts w:hint="eastAsia" w:ascii="宋体" w:hAnsi="宋体"/>
          <w:color w:val="auto"/>
          <w:sz w:val="21"/>
          <w:szCs w:val="21"/>
          <w:highlight w:val="none"/>
          <w:lang w:eastAsia="zh-CN"/>
        </w:rPr>
        <w:t xml:space="preserve"> 。</w:t>
      </w:r>
      <w:r>
        <w:rPr>
          <w:rFonts w:hint="eastAsia" w:ascii="宋体" w:hAnsi="宋体"/>
          <w:color w:val="auto"/>
          <w:sz w:val="21"/>
          <w:szCs w:val="21"/>
          <w:highlight w:val="none"/>
        </w:rPr>
        <w:t>并在此声明，所递交的</w:t>
      </w:r>
      <w:r>
        <w:rPr>
          <w:rFonts w:hint="eastAsia" w:ascii="宋体" w:hAnsi="宋体"/>
          <w:color w:val="auto"/>
          <w:sz w:val="21"/>
          <w:szCs w:val="21"/>
          <w:highlight w:val="none"/>
          <w:lang w:eastAsia="zh-CN"/>
        </w:rPr>
        <w:t>磋商响应文件</w:t>
      </w:r>
      <w:r>
        <w:rPr>
          <w:rFonts w:hint="eastAsia" w:ascii="宋体" w:hAnsi="宋体"/>
          <w:color w:val="auto"/>
          <w:sz w:val="21"/>
          <w:szCs w:val="21"/>
          <w:highlight w:val="none"/>
        </w:rPr>
        <w:t>内容完整、真实。</w:t>
      </w:r>
    </w:p>
    <w:p>
      <w:pPr>
        <w:adjustRightInd w:val="0"/>
        <w:snapToGrid w:val="0"/>
        <w:spacing w:before="120" w:beforeLines="50" w:line="336"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在此，签字代表承诺如下：</w:t>
      </w:r>
    </w:p>
    <w:p>
      <w:pPr>
        <w:adjustRightInd w:val="0"/>
        <w:snapToGrid w:val="0"/>
        <w:spacing w:before="120" w:beforeLines="50" w:line="336"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（1）我方承诺在收到中标通知书后，在中标通知书规定的期限内与你方签订合同。</w:t>
      </w:r>
    </w:p>
    <w:p>
      <w:pPr>
        <w:adjustRightInd w:val="0"/>
        <w:snapToGrid w:val="0"/>
        <w:spacing w:before="120" w:beforeLines="50" w:line="336"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（2）随同本投标函递交的投标函附录属于合同文件的组成部分。</w:t>
      </w:r>
    </w:p>
    <w:p>
      <w:pPr>
        <w:adjustRightInd w:val="0"/>
        <w:snapToGrid w:val="0"/>
        <w:spacing w:before="120" w:beforeLines="50" w:line="336"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（3）我方承诺按照招标文件规定向你方递交履约担保。</w:t>
      </w:r>
    </w:p>
    <w:p>
      <w:pPr>
        <w:adjustRightInd w:val="0"/>
        <w:snapToGrid w:val="0"/>
        <w:spacing w:before="120" w:beforeLines="50" w:line="336"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（4）我方承诺在合同约定的期限内完成并移交全部合同工程。</w:t>
      </w:r>
    </w:p>
    <w:p>
      <w:pPr>
        <w:adjustRightInd w:val="0"/>
        <w:snapToGrid w:val="0"/>
        <w:spacing w:before="120" w:beforeLines="50" w:line="336"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本投标有效期为自</w:t>
      </w:r>
      <w:r>
        <w:rPr>
          <w:rFonts w:hint="eastAsia" w:ascii="宋体" w:hAnsi="宋体"/>
          <w:color w:val="auto"/>
          <w:sz w:val="21"/>
          <w:szCs w:val="21"/>
          <w:highlight w:val="none"/>
          <w:lang w:eastAsia="zh-CN"/>
        </w:rPr>
        <w:t>磋商文件</w:t>
      </w:r>
      <w:r>
        <w:rPr>
          <w:rFonts w:hint="eastAsia" w:ascii="宋体" w:hAnsi="宋体"/>
          <w:color w:val="auto"/>
          <w:sz w:val="21"/>
          <w:szCs w:val="21"/>
          <w:highlight w:val="none"/>
        </w:rPr>
        <w:t>规定的提交</w:t>
      </w:r>
      <w:r>
        <w:rPr>
          <w:rFonts w:hint="eastAsia" w:ascii="宋体" w:hAnsi="宋体"/>
          <w:color w:val="auto"/>
          <w:sz w:val="21"/>
          <w:szCs w:val="21"/>
          <w:highlight w:val="none"/>
          <w:lang w:eastAsia="zh-CN"/>
        </w:rPr>
        <w:t>磋商响应文件</w:t>
      </w:r>
      <w:r>
        <w:rPr>
          <w:rFonts w:hint="eastAsia" w:ascii="宋体" w:hAnsi="宋体"/>
          <w:color w:val="auto"/>
          <w:sz w:val="21"/>
          <w:szCs w:val="21"/>
          <w:highlight w:val="none"/>
        </w:rPr>
        <w:t>截止之日起</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个日历天。在投标有效期内我方同意遵守本</w:t>
      </w:r>
      <w:r>
        <w:rPr>
          <w:rFonts w:hint="eastAsia" w:ascii="宋体" w:hAnsi="宋体"/>
          <w:color w:val="auto"/>
          <w:sz w:val="21"/>
          <w:szCs w:val="21"/>
          <w:highlight w:val="none"/>
          <w:lang w:eastAsia="zh-CN"/>
        </w:rPr>
        <w:t>磋商响应文件</w:t>
      </w:r>
      <w:r>
        <w:rPr>
          <w:rFonts w:hint="eastAsia" w:ascii="宋体" w:hAnsi="宋体"/>
          <w:color w:val="auto"/>
          <w:sz w:val="21"/>
          <w:szCs w:val="21"/>
          <w:highlight w:val="none"/>
        </w:rPr>
        <w:t>中的承诺且在此期限期满之前</w:t>
      </w:r>
      <w:r>
        <w:rPr>
          <w:rFonts w:hint="eastAsia" w:ascii="宋体" w:hAnsi="宋体"/>
          <w:color w:val="auto"/>
          <w:sz w:val="21"/>
          <w:szCs w:val="21"/>
          <w:highlight w:val="none"/>
          <w:lang w:eastAsia="zh-CN"/>
        </w:rPr>
        <w:t>磋商响应文件</w:t>
      </w:r>
      <w:r>
        <w:rPr>
          <w:rFonts w:hint="eastAsia" w:ascii="宋体" w:hAnsi="宋体"/>
          <w:color w:val="auto"/>
          <w:sz w:val="21"/>
          <w:szCs w:val="21"/>
          <w:highlight w:val="none"/>
        </w:rPr>
        <w:t>对我方具有法律约束力。</w:t>
      </w:r>
    </w:p>
    <w:p>
      <w:pPr>
        <w:adjustRightInd w:val="0"/>
        <w:snapToGrid w:val="0"/>
        <w:spacing w:before="120" w:beforeLines="50" w:line="336"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若我方取得中标资格，愿以本项目</w:t>
      </w:r>
      <w:r>
        <w:rPr>
          <w:rFonts w:hint="eastAsia" w:ascii="宋体" w:hAnsi="宋体"/>
          <w:color w:val="auto"/>
          <w:sz w:val="21"/>
          <w:szCs w:val="21"/>
          <w:highlight w:val="none"/>
          <w:lang w:eastAsia="zh-CN"/>
        </w:rPr>
        <w:t>磋商文件</w:t>
      </w:r>
      <w:r>
        <w:rPr>
          <w:rFonts w:hint="eastAsia" w:ascii="宋体" w:hAnsi="宋体"/>
          <w:color w:val="auto"/>
          <w:sz w:val="21"/>
          <w:szCs w:val="21"/>
          <w:highlight w:val="none"/>
        </w:rPr>
        <w:t>规定，向招标代理机构缴纳招标代理服务费</w:t>
      </w:r>
      <w:r>
        <w:rPr>
          <w:rFonts w:ascii="宋体" w:hAnsi="宋体"/>
          <w:color w:val="auto"/>
          <w:sz w:val="21"/>
          <w:szCs w:val="21"/>
          <w:highlight w:val="none"/>
        </w:rPr>
        <w:t>。</w:t>
      </w:r>
    </w:p>
    <w:p>
      <w:pPr>
        <w:adjustRightInd w:val="0"/>
        <w:snapToGrid w:val="0"/>
        <w:spacing w:before="120" w:beforeLines="50" w:line="336"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我方同意提供贵方可能要求的与其投标有关的一切数据或资料。</w:t>
      </w:r>
    </w:p>
    <w:p>
      <w:pPr>
        <w:adjustRightInd w:val="0"/>
        <w:snapToGrid w:val="0"/>
        <w:spacing w:before="120" w:beforeLines="50" w:line="336"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与本投标有关的一切正式往来信函请寄：</w:t>
      </w:r>
    </w:p>
    <w:p>
      <w:pPr>
        <w:adjustRightInd w:val="0"/>
        <w:snapToGrid w:val="0"/>
        <w:spacing w:before="120" w:beforeLines="50" w:line="336" w:lineRule="auto"/>
        <w:rPr>
          <w:rFonts w:hint="eastAsia" w:ascii="宋体" w:hAnsi="宋体"/>
          <w:color w:val="auto"/>
          <w:sz w:val="21"/>
          <w:szCs w:val="21"/>
          <w:highlight w:val="none"/>
        </w:rPr>
      </w:pPr>
      <w:r>
        <w:rPr>
          <w:rFonts w:hint="eastAsia" w:ascii="宋体" w:hAnsi="宋体"/>
          <w:color w:val="auto"/>
          <w:sz w:val="21"/>
          <w:szCs w:val="21"/>
          <w:highlight w:val="none"/>
        </w:rPr>
        <w:t xml:space="preserve">       地址：</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邮编：</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电话：</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传真：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pPr>
        <w:pStyle w:val="7"/>
        <w:adjustRightInd w:val="0"/>
        <w:snapToGrid w:val="0"/>
        <w:spacing w:before="120" w:beforeLines="50" w:line="336" w:lineRule="auto"/>
        <w:ind w:left="2108" w:leftChars="1004"/>
        <w:rPr>
          <w:rFonts w:hint="eastAsia" w:hAnsi="宋体"/>
          <w:color w:val="auto"/>
          <w:sz w:val="21"/>
          <w:szCs w:val="21"/>
          <w:highlight w:val="none"/>
        </w:rPr>
      </w:pPr>
    </w:p>
    <w:p>
      <w:pPr>
        <w:pStyle w:val="7"/>
        <w:adjustRightInd w:val="0"/>
        <w:snapToGrid w:val="0"/>
        <w:spacing w:before="120" w:beforeLines="50" w:line="336" w:lineRule="auto"/>
        <w:ind w:left="2108" w:leftChars="1004"/>
        <w:rPr>
          <w:rFonts w:hint="eastAsia" w:hAnsi="宋体"/>
          <w:color w:val="auto"/>
          <w:sz w:val="21"/>
          <w:szCs w:val="21"/>
          <w:highlight w:val="none"/>
          <w:u w:val="single"/>
        </w:rPr>
      </w:pPr>
      <w:r>
        <w:rPr>
          <w:rFonts w:hint="eastAsia" w:hAnsi="宋体"/>
          <w:color w:val="auto"/>
          <w:sz w:val="21"/>
          <w:szCs w:val="21"/>
          <w:highlight w:val="none"/>
        </w:rPr>
        <w:t>投标人名称(盖公章)：</w:t>
      </w:r>
      <w:r>
        <w:rPr>
          <w:rFonts w:hint="eastAsia" w:hAnsi="宋体"/>
          <w:color w:val="auto"/>
          <w:sz w:val="21"/>
          <w:szCs w:val="21"/>
          <w:highlight w:val="none"/>
          <w:u w:val="single"/>
        </w:rPr>
        <w:t xml:space="preserve">                            </w:t>
      </w:r>
    </w:p>
    <w:p>
      <w:pPr>
        <w:adjustRightInd w:val="0"/>
        <w:snapToGrid w:val="0"/>
        <w:spacing w:before="120" w:beforeLines="50" w:line="336" w:lineRule="auto"/>
        <w:ind w:left="2108" w:leftChars="1004"/>
        <w:rPr>
          <w:rFonts w:hint="eastAsia" w:ascii="宋体" w:hAnsi="宋体"/>
          <w:color w:val="auto"/>
          <w:sz w:val="21"/>
          <w:szCs w:val="21"/>
          <w:highlight w:val="none"/>
          <w:u w:val="single"/>
        </w:rPr>
      </w:pPr>
      <w:r>
        <w:rPr>
          <w:rFonts w:hint="eastAsia" w:ascii="宋体" w:hAnsi="宋体"/>
          <w:color w:val="auto"/>
          <w:sz w:val="21"/>
          <w:szCs w:val="21"/>
          <w:highlight w:val="none"/>
        </w:rPr>
        <w:t>法定代表人或其授权的代理人(签字)：</w:t>
      </w:r>
      <w:r>
        <w:rPr>
          <w:rFonts w:hint="eastAsia" w:ascii="宋体" w:hAnsi="宋体"/>
          <w:color w:val="auto"/>
          <w:sz w:val="21"/>
          <w:szCs w:val="21"/>
          <w:highlight w:val="none"/>
          <w:u w:val="single"/>
        </w:rPr>
        <w:t xml:space="preserve">               </w:t>
      </w:r>
    </w:p>
    <w:p>
      <w:pPr>
        <w:adjustRightInd w:val="0"/>
        <w:snapToGrid w:val="0"/>
        <w:spacing w:before="120" w:beforeLines="50" w:line="336" w:lineRule="auto"/>
        <w:ind w:left="2108" w:leftChars="1004"/>
        <w:rPr>
          <w:rFonts w:hint="eastAsia"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adjustRightInd w:val="0"/>
        <w:snapToGrid w:val="0"/>
        <w:spacing w:before="120" w:beforeLines="50"/>
        <w:ind w:left="-88" w:leftChars="-42"/>
        <w:rPr>
          <w:rFonts w:hint="eastAsia" w:ascii="宋体" w:hAnsi="宋体"/>
          <w:color w:val="auto"/>
          <w:sz w:val="21"/>
          <w:szCs w:val="21"/>
          <w:highlight w:val="none"/>
        </w:rPr>
      </w:pPr>
    </w:p>
    <w:p>
      <w:pPr>
        <w:jc w:val="center"/>
        <w:rPr>
          <w:rFonts w:hint="eastAsia"/>
          <w:color w:val="auto"/>
          <w:highlight w:val="none"/>
        </w:rPr>
      </w:pPr>
      <w:bookmarkStart w:id="456" w:name="_Toc385671124"/>
    </w:p>
    <w:p>
      <w:pPr>
        <w:pStyle w:val="4"/>
        <w:spacing w:before="0" w:after="0"/>
        <w:jc w:val="both"/>
        <w:rPr>
          <w:rFonts w:hint="eastAsia" w:ascii="宋体" w:hAnsi="宋体" w:eastAsia="宋体"/>
          <w:color w:val="auto"/>
          <w:spacing w:val="10"/>
          <w:sz w:val="24"/>
          <w:highlight w:val="none"/>
        </w:rPr>
        <w:sectPr>
          <w:headerReference r:id="rId5" w:type="default"/>
          <w:footerReference r:id="rId6" w:type="default"/>
          <w:pgSz w:w="11906" w:h="16838"/>
          <w:pgMar w:top="1418" w:right="1134" w:bottom="1418" w:left="1247" w:header="851" w:footer="992" w:gutter="0"/>
          <w:pgNumType w:fmt="numberInDash" w:start="1"/>
          <w:cols w:space="720" w:num="1"/>
          <w:docGrid w:linePitch="312" w:charSpace="0"/>
        </w:sectPr>
      </w:pPr>
      <w:bookmarkStart w:id="457" w:name="_Toc327439494"/>
    </w:p>
    <w:bookmarkEnd w:id="457"/>
    <w:p>
      <w:pPr>
        <w:pStyle w:val="4"/>
        <w:rPr>
          <w:rFonts w:hint="eastAsia"/>
          <w:color w:val="auto"/>
          <w:highlight w:val="none"/>
        </w:rPr>
      </w:pPr>
      <w:bookmarkStart w:id="458" w:name="_Toc30241"/>
      <w:bookmarkStart w:id="459" w:name="_Toc16831"/>
      <w:bookmarkStart w:id="460" w:name="_Toc21787"/>
      <w:r>
        <w:rPr>
          <w:rFonts w:hint="eastAsia"/>
          <w:color w:val="auto"/>
          <w:highlight w:val="none"/>
          <w:lang w:eastAsia="zh-CN"/>
        </w:rPr>
        <w:t>二</w:t>
      </w:r>
      <w:r>
        <w:rPr>
          <w:rFonts w:hint="eastAsia"/>
          <w:color w:val="auto"/>
          <w:highlight w:val="none"/>
        </w:rPr>
        <w:t>、投标报价一览表</w:t>
      </w:r>
      <w:bookmarkEnd w:id="456"/>
      <w:bookmarkEnd w:id="458"/>
      <w:bookmarkEnd w:id="459"/>
      <w:bookmarkEnd w:id="460"/>
    </w:p>
    <w:p>
      <w:pPr>
        <w:adjustRightInd w:val="0"/>
        <w:snapToGrid w:val="0"/>
        <w:ind w:left="-88" w:leftChars="-42"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项目名称：</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r>
        <w:rPr>
          <w:rFonts w:hint="eastAsia" w:ascii="宋体" w:hAnsi="宋体"/>
          <w:color w:val="auto"/>
          <w:sz w:val="21"/>
          <w:szCs w:val="21"/>
          <w:highlight w:val="none"/>
          <w:lang w:eastAsia="zh-CN"/>
        </w:rPr>
        <w:t>项目</w:t>
      </w:r>
      <w:r>
        <w:rPr>
          <w:rFonts w:hint="eastAsia" w:ascii="宋体" w:hAnsi="宋体"/>
          <w:color w:val="auto"/>
          <w:sz w:val="21"/>
          <w:szCs w:val="21"/>
          <w:highlight w:val="none"/>
        </w:rPr>
        <w:t>编号：</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pPr>
        <w:adjustRightInd w:val="0"/>
        <w:snapToGrid w:val="0"/>
        <w:ind w:left="-88" w:leftChars="-42" w:firstLine="420" w:firstLineChars="200"/>
        <w:jc w:val="right"/>
        <w:rPr>
          <w:rFonts w:hint="eastAsia" w:ascii="宋体" w:hAnsi="宋体"/>
          <w:color w:val="auto"/>
          <w:sz w:val="21"/>
          <w:szCs w:val="21"/>
          <w:highlight w:val="none"/>
        </w:rPr>
      </w:pPr>
      <w:r>
        <w:rPr>
          <w:rFonts w:hint="eastAsia" w:ascii="宋体" w:hAnsi="宋体"/>
          <w:color w:val="auto"/>
          <w:sz w:val="21"/>
          <w:szCs w:val="21"/>
          <w:highlight w:val="none"/>
        </w:rPr>
        <w:t xml:space="preserve">金额单位：人民币元 </w:t>
      </w:r>
    </w:p>
    <w:tbl>
      <w:tblPr>
        <w:tblStyle w:val="15"/>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406"/>
        <w:gridCol w:w="2519"/>
        <w:gridCol w:w="2307"/>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52" w:hRule="atLeast"/>
          <w:jc w:val="center"/>
        </w:trPr>
        <w:tc>
          <w:tcPr>
            <w:tcW w:w="24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项目名称</w:t>
            </w:r>
          </w:p>
        </w:tc>
        <w:tc>
          <w:tcPr>
            <w:tcW w:w="25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投标报价（元）</w:t>
            </w:r>
          </w:p>
        </w:tc>
        <w:tc>
          <w:tcPr>
            <w:tcW w:w="230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工</w:t>
            </w:r>
            <w:r>
              <w:rPr>
                <w:rFonts w:hint="eastAsia" w:ascii="宋体" w:hAnsi="宋体" w:eastAsia="宋体" w:cs="宋体"/>
                <w:color w:val="auto"/>
                <w:sz w:val="24"/>
                <w:szCs w:val="24"/>
                <w:highlight w:val="none"/>
                <w:lang w:eastAsia="zh-CN"/>
              </w:rPr>
              <w:t>期（日历天）</w:t>
            </w:r>
          </w:p>
        </w:tc>
        <w:tc>
          <w:tcPr>
            <w:tcW w:w="230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质量目标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39" w:hRule="atLeast"/>
          <w:jc w:val="center"/>
        </w:trPr>
        <w:tc>
          <w:tcPr>
            <w:tcW w:w="24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color w:val="auto"/>
                <w:sz w:val="24"/>
                <w:szCs w:val="24"/>
                <w:highlight w:val="none"/>
              </w:rPr>
            </w:pPr>
          </w:p>
        </w:tc>
        <w:tc>
          <w:tcPr>
            <w:tcW w:w="25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p>
        </w:tc>
        <w:tc>
          <w:tcPr>
            <w:tcW w:w="230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color w:val="auto"/>
                <w:sz w:val="24"/>
                <w:szCs w:val="24"/>
                <w:highlight w:val="none"/>
              </w:rPr>
            </w:pPr>
          </w:p>
        </w:tc>
        <w:tc>
          <w:tcPr>
            <w:tcW w:w="230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color w:val="auto"/>
                <w:sz w:val="24"/>
                <w:szCs w:val="24"/>
                <w:highlight w:val="none"/>
              </w:rPr>
            </w:pPr>
          </w:p>
        </w:tc>
      </w:tr>
    </w:tbl>
    <w:p>
      <w:pPr>
        <w:adjustRightInd w:val="0"/>
        <w:snapToGrid w:val="0"/>
        <w:ind w:left="6697" w:leftChars="3189"/>
        <w:rPr>
          <w:rFonts w:hint="eastAsia" w:ascii="宋体" w:hAnsi="宋体"/>
          <w:color w:val="auto"/>
          <w:sz w:val="21"/>
          <w:szCs w:val="21"/>
          <w:highlight w:val="none"/>
        </w:rPr>
      </w:pPr>
    </w:p>
    <w:p>
      <w:pPr>
        <w:adjustRightInd w:val="0"/>
        <w:snapToGrid w:val="0"/>
        <w:ind w:left="6697" w:leftChars="3189"/>
        <w:rPr>
          <w:rFonts w:hint="eastAsia" w:ascii="宋体" w:hAnsi="宋体"/>
          <w:color w:val="auto"/>
          <w:sz w:val="21"/>
          <w:szCs w:val="21"/>
          <w:highlight w:val="none"/>
        </w:rPr>
      </w:pPr>
    </w:p>
    <w:p>
      <w:pPr>
        <w:adjustRightInd w:val="0"/>
        <w:snapToGrid w:val="0"/>
        <w:ind w:firstLine="2730" w:firstLineChars="1300"/>
        <w:rPr>
          <w:rFonts w:hint="eastAsia" w:ascii="宋体" w:hAnsi="宋体"/>
          <w:color w:val="auto"/>
          <w:sz w:val="21"/>
          <w:szCs w:val="21"/>
          <w:highlight w:val="none"/>
          <w:u w:val="single"/>
        </w:rPr>
      </w:pPr>
      <w:r>
        <w:rPr>
          <w:rFonts w:hint="eastAsia" w:ascii="宋体" w:hAnsi="宋体"/>
          <w:color w:val="auto"/>
          <w:sz w:val="21"/>
          <w:szCs w:val="21"/>
          <w:highlight w:val="none"/>
        </w:rPr>
        <w:t>投标人名称（盖公章）：</w:t>
      </w:r>
      <w:r>
        <w:rPr>
          <w:rFonts w:hint="eastAsia" w:ascii="宋体" w:hAnsi="宋体"/>
          <w:color w:val="auto"/>
          <w:sz w:val="21"/>
          <w:szCs w:val="21"/>
          <w:highlight w:val="none"/>
          <w:u w:val="single"/>
        </w:rPr>
        <w:t xml:space="preserve">                         </w:t>
      </w:r>
    </w:p>
    <w:p>
      <w:pPr>
        <w:adjustRightInd w:val="0"/>
        <w:snapToGrid w:val="0"/>
        <w:ind w:left="6697" w:leftChars="3189"/>
        <w:rPr>
          <w:rFonts w:hint="eastAsia" w:ascii="宋体" w:hAnsi="宋体"/>
          <w:color w:val="auto"/>
          <w:sz w:val="21"/>
          <w:szCs w:val="21"/>
          <w:highlight w:val="none"/>
        </w:rPr>
      </w:pPr>
    </w:p>
    <w:p>
      <w:pPr>
        <w:adjustRightInd w:val="0"/>
        <w:snapToGrid w:val="0"/>
        <w:ind w:firstLine="2730" w:firstLineChars="1300"/>
        <w:rPr>
          <w:rFonts w:hint="eastAsia" w:ascii="宋体" w:hAnsi="宋体"/>
          <w:color w:val="auto"/>
          <w:sz w:val="21"/>
          <w:szCs w:val="21"/>
          <w:highlight w:val="none"/>
          <w:u w:val="single"/>
        </w:rPr>
      </w:pPr>
      <w:r>
        <w:rPr>
          <w:rFonts w:hint="eastAsia" w:ascii="宋体" w:hAnsi="宋体"/>
          <w:color w:val="auto"/>
          <w:sz w:val="21"/>
          <w:szCs w:val="21"/>
          <w:highlight w:val="none"/>
        </w:rPr>
        <w:t>法定代表人或其授权的代理人(签字)：</w:t>
      </w:r>
      <w:r>
        <w:rPr>
          <w:rFonts w:hint="eastAsia" w:ascii="宋体" w:hAnsi="宋体"/>
          <w:color w:val="auto"/>
          <w:sz w:val="21"/>
          <w:szCs w:val="21"/>
          <w:highlight w:val="none"/>
          <w:u w:val="single"/>
        </w:rPr>
        <w:t xml:space="preserve">            </w:t>
      </w:r>
    </w:p>
    <w:p>
      <w:pPr>
        <w:adjustRightInd w:val="0"/>
        <w:snapToGrid w:val="0"/>
        <w:ind w:left="6697" w:leftChars="3189"/>
        <w:rPr>
          <w:rFonts w:hint="eastAsia" w:ascii="宋体" w:hAnsi="宋体"/>
          <w:color w:val="auto"/>
          <w:sz w:val="21"/>
          <w:szCs w:val="21"/>
          <w:highlight w:val="none"/>
        </w:rPr>
      </w:pPr>
      <w:r>
        <w:rPr>
          <w:rFonts w:hint="eastAsia" w:ascii="宋体" w:hAnsi="宋体"/>
          <w:color w:val="auto"/>
          <w:sz w:val="21"/>
          <w:szCs w:val="21"/>
          <w:highlight w:val="none"/>
        </w:rPr>
        <w:t xml:space="preserve">            </w:t>
      </w:r>
    </w:p>
    <w:p>
      <w:pPr>
        <w:adjustRightInd w:val="0"/>
        <w:snapToGrid w:val="0"/>
        <w:ind w:firstLine="2730" w:firstLineChars="1300"/>
        <w:rPr>
          <w:rFonts w:hint="eastAsia" w:ascii="宋体" w:hAnsi="宋体"/>
          <w:color w:val="auto"/>
          <w:sz w:val="21"/>
          <w:szCs w:val="21"/>
          <w:highlight w:val="none"/>
        </w:rPr>
      </w:pPr>
      <w:r>
        <w:rPr>
          <w:rFonts w:hint="eastAsia" w:ascii="宋体" w:hAnsi="宋体"/>
          <w:color w:val="auto"/>
          <w:sz w:val="21"/>
          <w:szCs w:val="21"/>
          <w:highlight w:val="none"/>
        </w:rPr>
        <w:t>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adjustRightInd w:val="0"/>
        <w:snapToGrid w:val="0"/>
        <w:spacing w:line="288" w:lineRule="auto"/>
        <w:ind w:left="425"/>
        <w:jc w:val="left"/>
        <w:rPr>
          <w:rFonts w:ascii="宋体" w:hAnsi="宋体"/>
          <w:b/>
          <w:color w:val="auto"/>
          <w:sz w:val="18"/>
          <w:szCs w:val="18"/>
          <w:highlight w:val="none"/>
        </w:rPr>
      </w:pPr>
      <w:r>
        <w:rPr>
          <w:rFonts w:hint="eastAsia" w:ascii="宋体" w:hAnsi="宋体"/>
          <w:b/>
          <w:color w:val="auto"/>
          <w:sz w:val="18"/>
          <w:szCs w:val="18"/>
          <w:highlight w:val="none"/>
        </w:rPr>
        <w:t>说明：</w:t>
      </w:r>
    </w:p>
    <w:p>
      <w:pPr>
        <w:adjustRightInd w:val="0"/>
        <w:snapToGrid w:val="0"/>
        <w:spacing w:line="288" w:lineRule="auto"/>
        <w:ind w:left="425"/>
        <w:jc w:val="left"/>
        <w:rPr>
          <w:b/>
          <w:color w:val="auto"/>
          <w:sz w:val="18"/>
          <w:szCs w:val="18"/>
          <w:highlight w:val="none"/>
        </w:rPr>
      </w:pPr>
      <w:r>
        <w:rPr>
          <w:rFonts w:hint="eastAsia"/>
          <w:b/>
          <w:color w:val="auto"/>
          <w:sz w:val="18"/>
          <w:szCs w:val="18"/>
          <w:highlight w:val="none"/>
        </w:rPr>
        <w:t>1、请严格按此“投标报价一览表”格式填写，投标人报价时应详细阅读招标文件报价要求并自行考虑市场风险以及价格合理性。</w:t>
      </w:r>
    </w:p>
    <w:p>
      <w:pPr>
        <w:adjustRightInd w:val="0"/>
        <w:snapToGrid w:val="0"/>
        <w:spacing w:line="288" w:lineRule="auto"/>
        <w:ind w:left="425"/>
        <w:jc w:val="left"/>
        <w:rPr>
          <w:b/>
          <w:color w:val="auto"/>
          <w:sz w:val="18"/>
          <w:szCs w:val="18"/>
          <w:highlight w:val="none"/>
        </w:rPr>
      </w:pPr>
      <w:r>
        <w:rPr>
          <w:rFonts w:hint="eastAsia"/>
          <w:b/>
          <w:color w:val="auto"/>
          <w:sz w:val="18"/>
          <w:szCs w:val="18"/>
          <w:highlight w:val="none"/>
        </w:rPr>
        <w:t>2、合价之和即为投标总报价，合价依据为分项价格表计算得出。</w:t>
      </w:r>
    </w:p>
    <w:p>
      <w:pPr>
        <w:adjustRightInd w:val="0"/>
        <w:snapToGrid w:val="0"/>
        <w:spacing w:line="288" w:lineRule="auto"/>
        <w:ind w:left="425"/>
        <w:jc w:val="left"/>
        <w:rPr>
          <w:b/>
          <w:color w:val="auto"/>
          <w:sz w:val="18"/>
          <w:szCs w:val="18"/>
          <w:highlight w:val="none"/>
        </w:rPr>
      </w:pPr>
      <w:r>
        <w:rPr>
          <w:rFonts w:hint="eastAsia"/>
          <w:b/>
          <w:color w:val="auto"/>
          <w:sz w:val="18"/>
          <w:szCs w:val="18"/>
          <w:highlight w:val="none"/>
        </w:rPr>
        <w:t>3、投标报价一览表中投标总报价应与投标函一致。</w:t>
      </w:r>
    </w:p>
    <w:p>
      <w:pPr>
        <w:rPr>
          <w:color w:val="auto"/>
          <w:highlight w:val="none"/>
        </w:rPr>
      </w:pPr>
    </w:p>
    <w:p>
      <w:pPr>
        <w:pStyle w:val="6"/>
        <w:rPr>
          <w:color w:val="auto"/>
          <w:highlight w:val="none"/>
        </w:rPr>
      </w:pPr>
    </w:p>
    <w:p>
      <w:pPr>
        <w:rPr>
          <w:color w:val="auto"/>
          <w:highlight w:val="none"/>
        </w:rPr>
      </w:pPr>
    </w:p>
    <w:p>
      <w:pPr>
        <w:pStyle w:val="6"/>
        <w:rPr>
          <w:color w:val="auto"/>
          <w:highlight w:val="none"/>
        </w:rPr>
      </w:pPr>
    </w:p>
    <w:p>
      <w:pPr>
        <w:rPr>
          <w:color w:val="auto"/>
          <w:highlight w:val="none"/>
        </w:rPr>
      </w:pPr>
    </w:p>
    <w:p>
      <w:pPr>
        <w:pStyle w:val="4"/>
        <w:rPr>
          <w:color w:val="auto"/>
          <w:highlight w:val="none"/>
        </w:rPr>
      </w:pPr>
    </w:p>
    <w:p>
      <w:pPr>
        <w:rPr>
          <w:color w:val="auto"/>
          <w:highlight w:val="none"/>
        </w:rPr>
      </w:pPr>
    </w:p>
    <w:p>
      <w:pPr>
        <w:pStyle w:val="4"/>
        <w:rPr>
          <w:rFonts w:hint="eastAsia" w:ascii="Arial" w:hAnsi="Arial" w:cs="Times New Roman"/>
          <w:b/>
          <w:bCs/>
          <w:color w:val="auto"/>
          <w:szCs w:val="32"/>
          <w:highlight w:val="none"/>
          <w:lang w:eastAsia="zh-CN"/>
        </w:rPr>
      </w:pPr>
      <w:bookmarkStart w:id="461" w:name="_Toc14072"/>
      <w:bookmarkStart w:id="462" w:name="_Toc31970"/>
      <w:bookmarkStart w:id="463" w:name="_Toc12961"/>
      <w:r>
        <w:rPr>
          <w:rFonts w:hint="eastAsia" w:ascii="Arial" w:hAnsi="Arial" w:cs="Times New Roman"/>
          <w:b/>
          <w:bCs/>
          <w:color w:val="auto"/>
          <w:szCs w:val="32"/>
          <w:highlight w:val="none"/>
          <w:lang w:eastAsia="zh-CN"/>
        </w:rPr>
        <w:t>三、</w:t>
      </w:r>
      <w:bookmarkEnd w:id="461"/>
      <w:bookmarkEnd w:id="462"/>
      <w:bookmarkEnd w:id="463"/>
      <w:r>
        <w:rPr>
          <w:rFonts w:hint="eastAsia" w:ascii="Arial" w:hAnsi="Arial" w:cs="Times New Roman"/>
          <w:b/>
          <w:bCs/>
          <w:color w:val="auto"/>
          <w:szCs w:val="32"/>
          <w:highlight w:val="none"/>
          <w:lang w:val="en-US" w:eastAsia="zh-CN"/>
        </w:rPr>
        <w:t>已标价的工程量清单</w:t>
      </w:r>
    </w:p>
    <w:p>
      <w:pPr>
        <w:spacing w:line="360" w:lineRule="auto"/>
        <w:rPr>
          <w:rFonts w:ascii="宋体" w:hAnsi="宋体" w:cs="宋体"/>
          <w:color w:val="auto"/>
          <w:highlight w:val="none"/>
        </w:rPr>
      </w:pPr>
      <w:r>
        <w:rPr>
          <w:rFonts w:hint="eastAsia" w:ascii="宋体" w:hAnsi="宋体" w:cs="宋体"/>
          <w:color w:val="auto"/>
          <w:highlight w:val="none"/>
        </w:rPr>
        <w:t xml:space="preserve">                       </w:t>
      </w:r>
    </w:p>
    <w:p>
      <w:pPr>
        <w:widowControl/>
        <w:jc w:val="center"/>
        <w:textAlignment w:val="center"/>
        <w:outlineLvl w:val="0"/>
        <w:rPr>
          <w:rFonts w:hint="eastAsia" w:ascii="宋体" w:hAnsi="Courier New" w:cs="Courier New"/>
          <w:color w:val="auto"/>
          <w:sz w:val="24"/>
          <w:szCs w:val="21"/>
          <w:highlight w:val="none"/>
        </w:rPr>
      </w:pPr>
      <w:bookmarkStart w:id="464" w:name="_Toc32520"/>
      <w:bookmarkStart w:id="465" w:name="_Toc9262"/>
      <w:bookmarkStart w:id="466" w:name="_Toc12449"/>
      <w:bookmarkStart w:id="467" w:name="_Toc1896"/>
      <w:bookmarkStart w:id="468" w:name="_Toc26068"/>
      <w:bookmarkStart w:id="469" w:name="_Toc19504"/>
      <w:r>
        <w:rPr>
          <w:rFonts w:hint="eastAsia" w:ascii="宋体" w:hAnsi="Courier New" w:cs="Courier New"/>
          <w:color w:val="auto"/>
          <w:sz w:val="24"/>
          <w:szCs w:val="21"/>
          <w:highlight w:val="none"/>
        </w:rPr>
        <w:t>按采购人提供的工程量清单填入单价与工程数</w:t>
      </w:r>
      <w:bookmarkEnd w:id="464"/>
      <w:bookmarkEnd w:id="465"/>
      <w:r>
        <w:rPr>
          <w:rFonts w:hint="eastAsia" w:ascii="宋体" w:hAnsi="Courier New" w:cs="Courier New"/>
          <w:color w:val="auto"/>
          <w:sz w:val="24"/>
          <w:szCs w:val="21"/>
          <w:highlight w:val="none"/>
        </w:rPr>
        <w:t>量</w:t>
      </w:r>
      <w:bookmarkEnd w:id="466"/>
      <w:bookmarkEnd w:id="467"/>
      <w:bookmarkEnd w:id="468"/>
      <w:bookmarkEnd w:id="469"/>
    </w:p>
    <w:p>
      <w:pPr>
        <w:pStyle w:val="6"/>
        <w:rPr>
          <w:color w:val="auto"/>
          <w:highlight w:val="none"/>
        </w:rPr>
      </w:pPr>
    </w:p>
    <w:p>
      <w:pPr>
        <w:rPr>
          <w:color w:val="auto"/>
          <w:highlight w:val="none"/>
        </w:rPr>
      </w:pPr>
    </w:p>
    <w:p>
      <w:pPr>
        <w:pStyle w:val="4"/>
        <w:rPr>
          <w:color w:val="auto"/>
          <w:highlight w:val="none"/>
        </w:rPr>
      </w:pPr>
    </w:p>
    <w:p>
      <w:pPr>
        <w:rPr>
          <w:color w:val="auto"/>
          <w:highlight w:val="none"/>
        </w:rPr>
      </w:pPr>
    </w:p>
    <w:p>
      <w:pPr>
        <w:pStyle w:val="4"/>
        <w:rPr>
          <w:color w:val="auto"/>
          <w:highlight w:val="none"/>
        </w:rPr>
      </w:pPr>
    </w:p>
    <w:p>
      <w:pPr>
        <w:rPr>
          <w:color w:val="auto"/>
          <w:highlight w:val="none"/>
        </w:rPr>
      </w:pPr>
    </w:p>
    <w:p>
      <w:pPr>
        <w:pStyle w:val="4"/>
        <w:rPr>
          <w:color w:val="auto"/>
          <w:highlight w:val="none"/>
        </w:rPr>
      </w:pPr>
    </w:p>
    <w:p>
      <w:pPr>
        <w:rPr>
          <w:color w:val="auto"/>
          <w:highlight w:val="none"/>
        </w:rPr>
      </w:pPr>
    </w:p>
    <w:p>
      <w:pPr>
        <w:pStyle w:val="4"/>
        <w:rPr>
          <w:color w:val="auto"/>
          <w:highlight w:val="none"/>
        </w:rPr>
      </w:pPr>
    </w:p>
    <w:p>
      <w:pPr>
        <w:rPr>
          <w:color w:val="auto"/>
          <w:highlight w:val="none"/>
        </w:rPr>
      </w:pPr>
    </w:p>
    <w:p>
      <w:pPr>
        <w:pStyle w:val="4"/>
        <w:rPr>
          <w:color w:val="auto"/>
          <w:highlight w:val="none"/>
        </w:rPr>
      </w:pPr>
    </w:p>
    <w:p>
      <w:pPr>
        <w:rPr>
          <w:color w:val="auto"/>
          <w:highlight w:val="none"/>
        </w:rPr>
      </w:pPr>
    </w:p>
    <w:p>
      <w:pPr>
        <w:pStyle w:val="4"/>
        <w:rPr>
          <w:color w:val="auto"/>
          <w:highlight w:val="none"/>
        </w:rPr>
      </w:pPr>
    </w:p>
    <w:p>
      <w:pPr>
        <w:rPr>
          <w:color w:val="auto"/>
          <w:highlight w:val="none"/>
        </w:rPr>
      </w:pPr>
    </w:p>
    <w:p>
      <w:pPr>
        <w:pStyle w:val="4"/>
        <w:rPr>
          <w:color w:val="auto"/>
          <w:highlight w:val="none"/>
        </w:rPr>
      </w:pPr>
    </w:p>
    <w:p>
      <w:pPr>
        <w:rPr>
          <w:color w:val="auto"/>
          <w:highlight w:val="none"/>
        </w:rPr>
      </w:pPr>
    </w:p>
    <w:p>
      <w:pPr>
        <w:pStyle w:val="4"/>
        <w:rPr>
          <w:color w:val="auto"/>
          <w:highlight w:val="none"/>
        </w:rPr>
      </w:pPr>
    </w:p>
    <w:p>
      <w:pPr>
        <w:rPr>
          <w:color w:val="auto"/>
          <w:highlight w:val="none"/>
        </w:rPr>
      </w:pPr>
    </w:p>
    <w:p>
      <w:pPr>
        <w:pStyle w:val="4"/>
        <w:rPr>
          <w:color w:val="auto"/>
          <w:highlight w:val="none"/>
        </w:rPr>
      </w:pPr>
    </w:p>
    <w:p>
      <w:pPr>
        <w:rPr>
          <w:color w:val="auto"/>
          <w:highlight w:val="none"/>
        </w:rPr>
      </w:pPr>
    </w:p>
    <w:p>
      <w:pPr>
        <w:pStyle w:val="4"/>
        <w:rPr>
          <w:color w:val="auto"/>
          <w:highlight w:val="none"/>
        </w:rPr>
      </w:pPr>
    </w:p>
    <w:p>
      <w:pPr>
        <w:rPr>
          <w:color w:val="auto"/>
          <w:highlight w:val="none"/>
        </w:rPr>
      </w:pPr>
    </w:p>
    <w:p>
      <w:pPr>
        <w:pStyle w:val="4"/>
        <w:rPr>
          <w:color w:val="auto"/>
          <w:highlight w:val="none"/>
        </w:rPr>
      </w:pPr>
    </w:p>
    <w:p>
      <w:pPr>
        <w:rPr>
          <w:color w:val="auto"/>
          <w:highlight w:val="none"/>
        </w:rPr>
      </w:pPr>
    </w:p>
    <w:p>
      <w:pPr>
        <w:rPr>
          <w:color w:val="auto"/>
          <w:highlight w:val="none"/>
        </w:rPr>
      </w:pPr>
    </w:p>
    <w:p>
      <w:pPr>
        <w:pStyle w:val="4"/>
        <w:jc w:val="center"/>
        <w:rPr>
          <w:color w:val="auto"/>
          <w:highlight w:val="none"/>
        </w:rPr>
      </w:pPr>
      <w:bookmarkStart w:id="470" w:name="_Toc9270"/>
      <w:bookmarkStart w:id="471" w:name="_Toc416768534"/>
      <w:bookmarkStart w:id="472" w:name="_Toc24322"/>
      <w:bookmarkStart w:id="473" w:name="_Toc476758975"/>
      <w:r>
        <w:rPr>
          <w:rFonts w:hint="eastAsia" w:ascii="Arial" w:hAnsi="Arial" w:cs="Times New Roman"/>
          <w:b/>
          <w:bCs/>
          <w:color w:val="auto"/>
          <w:szCs w:val="32"/>
          <w:highlight w:val="none"/>
          <w:lang w:eastAsia="zh-CN"/>
        </w:rPr>
        <w:t>四、</w:t>
      </w:r>
      <w:bookmarkStart w:id="474" w:name="_Toc23988"/>
      <w:r>
        <w:rPr>
          <w:rFonts w:hint="eastAsia"/>
          <w:b/>
          <w:bCs/>
          <w:color w:val="auto"/>
          <w:sz w:val="32"/>
          <w:szCs w:val="32"/>
          <w:highlight w:val="none"/>
          <w:lang w:val="en-US" w:eastAsia="zh-CN"/>
        </w:rPr>
        <w:t>投标保证金汇转凭证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2" w:hRule="atLeast"/>
        </w:trPr>
        <w:tc>
          <w:tcPr>
            <w:tcW w:w="8986" w:type="dxa"/>
            <w:noWrap w:val="0"/>
            <w:vAlign w:val="center"/>
          </w:tcPr>
          <w:p>
            <w:pPr>
              <w:jc w:val="center"/>
              <w:rPr>
                <w:rFonts w:hint="eastAsia"/>
                <w:color w:val="auto"/>
                <w:highlight w:val="none"/>
              </w:rPr>
            </w:pPr>
            <w:r>
              <w:rPr>
                <w:rFonts w:hint="eastAsia"/>
                <w:color w:val="auto"/>
                <w:sz w:val="24"/>
                <w:szCs w:val="24"/>
                <w:highlight w:val="none"/>
                <w:lang w:val="en-US" w:eastAsia="zh-CN"/>
              </w:rPr>
              <w:t>投标保证金汇转凭证</w:t>
            </w:r>
            <w:r>
              <w:rPr>
                <w:rFonts w:hint="eastAsia"/>
                <w:color w:val="auto"/>
                <w:sz w:val="24"/>
                <w:szCs w:val="24"/>
                <w:highlight w:val="none"/>
              </w:rPr>
              <w:t>复印件粘贴处</w:t>
            </w:r>
          </w:p>
        </w:tc>
      </w:tr>
      <w:bookmarkEnd w:id="474"/>
    </w:tbl>
    <w:p>
      <w:pPr>
        <w:pStyle w:val="4"/>
        <w:jc w:val="both"/>
        <w:rPr>
          <w:rFonts w:hint="eastAsia" w:ascii="Arial" w:hAnsi="Arial" w:cs="Times New Roman"/>
          <w:b/>
          <w:bCs/>
          <w:color w:val="auto"/>
          <w:szCs w:val="32"/>
          <w:highlight w:val="none"/>
          <w:lang w:eastAsia="zh-CN"/>
        </w:rPr>
      </w:pPr>
    </w:p>
    <w:p>
      <w:pPr>
        <w:pStyle w:val="4"/>
        <w:rPr>
          <w:rFonts w:hint="eastAsia" w:ascii="Arial" w:hAnsi="Arial" w:cs="Times New Roman"/>
          <w:b/>
          <w:bCs/>
          <w:color w:val="auto"/>
          <w:szCs w:val="32"/>
          <w:highlight w:val="none"/>
          <w:lang w:eastAsia="zh-CN"/>
        </w:rPr>
      </w:pPr>
    </w:p>
    <w:p>
      <w:pPr>
        <w:pStyle w:val="4"/>
        <w:rPr>
          <w:rFonts w:hint="eastAsia" w:ascii="Arial" w:hAnsi="Arial" w:cs="Times New Roman"/>
          <w:b/>
          <w:bCs/>
          <w:color w:val="auto"/>
          <w:szCs w:val="32"/>
          <w:highlight w:val="none"/>
          <w:lang w:eastAsia="zh-CN"/>
        </w:rPr>
      </w:pPr>
    </w:p>
    <w:p>
      <w:pPr>
        <w:pStyle w:val="4"/>
        <w:rPr>
          <w:rFonts w:hint="eastAsia" w:ascii="Arial" w:hAnsi="Arial" w:cs="Times New Roman"/>
          <w:b/>
          <w:bCs/>
          <w:color w:val="auto"/>
          <w:szCs w:val="32"/>
          <w:highlight w:val="none"/>
          <w:lang w:eastAsia="zh-CN"/>
        </w:rPr>
      </w:pPr>
    </w:p>
    <w:p>
      <w:pPr>
        <w:rPr>
          <w:rFonts w:hint="eastAsia" w:ascii="Arial" w:hAnsi="Arial" w:cs="Times New Roman"/>
          <w:b/>
          <w:bCs/>
          <w:color w:val="auto"/>
          <w:szCs w:val="32"/>
          <w:highlight w:val="none"/>
          <w:lang w:eastAsia="zh-CN"/>
        </w:rPr>
      </w:pPr>
    </w:p>
    <w:p>
      <w:pPr>
        <w:pStyle w:val="4"/>
        <w:rPr>
          <w:rFonts w:hint="eastAsia" w:ascii="Arial" w:hAnsi="Arial" w:cs="Times New Roman"/>
          <w:b/>
          <w:bCs/>
          <w:color w:val="auto"/>
          <w:szCs w:val="32"/>
          <w:highlight w:val="none"/>
          <w:lang w:eastAsia="zh-CN"/>
        </w:rPr>
      </w:pPr>
    </w:p>
    <w:p>
      <w:pPr>
        <w:rPr>
          <w:rFonts w:hint="eastAsia" w:ascii="Arial" w:hAnsi="Arial" w:cs="Times New Roman"/>
          <w:b/>
          <w:bCs/>
          <w:color w:val="auto"/>
          <w:szCs w:val="32"/>
          <w:highlight w:val="none"/>
          <w:lang w:eastAsia="zh-CN"/>
        </w:rPr>
      </w:pPr>
    </w:p>
    <w:p>
      <w:pPr>
        <w:pStyle w:val="4"/>
        <w:rPr>
          <w:rFonts w:hint="eastAsia" w:ascii="Arial" w:hAnsi="Arial" w:cs="Times New Roman"/>
          <w:b/>
          <w:bCs/>
          <w:color w:val="auto"/>
          <w:szCs w:val="32"/>
          <w:highlight w:val="none"/>
          <w:lang w:eastAsia="zh-CN"/>
        </w:rPr>
      </w:pPr>
    </w:p>
    <w:p>
      <w:pPr>
        <w:rPr>
          <w:rFonts w:hint="eastAsia" w:ascii="Arial" w:hAnsi="Arial" w:cs="Times New Roman"/>
          <w:b/>
          <w:bCs/>
          <w:color w:val="auto"/>
          <w:szCs w:val="32"/>
          <w:highlight w:val="none"/>
          <w:lang w:eastAsia="zh-CN"/>
        </w:rPr>
      </w:pPr>
    </w:p>
    <w:p>
      <w:pPr>
        <w:pStyle w:val="4"/>
        <w:jc w:val="both"/>
        <w:rPr>
          <w:rFonts w:hint="eastAsia" w:ascii="Arial" w:hAnsi="Arial" w:cs="Times New Roman"/>
          <w:b/>
          <w:bCs/>
          <w:color w:val="auto"/>
          <w:szCs w:val="32"/>
          <w:highlight w:val="none"/>
          <w:lang w:eastAsia="zh-CN"/>
        </w:rPr>
      </w:pPr>
    </w:p>
    <w:p>
      <w:pPr>
        <w:rPr>
          <w:rFonts w:hint="eastAsia" w:ascii="Arial" w:hAnsi="Arial" w:cs="Times New Roman"/>
          <w:b/>
          <w:bCs/>
          <w:color w:val="auto"/>
          <w:szCs w:val="32"/>
          <w:highlight w:val="none"/>
          <w:lang w:eastAsia="zh-CN"/>
        </w:rPr>
      </w:pPr>
    </w:p>
    <w:p>
      <w:pPr>
        <w:pStyle w:val="4"/>
        <w:jc w:val="center"/>
        <w:rPr>
          <w:rFonts w:hint="eastAsia" w:ascii="Arial" w:hAnsi="Arial" w:cs="Times New Roman"/>
          <w:b/>
          <w:bCs/>
          <w:color w:val="auto"/>
          <w:szCs w:val="32"/>
          <w:highlight w:val="none"/>
          <w:lang w:eastAsia="zh-CN"/>
        </w:rPr>
      </w:pPr>
    </w:p>
    <w:p>
      <w:pPr>
        <w:pStyle w:val="4"/>
        <w:jc w:val="center"/>
        <w:rPr>
          <w:rFonts w:hint="eastAsia" w:ascii="Arial" w:hAnsi="Arial" w:cs="Times New Roman"/>
          <w:b/>
          <w:bCs/>
          <w:color w:val="auto"/>
          <w:szCs w:val="32"/>
          <w:highlight w:val="none"/>
          <w:lang w:eastAsia="zh-CN"/>
        </w:rPr>
      </w:pPr>
      <w:r>
        <w:rPr>
          <w:rFonts w:hint="eastAsia" w:ascii="Arial" w:hAnsi="Arial" w:cs="Times New Roman"/>
          <w:b/>
          <w:bCs/>
          <w:color w:val="auto"/>
          <w:szCs w:val="32"/>
          <w:highlight w:val="none"/>
          <w:lang w:eastAsia="zh-CN"/>
        </w:rPr>
        <w:t>五、法定代表人身份证明</w:t>
      </w:r>
      <w:bookmarkEnd w:id="470"/>
      <w:bookmarkEnd w:id="471"/>
      <w:bookmarkEnd w:id="472"/>
      <w:bookmarkEnd w:id="473"/>
    </w:p>
    <w:p>
      <w:pPr>
        <w:spacing w:line="360" w:lineRule="auto"/>
        <w:rPr>
          <w:rFonts w:hint="eastAsia" w:ascii="宋体" w:hAnsi="宋体"/>
          <w:color w:val="auto"/>
          <w:sz w:val="24"/>
          <w:highlight w:val="none"/>
          <w:u w:val="single"/>
        </w:rPr>
      </w:pPr>
      <w:r>
        <w:rPr>
          <w:rFonts w:hint="eastAsia" w:ascii="宋体" w:hAnsi="宋体"/>
          <w:color w:val="auto"/>
          <w:sz w:val="24"/>
          <w:highlight w:val="none"/>
        </w:rPr>
        <w:t>供应商名称：</w:t>
      </w:r>
      <w:r>
        <w:rPr>
          <w:rFonts w:hint="eastAsia" w:ascii="宋体" w:hAnsi="宋体"/>
          <w:color w:val="auto"/>
          <w:sz w:val="24"/>
          <w:highlight w:val="none"/>
          <w:u w:val="single"/>
        </w:rPr>
        <w:t xml:space="preserve">                             </w:t>
      </w:r>
    </w:p>
    <w:p>
      <w:pPr>
        <w:spacing w:line="360" w:lineRule="auto"/>
        <w:rPr>
          <w:rFonts w:hint="eastAsia" w:ascii="宋体" w:hAnsi="宋体"/>
          <w:color w:val="auto"/>
          <w:sz w:val="24"/>
          <w:highlight w:val="none"/>
          <w:u w:val="single"/>
        </w:rPr>
      </w:pPr>
      <w:r>
        <w:rPr>
          <w:rFonts w:hint="eastAsia" w:ascii="宋体" w:hAnsi="宋体"/>
          <w:color w:val="auto"/>
          <w:sz w:val="24"/>
          <w:highlight w:val="none"/>
        </w:rPr>
        <w:t>单位性质：</w:t>
      </w:r>
      <w:r>
        <w:rPr>
          <w:rFonts w:hint="eastAsia" w:ascii="宋体" w:hAnsi="宋体"/>
          <w:color w:val="auto"/>
          <w:sz w:val="24"/>
          <w:highlight w:val="none"/>
          <w:u w:val="single"/>
        </w:rPr>
        <w:t xml:space="preserve">                               </w:t>
      </w:r>
    </w:p>
    <w:p>
      <w:pPr>
        <w:spacing w:line="360" w:lineRule="auto"/>
        <w:rPr>
          <w:rFonts w:hint="eastAsia"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 xml:space="preserve">                                   </w:t>
      </w:r>
    </w:p>
    <w:p>
      <w:pPr>
        <w:spacing w:line="360" w:lineRule="auto"/>
        <w:rPr>
          <w:rFonts w:hint="eastAsia" w:ascii="宋体" w:hAnsi="宋体"/>
          <w:color w:val="auto"/>
          <w:sz w:val="24"/>
          <w:highlight w:val="none"/>
        </w:rPr>
      </w:pPr>
      <w:r>
        <w:rPr>
          <w:rFonts w:hint="eastAsia" w:ascii="宋体" w:hAnsi="宋体"/>
          <w:color w:val="auto"/>
          <w:sz w:val="24"/>
          <w:highlight w:val="none"/>
        </w:rPr>
        <w:t>成立时间：</w:t>
      </w:r>
      <w:r>
        <w:rPr>
          <w:rFonts w:hint="eastAsia" w:ascii="宋体" w:hAnsi="宋体"/>
          <w:color w:val="auto"/>
          <w:sz w:val="24"/>
          <w:highlight w:val="none"/>
          <w:u w:val="single"/>
        </w:rPr>
        <w:t xml:space="preserve">         年    月     日</w:t>
      </w:r>
    </w:p>
    <w:p>
      <w:pPr>
        <w:spacing w:line="360" w:lineRule="auto"/>
        <w:rPr>
          <w:rFonts w:hint="eastAsia" w:ascii="宋体" w:hAnsi="宋体"/>
          <w:color w:val="auto"/>
          <w:sz w:val="24"/>
          <w:highlight w:val="none"/>
          <w:u w:val="single"/>
        </w:rPr>
      </w:pPr>
      <w:r>
        <w:rPr>
          <w:rFonts w:hint="eastAsia" w:ascii="宋体" w:hAnsi="宋体"/>
          <w:color w:val="auto"/>
          <w:sz w:val="24"/>
          <w:highlight w:val="none"/>
        </w:rPr>
        <w:t>经营期限：</w:t>
      </w:r>
      <w:r>
        <w:rPr>
          <w:rFonts w:hint="eastAsia" w:ascii="宋体" w:hAnsi="宋体"/>
          <w:color w:val="auto"/>
          <w:sz w:val="24"/>
          <w:highlight w:val="none"/>
          <w:u w:val="single"/>
        </w:rPr>
        <w:t xml:space="preserve">                                </w:t>
      </w:r>
    </w:p>
    <w:p>
      <w:pPr>
        <w:spacing w:line="360" w:lineRule="auto"/>
        <w:rPr>
          <w:rFonts w:hint="eastAsia" w:ascii="宋体" w:hAnsi="宋体"/>
          <w:color w:val="auto"/>
          <w:sz w:val="24"/>
          <w:highlight w:val="none"/>
          <w:u w:val="single"/>
        </w:rPr>
      </w:pPr>
      <w:r>
        <w:rPr>
          <w:rFonts w:hint="eastAsia" w:ascii="宋体" w:hAnsi="宋体"/>
          <w:color w:val="auto"/>
          <w:sz w:val="24"/>
          <w:highlight w:val="none"/>
        </w:rPr>
        <w:t>姓名：</w:t>
      </w:r>
      <w:r>
        <w:rPr>
          <w:rFonts w:hint="eastAsia" w:ascii="宋体" w:hAnsi="宋体"/>
          <w:color w:val="auto"/>
          <w:sz w:val="24"/>
          <w:highlight w:val="none"/>
          <w:u w:val="single"/>
        </w:rPr>
        <w:t xml:space="preserve">              性别：          年龄：          职务：      </w:t>
      </w:r>
    </w:p>
    <w:p>
      <w:pPr>
        <w:spacing w:line="360" w:lineRule="auto"/>
        <w:rPr>
          <w:rFonts w:hint="eastAsia" w:ascii="宋体" w:hAnsi="宋体"/>
          <w:color w:val="auto"/>
          <w:sz w:val="24"/>
          <w:highlight w:val="non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p>
      <w:pPr>
        <w:spacing w:line="360" w:lineRule="auto"/>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w:t>
      </w:r>
      <w:r>
        <w:rPr>
          <w:rFonts w:hint="eastAsia" w:ascii="宋体" w:hAnsi="宋体"/>
          <w:color w:val="auto"/>
          <w:sz w:val="24"/>
          <w:highlight w:val="none"/>
        </w:rPr>
        <w:t>（供应商名称）的法定代表人。</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特此证明。</w:t>
      </w:r>
    </w:p>
    <w:p>
      <w:pPr>
        <w:spacing w:line="360" w:lineRule="auto"/>
        <w:ind w:firstLine="3840" w:firstLineChars="1600"/>
        <w:rPr>
          <w:rFonts w:hint="eastAsia" w:ascii="宋体" w:hAnsi="宋体"/>
          <w:color w:val="auto"/>
          <w:sz w:val="24"/>
          <w:highlight w:val="none"/>
        </w:rPr>
      </w:pPr>
      <w:r>
        <w:rPr>
          <w:rFonts w:hint="eastAsia" w:ascii="宋体" w:hAnsi="宋体"/>
          <w:color w:val="auto"/>
          <w:sz w:val="24"/>
          <w:highlight w:val="none"/>
        </w:rPr>
        <w:t xml:space="preserve">法定代表人签字： </w:t>
      </w:r>
      <w:r>
        <w:rPr>
          <w:rFonts w:ascii="宋体" w:hAnsi="宋体"/>
          <w:color w:val="auto"/>
          <w:sz w:val="24"/>
          <w:highlight w:val="none"/>
          <w:u w:val="single"/>
        </w:rPr>
        <w:t xml:space="preserve">                   </w:t>
      </w:r>
    </w:p>
    <w:p>
      <w:pPr>
        <w:spacing w:line="360" w:lineRule="auto"/>
        <w:ind w:firstLine="3840" w:firstLineChars="1600"/>
        <w:rPr>
          <w:rFonts w:hint="eastAsia" w:ascii="宋体" w:hAnsi="宋体"/>
          <w:color w:val="auto"/>
          <w:sz w:val="24"/>
          <w:highlight w:val="none"/>
        </w:rPr>
      </w:pPr>
      <w:r>
        <w:rPr>
          <w:rFonts w:hint="eastAsia" w:ascii="宋体" w:hAnsi="宋体"/>
          <w:color w:val="auto"/>
          <w:sz w:val="24"/>
          <w:highlight w:val="none"/>
        </w:rPr>
        <w:t>供应商：</w:t>
      </w:r>
      <w:r>
        <w:rPr>
          <w:rFonts w:hint="eastAsia" w:ascii="宋体" w:hAnsi="宋体"/>
          <w:color w:val="auto"/>
          <w:sz w:val="24"/>
          <w:highlight w:val="none"/>
          <w:u w:val="single"/>
        </w:rPr>
        <w:t xml:space="preserve">                </w:t>
      </w:r>
      <w:r>
        <w:rPr>
          <w:rFonts w:hint="eastAsia" w:ascii="宋体" w:hAnsi="宋体"/>
          <w:color w:val="auto"/>
          <w:sz w:val="24"/>
          <w:highlight w:val="none"/>
        </w:rPr>
        <w:t>（加盖公章）</w:t>
      </w:r>
    </w:p>
    <w:p>
      <w:pPr>
        <w:spacing w:line="360" w:lineRule="auto"/>
        <w:ind w:firstLine="5760" w:firstLineChars="2400"/>
        <w:rPr>
          <w:rFonts w:hint="eastAsia" w:ascii="宋体" w:hAnsi="宋体"/>
          <w:color w:val="auto"/>
          <w:sz w:val="24"/>
          <w:highlight w:val="none"/>
          <w:u w:val="single"/>
        </w:rPr>
      </w:pPr>
      <w:r>
        <w:rPr>
          <w:rFonts w:hint="eastAsia" w:ascii="宋体" w:hAnsi="宋体"/>
          <w:color w:val="auto"/>
          <w:sz w:val="24"/>
          <w:highlight w:val="none"/>
          <w:u w:val="single"/>
        </w:rPr>
        <w:t xml:space="preserve">     年  月     日</w:t>
      </w:r>
    </w:p>
    <w:p>
      <w:pPr>
        <w:spacing w:line="400" w:lineRule="exact"/>
        <w:ind w:firstLine="723" w:firstLineChars="300"/>
        <w:rPr>
          <w:rFonts w:ascii="宋体" w:hAnsi="宋体"/>
          <w:bCs/>
          <w:color w:val="auto"/>
          <w:szCs w:val="21"/>
          <w:highlight w:val="none"/>
        </w:rPr>
      </w:pPr>
      <w:r>
        <w:rPr>
          <w:rFonts w:hint="eastAsia" w:ascii="宋体" w:hAnsi="宋体"/>
          <w:b/>
          <w:color w:val="auto"/>
          <w:kern w:val="0"/>
          <w:sz w:val="24"/>
          <w:highlight w:val="none"/>
        </w:rPr>
        <w:t>法定代表人身份证复印件：</w:t>
      </w:r>
    </w:p>
    <w:p>
      <w:pPr>
        <w:spacing w:line="400" w:lineRule="exact"/>
        <w:rPr>
          <w:rFonts w:ascii="宋体" w:hAnsi="宋体"/>
          <w:bCs/>
          <w:color w:val="auto"/>
          <w:szCs w:val="21"/>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2792730</wp:posOffset>
                </wp:positionH>
                <wp:positionV relativeFrom="paragraph">
                  <wp:posOffset>196215</wp:posOffset>
                </wp:positionV>
                <wp:extent cx="2696210" cy="1781175"/>
                <wp:effectExtent l="4445" t="4445" r="23495" b="5080"/>
                <wp:wrapNone/>
                <wp:docPr id="10" name="文本框 10"/>
                <wp:cNvGraphicFramePr/>
                <a:graphic xmlns:a="http://schemas.openxmlformats.org/drawingml/2006/main">
                  <a:graphicData uri="http://schemas.microsoft.com/office/word/2010/wordprocessingShape">
                    <wps:wsp>
                      <wps:cNvSpPr txBox="1"/>
                      <wps:spPr>
                        <a:xfrm>
                          <a:off x="0" y="0"/>
                          <a:ext cx="2696210" cy="178117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 xml:space="preserve">                 </w:t>
                            </w:r>
                          </w:p>
                          <w:p/>
                          <w:p/>
                          <w:p/>
                          <w:p>
                            <w:r>
                              <w:rPr>
                                <w:rFonts w:hint="eastAsia"/>
                              </w:rPr>
                              <w:t xml:space="preserve">         附法人身份证复印件反面</w:t>
                            </w:r>
                          </w:p>
                        </w:txbxContent>
                      </wps:txbx>
                      <wps:bodyPr upright="1"/>
                    </wps:wsp>
                  </a:graphicData>
                </a:graphic>
              </wp:anchor>
            </w:drawing>
          </mc:Choice>
          <mc:Fallback>
            <w:pict>
              <v:shape id="_x0000_s1026" o:spid="_x0000_s1026" o:spt="202" type="#_x0000_t202" style="position:absolute;left:0pt;margin-left:219.9pt;margin-top:15.45pt;height:140.25pt;width:212.3pt;z-index:251660288;mso-width-relative:page;mso-height-relative:page;" fillcolor="#FFFFFF" filled="t" stroked="t" coordsize="21600,21600" o:gfxdata="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3pnyr2QAAAAoBAAAPAAAAAAAAAAEAIAAA&#10;ACIAAABkcnMvZG93bnJldi54bWxQSwECFAAUAAAACACHTuJA9FtyVgsCAAA5BAAADgAAAAAAAAAB&#10;ACAAAAAoAQAAZHJzL2Uyb0RvYy54bWxQSwUGAAAAAAYABgBZAQAApQUAAAAA&#10;">
                <v:fill on="t" focussize="0,0"/>
                <v:stroke color="#000000" joinstyle="miter"/>
                <v:imagedata o:title=""/>
                <o:lock v:ext="edit" aspectratio="f"/>
                <v:textbox>
                  <w:txbxContent>
                    <w:p>
                      <w:r>
                        <w:rPr>
                          <w:rFonts w:hint="eastAsia"/>
                        </w:rPr>
                        <w:t xml:space="preserve">                 </w:t>
                      </w:r>
                    </w:p>
                    <w:p/>
                    <w:p/>
                    <w:p/>
                    <w:p>
                      <w:r>
                        <w:rPr>
                          <w:rFonts w:hint="eastAsia"/>
                        </w:rPr>
                        <w:t xml:space="preserve">         附法人身份证复印件反面</w:t>
                      </w:r>
                    </w:p>
                  </w:txbxContent>
                </v:textbox>
              </v:shape>
            </w:pict>
          </mc:Fallback>
        </mc:AlternateContent>
      </w: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198755</wp:posOffset>
                </wp:positionV>
                <wp:extent cx="2618740" cy="1790700"/>
                <wp:effectExtent l="4445" t="4445" r="5715" b="14605"/>
                <wp:wrapNone/>
                <wp:docPr id="7" name="文本框 7"/>
                <wp:cNvGraphicFramePr/>
                <a:graphic xmlns:a="http://schemas.openxmlformats.org/drawingml/2006/main">
                  <a:graphicData uri="http://schemas.microsoft.com/office/word/2010/wordprocessingShape">
                    <wps:wsp>
                      <wps:cNvSpPr txBox="1"/>
                      <wps:spPr>
                        <a:xfrm>
                          <a:off x="0" y="0"/>
                          <a:ext cx="2618740" cy="179070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 xml:space="preserve">                 </w:t>
                            </w:r>
                          </w:p>
                          <w:p/>
                          <w:p/>
                          <w:p/>
                          <w:p>
                            <w:r>
                              <w:rPr>
                                <w:rFonts w:hint="eastAsia"/>
                              </w:rPr>
                              <w:t xml:space="preserve">        附法人身份证复印件正面</w:t>
                            </w:r>
                          </w:p>
                        </w:txbxContent>
                      </wps:txbx>
                      <wps:bodyPr upright="1"/>
                    </wps:wsp>
                  </a:graphicData>
                </a:graphic>
              </wp:anchor>
            </w:drawing>
          </mc:Choice>
          <mc:Fallback>
            <w:pict>
              <v:shape id="_x0000_s1026" o:spid="_x0000_s1026" o:spt="202" type="#_x0000_t202" style="position:absolute;left:0pt;margin-left:-1.2pt;margin-top:15.65pt;height:141pt;width:206.2pt;z-index:251659264;mso-width-relative:page;mso-height-relative:page;" fillcolor="#FFFFFF" filled="t" stroked="t" coordsize="21600,21600" o:gfxdata="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FDGYnXAAAACQEAAA8AAAAAAAAAAQAg&#10;AAAAIgAAAGRycy9kb3ducmV2LnhtbFBLAQIUABQAAAAIAIdO4kAlmjA2DwIAADcEAAAOAAAAAAAA&#10;AAEAIAAAACYBAABkcnMvZTJvRG9jLnhtbFBLBQYAAAAABgAGAFkBAACnBQAAAAA=&#10;">
                <v:fill on="t" focussize="0,0"/>
                <v:stroke color="#000000" joinstyle="miter"/>
                <v:imagedata o:title=""/>
                <o:lock v:ext="edit" aspectratio="f"/>
                <v:textbox>
                  <w:txbxContent>
                    <w:p>
                      <w:r>
                        <w:rPr>
                          <w:rFonts w:hint="eastAsia"/>
                        </w:rPr>
                        <w:t xml:space="preserve">                 </w:t>
                      </w:r>
                    </w:p>
                    <w:p/>
                    <w:p/>
                    <w:p/>
                    <w:p>
                      <w:r>
                        <w:rPr>
                          <w:rFonts w:hint="eastAsia"/>
                        </w:rPr>
                        <w:t xml:space="preserve">        附法人身份证复印件正面</w:t>
                      </w:r>
                    </w:p>
                  </w:txbxContent>
                </v:textbox>
              </v:shape>
            </w:pict>
          </mc:Fallback>
        </mc:AlternateContent>
      </w:r>
    </w:p>
    <w:p>
      <w:pPr>
        <w:spacing w:line="400" w:lineRule="exact"/>
        <w:rPr>
          <w:rFonts w:ascii="宋体" w:hAnsi="宋体"/>
          <w:bCs/>
          <w:color w:val="auto"/>
          <w:szCs w:val="21"/>
          <w:highlight w:val="none"/>
        </w:rPr>
      </w:pPr>
    </w:p>
    <w:p>
      <w:pPr>
        <w:spacing w:line="400" w:lineRule="exact"/>
        <w:rPr>
          <w:rFonts w:ascii="宋体" w:hAnsi="宋体"/>
          <w:bCs/>
          <w:color w:val="auto"/>
          <w:szCs w:val="21"/>
          <w:highlight w:val="none"/>
        </w:rPr>
      </w:pPr>
    </w:p>
    <w:p>
      <w:pPr>
        <w:spacing w:line="400" w:lineRule="exact"/>
        <w:rPr>
          <w:rFonts w:ascii="宋体" w:hAnsi="宋体"/>
          <w:bCs/>
          <w:color w:val="auto"/>
          <w:szCs w:val="21"/>
          <w:highlight w:val="none"/>
        </w:rPr>
      </w:pPr>
    </w:p>
    <w:p>
      <w:pPr>
        <w:wordWrap w:val="0"/>
        <w:spacing w:line="400" w:lineRule="exact"/>
        <w:jc w:val="right"/>
        <w:rPr>
          <w:rFonts w:ascii="宋体" w:hAnsi="宋体"/>
          <w:color w:val="auto"/>
          <w:szCs w:val="21"/>
          <w:highlight w:val="none"/>
        </w:rPr>
      </w:pPr>
      <w:r>
        <w:rPr>
          <w:rFonts w:hint="eastAsia" w:ascii="宋体" w:hAnsi="宋体"/>
          <w:color w:val="auto"/>
          <w:szCs w:val="21"/>
          <w:highlight w:val="none"/>
        </w:rPr>
        <w:t xml:space="preserve">   </w:t>
      </w:r>
    </w:p>
    <w:p>
      <w:pPr>
        <w:spacing w:line="400" w:lineRule="exact"/>
        <w:jc w:val="right"/>
        <w:rPr>
          <w:rFonts w:ascii="宋体" w:hAnsi="宋体"/>
          <w:color w:val="auto"/>
          <w:szCs w:val="21"/>
          <w:highlight w:val="none"/>
        </w:rPr>
      </w:pPr>
    </w:p>
    <w:p>
      <w:pPr>
        <w:spacing w:line="400" w:lineRule="exact"/>
        <w:jc w:val="right"/>
        <w:rPr>
          <w:rFonts w:ascii="宋体" w:hAnsi="宋体"/>
          <w:color w:val="auto"/>
          <w:szCs w:val="21"/>
          <w:highlight w:val="none"/>
        </w:rPr>
      </w:pPr>
    </w:p>
    <w:p>
      <w:pPr>
        <w:spacing w:line="400" w:lineRule="exact"/>
        <w:jc w:val="right"/>
        <w:rPr>
          <w:rFonts w:ascii="宋体" w:hAnsi="宋体"/>
          <w:color w:val="auto"/>
          <w:szCs w:val="21"/>
          <w:highlight w:val="none"/>
        </w:rPr>
      </w:pPr>
    </w:p>
    <w:p>
      <w:pPr>
        <w:spacing w:after="2880" w:afterLines="1200" w:line="360" w:lineRule="auto"/>
        <w:rPr>
          <w:rFonts w:hint="eastAsia" w:ascii="宋体" w:hAnsi="宋体"/>
          <w:b/>
          <w:snapToGrid w:val="0"/>
          <w:color w:val="auto"/>
          <w:kern w:val="0"/>
          <w:sz w:val="24"/>
          <w:highlight w:val="none"/>
        </w:rPr>
      </w:pPr>
    </w:p>
    <w:p>
      <w:pPr>
        <w:pStyle w:val="4"/>
        <w:spacing w:before="0" w:after="480" w:afterLines="200"/>
        <w:rPr>
          <w:rFonts w:hint="eastAsia" w:ascii="Arial" w:hAnsi="Arial" w:cs="Times New Roman"/>
          <w:b/>
          <w:bCs/>
          <w:color w:val="auto"/>
          <w:szCs w:val="32"/>
          <w:highlight w:val="none"/>
          <w:lang w:eastAsia="zh-CN"/>
        </w:rPr>
      </w:pPr>
      <w:r>
        <w:rPr>
          <w:rFonts w:hint="eastAsia" w:ascii="宋体" w:hAnsi="宋体"/>
          <w:snapToGrid w:val="0"/>
          <w:color w:val="auto"/>
          <w:sz w:val="24"/>
          <w:highlight w:val="none"/>
        </w:rPr>
        <w:br w:type="page"/>
      </w:r>
      <w:bookmarkStart w:id="475" w:name="_Toc29756"/>
      <w:bookmarkStart w:id="476" w:name="_Toc9197"/>
      <w:r>
        <w:rPr>
          <w:rFonts w:hint="eastAsia" w:ascii="Arial" w:hAnsi="Arial" w:cs="Times New Roman"/>
          <w:b/>
          <w:bCs/>
          <w:color w:val="auto"/>
          <w:szCs w:val="32"/>
          <w:highlight w:val="none"/>
          <w:lang w:eastAsia="zh-CN"/>
        </w:rPr>
        <w:t>六、法定代表人授权委托书</w:t>
      </w:r>
      <w:bookmarkEnd w:id="475"/>
      <w:bookmarkEnd w:id="476"/>
    </w:p>
    <w:p>
      <w:pPr>
        <w:spacing w:line="360" w:lineRule="auto"/>
        <w:jc w:val="left"/>
        <w:rPr>
          <w:rFonts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 xml:space="preserve">   （采购人）</w:t>
      </w:r>
    </w:p>
    <w:p>
      <w:pPr>
        <w:spacing w:before="240" w:beforeLines="100"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本授权书声明：本人</w:t>
      </w:r>
      <w:r>
        <w:rPr>
          <w:rFonts w:hint="eastAsia" w:ascii="宋体" w:hAnsi="宋体"/>
          <w:color w:val="auto"/>
          <w:sz w:val="24"/>
          <w:highlight w:val="none"/>
          <w:u w:val="single"/>
        </w:rPr>
        <w:t xml:space="preserve">  （法定代表人姓名、身份证号）   </w:t>
      </w:r>
      <w:r>
        <w:rPr>
          <w:rFonts w:hint="eastAsia" w:ascii="宋体" w:hAnsi="宋体"/>
          <w:color w:val="auto"/>
          <w:sz w:val="24"/>
          <w:highlight w:val="none"/>
        </w:rPr>
        <w:t>系注册于</w:t>
      </w:r>
      <w:r>
        <w:rPr>
          <w:rFonts w:hint="eastAsia" w:ascii="宋体" w:hAnsi="宋体"/>
          <w:color w:val="auto"/>
          <w:sz w:val="24"/>
          <w:highlight w:val="none"/>
          <w:u w:val="single"/>
        </w:rPr>
        <w:t xml:space="preserve">  （国家或地区的名称） </w:t>
      </w:r>
      <w:r>
        <w:rPr>
          <w:rFonts w:ascii="宋体" w:hAnsi="宋体"/>
          <w:color w:val="auto"/>
          <w:sz w:val="24"/>
          <w:highlight w:val="none"/>
          <w:u w:val="single"/>
        </w:rPr>
        <w:t xml:space="preserve"> </w:t>
      </w:r>
      <w:r>
        <w:rPr>
          <w:rFonts w:hint="eastAsia" w:ascii="宋体" w:hAnsi="宋体"/>
          <w:color w:val="auto"/>
          <w:sz w:val="24"/>
          <w:highlight w:val="none"/>
        </w:rPr>
        <w:t>的</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（公司名称）  </w:t>
      </w:r>
      <w:r>
        <w:rPr>
          <w:rFonts w:hint="eastAsia" w:ascii="宋体" w:hAnsi="宋体"/>
          <w:color w:val="auto"/>
          <w:sz w:val="24"/>
          <w:highlight w:val="none"/>
        </w:rPr>
        <w:t>的法定代表人，现授权委托</w:t>
      </w:r>
      <w:r>
        <w:rPr>
          <w:rFonts w:ascii="宋体" w:hAnsi="宋体"/>
          <w:color w:val="auto"/>
          <w:sz w:val="24"/>
          <w:highlight w:val="none"/>
          <w:u w:val="single"/>
        </w:rPr>
        <w:t xml:space="preserve">  </w:t>
      </w:r>
      <w:r>
        <w:rPr>
          <w:rFonts w:hint="eastAsia" w:ascii="宋体" w:hAnsi="宋体"/>
          <w:color w:val="auto"/>
          <w:sz w:val="24"/>
          <w:highlight w:val="none"/>
          <w:u w:val="single"/>
        </w:rPr>
        <w:t>（公司名称）</w:t>
      </w:r>
      <w:r>
        <w:rPr>
          <w:rFonts w:ascii="宋体" w:hAnsi="宋体"/>
          <w:color w:val="auto"/>
          <w:sz w:val="24"/>
          <w:highlight w:val="none"/>
          <w:u w:val="single"/>
        </w:rPr>
        <w:t xml:space="preserve">  </w:t>
      </w:r>
      <w:r>
        <w:rPr>
          <w:rFonts w:hint="eastAsia" w:ascii="宋体" w:hAnsi="宋体"/>
          <w:color w:val="auto"/>
          <w:sz w:val="24"/>
          <w:highlight w:val="none"/>
        </w:rPr>
        <w:t>的</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（委托代理人姓名、职务、身份证号） </w:t>
      </w:r>
      <w:r>
        <w:rPr>
          <w:rFonts w:ascii="宋体" w:hAnsi="宋体"/>
          <w:color w:val="auto"/>
          <w:sz w:val="24"/>
          <w:highlight w:val="none"/>
          <w:u w:val="single"/>
        </w:rPr>
        <w:t xml:space="preserve"> </w:t>
      </w:r>
      <w:r>
        <w:rPr>
          <w:rFonts w:hint="eastAsia" w:ascii="宋体" w:hAnsi="宋体"/>
          <w:color w:val="auto"/>
          <w:sz w:val="24"/>
          <w:highlight w:val="none"/>
        </w:rPr>
        <w:t>为本公司的合法代理人，参加</w:t>
      </w:r>
      <w:r>
        <w:rPr>
          <w:rFonts w:hint="eastAsia" w:ascii="宋体" w:hAnsi="宋体"/>
          <w:color w:val="auto"/>
          <w:sz w:val="24"/>
          <w:highlight w:val="none"/>
          <w:u w:val="single"/>
        </w:rPr>
        <w:t xml:space="preserve">（项目名称） </w:t>
      </w:r>
      <w:r>
        <w:rPr>
          <w:rFonts w:hint="eastAsia" w:ascii="宋体" w:hAnsi="宋体"/>
          <w:color w:val="auto"/>
          <w:sz w:val="24"/>
          <w:highlight w:val="none"/>
        </w:rPr>
        <w:t>的投标活动。</w:t>
      </w:r>
    </w:p>
    <w:p>
      <w:pPr>
        <w:spacing w:after="480" w:afterLines="200"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被授权代理人签署《</w:t>
      </w:r>
      <w:r>
        <w:rPr>
          <w:rFonts w:hint="eastAsia" w:ascii="宋体" w:hAnsi="宋体"/>
          <w:color w:val="auto"/>
          <w:sz w:val="24"/>
          <w:highlight w:val="none"/>
          <w:lang w:eastAsia="zh-CN"/>
        </w:rPr>
        <w:t>磋商响应文件</w:t>
      </w:r>
      <w:r>
        <w:rPr>
          <w:rFonts w:hint="eastAsia" w:ascii="宋体" w:hAnsi="宋体"/>
          <w:color w:val="auto"/>
          <w:sz w:val="24"/>
          <w:highlight w:val="none"/>
        </w:rPr>
        <w:t>》和处理一切与此有关的事务，我均予以认可。本授权书于</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日签字生效，</w:t>
      </w:r>
      <w:r>
        <w:rPr>
          <w:rFonts w:ascii="宋体" w:hAnsi="宋体"/>
          <w:color w:val="auto"/>
          <w:sz w:val="24"/>
          <w:highlight w:val="none"/>
        </w:rPr>
        <w:t xml:space="preserve"> </w:t>
      </w:r>
      <w:r>
        <w:rPr>
          <w:rFonts w:hint="eastAsia" w:ascii="宋体" w:hAnsi="宋体"/>
          <w:color w:val="auto"/>
          <w:sz w:val="24"/>
          <w:highlight w:val="none"/>
        </w:rPr>
        <w:t>特此声明。</w:t>
      </w:r>
    </w:p>
    <w:p>
      <w:pPr>
        <w:spacing w:line="360" w:lineRule="auto"/>
        <w:rPr>
          <w:rFonts w:ascii="宋体" w:hAnsi="宋体"/>
          <w:color w:val="auto"/>
          <w:szCs w:val="21"/>
          <w:highlight w:val="none"/>
        </w:rPr>
      </w:pPr>
      <w:r>
        <w:rPr>
          <w:rFonts w:hint="eastAsia" w:ascii="宋体" w:hAnsi="宋体"/>
          <w:b/>
          <w:color w:val="auto"/>
          <w:kern w:val="0"/>
          <w:sz w:val="24"/>
          <w:highlight w:val="none"/>
        </w:rPr>
        <w:t>委托代理人身份证复印件：</w:t>
      </w:r>
    </w:p>
    <w:p>
      <w:pPr>
        <w:spacing w:line="360" w:lineRule="auto"/>
        <w:rPr>
          <w:rFonts w:ascii="宋体" w:hAnsi="宋体"/>
          <w:color w:val="auto"/>
          <w:szCs w:val="21"/>
          <w:highlight w:val="none"/>
        </w:rPr>
      </w:pP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-22225</wp:posOffset>
                </wp:positionH>
                <wp:positionV relativeFrom="paragraph">
                  <wp:posOffset>8890</wp:posOffset>
                </wp:positionV>
                <wp:extent cx="2609215" cy="1704975"/>
                <wp:effectExtent l="4445" t="4445" r="15240" b="5080"/>
                <wp:wrapNone/>
                <wp:docPr id="14" name="文本框 14"/>
                <wp:cNvGraphicFramePr/>
                <a:graphic xmlns:a="http://schemas.openxmlformats.org/drawingml/2006/main">
                  <a:graphicData uri="http://schemas.microsoft.com/office/word/2010/wordprocessingShape">
                    <wps:wsp>
                      <wps:cNvSpPr txBox="1"/>
                      <wps:spPr>
                        <a:xfrm>
                          <a:off x="0" y="0"/>
                          <a:ext cx="2609215" cy="1704975"/>
                        </a:xfrm>
                        <a:prstGeom prst="rect">
                          <a:avLst/>
                        </a:prstGeom>
                        <a:solidFill>
                          <a:srgbClr val="FFFFFF"/>
                        </a:solidFill>
                        <a:ln w="9525" cap="flat" cmpd="sng">
                          <a:solidFill>
                            <a:srgbClr val="000000"/>
                          </a:solidFill>
                          <a:prstDash val="solid"/>
                          <a:miter/>
                          <a:headEnd type="none" w="med" len="med"/>
                          <a:tailEnd type="none" w="med" len="med"/>
                        </a:ln>
                      </wps:spPr>
                      <wps:txbx>
                        <w:txbxContent>
                          <w:p/>
                          <w:p/>
                          <w:p/>
                          <w:p/>
                          <w:p>
                            <w:r>
                              <w:rPr>
                                <w:rFonts w:hint="eastAsia"/>
                              </w:rPr>
                              <w:t xml:space="preserve">       附委托人身份证复印件正面</w:t>
                            </w:r>
                          </w:p>
                        </w:txbxContent>
                      </wps:txbx>
                      <wps:bodyPr upright="1"/>
                    </wps:wsp>
                  </a:graphicData>
                </a:graphic>
              </wp:anchor>
            </w:drawing>
          </mc:Choice>
          <mc:Fallback>
            <w:pict>
              <v:shape id="_x0000_s1026" o:spid="_x0000_s1026" o:spt="202" type="#_x0000_t202" style="position:absolute;left:0pt;margin-left:-1.75pt;margin-top:0.7pt;height:134.25pt;width:205.45pt;z-index:251661312;mso-width-relative:page;mso-height-relative:page;" fillcolor="#FFFFFF" filled="t" stroked="t" coordsize="21600,21600" o:gfxdata="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sGixNkAAAAIAQAADwAAAAAAAAABACAA&#10;AAAiAAAAZHJzL2Rvd25yZXYueG1sUEsBAhQAFAAAAAgAh07iQLXlR9IMAgAAOQQAAA4AAAAAAAAA&#10;AQAgAAAAKAEAAGRycy9lMm9Eb2MueG1sUEsFBgAAAAAGAAYAWQEAAKYFAAAAAA==&#10;">
                <v:fill on="t" focussize="0,0"/>
                <v:stroke color="#000000" joinstyle="miter"/>
                <v:imagedata o:title=""/>
                <o:lock v:ext="edit" aspectratio="f"/>
                <v:textbox>
                  <w:txbxContent>
                    <w:p/>
                    <w:p/>
                    <w:p/>
                    <w:p/>
                    <w:p>
                      <w:r>
                        <w:rPr>
                          <w:rFonts w:hint="eastAsia"/>
                        </w:rPr>
                        <w:t xml:space="preserve">       附委托人身份证复印件正面</w:t>
                      </w:r>
                    </w:p>
                  </w:txbxContent>
                </v:textbox>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2663190</wp:posOffset>
                </wp:positionH>
                <wp:positionV relativeFrom="paragraph">
                  <wp:posOffset>10160</wp:posOffset>
                </wp:positionV>
                <wp:extent cx="2722880" cy="1694180"/>
                <wp:effectExtent l="5080" t="5080" r="15240" b="15240"/>
                <wp:wrapNone/>
                <wp:docPr id="5" name="文本框 5"/>
                <wp:cNvGraphicFramePr/>
                <a:graphic xmlns:a="http://schemas.openxmlformats.org/drawingml/2006/main">
                  <a:graphicData uri="http://schemas.microsoft.com/office/word/2010/wordprocessingShape">
                    <wps:wsp>
                      <wps:cNvSpPr txBox="1"/>
                      <wps:spPr>
                        <a:xfrm>
                          <a:off x="0" y="0"/>
                          <a:ext cx="2722880" cy="1694180"/>
                        </a:xfrm>
                        <a:prstGeom prst="rect">
                          <a:avLst/>
                        </a:prstGeom>
                        <a:solidFill>
                          <a:srgbClr val="FFFFFF"/>
                        </a:solidFill>
                        <a:ln w="9525" cap="flat" cmpd="sng">
                          <a:solidFill>
                            <a:srgbClr val="000000"/>
                          </a:solidFill>
                          <a:prstDash val="solid"/>
                          <a:miter/>
                          <a:headEnd type="none" w="med" len="med"/>
                          <a:tailEnd type="none" w="med" len="med"/>
                        </a:ln>
                      </wps:spPr>
                      <wps:txbx>
                        <w:txbxContent>
                          <w:p/>
                          <w:p/>
                          <w:p/>
                          <w:p/>
                          <w:p>
                            <w:r>
                              <w:rPr>
                                <w:rFonts w:hint="eastAsia"/>
                              </w:rPr>
                              <w:t xml:space="preserve">      附委托人身份证复印件反面</w:t>
                            </w:r>
                          </w:p>
                        </w:txbxContent>
                      </wps:txbx>
                      <wps:bodyPr upright="1"/>
                    </wps:wsp>
                  </a:graphicData>
                </a:graphic>
              </wp:anchor>
            </w:drawing>
          </mc:Choice>
          <mc:Fallback>
            <w:pict>
              <v:shape id="_x0000_s1026" o:spid="_x0000_s1026" o:spt="202" type="#_x0000_t202" style="position:absolute;left:0pt;margin-left:209.7pt;margin-top:0.8pt;height:133.4pt;width:214.4pt;z-index:251662336;mso-width-relative:page;mso-height-relative:page;" fillcolor="#FFFFFF" filled="t" stroked="t" coordsize="21600,21600" o:gfxdata="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DUS1PYAAAACQEAAA8AAAAAAAAAAQAgAAAA&#10;IgAAAGRycy9kb3ducmV2LnhtbFBLAQIUABQAAAAIAIdO4kDTGYo9CwIAADcEAAAOAAAAAAAAAAEA&#10;IAAAACcBAABkcnMvZTJvRG9jLnhtbFBLBQYAAAAABgAGAFkBAACkBQAAAAA=&#10;">
                <v:fill on="t" focussize="0,0"/>
                <v:stroke color="#000000" joinstyle="miter"/>
                <v:imagedata o:title=""/>
                <o:lock v:ext="edit" aspectratio="f"/>
                <v:textbox>
                  <w:txbxContent>
                    <w:p/>
                    <w:p/>
                    <w:p/>
                    <w:p/>
                    <w:p>
                      <w:r>
                        <w:rPr>
                          <w:rFonts w:hint="eastAsia"/>
                        </w:rPr>
                        <w:t xml:space="preserve">      附委托人身份证复印件反面</w:t>
                      </w:r>
                    </w:p>
                  </w:txbxContent>
                </v:textbox>
              </v:shape>
            </w:pict>
          </mc:Fallback>
        </mc:AlternateContent>
      </w:r>
    </w:p>
    <w:p>
      <w:pPr>
        <w:spacing w:line="360" w:lineRule="auto"/>
        <w:rPr>
          <w:rFonts w:ascii="宋体" w:hAnsi="宋体"/>
          <w:color w:val="auto"/>
          <w:szCs w:val="21"/>
          <w:highlight w:val="none"/>
        </w:rPr>
      </w:pPr>
      <w:r>
        <w:rPr>
          <w:rFonts w:hint="eastAsia" w:ascii="宋体" w:hAnsi="宋体"/>
          <w:color w:val="auto"/>
          <w:szCs w:val="21"/>
          <w:highlight w:val="none"/>
        </w:rPr>
        <w:t xml:space="preserve">                                                         </w:t>
      </w: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pStyle w:val="21"/>
        <w:snapToGrid w:val="0"/>
        <w:spacing w:line="360" w:lineRule="auto"/>
        <w:ind w:firstLine="2730" w:firstLineChars="1300"/>
        <w:jc w:val="both"/>
        <w:rPr>
          <w:rFonts w:ascii="宋体" w:hAnsi="宋体" w:cs="宋体"/>
          <w:color w:val="auto"/>
          <w:sz w:val="21"/>
          <w:szCs w:val="21"/>
          <w:highlight w:val="none"/>
          <w:u w:val="single"/>
        </w:rPr>
      </w:pPr>
      <w:r>
        <w:rPr>
          <w:rFonts w:hint="eastAsia" w:ascii="宋体" w:hAnsi="宋体" w:cs="宋体"/>
          <w:color w:val="auto"/>
          <w:sz w:val="21"/>
          <w:szCs w:val="21"/>
          <w:highlight w:val="none"/>
        </w:rPr>
        <w:t>投标人名称(公章)：</w:t>
      </w:r>
      <w:r>
        <w:rPr>
          <w:rFonts w:hint="eastAsia" w:ascii="宋体" w:hAnsi="宋体" w:cs="宋体"/>
          <w:color w:val="auto"/>
          <w:sz w:val="21"/>
          <w:szCs w:val="21"/>
          <w:highlight w:val="none"/>
          <w:u w:val="single"/>
        </w:rPr>
        <w:t xml:space="preserve">                            </w:t>
      </w:r>
    </w:p>
    <w:p>
      <w:pPr>
        <w:pStyle w:val="21"/>
        <w:snapToGrid w:val="0"/>
        <w:spacing w:line="360" w:lineRule="auto"/>
        <w:ind w:firstLine="2730" w:firstLineChars="1300"/>
        <w:jc w:val="both"/>
        <w:rPr>
          <w:rFonts w:ascii="宋体" w:hAnsi="宋体" w:cs="宋体"/>
          <w:color w:val="auto"/>
          <w:sz w:val="21"/>
          <w:szCs w:val="21"/>
          <w:highlight w:val="none"/>
        </w:rPr>
      </w:pPr>
      <w:r>
        <w:rPr>
          <w:rFonts w:hint="eastAsia" w:ascii="宋体" w:hAnsi="宋体" w:cs="宋体"/>
          <w:color w:val="auto"/>
          <w:sz w:val="21"/>
          <w:szCs w:val="21"/>
          <w:highlight w:val="none"/>
        </w:rPr>
        <w:t>投标人法人签字：</w:t>
      </w:r>
      <w:r>
        <w:rPr>
          <w:rFonts w:hint="eastAsia" w:ascii="宋体" w:hAnsi="宋体" w:cs="宋体"/>
          <w:color w:val="auto"/>
          <w:sz w:val="21"/>
          <w:szCs w:val="21"/>
          <w:highlight w:val="none"/>
          <w:u w:val="single"/>
        </w:rPr>
        <w:t xml:space="preserve">                          </w:t>
      </w:r>
    </w:p>
    <w:p>
      <w:pPr>
        <w:pStyle w:val="21"/>
        <w:snapToGrid w:val="0"/>
        <w:spacing w:line="360" w:lineRule="auto"/>
        <w:ind w:firstLine="2730" w:firstLineChars="1300"/>
        <w:jc w:val="both"/>
        <w:rPr>
          <w:rFonts w:ascii="宋体" w:hAnsi="宋体" w:cs="宋体"/>
          <w:color w:val="auto"/>
          <w:sz w:val="21"/>
          <w:szCs w:val="21"/>
          <w:highlight w:val="none"/>
        </w:rPr>
      </w:pPr>
      <w:r>
        <w:rPr>
          <w:rFonts w:hint="eastAsia" w:ascii="宋体" w:hAnsi="宋体" w:cs="宋体"/>
          <w:color w:val="auto"/>
          <w:sz w:val="21"/>
          <w:szCs w:val="21"/>
          <w:highlight w:val="none"/>
        </w:rPr>
        <w:t>法定代表人身份证号：</w:t>
      </w:r>
      <w:r>
        <w:rPr>
          <w:rFonts w:hint="eastAsia" w:ascii="宋体" w:hAnsi="宋体" w:cs="宋体"/>
          <w:color w:val="auto"/>
          <w:sz w:val="21"/>
          <w:szCs w:val="21"/>
          <w:highlight w:val="none"/>
          <w:u w:val="single"/>
        </w:rPr>
        <w:t xml:space="preserve">                      </w:t>
      </w:r>
    </w:p>
    <w:p>
      <w:pPr>
        <w:pStyle w:val="21"/>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 xml:space="preserve">                      委托人签字：</w:t>
      </w:r>
      <w:r>
        <w:rPr>
          <w:rFonts w:hint="eastAsia" w:ascii="宋体" w:hAnsi="宋体" w:cs="宋体"/>
          <w:color w:val="auto"/>
          <w:sz w:val="21"/>
          <w:szCs w:val="21"/>
          <w:highlight w:val="none"/>
          <w:u w:val="single"/>
        </w:rPr>
        <w:t xml:space="preserve">                              </w:t>
      </w:r>
    </w:p>
    <w:p>
      <w:pPr>
        <w:pStyle w:val="21"/>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 xml:space="preserve">                      委托人身份证号：</w:t>
      </w:r>
      <w:r>
        <w:rPr>
          <w:rFonts w:hint="eastAsia" w:ascii="宋体" w:hAnsi="宋体" w:cs="宋体"/>
          <w:color w:val="auto"/>
          <w:sz w:val="21"/>
          <w:szCs w:val="21"/>
          <w:highlight w:val="none"/>
          <w:u w:val="single"/>
        </w:rPr>
        <w:t xml:space="preserve">                          </w:t>
      </w:r>
    </w:p>
    <w:p>
      <w:pPr>
        <w:pStyle w:val="21"/>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 xml:space="preserve">                          日      期：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pPr>
        <w:spacing w:after="3840" w:afterLines="1600" w:line="360" w:lineRule="auto"/>
        <w:rPr>
          <w:rFonts w:hint="eastAsia" w:ascii="宋体" w:hAnsi="宋体"/>
          <w:b/>
          <w:snapToGrid w:val="0"/>
          <w:color w:val="auto"/>
          <w:kern w:val="0"/>
          <w:sz w:val="24"/>
          <w:highlight w:val="none"/>
        </w:rPr>
      </w:pPr>
    </w:p>
    <w:p>
      <w:pPr>
        <w:pStyle w:val="4"/>
        <w:adjustRightInd/>
        <w:spacing w:before="0" w:after="240" w:afterLines="100"/>
        <w:textAlignment w:val="auto"/>
        <w:rPr>
          <w:rFonts w:hint="eastAsia" w:ascii="Arial" w:hAnsi="Arial" w:cs="Times New Roman"/>
          <w:b/>
          <w:bCs/>
          <w:color w:val="auto"/>
          <w:szCs w:val="32"/>
          <w:highlight w:val="none"/>
          <w:lang w:eastAsia="zh-CN"/>
        </w:rPr>
      </w:pPr>
      <w:r>
        <w:rPr>
          <w:rFonts w:ascii="宋体" w:hAnsi="宋体"/>
          <w:color w:val="auto"/>
          <w:sz w:val="24"/>
          <w:highlight w:val="none"/>
          <w:u w:val="single"/>
        </w:rPr>
        <w:br w:type="page"/>
      </w:r>
      <w:bookmarkStart w:id="477" w:name="_Toc24371"/>
      <w:bookmarkStart w:id="478" w:name="_Toc2626"/>
      <w:r>
        <w:rPr>
          <w:rFonts w:hint="eastAsia" w:ascii="Arial" w:hAnsi="Arial" w:cs="Times New Roman"/>
          <w:b/>
          <w:bCs/>
          <w:color w:val="auto"/>
          <w:szCs w:val="32"/>
          <w:highlight w:val="none"/>
          <w:lang w:eastAsia="zh-CN"/>
        </w:rPr>
        <w:t>七、供应商一般情况表</w:t>
      </w:r>
      <w:bookmarkEnd w:id="477"/>
      <w:bookmarkEnd w:id="478"/>
    </w:p>
    <w:tbl>
      <w:tblPr>
        <w:tblStyle w:val="15"/>
        <w:tblW w:w="86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93"/>
        <w:gridCol w:w="1766"/>
        <w:gridCol w:w="1211"/>
        <w:gridCol w:w="1767"/>
        <w:gridCol w:w="17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093" w:type="dxa"/>
            <w:noWrap w:val="0"/>
            <w:vAlign w:val="center"/>
          </w:tcPr>
          <w:p>
            <w:pPr>
              <w:adjustRightInd w:val="0"/>
              <w:snapToGrid w:val="0"/>
              <w:jc w:val="center"/>
              <w:rPr>
                <w:rFonts w:ascii="宋体" w:hAnsi="宋体"/>
                <w:b/>
                <w:color w:val="auto"/>
                <w:sz w:val="21"/>
                <w:szCs w:val="21"/>
                <w:highlight w:val="none"/>
              </w:rPr>
            </w:pPr>
            <w:r>
              <w:rPr>
                <w:rFonts w:hint="eastAsia" w:ascii="宋体" w:hAnsi="宋体" w:cs="宋体"/>
                <w:b/>
                <w:color w:val="auto"/>
                <w:sz w:val="21"/>
                <w:szCs w:val="21"/>
                <w:highlight w:val="none"/>
              </w:rPr>
              <w:t>投标人名称</w:t>
            </w:r>
          </w:p>
        </w:tc>
        <w:tc>
          <w:tcPr>
            <w:tcW w:w="6511" w:type="dxa"/>
            <w:gridSpan w:val="4"/>
            <w:noWrap w:val="0"/>
            <w:vAlign w:val="center"/>
          </w:tcPr>
          <w:p>
            <w:pPr>
              <w:adjustRightInd w:val="0"/>
              <w:snapToGrid w:val="0"/>
              <w:jc w:val="center"/>
              <w:rPr>
                <w:rFonts w:ascii="宋体" w:hAnsi="宋体"/>
                <w:b/>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093" w:type="dxa"/>
            <w:noWrap w:val="0"/>
            <w:vAlign w:val="center"/>
          </w:tcPr>
          <w:p>
            <w:pPr>
              <w:jc w:val="center"/>
              <w:rPr>
                <w:rFonts w:ascii="宋体" w:hAnsi="宋体"/>
                <w:b/>
                <w:color w:val="auto"/>
                <w:sz w:val="21"/>
                <w:szCs w:val="21"/>
                <w:highlight w:val="none"/>
              </w:rPr>
            </w:pPr>
            <w:r>
              <w:rPr>
                <w:rFonts w:hint="eastAsia" w:ascii="宋体" w:hAnsi="宋体"/>
                <w:b/>
                <w:color w:val="auto"/>
                <w:sz w:val="21"/>
                <w:szCs w:val="21"/>
                <w:highlight w:val="none"/>
              </w:rPr>
              <w:t>注册地址</w:t>
            </w:r>
          </w:p>
        </w:tc>
        <w:tc>
          <w:tcPr>
            <w:tcW w:w="6511" w:type="dxa"/>
            <w:gridSpan w:val="4"/>
            <w:noWrap w:val="0"/>
            <w:vAlign w:val="center"/>
          </w:tcPr>
          <w:p>
            <w:pPr>
              <w:adjustRightInd w:val="0"/>
              <w:snapToGrid w:val="0"/>
              <w:jc w:val="center"/>
              <w:rPr>
                <w:rFonts w:ascii="宋体" w:hAnsi="宋体"/>
                <w:b/>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093" w:type="dxa"/>
            <w:vMerge w:val="restart"/>
            <w:noWrap w:val="0"/>
            <w:vAlign w:val="center"/>
          </w:tcPr>
          <w:p>
            <w:pPr>
              <w:adjustRightInd w:val="0"/>
              <w:snapToGrid w:val="0"/>
              <w:jc w:val="center"/>
              <w:rPr>
                <w:rFonts w:ascii="宋体" w:hAnsi="宋体"/>
                <w:b/>
                <w:color w:val="auto"/>
                <w:sz w:val="21"/>
                <w:szCs w:val="21"/>
                <w:highlight w:val="none"/>
              </w:rPr>
            </w:pPr>
            <w:r>
              <w:rPr>
                <w:rFonts w:hint="eastAsia" w:ascii="宋体" w:hAnsi="宋体" w:cs="宋体"/>
                <w:b/>
                <w:color w:val="auto"/>
                <w:sz w:val="21"/>
                <w:szCs w:val="21"/>
                <w:highlight w:val="none"/>
              </w:rPr>
              <w:t>联系方式</w:t>
            </w:r>
          </w:p>
        </w:tc>
        <w:tc>
          <w:tcPr>
            <w:tcW w:w="1766" w:type="dxa"/>
            <w:noWrap w:val="0"/>
            <w:vAlign w:val="center"/>
          </w:tcPr>
          <w:p>
            <w:pPr>
              <w:adjustRightInd w:val="0"/>
              <w:snapToGrid w:val="0"/>
              <w:jc w:val="center"/>
              <w:rPr>
                <w:rFonts w:ascii="宋体" w:hAnsi="宋体"/>
                <w:b/>
                <w:color w:val="auto"/>
                <w:sz w:val="21"/>
                <w:szCs w:val="21"/>
                <w:highlight w:val="none"/>
              </w:rPr>
            </w:pPr>
            <w:r>
              <w:rPr>
                <w:rFonts w:hint="eastAsia" w:ascii="宋体" w:hAnsi="宋体" w:cs="宋体"/>
                <w:b/>
                <w:color w:val="auto"/>
                <w:sz w:val="21"/>
                <w:szCs w:val="21"/>
                <w:highlight w:val="none"/>
              </w:rPr>
              <w:t>联系人</w:t>
            </w:r>
          </w:p>
        </w:tc>
        <w:tc>
          <w:tcPr>
            <w:tcW w:w="1211" w:type="dxa"/>
            <w:noWrap w:val="0"/>
            <w:vAlign w:val="center"/>
          </w:tcPr>
          <w:p>
            <w:pPr>
              <w:adjustRightInd w:val="0"/>
              <w:snapToGrid w:val="0"/>
              <w:jc w:val="center"/>
              <w:rPr>
                <w:rFonts w:ascii="宋体" w:hAnsi="宋体"/>
                <w:b/>
                <w:color w:val="auto"/>
                <w:sz w:val="21"/>
                <w:szCs w:val="21"/>
                <w:highlight w:val="none"/>
              </w:rPr>
            </w:pPr>
          </w:p>
        </w:tc>
        <w:tc>
          <w:tcPr>
            <w:tcW w:w="1767" w:type="dxa"/>
            <w:noWrap w:val="0"/>
            <w:vAlign w:val="center"/>
          </w:tcPr>
          <w:p>
            <w:pPr>
              <w:adjustRightInd w:val="0"/>
              <w:snapToGrid w:val="0"/>
              <w:jc w:val="center"/>
              <w:rPr>
                <w:rFonts w:ascii="宋体" w:hAnsi="宋体"/>
                <w:b/>
                <w:color w:val="auto"/>
                <w:sz w:val="21"/>
                <w:szCs w:val="21"/>
                <w:highlight w:val="none"/>
              </w:rPr>
            </w:pPr>
            <w:r>
              <w:rPr>
                <w:rFonts w:hint="eastAsia" w:ascii="宋体" w:hAnsi="宋体"/>
                <w:b/>
                <w:color w:val="auto"/>
                <w:sz w:val="21"/>
                <w:szCs w:val="21"/>
                <w:highlight w:val="none"/>
              </w:rPr>
              <w:t>电话</w:t>
            </w:r>
          </w:p>
        </w:tc>
        <w:tc>
          <w:tcPr>
            <w:tcW w:w="1767" w:type="dxa"/>
            <w:noWrap w:val="0"/>
            <w:vAlign w:val="center"/>
          </w:tcPr>
          <w:p>
            <w:pPr>
              <w:adjustRightInd w:val="0"/>
              <w:snapToGrid w:val="0"/>
              <w:jc w:val="center"/>
              <w:rPr>
                <w:rFonts w:ascii="宋体" w:hAnsi="宋体"/>
                <w:b/>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093" w:type="dxa"/>
            <w:vMerge w:val="continue"/>
            <w:noWrap w:val="0"/>
            <w:vAlign w:val="center"/>
          </w:tcPr>
          <w:p>
            <w:pPr>
              <w:adjustRightInd w:val="0"/>
              <w:snapToGrid w:val="0"/>
              <w:jc w:val="center"/>
              <w:rPr>
                <w:rFonts w:ascii="宋体" w:hAnsi="宋体"/>
                <w:b/>
                <w:color w:val="auto"/>
                <w:sz w:val="21"/>
                <w:szCs w:val="21"/>
                <w:highlight w:val="none"/>
              </w:rPr>
            </w:pPr>
          </w:p>
        </w:tc>
        <w:tc>
          <w:tcPr>
            <w:tcW w:w="1766" w:type="dxa"/>
            <w:noWrap w:val="0"/>
            <w:vAlign w:val="center"/>
          </w:tcPr>
          <w:p>
            <w:pPr>
              <w:adjustRightInd w:val="0"/>
              <w:snapToGrid w:val="0"/>
              <w:jc w:val="center"/>
              <w:rPr>
                <w:rFonts w:ascii="宋体" w:hAnsi="宋体"/>
                <w:b/>
                <w:color w:val="auto"/>
                <w:sz w:val="21"/>
                <w:szCs w:val="21"/>
                <w:highlight w:val="none"/>
              </w:rPr>
            </w:pPr>
            <w:r>
              <w:rPr>
                <w:rFonts w:hint="eastAsia" w:ascii="宋体" w:hAnsi="宋体"/>
                <w:b/>
                <w:color w:val="auto"/>
                <w:sz w:val="21"/>
                <w:szCs w:val="21"/>
                <w:highlight w:val="none"/>
              </w:rPr>
              <w:t>传真</w:t>
            </w:r>
          </w:p>
        </w:tc>
        <w:tc>
          <w:tcPr>
            <w:tcW w:w="1211" w:type="dxa"/>
            <w:noWrap w:val="0"/>
            <w:vAlign w:val="center"/>
          </w:tcPr>
          <w:p>
            <w:pPr>
              <w:adjustRightInd w:val="0"/>
              <w:snapToGrid w:val="0"/>
              <w:jc w:val="center"/>
              <w:rPr>
                <w:rFonts w:ascii="宋体" w:hAnsi="宋体"/>
                <w:b/>
                <w:color w:val="auto"/>
                <w:sz w:val="21"/>
                <w:szCs w:val="21"/>
                <w:highlight w:val="none"/>
              </w:rPr>
            </w:pPr>
          </w:p>
        </w:tc>
        <w:tc>
          <w:tcPr>
            <w:tcW w:w="1767" w:type="dxa"/>
            <w:noWrap w:val="0"/>
            <w:vAlign w:val="center"/>
          </w:tcPr>
          <w:p>
            <w:pPr>
              <w:adjustRightInd w:val="0"/>
              <w:snapToGrid w:val="0"/>
              <w:jc w:val="center"/>
              <w:rPr>
                <w:rFonts w:ascii="宋体" w:hAnsi="宋体"/>
                <w:b/>
                <w:color w:val="auto"/>
                <w:sz w:val="21"/>
                <w:szCs w:val="21"/>
                <w:highlight w:val="none"/>
              </w:rPr>
            </w:pPr>
            <w:r>
              <w:rPr>
                <w:rFonts w:hint="eastAsia" w:ascii="宋体" w:hAnsi="宋体"/>
                <w:b/>
                <w:color w:val="auto"/>
                <w:sz w:val="21"/>
                <w:szCs w:val="21"/>
                <w:highlight w:val="none"/>
              </w:rPr>
              <w:t>电子邮箱</w:t>
            </w:r>
          </w:p>
        </w:tc>
        <w:tc>
          <w:tcPr>
            <w:tcW w:w="1767" w:type="dxa"/>
            <w:noWrap w:val="0"/>
            <w:vAlign w:val="center"/>
          </w:tcPr>
          <w:p>
            <w:pPr>
              <w:adjustRightInd w:val="0"/>
              <w:snapToGrid w:val="0"/>
              <w:jc w:val="center"/>
              <w:rPr>
                <w:rFonts w:ascii="宋体" w:hAnsi="宋体"/>
                <w:b/>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6" w:hRule="exact"/>
          <w:jc w:val="center"/>
        </w:trPr>
        <w:tc>
          <w:tcPr>
            <w:tcW w:w="2093" w:type="dxa"/>
            <w:noWrap w:val="0"/>
            <w:vAlign w:val="center"/>
          </w:tcPr>
          <w:p>
            <w:pPr>
              <w:adjustRightInd w:val="0"/>
              <w:snapToGrid w:val="0"/>
              <w:jc w:val="center"/>
              <w:rPr>
                <w:rFonts w:ascii="宋体" w:hAnsi="宋体"/>
                <w:b/>
                <w:color w:val="auto"/>
                <w:sz w:val="21"/>
                <w:szCs w:val="21"/>
                <w:highlight w:val="none"/>
              </w:rPr>
            </w:pPr>
            <w:r>
              <w:rPr>
                <w:rFonts w:hint="eastAsia" w:ascii="宋体" w:hAnsi="宋体"/>
                <w:b/>
                <w:color w:val="auto"/>
                <w:sz w:val="21"/>
                <w:szCs w:val="21"/>
                <w:highlight w:val="none"/>
              </w:rPr>
              <w:t>法定代表人</w:t>
            </w:r>
          </w:p>
          <w:p>
            <w:pPr>
              <w:adjustRightInd w:val="0"/>
              <w:snapToGrid w:val="0"/>
              <w:jc w:val="center"/>
              <w:rPr>
                <w:rFonts w:ascii="宋体" w:hAnsi="宋体"/>
                <w:b/>
                <w:color w:val="auto"/>
                <w:sz w:val="21"/>
                <w:szCs w:val="21"/>
                <w:highlight w:val="none"/>
              </w:rPr>
            </w:pPr>
            <w:r>
              <w:rPr>
                <w:rFonts w:hint="eastAsia" w:ascii="宋体" w:hAnsi="宋体"/>
                <w:b/>
                <w:color w:val="auto"/>
                <w:sz w:val="21"/>
                <w:szCs w:val="21"/>
                <w:highlight w:val="none"/>
              </w:rPr>
              <w:t>（或负责人）</w:t>
            </w:r>
          </w:p>
        </w:tc>
        <w:tc>
          <w:tcPr>
            <w:tcW w:w="1766" w:type="dxa"/>
            <w:noWrap w:val="0"/>
            <w:vAlign w:val="center"/>
          </w:tcPr>
          <w:p>
            <w:pPr>
              <w:adjustRightInd w:val="0"/>
              <w:snapToGrid w:val="0"/>
              <w:jc w:val="center"/>
              <w:rPr>
                <w:rFonts w:ascii="宋体" w:hAnsi="宋体"/>
                <w:b/>
                <w:color w:val="auto"/>
                <w:sz w:val="21"/>
                <w:szCs w:val="21"/>
                <w:highlight w:val="none"/>
              </w:rPr>
            </w:pPr>
            <w:r>
              <w:rPr>
                <w:rFonts w:hint="eastAsia" w:ascii="宋体" w:hAnsi="宋体"/>
                <w:b/>
                <w:color w:val="auto"/>
                <w:sz w:val="21"/>
                <w:szCs w:val="21"/>
                <w:highlight w:val="none"/>
              </w:rPr>
              <w:t>姓名</w:t>
            </w:r>
          </w:p>
        </w:tc>
        <w:tc>
          <w:tcPr>
            <w:tcW w:w="1211" w:type="dxa"/>
            <w:noWrap w:val="0"/>
            <w:vAlign w:val="center"/>
          </w:tcPr>
          <w:p>
            <w:pPr>
              <w:adjustRightInd w:val="0"/>
              <w:snapToGrid w:val="0"/>
              <w:jc w:val="center"/>
              <w:rPr>
                <w:rFonts w:ascii="宋体" w:hAnsi="宋体"/>
                <w:b/>
                <w:color w:val="auto"/>
                <w:sz w:val="21"/>
                <w:szCs w:val="21"/>
                <w:highlight w:val="none"/>
              </w:rPr>
            </w:pPr>
          </w:p>
        </w:tc>
        <w:tc>
          <w:tcPr>
            <w:tcW w:w="1767" w:type="dxa"/>
            <w:noWrap w:val="0"/>
            <w:vAlign w:val="center"/>
          </w:tcPr>
          <w:p>
            <w:pPr>
              <w:adjustRightInd w:val="0"/>
              <w:snapToGrid w:val="0"/>
              <w:jc w:val="center"/>
              <w:rPr>
                <w:rFonts w:ascii="宋体" w:hAnsi="宋体"/>
                <w:b/>
                <w:color w:val="auto"/>
                <w:sz w:val="21"/>
                <w:szCs w:val="21"/>
                <w:highlight w:val="none"/>
              </w:rPr>
            </w:pPr>
            <w:r>
              <w:rPr>
                <w:rFonts w:hint="eastAsia" w:ascii="宋体" w:hAnsi="宋体"/>
                <w:b/>
                <w:color w:val="auto"/>
                <w:sz w:val="21"/>
                <w:szCs w:val="21"/>
                <w:highlight w:val="none"/>
              </w:rPr>
              <w:t>电话</w:t>
            </w:r>
          </w:p>
        </w:tc>
        <w:tc>
          <w:tcPr>
            <w:tcW w:w="1767" w:type="dxa"/>
            <w:noWrap w:val="0"/>
            <w:vAlign w:val="center"/>
          </w:tcPr>
          <w:p>
            <w:pPr>
              <w:adjustRightInd w:val="0"/>
              <w:snapToGrid w:val="0"/>
              <w:jc w:val="center"/>
              <w:rPr>
                <w:rFonts w:ascii="宋体" w:hAnsi="宋体"/>
                <w:b/>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093" w:type="dxa"/>
            <w:noWrap w:val="0"/>
            <w:vAlign w:val="center"/>
          </w:tcPr>
          <w:p>
            <w:pPr>
              <w:adjustRightInd w:val="0"/>
              <w:snapToGrid w:val="0"/>
              <w:jc w:val="center"/>
              <w:rPr>
                <w:rFonts w:ascii="宋体" w:hAnsi="宋体"/>
                <w:b/>
                <w:color w:val="auto"/>
                <w:sz w:val="21"/>
                <w:szCs w:val="21"/>
                <w:highlight w:val="none"/>
              </w:rPr>
            </w:pPr>
            <w:r>
              <w:rPr>
                <w:rFonts w:hint="eastAsia" w:ascii="宋体" w:hAnsi="宋体"/>
                <w:b/>
                <w:color w:val="auto"/>
                <w:sz w:val="21"/>
                <w:szCs w:val="21"/>
                <w:highlight w:val="none"/>
              </w:rPr>
              <w:t>统一社会信用代码</w:t>
            </w:r>
          </w:p>
        </w:tc>
        <w:tc>
          <w:tcPr>
            <w:tcW w:w="2977" w:type="dxa"/>
            <w:gridSpan w:val="2"/>
            <w:noWrap w:val="0"/>
            <w:vAlign w:val="center"/>
          </w:tcPr>
          <w:p>
            <w:pPr>
              <w:adjustRightInd w:val="0"/>
              <w:snapToGrid w:val="0"/>
              <w:jc w:val="center"/>
              <w:rPr>
                <w:rFonts w:ascii="宋体" w:hAnsi="宋体"/>
                <w:b/>
                <w:color w:val="auto"/>
                <w:sz w:val="21"/>
                <w:szCs w:val="21"/>
                <w:highlight w:val="none"/>
              </w:rPr>
            </w:pPr>
          </w:p>
        </w:tc>
        <w:tc>
          <w:tcPr>
            <w:tcW w:w="1767" w:type="dxa"/>
            <w:noWrap w:val="0"/>
            <w:vAlign w:val="center"/>
          </w:tcPr>
          <w:p>
            <w:pPr>
              <w:adjustRightInd w:val="0"/>
              <w:snapToGrid w:val="0"/>
              <w:jc w:val="center"/>
              <w:rPr>
                <w:rFonts w:ascii="宋体" w:hAnsi="宋体"/>
                <w:b/>
                <w:color w:val="auto"/>
                <w:sz w:val="21"/>
                <w:szCs w:val="21"/>
                <w:highlight w:val="none"/>
              </w:rPr>
            </w:pPr>
            <w:r>
              <w:rPr>
                <w:rFonts w:hint="eastAsia" w:ascii="宋体" w:hAnsi="宋体"/>
                <w:b/>
                <w:color w:val="auto"/>
                <w:sz w:val="21"/>
                <w:szCs w:val="21"/>
                <w:highlight w:val="none"/>
              </w:rPr>
              <w:t>员工总人数</w:t>
            </w:r>
          </w:p>
        </w:tc>
        <w:tc>
          <w:tcPr>
            <w:tcW w:w="1767" w:type="dxa"/>
            <w:noWrap w:val="0"/>
            <w:vAlign w:val="center"/>
          </w:tcPr>
          <w:p>
            <w:pPr>
              <w:adjustRightInd w:val="0"/>
              <w:snapToGrid w:val="0"/>
              <w:jc w:val="center"/>
              <w:rPr>
                <w:rFonts w:ascii="宋体" w:hAnsi="宋体"/>
                <w:b/>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093" w:type="dxa"/>
            <w:noWrap w:val="0"/>
            <w:vAlign w:val="center"/>
          </w:tcPr>
          <w:p>
            <w:pPr>
              <w:adjustRightInd w:val="0"/>
              <w:snapToGrid w:val="0"/>
              <w:jc w:val="center"/>
              <w:rPr>
                <w:rFonts w:ascii="宋体" w:hAnsi="宋体"/>
                <w:b/>
                <w:color w:val="auto"/>
                <w:sz w:val="21"/>
                <w:szCs w:val="21"/>
                <w:highlight w:val="none"/>
              </w:rPr>
            </w:pPr>
            <w:r>
              <w:rPr>
                <w:rFonts w:hint="eastAsia" w:ascii="宋体" w:hAnsi="宋体"/>
                <w:b/>
                <w:color w:val="auto"/>
                <w:sz w:val="21"/>
                <w:szCs w:val="21"/>
                <w:highlight w:val="none"/>
              </w:rPr>
              <w:t>类型</w:t>
            </w:r>
          </w:p>
        </w:tc>
        <w:tc>
          <w:tcPr>
            <w:tcW w:w="1766" w:type="dxa"/>
            <w:noWrap w:val="0"/>
            <w:vAlign w:val="center"/>
          </w:tcPr>
          <w:p>
            <w:pPr>
              <w:adjustRightInd w:val="0"/>
              <w:snapToGrid w:val="0"/>
              <w:jc w:val="center"/>
              <w:rPr>
                <w:rFonts w:ascii="宋体" w:hAnsi="宋体"/>
                <w:b/>
                <w:color w:val="auto"/>
                <w:sz w:val="21"/>
                <w:szCs w:val="21"/>
                <w:highlight w:val="none"/>
              </w:rPr>
            </w:pPr>
          </w:p>
        </w:tc>
        <w:tc>
          <w:tcPr>
            <w:tcW w:w="1211" w:type="dxa"/>
            <w:vMerge w:val="restart"/>
            <w:noWrap w:val="0"/>
            <w:vAlign w:val="center"/>
          </w:tcPr>
          <w:p>
            <w:pPr>
              <w:adjustRightInd w:val="0"/>
              <w:snapToGrid w:val="0"/>
              <w:jc w:val="center"/>
              <w:rPr>
                <w:rFonts w:ascii="宋体" w:hAnsi="宋体"/>
                <w:b/>
                <w:color w:val="auto"/>
                <w:sz w:val="21"/>
                <w:szCs w:val="21"/>
                <w:highlight w:val="none"/>
              </w:rPr>
            </w:pPr>
            <w:r>
              <w:rPr>
                <w:rFonts w:hint="eastAsia" w:ascii="宋体" w:hAnsi="宋体"/>
                <w:b/>
                <w:color w:val="auto"/>
                <w:sz w:val="21"/>
                <w:szCs w:val="21"/>
                <w:highlight w:val="none"/>
              </w:rPr>
              <w:t>其中</w:t>
            </w:r>
          </w:p>
        </w:tc>
        <w:tc>
          <w:tcPr>
            <w:tcW w:w="1767" w:type="dxa"/>
            <w:vMerge w:val="restart"/>
            <w:noWrap w:val="0"/>
            <w:vAlign w:val="center"/>
          </w:tcPr>
          <w:p>
            <w:pPr>
              <w:adjustRightInd w:val="0"/>
              <w:snapToGrid w:val="0"/>
              <w:jc w:val="center"/>
              <w:rPr>
                <w:rFonts w:ascii="宋体" w:hAnsi="宋体"/>
                <w:b/>
                <w:color w:val="auto"/>
                <w:sz w:val="21"/>
                <w:szCs w:val="21"/>
                <w:highlight w:val="none"/>
              </w:rPr>
            </w:pPr>
            <w:r>
              <w:rPr>
                <w:rFonts w:hint="eastAsia" w:ascii="宋体" w:hAnsi="宋体"/>
                <w:b/>
                <w:color w:val="auto"/>
                <w:sz w:val="21"/>
                <w:szCs w:val="21"/>
                <w:highlight w:val="none"/>
              </w:rPr>
              <w:t>基本账户开户银行</w:t>
            </w:r>
          </w:p>
        </w:tc>
        <w:tc>
          <w:tcPr>
            <w:tcW w:w="1767" w:type="dxa"/>
            <w:vMerge w:val="restart"/>
            <w:noWrap w:val="0"/>
            <w:vAlign w:val="center"/>
          </w:tcPr>
          <w:p>
            <w:pPr>
              <w:adjustRightInd w:val="0"/>
              <w:snapToGrid w:val="0"/>
              <w:jc w:val="center"/>
              <w:rPr>
                <w:rFonts w:ascii="宋体" w:hAnsi="宋体"/>
                <w:b/>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093" w:type="dxa"/>
            <w:noWrap w:val="0"/>
            <w:vAlign w:val="center"/>
          </w:tcPr>
          <w:p>
            <w:pPr>
              <w:adjustRightInd w:val="0"/>
              <w:snapToGrid w:val="0"/>
              <w:jc w:val="center"/>
              <w:rPr>
                <w:rFonts w:ascii="宋体" w:hAnsi="宋体"/>
                <w:b/>
                <w:color w:val="auto"/>
                <w:sz w:val="21"/>
                <w:szCs w:val="21"/>
                <w:highlight w:val="none"/>
              </w:rPr>
            </w:pPr>
            <w:r>
              <w:rPr>
                <w:rFonts w:hint="eastAsia" w:ascii="宋体" w:hAnsi="宋体"/>
                <w:b/>
                <w:color w:val="auto"/>
                <w:sz w:val="21"/>
                <w:szCs w:val="21"/>
                <w:highlight w:val="none"/>
              </w:rPr>
              <w:t>注册资本</w:t>
            </w:r>
          </w:p>
        </w:tc>
        <w:tc>
          <w:tcPr>
            <w:tcW w:w="1766" w:type="dxa"/>
            <w:noWrap w:val="0"/>
            <w:vAlign w:val="center"/>
          </w:tcPr>
          <w:p>
            <w:pPr>
              <w:adjustRightInd w:val="0"/>
              <w:snapToGrid w:val="0"/>
              <w:jc w:val="center"/>
              <w:rPr>
                <w:rFonts w:ascii="宋体" w:hAnsi="宋体"/>
                <w:b/>
                <w:color w:val="auto"/>
                <w:sz w:val="21"/>
                <w:szCs w:val="21"/>
                <w:highlight w:val="none"/>
              </w:rPr>
            </w:pPr>
          </w:p>
        </w:tc>
        <w:tc>
          <w:tcPr>
            <w:tcW w:w="1211" w:type="dxa"/>
            <w:vMerge w:val="continue"/>
            <w:noWrap w:val="0"/>
            <w:vAlign w:val="center"/>
          </w:tcPr>
          <w:p>
            <w:pPr>
              <w:adjustRightInd w:val="0"/>
              <w:snapToGrid w:val="0"/>
              <w:jc w:val="center"/>
              <w:rPr>
                <w:rFonts w:ascii="宋体" w:hAnsi="宋体"/>
                <w:b/>
                <w:color w:val="auto"/>
                <w:sz w:val="21"/>
                <w:szCs w:val="21"/>
                <w:highlight w:val="none"/>
              </w:rPr>
            </w:pPr>
          </w:p>
        </w:tc>
        <w:tc>
          <w:tcPr>
            <w:tcW w:w="1767" w:type="dxa"/>
            <w:vMerge w:val="continue"/>
            <w:noWrap w:val="0"/>
            <w:vAlign w:val="center"/>
          </w:tcPr>
          <w:p>
            <w:pPr>
              <w:adjustRightInd w:val="0"/>
              <w:snapToGrid w:val="0"/>
              <w:jc w:val="center"/>
              <w:rPr>
                <w:rFonts w:ascii="宋体" w:hAnsi="宋体"/>
                <w:b/>
                <w:color w:val="auto"/>
                <w:sz w:val="21"/>
                <w:szCs w:val="21"/>
                <w:highlight w:val="none"/>
              </w:rPr>
            </w:pPr>
          </w:p>
        </w:tc>
        <w:tc>
          <w:tcPr>
            <w:tcW w:w="1767" w:type="dxa"/>
            <w:vMerge w:val="continue"/>
            <w:noWrap w:val="0"/>
            <w:vAlign w:val="center"/>
          </w:tcPr>
          <w:p>
            <w:pPr>
              <w:adjustRightInd w:val="0"/>
              <w:snapToGrid w:val="0"/>
              <w:jc w:val="center"/>
              <w:rPr>
                <w:rFonts w:ascii="宋体" w:hAnsi="宋体"/>
                <w:b/>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093" w:type="dxa"/>
            <w:noWrap w:val="0"/>
            <w:vAlign w:val="center"/>
          </w:tcPr>
          <w:p>
            <w:pPr>
              <w:adjustRightInd w:val="0"/>
              <w:snapToGrid w:val="0"/>
              <w:jc w:val="center"/>
              <w:rPr>
                <w:rFonts w:ascii="宋体" w:hAnsi="宋体"/>
                <w:b/>
                <w:color w:val="auto"/>
                <w:sz w:val="21"/>
                <w:szCs w:val="21"/>
                <w:highlight w:val="none"/>
              </w:rPr>
            </w:pPr>
            <w:r>
              <w:rPr>
                <w:rFonts w:hint="eastAsia" w:ascii="宋体" w:hAnsi="宋体"/>
                <w:b/>
                <w:color w:val="auto"/>
                <w:sz w:val="21"/>
                <w:szCs w:val="21"/>
                <w:highlight w:val="none"/>
              </w:rPr>
              <w:t>成立日期</w:t>
            </w:r>
          </w:p>
        </w:tc>
        <w:tc>
          <w:tcPr>
            <w:tcW w:w="1766" w:type="dxa"/>
            <w:noWrap w:val="0"/>
            <w:vAlign w:val="center"/>
          </w:tcPr>
          <w:p>
            <w:pPr>
              <w:adjustRightInd w:val="0"/>
              <w:snapToGrid w:val="0"/>
              <w:jc w:val="center"/>
              <w:rPr>
                <w:rFonts w:ascii="宋体" w:hAnsi="宋体"/>
                <w:b/>
                <w:color w:val="auto"/>
                <w:sz w:val="21"/>
                <w:szCs w:val="21"/>
                <w:highlight w:val="none"/>
              </w:rPr>
            </w:pPr>
          </w:p>
        </w:tc>
        <w:tc>
          <w:tcPr>
            <w:tcW w:w="1211" w:type="dxa"/>
            <w:vMerge w:val="continue"/>
            <w:noWrap w:val="0"/>
            <w:vAlign w:val="center"/>
          </w:tcPr>
          <w:p>
            <w:pPr>
              <w:adjustRightInd w:val="0"/>
              <w:snapToGrid w:val="0"/>
              <w:jc w:val="center"/>
              <w:rPr>
                <w:rFonts w:ascii="宋体" w:hAnsi="宋体"/>
                <w:b/>
                <w:color w:val="auto"/>
                <w:sz w:val="21"/>
                <w:szCs w:val="21"/>
                <w:highlight w:val="none"/>
              </w:rPr>
            </w:pPr>
          </w:p>
        </w:tc>
        <w:tc>
          <w:tcPr>
            <w:tcW w:w="1767" w:type="dxa"/>
            <w:vMerge w:val="continue"/>
            <w:noWrap w:val="0"/>
            <w:vAlign w:val="center"/>
          </w:tcPr>
          <w:p>
            <w:pPr>
              <w:adjustRightInd w:val="0"/>
              <w:snapToGrid w:val="0"/>
              <w:jc w:val="center"/>
              <w:rPr>
                <w:rFonts w:ascii="宋体" w:hAnsi="宋体"/>
                <w:b/>
                <w:color w:val="auto"/>
                <w:sz w:val="21"/>
                <w:szCs w:val="21"/>
                <w:highlight w:val="none"/>
              </w:rPr>
            </w:pPr>
          </w:p>
        </w:tc>
        <w:tc>
          <w:tcPr>
            <w:tcW w:w="1767" w:type="dxa"/>
            <w:vMerge w:val="continue"/>
            <w:noWrap w:val="0"/>
            <w:vAlign w:val="center"/>
          </w:tcPr>
          <w:p>
            <w:pPr>
              <w:adjustRightInd w:val="0"/>
              <w:snapToGrid w:val="0"/>
              <w:jc w:val="center"/>
              <w:rPr>
                <w:rFonts w:ascii="宋体" w:hAnsi="宋体"/>
                <w:b/>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093" w:type="dxa"/>
            <w:noWrap w:val="0"/>
            <w:vAlign w:val="center"/>
          </w:tcPr>
          <w:p>
            <w:pPr>
              <w:adjustRightInd w:val="0"/>
              <w:snapToGrid w:val="0"/>
              <w:jc w:val="center"/>
              <w:rPr>
                <w:rFonts w:ascii="宋体" w:hAnsi="宋体"/>
                <w:b/>
                <w:color w:val="auto"/>
                <w:sz w:val="21"/>
                <w:szCs w:val="21"/>
                <w:highlight w:val="none"/>
              </w:rPr>
            </w:pPr>
            <w:r>
              <w:rPr>
                <w:rFonts w:hint="eastAsia" w:ascii="宋体" w:hAnsi="宋体"/>
                <w:b/>
                <w:color w:val="auto"/>
                <w:sz w:val="21"/>
                <w:szCs w:val="21"/>
                <w:highlight w:val="none"/>
              </w:rPr>
              <w:t>营业期限</w:t>
            </w:r>
          </w:p>
        </w:tc>
        <w:tc>
          <w:tcPr>
            <w:tcW w:w="1766" w:type="dxa"/>
            <w:noWrap w:val="0"/>
            <w:vAlign w:val="center"/>
          </w:tcPr>
          <w:p>
            <w:pPr>
              <w:adjustRightInd w:val="0"/>
              <w:snapToGrid w:val="0"/>
              <w:jc w:val="center"/>
              <w:rPr>
                <w:rFonts w:ascii="宋体" w:hAnsi="宋体"/>
                <w:b/>
                <w:color w:val="auto"/>
                <w:sz w:val="21"/>
                <w:szCs w:val="21"/>
                <w:highlight w:val="none"/>
              </w:rPr>
            </w:pPr>
          </w:p>
        </w:tc>
        <w:tc>
          <w:tcPr>
            <w:tcW w:w="1211" w:type="dxa"/>
            <w:vMerge w:val="continue"/>
            <w:noWrap w:val="0"/>
            <w:vAlign w:val="center"/>
          </w:tcPr>
          <w:p>
            <w:pPr>
              <w:adjustRightInd w:val="0"/>
              <w:snapToGrid w:val="0"/>
              <w:jc w:val="center"/>
              <w:rPr>
                <w:rFonts w:ascii="宋体" w:hAnsi="宋体"/>
                <w:b/>
                <w:color w:val="auto"/>
                <w:sz w:val="21"/>
                <w:szCs w:val="21"/>
                <w:highlight w:val="none"/>
              </w:rPr>
            </w:pPr>
          </w:p>
        </w:tc>
        <w:tc>
          <w:tcPr>
            <w:tcW w:w="1767" w:type="dxa"/>
            <w:vMerge w:val="restart"/>
            <w:noWrap w:val="0"/>
            <w:vAlign w:val="center"/>
          </w:tcPr>
          <w:p>
            <w:pPr>
              <w:adjustRightInd w:val="0"/>
              <w:snapToGrid w:val="0"/>
              <w:jc w:val="center"/>
              <w:rPr>
                <w:rFonts w:ascii="宋体" w:hAnsi="宋体"/>
                <w:b/>
                <w:color w:val="auto"/>
                <w:sz w:val="21"/>
                <w:szCs w:val="21"/>
                <w:highlight w:val="none"/>
              </w:rPr>
            </w:pPr>
            <w:r>
              <w:rPr>
                <w:rFonts w:hint="eastAsia" w:ascii="宋体" w:hAnsi="宋体"/>
                <w:b/>
                <w:color w:val="auto"/>
                <w:sz w:val="21"/>
                <w:szCs w:val="21"/>
                <w:highlight w:val="none"/>
              </w:rPr>
              <w:t>基本账户银行账号</w:t>
            </w:r>
          </w:p>
        </w:tc>
        <w:tc>
          <w:tcPr>
            <w:tcW w:w="1767" w:type="dxa"/>
            <w:vMerge w:val="restart"/>
            <w:noWrap w:val="0"/>
            <w:vAlign w:val="center"/>
          </w:tcPr>
          <w:p>
            <w:pPr>
              <w:adjustRightInd w:val="0"/>
              <w:snapToGrid w:val="0"/>
              <w:jc w:val="center"/>
              <w:rPr>
                <w:rFonts w:ascii="宋体" w:hAnsi="宋体"/>
                <w:b/>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093" w:type="dxa"/>
            <w:noWrap w:val="0"/>
            <w:vAlign w:val="center"/>
          </w:tcPr>
          <w:p>
            <w:pPr>
              <w:adjustRightInd w:val="0"/>
              <w:snapToGrid w:val="0"/>
              <w:jc w:val="center"/>
              <w:rPr>
                <w:rFonts w:ascii="宋体" w:hAnsi="宋体"/>
                <w:b/>
                <w:color w:val="auto"/>
                <w:sz w:val="21"/>
                <w:szCs w:val="21"/>
                <w:highlight w:val="none"/>
              </w:rPr>
            </w:pPr>
            <w:r>
              <w:rPr>
                <w:rFonts w:hint="eastAsia" w:ascii="宋体" w:hAnsi="宋体"/>
                <w:b/>
                <w:color w:val="auto"/>
                <w:sz w:val="21"/>
                <w:szCs w:val="21"/>
                <w:highlight w:val="none"/>
              </w:rPr>
              <w:t>登记机关</w:t>
            </w:r>
          </w:p>
        </w:tc>
        <w:tc>
          <w:tcPr>
            <w:tcW w:w="1766" w:type="dxa"/>
            <w:noWrap w:val="0"/>
            <w:vAlign w:val="center"/>
          </w:tcPr>
          <w:p>
            <w:pPr>
              <w:adjustRightInd w:val="0"/>
              <w:snapToGrid w:val="0"/>
              <w:jc w:val="center"/>
              <w:rPr>
                <w:rFonts w:ascii="宋体" w:hAnsi="宋体"/>
                <w:b/>
                <w:color w:val="auto"/>
                <w:sz w:val="21"/>
                <w:szCs w:val="21"/>
                <w:highlight w:val="none"/>
              </w:rPr>
            </w:pPr>
          </w:p>
        </w:tc>
        <w:tc>
          <w:tcPr>
            <w:tcW w:w="1211" w:type="dxa"/>
            <w:vMerge w:val="continue"/>
            <w:noWrap w:val="0"/>
            <w:vAlign w:val="center"/>
          </w:tcPr>
          <w:p>
            <w:pPr>
              <w:adjustRightInd w:val="0"/>
              <w:snapToGrid w:val="0"/>
              <w:jc w:val="center"/>
              <w:rPr>
                <w:rFonts w:ascii="宋体" w:hAnsi="宋体"/>
                <w:b/>
                <w:color w:val="auto"/>
                <w:sz w:val="21"/>
                <w:szCs w:val="21"/>
                <w:highlight w:val="none"/>
              </w:rPr>
            </w:pPr>
          </w:p>
        </w:tc>
        <w:tc>
          <w:tcPr>
            <w:tcW w:w="1767" w:type="dxa"/>
            <w:vMerge w:val="continue"/>
            <w:noWrap w:val="0"/>
            <w:vAlign w:val="center"/>
          </w:tcPr>
          <w:p>
            <w:pPr>
              <w:adjustRightInd w:val="0"/>
              <w:snapToGrid w:val="0"/>
              <w:jc w:val="center"/>
              <w:rPr>
                <w:rFonts w:ascii="宋体" w:hAnsi="宋体"/>
                <w:b/>
                <w:color w:val="auto"/>
                <w:sz w:val="21"/>
                <w:szCs w:val="21"/>
                <w:highlight w:val="none"/>
              </w:rPr>
            </w:pPr>
          </w:p>
        </w:tc>
        <w:tc>
          <w:tcPr>
            <w:tcW w:w="1767" w:type="dxa"/>
            <w:vMerge w:val="continue"/>
            <w:noWrap w:val="0"/>
            <w:vAlign w:val="center"/>
          </w:tcPr>
          <w:p>
            <w:pPr>
              <w:adjustRightInd w:val="0"/>
              <w:snapToGrid w:val="0"/>
              <w:jc w:val="center"/>
              <w:rPr>
                <w:rFonts w:ascii="宋体" w:hAnsi="宋体"/>
                <w:b/>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3" w:hRule="exact"/>
          <w:jc w:val="center"/>
        </w:trPr>
        <w:tc>
          <w:tcPr>
            <w:tcW w:w="2093" w:type="dxa"/>
            <w:noWrap w:val="0"/>
            <w:vAlign w:val="center"/>
          </w:tcPr>
          <w:p>
            <w:pPr>
              <w:adjustRightInd w:val="0"/>
              <w:snapToGrid w:val="0"/>
              <w:jc w:val="center"/>
              <w:rPr>
                <w:rFonts w:ascii="宋体" w:hAnsi="宋体"/>
                <w:b/>
                <w:color w:val="auto"/>
                <w:sz w:val="21"/>
                <w:szCs w:val="21"/>
                <w:highlight w:val="none"/>
              </w:rPr>
            </w:pPr>
            <w:r>
              <w:rPr>
                <w:rFonts w:hint="eastAsia" w:ascii="宋体" w:hAnsi="宋体" w:cs="宋体"/>
                <w:b/>
                <w:color w:val="auto"/>
                <w:sz w:val="21"/>
                <w:szCs w:val="21"/>
                <w:highlight w:val="none"/>
              </w:rPr>
              <w:t>经营范围</w:t>
            </w:r>
          </w:p>
        </w:tc>
        <w:tc>
          <w:tcPr>
            <w:tcW w:w="6511" w:type="dxa"/>
            <w:gridSpan w:val="4"/>
            <w:noWrap w:val="0"/>
            <w:vAlign w:val="center"/>
          </w:tcPr>
          <w:p>
            <w:pPr>
              <w:adjustRightInd w:val="0"/>
              <w:snapToGrid w:val="0"/>
              <w:jc w:val="center"/>
              <w:rPr>
                <w:rFonts w:ascii="宋体" w:hAnsi="宋体"/>
                <w:b/>
                <w:color w:val="auto"/>
                <w:sz w:val="21"/>
                <w:szCs w:val="21"/>
                <w:highlight w:val="none"/>
              </w:rPr>
            </w:pPr>
          </w:p>
          <w:p>
            <w:pPr>
              <w:adjustRightInd w:val="0"/>
              <w:snapToGrid w:val="0"/>
              <w:jc w:val="center"/>
              <w:rPr>
                <w:rFonts w:ascii="宋体" w:hAnsi="宋体"/>
                <w:b/>
                <w:color w:val="auto"/>
                <w:sz w:val="21"/>
                <w:szCs w:val="21"/>
                <w:highlight w:val="none"/>
              </w:rPr>
            </w:pPr>
          </w:p>
          <w:p>
            <w:pPr>
              <w:adjustRightInd w:val="0"/>
              <w:snapToGrid w:val="0"/>
              <w:jc w:val="center"/>
              <w:rPr>
                <w:rFonts w:ascii="宋体" w:hAnsi="宋体"/>
                <w:b/>
                <w:color w:val="auto"/>
                <w:sz w:val="21"/>
                <w:szCs w:val="21"/>
                <w:highlight w:val="none"/>
              </w:rPr>
            </w:pPr>
          </w:p>
          <w:p>
            <w:pPr>
              <w:adjustRightInd w:val="0"/>
              <w:snapToGrid w:val="0"/>
              <w:jc w:val="center"/>
              <w:rPr>
                <w:rFonts w:ascii="宋体" w:hAnsi="宋体"/>
                <w:b/>
                <w:color w:val="auto"/>
                <w:sz w:val="21"/>
                <w:szCs w:val="21"/>
                <w:highlight w:val="none"/>
              </w:rPr>
            </w:pPr>
          </w:p>
          <w:p>
            <w:pPr>
              <w:adjustRightInd w:val="0"/>
              <w:snapToGrid w:val="0"/>
              <w:jc w:val="center"/>
              <w:rPr>
                <w:rFonts w:ascii="宋体" w:hAnsi="宋体"/>
                <w:b/>
                <w:color w:val="auto"/>
                <w:sz w:val="21"/>
                <w:szCs w:val="21"/>
                <w:highlight w:val="none"/>
              </w:rPr>
            </w:pPr>
          </w:p>
          <w:p>
            <w:pPr>
              <w:adjustRightInd w:val="0"/>
              <w:snapToGrid w:val="0"/>
              <w:jc w:val="center"/>
              <w:rPr>
                <w:rFonts w:ascii="宋体" w:hAnsi="宋体"/>
                <w:b/>
                <w:color w:val="auto"/>
                <w:sz w:val="21"/>
                <w:szCs w:val="21"/>
                <w:highlight w:val="none"/>
              </w:rPr>
            </w:pPr>
          </w:p>
          <w:p>
            <w:pPr>
              <w:adjustRightInd w:val="0"/>
              <w:snapToGrid w:val="0"/>
              <w:jc w:val="center"/>
              <w:rPr>
                <w:rFonts w:ascii="宋体" w:hAnsi="宋体"/>
                <w:b/>
                <w:color w:val="auto"/>
                <w:sz w:val="21"/>
                <w:szCs w:val="21"/>
                <w:highlight w:val="none"/>
              </w:rPr>
            </w:pPr>
          </w:p>
          <w:p>
            <w:pPr>
              <w:adjustRightInd w:val="0"/>
              <w:snapToGrid w:val="0"/>
              <w:jc w:val="center"/>
              <w:rPr>
                <w:rFonts w:ascii="宋体" w:hAnsi="宋体"/>
                <w:b/>
                <w:color w:val="auto"/>
                <w:sz w:val="21"/>
                <w:szCs w:val="21"/>
                <w:highlight w:val="none"/>
              </w:rPr>
            </w:pPr>
          </w:p>
          <w:p>
            <w:pPr>
              <w:adjustRightInd w:val="0"/>
              <w:snapToGrid w:val="0"/>
              <w:jc w:val="center"/>
              <w:rPr>
                <w:rFonts w:ascii="宋体" w:hAnsi="宋体"/>
                <w:b/>
                <w:color w:val="auto"/>
                <w:sz w:val="21"/>
                <w:szCs w:val="21"/>
                <w:highlight w:val="none"/>
              </w:rPr>
            </w:pPr>
          </w:p>
        </w:tc>
      </w:tr>
    </w:tbl>
    <w:p>
      <w:pPr>
        <w:pStyle w:val="22"/>
        <w:snapToGrid w:val="0"/>
        <w:spacing w:line="394" w:lineRule="exact"/>
        <w:ind w:firstLine="482" w:firstLineChars="200"/>
        <w:jc w:val="both"/>
        <w:outlineLvl w:val="1"/>
        <w:rPr>
          <w:rFonts w:hint="eastAsia"/>
          <w:b/>
          <w:bCs/>
          <w:color w:val="auto"/>
          <w:highlight w:val="none"/>
        </w:rPr>
      </w:pPr>
      <w:bookmarkStart w:id="479" w:name="_Toc17930"/>
      <w:r>
        <w:rPr>
          <w:rFonts w:hint="eastAsia"/>
          <w:b/>
          <w:bCs/>
          <w:color w:val="auto"/>
          <w:highlight w:val="none"/>
        </w:rPr>
        <w:t>注：本表后应附企业法人营业执照</w:t>
      </w:r>
      <w:r>
        <w:rPr>
          <w:rFonts w:hint="eastAsia"/>
          <w:b/>
          <w:bCs/>
          <w:color w:val="auto"/>
          <w:highlight w:val="none"/>
          <w:lang w:eastAsia="zh-CN"/>
        </w:rPr>
        <w:t>等资格审查所需</w:t>
      </w:r>
      <w:r>
        <w:rPr>
          <w:rFonts w:hint="eastAsia"/>
          <w:b/>
          <w:bCs/>
          <w:color w:val="auto"/>
          <w:highlight w:val="none"/>
        </w:rPr>
        <w:t>相关材料的复印件。（</w:t>
      </w:r>
      <w:r>
        <w:rPr>
          <w:rFonts w:hint="eastAsia"/>
          <w:b/>
          <w:bCs/>
          <w:color w:val="auto"/>
          <w:highlight w:val="none"/>
          <w:lang w:eastAsia="zh-CN"/>
        </w:rPr>
        <w:t>投标人</w:t>
      </w:r>
      <w:r>
        <w:rPr>
          <w:rFonts w:hint="eastAsia"/>
          <w:b/>
          <w:bCs/>
          <w:color w:val="auto"/>
          <w:highlight w:val="none"/>
        </w:rPr>
        <w:t>可根据本表自行编制）</w:t>
      </w:r>
      <w:bookmarkEnd w:id="479"/>
      <w:bookmarkStart w:id="480" w:name="_Toc27071"/>
      <w:bookmarkStart w:id="481" w:name="_Toc5017"/>
      <w:bookmarkStart w:id="482" w:name="_Toc21412"/>
    </w:p>
    <w:p>
      <w:pPr>
        <w:pStyle w:val="22"/>
        <w:snapToGrid w:val="0"/>
        <w:spacing w:line="394" w:lineRule="exact"/>
        <w:ind w:firstLine="482" w:firstLineChars="200"/>
        <w:jc w:val="both"/>
        <w:outlineLvl w:val="1"/>
        <w:rPr>
          <w:rFonts w:hint="eastAsia"/>
          <w:b/>
          <w:bCs/>
          <w:color w:val="auto"/>
          <w:highlight w:val="none"/>
        </w:rPr>
      </w:pPr>
    </w:p>
    <w:p>
      <w:pPr>
        <w:pStyle w:val="22"/>
        <w:snapToGrid w:val="0"/>
        <w:spacing w:line="394" w:lineRule="exact"/>
        <w:ind w:firstLine="482" w:firstLineChars="200"/>
        <w:jc w:val="both"/>
        <w:outlineLvl w:val="1"/>
        <w:rPr>
          <w:rFonts w:hint="eastAsia"/>
          <w:b/>
          <w:bCs/>
          <w:color w:val="auto"/>
          <w:highlight w:val="none"/>
        </w:rPr>
      </w:pPr>
    </w:p>
    <w:p>
      <w:pPr>
        <w:pStyle w:val="22"/>
        <w:snapToGrid w:val="0"/>
        <w:spacing w:line="394" w:lineRule="exact"/>
        <w:ind w:firstLine="482" w:firstLineChars="200"/>
        <w:jc w:val="both"/>
        <w:outlineLvl w:val="1"/>
        <w:rPr>
          <w:rFonts w:hint="eastAsia"/>
          <w:b/>
          <w:bCs/>
          <w:color w:val="auto"/>
          <w:highlight w:val="none"/>
        </w:rPr>
      </w:pPr>
    </w:p>
    <w:p>
      <w:pPr>
        <w:pStyle w:val="22"/>
        <w:snapToGrid w:val="0"/>
        <w:spacing w:line="394" w:lineRule="exact"/>
        <w:ind w:firstLine="482" w:firstLineChars="200"/>
        <w:jc w:val="both"/>
        <w:outlineLvl w:val="1"/>
        <w:rPr>
          <w:rFonts w:hint="eastAsia"/>
          <w:b/>
          <w:bCs/>
          <w:color w:val="auto"/>
          <w:highlight w:val="none"/>
        </w:rPr>
      </w:pPr>
    </w:p>
    <w:p>
      <w:pPr>
        <w:jc w:val="center"/>
        <w:outlineLvl w:val="0"/>
        <w:rPr>
          <w:rFonts w:hint="eastAsia" w:ascii="Times New Roman" w:hAnsi="Times New Roman" w:eastAsia="宋体" w:cs="Times New Roman"/>
          <w:b/>
          <w:bCs/>
          <w:color w:val="auto"/>
          <w:sz w:val="32"/>
          <w:szCs w:val="32"/>
          <w:highlight w:val="none"/>
          <w:lang w:val="en-US" w:eastAsia="zh-CN"/>
        </w:rPr>
      </w:pPr>
      <w:bookmarkStart w:id="483" w:name="_Toc31268"/>
      <w:bookmarkStart w:id="484" w:name="_Toc425"/>
      <w:bookmarkStart w:id="485" w:name="_Toc14246"/>
      <w:r>
        <w:rPr>
          <w:rFonts w:hint="eastAsia" w:ascii="Times New Roman" w:hAnsi="Times New Roman" w:eastAsia="宋体" w:cs="Times New Roman"/>
          <w:b/>
          <w:bCs/>
          <w:color w:val="auto"/>
          <w:sz w:val="32"/>
          <w:szCs w:val="32"/>
          <w:highlight w:val="none"/>
          <w:lang w:val="en-US" w:eastAsia="zh-CN"/>
        </w:rPr>
        <w:t>八、近三年已完成或在执行类似项目一览表</w:t>
      </w:r>
      <w:bookmarkEnd w:id="483"/>
      <w:bookmarkEnd w:id="484"/>
      <w:bookmarkEnd w:id="485"/>
    </w:p>
    <w:p>
      <w:pPr>
        <w:snapToGrid w:val="0"/>
        <w:rPr>
          <w:color w:val="auto"/>
          <w:highlight w:val="none"/>
          <w:u w:val="single"/>
        </w:rPr>
      </w:pPr>
      <w:r>
        <w:rPr>
          <w:rFonts w:hint="eastAsia"/>
          <w:color w:val="auto"/>
          <w:highlight w:val="none"/>
        </w:rPr>
        <w:t>投标人名称：</w:t>
      </w:r>
    </w:p>
    <w:tbl>
      <w:tblPr>
        <w:tblStyle w:val="15"/>
        <w:tblW w:w="0" w:type="auto"/>
        <w:tblInd w:w="0" w:type="dxa"/>
        <w:tblLayout w:type="fixed"/>
        <w:tblCellMar>
          <w:top w:w="15" w:type="dxa"/>
          <w:left w:w="15" w:type="dxa"/>
          <w:bottom w:w="15" w:type="dxa"/>
          <w:right w:w="15" w:type="dxa"/>
        </w:tblCellMar>
      </w:tblPr>
      <w:tblGrid>
        <w:gridCol w:w="645"/>
        <w:gridCol w:w="960"/>
        <w:gridCol w:w="1423"/>
        <w:gridCol w:w="1047"/>
        <w:gridCol w:w="1280"/>
        <w:gridCol w:w="1074"/>
        <w:gridCol w:w="2496"/>
      </w:tblGrid>
      <w:tr>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序号</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项目名称</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项 目 内 容（类似项目）</w:t>
            </w: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合同金额（万元）</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已结算金额（万元）</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完成日期</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业主名称、联系人及电话</w:t>
            </w:r>
          </w:p>
        </w:tc>
      </w:tr>
      <w:tr>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2"/>
                <w:szCs w:val="22"/>
                <w:highlight w:val="none"/>
              </w:rPr>
            </w:pP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2"/>
                <w:szCs w:val="22"/>
                <w:highlight w:val="none"/>
              </w:rPr>
            </w:pP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2"/>
                <w:szCs w:val="22"/>
                <w:highlight w:val="none"/>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2"/>
                <w:szCs w:val="22"/>
                <w:highlight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2"/>
                <w:szCs w:val="22"/>
                <w:highlight w:val="none"/>
              </w:rPr>
            </w:pP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2"/>
                <w:szCs w:val="22"/>
                <w:highlight w:val="none"/>
              </w:rPr>
            </w:pPr>
          </w:p>
        </w:tc>
      </w:tr>
      <w:tr>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2"/>
                <w:szCs w:val="22"/>
                <w:highlight w:val="none"/>
              </w:rPr>
            </w:pP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2"/>
                <w:szCs w:val="22"/>
                <w:highlight w:val="none"/>
              </w:rPr>
            </w:pP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2"/>
                <w:szCs w:val="22"/>
                <w:highlight w:val="none"/>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2"/>
                <w:szCs w:val="22"/>
                <w:highlight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2"/>
                <w:szCs w:val="22"/>
                <w:highlight w:val="none"/>
              </w:rPr>
            </w:pP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2"/>
                <w:szCs w:val="22"/>
                <w:highlight w:val="none"/>
              </w:rPr>
            </w:pPr>
          </w:p>
        </w:tc>
      </w:tr>
      <w:tr>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2"/>
                <w:szCs w:val="22"/>
                <w:highlight w:val="none"/>
              </w:rPr>
            </w:pP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2"/>
                <w:szCs w:val="22"/>
                <w:highlight w:val="none"/>
              </w:rPr>
            </w:pP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2"/>
                <w:szCs w:val="22"/>
                <w:highlight w:val="none"/>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2"/>
                <w:szCs w:val="22"/>
                <w:highlight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2"/>
                <w:szCs w:val="22"/>
                <w:highlight w:val="none"/>
              </w:rPr>
            </w:pP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2"/>
                <w:szCs w:val="22"/>
                <w:highlight w:val="none"/>
              </w:rPr>
            </w:pPr>
          </w:p>
        </w:tc>
      </w:tr>
      <w:tr>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2"/>
                <w:szCs w:val="22"/>
                <w:highlight w:val="none"/>
              </w:rPr>
            </w:pP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2"/>
                <w:szCs w:val="22"/>
                <w:highlight w:val="none"/>
              </w:rPr>
            </w:pP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2"/>
                <w:szCs w:val="22"/>
                <w:highlight w:val="none"/>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2"/>
                <w:szCs w:val="22"/>
                <w:highlight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2"/>
                <w:szCs w:val="22"/>
                <w:highlight w:val="none"/>
              </w:rPr>
            </w:pP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2"/>
                <w:szCs w:val="22"/>
                <w:highlight w:val="none"/>
              </w:rPr>
            </w:pPr>
          </w:p>
        </w:tc>
      </w:tr>
      <w:tr>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2"/>
                <w:szCs w:val="22"/>
                <w:highlight w:val="none"/>
              </w:rPr>
            </w:pP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2"/>
                <w:szCs w:val="22"/>
                <w:highlight w:val="none"/>
              </w:rPr>
            </w:pP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2"/>
                <w:szCs w:val="22"/>
                <w:highlight w:val="none"/>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2"/>
                <w:szCs w:val="22"/>
                <w:highlight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2"/>
                <w:szCs w:val="22"/>
                <w:highlight w:val="none"/>
              </w:rPr>
            </w:pP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2"/>
                <w:szCs w:val="22"/>
                <w:highlight w:val="none"/>
              </w:rPr>
            </w:pPr>
          </w:p>
        </w:tc>
      </w:tr>
      <w:tr>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2"/>
                <w:szCs w:val="22"/>
                <w:highlight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2"/>
                <w:szCs w:val="22"/>
                <w:highlight w:val="none"/>
              </w:rPr>
            </w:pP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2"/>
                <w:szCs w:val="22"/>
                <w:highlight w:val="none"/>
              </w:rPr>
            </w:pP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2"/>
                <w:szCs w:val="22"/>
                <w:highlight w:val="none"/>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2"/>
                <w:szCs w:val="22"/>
                <w:highlight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2"/>
                <w:szCs w:val="22"/>
                <w:highlight w:val="none"/>
              </w:rPr>
            </w:pP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2"/>
                <w:szCs w:val="22"/>
                <w:highlight w:val="none"/>
              </w:rPr>
            </w:pPr>
          </w:p>
        </w:tc>
      </w:tr>
      <w:tr>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2"/>
                <w:szCs w:val="22"/>
                <w:highlight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2"/>
                <w:szCs w:val="22"/>
                <w:highlight w:val="none"/>
              </w:rPr>
            </w:pP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2"/>
                <w:szCs w:val="22"/>
                <w:highlight w:val="none"/>
              </w:rPr>
            </w:pP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2"/>
                <w:szCs w:val="22"/>
                <w:highlight w:val="none"/>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2"/>
                <w:szCs w:val="22"/>
                <w:highlight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2"/>
                <w:szCs w:val="22"/>
                <w:highlight w:val="none"/>
              </w:rPr>
            </w:pP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2"/>
                <w:szCs w:val="22"/>
                <w:highlight w:val="none"/>
              </w:rPr>
            </w:pPr>
          </w:p>
        </w:tc>
      </w:tr>
      <w:tr>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2"/>
                <w:szCs w:val="22"/>
                <w:highlight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2"/>
                <w:szCs w:val="22"/>
                <w:highlight w:val="none"/>
              </w:rPr>
            </w:pP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2"/>
                <w:szCs w:val="22"/>
                <w:highlight w:val="none"/>
              </w:rPr>
            </w:pP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2"/>
                <w:szCs w:val="22"/>
                <w:highlight w:val="none"/>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2"/>
                <w:szCs w:val="22"/>
                <w:highlight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2"/>
                <w:szCs w:val="22"/>
                <w:highlight w:val="none"/>
              </w:rPr>
            </w:pP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2"/>
                <w:szCs w:val="22"/>
                <w:highlight w:val="none"/>
              </w:rPr>
            </w:pPr>
          </w:p>
        </w:tc>
      </w:tr>
      <w:tr>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2"/>
                <w:szCs w:val="22"/>
                <w:highlight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2"/>
                <w:szCs w:val="22"/>
                <w:highlight w:val="none"/>
              </w:rPr>
            </w:pP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2"/>
                <w:szCs w:val="22"/>
                <w:highlight w:val="none"/>
              </w:rPr>
            </w:pP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2"/>
                <w:szCs w:val="22"/>
                <w:highlight w:val="none"/>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2"/>
                <w:szCs w:val="22"/>
                <w:highlight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2"/>
                <w:szCs w:val="22"/>
                <w:highlight w:val="none"/>
              </w:rPr>
            </w:pP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2"/>
                <w:szCs w:val="22"/>
                <w:highlight w:val="none"/>
              </w:rPr>
            </w:pPr>
          </w:p>
        </w:tc>
      </w:tr>
    </w:tbl>
    <w:p>
      <w:pPr>
        <w:snapToGrid w:val="0"/>
        <w:rPr>
          <w:rFonts w:hint="eastAsia" w:ascii="宋体"/>
          <w:b/>
          <w:color w:val="auto"/>
          <w:highlight w:val="none"/>
        </w:rPr>
      </w:pPr>
    </w:p>
    <w:p>
      <w:pPr>
        <w:snapToGrid w:val="0"/>
        <w:rPr>
          <w:rFonts w:hint="eastAsia" w:ascii="宋体"/>
          <w:b/>
          <w:color w:val="auto"/>
          <w:highlight w:val="none"/>
        </w:rPr>
      </w:pPr>
    </w:p>
    <w:p>
      <w:pPr>
        <w:snapToGrid w:val="0"/>
        <w:rPr>
          <w:rFonts w:hint="eastAsia" w:ascii="宋体"/>
          <w:b/>
          <w:color w:val="auto"/>
          <w:highlight w:val="none"/>
        </w:rPr>
      </w:pPr>
      <w:r>
        <w:rPr>
          <w:rFonts w:hint="eastAsia" w:ascii="宋体"/>
          <w:b/>
          <w:color w:val="auto"/>
          <w:highlight w:val="none"/>
        </w:rPr>
        <w:t>注：1.投标人应如实列出以上情况，如有隐瞒，一经查实将导致其投标申请被视为无效投标。</w:t>
      </w:r>
    </w:p>
    <w:p>
      <w:pPr>
        <w:numPr>
          <w:ilvl w:val="0"/>
          <w:numId w:val="11"/>
        </w:numPr>
        <w:snapToGrid w:val="0"/>
        <w:ind w:firstLine="422" w:firstLineChars="200"/>
        <w:rPr>
          <w:rFonts w:hint="eastAsia" w:ascii="宋体"/>
          <w:b/>
          <w:color w:val="auto"/>
          <w:highlight w:val="none"/>
        </w:rPr>
      </w:pPr>
      <w:r>
        <w:rPr>
          <w:rFonts w:hint="eastAsia" w:ascii="宋体"/>
          <w:b/>
          <w:color w:val="auto"/>
          <w:highlight w:val="none"/>
        </w:rPr>
        <w:t>对于已完项目，投标人应提供</w:t>
      </w:r>
      <w:r>
        <w:rPr>
          <w:rFonts w:hint="eastAsia" w:ascii="宋体"/>
          <w:b/>
          <w:color w:val="auto"/>
          <w:highlight w:val="none"/>
          <w:lang w:val="zh-CN"/>
        </w:rPr>
        <w:t>合同原件及竣工验收报告</w:t>
      </w:r>
      <w:r>
        <w:rPr>
          <w:rFonts w:hint="eastAsia" w:ascii="宋体"/>
          <w:b/>
          <w:color w:val="auto"/>
          <w:highlight w:val="none"/>
        </w:rPr>
        <w:t>。</w:t>
      </w:r>
    </w:p>
    <w:p>
      <w:pPr>
        <w:pStyle w:val="6"/>
        <w:numPr>
          <w:ilvl w:val="0"/>
          <w:numId w:val="0"/>
        </w:numPr>
        <w:rPr>
          <w:rFonts w:hint="default" w:ascii="宋体" w:hAnsi="Times New Roman" w:eastAsia="宋体" w:cs="Times New Roman"/>
          <w:b/>
          <w:color w:val="auto"/>
          <w:kern w:val="2"/>
          <w:sz w:val="21"/>
          <w:szCs w:val="24"/>
          <w:highlight w:val="none"/>
          <w:lang w:val="en-US" w:eastAsia="zh-CN" w:bidi="ar-SA"/>
        </w:rPr>
      </w:pPr>
      <w:r>
        <w:rPr>
          <w:rFonts w:hint="eastAsia"/>
          <w:color w:val="auto"/>
          <w:highlight w:val="none"/>
          <w:lang w:val="en-US" w:eastAsia="zh-CN"/>
        </w:rPr>
        <w:t xml:space="preserve"> </w:t>
      </w:r>
      <w:r>
        <w:rPr>
          <w:rFonts w:hint="eastAsia" w:ascii="宋体" w:hAnsi="Times New Roman" w:eastAsia="宋体" w:cs="Times New Roman"/>
          <w:b/>
          <w:color w:val="auto"/>
          <w:kern w:val="2"/>
          <w:sz w:val="21"/>
          <w:szCs w:val="24"/>
          <w:highlight w:val="none"/>
          <w:lang w:val="en-US" w:eastAsia="zh-CN" w:bidi="ar-SA"/>
        </w:rPr>
        <w:t xml:space="preserve">   3.此表后附中标通知书或合同复印件，原件现场备查。</w:t>
      </w:r>
    </w:p>
    <w:p>
      <w:pPr>
        <w:pStyle w:val="22"/>
        <w:snapToGrid w:val="0"/>
        <w:spacing w:line="394" w:lineRule="exact"/>
        <w:ind w:firstLine="482" w:firstLineChars="200"/>
        <w:jc w:val="both"/>
        <w:outlineLvl w:val="1"/>
        <w:rPr>
          <w:rFonts w:hint="eastAsia"/>
          <w:b/>
          <w:bCs/>
          <w:color w:val="auto"/>
          <w:highlight w:val="none"/>
        </w:rPr>
      </w:pPr>
    </w:p>
    <w:p>
      <w:pPr>
        <w:pStyle w:val="22"/>
        <w:snapToGrid w:val="0"/>
        <w:spacing w:line="394" w:lineRule="exact"/>
        <w:ind w:firstLine="482" w:firstLineChars="200"/>
        <w:jc w:val="both"/>
        <w:outlineLvl w:val="1"/>
        <w:rPr>
          <w:rFonts w:hint="eastAsia"/>
          <w:b/>
          <w:bCs/>
          <w:color w:val="auto"/>
          <w:highlight w:val="none"/>
        </w:rPr>
      </w:pPr>
    </w:p>
    <w:p>
      <w:pPr>
        <w:pStyle w:val="22"/>
        <w:snapToGrid w:val="0"/>
        <w:spacing w:line="394" w:lineRule="exact"/>
        <w:ind w:firstLine="482" w:firstLineChars="200"/>
        <w:jc w:val="both"/>
        <w:outlineLvl w:val="1"/>
        <w:rPr>
          <w:rFonts w:hint="eastAsia"/>
          <w:b/>
          <w:bCs/>
          <w:color w:val="auto"/>
          <w:highlight w:val="none"/>
        </w:rPr>
      </w:pPr>
    </w:p>
    <w:p>
      <w:pPr>
        <w:pStyle w:val="22"/>
        <w:snapToGrid w:val="0"/>
        <w:spacing w:line="394" w:lineRule="exact"/>
        <w:ind w:firstLine="482" w:firstLineChars="200"/>
        <w:jc w:val="both"/>
        <w:outlineLvl w:val="1"/>
        <w:rPr>
          <w:rFonts w:hint="eastAsia"/>
          <w:b/>
          <w:bCs/>
          <w:color w:val="auto"/>
          <w:highlight w:val="none"/>
        </w:rPr>
      </w:pPr>
    </w:p>
    <w:p>
      <w:pPr>
        <w:pStyle w:val="22"/>
        <w:snapToGrid w:val="0"/>
        <w:spacing w:line="394" w:lineRule="exact"/>
        <w:ind w:firstLine="482" w:firstLineChars="200"/>
        <w:jc w:val="both"/>
        <w:outlineLvl w:val="1"/>
        <w:rPr>
          <w:rFonts w:hint="eastAsia"/>
          <w:b/>
          <w:bCs/>
          <w:color w:val="auto"/>
          <w:highlight w:val="none"/>
        </w:rPr>
      </w:pPr>
    </w:p>
    <w:p>
      <w:pPr>
        <w:pStyle w:val="22"/>
        <w:snapToGrid w:val="0"/>
        <w:spacing w:line="394" w:lineRule="exact"/>
        <w:ind w:firstLine="482" w:firstLineChars="200"/>
        <w:jc w:val="both"/>
        <w:outlineLvl w:val="1"/>
        <w:rPr>
          <w:rFonts w:hint="eastAsia"/>
          <w:b/>
          <w:bCs/>
          <w:color w:val="auto"/>
          <w:highlight w:val="none"/>
        </w:rPr>
      </w:pPr>
    </w:p>
    <w:p>
      <w:pPr>
        <w:pStyle w:val="22"/>
        <w:snapToGrid w:val="0"/>
        <w:spacing w:line="394" w:lineRule="exact"/>
        <w:ind w:firstLine="482" w:firstLineChars="200"/>
        <w:jc w:val="both"/>
        <w:outlineLvl w:val="1"/>
        <w:rPr>
          <w:rFonts w:hint="eastAsia"/>
          <w:b/>
          <w:bCs/>
          <w:color w:val="auto"/>
          <w:highlight w:val="none"/>
        </w:rPr>
      </w:pPr>
    </w:p>
    <w:p>
      <w:pPr>
        <w:pStyle w:val="22"/>
        <w:snapToGrid w:val="0"/>
        <w:spacing w:line="394" w:lineRule="exact"/>
        <w:ind w:firstLine="482" w:firstLineChars="200"/>
        <w:jc w:val="both"/>
        <w:outlineLvl w:val="1"/>
        <w:rPr>
          <w:rFonts w:hint="eastAsia"/>
          <w:b/>
          <w:bCs/>
          <w:color w:val="auto"/>
          <w:highlight w:val="none"/>
        </w:rPr>
      </w:pPr>
    </w:p>
    <w:bookmarkEnd w:id="480"/>
    <w:bookmarkEnd w:id="481"/>
    <w:bookmarkEnd w:id="482"/>
    <w:p>
      <w:pPr>
        <w:jc w:val="center"/>
        <w:outlineLvl w:val="0"/>
        <w:rPr>
          <w:rFonts w:hint="eastAsia"/>
          <w:b/>
          <w:bCs/>
          <w:color w:val="auto"/>
          <w:sz w:val="32"/>
          <w:szCs w:val="32"/>
          <w:highlight w:val="none"/>
        </w:rPr>
      </w:pPr>
      <w:bookmarkStart w:id="486" w:name="_Toc476758981"/>
      <w:bookmarkStart w:id="487" w:name="_Toc4535"/>
      <w:bookmarkStart w:id="488" w:name="_Toc29356"/>
      <w:r>
        <w:rPr>
          <w:rFonts w:hint="eastAsia" w:ascii="Arial" w:hAnsi="Arial" w:eastAsia="黑体" w:cs="Times New Roman"/>
          <w:b/>
          <w:bCs/>
          <w:color w:val="auto"/>
          <w:kern w:val="0"/>
          <w:sz w:val="30"/>
          <w:szCs w:val="32"/>
          <w:highlight w:val="none"/>
          <w:lang w:val="en-US" w:eastAsia="zh-CN" w:bidi="ar-SA"/>
        </w:rPr>
        <w:t>九、</w:t>
      </w:r>
      <w:bookmarkEnd w:id="486"/>
      <w:bookmarkEnd w:id="487"/>
      <w:r>
        <w:rPr>
          <w:rFonts w:hint="eastAsia"/>
          <w:b/>
          <w:bCs/>
          <w:color w:val="auto"/>
          <w:sz w:val="32"/>
          <w:szCs w:val="32"/>
          <w:highlight w:val="none"/>
        </w:rPr>
        <w:t>项目管理机构</w:t>
      </w:r>
    </w:p>
    <w:tbl>
      <w:tblPr>
        <w:tblStyle w:val="15"/>
        <w:tblW w:w="0" w:type="auto"/>
        <w:tblInd w:w="-371" w:type="dxa"/>
        <w:tblLayout w:type="fixed"/>
        <w:tblCellMar>
          <w:top w:w="0" w:type="dxa"/>
          <w:left w:w="108" w:type="dxa"/>
          <w:bottom w:w="0" w:type="dxa"/>
          <w:right w:w="108" w:type="dxa"/>
        </w:tblCellMar>
      </w:tblPr>
      <w:tblGrid>
        <w:gridCol w:w="674"/>
        <w:gridCol w:w="1002"/>
        <w:gridCol w:w="1352"/>
        <w:gridCol w:w="825"/>
        <w:gridCol w:w="795"/>
        <w:gridCol w:w="840"/>
        <w:gridCol w:w="885"/>
        <w:gridCol w:w="855"/>
        <w:gridCol w:w="960"/>
        <w:gridCol w:w="1501"/>
      </w:tblGrid>
      <w:tr>
        <w:tblPrEx>
          <w:tblCellMar>
            <w:top w:w="0" w:type="dxa"/>
            <w:left w:w="108" w:type="dxa"/>
            <w:bottom w:w="0" w:type="dxa"/>
            <w:right w:w="108" w:type="dxa"/>
          </w:tblCellMar>
        </w:tblPrEx>
        <w:trPr>
          <w:trHeight w:val="577" w:hRule="atLeast"/>
        </w:trPr>
        <w:tc>
          <w:tcPr>
            <w:tcW w:w="6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职务</w:t>
            </w:r>
          </w:p>
        </w:tc>
        <w:tc>
          <w:tcPr>
            <w:tcW w:w="1002" w:type="dxa"/>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姓名</w:t>
            </w:r>
          </w:p>
        </w:tc>
        <w:tc>
          <w:tcPr>
            <w:tcW w:w="1352" w:type="dxa"/>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身份证号</w:t>
            </w:r>
          </w:p>
        </w:tc>
        <w:tc>
          <w:tcPr>
            <w:tcW w:w="825" w:type="dxa"/>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职称</w:t>
            </w:r>
          </w:p>
        </w:tc>
        <w:tc>
          <w:tcPr>
            <w:tcW w:w="4335" w:type="dxa"/>
            <w:gridSpan w:val="5"/>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执业或职业资格证明</w:t>
            </w:r>
          </w:p>
        </w:tc>
        <w:tc>
          <w:tcPr>
            <w:tcW w:w="1501" w:type="dxa"/>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r>
      <w:tr>
        <w:tblPrEx>
          <w:tblCellMar>
            <w:top w:w="0" w:type="dxa"/>
            <w:left w:w="108" w:type="dxa"/>
            <w:bottom w:w="0" w:type="dxa"/>
            <w:right w:w="108" w:type="dxa"/>
          </w:tblCellMar>
        </w:tblPrEx>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kern w:val="0"/>
                <w:szCs w:val="21"/>
                <w:highlight w:val="none"/>
              </w:rPr>
            </w:pPr>
          </w:p>
        </w:tc>
        <w:tc>
          <w:tcPr>
            <w:tcW w:w="1002"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宋体"/>
                <w:color w:val="auto"/>
                <w:kern w:val="0"/>
                <w:szCs w:val="21"/>
                <w:highlight w:val="none"/>
              </w:rPr>
            </w:pPr>
          </w:p>
        </w:tc>
        <w:tc>
          <w:tcPr>
            <w:tcW w:w="1352"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宋体"/>
                <w:color w:val="auto"/>
                <w:kern w:val="0"/>
                <w:szCs w:val="21"/>
                <w:highlight w:val="none"/>
              </w:rPr>
            </w:pPr>
          </w:p>
        </w:tc>
        <w:tc>
          <w:tcPr>
            <w:tcW w:w="825"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宋体"/>
                <w:color w:val="auto"/>
                <w:kern w:val="0"/>
                <w:szCs w:val="21"/>
                <w:highlight w:val="none"/>
              </w:rPr>
            </w:pPr>
          </w:p>
        </w:tc>
        <w:tc>
          <w:tcPr>
            <w:tcW w:w="79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证书</w:t>
            </w:r>
          </w:p>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名称</w:t>
            </w:r>
          </w:p>
        </w:tc>
        <w:tc>
          <w:tcPr>
            <w:tcW w:w="840"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级别</w:t>
            </w:r>
          </w:p>
        </w:tc>
        <w:tc>
          <w:tcPr>
            <w:tcW w:w="88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证号</w:t>
            </w:r>
          </w:p>
        </w:tc>
        <w:tc>
          <w:tcPr>
            <w:tcW w:w="85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专业</w:t>
            </w:r>
          </w:p>
        </w:tc>
        <w:tc>
          <w:tcPr>
            <w:tcW w:w="960"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1501"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1002"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1352"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2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79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40"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8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5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960"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1501"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1002"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1352"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2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79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40"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8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5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960"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1501"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1002"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1352"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2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79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40"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8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5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960"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1501"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1002"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1352"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2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79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40"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8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5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960"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1501"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1002"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1352"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2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79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40"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8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5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960"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1501"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1002"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1352"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2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79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40"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8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5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960"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1501"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1002"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1352"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2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79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40"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8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5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960"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1501"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1002"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1352"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2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79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40"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8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5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960"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1501"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1002"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1352"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2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79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40"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8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5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960"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1501"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1002"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1352"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2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79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40"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8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5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960"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1501"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1002"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1352"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2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79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40"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8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5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960"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1501"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1002"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1352"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2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79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40"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8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5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960"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1501"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1002"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1352"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2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79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40"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8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5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960"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1501"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1002"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1352"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2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79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40"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8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855"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960"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c>
          <w:tcPr>
            <w:tcW w:w="1501"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color w:val="auto"/>
                <w:kern w:val="0"/>
                <w:szCs w:val="21"/>
                <w:highlight w:val="none"/>
              </w:rPr>
            </w:pPr>
          </w:p>
        </w:tc>
      </w:tr>
    </w:tbl>
    <w:p>
      <w:pPr>
        <w:widowControl/>
        <w:spacing w:line="360" w:lineRule="auto"/>
        <w:rPr>
          <w:rFonts w:ascii="宋体" w:hAnsi="宋体" w:cs="宋体"/>
          <w:color w:val="auto"/>
          <w:kern w:val="0"/>
          <w:szCs w:val="21"/>
          <w:highlight w:val="none"/>
        </w:rPr>
        <w:sectPr>
          <w:pgSz w:w="11906" w:h="16838"/>
          <w:pgMar w:top="1474" w:right="1474" w:bottom="1474" w:left="1587" w:header="850" w:footer="992" w:gutter="0"/>
          <w:pgNumType w:fmt="numberInDash"/>
          <w:cols w:space="720" w:num="1"/>
          <w:docGrid w:linePitch="312" w:charSpace="0"/>
        </w:sectPr>
      </w:pPr>
    </w:p>
    <w:p>
      <w:pPr>
        <w:widowControl/>
        <w:spacing w:line="360" w:lineRule="auto"/>
        <w:jc w:val="center"/>
        <w:rPr>
          <w:rFonts w:hint="eastAsia" w:ascii="宋体" w:hAnsi="宋体" w:eastAsia="宋体" w:cs="宋体"/>
          <w:color w:val="auto"/>
          <w:kern w:val="0"/>
          <w:szCs w:val="21"/>
          <w:highlight w:val="none"/>
        </w:rPr>
      </w:pPr>
      <w:bookmarkStart w:id="489" w:name="_Toc11156"/>
      <w:bookmarkStart w:id="490" w:name="_Toc12686"/>
      <w:bookmarkStart w:id="491" w:name="_Toc23579"/>
      <w:r>
        <w:rPr>
          <w:rFonts w:hint="eastAsia" w:ascii="宋体" w:hAnsi="宋体" w:eastAsia="宋体" w:cs="宋体"/>
          <w:color w:val="auto"/>
          <w:kern w:val="0"/>
          <w:szCs w:val="21"/>
          <w:highlight w:val="none"/>
        </w:rPr>
        <w:t>项目技术负责人简历表</w:t>
      </w:r>
    </w:p>
    <w:p>
      <w:pPr>
        <w:rPr>
          <w:rFonts w:hint="eastAsia" w:ascii="宋体" w:hAnsi="宋体"/>
          <w:color w:val="auto"/>
          <w:szCs w:val="21"/>
          <w:highlight w:val="none"/>
        </w:rPr>
      </w:pPr>
      <w:r>
        <w:rPr>
          <w:rFonts w:hint="eastAsia" w:ascii="宋体" w:hAnsi="宋体"/>
          <w:color w:val="auto"/>
          <w:szCs w:val="21"/>
          <w:highlight w:val="none"/>
          <w:u w:val="single"/>
        </w:rPr>
        <w:t xml:space="preserve"> (工程项目名称)  </w:t>
      </w:r>
      <w:r>
        <w:rPr>
          <w:rFonts w:hint="eastAsia" w:ascii="宋体" w:hAnsi="宋体"/>
          <w:color w:val="auto"/>
          <w:szCs w:val="21"/>
          <w:highlight w:val="none"/>
        </w:rPr>
        <w:t xml:space="preserve">工程 </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176"/>
        <w:gridCol w:w="1588"/>
        <w:gridCol w:w="513"/>
        <w:gridCol w:w="904"/>
        <w:gridCol w:w="358"/>
        <w:gridCol w:w="212"/>
        <w:gridCol w:w="1216"/>
        <w:gridCol w:w="52"/>
        <w:gridCol w:w="462"/>
        <w:gridCol w:w="790"/>
        <w:gridCol w:w="8"/>
        <w:gridCol w:w="109"/>
        <w:gridCol w:w="176"/>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212"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姓名</w:t>
            </w:r>
          </w:p>
        </w:tc>
        <w:tc>
          <w:tcPr>
            <w:tcW w:w="2277" w:type="dxa"/>
            <w:gridSpan w:val="3"/>
            <w:noWrap w:val="0"/>
            <w:vAlign w:val="center"/>
          </w:tcPr>
          <w:p>
            <w:pPr>
              <w:jc w:val="center"/>
              <w:rPr>
                <w:rFonts w:hint="eastAsia" w:ascii="宋体" w:hAnsi="宋体"/>
                <w:color w:val="auto"/>
                <w:szCs w:val="21"/>
                <w:highlight w:val="none"/>
              </w:rPr>
            </w:pPr>
          </w:p>
        </w:tc>
        <w:tc>
          <w:tcPr>
            <w:tcW w:w="1262" w:type="dxa"/>
            <w:gridSpan w:val="2"/>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性别</w:t>
            </w:r>
          </w:p>
        </w:tc>
        <w:tc>
          <w:tcPr>
            <w:tcW w:w="1942" w:type="dxa"/>
            <w:gridSpan w:val="4"/>
            <w:noWrap w:val="0"/>
            <w:vAlign w:val="center"/>
          </w:tcPr>
          <w:p>
            <w:pPr>
              <w:jc w:val="center"/>
              <w:rPr>
                <w:rFonts w:hint="eastAsia" w:ascii="宋体" w:hAnsi="宋体"/>
                <w:color w:val="auto"/>
                <w:szCs w:val="21"/>
                <w:highlight w:val="none"/>
              </w:rPr>
            </w:pPr>
          </w:p>
        </w:tc>
        <w:tc>
          <w:tcPr>
            <w:tcW w:w="907" w:type="dxa"/>
            <w:gridSpan w:val="3"/>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年龄</w:t>
            </w:r>
          </w:p>
        </w:tc>
        <w:tc>
          <w:tcPr>
            <w:tcW w:w="2074" w:type="dxa"/>
            <w:gridSpan w:val="2"/>
            <w:noWrap w:val="0"/>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212"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职务</w:t>
            </w:r>
          </w:p>
        </w:tc>
        <w:tc>
          <w:tcPr>
            <w:tcW w:w="2277" w:type="dxa"/>
            <w:gridSpan w:val="3"/>
            <w:noWrap w:val="0"/>
            <w:vAlign w:val="center"/>
          </w:tcPr>
          <w:p>
            <w:pPr>
              <w:jc w:val="center"/>
              <w:rPr>
                <w:rFonts w:hint="eastAsia" w:ascii="宋体" w:hAnsi="宋体"/>
                <w:color w:val="auto"/>
                <w:szCs w:val="21"/>
                <w:highlight w:val="none"/>
              </w:rPr>
            </w:pPr>
          </w:p>
        </w:tc>
        <w:tc>
          <w:tcPr>
            <w:tcW w:w="1262" w:type="dxa"/>
            <w:gridSpan w:val="2"/>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职称</w:t>
            </w:r>
          </w:p>
        </w:tc>
        <w:tc>
          <w:tcPr>
            <w:tcW w:w="1942" w:type="dxa"/>
            <w:gridSpan w:val="4"/>
            <w:noWrap w:val="0"/>
            <w:vAlign w:val="center"/>
          </w:tcPr>
          <w:p>
            <w:pPr>
              <w:jc w:val="center"/>
              <w:rPr>
                <w:rFonts w:hint="eastAsia" w:ascii="宋体" w:hAnsi="宋体"/>
                <w:color w:val="auto"/>
                <w:szCs w:val="21"/>
                <w:highlight w:val="none"/>
              </w:rPr>
            </w:pPr>
          </w:p>
        </w:tc>
        <w:tc>
          <w:tcPr>
            <w:tcW w:w="907" w:type="dxa"/>
            <w:gridSpan w:val="3"/>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学历</w:t>
            </w:r>
          </w:p>
        </w:tc>
        <w:tc>
          <w:tcPr>
            <w:tcW w:w="2074" w:type="dxa"/>
            <w:gridSpan w:val="2"/>
            <w:noWrap w:val="0"/>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976" w:type="dxa"/>
            <w:gridSpan w:val="3"/>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参加工作时间</w:t>
            </w:r>
          </w:p>
        </w:tc>
        <w:tc>
          <w:tcPr>
            <w:tcW w:w="1987" w:type="dxa"/>
            <w:gridSpan w:val="4"/>
            <w:noWrap w:val="0"/>
            <w:vAlign w:val="center"/>
          </w:tcPr>
          <w:p>
            <w:pPr>
              <w:jc w:val="center"/>
              <w:rPr>
                <w:rFonts w:hint="eastAsia" w:ascii="宋体" w:hAnsi="宋体"/>
                <w:color w:val="auto"/>
                <w:szCs w:val="21"/>
                <w:highlight w:val="none"/>
              </w:rPr>
            </w:pPr>
          </w:p>
        </w:tc>
        <w:tc>
          <w:tcPr>
            <w:tcW w:w="2520" w:type="dxa"/>
            <w:gridSpan w:val="4"/>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担任技术负责人年限</w:t>
            </w:r>
          </w:p>
        </w:tc>
        <w:tc>
          <w:tcPr>
            <w:tcW w:w="2191" w:type="dxa"/>
            <w:gridSpan w:val="4"/>
            <w:noWrap w:val="0"/>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976" w:type="dxa"/>
            <w:gridSpan w:val="3"/>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资格证书编号</w:t>
            </w:r>
          </w:p>
        </w:tc>
        <w:tc>
          <w:tcPr>
            <w:tcW w:w="3255" w:type="dxa"/>
            <w:gridSpan w:val="6"/>
            <w:noWrap w:val="0"/>
            <w:vAlign w:val="center"/>
          </w:tcPr>
          <w:p>
            <w:pPr>
              <w:jc w:val="center"/>
              <w:rPr>
                <w:rFonts w:hint="eastAsia" w:ascii="宋体" w:hAnsi="宋体"/>
                <w:color w:val="auto"/>
                <w:szCs w:val="21"/>
                <w:highlight w:val="none"/>
              </w:rPr>
            </w:pPr>
          </w:p>
        </w:tc>
        <w:tc>
          <w:tcPr>
            <w:tcW w:w="1260" w:type="dxa"/>
            <w:gridSpan w:val="3"/>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手机</w:t>
            </w:r>
          </w:p>
        </w:tc>
        <w:tc>
          <w:tcPr>
            <w:tcW w:w="2183" w:type="dxa"/>
            <w:gridSpan w:val="3"/>
            <w:noWrap w:val="0"/>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9674" w:type="dxa"/>
            <w:gridSpan w:val="15"/>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在建和已完类似工程项目情况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388" w:type="dxa"/>
            <w:gridSpan w:val="2"/>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建设单位</w:t>
            </w:r>
          </w:p>
        </w:tc>
        <w:tc>
          <w:tcPr>
            <w:tcW w:w="1588"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项目名称</w:t>
            </w:r>
          </w:p>
        </w:tc>
        <w:tc>
          <w:tcPr>
            <w:tcW w:w="1417" w:type="dxa"/>
            <w:gridSpan w:val="2"/>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建设规模</w:t>
            </w:r>
          </w:p>
        </w:tc>
        <w:tc>
          <w:tcPr>
            <w:tcW w:w="1786" w:type="dxa"/>
            <w:gridSpan w:val="3"/>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开、竣工日期</w:t>
            </w:r>
          </w:p>
        </w:tc>
        <w:tc>
          <w:tcPr>
            <w:tcW w:w="1597" w:type="dxa"/>
            <w:gridSpan w:val="6"/>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在建或已完</w:t>
            </w:r>
          </w:p>
        </w:tc>
        <w:tc>
          <w:tcPr>
            <w:tcW w:w="1898"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388" w:type="dxa"/>
            <w:gridSpan w:val="2"/>
            <w:noWrap w:val="0"/>
            <w:vAlign w:val="center"/>
          </w:tcPr>
          <w:p>
            <w:pPr>
              <w:jc w:val="center"/>
              <w:rPr>
                <w:rFonts w:hint="eastAsia" w:ascii="宋体" w:hAnsi="宋体"/>
                <w:color w:val="auto"/>
                <w:szCs w:val="21"/>
                <w:highlight w:val="none"/>
              </w:rPr>
            </w:pPr>
          </w:p>
        </w:tc>
        <w:tc>
          <w:tcPr>
            <w:tcW w:w="1588" w:type="dxa"/>
            <w:noWrap w:val="0"/>
            <w:vAlign w:val="center"/>
          </w:tcPr>
          <w:p>
            <w:pPr>
              <w:jc w:val="center"/>
              <w:rPr>
                <w:rFonts w:hint="eastAsia" w:ascii="宋体" w:hAnsi="宋体"/>
                <w:color w:val="auto"/>
                <w:szCs w:val="21"/>
                <w:highlight w:val="none"/>
              </w:rPr>
            </w:pPr>
          </w:p>
        </w:tc>
        <w:tc>
          <w:tcPr>
            <w:tcW w:w="1417" w:type="dxa"/>
            <w:gridSpan w:val="2"/>
            <w:noWrap w:val="0"/>
            <w:vAlign w:val="center"/>
          </w:tcPr>
          <w:p>
            <w:pPr>
              <w:jc w:val="center"/>
              <w:rPr>
                <w:rFonts w:hint="eastAsia" w:ascii="宋体" w:hAnsi="宋体"/>
                <w:color w:val="auto"/>
                <w:szCs w:val="21"/>
                <w:highlight w:val="none"/>
              </w:rPr>
            </w:pPr>
          </w:p>
        </w:tc>
        <w:tc>
          <w:tcPr>
            <w:tcW w:w="1786" w:type="dxa"/>
            <w:gridSpan w:val="3"/>
            <w:noWrap w:val="0"/>
            <w:vAlign w:val="center"/>
          </w:tcPr>
          <w:p>
            <w:pPr>
              <w:jc w:val="center"/>
              <w:rPr>
                <w:rFonts w:hint="eastAsia" w:ascii="宋体" w:hAnsi="宋体"/>
                <w:color w:val="auto"/>
                <w:szCs w:val="21"/>
                <w:highlight w:val="none"/>
              </w:rPr>
            </w:pPr>
          </w:p>
        </w:tc>
        <w:tc>
          <w:tcPr>
            <w:tcW w:w="1597" w:type="dxa"/>
            <w:gridSpan w:val="6"/>
            <w:noWrap w:val="0"/>
            <w:vAlign w:val="center"/>
          </w:tcPr>
          <w:p>
            <w:pPr>
              <w:jc w:val="center"/>
              <w:rPr>
                <w:rFonts w:hint="eastAsia" w:ascii="宋体" w:hAnsi="宋体"/>
                <w:color w:val="auto"/>
                <w:szCs w:val="21"/>
                <w:highlight w:val="none"/>
              </w:rPr>
            </w:pPr>
          </w:p>
        </w:tc>
        <w:tc>
          <w:tcPr>
            <w:tcW w:w="1898" w:type="dxa"/>
            <w:noWrap w:val="0"/>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388" w:type="dxa"/>
            <w:gridSpan w:val="2"/>
            <w:noWrap w:val="0"/>
            <w:vAlign w:val="center"/>
          </w:tcPr>
          <w:p>
            <w:pPr>
              <w:jc w:val="center"/>
              <w:rPr>
                <w:rFonts w:hint="eastAsia" w:ascii="宋体" w:hAnsi="宋体"/>
                <w:color w:val="auto"/>
                <w:szCs w:val="21"/>
                <w:highlight w:val="none"/>
              </w:rPr>
            </w:pPr>
          </w:p>
        </w:tc>
        <w:tc>
          <w:tcPr>
            <w:tcW w:w="1588" w:type="dxa"/>
            <w:noWrap w:val="0"/>
            <w:vAlign w:val="center"/>
          </w:tcPr>
          <w:p>
            <w:pPr>
              <w:jc w:val="center"/>
              <w:rPr>
                <w:rFonts w:hint="eastAsia" w:ascii="宋体" w:hAnsi="宋体"/>
                <w:color w:val="auto"/>
                <w:szCs w:val="21"/>
                <w:highlight w:val="none"/>
              </w:rPr>
            </w:pPr>
          </w:p>
        </w:tc>
        <w:tc>
          <w:tcPr>
            <w:tcW w:w="1417" w:type="dxa"/>
            <w:gridSpan w:val="2"/>
            <w:noWrap w:val="0"/>
            <w:vAlign w:val="center"/>
          </w:tcPr>
          <w:p>
            <w:pPr>
              <w:jc w:val="center"/>
              <w:rPr>
                <w:rFonts w:hint="eastAsia" w:ascii="宋体" w:hAnsi="宋体"/>
                <w:color w:val="auto"/>
                <w:szCs w:val="21"/>
                <w:highlight w:val="none"/>
              </w:rPr>
            </w:pPr>
          </w:p>
        </w:tc>
        <w:tc>
          <w:tcPr>
            <w:tcW w:w="1786" w:type="dxa"/>
            <w:gridSpan w:val="3"/>
            <w:noWrap w:val="0"/>
            <w:vAlign w:val="center"/>
          </w:tcPr>
          <w:p>
            <w:pPr>
              <w:jc w:val="center"/>
              <w:rPr>
                <w:rFonts w:hint="eastAsia" w:ascii="宋体" w:hAnsi="宋体"/>
                <w:color w:val="auto"/>
                <w:szCs w:val="21"/>
                <w:highlight w:val="none"/>
              </w:rPr>
            </w:pPr>
          </w:p>
        </w:tc>
        <w:tc>
          <w:tcPr>
            <w:tcW w:w="1597" w:type="dxa"/>
            <w:gridSpan w:val="6"/>
            <w:noWrap w:val="0"/>
            <w:vAlign w:val="center"/>
          </w:tcPr>
          <w:p>
            <w:pPr>
              <w:jc w:val="center"/>
              <w:rPr>
                <w:rFonts w:hint="eastAsia" w:ascii="宋体" w:hAnsi="宋体"/>
                <w:color w:val="auto"/>
                <w:szCs w:val="21"/>
                <w:highlight w:val="none"/>
              </w:rPr>
            </w:pPr>
          </w:p>
        </w:tc>
        <w:tc>
          <w:tcPr>
            <w:tcW w:w="1898" w:type="dxa"/>
            <w:noWrap w:val="0"/>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388" w:type="dxa"/>
            <w:gridSpan w:val="2"/>
            <w:noWrap w:val="0"/>
            <w:vAlign w:val="center"/>
          </w:tcPr>
          <w:p>
            <w:pPr>
              <w:jc w:val="center"/>
              <w:rPr>
                <w:rFonts w:hint="eastAsia" w:ascii="宋体" w:hAnsi="宋体"/>
                <w:color w:val="auto"/>
                <w:szCs w:val="21"/>
                <w:highlight w:val="none"/>
              </w:rPr>
            </w:pPr>
          </w:p>
        </w:tc>
        <w:tc>
          <w:tcPr>
            <w:tcW w:w="1588" w:type="dxa"/>
            <w:noWrap w:val="0"/>
            <w:vAlign w:val="center"/>
          </w:tcPr>
          <w:p>
            <w:pPr>
              <w:jc w:val="center"/>
              <w:rPr>
                <w:rFonts w:hint="eastAsia" w:ascii="宋体" w:hAnsi="宋体"/>
                <w:color w:val="auto"/>
                <w:szCs w:val="21"/>
                <w:highlight w:val="none"/>
              </w:rPr>
            </w:pPr>
          </w:p>
        </w:tc>
        <w:tc>
          <w:tcPr>
            <w:tcW w:w="1417" w:type="dxa"/>
            <w:gridSpan w:val="2"/>
            <w:noWrap w:val="0"/>
            <w:vAlign w:val="center"/>
          </w:tcPr>
          <w:p>
            <w:pPr>
              <w:jc w:val="center"/>
              <w:rPr>
                <w:rFonts w:hint="eastAsia" w:ascii="宋体" w:hAnsi="宋体"/>
                <w:color w:val="auto"/>
                <w:szCs w:val="21"/>
                <w:highlight w:val="none"/>
              </w:rPr>
            </w:pPr>
          </w:p>
        </w:tc>
        <w:tc>
          <w:tcPr>
            <w:tcW w:w="1786" w:type="dxa"/>
            <w:gridSpan w:val="3"/>
            <w:noWrap w:val="0"/>
            <w:vAlign w:val="center"/>
          </w:tcPr>
          <w:p>
            <w:pPr>
              <w:jc w:val="center"/>
              <w:rPr>
                <w:rFonts w:hint="eastAsia" w:ascii="宋体" w:hAnsi="宋体"/>
                <w:color w:val="auto"/>
                <w:szCs w:val="21"/>
                <w:highlight w:val="none"/>
              </w:rPr>
            </w:pPr>
          </w:p>
        </w:tc>
        <w:tc>
          <w:tcPr>
            <w:tcW w:w="1597" w:type="dxa"/>
            <w:gridSpan w:val="6"/>
            <w:noWrap w:val="0"/>
            <w:vAlign w:val="center"/>
          </w:tcPr>
          <w:p>
            <w:pPr>
              <w:jc w:val="center"/>
              <w:rPr>
                <w:rFonts w:hint="eastAsia" w:ascii="宋体" w:hAnsi="宋体"/>
                <w:color w:val="auto"/>
                <w:szCs w:val="21"/>
                <w:highlight w:val="none"/>
              </w:rPr>
            </w:pPr>
          </w:p>
        </w:tc>
        <w:tc>
          <w:tcPr>
            <w:tcW w:w="1898" w:type="dxa"/>
            <w:noWrap w:val="0"/>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388" w:type="dxa"/>
            <w:gridSpan w:val="2"/>
            <w:noWrap w:val="0"/>
            <w:vAlign w:val="center"/>
          </w:tcPr>
          <w:p>
            <w:pPr>
              <w:jc w:val="center"/>
              <w:rPr>
                <w:rFonts w:hint="eastAsia" w:ascii="宋体" w:hAnsi="宋体"/>
                <w:color w:val="auto"/>
                <w:szCs w:val="21"/>
                <w:highlight w:val="none"/>
              </w:rPr>
            </w:pPr>
          </w:p>
        </w:tc>
        <w:tc>
          <w:tcPr>
            <w:tcW w:w="1588" w:type="dxa"/>
            <w:noWrap w:val="0"/>
            <w:vAlign w:val="center"/>
          </w:tcPr>
          <w:p>
            <w:pPr>
              <w:jc w:val="center"/>
              <w:rPr>
                <w:rFonts w:hint="eastAsia" w:ascii="宋体" w:hAnsi="宋体"/>
                <w:color w:val="auto"/>
                <w:szCs w:val="21"/>
                <w:highlight w:val="none"/>
              </w:rPr>
            </w:pPr>
          </w:p>
        </w:tc>
        <w:tc>
          <w:tcPr>
            <w:tcW w:w="1417" w:type="dxa"/>
            <w:gridSpan w:val="2"/>
            <w:noWrap w:val="0"/>
            <w:vAlign w:val="center"/>
          </w:tcPr>
          <w:p>
            <w:pPr>
              <w:jc w:val="center"/>
              <w:rPr>
                <w:rFonts w:hint="eastAsia" w:ascii="宋体" w:hAnsi="宋体"/>
                <w:color w:val="auto"/>
                <w:szCs w:val="21"/>
                <w:highlight w:val="none"/>
              </w:rPr>
            </w:pPr>
          </w:p>
        </w:tc>
        <w:tc>
          <w:tcPr>
            <w:tcW w:w="1786" w:type="dxa"/>
            <w:gridSpan w:val="3"/>
            <w:noWrap w:val="0"/>
            <w:vAlign w:val="center"/>
          </w:tcPr>
          <w:p>
            <w:pPr>
              <w:jc w:val="center"/>
              <w:rPr>
                <w:rFonts w:hint="eastAsia" w:ascii="宋体" w:hAnsi="宋体"/>
                <w:color w:val="auto"/>
                <w:szCs w:val="21"/>
                <w:highlight w:val="none"/>
              </w:rPr>
            </w:pPr>
          </w:p>
        </w:tc>
        <w:tc>
          <w:tcPr>
            <w:tcW w:w="1597" w:type="dxa"/>
            <w:gridSpan w:val="6"/>
            <w:noWrap w:val="0"/>
            <w:vAlign w:val="center"/>
          </w:tcPr>
          <w:p>
            <w:pPr>
              <w:jc w:val="center"/>
              <w:rPr>
                <w:rFonts w:hint="eastAsia" w:ascii="宋体" w:hAnsi="宋体"/>
                <w:color w:val="auto"/>
                <w:szCs w:val="21"/>
                <w:highlight w:val="none"/>
              </w:rPr>
            </w:pPr>
          </w:p>
        </w:tc>
        <w:tc>
          <w:tcPr>
            <w:tcW w:w="1898" w:type="dxa"/>
            <w:noWrap w:val="0"/>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388" w:type="dxa"/>
            <w:gridSpan w:val="2"/>
            <w:noWrap w:val="0"/>
            <w:vAlign w:val="center"/>
          </w:tcPr>
          <w:p>
            <w:pPr>
              <w:jc w:val="center"/>
              <w:rPr>
                <w:rFonts w:hint="eastAsia" w:ascii="宋体" w:hAnsi="宋体"/>
                <w:color w:val="auto"/>
                <w:szCs w:val="21"/>
                <w:highlight w:val="none"/>
              </w:rPr>
            </w:pPr>
          </w:p>
        </w:tc>
        <w:tc>
          <w:tcPr>
            <w:tcW w:w="1588" w:type="dxa"/>
            <w:noWrap w:val="0"/>
            <w:vAlign w:val="center"/>
          </w:tcPr>
          <w:p>
            <w:pPr>
              <w:jc w:val="center"/>
              <w:rPr>
                <w:rFonts w:hint="eastAsia" w:ascii="宋体" w:hAnsi="宋体"/>
                <w:color w:val="auto"/>
                <w:szCs w:val="21"/>
                <w:highlight w:val="none"/>
              </w:rPr>
            </w:pPr>
          </w:p>
        </w:tc>
        <w:tc>
          <w:tcPr>
            <w:tcW w:w="1417" w:type="dxa"/>
            <w:gridSpan w:val="2"/>
            <w:noWrap w:val="0"/>
            <w:vAlign w:val="center"/>
          </w:tcPr>
          <w:p>
            <w:pPr>
              <w:jc w:val="center"/>
              <w:rPr>
                <w:rFonts w:hint="eastAsia" w:ascii="宋体" w:hAnsi="宋体"/>
                <w:color w:val="auto"/>
                <w:szCs w:val="21"/>
                <w:highlight w:val="none"/>
              </w:rPr>
            </w:pPr>
          </w:p>
        </w:tc>
        <w:tc>
          <w:tcPr>
            <w:tcW w:w="1786" w:type="dxa"/>
            <w:gridSpan w:val="3"/>
            <w:noWrap w:val="0"/>
            <w:vAlign w:val="center"/>
          </w:tcPr>
          <w:p>
            <w:pPr>
              <w:jc w:val="center"/>
              <w:rPr>
                <w:rFonts w:hint="eastAsia" w:ascii="宋体" w:hAnsi="宋体"/>
                <w:color w:val="auto"/>
                <w:szCs w:val="21"/>
                <w:highlight w:val="none"/>
              </w:rPr>
            </w:pPr>
          </w:p>
        </w:tc>
        <w:tc>
          <w:tcPr>
            <w:tcW w:w="1597" w:type="dxa"/>
            <w:gridSpan w:val="6"/>
            <w:noWrap w:val="0"/>
            <w:vAlign w:val="center"/>
          </w:tcPr>
          <w:p>
            <w:pPr>
              <w:jc w:val="center"/>
              <w:rPr>
                <w:rFonts w:hint="eastAsia" w:ascii="宋体" w:hAnsi="宋体"/>
                <w:color w:val="auto"/>
                <w:szCs w:val="21"/>
                <w:highlight w:val="none"/>
              </w:rPr>
            </w:pPr>
          </w:p>
        </w:tc>
        <w:tc>
          <w:tcPr>
            <w:tcW w:w="1898" w:type="dxa"/>
            <w:noWrap w:val="0"/>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388" w:type="dxa"/>
            <w:gridSpan w:val="2"/>
            <w:noWrap w:val="0"/>
            <w:vAlign w:val="center"/>
          </w:tcPr>
          <w:p>
            <w:pPr>
              <w:jc w:val="center"/>
              <w:rPr>
                <w:rFonts w:hint="eastAsia" w:ascii="宋体" w:hAnsi="宋体"/>
                <w:color w:val="auto"/>
                <w:szCs w:val="21"/>
                <w:highlight w:val="none"/>
              </w:rPr>
            </w:pPr>
          </w:p>
        </w:tc>
        <w:tc>
          <w:tcPr>
            <w:tcW w:w="1588" w:type="dxa"/>
            <w:noWrap w:val="0"/>
            <w:vAlign w:val="center"/>
          </w:tcPr>
          <w:p>
            <w:pPr>
              <w:jc w:val="center"/>
              <w:rPr>
                <w:rFonts w:hint="eastAsia" w:ascii="宋体" w:hAnsi="宋体"/>
                <w:color w:val="auto"/>
                <w:szCs w:val="21"/>
                <w:highlight w:val="none"/>
              </w:rPr>
            </w:pPr>
          </w:p>
        </w:tc>
        <w:tc>
          <w:tcPr>
            <w:tcW w:w="1417" w:type="dxa"/>
            <w:gridSpan w:val="2"/>
            <w:noWrap w:val="0"/>
            <w:vAlign w:val="center"/>
          </w:tcPr>
          <w:p>
            <w:pPr>
              <w:jc w:val="center"/>
              <w:rPr>
                <w:rFonts w:hint="eastAsia" w:ascii="宋体" w:hAnsi="宋体"/>
                <w:color w:val="auto"/>
                <w:szCs w:val="21"/>
                <w:highlight w:val="none"/>
              </w:rPr>
            </w:pPr>
          </w:p>
        </w:tc>
        <w:tc>
          <w:tcPr>
            <w:tcW w:w="1786" w:type="dxa"/>
            <w:gridSpan w:val="3"/>
            <w:noWrap w:val="0"/>
            <w:vAlign w:val="center"/>
          </w:tcPr>
          <w:p>
            <w:pPr>
              <w:jc w:val="center"/>
              <w:rPr>
                <w:rFonts w:hint="eastAsia" w:ascii="宋体" w:hAnsi="宋体"/>
                <w:color w:val="auto"/>
                <w:szCs w:val="21"/>
                <w:highlight w:val="none"/>
              </w:rPr>
            </w:pPr>
          </w:p>
        </w:tc>
        <w:tc>
          <w:tcPr>
            <w:tcW w:w="1597" w:type="dxa"/>
            <w:gridSpan w:val="6"/>
            <w:noWrap w:val="0"/>
            <w:vAlign w:val="center"/>
          </w:tcPr>
          <w:p>
            <w:pPr>
              <w:jc w:val="center"/>
              <w:rPr>
                <w:rFonts w:hint="eastAsia" w:ascii="宋体" w:hAnsi="宋体"/>
                <w:color w:val="auto"/>
                <w:szCs w:val="21"/>
                <w:highlight w:val="none"/>
              </w:rPr>
            </w:pPr>
          </w:p>
        </w:tc>
        <w:tc>
          <w:tcPr>
            <w:tcW w:w="1898" w:type="dxa"/>
            <w:noWrap w:val="0"/>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388" w:type="dxa"/>
            <w:gridSpan w:val="2"/>
            <w:noWrap w:val="0"/>
            <w:vAlign w:val="center"/>
          </w:tcPr>
          <w:p>
            <w:pPr>
              <w:jc w:val="center"/>
              <w:rPr>
                <w:rFonts w:hint="eastAsia" w:ascii="宋体" w:hAnsi="宋体"/>
                <w:color w:val="auto"/>
                <w:szCs w:val="21"/>
                <w:highlight w:val="none"/>
              </w:rPr>
            </w:pPr>
          </w:p>
        </w:tc>
        <w:tc>
          <w:tcPr>
            <w:tcW w:w="1588" w:type="dxa"/>
            <w:noWrap w:val="0"/>
            <w:vAlign w:val="center"/>
          </w:tcPr>
          <w:p>
            <w:pPr>
              <w:jc w:val="center"/>
              <w:rPr>
                <w:rFonts w:hint="eastAsia" w:ascii="宋体" w:hAnsi="宋体"/>
                <w:color w:val="auto"/>
                <w:szCs w:val="21"/>
                <w:highlight w:val="none"/>
              </w:rPr>
            </w:pPr>
          </w:p>
        </w:tc>
        <w:tc>
          <w:tcPr>
            <w:tcW w:w="1417" w:type="dxa"/>
            <w:gridSpan w:val="2"/>
            <w:noWrap w:val="0"/>
            <w:vAlign w:val="center"/>
          </w:tcPr>
          <w:p>
            <w:pPr>
              <w:jc w:val="center"/>
              <w:rPr>
                <w:rFonts w:hint="eastAsia" w:ascii="宋体" w:hAnsi="宋体"/>
                <w:color w:val="auto"/>
                <w:szCs w:val="21"/>
                <w:highlight w:val="none"/>
              </w:rPr>
            </w:pPr>
          </w:p>
        </w:tc>
        <w:tc>
          <w:tcPr>
            <w:tcW w:w="1786" w:type="dxa"/>
            <w:gridSpan w:val="3"/>
            <w:noWrap w:val="0"/>
            <w:vAlign w:val="center"/>
          </w:tcPr>
          <w:p>
            <w:pPr>
              <w:jc w:val="center"/>
              <w:rPr>
                <w:rFonts w:hint="eastAsia" w:ascii="宋体" w:hAnsi="宋体"/>
                <w:color w:val="auto"/>
                <w:szCs w:val="21"/>
                <w:highlight w:val="none"/>
              </w:rPr>
            </w:pPr>
          </w:p>
        </w:tc>
        <w:tc>
          <w:tcPr>
            <w:tcW w:w="1597" w:type="dxa"/>
            <w:gridSpan w:val="6"/>
            <w:noWrap w:val="0"/>
            <w:vAlign w:val="center"/>
          </w:tcPr>
          <w:p>
            <w:pPr>
              <w:jc w:val="center"/>
              <w:rPr>
                <w:rFonts w:hint="eastAsia" w:ascii="宋体" w:hAnsi="宋体"/>
                <w:color w:val="auto"/>
                <w:szCs w:val="21"/>
                <w:highlight w:val="none"/>
              </w:rPr>
            </w:pPr>
          </w:p>
        </w:tc>
        <w:tc>
          <w:tcPr>
            <w:tcW w:w="1898" w:type="dxa"/>
            <w:noWrap w:val="0"/>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388" w:type="dxa"/>
            <w:gridSpan w:val="2"/>
            <w:noWrap w:val="0"/>
            <w:vAlign w:val="center"/>
          </w:tcPr>
          <w:p>
            <w:pPr>
              <w:jc w:val="center"/>
              <w:rPr>
                <w:rFonts w:hint="eastAsia" w:ascii="宋体" w:hAnsi="宋体"/>
                <w:color w:val="auto"/>
                <w:szCs w:val="21"/>
                <w:highlight w:val="none"/>
              </w:rPr>
            </w:pPr>
          </w:p>
        </w:tc>
        <w:tc>
          <w:tcPr>
            <w:tcW w:w="1588" w:type="dxa"/>
            <w:noWrap w:val="0"/>
            <w:vAlign w:val="center"/>
          </w:tcPr>
          <w:p>
            <w:pPr>
              <w:jc w:val="center"/>
              <w:rPr>
                <w:rFonts w:hint="eastAsia" w:ascii="宋体" w:hAnsi="宋体"/>
                <w:color w:val="auto"/>
                <w:szCs w:val="21"/>
                <w:highlight w:val="none"/>
              </w:rPr>
            </w:pPr>
          </w:p>
        </w:tc>
        <w:tc>
          <w:tcPr>
            <w:tcW w:w="1417" w:type="dxa"/>
            <w:gridSpan w:val="2"/>
            <w:noWrap w:val="0"/>
            <w:vAlign w:val="center"/>
          </w:tcPr>
          <w:p>
            <w:pPr>
              <w:jc w:val="center"/>
              <w:rPr>
                <w:rFonts w:hint="eastAsia" w:ascii="宋体" w:hAnsi="宋体"/>
                <w:color w:val="auto"/>
                <w:szCs w:val="21"/>
                <w:highlight w:val="none"/>
              </w:rPr>
            </w:pPr>
          </w:p>
        </w:tc>
        <w:tc>
          <w:tcPr>
            <w:tcW w:w="1786" w:type="dxa"/>
            <w:gridSpan w:val="3"/>
            <w:noWrap w:val="0"/>
            <w:vAlign w:val="center"/>
          </w:tcPr>
          <w:p>
            <w:pPr>
              <w:jc w:val="center"/>
              <w:rPr>
                <w:rFonts w:hint="eastAsia" w:ascii="宋体" w:hAnsi="宋体"/>
                <w:color w:val="auto"/>
                <w:szCs w:val="21"/>
                <w:highlight w:val="none"/>
              </w:rPr>
            </w:pPr>
          </w:p>
        </w:tc>
        <w:tc>
          <w:tcPr>
            <w:tcW w:w="1597" w:type="dxa"/>
            <w:gridSpan w:val="6"/>
            <w:noWrap w:val="0"/>
            <w:vAlign w:val="center"/>
          </w:tcPr>
          <w:p>
            <w:pPr>
              <w:jc w:val="center"/>
              <w:rPr>
                <w:rFonts w:hint="eastAsia" w:ascii="宋体" w:hAnsi="宋体"/>
                <w:color w:val="auto"/>
                <w:szCs w:val="21"/>
                <w:highlight w:val="none"/>
              </w:rPr>
            </w:pPr>
          </w:p>
        </w:tc>
        <w:tc>
          <w:tcPr>
            <w:tcW w:w="1898" w:type="dxa"/>
            <w:noWrap w:val="0"/>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388" w:type="dxa"/>
            <w:gridSpan w:val="2"/>
            <w:noWrap w:val="0"/>
            <w:vAlign w:val="center"/>
          </w:tcPr>
          <w:p>
            <w:pPr>
              <w:jc w:val="center"/>
              <w:rPr>
                <w:rFonts w:hint="eastAsia" w:ascii="宋体" w:hAnsi="宋体"/>
                <w:color w:val="auto"/>
                <w:szCs w:val="21"/>
                <w:highlight w:val="none"/>
              </w:rPr>
            </w:pPr>
          </w:p>
        </w:tc>
        <w:tc>
          <w:tcPr>
            <w:tcW w:w="1588" w:type="dxa"/>
            <w:noWrap w:val="0"/>
            <w:vAlign w:val="center"/>
          </w:tcPr>
          <w:p>
            <w:pPr>
              <w:jc w:val="center"/>
              <w:rPr>
                <w:rFonts w:hint="eastAsia" w:ascii="宋体" w:hAnsi="宋体"/>
                <w:color w:val="auto"/>
                <w:szCs w:val="21"/>
                <w:highlight w:val="none"/>
              </w:rPr>
            </w:pPr>
          </w:p>
        </w:tc>
        <w:tc>
          <w:tcPr>
            <w:tcW w:w="1417" w:type="dxa"/>
            <w:gridSpan w:val="2"/>
            <w:noWrap w:val="0"/>
            <w:vAlign w:val="center"/>
          </w:tcPr>
          <w:p>
            <w:pPr>
              <w:jc w:val="center"/>
              <w:rPr>
                <w:rFonts w:hint="eastAsia" w:ascii="宋体" w:hAnsi="宋体"/>
                <w:color w:val="auto"/>
                <w:szCs w:val="21"/>
                <w:highlight w:val="none"/>
              </w:rPr>
            </w:pPr>
          </w:p>
        </w:tc>
        <w:tc>
          <w:tcPr>
            <w:tcW w:w="1786" w:type="dxa"/>
            <w:gridSpan w:val="3"/>
            <w:noWrap w:val="0"/>
            <w:vAlign w:val="center"/>
          </w:tcPr>
          <w:p>
            <w:pPr>
              <w:jc w:val="center"/>
              <w:rPr>
                <w:rFonts w:hint="eastAsia" w:ascii="宋体" w:hAnsi="宋体"/>
                <w:color w:val="auto"/>
                <w:szCs w:val="21"/>
                <w:highlight w:val="none"/>
              </w:rPr>
            </w:pPr>
          </w:p>
        </w:tc>
        <w:tc>
          <w:tcPr>
            <w:tcW w:w="1597" w:type="dxa"/>
            <w:gridSpan w:val="6"/>
            <w:noWrap w:val="0"/>
            <w:vAlign w:val="center"/>
          </w:tcPr>
          <w:p>
            <w:pPr>
              <w:jc w:val="center"/>
              <w:rPr>
                <w:rFonts w:hint="eastAsia" w:ascii="宋体" w:hAnsi="宋体"/>
                <w:color w:val="auto"/>
                <w:szCs w:val="21"/>
                <w:highlight w:val="none"/>
              </w:rPr>
            </w:pPr>
          </w:p>
        </w:tc>
        <w:tc>
          <w:tcPr>
            <w:tcW w:w="1898" w:type="dxa"/>
            <w:noWrap w:val="0"/>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388" w:type="dxa"/>
            <w:gridSpan w:val="2"/>
            <w:noWrap w:val="0"/>
            <w:vAlign w:val="center"/>
          </w:tcPr>
          <w:p>
            <w:pPr>
              <w:jc w:val="center"/>
              <w:rPr>
                <w:rFonts w:hint="eastAsia" w:ascii="宋体" w:hAnsi="宋体"/>
                <w:color w:val="auto"/>
                <w:szCs w:val="21"/>
                <w:highlight w:val="none"/>
              </w:rPr>
            </w:pPr>
          </w:p>
        </w:tc>
        <w:tc>
          <w:tcPr>
            <w:tcW w:w="1588" w:type="dxa"/>
            <w:noWrap w:val="0"/>
            <w:vAlign w:val="center"/>
          </w:tcPr>
          <w:p>
            <w:pPr>
              <w:jc w:val="center"/>
              <w:rPr>
                <w:rFonts w:hint="eastAsia" w:ascii="宋体" w:hAnsi="宋体"/>
                <w:color w:val="auto"/>
                <w:szCs w:val="21"/>
                <w:highlight w:val="none"/>
              </w:rPr>
            </w:pPr>
          </w:p>
        </w:tc>
        <w:tc>
          <w:tcPr>
            <w:tcW w:w="1417" w:type="dxa"/>
            <w:gridSpan w:val="2"/>
            <w:noWrap w:val="0"/>
            <w:vAlign w:val="center"/>
          </w:tcPr>
          <w:p>
            <w:pPr>
              <w:jc w:val="center"/>
              <w:rPr>
                <w:rFonts w:hint="eastAsia" w:ascii="宋体" w:hAnsi="宋体"/>
                <w:color w:val="auto"/>
                <w:szCs w:val="21"/>
                <w:highlight w:val="none"/>
              </w:rPr>
            </w:pPr>
          </w:p>
        </w:tc>
        <w:tc>
          <w:tcPr>
            <w:tcW w:w="1786" w:type="dxa"/>
            <w:gridSpan w:val="3"/>
            <w:noWrap w:val="0"/>
            <w:vAlign w:val="center"/>
          </w:tcPr>
          <w:p>
            <w:pPr>
              <w:jc w:val="center"/>
              <w:rPr>
                <w:rFonts w:hint="eastAsia" w:ascii="宋体" w:hAnsi="宋体"/>
                <w:color w:val="auto"/>
                <w:szCs w:val="21"/>
                <w:highlight w:val="none"/>
              </w:rPr>
            </w:pPr>
          </w:p>
        </w:tc>
        <w:tc>
          <w:tcPr>
            <w:tcW w:w="1597" w:type="dxa"/>
            <w:gridSpan w:val="6"/>
            <w:noWrap w:val="0"/>
            <w:vAlign w:val="center"/>
          </w:tcPr>
          <w:p>
            <w:pPr>
              <w:jc w:val="center"/>
              <w:rPr>
                <w:rFonts w:hint="eastAsia" w:ascii="宋体" w:hAnsi="宋体"/>
                <w:color w:val="auto"/>
                <w:szCs w:val="21"/>
                <w:highlight w:val="none"/>
              </w:rPr>
            </w:pPr>
          </w:p>
        </w:tc>
        <w:tc>
          <w:tcPr>
            <w:tcW w:w="1898" w:type="dxa"/>
            <w:noWrap w:val="0"/>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388" w:type="dxa"/>
            <w:gridSpan w:val="2"/>
            <w:noWrap w:val="0"/>
            <w:vAlign w:val="center"/>
          </w:tcPr>
          <w:p>
            <w:pPr>
              <w:jc w:val="center"/>
              <w:rPr>
                <w:rFonts w:hint="eastAsia" w:ascii="宋体" w:hAnsi="宋体"/>
                <w:color w:val="auto"/>
                <w:szCs w:val="21"/>
                <w:highlight w:val="none"/>
              </w:rPr>
            </w:pPr>
          </w:p>
        </w:tc>
        <w:tc>
          <w:tcPr>
            <w:tcW w:w="1588" w:type="dxa"/>
            <w:noWrap w:val="0"/>
            <w:vAlign w:val="center"/>
          </w:tcPr>
          <w:p>
            <w:pPr>
              <w:jc w:val="center"/>
              <w:rPr>
                <w:rFonts w:hint="eastAsia" w:ascii="宋体" w:hAnsi="宋体"/>
                <w:color w:val="auto"/>
                <w:szCs w:val="21"/>
                <w:highlight w:val="none"/>
              </w:rPr>
            </w:pPr>
          </w:p>
        </w:tc>
        <w:tc>
          <w:tcPr>
            <w:tcW w:w="1417" w:type="dxa"/>
            <w:gridSpan w:val="2"/>
            <w:noWrap w:val="0"/>
            <w:vAlign w:val="center"/>
          </w:tcPr>
          <w:p>
            <w:pPr>
              <w:jc w:val="center"/>
              <w:rPr>
                <w:rFonts w:hint="eastAsia" w:ascii="宋体" w:hAnsi="宋体"/>
                <w:color w:val="auto"/>
                <w:szCs w:val="21"/>
                <w:highlight w:val="none"/>
              </w:rPr>
            </w:pPr>
          </w:p>
        </w:tc>
        <w:tc>
          <w:tcPr>
            <w:tcW w:w="1786" w:type="dxa"/>
            <w:gridSpan w:val="3"/>
            <w:noWrap w:val="0"/>
            <w:vAlign w:val="center"/>
          </w:tcPr>
          <w:p>
            <w:pPr>
              <w:jc w:val="center"/>
              <w:rPr>
                <w:rFonts w:hint="eastAsia" w:ascii="宋体" w:hAnsi="宋体"/>
                <w:color w:val="auto"/>
                <w:szCs w:val="21"/>
                <w:highlight w:val="none"/>
              </w:rPr>
            </w:pPr>
          </w:p>
        </w:tc>
        <w:tc>
          <w:tcPr>
            <w:tcW w:w="1597" w:type="dxa"/>
            <w:gridSpan w:val="6"/>
            <w:noWrap w:val="0"/>
            <w:vAlign w:val="center"/>
          </w:tcPr>
          <w:p>
            <w:pPr>
              <w:jc w:val="center"/>
              <w:rPr>
                <w:rFonts w:hint="eastAsia" w:ascii="宋体" w:hAnsi="宋体"/>
                <w:color w:val="auto"/>
                <w:szCs w:val="21"/>
                <w:highlight w:val="none"/>
              </w:rPr>
            </w:pPr>
          </w:p>
        </w:tc>
        <w:tc>
          <w:tcPr>
            <w:tcW w:w="1898" w:type="dxa"/>
            <w:noWrap w:val="0"/>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388" w:type="dxa"/>
            <w:gridSpan w:val="2"/>
            <w:noWrap w:val="0"/>
            <w:vAlign w:val="center"/>
          </w:tcPr>
          <w:p>
            <w:pPr>
              <w:jc w:val="center"/>
              <w:rPr>
                <w:rFonts w:hint="eastAsia" w:ascii="宋体" w:hAnsi="宋体"/>
                <w:color w:val="auto"/>
                <w:szCs w:val="21"/>
                <w:highlight w:val="none"/>
              </w:rPr>
            </w:pPr>
          </w:p>
        </w:tc>
        <w:tc>
          <w:tcPr>
            <w:tcW w:w="1588" w:type="dxa"/>
            <w:noWrap w:val="0"/>
            <w:vAlign w:val="center"/>
          </w:tcPr>
          <w:p>
            <w:pPr>
              <w:jc w:val="center"/>
              <w:rPr>
                <w:rFonts w:hint="eastAsia" w:ascii="宋体" w:hAnsi="宋体"/>
                <w:color w:val="auto"/>
                <w:szCs w:val="21"/>
                <w:highlight w:val="none"/>
              </w:rPr>
            </w:pPr>
          </w:p>
        </w:tc>
        <w:tc>
          <w:tcPr>
            <w:tcW w:w="1417" w:type="dxa"/>
            <w:gridSpan w:val="2"/>
            <w:noWrap w:val="0"/>
            <w:vAlign w:val="center"/>
          </w:tcPr>
          <w:p>
            <w:pPr>
              <w:jc w:val="center"/>
              <w:rPr>
                <w:rFonts w:hint="eastAsia" w:ascii="宋体" w:hAnsi="宋体"/>
                <w:color w:val="auto"/>
                <w:szCs w:val="21"/>
                <w:highlight w:val="none"/>
              </w:rPr>
            </w:pPr>
          </w:p>
        </w:tc>
        <w:tc>
          <w:tcPr>
            <w:tcW w:w="1786" w:type="dxa"/>
            <w:gridSpan w:val="3"/>
            <w:noWrap w:val="0"/>
            <w:vAlign w:val="center"/>
          </w:tcPr>
          <w:p>
            <w:pPr>
              <w:jc w:val="center"/>
              <w:rPr>
                <w:rFonts w:hint="eastAsia" w:ascii="宋体" w:hAnsi="宋体"/>
                <w:color w:val="auto"/>
                <w:szCs w:val="21"/>
                <w:highlight w:val="none"/>
              </w:rPr>
            </w:pPr>
          </w:p>
        </w:tc>
        <w:tc>
          <w:tcPr>
            <w:tcW w:w="1597" w:type="dxa"/>
            <w:gridSpan w:val="6"/>
            <w:noWrap w:val="0"/>
            <w:vAlign w:val="center"/>
          </w:tcPr>
          <w:p>
            <w:pPr>
              <w:jc w:val="center"/>
              <w:rPr>
                <w:rFonts w:hint="eastAsia" w:ascii="宋体" w:hAnsi="宋体"/>
                <w:color w:val="auto"/>
                <w:szCs w:val="21"/>
                <w:highlight w:val="none"/>
              </w:rPr>
            </w:pPr>
          </w:p>
        </w:tc>
        <w:tc>
          <w:tcPr>
            <w:tcW w:w="1898" w:type="dxa"/>
            <w:noWrap w:val="0"/>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388" w:type="dxa"/>
            <w:gridSpan w:val="2"/>
            <w:noWrap w:val="0"/>
            <w:vAlign w:val="center"/>
          </w:tcPr>
          <w:p>
            <w:pPr>
              <w:jc w:val="center"/>
              <w:rPr>
                <w:rFonts w:hint="eastAsia" w:ascii="宋体" w:hAnsi="宋体"/>
                <w:color w:val="auto"/>
                <w:szCs w:val="21"/>
                <w:highlight w:val="none"/>
              </w:rPr>
            </w:pPr>
          </w:p>
        </w:tc>
        <w:tc>
          <w:tcPr>
            <w:tcW w:w="1588" w:type="dxa"/>
            <w:noWrap w:val="0"/>
            <w:vAlign w:val="center"/>
          </w:tcPr>
          <w:p>
            <w:pPr>
              <w:jc w:val="center"/>
              <w:rPr>
                <w:rFonts w:hint="eastAsia" w:ascii="宋体" w:hAnsi="宋体"/>
                <w:color w:val="auto"/>
                <w:szCs w:val="21"/>
                <w:highlight w:val="none"/>
              </w:rPr>
            </w:pPr>
          </w:p>
        </w:tc>
        <w:tc>
          <w:tcPr>
            <w:tcW w:w="1417" w:type="dxa"/>
            <w:gridSpan w:val="2"/>
            <w:noWrap w:val="0"/>
            <w:vAlign w:val="center"/>
          </w:tcPr>
          <w:p>
            <w:pPr>
              <w:jc w:val="center"/>
              <w:rPr>
                <w:rFonts w:hint="eastAsia" w:ascii="宋体" w:hAnsi="宋体"/>
                <w:color w:val="auto"/>
                <w:szCs w:val="21"/>
                <w:highlight w:val="none"/>
              </w:rPr>
            </w:pPr>
          </w:p>
        </w:tc>
        <w:tc>
          <w:tcPr>
            <w:tcW w:w="1786" w:type="dxa"/>
            <w:gridSpan w:val="3"/>
            <w:noWrap w:val="0"/>
            <w:vAlign w:val="center"/>
          </w:tcPr>
          <w:p>
            <w:pPr>
              <w:jc w:val="center"/>
              <w:rPr>
                <w:rFonts w:hint="eastAsia" w:ascii="宋体" w:hAnsi="宋体"/>
                <w:color w:val="auto"/>
                <w:szCs w:val="21"/>
                <w:highlight w:val="none"/>
              </w:rPr>
            </w:pPr>
          </w:p>
        </w:tc>
        <w:tc>
          <w:tcPr>
            <w:tcW w:w="1597" w:type="dxa"/>
            <w:gridSpan w:val="6"/>
            <w:noWrap w:val="0"/>
            <w:vAlign w:val="center"/>
          </w:tcPr>
          <w:p>
            <w:pPr>
              <w:jc w:val="center"/>
              <w:rPr>
                <w:rFonts w:hint="eastAsia" w:ascii="宋体" w:hAnsi="宋体"/>
                <w:color w:val="auto"/>
                <w:szCs w:val="21"/>
                <w:highlight w:val="none"/>
              </w:rPr>
            </w:pPr>
          </w:p>
        </w:tc>
        <w:tc>
          <w:tcPr>
            <w:tcW w:w="1898" w:type="dxa"/>
            <w:noWrap w:val="0"/>
            <w:vAlign w:val="center"/>
          </w:tcPr>
          <w:p>
            <w:pPr>
              <w:jc w:val="center"/>
              <w:rPr>
                <w:rFonts w:hint="eastAsia" w:ascii="宋体" w:hAnsi="宋体"/>
                <w:color w:val="auto"/>
                <w:szCs w:val="21"/>
                <w:highlight w:val="none"/>
              </w:rPr>
            </w:pPr>
          </w:p>
        </w:tc>
      </w:tr>
    </w:tbl>
    <w:p>
      <w:pPr>
        <w:jc w:val="center"/>
        <w:rPr>
          <w:rFonts w:hint="eastAsia" w:ascii="宋体" w:hAnsi="宋体"/>
          <w:color w:val="auto"/>
          <w:szCs w:val="21"/>
          <w:highlight w:val="none"/>
        </w:rPr>
      </w:pPr>
    </w:p>
    <w:p>
      <w:pPr>
        <w:jc w:val="center"/>
        <w:rPr>
          <w:rFonts w:hint="eastAsia" w:ascii="宋体" w:hAnsi="宋体"/>
          <w:b/>
          <w:color w:val="auto"/>
          <w:szCs w:val="21"/>
          <w:highlight w:val="none"/>
        </w:rPr>
      </w:pPr>
      <w:r>
        <w:rPr>
          <w:rFonts w:hint="eastAsia" w:ascii="宋体" w:hAnsi="宋体"/>
          <w:b/>
          <w:color w:val="auto"/>
          <w:szCs w:val="21"/>
          <w:highlight w:val="none"/>
        </w:rPr>
        <w:t>后附身份证、注册证</w:t>
      </w:r>
    </w:p>
    <w:p>
      <w:pPr>
        <w:jc w:val="center"/>
        <w:outlineLvl w:val="0"/>
        <w:rPr>
          <w:rFonts w:hint="eastAsia"/>
          <w:b/>
          <w:bCs/>
          <w:color w:val="auto"/>
          <w:sz w:val="32"/>
          <w:szCs w:val="32"/>
          <w:highlight w:val="none"/>
          <w:lang w:eastAsia="zh-CN"/>
        </w:rPr>
      </w:pPr>
    </w:p>
    <w:p>
      <w:pPr>
        <w:jc w:val="center"/>
        <w:outlineLvl w:val="0"/>
        <w:rPr>
          <w:rFonts w:hint="eastAsia"/>
          <w:b/>
          <w:bCs/>
          <w:color w:val="auto"/>
          <w:sz w:val="32"/>
          <w:szCs w:val="32"/>
          <w:highlight w:val="none"/>
        </w:rPr>
      </w:pPr>
      <w:r>
        <w:rPr>
          <w:rFonts w:hint="eastAsia"/>
          <w:b/>
          <w:bCs/>
          <w:color w:val="auto"/>
          <w:sz w:val="32"/>
          <w:szCs w:val="32"/>
          <w:highlight w:val="none"/>
          <w:lang w:eastAsia="zh-CN"/>
        </w:rPr>
        <w:t>十</w:t>
      </w:r>
      <w:r>
        <w:rPr>
          <w:rFonts w:hint="eastAsia"/>
          <w:b/>
          <w:bCs/>
          <w:color w:val="auto"/>
          <w:sz w:val="32"/>
          <w:szCs w:val="32"/>
          <w:highlight w:val="none"/>
        </w:rPr>
        <w:t>、施工组织设计</w:t>
      </w:r>
      <w:bookmarkEnd w:id="489"/>
      <w:bookmarkEnd w:id="490"/>
      <w:bookmarkEnd w:id="491"/>
    </w:p>
    <w:p>
      <w:pPr>
        <w:widowControl/>
        <w:adjustRightInd w:val="0"/>
        <w:snapToGrid w:val="0"/>
        <w:spacing w:line="400" w:lineRule="atLeast"/>
        <w:ind w:firstLine="420"/>
        <w:rPr>
          <w:rFonts w:ascii="宋体" w:hAnsi="宋体" w:cs="宋体"/>
          <w:color w:val="auto"/>
          <w:kern w:val="0"/>
          <w:szCs w:val="21"/>
          <w:highlight w:val="none"/>
        </w:rPr>
      </w:pPr>
      <w:r>
        <w:rPr>
          <w:rFonts w:hint="eastAsia" w:ascii="宋体" w:hAnsi="宋体" w:cs="宋体"/>
          <w:color w:val="auto"/>
          <w:kern w:val="0"/>
          <w:szCs w:val="21"/>
          <w:highlight w:val="none"/>
        </w:rPr>
        <w:t>1．投标人编制施工组织设计时应采用文字并结合图表形式说明工程的施工组织、施工方法、技术组织措施，同时应对关键工序、复杂环节重点提出相应技术措施。施工组织设计还应结合工程特点提出切实可行的工程质量、工程进度、安全生产、文明施工方案。</w:t>
      </w:r>
    </w:p>
    <w:p>
      <w:pPr>
        <w:widowControl/>
        <w:adjustRightInd w:val="0"/>
        <w:snapToGrid w:val="0"/>
        <w:spacing w:line="400" w:lineRule="atLeast"/>
        <w:ind w:firstLine="420"/>
        <w:rPr>
          <w:rFonts w:ascii="宋体" w:hAnsi="宋体" w:cs="宋体"/>
          <w:color w:val="auto"/>
          <w:kern w:val="0"/>
          <w:szCs w:val="21"/>
          <w:highlight w:val="none"/>
        </w:rPr>
      </w:pPr>
      <w:r>
        <w:rPr>
          <w:rFonts w:hint="eastAsia" w:ascii="宋体" w:hAnsi="宋体" w:cs="宋体"/>
          <w:color w:val="auto"/>
          <w:kern w:val="0"/>
          <w:szCs w:val="21"/>
          <w:highlight w:val="none"/>
        </w:rPr>
        <w:t>（格式自拟）：</w:t>
      </w:r>
    </w:p>
    <w:p>
      <w:pPr>
        <w:widowControl/>
        <w:spacing w:line="360" w:lineRule="auto"/>
        <w:ind w:firstLine="420"/>
        <w:rPr>
          <w:rFonts w:ascii="宋体" w:hAnsi="宋体"/>
          <w:color w:val="auto"/>
          <w:kern w:val="0"/>
          <w:szCs w:val="21"/>
          <w:highlight w:val="none"/>
        </w:rPr>
      </w:pPr>
    </w:p>
    <w:p>
      <w:pPr>
        <w:widowControl/>
        <w:spacing w:line="360" w:lineRule="atLeast"/>
        <w:rPr>
          <w:rFonts w:ascii="宋体" w:hAnsi="宋体"/>
          <w:color w:val="auto"/>
          <w:kern w:val="0"/>
          <w:szCs w:val="21"/>
          <w:highlight w:val="none"/>
        </w:rPr>
      </w:pPr>
      <w:r>
        <w:rPr>
          <w:rFonts w:hint="eastAsia" w:ascii="宋体" w:hAnsi="宋体"/>
          <w:color w:val="auto"/>
          <w:kern w:val="0"/>
          <w:szCs w:val="21"/>
          <w:highlight w:val="none"/>
        </w:rPr>
        <w:t>2.施工组织设计除采用文字表述外应附下列图表，图表及格式要求附后。</w:t>
      </w:r>
    </w:p>
    <w:p>
      <w:pPr>
        <w:widowControl/>
        <w:spacing w:line="360" w:lineRule="atLeast"/>
        <w:rPr>
          <w:rFonts w:ascii="宋体" w:hAnsi="宋体"/>
          <w:color w:val="auto"/>
          <w:kern w:val="0"/>
          <w:szCs w:val="21"/>
          <w:highlight w:val="none"/>
        </w:rPr>
      </w:pPr>
      <w:r>
        <w:rPr>
          <w:rFonts w:hint="eastAsia" w:ascii="宋体" w:hAnsi="宋体"/>
          <w:color w:val="auto"/>
          <w:kern w:val="0"/>
          <w:szCs w:val="21"/>
          <w:highlight w:val="none"/>
        </w:rPr>
        <w:t xml:space="preserve">  附件一：拟投入本标段的主要施工设备表</w:t>
      </w:r>
    </w:p>
    <w:p>
      <w:pPr>
        <w:widowControl/>
        <w:spacing w:line="360" w:lineRule="atLeast"/>
        <w:rPr>
          <w:rFonts w:ascii="宋体" w:hAnsi="宋体"/>
          <w:color w:val="auto"/>
          <w:kern w:val="0"/>
          <w:szCs w:val="21"/>
          <w:highlight w:val="none"/>
        </w:rPr>
      </w:pPr>
      <w:r>
        <w:rPr>
          <w:rFonts w:hint="eastAsia" w:ascii="宋体" w:hAnsi="宋体"/>
          <w:color w:val="auto"/>
          <w:kern w:val="0"/>
          <w:szCs w:val="21"/>
          <w:highlight w:val="none"/>
        </w:rPr>
        <w:t xml:space="preserve">  附件二：拟投入本标段的试验和检测仪器设备表</w:t>
      </w:r>
    </w:p>
    <w:p>
      <w:pPr>
        <w:widowControl/>
        <w:spacing w:line="360" w:lineRule="atLeast"/>
        <w:rPr>
          <w:rFonts w:ascii="宋体" w:hAnsi="宋体"/>
          <w:color w:val="auto"/>
          <w:kern w:val="0"/>
          <w:szCs w:val="21"/>
          <w:highlight w:val="none"/>
        </w:rPr>
      </w:pPr>
      <w:r>
        <w:rPr>
          <w:rFonts w:hint="eastAsia" w:ascii="宋体" w:hAnsi="宋体"/>
          <w:color w:val="auto"/>
          <w:kern w:val="0"/>
          <w:szCs w:val="21"/>
          <w:highlight w:val="none"/>
        </w:rPr>
        <w:t xml:space="preserve">  附件三：拟投入本标段的劳动力计划表</w:t>
      </w:r>
    </w:p>
    <w:p>
      <w:pPr>
        <w:widowControl/>
        <w:spacing w:line="360" w:lineRule="atLeast"/>
        <w:rPr>
          <w:rFonts w:ascii="宋体" w:hAnsi="宋体"/>
          <w:color w:val="auto"/>
          <w:kern w:val="0"/>
          <w:szCs w:val="21"/>
          <w:highlight w:val="none"/>
        </w:rPr>
      </w:pPr>
      <w:r>
        <w:rPr>
          <w:rFonts w:hint="eastAsia" w:ascii="宋体" w:hAnsi="宋体"/>
          <w:color w:val="auto"/>
          <w:kern w:val="0"/>
          <w:szCs w:val="21"/>
          <w:highlight w:val="none"/>
        </w:rPr>
        <w:t xml:space="preserve">  附件四：计划开工日期、完工日期和施工进度网络图</w:t>
      </w:r>
    </w:p>
    <w:p>
      <w:pPr>
        <w:widowControl/>
        <w:spacing w:line="360" w:lineRule="atLeast"/>
        <w:rPr>
          <w:rFonts w:ascii="宋体" w:hAnsi="宋体"/>
          <w:color w:val="auto"/>
          <w:kern w:val="0"/>
          <w:szCs w:val="21"/>
          <w:highlight w:val="none"/>
        </w:rPr>
      </w:pPr>
      <w:r>
        <w:rPr>
          <w:rFonts w:hint="eastAsia" w:ascii="宋体" w:hAnsi="宋体"/>
          <w:color w:val="auto"/>
          <w:kern w:val="0"/>
          <w:szCs w:val="21"/>
          <w:highlight w:val="none"/>
        </w:rPr>
        <w:t xml:space="preserve">  附件五：施工总平面图</w:t>
      </w:r>
    </w:p>
    <w:p>
      <w:pPr>
        <w:widowControl/>
        <w:spacing w:line="360" w:lineRule="atLeast"/>
        <w:rPr>
          <w:rFonts w:ascii="宋体" w:hAnsi="宋体"/>
          <w:color w:val="auto"/>
          <w:kern w:val="0"/>
          <w:szCs w:val="21"/>
          <w:highlight w:val="none"/>
        </w:rPr>
      </w:pPr>
      <w:r>
        <w:rPr>
          <w:rFonts w:hint="eastAsia" w:ascii="宋体" w:hAnsi="宋体"/>
          <w:color w:val="auto"/>
          <w:kern w:val="0"/>
          <w:szCs w:val="21"/>
          <w:highlight w:val="none"/>
        </w:rPr>
        <w:t xml:space="preserve">  附件六：临时用地表</w:t>
      </w:r>
    </w:p>
    <w:p>
      <w:pPr>
        <w:widowControl/>
        <w:spacing w:line="360" w:lineRule="auto"/>
        <w:rPr>
          <w:rFonts w:ascii="黑体" w:eastAsia="黑体"/>
          <w:color w:val="auto"/>
          <w:kern w:val="0"/>
          <w:sz w:val="24"/>
          <w:highlight w:val="none"/>
        </w:rPr>
      </w:pPr>
      <w:r>
        <w:rPr>
          <w:rFonts w:hint="eastAsia" w:ascii="宋体" w:hAnsi="宋体"/>
          <w:color w:val="auto"/>
          <w:kern w:val="0"/>
          <w:szCs w:val="21"/>
          <w:highlight w:val="none"/>
        </w:rPr>
        <w:br w:type="page"/>
      </w:r>
      <w:r>
        <w:rPr>
          <w:rFonts w:hint="eastAsia" w:ascii="宋体" w:hAnsi="宋体"/>
          <w:color w:val="auto"/>
          <w:kern w:val="0"/>
          <w:sz w:val="24"/>
          <w:highlight w:val="none"/>
        </w:rPr>
        <w:t>附件一：</w:t>
      </w:r>
    </w:p>
    <w:p>
      <w:pPr>
        <w:widowControl/>
        <w:spacing w:line="360" w:lineRule="auto"/>
        <w:jc w:val="center"/>
        <w:rPr>
          <w:rFonts w:ascii="黑体" w:eastAsia="黑体"/>
          <w:color w:val="auto"/>
          <w:kern w:val="0"/>
          <w:sz w:val="24"/>
          <w:highlight w:val="none"/>
        </w:rPr>
      </w:pPr>
      <w:bookmarkStart w:id="492" w:name="_Toc30735"/>
      <w:bookmarkStart w:id="493" w:name="_Toc24769"/>
      <w:bookmarkStart w:id="494" w:name="_Toc258"/>
      <w:r>
        <w:rPr>
          <w:rFonts w:hint="eastAsia" w:ascii="宋体" w:hAnsi="宋体"/>
          <w:color w:val="auto"/>
          <w:kern w:val="0"/>
          <w:sz w:val="24"/>
          <w:highlight w:val="none"/>
        </w:rPr>
        <w:t>拟投入本工程的主要施工设备表</w:t>
      </w:r>
      <w:bookmarkEnd w:id="492"/>
      <w:bookmarkEnd w:id="493"/>
      <w:bookmarkEnd w:id="494"/>
    </w:p>
    <w:tbl>
      <w:tblPr>
        <w:tblStyle w:val="15"/>
        <w:tblW w:w="0" w:type="auto"/>
        <w:jc w:val="center"/>
        <w:tblLayout w:type="fixed"/>
        <w:tblCellMar>
          <w:top w:w="0" w:type="dxa"/>
          <w:left w:w="108" w:type="dxa"/>
          <w:bottom w:w="0" w:type="dxa"/>
          <w:right w:w="108" w:type="dxa"/>
        </w:tblCellMar>
      </w:tblPr>
      <w:tblGrid>
        <w:gridCol w:w="720"/>
        <w:gridCol w:w="1185"/>
        <w:gridCol w:w="795"/>
        <w:gridCol w:w="816"/>
        <w:gridCol w:w="816"/>
        <w:gridCol w:w="1080"/>
        <w:gridCol w:w="1260"/>
        <w:gridCol w:w="973"/>
        <w:gridCol w:w="1080"/>
        <w:gridCol w:w="1080"/>
      </w:tblGrid>
      <w:tr>
        <w:tblPrEx>
          <w:tblCellMar>
            <w:top w:w="0" w:type="dxa"/>
            <w:left w:w="108" w:type="dxa"/>
            <w:bottom w:w="0" w:type="dxa"/>
            <w:right w:w="108" w:type="dxa"/>
          </w:tblCellMar>
        </w:tblPrEx>
        <w:trPr>
          <w:trHeight w:val="917"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序号</w:t>
            </w:r>
          </w:p>
        </w:tc>
        <w:tc>
          <w:tcPr>
            <w:tcW w:w="1185" w:type="dxa"/>
            <w:tcBorders>
              <w:top w:val="single" w:color="000000" w:sz="4" w:space="0"/>
              <w:left w:val="nil"/>
              <w:bottom w:val="single" w:color="000000" w:sz="4" w:space="0"/>
              <w:right w:val="single" w:color="000000" w:sz="4" w:space="0"/>
            </w:tcBorders>
            <w:noWrap w:val="0"/>
            <w:vAlign w:val="center"/>
          </w:tcPr>
          <w:p>
            <w:pPr>
              <w:widowControl/>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设备名称</w:t>
            </w:r>
          </w:p>
        </w:tc>
        <w:tc>
          <w:tcPr>
            <w:tcW w:w="795" w:type="dxa"/>
            <w:tcBorders>
              <w:top w:val="single" w:color="000000" w:sz="4" w:space="0"/>
              <w:left w:val="nil"/>
              <w:bottom w:val="single" w:color="000000" w:sz="4" w:space="0"/>
              <w:right w:val="single" w:color="000000" w:sz="4" w:space="0"/>
            </w:tcBorders>
            <w:noWrap w:val="0"/>
            <w:vAlign w:val="center"/>
          </w:tcPr>
          <w:p>
            <w:pPr>
              <w:widowControl/>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型号</w:t>
            </w:r>
          </w:p>
          <w:p>
            <w:pPr>
              <w:widowControl/>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规格</w:t>
            </w:r>
          </w:p>
        </w:tc>
        <w:tc>
          <w:tcPr>
            <w:tcW w:w="816" w:type="dxa"/>
            <w:tcBorders>
              <w:top w:val="single" w:color="000000" w:sz="4" w:space="0"/>
              <w:left w:val="nil"/>
              <w:bottom w:val="single" w:color="000000" w:sz="4" w:space="0"/>
              <w:right w:val="single" w:color="000000" w:sz="4" w:space="0"/>
            </w:tcBorders>
            <w:noWrap w:val="0"/>
            <w:vAlign w:val="center"/>
          </w:tcPr>
          <w:p>
            <w:pPr>
              <w:widowControl/>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数量</w:t>
            </w:r>
          </w:p>
        </w:tc>
        <w:tc>
          <w:tcPr>
            <w:tcW w:w="816" w:type="dxa"/>
            <w:tcBorders>
              <w:top w:val="single" w:color="000000" w:sz="4" w:space="0"/>
              <w:left w:val="nil"/>
              <w:bottom w:val="single" w:color="000000" w:sz="4" w:space="0"/>
              <w:right w:val="single" w:color="000000" w:sz="4" w:space="0"/>
            </w:tcBorders>
            <w:noWrap w:val="0"/>
            <w:vAlign w:val="center"/>
          </w:tcPr>
          <w:p>
            <w:pPr>
              <w:widowControl/>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国别</w:t>
            </w:r>
          </w:p>
          <w:p>
            <w:pPr>
              <w:widowControl/>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产地</w:t>
            </w:r>
          </w:p>
        </w:tc>
        <w:tc>
          <w:tcPr>
            <w:tcW w:w="1080" w:type="dxa"/>
            <w:tcBorders>
              <w:top w:val="single" w:color="000000" w:sz="4" w:space="0"/>
              <w:left w:val="nil"/>
              <w:bottom w:val="single" w:color="000000" w:sz="4" w:space="0"/>
              <w:right w:val="single" w:color="000000" w:sz="4" w:space="0"/>
            </w:tcBorders>
            <w:noWrap w:val="0"/>
            <w:vAlign w:val="center"/>
          </w:tcPr>
          <w:p>
            <w:pPr>
              <w:widowControl/>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制造</w:t>
            </w:r>
          </w:p>
          <w:p>
            <w:pPr>
              <w:widowControl/>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年份</w:t>
            </w:r>
          </w:p>
        </w:tc>
        <w:tc>
          <w:tcPr>
            <w:tcW w:w="1260" w:type="dxa"/>
            <w:tcBorders>
              <w:top w:val="single" w:color="000000" w:sz="4" w:space="0"/>
              <w:left w:val="nil"/>
              <w:bottom w:val="single" w:color="000000" w:sz="4" w:space="0"/>
              <w:right w:val="single" w:color="000000" w:sz="4" w:space="0"/>
            </w:tcBorders>
            <w:noWrap w:val="0"/>
            <w:vAlign w:val="center"/>
          </w:tcPr>
          <w:p>
            <w:pPr>
              <w:widowControl/>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额定功率</w:t>
            </w:r>
          </w:p>
          <w:p>
            <w:pPr>
              <w:widowControl/>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 KW )</w:t>
            </w:r>
          </w:p>
        </w:tc>
        <w:tc>
          <w:tcPr>
            <w:tcW w:w="973" w:type="dxa"/>
            <w:tcBorders>
              <w:top w:val="single" w:color="000000" w:sz="4" w:space="0"/>
              <w:left w:val="nil"/>
              <w:bottom w:val="single" w:color="000000" w:sz="4" w:space="0"/>
              <w:right w:val="single" w:color="000000" w:sz="4" w:space="0"/>
            </w:tcBorders>
            <w:noWrap w:val="0"/>
            <w:vAlign w:val="center"/>
          </w:tcPr>
          <w:p>
            <w:pPr>
              <w:widowControl/>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生产</w:t>
            </w:r>
          </w:p>
          <w:p>
            <w:pPr>
              <w:widowControl/>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能力</w:t>
            </w:r>
          </w:p>
        </w:tc>
        <w:tc>
          <w:tcPr>
            <w:tcW w:w="1080" w:type="dxa"/>
            <w:tcBorders>
              <w:top w:val="single" w:color="000000" w:sz="4" w:space="0"/>
              <w:left w:val="nil"/>
              <w:bottom w:val="single" w:color="000000" w:sz="4" w:space="0"/>
              <w:right w:val="single" w:color="000000" w:sz="4" w:space="0"/>
            </w:tcBorders>
            <w:noWrap w:val="0"/>
            <w:vAlign w:val="center"/>
          </w:tcPr>
          <w:p>
            <w:pPr>
              <w:widowControl/>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用于施</w:t>
            </w:r>
          </w:p>
          <w:p>
            <w:pPr>
              <w:widowControl/>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工部位</w:t>
            </w:r>
          </w:p>
        </w:tc>
        <w:tc>
          <w:tcPr>
            <w:tcW w:w="1080" w:type="dxa"/>
            <w:tcBorders>
              <w:top w:val="single" w:color="000000" w:sz="4" w:space="0"/>
              <w:left w:val="nil"/>
              <w:bottom w:val="single" w:color="000000" w:sz="4" w:space="0"/>
              <w:right w:val="single" w:color="000000" w:sz="4" w:space="0"/>
            </w:tcBorders>
            <w:noWrap w:val="0"/>
            <w:vAlign w:val="center"/>
          </w:tcPr>
          <w:p>
            <w:pPr>
              <w:widowControl/>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备注</w:t>
            </w:r>
          </w:p>
        </w:tc>
      </w:tr>
      <w:tr>
        <w:tblPrEx>
          <w:tblCellMar>
            <w:top w:w="0" w:type="dxa"/>
            <w:left w:w="108" w:type="dxa"/>
            <w:bottom w:w="0" w:type="dxa"/>
            <w:right w:w="108" w:type="dxa"/>
          </w:tblCellMar>
        </w:tblPrEx>
        <w:trPr>
          <w:trHeight w:val="726"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185"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795"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816"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816"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08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26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973"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08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08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726"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185"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795"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816"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816"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08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26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973"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08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08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726"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185"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795"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816"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816"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08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26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973"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08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08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727"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185"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795"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816"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816"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08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26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973"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08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08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726"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185"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795"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816"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816"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08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26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973"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08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08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726"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185"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795"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816"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816"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08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26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973"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08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08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726"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185"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795"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816"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816"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08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26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973"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08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08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727"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185"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795"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816"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816"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08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26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973"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08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08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726"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185"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795"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816"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816"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08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26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973"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08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08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726"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185"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795"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816"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816"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08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26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973"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08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08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726"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185"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795"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816"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816"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08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26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973"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08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08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727"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185"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795"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816"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816"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08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26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973"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08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08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726"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185"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795"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816"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816"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08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26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973"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08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08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726"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185"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795"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816"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816"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08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26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973"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08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08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727"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185"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795"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816"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816"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08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26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973"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08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c>
          <w:tcPr>
            <w:tcW w:w="1080" w:type="dxa"/>
            <w:tcBorders>
              <w:top w:val="single" w:color="000000" w:sz="4" w:space="0"/>
              <w:left w:val="nil"/>
              <w:bottom w:val="single" w:color="000000" w:sz="4" w:space="0"/>
              <w:right w:val="single" w:color="000000" w:sz="4" w:space="0"/>
            </w:tcBorders>
            <w:noWrap w:val="0"/>
            <w:vAlign w:val="top"/>
          </w:tcPr>
          <w:p>
            <w:pPr>
              <w:widowControl/>
              <w:spacing w:line="360" w:lineRule="auto"/>
              <w:rPr>
                <w:rFonts w:ascii="宋体" w:hAnsi="宋体"/>
                <w:color w:val="auto"/>
                <w:kern w:val="0"/>
                <w:szCs w:val="21"/>
                <w:highlight w:val="none"/>
              </w:rPr>
            </w:pPr>
          </w:p>
        </w:tc>
      </w:tr>
    </w:tbl>
    <w:p>
      <w:pPr>
        <w:widowControl/>
        <w:spacing w:line="360" w:lineRule="auto"/>
        <w:rPr>
          <w:rFonts w:ascii="宋体" w:hAnsi="宋体"/>
          <w:color w:val="auto"/>
          <w:kern w:val="0"/>
          <w:szCs w:val="21"/>
          <w:highlight w:val="none"/>
        </w:rPr>
      </w:pPr>
      <w:r>
        <w:rPr>
          <w:rFonts w:hint="eastAsia" w:ascii="宋体" w:hAnsi="宋体"/>
          <w:color w:val="auto"/>
          <w:kern w:val="0"/>
          <w:szCs w:val="21"/>
          <w:highlight w:val="none"/>
        </w:rPr>
        <w:t xml:space="preserve"> </w:t>
      </w:r>
    </w:p>
    <w:p>
      <w:pPr>
        <w:widowControl/>
        <w:jc w:val="left"/>
        <w:rPr>
          <w:rFonts w:ascii="宋体" w:hAnsi="宋体" w:cs="宋体"/>
          <w:color w:val="auto"/>
          <w:kern w:val="0"/>
          <w:sz w:val="24"/>
          <w:highlight w:val="none"/>
        </w:rPr>
        <w:sectPr>
          <w:headerReference r:id="rId7" w:type="default"/>
          <w:footerReference r:id="rId8" w:type="default"/>
          <w:pgSz w:w="11906" w:h="16838"/>
          <w:pgMar w:top="1474" w:right="1474" w:bottom="1474" w:left="1587" w:header="850" w:footer="992" w:gutter="0"/>
          <w:pgNumType w:fmt="numberInDash"/>
          <w:cols w:space="720" w:num="1"/>
          <w:docGrid w:linePitch="312" w:charSpace="0"/>
        </w:sectPr>
      </w:pPr>
    </w:p>
    <w:p>
      <w:pPr>
        <w:widowControl/>
        <w:spacing w:line="360" w:lineRule="auto"/>
        <w:rPr>
          <w:rFonts w:ascii="黑体" w:eastAsia="黑体"/>
          <w:color w:val="auto"/>
          <w:kern w:val="0"/>
          <w:sz w:val="24"/>
          <w:highlight w:val="none"/>
        </w:rPr>
      </w:pPr>
      <w:r>
        <w:rPr>
          <w:rFonts w:hint="eastAsia" w:ascii="宋体" w:hAnsi="宋体"/>
          <w:color w:val="auto"/>
          <w:kern w:val="0"/>
          <w:sz w:val="24"/>
          <w:highlight w:val="none"/>
        </w:rPr>
        <w:t>附件二：</w:t>
      </w:r>
    </w:p>
    <w:p>
      <w:pPr>
        <w:widowControl/>
        <w:spacing w:line="360" w:lineRule="auto"/>
        <w:jc w:val="center"/>
        <w:rPr>
          <w:rFonts w:ascii="黑体" w:eastAsia="黑体"/>
          <w:color w:val="auto"/>
          <w:kern w:val="0"/>
          <w:sz w:val="24"/>
          <w:highlight w:val="none"/>
        </w:rPr>
      </w:pPr>
      <w:bookmarkStart w:id="495" w:name="_Toc1070"/>
      <w:bookmarkStart w:id="496" w:name="_Toc12966"/>
      <w:bookmarkStart w:id="497" w:name="_Toc24933"/>
      <w:r>
        <w:rPr>
          <w:rFonts w:hint="eastAsia" w:ascii="宋体" w:hAnsi="宋体"/>
          <w:color w:val="auto"/>
          <w:kern w:val="0"/>
          <w:sz w:val="24"/>
          <w:highlight w:val="none"/>
        </w:rPr>
        <w:t>拟投入本工程的试验和检测仪器设备表</w:t>
      </w:r>
      <w:bookmarkEnd w:id="495"/>
      <w:bookmarkEnd w:id="496"/>
      <w:bookmarkEnd w:id="497"/>
    </w:p>
    <w:tbl>
      <w:tblPr>
        <w:tblStyle w:val="15"/>
        <w:tblW w:w="0" w:type="auto"/>
        <w:tblInd w:w="-296" w:type="dxa"/>
        <w:tblLayout w:type="fixed"/>
        <w:tblCellMar>
          <w:top w:w="0" w:type="dxa"/>
          <w:left w:w="108" w:type="dxa"/>
          <w:bottom w:w="0" w:type="dxa"/>
          <w:right w:w="108" w:type="dxa"/>
        </w:tblCellMar>
      </w:tblPr>
      <w:tblGrid>
        <w:gridCol w:w="652"/>
        <w:gridCol w:w="1508"/>
        <w:gridCol w:w="1080"/>
        <w:gridCol w:w="652"/>
        <w:gridCol w:w="1080"/>
        <w:gridCol w:w="1080"/>
        <w:gridCol w:w="1694"/>
        <w:gridCol w:w="1019"/>
        <w:gridCol w:w="835"/>
      </w:tblGrid>
      <w:tr>
        <w:tblPrEx>
          <w:tblCellMar>
            <w:top w:w="0" w:type="dxa"/>
            <w:left w:w="108" w:type="dxa"/>
            <w:bottom w:w="0" w:type="dxa"/>
            <w:right w:w="108" w:type="dxa"/>
          </w:tblCellMar>
        </w:tblPrEx>
        <w:trPr>
          <w:trHeight w:val="951" w:hRule="atLeast"/>
        </w:trPr>
        <w:tc>
          <w:tcPr>
            <w:tcW w:w="652" w:type="dxa"/>
            <w:tcBorders>
              <w:top w:val="inset" w:color="000000" w:sz="6" w:space="0"/>
              <w:left w:val="inset" w:color="000000" w:sz="6" w:space="0"/>
              <w:bottom w:val="inset" w:color="000000" w:sz="6" w:space="0"/>
              <w:right w:val="inset" w:color="000000" w:sz="6" w:space="0"/>
            </w:tcBorders>
            <w:noWrap w:val="0"/>
            <w:vAlign w:val="center"/>
          </w:tcPr>
          <w:p>
            <w:pPr>
              <w:widowControl/>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序号</w:t>
            </w:r>
          </w:p>
        </w:tc>
        <w:tc>
          <w:tcPr>
            <w:tcW w:w="1508"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仪器设备</w:t>
            </w:r>
          </w:p>
          <w:p>
            <w:pPr>
              <w:widowControl/>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名称</w:t>
            </w: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型号规格</w:t>
            </w:r>
          </w:p>
        </w:tc>
        <w:tc>
          <w:tcPr>
            <w:tcW w:w="652"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数量</w:t>
            </w: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国别产地</w:t>
            </w: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制造年份</w:t>
            </w:r>
          </w:p>
        </w:tc>
        <w:tc>
          <w:tcPr>
            <w:tcW w:w="1694"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已使用台时数</w:t>
            </w:r>
          </w:p>
        </w:tc>
        <w:tc>
          <w:tcPr>
            <w:tcW w:w="1019"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用途</w:t>
            </w:r>
          </w:p>
        </w:tc>
        <w:tc>
          <w:tcPr>
            <w:tcW w:w="835"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备注</w:t>
            </w:r>
          </w:p>
        </w:tc>
      </w:tr>
      <w:tr>
        <w:tblPrEx>
          <w:tblCellMar>
            <w:top w:w="0" w:type="dxa"/>
            <w:left w:w="108" w:type="dxa"/>
            <w:bottom w:w="0" w:type="dxa"/>
            <w:right w:w="108" w:type="dxa"/>
          </w:tblCellMar>
        </w:tblPrEx>
        <w:trPr>
          <w:trHeight w:val="483" w:hRule="atLeast"/>
        </w:trPr>
        <w:tc>
          <w:tcPr>
            <w:tcW w:w="652" w:type="dxa"/>
            <w:tcBorders>
              <w:top w:val="inset" w:color="000000" w:sz="6" w:space="0"/>
              <w:left w:val="inset" w:color="000000" w:sz="6"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508"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652"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694"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19"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835"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483" w:hRule="atLeast"/>
        </w:trPr>
        <w:tc>
          <w:tcPr>
            <w:tcW w:w="652" w:type="dxa"/>
            <w:tcBorders>
              <w:top w:val="inset" w:color="000000" w:sz="6" w:space="0"/>
              <w:left w:val="inset" w:color="000000" w:sz="6"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508"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652"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694"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19"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835"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483" w:hRule="atLeast"/>
        </w:trPr>
        <w:tc>
          <w:tcPr>
            <w:tcW w:w="652" w:type="dxa"/>
            <w:tcBorders>
              <w:top w:val="inset" w:color="000000" w:sz="6" w:space="0"/>
              <w:left w:val="inset" w:color="000000" w:sz="6"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508"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652"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694"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19"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835"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483" w:hRule="atLeast"/>
        </w:trPr>
        <w:tc>
          <w:tcPr>
            <w:tcW w:w="652" w:type="dxa"/>
            <w:tcBorders>
              <w:top w:val="inset" w:color="000000" w:sz="6" w:space="0"/>
              <w:left w:val="inset" w:color="000000" w:sz="6"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508"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652"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694"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19"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835"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483" w:hRule="atLeast"/>
        </w:trPr>
        <w:tc>
          <w:tcPr>
            <w:tcW w:w="652" w:type="dxa"/>
            <w:tcBorders>
              <w:top w:val="inset" w:color="000000" w:sz="6" w:space="0"/>
              <w:left w:val="inset" w:color="000000" w:sz="6"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508"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652"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694"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19"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835"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483" w:hRule="atLeast"/>
        </w:trPr>
        <w:tc>
          <w:tcPr>
            <w:tcW w:w="652" w:type="dxa"/>
            <w:tcBorders>
              <w:top w:val="inset" w:color="000000" w:sz="6" w:space="0"/>
              <w:left w:val="inset" w:color="000000" w:sz="6"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508"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652"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694"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19"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835"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483" w:hRule="atLeast"/>
        </w:trPr>
        <w:tc>
          <w:tcPr>
            <w:tcW w:w="652" w:type="dxa"/>
            <w:tcBorders>
              <w:top w:val="inset" w:color="000000" w:sz="6" w:space="0"/>
              <w:left w:val="inset" w:color="000000" w:sz="6"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508"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652"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694"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19"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835"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483" w:hRule="atLeast"/>
        </w:trPr>
        <w:tc>
          <w:tcPr>
            <w:tcW w:w="652" w:type="dxa"/>
            <w:tcBorders>
              <w:top w:val="inset" w:color="000000" w:sz="6" w:space="0"/>
              <w:left w:val="inset" w:color="000000" w:sz="6"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508"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652"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694"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19"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835"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483" w:hRule="atLeast"/>
        </w:trPr>
        <w:tc>
          <w:tcPr>
            <w:tcW w:w="652" w:type="dxa"/>
            <w:tcBorders>
              <w:top w:val="inset" w:color="000000" w:sz="6" w:space="0"/>
              <w:left w:val="inset" w:color="000000" w:sz="6"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508"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652"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694"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19"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835"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483" w:hRule="atLeast"/>
        </w:trPr>
        <w:tc>
          <w:tcPr>
            <w:tcW w:w="652" w:type="dxa"/>
            <w:tcBorders>
              <w:top w:val="inset" w:color="000000" w:sz="6" w:space="0"/>
              <w:left w:val="inset" w:color="000000" w:sz="6"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508"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652"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694"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19"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835"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483" w:hRule="atLeast"/>
        </w:trPr>
        <w:tc>
          <w:tcPr>
            <w:tcW w:w="652" w:type="dxa"/>
            <w:tcBorders>
              <w:top w:val="inset" w:color="000000" w:sz="6" w:space="0"/>
              <w:left w:val="inset" w:color="000000" w:sz="6"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508"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652"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694"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19"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835"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483" w:hRule="atLeast"/>
        </w:trPr>
        <w:tc>
          <w:tcPr>
            <w:tcW w:w="652" w:type="dxa"/>
            <w:tcBorders>
              <w:top w:val="inset" w:color="000000" w:sz="6" w:space="0"/>
              <w:left w:val="inset" w:color="000000" w:sz="6"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508"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652"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694"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19"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835"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483" w:hRule="atLeast"/>
        </w:trPr>
        <w:tc>
          <w:tcPr>
            <w:tcW w:w="652" w:type="dxa"/>
            <w:tcBorders>
              <w:top w:val="inset" w:color="000000" w:sz="6" w:space="0"/>
              <w:left w:val="inset" w:color="000000" w:sz="6"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508"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652"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694"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19"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835"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483" w:hRule="atLeast"/>
        </w:trPr>
        <w:tc>
          <w:tcPr>
            <w:tcW w:w="652" w:type="dxa"/>
            <w:tcBorders>
              <w:top w:val="inset" w:color="000000" w:sz="6" w:space="0"/>
              <w:left w:val="inset" w:color="000000" w:sz="6"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508"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652"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694"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19"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835"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483" w:hRule="atLeast"/>
        </w:trPr>
        <w:tc>
          <w:tcPr>
            <w:tcW w:w="652" w:type="dxa"/>
            <w:tcBorders>
              <w:top w:val="inset" w:color="000000" w:sz="6" w:space="0"/>
              <w:left w:val="inset" w:color="000000" w:sz="6"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508"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652"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694"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19"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835"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483" w:hRule="atLeast"/>
        </w:trPr>
        <w:tc>
          <w:tcPr>
            <w:tcW w:w="652" w:type="dxa"/>
            <w:tcBorders>
              <w:top w:val="inset" w:color="000000" w:sz="6" w:space="0"/>
              <w:left w:val="inset" w:color="000000" w:sz="6"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508"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652"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694"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19"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835"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483" w:hRule="atLeast"/>
        </w:trPr>
        <w:tc>
          <w:tcPr>
            <w:tcW w:w="652" w:type="dxa"/>
            <w:tcBorders>
              <w:top w:val="inset" w:color="000000" w:sz="6" w:space="0"/>
              <w:left w:val="inset" w:color="000000" w:sz="6"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508"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652"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694"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19"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835"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483" w:hRule="atLeast"/>
        </w:trPr>
        <w:tc>
          <w:tcPr>
            <w:tcW w:w="652" w:type="dxa"/>
            <w:tcBorders>
              <w:top w:val="inset" w:color="000000" w:sz="6" w:space="0"/>
              <w:left w:val="inset" w:color="000000" w:sz="6"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508"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652"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694"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19"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835"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483" w:hRule="atLeast"/>
        </w:trPr>
        <w:tc>
          <w:tcPr>
            <w:tcW w:w="652" w:type="dxa"/>
            <w:tcBorders>
              <w:top w:val="inset" w:color="000000" w:sz="6" w:space="0"/>
              <w:left w:val="inset" w:color="000000" w:sz="6"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508"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652"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694"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19"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835"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483" w:hRule="atLeast"/>
        </w:trPr>
        <w:tc>
          <w:tcPr>
            <w:tcW w:w="652" w:type="dxa"/>
            <w:tcBorders>
              <w:top w:val="inset" w:color="000000" w:sz="6" w:space="0"/>
              <w:left w:val="inset" w:color="000000" w:sz="6"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508"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652"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694"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19"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835"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483" w:hRule="atLeast"/>
        </w:trPr>
        <w:tc>
          <w:tcPr>
            <w:tcW w:w="652" w:type="dxa"/>
            <w:tcBorders>
              <w:top w:val="inset" w:color="000000" w:sz="6" w:space="0"/>
              <w:left w:val="inset" w:color="000000" w:sz="6"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508"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652"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694"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19"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835"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483" w:hRule="atLeast"/>
        </w:trPr>
        <w:tc>
          <w:tcPr>
            <w:tcW w:w="652" w:type="dxa"/>
            <w:tcBorders>
              <w:top w:val="inset" w:color="000000" w:sz="6" w:space="0"/>
              <w:left w:val="inset" w:color="000000" w:sz="6"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508"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652"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694"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19"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835"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500" w:hRule="atLeast"/>
        </w:trPr>
        <w:tc>
          <w:tcPr>
            <w:tcW w:w="652" w:type="dxa"/>
            <w:tcBorders>
              <w:top w:val="inset" w:color="000000" w:sz="6" w:space="0"/>
              <w:left w:val="inset" w:color="000000" w:sz="6"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508"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652"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80"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694"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019"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835"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r>
    </w:tbl>
    <w:p>
      <w:pPr>
        <w:widowControl/>
        <w:spacing w:line="360" w:lineRule="auto"/>
        <w:rPr>
          <w:rFonts w:ascii="宋体" w:hAnsi="宋体"/>
          <w:color w:val="auto"/>
          <w:kern w:val="0"/>
          <w:szCs w:val="21"/>
          <w:highlight w:val="none"/>
        </w:rPr>
      </w:pPr>
      <w:r>
        <w:rPr>
          <w:rFonts w:hint="eastAsia" w:ascii="宋体" w:hAnsi="宋体"/>
          <w:color w:val="auto"/>
          <w:kern w:val="0"/>
          <w:szCs w:val="21"/>
          <w:highlight w:val="none"/>
        </w:rPr>
        <w:t xml:space="preserve"> </w:t>
      </w:r>
    </w:p>
    <w:p>
      <w:pPr>
        <w:widowControl/>
        <w:jc w:val="left"/>
        <w:rPr>
          <w:rFonts w:ascii="宋体" w:hAnsi="宋体" w:cs="宋体"/>
          <w:color w:val="auto"/>
          <w:kern w:val="0"/>
          <w:sz w:val="24"/>
          <w:highlight w:val="none"/>
        </w:rPr>
        <w:sectPr>
          <w:pgSz w:w="11906" w:h="16838"/>
          <w:pgMar w:top="1474" w:right="1474" w:bottom="1474" w:left="1587" w:header="850" w:footer="992" w:gutter="0"/>
          <w:pgNumType w:fmt="numberInDash"/>
          <w:cols w:space="720" w:num="1"/>
          <w:docGrid w:linePitch="312" w:charSpace="0"/>
        </w:sectPr>
      </w:pPr>
    </w:p>
    <w:p>
      <w:pPr>
        <w:widowControl/>
        <w:spacing w:line="360" w:lineRule="auto"/>
        <w:rPr>
          <w:rFonts w:ascii="黑体" w:eastAsia="黑体"/>
          <w:color w:val="auto"/>
          <w:kern w:val="0"/>
          <w:sz w:val="24"/>
          <w:highlight w:val="none"/>
        </w:rPr>
      </w:pPr>
      <w:r>
        <w:rPr>
          <w:rFonts w:hint="eastAsia" w:ascii="宋体" w:hAnsi="宋体"/>
          <w:color w:val="auto"/>
          <w:kern w:val="0"/>
          <w:sz w:val="24"/>
          <w:highlight w:val="none"/>
        </w:rPr>
        <w:t>附件三：</w:t>
      </w:r>
    </w:p>
    <w:p>
      <w:pPr>
        <w:widowControl/>
        <w:spacing w:line="360" w:lineRule="auto"/>
        <w:jc w:val="center"/>
        <w:rPr>
          <w:rFonts w:ascii="黑体" w:eastAsia="黑体"/>
          <w:color w:val="auto"/>
          <w:kern w:val="0"/>
          <w:sz w:val="24"/>
          <w:highlight w:val="none"/>
        </w:rPr>
      </w:pPr>
      <w:bookmarkStart w:id="498" w:name="_Toc17774"/>
      <w:bookmarkStart w:id="499" w:name="_Toc3135"/>
      <w:bookmarkStart w:id="500" w:name="_Toc9416"/>
      <w:r>
        <w:rPr>
          <w:rFonts w:hint="eastAsia" w:ascii="宋体" w:hAnsi="宋体"/>
          <w:color w:val="auto"/>
          <w:kern w:val="0"/>
          <w:sz w:val="24"/>
          <w:highlight w:val="none"/>
        </w:rPr>
        <w:t>拟投入本工程的劳动力计划表</w:t>
      </w:r>
      <w:bookmarkEnd w:id="498"/>
      <w:bookmarkEnd w:id="499"/>
      <w:bookmarkEnd w:id="500"/>
    </w:p>
    <w:p>
      <w:pPr>
        <w:widowControl/>
        <w:spacing w:line="360" w:lineRule="auto"/>
        <w:jc w:val="right"/>
        <w:rPr>
          <w:rFonts w:ascii="宋体" w:hAnsi="宋体"/>
          <w:color w:val="auto"/>
          <w:kern w:val="0"/>
          <w:szCs w:val="21"/>
          <w:highlight w:val="none"/>
        </w:rPr>
      </w:pPr>
      <w:r>
        <w:rPr>
          <w:rFonts w:hint="eastAsia" w:ascii="宋体" w:hAnsi="宋体"/>
          <w:color w:val="auto"/>
          <w:kern w:val="0"/>
          <w:szCs w:val="21"/>
          <w:highlight w:val="none"/>
        </w:rPr>
        <w:t>单位：人</w:t>
      </w:r>
    </w:p>
    <w:tbl>
      <w:tblPr>
        <w:tblStyle w:val="15"/>
        <w:tblW w:w="0" w:type="auto"/>
        <w:tblInd w:w="-498" w:type="dxa"/>
        <w:tblLayout w:type="fixed"/>
        <w:tblCellMar>
          <w:top w:w="0" w:type="dxa"/>
          <w:left w:w="108" w:type="dxa"/>
          <w:bottom w:w="0" w:type="dxa"/>
          <w:right w:w="108" w:type="dxa"/>
        </w:tblCellMar>
      </w:tblPr>
      <w:tblGrid>
        <w:gridCol w:w="830"/>
        <w:gridCol w:w="1227"/>
        <w:gridCol w:w="1228"/>
        <w:gridCol w:w="1227"/>
        <w:gridCol w:w="1227"/>
        <w:gridCol w:w="1227"/>
        <w:gridCol w:w="1227"/>
        <w:gridCol w:w="1512"/>
      </w:tblGrid>
      <w:tr>
        <w:tblPrEx>
          <w:tblCellMar>
            <w:top w:w="0" w:type="dxa"/>
            <w:left w:w="108" w:type="dxa"/>
            <w:bottom w:w="0" w:type="dxa"/>
            <w:right w:w="108" w:type="dxa"/>
          </w:tblCellMar>
        </w:tblPrEx>
        <w:trPr>
          <w:trHeight w:val="488" w:hRule="atLeast"/>
        </w:trPr>
        <w:tc>
          <w:tcPr>
            <w:tcW w:w="830" w:type="dxa"/>
            <w:tcBorders>
              <w:top w:val="inset" w:color="000000" w:sz="6" w:space="0"/>
              <w:left w:val="inset" w:color="000000" w:sz="6"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r>
              <w:rPr>
                <w:rFonts w:hint="eastAsia" w:ascii="宋体" w:hAnsi="宋体"/>
                <w:color w:val="auto"/>
                <w:kern w:val="0"/>
                <w:szCs w:val="21"/>
                <w:highlight w:val="none"/>
              </w:rPr>
              <w:t>工种</w:t>
            </w:r>
          </w:p>
        </w:tc>
        <w:tc>
          <w:tcPr>
            <w:tcW w:w="8875" w:type="dxa"/>
            <w:gridSpan w:val="7"/>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r>
              <w:rPr>
                <w:rFonts w:hint="eastAsia" w:ascii="宋体" w:hAnsi="宋体"/>
                <w:color w:val="auto"/>
                <w:kern w:val="0"/>
                <w:szCs w:val="21"/>
                <w:highlight w:val="none"/>
              </w:rPr>
              <w:t>按工程施工阶段投入劳动力情况</w:t>
            </w:r>
          </w:p>
        </w:tc>
      </w:tr>
      <w:tr>
        <w:tblPrEx>
          <w:tblCellMar>
            <w:top w:w="0" w:type="dxa"/>
            <w:left w:w="108" w:type="dxa"/>
            <w:bottom w:w="0" w:type="dxa"/>
            <w:right w:w="108" w:type="dxa"/>
          </w:tblCellMar>
        </w:tblPrEx>
        <w:trPr>
          <w:trHeight w:val="488" w:hRule="atLeast"/>
        </w:trPr>
        <w:tc>
          <w:tcPr>
            <w:tcW w:w="830" w:type="dxa"/>
            <w:tcBorders>
              <w:top w:val="inset" w:color="000000" w:sz="6" w:space="0"/>
              <w:left w:val="inset" w:color="000000" w:sz="6"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8"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512"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488" w:hRule="atLeast"/>
        </w:trPr>
        <w:tc>
          <w:tcPr>
            <w:tcW w:w="830" w:type="dxa"/>
            <w:tcBorders>
              <w:top w:val="inset" w:color="000000" w:sz="6" w:space="0"/>
              <w:left w:val="inset" w:color="000000" w:sz="6"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8"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512"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488" w:hRule="atLeast"/>
        </w:trPr>
        <w:tc>
          <w:tcPr>
            <w:tcW w:w="830" w:type="dxa"/>
            <w:tcBorders>
              <w:top w:val="inset" w:color="000000" w:sz="6" w:space="0"/>
              <w:left w:val="inset" w:color="000000" w:sz="6"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8"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512"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488" w:hRule="atLeast"/>
        </w:trPr>
        <w:tc>
          <w:tcPr>
            <w:tcW w:w="830" w:type="dxa"/>
            <w:tcBorders>
              <w:top w:val="inset" w:color="000000" w:sz="6" w:space="0"/>
              <w:left w:val="inset" w:color="000000" w:sz="6"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8"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512"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488" w:hRule="atLeast"/>
        </w:trPr>
        <w:tc>
          <w:tcPr>
            <w:tcW w:w="830" w:type="dxa"/>
            <w:tcBorders>
              <w:top w:val="inset" w:color="000000" w:sz="6" w:space="0"/>
              <w:left w:val="inset" w:color="000000" w:sz="6"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8"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512"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488" w:hRule="atLeast"/>
        </w:trPr>
        <w:tc>
          <w:tcPr>
            <w:tcW w:w="830" w:type="dxa"/>
            <w:tcBorders>
              <w:top w:val="inset" w:color="000000" w:sz="6" w:space="0"/>
              <w:left w:val="inset" w:color="000000" w:sz="6"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8"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512"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488" w:hRule="atLeast"/>
        </w:trPr>
        <w:tc>
          <w:tcPr>
            <w:tcW w:w="830" w:type="dxa"/>
            <w:tcBorders>
              <w:top w:val="inset" w:color="000000" w:sz="6" w:space="0"/>
              <w:left w:val="inset" w:color="000000" w:sz="6"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8"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512"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488" w:hRule="atLeast"/>
        </w:trPr>
        <w:tc>
          <w:tcPr>
            <w:tcW w:w="830" w:type="dxa"/>
            <w:tcBorders>
              <w:top w:val="inset" w:color="000000" w:sz="6" w:space="0"/>
              <w:left w:val="inset" w:color="000000" w:sz="6"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8"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512"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488" w:hRule="atLeast"/>
        </w:trPr>
        <w:tc>
          <w:tcPr>
            <w:tcW w:w="830" w:type="dxa"/>
            <w:tcBorders>
              <w:top w:val="inset" w:color="000000" w:sz="6" w:space="0"/>
              <w:left w:val="inset" w:color="000000" w:sz="6"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8"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512"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488" w:hRule="atLeast"/>
        </w:trPr>
        <w:tc>
          <w:tcPr>
            <w:tcW w:w="830" w:type="dxa"/>
            <w:tcBorders>
              <w:top w:val="inset" w:color="000000" w:sz="6" w:space="0"/>
              <w:left w:val="inset" w:color="000000" w:sz="6"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8"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512"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488" w:hRule="atLeast"/>
        </w:trPr>
        <w:tc>
          <w:tcPr>
            <w:tcW w:w="830" w:type="dxa"/>
            <w:tcBorders>
              <w:top w:val="inset" w:color="000000" w:sz="6" w:space="0"/>
              <w:left w:val="inset" w:color="000000" w:sz="6"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8"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512"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488" w:hRule="atLeast"/>
        </w:trPr>
        <w:tc>
          <w:tcPr>
            <w:tcW w:w="830" w:type="dxa"/>
            <w:tcBorders>
              <w:top w:val="inset" w:color="000000" w:sz="6" w:space="0"/>
              <w:left w:val="inset" w:color="000000" w:sz="6"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8"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512"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488" w:hRule="atLeast"/>
        </w:trPr>
        <w:tc>
          <w:tcPr>
            <w:tcW w:w="830" w:type="dxa"/>
            <w:tcBorders>
              <w:top w:val="inset" w:color="000000" w:sz="6" w:space="0"/>
              <w:left w:val="inset" w:color="000000" w:sz="6"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8"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512"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488" w:hRule="atLeast"/>
        </w:trPr>
        <w:tc>
          <w:tcPr>
            <w:tcW w:w="830" w:type="dxa"/>
            <w:tcBorders>
              <w:top w:val="inset" w:color="000000" w:sz="6" w:space="0"/>
              <w:left w:val="inset" w:color="000000" w:sz="6"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8"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512"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488" w:hRule="atLeast"/>
        </w:trPr>
        <w:tc>
          <w:tcPr>
            <w:tcW w:w="830" w:type="dxa"/>
            <w:tcBorders>
              <w:top w:val="inset" w:color="000000" w:sz="6" w:space="0"/>
              <w:left w:val="inset" w:color="000000" w:sz="6"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8"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512"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488" w:hRule="atLeast"/>
        </w:trPr>
        <w:tc>
          <w:tcPr>
            <w:tcW w:w="830" w:type="dxa"/>
            <w:tcBorders>
              <w:top w:val="inset" w:color="000000" w:sz="6" w:space="0"/>
              <w:left w:val="inset" w:color="000000" w:sz="6"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8"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512"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488" w:hRule="atLeast"/>
        </w:trPr>
        <w:tc>
          <w:tcPr>
            <w:tcW w:w="830" w:type="dxa"/>
            <w:tcBorders>
              <w:top w:val="inset" w:color="000000" w:sz="6" w:space="0"/>
              <w:left w:val="inset" w:color="000000" w:sz="6"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8"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512"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488" w:hRule="atLeast"/>
        </w:trPr>
        <w:tc>
          <w:tcPr>
            <w:tcW w:w="830" w:type="dxa"/>
            <w:tcBorders>
              <w:top w:val="inset" w:color="000000" w:sz="6" w:space="0"/>
              <w:left w:val="inset" w:color="000000" w:sz="6"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8"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512"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488" w:hRule="atLeast"/>
        </w:trPr>
        <w:tc>
          <w:tcPr>
            <w:tcW w:w="830" w:type="dxa"/>
            <w:tcBorders>
              <w:top w:val="inset" w:color="000000" w:sz="6" w:space="0"/>
              <w:left w:val="inset" w:color="000000" w:sz="6"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8"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512"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488" w:hRule="atLeast"/>
        </w:trPr>
        <w:tc>
          <w:tcPr>
            <w:tcW w:w="830" w:type="dxa"/>
            <w:tcBorders>
              <w:top w:val="inset" w:color="000000" w:sz="6" w:space="0"/>
              <w:left w:val="inset" w:color="000000" w:sz="6"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8"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512"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488" w:hRule="atLeast"/>
        </w:trPr>
        <w:tc>
          <w:tcPr>
            <w:tcW w:w="830" w:type="dxa"/>
            <w:tcBorders>
              <w:top w:val="inset" w:color="000000" w:sz="6" w:space="0"/>
              <w:left w:val="inset" w:color="000000" w:sz="6"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8"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512"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r>
      <w:tr>
        <w:tblPrEx>
          <w:tblCellMar>
            <w:top w:w="0" w:type="dxa"/>
            <w:left w:w="108" w:type="dxa"/>
            <w:bottom w:w="0" w:type="dxa"/>
            <w:right w:w="108" w:type="dxa"/>
          </w:tblCellMar>
        </w:tblPrEx>
        <w:trPr>
          <w:trHeight w:val="505" w:hRule="atLeast"/>
        </w:trPr>
        <w:tc>
          <w:tcPr>
            <w:tcW w:w="830" w:type="dxa"/>
            <w:tcBorders>
              <w:top w:val="inset" w:color="000000" w:sz="6" w:space="0"/>
              <w:left w:val="inset" w:color="000000" w:sz="6"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8"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227"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c>
          <w:tcPr>
            <w:tcW w:w="1512" w:type="dxa"/>
            <w:tcBorders>
              <w:top w:val="inset" w:color="000000" w:sz="6" w:space="0"/>
              <w:left w:val="single" w:color="auto" w:sz="0" w:space="0"/>
              <w:bottom w:val="inset" w:color="000000" w:sz="6" w:space="0"/>
              <w:right w:val="inset" w:color="000000" w:sz="6" w:space="0"/>
            </w:tcBorders>
            <w:noWrap w:val="0"/>
            <w:vAlign w:val="center"/>
          </w:tcPr>
          <w:p>
            <w:pPr>
              <w:widowControl/>
              <w:spacing w:line="360" w:lineRule="auto"/>
              <w:rPr>
                <w:rFonts w:ascii="宋体" w:hAnsi="宋体"/>
                <w:color w:val="auto"/>
                <w:kern w:val="0"/>
                <w:szCs w:val="21"/>
                <w:highlight w:val="none"/>
              </w:rPr>
            </w:pPr>
          </w:p>
        </w:tc>
      </w:tr>
    </w:tbl>
    <w:p>
      <w:pPr>
        <w:widowControl/>
        <w:spacing w:line="360" w:lineRule="auto"/>
        <w:rPr>
          <w:rFonts w:ascii="宋体" w:hAnsi="宋体"/>
          <w:color w:val="auto"/>
          <w:kern w:val="0"/>
          <w:szCs w:val="21"/>
          <w:highlight w:val="none"/>
        </w:rPr>
      </w:pPr>
      <w:r>
        <w:rPr>
          <w:rFonts w:hint="eastAsia" w:ascii="宋体" w:hAnsi="宋体"/>
          <w:color w:val="auto"/>
          <w:kern w:val="0"/>
          <w:szCs w:val="21"/>
          <w:highlight w:val="none"/>
        </w:rPr>
        <w:t xml:space="preserve"> </w:t>
      </w:r>
    </w:p>
    <w:p>
      <w:pPr>
        <w:widowControl/>
        <w:jc w:val="left"/>
        <w:rPr>
          <w:rFonts w:ascii="宋体" w:hAnsi="宋体" w:cs="宋体"/>
          <w:color w:val="auto"/>
          <w:kern w:val="0"/>
          <w:sz w:val="24"/>
          <w:highlight w:val="none"/>
        </w:rPr>
        <w:sectPr>
          <w:pgSz w:w="11906" w:h="16838"/>
          <w:pgMar w:top="1474" w:right="1474" w:bottom="1474" w:left="1587" w:header="850" w:footer="992" w:gutter="0"/>
          <w:pgNumType w:fmt="numberInDash"/>
          <w:cols w:space="720" w:num="1"/>
          <w:docGrid w:linePitch="312" w:charSpace="0"/>
        </w:sectPr>
      </w:pPr>
    </w:p>
    <w:p>
      <w:pPr>
        <w:widowControl/>
        <w:spacing w:line="360" w:lineRule="auto"/>
        <w:rPr>
          <w:rFonts w:ascii="黑体" w:eastAsia="黑体"/>
          <w:color w:val="auto"/>
          <w:kern w:val="0"/>
          <w:sz w:val="24"/>
          <w:highlight w:val="none"/>
        </w:rPr>
      </w:pPr>
      <w:r>
        <w:rPr>
          <w:rFonts w:hint="eastAsia" w:ascii="宋体" w:hAnsi="宋体"/>
          <w:color w:val="auto"/>
          <w:kern w:val="0"/>
          <w:sz w:val="24"/>
          <w:highlight w:val="none"/>
        </w:rPr>
        <w:t>附件四：</w:t>
      </w:r>
    </w:p>
    <w:p>
      <w:pPr>
        <w:widowControl/>
        <w:spacing w:line="360" w:lineRule="auto"/>
        <w:jc w:val="center"/>
        <w:rPr>
          <w:rFonts w:ascii="黑体" w:eastAsia="黑体"/>
          <w:color w:val="auto"/>
          <w:kern w:val="0"/>
          <w:sz w:val="24"/>
          <w:highlight w:val="none"/>
        </w:rPr>
      </w:pPr>
      <w:bookmarkStart w:id="501" w:name="_Toc6748"/>
      <w:bookmarkStart w:id="502" w:name="_Toc25826"/>
      <w:r>
        <w:rPr>
          <w:rFonts w:hint="eastAsia" w:ascii="宋体" w:hAnsi="宋体"/>
          <w:color w:val="auto"/>
          <w:kern w:val="0"/>
          <w:sz w:val="24"/>
          <w:highlight w:val="none"/>
        </w:rPr>
        <w:t>计划开工日期、完工日期和施工进度网络图</w:t>
      </w:r>
      <w:bookmarkEnd w:id="501"/>
      <w:bookmarkEnd w:id="502"/>
    </w:p>
    <w:p>
      <w:pPr>
        <w:widowControl/>
        <w:spacing w:line="360" w:lineRule="auto"/>
        <w:rPr>
          <w:rFonts w:ascii="宋体" w:hAnsi="宋体"/>
          <w:color w:val="auto"/>
          <w:kern w:val="0"/>
          <w:szCs w:val="21"/>
          <w:highlight w:val="none"/>
        </w:rPr>
      </w:pPr>
      <w:r>
        <w:rPr>
          <w:rFonts w:hint="eastAsia" w:ascii="宋体" w:hAnsi="宋体"/>
          <w:color w:val="auto"/>
          <w:kern w:val="0"/>
          <w:szCs w:val="21"/>
          <w:highlight w:val="none"/>
        </w:rPr>
        <w:t xml:space="preserve"> </w:t>
      </w:r>
    </w:p>
    <w:p>
      <w:pPr>
        <w:widowControl/>
        <w:spacing w:line="360" w:lineRule="auto"/>
        <w:rPr>
          <w:rFonts w:ascii="宋体" w:hAnsi="宋体"/>
          <w:color w:val="auto"/>
          <w:kern w:val="0"/>
          <w:szCs w:val="21"/>
          <w:highlight w:val="none"/>
        </w:rPr>
      </w:pPr>
      <w:r>
        <w:rPr>
          <w:rFonts w:hint="eastAsia" w:ascii="宋体" w:hAnsi="宋体"/>
          <w:color w:val="auto"/>
          <w:kern w:val="0"/>
          <w:szCs w:val="21"/>
          <w:highlight w:val="none"/>
        </w:rPr>
        <w:t>1．投标人应递交施工进度网络图或施工进度表，说明按招标文件要求的计划工期进行施工的各个关键日期。</w:t>
      </w:r>
    </w:p>
    <w:p>
      <w:pPr>
        <w:widowControl/>
        <w:spacing w:line="360" w:lineRule="auto"/>
        <w:rPr>
          <w:rFonts w:ascii="宋体" w:hAnsi="宋体"/>
          <w:color w:val="auto"/>
          <w:kern w:val="0"/>
          <w:szCs w:val="21"/>
          <w:highlight w:val="none"/>
        </w:rPr>
      </w:pPr>
      <w:r>
        <w:rPr>
          <w:rFonts w:hint="eastAsia" w:ascii="宋体" w:hAnsi="宋体"/>
          <w:color w:val="auto"/>
          <w:kern w:val="0"/>
          <w:szCs w:val="21"/>
          <w:highlight w:val="none"/>
        </w:rPr>
        <w:t>2．施工进度表可采用</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网络图（或横道图）表示。</w:t>
      </w:r>
    </w:p>
    <w:p>
      <w:pPr>
        <w:widowControl/>
        <w:spacing w:line="360" w:lineRule="auto"/>
        <w:rPr>
          <w:rFonts w:ascii="宋体" w:hAnsi="宋体"/>
          <w:color w:val="auto"/>
          <w:kern w:val="0"/>
          <w:szCs w:val="21"/>
          <w:highlight w:val="none"/>
        </w:rPr>
      </w:pPr>
    </w:p>
    <w:p>
      <w:pPr>
        <w:widowControl/>
        <w:spacing w:line="360" w:lineRule="auto"/>
        <w:rPr>
          <w:rFonts w:ascii="宋体" w:hAnsi="宋体"/>
          <w:color w:val="auto"/>
          <w:kern w:val="0"/>
          <w:szCs w:val="21"/>
          <w:highlight w:val="none"/>
        </w:rPr>
      </w:pPr>
    </w:p>
    <w:p>
      <w:pPr>
        <w:widowControl/>
        <w:spacing w:line="360" w:lineRule="auto"/>
        <w:rPr>
          <w:rFonts w:ascii="宋体" w:hAnsi="宋体"/>
          <w:color w:val="auto"/>
          <w:kern w:val="0"/>
          <w:szCs w:val="21"/>
          <w:highlight w:val="none"/>
        </w:rPr>
      </w:pPr>
    </w:p>
    <w:p>
      <w:pPr>
        <w:widowControl/>
        <w:spacing w:line="360" w:lineRule="auto"/>
        <w:rPr>
          <w:rFonts w:ascii="宋体" w:hAnsi="宋体"/>
          <w:color w:val="auto"/>
          <w:kern w:val="0"/>
          <w:szCs w:val="21"/>
          <w:highlight w:val="none"/>
        </w:rPr>
      </w:pPr>
    </w:p>
    <w:p>
      <w:pPr>
        <w:widowControl/>
        <w:spacing w:line="360" w:lineRule="auto"/>
        <w:rPr>
          <w:rFonts w:ascii="宋体" w:hAnsi="宋体"/>
          <w:color w:val="auto"/>
          <w:kern w:val="0"/>
          <w:szCs w:val="21"/>
          <w:highlight w:val="none"/>
        </w:rPr>
      </w:pPr>
    </w:p>
    <w:p>
      <w:pPr>
        <w:widowControl/>
        <w:spacing w:line="360" w:lineRule="auto"/>
        <w:rPr>
          <w:rFonts w:ascii="宋体" w:hAnsi="宋体"/>
          <w:color w:val="auto"/>
          <w:kern w:val="0"/>
          <w:szCs w:val="21"/>
          <w:highlight w:val="none"/>
        </w:rPr>
      </w:pPr>
    </w:p>
    <w:p>
      <w:pPr>
        <w:widowControl/>
        <w:spacing w:line="360" w:lineRule="auto"/>
        <w:rPr>
          <w:rFonts w:ascii="宋体" w:hAnsi="宋体"/>
          <w:color w:val="auto"/>
          <w:kern w:val="0"/>
          <w:szCs w:val="21"/>
          <w:highlight w:val="none"/>
        </w:rPr>
      </w:pPr>
    </w:p>
    <w:p>
      <w:pPr>
        <w:widowControl/>
        <w:spacing w:line="360" w:lineRule="auto"/>
        <w:rPr>
          <w:rFonts w:ascii="宋体" w:hAnsi="宋体"/>
          <w:color w:val="auto"/>
          <w:kern w:val="0"/>
          <w:sz w:val="24"/>
          <w:highlight w:val="none"/>
        </w:rPr>
      </w:pPr>
    </w:p>
    <w:p>
      <w:pPr>
        <w:widowControl/>
        <w:spacing w:line="360" w:lineRule="auto"/>
        <w:rPr>
          <w:rFonts w:ascii="宋体" w:hAnsi="宋体"/>
          <w:color w:val="auto"/>
          <w:kern w:val="0"/>
          <w:sz w:val="24"/>
          <w:highlight w:val="none"/>
        </w:rPr>
      </w:pPr>
    </w:p>
    <w:p>
      <w:pPr>
        <w:widowControl/>
        <w:spacing w:line="360" w:lineRule="auto"/>
        <w:rPr>
          <w:rFonts w:ascii="宋体" w:hAnsi="宋体"/>
          <w:color w:val="auto"/>
          <w:kern w:val="0"/>
          <w:sz w:val="24"/>
          <w:highlight w:val="none"/>
        </w:rPr>
      </w:pPr>
    </w:p>
    <w:p>
      <w:pPr>
        <w:widowControl/>
        <w:spacing w:line="360" w:lineRule="auto"/>
        <w:rPr>
          <w:rFonts w:ascii="宋体" w:hAnsi="宋体"/>
          <w:color w:val="auto"/>
          <w:kern w:val="0"/>
          <w:sz w:val="24"/>
          <w:highlight w:val="none"/>
        </w:rPr>
      </w:pPr>
    </w:p>
    <w:p>
      <w:pPr>
        <w:widowControl/>
        <w:spacing w:line="360" w:lineRule="auto"/>
        <w:rPr>
          <w:rFonts w:ascii="宋体" w:hAnsi="宋体"/>
          <w:color w:val="auto"/>
          <w:kern w:val="0"/>
          <w:sz w:val="24"/>
          <w:highlight w:val="none"/>
        </w:rPr>
      </w:pPr>
    </w:p>
    <w:p>
      <w:pPr>
        <w:widowControl/>
        <w:spacing w:line="360" w:lineRule="auto"/>
        <w:rPr>
          <w:rFonts w:ascii="宋体" w:hAnsi="宋体"/>
          <w:color w:val="auto"/>
          <w:kern w:val="0"/>
          <w:sz w:val="24"/>
          <w:highlight w:val="none"/>
        </w:rPr>
      </w:pPr>
    </w:p>
    <w:p>
      <w:pPr>
        <w:widowControl/>
        <w:spacing w:line="360" w:lineRule="auto"/>
        <w:rPr>
          <w:rFonts w:ascii="宋体" w:hAnsi="宋体"/>
          <w:color w:val="auto"/>
          <w:kern w:val="0"/>
          <w:sz w:val="24"/>
          <w:highlight w:val="none"/>
        </w:rPr>
      </w:pPr>
    </w:p>
    <w:p>
      <w:pPr>
        <w:widowControl/>
        <w:spacing w:line="360" w:lineRule="auto"/>
        <w:rPr>
          <w:rFonts w:ascii="宋体" w:hAnsi="宋体"/>
          <w:color w:val="auto"/>
          <w:kern w:val="0"/>
          <w:sz w:val="24"/>
          <w:highlight w:val="none"/>
        </w:rPr>
      </w:pPr>
    </w:p>
    <w:p>
      <w:pPr>
        <w:widowControl/>
        <w:spacing w:line="360" w:lineRule="auto"/>
        <w:rPr>
          <w:rFonts w:ascii="宋体" w:hAnsi="宋体"/>
          <w:color w:val="auto"/>
          <w:kern w:val="0"/>
          <w:sz w:val="24"/>
          <w:highlight w:val="none"/>
        </w:rPr>
      </w:pPr>
    </w:p>
    <w:p>
      <w:pPr>
        <w:widowControl/>
        <w:spacing w:line="360" w:lineRule="auto"/>
        <w:rPr>
          <w:rFonts w:ascii="宋体" w:hAnsi="宋体"/>
          <w:color w:val="auto"/>
          <w:kern w:val="0"/>
          <w:sz w:val="24"/>
          <w:highlight w:val="none"/>
        </w:rPr>
      </w:pPr>
    </w:p>
    <w:p>
      <w:pPr>
        <w:widowControl/>
        <w:spacing w:line="360" w:lineRule="auto"/>
        <w:rPr>
          <w:rFonts w:ascii="宋体" w:hAnsi="宋体"/>
          <w:color w:val="auto"/>
          <w:kern w:val="0"/>
          <w:sz w:val="24"/>
          <w:highlight w:val="none"/>
        </w:rPr>
      </w:pPr>
    </w:p>
    <w:p>
      <w:pPr>
        <w:widowControl/>
        <w:spacing w:line="360" w:lineRule="auto"/>
        <w:rPr>
          <w:rFonts w:ascii="宋体" w:hAnsi="宋体"/>
          <w:color w:val="auto"/>
          <w:kern w:val="0"/>
          <w:sz w:val="24"/>
          <w:highlight w:val="none"/>
        </w:rPr>
      </w:pPr>
    </w:p>
    <w:p>
      <w:pPr>
        <w:widowControl/>
        <w:spacing w:line="360" w:lineRule="auto"/>
        <w:rPr>
          <w:rFonts w:ascii="宋体" w:hAnsi="宋体"/>
          <w:color w:val="auto"/>
          <w:kern w:val="0"/>
          <w:sz w:val="24"/>
          <w:highlight w:val="none"/>
        </w:rPr>
      </w:pPr>
    </w:p>
    <w:p>
      <w:pPr>
        <w:widowControl/>
        <w:spacing w:line="360" w:lineRule="auto"/>
        <w:rPr>
          <w:rFonts w:ascii="宋体" w:hAnsi="宋体"/>
          <w:color w:val="auto"/>
          <w:kern w:val="0"/>
          <w:sz w:val="24"/>
          <w:highlight w:val="none"/>
        </w:rPr>
      </w:pPr>
    </w:p>
    <w:p>
      <w:pPr>
        <w:widowControl/>
        <w:spacing w:line="360" w:lineRule="auto"/>
        <w:rPr>
          <w:rFonts w:ascii="宋体" w:hAnsi="宋体"/>
          <w:color w:val="auto"/>
          <w:kern w:val="0"/>
          <w:sz w:val="24"/>
          <w:highlight w:val="none"/>
        </w:rPr>
      </w:pPr>
    </w:p>
    <w:p>
      <w:pPr>
        <w:widowControl/>
        <w:spacing w:line="360" w:lineRule="auto"/>
        <w:rPr>
          <w:rFonts w:ascii="宋体" w:hAnsi="宋体"/>
          <w:color w:val="auto"/>
          <w:kern w:val="0"/>
          <w:sz w:val="24"/>
          <w:highlight w:val="none"/>
        </w:rPr>
      </w:pPr>
    </w:p>
    <w:p>
      <w:pPr>
        <w:widowControl/>
        <w:spacing w:line="360" w:lineRule="auto"/>
        <w:rPr>
          <w:rFonts w:ascii="宋体" w:hAnsi="宋体"/>
          <w:color w:val="auto"/>
          <w:kern w:val="0"/>
          <w:sz w:val="24"/>
          <w:highlight w:val="none"/>
        </w:rPr>
      </w:pPr>
    </w:p>
    <w:p>
      <w:pPr>
        <w:widowControl/>
        <w:spacing w:line="360" w:lineRule="auto"/>
        <w:rPr>
          <w:rFonts w:ascii="宋体" w:hAnsi="宋体"/>
          <w:color w:val="auto"/>
          <w:kern w:val="0"/>
          <w:sz w:val="24"/>
          <w:highlight w:val="none"/>
        </w:rPr>
      </w:pPr>
    </w:p>
    <w:p>
      <w:pPr>
        <w:widowControl/>
        <w:spacing w:line="360" w:lineRule="auto"/>
        <w:rPr>
          <w:rFonts w:ascii="黑体" w:eastAsia="黑体"/>
          <w:color w:val="auto"/>
          <w:kern w:val="0"/>
          <w:sz w:val="24"/>
          <w:highlight w:val="none"/>
        </w:rPr>
      </w:pPr>
      <w:r>
        <w:rPr>
          <w:rFonts w:hint="eastAsia" w:ascii="宋体" w:hAnsi="宋体"/>
          <w:color w:val="auto"/>
          <w:kern w:val="0"/>
          <w:sz w:val="24"/>
          <w:highlight w:val="none"/>
        </w:rPr>
        <w:t>附件五：</w:t>
      </w:r>
    </w:p>
    <w:p>
      <w:pPr>
        <w:widowControl/>
        <w:spacing w:line="360" w:lineRule="auto"/>
        <w:jc w:val="center"/>
        <w:rPr>
          <w:rFonts w:ascii="黑体" w:eastAsia="黑体"/>
          <w:color w:val="auto"/>
          <w:kern w:val="0"/>
          <w:sz w:val="24"/>
          <w:highlight w:val="none"/>
        </w:rPr>
      </w:pPr>
      <w:bookmarkStart w:id="503" w:name="_Toc5527"/>
      <w:bookmarkStart w:id="504" w:name="_Toc4713"/>
      <w:bookmarkStart w:id="505" w:name="_Toc2899"/>
      <w:r>
        <w:rPr>
          <w:rFonts w:hint="eastAsia" w:ascii="宋体" w:hAnsi="宋体"/>
          <w:color w:val="auto"/>
          <w:kern w:val="0"/>
          <w:sz w:val="24"/>
          <w:highlight w:val="none"/>
        </w:rPr>
        <w:t>施工总平面图</w:t>
      </w:r>
      <w:bookmarkEnd w:id="503"/>
      <w:bookmarkEnd w:id="504"/>
      <w:bookmarkEnd w:id="505"/>
    </w:p>
    <w:p>
      <w:pPr>
        <w:widowControl/>
        <w:spacing w:line="360" w:lineRule="auto"/>
        <w:ind w:firstLine="420"/>
        <w:rPr>
          <w:rFonts w:ascii="宋体" w:hAnsi="宋体"/>
          <w:color w:val="auto"/>
          <w:kern w:val="0"/>
          <w:szCs w:val="21"/>
          <w:highlight w:val="none"/>
        </w:rPr>
      </w:pPr>
      <w:r>
        <w:rPr>
          <w:rFonts w:hint="eastAsia" w:ascii="宋体" w:hAnsi="宋体"/>
          <w:color w:val="auto"/>
          <w:kern w:val="0"/>
          <w:szCs w:val="21"/>
          <w:highlight w:val="none"/>
        </w:rPr>
        <w:t>投标人应递交一份施工总平面图，绘出现场临时设施布置图及表并附文字说明，说明临时设施、加工车间、现场办公、设备及仓储、供电、供水、卫生、生活、道路、消防等设施的情况和布置。</w:t>
      </w:r>
    </w:p>
    <w:p>
      <w:pPr>
        <w:widowControl/>
        <w:spacing w:line="360" w:lineRule="auto"/>
        <w:rPr>
          <w:rFonts w:ascii="宋体" w:hAnsi="宋体"/>
          <w:color w:val="auto"/>
          <w:kern w:val="0"/>
          <w:sz w:val="28"/>
          <w:szCs w:val="28"/>
          <w:highlight w:val="none"/>
        </w:rPr>
      </w:pPr>
      <w:r>
        <w:rPr>
          <w:rFonts w:hint="eastAsia" w:ascii="宋体" w:hAnsi="宋体"/>
          <w:color w:val="auto"/>
          <w:kern w:val="0"/>
          <w:sz w:val="28"/>
          <w:szCs w:val="28"/>
          <w:highlight w:val="none"/>
        </w:rPr>
        <w:t xml:space="preserve"> </w:t>
      </w:r>
    </w:p>
    <w:p>
      <w:pPr>
        <w:widowControl/>
        <w:jc w:val="left"/>
        <w:rPr>
          <w:rFonts w:ascii="宋体" w:hAnsi="宋体" w:cs="宋体"/>
          <w:color w:val="auto"/>
          <w:kern w:val="0"/>
          <w:sz w:val="24"/>
          <w:highlight w:val="none"/>
        </w:rPr>
        <w:sectPr>
          <w:pgSz w:w="11906" w:h="16838"/>
          <w:pgMar w:top="1474" w:right="1474" w:bottom="1474" w:left="1587" w:header="850" w:footer="992" w:gutter="0"/>
          <w:pgNumType w:fmt="numberInDash"/>
          <w:cols w:space="720" w:num="1"/>
          <w:docGrid w:linePitch="312" w:charSpace="0"/>
        </w:sectPr>
      </w:pPr>
    </w:p>
    <w:p>
      <w:pPr>
        <w:widowControl/>
        <w:spacing w:line="360" w:lineRule="auto"/>
        <w:rPr>
          <w:rFonts w:ascii="黑体" w:eastAsia="黑体"/>
          <w:color w:val="auto"/>
          <w:kern w:val="0"/>
          <w:sz w:val="24"/>
          <w:highlight w:val="none"/>
        </w:rPr>
      </w:pPr>
      <w:r>
        <w:rPr>
          <w:rFonts w:hint="eastAsia" w:ascii="宋体" w:hAnsi="宋体"/>
          <w:color w:val="auto"/>
          <w:kern w:val="0"/>
          <w:sz w:val="24"/>
          <w:highlight w:val="none"/>
        </w:rPr>
        <w:t>附件六：</w:t>
      </w:r>
    </w:p>
    <w:p>
      <w:pPr>
        <w:widowControl/>
        <w:spacing w:line="360" w:lineRule="auto"/>
        <w:jc w:val="center"/>
        <w:rPr>
          <w:rFonts w:ascii="黑体" w:eastAsia="黑体"/>
          <w:color w:val="auto"/>
          <w:kern w:val="0"/>
          <w:sz w:val="24"/>
          <w:highlight w:val="none"/>
        </w:rPr>
      </w:pPr>
      <w:bookmarkStart w:id="506" w:name="_Toc16262"/>
      <w:bookmarkStart w:id="507" w:name="_Toc7208"/>
      <w:bookmarkStart w:id="508" w:name="_Toc30757"/>
      <w:r>
        <w:rPr>
          <w:rFonts w:hint="eastAsia" w:ascii="宋体" w:hAnsi="宋体"/>
          <w:color w:val="auto"/>
          <w:kern w:val="0"/>
          <w:sz w:val="24"/>
          <w:highlight w:val="none"/>
        </w:rPr>
        <w:t>临时用地表</w:t>
      </w:r>
      <w:bookmarkEnd w:id="506"/>
      <w:bookmarkEnd w:id="507"/>
      <w:bookmarkEnd w:id="508"/>
    </w:p>
    <w:tbl>
      <w:tblPr>
        <w:tblStyle w:val="15"/>
        <w:tblW w:w="0" w:type="auto"/>
        <w:tblInd w:w="-161" w:type="dxa"/>
        <w:tblLayout w:type="fixed"/>
        <w:tblCellMar>
          <w:top w:w="0" w:type="dxa"/>
          <w:left w:w="108" w:type="dxa"/>
          <w:bottom w:w="0" w:type="dxa"/>
          <w:right w:w="108" w:type="dxa"/>
        </w:tblCellMar>
      </w:tblPr>
      <w:tblGrid>
        <w:gridCol w:w="2139"/>
        <w:gridCol w:w="2327"/>
        <w:gridCol w:w="2498"/>
        <w:gridCol w:w="2498"/>
      </w:tblGrid>
      <w:tr>
        <w:tblPrEx>
          <w:tblCellMar>
            <w:top w:w="0" w:type="dxa"/>
            <w:left w:w="108" w:type="dxa"/>
            <w:bottom w:w="0" w:type="dxa"/>
            <w:right w:w="108" w:type="dxa"/>
          </w:tblCellMar>
        </w:tblPrEx>
        <w:trPr>
          <w:trHeight w:val="613" w:hRule="atLeast"/>
        </w:trPr>
        <w:tc>
          <w:tcPr>
            <w:tcW w:w="21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color w:val="auto"/>
                <w:kern w:val="0"/>
                <w:szCs w:val="21"/>
                <w:highlight w:val="none"/>
              </w:rPr>
            </w:pPr>
            <w:r>
              <w:rPr>
                <w:rFonts w:hint="eastAsia" w:ascii="宋体" w:hAnsi="宋体"/>
                <w:color w:val="auto"/>
                <w:kern w:val="0"/>
                <w:szCs w:val="21"/>
                <w:highlight w:val="none"/>
              </w:rPr>
              <w:t>用途</w:t>
            </w:r>
          </w:p>
        </w:tc>
        <w:tc>
          <w:tcPr>
            <w:tcW w:w="2327" w:type="dxa"/>
            <w:tcBorders>
              <w:top w:val="single" w:color="000000" w:sz="4" w:space="0"/>
              <w:left w:val="nil"/>
              <w:bottom w:val="single" w:color="000000" w:sz="4" w:space="0"/>
              <w:right w:val="single" w:color="000000" w:sz="4" w:space="0"/>
            </w:tcBorders>
            <w:noWrap w:val="0"/>
            <w:vAlign w:val="center"/>
          </w:tcPr>
          <w:p>
            <w:pPr>
              <w:widowControl/>
              <w:spacing w:line="360" w:lineRule="auto"/>
              <w:jc w:val="center"/>
              <w:rPr>
                <w:color w:val="auto"/>
                <w:kern w:val="0"/>
                <w:szCs w:val="21"/>
                <w:highlight w:val="none"/>
              </w:rPr>
            </w:pPr>
            <w:r>
              <w:rPr>
                <w:rFonts w:hint="eastAsia" w:ascii="宋体" w:hAnsi="宋体"/>
                <w:color w:val="auto"/>
                <w:kern w:val="0"/>
                <w:szCs w:val="21"/>
                <w:highlight w:val="none"/>
              </w:rPr>
              <w:t>面积（m</w:t>
            </w:r>
            <w:r>
              <w:rPr>
                <w:rFonts w:hint="eastAsia" w:ascii="宋体" w:hAnsi="宋体"/>
                <w:color w:val="auto"/>
                <w:kern w:val="0"/>
                <w:szCs w:val="21"/>
                <w:highlight w:val="none"/>
                <w:vertAlign w:val="superscript"/>
              </w:rPr>
              <w:t>2</w:t>
            </w:r>
            <w:r>
              <w:rPr>
                <w:rFonts w:hint="eastAsia" w:ascii="宋体" w:hAnsi="宋体"/>
                <w:color w:val="auto"/>
                <w:kern w:val="0"/>
                <w:szCs w:val="21"/>
                <w:highlight w:val="none"/>
              </w:rPr>
              <w:t>）</w:t>
            </w:r>
          </w:p>
        </w:tc>
        <w:tc>
          <w:tcPr>
            <w:tcW w:w="2498" w:type="dxa"/>
            <w:tcBorders>
              <w:top w:val="single" w:color="000000" w:sz="4" w:space="0"/>
              <w:left w:val="nil"/>
              <w:bottom w:val="single" w:color="000000" w:sz="4" w:space="0"/>
              <w:right w:val="single" w:color="000000" w:sz="4" w:space="0"/>
            </w:tcBorders>
            <w:noWrap w:val="0"/>
            <w:vAlign w:val="center"/>
          </w:tcPr>
          <w:p>
            <w:pPr>
              <w:widowControl/>
              <w:spacing w:line="360" w:lineRule="auto"/>
              <w:jc w:val="center"/>
              <w:rPr>
                <w:color w:val="auto"/>
                <w:kern w:val="0"/>
                <w:szCs w:val="21"/>
                <w:highlight w:val="none"/>
              </w:rPr>
            </w:pPr>
            <w:r>
              <w:rPr>
                <w:rFonts w:hint="eastAsia" w:ascii="宋体" w:hAnsi="宋体"/>
                <w:color w:val="auto"/>
                <w:kern w:val="0"/>
                <w:szCs w:val="21"/>
                <w:highlight w:val="none"/>
              </w:rPr>
              <w:t>位置</w:t>
            </w:r>
          </w:p>
        </w:tc>
        <w:tc>
          <w:tcPr>
            <w:tcW w:w="2498" w:type="dxa"/>
            <w:tcBorders>
              <w:top w:val="single" w:color="000000" w:sz="4" w:space="0"/>
              <w:left w:val="nil"/>
              <w:bottom w:val="single" w:color="000000" w:sz="4" w:space="0"/>
              <w:right w:val="single" w:color="000000" w:sz="4" w:space="0"/>
            </w:tcBorders>
            <w:noWrap w:val="0"/>
            <w:vAlign w:val="center"/>
          </w:tcPr>
          <w:p>
            <w:pPr>
              <w:widowControl/>
              <w:spacing w:line="360" w:lineRule="auto"/>
              <w:jc w:val="center"/>
              <w:rPr>
                <w:color w:val="auto"/>
                <w:kern w:val="0"/>
                <w:szCs w:val="21"/>
                <w:highlight w:val="none"/>
              </w:rPr>
            </w:pPr>
            <w:r>
              <w:rPr>
                <w:rFonts w:hint="eastAsia" w:ascii="宋体" w:hAnsi="宋体"/>
                <w:color w:val="auto"/>
                <w:kern w:val="0"/>
                <w:szCs w:val="21"/>
                <w:highlight w:val="none"/>
              </w:rPr>
              <w:t>需用时间</w:t>
            </w:r>
          </w:p>
        </w:tc>
      </w:tr>
      <w:tr>
        <w:tblPrEx>
          <w:tblCellMar>
            <w:top w:w="0" w:type="dxa"/>
            <w:left w:w="108" w:type="dxa"/>
            <w:bottom w:w="0" w:type="dxa"/>
            <w:right w:w="108" w:type="dxa"/>
          </w:tblCellMar>
        </w:tblPrEx>
        <w:trPr>
          <w:trHeight w:val="513" w:hRule="atLeast"/>
        </w:trPr>
        <w:tc>
          <w:tcPr>
            <w:tcW w:w="2139"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327"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498"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498"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r>
      <w:tr>
        <w:tblPrEx>
          <w:tblCellMar>
            <w:top w:w="0" w:type="dxa"/>
            <w:left w:w="108" w:type="dxa"/>
            <w:bottom w:w="0" w:type="dxa"/>
            <w:right w:w="108" w:type="dxa"/>
          </w:tblCellMar>
        </w:tblPrEx>
        <w:trPr>
          <w:trHeight w:val="513" w:hRule="atLeast"/>
        </w:trPr>
        <w:tc>
          <w:tcPr>
            <w:tcW w:w="2139"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327"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498"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498"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r>
      <w:tr>
        <w:tblPrEx>
          <w:tblCellMar>
            <w:top w:w="0" w:type="dxa"/>
            <w:left w:w="108" w:type="dxa"/>
            <w:bottom w:w="0" w:type="dxa"/>
            <w:right w:w="108" w:type="dxa"/>
          </w:tblCellMar>
        </w:tblPrEx>
        <w:trPr>
          <w:trHeight w:val="514" w:hRule="atLeast"/>
        </w:trPr>
        <w:tc>
          <w:tcPr>
            <w:tcW w:w="2139"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327"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498"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498"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r>
      <w:tr>
        <w:tblPrEx>
          <w:tblCellMar>
            <w:top w:w="0" w:type="dxa"/>
            <w:left w:w="108" w:type="dxa"/>
            <w:bottom w:w="0" w:type="dxa"/>
            <w:right w:w="108" w:type="dxa"/>
          </w:tblCellMar>
        </w:tblPrEx>
        <w:trPr>
          <w:trHeight w:val="513" w:hRule="atLeast"/>
        </w:trPr>
        <w:tc>
          <w:tcPr>
            <w:tcW w:w="2139"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327"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498"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498"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r>
      <w:tr>
        <w:tblPrEx>
          <w:tblCellMar>
            <w:top w:w="0" w:type="dxa"/>
            <w:left w:w="108" w:type="dxa"/>
            <w:bottom w:w="0" w:type="dxa"/>
            <w:right w:w="108" w:type="dxa"/>
          </w:tblCellMar>
        </w:tblPrEx>
        <w:trPr>
          <w:trHeight w:val="514" w:hRule="atLeast"/>
        </w:trPr>
        <w:tc>
          <w:tcPr>
            <w:tcW w:w="2139"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327"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498"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498"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r>
      <w:tr>
        <w:tblPrEx>
          <w:tblCellMar>
            <w:top w:w="0" w:type="dxa"/>
            <w:left w:w="108" w:type="dxa"/>
            <w:bottom w:w="0" w:type="dxa"/>
            <w:right w:w="108" w:type="dxa"/>
          </w:tblCellMar>
        </w:tblPrEx>
        <w:trPr>
          <w:trHeight w:val="513" w:hRule="atLeast"/>
        </w:trPr>
        <w:tc>
          <w:tcPr>
            <w:tcW w:w="2139"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327"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498"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498"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r>
      <w:tr>
        <w:tblPrEx>
          <w:tblCellMar>
            <w:top w:w="0" w:type="dxa"/>
            <w:left w:w="108" w:type="dxa"/>
            <w:bottom w:w="0" w:type="dxa"/>
            <w:right w:w="108" w:type="dxa"/>
          </w:tblCellMar>
        </w:tblPrEx>
        <w:trPr>
          <w:trHeight w:val="513" w:hRule="atLeast"/>
        </w:trPr>
        <w:tc>
          <w:tcPr>
            <w:tcW w:w="2139"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327"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498"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498"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r>
      <w:tr>
        <w:tblPrEx>
          <w:tblCellMar>
            <w:top w:w="0" w:type="dxa"/>
            <w:left w:w="108" w:type="dxa"/>
            <w:bottom w:w="0" w:type="dxa"/>
            <w:right w:w="108" w:type="dxa"/>
          </w:tblCellMar>
        </w:tblPrEx>
        <w:trPr>
          <w:trHeight w:val="514" w:hRule="atLeast"/>
        </w:trPr>
        <w:tc>
          <w:tcPr>
            <w:tcW w:w="2139"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327"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498"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498"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r>
      <w:tr>
        <w:tblPrEx>
          <w:tblCellMar>
            <w:top w:w="0" w:type="dxa"/>
            <w:left w:w="108" w:type="dxa"/>
            <w:bottom w:w="0" w:type="dxa"/>
            <w:right w:w="108" w:type="dxa"/>
          </w:tblCellMar>
        </w:tblPrEx>
        <w:trPr>
          <w:trHeight w:val="513" w:hRule="atLeast"/>
        </w:trPr>
        <w:tc>
          <w:tcPr>
            <w:tcW w:w="2139"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327"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498"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498"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r>
      <w:tr>
        <w:tblPrEx>
          <w:tblCellMar>
            <w:top w:w="0" w:type="dxa"/>
            <w:left w:w="108" w:type="dxa"/>
            <w:bottom w:w="0" w:type="dxa"/>
            <w:right w:w="108" w:type="dxa"/>
          </w:tblCellMar>
        </w:tblPrEx>
        <w:trPr>
          <w:trHeight w:val="514" w:hRule="atLeast"/>
        </w:trPr>
        <w:tc>
          <w:tcPr>
            <w:tcW w:w="2139"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327"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498"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498"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r>
      <w:tr>
        <w:tblPrEx>
          <w:tblCellMar>
            <w:top w:w="0" w:type="dxa"/>
            <w:left w:w="108" w:type="dxa"/>
            <w:bottom w:w="0" w:type="dxa"/>
            <w:right w:w="108" w:type="dxa"/>
          </w:tblCellMar>
        </w:tblPrEx>
        <w:trPr>
          <w:trHeight w:val="513" w:hRule="atLeast"/>
        </w:trPr>
        <w:tc>
          <w:tcPr>
            <w:tcW w:w="2139"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327"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498"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498"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r>
      <w:tr>
        <w:tblPrEx>
          <w:tblCellMar>
            <w:top w:w="0" w:type="dxa"/>
            <w:left w:w="108" w:type="dxa"/>
            <w:bottom w:w="0" w:type="dxa"/>
            <w:right w:w="108" w:type="dxa"/>
          </w:tblCellMar>
        </w:tblPrEx>
        <w:trPr>
          <w:trHeight w:val="513" w:hRule="atLeast"/>
        </w:trPr>
        <w:tc>
          <w:tcPr>
            <w:tcW w:w="2139"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327"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498"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498"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r>
      <w:tr>
        <w:tblPrEx>
          <w:tblCellMar>
            <w:top w:w="0" w:type="dxa"/>
            <w:left w:w="108" w:type="dxa"/>
            <w:bottom w:w="0" w:type="dxa"/>
            <w:right w:w="108" w:type="dxa"/>
          </w:tblCellMar>
        </w:tblPrEx>
        <w:trPr>
          <w:trHeight w:val="514" w:hRule="atLeast"/>
        </w:trPr>
        <w:tc>
          <w:tcPr>
            <w:tcW w:w="2139"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327"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498"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498"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r>
      <w:tr>
        <w:tblPrEx>
          <w:tblCellMar>
            <w:top w:w="0" w:type="dxa"/>
            <w:left w:w="108" w:type="dxa"/>
            <w:bottom w:w="0" w:type="dxa"/>
            <w:right w:w="108" w:type="dxa"/>
          </w:tblCellMar>
        </w:tblPrEx>
        <w:trPr>
          <w:trHeight w:val="513" w:hRule="atLeast"/>
        </w:trPr>
        <w:tc>
          <w:tcPr>
            <w:tcW w:w="2139"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327"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498"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498"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r>
      <w:tr>
        <w:tblPrEx>
          <w:tblCellMar>
            <w:top w:w="0" w:type="dxa"/>
            <w:left w:w="108" w:type="dxa"/>
            <w:bottom w:w="0" w:type="dxa"/>
            <w:right w:w="108" w:type="dxa"/>
          </w:tblCellMar>
        </w:tblPrEx>
        <w:trPr>
          <w:trHeight w:val="514" w:hRule="atLeast"/>
        </w:trPr>
        <w:tc>
          <w:tcPr>
            <w:tcW w:w="2139"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327"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498"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498"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r>
      <w:tr>
        <w:tblPrEx>
          <w:tblCellMar>
            <w:top w:w="0" w:type="dxa"/>
            <w:left w:w="108" w:type="dxa"/>
            <w:bottom w:w="0" w:type="dxa"/>
            <w:right w:w="108" w:type="dxa"/>
          </w:tblCellMar>
        </w:tblPrEx>
        <w:trPr>
          <w:trHeight w:val="513" w:hRule="atLeast"/>
        </w:trPr>
        <w:tc>
          <w:tcPr>
            <w:tcW w:w="2139"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327"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498"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498"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r>
      <w:tr>
        <w:tblPrEx>
          <w:tblCellMar>
            <w:top w:w="0" w:type="dxa"/>
            <w:left w:w="108" w:type="dxa"/>
            <w:bottom w:w="0" w:type="dxa"/>
            <w:right w:w="108" w:type="dxa"/>
          </w:tblCellMar>
        </w:tblPrEx>
        <w:trPr>
          <w:trHeight w:val="513" w:hRule="atLeast"/>
        </w:trPr>
        <w:tc>
          <w:tcPr>
            <w:tcW w:w="2139"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327"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498"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498"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r>
      <w:tr>
        <w:tblPrEx>
          <w:tblCellMar>
            <w:top w:w="0" w:type="dxa"/>
            <w:left w:w="108" w:type="dxa"/>
            <w:bottom w:w="0" w:type="dxa"/>
            <w:right w:w="108" w:type="dxa"/>
          </w:tblCellMar>
        </w:tblPrEx>
        <w:trPr>
          <w:trHeight w:val="514" w:hRule="atLeast"/>
        </w:trPr>
        <w:tc>
          <w:tcPr>
            <w:tcW w:w="2139"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327"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498"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498"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r>
      <w:tr>
        <w:tblPrEx>
          <w:tblCellMar>
            <w:top w:w="0" w:type="dxa"/>
            <w:left w:w="108" w:type="dxa"/>
            <w:bottom w:w="0" w:type="dxa"/>
            <w:right w:w="108" w:type="dxa"/>
          </w:tblCellMar>
        </w:tblPrEx>
        <w:trPr>
          <w:trHeight w:val="513" w:hRule="atLeast"/>
        </w:trPr>
        <w:tc>
          <w:tcPr>
            <w:tcW w:w="2139"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327"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498"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498"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r>
      <w:tr>
        <w:tblPrEx>
          <w:tblCellMar>
            <w:top w:w="0" w:type="dxa"/>
            <w:left w:w="108" w:type="dxa"/>
            <w:bottom w:w="0" w:type="dxa"/>
            <w:right w:w="108" w:type="dxa"/>
          </w:tblCellMar>
        </w:tblPrEx>
        <w:trPr>
          <w:trHeight w:val="513" w:hRule="atLeast"/>
        </w:trPr>
        <w:tc>
          <w:tcPr>
            <w:tcW w:w="2139"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327"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498"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498"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r>
      <w:tr>
        <w:tblPrEx>
          <w:tblCellMar>
            <w:top w:w="0" w:type="dxa"/>
            <w:left w:w="108" w:type="dxa"/>
            <w:bottom w:w="0" w:type="dxa"/>
            <w:right w:w="108" w:type="dxa"/>
          </w:tblCellMar>
        </w:tblPrEx>
        <w:trPr>
          <w:trHeight w:val="514" w:hRule="atLeast"/>
        </w:trPr>
        <w:tc>
          <w:tcPr>
            <w:tcW w:w="2139"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327"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498"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c>
          <w:tcPr>
            <w:tcW w:w="2498" w:type="dxa"/>
            <w:tcBorders>
              <w:top w:val="single" w:color="000000" w:sz="4" w:space="0"/>
              <w:left w:val="nil"/>
              <w:bottom w:val="single" w:color="000000" w:sz="4" w:space="0"/>
              <w:right w:val="single" w:color="000000" w:sz="4" w:space="0"/>
            </w:tcBorders>
            <w:noWrap w:val="0"/>
            <w:vAlign w:val="top"/>
          </w:tcPr>
          <w:p>
            <w:pPr>
              <w:widowControl/>
              <w:spacing w:line="360" w:lineRule="auto"/>
              <w:rPr>
                <w:color w:val="auto"/>
                <w:kern w:val="0"/>
                <w:szCs w:val="21"/>
                <w:highlight w:val="none"/>
              </w:rPr>
            </w:pPr>
          </w:p>
        </w:tc>
      </w:tr>
    </w:tbl>
    <w:p>
      <w:pPr>
        <w:pStyle w:val="6"/>
        <w:rPr>
          <w:rFonts w:hint="eastAsia"/>
          <w:color w:val="auto"/>
          <w:highlight w:val="none"/>
        </w:rPr>
      </w:pPr>
    </w:p>
    <w:p>
      <w:pPr>
        <w:rPr>
          <w:rFonts w:hint="eastAsia"/>
          <w:color w:val="auto"/>
          <w:highlight w:val="none"/>
        </w:rPr>
      </w:pPr>
    </w:p>
    <w:p>
      <w:pPr>
        <w:jc w:val="center"/>
        <w:outlineLvl w:val="0"/>
        <w:rPr>
          <w:rFonts w:hint="eastAsia" w:ascii="Times New Roman" w:hAnsi="Times New Roman" w:eastAsia="宋体" w:cs="Times New Roman"/>
          <w:b/>
          <w:bCs/>
          <w:color w:val="auto"/>
          <w:sz w:val="32"/>
          <w:szCs w:val="32"/>
          <w:highlight w:val="none"/>
        </w:rPr>
      </w:pPr>
      <w:bookmarkStart w:id="509" w:name="_Toc4812"/>
      <w:r>
        <w:rPr>
          <w:rFonts w:hint="eastAsia" w:ascii="Times New Roman" w:hAnsi="Times New Roman" w:eastAsia="宋体" w:cs="Times New Roman"/>
          <w:b/>
          <w:bCs/>
          <w:color w:val="auto"/>
          <w:sz w:val="32"/>
          <w:szCs w:val="32"/>
          <w:highlight w:val="none"/>
          <w:lang w:eastAsia="zh-CN"/>
        </w:rPr>
        <w:t>十一</w:t>
      </w:r>
      <w:r>
        <w:rPr>
          <w:rFonts w:hint="eastAsia" w:ascii="Times New Roman" w:hAnsi="Times New Roman" w:eastAsia="宋体" w:cs="Times New Roman"/>
          <w:b/>
          <w:bCs/>
          <w:color w:val="auto"/>
          <w:sz w:val="32"/>
          <w:szCs w:val="32"/>
          <w:highlight w:val="none"/>
        </w:rPr>
        <w:t>、商务条款偏离表</w:t>
      </w:r>
      <w:bookmarkEnd w:id="509"/>
    </w:p>
    <w:tbl>
      <w:tblPr>
        <w:tblStyle w:val="15"/>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2199"/>
        <w:gridCol w:w="2237"/>
        <w:gridCol w:w="1723"/>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36"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2199"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竞争性</w:t>
            </w:r>
            <w:r>
              <w:rPr>
                <w:rFonts w:hint="eastAsia" w:ascii="宋体" w:hAnsi="宋体" w:cs="宋体"/>
                <w:color w:val="auto"/>
                <w:sz w:val="24"/>
                <w:highlight w:val="none"/>
                <w:lang w:eastAsia="zh-CN"/>
              </w:rPr>
              <w:t>磋商</w:t>
            </w:r>
            <w:r>
              <w:rPr>
                <w:rFonts w:hint="eastAsia" w:ascii="宋体" w:hAnsi="宋体" w:cs="宋体"/>
                <w:color w:val="auto"/>
                <w:sz w:val="24"/>
                <w:highlight w:val="none"/>
              </w:rPr>
              <w:t>文件的</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商务条款</w:t>
            </w:r>
          </w:p>
        </w:tc>
        <w:tc>
          <w:tcPr>
            <w:tcW w:w="2237"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响应文件的</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商务条款</w:t>
            </w:r>
          </w:p>
        </w:tc>
        <w:tc>
          <w:tcPr>
            <w:tcW w:w="1723"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highlight w:val="none"/>
              </w:rPr>
              <w:t>偏离/不偏离</w:t>
            </w:r>
          </w:p>
        </w:tc>
        <w:tc>
          <w:tcPr>
            <w:tcW w:w="1723"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36"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2199" w:type="dxa"/>
            <w:noWrap w:val="0"/>
            <w:vAlign w:val="center"/>
          </w:tcPr>
          <w:p>
            <w:pPr>
              <w:spacing w:line="360" w:lineRule="auto"/>
              <w:jc w:val="center"/>
              <w:rPr>
                <w:rFonts w:hint="eastAsia" w:ascii="宋体" w:hAnsi="宋体" w:cs="宋体"/>
                <w:color w:val="auto"/>
                <w:sz w:val="24"/>
                <w:highlight w:val="none"/>
              </w:rPr>
            </w:pPr>
          </w:p>
        </w:tc>
        <w:tc>
          <w:tcPr>
            <w:tcW w:w="2237" w:type="dxa"/>
            <w:noWrap w:val="0"/>
            <w:vAlign w:val="center"/>
          </w:tcPr>
          <w:p>
            <w:pPr>
              <w:spacing w:line="360" w:lineRule="auto"/>
              <w:jc w:val="center"/>
              <w:rPr>
                <w:rFonts w:hint="eastAsia" w:ascii="宋体" w:hAnsi="宋体" w:cs="宋体"/>
                <w:color w:val="auto"/>
                <w:sz w:val="24"/>
                <w:highlight w:val="none"/>
              </w:rPr>
            </w:pPr>
          </w:p>
        </w:tc>
        <w:tc>
          <w:tcPr>
            <w:tcW w:w="1723" w:type="dxa"/>
            <w:noWrap w:val="0"/>
            <w:vAlign w:val="center"/>
          </w:tcPr>
          <w:p>
            <w:pPr>
              <w:spacing w:line="360" w:lineRule="auto"/>
              <w:jc w:val="center"/>
              <w:rPr>
                <w:rFonts w:hint="eastAsia" w:ascii="宋体" w:hAnsi="宋体" w:cs="宋体"/>
                <w:color w:val="auto"/>
                <w:sz w:val="24"/>
                <w:highlight w:val="none"/>
              </w:rPr>
            </w:pPr>
          </w:p>
        </w:tc>
        <w:tc>
          <w:tcPr>
            <w:tcW w:w="1723"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36"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2199" w:type="dxa"/>
            <w:noWrap w:val="0"/>
            <w:vAlign w:val="center"/>
          </w:tcPr>
          <w:p>
            <w:pPr>
              <w:spacing w:line="360" w:lineRule="auto"/>
              <w:jc w:val="center"/>
              <w:rPr>
                <w:rFonts w:hint="eastAsia" w:ascii="宋体" w:hAnsi="宋体" w:cs="宋体"/>
                <w:color w:val="auto"/>
                <w:sz w:val="24"/>
                <w:highlight w:val="none"/>
              </w:rPr>
            </w:pPr>
          </w:p>
        </w:tc>
        <w:tc>
          <w:tcPr>
            <w:tcW w:w="2237" w:type="dxa"/>
            <w:noWrap w:val="0"/>
            <w:vAlign w:val="center"/>
          </w:tcPr>
          <w:p>
            <w:pPr>
              <w:spacing w:line="360" w:lineRule="auto"/>
              <w:jc w:val="center"/>
              <w:rPr>
                <w:rFonts w:hint="eastAsia" w:ascii="宋体" w:hAnsi="宋体" w:cs="宋体"/>
                <w:color w:val="auto"/>
                <w:sz w:val="24"/>
                <w:highlight w:val="none"/>
              </w:rPr>
            </w:pPr>
          </w:p>
        </w:tc>
        <w:tc>
          <w:tcPr>
            <w:tcW w:w="1723" w:type="dxa"/>
            <w:noWrap w:val="0"/>
            <w:vAlign w:val="center"/>
          </w:tcPr>
          <w:p>
            <w:pPr>
              <w:spacing w:line="360" w:lineRule="auto"/>
              <w:jc w:val="center"/>
              <w:rPr>
                <w:rFonts w:hint="eastAsia" w:ascii="宋体" w:hAnsi="宋体" w:cs="宋体"/>
                <w:color w:val="auto"/>
                <w:sz w:val="24"/>
                <w:highlight w:val="none"/>
              </w:rPr>
            </w:pPr>
          </w:p>
        </w:tc>
        <w:tc>
          <w:tcPr>
            <w:tcW w:w="1723"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36"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2199" w:type="dxa"/>
            <w:noWrap w:val="0"/>
            <w:vAlign w:val="center"/>
          </w:tcPr>
          <w:p>
            <w:pPr>
              <w:spacing w:line="360" w:lineRule="auto"/>
              <w:jc w:val="center"/>
              <w:rPr>
                <w:rFonts w:hint="eastAsia" w:ascii="宋体" w:hAnsi="宋体" w:cs="宋体"/>
                <w:color w:val="auto"/>
                <w:sz w:val="24"/>
                <w:highlight w:val="none"/>
              </w:rPr>
            </w:pPr>
          </w:p>
        </w:tc>
        <w:tc>
          <w:tcPr>
            <w:tcW w:w="2237" w:type="dxa"/>
            <w:noWrap w:val="0"/>
            <w:vAlign w:val="center"/>
          </w:tcPr>
          <w:p>
            <w:pPr>
              <w:spacing w:line="360" w:lineRule="auto"/>
              <w:jc w:val="center"/>
              <w:rPr>
                <w:rFonts w:hint="eastAsia" w:ascii="宋体" w:hAnsi="宋体" w:cs="宋体"/>
                <w:color w:val="auto"/>
                <w:sz w:val="24"/>
                <w:highlight w:val="none"/>
              </w:rPr>
            </w:pPr>
          </w:p>
        </w:tc>
        <w:tc>
          <w:tcPr>
            <w:tcW w:w="1723" w:type="dxa"/>
            <w:noWrap w:val="0"/>
            <w:vAlign w:val="center"/>
          </w:tcPr>
          <w:p>
            <w:pPr>
              <w:spacing w:line="360" w:lineRule="auto"/>
              <w:jc w:val="center"/>
              <w:rPr>
                <w:rFonts w:hint="eastAsia" w:ascii="宋体" w:hAnsi="宋体" w:cs="宋体"/>
                <w:color w:val="auto"/>
                <w:sz w:val="24"/>
                <w:highlight w:val="none"/>
              </w:rPr>
            </w:pPr>
          </w:p>
        </w:tc>
        <w:tc>
          <w:tcPr>
            <w:tcW w:w="1723"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36"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2199" w:type="dxa"/>
            <w:noWrap w:val="0"/>
            <w:vAlign w:val="center"/>
          </w:tcPr>
          <w:p>
            <w:pPr>
              <w:spacing w:line="360" w:lineRule="auto"/>
              <w:jc w:val="center"/>
              <w:rPr>
                <w:rFonts w:hint="eastAsia" w:ascii="宋体" w:hAnsi="宋体" w:cs="宋体"/>
                <w:color w:val="auto"/>
                <w:sz w:val="24"/>
                <w:highlight w:val="none"/>
              </w:rPr>
            </w:pPr>
          </w:p>
        </w:tc>
        <w:tc>
          <w:tcPr>
            <w:tcW w:w="2237" w:type="dxa"/>
            <w:noWrap w:val="0"/>
            <w:vAlign w:val="center"/>
          </w:tcPr>
          <w:p>
            <w:pPr>
              <w:spacing w:line="360" w:lineRule="auto"/>
              <w:jc w:val="center"/>
              <w:rPr>
                <w:rFonts w:hint="eastAsia" w:ascii="宋体" w:hAnsi="宋体" w:cs="宋体"/>
                <w:color w:val="auto"/>
                <w:sz w:val="24"/>
                <w:highlight w:val="none"/>
              </w:rPr>
            </w:pPr>
          </w:p>
        </w:tc>
        <w:tc>
          <w:tcPr>
            <w:tcW w:w="1723" w:type="dxa"/>
            <w:noWrap w:val="0"/>
            <w:vAlign w:val="center"/>
          </w:tcPr>
          <w:p>
            <w:pPr>
              <w:spacing w:line="360" w:lineRule="auto"/>
              <w:jc w:val="center"/>
              <w:rPr>
                <w:rFonts w:hint="eastAsia" w:ascii="宋体" w:hAnsi="宋体" w:cs="宋体"/>
                <w:color w:val="auto"/>
                <w:sz w:val="24"/>
                <w:highlight w:val="none"/>
              </w:rPr>
            </w:pPr>
          </w:p>
        </w:tc>
        <w:tc>
          <w:tcPr>
            <w:tcW w:w="1723"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36" w:type="dxa"/>
            <w:noWrap w:val="0"/>
            <w:vAlign w:val="center"/>
          </w:tcPr>
          <w:p>
            <w:pPr>
              <w:spacing w:line="360" w:lineRule="auto"/>
              <w:jc w:val="center"/>
              <w:rPr>
                <w:rFonts w:hint="eastAsia" w:ascii="宋体" w:hAnsi="宋体" w:cs="宋体"/>
                <w:color w:val="auto"/>
                <w:sz w:val="24"/>
                <w:highlight w:val="none"/>
              </w:rPr>
            </w:pPr>
          </w:p>
        </w:tc>
        <w:tc>
          <w:tcPr>
            <w:tcW w:w="2199" w:type="dxa"/>
            <w:noWrap w:val="0"/>
            <w:vAlign w:val="center"/>
          </w:tcPr>
          <w:p>
            <w:pPr>
              <w:spacing w:line="360" w:lineRule="auto"/>
              <w:jc w:val="center"/>
              <w:rPr>
                <w:rFonts w:hint="eastAsia" w:ascii="宋体" w:hAnsi="宋体" w:cs="宋体"/>
                <w:color w:val="auto"/>
                <w:sz w:val="24"/>
                <w:highlight w:val="none"/>
              </w:rPr>
            </w:pPr>
          </w:p>
        </w:tc>
        <w:tc>
          <w:tcPr>
            <w:tcW w:w="2237" w:type="dxa"/>
            <w:noWrap w:val="0"/>
            <w:vAlign w:val="center"/>
          </w:tcPr>
          <w:p>
            <w:pPr>
              <w:spacing w:line="360" w:lineRule="auto"/>
              <w:jc w:val="center"/>
              <w:rPr>
                <w:rFonts w:hint="eastAsia" w:ascii="宋体" w:hAnsi="宋体" w:cs="宋体"/>
                <w:color w:val="auto"/>
                <w:sz w:val="24"/>
                <w:highlight w:val="none"/>
              </w:rPr>
            </w:pPr>
          </w:p>
        </w:tc>
        <w:tc>
          <w:tcPr>
            <w:tcW w:w="1723" w:type="dxa"/>
            <w:noWrap w:val="0"/>
            <w:vAlign w:val="center"/>
          </w:tcPr>
          <w:p>
            <w:pPr>
              <w:spacing w:line="360" w:lineRule="auto"/>
              <w:jc w:val="center"/>
              <w:rPr>
                <w:rFonts w:hint="eastAsia" w:ascii="宋体" w:hAnsi="宋体" w:cs="宋体"/>
                <w:color w:val="auto"/>
                <w:sz w:val="24"/>
                <w:highlight w:val="none"/>
              </w:rPr>
            </w:pPr>
          </w:p>
        </w:tc>
        <w:tc>
          <w:tcPr>
            <w:tcW w:w="1723"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36" w:type="dxa"/>
            <w:noWrap w:val="0"/>
            <w:vAlign w:val="center"/>
          </w:tcPr>
          <w:p>
            <w:pPr>
              <w:spacing w:line="360" w:lineRule="auto"/>
              <w:jc w:val="center"/>
              <w:rPr>
                <w:rFonts w:hint="eastAsia" w:ascii="宋体" w:hAnsi="宋体" w:cs="宋体"/>
                <w:color w:val="auto"/>
                <w:sz w:val="24"/>
                <w:highlight w:val="none"/>
              </w:rPr>
            </w:pPr>
          </w:p>
        </w:tc>
        <w:tc>
          <w:tcPr>
            <w:tcW w:w="2199" w:type="dxa"/>
            <w:noWrap w:val="0"/>
            <w:vAlign w:val="center"/>
          </w:tcPr>
          <w:p>
            <w:pPr>
              <w:spacing w:line="360" w:lineRule="auto"/>
              <w:jc w:val="center"/>
              <w:rPr>
                <w:rFonts w:hint="eastAsia" w:ascii="宋体" w:hAnsi="宋体" w:cs="宋体"/>
                <w:color w:val="auto"/>
                <w:sz w:val="24"/>
                <w:highlight w:val="none"/>
              </w:rPr>
            </w:pPr>
          </w:p>
        </w:tc>
        <w:tc>
          <w:tcPr>
            <w:tcW w:w="2237" w:type="dxa"/>
            <w:noWrap w:val="0"/>
            <w:vAlign w:val="center"/>
          </w:tcPr>
          <w:p>
            <w:pPr>
              <w:spacing w:line="360" w:lineRule="auto"/>
              <w:jc w:val="center"/>
              <w:rPr>
                <w:rFonts w:hint="eastAsia" w:ascii="宋体" w:hAnsi="宋体" w:cs="宋体"/>
                <w:color w:val="auto"/>
                <w:sz w:val="24"/>
                <w:highlight w:val="none"/>
              </w:rPr>
            </w:pPr>
          </w:p>
        </w:tc>
        <w:tc>
          <w:tcPr>
            <w:tcW w:w="1723" w:type="dxa"/>
            <w:noWrap w:val="0"/>
            <w:vAlign w:val="center"/>
          </w:tcPr>
          <w:p>
            <w:pPr>
              <w:spacing w:line="360" w:lineRule="auto"/>
              <w:jc w:val="center"/>
              <w:rPr>
                <w:rFonts w:hint="eastAsia" w:ascii="宋体" w:hAnsi="宋体" w:cs="宋体"/>
                <w:color w:val="auto"/>
                <w:sz w:val="24"/>
                <w:highlight w:val="none"/>
              </w:rPr>
            </w:pPr>
          </w:p>
        </w:tc>
        <w:tc>
          <w:tcPr>
            <w:tcW w:w="1723"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836" w:type="dxa"/>
            <w:noWrap w:val="0"/>
            <w:vAlign w:val="center"/>
          </w:tcPr>
          <w:p>
            <w:pPr>
              <w:spacing w:line="360" w:lineRule="auto"/>
              <w:jc w:val="center"/>
              <w:rPr>
                <w:rFonts w:hint="eastAsia" w:ascii="宋体" w:hAnsi="宋体" w:cs="宋体"/>
                <w:color w:val="auto"/>
                <w:sz w:val="24"/>
                <w:highlight w:val="none"/>
              </w:rPr>
            </w:pPr>
          </w:p>
        </w:tc>
        <w:tc>
          <w:tcPr>
            <w:tcW w:w="2199" w:type="dxa"/>
            <w:noWrap w:val="0"/>
            <w:vAlign w:val="center"/>
          </w:tcPr>
          <w:p>
            <w:pPr>
              <w:spacing w:line="360" w:lineRule="auto"/>
              <w:jc w:val="center"/>
              <w:rPr>
                <w:rFonts w:hint="eastAsia" w:ascii="宋体" w:hAnsi="宋体" w:cs="宋体"/>
                <w:color w:val="auto"/>
                <w:sz w:val="24"/>
                <w:highlight w:val="none"/>
              </w:rPr>
            </w:pPr>
          </w:p>
        </w:tc>
        <w:tc>
          <w:tcPr>
            <w:tcW w:w="2237" w:type="dxa"/>
            <w:noWrap w:val="0"/>
            <w:vAlign w:val="center"/>
          </w:tcPr>
          <w:p>
            <w:pPr>
              <w:spacing w:line="360" w:lineRule="auto"/>
              <w:jc w:val="center"/>
              <w:rPr>
                <w:rFonts w:hint="eastAsia" w:ascii="宋体" w:hAnsi="宋体" w:cs="宋体"/>
                <w:color w:val="auto"/>
                <w:sz w:val="24"/>
                <w:highlight w:val="none"/>
              </w:rPr>
            </w:pPr>
          </w:p>
        </w:tc>
        <w:tc>
          <w:tcPr>
            <w:tcW w:w="1723" w:type="dxa"/>
            <w:noWrap w:val="0"/>
            <w:vAlign w:val="center"/>
          </w:tcPr>
          <w:p>
            <w:pPr>
              <w:spacing w:line="360" w:lineRule="auto"/>
              <w:jc w:val="center"/>
              <w:rPr>
                <w:rFonts w:hint="eastAsia" w:ascii="宋体" w:hAnsi="宋体" w:cs="宋体"/>
                <w:color w:val="auto"/>
                <w:sz w:val="24"/>
                <w:highlight w:val="none"/>
              </w:rPr>
            </w:pPr>
          </w:p>
        </w:tc>
        <w:tc>
          <w:tcPr>
            <w:tcW w:w="1723" w:type="dxa"/>
            <w:noWrap w:val="0"/>
            <w:vAlign w:val="center"/>
          </w:tcPr>
          <w:p>
            <w:pPr>
              <w:spacing w:line="360" w:lineRule="auto"/>
              <w:jc w:val="center"/>
              <w:rPr>
                <w:rFonts w:hint="eastAsia" w:ascii="宋体" w:hAnsi="宋体" w:cs="宋体"/>
                <w:color w:val="auto"/>
                <w:sz w:val="24"/>
                <w:highlight w:val="none"/>
              </w:rPr>
            </w:pPr>
          </w:p>
        </w:tc>
      </w:tr>
    </w:tbl>
    <w:p>
      <w:pPr>
        <w:spacing w:line="360" w:lineRule="auto"/>
        <w:ind w:firstLine="480" w:firstLineChars="200"/>
        <w:rPr>
          <w:rFonts w:hint="eastAsia" w:ascii="宋体" w:hAnsi="宋体" w:cs="宋体"/>
          <w:color w:val="auto"/>
          <w:sz w:val="24"/>
          <w:highlight w:val="none"/>
        </w:rPr>
      </w:pPr>
    </w:p>
    <w:p>
      <w:pPr>
        <w:spacing w:line="360" w:lineRule="auto"/>
        <w:rPr>
          <w:rFonts w:hint="eastAsia" w:ascii="宋体" w:hAnsi="宋体" w:cs="宋体"/>
          <w:color w:val="auto"/>
          <w:highlight w:val="none"/>
        </w:rPr>
      </w:pPr>
      <w:r>
        <w:rPr>
          <w:rFonts w:hint="eastAsia" w:ascii="宋体" w:hAnsi="宋体" w:cs="宋体"/>
          <w:b/>
          <w:color w:val="auto"/>
          <w:highlight w:val="none"/>
        </w:rPr>
        <w:t>注</w:t>
      </w:r>
      <w:r>
        <w:rPr>
          <w:rFonts w:hint="eastAsia" w:ascii="宋体" w:hAnsi="宋体" w:cs="宋体"/>
          <w:color w:val="auto"/>
          <w:highlight w:val="none"/>
        </w:rPr>
        <w:t>：1、应与文件要求逐条对应填写，本表如填写不完，可以续页。</w:t>
      </w:r>
    </w:p>
    <w:p>
      <w:pPr>
        <w:pStyle w:val="23"/>
        <w:rPr>
          <w:rFonts w:hint="eastAsia" w:ascii="宋体" w:hAnsi="宋体" w:eastAsia="宋体" w:cs="宋体"/>
          <w:color w:val="auto"/>
          <w:highlight w:val="none"/>
        </w:rPr>
      </w:pPr>
      <w:r>
        <w:rPr>
          <w:rFonts w:hint="eastAsia" w:ascii="宋体" w:hAnsi="宋体" w:eastAsia="宋体" w:cs="宋体"/>
          <w:color w:val="auto"/>
          <w:highlight w:val="none"/>
        </w:rPr>
        <w:t>2.商务条款包含：招标内容、报价、</w:t>
      </w:r>
      <w:r>
        <w:rPr>
          <w:rFonts w:hint="eastAsia" w:ascii="宋体" w:hAnsi="宋体" w:eastAsia="宋体" w:cs="宋体"/>
          <w:color w:val="auto"/>
          <w:highlight w:val="none"/>
          <w:lang w:val="en-US" w:eastAsia="zh-CN"/>
        </w:rPr>
        <w:t>工</w:t>
      </w:r>
      <w:r>
        <w:rPr>
          <w:rFonts w:hint="eastAsia" w:ascii="宋体" w:hAnsi="宋体" w:eastAsia="宋体" w:cs="宋体"/>
          <w:color w:val="auto"/>
          <w:highlight w:val="none"/>
        </w:rPr>
        <w:t>期、投标有效期、响应文件份数、履约保证金、付款方式等。</w:t>
      </w:r>
    </w:p>
    <w:p>
      <w:pPr>
        <w:pStyle w:val="23"/>
        <w:rPr>
          <w:rFonts w:hint="eastAsia" w:ascii="宋体" w:hAnsi="宋体" w:eastAsia="宋体" w:cs="宋体"/>
          <w:color w:val="auto"/>
          <w:highlight w:val="none"/>
        </w:rPr>
      </w:pPr>
      <w:r>
        <w:rPr>
          <w:rFonts w:hint="eastAsia" w:ascii="宋体" w:hAnsi="宋体" w:cs="宋体"/>
          <w:color w:val="auto"/>
          <w:highlight w:val="none"/>
        </w:rPr>
        <w:t>3.供应商应据实填写，不可直接复制粘贴采购文件要求，否则视为不响应。</w:t>
      </w:r>
    </w:p>
    <w:p>
      <w:pPr>
        <w:spacing w:line="360" w:lineRule="auto"/>
        <w:ind w:firstLine="480" w:firstLineChars="200"/>
        <w:rPr>
          <w:rFonts w:hint="eastAsia" w:ascii="宋体" w:hAnsi="宋体" w:cs="宋体"/>
          <w:color w:val="auto"/>
          <w:sz w:val="24"/>
          <w:highlight w:val="none"/>
        </w:rPr>
      </w:pPr>
    </w:p>
    <w:p>
      <w:pPr>
        <w:spacing w:line="360" w:lineRule="auto"/>
        <w:ind w:firstLine="480" w:firstLineChars="200"/>
        <w:rPr>
          <w:rFonts w:hint="eastAsia" w:ascii="宋体" w:hAnsi="宋体" w:cs="宋体"/>
          <w:color w:val="auto"/>
          <w:sz w:val="24"/>
          <w:highlight w:val="none"/>
        </w:rPr>
      </w:pPr>
    </w:p>
    <w:p>
      <w:pPr>
        <w:spacing w:line="360" w:lineRule="auto"/>
        <w:ind w:firstLine="2880" w:firstLineChars="1200"/>
        <w:rPr>
          <w:rFonts w:hint="eastAsia"/>
          <w:color w:val="auto"/>
          <w:sz w:val="24"/>
          <w:highlight w:val="none"/>
        </w:rPr>
      </w:pPr>
      <w:r>
        <w:rPr>
          <w:rFonts w:hint="eastAsia"/>
          <w:color w:val="auto"/>
          <w:sz w:val="24"/>
          <w:highlight w:val="none"/>
        </w:rPr>
        <w:t>供应商名称</w:t>
      </w:r>
      <w:r>
        <w:rPr>
          <w:color w:val="auto"/>
          <w:sz w:val="24"/>
          <w:highlight w:val="none"/>
        </w:rPr>
        <w:t>：</w:t>
      </w:r>
      <w:r>
        <w:rPr>
          <w:color w:val="auto"/>
          <w:sz w:val="24"/>
          <w:highlight w:val="none"/>
          <w:u w:val="single"/>
        </w:rPr>
        <w:t xml:space="preserve">                 </w:t>
      </w:r>
      <w:r>
        <w:rPr>
          <w:color w:val="auto"/>
          <w:sz w:val="24"/>
          <w:highlight w:val="none"/>
        </w:rPr>
        <w:t>（盖单位章）</w:t>
      </w:r>
    </w:p>
    <w:p>
      <w:pPr>
        <w:spacing w:line="360" w:lineRule="auto"/>
        <w:ind w:firstLine="2880" w:firstLineChars="1200"/>
        <w:rPr>
          <w:rFonts w:hint="eastAsia"/>
          <w:color w:val="auto"/>
          <w:sz w:val="24"/>
          <w:highlight w:val="none"/>
        </w:rPr>
      </w:pPr>
      <w:r>
        <w:rPr>
          <w:rFonts w:hint="eastAsia"/>
          <w:color w:val="auto"/>
          <w:sz w:val="24"/>
          <w:highlight w:val="none"/>
        </w:rPr>
        <w:t>法定代表人：</w:t>
      </w:r>
      <w:r>
        <w:rPr>
          <w:rFonts w:hint="eastAsia"/>
          <w:color w:val="auto"/>
          <w:sz w:val="24"/>
          <w:highlight w:val="none"/>
          <w:u w:val="single"/>
        </w:rPr>
        <w:t xml:space="preserve">                </w:t>
      </w:r>
      <w:r>
        <w:rPr>
          <w:rFonts w:hint="eastAsia"/>
          <w:color w:val="auto"/>
          <w:sz w:val="24"/>
          <w:highlight w:val="none"/>
        </w:rPr>
        <w:t>（签字或盖章）</w:t>
      </w:r>
    </w:p>
    <w:p>
      <w:pPr>
        <w:spacing w:line="400" w:lineRule="exact"/>
        <w:jc w:val="center"/>
        <w:rPr>
          <w:rFonts w:ascii="方正大标宋_GBK" w:hAnsi="方正大标宋_GBK" w:eastAsia="方正大标宋_GBK" w:cs="方正大标宋_GBK"/>
          <w:b/>
          <w:color w:val="auto"/>
          <w:kern w:val="0"/>
          <w:sz w:val="32"/>
          <w:szCs w:val="32"/>
          <w:highlight w:val="none"/>
          <w:lang w:bidi="ar"/>
        </w:rPr>
        <w:sectPr>
          <w:pgSz w:w="11906" w:h="16838"/>
          <w:pgMar w:top="1440" w:right="1803" w:bottom="1440" w:left="1803" w:header="851" w:footer="992" w:gutter="0"/>
          <w:pgNumType w:fmt="numberInDash"/>
          <w:cols w:space="720" w:num="1"/>
          <w:titlePg/>
          <w:docGrid w:type="lines" w:linePitch="319" w:charSpace="0"/>
        </w:sectPr>
      </w:pPr>
      <w:r>
        <w:rPr>
          <w:rFonts w:hint="eastAsia"/>
          <w:color w:val="auto"/>
          <w:sz w:val="24"/>
          <w:highlight w:val="none"/>
        </w:rPr>
        <w:t xml:space="preserve">        日期：</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 xml:space="preserve">日 </w:t>
      </w:r>
    </w:p>
    <w:p>
      <w:pPr>
        <w:spacing w:line="360" w:lineRule="auto"/>
        <w:jc w:val="center"/>
        <w:outlineLvl w:val="1"/>
        <w:rPr>
          <w:rFonts w:hint="eastAsia" w:ascii="Arial" w:hAnsi="Arial" w:eastAsia="黑体" w:cs="Times New Roman"/>
          <w:b/>
          <w:bCs/>
          <w:color w:val="auto"/>
          <w:kern w:val="0"/>
          <w:sz w:val="30"/>
          <w:szCs w:val="32"/>
          <w:highlight w:val="none"/>
          <w:lang w:val="en-US" w:eastAsia="zh-CN" w:bidi="ar-SA"/>
        </w:rPr>
      </w:pPr>
      <w:r>
        <w:rPr>
          <w:rFonts w:hint="eastAsia" w:ascii="Arial" w:hAnsi="Arial" w:eastAsia="黑体" w:cs="Times New Roman"/>
          <w:b/>
          <w:bCs/>
          <w:color w:val="auto"/>
          <w:kern w:val="0"/>
          <w:sz w:val="30"/>
          <w:szCs w:val="32"/>
          <w:highlight w:val="none"/>
          <w:lang w:val="en-US" w:eastAsia="zh-CN" w:bidi="ar-SA"/>
        </w:rPr>
        <w:t>十二、参加政府采购活动前三年内，在经营活动中没有重大违法记录声明</w:t>
      </w:r>
      <w:bookmarkEnd w:id="488"/>
    </w:p>
    <w:p>
      <w:pPr>
        <w:spacing w:line="360" w:lineRule="auto"/>
        <w:jc w:val="center"/>
        <w:outlineLvl w:val="1"/>
        <w:rPr>
          <w:rFonts w:hint="eastAsia" w:ascii="Arial" w:hAnsi="Arial" w:eastAsia="黑体" w:cs="Times New Roman"/>
          <w:b w:val="0"/>
          <w:bCs w:val="0"/>
          <w:color w:val="auto"/>
          <w:kern w:val="0"/>
          <w:sz w:val="30"/>
          <w:szCs w:val="32"/>
          <w:highlight w:val="none"/>
          <w:lang w:val="en-US" w:eastAsia="zh-CN" w:bidi="ar-SA"/>
        </w:rPr>
      </w:pPr>
      <w:bookmarkStart w:id="510" w:name="_Toc23401"/>
      <w:r>
        <w:rPr>
          <w:rFonts w:hint="eastAsia" w:ascii="Arial" w:hAnsi="Arial" w:eastAsia="黑体" w:cs="Times New Roman"/>
          <w:b w:val="0"/>
          <w:bCs w:val="0"/>
          <w:color w:val="auto"/>
          <w:kern w:val="0"/>
          <w:sz w:val="30"/>
          <w:szCs w:val="32"/>
          <w:highlight w:val="none"/>
          <w:lang w:val="en-US" w:eastAsia="zh-CN" w:bidi="ar-SA"/>
        </w:rPr>
        <w:t>（自行承诺）</w:t>
      </w:r>
      <w:bookmarkEnd w:id="510"/>
    </w:p>
    <w:p>
      <w:pPr>
        <w:spacing w:line="360" w:lineRule="auto"/>
        <w:ind w:firstLine="4020" w:firstLineChars="1675"/>
        <w:rPr>
          <w:rFonts w:hint="eastAsia" w:ascii="宋体" w:hAnsi="宋体"/>
          <w:color w:val="auto"/>
          <w:sz w:val="24"/>
          <w:highlight w:val="none"/>
        </w:rPr>
      </w:pPr>
    </w:p>
    <w:p>
      <w:pPr>
        <w:spacing w:line="360" w:lineRule="auto"/>
        <w:ind w:firstLine="4020" w:firstLineChars="1675"/>
        <w:rPr>
          <w:rFonts w:hint="eastAsia" w:ascii="宋体" w:hAnsi="宋体"/>
          <w:color w:val="auto"/>
          <w:sz w:val="24"/>
          <w:highlight w:val="none"/>
        </w:rPr>
      </w:pPr>
      <w:r>
        <w:rPr>
          <w:rFonts w:hint="eastAsia" w:ascii="宋体" w:hAnsi="宋体"/>
          <w:color w:val="auto"/>
          <w:sz w:val="24"/>
          <w:highlight w:val="none"/>
        </w:rPr>
        <w:t xml:space="preserve">法定代表人或委托代理人签字：     </w:t>
      </w:r>
    </w:p>
    <w:p>
      <w:pPr>
        <w:spacing w:line="360" w:lineRule="auto"/>
        <w:ind w:firstLine="4020" w:firstLineChars="1675"/>
        <w:rPr>
          <w:rFonts w:hint="eastAsia" w:ascii="宋体" w:hAnsi="宋体"/>
          <w:color w:val="auto"/>
          <w:sz w:val="24"/>
          <w:highlight w:val="none"/>
        </w:rPr>
      </w:pPr>
      <w:r>
        <w:rPr>
          <w:rFonts w:hint="eastAsia" w:ascii="宋体" w:hAnsi="宋体"/>
          <w:color w:val="auto"/>
          <w:sz w:val="24"/>
          <w:highlight w:val="none"/>
        </w:rPr>
        <w:t xml:space="preserve">职务：                        </w:t>
      </w:r>
    </w:p>
    <w:p>
      <w:pPr>
        <w:spacing w:line="360" w:lineRule="auto"/>
        <w:ind w:firstLine="4020" w:firstLineChars="1675"/>
        <w:rPr>
          <w:rFonts w:hint="eastAsia" w:ascii="宋体" w:hAnsi="宋体"/>
          <w:color w:val="auto"/>
          <w:sz w:val="24"/>
          <w:highlight w:val="none"/>
        </w:rPr>
      </w:pPr>
      <w:r>
        <w:rPr>
          <w:rFonts w:hint="eastAsia" w:ascii="宋体" w:hAnsi="宋体"/>
          <w:color w:val="auto"/>
          <w:sz w:val="24"/>
          <w:highlight w:val="none"/>
        </w:rPr>
        <w:t xml:space="preserve">承诺方名称（公章）：           </w:t>
      </w:r>
    </w:p>
    <w:p>
      <w:pPr>
        <w:spacing w:line="360" w:lineRule="auto"/>
        <w:ind w:firstLine="4020" w:firstLineChars="1675"/>
        <w:rPr>
          <w:rFonts w:hint="eastAsia" w:ascii="宋体" w:hAnsi="宋体"/>
          <w:color w:val="auto"/>
          <w:sz w:val="24"/>
          <w:highlight w:val="none"/>
        </w:rPr>
      </w:pPr>
      <w:r>
        <w:rPr>
          <w:rFonts w:hint="eastAsia" w:ascii="宋体" w:hAnsi="宋体"/>
          <w:color w:val="auto"/>
          <w:sz w:val="24"/>
          <w:highlight w:val="none"/>
        </w:rPr>
        <w:t>日期：          年     月     日</w:t>
      </w:r>
    </w:p>
    <w:p>
      <w:pPr>
        <w:pStyle w:val="4"/>
        <w:jc w:val="both"/>
        <w:rPr>
          <w:rFonts w:hint="eastAsia"/>
          <w:color w:val="auto"/>
          <w:highlight w:val="none"/>
        </w:rPr>
      </w:pPr>
    </w:p>
    <w:p>
      <w:pPr>
        <w:rPr>
          <w:rFonts w:hint="eastAsia"/>
          <w:color w:val="auto"/>
          <w:highlight w:val="none"/>
        </w:rPr>
      </w:pPr>
    </w:p>
    <w:p>
      <w:pPr>
        <w:pStyle w:val="4"/>
        <w:rPr>
          <w:rFonts w:hint="eastAsia"/>
          <w:color w:val="auto"/>
          <w:highlight w:val="none"/>
        </w:rPr>
      </w:pPr>
    </w:p>
    <w:p>
      <w:pPr>
        <w:rPr>
          <w:rFonts w:hint="eastAsia"/>
          <w:color w:val="auto"/>
          <w:highlight w:val="none"/>
        </w:rPr>
      </w:pPr>
    </w:p>
    <w:p>
      <w:pPr>
        <w:pStyle w:val="4"/>
        <w:rPr>
          <w:rFonts w:hint="eastAsia"/>
          <w:color w:val="auto"/>
          <w:highlight w:val="none"/>
        </w:rPr>
      </w:pPr>
    </w:p>
    <w:p>
      <w:pPr>
        <w:rPr>
          <w:rFonts w:hint="eastAsia"/>
          <w:color w:val="auto"/>
          <w:highlight w:val="none"/>
        </w:rPr>
      </w:pPr>
    </w:p>
    <w:p>
      <w:pPr>
        <w:spacing w:line="360" w:lineRule="auto"/>
        <w:jc w:val="center"/>
        <w:outlineLvl w:val="1"/>
        <w:rPr>
          <w:rFonts w:hint="eastAsia" w:ascii="Arial" w:hAnsi="Arial" w:eastAsia="黑体" w:cs="Times New Roman"/>
          <w:b/>
          <w:bCs/>
          <w:color w:val="auto"/>
          <w:kern w:val="0"/>
          <w:sz w:val="30"/>
          <w:szCs w:val="32"/>
          <w:highlight w:val="none"/>
          <w:lang w:val="en-US" w:eastAsia="zh-CN" w:bidi="ar-SA"/>
        </w:rPr>
      </w:pPr>
      <w:bookmarkStart w:id="511" w:name="_Toc19461"/>
      <w:bookmarkStart w:id="512" w:name="_Toc476758985"/>
      <w:bookmarkStart w:id="513" w:name="_Toc4409"/>
      <w:r>
        <w:rPr>
          <w:rFonts w:hint="eastAsia" w:ascii="Arial" w:hAnsi="Arial" w:eastAsia="黑体" w:cs="Times New Roman"/>
          <w:b/>
          <w:bCs/>
          <w:color w:val="auto"/>
          <w:kern w:val="0"/>
          <w:sz w:val="30"/>
          <w:szCs w:val="32"/>
          <w:highlight w:val="none"/>
          <w:lang w:val="en-US" w:eastAsia="zh-CN" w:bidi="ar-SA"/>
        </w:rPr>
        <w:t>十三、商务证明材料（格式自行设计）</w:t>
      </w:r>
      <w:bookmarkEnd w:id="511"/>
      <w:bookmarkEnd w:id="512"/>
      <w:bookmarkEnd w:id="513"/>
    </w:p>
    <w:p>
      <w:pPr>
        <w:spacing w:line="360" w:lineRule="auto"/>
        <w:ind w:firstLine="1320" w:firstLineChars="550"/>
        <w:rPr>
          <w:rFonts w:hint="default" w:ascii="方正大标宋_GBK" w:hAnsi="方正大标宋_GBK" w:eastAsia="方正大标宋_GBK" w:cs="方正大标宋_GBK"/>
          <w:b/>
          <w:i w:val="0"/>
          <w:color w:val="auto"/>
          <w:kern w:val="0"/>
          <w:sz w:val="32"/>
          <w:szCs w:val="32"/>
          <w:highlight w:val="none"/>
          <w:u w:val="none"/>
          <w:lang w:val="en-US" w:eastAsia="zh-CN" w:bidi="ar"/>
        </w:rPr>
        <w:sectPr>
          <w:headerReference r:id="rId10" w:type="first"/>
          <w:footerReference r:id="rId12" w:type="first"/>
          <w:headerReference r:id="rId9" w:type="default"/>
          <w:footerReference r:id="rId11" w:type="default"/>
          <w:pgSz w:w="11906" w:h="16838"/>
          <w:pgMar w:top="1440" w:right="1803" w:bottom="1440" w:left="1803" w:header="851" w:footer="992" w:gutter="0"/>
          <w:pgNumType w:fmt="numberInDash"/>
          <w:cols w:space="720" w:num="1"/>
          <w:titlePg/>
          <w:rtlGutter w:val="0"/>
          <w:docGrid w:type="lines" w:linePitch="319" w:charSpace="0"/>
        </w:sectPr>
      </w:pPr>
      <w:r>
        <w:rPr>
          <w:rFonts w:hint="eastAsia" w:ascii="宋体" w:hAnsi="宋体"/>
          <w:color w:val="auto"/>
          <w:kern w:val="0"/>
          <w:sz w:val="24"/>
          <w:highlight w:val="none"/>
        </w:rPr>
        <w:t>根据资格性、符合性、综合评分表需提供的证明材料。</w:t>
      </w:r>
      <w:bookmarkStart w:id="514" w:name="_Toc11445"/>
      <w:bookmarkStart w:id="515" w:name="_Toc476758991"/>
    </w:p>
    <w:p>
      <w:pPr>
        <w:widowControl/>
        <w:spacing w:line="360" w:lineRule="auto"/>
        <w:jc w:val="center"/>
        <w:outlineLvl w:val="0"/>
        <w:rPr>
          <w:rFonts w:hint="eastAsia" w:ascii="Arial" w:hAnsi="Arial" w:eastAsia="黑体" w:cs="Times New Roman"/>
          <w:b/>
          <w:bCs/>
          <w:color w:val="auto"/>
          <w:kern w:val="0"/>
          <w:sz w:val="30"/>
          <w:szCs w:val="32"/>
          <w:highlight w:val="none"/>
          <w:lang w:val="en-US" w:eastAsia="zh-CN" w:bidi="ar-SA"/>
        </w:rPr>
      </w:pPr>
      <w:bookmarkStart w:id="516" w:name="_Toc10886"/>
      <w:bookmarkStart w:id="517" w:name="_Toc4172"/>
      <w:r>
        <w:rPr>
          <w:rFonts w:hint="eastAsia" w:ascii="Arial" w:hAnsi="Arial" w:eastAsia="黑体" w:cs="Times New Roman"/>
          <w:b/>
          <w:bCs/>
          <w:color w:val="auto"/>
          <w:kern w:val="0"/>
          <w:sz w:val="30"/>
          <w:szCs w:val="32"/>
          <w:highlight w:val="none"/>
          <w:lang w:val="en-US" w:eastAsia="zh-CN" w:bidi="ar-SA"/>
        </w:rPr>
        <w:t>十四、</w:t>
      </w:r>
      <w:bookmarkEnd w:id="516"/>
      <w:bookmarkEnd w:id="517"/>
      <w:r>
        <w:rPr>
          <w:rFonts w:hint="eastAsia" w:ascii="Arial" w:hAnsi="Arial" w:eastAsia="黑体" w:cs="Times New Roman"/>
          <w:b/>
          <w:bCs/>
          <w:color w:val="auto"/>
          <w:kern w:val="0"/>
          <w:sz w:val="30"/>
          <w:szCs w:val="32"/>
          <w:highlight w:val="none"/>
          <w:lang w:val="en-US" w:eastAsia="zh-CN" w:bidi="ar-SA"/>
        </w:rPr>
        <w:t>施工安全保证体系及措施方案、运输及建筑垃圾处理方案</w:t>
      </w:r>
    </w:p>
    <w:p>
      <w:pPr>
        <w:pStyle w:val="6"/>
        <w:jc w:val="center"/>
        <w:rPr>
          <w:color w:val="auto"/>
          <w:highlight w:val="none"/>
        </w:rPr>
      </w:pPr>
      <w:r>
        <w:rPr>
          <w:rFonts w:hint="eastAsia"/>
          <w:color w:val="auto"/>
          <w:highlight w:val="none"/>
        </w:rPr>
        <w:t>（格式自拟）</w:t>
      </w:r>
    </w:p>
    <w:p>
      <w:pPr>
        <w:widowControl/>
        <w:spacing w:line="360" w:lineRule="auto"/>
        <w:jc w:val="center"/>
        <w:outlineLvl w:val="0"/>
        <w:rPr>
          <w:rFonts w:ascii="宋体" w:hAnsi="宋体" w:cs="宋体"/>
          <w:b/>
          <w:bCs/>
          <w:color w:val="auto"/>
          <w:kern w:val="0"/>
          <w:szCs w:val="21"/>
          <w:highlight w:val="none"/>
        </w:rPr>
      </w:pPr>
    </w:p>
    <w:p>
      <w:pPr>
        <w:widowControl/>
        <w:spacing w:line="360" w:lineRule="auto"/>
        <w:jc w:val="both"/>
        <w:outlineLvl w:val="0"/>
        <w:rPr>
          <w:rFonts w:hint="eastAsia" w:ascii="Arial" w:hAnsi="Arial" w:eastAsia="黑体" w:cs="Times New Roman"/>
          <w:b/>
          <w:bCs/>
          <w:color w:val="auto"/>
          <w:kern w:val="0"/>
          <w:sz w:val="30"/>
          <w:szCs w:val="32"/>
          <w:highlight w:val="none"/>
          <w:lang w:val="en-US" w:eastAsia="zh-CN" w:bidi="ar-SA"/>
        </w:rPr>
      </w:pPr>
    </w:p>
    <w:p>
      <w:pPr>
        <w:widowControl/>
        <w:spacing w:line="360" w:lineRule="auto"/>
        <w:jc w:val="center"/>
        <w:outlineLvl w:val="0"/>
        <w:rPr>
          <w:rFonts w:hint="eastAsia" w:ascii="Arial" w:hAnsi="Arial" w:eastAsia="黑体" w:cs="Times New Roman"/>
          <w:b/>
          <w:bCs/>
          <w:color w:val="auto"/>
          <w:kern w:val="0"/>
          <w:sz w:val="30"/>
          <w:szCs w:val="32"/>
          <w:highlight w:val="none"/>
          <w:lang w:val="en-US" w:eastAsia="zh-CN" w:bidi="ar-SA"/>
        </w:rPr>
      </w:pPr>
    </w:p>
    <w:p>
      <w:pPr>
        <w:widowControl/>
        <w:spacing w:line="360" w:lineRule="auto"/>
        <w:jc w:val="center"/>
        <w:outlineLvl w:val="0"/>
        <w:rPr>
          <w:rFonts w:hint="eastAsia" w:ascii="Arial" w:hAnsi="Arial" w:eastAsia="黑体" w:cs="Times New Roman"/>
          <w:b/>
          <w:bCs/>
          <w:color w:val="auto"/>
          <w:kern w:val="0"/>
          <w:sz w:val="30"/>
          <w:szCs w:val="32"/>
          <w:highlight w:val="none"/>
          <w:lang w:val="en-US" w:eastAsia="zh-CN" w:bidi="ar-SA"/>
        </w:rPr>
      </w:pPr>
    </w:p>
    <w:p>
      <w:pPr>
        <w:widowControl/>
        <w:spacing w:line="360" w:lineRule="auto"/>
        <w:jc w:val="center"/>
        <w:outlineLvl w:val="0"/>
        <w:rPr>
          <w:rFonts w:hint="eastAsia" w:ascii="Arial" w:hAnsi="Arial" w:eastAsia="黑体" w:cs="Times New Roman"/>
          <w:b/>
          <w:bCs/>
          <w:color w:val="auto"/>
          <w:kern w:val="0"/>
          <w:sz w:val="30"/>
          <w:szCs w:val="32"/>
          <w:highlight w:val="none"/>
          <w:lang w:val="en-US" w:eastAsia="zh-CN" w:bidi="ar-SA"/>
        </w:rPr>
      </w:pPr>
    </w:p>
    <w:p>
      <w:pPr>
        <w:widowControl/>
        <w:spacing w:line="360" w:lineRule="auto"/>
        <w:jc w:val="center"/>
        <w:outlineLvl w:val="0"/>
        <w:rPr>
          <w:rFonts w:hint="eastAsia" w:ascii="Arial" w:hAnsi="Arial" w:eastAsia="黑体" w:cs="Times New Roman"/>
          <w:b/>
          <w:bCs/>
          <w:color w:val="auto"/>
          <w:kern w:val="0"/>
          <w:sz w:val="30"/>
          <w:szCs w:val="32"/>
          <w:highlight w:val="none"/>
          <w:lang w:val="en-US" w:eastAsia="zh-CN" w:bidi="ar-SA"/>
        </w:rPr>
      </w:pPr>
    </w:p>
    <w:p>
      <w:pPr>
        <w:widowControl/>
        <w:spacing w:line="360" w:lineRule="auto"/>
        <w:jc w:val="center"/>
        <w:outlineLvl w:val="0"/>
        <w:rPr>
          <w:rFonts w:hint="eastAsia" w:ascii="Arial" w:hAnsi="Arial" w:eastAsia="黑体" w:cs="Times New Roman"/>
          <w:b/>
          <w:bCs/>
          <w:color w:val="auto"/>
          <w:kern w:val="0"/>
          <w:sz w:val="30"/>
          <w:szCs w:val="32"/>
          <w:highlight w:val="none"/>
          <w:lang w:val="en-US" w:eastAsia="zh-CN" w:bidi="ar-SA"/>
        </w:rPr>
      </w:pPr>
      <w:bookmarkStart w:id="518" w:name="_Toc21448"/>
      <w:r>
        <w:rPr>
          <w:rFonts w:hint="eastAsia" w:ascii="Arial" w:hAnsi="Arial" w:eastAsia="黑体" w:cs="Times New Roman"/>
          <w:b/>
          <w:bCs/>
          <w:color w:val="auto"/>
          <w:kern w:val="0"/>
          <w:sz w:val="30"/>
          <w:szCs w:val="32"/>
          <w:highlight w:val="none"/>
          <w:lang w:val="en-US" w:eastAsia="zh-CN" w:bidi="ar-SA"/>
        </w:rPr>
        <w:t>十五、其它技术证明材料</w:t>
      </w:r>
      <w:bookmarkEnd w:id="514"/>
      <w:bookmarkEnd w:id="518"/>
    </w:p>
    <w:p>
      <w:pPr>
        <w:ind w:firstLine="630" w:firstLineChars="300"/>
        <w:rPr>
          <w:rFonts w:ascii="宋体" w:hAnsi="宋体"/>
          <w:color w:val="auto"/>
          <w:sz w:val="21"/>
          <w:szCs w:val="21"/>
          <w:highlight w:val="none"/>
        </w:rPr>
      </w:pPr>
      <w:r>
        <w:rPr>
          <w:rFonts w:hint="eastAsia" w:ascii="宋体" w:hAnsi="宋体"/>
          <w:color w:val="auto"/>
          <w:sz w:val="21"/>
          <w:szCs w:val="21"/>
          <w:highlight w:val="none"/>
        </w:rPr>
        <w:t>投标人根据评标办法认为对其参与评审有利的其它证明材料</w:t>
      </w:r>
      <w:r>
        <w:rPr>
          <w:rFonts w:hint="eastAsia" w:ascii="宋体" w:hAnsi="宋体"/>
          <w:color w:val="auto"/>
          <w:sz w:val="21"/>
          <w:szCs w:val="21"/>
          <w:highlight w:val="none"/>
          <w:lang w:eastAsia="zh-CN"/>
        </w:rPr>
        <w:t>（格式自拟）</w:t>
      </w:r>
      <w:r>
        <w:rPr>
          <w:rFonts w:hint="eastAsia" w:ascii="宋体" w:hAnsi="宋体"/>
          <w:color w:val="auto"/>
          <w:sz w:val="21"/>
          <w:szCs w:val="21"/>
          <w:highlight w:val="none"/>
        </w:rPr>
        <w:t>。</w:t>
      </w:r>
    </w:p>
    <w:p>
      <w:pPr>
        <w:pStyle w:val="4"/>
        <w:rPr>
          <w:rFonts w:hint="eastAsia"/>
          <w:color w:val="auto"/>
          <w:highlight w:val="none"/>
          <w:lang w:eastAsia="zh-CN"/>
        </w:rPr>
      </w:pPr>
    </w:p>
    <w:p>
      <w:pPr>
        <w:rPr>
          <w:rFonts w:hint="eastAsia"/>
          <w:color w:val="auto"/>
          <w:highlight w:val="none"/>
          <w:lang w:eastAsia="zh-CN"/>
        </w:rPr>
      </w:pPr>
    </w:p>
    <w:p>
      <w:pPr>
        <w:pStyle w:val="6"/>
        <w:rPr>
          <w:rFonts w:hint="eastAsia"/>
          <w:color w:val="auto"/>
          <w:highlight w:val="none"/>
          <w:lang w:eastAsia="zh-CN"/>
        </w:rPr>
      </w:pPr>
    </w:p>
    <w:p>
      <w:pPr>
        <w:rPr>
          <w:rFonts w:hint="eastAsia"/>
          <w:color w:val="auto"/>
          <w:highlight w:val="none"/>
          <w:lang w:eastAsia="zh-CN"/>
        </w:rPr>
      </w:pPr>
    </w:p>
    <w:p>
      <w:pPr>
        <w:pStyle w:val="6"/>
        <w:rPr>
          <w:rFonts w:hint="eastAsia"/>
          <w:color w:val="auto"/>
          <w:highlight w:val="none"/>
          <w:lang w:eastAsia="zh-CN"/>
        </w:rPr>
      </w:pPr>
    </w:p>
    <w:p>
      <w:pPr>
        <w:rPr>
          <w:rFonts w:hint="eastAsia"/>
          <w:color w:val="auto"/>
          <w:highlight w:val="none"/>
          <w:lang w:eastAsia="zh-CN"/>
        </w:rPr>
      </w:pPr>
    </w:p>
    <w:p>
      <w:pPr>
        <w:pStyle w:val="6"/>
        <w:rPr>
          <w:rFonts w:hint="eastAsia"/>
          <w:color w:val="auto"/>
          <w:highlight w:val="none"/>
          <w:lang w:eastAsia="zh-CN"/>
        </w:rPr>
      </w:pPr>
    </w:p>
    <w:p>
      <w:pPr>
        <w:rPr>
          <w:rFonts w:hint="eastAsia"/>
          <w:color w:val="auto"/>
          <w:highlight w:val="none"/>
          <w:lang w:eastAsia="zh-CN"/>
        </w:rPr>
      </w:pPr>
    </w:p>
    <w:p>
      <w:pPr>
        <w:pStyle w:val="6"/>
        <w:rPr>
          <w:rFonts w:hint="eastAsia"/>
          <w:color w:val="auto"/>
          <w:highlight w:val="none"/>
          <w:lang w:eastAsia="zh-CN"/>
        </w:rPr>
      </w:pPr>
    </w:p>
    <w:p>
      <w:pPr>
        <w:rPr>
          <w:rFonts w:hint="eastAsia"/>
          <w:color w:val="auto"/>
          <w:highlight w:val="none"/>
          <w:lang w:eastAsia="zh-CN"/>
        </w:rPr>
      </w:pPr>
    </w:p>
    <w:p>
      <w:pPr>
        <w:pStyle w:val="6"/>
        <w:rPr>
          <w:rFonts w:hint="eastAsia"/>
          <w:color w:val="auto"/>
          <w:highlight w:val="none"/>
          <w:lang w:eastAsia="zh-CN"/>
        </w:rPr>
      </w:pPr>
    </w:p>
    <w:p>
      <w:pPr>
        <w:rPr>
          <w:rFonts w:hint="eastAsia"/>
          <w:color w:val="auto"/>
          <w:highlight w:val="none"/>
          <w:lang w:eastAsia="zh-CN"/>
        </w:rPr>
      </w:pPr>
    </w:p>
    <w:p>
      <w:pPr>
        <w:pStyle w:val="6"/>
        <w:rPr>
          <w:rFonts w:hint="eastAsia"/>
          <w:color w:val="auto"/>
          <w:highlight w:val="none"/>
          <w:lang w:eastAsia="zh-CN"/>
        </w:rPr>
      </w:pPr>
    </w:p>
    <w:p>
      <w:pPr>
        <w:rPr>
          <w:rFonts w:hint="eastAsia"/>
          <w:color w:val="auto"/>
          <w:highlight w:val="none"/>
          <w:lang w:eastAsia="zh-CN"/>
        </w:rPr>
      </w:pPr>
    </w:p>
    <w:p>
      <w:pPr>
        <w:pStyle w:val="4"/>
        <w:rPr>
          <w:rFonts w:hint="eastAsia"/>
          <w:color w:val="auto"/>
          <w:highlight w:val="none"/>
          <w:lang w:eastAsia="zh-CN"/>
        </w:rPr>
      </w:pPr>
    </w:p>
    <w:p>
      <w:pPr>
        <w:rPr>
          <w:rFonts w:hint="eastAsia"/>
          <w:color w:val="auto"/>
          <w:highlight w:val="none"/>
          <w:lang w:eastAsia="zh-CN"/>
        </w:rPr>
      </w:pPr>
    </w:p>
    <w:p>
      <w:pPr>
        <w:pStyle w:val="6"/>
        <w:rPr>
          <w:rFonts w:hint="eastAsia"/>
          <w:color w:val="auto"/>
          <w:highlight w:val="none"/>
          <w:lang w:eastAsia="zh-CN"/>
        </w:rPr>
      </w:pPr>
    </w:p>
    <w:p>
      <w:pPr>
        <w:rPr>
          <w:rFonts w:hint="eastAsia"/>
          <w:color w:val="auto"/>
          <w:highlight w:val="none"/>
          <w:lang w:eastAsia="zh-CN"/>
        </w:rPr>
      </w:pPr>
    </w:p>
    <w:p>
      <w:pPr>
        <w:pStyle w:val="6"/>
        <w:rPr>
          <w:rFonts w:hint="eastAsia"/>
          <w:color w:val="auto"/>
          <w:highlight w:val="none"/>
          <w:lang w:eastAsia="zh-CN"/>
        </w:rPr>
      </w:pPr>
    </w:p>
    <w:p>
      <w:pPr>
        <w:rPr>
          <w:rFonts w:hint="eastAsia"/>
          <w:color w:val="auto"/>
          <w:highlight w:val="none"/>
          <w:lang w:eastAsia="zh-CN"/>
        </w:rPr>
      </w:pPr>
    </w:p>
    <w:p>
      <w:pPr>
        <w:pStyle w:val="6"/>
        <w:rPr>
          <w:rFonts w:hint="eastAsia"/>
          <w:color w:val="auto"/>
          <w:highlight w:val="none"/>
          <w:lang w:eastAsia="zh-CN"/>
        </w:rPr>
      </w:pPr>
    </w:p>
    <w:p>
      <w:pPr>
        <w:rPr>
          <w:rFonts w:hint="eastAsia"/>
          <w:color w:val="auto"/>
          <w:highlight w:val="none"/>
          <w:lang w:eastAsia="zh-CN"/>
        </w:rPr>
      </w:pPr>
    </w:p>
    <w:p>
      <w:pPr>
        <w:pStyle w:val="6"/>
        <w:rPr>
          <w:rFonts w:hint="eastAsia"/>
          <w:color w:val="auto"/>
          <w:highlight w:val="none"/>
          <w:lang w:eastAsia="zh-CN"/>
        </w:rPr>
      </w:pPr>
    </w:p>
    <w:p>
      <w:pPr>
        <w:rPr>
          <w:rFonts w:hint="eastAsia"/>
          <w:color w:val="auto"/>
          <w:highlight w:val="none"/>
          <w:lang w:eastAsia="zh-CN"/>
        </w:rPr>
      </w:pPr>
    </w:p>
    <w:p>
      <w:pPr>
        <w:pStyle w:val="4"/>
        <w:rPr>
          <w:rFonts w:hint="eastAsia"/>
          <w:color w:val="auto"/>
          <w:highlight w:val="none"/>
          <w:lang w:eastAsia="zh-CN"/>
        </w:rPr>
      </w:pPr>
    </w:p>
    <w:p>
      <w:pPr>
        <w:rPr>
          <w:rFonts w:hint="eastAsia"/>
          <w:color w:val="auto"/>
          <w:highlight w:val="none"/>
          <w:lang w:eastAsia="zh-CN"/>
        </w:rPr>
      </w:pPr>
    </w:p>
    <w:p>
      <w:pPr>
        <w:pStyle w:val="6"/>
        <w:rPr>
          <w:rFonts w:hint="eastAsia"/>
          <w:color w:val="auto"/>
          <w:highlight w:val="none"/>
          <w:lang w:eastAsia="zh-CN"/>
        </w:rPr>
      </w:pPr>
    </w:p>
    <w:p>
      <w:pPr>
        <w:rPr>
          <w:rFonts w:hint="eastAsia"/>
          <w:color w:val="auto"/>
          <w:highlight w:val="none"/>
          <w:lang w:eastAsia="zh-CN"/>
        </w:rPr>
      </w:pPr>
    </w:p>
    <w:bookmarkEnd w:id="515"/>
    <w:p>
      <w:pPr>
        <w:widowControl/>
        <w:spacing w:line="360" w:lineRule="auto"/>
        <w:jc w:val="center"/>
        <w:outlineLvl w:val="0"/>
        <w:rPr>
          <w:rFonts w:hint="eastAsia" w:ascii="Arial" w:hAnsi="Arial" w:eastAsia="黑体" w:cs="Times New Roman"/>
          <w:b/>
          <w:bCs/>
          <w:color w:val="auto"/>
          <w:kern w:val="0"/>
          <w:sz w:val="30"/>
          <w:szCs w:val="32"/>
          <w:highlight w:val="none"/>
          <w:lang w:val="en-US" w:eastAsia="zh-CN" w:bidi="ar-SA"/>
        </w:rPr>
      </w:pPr>
      <w:bookmarkStart w:id="519" w:name="_Toc13751"/>
      <w:bookmarkStart w:id="520" w:name="_Toc11178"/>
      <w:r>
        <w:rPr>
          <w:rFonts w:hint="eastAsia" w:ascii="Arial" w:hAnsi="Arial" w:eastAsia="黑体" w:cs="Times New Roman"/>
          <w:b/>
          <w:bCs/>
          <w:color w:val="auto"/>
          <w:kern w:val="0"/>
          <w:sz w:val="30"/>
          <w:szCs w:val="32"/>
          <w:highlight w:val="none"/>
          <w:lang w:val="en-US" w:eastAsia="zh-CN" w:bidi="ar-SA"/>
        </w:rPr>
        <w:t>十六、声明函</w:t>
      </w:r>
      <w:bookmarkEnd w:id="519"/>
      <w:bookmarkEnd w:id="520"/>
    </w:p>
    <w:p>
      <w:pPr>
        <w:pStyle w:val="12"/>
        <w:spacing w:line="375" w:lineRule="atLeast"/>
        <w:jc w:val="center"/>
        <w:outlineLvl w:val="1"/>
        <w:rPr>
          <w:color w:val="auto"/>
          <w:highlight w:val="none"/>
        </w:rPr>
      </w:pPr>
      <w:bookmarkStart w:id="521" w:name="_Toc11824"/>
      <w:bookmarkStart w:id="522" w:name="_Toc8236"/>
      <w:bookmarkStart w:id="523" w:name="_Toc20990"/>
      <w:bookmarkStart w:id="524" w:name="_Toc28856"/>
      <w:r>
        <w:rPr>
          <w:rFonts w:hint="eastAsia"/>
          <w:color w:val="auto"/>
          <w:highlight w:val="none"/>
        </w:rPr>
        <w:t>（非中小微企业不提供）</w:t>
      </w:r>
      <w:bookmarkEnd w:id="521"/>
      <w:bookmarkEnd w:id="522"/>
      <w:bookmarkEnd w:id="523"/>
      <w:bookmarkEnd w:id="524"/>
    </w:p>
    <w:p>
      <w:pPr>
        <w:pStyle w:val="12"/>
        <w:spacing w:line="375" w:lineRule="atLeast"/>
        <w:jc w:val="center"/>
        <w:outlineLvl w:val="0"/>
        <w:rPr>
          <w:rFonts w:hint="eastAsia" w:ascii="宋体" w:hAnsi="宋体" w:eastAsia="宋体" w:cs="宋体"/>
          <w:color w:val="auto"/>
          <w:highlight w:val="none"/>
        </w:rPr>
      </w:pPr>
      <w:bookmarkStart w:id="525" w:name="_Toc28857"/>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中小企业声明函（工程、服务）</w:t>
      </w:r>
      <w:bookmarkEnd w:id="525"/>
    </w:p>
    <w:p>
      <w:pPr>
        <w:pStyle w:val="6"/>
        <w:spacing w:line="304" w:lineRule="auto"/>
        <w:ind w:right="415" w:firstLine="412"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本公司</w:t>
      </w:r>
      <w:r>
        <w:rPr>
          <w:rFonts w:hint="eastAsia" w:ascii="宋体" w:hAnsi="宋体" w:eastAsia="宋体" w:cs="宋体"/>
          <w:color w:val="auto"/>
          <w:sz w:val="21"/>
          <w:szCs w:val="21"/>
          <w:highlight w:val="none"/>
        </w:rPr>
        <w:t>（联合体</w:t>
      </w:r>
      <w:r>
        <w:rPr>
          <w:rFonts w:hint="eastAsia" w:ascii="宋体" w:hAnsi="宋体" w:eastAsia="宋体" w:cs="宋体"/>
          <w:color w:val="auto"/>
          <w:spacing w:val="-5"/>
          <w:sz w:val="21"/>
          <w:szCs w:val="21"/>
          <w:highlight w:val="none"/>
        </w:rPr>
        <w:t>）</w:t>
      </w:r>
      <w:r>
        <w:rPr>
          <w:rFonts w:hint="eastAsia" w:ascii="宋体" w:hAnsi="宋体" w:eastAsia="宋体" w:cs="宋体"/>
          <w:color w:val="auto"/>
          <w:spacing w:val="-2"/>
          <w:sz w:val="21"/>
          <w:szCs w:val="21"/>
          <w:highlight w:val="none"/>
        </w:rPr>
        <w:t>郑重声明，根据《政府采购促进中小</w:t>
      </w:r>
      <w:r>
        <w:rPr>
          <w:rFonts w:hint="eastAsia" w:ascii="宋体" w:hAnsi="宋体" w:eastAsia="宋体" w:cs="宋体"/>
          <w:color w:val="auto"/>
          <w:spacing w:val="-18"/>
          <w:sz w:val="21"/>
          <w:szCs w:val="21"/>
          <w:highlight w:val="none"/>
        </w:rPr>
        <w:t>企业发展管理</w:t>
      </w:r>
      <w:r>
        <w:rPr>
          <w:rFonts w:hint="eastAsia" w:ascii="宋体" w:hAnsi="宋体" w:eastAsia="宋体" w:cs="宋体"/>
          <w:color w:val="auto"/>
          <w:sz w:val="21"/>
          <w:szCs w:val="21"/>
          <w:highlight w:val="none"/>
        </w:rPr>
        <w:t>办法》（财库﹝2020﹞46 号）的规定，本公司（联合体）参加</w:t>
      </w:r>
      <w:r>
        <w:rPr>
          <w:rFonts w:hint="eastAsia" w:ascii="宋体" w:hAnsi="宋体" w:eastAsia="宋体" w:cs="宋体"/>
          <w:color w:val="auto"/>
          <w:sz w:val="21"/>
          <w:szCs w:val="21"/>
          <w:highlight w:val="none"/>
          <w:u w:val="single"/>
        </w:rPr>
        <w:t>（单位名称）</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采购活动，工程的施工单位全部为符合政策要求的中小企业（或者：服务全部由符合政策要求的中小企业承接）。相关企业（含联合 体中的中小企业、签订分包意向协议的中小企业）的具体情况如下：</w:t>
      </w:r>
    </w:p>
    <w:p>
      <w:pPr>
        <w:pStyle w:val="6"/>
        <w:spacing w:line="304" w:lineRule="auto"/>
        <w:ind w:right="415"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w:t>
      </w:r>
    </w:p>
    <w:p>
      <w:pPr>
        <w:pStyle w:val="6"/>
        <w:spacing w:line="304" w:lineRule="auto"/>
        <w:ind w:right="41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承建（承接）企业为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pPr>
        <w:pStyle w:val="6"/>
        <w:spacing w:line="304" w:lineRule="auto"/>
        <w:ind w:right="415"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           承建（承接）企业为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pPr>
        <w:pStyle w:val="6"/>
        <w:spacing w:before="11"/>
        <w:ind w:left="8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pPr>
        <w:pStyle w:val="6"/>
        <w:spacing w:before="108" w:line="304" w:lineRule="auto"/>
        <w:ind w:right="417" w:firstLine="645"/>
        <w:jc w:val="both"/>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以上企业，不属于大企业的分支机构，不存在控股股东</w:t>
      </w:r>
      <w:r>
        <w:rPr>
          <w:rFonts w:hint="eastAsia" w:ascii="宋体" w:hAnsi="宋体" w:eastAsia="宋体" w:cs="宋体"/>
          <w:color w:val="auto"/>
          <w:spacing w:val="-5"/>
          <w:sz w:val="21"/>
          <w:szCs w:val="21"/>
          <w:highlight w:val="none"/>
        </w:rPr>
        <w:t>为大企业的情形，也不存在与大企业的负责人为同一人的情形。</w:t>
      </w:r>
    </w:p>
    <w:p>
      <w:pPr>
        <w:pStyle w:val="6"/>
        <w:spacing w:line="304" w:lineRule="auto"/>
        <w:ind w:right="375" w:firstLine="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pPr>
        <w:pStyle w:val="6"/>
        <w:spacing w:before="29" w:line="316" w:lineRule="auto"/>
        <w:ind w:left="4060" w:right="2166"/>
        <w:rPr>
          <w:rFonts w:hint="eastAsia" w:ascii="宋体" w:hAnsi="宋体" w:eastAsia="宋体" w:cs="宋体"/>
          <w:color w:val="auto"/>
          <w:spacing w:val="-16"/>
          <w:w w:val="99"/>
          <w:sz w:val="21"/>
          <w:szCs w:val="21"/>
          <w:highlight w:val="none"/>
        </w:rPr>
      </w:pPr>
      <w:r>
        <w:rPr>
          <w:rFonts w:hint="eastAsia" w:ascii="宋体" w:hAnsi="宋体" w:eastAsia="宋体" w:cs="宋体"/>
          <w:color w:val="auto"/>
          <w:w w:val="99"/>
          <w:sz w:val="21"/>
          <w:szCs w:val="21"/>
          <w:highlight w:val="none"/>
        </w:rPr>
        <w:t>企业名称</w:t>
      </w:r>
      <w:r>
        <w:rPr>
          <w:rFonts w:hint="eastAsia" w:ascii="宋体" w:hAnsi="宋体" w:eastAsia="宋体" w:cs="宋体"/>
          <w:color w:val="auto"/>
          <w:spacing w:val="2"/>
          <w:w w:val="99"/>
          <w:sz w:val="21"/>
          <w:szCs w:val="21"/>
          <w:highlight w:val="none"/>
        </w:rPr>
        <w:t>（</w:t>
      </w:r>
      <w:r>
        <w:rPr>
          <w:rFonts w:hint="eastAsia" w:ascii="宋体" w:hAnsi="宋体" w:eastAsia="宋体" w:cs="宋体"/>
          <w:color w:val="auto"/>
          <w:w w:val="99"/>
          <w:sz w:val="21"/>
          <w:szCs w:val="21"/>
          <w:highlight w:val="none"/>
        </w:rPr>
        <w:t>盖章</w:t>
      </w:r>
      <w:r>
        <w:rPr>
          <w:rFonts w:hint="eastAsia" w:ascii="宋体" w:hAnsi="宋体" w:eastAsia="宋体" w:cs="宋体"/>
          <w:color w:val="auto"/>
          <w:spacing w:val="-167"/>
          <w:w w:val="99"/>
          <w:sz w:val="21"/>
          <w:szCs w:val="21"/>
          <w:highlight w:val="none"/>
        </w:rPr>
        <w:t>）</w:t>
      </w:r>
      <w:r>
        <w:rPr>
          <w:rFonts w:hint="eastAsia" w:ascii="宋体" w:hAnsi="宋体" w:eastAsia="宋体" w:cs="宋体"/>
          <w:color w:val="auto"/>
          <w:spacing w:val="-16"/>
          <w:w w:val="99"/>
          <w:sz w:val="21"/>
          <w:szCs w:val="21"/>
          <w:highlight w:val="none"/>
        </w:rPr>
        <w:t>：</w:t>
      </w:r>
    </w:p>
    <w:p>
      <w:pPr>
        <w:pStyle w:val="6"/>
        <w:spacing w:before="29" w:line="316" w:lineRule="auto"/>
        <w:ind w:left="4060" w:right="2166"/>
        <w:rPr>
          <w:rFonts w:hint="eastAsia" w:ascii="宋体" w:hAnsi="宋体" w:eastAsia="宋体" w:cs="宋体"/>
          <w:color w:val="auto"/>
          <w:sz w:val="21"/>
          <w:szCs w:val="21"/>
          <w:highlight w:val="none"/>
        </w:rPr>
        <w:sectPr>
          <w:footerReference r:id="rId13" w:type="default"/>
          <w:pgSz w:w="11910" w:h="16840"/>
          <w:pgMar w:top="1440" w:right="1380" w:bottom="1780" w:left="1580" w:header="0" w:footer="1595" w:gutter="0"/>
          <w:pgNumType w:fmt="decimal"/>
          <w:cols w:space="720" w:num="1"/>
        </w:sectPr>
      </w:pPr>
      <w:r>
        <w:rPr>
          <w:rFonts w:hint="eastAsia" w:ascii="宋体" w:hAnsi="宋体" w:eastAsia="宋体" w:cs="宋体"/>
          <w:color w:val="auto"/>
          <w:spacing w:val="24"/>
          <w:sz w:val="21"/>
          <w:szCs w:val="21"/>
          <w:highlight w:val="none"/>
        </w:rPr>
        <w:t>日期：</w:t>
      </w:r>
    </w:p>
    <w:p>
      <w:pPr>
        <w:pStyle w:val="12"/>
        <w:spacing w:line="375" w:lineRule="atLeast"/>
        <w:jc w:val="center"/>
        <w:outlineLvl w:val="0"/>
        <w:rPr>
          <w:color w:val="auto"/>
          <w:highlight w:val="none"/>
        </w:rPr>
      </w:pPr>
      <w:bookmarkStart w:id="526" w:name="_Toc17045"/>
      <w:bookmarkStart w:id="527" w:name="_Toc11609"/>
      <w:bookmarkStart w:id="528" w:name="_Toc515520688"/>
      <w:bookmarkStart w:id="529" w:name="_Toc4803"/>
      <w:bookmarkStart w:id="530" w:name="_Toc20106"/>
      <w:bookmarkStart w:id="531" w:name="_Toc17204505"/>
      <w:r>
        <w:rPr>
          <w:rFonts w:hint="eastAsia"/>
          <w:color w:val="auto"/>
          <w:highlight w:val="none"/>
        </w:rPr>
        <w:t>（二）残疾人福利性单位声明函</w:t>
      </w:r>
      <w:bookmarkEnd w:id="526"/>
      <w:bookmarkEnd w:id="527"/>
      <w:bookmarkEnd w:id="528"/>
      <w:bookmarkEnd w:id="529"/>
      <w:bookmarkEnd w:id="530"/>
      <w:bookmarkEnd w:id="531"/>
    </w:p>
    <w:p>
      <w:pPr>
        <w:spacing w:line="588" w:lineRule="exact"/>
        <w:ind w:firstLine="444" w:firstLineChars="200"/>
        <w:rPr>
          <w:rFonts w:ascii="宋体" w:hAnsi="宋体"/>
          <w:color w:val="auto"/>
          <w:spacing w:val="6"/>
          <w:szCs w:val="21"/>
          <w:highlight w:val="none"/>
        </w:rPr>
      </w:pPr>
      <w:r>
        <w:rPr>
          <w:rFonts w:hint="eastAsia" w:ascii="宋体" w:hAnsi="宋体"/>
          <w:color w:val="auto"/>
          <w:spacing w:val="6"/>
          <w:szCs w:val="21"/>
          <w:highlight w:val="none"/>
        </w:rPr>
        <w:t>本单位郑重声明，根据《财政部民政部中国残疾人联合会关于促进残疾人就业政府采购政策的通知》（财库</w:t>
      </w:r>
      <w:r>
        <w:rPr>
          <w:rFonts w:hint="eastAsia" w:ascii="宋体" w:hAnsi="宋体"/>
          <w:color w:val="auto"/>
          <w:szCs w:val="21"/>
          <w:highlight w:val="none"/>
        </w:rPr>
        <w:t>〔2017〕 141</w:t>
      </w:r>
      <w:r>
        <w:rPr>
          <w:rFonts w:hint="eastAsia" w:ascii="宋体" w:hAnsi="宋体"/>
          <w:color w:val="auto"/>
          <w:spacing w:val="6"/>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44" w:firstLineChars="200"/>
        <w:rPr>
          <w:rFonts w:ascii="宋体" w:hAnsi="宋体"/>
          <w:color w:val="auto"/>
          <w:spacing w:val="6"/>
          <w:szCs w:val="21"/>
          <w:highlight w:val="none"/>
        </w:rPr>
      </w:pPr>
      <w:r>
        <w:rPr>
          <w:rFonts w:hint="eastAsia" w:ascii="宋体" w:hAnsi="宋体"/>
          <w:color w:val="auto"/>
          <w:spacing w:val="6"/>
          <w:szCs w:val="21"/>
          <w:highlight w:val="none"/>
        </w:rPr>
        <w:t>本单位对上述声明的真实性负责。如有虚假，将依法承担相应责任。</w:t>
      </w:r>
    </w:p>
    <w:p>
      <w:pPr>
        <w:spacing w:line="588" w:lineRule="exact"/>
        <w:ind w:firstLine="624" w:firstLineChars="200"/>
        <w:rPr>
          <w:rFonts w:ascii="仿宋_GB2312" w:eastAsia="仿宋_GB2312"/>
          <w:color w:val="auto"/>
          <w:spacing w:val="6"/>
          <w:sz w:val="30"/>
          <w:szCs w:val="30"/>
          <w:highlight w:val="none"/>
        </w:rPr>
      </w:pPr>
    </w:p>
    <w:p>
      <w:pPr>
        <w:spacing w:line="588" w:lineRule="exact"/>
        <w:ind w:firstLine="624" w:firstLineChars="200"/>
        <w:rPr>
          <w:rFonts w:ascii="仿宋_GB2312" w:eastAsia="仿宋_GB2312"/>
          <w:color w:val="auto"/>
          <w:spacing w:val="6"/>
          <w:sz w:val="30"/>
          <w:szCs w:val="30"/>
          <w:highlight w:val="none"/>
        </w:rPr>
      </w:pPr>
    </w:p>
    <w:p>
      <w:pPr>
        <w:ind w:left="2604" w:leftChars="1240"/>
        <w:jc w:val="left"/>
        <w:rPr>
          <w:color w:val="auto"/>
          <w:szCs w:val="21"/>
          <w:highlight w:val="none"/>
        </w:rPr>
      </w:pPr>
      <w:r>
        <w:rPr>
          <w:rFonts w:hint="eastAsia"/>
          <w:color w:val="auto"/>
          <w:szCs w:val="21"/>
          <w:highlight w:val="none"/>
        </w:rPr>
        <w:t>投标人：（盖章）</w:t>
      </w:r>
      <w:r>
        <w:rPr>
          <w:rFonts w:hint="eastAsia" w:ascii="宋体" w:hAnsi="宋体"/>
          <w:color w:val="auto"/>
          <w:szCs w:val="21"/>
          <w:highlight w:val="none"/>
          <w:u w:val="single"/>
        </w:rPr>
        <w:t xml:space="preserve">                            </w:t>
      </w:r>
      <w:r>
        <w:rPr>
          <w:rFonts w:hint="eastAsia" w:ascii="宋体" w:hAnsi="宋体"/>
          <w:color w:val="auto"/>
          <w:szCs w:val="21"/>
          <w:highlight w:val="none"/>
        </w:rPr>
        <w:t>_</w:t>
      </w:r>
    </w:p>
    <w:p>
      <w:pPr>
        <w:ind w:left="2604" w:leftChars="1240"/>
        <w:jc w:val="left"/>
        <w:rPr>
          <w:color w:val="auto"/>
          <w:szCs w:val="21"/>
          <w:highlight w:val="none"/>
        </w:rPr>
      </w:pPr>
      <w:r>
        <w:rPr>
          <w:rFonts w:hint="eastAsia" w:ascii="宋体" w:hAnsi="宋体"/>
          <w:color w:val="auto"/>
          <w:szCs w:val="21"/>
          <w:highlight w:val="none"/>
        </w:rPr>
        <w:t>法定代表人或其授权委托人(签字)：</w:t>
      </w:r>
      <w:r>
        <w:rPr>
          <w:rFonts w:hint="eastAsia" w:ascii="宋体" w:hAnsi="宋体"/>
          <w:color w:val="auto"/>
          <w:szCs w:val="21"/>
          <w:highlight w:val="none"/>
          <w:u w:val="single"/>
        </w:rPr>
        <w:t xml:space="preserve">       </w:t>
      </w:r>
      <w:r>
        <w:rPr>
          <w:rFonts w:hint="eastAsia" w:ascii="宋体" w:hAnsi="宋体"/>
          <w:color w:val="auto"/>
          <w:szCs w:val="21"/>
          <w:highlight w:val="none"/>
        </w:rPr>
        <w:t>_</w:t>
      </w:r>
    </w:p>
    <w:p>
      <w:pPr>
        <w:ind w:left="3721" w:leftChars="1772"/>
        <w:jc w:val="left"/>
        <w:rPr>
          <w:color w:val="auto"/>
          <w:szCs w:val="21"/>
          <w:highlight w:val="none"/>
        </w:rPr>
      </w:pP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pPr>
        <w:tabs>
          <w:tab w:val="left" w:pos="4860"/>
        </w:tabs>
        <w:spacing w:line="588" w:lineRule="exact"/>
        <w:ind w:right="1560" w:firstLine="420" w:firstLineChars="200"/>
        <w:jc w:val="center"/>
        <w:rPr>
          <w:color w:val="auto"/>
          <w:highlight w:val="none"/>
        </w:rPr>
      </w:pPr>
    </w:p>
    <w:p>
      <w:pPr>
        <w:rPr>
          <w:color w:val="auto"/>
          <w:highlight w:val="none"/>
        </w:rPr>
      </w:pPr>
    </w:p>
    <w:p>
      <w:pPr>
        <w:ind w:firstLine="361" w:firstLineChars="200"/>
        <w:rPr>
          <w:rFonts w:ascii="宋体" w:hAnsi="宋体"/>
          <w:color w:val="auto"/>
          <w:sz w:val="18"/>
          <w:szCs w:val="18"/>
          <w:highlight w:val="none"/>
        </w:rPr>
      </w:pPr>
      <w:r>
        <w:rPr>
          <w:rFonts w:hint="eastAsia" w:ascii="宋体" w:hAnsi="宋体"/>
          <w:b/>
          <w:color w:val="auto"/>
          <w:sz w:val="18"/>
          <w:szCs w:val="18"/>
          <w:highlight w:val="none"/>
        </w:rPr>
        <w:t>说明</w:t>
      </w:r>
      <w:r>
        <w:rPr>
          <w:rFonts w:hint="eastAsia" w:ascii="宋体" w:hAnsi="宋体"/>
          <w:color w:val="auto"/>
          <w:sz w:val="18"/>
          <w:szCs w:val="18"/>
          <w:highlight w:val="none"/>
        </w:rPr>
        <w:t>：填写本声明函时应详细阅读《财政部 民政部 中国残疾人联合会关于促进残疾人就业政府采购政策的通知》（财库〔2017〕 141号），投标人不满足此要求则无须提供，一旦提供将视为满足其要求，如有虚假，将依法承担相应责任。</w:t>
      </w:r>
    </w:p>
    <w:p>
      <w:pPr>
        <w:spacing w:line="588" w:lineRule="exact"/>
        <w:jc w:val="center"/>
        <w:rPr>
          <w:rFonts w:ascii="宋体" w:hAnsi="宋体"/>
          <w:color w:val="auto"/>
          <w:sz w:val="18"/>
          <w:szCs w:val="18"/>
          <w:highlight w:val="none"/>
        </w:rPr>
      </w:pPr>
    </w:p>
    <w:p>
      <w:pPr>
        <w:pStyle w:val="12"/>
        <w:spacing w:line="375" w:lineRule="atLeast"/>
        <w:jc w:val="center"/>
        <w:outlineLvl w:val="0"/>
        <w:rPr>
          <w:color w:val="auto"/>
          <w:highlight w:val="none"/>
        </w:rPr>
      </w:pPr>
      <w:r>
        <w:rPr>
          <w:color w:val="auto"/>
          <w:sz w:val="18"/>
          <w:szCs w:val="18"/>
          <w:highlight w:val="none"/>
        </w:rPr>
        <w:br w:type="page"/>
      </w:r>
      <w:bookmarkStart w:id="532" w:name="_Toc17204506"/>
      <w:bookmarkStart w:id="533" w:name="_Toc515520689"/>
      <w:bookmarkStart w:id="534" w:name="_Toc515570490"/>
      <w:bookmarkStart w:id="535" w:name="_Toc4534"/>
      <w:bookmarkStart w:id="536" w:name="_Toc10492"/>
      <w:r>
        <w:rPr>
          <w:rFonts w:hint="eastAsia"/>
          <w:color w:val="auto"/>
          <w:highlight w:val="none"/>
        </w:rPr>
        <w:t>（三）监狱企业声明函</w:t>
      </w:r>
      <w:bookmarkEnd w:id="532"/>
      <w:bookmarkEnd w:id="533"/>
      <w:bookmarkEnd w:id="534"/>
      <w:bookmarkEnd w:id="535"/>
      <w:bookmarkEnd w:id="536"/>
    </w:p>
    <w:p>
      <w:pPr>
        <w:spacing w:before="468" w:beforeLines="150" w:line="480" w:lineRule="auto"/>
        <w:ind w:firstLine="444" w:firstLineChars="200"/>
        <w:rPr>
          <w:rFonts w:ascii="宋体" w:hAnsi="宋体"/>
          <w:color w:val="auto"/>
          <w:spacing w:val="6"/>
          <w:szCs w:val="21"/>
          <w:highlight w:val="none"/>
        </w:rPr>
      </w:pPr>
      <w:r>
        <w:rPr>
          <w:rFonts w:hint="eastAsia" w:ascii="宋体" w:hAnsi="宋体"/>
          <w:color w:val="auto"/>
          <w:spacing w:val="6"/>
          <w:szCs w:val="21"/>
          <w:highlight w:val="none"/>
        </w:rPr>
        <w:t>本单位郑重声明，根据</w:t>
      </w:r>
      <w:r>
        <w:rPr>
          <w:rFonts w:hint="eastAsia" w:ascii="宋体" w:hAnsi="宋体" w:cs="仿宋"/>
          <w:color w:val="auto"/>
          <w:szCs w:val="21"/>
          <w:highlight w:val="none"/>
        </w:rPr>
        <w:t>《关于政府采购支持监狱企业发展有关问题的通知》</w:t>
      </w:r>
      <w:r>
        <w:rPr>
          <w:rFonts w:hint="eastAsia" w:ascii="宋体" w:hAnsi="宋体"/>
          <w:color w:val="auto"/>
          <w:spacing w:val="6"/>
          <w:szCs w:val="21"/>
          <w:highlight w:val="none"/>
        </w:rPr>
        <w:t>（财库</w:t>
      </w:r>
      <w:r>
        <w:rPr>
          <w:rFonts w:hint="eastAsia" w:ascii="宋体" w:hAnsi="宋体"/>
          <w:color w:val="auto"/>
          <w:szCs w:val="21"/>
          <w:highlight w:val="none"/>
        </w:rPr>
        <w:t>〔2014〕 68</w:t>
      </w:r>
      <w:r>
        <w:rPr>
          <w:rFonts w:hint="eastAsia" w:ascii="宋体" w:hAnsi="宋体"/>
          <w:color w:val="auto"/>
          <w:spacing w:val="6"/>
          <w:szCs w:val="21"/>
          <w:highlight w:val="none"/>
        </w:rPr>
        <w:t>号）的规定，本单位为符合条件的监狱单位，且本单位参加______单位的______项目采购活动提供本单位制造的货物（由本单位承担工程/提供服务）。</w:t>
      </w:r>
    </w:p>
    <w:p>
      <w:pPr>
        <w:spacing w:line="480" w:lineRule="auto"/>
        <w:ind w:firstLine="200"/>
        <w:rPr>
          <w:rFonts w:ascii="宋体" w:hAnsi="宋体"/>
          <w:color w:val="auto"/>
          <w:spacing w:val="6"/>
          <w:szCs w:val="21"/>
          <w:highlight w:val="none"/>
        </w:rPr>
      </w:pPr>
      <w:r>
        <w:rPr>
          <w:rFonts w:hint="eastAsia" w:ascii="宋体" w:hAnsi="宋体"/>
          <w:color w:val="auto"/>
          <w:spacing w:val="6"/>
          <w:szCs w:val="21"/>
          <w:highlight w:val="none"/>
        </w:rPr>
        <w:t>本单位对上述声明的真实性负责。如有虚假，将依法承担相应责任。</w:t>
      </w:r>
    </w:p>
    <w:p>
      <w:pPr>
        <w:spacing w:line="480" w:lineRule="auto"/>
        <w:ind w:firstLine="200"/>
        <w:rPr>
          <w:rFonts w:ascii="宋体" w:hAnsi="宋体"/>
          <w:color w:val="auto"/>
          <w:spacing w:val="6"/>
          <w:szCs w:val="21"/>
          <w:highlight w:val="none"/>
        </w:rPr>
      </w:pPr>
    </w:p>
    <w:p>
      <w:pPr>
        <w:spacing w:line="588" w:lineRule="exact"/>
        <w:ind w:firstLine="624" w:firstLineChars="200"/>
        <w:rPr>
          <w:rFonts w:ascii="仿宋_GB2312" w:eastAsia="仿宋_GB2312"/>
          <w:color w:val="auto"/>
          <w:spacing w:val="6"/>
          <w:sz w:val="30"/>
          <w:szCs w:val="30"/>
          <w:highlight w:val="none"/>
        </w:rPr>
      </w:pPr>
    </w:p>
    <w:p>
      <w:pPr>
        <w:spacing w:line="588" w:lineRule="exact"/>
        <w:ind w:firstLine="624" w:firstLineChars="200"/>
        <w:rPr>
          <w:rFonts w:ascii="仿宋_GB2312" w:eastAsia="仿宋_GB2312"/>
          <w:color w:val="auto"/>
          <w:spacing w:val="6"/>
          <w:sz w:val="30"/>
          <w:szCs w:val="30"/>
          <w:highlight w:val="none"/>
        </w:rPr>
      </w:pPr>
    </w:p>
    <w:p>
      <w:pPr>
        <w:ind w:left="2604" w:leftChars="1240"/>
        <w:jc w:val="left"/>
        <w:rPr>
          <w:color w:val="auto"/>
          <w:szCs w:val="21"/>
          <w:highlight w:val="none"/>
        </w:rPr>
      </w:pPr>
      <w:r>
        <w:rPr>
          <w:rFonts w:hint="eastAsia"/>
          <w:color w:val="auto"/>
          <w:szCs w:val="21"/>
          <w:highlight w:val="none"/>
        </w:rPr>
        <w:t>投标人：（盖章）</w:t>
      </w:r>
      <w:r>
        <w:rPr>
          <w:rFonts w:hint="eastAsia" w:ascii="宋体" w:hAnsi="宋体"/>
          <w:color w:val="auto"/>
          <w:szCs w:val="21"/>
          <w:highlight w:val="none"/>
          <w:u w:val="single"/>
        </w:rPr>
        <w:t xml:space="preserve">                            </w:t>
      </w:r>
      <w:r>
        <w:rPr>
          <w:rFonts w:hint="eastAsia" w:ascii="宋体" w:hAnsi="宋体"/>
          <w:color w:val="auto"/>
          <w:szCs w:val="21"/>
          <w:highlight w:val="none"/>
        </w:rPr>
        <w:t>_</w:t>
      </w:r>
    </w:p>
    <w:p>
      <w:pPr>
        <w:ind w:left="2604" w:leftChars="1240"/>
        <w:jc w:val="left"/>
        <w:rPr>
          <w:color w:val="auto"/>
          <w:szCs w:val="21"/>
          <w:highlight w:val="none"/>
        </w:rPr>
      </w:pPr>
      <w:r>
        <w:rPr>
          <w:rFonts w:hint="eastAsia" w:ascii="宋体" w:hAnsi="宋体"/>
          <w:color w:val="auto"/>
          <w:szCs w:val="21"/>
          <w:highlight w:val="none"/>
        </w:rPr>
        <w:t>法定代表人或其授权委托人(签字)：</w:t>
      </w:r>
      <w:r>
        <w:rPr>
          <w:rFonts w:hint="eastAsia" w:ascii="宋体" w:hAnsi="宋体"/>
          <w:color w:val="auto"/>
          <w:szCs w:val="21"/>
          <w:highlight w:val="none"/>
          <w:u w:val="single"/>
        </w:rPr>
        <w:t xml:space="preserve">       </w:t>
      </w:r>
      <w:r>
        <w:rPr>
          <w:rFonts w:hint="eastAsia" w:ascii="宋体" w:hAnsi="宋体"/>
          <w:color w:val="auto"/>
          <w:szCs w:val="21"/>
          <w:highlight w:val="none"/>
        </w:rPr>
        <w:t>_</w:t>
      </w:r>
    </w:p>
    <w:p>
      <w:pPr>
        <w:spacing w:line="480" w:lineRule="auto"/>
        <w:ind w:left="3349" w:leftChars="1595" w:firstLine="200"/>
        <w:rPr>
          <w:rFonts w:ascii="宋体" w:hAnsi="宋体"/>
          <w:color w:val="auto"/>
          <w:spacing w:val="6"/>
          <w:szCs w:val="21"/>
          <w:highlight w:val="none"/>
        </w:rPr>
      </w:pP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pPr>
        <w:spacing w:line="480" w:lineRule="auto"/>
        <w:ind w:firstLine="200"/>
        <w:rPr>
          <w:rFonts w:ascii="宋体" w:hAnsi="宋体"/>
          <w:color w:val="auto"/>
          <w:spacing w:val="6"/>
          <w:szCs w:val="21"/>
          <w:highlight w:val="none"/>
        </w:rPr>
      </w:pPr>
    </w:p>
    <w:p>
      <w:pPr>
        <w:spacing w:line="588" w:lineRule="exact"/>
        <w:ind w:firstLine="624" w:firstLineChars="200"/>
        <w:rPr>
          <w:rFonts w:ascii="仿宋_GB2312" w:eastAsia="仿宋_GB2312"/>
          <w:color w:val="auto"/>
          <w:spacing w:val="6"/>
          <w:sz w:val="30"/>
          <w:szCs w:val="30"/>
          <w:highlight w:val="none"/>
        </w:rPr>
      </w:pPr>
    </w:p>
    <w:p>
      <w:pPr>
        <w:spacing w:line="480" w:lineRule="auto"/>
        <w:ind w:firstLine="200"/>
        <w:rPr>
          <w:rFonts w:ascii="宋体" w:hAnsi="宋体"/>
          <w:color w:val="auto"/>
          <w:sz w:val="18"/>
          <w:szCs w:val="18"/>
          <w:highlight w:val="none"/>
        </w:rPr>
      </w:pPr>
      <w:r>
        <w:rPr>
          <w:rFonts w:hint="eastAsia" w:ascii="宋体" w:hAnsi="宋体"/>
          <w:b/>
          <w:color w:val="auto"/>
          <w:sz w:val="18"/>
          <w:szCs w:val="18"/>
          <w:highlight w:val="none"/>
        </w:rPr>
        <w:t>说明</w:t>
      </w:r>
      <w:r>
        <w:rPr>
          <w:rFonts w:hint="eastAsia" w:ascii="宋体" w:hAnsi="宋体"/>
          <w:color w:val="auto"/>
          <w:sz w:val="18"/>
          <w:szCs w:val="18"/>
          <w:highlight w:val="none"/>
        </w:rPr>
        <w:t>：填写本声明函时应详细阅读《关于政府采购支持监狱企业发展有关问题的通知》（财库〔2014〕 68号），投标人不满足此要求则无须提供，一旦提供将视为满足其要求，如有虚假，将依法承担相应责任。</w:t>
      </w:r>
    </w:p>
    <w:p>
      <w:pPr>
        <w:spacing w:line="480" w:lineRule="auto"/>
        <w:ind w:firstLine="200"/>
        <w:rPr>
          <w:rFonts w:ascii="宋体" w:hAnsi="宋体"/>
          <w:color w:val="auto"/>
          <w:sz w:val="18"/>
          <w:szCs w:val="18"/>
          <w:highlight w:val="none"/>
        </w:rPr>
      </w:pPr>
    </w:p>
    <w:p>
      <w:pPr>
        <w:spacing w:line="360" w:lineRule="auto"/>
        <w:rPr>
          <w:rFonts w:hint="eastAsia" w:ascii="宋体" w:hAnsi="宋体"/>
          <w:bCs/>
          <w:color w:val="auto"/>
          <w:sz w:val="28"/>
          <w:szCs w:val="32"/>
          <w:highlight w:val="none"/>
        </w:rPr>
      </w:pPr>
    </w:p>
    <w:p>
      <w:pPr>
        <w:pStyle w:val="6"/>
        <w:rPr>
          <w:rFonts w:hint="eastAsia" w:ascii="宋体" w:hAnsi="宋体"/>
          <w:bCs/>
          <w:color w:val="auto"/>
          <w:sz w:val="28"/>
          <w:szCs w:val="32"/>
          <w:highlight w:val="none"/>
        </w:rPr>
      </w:pPr>
    </w:p>
    <w:p>
      <w:pPr>
        <w:rPr>
          <w:rFonts w:hint="eastAsia" w:ascii="宋体" w:hAnsi="宋体"/>
          <w:bCs/>
          <w:color w:val="auto"/>
          <w:sz w:val="28"/>
          <w:szCs w:val="32"/>
          <w:highlight w:val="none"/>
        </w:rPr>
      </w:pPr>
    </w:p>
    <w:p>
      <w:pPr>
        <w:pStyle w:val="6"/>
        <w:rPr>
          <w:rFonts w:hint="eastAsia" w:ascii="宋体" w:hAnsi="宋体"/>
          <w:bCs/>
          <w:color w:val="auto"/>
          <w:sz w:val="28"/>
          <w:szCs w:val="32"/>
          <w:highlight w:val="none"/>
        </w:rPr>
      </w:pPr>
    </w:p>
    <w:p>
      <w:pPr>
        <w:rPr>
          <w:rFonts w:hint="eastAsia" w:ascii="宋体" w:hAnsi="宋体"/>
          <w:bCs/>
          <w:color w:val="auto"/>
          <w:sz w:val="28"/>
          <w:szCs w:val="32"/>
          <w:highlight w:val="none"/>
        </w:rPr>
      </w:pPr>
    </w:p>
    <w:p>
      <w:pPr>
        <w:pStyle w:val="6"/>
        <w:rPr>
          <w:rFonts w:hint="eastAsia" w:ascii="宋体" w:hAnsi="宋体"/>
          <w:bCs/>
          <w:color w:val="auto"/>
          <w:sz w:val="28"/>
          <w:szCs w:val="32"/>
          <w:highlight w:val="none"/>
        </w:rPr>
      </w:pPr>
    </w:p>
    <w:p>
      <w:pPr>
        <w:rPr>
          <w:rFonts w:hint="eastAsia" w:ascii="宋体" w:hAnsi="宋体"/>
          <w:bCs/>
          <w:color w:val="auto"/>
          <w:sz w:val="28"/>
          <w:szCs w:val="32"/>
          <w:highlight w:val="none"/>
        </w:rPr>
      </w:pPr>
    </w:p>
    <w:p>
      <w:pPr>
        <w:pStyle w:val="6"/>
        <w:rPr>
          <w:rFonts w:hint="eastAsia" w:ascii="宋体" w:hAnsi="宋体"/>
          <w:bCs/>
          <w:color w:val="auto"/>
          <w:sz w:val="28"/>
          <w:szCs w:val="32"/>
          <w:highlight w:val="none"/>
        </w:rPr>
      </w:pPr>
    </w:p>
    <w:p>
      <w:pPr>
        <w:rPr>
          <w:rFonts w:hint="eastAsia" w:ascii="宋体" w:hAnsi="宋体"/>
          <w:bCs/>
          <w:color w:val="auto"/>
          <w:sz w:val="28"/>
          <w:szCs w:val="32"/>
          <w:highlight w:val="none"/>
        </w:rPr>
      </w:pPr>
    </w:p>
    <w:p>
      <w:pPr>
        <w:pStyle w:val="6"/>
        <w:rPr>
          <w:rFonts w:hint="eastAsia" w:ascii="宋体" w:hAnsi="宋体"/>
          <w:bCs/>
          <w:color w:val="auto"/>
          <w:sz w:val="28"/>
          <w:szCs w:val="32"/>
          <w:highlight w:val="none"/>
        </w:rPr>
      </w:pPr>
    </w:p>
    <w:p>
      <w:pPr>
        <w:rPr>
          <w:rFonts w:hint="eastAsia" w:ascii="宋体" w:hAnsi="宋体"/>
          <w:bCs/>
          <w:color w:val="auto"/>
          <w:sz w:val="28"/>
          <w:szCs w:val="32"/>
          <w:highlight w:val="none"/>
        </w:rPr>
      </w:pPr>
    </w:p>
    <w:p>
      <w:pPr>
        <w:pStyle w:val="6"/>
        <w:rPr>
          <w:rFonts w:hint="eastAsia" w:ascii="宋体" w:hAnsi="宋体"/>
          <w:bCs/>
          <w:color w:val="auto"/>
          <w:sz w:val="28"/>
          <w:szCs w:val="32"/>
          <w:highlight w:val="none"/>
        </w:rPr>
      </w:pPr>
    </w:p>
    <w:p>
      <w:pPr>
        <w:rPr>
          <w:rFonts w:hint="eastAsia"/>
          <w:color w:val="auto"/>
          <w:highlight w:val="none"/>
        </w:rPr>
      </w:pPr>
    </w:p>
    <w:p>
      <w:pPr>
        <w:spacing w:before="4800" w:beforeLines="2000"/>
        <w:jc w:val="center"/>
        <w:rPr>
          <w:rStyle w:val="20"/>
          <w:rFonts w:hint="eastAsia" w:eastAsia="宋体" w:cs="Times New Roman"/>
          <w:color w:val="auto"/>
          <w:highlight w:val="none"/>
          <w:lang w:eastAsia="zh-CN"/>
        </w:rPr>
      </w:pPr>
      <w:bookmarkStart w:id="537" w:name="_Toc484102441"/>
      <w:bookmarkStart w:id="538" w:name="_Toc476758994"/>
      <w:bookmarkStart w:id="539" w:name="_Toc32569"/>
      <w:bookmarkStart w:id="540" w:name="_Toc11072"/>
      <w:r>
        <w:rPr>
          <w:rStyle w:val="20"/>
          <w:rFonts w:hint="eastAsia" w:eastAsia="宋体" w:cs="Times New Roman"/>
          <w:color w:val="auto"/>
          <w:highlight w:val="none"/>
          <w:lang w:eastAsia="zh-CN"/>
        </w:rPr>
        <w:t>第六章  合同条款及合同格式</w:t>
      </w:r>
      <w:bookmarkEnd w:id="537"/>
      <w:bookmarkEnd w:id="538"/>
      <w:bookmarkEnd w:id="539"/>
    </w:p>
    <w:bookmarkEnd w:id="540"/>
    <w:p>
      <w:pPr>
        <w:spacing w:line="360" w:lineRule="auto"/>
        <w:rPr>
          <w:rFonts w:hint="eastAsia" w:ascii="宋体" w:hAnsi="宋体"/>
          <w:color w:val="auto"/>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bookmarkStart w:id="541" w:name="_Toc422141871"/>
      <w:bookmarkStart w:id="542" w:name="_Toc271"/>
      <w:bookmarkStart w:id="543" w:name="_Toc31739"/>
      <w:r>
        <w:rPr>
          <w:rFonts w:hint="eastAsia" w:ascii="宋体" w:hAnsi="宋体" w:cs="宋体"/>
          <w:color w:val="auto"/>
          <w:sz w:val="21"/>
          <w:szCs w:val="21"/>
          <w:highlight w:val="none"/>
        </w:rPr>
        <w:t>1.定义</w:t>
      </w:r>
      <w:bookmarkEnd w:id="541"/>
      <w:bookmarkEnd w:id="542"/>
      <w:bookmarkEnd w:id="543"/>
    </w:p>
    <w:p>
      <w:pPr>
        <w:pStyle w:val="24"/>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本合同中的下列术语应解释为：</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bookmarkStart w:id="544" w:name="_Toc239656580"/>
      <w:bookmarkStart w:id="545" w:name="_Toc82324369"/>
      <w:r>
        <w:rPr>
          <w:rFonts w:hint="eastAsia" w:ascii="宋体" w:hAnsi="宋体" w:cs="宋体"/>
          <w:color w:val="auto"/>
          <w:sz w:val="21"/>
          <w:szCs w:val="21"/>
          <w:highlight w:val="none"/>
        </w:rPr>
        <w:t>1.1“合同”系指买卖双方签署的、合同格式中载明的买卖双方所达成的协议，包括所有的附件、附录和构成合同的其它文件。</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1.2“合同款”系指根据合同约定，乙方在完全履行合同义务后招标人应付给乙方的款项。</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1.3“人员”系指作为雇员由乙方所雇佣并被分配执行服务或其任何部分的人员。</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服务</w:t>
      </w:r>
      <w:r>
        <w:rPr>
          <w:rFonts w:hint="eastAsia" w:ascii="宋体" w:hAnsi="宋体" w:cs="宋体"/>
          <w:color w:val="auto"/>
          <w:sz w:val="21"/>
          <w:szCs w:val="21"/>
          <w:highlight w:val="none"/>
        </w:rPr>
        <w:t>”系指由乙方根据合同所实施的工作。</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1.6“招标人”系指与成交人签署服务合同的单位（含最终用户），即买方。</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1.7“乙方”系指根据合同约定提供服务的中标人，即卖方。</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1.8“天”系指日历天数。</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bookmarkStart w:id="546" w:name="_Toc422141872"/>
      <w:bookmarkStart w:id="547" w:name="_Toc31521"/>
      <w:bookmarkStart w:id="548" w:name="_Toc6125"/>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供货</w:t>
      </w:r>
      <w:r>
        <w:rPr>
          <w:rFonts w:hint="eastAsia" w:ascii="宋体" w:hAnsi="宋体" w:cs="宋体"/>
          <w:color w:val="auto"/>
          <w:sz w:val="21"/>
          <w:szCs w:val="21"/>
          <w:highlight w:val="none"/>
        </w:rPr>
        <w:t>内容</w:t>
      </w:r>
      <w:bookmarkEnd w:id="544"/>
      <w:bookmarkEnd w:id="545"/>
      <w:bookmarkEnd w:id="546"/>
      <w:bookmarkEnd w:id="547"/>
      <w:bookmarkEnd w:id="548"/>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2.1乙方所有任务执行在不违反且不低于《招标文件》中要求的前提下，按照投标文件要求，完成招标人的</w:t>
      </w:r>
      <w:r>
        <w:rPr>
          <w:rFonts w:hint="eastAsia" w:ascii="宋体" w:hAnsi="宋体" w:cs="宋体"/>
          <w:color w:val="auto"/>
          <w:sz w:val="21"/>
          <w:szCs w:val="21"/>
          <w:highlight w:val="none"/>
          <w:lang w:eastAsia="zh-CN"/>
        </w:rPr>
        <w:t>服务</w:t>
      </w:r>
      <w:r>
        <w:rPr>
          <w:rFonts w:hint="eastAsia" w:ascii="宋体" w:hAnsi="宋体" w:cs="宋体"/>
          <w:color w:val="auto"/>
          <w:sz w:val="21"/>
          <w:szCs w:val="21"/>
          <w:highlight w:val="none"/>
        </w:rPr>
        <w:t>任务，满足中标货物指标、数量要求。</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2.2要求乙方提供本合同所要求完成的任务，并达到相应的水平。</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2.3乙方按照招标人要求的时间按时完成项目各项内容并提供相应的服务，达到相应水平。</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rPr>
      </w:pPr>
      <w:bookmarkStart w:id="549" w:name="_Toc19614"/>
      <w:bookmarkStart w:id="550" w:name="_Toc4656"/>
      <w:bookmarkStart w:id="551" w:name="_Toc422141873"/>
      <w:r>
        <w:rPr>
          <w:rFonts w:hint="eastAsia" w:ascii="宋体" w:hAnsi="宋体" w:cs="宋体"/>
          <w:color w:val="auto"/>
          <w:sz w:val="21"/>
          <w:szCs w:val="21"/>
          <w:highlight w:val="none"/>
        </w:rPr>
        <w:t>3.服务地点、时间及人员</w:t>
      </w:r>
      <w:bookmarkEnd w:id="549"/>
      <w:bookmarkEnd w:id="550"/>
      <w:bookmarkEnd w:id="551"/>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服务</w:t>
      </w:r>
      <w:r>
        <w:rPr>
          <w:rFonts w:hint="eastAsia" w:ascii="宋体" w:hAnsi="宋体" w:cs="宋体"/>
          <w:color w:val="auto"/>
          <w:sz w:val="21"/>
          <w:szCs w:val="21"/>
          <w:highlight w:val="none"/>
        </w:rPr>
        <w:t>地点和时间</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.1乙方为招标人提供的</w:t>
      </w:r>
      <w:r>
        <w:rPr>
          <w:rFonts w:hint="eastAsia" w:ascii="宋体" w:hAnsi="宋体" w:cs="宋体"/>
          <w:color w:val="auto"/>
          <w:sz w:val="21"/>
          <w:szCs w:val="21"/>
          <w:highlight w:val="none"/>
          <w:lang w:eastAsia="zh-CN"/>
        </w:rPr>
        <w:t>服务时间</w:t>
      </w:r>
      <w:r>
        <w:rPr>
          <w:rFonts w:hint="eastAsia" w:ascii="宋体" w:hAnsi="宋体" w:cs="宋体"/>
          <w:color w:val="auto"/>
          <w:sz w:val="21"/>
          <w:szCs w:val="21"/>
          <w:highlight w:val="none"/>
        </w:rPr>
        <w:t>为</w:t>
      </w:r>
      <w:r>
        <w:rPr>
          <w:rFonts w:hint="eastAsia" w:ascii="宋体" w:hAnsi="宋体" w:cs="宋体"/>
          <w:color w:val="auto"/>
          <w:sz w:val="21"/>
          <w:szCs w:val="21"/>
          <w:highlight w:val="none"/>
          <w:u w:val="single"/>
        </w:rPr>
        <w:t xml:space="preserve">    年  月  日到    年  月  日</w:t>
      </w:r>
      <w:r>
        <w:rPr>
          <w:rFonts w:hint="eastAsia" w:ascii="宋体" w:hAnsi="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before="120" w:beforeLines="50" w:after="120" w:afterLines="50" w:line="500" w:lineRule="exact"/>
        <w:ind w:firstLine="420" w:firstLineChars="200"/>
        <w:textAlignment w:val="auto"/>
        <w:rPr>
          <w:rFonts w:hint="eastAsia" w:ascii="宋体" w:hAnsi="宋体"/>
          <w:b/>
          <w:color w:val="auto"/>
          <w:sz w:val="21"/>
          <w:szCs w:val="21"/>
          <w:highlight w:val="none"/>
        </w:rPr>
      </w:pPr>
      <w:r>
        <w:rPr>
          <w:rFonts w:hint="eastAsia" w:ascii="宋体" w:hAnsi="宋体" w:cs="宋体"/>
          <w:color w:val="auto"/>
          <w:sz w:val="21"/>
          <w:szCs w:val="21"/>
          <w:highlight w:val="none"/>
          <w:lang w:eastAsia="zh-CN"/>
        </w:rPr>
        <w:t>服务</w:t>
      </w:r>
      <w:r>
        <w:rPr>
          <w:rFonts w:hint="eastAsia" w:ascii="宋体" w:hAnsi="宋体" w:cs="宋体"/>
          <w:color w:val="auto"/>
          <w:sz w:val="21"/>
          <w:szCs w:val="21"/>
          <w:highlight w:val="none"/>
        </w:rPr>
        <w:t>地点：</w:t>
      </w:r>
      <w:r>
        <w:rPr>
          <w:rFonts w:hint="eastAsia" w:hAnsi="宋体"/>
          <w:color w:val="auto"/>
          <w:sz w:val="21"/>
          <w:szCs w:val="21"/>
          <w:highlight w:val="none"/>
        </w:rPr>
        <w:t>招标人指定地点。</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指派服务人员：</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（人员配置要求必须满足项目服务要求）。</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乙方指定服务人员姓名</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联系电话：</w:t>
      </w:r>
      <w:r>
        <w:rPr>
          <w:rFonts w:hint="eastAsia" w:ascii="宋体" w:hAnsi="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bookmarkStart w:id="552" w:name="_Toc25801"/>
      <w:bookmarkStart w:id="553" w:name="_Toc422141874"/>
      <w:bookmarkStart w:id="554" w:name="_Toc8195"/>
      <w:r>
        <w:rPr>
          <w:rFonts w:hint="eastAsia" w:ascii="宋体" w:hAnsi="宋体" w:cs="宋体"/>
          <w:color w:val="auto"/>
          <w:sz w:val="21"/>
          <w:szCs w:val="21"/>
          <w:highlight w:val="none"/>
        </w:rPr>
        <w:t>4.权利和义务</w:t>
      </w:r>
      <w:bookmarkEnd w:id="552"/>
      <w:bookmarkEnd w:id="553"/>
      <w:bookmarkEnd w:id="554"/>
    </w:p>
    <w:p>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4.1招标人的权利和义务</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4.1.1招标人有权指派专门人员或者单位对乙方的工作进行全程监督管理。</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4.1.2招标人有权得到符合合同要求的所有服务。</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4.1.3招标人应按合同约定向乙方支付项目合同下款项。如乙方服务未达到合同要求，招标人有权拒付未达要求部分的款项。</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4.1.4招标人有权要求乙方提供与相关服务内容有关的相关信息</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4.1.5乙方完成所有协议约定内容后，招标人根据项目实施情况出具的客观公证的书面用户验收意见。</w:t>
      </w:r>
    </w:p>
    <w:p>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4.2乙方的权利和义务</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4.2.1合作过程中乙方应指派专门的业务负责人负责合作事项的全程沟通及协调工作。</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4.2.2乙方应遵守招标人关于合作事项的各项管理规定，及时报告工作进度，在规定时间内完成相应的交货任务。</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4.2.3招标人在工作质量、工作进度、工作内容等方面提出意见及建议，乙方应及时响应并有效改进。</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4.2.4未经招标人批准，乙方不得将在本合同服务内容的任何部分分配或分包给其他任何人或公司。任何未经招标人批准的转包行为均视为违约。</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bookmarkStart w:id="555" w:name="_Toc18963"/>
      <w:bookmarkStart w:id="556" w:name="_Toc422141875"/>
      <w:bookmarkStart w:id="557" w:name="_Toc5417"/>
      <w:r>
        <w:rPr>
          <w:rFonts w:hint="eastAsia" w:ascii="宋体" w:hAnsi="宋体" w:cs="宋体"/>
          <w:color w:val="auto"/>
          <w:sz w:val="21"/>
          <w:szCs w:val="21"/>
          <w:highlight w:val="none"/>
        </w:rPr>
        <w:t>5.合同总价及支付方式</w:t>
      </w:r>
      <w:bookmarkEnd w:id="555"/>
      <w:bookmarkEnd w:id="556"/>
      <w:bookmarkEnd w:id="557"/>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5.1本合同总价为￥</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元（大写：人民币</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pacing w:val="10"/>
          <w:sz w:val="21"/>
          <w:szCs w:val="21"/>
          <w:highlight w:val="none"/>
          <w:lang w:eastAsia="zh-CN"/>
        </w:rPr>
      </w:pPr>
      <w:r>
        <w:rPr>
          <w:rFonts w:hint="eastAsia" w:ascii="宋体" w:hAnsi="宋体" w:cs="宋体"/>
          <w:color w:val="auto"/>
          <w:sz w:val="21"/>
          <w:szCs w:val="21"/>
          <w:highlight w:val="none"/>
        </w:rPr>
        <w:t>5.2</w:t>
      </w:r>
      <w:r>
        <w:rPr>
          <w:rFonts w:hint="eastAsia" w:ascii="宋体" w:hAnsi="宋体" w:cs="宋体"/>
          <w:color w:val="auto"/>
          <w:spacing w:val="10"/>
          <w:sz w:val="21"/>
          <w:szCs w:val="21"/>
          <w:highlight w:val="none"/>
        </w:rPr>
        <w:t>具体付款方式如下：</w:t>
      </w:r>
      <w:r>
        <w:rPr>
          <w:rFonts w:hint="eastAsia" w:ascii="宋体" w:hAnsi="宋体" w:cs="宋体"/>
          <w:color w:val="auto"/>
          <w:spacing w:val="10"/>
          <w:sz w:val="21"/>
          <w:szCs w:val="21"/>
          <w:highlight w:val="none"/>
          <w:lang w:eastAsia="zh-CN"/>
        </w:rPr>
        <w:t>甲乙双方商定</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bookmarkStart w:id="558" w:name="_Toc23683"/>
      <w:bookmarkStart w:id="559" w:name="_Toc21953"/>
      <w:bookmarkStart w:id="560" w:name="_Toc422141876"/>
      <w:bookmarkStart w:id="561" w:name="_Toc487900351"/>
      <w:bookmarkStart w:id="562" w:name="_Toc155238625"/>
      <w:bookmarkStart w:id="563" w:name="_Toc192415696"/>
      <w:bookmarkStart w:id="564" w:name="_Toc168284712"/>
      <w:bookmarkStart w:id="565" w:name="_Toc185392194"/>
      <w:r>
        <w:rPr>
          <w:rFonts w:hint="eastAsia" w:ascii="宋体" w:hAnsi="宋体" w:cs="宋体"/>
          <w:color w:val="auto"/>
          <w:sz w:val="21"/>
          <w:szCs w:val="21"/>
          <w:highlight w:val="none"/>
        </w:rPr>
        <w:t>6.违约责任</w:t>
      </w:r>
      <w:bookmarkEnd w:id="558"/>
      <w:bookmarkEnd w:id="559"/>
      <w:bookmarkEnd w:id="560"/>
    </w:p>
    <w:p>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ascii="宋体" w:hAnsi="宋体"/>
          <w:b/>
          <w:color w:val="auto"/>
          <w:sz w:val="21"/>
          <w:szCs w:val="21"/>
          <w:highlight w:val="none"/>
        </w:rPr>
      </w:pPr>
      <w:r>
        <w:rPr>
          <w:rFonts w:hint="eastAsia" w:ascii="宋体" w:hAnsi="宋体"/>
          <w:b/>
          <w:color w:val="auto"/>
          <w:sz w:val="21"/>
          <w:szCs w:val="21"/>
          <w:highlight w:val="none"/>
        </w:rPr>
        <w:t>6.1.1乙方</w:t>
      </w:r>
      <w:r>
        <w:rPr>
          <w:rFonts w:hint="eastAsia" w:ascii="宋体" w:hAnsi="宋体"/>
          <w:b/>
          <w:color w:val="auto"/>
          <w:sz w:val="21"/>
          <w:szCs w:val="21"/>
          <w:highlight w:val="none"/>
          <w:lang w:eastAsia="zh-CN"/>
        </w:rPr>
        <w:t>的服务</w:t>
      </w:r>
      <w:r>
        <w:rPr>
          <w:rFonts w:hint="eastAsia" w:ascii="宋体" w:hAnsi="宋体"/>
          <w:b/>
          <w:color w:val="auto"/>
          <w:sz w:val="21"/>
          <w:szCs w:val="21"/>
          <w:highlight w:val="none"/>
        </w:rPr>
        <w:t>不符合《招标文件》、《投标文件》或本合同规定的，招标人有权</w:t>
      </w:r>
      <w:r>
        <w:rPr>
          <w:rFonts w:hint="eastAsia" w:ascii="宋体" w:hAnsi="宋体"/>
          <w:b/>
          <w:color w:val="auto"/>
          <w:sz w:val="21"/>
          <w:szCs w:val="21"/>
          <w:highlight w:val="none"/>
          <w:lang w:eastAsia="zh-CN"/>
        </w:rPr>
        <w:t>拒绝</w:t>
      </w:r>
      <w:r>
        <w:rPr>
          <w:rFonts w:hint="eastAsia" w:ascii="宋体" w:hAnsi="宋体"/>
          <w:b/>
          <w:color w:val="auto"/>
          <w:sz w:val="21"/>
          <w:szCs w:val="21"/>
          <w:highlight w:val="none"/>
        </w:rPr>
        <w:t>，并且乙方须按招标人支付合同总价的2%的违约金。</w:t>
      </w:r>
    </w:p>
    <w:p>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ascii="宋体" w:hAnsi="宋体"/>
          <w:b/>
          <w:color w:val="auto"/>
          <w:sz w:val="21"/>
          <w:szCs w:val="21"/>
          <w:highlight w:val="none"/>
        </w:rPr>
      </w:pPr>
      <w:r>
        <w:rPr>
          <w:rFonts w:hint="eastAsia" w:ascii="宋体" w:hAnsi="宋体"/>
          <w:b/>
          <w:color w:val="auto"/>
          <w:sz w:val="21"/>
          <w:szCs w:val="21"/>
          <w:highlight w:val="none"/>
        </w:rPr>
        <w:t>6.1.2乙方未能按本合同规定的时间提供服务的，从逾期之日起每日按本合同总价2%的数额向招标人支付违约金；逾期半个月以上的，招标人有权终止合同，由此造成的招标人经济损失由乙方承担。</w:t>
      </w:r>
    </w:p>
    <w:p>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ascii="宋体" w:hAnsi="宋体"/>
          <w:b/>
          <w:color w:val="auto"/>
          <w:sz w:val="21"/>
          <w:szCs w:val="21"/>
          <w:highlight w:val="none"/>
        </w:rPr>
      </w:pPr>
      <w:r>
        <w:rPr>
          <w:rFonts w:hint="eastAsia" w:ascii="宋体" w:hAnsi="宋体"/>
          <w:b/>
          <w:color w:val="auto"/>
          <w:sz w:val="21"/>
          <w:szCs w:val="21"/>
          <w:highlight w:val="none"/>
        </w:rPr>
        <w:t>6.1.3招标人无正当理由拒</w:t>
      </w:r>
      <w:r>
        <w:rPr>
          <w:rFonts w:hint="eastAsia" w:ascii="宋体" w:hAnsi="宋体"/>
          <w:b/>
          <w:color w:val="auto"/>
          <w:sz w:val="21"/>
          <w:szCs w:val="21"/>
          <w:highlight w:val="none"/>
          <w:lang w:eastAsia="zh-CN"/>
        </w:rPr>
        <w:t>绝</w:t>
      </w:r>
      <w:r>
        <w:rPr>
          <w:rFonts w:hint="eastAsia" w:ascii="宋体" w:hAnsi="宋体"/>
          <w:b/>
          <w:color w:val="auto"/>
          <w:sz w:val="21"/>
          <w:szCs w:val="21"/>
          <w:highlight w:val="none"/>
        </w:rPr>
        <w:t>服务时，到期拒付服务款项的，招标人向乙方赔付本合同总价2%的违约金。招标人如逾期付款，则每日按本合同总价的2%向乙方偿付违约金。</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6.2因乙方行为违反法律规定产生引起的民事和刑事责任由乙方承担。</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6.3因乙方行为侵害第三方权益的，责任和相关损失由乙方承担。</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6.4乙方违反保密规定，全部责任由乙方承担，并需赔偿招标人由此引起的损失。</w:t>
      </w:r>
    </w:p>
    <w:p>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ascii="宋体" w:hAnsi="宋体" w:cs="宋体"/>
          <w:color w:val="auto"/>
          <w:sz w:val="21"/>
          <w:szCs w:val="21"/>
          <w:highlight w:val="none"/>
        </w:rPr>
      </w:pPr>
      <w:r>
        <w:rPr>
          <w:rFonts w:hint="eastAsia" w:ascii="宋体" w:hAnsi="宋体"/>
          <w:b/>
          <w:color w:val="auto"/>
          <w:sz w:val="21"/>
          <w:szCs w:val="21"/>
          <w:highlight w:val="none"/>
        </w:rPr>
        <w:t>其他违约责任按《中华人民共和国合同法》处理。</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bookmarkStart w:id="566" w:name="_Toc18942"/>
      <w:bookmarkStart w:id="567" w:name="_Toc28999"/>
      <w:bookmarkStart w:id="568" w:name="_Toc422141877"/>
      <w:r>
        <w:rPr>
          <w:rFonts w:hint="eastAsia" w:ascii="宋体" w:hAnsi="宋体" w:cs="宋体"/>
          <w:color w:val="auto"/>
          <w:sz w:val="21"/>
          <w:szCs w:val="21"/>
          <w:highlight w:val="none"/>
        </w:rPr>
        <w:t>7.知识产权</w:t>
      </w:r>
      <w:bookmarkEnd w:id="561"/>
      <w:bookmarkEnd w:id="562"/>
      <w:bookmarkEnd w:id="566"/>
      <w:bookmarkEnd w:id="567"/>
      <w:bookmarkEnd w:id="568"/>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bookmarkStart w:id="569" w:name="_Toc30567256"/>
      <w:bookmarkStart w:id="570" w:name="_Toc73975334"/>
      <w:bookmarkStart w:id="571" w:name="_Toc155238630"/>
      <w:r>
        <w:rPr>
          <w:rFonts w:hint="eastAsia" w:ascii="宋体" w:hAnsi="宋体" w:cs="宋体"/>
          <w:color w:val="auto"/>
          <w:sz w:val="21"/>
          <w:szCs w:val="21"/>
          <w:highlight w:val="none"/>
        </w:rPr>
        <w:t>7.1本合同实施过程中和实施结果产生所有成果的知识产权属于招标人独有，即招标人拥有独有的完全使用权和所有权。</w:t>
      </w:r>
    </w:p>
    <w:p>
      <w:pPr>
        <w:pStyle w:val="25"/>
        <w:keepNext w:val="0"/>
        <w:keepLines w:val="0"/>
        <w:pageBreakBefore w:val="0"/>
        <w:widowControl w:val="0"/>
        <w:kinsoku/>
        <w:wordWrap/>
        <w:overflowPunct/>
        <w:topLinePunct w:val="0"/>
        <w:autoSpaceDE/>
        <w:autoSpaceDN/>
        <w:bidi w:val="0"/>
        <w:adjustRightInd/>
        <w:snapToGrid/>
        <w:spacing w:line="500" w:lineRule="exact"/>
        <w:ind w:left="0"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7.2乙方应保证在为招标人提供任何产品、服务时，不侵犯任何第三方权益。如果任何第三方提出与乙方提供的任何产品、服务有关的侵权指控，乙方须与第三方交涉并独自承担因此发生的一切法律责任和费用。</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bookmarkStart w:id="572" w:name="_Toc20261"/>
      <w:bookmarkStart w:id="573" w:name="_Toc20341"/>
      <w:bookmarkStart w:id="574" w:name="_Toc422141878"/>
      <w:r>
        <w:rPr>
          <w:rFonts w:hint="eastAsia" w:ascii="宋体" w:hAnsi="宋体" w:cs="宋体"/>
          <w:color w:val="auto"/>
          <w:sz w:val="21"/>
          <w:szCs w:val="21"/>
          <w:highlight w:val="none"/>
        </w:rPr>
        <w:t>8.保密条款</w:t>
      </w:r>
      <w:bookmarkEnd w:id="572"/>
      <w:bookmarkEnd w:id="573"/>
      <w:bookmarkEnd w:id="574"/>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8.1自合同签订之日起，乙方有责任对招标人提供的各种文件（服务内容、资料、报告）、工作业务信息、中间过程数据、结果数据进行保密，未经招标人书面批准不得提供给任何第三方。如有违反包括故意泄露、管理不善、过失等原因造成的泄露，均视为乙方未执行好保密措施，乙方应承担相应的法律责任。此保密义务不因合同的终止而免除。</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8.2乙方应采取有效措施对招标人提供的资料和数据实施合乎规定（该类规定包括但不限于相关的保密法律、法规、规定、通知等）的保密处理措施，并对此负责。</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8.3乙方有义务遵守和配合执行招标人的保密管理规定与保密措施，并在项目实施完成后，归还招标人提供的全部资料。</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bookmarkStart w:id="575" w:name="_Toc422141879"/>
      <w:bookmarkStart w:id="576" w:name="_Toc20060"/>
      <w:bookmarkStart w:id="577" w:name="_Toc7516"/>
      <w:r>
        <w:rPr>
          <w:rFonts w:hint="eastAsia" w:ascii="宋体" w:hAnsi="宋体" w:cs="宋体"/>
          <w:color w:val="auto"/>
          <w:sz w:val="21"/>
          <w:szCs w:val="21"/>
          <w:highlight w:val="none"/>
        </w:rPr>
        <w:t>9.服务质量考核条款</w:t>
      </w:r>
      <w:bookmarkEnd w:id="575"/>
      <w:bookmarkEnd w:id="576"/>
      <w:bookmarkEnd w:id="577"/>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9.1招标人依据《招标文件》、《投标文件》、合同和相关的项目验收要求对乙方提供的货物进行考核验收。如果乙方没有满足项目服务质量承诺的要求，乙方除应采取补救措施外，招标人有权要求乙方给予一定的赔偿。</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9.2乙方定期向招标人提交书面服务工作总结报告，至少每周一次工作进度简报，直至项目供货及服务完成。</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r>
        <w:rPr>
          <w:rFonts w:hint="eastAsia" w:ascii="方正小标宋简体" w:eastAsia="方正小标宋简体"/>
          <w:color w:val="auto"/>
          <w:sz w:val="21"/>
          <w:szCs w:val="21"/>
          <w:highlight w:val="none"/>
        </w:rPr>
        <w:t>五、项目验收：</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bookmarkStart w:id="578" w:name="_Toc422141880"/>
      <w:bookmarkStart w:id="579" w:name="_Toc32358"/>
      <w:bookmarkStart w:id="580" w:name="_Toc19005"/>
      <w:r>
        <w:rPr>
          <w:rFonts w:hint="eastAsia" w:ascii="宋体" w:hAnsi="宋体" w:cs="宋体"/>
          <w:color w:val="auto"/>
          <w:sz w:val="21"/>
          <w:szCs w:val="21"/>
          <w:highlight w:val="none"/>
        </w:rPr>
        <w:t>10.不可抗力</w:t>
      </w:r>
      <w:bookmarkEnd w:id="569"/>
      <w:bookmarkEnd w:id="570"/>
      <w:bookmarkEnd w:id="571"/>
      <w:bookmarkEnd w:id="578"/>
      <w:bookmarkEnd w:id="579"/>
      <w:bookmarkEnd w:id="580"/>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bookmarkStart w:id="581" w:name="_Toc133737829"/>
      <w:bookmarkStart w:id="582" w:name="_Toc133916702"/>
      <w:bookmarkStart w:id="583" w:name="_Toc133737918"/>
      <w:bookmarkStart w:id="584" w:name="_Toc155238632"/>
      <w:r>
        <w:rPr>
          <w:rFonts w:hint="eastAsia" w:ascii="宋体" w:hAnsi="宋体" w:cs="宋体"/>
          <w:color w:val="auto"/>
          <w:sz w:val="21"/>
          <w:szCs w:val="21"/>
          <w:highlight w:val="none"/>
        </w:rPr>
        <w:t>10.1如果双方中任何一方遭遇法律规定的不可抗力，致使合同履行受阻时，履行合同的期限应予延长，延长的期限应由双方协商确定后达成书面协议。</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10.2受事故影响的一方应在不可抗力的事故发生后尽快书面形式通知另一方，并在事故发生后5天内，将有关部门出具的证明文件送达另一方。</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10.3不可抗力使合同的某些内容需要变更时，双方应通过协商在5天内达成进一步履行合同的协议，因不可抗力致使合同不能继续履行的，合同终止。乙方提交已经完成的成果，并退还未完成部分的合同款项。</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bookmarkStart w:id="585" w:name="_Toc20488"/>
      <w:bookmarkStart w:id="586" w:name="_Toc6184"/>
      <w:bookmarkStart w:id="587" w:name="_Toc422141881"/>
      <w:r>
        <w:rPr>
          <w:rFonts w:hint="eastAsia" w:ascii="宋体" w:hAnsi="宋体" w:cs="宋体"/>
          <w:color w:val="auto"/>
          <w:sz w:val="21"/>
          <w:szCs w:val="21"/>
          <w:highlight w:val="none"/>
        </w:rPr>
        <w:t>11.合同争议的解决</w:t>
      </w:r>
      <w:bookmarkEnd w:id="581"/>
      <w:bookmarkEnd w:id="582"/>
      <w:bookmarkEnd w:id="583"/>
      <w:bookmarkEnd w:id="584"/>
      <w:bookmarkEnd w:id="585"/>
      <w:bookmarkEnd w:id="586"/>
      <w:bookmarkEnd w:id="587"/>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11.1因合同履行中发生的争议，合同当事人双方可通过协商解决。协商不成的，提请招标人所在地的仲裁委员会仲裁。</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11.2仲裁裁决应为最终裁决，当事人一方在规定时间内不履行仲裁机构裁决的，另一方可以申请人民法院强制执行。</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11.3仲裁费用和诉讼费用除仲裁机构和法院另有裁决外，应由败诉方负担。</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11.4在仲裁期间，除正在进行仲裁的部分外，本合同其它部分应继续执行。</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bookmarkStart w:id="588" w:name="_Toc26831"/>
      <w:bookmarkStart w:id="589" w:name="_Toc422141882"/>
      <w:bookmarkStart w:id="590" w:name="_Toc29810"/>
      <w:r>
        <w:rPr>
          <w:rFonts w:hint="eastAsia" w:ascii="宋体" w:hAnsi="宋体" w:cs="宋体"/>
          <w:color w:val="auto"/>
          <w:sz w:val="21"/>
          <w:szCs w:val="21"/>
          <w:highlight w:val="none"/>
        </w:rPr>
        <w:t>12.违约解除合同</w:t>
      </w:r>
      <w:bookmarkEnd w:id="588"/>
      <w:bookmarkEnd w:id="589"/>
      <w:bookmarkEnd w:id="590"/>
    </w:p>
    <w:bookmarkEnd w:id="563"/>
    <w:bookmarkEnd w:id="564"/>
    <w:bookmarkEnd w:id="565"/>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12.1乙方未能在合同规定的期间或招标人同意延长的期间内提供全部或部分服务,或在本合同履行过程中有腐败和欺诈行为的，招标人可向乙方发出书面通知，并部分或全部终止合同。同时保留向乙方追诉的权利。“腐败行为”是指提供/给予/接受或索取任何有价值的东西来影响招标人在合同签订、履行过程中的行为；“欺诈行为”是指为了影响合同签订、履行过程，以谎报事实的方法，损害招标人的利益的行为。</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12.2在招标人部分或全部解除合同之后，招标人在全部或部分购买与未交付的服务类似的服务时，乙方应承担招标人购买类似服务而产生的额外支出。部分解除合同的，乙方应继续履行合同中未解除的部分。</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bookmarkStart w:id="591" w:name="_Toc29104"/>
      <w:bookmarkStart w:id="592" w:name="_Toc422141883"/>
      <w:bookmarkStart w:id="593" w:name="_Toc11605"/>
      <w:r>
        <w:rPr>
          <w:rFonts w:hint="eastAsia" w:ascii="宋体" w:hAnsi="宋体" w:cs="宋体"/>
          <w:color w:val="auto"/>
          <w:sz w:val="21"/>
          <w:szCs w:val="21"/>
          <w:highlight w:val="none"/>
        </w:rPr>
        <w:t>13.破产终止合同</w:t>
      </w:r>
      <w:bookmarkEnd w:id="591"/>
      <w:bookmarkEnd w:id="592"/>
      <w:bookmarkEnd w:id="593"/>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13.1如果乙方破产或无清偿能力，招标人可在任何时候以书面形式通知乙方，提出终止合同而不给乙方补偿。该终止合同将不损害或影响招标人已经采取或将要采取的任何行动或补救措施的权利。</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bookmarkStart w:id="594" w:name="_Toc31258"/>
      <w:bookmarkStart w:id="595" w:name="_Toc422141884"/>
      <w:bookmarkStart w:id="596" w:name="_Toc10331"/>
      <w:r>
        <w:rPr>
          <w:rFonts w:hint="eastAsia" w:ascii="宋体" w:hAnsi="宋体" w:cs="宋体"/>
          <w:color w:val="auto"/>
          <w:sz w:val="21"/>
          <w:szCs w:val="21"/>
          <w:highlight w:val="none"/>
        </w:rPr>
        <w:t>14.合同修改</w:t>
      </w:r>
      <w:bookmarkEnd w:id="594"/>
      <w:bookmarkEnd w:id="595"/>
      <w:bookmarkEnd w:id="596"/>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14.1招标人和乙方都不得擅自变更本合同，但合同继续履行将损害国家和社会公共利益的除外。如必须对合同条款进行改动时，当事人双方须共同签署书面文件，作为合同的补充，并报同级政府采购监督管理部门备案。</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bookmarkStart w:id="597" w:name="_Toc19310"/>
      <w:bookmarkStart w:id="598" w:name="_Toc28576"/>
      <w:bookmarkStart w:id="599" w:name="_Toc422141885"/>
      <w:r>
        <w:rPr>
          <w:rFonts w:hint="eastAsia" w:ascii="宋体" w:hAnsi="宋体" w:cs="宋体"/>
          <w:color w:val="auto"/>
          <w:sz w:val="21"/>
          <w:szCs w:val="21"/>
          <w:highlight w:val="none"/>
        </w:rPr>
        <w:t>15.通知联络</w:t>
      </w:r>
      <w:bookmarkEnd w:id="597"/>
      <w:bookmarkEnd w:id="598"/>
      <w:bookmarkEnd w:id="599"/>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15.1本合同任何一方给另一方的通知，都应以书面形式发送，而另一方也应以书面形式确认并回复对方。</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15.2招标人和乙方需各自选派人员作为联络人，负责双方之间的日常联络工作。任何一方如需更换联络人，应以书面形式通知对方。</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15.3招标人同意由招标人的联络人接受乙方提供的合同项下的产品和服务，乙方同意由乙方的联络人承担本合同所规定的相关义务。</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16.甲乙双方需要约定和明确的其他事项：</w:t>
      </w:r>
      <w:r>
        <w:rPr>
          <w:rFonts w:hint="eastAsia" w:ascii="宋体" w:hAnsi="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bookmarkStart w:id="600" w:name="_Toc5814"/>
      <w:bookmarkStart w:id="601" w:name="_Toc31344"/>
      <w:bookmarkStart w:id="602" w:name="_Toc422141886"/>
      <w:r>
        <w:rPr>
          <w:rFonts w:hint="eastAsia" w:ascii="宋体" w:hAnsi="宋体" w:cs="宋体"/>
          <w:color w:val="auto"/>
          <w:sz w:val="21"/>
          <w:szCs w:val="21"/>
          <w:highlight w:val="none"/>
        </w:rPr>
        <w:t>17.合同生效及其他</w:t>
      </w:r>
      <w:bookmarkEnd w:id="600"/>
      <w:bookmarkEnd w:id="601"/>
      <w:bookmarkEnd w:id="602"/>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 w:val="21"/>
          <w:szCs w:val="21"/>
          <w:highlight w:val="none"/>
        </w:rPr>
      </w:pPr>
      <w:bookmarkStart w:id="603" w:name="_Toc133737839"/>
      <w:bookmarkStart w:id="604" w:name="_Toc133737928"/>
      <w:r>
        <w:rPr>
          <w:rFonts w:hint="eastAsia" w:ascii="宋体" w:hAnsi="宋体" w:cs="宋体"/>
          <w:color w:val="auto"/>
          <w:sz w:val="21"/>
          <w:szCs w:val="21"/>
          <w:highlight w:val="none"/>
        </w:rPr>
        <w:t>17.1本合同经甲乙双方及代理机构签字盖章后生效。</w:t>
      </w:r>
      <w:bookmarkEnd w:id="603"/>
      <w:bookmarkEnd w:id="604"/>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17.2本合同中所带的附件，具备合同本身同样的法律效力。</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17.3本合同一式六份，其中，招标人</w:t>
      </w:r>
      <w:r>
        <w:rPr>
          <w:rFonts w:hint="eastAsia" w:ascii="宋体" w:hAnsi="宋体" w:cs="宋体"/>
          <w:color w:val="auto"/>
          <w:sz w:val="21"/>
          <w:szCs w:val="21"/>
          <w:highlight w:val="none"/>
          <w:lang w:eastAsia="zh-CN"/>
        </w:rPr>
        <w:t>叁</w:t>
      </w:r>
      <w:r>
        <w:rPr>
          <w:rFonts w:hint="eastAsia" w:ascii="宋体" w:hAnsi="宋体" w:cs="宋体"/>
          <w:color w:val="auto"/>
          <w:sz w:val="21"/>
          <w:szCs w:val="21"/>
          <w:highlight w:val="none"/>
        </w:rPr>
        <w:t>份，乙方贰份，代理机构壹份。均具有同等法律效力。</w:t>
      </w:r>
    </w:p>
    <w:tbl>
      <w:tblPr>
        <w:tblStyle w:val="15"/>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2"/>
        <w:gridCol w:w="4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 w:hRule="atLeast"/>
          <w:jc w:val="center"/>
        </w:trPr>
        <w:tc>
          <w:tcPr>
            <w:tcW w:w="4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auto"/>
                <w:sz w:val="21"/>
                <w:szCs w:val="21"/>
                <w:highlight w:val="none"/>
              </w:rPr>
            </w:pPr>
            <w:r>
              <w:rPr>
                <w:rFonts w:hint="eastAsia" w:ascii="宋体" w:hAnsi="宋体"/>
                <w:color w:val="auto"/>
                <w:sz w:val="21"/>
                <w:szCs w:val="21"/>
                <w:highlight w:val="none"/>
              </w:rPr>
              <w:t xml:space="preserve">招标人（公章）：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olor w:val="auto"/>
                <w:sz w:val="21"/>
                <w:szCs w:val="21"/>
                <w:highlight w:val="none"/>
              </w:rPr>
            </w:pPr>
            <w:r>
              <w:rPr>
                <w:rFonts w:hint="eastAsia" w:ascii="宋体" w:hAnsi="宋体"/>
                <w:color w:val="auto"/>
                <w:sz w:val="21"/>
                <w:szCs w:val="21"/>
                <w:highlight w:val="none"/>
              </w:rPr>
              <w:t xml:space="preserve">地址：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auto"/>
                <w:sz w:val="21"/>
                <w:szCs w:val="21"/>
                <w:highlight w:val="none"/>
              </w:rPr>
            </w:pPr>
            <w:r>
              <w:rPr>
                <w:rFonts w:hint="eastAsia" w:ascii="宋体" w:hAnsi="宋体"/>
                <w:color w:val="auto"/>
                <w:sz w:val="21"/>
                <w:szCs w:val="21"/>
                <w:highlight w:val="none"/>
              </w:rPr>
              <w:t xml:space="preserve">电  话: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auto"/>
                <w:sz w:val="21"/>
                <w:szCs w:val="21"/>
                <w:highlight w:val="none"/>
              </w:rPr>
            </w:pPr>
            <w:r>
              <w:rPr>
                <w:rFonts w:hint="eastAsia" w:ascii="宋体" w:hAnsi="宋体"/>
                <w:color w:val="auto"/>
                <w:sz w:val="21"/>
                <w:szCs w:val="21"/>
                <w:highlight w:val="none"/>
              </w:rPr>
              <w:t>传</w:t>
            </w:r>
            <w:r>
              <w:rPr>
                <w:rFonts w:ascii="宋体" w:hAnsi="宋体"/>
                <w:color w:val="auto"/>
                <w:sz w:val="21"/>
                <w:szCs w:val="21"/>
                <w:highlight w:val="none"/>
              </w:rPr>
              <w:t> </w:t>
            </w:r>
            <w:r>
              <w:rPr>
                <w:rFonts w:hint="eastAsia" w:ascii="宋体" w:hAnsi="宋体"/>
                <w:color w:val="auto"/>
                <w:sz w:val="21"/>
                <w:szCs w:val="21"/>
                <w:highlight w:val="none"/>
              </w:rPr>
              <w:t>真：</w:t>
            </w:r>
            <w:r>
              <w:rPr>
                <w:rFonts w:hint="eastAsia" w:ascii="宋体" w:hAnsi="宋体"/>
                <w:color w:val="auto"/>
                <w:sz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auto"/>
                <w:sz w:val="21"/>
                <w:szCs w:val="21"/>
                <w:highlight w:val="none"/>
              </w:rPr>
            </w:pPr>
            <w:r>
              <w:rPr>
                <w:rFonts w:hint="eastAsia" w:ascii="宋体" w:hAnsi="宋体"/>
                <w:color w:val="auto"/>
                <w:sz w:val="21"/>
                <w:szCs w:val="21"/>
                <w:highlight w:val="none"/>
              </w:rPr>
              <w:t xml:space="preserve">邮  编: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auto"/>
                <w:sz w:val="21"/>
                <w:szCs w:val="21"/>
                <w:highlight w:val="none"/>
              </w:rPr>
            </w:pPr>
            <w:r>
              <w:rPr>
                <w:rFonts w:hint="eastAsia" w:ascii="宋体" w:hAnsi="宋体"/>
                <w:color w:val="auto"/>
                <w:sz w:val="21"/>
                <w:szCs w:val="21"/>
                <w:highlight w:val="none"/>
              </w:rPr>
              <w:t>法定代表人或委托代理人：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auto"/>
                <w:sz w:val="21"/>
                <w:szCs w:val="21"/>
                <w:highlight w:val="none"/>
              </w:rPr>
            </w:pPr>
            <w:r>
              <w:rPr>
                <w:rFonts w:hint="eastAsia" w:ascii="宋体" w:hAnsi="宋体"/>
                <w:color w:val="auto"/>
                <w:sz w:val="21"/>
                <w:szCs w:val="21"/>
                <w:highlight w:val="none"/>
              </w:rPr>
              <w:t>签字日期:       年     月     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auto"/>
                <w:sz w:val="21"/>
                <w:szCs w:val="21"/>
                <w:highlight w:val="none"/>
              </w:rPr>
            </w:pPr>
            <w:r>
              <w:rPr>
                <w:rFonts w:hint="eastAsia" w:ascii="宋体" w:hAnsi="宋体"/>
                <w:color w:val="auto"/>
                <w:sz w:val="21"/>
                <w:szCs w:val="21"/>
                <w:highlight w:val="none"/>
              </w:rPr>
              <w:t>开户行：</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auto"/>
                <w:sz w:val="21"/>
                <w:szCs w:val="21"/>
                <w:highlight w:val="none"/>
              </w:rPr>
            </w:pPr>
            <w:r>
              <w:rPr>
                <w:rFonts w:hint="eastAsia" w:ascii="宋体" w:hAnsi="宋体"/>
                <w:color w:val="auto"/>
                <w:sz w:val="21"/>
                <w:szCs w:val="21"/>
                <w:highlight w:val="none"/>
              </w:rPr>
              <w:t>账号：</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auto"/>
                <w:sz w:val="21"/>
                <w:szCs w:val="21"/>
                <w:highlight w:val="none"/>
              </w:rPr>
            </w:pPr>
            <w:r>
              <w:rPr>
                <w:rFonts w:hint="eastAsia" w:ascii="宋体" w:hAnsi="宋体"/>
                <w:color w:val="auto"/>
                <w:sz w:val="21"/>
                <w:szCs w:val="21"/>
                <w:highlight w:val="none"/>
              </w:rPr>
              <w:t>乙方（公章）：</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auto"/>
                <w:sz w:val="21"/>
                <w:szCs w:val="21"/>
                <w:highlight w:val="none"/>
              </w:rPr>
            </w:pPr>
            <w:r>
              <w:rPr>
                <w:rFonts w:hint="eastAsia" w:ascii="宋体" w:hAnsi="宋体"/>
                <w:color w:val="auto"/>
                <w:sz w:val="21"/>
                <w:szCs w:val="21"/>
                <w:highlight w:val="none"/>
              </w:rPr>
              <w:t xml:space="preserve">地址：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auto"/>
                <w:sz w:val="21"/>
                <w:szCs w:val="21"/>
                <w:highlight w:val="none"/>
              </w:rPr>
            </w:pPr>
            <w:r>
              <w:rPr>
                <w:rFonts w:hint="eastAsia" w:ascii="宋体" w:hAnsi="宋体"/>
                <w:color w:val="auto"/>
                <w:sz w:val="21"/>
                <w:szCs w:val="21"/>
                <w:highlight w:val="none"/>
              </w:rPr>
              <w:t>电话:</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auto"/>
                <w:sz w:val="21"/>
                <w:szCs w:val="21"/>
                <w:highlight w:val="none"/>
              </w:rPr>
            </w:pPr>
            <w:r>
              <w:rPr>
                <w:rFonts w:hint="eastAsia" w:ascii="宋体" w:hAnsi="宋体"/>
                <w:color w:val="auto"/>
                <w:sz w:val="21"/>
                <w:szCs w:val="21"/>
                <w:highlight w:val="none"/>
              </w:rPr>
              <w:t>邮编:</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auto"/>
                <w:sz w:val="21"/>
                <w:szCs w:val="21"/>
                <w:highlight w:val="none"/>
              </w:rPr>
            </w:pPr>
            <w:r>
              <w:rPr>
                <w:rFonts w:hint="eastAsia" w:ascii="宋体" w:hAnsi="宋体"/>
                <w:color w:val="auto"/>
                <w:sz w:val="21"/>
                <w:szCs w:val="21"/>
                <w:highlight w:val="none"/>
              </w:rPr>
              <w:t>法定代表人或委托代理人：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auto"/>
                <w:sz w:val="21"/>
                <w:szCs w:val="21"/>
                <w:highlight w:val="none"/>
              </w:rPr>
            </w:pPr>
            <w:r>
              <w:rPr>
                <w:rFonts w:hint="eastAsia" w:ascii="宋体" w:hAnsi="宋体"/>
                <w:color w:val="auto"/>
                <w:sz w:val="21"/>
                <w:szCs w:val="21"/>
                <w:highlight w:val="none"/>
              </w:rPr>
              <w:t>签字日期:       年     月     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auto"/>
                <w:sz w:val="21"/>
                <w:szCs w:val="21"/>
                <w:highlight w:val="none"/>
              </w:rPr>
            </w:pPr>
            <w:r>
              <w:rPr>
                <w:rFonts w:hint="eastAsia" w:ascii="宋体" w:hAnsi="宋体"/>
                <w:color w:val="auto"/>
                <w:sz w:val="21"/>
                <w:szCs w:val="21"/>
                <w:highlight w:val="none"/>
              </w:rPr>
              <w:t>开户行：</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auto"/>
                <w:sz w:val="21"/>
                <w:szCs w:val="21"/>
                <w:highlight w:val="none"/>
              </w:rPr>
            </w:pPr>
            <w:r>
              <w:rPr>
                <w:rFonts w:hint="eastAsia" w:ascii="宋体" w:hAnsi="宋体"/>
                <w:color w:val="auto"/>
                <w:sz w:val="21"/>
                <w:szCs w:val="21"/>
                <w:highlight w:val="none"/>
              </w:rPr>
              <w:t>账号：</w:t>
            </w:r>
          </w:p>
        </w:tc>
      </w:tr>
    </w:tbl>
    <w:p>
      <w:pPr>
        <w:keepNext w:val="0"/>
        <w:keepLines w:val="0"/>
        <w:pageBreakBefore w:val="0"/>
        <w:widowControl w:val="0"/>
        <w:kinsoku/>
        <w:wordWrap/>
        <w:overflowPunct/>
        <w:topLinePunct w:val="0"/>
        <w:autoSpaceDE/>
        <w:autoSpaceDN/>
        <w:bidi w:val="0"/>
        <w:adjustRightInd/>
        <w:snapToGrid/>
        <w:spacing w:line="500" w:lineRule="exact"/>
        <w:ind w:left="425"/>
        <w:textAlignment w:val="auto"/>
        <w:rPr>
          <w:rFonts w:hint="eastAsia" w:ascii="宋体" w:hAnsi="宋体"/>
          <w:b/>
          <w:color w:val="auto"/>
          <w:sz w:val="18"/>
          <w:szCs w:val="18"/>
          <w:highlight w:val="none"/>
          <w:u w:val="single"/>
        </w:rPr>
      </w:pPr>
      <w:r>
        <w:rPr>
          <w:rFonts w:hint="eastAsia" w:ascii="宋体" w:hAnsi="宋体"/>
          <w:b/>
          <w:color w:val="auto"/>
          <w:sz w:val="18"/>
          <w:szCs w:val="18"/>
          <w:highlight w:val="none"/>
        </w:rPr>
        <w:t>注：本合同格式仅作为参考文本，合同签订双方可根据项目的具体要求进行修订。</w:t>
      </w:r>
    </w:p>
    <w:p>
      <w:pPr>
        <w:rPr>
          <w:rFonts w:hint="eastAsia" w:ascii="宋体" w:hAnsi="宋体"/>
          <w:color w:val="auto"/>
          <w:sz w:val="32"/>
          <w:szCs w:val="32"/>
          <w:highlight w:val="none"/>
          <w:lang w:eastAsia="zh-CN"/>
        </w:rPr>
      </w:pPr>
    </w:p>
    <w:p>
      <w:pPr>
        <w:pStyle w:val="6"/>
        <w:rPr>
          <w:rFonts w:hint="eastAsia" w:ascii="宋体" w:hAnsi="宋体"/>
          <w:color w:val="auto"/>
          <w:sz w:val="32"/>
          <w:szCs w:val="32"/>
          <w:highlight w:val="none"/>
          <w:lang w:eastAsia="zh-CN"/>
        </w:rPr>
      </w:pPr>
    </w:p>
    <w:p>
      <w:pPr>
        <w:rPr>
          <w:rFonts w:hint="eastAsia" w:ascii="宋体" w:hAnsi="宋体"/>
          <w:color w:val="auto"/>
          <w:sz w:val="32"/>
          <w:szCs w:val="32"/>
          <w:highlight w:val="none"/>
          <w:lang w:eastAsia="zh-CN"/>
        </w:rPr>
      </w:pPr>
    </w:p>
    <w:p>
      <w:pPr>
        <w:pStyle w:val="4"/>
        <w:rPr>
          <w:rFonts w:hint="eastAsia" w:ascii="宋体" w:hAnsi="宋体"/>
          <w:color w:val="auto"/>
          <w:sz w:val="32"/>
          <w:szCs w:val="32"/>
          <w:highlight w:val="none"/>
          <w:lang w:eastAsia="zh-CN"/>
        </w:rPr>
      </w:pPr>
    </w:p>
    <w:p>
      <w:pPr>
        <w:rPr>
          <w:rFonts w:hint="eastAsia" w:ascii="宋体" w:hAnsi="宋体"/>
          <w:color w:val="auto"/>
          <w:sz w:val="32"/>
          <w:szCs w:val="32"/>
          <w:highlight w:val="none"/>
          <w:lang w:eastAsia="zh-CN"/>
        </w:rPr>
      </w:pPr>
    </w:p>
    <w:p>
      <w:pPr>
        <w:pStyle w:val="4"/>
        <w:rPr>
          <w:rFonts w:hint="eastAsia" w:ascii="宋体" w:hAnsi="宋体"/>
          <w:color w:val="auto"/>
          <w:sz w:val="32"/>
          <w:szCs w:val="32"/>
          <w:highlight w:val="none"/>
          <w:lang w:eastAsia="zh-CN"/>
        </w:rPr>
      </w:pPr>
    </w:p>
    <w:p>
      <w:pPr>
        <w:rPr>
          <w:rFonts w:hint="eastAsia" w:ascii="宋体" w:hAnsi="宋体"/>
          <w:color w:val="auto"/>
          <w:sz w:val="32"/>
          <w:szCs w:val="32"/>
          <w:highlight w:val="none"/>
          <w:lang w:eastAsia="zh-CN"/>
        </w:rPr>
      </w:pPr>
    </w:p>
    <w:p>
      <w:pPr>
        <w:pStyle w:val="4"/>
        <w:rPr>
          <w:rFonts w:hint="eastAsia" w:ascii="宋体" w:hAnsi="宋体"/>
          <w:color w:val="auto"/>
          <w:sz w:val="32"/>
          <w:szCs w:val="32"/>
          <w:highlight w:val="none"/>
          <w:lang w:eastAsia="zh-CN"/>
        </w:rPr>
      </w:pPr>
    </w:p>
    <w:p>
      <w:pPr>
        <w:rPr>
          <w:rFonts w:hint="eastAsia" w:ascii="宋体" w:hAnsi="宋体"/>
          <w:color w:val="auto"/>
          <w:sz w:val="32"/>
          <w:szCs w:val="32"/>
          <w:highlight w:val="none"/>
          <w:lang w:eastAsia="zh-CN"/>
        </w:rPr>
      </w:pPr>
    </w:p>
    <w:p>
      <w:pPr>
        <w:pStyle w:val="4"/>
        <w:rPr>
          <w:rFonts w:hint="eastAsia" w:ascii="宋体" w:hAnsi="宋体"/>
          <w:color w:val="auto"/>
          <w:sz w:val="32"/>
          <w:szCs w:val="32"/>
          <w:highlight w:val="none"/>
          <w:lang w:eastAsia="zh-CN"/>
        </w:rPr>
      </w:pPr>
    </w:p>
    <w:p>
      <w:pPr>
        <w:rPr>
          <w:rFonts w:hint="eastAsia" w:ascii="宋体" w:hAnsi="宋体"/>
          <w:color w:val="auto"/>
          <w:sz w:val="32"/>
          <w:szCs w:val="32"/>
          <w:highlight w:val="none"/>
          <w:lang w:eastAsia="zh-CN"/>
        </w:rPr>
      </w:pPr>
    </w:p>
    <w:p>
      <w:pPr>
        <w:pStyle w:val="6"/>
        <w:rPr>
          <w:rFonts w:hint="eastAsia" w:ascii="宋体" w:hAnsi="宋体"/>
          <w:color w:val="auto"/>
          <w:sz w:val="32"/>
          <w:szCs w:val="32"/>
          <w:highlight w:val="none"/>
          <w:lang w:eastAsia="zh-CN"/>
        </w:rPr>
      </w:pPr>
    </w:p>
    <w:p>
      <w:pPr>
        <w:rPr>
          <w:rFonts w:hint="eastAsia" w:ascii="宋体" w:hAnsi="宋体"/>
          <w:color w:val="auto"/>
          <w:sz w:val="32"/>
          <w:szCs w:val="32"/>
          <w:highlight w:val="none"/>
          <w:lang w:eastAsia="zh-CN"/>
        </w:rPr>
      </w:pPr>
    </w:p>
    <w:p>
      <w:pPr>
        <w:rPr>
          <w:rFonts w:hint="eastAsia"/>
          <w:color w:val="auto"/>
          <w:highlight w:val="none"/>
          <w:lang w:eastAsia="zh-CN"/>
        </w:rPr>
      </w:pPr>
    </w:p>
    <w:p>
      <w:pPr>
        <w:rPr>
          <w:color w:val="auto"/>
          <w:highlight w:val="none"/>
        </w:rPr>
      </w:pPr>
    </w:p>
    <w:sectPr>
      <w:footerReference r:id="rId16" w:type="first"/>
      <w:headerReference r:id="rId14" w:type="default"/>
      <w:footerReference r:id="rId15" w:type="default"/>
      <w:pgSz w:w="11907" w:h="16840"/>
      <w:pgMar w:top="1440" w:right="1797" w:bottom="1440" w:left="1797" w:header="851" w:footer="850" w:gutter="0"/>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方正大标宋_GBK">
    <w:altName w:val="宋体"/>
    <w:panose1 w:val="00000000000000000000"/>
    <w:charset w:val="00"/>
    <w:family w:val="auto"/>
    <w:pitch w:val="default"/>
    <w:sig w:usb0="00000000" w:usb1="00000000" w:usb2="00000000"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default"/>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default"/>
        <w:lang w:val="en-U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double" w:color="auto" w:sz="6" w:space="6"/>
      </w:pBdr>
      <w:tabs>
        <w:tab w:val="left" w:pos="6120"/>
        <w:tab w:val="clear" w:pos="4153"/>
        <w:tab w:val="clear" w:pos="8306"/>
      </w:tabs>
      <w:ind w:right="360"/>
      <w:rPr>
        <w:rFonts w:ascii="楷体_GB2312" w:eastAsia="楷体_GB2312"/>
        <w:i/>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- 45 -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&#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b0YQf0QEAAKMDAAAOAAAAAAAAAAEAIAAAACIB&#10;AABkcnMvZTJvRG9jLnhtbFBLBQYAAAAABgAGAFkBAABlBQAAAAA=&#10;">
              <v:fill on="f" focussize="0,0"/>
              <v:stroke on="f" weight="1.25pt"/>
              <v:imagedata o:title=""/>
              <o:lock v:ext="edit" aspectratio="f"/>
              <v:textbox inset="0mm,0mm,0mm,0mm" style="mso-fit-shape-to-text:t;">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- 45 -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42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rPr>
        <w:sz w:val="32"/>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1143000</wp:posOffset>
              </wp:positionH>
              <wp:positionV relativeFrom="page">
                <wp:posOffset>9552305</wp:posOffset>
              </wp:positionV>
              <wp:extent cx="1828800"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1828800" cy="0"/>
                      </a:xfrm>
                      <a:prstGeom prst="line">
                        <a:avLst/>
                      </a:prstGeom>
                      <a:ln w="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0pt;margin-top:752.15pt;height:0pt;width:144pt;mso-position-horizontal-relative:page;mso-position-vertical-relative:page;z-index:-251657216;mso-width-relative:page;mso-height-relative:page;" filled="f" stroked="t" coordsize="21600,21600" o:gfxdata="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6AGLjtYAAAANAQAADwAAAAAAAAABACAAAAAiAAAAZHJzL2Rvd25yZXYueG1sUEsBAhQAFAAA&#10;AAgAh07iQHPXtoDxAQAA4wMAAA4AAAAAAAAAAQAgAAAAJQEAAGRycy9lMm9Eb2MueG1sUEsFBgAA&#10;AAAGAAYAWQEAAIgFAAAAAA==&#10;">
              <v:fill on="f" focussize="0,0"/>
              <v:stroke weight="0pt" color="#000000" joinstyle="round"/>
              <v:imagedata o:title=""/>
              <o:lock v:ext="edit" aspectratio="f"/>
            </v:lin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1130300</wp:posOffset>
              </wp:positionH>
              <wp:positionV relativeFrom="page">
                <wp:posOffset>9627235</wp:posOffset>
              </wp:positionV>
              <wp:extent cx="62230" cy="1066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2230" cy="106680"/>
                      </a:xfrm>
                      <a:prstGeom prst="rect">
                        <a:avLst/>
                      </a:prstGeom>
                      <a:noFill/>
                      <a:ln>
                        <a:noFill/>
                      </a:ln>
                    </wps:spPr>
                    <wps:txbx>
                      <w:txbxContent>
                        <w:p>
                          <w:pPr>
                            <w:spacing w:before="19"/>
                            <w:ind w:left="20" w:right="0" w:firstLine="0"/>
                            <w:jc w:val="left"/>
                            <w:rPr>
                              <w:rFonts w:ascii="Times New Roman"/>
                              <w:sz w:val="11"/>
                            </w:rPr>
                          </w:pPr>
                          <w:r>
                            <w:rPr>
                              <w:rFonts w:ascii="Times New Roman"/>
                              <w:w w:val="104"/>
                              <w:sz w:val="11"/>
                            </w:rPr>
                            <w:t>1</w:t>
                          </w:r>
                        </w:p>
                      </w:txbxContent>
                    </wps:txbx>
                    <wps:bodyPr lIns="0" tIns="0" rIns="0" bIns="0" upright="1"/>
                  </wps:wsp>
                </a:graphicData>
              </a:graphic>
            </wp:anchor>
          </w:drawing>
        </mc:Choice>
        <mc:Fallback>
          <w:pict>
            <v:shape id="_x0000_s1026" o:spid="_x0000_s1026" o:spt="202" type="#_x0000_t202" style="position:absolute;left:0pt;margin-left:89pt;margin-top:758.05pt;height:8.4pt;width:4.9pt;mso-position-horizontal-relative:page;mso-position-vertical-relative:page;z-index:-251656192;mso-width-relative:page;mso-height-relative:page;" filled="f" stroked="f" coordsize="21600,21600" o:gfxdata="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odeEfaAAAADQEAAA8AAAAAAAAAAQAgAAAAIgAAAGRycy9kb3ducmV2LnhtbFBLAQIU&#10;ABQAAAAIAIdO4kAhaD+guAEAAHADAAAOAAAAAAAAAAEAIAAAACkBAABkcnMvZTJvRG9jLnhtbFBL&#10;BQYAAAAABgAGAFkBAABTBQAAAAA=&#10;">
              <v:fill on="f" focussize="0,0"/>
              <v:stroke on="f"/>
              <v:imagedata o:title=""/>
              <o:lock v:ext="edit" aspectratio="f"/>
              <v:textbox inset="0mm,0mm,0mm,0mm">
                <w:txbxContent>
                  <w:p>
                    <w:pPr>
                      <w:spacing w:before="19"/>
                      <w:ind w:left="20" w:right="0" w:firstLine="0"/>
                      <w:jc w:val="left"/>
                      <w:rPr>
                        <w:rFonts w:ascii="Times New Roman"/>
                        <w:sz w:val="11"/>
                      </w:rPr>
                    </w:pPr>
                    <w:r>
                      <w:rPr>
                        <w:rFonts w:ascii="Times New Roman"/>
                        <w:w w:val="104"/>
                        <w:sz w:val="11"/>
                      </w:rPr>
                      <w:t>1</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ge">
                <wp:posOffset>9633585</wp:posOffset>
              </wp:positionV>
              <wp:extent cx="4711700" cy="299085"/>
              <wp:effectExtent l="0" t="0" r="0" b="0"/>
              <wp:wrapNone/>
              <wp:docPr id="4" name="文本框 4"/>
              <wp:cNvGraphicFramePr/>
              <a:graphic xmlns:a="http://schemas.openxmlformats.org/drawingml/2006/main">
                <a:graphicData uri="http://schemas.microsoft.com/office/word/2010/wordprocessingShape">
                  <wps:wsp>
                    <wps:cNvSpPr txBox="1"/>
                    <wps:spPr>
                      <a:xfrm>
                        <a:off x="0" y="0"/>
                        <a:ext cx="4711700" cy="299085"/>
                      </a:xfrm>
                      <a:prstGeom prst="rect">
                        <a:avLst/>
                      </a:prstGeom>
                      <a:noFill/>
                      <a:ln>
                        <a:noFill/>
                      </a:ln>
                    </wps:spPr>
                    <wps:txbx>
                      <w:txbxContent>
                        <w:p>
                          <w:pPr>
                            <w:spacing w:before="8"/>
                            <w:ind w:left="3911" w:right="3285" w:firstLine="0"/>
                            <w:jc w:val="center"/>
                            <w:rPr>
                              <w:rFonts w:ascii="Calibri"/>
                              <w:sz w:val="18"/>
                            </w:rPr>
                          </w:pPr>
                        </w:p>
                      </w:txbxContent>
                    </wps:txbx>
                    <wps:bodyPr lIns="0" tIns="0" rIns="0" bIns="0" upright="1"/>
                  </wps:wsp>
                </a:graphicData>
              </a:graphic>
            </wp:anchor>
          </w:drawing>
        </mc:Choice>
        <mc:Fallback>
          <w:pict>
            <v:shape id="_x0000_s1026" o:spid="_x0000_s1026" o:spt="202" type="#_x0000_t202" style="position:absolute;left:0pt;margin-top:758.55pt;height:23.55pt;width:371pt;mso-position-horizontal:right;mso-position-horizontal-relative:margin;mso-position-vertical-relative:page;z-index:251667456;mso-width-relative:page;mso-height-relative:page;" filled="f" stroked="f" coordsize="21600,21600" o:gfxdata="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E30TYAAAACgEAAA8AAAAAAAAAAQAgAAAAIgAAAGRycy9kb3ducmV2LnhtbFBLAQIU&#10;ABQAAAAIAIdO4kCQ7JwmugEAAHIDAAAOAAAAAAAAAAEAIAAAACcBAABkcnMvZTJvRG9jLnhtbFBL&#10;BQYAAAAABgAGAFkBAABTBQAAAAA=&#10;">
              <v:fill on="f" focussize="0,0"/>
              <v:stroke on="f"/>
              <v:imagedata o:title=""/>
              <o:lock v:ext="edit" aspectratio="f"/>
              <v:textbox inset="0mm,0mm,0mm,0mm">
                <w:txbxContent>
                  <w:p>
                    <w:pPr>
                      <w:spacing w:before="8"/>
                      <w:ind w:left="3911" w:right="3285" w:firstLine="0"/>
                      <w:jc w:val="center"/>
                      <w:rPr>
                        <w:rFonts w:ascii="Calibri"/>
                        <w:sz w:val="18"/>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4" w:space="1"/>
      </w:pBdr>
      <w:rPr>
        <w:rFonts w:hint="eastAsia" w:eastAsia="宋体"/>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50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4" w:space="1"/>
      </w:pBdr>
      <w:rPr>
        <w:rFonts w:hint="default"/>
        <w:lang w:val="en-US"/>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49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49</w:t>
                    </w:r>
                    <w:r>
                      <w:fldChar w:fldCharType="end"/>
                    </w:r>
                  </w:p>
                </w:txbxContent>
              </v:textbox>
            </v:shape>
          </w:pict>
        </mc:Fallback>
      </mc:AlternateContent>
    </w:r>
    <w:r>
      <w:rPr>
        <w:rFonts w:hint="eastAsia"/>
        <w:lang w:eastAsia="zh-CN"/>
      </w:rPr>
      <w:t>甘新疆泽一项目管理有限公司</w:t>
    </w:r>
    <w:r>
      <w:rPr>
        <w:rFonts w:hint="eastAsia"/>
        <w:lang w:val="en-US" w:eastAsia="zh-CN"/>
      </w:rPr>
      <w:t xml:space="preserve">                                    电话：15292348006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31"/>
        <w:tab w:val="center" w:pos="4216"/>
      </w:tabs>
      <w:jc w:val="left"/>
      <w:rPr>
        <w:rFonts w:ascii="宋体" w:hAnsi="宋体"/>
        <w:b/>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31"/>
        <w:tab w:val="center" w:pos="4216"/>
      </w:tabs>
      <w:jc w:val="left"/>
      <w:rPr>
        <w:rFonts w:ascii="宋体" w:hAnsi="宋体"/>
        <w:b/>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szCs w:val="21"/>
      </w:rPr>
    </w:pPr>
    <w:r>
      <w:rPr>
        <w:rFonts w:hint="eastAsia" w:ascii="楷体_GB2312" w:hAnsi="宋体" w:eastAsia="楷体_GB2312"/>
        <w:b/>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8B9CE0"/>
    <w:multiLevelType w:val="singleLevel"/>
    <w:tmpl w:val="D68B9CE0"/>
    <w:lvl w:ilvl="0" w:tentative="0">
      <w:start w:val="4"/>
      <w:numFmt w:val="decimal"/>
      <w:lvlText w:val="%1."/>
      <w:lvlJc w:val="left"/>
      <w:pPr>
        <w:tabs>
          <w:tab w:val="left" w:pos="312"/>
        </w:tabs>
      </w:pPr>
    </w:lvl>
  </w:abstractNum>
  <w:abstractNum w:abstractNumId="1">
    <w:nsid w:val="DE00CEA5"/>
    <w:multiLevelType w:val="singleLevel"/>
    <w:tmpl w:val="DE00CEA5"/>
    <w:lvl w:ilvl="0" w:tentative="0">
      <w:start w:val="2"/>
      <w:numFmt w:val="decimal"/>
      <w:lvlText w:val="%1."/>
      <w:lvlJc w:val="left"/>
      <w:pPr>
        <w:tabs>
          <w:tab w:val="left" w:pos="312"/>
        </w:tabs>
      </w:pPr>
    </w:lvl>
  </w:abstractNum>
  <w:abstractNum w:abstractNumId="2">
    <w:nsid w:val="108167C4"/>
    <w:multiLevelType w:val="singleLevel"/>
    <w:tmpl w:val="108167C4"/>
    <w:lvl w:ilvl="0" w:tentative="0">
      <w:start w:val="1"/>
      <w:numFmt w:val="decimal"/>
      <w:suff w:val="nothing"/>
      <w:lvlText w:val="（%1）"/>
      <w:lvlJc w:val="left"/>
      <w:pPr>
        <w:ind w:left="420"/>
      </w:pPr>
    </w:lvl>
  </w:abstractNum>
  <w:abstractNum w:abstractNumId="3">
    <w:nsid w:val="1483F91C"/>
    <w:multiLevelType w:val="singleLevel"/>
    <w:tmpl w:val="1483F91C"/>
    <w:lvl w:ilvl="0" w:tentative="0">
      <w:start w:val="7"/>
      <w:numFmt w:val="chineseCounting"/>
      <w:suff w:val="nothing"/>
      <w:lvlText w:val="%1、"/>
      <w:lvlJc w:val="left"/>
      <w:rPr>
        <w:rFonts w:hint="eastAsia"/>
      </w:rPr>
    </w:lvl>
  </w:abstractNum>
  <w:abstractNum w:abstractNumId="4">
    <w:nsid w:val="18D5138B"/>
    <w:multiLevelType w:val="singleLevel"/>
    <w:tmpl w:val="18D5138B"/>
    <w:lvl w:ilvl="0" w:tentative="0">
      <w:start w:val="1"/>
      <w:numFmt w:val="decimal"/>
      <w:suff w:val="nothing"/>
      <w:lvlText w:val="（%1）"/>
      <w:lvlJc w:val="left"/>
    </w:lvl>
  </w:abstractNum>
  <w:abstractNum w:abstractNumId="5">
    <w:nsid w:val="3C09772B"/>
    <w:multiLevelType w:val="multilevel"/>
    <w:tmpl w:val="3C09772B"/>
    <w:lvl w:ilvl="0" w:tentative="0">
      <w:start w:val="1"/>
      <w:numFmt w:val="decimal"/>
      <w:suff w:val="nothing"/>
      <w:lvlText w:val="（%1）"/>
      <w:lvlJc w:val="left"/>
      <w:pPr>
        <w:ind w:left="0" w:firstLine="48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47DA457F"/>
    <w:multiLevelType w:val="multilevel"/>
    <w:tmpl w:val="47DA457F"/>
    <w:lvl w:ilvl="0" w:tentative="0">
      <w:start w:val="1"/>
      <w:numFmt w:val="decimal"/>
      <w:suff w:val="nothing"/>
      <w:lvlText w:val="（%1）"/>
      <w:lvlJc w:val="left"/>
      <w:pPr>
        <w:ind w:left="570" w:firstLine="48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4B3CFB1A"/>
    <w:multiLevelType w:val="singleLevel"/>
    <w:tmpl w:val="4B3CFB1A"/>
    <w:lvl w:ilvl="0" w:tentative="0">
      <w:start w:val="1"/>
      <w:numFmt w:val="decimal"/>
      <w:lvlText w:val="%1."/>
      <w:lvlJc w:val="left"/>
      <w:pPr>
        <w:tabs>
          <w:tab w:val="left" w:pos="312"/>
        </w:tabs>
      </w:pPr>
    </w:lvl>
  </w:abstractNum>
  <w:abstractNum w:abstractNumId="8">
    <w:nsid w:val="567D0A20"/>
    <w:multiLevelType w:val="singleLevel"/>
    <w:tmpl w:val="567D0A20"/>
    <w:lvl w:ilvl="0" w:tentative="0">
      <w:start w:val="3"/>
      <w:numFmt w:val="decimal"/>
      <w:suff w:val="nothing"/>
      <w:lvlText w:val="%1）"/>
      <w:lvlJc w:val="left"/>
    </w:lvl>
  </w:abstractNum>
  <w:abstractNum w:abstractNumId="9">
    <w:nsid w:val="6F7B0A6F"/>
    <w:multiLevelType w:val="multilevel"/>
    <w:tmpl w:val="6F7B0A6F"/>
    <w:lvl w:ilvl="0" w:tentative="0">
      <w:start w:val="4"/>
      <w:numFmt w:val="japaneseCounting"/>
      <w:pStyle w:val="19"/>
      <w:lvlText w:val="第%1章"/>
      <w:lvlJc w:val="left"/>
      <w:pPr>
        <w:tabs>
          <w:tab w:val="left" w:pos="1200"/>
        </w:tabs>
        <w:ind w:left="1200" w:hanging="1200"/>
      </w:pPr>
      <w:rPr>
        <w:rFonts w:hint="eastAsia"/>
      </w:rPr>
    </w:lvl>
    <w:lvl w:ilvl="1" w:tentative="0">
      <w:start w:val="5"/>
      <w:numFmt w:val="japaneseCounting"/>
      <w:lvlText w:val="%2）"/>
      <w:lvlJc w:val="left"/>
      <w:pPr>
        <w:tabs>
          <w:tab w:val="left" w:pos="840"/>
        </w:tabs>
        <w:ind w:left="840" w:hanging="420"/>
      </w:pPr>
      <w:rPr>
        <w:rFonts w:hint="default" w:ascii="Times New Roman" w:hAnsi="Times New Roman"/>
        <w:sz w:val="21"/>
        <w:u w:val="none"/>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3637F5D"/>
    <w:multiLevelType w:val="singleLevel"/>
    <w:tmpl w:val="73637F5D"/>
    <w:lvl w:ilvl="0" w:tentative="0">
      <w:start w:val="4"/>
      <w:numFmt w:val="chineseCounting"/>
      <w:suff w:val="space"/>
      <w:lvlText w:val="第%1章"/>
      <w:lvlJc w:val="left"/>
      <w:pPr>
        <w:ind w:left="2520"/>
      </w:pPr>
      <w:rPr>
        <w:rFonts w:hint="eastAsia"/>
      </w:rPr>
    </w:lvl>
  </w:abstractNum>
  <w:num w:numId="1">
    <w:abstractNumId w:val="9"/>
  </w:num>
  <w:num w:numId="2">
    <w:abstractNumId w:val="3"/>
  </w:num>
  <w:num w:numId="3">
    <w:abstractNumId w:val="4"/>
  </w:num>
  <w:num w:numId="4">
    <w:abstractNumId w:val="8"/>
  </w:num>
  <w:num w:numId="5">
    <w:abstractNumId w:val="6"/>
  </w:num>
  <w:num w:numId="6">
    <w:abstractNumId w:val="2"/>
  </w:num>
  <w:num w:numId="7">
    <w:abstractNumId w:val="5"/>
  </w:num>
  <w:num w:numId="8">
    <w:abstractNumId w:val="0"/>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305A12"/>
    <w:rsid w:val="1B5A64A5"/>
    <w:rsid w:val="3E2337C1"/>
    <w:rsid w:val="57305A12"/>
    <w:rsid w:val="73EA490F"/>
    <w:rsid w:val="7F5F2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20" w:after="120"/>
      <w:jc w:val="center"/>
      <w:outlineLvl w:val="0"/>
    </w:pPr>
    <w:rPr>
      <w:b/>
      <w:bCs/>
      <w:kern w:val="44"/>
      <w:sz w:val="28"/>
      <w:szCs w:val="44"/>
    </w:rPr>
  </w:style>
  <w:style w:type="paragraph" w:styleId="4">
    <w:name w:val="heading 2"/>
    <w:basedOn w:val="1"/>
    <w:next w:val="1"/>
    <w:qFormat/>
    <w:uiPriority w:val="0"/>
    <w:pPr>
      <w:keepNext/>
      <w:keepLines/>
      <w:adjustRightInd w:val="0"/>
      <w:spacing w:before="240" w:line="360" w:lineRule="auto"/>
      <w:jc w:val="center"/>
      <w:textAlignment w:val="baseline"/>
      <w:outlineLvl w:val="1"/>
    </w:pPr>
    <w:rPr>
      <w:rFonts w:ascii="Arial" w:hAnsi="Arial" w:eastAsia="黑体"/>
      <w:b/>
      <w:kern w:val="0"/>
      <w:sz w:val="30"/>
    </w:rPr>
  </w:style>
  <w:style w:type="paragraph" w:styleId="2">
    <w:name w:val="heading 3"/>
    <w:basedOn w:val="1"/>
    <w:next w:val="1"/>
    <w:qFormat/>
    <w:uiPriority w:val="0"/>
    <w:pPr>
      <w:keepNext/>
      <w:keepLines/>
      <w:adjustRightInd w:val="0"/>
      <w:spacing w:before="240" w:after="120" w:line="300" w:lineRule="auto"/>
      <w:jc w:val="left"/>
      <w:textAlignment w:val="baseline"/>
      <w:outlineLvl w:val="2"/>
    </w:pPr>
    <w:rPr>
      <w:b/>
      <w:kern w:val="0"/>
    </w:rPr>
  </w:style>
  <w:style w:type="character" w:default="1" w:styleId="16">
    <w:name w:val="Default Paragraph Font"/>
    <w:semiHidden/>
    <w:uiPriority w:val="0"/>
  </w:style>
  <w:style w:type="table" w:default="1" w:styleId="15">
    <w:name w:val="Normal Table"/>
    <w:semiHidden/>
    <w:uiPriority w:val="0"/>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Body Text"/>
    <w:basedOn w:val="1"/>
    <w:next w:val="1"/>
    <w:qFormat/>
    <w:uiPriority w:val="0"/>
    <w:rPr>
      <w:sz w:val="28"/>
      <w:szCs w:val="20"/>
    </w:rPr>
  </w:style>
  <w:style w:type="paragraph" w:styleId="7">
    <w:name w:val="Plain Text"/>
    <w:basedOn w:val="1"/>
    <w:qFormat/>
    <w:uiPriority w:val="0"/>
    <w:rPr>
      <w:rFonts w:ascii="宋体" w:hAnsi="Courier New"/>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left" w:pos="1050"/>
        <w:tab w:val="right" w:leader="dot" w:pos="8269"/>
      </w:tabs>
    </w:pPr>
  </w:style>
  <w:style w:type="paragraph" w:styleId="11">
    <w:name w:val="Subtitle"/>
    <w:basedOn w:val="1"/>
    <w:next w:val="1"/>
    <w:qFormat/>
    <w:uiPriority w:val="0"/>
    <w:pPr>
      <w:spacing w:before="120" w:after="120"/>
      <w:jc w:val="center"/>
      <w:outlineLvl w:val="1"/>
    </w:pPr>
    <w:rPr>
      <w:rFonts w:ascii="Cambria" w:hAnsi="Cambria"/>
      <w:b/>
      <w:bCs/>
      <w:kern w:val="28"/>
      <w:sz w:val="24"/>
      <w:szCs w:val="32"/>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1"/>
    <w:next w:val="1"/>
    <w:link w:val="20"/>
    <w:qFormat/>
    <w:uiPriority w:val="0"/>
    <w:pPr>
      <w:spacing w:before="240" w:after="60"/>
      <w:jc w:val="center"/>
      <w:outlineLvl w:val="0"/>
    </w:pPr>
    <w:rPr>
      <w:rFonts w:ascii="Cambria" w:hAnsi="Cambria"/>
      <w:b/>
      <w:bCs/>
      <w:sz w:val="36"/>
      <w:szCs w:val="32"/>
    </w:rPr>
  </w:style>
  <w:style w:type="paragraph" w:styleId="14">
    <w:name w:val="Body Text First Indent"/>
    <w:basedOn w:val="6"/>
    <w:qFormat/>
    <w:uiPriority w:val="0"/>
    <w:pPr>
      <w:ind w:firstLine="420" w:firstLineChars="100"/>
    </w:pPr>
    <w:rPr>
      <w:rFonts w:ascii="Arial" w:hAnsi="Arial"/>
    </w:rPr>
  </w:style>
  <w:style w:type="paragraph" w:styleId="17">
    <w:name w:val="List Paragraph"/>
    <w:basedOn w:val="1"/>
    <w:qFormat/>
    <w:uiPriority w:val="34"/>
    <w:pPr>
      <w:ind w:firstLine="420" w:firstLineChars="200"/>
    </w:pPr>
  </w:style>
  <w:style w:type="paragraph" w:customStyle="1" w:styleId="18">
    <w:name w:val="样式"/>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19">
    <w:name w:val="样式1"/>
    <w:basedOn w:val="1"/>
    <w:uiPriority w:val="0"/>
    <w:pPr>
      <w:numPr>
        <w:ilvl w:val="0"/>
        <w:numId w:val="1"/>
      </w:numPr>
      <w:tabs>
        <w:tab w:val="left" w:pos="709"/>
      </w:tabs>
      <w:adjustRightInd w:val="0"/>
      <w:textAlignment w:val="baseline"/>
    </w:pPr>
    <w:rPr>
      <w:rFonts w:ascii="宋体" w:hAnsi="宋体"/>
      <w:kern w:val="0"/>
      <w:szCs w:val="21"/>
    </w:rPr>
  </w:style>
  <w:style w:type="character" w:customStyle="1" w:styleId="20">
    <w:name w:val="标题 Char"/>
    <w:link w:val="13"/>
    <w:qFormat/>
    <w:uiPriority w:val="0"/>
    <w:rPr>
      <w:rFonts w:ascii="Cambria" w:hAnsi="Cambria"/>
      <w:b/>
      <w:bCs/>
      <w:sz w:val="36"/>
      <w:szCs w:val="32"/>
    </w:rPr>
  </w:style>
  <w:style w:type="paragraph" w:customStyle="1" w:styleId="21">
    <w:name w:val="缺省文本"/>
    <w:qFormat/>
    <w:uiPriority w:val="0"/>
    <w:pPr>
      <w:widowControl w:val="0"/>
      <w:autoSpaceDE w:val="0"/>
      <w:autoSpaceDN w:val="0"/>
      <w:adjustRightInd w:val="0"/>
    </w:pPr>
    <w:rPr>
      <w:rFonts w:ascii="Times New Roman" w:hAnsi="Times New Roman" w:eastAsia="宋体" w:cs="Times New Roman"/>
      <w:color w:val="000000"/>
      <w:kern w:val="0"/>
      <w:sz w:val="20"/>
      <w:szCs w:val="24"/>
      <w:lang w:val="en-US" w:eastAsia="zh-CN" w:bidi="ar-SA"/>
    </w:rPr>
  </w:style>
  <w:style w:type="paragraph" w:customStyle="1" w:styleId="22">
    <w:name w:val="Default Tex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styleId="23">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24">
    <w:name w:val="样式 仿宋_GB2312 (符号) 宋体 小四 黑色 行距: 1.5 倍行距 首行缩进:  2 字符"/>
    <w:basedOn w:val="1"/>
    <w:qFormat/>
    <w:uiPriority w:val="0"/>
    <w:pPr>
      <w:ind w:firstLine="480" w:firstLineChars="200"/>
    </w:pPr>
    <w:rPr>
      <w:rFonts w:ascii="Verdana" w:hAnsi="Cambria" w:eastAsia="Times New Roman" w:cs="Verdana"/>
      <w:color w:val="000000"/>
      <w:sz w:val="28"/>
      <w:szCs w:val="28"/>
    </w:rPr>
  </w:style>
  <w:style w:type="paragraph" w:customStyle="1" w:styleId="25">
    <w:name w:val="正文文本1"/>
    <w:basedOn w:val="1"/>
    <w:qFormat/>
    <w:uiPriority w:val="0"/>
    <w:pPr>
      <w:ind w:left="700" w:hanging="700" w:hangingChars="250"/>
    </w:pPr>
    <w:rPr>
      <w:rFonts w:ascii="Verdana" w:hAnsi="楷体" w:eastAsia="Times New Roman" w:cs="Verdana"/>
      <w:color w:val="00000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3.jpeg"/><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2021-11-10T09:14:00Z</dcterms:created>
  <dc:creator>糊涂范～</dc:creator>
  <cp:lastModifiedBy>糊涂范～</cp:lastModifiedBy>
  <dcterms:modified xsi:type="dcterms:W3CDTF">2021-11-11T04:39:44Z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BE2EA20C21044026BBB62CA7D9880524</vt:lpwstr>
  </property>
</Properties>
</file>