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阿克苏地区新和县村庄规划编制（一标段）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rPr>
        <w:t>751669651@qq.com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阿克苏地区新和县村庄规划编制（一标段）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杜斌</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480" w:lineRule="exact"/>
        <w:rPr>
          <w:rFonts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28359001"/>
      <w:bookmarkStart w:id="1" w:name="_Toc35393789"/>
      <w:r>
        <w:rPr>
          <w:rFonts w:hint="eastAsia"/>
          <w:color w:val="auto"/>
          <w:sz w:val="48"/>
          <w:szCs w:val="48"/>
        </w:rPr>
        <w:t>第一章  招标公告</w:t>
      </w:r>
    </w:p>
    <w:bookmarkEnd w:id="0"/>
    <w:bookmarkEnd w:id="1"/>
    <w:p>
      <w:pPr>
        <w:pStyle w:val="4"/>
        <w:jc w:val="center"/>
        <w:rPr>
          <w:color w:val="auto"/>
          <w:sz w:val="48"/>
          <w:szCs w:val="48"/>
        </w:rPr>
      </w:pPr>
      <w:bookmarkStart w:id="2" w:name="_Toc50691020"/>
      <w:bookmarkStart w:id="3" w:name="_Toc50736467"/>
      <w:bookmarkStart w:id="4" w:name="_Toc50737287"/>
      <w:bookmarkStart w:id="5" w:name="_Toc251236081"/>
      <w:bookmarkStart w:id="6" w:name="_Toc50737319"/>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杜斌</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阿克苏地区新和县村庄规划编制（一标段）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rPr>
              <w:t>排先拜巴扎乡</w:t>
            </w:r>
            <w:r>
              <w:rPr>
                <w:rFonts w:hint="eastAsia" w:ascii="宋体" w:hAnsi="宋体" w:cs="宋体"/>
                <w:color w:val="auto"/>
                <w:sz w:val="24"/>
                <w:lang w:eastAsia="zh-CN"/>
              </w:rPr>
              <w:t>（苏盖特阔坦村、托帕墩村、努尔巴格村、卡勒台克其其村、喀拉墩村、哈当村、炮台村、炮托格拉克村）；</w:t>
            </w:r>
            <w:r>
              <w:rPr>
                <w:rFonts w:hint="eastAsia" w:ascii="宋体" w:hAnsi="宋体" w:cs="宋体"/>
                <w:color w:val="auto"/>
                <w:sz w:val="24"/>
              </w:rPr>
              <w:t>塔木托格拉克乡</w:t>
            </w:r>
            <w:r>
              <w:rPr>
                <w:rFonts w:hint="eastAsia" w:ascii="宋体" w:hAnsi="宋体" w:cs="宋体"/>
                <w:color w:val="auto"/>
                <w:sz w:val="24"/>
                <w:lang w:eastAsia="zh-CN"/>
              </w:rPr>
              <w:t>（塔木托格拉克村、拜什托玛村、阿克库木村、乔拉克吐尔村、英艾日克村、英也尔村、库英地艾日克村、兰干村、乔拉克协海尔村）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02</w:t>
            </w:r>
            <w:r>
              <w:rPr>
                <w:rFonts w:hint="eastAsia" w:ascii="宋体" w:hAnsi="宋体" w:cs="宋体"/>
                <w:color w:val="auto"/>
                <w:sz w:val="24"/>
              </w:rPr>
              <w:t>日至2021年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投标文件应一式肆份：其中正本壹份，副本叁份，U盘一份（正本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340万元（1个村庄规划编制含地形图测绘和规划编制文本、数据库及图集等成果及后续第三方评估费用，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68000</w:t>
            </w:r>
            <w:r>
              <w:rPr>
                <w:rFonts w:hint="eastAsia" w:ascii="宋体" w:hAnsi="宋体" w:cs="宋体"/>
                <w:bCs/>
                <w:color w:val="auto"/>
                <w:sz w:val="24"/>
              </w:rPr>
              <w:t>元（</w:t>
            </w:r>
            <w:r>
              <w:rPr>
                <w:rFonts w:hint="eastAsia" w:ascii="宋体" w:hAnsi="宋体" w:cs="宋体"/>
                <w:bCs/>
                <w:color w:val="auto"/>
                <w:sz w:val="24"/>
                <w:lang w:val="en-US" w:eastAsia="zh-CN"/>
              </w:rPr>
              <w:t>陆万捌仟元整</w:t>
            </w:r>
            <w:r>
              <w:rPr>
                <w:rFonts w:hint="eastAsia" w:ascii="宋体" w:hAnsi="宋体" w:cs="宋体"/>
                <w:bCs/>
                <w:color w:val="auto"/>
                <w:sz w:val="24"/>
              </w:rPr>
              <w:t>），截止为2021年</w:t>
            </w:r>
            <w:r>
              <w:rPr>
                <w:rFonts w:hint="eastAsia" w:ascii="宋体" w:hAnsi="宋体" w:cs="宋体"/>
                <w:bCs/>
                <w:color w:val="auto"/>
                <w:sz w:val="24"/>
                <w:lang w:val="en-US" w:eastAsia="zh-CN"/>
              </w:rPr>
              <w:t>11</w:t>
            </w:r>
            <w:r>
              <w:rPr>
                <w:rFonts w:hint="eastAsia" w:ascii="宋体" w:hAnsi="宋体" w:cs="宋体"/>
                <w:bCs/>
                <w:color w:val="auto"/>
                <w:sz w:val="24"/>
              </w:rPr>
              <w:t>月</w:t>
            </w:r>
            <w:r>
              <w:rPr>
                <w:rFonts w:hint="eastAsia" w:ascii="宋体" w:hAnsi="宋体" w:cs="宋体"/>
                <w:bCs/>
                <w:color w:val="auto"/>
                <w:sz w:val="24"/>
                <w:lang w:val="en-US" w:eastAsia="zh-CN"/>
              </w:rPr>
              <w:t>22</w:t>
            </w:r>
            <w:r>
              <w:rPr>
                <w:rFonts w:hint="eastAsia" w:ascii="宋体" w:hAnsi="宋体" w:cs="宋体"/>
                <w:bCs/>
                <w:color w:val="auto"/>
                <w:sz w:val="24"/>
              </w:rPr>
              <w:t>日</w:t>
            </w:r>
            <w:r>
              <w:rPr>
                <w:rFonts w:hint="eastAsia" w:ascii="宋体" w:hAnsi="宋体" w:cs="宋体"/>
                <w:bCs/>
                <w:color w:val="auto"/>
                <w:sz w:val="24"/>
                <w:lang w:val="en-US" w:eastAsia="zh-CN"/>
              </w:rPr>
              <w:t>10:30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cn）政府采购严重违法失信行为记录名单的查询信用记录，中国裁判文书网（http://wenshu.court.gov.cn/）查询结果截图并加盖公章（</w:t>
            </w:r>
            <w:r>
              <w:rPr>
                <w:rFonts w:hint="eastAsia" w:ascii="宋体" w:hAnsi="宋体" w:cs="宋体"/>
                <w:bCs/>
                <w:color w:val="auto"/>
                <w:sz w:val="24"/>
                <w:lang w:val="en-US" w:eastAsia="zh-CN"/>
              </w:rPr>
              <w:t>需提供报名期内的查询截图</w:t>
            </w:r>
            <w:bookmarkStart w:id="134" w:name="_GoBack"/>
            <w:bookmarkEnd w:id="134"/>
            <w:r>
              <w:rPr>
                <w:rFonts w:hint="eastAsia" w:ascii="宋体" w:hAnsi="宋体" w:cs="宋体"/>
                <w:bCs/>
                <w:color w:val="auto"/>
                <w:sz w:val="24"/>
              </w:rPr>
              <w:t>），有上述违法记录名单的没有资格参加本项目的采购活动。</w:t>
            </w:r>
          </w:p>
          <w:p>
            <w:pPr>
              <w:keepNext w:val="0"/>
              <w:keepLines w:val="0"/>
              <w:pageBreakBefore w:val="0"/>
              <w:widowControl w:val="0"/>
              <w:numPr>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bl>
    <w:p>
      <w:pPr>
        <w:spacing w:line="500" w:lineRule="exact"/>
        <w:jc w:val="center"/>
        <w:rPr>
          <w:b/>
          <w:color w:val="auto"/>
          <w:sz w:val="36"/>
          <w:szCs w:val="36"/>
        </w:rPr>
      </w:pPr>
      <w:r>
        <w:rPr>
          <w:color w:val="auto"/>
        </w:rPr>
        <w:br w:type="page"/>
      </w:r>
      <w:bookmarkStart w:id="8" w:name="_Toc251236082"/>
      <w:bookmarkStart w:id="9" w:name="_Toc50736468"/>
      <w:bookmarkStart w:id="10" w:name="_Toc50737320"/>
      <w:bookmarkStart w:id="11" w:name="_Toc50691021"/>
      <w:bookmarkStart w:id="12" w:name="_Toc50737288"/>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5.3本项目不接受联合体投标。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ascii="宋体" w:hAnsi="宋体"/>
          <w:color w:val="auto"/>
          <w:sz w:val="24"/>
        </w:rPr>
      </w:pPr>
      <w:r>
        <w:rPr>
          <w:rFonts w:hint="eastAsia" w:ascii="宋体" w:hAnsi="宋体"/>
          <w:color w:val="auto"/>
          <w:sz w:val="24"/>
        </w:rPr>
        <w:t>17.2所有投标文件必须装在密封完好的信封，封口处贴上封条。投标文件的正本和副本应分别封装，并在每一信封或包装的封面上写明：项目编号、项目名称、单位名称、联系人及日期</w:t>
      </w:r>
      <w:bookmarkStart w:id="35" w:name="_Toc251236104"/>
      <w:r>
        <w:rPr>
          <w:rFonts w:hint="eastAsia" w:ascii="宋体" w:hAnsi="宋体"/>
          <w:color w:val="auto"/>
          <w:sz w:val="24"/>
        </w:rPr>
        <w:t>，并注明“请勿在2021年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日10：30分前启封”字样。投标文件应有目录以及页码，以便检索。</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阿克苏地区新和县村庄规划编制（一标段）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26800381"/>
      <w:bookmarkStart w:id="49" w:name="_Toc37496261"/>
      <w:bookmarkStart w:id="50" w:name="_Toc4326455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50736472"/>
      <w:bookmarkStart w:id="61" w:name="_Toc50691026"/>
      <w:bookmarkStart w:id="62" w:name="_Toc50737292"/>
      <w:bookmarkStart w:id="63" w:name="_Toc50737324"/>
      <w:bookmarkStart w:id="64" w:name="_Toc251236127"/>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7293"/>
      <w:bookmarkStart w:id="69" w:name="_Toc52165077"/>
      <w:bookmarkStart w:id="70" w:name="_Toc50736473"/>
      <w:bookmarkStart w:id="71" w:name="_Toc50691028"/>
      <w:bookmarkStart w:id="72" w:name="_Toc251236128"/>
      <w:bookmarkStart w:id="73" w:name="_Toc50737325"/>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251236129"/>
      <w:bookmarkStart w:id="78" w:name="_Toc50737294"/>
      <w:bookmarkStart w:id="79" w:name="_Toc52165078"/>
      <w:bookmarkStart w:id="80" w:name="_Toc160510647"/>
      <w:bookmarkStart w:id="81" w:name="_Toc50691030"/>
      <w:bookmarkStart w:id="82" w:name="_Toc50737326"/>
      <w:bookmarkStart w:id="83" w:name="_Toc50736474"/>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691031"/>
      <w:bookmarkStart w:id="85" w:name="_Toc50703724"/>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50691034"/>
      <w:bookmarkStart w:id="88" w:name="_Toc43264522"/>
      <w:bookmarkStart w:id="89" w:name="_Toc52165080"/>
      <w:bookmarkStart w:id="90" w:name="_Toc50737296"/>
      <w:bookmarkStart w:id="91" w:name="_Toc50737328"/>
      <w:bookmarkStart w:id="92" w:name="_Toc50736476"/>
      <w:bookmarkStart w:id="93" w:name="_Toc251236133"/>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0737297"/>
      <w:bookmarkStart w:id="98" w:name="_Toc251236134"/>
      <w:bookmarkStart w:id="99" w:name="_Toc50737329"/>
      <w:bookmarkStart w:id="100" w:name="_Toc52165081"/>
      <w:bookmarkStart w:id="101" w:name="_Toc50736477"/>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spacing w:line="500" w:lineRule="exact"/>
        <w:rPr>
          <w:rFonts w:ascii="宋体" w:hAnsi="宋体"/>
          <w:color w:val="auto"/>
          <w:kern w:val="0"/>
          <w:szCs w:val="21"/>
        </w:rPr>
      </w:pPr>
      <w:r>
        <w:rPr>
          <w:rFonts w:hint="eastAsia" w:ascii="宋体" w:hAnsi="宋体"/>
          <w:color w:val="auto"/>
          <w:kern w:val="0"/>
        </w:rPr>
        <w:t>（本证明可用工商行政管理局监制的“</w:t>
      </w:r>
      <w:r>
        <w:rPr>
          <w:rFonts w:hint="eastAsia" w:ascii="宋体" w:hAnsi="宋体"/>
          <w:color w:val="auto"/>
        </w:rPr>
        <w:t>法人授权委托证明书</w:t>
      </w:r>
      <w:r>
        <w:rPr>
          <w:rFonts w:hint="eastAsia" w:ascii="宋体" w:hAnsi="宋体"/>
          <w:color w:val="auto"/>
          <w:kern w:val="0"/>
        </w:rPr>
        <w:t>”，但必须另附“</w:t>
      </w:r>
      <w:r>
        <w:rPr>
          <w:rFonts w:hint="eastAsia" w:ascii="宋体" w:hAnsi="宋体"/>
          <w:color w:val="auto"/>
        </w:rPr>
        <w:t>授权代表</w:t>
      </w:r>
      <w:r>
        <w:rPr>
          <w:rFonts w:hint="eastAsia" w:ascii="宋体" w:hAnsi="宋体"/>
          <w:bCs/>
          <w:color w:val="auto"/>
        </w:rPr>
        <w:t>身份证</w:t>
      </w:r>
      <w:r>
        <w:rPr>
          <w:rFonts w:hint="eastAsia" w:ascii="宋体" w:hAnsi="宋体"/>
          <w:color w:val="auto"/>
          <w:kern w:val="0"/>
        </w:rPr>
        <w:t>”）</w:t>
      </w:r>
    </w:p>
    <w:p>
      <w:pPr>
        <w:rPr>
          <w:rFonts w:ascii="宋体" w:hAnsi="宋体"/>
          <w:b/>
          <w:bCs/>
          <w:color w:val="auto"/>
          <w:sz w:val="28"/>
        </w:rPr>
      </w:pPr>
      <w:bookmarkStart w:id="102" w:name="_Toc50691039"/>
      <w:bookmarkStart w:id="103" w:name="_Toc50703732"/>
      <w:bookmarkStart w:id="104" w:name="_Toc43264528"/>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0737331"/>
      <w:bookmarkStart w:id="106" w:name="_Toc50737299"/>
      <w:bookmarkStart w:id="107" w:name="_Toc251236135"/>
      <w:bookmarkStart w:id="108" w:name="_Toc50691040"/>
      <w:bookmarkStart w:id="109" w:name="_Toc50736479"/>
      <w:bookmarkStart w:id="110" w:name="_Toc52165083"/>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703734"/>
      <w:bookmarkStart w:id="112" w:name="_Toc50691041"/>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51236136"/>
      <w:bookmarkStart w:id="115" w:name="_Toc234656243"/>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19708141"/>
      <w:bookmarkStart w:id="117" w:name="_Toc251236142"/>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703736"/>
      <w:bookmarkStart w:id="119" w:name="_Toc50691043"/>
      <w:bookmarkStart w:id="120" w:name="_Toc230152371"/>
      <w:bookmarkStart w:id="121" w:name="_Toc251236144"/>
      <w:bookmarkStart w:id="122" w:name="_Toc251226079"/>
      <w:bookmarkStart w:id="123" w:name="_Toc241577074"/>
      <w:bookmarkStart w:id="124" w:name="_Toc43264525"/>
      <w:bookmarkStart w:id="125" w:name="_Toc224708938"/>
      <w:bookmarkStart w:id="126" w:name="_Toc236452431"/>
      <w:bookmarkStart w:id="127" w:name="_Toc219778809"/>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0736483"/>
      <w:bookmarkStart w:id="129" w:name="_Toc50737303"/>
      <w:bookmarkStart w:id="130" w:name="_Toc251236145"/>
      <w:bookmarkStart w:id="131" w:name="_Toc50737335"/>
      <w:bookmarkStart w:id="132" w:name="_Toc50691047"/>
      <w:bookmarkStart w:id="133" w:name="_Toc52165087"/>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50470D"/>
    <w:rsid w:val="06C171C0"/>
    <w:rsid w:val="07AA163F"/>
    <w:rsid w:val="08CB55C4"/>
    <w:rsid w:val="0A5B6284"/>
    <w:rsid w:val="0ACA7543"/>
    <w:rsid w:val="0B6B6A9B"/>
    <w:rsid w:val="0BEA02F8"/>
    <w:rsid w:val="0BFE28F2"/>
    <w:rsid w:val="0C3C2A97"/>
    <w:rsid w:val="0CC7784E"/>
    <w:rsid w:val="0CD95D4E"/>
    <w:rsid w:val="0DB879AA"/>
    <w:rsid w:val="0E810FCD"/>
    <w:rsid w:val="0F8D16EF"/>
    <w:rsid w:val="0F90797A"/>
    <w:rsid w:val="0FA77FBF"/>
    <w:rsid w:val="13613057"/>
    <w:rsid w:val="136E4A84"/>
    <w:rsid w:val="13B44BFB"/>
    <w:rsid w:val="1450351C"/>
    <w:rsid w:val="155B292A"/>
    <w:rsid w:val="158E1B4A"/>
    <w:rsid w:val="16F23C88"/>
    <w:rsid w:val="172839FF"/>
    <w:rsid w:val="186310B9"/>
    <w:rsid w:val="192C0878"/>
    <w:rsid w:val="19430F5D"/>
    <w:rsid w:val="19825E57"/>
    <w:rsid w:val="19A105C1"/>
    <w:rsid w:val="19B41D02"/>
    <w:rsid w:val="1BBF77CD"/>
    <w:rsid w:val="1BDC7F6D"/>
    <w:rsid w:val="1CC6681D"/>
    <w:rsid w:val="1DAA0E9A"/>
    <w:rsid w:val="1E190CC3"/>
    <w:rsid w:val="1ED84B92"/>
    <w:rsid w:val="1FF56EEE"/>
    <w:rsid w:val="209D2967"/>
    <w:rsid w:val="211067DD"/>
    <w:rsid w:val="228943D4"/>
    <w:rsid w:val="24772573"/>
    <w:rsid w:val="25A91FD5"/>
    <w:rsid w:val="26445A93"/>
    <w:rsid w:val="27021E92"/>
    <w:rsid w:val="27A559BE"/>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713100"/>
    <w:rsid w:val="33EB6C94"/>
    <w:rsid w:val="34A11BFA"/>
    <w:rsid w:val="363A354B"/>
    <w:rsid w:val="398D7E34"/>
    <w:rsid w:val="39A1637B"/>
    <w:rsid w:val="39A93ECF"/>
    <w:rsid w:val="3C136005"/>
    <w:rsid w:val="3C500085"/>
    <w:rsid w:val="3D5F1B16"/>
    <w:rsid w:val="3D8027C0"/>
    <w:rsid w:val="3EAC38A6"/>
    <w:rsid w:val="3FE67F82"/>
    <w:rsid w:val="3FEC3D09"/>
    <w:rsid w:val="404B7255"/>
    <w:rsid w:val="407E595F"/>
    <w:rsid w:val="41DB0E53"/>
    <w:rsid w:val="42190846"/>
    <w:rsid w:val="42D26B54"/>
    <w:rsid w:val="44566DFA"/>
    <w:rsid w:val="446026A6"/>
    <w:rsid w:val="44952A40"/>
    <w:rsid w:val="45A34C19"/>
    <w:rsid w:val="469C1D85"/>
    <w:rsid w:val="47022D0D"/>
    <w:rsid w:val="47B413A3"/>
    <w:rsid w:val="47C30799"/>
    <w:rsid w:val="48D00456"/>
    <w:rsid w:val="49A404F1"/>
    <w:rsid w:val="4AFF744D"/>
    <w:rsid w:val="4B4D0E9B"/>
    <w:rsid w:val="4BD3704A"/>
    <w:rsid w:val="4D2C6605"/>
    <w:rsid w:val="501E50F5"/>
    <w:rsid w:val="50996184"/>
    <w:rsid w:val="5173025A"/>
    <w:rsid w:val="52503D22"/>
    <w:rsid w:val="536E6D7A"/>
    <w:rsid w:val="53B13CFF"/>
    <w:rsid w:val="54272115"/>
    <w:rsid w:val="543F4CE2"/>
    <w:rsid w:val="5590370C"/>
    <w:rsid w:val="559D186D"/>
    <w:rsid w:val="55A87807"/>
    <w:rsid w:val="574C1F9A"/>
    <w:rsid w:val="57EF630F"/>
    <w:rsid w:val="5846223D"/>
    <w:rsid w:val="58E801EA"/>
    <w:rsid w:val="598203B2"/>
    <w:rsid w:val="59A02EB6"/>
    <w:rsid w:val="59F820DA"/>
    <w:rsid w:val="5A1355E2"/>
    <w:rsid w:val="5F1F7F5F"/>
    <w:rsid w:val="61825754"/>
    <w:rsid w:val="61912CDC"/>
    <w:rsid w:val="64A82336"/>
    <w:rsid w:val="6536405E"/>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99319D"/>
    <w:rsid w:val="72B146BE"/>
    <w:rsid w:val="73610AE2"/>
    <w:rsid w:val="736F0AAD"/>
    <w:rsid w:val="753A3767"/>
    <w:rsid w:val="75BA6D4A"/>
    <w:rsid w:val="765706CE"/>
    <w:rsid w:val="76F64096"/>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8</TotalTime>
  <ScaleCrop>false</ScaleCrop>
  <LinksUpToDate>false</LinksUpToDate>
  <CharactersWithSpaces>32069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Admin</cp:lastModifiedBy>
  <cp:lastPrinted>2021-10-28T02:17:00Z</cp:lastPrinted>
  <dcterms:modified xsi:type="dcterms:W3CDTF">2021-10-29T10:48:56Z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B3211A24D0A843C0B46CC926311493D6</vt:lpwstr>
  </property>
</Properties>
</file>