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5"/>
        <w:ind w:firstLine="0" w:firstLineChars="0"/>
        <w:jc w:val="both"/>
        <w:rPr>
          <w:rFonts w:hint="eastAsia" w:ascii="方正小标宋简体" w:hAnsi="方正小标宋简体" w:eastAsia="方正小标宋简体" w:cs="方正小标宋简体"/>
          <w:b/>
          <w:bCs/>
          <w:color w:val="000000"/>
          <w:sz w:val="44"/>
          <w:szCs w:val="44"/>
          <w:lang w:eastAsia="zh-CN"/>
        </w:rPr>
      </w:pPr>
    </w:p>
    <w:p>
      <w:pPr>
        <w:pStyle w:val="15"/>
        <w:ind w:firstLine="0" w:firstLineChars="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
          <w:bCs/>
          <w:color w:val="000000"/>
          <w:sz w:val="44"/>
          <w:szCs w:val="44"/>
          <w:lang w:val="en-US" w:eastAsia="zh-CN"/>
        </w:rPr>
        <w:t xml:space="preserve">     </w:t>
      </w:r>
      <w:r>
        <w:rPr>
          <w:rFonts w:hint="eastAsia" w:ascii="方正小标宋简体" w:hAnsi="方正小标宋简体" w:eastAsia="方正小标宋简体" w:cs="方正小标宋简体"/>
          <w:b/>
          <w:bCs/>
          <w:color w:val="000000"/>
          <w:sz w:val="44"/>
          <w:szCs w:val="44"/>
        </w:rPr>
        <w:t>新疆维吾尔自治区机关事务管理局信息化平台建设项目</w:t>
      </w:r>
    </w:p>
    <w:p>
      <w:pPr>
        <w:ind w:firstLine="0" w:firstLineChars="0"/>
        <w:jc w:val="center"/>
        <w:rPr>
          <w:rFonts w:eastAsia="宋体" w:cs="宋体"/>
          <w:b/>
          <w:sz w:val="52"/>
          <w:szCs w:val="52"/>
        </w:rPr>
      </w:pPr>
    </w:p>
    <w:p>
      <w:pPr>
        <w:ind w:firstLine="880"/>
        <w:jc w:val="center"/>
        <w:rPr>
          <w:rFonts w:ascii="方正小标宋简体" w:hAnsi="方正小标宋简体" w:eastAsia="方正小标宋简体" w:cs="方正小标宋简体"/>
          <w:sz w:val="44"/>
          <w:szCs w:val="44"/>
        </w:rPr>
      </w:pPr>
    </w:p>
    <w:p>
      <w:pPr>
        <w:ind w:firstLine="880"/>
        <w:jc w:val="center"/>
        <w:rPr>
          <w:rFonts w:ascii="方正小标宋简体" w:hAnsi="方正小标宋简体" w:eastAsia="方正小标宋简体" w:cs="方正小标宋简体"/>
          <w:sz w:val="44"/>
          <w:szCs w:val="44"/>
        </w:rPr>
      </w:pPr>
    </w:p>
    <w:p>
      <w:pPr>
        <w:ind w:firstLine="0" w:firstLineChars="0"/>
        <w:jc w:val="center"/>
        <w:rPr>
          <w:rFonts w:eastAsia="宋体" w:cs="宋体"/>
          <w:b/>
          <w:sz w:val="52"/>
          <w:szCs w:val="52"/>
        </w:rPr>
      </w:pPr>
    </w:p>
    <w:p>
      <w:pPr>
        <w:ind w:firstLine="0" w:firstLineChars="0"/>
        <w:jc w:val="center"/>
        <w:rPr>
          <w:rFonts w:eastAsia="宋体" w:cs="宋体"/>
          <w:b/>
          <w:sz w:val="52"/>
          <w:szCs w:val="52"/>
        </w:rPr>
      </w:pPr>
      <w:r>
        <w:rPr>
          <w:rFonts w:hint="eastAsia" w:eastAsia="宋体" w:cs="宋体"/>
          <w:b/>
          <w:sz w:val="52"/>
          <w:szCs w:val="52"/>
        </w:rPr>
        <w:t>招标文件</w:t>
      </w:r>
    </w:p>
    <w:p>
      <w:pPr>
        <w:adjustRightInd w:val="0"/>
        <w:snapToGrid w:val="0"/>
        <w:spacing w:line="360" w:lineRule="auto"/>
        <w:ind w:firstLine="643"/>
        <w:jc w:val="center"/>
        <w:rPr>
          <w:rFonts w:hint="eastAsia" w:eastAsia="仿宋"/>
          <w:b/>
          <w:lang w:val="en-US" w:eastAsia="zh-CN"/>
        </w:rPr>
      </w:pPr>
    </w:p>
    <w:p>
      <w:pPr>
        <w:pStyle w:val="36"/>
        <w:jc w:val="both"/>
        <w:rPr>
          <w:rFonts w:ascii="仿宋_GB2312" w:hAnsi="仿宋_GB2312" w:eastAsia="仿宋_GB2312" w:cs="仿宋_GB2312"/>
        </w:rPr>
      </w:pPr>
      <w:r>
        <w:rPr>
          <w:rFonts w:hint="eastAsia" w:ascii="仿宋_GB2312" w:hAnsi="仿宋_GB2312" w:eastAsia="仿宋_GB2312" w:cs="仿宋_GB2312"/>
        </w:rPr>
        <w:t xml:space="preserve">           </w:t>
      </w:r>
    </w:p>
    <w:p>
      <w:pPr>
        <w:pStyle w:val="36"/>
        <w:jc w:val="both"/>
        <w:rPr>
          <w:rFonts w:ascii="仿宋_GB2312" w:hAnsi="仿宋_GB2312" w:eastAsia="仿宋_GB2312" w:cs="仿宋_GB2312"/>
        </w:rPr>
      </w:pPr>
    </w:p>
    <w:p>
      <w:pPr>
        <w:pStyle w:val="36"/>
        <w:jc w:val="both"/>
        <w:rPr>
          <w:rFonts w:ascii="仿宋_GB2312" w:hAnsi="仿宋_GB2312" w:eastAsia="仿宋_GB2312" w:cs="仿宋_GB2312"/>
        </w:rPr>
      </w:pPr>
    </w:p>
    <w:p>
      <w:pPr>
        <w:pStyle w:val="36"/>
        <w:jc w:val="both"/>
        <w:rPr>
          <w:rFonts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招标编号：</w:t>
      </w:r>
      <w:r>
        <w:rPr>
          <w:rFonts w:hint="eastAsia" w:ascii="仿宋_GB2312" w:hAnsi="仿宋_GB2312" w:eastAsia="仿宋_GB2312" w:cs="仿宋_GB2312"/>
          <w:b/>
          <w:bCs/>
          <w:sz w:val="32"/>
          <w:szCs w:val="32"/>
          <w:lang w:val="en-US" w:eastAsia="zh-CN"/>
        </w:rPr>
        <w:t>XJCY-2021-FW-005</w:t>
      </w:r>
    </w:p>
    <w:p>
      <w:pPr>
        <w:adjustRightInd w:val="0"/>
        <w:snapToGrid w:val="0"/>
        <w:spacing w:line="360" w:lineRule="auto"/>
        <w:ind w:firstLine="560"/>
        <w:rPr>
          <w:sz w:val="28"/>
        </w:rPr>
      </w:pPr>
    </w:p>
    <w:p>
      <w:pPr>
        <w:ind w:firstLine="560"/>
        <w:rPr>
          <w:sz w:val="28"/>
          <w:szCs w:val="28"/>
        </w:rPr>
      </w:pPr>
    </w:p>
    <w:p>
      <w:pPr>
        <w:ind w:firstLine="560"/>
        <w:rPr>
          <w:sz w:val="28"/>
          <w:szCs w:val="28"/>
        </w:rPr>
      </w:pPr>
    </w:p>
    <w:p>
      <w:pPr>
        <w:adjustRightInd w:val="0"/>
        <w:snapToGrid w:val="0"/>
        <w:spacing w:line="360" w:lineRule="auto"/>
        <w:ind w:firstLine="0" w:firstLineChars="0"/>
        <w:rPr>
          <w:rFonts w:ascii="仿宋_GB2312" w:hAnsi="仿宋_GB2312" w:eastAsia="仿宋_GB2312" w:cs="仿宋_GB2312"/>
          <w:b/>
        </w:rPr>
      </w:pPr>
      <w:r>
        <w:rPr>
          <w:rFonts w:hint="eastAsia" w:ascii="仿宋_GB2312" w:hAnsi="仿宋_GB2312" w:eastAsia="仿宋_GB2312" w:cs="仿宋_GB2312"/>
          <w:b/>
        </w:rPr>
        <w:t xml:space="preserve">     招标人：</w:t>
      </w:r>
      <w:r>
        <w:rPr>
          <w:rFonts w:hint="eastAsia" w:ascii="仿宋_GB2312" w:hAnsi="仿宋_GB2312" w:eastAsia="仿宋_GB2312" w:cs="仿宋_GB2312"/>
          <w:b/>
          <w:sz w:val="32"/>
          <w:szCs w:val="32"/>
        </w:rPr>
        <w:t>新疆维吾尔自治区机关事务管理局</w:t>
      </w:r>
    </w:p>
    <w:p>
      <w:pPr>
        <w:adjustRightInd w:val="0"/>
        <w:snapToGrid w:val="0"/>
        <w:spacing w:line="360" w:lineRule="auto"/>
        <w:ind w:firstLine="643"/>
        <w:rPr>
          <w:rFonts w:ascii="仿宋_GB2312" w:hAnsi="仿宋_GB2312" w:eastAsia="仿宋_GB2312" w:cs="仿宋_GB2312"/>
          <w:b/>
        </w:rPr>
      </w:pPr>
      <w:r>
        <w:rPr>
          <w:rFonts w:hint="eastAsia" w:ascii="仿宋_GB2312" w:hAnsi="仿宋_GB2312" w:eastAsia="仿宋_GB2312" w:cs="仿宋_GB2312"/>
          <w:b/>
        </w:rPr>
        <w:t xml:space="preserve"> 招标代理：</w:t>
      </w:r>
      <w:r>
        <w:rPr>
          <w:rFonts w:hint="eastAsia" w:ascii="仿宋_GB2312" w:hAnsi="仿宋_GB2312" w:eastAsia="仿宋_GB2312" w:cs="仿宋_GB2312"/>
          <w:b/>
          <w:sz w:val="32"/>
          <w:szCs w:val="32"/>
          <w:lang w:val="en-US" w:eastAsia="zh-CN"/>
        </w:rPr>
        <w:t>新疆崇业招标代理有限公司</w:t>
      </w:r>
    </w:p>
    <w:p>
      <w:pPr>
        <w:adjustRightInd w:val="0"/>
        <w:snapToGrid w:val="0"/>
        <w:spacing w:line="360" w:lineRule="auto"/>
        <w:ind w:firstLine="643"/>
        <w:rPr>
          <w:rFonts w:ascii="仿宋_GB2312" w:hAnsi="仿宋_GB2312" w:eastAsia="仿宋_GB2312" w:cs="仿宋_GB2312"/>
          <w:b/>
        </w:rPr>
      </w:pPr>
    </w:p>
    <w:p>
      <w:pPr>
        <w:ind w:firstLine="0" w:firstLineChars="0"/>
        <w:rPr>
          <w:rFonts w:ascii="仿宋_GB2312" w:hAnsi="仿宋_GB2312" w:eastAsia="仿宋_GB2312" w:cs="仿宋_GB2312"/>
        </w:rPr>
      </w:pPr>
      <w:r>
        <w:rPr>
          <w:rFonts w:hint="eastAsia" w:ascii="仿宋_GB2312" w:hAnsi="仿宋_GB2312" w:eastAsia="仿宋_GB2312" w:cs="仿宋_GB2312"/>
        </w:rPr>
        <w:t xml:space="preserve">                   二〇二一年</w:t>
      </w:r>
      <w:r>
        <w:rPr>
          <w:rFonts w:hint="eastAsia" w:ascii="仿宋_GB2312" w:hAnsi="仿宋_GB2312" w:eastAsia="仿宋_GB2312" w:cs="仿宋_GB2312"/>
          <w:lang w:val="en-US" w:eastAsia="zh-CN"/>
        </w:rPr>
        <w:t>十一</w:t>
      </w:r>
      <w:r>
        <w:rPr>
          <w:rFonts w:hint="eastAsia" w:ascii="仿宋_GB2312" w:hAnsi="仿宋_GB2312" w:eastAsia="仿宋_GB2312" w:cs="仿宋_GB2312"/>
        </w:rPr>
        <w:t>月</w:t>
      </w:r>
    </w:p>
    <w:p>
      <w:pPr>
        <w:ind w:firstLine="0" w:firstLineChars="0"/>
        <w:jc w:val="center"/>
        <w:rPr>
          <w:rFonts w:ascii="仿宋_GB2312" w:hAnsi="仿宋_GB2312" w:eastAsia="仿宋_GB2312" w:cs="仿宋_GB2312"/>
        </w:rPr>
      </w:pPr>
    </w:p>
    <w:p>
      <w:pPr>
        <w:ind w:firstLine="0" w:firstLineChars="0"/>
        <w:jc w:val="center"/>
        <w:rPr>
          <w:rFonts w:hint="eastAsia" w:ascii="仿宋_GB2312" w:hAnsi="仿宋_GB2312" w:eastAsia="仿宋_GB2312" w:cs="仿宋_GB2312"/>
        </w:rPr>
      </w:pPr>
    </w:p>
    <w:p>
      <w:pPr>
        <w:ind w:firstLine="0" w:firstLineChars="0"/>
        <w:jc w:val="center"/>
        <w:rPr>
          <w:rFonts w:ascii="仿宋_GB2312" w:hAnsi="仿宋_GB2312" w:eastAsia="仿宋_GB2312" w:cs="仿宋_GB2312"/>
        </w:rPr>
      </w:pPr>
      <w:bookmarkStart w:id="84" w:name="_GoBack"/>
      <w:bookmarkEnd w:id="84"/>
      <w:r>
        <w:rPr>
          <w:rFonts w:hint="eastAsia" w:ascii="仿宋_GB2312" w:hAnsi="仿宋_GB2312" w:eastAsia="仿宋_GB2312" w:cs="仿宋_GB2312"/>
        </w:rPr>
        <w:t>目录</w:t>
      </w:r>
    </w:p>
    <w:p>
      <w:pPr>
        <w:pStyle w:val="30"/>
        <w:numPr>
          <w:ilvl w:val="0"/>
          <w:numId w:val="3"/>
        </w:num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招标公告.................................</w:t>
      </w:r>
      <w:r>
        <w:rPr>
          <w:rFonts w:hint="eastAsia" w:ascii="仿宋_GB2312" w:hAnsi="仿宋_GB2312" w:eastAsia="仿宋_GB2312" w:cs="仿宋_GB2312"/>
          <w:sz w:val="28"/>
          <w:szCs w:val="28"/>
          <w:lang w:val="en-US" w:eastAsia="zh-CN"/>
        </w:rPr>
        <w:t>10</w:t>
      </w:r>
    </w:p>
    <w:p>
      <w:pPr>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一.项目基本情况..................................</w:t>
      </w:r>
      <w:r>
        <w:rPr>
          <w:rFonts w:hint="eastAsia" w:ascii="仿宋_GB2312" w:hAnsi="仿宋_GB2312" w:eastAsia="仿宋_GB2312" w:cs="仿宋_GB2312"/>
          <w:sz w:val="28"/>
          <w:szCs w:val="28"/>
          <w:lang w:val="en-US" w:eastAsia="zh-CN"/>
        </w:rPr>
        <w:t>10</w:t>
      </w:r>
    </w:p>
    <w:p>
      <w:pPr>
        <w:pStyle w:val="30"/>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二.申请人的资格要求..............................</w:t>
      </w:r>
      <w:r>
        <w:rPr>
          <w:rFonts w:hint="eastAsia" w:ascii="仿宋_GB2312" w:hAnsi="仿宋_GB2312" w:eastAsia="仿宋_GB2312" w:cs="仿宋_GB2312"/>
          <w:sz w:val="28"/>
          <w:szCs w:val="28"/>
          <w:lang w:val="en-US" w:eastAsia="zh-CN"/>
        </w:rPr>
        <w:t>10</w:t>
      </w:r>
    </w:p>
    <w:p>
      <w:pPr>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三.获取招标文件..................................</w:t>
      </w:r>
      <w:r>
        <w:rPr>
          <w:rFonts w:hint="eastAsia" w:ascii="仿宋_GB2312" w:hAnsi="仿宋_GB2312" w:eastAsia="仿宋_GB2312" w:cs="仿宋_GB2312"/>
          <w:sz w:val="28"/>
          <w:szCs w:val="28"/>
          <w:lang w:val="en-US" w:eastAsia="zh-CN"/>
        </w:rPr>
        <w:t>12</w:t>
      </w:r>
    </w:p>
    <w:p>
      <w:pPr>
        <w:pStyle w:val="30"/>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四.提交投标文件截止时间，开标时间和地点..........</w:t>
      </w:r>
      <w:r>
        <w:rPr>
          <w:rFonts w:hint="eastAsia" w:ascii="仿宋_GB2312" w:hAnsi="仿宋_GB2312" w:eastAsia="仿宋_GB2312" w:cs="仿宋_GB2312"/>
          <w:sz w:val="28"/>
          <w:szCs w:val="28"/>
          <w:lang w:val="en-US" w:eastAsia="zh-CN"/>
        </w:rPr>
        <w:t>13</w:t>
      </w:r>
    </w:p>
    <w:p>
      <w:pPr>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五．公告期限.....................................</w:t>
      </w:r>
      <w:r>
        <w:rPr>
          <w:rFonts w:hint="eastAsia" w:ascii="仿宋_GB2312" w:hAnsi="仿宋_GB2312" w:eastAsia="仿宋_GB2312" w:cs="仿宋_GB2312"/>
          <w:sz w:val="28"/>
          <w:szCs w:val="28"/>
          <w:lang w:val="en-US" w:eastAsia="zh-CN"/>
        </w:rPr>
        <w:t>13</w:t>
      </w:r>
    </w:p>
    <w:p>
      <w:pPr>
        <w:pStyle w:val="30"/>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六．其他补充事宜.................................</w:t>
      </w:r>
      <w:r>
        <w:rPr>
          <w:rFonts w:hint="eastAsia" w:ascii="仿宋_GB2312" w:hAnsi="仿宋_GB2312" w:eastAsia="仿宋_GB2312" w:cs="仿宋_GB2312"/>
          <w:sz w:val="28"/>
          <w:szCs w:val="28"/>
          <w:lang w:val="en-US" w:eastAsia="zh-CN"/>
        </w:rPr>
        <w:t>13</w:t>
      </w:r>
    </w:p>
    <w:p>
      <w:pPr>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七.对本次采购提出询问，请按以下方式联系..........</w:t>
      </w:r>
      <w:r>
        <w:rPr>
          <w:rFonts w:hint="eastAsia" w:ascii="仿宋_GB2312" w:hAnsi="仿宋_GB2312" w:eastAsia="仿宋_GB2312" w:cs="仿宋_GB2312"/>
          <w:sz w:val="28"/>
          <w:szCs w:val="28"/>
          <w:lang w:val="en-US" w:eastAsia="zh-CN"/>
        </w:rPr>
        <w:t>14</w:t>
      </w:r>
    </w:p>
    <w:p>
      <w:pPr>
        <w:ind w:left="31680" w:hanging="31680" w:hangingChars="1372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第二章  投标须知.................................</w:t>
      </w:r>
      <w:r>
        <w:rPr>
          <w:rFonts w:hint="eastAsia" w:ascii="仿宋_GB2312" w:hAnsi="仿宋_GB2312" w:eastAsia="仿宋_GB2312" w:cs="仿宋_GB2312"/>
          <w:sz w:val="28"/>
          <w:szCs w:val="28"/>
          <w:lang w:val="en-US" w:eastAsia="zh-CN"/>
        </w:rPr>
        <w:t>15</w:t>
      </w:r>
    </w:p>
    <w:p>
      <w:pPr>
        <w:pStyle w:val="3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一．投标须知前附表...............................</w:t>
      </w:r>
      <w:r>
        <w:rPr>
          <w:rFonts w:hint="eastAsia" w:ascii="仿宋_GB2312" w:hAnsi="仿宋_GB2312" w:eastAsia="仿宋_GB2312" w:cs="仿宋_GB2312"/>
          <w:sz w:val="28"/>
          <w:szCs w:val="28"/>
          <w:lang w:val="en-US" w:eastAsia="zh-CN"/>
        </w:rPr>
        <w:t>15</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二．投标须知正文.................................</w:t>
      </w:r>
      <w:r>
        <w:rPr>
          <w:rFonts w:hint="eastAsia" w:ascii="仿宋_GB2312" w:hAnsi="仿宋_GB2312" w:eastAsia="仿宋_GB2312" w:cs="仿宋_GB2312"/>
          <w:sz w:val="28"/>
          <w:szCs w:val="28"/>
          <w:lang w:val="en-US" w:eastAsia="zh-CN"/>
        </w:rPr>
        <w:t>23</w:t>
      </w:r>
    </w:p>
    <w:p>
      <w:pPr>
        <w:pStyle w:val="3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（一）总则.......................................</w:t>
      </w:r>
      <w:r>
        <w:rPr>
          <w:rFonts w:hint="eastAsia" w:ascii="仿宋_GB2312" w:hAnsi="仿宋_GB2312" w:eastAsia="仿宋_GB2312" w:cs="仿宋_GB2312"/>
          <w:sz w:val="28"/>
          <w:szCs w:val="28"/>
          <w:lang w:val="en-US" w:eastAsia="zh-CN"/>
        </w:rPr>
        <w:t>23</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（二）招标文件...................................</w:t>
      </w:r>
      <w:r>
        <w:rPr>
          <w:rFonts w:hint="eastAsia" w:ascii="仿宋_GB2312" w:hAnsi="仿宋_GB2312" w:eastAsia="仿宋_GB2312" w:cs="仿宋_GB2312"/>
          <w:sz w:val="28"/>
          <w:szCs w:val="28"/>
          <w:lang w:val="en-US" w:eastAsia="zh-CN"/>
        </w:rPr>
        <w:t>31</w:t>
      </w:r>
    </w:p>
    <w:p>
      <w:pPr>
        <w:pStyle w:val="3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（三）投标文件...................................</w:t>
      </w:r>
      <w:r>
        <w:rPr>
          <w:rFonts w:hint="eastAsia" w:ascii="仿宋_GB2312" w:hAnsi="仿宋_GB2312" w:eastAsia="仿宋_GB2312" w:cs="仿宋_GB2312"/>
          <w:sz w:val="28"/>
          <w:szCs w:val="28"/>
          <w:lang w:val="en-US" w:eastAsia="zh-CN"/>
        </w:rPr>
        <w:t>33</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（四）投标文件的递交.............................</w:t>
      </w:r>
      <w:r>
        <w:rPr>
          <w:rFonts w:hint="eastAsia" w:ascii="仿宋_GB2312" w:hAnsi="仿宋_GB2312" w:eastAsia="仿宋_GB2312" w:cs="仿宋_GB2312"/>
          <w:sz w:val="28"/>
          <w:szCs w:val="28"/>
          <w:lang w:val="en-US" w:eastAsia="zh-CN"/>
        </w:rPr>
        <w:t>38</w:t>
      </w:r>
    </w:p>
    <w:p>
      <w:pPr>
        <w:pStyle w:val="3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（五）开标和评标.................................</w:t>
      </w:r>
      <w:r>
        <w:rPr>
          <w:rFonts w:hint="eastAsia" w:ascii="仿宋_GB2312" w:hAnsi="仿宋_GB2312" w:eastAsia="仿宋_GB2312" w:cs="仿宋_GB2312"/>
          <w:sz w:val="28"/>
          <w:szCs w:val="28"/>
          <w:lang w:val="en-US" w:eastAsia="zh-CN"/>
        </w:rPr>
        <w:t>39</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（六）中标结果信息公布与授予合同.................5</w:t>
      </w:r>
      <w:r>
        <w:rPr>
          <w:rFonts w:hint="eastAsia" w:ascii="仿宋_GB2312" w:hAnsi="仿宋_GB2312" w:eastAsia="仿宋_GB2312" w:cs="仿宋_GB2312"/>
          <w:sz w:val="28"/>
          <w:szCs w:val="28"/>
          <w:lang w:val="en-US" w:eastAsia="zh-CN"/>
        </w:rPr>
        <w:t>4</w:t>
      </w:r>
    </w:p>
    <w:p>
      <w:pPr>
        <w:pStyle w:val="3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（七）其他规定...................................</w:t>
      </w:r>
      <w:r>
        <w:rPr>
          <w:rFonts w:hint="eastAsia" w:ascii="仿宋_GB2312" w:hAnsi="仿宋_GB2312" w:eastAsia="仿宋_GB2312" w:cs="仿宋_GB2312"/>
          <w:sz w:val="28"/>
          <w:szCs w:val="28"/>
          <w:lang w:val="en-US" w:eastAsia="zh-CN"/>
        </w:rPr>
        <w:t>58</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第三章  评标标准.................................</w:t>
      </w:r>
      <w:r>
        <w:rPr>
          <w:rFonts w:hint="eastAsia" w:ascii="仿宋_GB2312" w:hAnsi="仿宋_GB2312" w:eastAsia="仿宋_GB2312" w:cs="仿宋_GB2312"/>
          <w:sz w:val="28"/>
          <w:szCs w:val="28"/>
          <w:lang w:val="en-US" w:eastAsia="zh-CN"/>
        </w:rPr>
        <w:t>60</w:t>
      </w:r>
    </w:p>
    <w:p>
      <w:pPr>
        <w:pStyle w:val="30"/>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一．总则.............................................</w:t>
      </w:r>
      <w:r>
        <w:rPr>
          <w:rFonts w:hint="eastAsia" w:ascii="仿宋_GB2312" w:hAnsi="仿宋_GB2312" w:eastAsia="仿宋_GB2312" w:cs="仿宋_GB2312"/>
          <w:sz w:val="28"/>
          <w:szCs w:val="28"/>
          <w:lang w:val="en-US" w:eastAsia="zh-CN"/>
        </w:rPr>
        <w:t>..60</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1.评标委员会.....................................</w:t>
      </w:r>
      <w:r>
        <w:rPr>
          <w:rFonts w:hint="eastAsia" w:ascii="仿宋_GB2312" w:hAnsi="仿宋_GB2312" w:eastAsia="仿宋_GB2312" w:cs="仿宋_GB2312"/>
          <w:sz w:val="28"/>
          <w:szCs w:val="28"/>
          <w:lang w:val="en-US" w:eastAsia="zh-CN"/>
        </w:rPr>
        <w:t>..60</w:t>
      </w:r>
    </w:p>
    <w:p>
      <w:pPr>
        <w:pStyle w:val="3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2.评标方法.......................................</w:t>
      </w:r>
      <w:r>
        <w:rPr>
          <w:rFonts w:hint="eastAsia" w:ascii="仿宋_GB2312" w:hAnsi="仿宋_GB2312" w:eastAsia="仿宋_GB2312" w:cs="仿宋_GB2312"/>
          <w:sz w:val="28"/>
          <w:szCs w:val="28"/>
          <w:lang w:val="en-US" w:eastAsia="zh-CN"/>
        </w:rPr>
        <w:t>..60</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3.评标原则和评标纪律.............................</w:t>
      </w:r>
      <w:r>
        <w:rPr>
          <w:rFonts w:hint="eastAsia" w:ascii="仿宋_GB2312" w:hAnsi="仿宋_GB2312" w:eastAsia="仿宋_GB2312" w:cs="仿宋_GB2312"/>
          <w:sz w:val="28"/>
          <w:szCs w:val="28"/>
          <w:lang w:val="en-US" w:eastAsia="zh-CN"/>
        </w:rPr>
        <w:t>..61</w:t>
      </w:r>
    </w:p>
    <w:p>
      <w:pPr>
        <w:pStyle w:val="30"/>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二．评标程序.........................................</w:t>
      </w:r>
      <w:r>
        <w:rPr>
          <w:rFonts w:hint="eastAsia" w:ascii="仿宋_GB2312" w:hAnsi="仿宋_GB2312" w:eastAsia="仿宋_GB2312" w:cs="仿宋_GB2312"/>
          <w:sz w:val="28"/>
          <w:szCs w:val="28"/>
          <w:lang w:val="en-US" w:eastAsia="zh-CN"/>
        </w:rPr>
        <w:t>..63</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4.投标文件的初步评标.............................</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3</w:t>
      </w:r>
    </w:p>
    <w:p>
      <w:pPr>
        <w:pStyle w:val="3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5.澄清有关问题...................................</w:t>
      </w:r>
      <w:r>
        <w:rPr>
          <w:rFonts w:hint="eastAsia" w:ascii="仿宋_GB2312" w:hAnsi="仿宋_GB2312" w:eastAsia="仿宋_GB2312" w:cs="仿宋_GB2312"/>
          <w:sz w:val="28"/>
          <w:szCs w:val="28"/>
          <w:lang w:val="en-US" w:eastAsia="zh-CN"/>
        </w:rPr>
        <w:t>..66</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6.详细评标......................................</w:t>
      </w:r>
      <w:r>
        <w:rPr>
          <w:rFonts w:hint="eastAsia" w:ascii="仿宋_GB2312" w:hAnsi="仿宋_GB2312" w:eastAsia="仿宋_GB2312" w:cs="仿宋_GB2312"/>
          <w:sz w:val="28"/>
          <w:szCs w:val="28"/>
          <w:lang w:val="en-US" w:eastAsia="zh-CN"/>
        </w:rPr>
        <w:t>...68</w:t>
      </w:r>
    </w:p>
    <w:p>
      <w:pPr>
        <w:pStyle w:val="3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7.推荐中标候选人名单.............................</w:t>
      </w:r>
      <w:r>
        <w:rPr>
          <w:rFonts w:hint="eastAsia" w:ascii="仿宋_GB2312" w:hAnsi="仿宋_GB2312" w:eastAsia="仿宋_GB2312" w:cs="仿宋_GB2312"/>
          <w:sz w:val="28"/>
          <w:szCs w:val="28"/>
          <w:lang w:val="en-US" w:eastAsia="zh-CN"/>
        </w:rPr>
        <w:t>..71</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第四章  政府采购合同范本.........................</w:t>
      </w:r>
      <w:r>
        <w:rPr>
          <w:rFonts w:hint="eastAsia" w:ascii="仿宋_GB2312" w:hAnsi="仿宋_GB2312" w:eastAsia="仿宋_GB2312" w:cs="仿宋_GB2312"/>
          <w:sz w:val="28"/>
          <w:szCs w:val="28"/>
          <w:lang w:val="en-US" w:eastAsia="zh-CN"/>
        </w:rPr>
        <w:t>..74</w:t>
      </w:r>
    </w:p>
    <w:p>
      <w:pPr>
        <w:pStyle w:val="3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1.定义...........................................</w:t>
      </w:r>
      <w:r>
        <w:rPr>
          <w:rFonts w:hint="eastAsia" w:ascii="仿宋_GB2312" w:hAnsi="仿宋_GB2312" w:eastAsia="仿宋_GB2312" w:cs="仿宋_GB2312"/>
          <w:sz w:val="28"/>
          <w:szCs w:val="28"/>
          <w:lang w:val="en-US" w:eastAsia="zh-CN"/>
        </w:rPr>
        <w:t>..74</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2.合同标的.......................................</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5</w:t>
      </w:r>
    </w:p>
    <w:p>
      <w:pPr>
        <w:pStyle w:val="3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3.供货范围.......................................</w:t>
      </w:r>
      <w:r>
        <w:rPr>
          <w:rFonts w:hint="eastAsia" w:ascii="仿宋_GB2312" w:hAnsi="仿宋_GB2312" w:eastAsia="仿宋_GB2312" w:cs="仿宋_GB2312"/>
          <w:sz w:val="28"/>
          <w:szCs w:val="28"/>
          <w:lang w:val="en-US" w:eastAsia="zh-CN"/>
        </w:rPr>
        <w:t>..75</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4.合同价格.......................................</w:t>
      </w:r>
      <w:r>
        <w:rPr>
          <w:rFonts w:hint="eastAsia" w:ascii="仿宋_GB2312" w:hAnsi="仿宋_GB2312" w:eastAsia="仿宋_GB2312" w:cs="仿宋_GB2312"/>
          <w:sz w:val="28"/>
          <w:szCs w:val="28"/>
          <w:lang w:val="en-US" w:eastAsia="zh-CN"/>
        </w:rPr>
        <w:t>..76</w:t>
      </w:r>
    </w:p>
    <w:p>
      <w:pPr>
        <w:pStyle w:val="3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5.付款方式......................................</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6</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6.实施周期.......................................</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6</w:t>
      </w:r>
    </w:p>
    <w:p>
      <w:pPr>
        <w:pStyle w:val="3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7.交货地点.......................................</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7</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8.专利权.........................................</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7</w:t>
      </w:r>
    </w:p>
    <w:p>
      <w:pPr>
        <w:pStyle w:val="3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9.技术资料的交付.................................</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7</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10.维护与索赔....................................</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7</w:t>
      </w:r>
    </w:p>
    <w:p>
      <w:pPr>
        <w:pStyle w:val="3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11.安装调试......................................</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8</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12.培训..........................................</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8</w:t>
      </w:r>
    </w:p>
    <w:p>
      <w:pPr>
        <w:pStyle w:val="3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13.检验.........................................</w:t>
      </w:r>
      <w:r>
        <w:rPr>
          <w:rFonts w:hint="eastAsia" w:ascii="仿宋_GB2312" w:hAnsi="仿宋_GB2312" w:eastAsia="仿宋_GB2312" w:cs="仿宋_GB2312"/>
          <w:sz w:val="28"/>
          <w:szCs w:val="28"/>
          <w:lang w:val="en-US" w:eastAsia="zh-CN"/>
        </w:rPr>
        <w:t>...79</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14.违约责任......................................</w:t>
      </w:r>
      <w:r>
        <w:rPr>
          <w:rFonts w:hint="eastAsia" w:ascii="仿宋_GB2312" w:hAnsi="仿宋_GB2312" w:eastAsia="仿宋_GB2312" w:cs="仿宋_GB2312"/>
          <w:sz w:val="28"/>
          <w:szCs w:val="28"/>
          <w:lang w:val="en-US" w:eastAsia="zh-CN"/>
        </w:rPr>
        <w:t>..79</w:t>
      </w:r>
    </w:p>
    <w:p>
      <w:pPr>
        <w:pStyle w:val="3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15.合同的变更，修改，中止和终止...................</w:t>
      </w:r>
      <w:r>
        <w:rPr>
          <w:rFonts w:hint="eastAsia" w:ascii="仿宋_GB2312" w:hAnsi="仿宋_GB2312" w:eastAsia="仿宋_GB2312" w:cs="仿宋_GB2312"/>
          <w:sz w:val="28"/>
          <w:szCs w:val="28"/>
          <w:lang w:val="en-US" w:eastAsia="zh-CN"/>
        </w:rPr>
        <w:t>.79</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16.不可抗力.......................................</w:t>
      </w:r>
      <w:r>
        <w:rPr>
          <w:rFonts w:hint="eastAsia" w:ascii="仿宋_GB2312" w:hAnsi="仿宋_GB2312" w:eastAsia="仿宋_GB2312" w:cs="仿宋_GB2312"/>
          <w:sz w:val="28"/>
          <w:szCs w:val="28"/>
          <w:lang w:val="en-US" w:eastAsia="zh-CN"/>
        </w:rPr>
        <w:t>.80</w:t>
      </w:r>
    </w:p>
    <w:p>
      <w:pPr>
        <w:pStyle w:val="3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17.合同争议的解决.................................</w:t>
      </w:r>
      <w:r>
        <w:rPr>
          <w:rFonts w:hint="eastAsia" w:ascii="仿宋_GB2312" w:hAnsi="仿宋_GB2312" w:eastAsia="仿宋_GB2312" w:cs="仿宋_GB2312"/>
          <w:sz w:val="28"/>
          <w:szCs w:val="28"/>
          <w:lang w:val="en-US" w:eastAsia="zh-CN"/>
        </w:rPr>
        <w:t>.81</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18.其它...........................................</w:t>
      </w:r>
      <w:r>
        <w:rPr>
          <w:rFonts w:hint="eastAsia" w:ascii="仿宋_GB2312" w:hAnsi="仿宋_GB2312" w:eastAsia="仿宋_GB2312" w:cs="仿宋_GB2312"/>
          <w:sz w:val="28"/>
          <w:szCs w:val="28"/>
          <w:lang w:val="en-US" w:eastAsia="zh-CN"/>
        </w:rPr>
        <w:t>.81</w:t>
      </w:r>
    </w:p>
    <w:p>
      <w:pPr>
        <w:pStyle w:val="3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第五章  采购需求..................................</w:t>
      </w:r>
      <w:r>
        <w:rPr>
          <w:rFonts w:hint="eastAsia" w:ascii="仿宋_GB2312" w:hAnsi="仿宋_GB2312" w:eastAsia="仿宋_GB2312" w:cs="仿宋_GB2312"/>
          <w:sz w:val="28"/>
          <w:szCs w:val="28"/>
          <w:lang w:val="en-US" w:eastAsia="zh-CN"/>
        </w:rPr>
        <w:t>.83</w:t>
      </w:r>
    </w:p>
    <w:p>
      <w:pPr>
        <w:ind w:firstLine="0" w:firstLineChars="0"/>
        <w:rPr>
          <w:sz w:val="28"/>
          <w:szCs w:val="28"/>
        </w:rPr>
      </w:pPr>
      <w:r>
        <w:rPr>
          <w:rFonts w:hint="eastAsia"/>
          <w:sz w:val="28"/>
          <w:szCs w:val="28"/>
        </w:rPr>
        <w:t>一．项目名称......................................</w:t>
      </w:r>
      <w:r>
        <w:rPr>
          <w:rFonts w:hint="eastAsia"/>
          <w:sz w:val="28"/>
          <w:szCs w:val="28"/>
          <w:lang w:val="en-US" w:eastAsia="zh-CN"/>
        </w:rPr>
        <w:t>.....</w:t>
      </w:r>
      <w:r>
        <w:rPr>
          <w:rFonts w:hint="eastAsia"/>
          <w:sz w:val="28"/>
          <w:szCs w:val="28"/>
        </w:rPr>
        <w:t>8</w:t>
      </w:r>
      <w:r>
        <w:rPr>
          <w:rFonts w:hint="eastAsia"/>
          <w:sz w:val="28"/>
          <w:szCs w:val="28"/>
          <w:lang w:val="en-US" w:eastAsia="zh-CN"/>
        </w:rPr>
        <w:t>3</w:t>
      </w:r>
    </w:p>
    <w:p>
      <w:pPr>
        <w:pStyle w:val="30"/>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二．建设目标</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val="en-US" w:eastAsia="zh-CN"/>
        </w:rPr>
        <w:t>3</w:t>
      </w:r>
    </w:p>
    <w:p>
      <w:pPr>
        <w:pStyle w:val="30"/>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val="en-US" w:eastAsia="zh-CN"/>
        </w:rPr>
        <w:t>建设内容</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.....84</w:t>
      </w:r>
    </w:p>
    <w:p>
      <w:pPr>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建设周期</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....116</w:t>
      </w:r>
    </w:p>
    <w:p>
      <w:pPr>
        <w:pStyle w:val="30"/>
        <w:numPr>
          <w:ilvl w:val="0"/>
          <w:numId w:val="4"/>
        </w:numPr>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总体性能要求</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......116</w:t>
      </w:r>
    </w:p>
    <w:p>
      <w:pPr>
        <w:pStyle w:val="30"/>
        <w:numPr>
          <w:numId w:val="0"/>
        </w:numP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六.项目需遵循的有关标准和规范</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.....117</w:t>
      </w:r>
    </w:p>
    <w:p>
      <w:pPr>
        <w:ind w:left="31680" w:hanging="31680" w:hangingChars="13724"/>
        <w:jc w:val="both"/>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安装</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调试</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售后服务及技术支持.................</w:t>
      </w:r>
      <w:r>
        <w:rPr>
          <w:rFonts w:hint="eastAsia" w:ascii="仿宋_GB2312" w:hAnsi="仿宋_GB2312" w:eastAsia="仿宋_GB2312" w:cs="仿宋_GB2312"/>
          <w:sz w:val="28"/>
          <w:szCs w:val="28"/>
          <w:lang w:val="en-US" w:eastAsia="zh-CN"/>
        </w:rPr>
        <w:t>....127</w:t>
      </w:r>
    </w:p>
    <w:p>
      <w:pPr>
        <w:pStyle w:val="30"/>
        <w:numPr>
          <w:ilvl w:val="0"/>
          <w:numId w:val="5"/>
        </w:num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投标文件格式..............................</w:t>
      </w:r>
      <w:r>
        <w:rPr>
          <w:rFonts w:hint="eastAsia" w:ascii="仿宋_GB2312" w:hAnsi="仿宋_GB2312" w:eastAsia="仿宋_GB2312" w:cs="仿宋_GB2312"/>
          <w:sz w:val="28"/>
          <w:szCs w:val="28"/>
          <w:lang w:val="en-US" w:eastAsia="zh-CN"/>
        </w:rPr>
        <w:t>129</w:t>
      </w:r>
    </w:p>
    <w:p>
      <w:pPr>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一．投标函............................................</w:t>
      </w:r>
      <w:r>
        <w:rPr>
          <w:rFonts w:hint="eastAsia" w:ascii="仿宋_GB2312" w:hAnsi="仿宋_GB2312" w:eastAsia="仿宋_GB2312" w:cs="仿宋_GB2312"/>
          <w:sz w:val="28"/>
          <w:szCs w:val="28"/>
          <w:lang w:val="en-US" w:eastAsia="zh-CN"/>
        </w:rPr>
        <w:t>131</w:t>
      </w:r>
    </w:p>
    <w:p>
      <w:pPr>
        <w:pStyle w:val="30"/>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b w:val="0"/>
          <w:bCs/>
          <w:sz w:val="28"/>
          <w:szCs w:val="28"/>
        </w:rPr>
        <w:t>法定人代表身份证明及法定代表人授权委托书</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132</w:t>
      </w:r>
    </w:p>
    <w:p>
      <w:pPr>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hint="eastAsia" w:ascii="仿宋_GB2312" w:hAnsi="仿宋_GB2312" w:eastAsia="仿宋_GB2312" w:cs="仿宋_GB2312"/>
          <w:b w:val="0"/>
          <w:bCs/>
          <w:sz w:val="28"/>
          <w:szCs w:val="28"/>
        </w:rPr>
        <w:t>开标一览表</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134</w:t>
      </w:r>
    </w:p>
    <w:p>
      <w:pPr>
        <w:pStyle w:val="30"/>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b w:val="0"/>
          <w:bCs/>
          <w:color w:val="000000"/>
          <w:sz w:val="28"/>
          <w:szCs w:val="28"/>
          <w:lang w:eastAsia="zh-CN"/>
        </w:rPr>
        <w:t>招标</w:t>
      </w:r>
      <w:r>
        <w:rPr>
          <w:rFonts w:hint="eastAsia" w:ascii="仿宋_GB2312" w:hAnsi="仿宋_GB2312" w:eastAsia="仿宋_GB2312" w:cs="仿宋_GB2312"/>
          <w:b w:val="0"/>
          <w:bCs/>
          <w:color w:val="000000"/>
          <w:sz w:val="28"/>
          <w:szCs w:val="28"/>
        </w:rPr>
        <w:t>保证金提交证明</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135</w:t>
      </w:r>
    </w:p>
    <w:p>
      <w:pPr>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b w:val="0"/>
          <w:bCs/>
          <w:sz w:val="28"/>
          <w:szCs w:val="28"/>
        </w:rPr>
        <w:t>投标供应商资格证明文件</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136</w:t>
      </w:r>
    </w:p>
    <w:p>
      <w:pPr>
        <w:pStyle w:val="30"/>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六．</w:t>
      </w:r>
      <w:r>
        <w:rPr>
          <w:rFonts w:hint="eastAsia" w:ascii="仿宋_GB2312" w:hAnsi="仿宋_GB2312" w:eastAsia="仿宋_GB2312" w:cs="仿宋_GB2312"/>
          <w:b w:val="0"/>
          <w:bCs/>
          <w:sz w:val="28"/>
          <w:szCs w:val="28"/>
        </w:rPr>
        <w:t>项目整体服务方案</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140</w:t>
      </w:r>
    </w:p>
    <w:p>
      <w:pPr>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七．</w:t>
      </w:r>
      <w:r>
        <w:rPr>
          <w:rFonts w:hint="eastAsia" w:ascii="仿宋_GB2312" w:hAnsi="仿宋_GB2312" w:eastAsia="仿宋_GB2312" w:cs="仿宋_GB2312"/>
          <w:b w:val="0"/>
          <w:bCs/>
          <w:color w:val="000000"/>
          <w:sz w:val="28"/>
          <w:szCs w:val="28"/>
        </w:rPr>
        <w:t>项目负责人简历表及拟投入本项目主要成员表</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141</w:t>
      </w:r>
    </w:p>
    <w:p>
      <w:pPr>
        <w:pStyle w:val="33"/>
        <w:ind w:left="0" w:leftChars="0" w:firstLine="0" w:firstLineChars="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八.</w:t>
      </w:r>
      <w:r>
        <w:rPr>
          <w:rFonts w:hint="eastAsia" w:ascii="仿宋_GB2312" w:hAnsi="仿宋_GB2312" w:eastAsia="仿宋_GB2312" w:cs="仿宋_GB2312"/>
          <w:b w:val="0"/>
          <w:bCs/>
          <w:sz w:val="28"/>
          <w:szCs w:val="28"/>
        </w:rPr>
        <w:t>服务承诺书</w:t>
      </w:r>
      <w:r>
        <w:rPr>
          <w:rFonts w:hint="eastAsia" w:ascii="仿宋_GB2312" w:hAnsi="仿宋_GB2312" w:eastAsia="仿宋_GB2312" w:cs="仿宋_GB2312"/>
          <w:b w:val="0"/>
          <w:bCs/>
          <w:sz w:val="28"/>
          <w:szCs w:val="28"/>
          <w:lang w:val="en-US" w:eastAsia="zh-CN"/>
        </w:rPr>
        <w:t>.........................................142</w:t>
      </w:r>
    </w:p>
    <w:p>
      <w:pPr>
        <w:pStyle w:val="33"/>
        <w:ind w:left="0" w:leftChars="0" w:firstLine="0" w:firstLineChars="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九.</w:t>
      </w:r>
      <w:r>
        <w:rPr>
          <w:rFonts w:hint="eastAsia" w:ascii="仿宋_GB2312" w:hAnsi="仿宋_GB2312" w:eastAsia="仿宋_GB2312" w:cs="仿宋_GB2312"/>
          <w:b w:val="0"/>
          <w:bCs/>
          <w:sz w:val="28"/>
          <w:szCs w:val="28"/>
        </w:rPr>
        <w:t>偏离表</w:t>
      </w:r>
      <w:r>
        <w:rPr>
          <w:rFonts w:hint="eastAsia" w:ascii="仿宋_GB2312" w:hAnsi="仿宋_GB2312" w:eastAsia="仿宋_GB2312" w:cs="仿宋_GB2312"/>
          <w:b w:val="0"/>
          <w:bCs/>
          <w:sz w:val="28"/>
          <w:szCs w:val="28"/>
          <w:lang w:val="en-US" w:eastAsia="zh-CN"/>
        </w:rPr>
        <w:t>.............................................145</w:t>
      </w:r>
    </w:p>
    <w:p>
      <w:pPr>
        <w:pStyle w:val="33"/>
        <w:ind w:left="0" w:leftChars="0" w:firstLine="0" w:firstLineChars="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十.</w:t>
      </w:r>
      <w:r>
        <w:rPr>
          <w:rFonts w:hint="eastAsia" w:ascii="仿宋_GB2312" w:hAnsi="仿宋_GB2312" w:eastAsia="仿宋_GB2312" w:cs="仿宋_GB2312"/>
          <w:b w:val="0"/>
          <w:bCs/>
          <w:sz w:val="28"/>
          <w:szCs w:val="28"/>
        </w:rPr>
        <w:t>其他有利资料</w:t>
      </w:r>
      <w:r>
        <w:rPr>
          <w:rFonts w:hint="eastAsia" w:ascii="仿宋_GB2312" w:hAnsi="仿宋_GB2312" w:eastAsia="仿宋_GB2312" w:cs="仿宋_GB2312"/>
          <w:b w:val="0"/>
          <w:bCs/>
          <w:sz w:val="28"/>
          <w:szCs w:val="28"/>
          <w:lang w:val="en-US" w:eastAsia="zh-CN"/>
        </w:rPr>
        <w:t>.......................................147</w:t>
      </w:r>
    </w:p>
    <w:p>
      <w:pPr>
        <w:pStyle w:val="33"/>
        <w:ind w:left="0" w:leftChars="0" w:firstLine="0" w:firstLineChars="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十一.</w:t>
      </w:r>
      <w:r>
        <w:rPr>
          <w:rFonts w:hint="eastAsia" w:ascii="仿宋_GB2312" w:hAnsi="仿宋_GB2312" w:eastAsia="仿宋_GB2312" w:cs="仿宋_GB2312"/>
          <w:b w:val="0"/>
          <w:bCs/>
          <w:sz w:val="28"/>
          <w:szCs w:val="28"/>
        </w:rPr>
        <w:t>投标单位反商业贿赂承诺书</w:t>
      </w:r>
      <w:r>
        <w:rPr>
          <w:rFonts w:hint="eastAsia" w:ascii="仿宋_GB2312" w:hAnsi="仿宋_GB2312" w:eastAsia="仿宋_GB2312" w:cs="仿宋_GB2312"/>
          <w:b w:val="0"/>
          <w:bCs/>
          <w:sz w:val="28"/>
          <w:szCs w:val="28"/>
          <w:lang w:val="en-US" w:eastAsia="zh-CN"/>
        </w:rPr>
        <w:t>.........................148</w:t>
      </w:r>
    </w:p>
    <w:p>
      <w:pPr>
        <w:pStyle w:val="33"/>
        <w:ind w:left="0" w:leftChars="0" w:firstLine="0" w:firstLineChars="0"/>
        <w:rPr>
          <w:rFonts w:hint="eastAsia" w:ascii="仿宋_GB2312" w:hAnsi="仿宋_GB2312" w:eastAsia="仿宋_GB2312" w:cs="仿宋_GB2312"/>
          <w:b w:val="0"/>
          <w:bCs w:val="0"/>
          <w:spacing w:val="6"/>
          <w:sz w:val="28"/>
          <w:szCs w:val="28"/>
        </w:rPr>
      </w:pPr>
      <w:r>
        <w:rPr>
          <w:rFonts w:hint="eastAsia" w:ascii="仿宋_GB2312" w:hAnsi="仿宋_GB2312" w:eastAsia="仿宋_GB2312" w:cs="仿宋_GB2312"/>
          <w:b w:val="0"/>
          <w:bCs w:val="0"/>
          <w:kern w:val="0"/>
          <w:sz w:val="28"/>
          <w:szCs w:val="28"/>
          <w:lang w:val="en-US" w:eastAsia="zh-CN"/>
        </w:rPr>
        <w:t>十二.退投标保证金的函.................................150</w:t>
      </w:r>
    </w:p>
    <w:p>
      <w:pPr>
        <w:pStyle w:val="30"/>
        <w:ind w:firstLine="0" w:firstLineChars="0"/>
      </w:pPr>
    </w:p>
    <w:p>
      <w:pPr>
        <w:pStyle w:val="30"/>
        <w:ind w:firstLine="480"/>
      </w:pPr>
    </w:p>
    <w:p>
      <w:pPr>
        <w:ind w:firstLine="560"/>
        <w:rPr>
          <w:rFonts w:ascii="仿宋_GB2312" w:hAnsi="仿宋_GB2312" w:eastAsia="仿宋_GB2312" w:cs="仿宋_GB2312"/>
          <w:sz w:val="28"/>
          <w:szCs w:val="28"/>
        </w:rPr>
      </w:pPr>
    </w:p>
    <w:p>
      <w:pPr>
        <w:pStyle w:val="30"/>
        <w:ind w:left="31680" w:hanging="31680" w:hangingChars="13724"/>
        <w:rPr>
          <w:rFonts w:ascii="仿宋_GB2312" w:hAnsi="仿宋_GB2312" w:eastAsia="仿宋_GB2312" w:cs="仿宋_GB2312"/>
          <w:sz w:val="28"/>
          <w:szCs w:val="28"/>
        </w:rPr>
      </w:pPr>
    </w:p>
    <w:p>
      <w:pPr>
        <w:pStyle w:val="30"/>
        <w:ind w:firstLine="560"/>
        <w:rPr>
          <w:rFonts w:ascii="仿宋_GB2312" w:hAnsi="仿宋_GB2312" w:eastAsia="仿宋_GB2312" w:cs="仿宋_GB2312"/>
          <w:sz w:val="28"/>
          <w:szCs w:val="28"/>
        </w:rPr>
      </w:pPr>
    </w:p>
    <w:p>
      <w:pPr>
        <w:pStyle w:val="30"/>
        <w:ind w:firstLine="560"/>
        <w:rPr>
          <w:rFonts w:ascii="仿宋_GB2312" w:hAnsi="仿宋_GB2312" w:eastAsia="仿宋_GB2312" w:cs="仿宋_GB2312"/>
          <w:sz w:val="28"/>
          <w:szCs w:val="28"/>
        </w:rPr>
      </w:pPr>
    </w:p>
    <w:p>
      <w:pPr>
        <w:pStyle w:val="30"/>
        <w:ind w:firstLine="560"/>
        <w:rPr>
          <w:rFonts w:ascii="仿宋_GB2312" w:hAnsi="仿宋_GB2312" w:eastAsia="仿宋_GB2312" w:cs="仿宋_GB2312"/>
          <w:sz w:val="28"/>
          <w:szCs w:val="28"/>
        </w:rPr>
      </w:pPr>
    </w:p>
    <w:p>
      <w:pPr>
        <w:jc w:val="center"/>
        <w:outlineLvl w:val="1"/>
        <w:rPr>
          <w:rFonts w:hint="eastAsia" w:ascii="宋体" w:hAnsi="宋体" w:eastAsia="宋体" w:cs="Times New Roman"/>
          <w:b/>
          <w:bCs/>
          <w:kern w:val="0"/>
          <w:sz w:val="36"/>
          <w:szCs w:val="36"/>
          <w:lang w:val="en-US" w:eastAsia="zh-CN"/>
        </w:rPr>
      </w:pPr>
    </w:p>
    <w:p>
      <w:pPr>
        <w:jc w:val="center"/>
        <w:outlineLvl w:val="1"/>
        <w:rPr>
          <w:rFonts w:hint="eastAsia" w:ascii="宋体" w:hAnsi="宋体" w:eastAsia="宋体" w:cs="Times New Roman"/>
          <w:b/>
          <w:bCs/>
          <w:kern w:val="0"/>
          <w:sz w:val="36"/>
          <w:szCs w:val="36"/>
          <w:lang w:val="en-US" w:eastAsia="zh-CN"/>
        </w:rPr>
      </w:pPr>
    </w:p>
    <w:p>
      <w:pPr>
        <w:jc w:val="center"/>
        <w:outlineLvl w:val="1"/>
        <w:rPr>
          <w:rFonts w:hint="eastAsia" w:ascii="宋体" w:hAnsi="宋体" w:eastAsia="宋体" w:cs="Times New Roman"/>
          <w:b/>
          <w:bCs/>
          <w:kern w:val="0"/>
          <w:sz w:val="36"/>
          <w:szCs w:val="36"/>
          <w:lang w:val="en-US" w:eastAsia="zh-CN"/>
        </w:rPr>
      </w:pPr>
    </w:p>
    <w:p>
      <w:pPr>
        <w:jc w:val="center"/>
        <w:outlineLvl w:val="1"/>
        <w:rPr>
          <w:rFonts w:hint="eastAsia" w:ascii="宋体" w:hAnsi="宋体" w:eastAsia="宋体" w:cs="Times New Roman"/>
          <w:b/>
          <w:bCs/>
          <w:kern w:val="0"/>
          <w:sz w:val="36"/>
          <w:szCs w:val="36"/>
          <w:lang w:val="en-US" w:eastAsia="zh-CN"/>
        </w:rPr>
      </w:pPr>
    </w:p>
    <w:p>
      <w:pPr>
        <w:jc w:val="center"/>
        <w:outlineLvl w:val="1"/>
        <w:rPr>
          <w:rFonts w:hint="eastAsia" w:ascii="宋体" w:hAnsi="宋体" w:eastAsia="宋体" w:cs="Times New Roman"/>
          <w:b/>
          <w:bCs/>
          <w:kern w:val="0"/>
          <w:sz w:val="36"/>
          <w:szCs w:val="36"/>
          <w:lang w:val="en-US" w:eastAsia="zh-CN"/>
        </w:rPr>
      </w:pPr>
    </w:p>
    <w:p>
      <w:pPr>
        <w:jc w:val="center"/>
        <w:outlineLvl w:val="1"/>
        <w:rPr>
          <w:rFonts w:hint="eastAsia" w:ascii="宋体" w:hAnsi="宋体" w:eastAsia="宋体" w:cs="Times New Roman"/>
          <w:b/>
          <w:bCs/>
          <w:kern w:val="0"/>
          <w:sz w:val="36"/>
          <w:szCs w:val="36"/>
          <w:lang w:val="en-US" w:eastAsia="zh-CN"/>
        </w:rPr>
      </w:pPr>
    </w:p>
    <w:p>
      <w:pPr>
        <w:jc w:val="center"/>
        <w:outlineLvl w:val="1"/>
        <w:rPr>
          <w:rFonts w:hint="eastAsia" w:ascii="宋体" w:hAnsi="宋体" w:eastAsia="宋体" w:cs="Times New Roman"/>
          <w:b/>
          <w:bCs/>
          <w:kern w:val="0"/>
          <w:sz w:val="36"/>
          <w:szCs w:val="36"/>
          <w:lang w:val="en-US" w:eastAsia="zh-CN"/>
        </w:rPr>
      </w:pPr>
    </w:p>
    <w:p>
      <w:pPr>
        <w:jc w:val="center"/>
        <w:outlineLvl w:val="1"/>
        <w:rPr>
          <w:rFonts w:hint="eastAsia" w:ascii="宋体" w:hAnsi="宋体" w:eastAsia="宋体" w:cs="Times New Roman"/>
          <w:b/>
          <w:bCs/>
          <w:kern w:val="0"/>
          <w:sz w:val="36"/>
          <w:szCs w:val="36"/>
          <w:lang w:val="en-US" w:eastAsia="zh-CN"/>
        </w:rPr>
      </w:pPr>
    </w:p>
    <w:p>
      <w:pPr>
        <w:jc w:val="center"/>
        <w:outlineLvl w:val="1"/>
        <w:rPr>
          <w:rFonts w:hint="eastAsia" w:ascii="宋体" w:hAnsi="宋体" w:eastAsia="宋体" w:cs="Times New Roman"/>
          <w:b/>
          <w:bCs/>
          <w:kern w:val="0"/>
          <w:sz w:val="36"/>
          <w:szCs w:val="36"/>
          <w:lang w:val="en-US" w:eastAsia="zh-CN"/>
        </w:rPr>
      </w:pPr>
    </w:p>
    <w:p>
      <w:pPr>
        <w:jc w:val="center"/>
        <w:outlineLvl w:val="1"/>
        <w:rPr>
          <w:rFonts w:hint="eastAsia" w:ascii="宋体" w:hAnsi="宋体" w:eastAsia="宋体" w:cs="Times New Roman"/>
          <w:b/>
          <w:bCs/>
          <w:kern w:val="0"/>
          <w:sz w:val="36"/>
          <w:szCs w:val="36"/>
          <w:lang w:val="en-US" w:eastAsia="zh-CN"/>
        </w:rPr>
      </w:pPr>
    </w:p>
    <w:p>
      <w:pPr>
        <w:jc w:val="center"/>
        <w:outlineLvl w:val="1"/>
        <w:rPr>
          <w:rFonts w:hint="eastAsia" w:ascii="宋体" w:hAnsi="宋体" w:eastAsia="宋体" w:cs="Times New Roman"/>
          <w:b/>
          <w:bCs/>
          <w:kern w:val="0"/>
          <w:sz w:val="36"/>
          <w:szCs w:val="36"/>
          <w:lang w:val="en-US" w:eastAsia="zh-CN"/>
        </w:rPr>
      </w:pPr>
    </w:p>
    <w:p>
      <w:pPr>
        <w:jc w:val="center"/>
        <w:outlineLvl w:val="1"/>
        <w:rPr>
          <w:rFonts w:hint="eastAsia" w:ascii="宋体" w:hAnsi="宋体" w:eastAsia="宋体" w:cs="Times New Roman"/>
          <w:b/>
          <w:bCs/>
          <w:kern w:val="0"/>
          <w:sz w:val="36"/>
          <w:szCs w:val="36"/>
          <w:lang w:val="en-US" w:eastAsia="zh-CN"/>
        </w:rPr>
      </w:pPr>
    </w:p>
    <w:p>
      <w:pPr>
        <w:jc w:val="center"/>
        <w:outlineLvl w:val="1"/>
        <w:rPr>
          <w:rFonts w:hint="eastAsia" w:ascii="宋体" w:hAnsi="宋体" w:eastAsia="宋体" w:cs="Times New Roman"/>
          <w:b/>
          <w:bCs/>
          <w:kern w:val="0"/>
          <w:sz w:val="36"/>
          <w:szCs w:val="36"/>
          <w:lang w:val="en-US" w:eastAsia="zh-CN"/>
        </w:rPr>
      </w:pPr>
    </w:p>
    <w:p>
      <w:pPr>
        <w:jc w:val="both"/>
        <w:outlineLvl w:val="1"/>
        <w:rPr>
          <w:rFonts w:hint="eastAsia"/>
          <w:sz w:val="40"/>
          <w:szCs w:val="40"/>
          <w:lang w:val="en-US" w:eastAsia="zh-CN"/>
        </w:rPr>
      </w:pPr>
      <w:r>
        <w:rPr>
          <w:rFonts w:hint="eastAsia" w:eastAsia="宋体" w:cs="Times New Roman"/>
          <w:b/>
          <w:bCs/>
          <w:kern w:val="0"/>
          <w:sz w:val="36"/>
          <w:szCs w:val="36"/>
          <w:lang w:val="en-US" w:eastAsia="zh-CN"/>
        </w:rPr>
        <w:t xml:space="preserve">                </w:t>
      </w:r>
      <w:r>
        <w:rPr>
          <w:rFonts w:hint="eastAsia" w:ascii="宋体" w:hAnsi="宋体" w:eastAsia="宋体" w:cs="Times New Roman"/>
          <w:b/>
          <w:bCs/>
          <w:kern w:val="0"/>
          <w:sz w:val="36"/>
          <w:szCs w:val="36"/>
          <w:lang w:val="en-US" w:eastAsia="zh-CN"/>
        </w:rPr>
        <w:t>防疫须知</w:t>
      </w:r>
    </w:p>
    <w:p>
      <w:pPr>
        <w:widowControl/>
        <w:adjustRightInd w:val="0"/>
        <w:snapToGrid w:val="0"/>
        <w:spacing w:before="0" w:beforeAutospacing="0" w:after="0" w:afterAutospacing="0" w:line="24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b/>
          <w:bCs w:val="0"/>
          <w:color w:val="000000"/>
          <w:kern w:val="0"/>
          <w:sz w:val="32"/>
          <w:szCs w:val="32"/>
          <w:u w:val="none"/>
          <w:lang w:val="en-US" w:eastAsia="zh-CN"/>
        </w:rPr>
        <w:t>各潜在投标人：</w:t>
      </w:r>
    </w:p>
    <w:p>
      <w:pPr>
        <w:pStyle w:val="53"/>
        <w:widowControl/>
        <w:spacing w:before="0" w:beforeAutospacing="0" w:after="98" w:afterAutospacing="0" w:line="240" w:lineRule="auto"/>
        <w:ind w:right="0" w:firstLine="56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本项目投标、开标、评标工作严格执行关于新型冠状病毒感染的肺炎疫情防控工作要求，具体内容如下：</w:t>
      </w:r>
    </w:p>
    <w:p>
      <w:pPr>
        <w:pStyle w:val="53"/>
        <w:widowControl/>
        <w:numPr>
          <w:ilvl w:val="0"/>
          <w:numId w:val="6"/>
        </w:numPr>
        <w:spacing w:before="0" w:beforeAutospacing="0" w:after="98" w:afterAutospacing="0" w:line="240" w:lineRule="auto"/>
        <w:ind w:left="0" w:right="0" w:firstLine="57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eastAsia="zh-CN"/>
        </w:rPr>
        <w:t>投标供应商</w:t>
      </w:r>
      <w:r>
        <w:rPr>
          <w:rFonts w:hint="eastAsia" w:ascii="仿宋_GB2312" w:hAnsi="仿宋_GB2312" w:eastAsia="仿宋_GB2312" w:cs="仿宋_GB2312"/>
          <w:color w:val="333333"/>
          <w:sz w:val="32"/>
          <w:szCs w:val="32"/>
          <w:shd w:val="clear" w:color="auto" w:fill="FFFFFF"/>
        </w:rPr>
        <w:t>应指派无疫情接触史、身体健康且符合防疫要求的人员参加现场投标活动，并递交符合防疫要求的《投标人承诺书》（</w:t>
      </w:r>
      <w:r>
        <w:rPr>
          <w:rFonts w:hint="eastAsia" w:ascii="仿宋_GB2312" w:hAnsi="仿宋_GB2312" w:eastAsia="仿宋_GB2312" w:cs="仿宋_GB2312"/>
          <w:color w:val="333333"/>
          <w:sz w:val="32"/>
          <w:szCs w:val="32"/>
          <w:shd w:val="clear" w:color="auto" w:fill="FFFFFF"/>
          <w:lang w:eastAsia="zh-CN"/>
        </w:rPr>
        <w:t>承诺书附后</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《投标人承诺书》随投标文件单独递交，不需封装，无承诺书或承诺书不符合要求的，其投标文件将被拒收。</w:t>
      </w:r>
    </w:p>
    <w:p>
      <w:pPr>
        <w:pStyle w:val="53"/>
        <w:widowControl/>
        <w:numPr>
          <w:ilvl w:val="0"/>
          <w:numId w:val="6"/>
        </w:numPr>
        <w:spacing w:before="0" w:beforeAutospacing="0" w:after="98" w:afterAutospacing="0" w:line="240" w:lineRule="auto"/>
        <w:ind w:left="0" w:leftChars="0" w:right="0" w:firstLine="570" w:firstLineChars="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eastAsia="zh-CN"/>
        </w:rPr>
        <w:t>投标供应商</w:t>
      </w:r>
      <w:r>
        <w:rPr>
          <w:rFonts w:hint="eastAsia" w:ascii="仿宋_GB2312" w:hAnsi="仿宋_GB2312" w:eastAsia="仿宋_GB2312" w:cs="仿宋_GB2312"/>
          <w:color w:val="333333"/>
          <w:sz w:val="32"/>
          <w:szCs w:val="32"/>
          <w:shd w:val="clear" w:color="auto" w:fill="FFFFFF"/>
        </w:rPr>
        <w:t>代表防护要求：入场前，</w:t>
      </w:r>
      <w:r>
        <w:rPr>
          <w:rFonts w:hint="eastAsia" w:ascii="仿宋_GB2312" w:hAnsi="仿宋_GB2312" w:eastAsia="仿宋_GB2312" w:cs="仿宋_GB2312"/>
          <w:color w:val="333333"/>
          <w:sz w:val="32"/>
          <w:szCs w:val="32"/>
          <w:shd w:val="clear" w:color="auto" w:fill="FFFFFF"/>
          <w:lang w:eastAsia="zh-CN"/>
        </w:rPr>
        <w:t>投标供应商</w:t>
      </w:r>
      <w:r>
        <w:rPr>
          <w:rFonts w:hint="eastAsia" w:ascii="仿宋_GB2312" w:hAnsi="仿宋_GB2312" w:eastAsia="仿宋_GB2312" w:cs="仿宋_GB2312"/>
          <w:color w:val="333333"/>
          <w:sz w:val="32"/>
          <w:szCs w:val="32"/>
          <w:shd w:val="clear" w:color="auto" w:fill="FFFFFF"/>
        </w:rPr>
        <w:t>代表应做好个人防护，正确佩戴无呼吸气阀的合格口罩，主动配合做好实名登记、体温检测等防控工作。未正确佩戴合格口罩、体温超过37.2℃、有疫情接触史且医学观察未满14天者将被劝返，不得入场，对不遵守疫情防控管理规定的将被驱逐出场，由此导致的后果由</w:t>
      </w:r>
      <w:r>
        <w:rPr>
          <w:rFonts w:hint="eastAsia" w:ascii="仿宋_GB2312" w:hAnsi="仿宋_GB2312" w:eastAsia="仿宋_GB2312" w:cs="仿宋_GB2312"/>
          <w:color w:val="333333"/>
          <w:sz w:val="32"/>
          <w:szCs w:val="32"/>
          <w:shd w:val="clear" w:color="auto" w:fill="FFFFFF"/>
          <w:lang w:eastAsia="zh-CN"/>
        </w:rPr>
        <w:t>投标供应商</w:t>
      </w:r>
      <w:r>
        <w:rPr>
          <w:rFonts w:hint="eastAsia" w:ascii="仿宋_GB2312" w:hAnsi="仿宋_GB2312" w:eastAsia="仿宋_GB2312" w:cs="仿宋_GB2312"/>
          <w:color w:val="333333"/>
          <w:sz w:val="32"/>
          <w:szCs w:val="32"/>
          <w:shd w:val="clear" w:color="auto" w:fill="FFFFFF"/>
        </w:rPr>
        <w:t>自行承担。</w:t>
      </w:r>
    </w:p>
    <w:p>
      <w:pPr>
        <w:pStyle w:val="53"/>
        <w:widowControl/>
        <w:spacing w:before="0" w:beforeAutospacing="0" w:after="98" w:afterAutospacing="0" w:line="240" w:lineRule="auto"/>
        <w:ind w:left="0" w:right="0" w:firstLine="57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eastAsia="zh-CN"/>
        </w:rPr>
        <w:t>三</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eastAsia="zh-CN"/>
        </w:rPr>
        <w:t>投标供应商</w:t>
      </w:r>
      <w:r>
        <w:rPr>
          <w:rFonts w:hint="eastAsia" w:ascii="仿宋_GB2312" w:hAnsi="仿宋_GB2312" w:eastAsia="仿宋_GB2312" w:cs="仿宋_GB2312"/>
          <w:color w:val="333333"/>
          <w:sz w:val="32"/>
          <w:szCs w:val="32"/>
          <w:shd w:val="clear" w:color="auto" w:fill="FFFFFF"/>
        </w:rPr>
        <w:t>代表人数要求：</w:t>
      </w:r>
      <w:r>
        <w:rPr>
          <w:rFonts w:hint="eastAsia" w:ascii="仿宋_GB2312" w:hAnsi="仿宋_GB2312" w:eastAsia="仿宋_GB2312" w:cs="仿宋_GB2312"/>
          <w:color w:val="333333"/>
          <w:sz w:val="32"/>
          <w:szCs w:val="32"/>
          <w:shd w:val="clear" w:color="auto" w:fill="FFFFFF"/>
          <w:lang w:eastAsia="zh-CN"/>
        </w:rPr>
        <w:t>投标供应商</w:t>
      </w:r>
      <w:r>
        <w:rPr>
          <w:rFonts w:hint="eastAsia" w:ascii="仿宋_GB2312" w:hAnsi="仿宋_GB2312" w:eastAsia="仿宋_GB2312" w:cs="仿宋_GB2312"/>
          <w:color w:val="333333"/>
          <w:sz w:val="32"/>
          <w:szCs w:val="32"/>
          <w:shd w:val="clear" w:color="auto" w:fill="FFFFFF"/>
        </w:rPr>
        <w:t>限派</w:t>
      </w:r>
      <w:r>
        <w:rPr>
          <w:rFonts w:hint="eastAsia" w:ascii="仿宋_GB2312" w:hAnsi="仿宋_GB2312" w:eastAsia="仿宋_GB2312" w:cs="仿宋_GB2312"/>
          <w:color w:val="333333"/>
          <w:sz w:val="32"/>
          <w:szCs w:val="32"/>
          <w:shd w:val="clear" w:color="auto" w:fill="FFFFFF"/>
          <w:lang w:val="en-US" w:eastAsia="zh-CN"/>
        </w:rPr>
        <w:t>1</w:t>
      </w:r>
      <w:r>
        <w:rPr>
          <w:rFonts w:hint="eastAsia" w:ascii="仿宋_GB2312" w:hAnsi="仿宋_GB2312" w:eastAsia="仿宋_GB2312" w:cs="仿宋_GB2312"/>
          <w:color w:val="333333"/>
          <w:sz w:val="32"/>
          <w:szCs w:val="32"/>
          <w:shd w:val="clear" w:color="auto" w:fill="FFFFFF"/>
        </w:rPr>
        <w:t>名代表参加投标和开标会。但应做好投标代表人员储备，避免因既定人员现场不符合防控要求无法进场影响正常投标，因</w:t>
      </w:r>
      <w:r>
        <w:rPr>
          <w:rFonts w:hint="eastAsia" w:ascii="仿宋_GB2312" w:hAnsi="仿宋_GB2312" w:eastAsia="仿宋_GB2312" w:cs="仿宋_GB2312"/>
          <w:color w:val="333333"/>
          <w:sz w:val="32"/>
          <w:szCs w:val="32"/>
          <w:shd w:val="clear" w:color="auto" w:fill="FFFFFF"/>
          <w:lang w:eastAsia="zh-CN"/>
        </w:rPr>
        <w:t>投标供应商</w:t>
      </w:r>
      <w:r>
        <w:rPr>
          <w:rFonts w:hint="eastAsia" w:ascii="仿宋_GB2312" w:hAnsi="仿宋_GB2312" w:eastAsia="仿宋_GB2312" w:cs="仿宋_GB2312"/>
          <w:color w:val="333333"/>
          <w:sz w:val="32"/>
          <w:szCs w:val="32"/>
          <w:shd w:val="clear" w:color="auto" w:fill="FFFFFF"/>
        </w:rPr>
        <w:t>代表不符合疫情防控要求无法进场投标的后果，由</w:t>
      </w:r>
      <w:r>
        <w:rPr>
          <w:rFonts w:hint="eastAsia" w:ascii="仿宋_GB2312" w:hAnsi="仿宋_GB2312" w:eastAsia="仿宋_GB2312" w:cs="仿宋_GB2312"/>
          <w:color w:val="333333"/>
          <w:sz w:val="32"/>
          <w:szCs w:val="32"/>
          <w:shd w:val="clear" w:color="auto" w:fill="FFFFFF"/>
          <w:lang w:eastAsia="zh-CN"/>
        </w:rPr>
        <w:t>投标供应商</w:t>
      </w:r>
      <w:r>
        <w:rPr>
          <w:rFonts w:hint="eastAsia" w:ascii="仿宋_GB2312" w:hAnsi="仿宋_GB2312" w:eastAsia="仿宋_GB2312" w:cs="仿宋_GB2312"/>
          <w:color w:val="333333"/>
          <w:sz w:val="32"/>
          <w:szCs w:val="32"/>
          <w:shd w:val="clear" w:color="auto" w:fill="FFFFFF"/>
        </w:rPr>
        <w:t>自行承担。</w:t>
      </w:r>
    </w:p>
    <w:p>
      <w:pPr>
        <w:pStyle w:val="53"/>
        <w:widowControl/>
        <w:spacing w:before="0" w:beforeAutospacing="0" w:after="98" w:afterAutospacing="0" w:line="240" w:lineRule="auto"/>
        <w:ind w:left="0" w:right="0" w:firstLine="57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eastAsia="zh-CN"/>
        </w:rPr>
        <w:t>四</w:t>
      </w:r>
      <w:r>
        <w:rPr>
          <w:rFonts w:hint="eastAsia" w:ascii="仿宋_GB2312" w:hAnsi="仿宋_GB2312" w:eastAsia="仿宋_GB2312" w:cs="仿宋_GB2312"/>
          <w:color w:val="333333"/>
          <w:sz w:val="32"/>
          <w:szCs w:val="32"/>
          <w:shd w:val="clear" w:color="auto" w:fill="FFFFFF"/>
        </w:rPr>
        <w:t>）保持安全距离。交易当天，各</w:t>
      </w:r>
      <w:r>
        <w:rPr>
          <w:rFonts w:hint="eastAsia" w:ascii="仿宋_GB2312" w:hAnsi="仿宋_GB2312" w:eastAsia="仿宋_GB2312" w:cs="仿宋_GB2312"/>
          <w:color w:val="333333"/>
          <w:sz w:val="32"/>
          <w:szCs w:val="32"/>
          <w:shd w:val="clear" w:color="auto" w:fill="FFFFFF"/>
          <w:lang w:eastAsia="zh-CN"/>
        </w:rPr>
        <w:t>投标供应商</w:t>
      </w:r>
      <w:r>
        <w:rPr>
          <w:rFonts w:hint="eastAsia" w:ascii="仿宋_GB2312" w:hAnsi="仿宋_GB2312" w:eastAsia="仿宋_GB2312" w:cs="仿宋_GB2312"/>
          <w:color w:val="333333"/>
          <w:sz w:val="32"/>
          <w:szCs w:val="32"/>
          <w:shd w:val="clear" w:color="auto" w:fill="FFFFFF"/>
        </w:rPr>
        <w:t>在场内等候或工作期间，应全程佩戴口罩，尽可能独立乘坐电梯，自觉保持1</w:t>
      </w: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米以上间隔距离，座位隔空就座，不扎堆聚集，不喧哗闲聊，不随意走动，废弃口罩定点投放。</w:t>
      </w:r>
    </w:p>
    <w:p>
      <w:pPr>
        <w:pStyle w:val="53"/>
        <w:widowControl/>
        <w:spacing w:before="0" w:beforeAutospacing="0" w:after="98" w:afterAutospacing="0" w:line="240" w:lineRule="auto"/>
        <w:ind w:left="0" w:right="0" w:firstLine="57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eastAsia="zh-CN"/>
        </w:rPr>
        <w:t>五</w:t>
      </w:r>
      <w:r>
        <w:rPr>
          <w:rFonts w:hint="eastAsia" w:ascii="仿宋_GB2312" w:hAnsi="仿宋_GB2312" w:eastAsia="仿宋_GB2312" w:cs="仿宋_GB2312"/>
          <w:color w:val="333333"/>
          <w:sz w:val="32"/>
          <w:szCs w:val="32"/>
          <w:shd w:val="clear" w:color="auto" w:fill="FFFFFF"/>
        </w:rPr>
        <w:t>）控制活动时间。</w:t>
      </w:r>
      <w:r>
        <w:rPr>
          <w:rFonts w:hint="eastAsia" w:ascii="仿宋_GB2312" w:hAnsi="仿宋_GB2312" w:eastAsia="仿宋_GB2312" w:cs="仿宋_GB2312"/>
          <w:color w:val="333333"/>
          <w:sz w:val="32"/>
          <w:szCs w:val="32"/>
          <w:shd w:val="clear" w:color="auto" w:fill="FFFFFF"/>
          <w:lang w:eastAsia="zh-CN"/>
        </w:rPr>
        <w:t>投标供应商</w:t>
      </w:r>
      <w:r>
        <w:rPr>
          <w:rFonts w:hint="eastAsia" w:ascii="仿宋_GB2312" w:hAnsi="仿宋_GB2312" w:eastAsia="仿宋_GB2312" w:cs="仿宋_GB2312"/>
          <w:color w:val="333333"/>
          <w:sz w:val="32"/>
          <w:szCs w:val="32"/>
          <w:shd w:val="clear" w:color="auto" w:fill="FFFFFF"/>
        </w:rPr>
        <w:t>办理业务时应提前准备好所需材料，一次办结，即办即走不逗留；交易活动结束后应立即离开现场，不得滞留。</w:t>
      </w:r>
    </w:p>
    <w:p>
      <w:pPr>
        <w:pStyle w:val="52"/>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color w:val="333333"/>
          <w:kern w:val="0"/>
          <w:sz w:val="32"/>
          <w:szCs w:val="32"/>
          <w:shd w:val="clear" w:color="auto" w:fill="FFFFFF"/>
          <w:lang w:val="en-US" w:eastAsia="zh-CN"/>
        </w:rPr>
        <w:t>附件：1.《投标人承诺书》</w:t>
      </w:r>
    </w:p>
    <w:p>
      <w:pPr>
        <w:jc w:val="both"/>
        <w:outlineLvl w:val="1"/>
        <w:rPr>
          <w:rFonts w:hint="eastAsia" w:ascii="宋体" w:hAnsi="宋体" w:eastAsia="宋体" w:cs="Times New Roman"/>
          <w:b/>
          <w:bCs/>
          <w:kern w:val="0"/>
          <w:sz w:val="32"/>
          <w:szCs w:val="32"/>
          <w:lang w:val="en-US" w:eastAsia="zh-CN"/>
        </w:rPr>
      </w:pPr>
    </w:p>
    <w:p>
      <w:pPr>
        <w:jc w:val="center"/>
        <w:outlineLvl w:val="1"/>
        <w:rPr>
          <w:rFonts w:hint="eastAsia" w:ascii="宋体" w:hAnsi="宋体" w:eastAsia="宋体" w:cs="Times New Roman"/>
          <w:b/>
          <w:bCs/>
          <w:kern w:val="0"/>
          <w:sz w:val="40"/>
          <w:szCs w:val="40"/>
          <w:lang w:val="en-US" w:eastAsia="zh-CN"/>
        </w:rPr>
      </w:pPr>
    </w:p>
    <w:p>
      <w:pPr>
        <w:jc w:val="center"/>
        <w:outlineLvl w:val="1"/>
        <w:rPr>
          <w:rFonts w:hint="eastAsia" w:ascii="宋体" w:hAnsi="宋体" w:eastAsia="宋体" w:cs="Times New Roman"/>
          <w:b/>
          <w:bCs/>
          <w:kern w:val="0"/>
          <w:sz w:val="40"/>
          <w:szCs w:val="40"/>
          <w:lang w:val="en-US" w:eastAsia="zh-CN"/>
        </w:rPr>
      </w:pPr>
    </w:p>
    <w:p>
      <w:pPr>
        <w:jc w:val="center"/>
        <w:outlineLvl w:val="1"/>
        <w:rPr>
          <w:rFonts w:hint="eastAsia" w:ascii="宋体" w:hAnsi="宋体" w:eastAsia="宋体" w:cs="Times New Roman"/>
          <w:b/>
          <w:bCs/>
          <w:kern w:val="0"/>
          <w:sz w:val="40"/>
          <w:szCs w:val="40"/>
          <w:lang w:val="en-US" w:eastAsia="zh-CN"/>
        </w:rPr>
      </w:pPr>
    </w:p>
    <w:p>
      <w:pPr>
        <w:jc w:val="center"/>
        <w:outlineLvl w:val="1"/>
        <w:rPr>
          <w:rFonts w:hint="eastAsia" w:ascii="宋体" w:hAnsi="宋体" w:eastAsia="宋体" w:cs="Times New Roman"/>
          <w:b/>
          <w:bCs/>
          <w:kern w:val="0"/>
          <w:sz w:val="40"/>
          <w:szCs w:val="40"/>
          <w:lang w:val="en-US" w:eastAsia="zh-CN"/>
        </w:rPr>
      </w:pPr>
    </w:p>
    <w:p>
      <w:pPr>
        <w:pStyle w:val="51"/>
        <w:rPr>
          <w:rFonts w:hint="eastAsia" w:ascii="宋体" w:hAnsi="宋体" w:eastAsia="宋体" w:cs="Times New Roman"/>
          <w:b/>
          <w:bCs/>
          <w:kern w:val="0"/>
          <w:sz w:val="40"/>
          <w:szCs w:val="40"/>
          <w:lang w:val="en-US" w:eastAsia="zh-CN"/>
        </w:rPr>
      </w:pPr>
    </w:p>
    <w:p>
      <w:pPr>
        <w:jc w:val="center"/>
        <w:outlineLvl w:val="1"/>
        <w:rPr>
          <w:rFonts w:hint="eastAsia" w:ascii="宋体" w:hAnsi="宋体" w:eastAsia="宋体" w:cs="Times New Roman"/>
          <w:b/>
          <w:bCs/>
          <w:kern w:val="0"/>
          <w:sz w:val="36"/>
          <w:szCs w:val="36"/>
          <w:lang w:val="en-US" w:eastAsia="zh-CN"/>
        </w:rPr>
      </w:pPr>
    </w:p>
    <w:p>
      <w:pPr>
        <w:jc w:val="center"/>
        <w:outlineLvl w:val="1"/>
        <w:rPr>
          <w:rFonts w:hint="eastAsia" w:ascii="宋体" w:hAnsi="宋体" w:eastAsia="宋体" w:cs="Times New Roman"/>
          <w:b/>
          <w:bCs/>
          <w:kern w:val="0"/>
          <w:sz w:val="36"/>
          <w:szCs w:val="36"/>
          <w:lang w:val="en-US" w:eastAsia="zh-CN"/>
        </w:rPr>
      </w:pPr>
    </w:p>
    <w:p>
      <w:pPr>
        <w:jc w:val="center"/>
        <w:outlineLvl w:val="1"/>
        <w:rPr>
          <w:rFonts w:hint="eastAsia" w:ascii="宋体" w:hAnsi="宋体" w:eastAsia="宋体" w:cs="Times New Roman"/>
          <w:b/>
          <w:bCs/>
          <w:kern w:val="0"/>
          <w:sz w:val="36"/>
          <w:szCs w:val="36"/>
          <w:lang w:val="en-US" w:eastAsia="zh-CN"/>
        </w:rPr>
      </w:pPr>
    </w:p>
    <w:p>
      <w:pPr>
        <w:jc w:val="center"/>
        <w:outlineLvl w:val="1"/>
        <w:rPr>
          <w:rFonts w:hint="eastAsia" w:ascii="宋体" w:hAnsi="宋体" w:eastAsia="宋体" w:cs="Times New Roman"/>
          <w:b/>
          <w:bCs/>
          <w:kern w:val="0"/>
          <w:sz w:val="36"/>
          <w:szCs w:val="36"/>
          <w:lang w:val="en-US" w:eastAsia="zh-CN"/>
        </w:rPr>
      </w:pPr>
    </w:p>
    <w:p>
      <w:pPr>
        <w:ind w:left="0" w:leftChars="0" w:firstLine="0" w:firstLineChars="0"/>
        <w:jc w:val="both"/>
        <w:outlineLvl w:val="1"/>
        <w:rPr>
          <w:rFonts w:hint="eastAsia" w:ascii="宋体" w:hAnsi="宋体" w:eastAsia="宋体" w:cs="Times New Roman"/>
          <w:b/>
          <w:bCs/>
          <w:kern w:val="0"/>
          <w:sz w:val="36"/>
          <w:szCs w:val="36"/>
          <w:lang w:val="en-US" w:eastAsia="zh-CN"/>
        </w:rPr>
      </w:pPr>
      <w:r>
        <w:rPr>
          <w:rFonts w:hint="eastAsia" w:eastAsia="宋体" w:cs="Times New Roman"/>
          <w:b/>
          <w:bCs/>
          <w:kern w:val="0"/>
          <w:sz w:val="36"/>
          <w:szCs w:val="36"/>
          <w:lang w:val="en-US" w:eastAsia="zh-CN"/>
        </w:rPr>
        <w:t xml:space="preserve">                 </w:t>
      </w:r>
      <w:r>
        <w:rPr>
          <w:rFonts w:hint="eastAsia" w:ascii="宋体" w:hAnsi="宋体" w:eastAsia="宋体" w:cs="Times New Roman"/>
          <w:b/>
          <w:bCs/>
          <w:kern w:val="0"/>
          <w:sz w:val="36"/>
          <w:szCs w:val="36"/>
          <w:lang w:val="en-US" w:eastAsia="zh-CN"/>
        </w:rPr>
        <w:t>投标人承诺书</w:t>
      </w:r>
    </w:p>
    <w:p>
      <w:pPr>
        <w:jc w:val="center"/>
        <w:outlineLvl w:val="1"/>
        <w:rPr>
          <w:rFonts w:hint="eastAsia" w:ascii="宋体" w:hAnsi="宋体" w:eastAsia="宋体" w:cs="Times New Roman"/>
          <w:b/>
          <w:bCs/>
          <w:kern w:val="0"/>
          <w:sz w:val="36"/>
          <w:szCs w:val="36"/>
          <w:lang w:val="en-US" w:eastAsia="zh-CN"/>
        </w:rPr>
      </w:pPr>
    </w:p>
    <w:p>
      <w:pPr>
        <w:snapToGrid w:val="0"/>
        <w:spacing w:line="5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本单位____________________承诺严格遵守《中华人民共和国传染病防治法》及相关要求。本单位于</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日参加_________________ 项目的开标活动。本单位承诺在开标过程中做到以下几点：</w:t>
      </w:r>
    </w:p>
    <w:p>
      <w:pPr>
        <w:snapToGrid w:val="0"/>
        <w:spacing w:line="5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1．参与投标人员积极配合交易场所工作人员进行体温检测和人员信息登记。不符合防控管理要求的人员，不进入开标场所。</w:t>
      </w:r>
    </w:p>
    <w:p>
      <w:pPr>
        <w:snapToGrid w:val="0"/>
        <w:spacing w:line="5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2．参加投标人员自觉做好个人防护，全程佩戴口罩，听从交易场所工作人员的引导。</w:t>
      </w:r>
    </w:p>
    <w:p>
      <w:pPr>
        <w:snapToGrid w:val="0"/>
        <w:spacing w:line="5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3．本单位所派投标人员</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（姓名），</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（身份证号码），</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（联系电话），在</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（省、市）居住，目前身体状况良好</w:t>
      </w:r>
      <w:r>
        <w:rPr>
          <w:rFonts w:hint="eastAsia" w:ascii="仿宋_GB2312" w:hAnsi="仿宋_GB2312" w:eastAsia="仿宋_GB2312" w:cs="仿宋_GB2312"/>
          <w:kern w:val="0"/>
          <w:sz w:val="32"/>
          <w:szCs w:val="32"/>
          <w:lang w:val="en-US" w:eastAsia="zh-CN"/>
        </w:rPr>
        <w:t>，无疫情接触史,不存在发热、咳嗽等可疑症状。</w:t>
      </w:r>
    </w:p>
    <w:p>
      <w:pPr>
        <w:snapToGrid w:val="0"/>
        <w:spacing w:line="5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4．本单位保证做好投标前期的各项准备工作，提前到达开标区域，避免因工作疏忽导致时间拖延，造成人员聚集。</w:t>
      </w:r>
    </w:p>
    <w:p>
      <w:pPr>
        <w:snapToGrid w:val="0"/>
        <w:spacing w:line="5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5．开标活动结束后，本单位人员迅速离场，不在公共区域内停留。</w:t>
      </w:r>
    </w:p>
    <w:p>
      <w:pPr>
        <w:snapToGrid w:val="0"/>
        <w:spacing w:line="5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r>
        <w:rPr>
          <w:rFonts w:hint="eastAsia" w:ascii="仿宋_GB2312" w:hAnsi="仿宋_GB2312" w:eastAsia="仿宋_GB2312" w:cs="仿宋_GB2312"/>
          <w:sz w:val="32"/>
          <w:szCs w:val="32"/>
        </w:rPr>
        <w:t xml:space="preserve"> 如果所派人员出现疫情防控要求需留观、隔离的，由</w:t>
      </w:r>
      <w:r>
        <w:rPr>
          <w:rFonts w:hint="eastAsia" w:ascii="仿宋_GB2312" w:hAnsi="仿宋_GB2312" w:eastAsia="仿宋_GB2312" w:cs="仿宋_GB2312"/>
          <w:sz w:val="32"/>
          <w:szCs w:val="32"/>
          <w:lang w:eastAsia="zh-CN"/>
        </w:rPr>
        <w:t>投标供应商</w:t>
      </w:r>
      <w:r>
        <w:rPr>
          <w:rFonts w:hint="eastAsia" w:ascii="仿宋_GB2312" w:hAnsi="仿宋_GB2312" w:eastAsia="仿宋_GB2312" w:cs="仿宋_GB2312"/>
          <w:sz w:val="32"/>
          <w:szCs w:val="32"/>
        </w:rPr>
        <w:t>自行负责，视为放弃派员参加</w:t>
      </w:r>
      <w:r>
        <w:rPr>
          <w:rFonts w:hint="eastAsia" w:ascii="仿宋_GB2312" w:hAnsi="仿宋_GB2312" w:eastAsia="仿宋_GB2312" w:cs="仿宋_GB2312"/>
          <w:kern w:val="0"/>
          <w:sz w:val="32"/>
          <w:szCs w:val="32"/>
        </w:rPr>
        <w:t>。</w:t>
      </w:r>
    </w:p>
    <w:p>
      <w:pPr>
        <w:snapToGrid w:val="0"/>
        <w:spacing w:line="500" w:lineRule="exact"/>
        <w:rPr>
          <w:rFonts w:hint="eastAsia" w:ascii="仿宋_GB2312" w:hAnsi="仿宋_GB2312" w:eastAsia="仿宋_GB2312" w:cs="仿宋_GB2312"/>
          <w:kern w:val="0"/>
          <w:sz w:val="32"/>
          <w:szCs w:val="32"/>
        </w:rPr>
      </w:pPr>
    </w:p>
    <w:p>
      <w:pPr>
        <w:snapToGrid w:val="0"/>
        <w:spacing w:line="500" w:lineRule="exact"/>
        <w:ind w:firstLine="5320" w:firstLineChars="1900"/>
        <w:rPr>
          <w:rFonts w:hint="eastAsia" w:ascii="仿宋_GB2312" w:hAnsi="仿宋_GB2312" w:eastAsia="仿宋_GB2312" w:cs="仿宋_GB2312"/>
          <w:kern w:val="0"/>
          <w:sz w:val="32"/>
          <w:szCs w:val="32"/>
        </w:rPr>
      </w:pPr>
    </w:p>
    <w:p>
      <w:pPr>
        <w:snapToGrid w:val="0"/>
        <w:spacing w:line="500" w:lineRule="exact"/>
        <w:ind w:firstLine="5320" w:firstLineChars="19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承诺人（公章）：</w:t>
      </w:r>
    </w:p>
    <w:p>
      <w:pPr>
        <w:snapToGrid w:val="0"/>
        <w:spacing w:line="500" w:lineRule="exact"/>
        <w:ind w:firstLine="5320" w:firstLineChars="19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年   月   日</w:t>
      </w:r>
    </w:p>
    <w:p>
      <w:pPr>
        <w:sectPr>
          <w:headerReference r:id="rId4" w:type="default"/>
          <w:footerReference r:id="rId5" w:type="default"/>
          <w:pgSz w:w="11907" w:h="16840"/>
          <w:pgMar w:top="2041" w:right="1531" w:bottom="2041" w:left="1531" w:header="1701" w:footer="1474" w:gutter="0"/>
          <w:paperSrc w:first="534" w:other="534"/>
          <w:pgBorders>
            <w:top w:val="none" w:color="auto" w:sz="0" w:space="0"/>
            <w:left w:val="none" w:color="auto" w:sz="0" w:space="0"/>
            <w:bottom w:val="none" w:color="auto" w:sz="0" w:space="0"/>
            <w:right w:val="none" w:color="auto" w:sz="0" w:space="0"/>
          </w:pgBorders>
          <w:pgNumType w:fmt="decimal" w:start="1"/>
          <w:cols w:space="720" w:num="1"/>
          <w:docGrid w:type="lines" w:linePitch="523"/>
        </w:sectPr>
      </w:pPr>
    </w:p>
    <w:p>
      <w:pPr>
        <w:pStyle w:val="41"/>
        <w:jc w:val="both"/>
        <w:rPr>
          <w:rFonts w:hint="eastAsia" w:ascii="宋体" w:hAnsi="宋体" w:cs="仿宋"/>
          <w:b/>
          <w:color w:val="auto"/>
          <w:sz w:val="36"/>
          <w:szCs w:val="36"/>
        </w:rPr>
      </w:pPr>
    </w:p>
    <w:p>
      <w:pPr>
        <w:pStyle w:val="41"/>
        <w:jc w:val="both"/>
        <w:rPr>
          <w:rFonts w:hint="eastAsia" w:ascii="宋体" w:hAnsi="宋体" w:cs="仿宋"/>
          <w:b/>
          <w:color w:val="auto"/>
          <w:sz w:val="36"/>
          <w:szCs w:val="36"/>
        </w:rPr>
      </w:pPr>
    </w:p>
    <w:p>
      <w:pPr>
        <w:pStyle w:val="41"/>
        <w:jc w:val="both"/>
        <w:rPr>
          <w:rFonts w:hint="eastAsia" w:ascii="宋体" w:hAnsi="宋体" w:cs="仿宋"/>
          <w:b/>
          <w:color w:val="auto"/>
          <w:sz w:val="36"/>
          <w:szCs w:val="36"/>
        </w:rPr>
      </w:pPr>
    </w:p>
    <w:p>
      <w:pPr>
        <w:pStyle w:val="41"/>
        <w:jc w:val="both"/>
        <w:rPr>
          <w:rFonts w:ascii="宋体" w:hAnsi="宋体" w:cs="仿宋"/>
          <w:b/>
          <w:color w:val="auto"/>
          <w:sz w:val="36"/>
          <w:szCs w:val="36"/>
        </w:rPr>
      </w:pPr>
      <w:r>
        <w:rPr>
          <w:rFonts w:hint="eastAsia" w:ascii="宋体" w:hAnsi="宋体" w:cs="仿宋"/>
          <w:b/>
          <w:color w:val="auto"/>
          <w:sz w:val="36"/>
          <w:szCs w:val="36"/>
          <w:lang w:val="en-US" w:eastAsia="zh-CN"/>
        </w:rPr>
        <w:t xml:space="preserve">            </w:t>
      </w:r>
      <w:r>
        <w:rPr>
          <w:rFonts w:hint="eastAsia" w:ascii="宋体" w:hAnsi="宋体" w:cs="仿宋"/>
          <w:b/>
          <w:color w:val="auto"/>
          <w:sz w:val="36"/>
          <w:szCs w:val="36"/>
        </w:rPr>
        <w:t xml:space="preserve">    特</w:t>
      </w:r>
      <w:r>
        <w:rPr>
          <w:rFonts w:ascii="宋体" w:hAnsi="宋体" w:cs="仿宋"/>
          <w:b/>
          <w:color w:val="auto"/>
          <w:sz w:val="36"/>
          <w:szCs w:val="36"/>
        </w:rPr>
        <w:t xml:space="preserve"> </w:t>
      </w:r>
      <w:r>
        <w:rPr>
          <w:rFonts w:hint="eastAsia" w:ascii="宋体" w:hAnsi="宋体" w:cs="仿宋"/>
          <w:b/>
          <w:color w:val="auto"/>
          <w:sz w:val="36"/>
          <w:szCs w:val="36"/>
        </w:rPr>
        <w:t>别</w:t>
      </w:r>
      <w:r>
        <w:rPr>
          <w:rFonts w:ascii="宋体" w:hAnsi="宋体" w:cs="仿宋"/>
          <w:b/>
          <w:color w:val="auto"/>
          <w:sz w:val="36"/>
          <w:szCs w:val="36"/>
        </w:rPr>
        <w:t xml:space="preserve"> </w:t>
      </w:r>
      <w:r>
        <w:rPr>
          <w:rFonts w:hint="eastAsia" w:ascii="宋体" w:hAnsi="宋体" w:cs="仿宋"/>
          <w:b/>
          <w:color w:val="auto"/>
          <w:sz w:val="36"/>
          <w:szCs w:val="36"/>
        </w:rPr>
        <w:t>提</w:t>
      </w:r>
      <w:r>
        <w:rPr>
          <w:rFonts w:ascii="宋体" w:hAnsi="宋体" w:cs="仿宋"/>
          <w:b/>
          <w:color w:val="auto"/>
          <w:sz w:val="36"/>
          <w:szCs w:val="36"/>
        </w:rPr>
        <w:t xml:space="preserve"> </w:t>
      </w:r>
      <w:r>
        <w:rPr>
          <w:rFonts w:hint="eastAsia" w:ascii="宋体" w:hAnsi="宋体" w:cs="仿宋"/>
          <w:b/>
          <w:color w:val="auto"/>
          <w:sz w:val="36"/>
          <w:szCs w:val="36"/>
        </w:rPr>
        <w:t>示</w:t>
      </w:r>
    </w:p>
    <w:p>
      <w:pPr>
        <w:pStyle w:val="41"/>
        <w:jc w:val="center"/>
        <w:rPr>
          <w:rFonts w:ascii="宋体" w:hAnsi="宋体" w:cs="仿宋"/>
          <w:b/>
          <w:color w:val="auto"/>
          <w:sz w:val="36"/>
          <w:szCs w:val="36"/>
        </w:rPr>
      </w:pPr>
    </w:p>
    <w:p>
      <w:pPr>
        <w:pStyle w:val="41"/>
        <w:spacing w:line="360" w:lineRule="auto"/>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各投标人：</w:t>
      </w:r>
    </w:p>
    <w:p>
      <w:pPr>
        <w:pStyle w:val="41"/>
        <w:spacing w:line="360" w:lineRule="auto"/>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    在参与本次招标项目投标时，请按招标文件中规定的可能导致无效投标、废标要求或黑体字、加注“★”“▲”“＊”符号的内容应符合要求或响应,若不符合要求或不响应将导致的后果由投标人自行承担。</w:t>
      </w:r>
    </w:p>
    <w:p>
      <w:pPr>
        <w:ind w:firstLine="0" w:firstLineChars="0"/>
        <w:rPr>
          <w:rFonts w:ascii="仿宋_GB2312" w:hAnsi="仿宋_GB2312" w:eastAsia="仿宋_GB2312" w:cs="仿宋_GB2312"/>
        </w:rPr>
      </w:pPr>
    </w:p>
    <w:p>
      <w:pPr>
        <w:ind w:firstLine="0" w:firstLineChars="0"/>
        <w:rPr>
          <w:rFonts w:ascii="黑体" w:hAnsi="黑体" w:eastAsia="黑体" w:cs="黑体"/>
          <w:b w:val="0"/>
          <w:bCs w:val="0"/>
        </w:rPr>
      </w:pPr>
      <w:r>
        <w:rPr>
          <w:rFonts w:hint="eastAsia" w:ascii="仿宋_GB2312" w:hAnsi="仿宋_GB2312" w:eastAsia="仿宋_GB2312" w:cs="仿宋_GB2312"/>
        </w:rPr>
        <w:br w:type="page"/>
      </w:r>
      <w:bookmarkStart w:id="0" w:name="_Toc531706271"/>
      <w:bookmarkStart w:id="1" w:name="_Toc26850"/>
      <w:bookmarkStart w:id="2" w:name="_Toc531706616"/>
      <w:bookmarkStart w:id="3" w:name="_Toc9305"/>
      <w:bookmarkStart w:id="4" w:name="_Toc15451"/>
      <w:r>
        <w:rPr>
          <w:rFonts w:hint="eastAsia" w:ascii="仿宋_GB2312" w:hAnsi="仿宋_GB2312" w:eastAsia="仿宋_GB2312" w:cs="仿宋_GB2312"/>
          <w:lang w:val="en-US" w:eastAsia="zh-CN"/>
        </w:rPr>
        <w:t xml:space="preserve">                  </w:t>
      </w:r>
      <w:r>
        <w:rPr>
          <w:rFonts w:hint="eastAsia" w:ascii="黑体" w:hAnsi="黑体" w:eastAsia="黑体" w:cs="黑体"/>
          <w:b w:val="0"/>
          <w:bCs w:val="0"/>
        </w:rPr>
        <w:t>第一章 招标公告</w:t>
      </w:r>
      <w:bookmarkEnd w:id="0"/>
      <w:bookmarkEnd w:id="1"/>
      <w:bookmarkEnd w:id="2"/>
      <w:bookmarkEnd w:id="3"/>
    </w:p>
    <w:p>
      <w:pPr>
        <w:widowControl/>
        <w:ind w:firstLine="0" w:firstLineChars="0"/>
        <w:jc w:val="center"/>
        <w:rPr>
          <w:rFonts w:eastAsia="宋体" w:cs="宋体"/>
          <w:b/>
          <w:bCs/>
          <w:color w:val="393939"/>
          <w:kern w:val="0"/>
        </w:rPr>
      </w:pPr>
      <w:r>
        <w:rPr>
          <w:rFonts w:hint="eastAsia" w:ascii="仿宋_GB2312" w:hAnsi="仿宋_GB2312" w:eastAsia="仿宋_GB2312" w:cs="仿宋_GB2312"/>
          <w:b/>
          <w:bCs/>
          <w:color w:val="000000"/>
        </w:rPr>
        <w:t>新疆维吾尔自治区机关事务管理局信息化平台建设项目</w:t>
      </w:r>
    </w:p>
    <w:p>
      <w:pPr>
        <w:ind w:firstLine="0" w:firstLineChars="0"/>
        <w:jc w:val="center"/>
        <w:rPr>
          <w:rFonts w:eastAsia="宋体" w:cs="宋体"/>
          <w:b/>
          <w:bCs/>
        </w:rPr>
      </w:pPr>
      <w:r>
        <w:rPr>
          <w:rFonts w:hint="eastAsia" w:eastAsia="宋体" w:cs="宋体"/>
          <w:b/>
          <w:bCs/>
        </w:rPr>
        <w:t>招标公告</w:t>
      </w:r>
    </w:p>
    <w:p>
      <w:pPr>
        <w:ind w:firstLine="640"/>
        <w:rPr>
          <w:rFonts w:ascii="仿宋_GB2312" w:hAnsi="仿宋_GB2312" w:eastAsia="仿宋_GB2312" w:cs="仿宋_GB2312"/>
        </w:rPr>
      </w:pPr>
      <w:r>
        <w:rPr>
          <w:rFonts w:hint="eastAsia" w:ascii="仿宋_GB2312" w:hAnsi="仿宋_GB2312" w:eastAsia="仿宋_GB2312" w:cs="仿宋_GB2312"/>
        </w:rPr>
        <w:t>项目概况</w:t>
      </w:r>
    </w:p>
    <w:p>
      <w:pPr>
        <w:pBdr>
          <w:top w:val="single" w:color="auto" w:sz="4" w:space="1"/>
          <w:left w:val="single" w:color="auto" w:sz="4" w:space="4"/>
          <w:bottom w:val="single" w:color="auto" w:sz="4" w:space="1"/>
          <w:right w:val="single" w:color="auto" w:sz="4" w:space="4"/>
        </w:pBdr>
        <w:ind w:firstLine="640"/>
        <w:rPr>
          <w:rFonts w:ascii="仿宋_GB2312" w:hAnsi="仿宋_GB2312" w:eastAsia="仿宋_GB2312" w:cs="仿宋_GB2312"/>
          <w:color w:val="000080"/>
        </w:rPr>
      </w:pPr>
      <w:r>
        <w:rPr>
          <w:rFonts w:hint="eastAsia" w:ascii="仿宋_GB2312" w:hAnsi="仿宋_GB2312" w:eastAsia="仿宋_GB2312" w:cs="仿宋_GB2312"/>
          <w:color w:val="000000"/>
        </w:rPr>
        <w:t>新疆维吾尔自治区机关事务管理局信息化平台建设项目</w:t>
      </w:r>
      <w:r>
        <w:rPr>
          <w:rFonts w:hint="eastAsia" w:ascii="仿宋_GB2312" w:hAnsi="仿宋_GB2312" w:eastAsia="仿宋_GB2312" w:cs="仿宋_GB2312"/>
        </w:rPr>
        <w:t>的潜在服务商应</w:t>
      </w:r>
      <w:r>
        <w:rPr>
          <w:rFonts w:hint="eastAsia" w:ascii="仿宋_GB2312" w:hAnsi="仿宋_GB2312" w:eastAsia="仿宋_GB2312" w:cs="仿宋_GB2312"/>
          <w:bCs/>
          <w:color w:val="auto"/>
          <w:kern w:val="0"/>
          <w:sz w:val="32"/>
          <w:szCs w:val="32"/>
          <w:u w:val="single" w:color="auto"/>
          <w:lang w:val="en-US" w:eastAsia="zh-CN"/>
        </w:rPr>
        <w:t xml:space="preserve">新疆崇业招标代理有限公司 </w:t>
      </w:r>
      <w:r>
        <w:rPr>
          <w:rFonts w:hint="eastAsia" w:ascii="仿宋_GB2312" w:hAnsi="仿宋_GB2312" w:eastAsia="仿宋_GB2312" w:cs="仿宋_GB2312"/>
          <w:sz w:val="32"/>
          <w:szCs w:val="32"/>
          <w:highlight w:val="none"/>
          <w:u w:val="single" w:color="auto"/>
          <w:lang w:val="en-US" w:eastAsia="zh-CN"/>
        </w:rPr>
        <w:t>地址：</w:t>
      </w:r>
      <w:r>
        <w:rPr>
          <w:rFonts w:hint="eastAsia" w:ascii="仿宋_GB2312" w:hAnsi="仿宋_GB2312" w:eastAsia="仿宋_GB2312" w:cs="仿宋_GB2312"/>
          <w:sz w:val="32"/>
          <w:szCs w:val="32"/>
          <w:u w:val="single" w:color="auto"/>
          <w:shd w:val="clear" w:color="auto" w:fill="FFFFFF"/>
          <w:lang w:val="en-US" w:eastAsia="zh-CN"/>
        </w:rPr>
        <w:t>乌鲁木齐高新区（新市区）北京南</w:t>
      </w:r>
      <w:r>
        <w:rPr>
          <w:rFonts w:hint="eastAsia" w:ascii="仿宋_GB2312" w:hAnsi="仿宋_GB2312" w:eastAsia="仿宋_GB2312" w:cs="仿宋_GB2312"/>
          <w:color w:val="000000"/>
          <w:sz w:val="32"/>
          <w:szCs w:val="32"/>
          <w:u w:val="single" w:color="auto"/>
          <w:shd w:val="clear" w:color="auto" w:fill="FFFFFF"/>
          <w:lang w:val="en-US" w:eastAsia="zh-CN"/>
        </w:rPr>
        <w:t>路591号自治区广播电视局高层南楼1203室</w:t>
      </w:r>
      <w:r>
        <w:rPr>
          <w:rFonts w:hint="eastAsia" w:ascii="仿宋_GB2312" w:hAnsi="仿宋_GB2312" w:eastAsia="仿宋_GB2312" w:cs="仿宋_GB2312"/>
          <w:color w:val="000000"/>
          <w:sz w:val="32"/>
          <w:szCs w:val="32"/>
          <w:highlight w:val="none"/>
        </w:rPr>
        <w:t>获取采购文件，并于</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FF0000"/>
          <w:sz w:val="32"/>
          <w:szCs w:val="32"/>
          <w:highlight w:val="none"/>
          <w:u w:val="single"/>
          <w:lang w:val="en-US" w:eastAsia="zh-CN"/>
        </w:rPr>
        <w:t>2021</w:t>
      </w:r>
      <w:r>
        <w:rPr>
          <w:rFonts w:hint="eastAsia" w:ascii="仿宋_GB2312" w:hAnsi="仿宋_GB2312" w:eastAsia="仿宋_GB2312" w:cs="仿宋_GB2312"/>
          <w:bCs/>
          <w:color w:val="FF0000"/>
          <w:sz w:val="32"/>
          <w:szCs w:val="32"/>
          <w:highlight w:val="none"/>
          <w:u w:val="single"/>
        </w:rPr>
        <w:t>年</w:t>
      </w:r>
      <w:r>
        <w:rPr>
          <w:rFonts w:hint="eastAsia" w:ascii="仿宋_GB2312" w:hAnsi="仿宋_GB2312" w:eastAsia="仿宋_GB2312" w:cs="仿宋_GB2312"/>
          <w:bCs/>
          <w:color w:val="FF0000"/>
          <w:sz w:val="32"/>
          <w:szCs w:val="32"/>
          <w:highlight w:val="none"/>
          <w:u w:val="single"/>
          <w:lang w:val="en-US" w:eastAsia="zh-CN"/>
        </w:rPr>
        <w:t>11</w:t>
      </w:r>
      <w:r>
        <w:rPr>
          <w:rFonts w:hint="eastAsia" w:ascii="仿宋_GB2312" w:hAnsi="仿宋_GB2312" w:eastAsia="仿宋_GB2312" w:cs="仿宋_GB2312"/>
          <w:bCs/>
          <w:color w:val="FF0000"/>
          <w:sz w:val="32"/>
          <w:szCs w:val="32"/>
          <w:highlight w:val="none"/>
          <w:u w:val="single"/>
        </w:rPr>
        <w:t>月</w:t>
      </w:r>
      <w:r>
        <w:rPr>
          <w:rFonts w:hint="eastAsia" w:ascii="仿宋_GB2312" w:hAnsi="仿宋_GB2312" w:eastAsia="仿宋_GB2312" w:cs="仿宋_GB2312"/>
          <w:bCs/>
          <w:color w:val="FF0000"/>
          <w:sz w:val="32"/>
          <w:szCs w:val="32"/>
          <w:highlight w:val="none"/>
          <w:u w:val="single"/>
          <w:lang w:val="en-US" w:eastAsia="zh-CN"/>
        </w:rPr>
        <w:t>25</w:t>
      </w:r>
      <w:r>
        <w:rPr>
          <w:rFonts w:hint="eastAsia" w:ascii="仿宋_GB2312" w:hAnsi="仿宋_GB2312" w:eastAsia="仿宋_GB2312" w:cs="仿宋_GB2312"/>
          <w:bCs/>
          <w:color w:val="FF0000"/>
          <w:sz w:val="32"/>
          <w:szCs w:val="32"/>
          <w:highlight w:val="none"/>
          <w:u w:val="single"/>
        </w:rPr>
        <w:t>日</w:t>
      </w:r>
      <w:r>
        <w:rPr>
          <w:rFonts w:hint="eastAsia" w:ascii="仿宋_GB2312" w:hAnsi="仿宋_GB2312" w:eastAsia="仿宋_GB2312" w:cs="仿宋_GB2312"/>
          <w:bCs/>
          <w:color w:val="FF0000"/>
          <w:sz w:val="32"/>
          <w:szCs w:val="32"/>
          <w:highlight w:val="none"/>
          <w:u w:val="single"/>
          <w:lang w:val="en-US" w:eastAsia="zh-CN"/>
        </w:rPr>
        <w:t>11</w:t>
      </w:r>
      <w:r>
        <w:rPr>
          <w:rFonts w:hint="eastAsia" w:ascii="仿宋_GB2312" w:hAnsi="仿宋_GB2312" w:eastAsia="仿宋_GB2312" w:cs="仿宋_GB2312"/>
          <w:bCs/>
          <w:color w:val="FF0000"/>
          <w:sz w:val="32"/>
          <w:szCs w:val="32"/>
          <w:highlight w:val="none"/>
          <w:u w:val="single"/>
        </w:rPr>
        <w:t>点</w:t>
      </w:r>
      <w:r>
        <w:rPr>
          <w:rFonts w:hint="eastAsia" w:ascii="仿宋_GB2312" w:hAnsi="仿宋_GB2312" w:eastAsia="仿宋_GB2312" w:cs="仿宋_GB2312"/>
          <w:bCs/>
          <w:color w:val="FF0000"/>
          <w:sz w:val="32"/>
          <w:szCs w:val="32"/>
          <w:highlight w:val="none"/>
          <w:u w:val="single"/>
          <w:lang w:val="en-US" w:eastAsia="zh-CN"/>
        </w:rPr>
        <w:t>00</w:t>
      </w:r>
      <w:r>
        <w:rPr>
          <w:rFonts w:hint="eastAsia" w:ascii="仿宋_GB2312" w:hAnsi="仿宋_GB2312" w:eastAsia="仿宋_GB2312" w:cs="仿宋_GB2312"/>
          <w:bCs/>
          <w:color w:val="FF0000"/>
          <w:sz w:val="32"/>
          <w:szCs w:val="32"/>
          <w:highlight w:val="none"/>
          <w:u w:val="single"/>
        </w:rPr>
        <w:t>分</w:t>
      </w:r>
      <w:r>
        <w:rPr>
          <w:rFonts w:hint="eastAsia" w:ascii="仿宋_GB2312" w:hAnsi="仿宋_GB2312" w:eastAsia="仿宋_GB2312" w:cs="仿宋_GB2312"/>
          <w:bCs/>
          <w:color w:val="FF0000"/>
        </w:rPr>
        <w:t>（北京时间）</w:t>
      </w:r>
      <w:r>
        <w:rPr>
          <w:rFonts w:hint="eastAsia" w:ascii="仿宋_GB2312" w:hAnsi="仿宋_GB2312" w:eastAsia="仿宋_GB2312" w:cs="仿宋_GB2312"/>
          <w:bCs/>
          <w:color w:val="000000"/>
        </w:rPr>
        <w:t>前提交</w:t>
      </w:r>
      <w:r>
        <w:rPr>
          <w:rFonts w:hint="eastAsia" w:ascii="仿宋_GB2312" w:hAnsi="仿宋_GB2312" w:eastAsia="仿宋_GB2312" w:cs="仿宋_GB2312"/>
          <w:bCs/>
          <w:color w:val="000000"/>
          <w:lang w:eastAsia="zh-CN"/>
        </w:rPr>
        <w:t>招标</w:t>
      </w:r>
      <w:r>
        <w:rPr>
          <w:rFonts w:hint="eastAsia" w:ascii="仿宋_GB2312" w:hAnsi="仿宋_GB2312" w:eastAsia="仿宋_GB2312" w:cs="仿宋_GB2312"/>
          <w:bCs/>
          <w:color w:val="000000"/>
        </w:rPr>
        <w:t>响应文件</w:t>
      </w:r>
      <w:r>
        <w:rPr>
          <w:rFonts w:hint="eastAsia" w:ascii="仿宋_GB2312" w:hAnsi="仿宋_GB2312" w:eastAsia="仿宋_GB2312" w:cs="仿宋_GB2312"/>
          <w:color w:val="000000"/>
        </w:rPr>
        <w:t>。</w:t>
      </w:r>
    </w:p>
    <w:p>
      <w:pPr>
        <w:ind w:firstLine="640"/>
        <w:rPr>
          <w:rFonts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一.项目基本情况</w:t>
      </w:r>
    </w:p>
    <w:p>
      <w:pPr>
        <w:ind w:firstLine="640"/>
        <w:rPr>
          <w:rFonts w:ascii="仿宋_GB2312" w:hAnsi="仿宋_GB2312" w:eastAsia="仿宋_GB2312" w:cs="仿宋_GB2312"/>
        </w:rPr>
      </w:pPr>
      <w:r>
        <w:rPr>
          <w:rFonts w:hint="eastAsia" w:ascii="仿宋_GB2312" w:hAnsi="仿宋_GB2312" w:eastAsia="仿宋_GB2312" w:cs="仿宋_GB2312"/>
        </w:rPr>
        <w:t>项目编号：</w:t>
      </w:r>
      <w:r>
        <w:rPr>
          <w:rFonts w:hint="eastAsia" w:ascii="仿宋_GB2312" w:hAnsi="仿宋_GB2312" w:eastAsia="仿宋_GB2312" w:cs="仿宋_GB2312"/>
          <w:color w:val="auto"/>
          <w:sz w:val="32"/>
          <w:szCs w:val="32"/>
          <w:highlight w:val="none"/>
        </w:rPr>
        <w:t>XJ</w:t>
      </w:r>
      <w:r>
        <w:rPr>
          <w:rFonts w:hint="eastAsia" w:ascii="仿宋_GB2312" w:hAnsi="仿宋_GB2312" w:eastAsia="仿宋_GB2312" w:cs="仿宋_GB2312"/>
          <w:color w:val="auto"/>
          <w:sz w:val="32"/>
          <w:szCs w:val="32"/>
          <w:highlight w:val="none"/>
          <w:lang w:val="en-US" w:eastAsia="zh-CN"/>
        </w:rPr>
        <w:t>CY-</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FW-005</w:t>
      </w:r>
    </w:p>
    <w:p>
      <w:pPr>
        <w:widowControl w:val="0"/>
        <w:wordWrap/>
        <w:adjustRightInd/>
        <w:snapToGrid/>
        <w:spacing w:before="0" w:after="0" w:line="560" w:lineRule="exact"/>
        <w:ind w:left="0" w:leftChars="0" w:right="0" w:firstLine="640"/>
        <w:textAlignment w:val="auto"/>
        <w:outlineLvl w:val="9"/>
        <w:rPr>
          <w:rFonts w:ascii="仿宋_GB2312" w:hAnsi="仿宋_GB2312" w:eastAsia="仿宋_GB2312" w:cs="仿宋_GB2312"/>
        </w:rPr>
      </w:pPr>
      <w:r>
        <w:rPr>
          <w:rFonts w:hint="eastAsia" w:ascii="仿宋_GB2312" w:hAnsi="仿宋_GB2312" w:eastAsia="仿宋_GB2312" w:cs="仿宋_GB2312"/>
        </w:rPr>
        <w:t>项目名称：</w:t>
      </w:r>
      <w:r>
        <w:rPr>
          <w:rFonts w:hint="eastAsia" w:ascii="仿宋_GB2312" w:hAnsi="仿宋_GB2312" w:eastAsia="仿宋_GB2312" w:cs="仿宋_GB2312"/>
          <w:b w:val="0"/>
          <w:bCs w:val="0"/>
          <w:color w:val="000000"/>
          <w:w w:val="100"/>
          <w:sz w:val="32"/>
          <w:szCs w:val="32"/>
        </w:rPr>
        <w:t>新</w:t>
      </w:r>
      <w:r>
        <w:rPr>
          <w:rFonts w:hint="eastAsia" w:ascii="仿宋_GB2312" w:hAnsi="仿宋_GB2312" w:eastAsia="仿宋_GB2312" w:cs="仿宋_GB2312"/>
          <w:szCs w:val="32"/>
        </w:rPr>
        <w:t>疆维吾尔自治区机关事务管理局信息化平台建设项目</w:t>
      </w:r>
    </w:p>
    <w:p>
      <w:pPr>
        <w:ind w:firstLine="640"/>
        <w:rPr>
          <w:rFonts w:ascii="仿宋_GB2312" w:hAnsi="仿宋_GB2312" w:eastAsia="仿宋_GB2312" w:cs="仿宋_GB2312"/>
        </w:rPr>
      </w:pPr>
      <w:r>
        <w:rPr>
          <w:rFonts w:hint="eastAsia" w:ascii="仿宋_GB2312" w:hAnsi="仿宋_GB2312" w:eastAsia="仿宋_GB2312" w:cs="仿宋_GB2312"/>
        </w:rPr>
        <w:t>采购方式：</w:t>
      </w:r>
      <w:r>
        <w:rPr>
          <w:rFonts w:hint="eastAsia" w:ascii="仿宋_GB2312" w:hAnsi="仿宋_GB2312" w:eastAsia="仿宋_GB2312" w:cs="仿宋_GB2312"/>
        </w:rPr>
        <w:sym w:font="Wingdings 2" w:char="0052"/>
      </w:r>
      <w:r>
        <w:rPr>
          <w:rFonts w:hint="eastAsia" w:ascii="仿宋_GB2312" w:hAnsi="仿宋_GB2312" w:eastAsia="仿宋_GB2312" w:cs="仿宋_GB2312"/>
        </w:rPr>
        <w:t xml:space="preserve">公开招标 </w:t>
      </w:r>
      <w:r>
        <w:rPr>
          <w:rFonts w:hint="eastAsia" w:ascii="仿宋_GB2312" w:hAnsi="仿宋_GB2312" w:eastAsia="仿宋_GB2312" w:cs="仿宋_GB2312"/>
        </w:rPr>
        <w:sym w:font="Wingdings 2" w:char="00A3"/>
      </w:r>
      <w:r>
        <w:rPr>
          <w:rFonts w:hint="eastAsia" w:ascii="仿宋_GB2312" w:hAnsi="仿宋_GB2312" w:eastAsia="仿宋_GB2312" w:cs="仿宋_GB2312"/>
        </w:rPr>
        <w:t xml:space="preserve">竞争性谈判 </w:t>
      </w:r>
      <w:r>
        <w:rPr>
          <w:rFonts w:hint="eastAsia" w:ascii="仿宋_GB2312" w:hAnsi="仿宋_GB2312" w:eastAsia="仿宋_GB2312" w:cs="仿宋_GB2312"/>
        </w:rPr>
        <w:sym w:font="Wingdings 2" w:char="00A3"/>
      </w:r>
      <w:r>
        <w:rPr>
          <w:rFonts w:hint="eastAsia" w:ascii="仿宋_GB2312" w:hAnsi="仿宋_GB2312" w:eastAsia="仿宋_GB2312" w:cs="仿宋_GB2312"/>
        </w:rPr>
        <w:t>竞争性</w:t>
      </w:r>
      <w:r>
        <w:rPr>
          <w:rFonts w:hint="eastAsia" w:ascii="仿宋_GB2312" w:hAnsi="仿宋_GB2312" w:eastAsia="仿宋_GB2312" w:cs="仿宋_GB2312"/>
          <w:lang w:eastAsia="zh-CN"/>
        </w:rPr>
        <w:t>招标</w:t>
      </w:r>
      <w:r>
        <w:rPr>
          <w:rFonts w:hint="eastAsia" w:ascii="仿宋_GB2312" w:hAnsi="仿宋_GB2312" w:eastAsia="仿宋_GB2312" w:cs="仿宋_GB2312"/>
        </w:rPr>
        <w:t xml:space="preserve"> </w:t>
      </w:r>
    </w:p>
    <w:p>
      <w:pPr>
        <w:ind w:firstLine="640"/>
        <w:rPr>
          <w:rFonts w:ascii="仿宋_GB2312" w:hAnsi="仿宋_GB2312" w:eastAsia="仿宋_GB2312" w:cs="仿宋_GB2312"/>
        </w:rPr>
      </w:pPr>
      <w:r>
        <w:rPr>
          <w:rFonts w:hint="eastAsia" w:ascii="仿宋_GB2312" w:hAnsi="仿宋_GB2312" w:eastAsia="仿宋_GB2312" w:cs="仿宋_GB2312"/>
        </w:rPr>
        <w:t>预算金额（元）：</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480</w:t>
      </w:r>
      <w:r>
        <w:rPr>
          <w:rFonts w:hint="eastAsia" w:ascii="仿宋_GB2312" w:hAnsi="仿宋_GB2312" w:eastAsia="仿宋_GB2312" w:cs="仿宋_GB2312"/>
          <w:u w:val="single"/>
        </w:rPr>
        <w:t xml:space="preserve"> </w:t>
      </w:r>
      <w:r>
        <w:rPr>
          <w:rFonts w:hint="eastAsia" w:ascii="仿宋_GB2312" w:hAnsi="仿宋_GB2312" w:eastAsia="仿宋_GB2312" w:cs="仿宋_GB2312"/>
        </w:rPr>
        <w:t>万元</w:t>
      </w:r>
    </w:p>
    <w:p>
      <w:pPr>
        <w:ind w:firstLine="640"/>
        <w:rPr>
          <w:rFonts w:ascii="仿宋_GB2312" w:hAnsi="仿宋_GB2312" w:eastAsia="仿宋_GB2312" w:cs="仿宋_GB2312"/>
        </w:rPr>
      </w:pPr>
      <w:r>
        <w:rPr>
          <w:rFonts w:hint="eastAsia" w:ascii="仿宋_GB2312" w:hAnsi="仿宋_GB2312" w:eastAsia="仿宋_GB2312" w:cs="仿宋_GB2312"/>
        </w:rPr>
        <w:t>最高限价（元）：</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480</w:t>
      </w:r>
      <w:r>
        <w:rPr>
          <w:rFonts w:hint="eastAsia" w:ascii="仿宋_GB2312" w:hAnsi="仿宋_GB2312" w:eastAsia="仿宋_GB2312" w:cs="仿宋_GB2312"/>
          <w:u w:val="single"/>
        </w:rPr>
        <w:t xml:space="preserve"> </w:t>
      </w:r>
      <w:r>
        <w:rPr>
          <w:rFonts w:hint="eastAsia" w:ascii="仿宋_GB2312" w:hAnsi="仿宋_GB2312" w:eastAsia="仿宋_GB2312" w:cs="仿宋_GB2312"/>
        </w:rPr>
        <w:t>万元</w:t>
      </w:r>
    </w:p>
    <w:p>
      <w:pPr>
        <w:pStyle w:val="33"/>
        <w:ind w:firstLine="320"/>
        <w:rPr>
          <w:rFonts w:ascii="仿宋_GB2312" w:hAnsi="仿宋_GB2312" w:eastAsia="仿宋_GB2312" w:cs="仿宋_GB2312"/>
          <w:color w:val="000000"/>
          <w:szCs w:val="32"/>
        </w:rPr>
      </w:pPr>
      <w:r>
        <w:rPr>
          <w:rFonts w:hint="eastAsia" w:ascii="仿宋_GB2312" w:hAnsi="仿宋_GB2312" w:eastAsia="仿宋_GB2312" w:cs="仿宋_GB2312"/>
          <w:szCs w:val="32"/>
        </w:rPr>
        <w:t xml:space="preserve">  采购需求：</w:t>
      </w:r>
      <w:r>
        <w:rPr>
          <w:rFonts w:hint="eastAsia" w:ascii="仿宋_GB2312" w:hAnsi="仿宋_GB2312" w:eastAsia="仿宋_GB2312" w:cs="仿宋_GB2312"/>
          <w:szCs w:val="32"/>
          <w:lang w:val="en-US" w:eastAsia="zh-CN"/>
        </w:rPr>
        <w:t>详见招标文件</w:t>
      </w:r>
      <w:r>
        <w:rPr>
          <w:rFonts w:hint="eastAsia" w:ascii="仿宋_GB2312" w:hAnsi="仿宋_GB2312" w:eastAsia="仿宋_GB2312" w:cs="仿宋_GB2312"/>
        </w:rPr>
        <w:t>。</w:t>
      </w:r>
    </w:p>
    <w:p>
      <w:pPr>
        <w:widowControl/>
        <w:ind w:firstLine="640"/>
        <w:jc w:val="left"/>
        <w:rPr>
          <w:rFonts w:cs="宋体"/>
          <w:kern w:val="0"/>
          <w:sz w:val="24"/>
          <w:szCs w:val="24"/>
        </w:rPr>
      </w:pPr>
      <w:r>
        <w:rPr>
          <w:rFonts w:hint="eastAsia" w:ascii="仿宋_GB2312" w:hAnsi="仿宋_GB2312" w:eastAsia="仿宋_GB2312" w:cs="仿宋_GB2312"/>
          <w:color w:val="000000"/>
        </w:rPr>
        <w:t>合同履行期限：合同签订之日起</w:t>
      </w:r>
      <w:r>
        <w:rPr>
          <w:rFonts w:hint="eastAsia" w:ascii="仿宋_GB2312" w:hAnsi="仿宋_GB2312" w:eastAsia="仿宋_GB2312" w:cs="仿宋_GB2312"/>
          <w:color w:val="000000"/>
          <w:lang w:eastAsia="zh-CN"/>
        </w:rPr>
        <w:t>七个工作日内</w:t>
      </w:r>
      <w:r>
        <w:rPr>
          <w:rFonts w:hint="eastAsia" w:ascii="仿宋_GB2312" w:hAnsi="仿宋_GB2312" w:eastAsia="仿宋_GB2312" w:cs="仿宋_GB2312"/>
          <w:color w:val="000000"/>
          <w:kern w:val="0"/>
        </w:rPr>
        <w:t>。</w:t>
      </w:r>
    </w:p>
    <w:p>
      <w:pPr>
        <w:ind w:firstLine="640"/>
        <w:rPr>
          <w:rFonts w:ascii="仿宋_GB2312" w:hAnsi="仿宋_GB2312" w:eastAsia="仿宋_GB2312" w:cs="仿宋_GB2312"/>
        </w:rPr>
      </w:pPr>
      <w:r>
        <w:rPr>
          <w:rFonts w:hint="eastAsia" w:ascii="仿宋_GB2312" w:hAnsi="仿宋_GB2312" w:eastAsia="仿宋_GB2312" w:cs="仿宋_GB2312"/>
        </w:rPr>
        <w:t>维保履行期限：2022年9月1日至2023年8月30日。</w:t>
      </w:r>
    </w:p>
    <w:p>
      <w:pPr>
        <w:ind w:firstLine="640"/>
        <w:rPr>
          <w:rFonts w:ascii="仿宋_GB2312" w:hAnsi="仿宋_GB2312" w:eastAsia="仿宋_GB2312" w:cs="仿宋_GB2312"/>
        </w:rPr>
      </w:pPr>
      <w:r>
        <w:rPr>
          <w:rFonts w:hint="eastAsia" w:ascii="仿宋_GB2312" w:hAnsi="仿宋_GB2312" w:eastAsia="仿宋_GB2312" w:cs="仿宋_GB2312"/>
        </w:rPr>
        <w:t>本项目（否）接受联合体投标。</w:t>
      </w:r>
    </w:p>
    <w:p>
      <w:pPr>
        <w:widowControl/>
        <w:ind w:firstLine="0" w:firstLineChars="0"/>
        <w:jc w:val="left"/>
        <w:rPr>
          <w:rFonts w:ascii="仿宋_GB2312" w:hAnsi="仿宋_GB2312" w:eastAsia="仿宋_GB2312" w:cs="仿宋_GB2312"/>
        </w:rPr>
      </w:pPr>
      <w:r>
        <w:rPr>
          <w:rFonts w:hint="eastAsia" w:ascii="仿宋_GB2312" w:hAnsi="仿宋_GB2312" w:eastAsia="仿宋_GB2312" w:cs="仿宋_GB2312"/>
          <w:b/>
          <w:bCs/>
        </w:rPr>
        <w:t xml:space="preserve">    二.申请人的资格要求：</w:t>
      </w:r>
    </w:p>
    <w:p>
      <w:pPr>
        <w:widowControl/>
        <w:ind w:left="3" w:firstLine="560"/>
        <w:jc w:val="left"/>
        <w:rPr>
          <w:rFonts w:ascii="仿宋_GB2312" w:hAnsi="仿宋_GB2312" w:eastAsia="仿宋_GB2312" w:cs="仿宋_GB2312"/>
          <w:kern w:val="0"/>
        </w:rPr>
      </w:pPr>
      <w:r>
        <w:rPr>
          <w:rFonts w:hint="eastAsia" w:ascii="仿宋_GB2312" w:hAnsi="仿宋_GB2312" w:eastAsia="仿宋_GB2312" w:cs="仿宋_GB2312"/>
          <w:color w:val="393939"/>
          <w:kern w:val="0"/>
          <w:sz w:val="28"/>
          <w:szCs w:val="28"/>
        </w:rPr>
        <w:t xml:space="preserve"> </w:t>
      </w:r>
      <w:r>
        <w:rPr>
          <w:rFonts w:hint="eastAsia" w:ascii="仿宋_GB2312" w:hAnsi="仿宋_GB2312" w:eastAsia="仿宋_GB2312" w:cs="仿宋_GB2312"/>
          <w:kern w:val="0"/>
        </w:rPr>
        <w:t>1.满足《中华人民共和国政府采购法》第二十二条规定；</w:t>
      </w:r>
    </w:p>
    <w:p>
      <w:pPr>
        <w:pStyle w:val="53"/>
        <w:widowControl/>
        <w:wordWrap/>
        <w:adjustRightInd/>
        <w:snapToGrid/>
        <w:spacing w:before="60" w:beforeAutospacing="0" w:after="60" w:afterAutospacing="0" w:line="400" w:lineRule="exact"/>
        <w:ind w:left="0" w:right="0" w:firstLine="42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rPr>
        <w:t>.</w:t>
      </w:r>
      <w:r>
        <w:rPr>
          <w:rFonts w:hint="eastAsia" w:ascii="仿宋_GB2312" w:hAnsi="仿宋_GB2312" w:eastAsia="仿宋_GB2312" w:cs="仿宋_GB2312"/>
          <w:sz w:val="32"/>
          <w:szCs w:val="32"/>
        </w:rPr>
        <w:t>落实政府采购政策需满足的资格要求：</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节能产品强制采购；</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节能产品、环境标志产品优先采购；</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政府采购促进中小企业发展；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政府采购项目支持监狱企业发展；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政府采购信用担保。</w:t>
      </w:r>
    </w:p>
    <w:p>
      <w:pPr>
        <w:pStyle w:val="53"/>
        <w:widowControl/>
        <w:wordWrap/>
        <w:adjustRightInd/>
        <w:snapToGrid/>
        <w:spacing w:before="60" w:beforeAutospacing="0" w:after="60" w:afterAutospacing="0" w:line="400" w:lineRule="exact"/>
        <w:ind w:left="0" w:right="0" w:firstLine="42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lang w:val="en-US" w:eastAsia="zh-CN"/>
        </w:rPr>
        <w:t>.</w:t>
      </w:r>
      <w:r>
        <w:rPr>
          <w:rFonts w:hint="eastAsia" w:ascii="仿宋_GB2312" w:hAnsi="仿宋_GB2312" w:eastAsia="仿宋_GB2312" w:cs="仿宋_GB2312"/>
          <w:sz w:val="32"/>
          <w:szCs w:val="32"/>
        </w:rPr>
        <w:t>本项目的特定资格要求：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投标人必须提供有效的工商营业执照副本原件或当地公证处出具前述证书的公证书；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投</w:t>
      </w:r>
      <w:r>
        <w:rPr>
          <w:rFonts w:hint="eastAsia" w:ascii="仿宋_GB2312" w:hAnsi="仿宋_GB2312" w:eastAsia="仿宋_GB2312" w:cs="仿宋_GB2312"/>
          <w:sz w:val="32"/>
          <w:szCs w:val="32"/>
          <w:lang w:val="en-US" w:eastAsia="zh-CN"/>
        </w:rPr>
        <w:t>标人</w:t>
      </w:r>
      <w:r>
        <w:rPr>
          <w:rFonts w:hint="eastAsia" w:ascii="仿宋_GB2312" w:hAnsi="仿宋_GB2312" w:eastAsia="仿宋_GB2312" w:cs="仿宋_GB2312"/>
          <w:sz w:val="32"/>
          <w:szCs w:val="32"/>
        </w:rPr>
        <w:t>所有证件均应在有效期内；</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法定代表人身份证明书原件和法定代表人身份证原件或法定代表人授权委托书原件及被授权人身份证原件；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单位负责人为同一人或者存在直接控股、管理关系的不同供应商，不得参加同一合同项下的政府采购活动</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kern w:val="0"/>
          <w:sz w:val="32"/>
          <w:szCs w:val="32"/>
        </w:rPr>
        <w:t>受到刑事处罚，或者受到三万元以上的罚款、责令停产停业、在一至三年内禁止参加政府采购活动、暂扣或者吊销许可证、暂扣或者吊销执照等情形之一的行政处罚，或者存在财政部门认定的其他重大违法记录。</w:t>
      </w:r>
      <w:r>
        <w:rPr>
          <w:rFonts w:hint="eastAsia" w:ascii="仿宋_GB2312" w:hAnsi="仿宋_GB2312" w:eastAsia="仿宋_GB2312" w:cs="仿宋_GB2312"/>
          <w:sz w:val="32"/>
          <w:szCs w:val="32"/>
          <w:lang w:val="en-US" w:eastAsia="zh-CN"/>
        </w:rPr>
        <w:t>(6)投标人须提供在“信用中国”（www.creditchina.gov.cn）和中国政府采购网（www.ccgp.gov.cn）网站上未被列入失信被执行人、重大税收违法案件当事人名单以及政府采购严重违法失信行为记录名单的网页打印件（网页打印件须自招标公告发布之日起至首次提交投标文件截止时间内从上述网站中打印）并加盖公章。</w:t>
      </w:r>
    </w:p>
    <w:p>
      <w:pPr>
        <w:widowControl/>
        <w:ind w:firstLine="0" w:firstLineChars="0"/>
        <w:jc w:val="left"/>
        <w:rPr>
          <w:rFonts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rPr>
        <w:t>本次招标不接受联合体投标。</w:t>
      </w:r>
    </w:p>
    <w:p>
      <w:pPr>
        <w:ind w:firstLine="640"/>
        <w:rPr>
          <w:rFonts w:ascii="仿宋_GB2312" w:hAnsi="仿宋_GB2312" w:eastAsia="仿宋_GB2312" w:cs="仿宋_GB2312"/>
          <w:color w:val="000000"/>
        </w:rPr>
      </w:pPr>
      <w:r>
        <w:rPr>
          <w:rFonts w:hint="eastAsia" w:ascii="仿宋_GB2312" w:hAnsi="仿宋_GB2312" w:eastAsia="仿宋_GB2312" w:cs="仿宋_GB2312"/>
          <w:color w:val="000000"/>
          <w:lang w:val="en-US" w:eastAsia="zh-CN"/>
        </w:rPr>
        <w:t>5</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rPr>
        <w:t>本次招标拟采用的资格审查办法为：资格后审。</w:t>
      </w:r>
    </w:p>
    <w:p>
      <w:pPr>
        <w:ind w:firstLine="643"/>
        <w:rPr>
          <w:rFonts w:ascii="仿宋_GB2312" w:hAnsi="仿宋_GB2312" w:eastAsia="仿宋_GB2312" w:cs="仿宋_GB2312"/>
          <w:b/>
          <w:bCs/>
        </w:rPr>
      </w:pPr>
      <w:r>
        <w:rPr>
          <w:rFonts w:hint="eastAsia" w:ascii="仿宋_GB2312" w:hAnsi="仿宋_GB2312" w:eastAsia="仿宋_GB2312" w:cs="仿宋_GB2312"/>
          <w:b/>
          <w:bCs/>
        </w:rPr>
        <w:t>三.获取招标文件</w:t>
      </w:r>
    </w:p>
    <w:p>
      <w:pPr>
        <w:ind w:firstLine="640"/>
        <w:rPr>
          <w:rFonts w:ascii="仿宋_GB2312" w:hAnsi="仿宋_GB2312" w:eastAsia="仿宋_GB2312" w:cs="仿宋_GB2312"/>
          <w:color w:val="000000"/>
        </w:rPr>
      </w:pPr>
      <w:r>
        <w:rPr>
          <w:rFonts w:hint="eastAsia" w:ascii="仿宋_GB2312" w:hAnsi="仿宋_GB2312" w:eastAsia="仿宋_GB2312" w:cs="仿宋_GB2312"/>
          <w:color w:val="FF0000"/>
          <w:sz w:val="32"/>
          <w:szCs w:val="32"/>
          <w:highlight w:val="none"/>
          <w:lang w:eastAsia="zh-CN"/>
        </w:rPr>
        <w:t>采购文件获取</w:t>
      </w:r>
      <w:r>
        <w:rPr>
          <w:rFonts w:hint="eastAsia" w:ascii="仿宋_GB2312" w:hAnsi="仿宋_GB2312" w:eastAsia="仿宋_GB2312" w:cs="仿宋_GB2312"/>
          <w:color w:val="FF0000"/>
          <w:sz w:val="32"/>
          <w:szCs w:val="32"/>
          <w:highlight w:val="none"/>
        </w:rPr>
        <w:t>时间：</w:t>
      </w:r>
      <w:r>
        <w:rPr>
          <w:rFonts w:hint="eastAsia" w:ascii="仿宋_GB2312" w:hAnsi="仿宋_GB2312" w:eastAsia="仿宋_GB2312" w:cs="仿宋_GB2312"/>
          <w:color w:val="FF0000"/>
          <w:sz w:val="32"/>
          <w:szCs w:val="32"/>
          <w:highlight w:val="none"/>
          <w:u w:val="single"/>
          <w:lang w:val="en-US" w:eastAsia="zh-CN"/>
        </w:rPr>
        <w:t>2021</w:t>
      </w:r>
      <w:r>
        <w:rPr>
          <w:rFonts w:hint="eastAsia" w:ascii="仿宋_GB2312" w:hAnsi="仿宋_GB2312" w:eastAsia="仿宋_GB2312" w:cs="仿宋_GB2312"/>
          <w:color w:val="FF0000"/>
          <w:sz w:val="32"/>
          <w:szCs w:val="32"/>
          <w:highlight w:val="none"/>
          <w:u w:val="single"/>
        </w:rPr>
        <w:t>年</w:t>
      </w:r>
      <w:r>
        <w:rPr>
          <w:rFonts w:hint="eastAsia" w:ascii="仿宋_GB2312" w:hAnsi="仿宋_GB2312" w:eastAsia="仿宋_GB2312" w:cs="仿宋_GB2312"/>
          <w:color w:val="FF0000"/>
          <w:sz w:val="32"/>
          <w:szCs w:val="32"/>
          <w:highlight w:val="none"/>
          <w:u w:val="single"/>
          <w:lang w:val="en-US" w:eastAsia="zh-CN"/>
        </w:rPr>
        <w:t>11</w:t>
      </w:r>
      <w:r>
        <w:rPr>
          <w:rFonts w:hint="eastAsia" w:ascii="仿宋_GB2312" w:hAnsi="仿宋_GB2312" w:eastAsia="仿宋_GB2312" w:cs="仿宋_GB2312"/>
          <w:color w:val="FF0000"/>
          <w:sz w:val="32"/>
          <w:szCs w:val="32"/>
          <w:highlight w:val="none"/>
          <w:u w:val="single"/>
        </w:rPr>
        <w:t>月</w:t>
      </w:r>
      <w:r>
        <w:rPr>
          <w:rFonts w:hint="eastAsia" w:ascii="仿宋_GB2312" w:hAnsi="仿宋_GB2312" w:eastAsia="仿宋_GB2312" w:cs="仿宋_GB2312"/>
          <w:color w:val="FF0000"/>
          <w:sz w:val="32"/>
          <w:szCs w:val="32"/>
          <w:highlight w:val="none"/>
          <w:u w:val="single"/>
          <w:lang w:val="en-US" w:eastAsia="zh-CN"/>
        </w:rPr>
        <w:t>05</w:t>
      </w:r>
      <w:r>
        <w:rPr>
          <w:rFonts w:hint="eastAsia" w:ascii="仿宋_GB2312" w:hAnsi="仿宋_GB2312" w:eastAsia="仿宋_GB2312" w:cs="仿宋_GB2312"/>
          <w:color w:val="FF0000"/>
          <w:sz w:val="32"/>
          <w:szCs w:val="32"/>
          <w:highlight w:val="none"/>
          <w:u w:val="single"/>
        </w:rPr>
        <w:t>日</w:t>
      </w:r>
      <w:r>
        <w:rPr>
          <w:rFonts w:hint="eastAsia" w:ascii="仿宋_GB2312" w:hAnsi="仿宋_GB2312" w:eastAsia="仿宋_GB2312" w:cs="仿宋_GB2312"/>
          <w:color w:val="FF0000"/>
          <w:sz w:val="32"/>
          <w:szCs w:val="32"/>
          <w:highlight w:val="none"/>
        </w:rPr>
        <w:t>至</w:t>
      </w:r>
      <w:r>
        <w:rPr>
          <w:rFonts w:hint="eastAsia" w:ascii="仿宋_GB2312" w:hAnsi="仿宋_GB2312" w:eastAsia="仿宋_GB2312" w:cs="仿宋_GB2312"/>
          <w:color w:val="FF0000"/>
          <w:sz w:val="32"/>
          <w:szCs w:val="32"/>
          <w:highlight w:val="none"/>
          <w:u w:val="single"/>
          <w:lang w:val="en-US" w:eastAsia="zh-CN"/>
        </w:rPr>
        <w:t>2021</w:t>
      </w:r>
      <w:r>
        <w:rPr>
          <w:rFonts w:hint="eastAsia" w:ascii="仿宋_GB2312" w:hAnsi="仿宋_GB2312" w:eastAsia="仿宋_GB2312" w:cs="仿宋_GB2312"/>
          <w:color w:val="FF0000"/>
          <w:sz w:val="32"/>
          <w:szCs w:val="32"/>
          <w:highlight w:val="none"/>
          <w:u w:val="single"/>
        </w:rPr>
        <w:t>年</w:t>
      </w:r>
      <w:r>
        <w:rPr>
          <w:rFonts w:hint="eastAsia" w:ascii="仿宋_GB2312" w:hAnsi="仿宋_GB2312" w:eastAsia="仿宋_GB2312" w:cs="仿宋_GB2312"/>
          <w:color w:val="FF0000"/>
          <w:sz w:val="32"/>
          <w:szCs w:val="32"/>
          <w:highlight w:val="none"/>
          <w:u w:val="single"/>
          <w:lang w:val="en-US" w:eastAsia="zh-CN"/>
        </w:rPr>
        <w:t>11</w:t>
      </w:r>
      <w:r>
        <w:rPr>
          <w:rFonts w:hint="eastAsia" w:ascii="仿宋_GB2312" w:hAnsi="仿宋_GB2312" w:eastAsia="仿宋_GB2312" w:cs="仿宋_GB2312"/>
          <w:color w:val="FF0000"/>
          <w:sz w:val="32"/>
          <w:szCs w:val="32"/>
          <w:highlight w:val="none"/>
          <w:u w:val="single"/>
        </w:rPr>
        <w:t>月</w:t>
      </w:r>
      <w:r>
        <w:rPr>
          <w:rFonts w:hint="eastAsia" w:ascii="仿宋_GB2312" w:hAnsi="仿宋_GB2312" w:eastAsia="仿宋_GB2312" w:cs="仿宋_GB2312"/>
          <w:color w:val="FF0000"/>
          <w:sz w:val="32"/>
          <w:szCs w:val="32"/>
          <w:highlight w:val="none"/>
          <w:u w:val="single"/>
          <w:lang w:val="en-US" w:eastAsia="zh-CN"/>
        </w:rPr>
        <w:t>11</w:t>
      </w:r>
      <w:r>
        <w:rPr>
          <w:rFonts w:hint="eastAsia" w:ascii="仿宋_GB2312" w:hAnsi="仿宋_GB2312" w:eastAsia="仿宋_GB2312" w:cs="仿宋_GB2312"/>
          <w:color w:val="FF0000"/>
          <w:sz w:val="32"/>
          <w:szCs w:val="32"/>
          <w:highlight w:val="none"/>
          <w:u w:val="single"/>
        </w:rPr>
        <w:t>日</w:t>
      </w:r>
      <w:r>
        <w:rPr>
          <w:rFonts w:hint="eastAsia" w:ascii="仿宋_GB2312" w:hAnsi="仿宋_GB2312" w:eastAsia="仿宋_GB2312" w:cs="仿宋_GB2312"/>
          <w:color w:val="FF0000"/>
          <w:sz w:val="32"/>
          <w:szCs w:val="32"/>
          <w:highlight w:val="none"/>
        </w:rPr>
        <w:t>，每天上午</w:t>
      </w:r>
      <w:r>
        <w:rPr>
          <w:rFonts w:hint="eastAsia" w:ascii="仿宋_GB2312" w:hAnsi="仿宋_GB2312" w:eastAsia="仿宋_GB2312" w:cs="仿宋_GB2312"/>
          <w:color w:val="FF0000"/>
          <w:sz w:val="32"/>
          <w:szCs w:val="32"/>
          <w:highlight w:val="none"/>
          <w:u w:val="single"/>
          <w:lang w:val="en-US" w:eastAsia="zh-CN"/>
        </w:rPr>
        <w:t>10：30</w:t>
      </w:r>
      <w:r>
        <w:rPr>
          <w:rFonts w:hint="eastAsia" w:ascii="仿宋_GB2312" w:hAnsi="仿宋_GB2312" w:eastAsia="仿宋_GB2312" w:cs="仿宋_GB2312"/>
          <w:color w:val="FF0000"/>
          <w:sz w:val="32"/>
          <w:szCs w:val="32"/>
          <w:highlight w:val="none"/>
        </w:rPr>
        <w:t>至</w:t>
      </w:r>
      <w:r>
        <w:rPr>
          <w:rFonts w:hint="eastAsia" w:ascii="仿宋_GB2312" w:hAnsi="仿宋_GB2312" w:eastAsia="仿宋_GB2312" w:cs="仿宋_GB2312"/>
          <w:color w:val="FF0000"/>
          <w:sz w:val="32"/>
          <w:szCs w:val="32"/>
          <w:highlight w:val="none"/>
          <w:u w:val="single"/>
          <w:lang w:val="en-US" w:eastAsia="zh-CN"/>
        </w:rPr>
        <w:t>14：00</w:t>
      </w:r>
      <w:r>
        <w:rPr>
          <w:rFonts w:hint="eastAsia" w:ascii="仿宋_GB2312" w:hAnsi="仿宋_GB2312" w:eastAsia="仿宋_GB2312" w:cs="仿宋_GB2312"/>
          <w:color w:val="FF0000"/>
          <w:sz w:val="32"/>
          <w:szCs w:val="32"/>
          <w:highlight w:val="none"/>
        </w:rPr>
        <w:t>，下</w:t>
      </w:r>
      <w:r>
        <w:rPr>
          <w:rFonts w:hint="eastAsia" w:ascii="仿宋_GB2312" w:hAnsi="仿宋_GB2312" w:eastAsia="仿宋_GB2312" w:cs="仿宋_GB2312"/>
          <w:color w:val="FF0000"/>
          <w:sz w:val="32"/>
          <w:szCs w:val="32"/>
          <w:highlight w:val="none"/>
          <w:lang w:val="en-US" w:eastAsia="zh-CN"/>
        </w:rPr>
        <w:t>午:</w:t>
      </w:r>
      <w:r>
        <w:rPr>
          <w:rFonts w:hint="eastAsia" w:ascii="仿宋_GB2312" w:hAnsi="仿宋_GB2312" w:eastAsia="仿宋_GB2312" w:cs="仿宋_GB2312"/>
          <w:color w:val="FF0000"/>
          <w:sz w:val="32"/>
          <w:szCs w:val="32"/>
          <w:highlight w:val="none"/>
          <w:u w:val="single"/>
          <w:lang w:val="en-US" w:eastAsia="zh-CN"/>
        </w:rPr>
        <w:t>15:30</w:t>
      </w:r>
      <w:r>
        <w:rPr>
          <w:rFonts w:hint="eastAsia" w:ascii="仿宋_GB2312" w:hAnsi="仿宋_GB2312" w:eastAsia="仿宋_GB2312" w:cs="仿宋_GB2312"/>
          <w:color w:val="FF0000"/>
          <w:sz w:val="32"/>
          <w:szCs w:val="32"/>
          <w:highlight w:val="none"/>
        </w:rPr>
        <w:t>至</w:t>
      </w:r>
      <w:r>
        <w:rPr>
          <w:rFonts w:hint="eastAsia" w:ascii="仿宋_GB2312" w:hAnsi="仿宋_GB2312" w:eastAsia="仿宋_GB2312" w:cs="仿宋_GB2312"/>
          <w:color w:val="FF0000"/>
          <w:sz w:val="32"/>
          <w:szCs w:val="32"/>
          <w:highlight w:val="none"/>
          <w:u w:val="single" w:color="auto"/>
          <w:lang w:val="en-US" w:eastAsia="zh-CN"/>
        </w:rPr>
        <w:t>19：</w:t>
      </w:r>
      <w:r>
        <w:rPr>
          <w:rFonts w:hint="eastAsia" w:ascii="仿宋_GB2312" w:hAnsi="仿宋_GB2312" w:eastAsia="仿宋_GB2312" w:cs="仿宋_GB2312"/>
          <w:color w:val="FF0000"/>
          <w:sz w:val="32"/>
          <w:szCs w:val="32"/>
          <w:highlight w:val="none"/>
          <w:u w:val="single"/>
          <w:lang w:val="en-US" w:eastAsia="zh-CN"/>
        </w:rPr>
        <w:t>30</w:t>
      </w:r>
      <w:r>
        <w:rPr>
          <w:rFonts w:hint="eastAsia" w:ascii="仿宋_GB2312" w:hAnsi="仿宋_GB2312" w:eastAsia="仿宋_GB2312" w:cs="仿宋_GB2312"/>
          <w:color w:val="FF0000"/>
        </w:rPr>
        <w:t>（北京时间，法定节假日除外 ）。</w:t>
      </w:r>
    </w:p>
    <w:p>
      <w:pPr>
        <w:ind w:firstLine="640"/>
        <w:rPr>
          <w:rFonts w:hint="eastAsia" w:ascii="仿宋_GB2312" w:hAnsi="仿宋_GB2312" w:eastAsia="仿宋_GB2312" w:cs="仿宋_GB2312"/>
        </w:rPr>
      </w:pPr>
      <w:r>
        <w:rPr>
          <w:rFonts w:hint="eastAsia" w:ascii="仿宋_GB2312" w:hAnsi="仿宋_GB2312" w:eastAsia="仿宋_GB2312" w:cs="仿宋_GB2312"/>
        </w:rPr>
        <w:t>采购文件获取地点：</w:t>
      </w:r>
      <w:r>
        <w:rPr>
          <w:rFonts w:hint="eastAsia" w:ascii="仿宋_GB2312" w:hAnsi="仿宋_GB2312" w:eastAsia="仿宋_GB2312" w:cs="仿宋_GB2312"/>
          <w:lang w:val="en-US" w:eastAsia="zh-CN"/>
        </w:rPr>
        <w:t>乌鲁木齐高新区（新市区）北京南路591号自治区广播电视局高层南楼1203室</w:t>
      </w:r>
    </w:p>
    <w:p>
      <w:pPr>
        <w:ind w:left="0" w:leftChars="0" w:firstLine="0" w:firstLineChars="0"/>
        <w:rPr>
          <w:rFonts w:ascii="仿宋_GB2312" w:hAnsi="仿宋_GB2312" w:eastAsia="仿宋_GB2312" w:cs="仿宋_GB2312"/>
          <w:color w:val="000000"/>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采购文件获取方式：线下获取</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现场报名</w:t>
      </w:r>
      <w:r>
        <w:rPr>
          <w:rFonts w:hint="eastAsia" w:ascii="仿宋_GB2312" w:hAnsi="仿宋_GB2312" w:eastAsia="仿宋_GB2312" w:cs="仿宋_GB2312"/>
        </w:rPr>
        <w:t>。</w:t>
      </w:r>
    </w:p>
    <w:p>
      <w:pPr>
        <w:ind w:firstLine="640"/>
        <w:rPr>
          <w:rFonts w:ascii="仿宋_GB2312" w:hAnsi="仿宋_GB2312" w:eastAsia="仿宋_GB2312" w:cs="仿宋_GB2312"/>
          <w:color w:val="000000"/>
        </w:rPr>
      </w:pPr>
      <w:r>
        <w:rPr>
          <w:rFonts w:hint="eastAsia" w:ascii="仿宋_GB2312" w:hAnsi="仿宋_GB2312" w:eastAsia="仿宋_GB2312" w:cs="仿宋_GB2312"/>
          <w:color w:val="000000"/>
        </w:rPr>
        <w:t>售价（元）：</w:t>
      </w:r>
      <w:r>
        <w:rPr>
          <w:rFonts w:hint="eastAsia" w:ascii="仿宋_GB2312" w:hAnsi="仿宋_GB2312" w:eastAsia="仿宋_GB2312" w:cs="仿宋_GB2312"/>
          <w:color w:val="000000"/>
          <w:lang w:val="en-US" w:eastAsia="zh-CN"/>
        </w:rPr>
        <w:t>300</w:t>
      </w:r>
      <w:r>
        <w:rPr>
          <w:rFonts w:hint="eastAsia" w:ascii="仿宋_GB2312" w:hAnsi="仿宋_GB2312" w:eastAsia="仿宋_GB2312" w:cs="仿宋_GB2312"/>
          <w:color w:val="000000"/>
        </w:rPr>
        <w:t>元人民币/份，售后不退。</w:t>
      </w:r>
    </w:p>
    <w:p>
      <w:pPr>
        <w:ind w:firstLine="643"/>
        <w:rPr>
          <w:rFonts w:ascii="仿宋_GB2312" w:hAnsi="仿宋_GB2312" w:eastAsia="仿宋_GB2312" w:cs="仿宋_GB2312"/>
          <w:b/>
          <w:bCs/>
          <w:color w:val="000000"/>
        </w:rPr>
      </w:pPr>
      <w:r>
        <w:rPr>
          <w:rFonts w:hint="eastAsia" w:ascii="仿宋_GB2312" w:hAnsi="仿宋_GB2312" w:eastAsia="仿宋_GB2312" w:cs="仿宋_GB2312"/>
          <w:b/>
          <w:bCs/>
          <w:color w:val="000000"/>
        </w:rPr>
        <w:t>四</w:t>
      </w:r>
      <w:r>
        <w:rPr>
          <w:rFonts w:hint="eastAsia" w:ascii="仿宋_GB2312" w:hAnsi="仿宋_GB2312" w:eastAsia="仿宋_GB2312" w:cs="仿宋_GB2312"/>
          <w:b/>
          <w:bCs/>
        </w:rPr>
        <w:t>.</w:t>
      </w:r>
      <w:r>
        <w:rPr>
          <w:rFonts w:hint="eastAsia" w:ascii="仿宋_GB2312" w:hAnsi="仿宋_GB2312" w:eastAsia="仿宋_GB2312" w:cs="仿宋_GB2312"/>
          <w:b/>
          <w:bCs/>
          <w:color w:val="000000"/>
        </w:rPr>
        <w:t>提交投标文件截止时间、开标时间和地点</w:t>
      </w:r>
    </w:p>
    <w:p>
      <w:pPr>
        <w:ind w:firstLine="640"/>
        <w:rPr>
          <w:rFonts w:ascii="仿宋_GB2312" w:hAnsi="仿宋_GB2312" w:eastAsia="仿宋_GB2312" w:cs="仿宋_GB2312"/>
          <w:bCs/>
        </w:rPr>
      </w:pPr>
      <w:r>
        <w:rPr>
          <w:rFonts w:hint="eastAsia" w:ascii="仿宋_GB2312" w:hAnsi="仿宋_GB2312" w:eastAsia="仿宋_GB2312" w:cs="仿宋_GB2312"/>
          <w:color w:val="FF0000"/>
        </w:rPr>
        <w:t>截止时间：</w:t>
      </w:r>
      <w:r>
        <w:rPr>
          <w:rFonts w:hint="eastAsia" w:ascii="仿宋_GB2312" w:hAnsi="仿宋_GB2312" w:eastAsia="仿宋_GB2312" w:cs="仿宋_GB2312"/>
          <w:color w:val="FF0000"/>
          <w:sz w:val="32"/>
          <w:szCs w:val="32"/>
          <w:highlight w:val="none"/>
          <w:u w:val="single"/>
          <w:lang w:val="en-US" w:eastAsia="zh-CN"/>
        </w:rPr>
        <w:t>2021</w:t>
      </w:r>
      <w:r>
        <w:rPr>
          <w:rFonts w:hint="eastAsia" w:ascii="仿宋_GB2312" w:hAnsi="仿宋_GB2312" w:eastAsia="仿宋_GB2312" w:cs="仿宋_GB2312"/>
          <w:bCs/>
          <w:color w:val="FF0000"/>
          <w:sz w:val="32"/>
          <w:szCs w:val="32"/>
          <w:highlight w:val="none"/>
          <w:u w:val="single"/>
        </w:rPr>
        <w:t>年</w:t>
      </w:r>
      <w:r>
        <w:rPr>
          <w:rFonts w:hint="eastAsia" w:ascii="仿宋_GB2312" w:hAnsi="仿宋_GB2312" w:eastAsia="仿宋_GB2312" w:cs="仿宋_GB2312"/>
          <w:bCs/>
          <w:color w:val="FF0000"/>
          <w:sz w:val="32"/>
          <w:szCs w:val="32"/>
          <w:highlight w:val="none"/>
          <w:u w:val="single"/>
          <w:lang w:val="en-US" w:eastAsia="zh-CN"/>
        </w:rPr>
        <w:t>11</w:t>
      </w:r>
      <w:r>
        <w:rPr>
          <w:rFonts w:hint="eastAsia" w:ascii="仿宋_GB2312" w:hAnsi="仿宋_GB2312" w:eastAsia="仿宋_GB2312" w:cs="仿宋_GB2312"/>
          <w:bCs/>
          <w:color w:val="FF0000"/>
          <w:sz w:val="32"/>
          <w:szCs w:val="32"/>
          <w:highlight w:val="none"/>
          <w:u w:val="single"/>
        </w:rPr>
        <w:t>月</w:t>
      </w:r>
      <w:r>
        <w:rPr>
          <w:rFonts w:hint="eastAsia" w:ascii="仿宋_GB2312" w:hAnsi="仿宋_GB2312" w:eastAsia="仿宋_GB2312" w:cs="仿宋_GB2312"/>
          <w:bCs/>
          <w:color w:val="FF0000"/>
          <w:sz w:val="32"/>
          <w:szCs w:val="32"/>
          <w:highlight w:val="none"/>
          <w:u w:val="single"/>
          <w:lang w:val="en-US" w:eastAsia="zh-CN"/>
        </w:rPr>
        <w:t>25</w:t>
      </w:r>
      <w:r>
        <w:rPr>
          <w:rFonts w:hint="eastAsia" w:ascii="仿宋_GB2312" w:hAnsi="仿宋_GB2312" w:eastAsia="仿宋_GB2312" w:cs="仿宋_GB2312"/>
          <w:bCs/>
          <w:color w:val="FF0000"/>
          <w:sz w:val="32"/>
          <w:szCs w:val="32"/>
          <w:highlight w:val="none"/>
          <w:u w:val="single"/>
        </w:rPr>
        <w:t>日</w:t>
      </w:r>
      <w:r>
        <w:rPr>
          <w:rFonts w:hint="eastAsia" w:ascii="仿宋_GB2312" w:hAnsi="仿宋_GB2312" w:eastAsia="仿宋_GB2312" w:cs="仿宋_GB2312"/>
          <w:bCs/>
          <w:color w:val="FF0000"/>
          <w:sz w:val="32"/>
          <w:szCs w:val="32"/>
          <w:highlight w:val="none"/>
          <w:u w:val="single"/>
          <w:lang w:val="en-US" w:eastAsia="zh-CN"/>
        </w:rPr>
        <w:t>11</w:t>
      </w:r>
      <w:r>
        <w:rPr>
          <w:rFonts w:hint="eastAsia" w:ascii="仿宋_GB2312" w:hAnsi="仿宋_GB2312" w:eastAsia="仿宋_GB2312" w:cs="仿宋_GB2312"/>
          <w:bCs/>
          <w:color w:val="FF0000"/>
          <w:sz w:val="32"/>
          <w:szCs w:val="32"/>
          <w:highlight w:val="none"/>
          <w:u w:val="single"/>
        </w:rPr>
        <w:t>点</w:t>
      </w:r>
      <w:r>
        <w:rPr>
          <w:rFonts w:hint="eastAsia" w:ascii="仿宋_GB2312" w:hAnsi="仿宋_GB2312" w:eastAsia="仿宋_GB2312" w:cs="仿宋_GB2312"/>
          <w:bCs/>
          <w:color w:val="FF0000"/>
          <w:sz w:val="32"/>
          <w:szCs w:val="32"/>
          <w:highlight w:val="none"/>
          <w:u w:val="single"/>
          <w:lang w:val="en-US" w:eastAsia="zh-CN"/>
        </w:rPr>
        <w:t>00</w:t>
      </w:r>
      <w:r>
        <w:rPr>
          <w:rFonts w:hint="eastAsia" w:ascii="仿宋_GB2312" w:hAnsi="仿宋_GB2312" w:eastAsia="仿宋_GB2312" w:cs="仿宋_GB2312"/>
          <w:bCs/>
          <w:color w:val="FF0000"/>
          <w:sz w:val="32"/>
          <w:szCs w:val="32"/>
          <w:highlight w:val="none"/>
          <w:u w:val="single"/>
        </w:rPr>
        <w:t>分</w:t>
      </w:r>
      <w:r>
        <w:rPr>
          <w:rFonts w:hint="eastAsia" w:ascii="仿宋_GB2312" w:hAnsi="仿宋_GB2312" w:eastAsia="仿宋_GB2312" w:cs="仿宋_GB2312"/>
          <w:bCs/>
          <w:color w:val="FF0000"/>
        </w:rPr>
        <w:t>（北京时间）</w:t>
      </w:r>
    </w:p>
    <w:p>
      <w:pPr>
        <w:ind w:firstLine="640"/>
        <w:rPr>
          <w:rFonts w:ascii="仿宋_GB2312" w:hAnsi="仿宋_GB2312" w:eastAsia="仿宋_GB2312" w:cs="仿宋_GB2312"/>
        </w:rPr>
      </w:pPr>
      <w:r>
        <w:rPr>
          <w:rFonts w:hint="eastAsia" w:ascii="仿宋_GB2312" w:hAnsi="仿宋_GB2312" w:eastAsia="仿宋_GB2312" w:cs="仿宋_GB2312"/>
          <w:color w:val="000000"/>
        </w:rPr>
        <w:t>投标</w:t>
      </w:r>
      <w:r>
        <w:rPr>
          <w:rFonts w:hint="eastAsia" w:ascii="仿宋_GB2312" w:hAnsi="仿宋_GB2312" w:eastAsia="仿宋_GB2312" w:cs="仿宋_GB2312"/>
        </w:rPr>
        <w:t>地点：</w:t>
      </w:r>
      <w:r>
        <w:rPr>
          <w:rFonts w:hint="eastAsia" w:ascii="仿宋_GB2312" w:hAnsi="仿宋_GB2312" w:eastAsia="仿宋_GB2312" w:cs="仿宋_GB2312"/>
          <w:sz w:val="32"/>
          <w:szCs w:val="32"/>
          <w:shd w:val="clear" w:color="auto" w:fill="FFFFFF"/>
          <w:lang w:val="en-US" w:eastAsia="zh-CN"/>
        </w:rPr>
        <w:t>乌鲁木齐高新区（新市区）北京南路591号自治区广播电视局高层南楼1203室</w:t>
      </w:r>
    </w:p>
    <w:p>
      <w:pPr>
        <w:ind w:firstLine="640"/>
        <w:rPr>
          <w:rFonts w:ascii="仿宋_GB2312" w:hAnsi="仿宋_GB2312" w:eastAsia="仿宋_GB2312" w:cs="仿宋_GB2312"/>
          <w:bCs/>
          <w:color w:val="FF0000"/>
        </w:rPr>
      </w:pPr>
      <w:r>
        <w:rPr>
          <w:rFonts w:hint="eastAsia" w:ascii="仿宋_GB2312" w:hAnsi="仿宋_GB2312" w:eastAsia="仿宋_GB2312" w:cs="仿宋_GB2312"/>
        </w:rPr>
        <w:t xml:space="preserve"> </w:t>
      </w:r>
      <w:r>
        <w:rPr>
          <w:rFonts w:hint="eastAsia" w:ascii="仿宋_GB2312" w:hAnsi="仿宋_GB2312" w:eastAsia="仿宋_GB2312" w:cs="仿宋_GB2312"/>
          <w:color w:val="FF0000"/>
        </w:rPr>
        <w:t xml:space="preserve">开标时间： </w:t>
      </w:r>
      <w:r>
        <w:rPr>
          <w:rFonts w:hint="eastAsia" w:ascii="仿宋_GB2312" w:hAnsi="仿宋_GB2312" w:eastAsia="仿宋_GB2312" w:cs="仿宋_GB2312"/>
          <w:color w:val="FF0000"/>
          <w:sz w:val="32"/>
          <w:szCs w:val="32"/>
          <w:highlight w:val="none"/>
          <w:u w:val="single"/>
          <w:lang w:val="en-US" w:eastAsia="zh-CN"/>
        </w:rPr>
        <w:t>2021</w:t>
      </w:r>
      <w:r>
        <w:rPr>
          <w:rFonts w:hint="eastAsia" w:ascii="仿宋_GB2312" w:hAnsi="仿宋_GB2312" w:eastAsia="仿宋_GB2312" w:cs="仿宋_GB2312"/>
          <w:bCs/>
          <w:color w:val="FF0000"/>
          <w:sz w:val="32"/>
          <w:szCs w:val="32"/>
          <w:highlight w:val="none"/>
          <w:u w:val="single"/>
        </w:rPr>
        <w:t>年</w:t>
      </w:r>
      <w:r>
        <w:rPr>
          <w:rFonts w:hint="eastAsia" w:ascii="仿宋_GB2312" w:hAnsi="仿宋_GB2312" w:eastAsia="仿宋_GB2312" w:cs="仿宋_GB2312"/>
          <w:bCs/>
          <w:color w:val="FF0000"/>
          <w:sz w:val="32"/>
          <w:szCs w:val="32"/>
          <w:highlight w:val="none"/>
          <w:u w:val="single"/>
          <w:lang w:val="en-US" w:eastAsia="zh-CN"/>
        </w:rPr>
        <w:t>11</w:t>
      </w:r>
      <w:r>
        <w:rPr>
          <w:rFonts w:hint="eastAsia" w:ascii="仿宋_GB2312" w:hAnsi="仿宋_GB2312" w:eastAsia="仿宋_GB2312" w:cs="仿宋_GB2312"/>
          <w:bCs/>
          <w:color w:val="FF0000"/>
          <w:sz w:val="32"/>
          <w:szCs w:val="32"/>
          <w:highlight w:val="none"/>
          <w:u w:val="single"/>
        </w:rPr>
        <w:t>月</w:t>
      </w:r>
      <w:r>
        <w:rPr>
          <w:rFonts w:hint="eastAsia" w:ascii="仿宋_GB2312" w:hAnsi="仿宋_GB2312" w:eastAsia="仿宋_GB2312" w:cs="仿宋_GB2312"/>
          <w:bCs/>
          <w:color w:val="FF0000"/>
          <w:sz w:val="32"/>
          <w:szCs w:val="32"/>
          <w:highlight w:val="none"/>
          <w:u w:val="single"/>
          <w:lang w:val="en-US" w:eastAsia="zh-CN"/>
        </w:rPr>
        <w:t>25</w:t>
      </w:r>
      <w:r>
        <w:rPr>
          <w:rFonts w:hint="eastAsia" w:ascii="仿宋_GB2312" w:hAnsi="仿宋_GB2312" w:eastAsia="仿宋_GB2312" w:cs="仿宋_GB2312"/>
          <w:bCs/>
          <w:color w:val="FF0000"/>
          <w:sz w:val="32"/>
          <w:szCs w:val="32"/>
          <w:highlight w:val="none"/>
          <w:u w:val="single"/>
        </w:rPr>
        <w:t>日</w:t>
      </w:r>
      <w:r>
        <w:rPr>
          <w:rFonts w:hint="eastAsia" w:ascii="仿宋_GB2312" w:hAnsi="仿宋_GB2312" w:eastAsia="仿宋_GB2312" w:cs="仿宋_GB2312"/>
          <w:bCs/>
          <w:color w:val="FF0000"/>
          <w:sz w:val="32"/>
          <w:szCs w:val="32"/>
          <w:highlight w:val="none"/>
          <w:u w:val="single"/>
          <w:lang w:val="en-US" w:eastAsia="zh-CN"/>
        </w:rPr>
        <w:t>11</w:t>
      </w:r>
      <w:r>
        <w:rPr>
          <w:rFonts w:hint="eastAsia" w:ascii="仿宋_GB2312" w:hAnsi="仿宋_GB2312" w:eastAsia="仿宋_GB2312" w:cs="仿宋_GB2312"/>
          <w:bCs/>
          <w:color w:val="FF0000"/>
          <w:sz w:val="32"/>
          <w:szCs w:val="32"/>
          <w:highlight w:val="none"/>
          <w:u w:val="single"/>
        </w:rPr>
        <w:t>点</w:t>
      </w:r>
      <w:r>
        <w:rPr>
          <w:rFonts w:hint="eastAsia" w:ascii="仿宋_GB2312" w:hAnsi="仿宋_GB2312" w:eastAsia="仿宋_GB2312" w:cs="仿宋_GB2312"/>
          <w:bCs/>
          <w:color w:val="FF0000"/>
          <w:sz w:val="32"/>
          <w:szCs w:val="32"/>
          <w:highlight w:val="none"/>
          <w:u w:val="single"/>
          <w:lang w:val="en-US" w:eastAsia="zh-CN"/>
        </w:rPr>
        <w:t>00</w:t>
      </w:r>
      <w:r>
        <w:rPr>
          <w:rFonts w:hint="eastAsia" w:ascii="仿宋_GB2312" w:hAnsi="仿宋_GB2312" w:eastAsia="仿宋_GB2312" w:cs="仿宋_GB2312"/>
          <w:bCs/>
          <w:color w:val="FF0000"/>
          <w:sz w:val="32"/>
          <w:szCs w:val="32"/>
          <w:highlight w:val="none"/>
          <w:u w:val="single"/>
        </w:rPr>
        <w:t>分</w:t>
      </w:r>
      <w:r>
        <w:rPr>
          <w:rFonts w:hint="eastAsia" w:ascii="仿宋_GB2312" w:hAnsi="仿宋_GB2312" w:eastAsia="仿宋_GB2312" w:cs="仿宋_GB2312"/>
          <w:bCs/>
          <w:color w:val="FF0000"/>
        </w:rPr>
        <w:t>（北京时间）</w:t>
      </w:r>
    </w:p>
    <w:p>
      <w:pPr>
        <w:widowControl w:val="0"/>
        <w:wordWrap/>
        <w:adjustRightInd/>
        <w:snapToGrid/>
        <w:spacing w:before="0" w:after="0" w:line="560" w:lineRule="exact"/>
        <w:ind w:left="0" w:leftChars="0" w:right="0" w:firstLine="640"/>
        <w:textAlignment w:val="auto"/>
        <w:outlineLvl w:val="9"/>
        <w:rPr>
          <w:rFonts w:ascii="仿宋_GB2312" w:hAnsi="仿宋_GB2312" w:eastAsia="仿宋_GB2312" w:cs="仿宋_GB2312"/>
        </w:rPr>
      </w:pPr>
      <w:r>
        <w:rPr>
          <w:rFonts w:hint="eastAsia" w:ascii="仿宋_GB2312" w:hAnsi="仿宋_GB2312" w:eastAsia="仿宋_GB2312" w:cs="仿宋_GB2312"/>
        </w:rPr>
        <w:t>开标地点：</w:t>
      </w:r>
      <w:r>
        <w:rPr>
          <w:rFonts w:hint="eastAsia" w:ascii="仿宋_GB2312" w:hAnsi="仿宋_GB2312" w:eastAsia="仿宋_GB2312" w:cs="仿宋_GB2312"/>
          <w:sz w:val="32"/>
          <w:szCs w:val="32"/>
          <w:shd w:val="clear" w:color="auto" w:fill="FFFFFF"/>
          <w:lang w:val="en-US" w:eastAsia="zh-CN"/>
        </w:rPr>
        <w:t>乌鲁木齐高新区（新市区）北京南路591号自治区广播电视局高层南楼1203室</w:t>
      </w:r>
    </w:p>
    <w:p>
      <w:pPr>
        <w:ind w:left="0" w:leftChars="0" w:firstLine="0" w:firstLineChars="0"/>
        <w:rPr>
          <w:rFonts w:ascii="仿宋_GB2312" w:hAnsi="仿宋_GB2312" w:eastAsia="仿宋_GB2312" w:cs="仿宋_GB2312"/>
          <w:b/>
          <w:bCs/>
        </w:rPr>
      </w:pPr>
      <w:r>
        <w:rPr>
          <w:rFonts w:hint="eastAsia" w:ascii="仿宋_GB2312" w:hAnsi="仿宋_GB2312" w:eastAsia="仿宋_GB2312" w:cs="仿宋_GB2312"/>
          <w:b/>
          <w:bCs/>
          <w:lang w:val="en-US" w:eastAsia="zh-CN"/>
        </w:rPr>
        <w:t xml:space="preserve">   </w:t>
      </w:r>
      <w:r>
        <w:rPr>
          <w:rFonts w:hint="eastAsia" w:ascii="仿宋_GB2312" w:hAnsi="仿宋_GB2312" w:eastAsia="仿宋_GB2312" w:cs="仿宋_GB2312"/>
          <w:b/>
          <w:bCs/>
        </w:rPr>
        <w:t> 五.公告期限</w:t>
      </w:r>
    </w:p>
    <w:p>
      <w:pPr>
        <w:widowControl w:val="0"/>
        <w:wordWrap/>
        <w:adjustRightInd/>
        <w:snapToGrid/>
        <w:spacing w:before="0" w:after="0" w:line="560" w:lineRule="exact"/>
        <w:ind w:left="0" w:leftChars="0" w:right="0" w:firstLine="640"/>
        <w:textAlignment w:val="auto"/>
        <w:outlineLvl w:val="9"/>
        <w:rPr>
          <w:rFonts w:ascii="仿宋_GB2312" w:hAnsi="仿宋_GB2312" w:eastAsia="仿宋_GB2312" w:cs="仿宋_GB2312"/>
        </w:rPr>
      </w:pPr>
      <w:r>
        <w:rPr>
          <w:rFonts w:hint="eastAsia" w:ascii="仿宋_GB2312" w:hAnsi="仿宋_GB2312" w:eastAsia="仿宋_GB2312" w:cs="仿宋_GB2312"/>
        </w:rPr>
        <w:t>自本公告发布之日起</w:t>
      </w:r>
      <w:r>
        <w:rPr>
          <w:rFonts w:hint="eastAsia" w:ascii="仿宋_GB2312" w:hAnsi="仿宋_GB2312" w:eastAsia="仿宋_GB2312" w:cs="仿宋_GB2312"/>
          <w:lang w:val="en-US" w:eastAsia="zh-CN"/>
        </w:rPr>
        <w:t>5</w:t>
      </w:r>
      <w:r>
        <w:rPr>
          <w:rFonts w:hint="eastAsia" w:ascii="仿宋_GB2312" w:hAnsi="仿宋_GB2312" w:eastAsia="仿宋_GB2312" w:cs="仿宋_GB2312"/>
        </w:rPr>
        <w:t>个工作日</w:t>
      </w:r>
      <w:r>
        <w:rPr>
          <w:rFonts w:hint="eastAsia" w:ascii="仿宋_GB2312" w:hAnsi="仿宋_GB2312" w:eastAsia="仿宋_GB2312" w:cs="仿宋_GB2312"/>
          <w:lang w:eastAsia="zh-CN"/>
        </w:rPr>
        <w:t>，</w:t>
      </w:r>
      <w:r>
        <w:rPr>
          <w:rFonts w:hint="eastAsia" w:ascii="仿宋_GB2312" w:hAnsi="仿宋_GB2312" w:eastAsia="仿宋_GB2312" w:cs="仿宋_GB2312"/>
          <w:b w:val="0"/>
          <w:i w:val="0"/>
          <w:color w:val="000000"/>
          <w:sz w:val="32"/>
          <w:szCs w:val="32"/>
        </w:rPr>
        <w:t>发布于新疆政府采购网</w:t>
      </w:r>
      <w:r>
        <w:rPr>
          <w:rFonts w:hint="eastAsia" w:ascii="仿宋_GB2312" w:hAnsi="仿宋_GB2312" w:eastAsia="仿宋_GB2312" w:cs="仿宋_GB2312"/>
          <w:b w:val="0"/>
          <w:i w:val="0"/>
          <w:color w:val="000000"/>
          <w:sz w:val="32"/>
          <w:szCs w:val="32"/>
          <w:lang w:eastAsia="zh-CN"/>
        </w:rPr>
        <w:t>。</w:t>
      </w:r>
    </w:p>
    <w:p>
      <w:pPr>
        <w:tabs>
          <w:tab w:val="left" w:pos="955"/>
        </w:tabs>
        <w:ind w:firstLine="0" w:firstLineChars="0"/>
        <w:rPr>
          <w:rFonts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六.其他补充事宜</w:t>
      </w:r>
    </w:p>
    <w:p>
      <w:pPr>
        <w:widowControl w:val="0"/>
        <w:numPr>
          <w:numId w:val="0"/>
        </w:numPr>
        <w:wordWrap/>
        <w:adjustRightInd/>
        <w:snapToGrid/>
        <w:spacing w:line="560" w:lineRule="exact"/>
        <w:ind w:right="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rPr>
        <w:t>本项目领取招标文件时法定代表人需携带法定代表人身份证明书原件及身份证原件（委托代理人购买需携带法人代表授权委托书原件及本人身份证原件）、营业执照副本、“信用中国”（www.creditchina.gov.cn）和中国政府采购网（www.ccgp.gov.cn）网站上未被列入失信被执行人、重大税收违法案件当事人名单以及政府采购严重违法失信行为记录名单的网页打印件（网页打印件须自招标公告发布之日起至首次提交投标文件截止时间内从上述网站中打印）以上资料复印件加盖公章一份。以上证件及资料提供不齐全者，将不予发放招标文件。未向采购代理机构购买采购文件的潜在供应商均无资格参加投标响应。</w:t>
      </w:r>
    </w:p>
    <w:p>
      <w:pPr>
        <w:widowControl w:val="0"/>
        <w:wordWrap/>
        <w:adjustRightInd/>
        <w:snapToGrid/>
        <w:spacing w:line="560" w:lineRule="exact"/>
        <w:ind w:right="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注：领取公开招标文件</w:t>
      </w:r>
      <w:r>
        <w:rPr>
          <w:rFonts w:hint="eastAsia" w:ascii="仿宋_GB2312" w:hAnsi="仿宋_GB2312" w:eastAsia="仿宋_GB2312" w:cs="仿宋_GB2312"/>
          <w:b/>
          <w:bCs/>
          <w:sz w:val="32"/>
          <w:szCs w:val="32"/>
          <w:highlight w:val="none"/>
          <w:lang w:val="zh-CN" w:eastAsia="zh-CN"/>
        </w:rPr>
        <w:t>时需携带以上资料原件、留复印件并加盖公章。</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i w:val="0"/>
          <w:color w:val="000000"/>
          <w:sz w:val="32"/>
          <w:szCs w:val="32"/>
          <w:lang w:eastAsia="zh-CN"/>
        </w:rPr>
        <w:t>领取招标文件时的资料查验不代表资格审查的最终通过或合格，投标人最终资格的确认以开标现场查验结果为准。）</w:t>
      </w:r>
    </w:p>
    <w:p>
      <w:pPr>
        <w:ind w:firstLine="643"/>
        <w:rPr>
          <w:rFonts w:ascii="仿宋_GB2312" w:hAnsi="仿宋_GB2312" w:eastAsia="仿宋_GB2312" w:cs="仿宋_GB2312"/>
        </w:rPr>
      </w:pPr>
      <w:r>
        <w:rPr>
          <w:rFonts w:hint="eastAsia" w:ascii="仿宋_GB2312" w:hAnsi="仿宋_GB2312" w:eastAsia="仿宋_GB2312" w:cs="仿宋_GB2312"/>
          <w:sz w:val="28"/>
          <w:szCs w:val="28"/>
        </w:rPr>
        <w:t xml:space="preserve"> </w:t>
      </w:r>
    </w:p>
    <w:p>
      <w:pPr>
        <w:ind w:firstLine="640"/>
        <w:rPr>
          <w:rFonts w:ascii="仿宋_GB2312" w:hAnsi="仿宋_GB2312" w:eastAsia="仿宋_GB2312" w:cs="仿宋_GB2312"/>
        </w:rPr>
      </w:pPr>
      <w:r>
        <w:rPr>
          <w:rFonts w:hint="eastAsia" w:ascii="仿宋_GB2312" w:hAnsi="仿宋_GB2312" w:eastAsia="仿宋_GB2312" w:cs="仿宋_GB2312"/>
        </w:rPr>
        <w:t>2.投标保证金：投标人在</w:t>
      </w:r>
      <w:r>
        <w:rPr>
          <w:rFonts w:hint="eastAsia" w:ascii="仿宋_GB2312" w:hAnsi="仿宋_GB2312" w:eastAsia="仿宋_GB2312" w:cs="仿宋_GB2312"/>
          <w:bCs/>
          <w:kern w:val="0"/>
        </w:rPr>
        <w:t>投标截止之日</w:t>
      </w:r>
      <w:r>
        <w:rPr>
          <w:rFonts w:hint="eastAsia" w:ascii="仿宋_GB2312" w:hAnsi="仿宋_GB2312" w:eastAsia="仿宋_GB2312" w:cs="仿宋_GB2312"/>
        </w:rPr>
        <w:t>前，应提交投标保证金（电汇或网银转账）,投标保证金须从投标人基本账户汇出。</w:t>
      </w:r>
    </w:p>
    <w:p>
      <w:pPr>
        <w:ind w:firstLine="640"/>
        <w:rPr>
          <w:rFonts w:ascii="仿宋_GB2312" w:hAnsi="仿宋_GB2312" w:eastAsia="仿宋_GB2312" w:cs="仿宋_GB2312"/>
          <w:color w:val="000000"/>
        </w:rPr>
      </w:pPr>
      <w:r>
        <w:rPr>
          <w:rFonts w:hint="eastAsia" w:ascii="仿宋_GB2312" w:hAnsi="仿宋_GB2312" w:eastAsia="仿宋_GB2312" w:cs="仿宋_GB2312"/>
          <w:color w:val="000000"/>
        </w:rPr>
        <w:t>保证金金额：</w:t>
      </w:r>
      <w:r>
        <w:rPr>
          <w:rFonts w:hint="eastAsia" w:ascii="仿宋_GB2312" w:hAnsi="仿宋_GB2312" w:eastAsia="仿宋_GB2312" w:cs="仿宋_GB2312"/>
          <w:color w:val="FF0000"/>
          <w:sz w:val="32"/>
          <w:szCs w:val="32"/>
          <w:highlight w:val="none"/>
          <w:lang w:val="en-US" w:eastAsia="zh-CN"/>
        </w:rPr>
        <w:t>玖万陆仟元整（¥96000.00）</w:t>
      </w:r>
    </w:p>
    <w:p>
      <w:pPr>
        <w:ind w:firstLine="640"/>
        <w:rPr>
          <w:rFonts w:ascii="仿宋_GB2312" w:hAnsi="仿宋_GB2312" w:eastAsia="仿宋_GB2312" w:cs="仿宋_GB2312"/>
        </w:rPr>
      </w:pPr>
      <w:r>
        <w:rPr>
          <w:rFonts w:hint="eastAsia" w:ascii="仿宋_GB2312" w:hAnsi="仿宋_GB2312" w:eastAsia="仿宋_GB2312" w:cs="仿宋_GB2312"/>
        </w:rPr>
        <w:t>账户名称：</w:t>
      </w:r>
      <w:r>
        <w:rPr>
          <w:rFonts w:hint="eastAsia" w:ascii="仿宋_GB2312" w:hAnsi="仿宋_GB2312" w:eastAsia="仿宋_GB2312" w:cs="仿宋_GB2312"/>
          <w:bCs/>
          <w:kern w:val="0"/>
          <w:sz w:val="32"/>
          <w:szCs w:val="32"/>
        </w:rPr>
        <w:t>新疆</w:t>
      </w:r>
      <w:r>
        <w:rPr>
          <w:rFonts w:hint="eastAsia" w:ascii="仿宋_GB2312" w:hAnsi="仿宋_GB2312" w:eastAsia="仿宋_GB2312" w:cs="仿宋_GB2312"/>
          <w:bCs/>
          <w:kern w:val="0"/>
          <w:sz w:val="32"/>
          <w:szCs w:val="32"/>
          <w:lang w:val="en-US" w:eastAsia="zh-CN"/>
        </w:rPr>
        <w:t>崇业招标代理有限公司</w:t>
      </w:r>
    </w:p>
    <w:p>
      <w:pPr>
        <w:widowControl w:val="0"/>
        <w:wordWrap/>
        <w:adjustRightInd/>
        <w:snapToGrid/>
        <w:spacing w:line="560" w:lineRule="exact"/>
        <w:ind w:right="0" w:firstLine="640" w:firstLineChars="200"/>
        <w:textAlignment w:val="auto"/>
        <w:rPr>
          <w:rFonts w:ascii="仿宋_GB2312" w:hAnsi="仿宋_GB2312" w:eastAsia="仿宋_GB2312" w:cs="仿宋_GB2312"/>
        </w:rPr>
      </w:pPr>
      <w:r>
        <w:rPr>
          <w:rFonts w:hint="eastAsia" w:ascii="仿宋_GB2312" w:hAnsi="仿宋_GB2312" w:eastAsia="仿宋_GB2312" w:cs="仿宋_GB2312"/>
        </w:rPr>
        <w:t>帐    号：</w:t>
      </w:r>
      <w:r>
        <w:rPr>
          <w:rFonts w:hint="eastAsia" w:ascii="仿宋_GB2312" w:hAnsi="仿宋_GB2312" w:eastAsia="仿宋_GB2312" w:cs="仿宋_GB2312"/>
          <w:bCs/>
          <w:sz w:val="32"/>
          <w:szCs w:val="32"/>
          <w:lang w:val="en-US" w:eastAsia="zh-CN"/>
        </w:rPr>
        <w:t>65050188863700001562</w:t>
      </w:r>
    </w:p>
    <w:p>
      <w:pPr>
        <w:widowControl w:val="0"/>
        <w:wordWrap/>
        <w:adjustRightInd/>
        <w:snapToGrid/>
        <w:spacing w:line="560" w:lineRule="exact"/>
        <w:ind w:right="0" w:firstLine="640" w:firstLineChars="200"/>
        <w:textAlignment w:val="auto"/>
        <w:rPr>
          <w:rFonts w:ascii="仿宋_GB2312" w:hAnsi="仿宋_GB2312" w:eastAsia="仿宋_GB2312" w:cs="仿宋_GB2312"/>
        </w:rPr>
      </w:pPr>
      <w:r>
        <w:rPr>
          <w:rFonts w:hint="eastAsia" w:ascii="仿宋_GB2312" w:hAnsi="仿宋_GB2312" w:eastAsia="仿宋_GB2312" w:cs="仿宋_GB2312"/>
        </w:rPr>
        <w:t>开户行名称：</w:t>
      </w:r>
      <w:r>
        <w:rPr>
          <w:rFonts w:hint="eastAsia" w:ascii="仿宋_GB2312" w:hAnsi="仿宋_GB2312" w:eastAsia="仿宋_GB2312" w:cs="仿宋_GB2312"/>
          <w:bCs/>
          <w:kern w:val="0"/>
          <w:sz w:val="32"/>
          <w:szCs w:val="32"/>
          <w:lang w:val="en-US" w:eastAsia="zh-CN"/>
        </w:rPr>
        <w:t>中国建设银行股份有限公司乌鲁木齐高新区支行</w:t>
      </w:r>
    </w:p>
    <w:p>
      <w:pPr>
        <w:ind w:firstLine="640"/>
        <w:rPr>
          <w:rFonts w:ascii="仿宋_GB2312" w:hAnsi="仿宋_GB2312" w:eastAsia="仿宋_GB2312" w:cs="仿宋_GB2312"/>
          <w:bCs/>
          <w:kern w:val="0"/>
        </w:rPr>
      </w:pPr>
      <w:r>
        <w:rPr>
          <w:rFonts w:hint="eastAsia" w:ascii="仿宋_GB2312" w:hAnsi="仿宋_GB2312" w:eastAsia="仿宋_GB2312" w:cs="仿宋_GB2312"/>
          <w:bCs/>
          <w:kern w:val="0"/>
        </w:rPr>
        <w:t>开户行行号：</w:t>
      </w:r>
      <w:r>
        <w:rPr>
          <w:rFonts w:hint="eastAsia" w:ascii="仿宋_GB2312" w:hAnsi="仿宋_GB2312" w:eastAsia="仿宋_GB2312" w:cs="仿宋_GB2312"/>
          <w:bCs/>
          <w:kern w:val="0"/>
          <w:sz w:val="32"/>
          <w:szCs w:val="32"/>
          <w:lang w:val="en-US" w:eastAsia="zh-CN"/>
        </w:rPr>
        <w:t>105881000833</w:t>
      </w:r>
    </w:p>
    <w:p>
      <w:pPr>
        <w:ind w:firstLine="643"/>
        <w:rPr>
          <w:rFonts w:ascii="仿宋_GB2312" w:hAnsi="仿宋_GB2312" w:eastAsia="仿宋_GB2312" w:cs="仿宋_GB2312"/>
          <w:b/>
          <w:bCs/>
        </w:rPr>
      </w:pPr>
      <w:r>
        <w:rPr>
          <w:rFonts w:hint="eastAsia" w:ascii="仿宋_GB2312" w:hAnsi="仿宋_GB2312" w:eastAsia="仿宋_GB2312" w:cs="仿宋_GB2312"/>
          <w:b/>
          <w:bCs/>
        </w:rPr>
        <w:t>注：投标保证金不得以现金的方式和其他的形式缴纳，不得以分公司、办事处或其他机构名义缴纳，投标人在缴纳保证金时，需在进账凭证上明确投标项目。</w:t>
      </w:r>
    </w:p>
    <w:p>
      <w:pPr>
        <w:ind w:firstLine="640"/>
        <w:rPr>
          <w:rFonts w:ascii="仿宋_GB2312" w:hAnsi="仿宋_GB2312" w:eastAsia="仿宋_GB2312" w:cs="仿宋_GB2312"/>
        </w:rPr>
      </w:pPr>
    </w:p>
    <w:p>
      <w:pPr>
        <w:ind w:firstLine="643"/>
        <w:rPr>
          <w:rFonts w:ascii="仿宋_GB2312" w:hAnsi="仿宋_GB2312" w:eastAsia="仿宋_GB2312" w:cs="仿宋_GB2312"/>
          <w:b/>
          <w:bCs/>
        </w:rPr>
      </w:pPr>
      <w:r>
        <w:rPr>
          <w:rFonts w:hint="eastAsia" w:ascii="仿宋_GB2312" w:hAnsi="仿宋_GB2312" w:eastAsia="仿宋_GB2312" w:cs="仿宋_GB2312"/>
          <w:b/>
          <w:bCs/>
        </w:rPr>
        <w:t>七.对本次招标提出询问，请按以下方式联系。</w:t>
      </w:r>
    </w:p>
    <w:p>
      <w:pPr>
        <w:ind w:firstLine="640"/>
        <w:rPr>
          <w:rFonts w:ascii="仿宋_GB2312" w:hAnsi="仿宋_GB2312" w:eastAsia="仿宋_GB2312" w:cs="仿宋_GB2312"/>
        </w:rPr>
      </w:pPr>
      <w:r>
        <w:rPr>
          <w:rFonts w:hint="eastAsia" w:ascii="仿宋_GB2312" w:hAnsi="仿宋_GB2312" w:eastAsia="仿宋_GB2312" w:cs="仿宋_GB2312"/>
        </w:rPr>
        <w:t>1.采购人信息</w:t>
      </w:r>
    </w:p>
    <w:p>
      <w:pPr>
        <w:ind w:firstLine="640"/>
        <w:rPr>
          <w:rFonts w:ascii="仿宋_GB2312" w:hAnsi="仿宋_GB2312" w:eastAsia="仿宋_GB2312" w:cs="仿宋_GB2312"/>
        </w:rPr>
      </w:pPr>
      <w:r>
        <w:rPr>
          <w:rFonts w:hint="eastAsia" w:ascii="仿宋_GB2312" w:hAnsi="仿宋_GB2312" w:eastAsia="仿宋_GB2312" w:cs="仿宋_GB2312"/>
        </w:rPr>
        <w:t>名称：新疆维吾尔自治区机关事务管理局</w:t>
      </w:r>
    </w:p>
    <w:p>
      <w:pPr>
        <w:ind w:firstLine="640"/>
        <w:rPr>
          <w:rFonts w:ascii="仿宋_GB2312" w:hAnsi="仿宋_GB2312" w:eastAsia="仿宋_GB2312" w:cs="仿宋_GB2312"/>
        </w:rPr>
      </w:pPr>
      <w:r>
        <w:rPr>
          <w:rFonts w:hint="eastAsia" w:ascii="仿宋_GB2312" w:hAnsi="仿宋_GB2312" w:eastAsia="仿宋_GB2312" w:cs="仿宋_GB2312"/>
        </w:rPr>
        <w:t>地址：新疆乌鲁木齐市天山区和平北路12号</w:t>
      </w:r>
    </w:p>
    <w:p>
      <w:pPr>
        <w:ind w:firstLine="640"/>
        <w:rPr>
          <w:rFonts w:ascii="仿宋_GB2312" w:hAnsi="仿宋_GB2312" w:eastAsia="仿宋_GB2312" w:cs="仿宋_GB2312"/>
        </w:rPr>
      </w:pPr>
      <w:r>
        <w:rPr>
          <w:rFonts w:hint="eastAsia" w:ascii="仿宋_GB2312" w:hAnsi="仿宋_GB2312" w:eastAsia="仿宋_GB2312" w:cs="仿宋_GB2312"/>
        </w:rPr>
        <w:t>项目联系人：胡文诏</w:t>
      </w:r>
    </w:p>
    <w:p>
      <w:pPr>
        <w:ind w:firstLine="640"/>
        <w:rPr>
          <w:rFonts w:ascii="仿宋_GB2312" w:hAnsi="仿宋_GB2312" w:eastAsia="仿宋_GB2312" w:cs="仿宋_GB2312"/>
        </w:rPr>
      </w:pPr>
      <w:r>
        <w:rPr>
          <w:rFonts w:hint="eastAsia" w:ascii="仿宋_GB2312" w:hAnsi="仿宋_GB2312" w:eastAsia="仿宋_GB2312" w:cs="仿宋_GB2312"/>
        </w:rPr>
        <w:t>项目联系方式：0991-2391001</w:t>
      </w:r>
    </w:p>
    <w:p>
      <w:pPr>
        <w:ind w:firstLine="640"/>
        <w:rPr>
          <w:rFonts w:ascii="仿宋_GB2312" w:hAnsi="仿宋_GB2312" w:eastAsia="仿宋_GB2312" w:cs="仿宋_GB2312"/>
        </w:rPr>
      </w:pPr>
      <w:r>
        <w:rPr>
          <w:rFonts w:hint="eastAsia" w:ascii="仿宋_GB2312" w:hAnsi="仿宋_GB2312" w:eastAsia="仿宋_GB2312" w:cs="仿宋_GB2312"/>
        </w:rPr>
        <w:t>2.采购代理机构信息</w:t>
      </w:r>
    </w:p>
    <w:p>
      <w:pPr>
        <w:ind w:firstLine="640"/>
        <w:rPr>
          <w:rFonts w:ascii="仿宋_GB2312" w:hAnsi="仿宋_GB2312" w:eastAsia="仿宋_GB2312" w:cs="仿宋_GB2312"/>
        </w:rPr>
      </w:pPr>
      <w:r>
        <w:rPr>
          <w:rFonts w:hint="eastAsia" w:ascii="仿宋_GB2312" w:hAnsi="仿宋_GB2312" w:eastAsia="仿宋_GB2312" w:cs="仿宋_GB2312"/>
        </w:rPr>
        <w:t>名称：</w:t>
      </w:r>
      <w:r>
        <w:rPr>
          <w:rFonts w:hint="eastAsia" w:ascii="仿宋_GB2312" w:hAnsi="仿宋_GB2312" w:eastAsia="仿宋_GB2312" w:cs="仿宋_GB2312"/>
          <w:bCs/>
          <w:color w:val="auto"/>
          <w:kern w:val="0"/>
          <w:sz w:val="32"/>
          <w:szCs w:val="32"/>
          <w:lang w:val="en-US" w:eastAsia="zh-CN"/>
        </w:rPr>
        <w:t>新疆崇业招标代理有限公司</w:t>
      </w:r>
    </w:p>
    <w:p>
      <w:pPr>
        <w:widowControl w:val="0"/>
        <w:wordWrap/>
        <w:adjustRightInd/>
        <w:snapToGrid/>
        <w:spacing w:before="0" w:after="0" w:line="560" w:lineRule="exact"/>
        <w:ind w:left="0" w:leftChars="0" w:right="0" w:firstLine="640"/>
        <w:textAlignment w:val="auto"/>
        <w:outlineLvl w:val="9"/>
        <w:rPr>
          <w:rFonts w:ascii="仿宋_GB2312" w:hAnsi="仿宋_GB2312" w:eastAsia="仿宋_GB2312" w:cs="仿宋_GB2312"/>
        </w:rPr>
      </w:pPr>
      <w:r>
        <w:rPr>
          <w:rFonts w:hint="eastAsia" w:ascii="仿宋_GB2312" w:hAnsi="仿宋_GB2312" w:eastAsia="仿宋_GB2312" w:cs="仿宋_GB2312"/>
        </w:rPr>
        <w:t>地址：</w:t>
      </w:r>
      <w:r>
        <w:rPr>
          <w:rFonts w:hint="eastAsia" w:ascii="仿宋_GB2312" w:hAnsi="仿宋_GB2312" w:eastAsia="仿宋_GB2312" w:cs="仿宋_GB2312"/>
          <w:sz w:val="32"/>
          <w:szCs w:val="32"/>
          <w:shd w:val="clear" w:color="auto" w:fill="FFFFFF"/>
          <w:lang w:val="en-US" w:eastAsia="zh-CN"/>
        </w:rPr>
        <w:t>乌鲁木齐高新区（新市区）北京南路591号自治区广播电视局高层南楼1203室</w:t>
      </w:r>
    </w:p>
    <w:p>
      <w:pPr>
        <w:ind w:firstLine="640"/>
        <w:rPr>
          <w:rFonts w:ascii="仿宋_GB2312" w:hAnsi="仿宋_GB2312" w:eastAsia="仿宋_GB2312" w:cs="仿宋_GB2312"/>
        </w:rPr>
      </w:pPr>
      <w:r>
        <w:rPr>
          <w:rFonts w:hint="eastAsia" w:ascii="仿宋_GB2312" w:hAnsi="仿宋_GB2312" w:eastAsia="仿宋_GB2312" w:cs="仿宋_GB2312"/>
        </w:rPr>
        <w:t>项目联系人：</w:t>
      </w:r>
      <w:r>
        <w:rPr>
          <w:rFonts w:hint="eastAsia" w:ascii="仿宋_GB2312" w:hAnsi="仿宋_GB2312" w:eastAsia="仿宋_GB2312" w:cs="仿宋_GB2312"/>
          <w:sz w:val="32"/>
          <w:szCs w:val="32"/>
          <w:lang w:val="en-US" w:eastAsia="zh-CN"/>
        </w:rPr>
        <w:t>王静</w:t>
      </w:r>
    </w:p>
    <w:p>
      <w:pPr>
        <w:ind w:firstLine="640"/>
        <w:rPr>
          <w:rFonts w:ascii="仿宋_GB2312" w:hAnsi="仿宋_GB2312" w:eastAsia="仿宋_GB2312" w:cs="仿宋_GB2312"/>
        </w:rPr>
      </w:pPr>
      <w:r>
        <w:rPr>
          <w:rFonts w:hint="eastAsia" w:ascii="仿宋_GB2312" w:hAnsi="仿宋_GB2312" w:eastAsia="仿宋_GB2312" w:cs="仿宋_GB2312"/>
        </w:rPr>
        <w:t>项目联系方式：</w:t>
      </w:r>
      <w:r>
        <w:rPr>
          <w:rFonts w:hint="eastAsia" w:ascii="仿宋_GB2312" w:hAnsi="仿宋_GB2312" w:eastAsia="仿宋_GB2312" w:cs="仿宋_GB2312"/>
          <w:sz w:val="32"/>
          <w:szCs w:val="32"/>
        </w:rPr>
        <w:t>0991-</w:t>
      </w:r>
      <w:r>
        <w:rPr>
          <w:rFonts w:hint="eastAsia" w:ascii="仿宋_GB2312" w:hAnsi="仿宋_GB2312" w:eastAsia="仿宋_GB2312" w:cs="仿宋_GB2312"/>
          <w:sz w:val="32"/>
          <w:szCs w:val="32"/>
          <w:lang w:val="en-US" w:eastAsia="zh-CN"/>
        </w:rPr>
        <w:t>4639656   13209949869</w:t>
      </w:r>
    </w:p>
    <w:p>
      <w:pPr>
        <w:ind w:firstLine="640"/>
      </w:pPr>
      <w:r>
        <w:rPr>
          <w:rFonts w:hint="eastAsia" w:ascii="仿宋_GB2312" w:hAnsi="仿宋_GB2312" w:eastAsia="仿宋_GB2312" w:cs="仿宋_GB2312"/>
        </w:rPr>
        <w:br w:type="page"/>
      </w:r>
    </w:p>
    <w:p>
      <w:pPr>
        <w:pStyle w:val="23"/>
        <w:spacing w:before="0" w:after="0"/>
        <w:rPr>
          <w:rFonts w:ascii="黑体" w:hAnsi="黑体" w:eastAsia="黑体" w:cs="黑体"/>
          <w:b w:val="0"/>
          <w:bCs w:val="0"/>
        </w:rPr>
      </w:pPr>
      <w:bookmarkStart w:id="5" w:name="_Toc531706624"/>
      <w:bookmarkStart w:id="6" w:name="_Toc32263"/>
      <w:bookmarkStart w:id="7" w:name="_Toc499725005"/>
      <w:bookmarkStart w:id="8" w:name="_Toc531706625"/>
      <w:r>
        <w:rPr>
          <w:rFonts w:hint="eastAsia" w:ascii="黑体" w:hAnsi="黑体" w:eastAsia="黑体" w:cs="黑体"/>
          <w:b w:val="0"/>
          <w:bCs w:val="0"/>
        </w:rPr>
        <w:t>第二章 投标须知</w:t>
      </w:r>
      <w:bookmarkEnd w:id="5"/>
      <w:bookmarkEnd w:id="6"/>
    </w:p>
    <w:p>
      <w:pPr>
        <w:tabs>
          <w:tab w:val="left" w:pos="420"/>
        </w:tabs>
        <w:ind w:firstLine="0" w:firstLineChars="0"/>
        <w:jc w:val="center"/>
        <w:rPr>
          <w:rFonts w:eastAsia="宋体" w:cs="宋体"/>
          <w:b/>
        </w:rPr>
      </w:pPr>
      <w:r>
        <w:rPr>
          <w:rFonts w:hint="eastAsia" w:eastAsia="宋体" w:cs="宋体"/>
          <w:b/>
        </w:rPr>
        <w:t>投标须知前附表</w:t>
      </w:r>
      <w:bookmarkEnd w:id="7"/>
      <w:bookmarkEnd w:id="8"/>
    </w:p>
    <w:tbl>
      <w:tblPr>
        <w:tblW w:w="894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
      <w:tblGrid>
        <w:gridCol w:w="1153"/>
        <w:gridCol w:w="63"/>
        <w:gridCol w:w="1695"/>
        <w:gridCol w:w="6030"/>
      </w:tblGrid>
      <w:tr>
        <w:trPr>
          <w:trHeight w:val="567" w:hRule="atLeast"/>
          <w:tblHeader/>
        </w:trPr>
        <w:tc>
          <w:tcPr>
            <w:tcW w:w="1153"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条款号</w:t>
            </w: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条款名称</w:t>
            </w:r>
          </w:p>
        </w:tc>
        <w:tc>
          <w:tcPr>
            <w:tcW w:w="6030" w:type="dxa"/>
            <w:tcBorders>
              <w:lef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编列内容</w:t>
            </w:r>
          </w:p>
        </w:tc>
      </w:tr>
      <w:tr>
        <w:trPr>
          <w:trHeight w:val="567" w:hRule="atLeast"/>
        </w:trPr>
        <w:tc>
          <w:tcPr>
            <w:tcW w:w="8941" w:type="dxa"/>
            <w:gridSpan w:val="4"/>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一</w:t>
            </w:r>
            <w:r>
              <w:rPr>
                <w:rFonts w:hint="eastAsia" w:ascii="仿宋_GB2312" w:hAnsi="仿宋_GB2312" w:eastAsia="仿宋_GB2312" w:cs="仿宋_GB2312"/>
                <w:b/>
                <w:kern w:val="0"/>
                <w:szCs w:val="28"/>
              </w:rPr>
              <w:t xml:space="preserve">. </w:t>
            </w:r>
            <w:r>
              <w:rPr>
                <w:rFonts w:hint="eastAsia" w:ascii="仿宋_GB2312" w:hAnsi="仿宋_GB2312" w:eastAsia="仿宋_GB2312" w:cs="仿宋_GB2312"/>
                <w:szCs w:val="28"/>
              </w:rPr>
              <w:t>总则</w:t>
            </w:r>
          </w:p>
        </w:tc>
      </w:tr>
      <w:tr>
        <w:trPr>
          <w:trHeight w:val="567" w:hRule="atLeast"/>
        </w:trPr>
        <w:tc>
          <w:tcPr>
            <w:tcW w:w="1153"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1.1</w:t>
            </w: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项目名称</w:t>
            </w:r>
          </w:p>
        </w:tc>
        <w:tc>
          <w:tcPr>
            <w:tcW w:w="6030" w:type="dxa"/>
            <w:tcBorders>
              <w:lef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新疆维吾尔自治区机关事务管理局信息化平台建设项目</w:t>
            </w:r>
          </w:p>
        </w:tc>
      </w:tr>
      <w:tr>
        <w:trPr>
          <w:trHeight w:val="3506" w:hRule="atLeast"/>
        </w:trPr>
        <w:tc>
          <w:tcPr>
            <w:tcW w:w="1153"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1.2</w:t>
            </w: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招标范围</w:t>
            </w:r>
          </w:p>
        </w:tc>
        <w:tc>
          <w:tcPr>
            <w:tcW w:w="6030" w:type="dxa"/>
            <w:tcBorders>
              <w:left w:val="single" w:color="auto" w:sz="4" w:space="0"/>
            </w:tcBorders>
            <w:vAlign w:val="center"/>
          </w:tcPr>
          <w:p>
            <w:pPr>
              <w:snapToGrid w:val="0"/>
              <w:spacing w:line="500" w:lineRule="exact"/>
              <w:ind w:firstLine="56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新疆维吾尔自治区机关事务管理局信息化平台建设项目以实现机关事务集中统一管理为基础，以标准化和信息化为支撑，围绕“一体三化”新发展理念组织项目建设，加快推进“互联网+机关事务”电子政务建设，为管理服务对象提供便捷、舒适、安全、有效的服务体验。集成建设机关事务信息化平台，打破数据壁垒，实现机关事务数据业务的互联互通，统筹建设机关事务信息化平台数据中台，通过数据清洗、数据治理和数据标准化建设，实现机关事务数据汇集、数据互通、数据共享、数据展示和大数据分析。逐步建设机关事务信息化平台业务中台，实现统一系统管理、统一身份认证、统一接口服务、统一信息发布、统一电子签章、统一地图服务（GIS平台服务）、统一数据展示和统一日志管理。配套建设机关事务信息化平台技术中台，实现数据中台和业务中台数据交互调用，完成机关事务信息化平台与自治区政务一体化平台等行业系统平台的数据交互。新建自治区行政事业性单位国有资产管理子系统，实现国有资产的全生命周期管理，提高国有资产管理效能，升级改造自治区党政机关公务用车管理子系统、自治区党政机关房地产管理子系统和自治区机关事务管理局协同办公子系统，拓展优化部分业务功能，同步完成3个升级改造业务子系统的内网数据迁移。配套建立机关事务信息化用户层级标准、数据标准和云资源管理使用规范等业务管理标准规范。</w:t>
            </w:r>
          </w:p>
        </w:tc>
      </w:tr>
      <w:tr>
        <w:trPr>
          <w:trHeight w:val="567" w:hRule="atLeast"/>
        </w:trPr>
        <w:tc>
          <w:tcPr>
            <w:tcW w:w="1153"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1.3</w:t>
            </w: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项目地点</w:t>
            </w:r>
          </w:p>
        </w:tc>
        <w:tc>
          <w:tcPr>
            <w:tcW w:w="6030" w:type="dxa"/>
            <w:tcBorders>
              <w:lef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乌鲁木齐</w:t>
            </w:r>
          </w:p>
        </w:tc>
      </w:tr>
      <w:tr>
        <w:trPr>
          <w:trHeight w:val="567" w:hRule="atLeast"/>
        </w:trPr>
        <w:tc>
          <w:tcPr>
            <w:tcW w:w="1153"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1.4</w:t>
            </w: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招标方式</w:t>
            </w:r>
          </w:p>
        </w:tc>
        <w:tc>
          <w:tcPr>
            <w:tcW w:w="6030" w:type="dxa"/>
            <w:tcBorders>
              <w:lef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公开招标</w:t>
            </w:r>
          </w:p>
        </w:tc>
      </w:tr>
      <w:tr>
        <w:trPr>
          <w:trHeight w:val="567" w:hRule="atLeast"/>
        </w:trPr>
        <w:tc>
          <w:tcPr>
            <w:tcW w:w="1153"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1.5</w:t>
            </w: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交货期</w:t>
            </w:r>
          </w:p>
        </w:tc>
        <w:tc>
          <w:tcPr>
            <w:tcW w:w="6030" w:type="dxa"/>
            <w:tcBorders>
              <w:lef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color w:val="000000"/>
                <w:szCs w:val="28"/>
              </w:rPr>
              <w:t>202</w:t>
            </w:r>
            <w:r>
              <w:rPr>
                <w:rFonts w:hint="eastAsia" w:ascii="仿宋_GB2312" w:hAnsi="仿宋_GB2312" w:eastAsia="仿宋_GB2312" w:cs="仿宋_GB2312"/>
                <w:color w:val="000000"/>
                <w:szCs w:val="28"/>
                <w:lang w:val="en-US" w:eastAsia="zh-CN"/>
              </w:rPr>
              <w:t>2</w:t>
            </w:r>
            <w:r>
              <w:rPr>
                <w:rFonts w:hint="eastAsia" w:ascii="仿宋_GB2312" w:hAnsi="仿宋_GB2312" w:eastAsia="仿宋_GB2312" w:cs="仿宋_GB2312"/>
                <w:color w:val="000000"/>
                <w:szCs w:val="28"/>
              </w:rPr>
              <w:t>年8月31日</w:t>
            </w:r>
          </w:p>
        </w:tc>
      </w:tr>
      <w:tr>
        <w:trPr>
          <w:trHeight w:val="567" w:hRule="atLeast"/>
        </w:trPr>
        <w:tc>
          <w:tcPr>
            <w:tcW w:w="1153"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1.6</w:t>
            </w: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质保期</w:t>
            </w:r>
          </w:p>
        </w:tc>
        <w:tc>
          <w:tcPr>
            <w:tcW w:w="6030" w:type="dxa"/>
            <w:tcBorders>
              <w:left w:val="single" w:color="auto" w:sz="4" w:space="0"/>
            </w:tcBorders>
            <w:vAlign w:val="center"/>
          </w:tcPr>
          <w:p>
            <w:pPr>
              <w:pStyle w:val="35"/>
              <w:spacing w:line="440" w:lineRule="exact"/>
              <w:rPr>
                <w:rFonts w:hint="eastAsia" w:ascii="仿宋_GB2312" w:hAnsi="仿宋_GB2312" w:eastAsia="仿宋_GB2312" w:cs="仿宋_GB2312"/>
                <w:szCs w:val="28"/>
                <w:lang w:val="en-US" w:eastAsia="zh-CN"/>
              </w:rPr>
            </w:pPr>
            <w:r>
              <w:rPr>
                <w:rFonts w:hint="eastAsia" w:ascii="仿宋_GB2312" w:hAnsi="仿宋_GB2312" w:eastAsia="仿宋_GB2312" w:cs="仿宋_GB2312"/>
                <w:szCs w:val="28"/>
                <w:lang w:val="en-US" w:eastAsia="zh-CN"/>
              </w:rPr>
              <w:t>365日历日</w:t>
            </w:r>
          </w:p>
        </w:tc>
      </w:tr>
      <w:tr>
        <w:trPr>
          <w:trHeight w:val="567" w:hRule="atLeast"/>
        </w:trPr>
        <w:tc>
          <w:tcPr>
            <w:tcW w:w="1153"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2.1</w:t>
            </w: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采购人</w:t>
            </w:r>
          </w:p>
        </w:tc>
        <w:tc>
          <w:tcPr>
            <w:tcW w:w="6030" w:type="dxa"/>
            <w:tcBorders>
              <w:lef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采购人名称：新疆维吾尔自治区机关事务管理局</w:t>
            </w:r>
          </w:p>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联系人：胡文诏</w:t>
            </w:r>
          </w:p>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联系电话：0991-2391001</w:t>
            </w:r>
          </w:p>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地址：新疆乌鲁木齐市天山区和平北路12号</w:t>
            </w:r>
          </w:p>
        </w:tc>
      </w:tr>
      <w:tr>
        <w:trPr>
          <w:trHeight w:val="567" w:hRule="atLeast"/>
        </w:trPr>
        <w:tc>
          <w:tcPr>
            <w:tcW w:w="1153"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2.2</w:t>
            </w: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采购代理机构</w:t>
            </w:r>
          </w:p>
        </w:tc>
        <w:tc>
          <w:tcPr>
            <w:tcW w:w="6030" w:type="dxa"/>
            <w:tcBorders>
              <w:left w:val="single" w:color="auto" w:sz="4" w:space="0"/>
            </w:tcBorders>
            <w:vAlign w:val="center"/>
          </w:tcPr>
          <w:p>
            <w:pPr>
              <w:spacing w:line="440" w:lineRule="exact"/>
              <w:ind w:firstLine="0" w:firstLineChars="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名称：</w:t>
            </w:r>
            <w:r>
              <w:rPr>
                <w:rFonts w:hint="eastAsia" w:ascii="仿宋_GB2312" w:hAnsi="仿宋_GB2312" w:eastAsia="仿宋_GB2312" w:cs="仿宋_GB2312"/>
                <w:sz w:val="28"/>
                <w:szCs w:val="28"/>
                <w:shd w:val="clear" w:color="auto" w:fill="FFFFFF"/>
              </w:rPr>
              <w:t>新疆</w:t>
            </w:r>
            <w:r>
              <w:rPr>
                <w:rFonts w:hint="eastAsia" w:ascii="仿宋_GB2312" w:hAnsi="仿宋_GB2312" w:eastAsia="仿宋_GB2312" w:cs="仿宋_GB2312"/>
                <w:sz w:val="28"/>
                <w:szCs w:val="28"/>
                <w:shd w:val="clear" w:color="auto" w:fill="FFFFFF"/>
                <w:lang w:val="en-US" w:eastAsia="zh-CN"/>
              </w:rPr>
              <w:t>崇业招标代理</w:t>
            </w:r>
            <w:r>
              <w:rPr>
                <w:rFonts w:hint="eastAsia" w:ascii="仿宋_GB2312" w:hAnsi="仿宋_GB2312" w:eastAsia="仿宋_GB2312" w:cs="仿宋_GB2312"/>
                <w:sz w:val="28"/>
                <w:szCs w:val="28"/>
                <w:shd w:val="clear" w:color="auto" w:fill="FFFFFF"/>
              </w:rPr>
              <w:t>有限公司</w:t>
            </w:r>
          </w:p>
          <w:p>
            <w:pPr>
              <w:widowControl w:val="0"/>
              <w:wordWrap/>
              <w:spacing w:line="440" w:lineRule="exact"/>
              <w:ind w:left="0" w:leftChars="0" w:firstLine="0" w:firstLineChars="0"/>
              <w:textAlignment w:val="auto"/>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lang w:val="zh-CN"/>
              </w:rPr>
              <w:t>地址：</w:t>
            </w:r>
            <w:r>
              <w:rPr>
                <w:rFonts w:hint="eastAsia" w:ascii="仿宋_GB2312" w:hAnsi="仿宋_GB2312" w:eastAsia="仿宋_GB2312" w:cs="仿宋_GB2312"/>
                <w:sz w:val="28"/>
                <w:szCs w:val="28"/>
                <w:shd w:val="clear" w:color="auto" w:fill="FFFFFF"/>
                <w:lang w:val="en-US" w:eastAsia="zh-CN"/>
              </w:rPr>
              <w:t>乌鲁木齐高新区（新市区）北京南路591号自治区广播电视局高层南楼1203室</w:t>
            </w:r>
          </w:p>
          <w:p>
            <w:pPr>
              <w:pStyle w:val="35"/>
              <w:spacing w:line="440" w:lineRule="exact"/>
              <w:rPr>
                <w:rFonts w:ascii="仿宋_GB2312" w:hAnsi="仿宋_GB2312" w:eastAsia="仿宋_GB2312" w:cs="仿宋_GB2312"/>
                <w:szCs w:val="28"/>
                <w:lang w:val="zh-CN"/>
              </w:rPr>
            </w:pPr>
            <w:r>
              <w:rPr>
                <w:rFonts w:hint="eastAsia" w:ascii="仿宋_GB2312" w:hAnsi="仿宋_GB2312" w:eastAsia="仿宋_GB2312" w:cs="仿宋_GB2312"/>
                <w:szCs w:val="28"/>
                <w:lang w:val="zh-CN"/>
              </w:rPr>
              <w:t>联系人：</w:t>
            </w:r>
            <w:r>
              <w:rPr>
                <w:rFonts w:hint="eastAsia" w:ascii="仿宋_GB2312" w:hAnsi="仿宋_GB2312" w:eastAsia="仿宋_GB2312" w:cs="仿宋_GB2312"/>
                <w:color w:val="auto"/>
                <w:sz w:val="28"/>
                <w:szCs w:val="28"/>
                <w:lang w:val="en-US" w:eastAsia="zh-CN"/>
              </w:rPr>
              <w:t>王静</w:t>
            </w:r>
          </w:p>
          <w:p>
            <w:pPr>
              <w:pStyle w:val="35"/>
              <w:spacing w:line="440" w:lineRule="exact"/>
              <w:rPr>
                <w:rFonts w:ascii="仿宋_GB2312" w:hAnsi="仿宋_GB2312" w:eastAsia="仿宋_GB2312" w:cs="仿宋_GB2312"/>
                <w:szCs w:val="28"/>
                <w:highlight w:val="yellow"/>
              </w:rPr>
            </w:pPr>
            <w:r>
              <w:rPr>
                <w:rFonts w:hint="eastAsia" w:ascii="仿宋_GB2312" w:hAnsi="仿宋_GB2312" w:eastAsia="仿宋_GB2312" w:cs="仿宋_GB2312"/>
                <w:szCs w:val="28"/>
              </w:rPr>
              <w:t>电话：</w:t>
            </w:r>
            <w:r>
              <w:rPr>
                <w:rFonts w:hint="eastAsia" w:ascii="仿宋_GB2312" w:hAnsi="仿宋_GB2312" w:eastAsia="仿宋_GB2312" w:cs="仿宋_GB2312"/>
                <w:color w:val="auto"/>
                <w:sz w:val="28"/>
                <w:szCs w:val="28"/>
                <w:lang w:eastAsia="zh-CN"/>
              </w:rPr>
              <w:t xml:space="preserve">0991-4639656 </w:t>
            </w:r>
          </w:p>
        </w:tc>
      </w:tr>
      <w:tr>
        <w:trPr>
          <w:trHeight w:val="567" w:hRule="atLeast"/>
        </w:trPr>
        <w:tc>
          <w:tcPr>
            <w:tcW w:w="1153"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3.1</w:t>
            </w: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投标人资格条件</w:t>
            </w:r>
          </w:p>
        </w:tc>
        <w:tc>
          <w:tcPr>
            <w:tcW w:w="6030" w:type="dxa"/>
            <w:tcBorders>
              <w:left w:val="single" w:color="auto" w:sz="4" w:space="0"/>
            </w:tcBorders>
            <w:vAlign w:val="center"/>
          </w:tcPr>
          <w:p>
            <w:pPr>
              <w:adjustRightInd w:val="0"/>
              <w:snapToGrid w:val="0"/>
              <w:spacing w:line="44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1.供应商须满足《中华人民共和国政府采购法》第二十二条款规定。</w:t>
            </w:r>
          </w:p>
          <w:p>
            <w:pPr>
              <w:pStyle w:val="53"/>
              <w:widowControl/>
              <w:wordWrap/>
              <w:adjustRightInd/>
              <w:snapToGrid/>
              <w:spacing w:before="60" w:beforeAutospacing="0" w:after="60" w:afterAutospacing="0" w:line="400" w:lineRule="exact"/>
              <w:ind w:left="0" w:right="0" w:firstLine="42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2.落实政府采购政策需满足的资格要求：</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节能产品强制采购；</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节能产品、环境标志产品优先采购；</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政府采购促进中小企业发展；</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政府采购项目支持监狱企业发展；</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政府采购信用担保。</w:t>
            </w:r>
          </w:p>
          <w:p>
            <w:pPr>
              <w:pStyle w:val="53"/>
              <w:widowControl/>
              <w:wordWrap/>
              <w:adjustRightInd/>
              <w:snapToGrid/>
              <w:spacing w:before="60" w:beforeAutospacing="0" w:after="60" w:afterAutospacing="0" w:line="400" w:lineRule="exact"/>
              <w:ind w:left="0" w:righ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rPr>
              <w:t>本项目的特定资格要求：</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投标人必须提供有效的工商营业执照副本原件或当地公证处出具前述证书的公证书；</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投</w:t>
            </w:r>
            <w:r>
              <w:rPr>
                <w:rFonts w:hint="eastAsia" w:ascii="仿宋_GB2312" w:hAnsi="仿宋_GB2312" w:eastAsia="仿宋_GB2312" w:cs="仿宋_GB2312"/>
                <w:sz w:val="28"/>
                <w:szCs w:val="28"/>
                <w:lang w:val="en-US" w:eastAsia="zh-CN"/>
              </w:rPr>
              <w:t>标人</w:t>
            </w:r>
            <w:r>
              <w:rPr>
                <w:rFonts w:hint="eastAsia" w:ascii="仿宋_GB2312" w:hAnsi="仿宋_GB2312" w:eastAsia="仿宋_GB2312" w:cs="仿宋_GB2312"/>
                <w:sz w:val="28"/>
                <w:szCs w:val="28"/>
              </w:rPr>
              <w:t>所有证件均应在有效期内；</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法定代表人身份证明书原件和法定代表人身份证原件或法定代表人授权委托书原件及被授权人身份证原件；</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单位负责人为同一人或者存在直接控股、管理关系的不同供应商，不得参加同一合同项下的政府采购活动</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kern w:val="0"/>
                <w:sz w:val="28"/>
                <w:szCs w:val="28"/>
              </w:rPr>
              <w:t>受到刑事处罚，或者受到三万元以上的罚款、责令停产停业、在一至三年内禁止参加政府采购活动、暂扣或者吊销许可证、暂扣或者吊销执照等情形之一的行政处罚，或者存在财政部门认定的其他重大违法记录。</w:t>
            </w:r>
            <w:r>
              <w:rPr>
                <w:rFonts w:hint="eastAsia" w:ascii="仿宋_GB2312" w:hAnsi="仿宋_GB2312" w:eastAsia="仿宋_GB2312" w:cs="仿宋_GB2312"/>
                <w:sz w:val="28"/>
                <w:szCs w:val="28"/>
                <w:lang w:val="en-US" w:eastAsia="zh-CN"/>
              </w:rPr>
              <w:t>(6)投标人须提供在“信用中国”（www.creditchina.gov.cn）和中国政府采购网（www.ccgp.gov.cn）网站上未被列入失信被执行人、重大税收违法案件当事人名单以及政府采购严重违法失信行为记录名单的网页打印件（网页打印件须自招标公告发布之日起至首次提交投标文件截止时间内从上述网站中打印）并加盖公章。</w:t>
            </w:r>
          </w:p>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b/>
                <w:bCs/>
                <w:szCs w:val="28"/>
              </w:rPr>
              <w:t>注：上述资格审查材料，是否响应文件的组成部分，投标人须在响应文件中提供，若响应文件中未按规定提供，投标人有可能承担评审时资格审查被否决</w:t>
            </w:r>
          </w:p>
        </w:tc>
      </w:tr>
      <w:tr>
        <w:trPr>
          <w:trHeight w:val="669" w:hRule="atLeast"/>
        </w:trPr>
        <w:tc>
          <w:tcPr>
            <w:tcW w:w="1153"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6.1</w:t>
            </w: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联合体形式</w:t>
            </w:r>
          </w:p>
        </w:tc>
        <w:tc>
          <w:tcPr>
            <w:tcW w:w="6030" w:type="dxa"/>
            <w:tcBorders>
              <w:lef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sym w:font="Wingdings 2" w:char="00A3"/>
            </w:r>
            <w:r>
              <w:rPr>
                <w:rFonts w:hint="eastAsia" w:ascii="仿宋_GB2312" w:hAnsi="仿宋_GB2312" w:eastAsia="仿宋_GB2312" w:cs="仿宋_GB2312"/>
                <w:szCs w:val="28"/>
              </w:rPr>
              <w:t xml:space="preserve">接受        </w:t>
            </w:r>
            <w:r>
              <w:rPr>
                <w:rFonts w:hint="eastAsia" w:ascii="仿宋_GB2312" w:hAnsi="仿宋_GB2312" w:eastAsia="仿宋_GB2312" w:cs="仿宋_GB2312"/>
                <w:szCs w:val="28"/>
              </w:rPr>
              <w:sym w:font="Wingdings 2" w:char="0052"/>
            </w:r>
            <w:r>
              <w:rPr>
                <w:rFonts w:hint="eastAsia" w:ascii="仿宋_GB2312" w:hAnsi="仿宋_GB2312" w:eastAsia="仿宋_GB2312" w:cs="仿宋_GB2312"/>
                <w:szCs w:val="28"/>
              </w:rPr>
              <w:t>不接受</w:t>
            </w:r>
          </w:p>
        </w:tc>
      </w:tr>
      <w:tr>
        <w:trPr>
          <w:trHeight w:val="567" w:hRule="atLeast"/>
        </w:trPr>
        <w:tc>
          <w:tcPr>
            <w:tcW w:w="1153"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6.2</w:t>
            </w: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对联合体各方的要求</w:t>
            </w:r>
          </w:p>
        </w:tc>
        <w:tc>
          <w:tcPr>
            <w:tcW w:w="6030" w:type="dxa"/>
            <w:tcBorders>
              <w:lef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无</w:t>
            </w:r>
          </w:p>
        </w:tc>
      </w:tr>
      <w:tr>
        <w:trPr>
          <w:trHeight w:val="567" w:hRule="atLeast"/>
        </w:trPr>
        <w:tc>
          <w:tcPr>
            <w:tcW w:w="1153"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7.1</w:t>
            </w: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现场考察或者召开开标前答疑会</w:t>
            </w:r>
          </w:p>
        </w:tc>
        <w:tc>
          <w:tcPr>
            <w:tcW w:w="6030" w:type="dxa"/>
            <w:tcBorders>
              <w:lef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sym w:font="Wingdings 2" w:char="00A3"/>
            </w:r>
            <w:r>
              <w:rPr>
                <w:rFonts w:hint="eastAsia" w:ascii="仿宋_GB2312" w:hAnsi="仿宋_GB2312" w:eastAsia="仿宋_GB2312" w:cs="仿宋_GB2312"/>
                <w:szCs w:val="28"/>
              </w:rPr>
              <w:t>不采用</w:t>
            </w:r>
          </w:p>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sym w:font="Wingdings 2" w:char="0052"/>
            </w:r>
            <w:r>
              <w:rPr>
                <w:rFonts w:hint="eastAsia" w:ascii="仿宋_GB2312" w:hAnsi="仿宋_GB2312" w:eastAsia="仿宋_GB2312" w:cs="仿宋_GB2312"/>
                <w:szCs w:val="28"/>
              </w:rPr>
              <w:t>采用</w:t>
            </w:r>
          </w:p>
          <w:p>
            <w:pPr>
              <w:pStyle w:val="35"/>
              <w:spacing w:line="440" w:lineRule="exact"/>
              <w:rPr>
                <w:rFonts w:ascii="仿宋_GB2312" w:hAnsi="仿宋_GB2312" w:eastAsia="仿宋_GB2312" w:cs="仿宋_GB2312"/>
                <w:color w:val="FF0000"/>
                <w:szCs w:val="28"/>
                <w:highlight w:val="none"/>
              </w:rPr>
            </w:pPr>
            <w:r>
              <w:rPr>
                <w:rFonts w:hint="eastAsia" w:ascii="仿宋_GB2312" w:hAnsi="仿宋_GB2312" w:eastAsia="仿宋_GB2312" w:cs="仿宋_GB2312"/>
                <w:color w:val="FF0000"/>
                <w:szCs w:val="28"/>
                <w:highlight w:val="none"/>
              </w:rPr>
              <w:t>现场考察或者召开开标前答疑会时间：2021年</w:t>
            </w:r>
            <w:r>
              <w:rPr>
                <w:rFonts w:hint="eastAsia" w:ascii="仿宋_GB2312" w:hAnsi="仿宋_GB2312" w:eastAsia="仿宋_GB2312" w:cs="仿宋_GB2312"/>
                <w:color w:val="FF0000"/>
                <w:szCs w:val="28"/>
                <w:highlight w:val="none"/>
                <w:lang w:val="en-US" w:eastAsia="zh-CN"/>
              </w:rPr>
              <w:t>11</w:t>
            </w:r>
            <w:r>
              <w:rPr>
                <w:rFonts w:hint="eastAsia" w:ascii="仿宋_GB2312" w:hAnsi="仿宋_GB2312" w:eastAsia="仿宋_GB2312" w:cs="仿宋_GB2312"/>
                <w:color w:val="FF0000"/>
                <w:szCs w:val="28"/>
                <w:highlight w:val="none"/>
              </w:rPr>
              <w:t>月</w:t>
            </w:r>
            <w:r>
              <w:rPr>
                <w:rFonts w:hint="eastAsia" w:ascii="仿宋_GB2312" w:hAnsi="仿宋_GB2312" w:eastAsia="仿宋_GB2312" w:cs="仿宋_GB2312"/>
                <w:color w:val="FF0000"/>
                <w:szCs w:val="28"/>
                <w:highlight w:val="none"/>
                <w:lang w:val="en-US" w:eastAsia="zh-CN"/>
              </w:rPr>
              <w:t>8</w:t>
            </w:r>
            <w:r>
              <w:rPr>
                <w:rFonts w:hint="eastAsia" w:ascii="仿宋_GB2312" w:hAnsi="仿宋_GB2312" w:eastAsia="仿宋_GB2312" w:cs="仿宋_GB2312"/>
                <w:color w:val="FF0000"/>
                <w:szCs w:val="28"/>
                <w:highlight w:val="none"/>
              </w:rPr>
              <w:t>日</w:t>
            </w:r>
          </w:p>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现场考察或者召开开标前答疑会地点：自治区机关事务管理局办公楼6楼第一会议室</w:t>
            </w:r>
          </w:p>
        </w:tc>
      </w:tr>
      <w:tr>
        <w:trPr>
          <w:trHeight w:val="567" w:hRule="atLeast"/>
        </w:trPr>
        <w:tc>
          <w:tcPr>
            <w:tcW w:w="1153"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8.1</w:t>
            </w: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采购进口产品</w:t>
            </w:r>
          </w:p>
        </w:tc>
        <w:tc>
          <w:tcPr>
            <w:tcW w:w="6030" w:type="dxa"/>
            <w:tcBorders>
              <w:lef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sym w:font="Wingdings 2" w:char="00A3"/>
            </w:r>
            <w:r>
              <w:rPr>
                <w:rFonts w:hint="eastAsia" w:ascii="仿宋_GB2312" w:hAnsi="仿宋_GB2312" w:eastAsia="仿宋_GB2312" w:cs="仿宋_GB2312"/>
                <w:szCs w:val="28"/>
              </w:rPr>
              <w:t>允许</w:t>
            </w:r>
          </w:p>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sym w:font="Wingdings 2" w:char="0052"/>
            </w:r>
            <w:r>
              <w:rPr>
                <w:rFonts w:hint="eastAsia" w:ascii="仿宋_GB2312" w:hAnsi="仿宋_GB2312" w:eastAsia="仿宋_GB2312" w:cs="仿宋_GB2312"/>
                <w:szCs w:val="28"/>
              </w:rPr>
              <w:t>不允许</w:t>
            </w:r>
          </w:p>
        </w:tc>
      </w:tr>
      <w:tr>
        <w:trPr>
          <w:trHeight w:val="567" w:hRule="atLeast"/>
        </w:trPr>
        <w:tc>
          <w:tcPr>
            <w:tcW w:w="1153" w:type="dxa"/>
            <w:vMerge w:val="restart"/>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9.</w:t>
            </w: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支持中小企业发展</w:t>
            </w:r>
          </w:p>
        </w:tc>
        <w:tc>
          <w:tcPr>
            <w:tcW w:w="6030" w:type="dxa"/>
            <w:tcBorders>
              <w:lef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给予小型和微型企业产品的价格给予6%-10/%的价格评审扣除，用扣除后的评审价格参与评标，</w:t>
            </w:r>
            <w:r>
              <w:rPr>
                <w:rFonts w:hint="eastAsia" w:ascii="仿宋_GB2312" w:hAnsi="仿宋_GB2312" w:eastAsia="仿宋_GB2312" w:cs="仿宋_GB2312"/>
                <w:b/>
                <w:szCs w:val="28"/>
              </w:rPr>
              <w:t>本项目具体扣除比例为6%。</w:t>
            </w:r>
          </w:p>
        </w:tc>
      </w:tr>
      <w:tr>
        <w:trPr>
          <w:trHeight w:val="90" w:hRule="atLeast"/>
        </w:trPr>
        <w:tc>
          <w:tcPr>
            <w:tcW w:w="1153" w:type="dxa"/>
            <w:vMerge w:val="continue"/>
            <w:vAlign w:val="center"/>
          </w:tcPr>
          <w:p>
            <w:pPr>
              <w:pStyle w:val="35"/>
              <w:spacing w:line="440" w:lineRule="exact"/>
              <w:rPr>
                <w:rFonts w:ascii="仿宋_GB2312" w:hAnsi="仿宋_GB2312" w:eastAsia="仿宋_GB2312" w:cs="仿宋_GB2312"/>
                <w:szCs w:val="28"/>
              </w:rPr>
            </w:pP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政府采购支持中小企业融资</w:t>
            </w:r>
          </w:p>
        </w:tc>
        <w:tc>
          <w:tcPr>
            <w:tcW w:w="6030" w:type="dxa"/>
            <w:vMerge w:val="restart"/>
            <w:tcBorders>
              <w:lef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中小企业在融资、投标保证、履约保证等方面有需求的，可查询当地政府采购管理部门相关政策，通过专业化的担保途径解决。</w:t>
            </w:r>
          </w:p>
        </w:tc>
      </w:tr>
      <w:tr>
        <w:trPr>
          <w:trHeight w:val="567" w:hRule="atLeast"/>
        </w:trPr>
        <w:tc>
          <w:tcPr>
            <w:tcW w:w="1153" w:type="dxa"/>
            <w:vMerge w:val="continue"/>
            <w:vAlign w:val="center"/>
          </w:tcPr>
          <w:p>
            <w:pPr>
              <w:pStyle w:val="35"/>
              <w:spacing w:line="440" w:lineRule="exact"/>
              <w:rPr>
                <w:rFonts w:ascii="仿宋_GB2312" w:hAnsi="仿宋_GB2312" w:eastAsia="仿宋_GB2312" w:cs="仿宋_GB2312"/>
                <w:szCs w:val="28"/>
              </w:rPr>
            </w:pP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政府采购信用担保</w:t>
            </w:r>
          </w:p>
        </w:tc>
        <w:tc>
          <w:tcPr>
            <w:tcW w:w="6030" w:type="dxa"/>
            <w:vMerge w:val="continue"/>
            <w:tcBorders>
              <w:left w:val="single" w:color="auto" w:sz="4" w:space="0"/>
            </w:tcBorders>
            <w:vAlign w:val="center"/>
          </w:tcPr>
          <w:p>
            <w:pPr>
              <w:pStyle w:val="35"/>
              <w:spacing w:line="440" w:lineRule="exact"/>
              <w:rPr>
                <w:rFonts w:ascii="仿宋_GB2312" w:hAnsi="仿宋_GB2312" w:eastAsia="仿宋_GB2312" w:cs="仿宋_GB2312"/>
                <w:szCs w:val="28"/>
              </w:rPr>
            </w:pPr>
          </w:p>
        </w:tc>
      </w:tr>
      <w:tr>
        <w:trPr>
          <w:trHeight w:val="567" w:hRule="atLeast"/>
        </w:trPr>
        <w:tc>
          <w:tcPr>
            <w:tcW w:w="1153" w:type="dxa"/>
            <w:vMerge w:val="continue"/>
            <w:vAlign w:val="center"/>
          </w:tcPr>
          <w:p>
            <w:pPr>
              <w:pStyle w:val="35"/>
              <w:spacing w:line="440" w:lineRule="exact"/>
              <w:rPr>
                <w:rFonts w:ascii="仿宋_GB2312" w:hAnsi="仿宋_GB2312" w:eastAsia="仿宋_GB2312" w:cs="仿宋_GB2312"/>
                <w:szCs w:val="28"/>
              </w:rPr>
            </w:pP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政府采购促进残疾人就业</w:t>
            </w:r>
          </w:p>
        </w:tc>
        <w:tc>
          <w:tcPr>
            <w:tcW w:w="6030" w:type="dxa"/>
            <w:tcBorders>
              <w:lef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残疾人福利性单位视同小型、微型企业，享受评标中价格扣除等促进中小企业发展的政府采购政策。</w:t>
            </w:r>
          </w:p>
        </w:tc>
      </w:tr>
      <w:tr>
        <w:trPr>
          <w:trHeight w:val="567" w:hRule="atLeast"/>
        </w:trPr>
        <w:tc>
          <w:tcPr>
            <w:tcW w:w="1153" w:type="dxa"/>
            <w:vMerge w:val="continue"/>
            <w:vAlign w:val="center"/>
          </w:tcPr>
          <w:p>
            <w:pPr>
              <w:pStyle w:val="35"/>
              <w:spacing w:line="440" w:lineRule="exact"/>
              <w:rPr>
                <w:rFonts w:ascii="仿宋_GB2312" w:hAnsi="仿宋_GB2312" w:eastAsia="仿宋_GB2312" w:cs="仿宋_GB2312"/>
                <w:szCs w:val="28"/>
              </w:rPr>
            </w:pP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政府采购支持监狱企业发展</w:t>
            </w:r>
          </w:p>
        </w:tc>
        <w:tc>
          <w:tcPr>
            <w:tcW w:w="6030" w:type="dxa"/>
            <w:tcBorders>
              <w:lef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监狱企业视同小型、微型企业，享受预留份额、评审中价格扣除等政府采购促进中小企业发展的政府采购政策。符合条件的监狱企业在参加政府采购活动时，应当提供由省级以上监狱管理局、戒毒管理局（含新疆生产建设兵团）出具的属于监狱企业的证明文件。</w:t>
            </w:r>
          </w:p>
        </w:tc>
      </w:tr>
      <w:tr>
        <w:trPr>
          <w:trHeight w:val="567" w:hRule="atLeast"/>
        </w:trPr>
        <w:tc>
          <w:tcPr>
            <w:tcW w:w="1153" w:type="dxa"/>
            <w:vMerge w:val="continue"/>
            <w:vAlign w:val="center"/>
          </w:tcPr>
          <w:p>
            <w:pPr>
              <w:pStyle w:val="35"/>
              <w:spacing w:line="440" w:lineRule="exact"/>
              <w:rPr>
                <w:rFonts w:ascii="仿宋_GB2312" w:hAnsi="仿宋_GB2312" w:eastAsia="仿宋_GB2312" w:cs="仿宋_GB2312"/>
                <w:szCs w:val="28"/>
              </w:rPr>
            </w:pP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节能产品、环境标志产品的产品优惠</w:t>
            </w:r>
          </w:p>
        </w:tc>
        <w:tc>
          <w:tcPr>
            <w:tcW w:w="6030" w:type="dxa"/>
            <w:tcBorders>
              <w:lef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按国家有关节能、环保政策执行</w:t>
            </w:r>
          </w:p>
        </w:tc>
      </w:tr>
      <w:tr>
        <w:trPr>
          <w:trHeight w:val="567" w:hRule="atLeast"/>
        </w:trPr>
        <w:tc>
          <w:tcPr>
            <w:tcW w:w="8941" w:type="dxa"/>
            <w:gridSpan w:val="4"/>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二</w:t>
            </w:r>
            <w:r>
              <w:rPr>
                <w:rFonts w:hint="eastAsia" w:ascii="仿宋_GB2312" w:hAnsi="仿宋_GB2312" w:eastAsia="仿宋_GB2312" w:cs="仿宋_GB2312"/>
                <w:b/>
                <w:kern w:val="0"/>
                <w:szCs w:val="28"/>
              </w:rPr>
              <w:t xml:space="preserve">. </w:t>
            </w:r>
            <w:r>
              <w:rPr>
                <w:rFonts w:hint="eastAsia" w:ascii="仿宋_GB2312" w:hAnsi="仿宋_GB2312" w:eastAsia="仿宋_GB2312" w:cs="仿宋_GB2312"/>
                <w:szCs w:val="28"/>
              </w:rPr>
              <w:t>招标文件</w:t>
            </w:r>
          </w:p>
        </w:tc>
      </w:tr>
      <w:tr>
        <w:trPr>
          <w:trHeight w:val="567" w:hRule="atLeast"/>
        </w:trPr>
        <w:tc>
          <w:tcPr>
            <w:tcW w:w="1153"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11.1</w:t>
            </w: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响应文件递交截止及开标时间</w:t>
            </w:r>
          </w:p>
        </w:tc>
        <w:tc>
          <w:tcPr>
            <w:tcW w:w="6030" w:type="dxa"/>
            <w:tcBorders>
              <w:left w:val="single" w:color="auto" w:sz="4" w:space="0"/>
            </w:tcBorders>
            <w:vAlign w:val="center"/>
          </w:tcPr>
          <w:p>
            <w:pPr>
              <w:pStyle w:val="35"/>
              <w:spacing w:line="440" w:lineRule="exact"/>
              <w:rPr>
                <w:rFonts w:ascii="仿宋_GB2312" w:hAnsi="仿宋_GB2312" w:eastAsia="仿宋_GB2312" w:cs="仿宋_GB2312"/>
                <w:szCs w:val="28"/>
                <w:highlight w:val="yellow"/>
              </w:rPr>
            </w:pPr>
            <w:r>
              <w:rPr>
                <w:rFonts w:hint="eastAsia" w:ascii="仿宋_GB2312" w:hAnsi="仿宋_GB2312" w:eastAsia="仿宋_GB2312" w:cs="仿宋_GB2312"/>
                <w:b w:val="0"/>
                <w:bCs w:val="0"/>
                <w:color w:val="000000"/>
                <w:szCs w:val="28"/>
                <w:lang w:val="zh-CN"/>
              </w:rPr>
              <w:t>时间：</w:t>
            </w:r>
            <w:r>
              <w:rPr>
                <w:rFonts w:hint="eastAsia" w:ascii="仿宋_GB2312" w:hAnsi="仿宋_GB2312" w:eastAsia="仿宋_GB2312" w:cs="仿宋_GB2312"/>
                <w:color w:val="FF0000"/>
                <w:sz w:val="28"/>
                <w:szCs w:val="28"/>
              </w:rPr>
              <w:t>20</w:t>
            </w:r>
            <w:r>
              <w:rPr>
                <w:rFonts w:hint="eastAsia" w:ascii="仿宋_GB2312" w:hAnsi="仿宋_GB2312" w:eastAsia="仿宋_GB2312" w:cs="仿宋_GB2312"/>
                <w:color w:val="FF0000"/>
                <w:sz w:val="28"/>
                <w:szCs w:val="28"/>
                <w:lang w:val="en-US" w:eastAsia="zh-CN"/>
              </w:rPr>
              <w:t>21</w:t>
            </w:r>
            <w:r>
              <w:rPr>
                <w:rFonts w:hint="eastAsia" w:ascii="仿宋_GB2312" w:hAnsi="仿宋_GB2312" w:eastAsia="仿宋_GB2312" w:cs="仿宋_GB2312"/>
                <w:color w:val="FF0000"/>
                <w:sz w:val="28"/>
                <w:szCs w:val="28"/>
                <w:lang w:val="zh-CN"/>
              </w:rPr>
              <w:t>年</w:t>
            </w:r>
            <w:r>
              <w:rPr>
                <w:rFonts w:hint="eastAsia" w:ascii="仿宋_GB2312" w:hAnsi="仿宋_GB2312" w:eastAsia="仿宋_GB2312" w:cs="仿宋_GB2312"/>
                <w:color w:val="FF0000"/>
                <w:sz w:val="28"/>
                <w:szCs w:val="28"/>
                <w:lang w:val="en-US" w:eastAsia="zh-CN"/>
              </w:rPr>
              <w:t>11月25日</w:t>
            </w:r>
            <w:r>
              <w:rPr>
                <w:rFonts w:hint="eastAsia" w:ascii="仿宋_GB2312" w:hAnsi="仿宋_GB2312" w:eastAsia="仿宋_GB2312" w:cs="仿宋_GB2312"/>
                <w:color w:val="FF0000"/>
                <w:sz w:val="28"/>
                <w:szCs w:val="28"/>
                <w:lang w:val="zh-CN"/>
              </w:rPr>
              <w:t>上午</w:t>
            </w:r>
            <w:r>
              <w:rPr>
                <w:rFonts w:hint="eastAsia" w:ascii="仿宋_GB2312" w:hAnsi="仿宋_GB2312" w:eastAsia="仿宋_GB2312" w:cs="仿宋_GB2312"/>
                <w:color w:val="FF0000"/>
                <w:sz w:val="28"/>
                <w:szCs w:val="28"/>
              </w:rPr>
              <w:t>1</w:t>
            </w:r>
            <w:r>
              <w:rPr>
                <w:rFonts w:hint="eastAsia" w:ascii="仿宋_GB2312" w:hAnsi="仿宋_GB2312" w:eastAsia="仿宋_GB2312" w:cs="仿宋_GB2312"/>
                <w:color w:val="FF0000"/>
                <w:sz w:val="28"/>
                <w:szCs w:val="28"/>
                <w:lang w:val="en-US" w:eastAsia="zh-CN"/>
              </w:rPr>
              <w:t>1</w:t>
            </w:r>
            <w:r>
              <w:rPr>
                <w:rFonts w:hint="eastAsia" w:ascii="仿宋_GB2312" w:hAnsi="仿宋_GB2312" w:eastAsia="仿宋_GB2312" w:cs="仿宋_GB2312"/>
                <w:color w:val="FF0000"/>
                <w:sz w:val="28"/>
                <w:szCs w:val="28"/>
              </w:rPr>
              <w:t>时</w:t>
            </w:r>
            <w:r>
              <w:rPr>
                <w:rFonts w:hint="eastAsia" w:ascii="仿宋_GB2312" w:hAnsi="仿宋_GB2312" w:eastAsia="仿宋_GB2312" w:cs="仿宋_GB2312"/>
                <w:color w:val="FF0000"/>
                <w:sz w:val="28"/>
                <w:szCs w:val="28"/>
                <w:lang w:val="en-US" w:eastAsia="zh-CN"/>
              </w:rPr>
              <w:t>0</w:t>
            </w:r>
            <w:r>
              <w:rPr>
                <w:rFonts w:hint="eastAsia" w:ascii="仿宋_GB2312" w:hAnsi="仿宋_GB2312" w:eastAsia="仿宋_GB2312" w:cs="仿宋_GB2312"/>
                <w:color w:val="FF0000"/>
                <w:sz w:val="28"/>
                <w:szCs w:val="28"/>
              </w:rPr>
              <w:t>0分</w:t>
            </w:r>
            <w:r>
              <w:rPr>
                <w:rFonts w:hint="eastAsia" w:ascii="仿宋_GB2312" w:hAnsi="仿宋_GB2312" w:eastAsia="仿宋_GB2312" w:cs="仿宋_GB2312"/>
                <w:b w:val="0"/>
                <w:bCs w:val="0"/>
                <w:color w:val="000000"/>
                <w:kern w:val="0"/>
                <w:szCs w:val="28"/>
              </w:rPr>
              <w:t>（北京时间）</w:t>
            </w:r>
            <w:r>
              <w:rPr>
                <w:rFonts w:hint="eastAsia" w:ascii="仿宋_GB2312" w:hAnsi="仿宋_GB2312" w:eastAsia="仿宋_GB2312" w:cs="仿宋_GB2312"/>
                <w:b w:val="0"/>
                <w:bCs w:val="0"/>
                <w:color w:val="000000"/>
                <w:szCs w:val="28"/>
              </w:rPr>
              <w:t>，</w:t>
            </w:r>
            <w:r>
              <w:rPr>
                <w:rFonts w:hint="eastAsia" w:ascii="仿宋_GB2312" w:hAnsi="仿宋_GB2312" w:eastAsia="仿宋_GB2312" w:cs="仿宋_GB2312"/>
                <w:b w:val="0"/>
                <w:bCs w:val="0"/>
                <w:color w:val="000000"/>
                <w:spacing w:val="-16"/>
                <w:szCs w:val="28"/>
              </w:rPr>
              <w:t>逾期作自动放弃。</w:t>
            </w:r>
          </w:p>
        </w:tc>
      </w:tr>
      <w:tr>
        <w:trPr>
          <w:trHeight w:val="567" w:hRule="atLeast"/>
        </w:trPr>
        <w:tc>
          <w:tcPr>
            <w:tcW w:w="8941" w:type="dxa"/>
            <w:gridSpan w:val="4"/>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三</w:t>
            </w:r>
            <w:r>
              <w:rPr>
                <w:rFonts w:hint="eastAsia" w:ascii="仿宋_GB2312" w:hAnsi="仿宋_GB2312" w:eastAsia="仿宋_GB2312" w:cs="仿宋_GB2312"/>
                <w:b/>
                <w:kern w:val="0"/>
                <w:szCs w:val="28"/>
              </w:rPr>
              <w:t xml:space="preserve">. </w:t>
            </w:r>
            <w:r>
              <w:rPr>
                <w:rFonts w:hint="eastAsia" w:ascii="仿宋_GB2312" w:hAnsi="仿宋_GB2312" w:eastAsia="仿宋_GB2312" w:cs="仿宋_GB2312"/>
                <w:szCs w:val="28"/>
              </w:rPr>
              <w:t>投标文件</w:t>
            </w:r>
          </w:p>
        </w:tc>
      </w:tr>
      <w:tr>
        <w:trPr>
          <w:trHeight w:val="567" w:hRule="atLeast"/>
        </w:trPr>
        <w:tc>
          <w:tcPr>
            <w:tcW w:w="1153"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15.5</w:t>
            </w: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采购预算资金</w:t>
            </w:r>
          </w:p>
        </w:tc>
        <w:tc>
          <w:tcPr>
            <w:tcW w:w="6030" w:type="dxa"/>
            <w:tcBorders>
              <w:lef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kern w:val="0"/>
                <w:szCs w:val="28"/>
              </w:rPr>
              <w:t>预算金额（元）：480</w:t>
            </w:r>
            <w:r>
              <w:rPr>
                <w:rFonts w:hint="eastAsia" w:ascii="仿宋_GB2312" w:hAnsi="仿宋_GB2312" w:eastAsia="仿宋_GB2312" w:cs="仿宋_GB2312"/>
                <w:szCs w:val="28"/>
              </w:rPr>
              <w:t>万元</w:t>
            </w:r>
          </w:p>
          <w:p>
            <w:pPr>
              <w:widowControl/>
              <w:spacing w:line="440" w:lineRule="exact"/>
              <w:ind w:firstLine="0" w:firstLineChars="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最高限价（元）：480万元</w:t>
            </w:r>
          </w:p>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投标人的报价不得高于采购预算，否则将被视为无效投标。</w:t>
            </w:r>
          </w:p>
        </w:tc>
      </w:tr>
      <w:tr>
        <w:trPr>
          <w:trHeight w:val="567" w:hRule="atLeast"/>
        </w:trPr>
        <w:tc>
          <w:tcPr>
            <w:tcW w:w="1153"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15.6</w:t>
            </w: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经费来源</w:t>
            </w:r>
          </w:p>
        </w:tc>
        <w:tc>
          <w:tcPr>
            <w:tcW w:w="6030" w:type="dxa"/>
            <w:tcBorders>
              <w:lef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自治区财政拨款</w:t>
            </w:r>
          </w:p>
        </w:tc>
      </w:tr>
      <w:tr>
        <w:trPr>
          <w:trHeight w:val="567" w:hRule="atLeast"/>
        </w:trPr>
        <w:tc>
          <w:tcPr>
            <w:tcW w:w="1153"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17.1</w:t>
            </w: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投标保证金</w:t>
            </w:r>
          </w:p>
        </w:tc>
        <w:tc>
          <w:tcPr>
            <w:tcW w:w="6030" w:type="dxa"/>
            <w:tcBorders>
              <w:left w:val="single" w:color="auto" w:sz="4" w:space="0"/>
            </w:tcBorders>
            <w:vAlign w:val="center"/>
          </w:tcPr>
          <w:p>
            <w:pPr>
              <w:adjustRightInd w:val="0"/>
              <w:spacing w:line="44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bCs/>
                <w:kern w:val="0"/>
                <w:sz w:val="28"/>
                <w:szCs w:val="28"/>
              </w:rPr>
              <w:t>投标人应在投标截止之日前从基本账户以转账或汇款形式汇至指定账户</w:t>
            </w:r>
          </w:p>
          <w:p>
            <w:pPr>
              <w:pStyle w:val="41"/>
              <w:snapToGrid w:val="0"/>
              <w:spacing w:line="44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投标保证金金额：</w:t>
            </w:r>
            <w:r>
              <w:rPr>
                <w:rFonts w:hint="eastAsia" w:ascii="仿宋_GB2312" w:hAnsi="仿宋_GB2312" w:eastAsia="仿宋_GB2312" w:cs="仿宋_GB2312"/>
                <w:color w:val="FF0000"/>
                <w:sz w:val="28"/>
                <w:szCs w:val="28"/>
                <w:lang w:val="en-US" w:eastAsia="zh-CN"/>
              </w:rPr>
              <w:t>玖万陆仟元整</w:t>
            </w: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lang w:val="en-US" w:eastAsia="zh-CN"/>
              </w:rPr>
              <w:t>96000</w:t>
            </w:r>
            <w:r>
              <w:rPr>
                <w:rFonts w:hint="eastAsia" w:ascii="仿宋_GB2312" w:hAnsi="仿宋_GB2312" w:eastAsia="仿宋_GB2312" w:cs="仿宋_GB2312"/>
                <w:color w:val="FF0000"/>
                <w:sz w:val="28"/>
                <w:szCs w:val="28"/>
                <w:lang w:eastAsia="zh-CN"/>
              </w:rPr>
              <w:t>.00）</w:t>
            </w:r>
          </w:p>
          <w:p>
            <w:pPr>
              <w:adjustRightInd w:val="0"/>
              <w:snapToGrid w:val="0"/>
              <w:spacing w:line="440" w:lineRule="exact"/>
              <w:ind w:firstLine="0" w:firstLineChars="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开户名称：新疆</w:t>
            </w:r>
            <w:r>
              <w:rPr>
                <w:rFonts w:hint="eastAsia" w:ascii="仿宋_GB2312" w:hAnsi="仿宋_GB2312" w:eastAsia="仿宋_GB2312" w:cs="仿宋_GB2312"/>
                <w:bCs/>
                <w:kern w:val="0"/>
                <w:sz w:val="28"/>
                <w:szCs w:val="28"/>
                <w:lang w:val="en-US" w:eastAsia="zh-CN"/>
              </w:rPr>
              <w:t>崇业招标代理有限公司</w:t>
            </w:r>
            <w:r>
              <w:rPr>
                <w:rFonts w:hint="eastAsia" w:ascii="仿宋_GB2312" w:hAnsi="仿宋_GB2312" w:eastAsia="仿宋_GB2312" w:cs="仿宋_GB2312"/>
                <w:bCs/>
                <w:kern w:val="0"/>
                <w:sz w:val="28"/>
                <w:szCs w:val="28"/>
              </w:rPr>
              <w:t>；</w:t>
            </w:r>
          </w:p>
          <w:p>
            <w:pPr>
              <w:widowControl w:val="0"/>
              <w:wordWrap/>
              <w:adjustRightInd w:val="0"/>
              <w:snapToGrid w:val="0"/>
              <w:spacing w:line="440" w:lineRule="exact"/>
              <w:ind w:left="0" w:leftChars="0" w:firstLine="0" w:firstLineChars="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开户银行：</w:t>
            </w:r>
            <w:r>
              <w:rPr>
                <w:rFonts w:hint="eastAsia" w:ascii="仿宋_GB2312" w:hAnsi="仿宋_GB2312" w:eastAsia="仿宋_GB2312" w:cs="仿宋_GB2312"/>
                <w:bCs/>
                <w:kern w:val="0"/>
                <w:sz w:val="28"/>
                <w:szCs w:val="28"/>
                <w:lang w:val="en-US" w:eastAsia="zh-CN"/>
              </w:rPr>
              <w:t>中国建设银行股份有限公司乌鲁木齐高新区支行</w:t>
            </w:r>
          </w:p>
          <w:p>
            <w:pPr>
              <w:pStyle w:val="42"/>
              <w:widowControl w:val="0"/>
              <w:wordWrap/>
              <w:adjustRightInd w:val="0"/>
              <w:snapToGrid w:val="0"/>
              <w:spacing w:line="440" w:lineRule="exact"/>
              <w:ind w:left="0" w:leftChars="0" w:firstLine="0" w:firstLineChars="0"/>
              <w:jc w:val="both"/>
              <w:textAlignment w:val="auto"/>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开户账号：</w:t>
            </w:r>
            <w:r>
              <w:rPr>
                <w:rFonts w:hint="eastAsia" w:ascii="仿宋_GB2312" w:hAnsi="仿宋_GB2312" w:eastAsia="仿宋_GB2312" w:cs="仿宋_GB2312"/>
                <w:bCs/>
                <w:sz w:val="28"/>
                <w:szCs w:val="28"/>
                <w:lang w:val="en-US" w:eastAsia="zh-CN"/>
              </w:rPr>
              <w:t>65050188863700001562</w:t>
            </w:r>
          </w:p>
          <w:p>
            <w:pPr>
              <w:pStyle w:val="41"/>
              <w:snapToGrid w:val="0"/>
              <w:spacing w:line="440" w:lineRule="exact"/>
              <w:jc w:val="both"/>
              <w:rPr>
                <w:rFonts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招标代理服务费缴纳账号：（同上）</w:t>
            </w:r>
          </w:p>
          <w:p>
            <w:pPr>
              <w:spacing w:line="440" w:lineRule="exact"/>
              <w:ind w:firstLine="0" w:firstLineChars="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注：1.投标保证金不得以现金的方式和其他的形式缴纳，不得以分公司、办事处或其他机构名义缴纳，投标人在缴纳保证金时，需在进账凭证上明确投标项目。</w:t>
            </w:r>
          </w:p>
          <w:p>
            <w:pPr>
              <w:pStyle w:val="41"/>
              <w:snapToGrid w:val="0"/>
              <w:spacing w:line="440" w:lineRule="exact"/>
              <w:jc w:val="both"/>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sz w:val="28"/>
                <w:szCs w:val="28"/>
              </w:rPr>
              <w:t xml:space="preserve">   2.投标保证金有效期同投标有效期一致。</w:t>
            </w:r>
          </w:p>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b/>
                <w:bCs/>
                <w:szCs w:val="28"/>
              </w:rPr>
              <w:t xml:space="preserve">   3.</w:t>
            </w:r>
            <w:r>
              <w:rPr>
                <w:rFonts w:hint="eastAsia" w:ascii="仿宋_GB2312" w:hAnsi="仿宋_GB2312" w:eastAsia="仿宋_GB2312" w:cs="仿宋_GB2312"/>
                <w:b/>
                <w:bCs/>
                <w:kern w:val="0"/>
                <w:szCs w:val="28"/>
              </w:rPr>
              <w:t>未按上述时间规定提交投标保证金的视为弃标。</w:t>
            </w:r>
          </w:p>
        </w:tc>
      </w:tr>
      <w:tr>
        <w:trPr>
          <w:trHeight w:val="567" w:hRule="atLeast"/>
        </w:trPr>
        <w:tc>
          <w:tcPr>
            <w:tcW w:w="1153"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18.1</w:t>
            </w: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投标有效期</w:t>
            </w:r>
          </w:p>
        </w:tc>
        <w:tc>
          <w:tcPr>
            <w:tcW w:w="6030" w:type="dxa"/>
            <w:tcBorders>
              <w:lef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自投标截止时间之日起90日历日</w:t>
            </w:r>
          </w:p>
        </w:tc>
      </w:tr>
      <w:tr>
        <w:trPr>
          <w:trHeight w:val="567" w:hRule="atLeast"/>
        </w:trPr>
        <w:tc>
          <w:tcPr>
            <w:tcW w:w="1153"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19.1</w:t>
            </w: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投标文件份数</w:t>
            </w:r>
          </w:p>
        </w:tc>
        <w:tc>
          <w:tcPr>
            <w:tcW w:w="6030" w:type="dxa"/>
            <w:tcBorders>
              <w:lef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b/>
                <w:szCs w:val="28"/>
              </w:rPr>
              <w:t>纸质版文件</w:t>
            </w:r>
            <w:r>
              <w:rPr>
                <w:rFonts w:hint="eastAsia" w:ascii="仿宋_GB2312" w:hAnsi="仿宋_GB2312" w:eastAsia="仿宋_GB2312" w:cs="仿宋_GB2312"/>
                <w:szCs w:val="28"/>
              </w:rPr>
              <w:t>：资格证明文件正本1份，</w:t>
            </w:r>
          </w:p>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投标文件正本1份、副本</w:t>
            </w:r>
            <w:r>
              <w:rPr>
                <w:rFonts w:hint="eastAsia" w:ascii="仿宋_GB2312" w:hAnsi="仿宋_GB2312" w:eastAsia="仿宋_GB2312" w:cs="仿宋_GB2312"/>
                <w:szCs w:val="28"/>
                <w:lang w:val="en-US" w:eastAsia="zh-CN"/>
              </w:rPr>
              <w:t>4</w:t>
            </w:r>
            <w:r>
              <w:rPr>
                <w:rFonts w:hint="eastAsia" w:ascii="仿宋_GB2312" w:hAnsi="仿宋_GB2312" w:eastAsia="仿宋_GB2312" w:cs="仿宋_GB2312"/>
                <w:szCs w:val="28"/>
              </w:rPr>
              <w:t>份，</w:t>
            </w:r>
          </w:p>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b/>
                <w:szCs w:val="28"/>
              </w:rPr>
              <w:t>电子版文件</w:t>
            </w:r>
            <w:r>
              <w:rPr>
                <w:rFonts w:hint="eastAsia" w:ascii="仿宋_GB2312" w:hAnsi="仿宋_GB2312" w:eastAsia="仿宋_GB2312" w:cs="仿宋_GB2312"/>
                <w:szCs w:val="28"/>
              </w:rPr>
              <w:t>：壹份（以U盘形式递交）；</w:t>
            </w:r>
          </w:p>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投标文件电子版要求包含投标文件全部内容，投标文件电子版与纸质版文件不一致时以纸质版文件为准，凡进入开标、唱标程序的投标文件概不退还。</w:t>
            </w:r>
            <w:r>
              <w:rPr>
                <w:rFonts w:hint="eastAsia" w:ascii="仿宋_GB2312" w:hAnsi="仿宋_GB2312" w:eastAsia="仿宋_GB2312" w:cs="仿宋_GB2312"/>
                <w:b/>
                <w:szCs w:val="28"/>
              </w:rPr>
              <w:t>投标文件必须使用胶粘装订，如果出现拉杆或活页装订将导致投标无效。</w:t>
            </w:r>
          </w:p>
        </w:tc>
      </w:tr>
      <w:tr>
        <w:trPr>
          <w:trHeight w:val="567" w:hRule="atLeast"/>
        </w:trPr>
        <w:tc>
          <w:tcPr>
            <w:tcW w:w="8941" w:type="dxa"/>
            <w:gridSpan w:val="4"/>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四</w:t>
            </w:r>
            <w:r>
              <w:rPr>
                <w:rFonts w:hint="eastAsia" w:ascii="仿宋_GB2312" w:hAnsi="仿宋_GB2312" w:eastAsia="仿宋_GB2312" w:cs="仿宋_GB2312"/>
                <w:b/>
                <w:kern w:val="0"/>
                <w:szCs w:val="28"/>
              </w:rPr>
              <w:t xml:space="preserve">. </w:t>
            </w:r>
            <w:r>
              <w:rPr>
                <w:rFonts w:hint="eastAsia" w:ascii="仿宋_GB2312" w:hAnsi="仿宋_GB2312" w:eastAsia="仿宋_GB2312" w:cs="仿宋_GB2312"/>
                <w:szCs w:val="28"/>
              </w:rPr>
              <w:t>投标文件的递交</w:t>
            </w:r>
          </w:p>
        </w:tc>
      </w:tr>
      <w:tr>
        <w:trPr>
          <w:trHeight w:val="567" w:hRule="atLeast"/>
        </w:trPr>
        <w:tc>
          <w:tcPr>
            <w:tcW w:w="1153"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20.2</w:t>
            </w: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封套上应载明的信息</w:t>
            </w:r>
          </w:p>
        </w:tc>
        <w:tc>
          <w:tcPr>
            <w:tcW w:w="6030" w:type="dxa"/>
            <w:tcBorders>
              <w:lef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项目名称：投标文件正本／副本／电子版</w:t>
            </w:r>
          </w:p>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项目编号：</w:t>
            </w:r>
          </w:p>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投标人名称：</w:t>
            </w:r>
          </w:p>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投标人地址：</w:t>
            </w:r>
          </w:p>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联系人：</w:t>
            </w:r>
          </w:p>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在投标截止时间    年  月  日  :  （北京时间）前不得启封</w:t>
            </w:r>
          </w:p>
        </w:tc>
      </w:tr>
      <w:tr>
        <w:trPr>
          <w:trHeight w:val="567" w:hRule="atLeast"/>
        </w:trPr>
        <w:tc>
          <w:tcPr>
            <w:tcW w:w="1153"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22.1</w:t>
            </w: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投标文件的递交地点</w:t>
            </w:r>
          </w:p>
        </w:tc>
        <w:tc>
          <w:tcPr>
            <w:tcW w:w="6030" w:type="dxa"/>
            <w:tcBorders>
              <w:left w:val="single" w:color="auto" w:sz="4" w:space="0"/>
            </w:tcBorders>
            <w:vAlign w:val="center"/>
          </w:tcPr>
          <w:p>
            <w:pPr>
              <w:spacing w:line="44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lang w:val="en-US" w:eastAsia="zh-CN"/>
              </w:rPr>
              <w:t>乌鲁木齐高新区（新市区）北京南路591号自治区广播电视局高层南楼1203室</w:t>
            </w:r>
          </w:p>
        </w:tc>
      </w:tr>
      <w:tr>
        <w:trPr>
          <w:trHeight w:val="567" w:hRule="atLeast"/>
        </w:trPr>
        <w:tc>
          <w:tcPr>
            <w:tcW w:w="1153"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22.2</w:t>
            </w: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样品</w:t>
            </w:r>
          </w:p>
        </w:tc>
        <w:tc>
          <w:tcPr>
            <w:tcW w:w="6030" w:type="dxa"/>
            <w:tcBorders>
              <w:lef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sym w:font="Wingdings 2" w:char="0052"/>
            </w:r>
            <w:r>
              <w:rPr>
                <w:rFonts w:hint="eastAsia" w:ascii="仿宋_GB2312" w:hAnsi="仿宋_GB2312" w:eastAsia="仿宋_GB2312" w:cs="仿宋_GB2312"/>
                <w:szCs w:val="28"/>
              </w:rPr>
              <w:t>无</w:t>
            </w:r>
          </w:p>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sym w:font="Wingdings 2" w:char="00A3"/>
            </w:r>
            <w:r>
              <w:rPr>
                <w:rFonts w:hint="eastAsia" w:ascii="仿宋_GB2312" w:hAnsi="仿宋_GB2312" w:eastAsia="仿宋_GB2312" w:cs="仿宋_GB2312"/>
                <w:szCs w:val="28"/>
              </w:rPr>
              <w:t>有</w:t>
            </w:r>
          </w:p>
        </w:tc>
      </w:tr>
      <w:tr>
        <w:trPr>
          <w:trHeight w:val="567" w:hRule="atLeast"/>
        </w:trPr>
        <w:tc>
          <w:tcPr>
            <w:tcW w:w="8941" w:type="dxa"/>
            <w:gridSpan w:val="4"/>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五</w:t>
            </w:r>
            <w:r>
              <w:rPr>
                <w:rFonts w:hint="eastAsia" w:ascii="仿宋_GB2312" w:hAnsi="仿宋_GB2312" w:eastAsia="仿宋_GB2312" w:cs="仿宋_GB2312"/>
                <w:b/>
                <w:kern w:val="0"/>
                <w:szCs w:val="28"/>
              </w:rPr>
              <w:t xml:space="preserve">. </w:t>
            </w:r>
            <w:r>
              <w:rPr>
                <w:rFonts w:hint="eastAsia" w:ascii="仿宋_GB2312" w:hAnsi="仿宋_GB2312" w:eastAsia="仿宋_GB2312" w:cs="仿宋_GB2312"/>
                <w:szCs w:val="28"/>
              </w:rPr>
              <w:t>开标和评标</w:t>
            </w:r>
          </w:p>
        </w:tc>
      </w:tr>
      <w:tr>
        <w:trPr>
          <w:trHeight w:val="567" w:hRule="atLeast"/>
        </w:trPr>
        <w:tc>
          <w:tcPr>
            <w:tcW w:w="1216" w:type="dxa"/>
            <w:gridSpan w:val="2"/>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23.1</w:t>
            </w:r>
          </w:p>
        </w:tc>
        <w:tc>
          <w:tcPr>
            <w:tcW w:w="1695"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开标时间和地点</w:t>
            </w:r>
          </w:p>
        </w:tc>
        <w:tc>
          <w:tcPr>
            <w:tcW w:w="6030" w:type="dxa"/>
            <w:vAlign w:val="center"/>
          </w:tcPr>
          <w:p>
            <w:pPr>
              <w:pStyle w:val="35"/>
              <w:spacing w:line="440" w:lineRule="exact"/>
              <w:rPr>
                <w:rFonts w:ascii="仿宋_GB2312" w:hAnsi="仿宋_GB2312" w:eastAsia="仿宋_GB2312" w:cs="仿宋_GB2312"/>
                <w:spacing w:val="-16"/>
                <w:szCs w:val="28"/>
              </w:rPr>
            </w:pPr>
            <w:r>
              <w:rPr>
                <w:rFonts w:hint="eastAsia" w:ascii="仿宋_GB2312" w:hAnsi="仿宋_GB2312" w:eastAsia="仿宋_GB2312" w:cs="仿宋_GB2312"/>
                <w:szCs w:val="28"/>
              </w:rPr>
              <w:t>开标</w:t>
            </w:r>
            <w:r>
              <w:rPr>
                <w:rFonts w:hint="eastAsia" w:ascii="仿宋_GB2312" w:hAnsi="仿宋_GB2312" w:eastAsia="仿宋_GB2312" w:cs="仿宋_GB2312"/>
                <w:szCs w:val="28"/>
                <w:lang w:val="zh-CN"/>
              </w:rPr>
              <w:t>时间：</w:t>
            </w:r>
            <w:r>
              <w:rPr>
                <w:rFonts w:hint="eastAsia" w:ascii="仿宋_GB2312" w:hAnsi="仿宋_GB2312" w:eastAsia="仿宋_GB2312" w:cs="仿宋_GB2312"/>
                <w:color w:val="FF0000"/>
                <w:sz w:val="28"/>
                <w:szCs w:val="28"/>
              </w:rPr>
              <w:t>20</w:t>
            </w:r>
            <w:r>
              <w:rPr>
                <w:rFonts w:hint="eastAsia" w:ascii="仿宋_GB2312" w:hAnsi="仿宋_GB2312" w:eastAsia="仿宋_GB2312" w:cs="仿宋_GB2312"/>
                <w:color w:val="FF0000"/>
                <w:sz w:val="28"/>
                <w:szCs w:val="28"/>
                <w:lang w:val="en-US" w:eastAsia="zh-CN"/>
              </w:rPr>
              <w:t>21</w:t>
            </w:r>
            <w:r>
              <w:rPr>
                <w:rFonts w:hint="eastAsia" w:ascii="仿宋_GB2312" w:hAnsi="仿宋_GB2312" w:eastAsia="仿宋_GB2312" w:cs="仿宋_GB2312"/>
                <w:color w:val="FF0000"/>
                <w:sz w:val="28"/>
                <w:szCs w:val="28"/>
                <w:lang w:val="zh-CN"/>
              </w:rPr>
              <w:t>年</w:t>
            </w:r>
            <w:r>
              <w:rPr>
                <w:rFonts w:hint="eastAsia" w:ascii="仿宋_GB2312" w:hAnsi="仿宋_GB2312" w:eastAsia="仿宋_GB2312" w:cs="仿宋_GB2312"/>
                <w:color w:val="FF0000"/>
                <w:sz w:val="28"/>
                <w:szCs w:val="28"/>
                <w:lang w:val="en-US" w:eastAsia="zh-CN"/>
              </w:rPr>
              <w:t>11月25日</w:t>
            </w:r>
            <w:r>
              <w:rPr>
                <w:rFonts w:hint="eastAsia" w:ascii="仿宋_GB2312" w:hAnsi="仿宋_GB2312" w:eastAsia="仿宋_GB2312" w:cs="仿宋_GB2312"/>
                <w:color w:val="FF0000"/>
                <w:sz w:val="28"/>
                <w:szCs w:val="28"/>
                <w:lang w:val="zh-CN"/>
              </w:rPr>
              <w:t>上午</w:t>
            </w:r>
            <w:r>
              <w:rPr>
                <w:rFonts w:hint="eastAsia" w:ascii="仿宋_GB2312" w:hAnsi="仿宋_GB2312" w:eastAsia="仿宋_GB2312" w:cs="仿宋_GB2312"/>
                <w:color w:val="FF0000"/>
                <w:sz w:val="28"/>
                <w:szCs w:val="28"/>
              </w:rPr>
              <w:t>1</w:t>
            </w:r>
            <w:r>
              <w:rPr>
                <w:rFonts w:hint="eastAsia" w:ascii="仿宋_GB2312" w:hAnsi="仿宋_GB2312" w:eastAsia="仿宋_GB2312" w:cs="仿宋_GB2312"/>
                <w:color w:val="FF0000"/>
                <w:sz w:val="28"/>
                <w:szCs w:val="28"/>
                <w:lang w:val="en-US" w:eastAsia="zh-CN"/>
              </w:rPr>
              <w:t>1</w:t>
            </w:r>
            <w:r>
              <w:rPr>
                <w:rFonts w:hint="eastAsia" w:ascii="仿宋_GB2312" w:hAnsi="仿宋_GB2312" w:eastAsia="仿宋_GB2312" w:cs="仿宋_GB2312"/>
                <w:color w:val="FF0000"/>
                <w:sz w:val="28"/>
                <w:szCs w:val="28"/>
              </w:rPr>
              <w:t>时</w:t>
            </w:r>
            <w:r>
              <w:rPr>
                <w:rFonts w:hint="eastAsia" w:ascii="仿宋_GB2312" w:hAnsi="仿宋_GB2312" w:eastAsia="仿宋_GB2312" w:cs="仿宋_GB2312"/>
                <w:color w:val="FF0000"/>
                <w:sz w:val="28"/>
                <w:szCs w:val="28"/>
                <w:lang w:val="en-US" w:eastAsia="zh-CN"/>
              </w:rPr>
              <w:t>0</w:t>
            </w:r>
            <w:r>
              <w:rPr>
                <w:rFonts w:hint="eastAsia" w:ascii="仿宋_GB2312" w:hAnsi="仿宋_GB2312" w:eastAsia="仿宋_GB2312" w:cs="仿宋_GB2312"/>
                <w:color w:val="FF0000"/>
                <w:sz w:val="28"/>
                <w:szCs w:val="28"/>
              </w:rPr>
              <w:t>0分</w:t>
            </w:r>
            <w:r>
              <w:rPr>
                <w:rFonts w:hint="eastAsia" w:ascii="仿宋_GB2312" w:hAnsi="仿宋_GB2312" w:eastAsia="仿宋_GB2312" w:cs="仿宋_GB2312"/>
                <w:bCs/>
                <w:color w:val="FF0000"/>
                <w:kern w:val="0"/>
                <w:sz w:val="28"/>
                <w:szCs w:val="28"/>
              </w:rPr>
              <w:t>（北京时间）</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spacing w:val="-16"/>
                <w:szCs w:val="28"/>
              </w:rPr>
              <w:t>逾期作自动放弃。</w:t>
            </w:r>
          </w:p>
          <w:p>
            <w:pPr>
              <w:pStyle w:val="35"/>
              <w:spacing w:line="440" w:lineRule="exact"/>
              <w:rPr>
                <w:rFonts w:ascii="仿宋_GB2312" w:hAnsi="仿宋_GB2312" w:eastAsia="仿宋_GB2312" w:cs="仿宋_GB2312"/>
                <w:szCs w:val="28"/>
                <w:highlight w:val="yellow"/>
              </w:rPr>
            </w:pPr>
            <w:r>
              <w:rPr>
                <w:rFonts w:hint="eastAsia" w:ascii="仿宋_GB2312" w:hAnsi="仿宋_GB2312" w:eastAsia="仿宋_GB2312" w:cs="仿宋_GB2312"/>
                <w:spacing w:val="-16"/>
                <w:szCs w:val="28"/>
              </w:rPr>
              <w:t>开标地点：</w:t>
            </w:r>
            <w:r>
              <w:rPr>
                <w:rFonts w:hint="eastAsia" w:ascii="仿宋_GB2312" w:hAnsi="仿宋_GB2312" w:eastAsia="仿宋_GB2312" w:cs="仿宋_GB2312"/>
                <w:sz w:val="28"/>
                <w:szCs w:val="28"/>
                <w:shd w:val="clear" w:color="auto" w:fill="FFFFFF"/>
                <w:lang w:val="en-US" w:eastAsia="zh-CN"/>
              </w:rPr>
              <w:t>乌鲁木齐高新区（新市区）北京南路591号自治区广播电视局高层南楼1203室</w:t>
            </w:r>
          </w:p>
        </w:tc>
      </w:tr>
      <w:tr>
        <w:trPr>
          <w:trHeight w:val="567" w:hRule="atLeast"/>
        </w:trPr>
        <w:tc>
          <w:tcPr>
            <w:tcW w:w="1216" w:type="dxa"/>
            <w:gridSpan w:val="2"/>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25.1</w:t>
            </w:r>
          </w:p>
        </w:tc>
        <w:tc>
          <w:tcPr>
            <w:tcW w:w="1695" w:type="dxa"/>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评标办法</w:t>
            </w:r>
          </w:p>
        </w:tc>
        <w:tc>
          <w:tcPr>
            <w:tcW w:w="6030" w:type="dxa"/>
            <w:tcBorders>
              <w:lef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sym w:font="Wingdings 2" w:char="0052"/>
            </w:r>
            <w:r>
              <w:rPr>
                <w:rFonts w:hint="eastAsia" w:ascii="仿宋_GB2312" w:hAnsi="仿宋_GB2312" w:eastAsia="仿宋_GB2312" w:cs="仿宋_GB2312"/>
                <w:szCs w:val="28"/>
              </w:rPr>
              <w:t>综合评分法</w:t>
            </w:r>
          </w:p>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□最低评标价法</w:t>
            </w:r>
          </w:p>
        </w:tc>
      </w:tr>
      <w:tr>
        <w:trPr>
          <w:trHeight w:val="567" w:hRule="atLeast"/>
        </w:trPr>
        <w:tc>
          <w:tcPr>
            <w:tcW w:w="1216" w:type="dxa"/>
            <w:gridSpan w:val="2"/>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26.3</w:t>
            </w:r>
          </w:p>
        </w:tc>
        <w:tc>
          <w:tcPr>
            <w:tcW w:w="1695" w:type="dxa"/>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推荐的中标候选人数量</w:t>
            </w:r>
          </w:p>
        </w:tc>
        <w:tc>
          <w:tcPr>
            <w:tcW w:w="6030" w:type="dxa"/>
            <w:tcBorders>
              <w:lef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3个</w:t>
            </w:r>
          </w:p>
        </w:tc>
      </w:tr>
      <w:tr>
        <w:trPr>
          <w:trHeight w:val="567" w:hRule="atLeast"/>
        </w:trPr>
        <w:tc>
          <w:tcPr>
            <w:tcW w:w="8941" w:type="dxa"/>
            <w:gridSpan w:val="4"/>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六</w:t>
            </w:r>
            <w:r>
              <w:rPr>
                <w:rFonts w:hint="eastAsia" w:ascii="仿宋_GB2312" w:hAnsi="仿宋_GB2312" w:eastAsia="仿宋_GB2312" w:cs="仿宋_GB2312"/>
                <w:b/>
                <w:kern w:val="0"/>
                <w:szCs w:val="28"/>
              </w:rPr>
              <w:t xml:space="preserve">. </w:t>
            </w:r>
            <w:r>
              <w:rPr>
                <w:rFonts w:hint="eastAsia" w:ascii="仿宋_GB2312" w:hAnsi="仿宋_GB2312" w:eastAsia="仿宋_GB2312" w:cs="仿宋_GB2312"/>
                <w:szCs w:val="28"/>
              </w:rPr>
              <w:t>中标结果信息公布与授予合同</w:t>
            </w:r>
          </w:p>
        </w:tc>
      </w:tr>
      <w:tr>
        <w:trPr>
          <w:trHeight w:val="567" w:hRule="atLeast"/>
        </w:trPr>
        <w:tc>
          <w:tcPr>
            <w:tcW w:w="1216" w:type="dxa"/>
            <w:gridSpan w:val="2"/>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30.1</w:t>
            </w:r>
          </w:p>
        </w:tc>
        <w:tc>
          <w:tcPr>
            <w:tcW w:w="1695" w:type="dxa"/>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财政部门指定的媒体</w:t>
            </w:r>
          </w:p>
        </w:tc>
        <w:tc>
          <w:tcPr>
            <w:tcW w:w="6030" w:type="dxa"/>
            <w:tcBorders>
              <w:lef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新疆维吾尔自治区政府采购网</w:t>
            </w:r>
          </w:p>
        </w:tc>
      </w:tr>
      <w:tr>
        <w:trPr>
          <w:trHeight w:val="567" w:hRule="atLeast"/>
        </w:trPr>
        <w:tc>
          <w:tcPr>
            <w:tcW w:w="8941" w:type="dxa"/>
            <w:gridSpan w:val="4"/>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七、其他规定</w:t>
            </w:r>
          </w:p>
        </w:tc>
      </w:tr>
      <w:tr>
        <w:trPr>
          <w:trHeight w:val="567" w:hRule="atLeast"/>
        </w:trPr>
        <w:tc>
          <w:tcPr>
            <w:tcW w:w="1153"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35.1</w:t>
            </w: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采购代理费</w:t>
            </w:r>
          </w:p>
        </w:tc>
        <w:tc>
          <w:tcPr>
            <w:tcW w:w="6030" w:type="dxa"/>
            <w:tcBorders>
              <w:lef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中标人在收到中标通知书后，须向</w:t>
            </w:r>
            <w:r>
              <w:rPr>
                <w:rFonts w:hint="eastAsia" w:ascii="仿宋_GB2312" w:hAnsi="仿宋_GB2312" w:eastAsia="仿宋_GB2312" w:cs="仿宋_GB2312"/>
                <w:sz w:val="28"/>
                <w:szCs w:val="28"/>
                <w:lang w:val="en-US" w:eastAsia="zh-CN"/>
              </w:rPr>
              <w:t>新疆崇业招标代理有限公司</w:t>
            </w:r>
            <w:r>
              <w:rPr>
                <w:rFonts w:hint="eastAsia" w:ascii="仿宋_GB2312" w:hAnsi="仿宋_GB2312" w:eastAsia="仿宋_GB2312" w:cs="仿宋_GB2312"/>
                <w:szCs w:val="28"/>
              </w:rPr>
              <w:t>支付采购代理费。</w:t>
            </w:r>
          </w:p>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lang w:val="zh-CN"/>
              </w:rPr>
              <w:t>收费标准：按照国家计委计价格[2002]1980号文件《招标代理服务收费管理暂行办法》、《发改办价格〔2011〕534号》和国家发改办价格[2003]857号《关于招标代理服务收费有关问题的通知》的收费标准执行（货物、服务低于</w:t>
            </w:r>
            <w:r>
              <w:rPr>
                <w:rFonts w:hint="eastAsia" w:ascii="仿宋_GB2312" w:hAnsi="仿宋_GB2312" w:eastAsia="仿宋_GB2312" w:cs="仿宋_GB2312"/>
                <w:szCs w:val="28"/>
              </w:rPr>
              <w:t>30万、工程低于50万</w:t>
            </w:r>
            <w:r>
              <w:rPr>
                <w:rFonts w:hint="eastAsia" w:ascii="仿宋_GB2312" w:hAnsi="仿宋_GB2312" w:eastAsia="仿宋_GB2312" w:cs="仿宋_GB2312"/>
                <w:szCs w:val="28"/>
                <w:lang w:val="zh-CN"/>
              </w:rPr>
              <w:t>按2000元收取）。</w:t>
            </w:r>
          </w:p>
        </w:tc>
      </w:tr>
      <w:tr>
        <w:trPr>
          <w:trHeight w:val="567" w:hRule="atLeast"/>
        </w:trPr>
        <w:tc>
          <w:tcPr>
            <w:tcW w:w="1153"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35.2</w:t>
            </w:r>
          </w:p>
        </w:tc>
        <w:tc>
          <w:tcPr>
            <w:tcW w:w="1758" w:type="dxa"/>
            <w:gridSpan w:val="2"/>
            <w:tcBorders>
              <w:right w:val="single" w:color="auto" w:sz="4" w:space="0"/>
            </w:tcBorders>
            <w:vAlign w:val="center"/>
          </w:tcPr>
          <w:p>
            <w:pPr>
              <w:pStyle w:val="35"/>
              <w:spacing w:line="440" w:lineRule="exact"/>
              <w:rPr>
                <w:rFonts w:ascii="仿宋_GB2312" w:hAnsi="仿宋_GB2312" w:eastAsia="仿宋_GB2312" w:cs="仿宋_GB2312"/>
                <w:color w:val="000000"/>
                <w:szCs w:val="28"/>
              </w:rPr>
            </w:pPr>
            <w:r>
              <w:rPr>
                <w:rFonts w:hint="eastAsia" w:ascii="仿宋_GB2312" w:hAnsi="仿宋_GB2312" w:eastAsia="仿宋_GB2312" w:cs="仿宋_GB2312"/>
                <w:color w:val="000000"/>
                <w:szCs w:val="28"/>
              </w:rPr>
              <w:t>招标会现场投标人需提供的证件，复印件加盖公章</w:t>
            </w:r>
          </w:p>
        </w:tc>
        <w:tc>
          <w:tcPr>
            <w:tcW w:w="6030" w:type="dxa"/>
            <w:tcBorders>
              <w:left w:val="single" w:color="auto" w:sz="4" w:space="0"/>
            </w:tcBorders>
            <w:vAlign w:val="center"/>
          </w:tcPr>
          <w:p>
            <w:pPr>
              <w:pStyle w:val="35"/>
              <w:spacing w:line="440" w:lineRule="exact"/>
              <w:rPr>
                <w:rFonts w:ascii="仿宋_GB2312" w:hAnsi="仿宋_GB2312" w:eastAsia="仿宋_GB2312" w:cs="仿宋_GB2312"/>
                <w:color w:val="000000"/>
                <w:szCs w:val="28"/>
              </w:rPr>
            </w:pPr>
            <w:r>
              <w:rPr>
                <w:rFonts w:hint="eastAsia" w:ascii="仿宋_GB2312" w:hAnsi="仿宋_GB2312" w:eastAsia="仿宋_GB2312" w:cs="仿宋_GB2312"/>
                <w:color w:val="000000"/>
                <w:szCs w:val="28"/>
              </w:rPr>
              <w:t>开标前，将由监标人员和招标人审查投标人下列资格证件复印件加盖公章：</w:t>
            </w:r>
          </w:p>
          <w:p>
            <w:pPr>
              <w:pStyle w:val="35"/>
              <w:spacing w:line="440" w:lineRule="exact"/>
              <w:rPr>
                <w:rFonts w:ascii="仿宋_GB2312" w:hAnsi="仿宋_GB2312" w:eastAsia="仿宋_GB2312" w:cs="仿宋_GB2312"/>
                <w:color w:val="000000"/>
                <w:szCs w:val="28"/>
              </w:rPr>
            </w:pPr>
            <w:r>
              <w:rPr>
                <w:rFonts w:hint="eastAsia" w:ascii="仿宋_GB2312" w:hAnsi="仿宋_GB2312" w:eastAsia="仿宋_GB2312" w:cs="仿宋_GB2312"/>
                <w:sz w:val="28"/>
                <w:szCs w:val="28"/>
                <w:lang w:val="en-US" w:eastAsia="zh-CN"/>
              </w:rPr>
              <w:t>开标</w:t>
            </w:r>
            <w:r>
              <w:rPr>
                <w:rFonts w:hint="eastAsia" w:ascii="仿宋_GB2312" w:hAnsi="仿宋_GB2312" w:eastAsia="仿宋_GB2312" w:cs="仿宋_GB2312"/>
                <w:sz w:val="28"/>
                <w:szCs w:val="28"/>
              </w:rPr>
              <w:t>时法定代表人需携带法定代表人身份证明书原件及身份证原件（委托代理人购买需携带法人代表授权委托书原件及本人身份证原件）、营业执照副本、</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信用中国”（www.creditchina.gov.cn）和中国政府采购网（www.ccgp.gov.cn）网站上未被列入失信被执行人、重大税收违法案件当事人名单以及政府采购严重违法失信行为记录名单的网页打印件（网页打印件须自招标公告发布之日起至首次提交投标文件截止时间内从上述网站中打印）以上资料复印件加盖公章一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否则投标无效。</w:t>
            </w:r>
          </w:p>
        </w:tc>
      </w:tr>
      <w:tr>
        <w:trPr>
          <w:trHeight w:val="567" w:hRule="atLeast"/>
        </w:trPr>
        <w:tc>
          <w:tcPr>
            <w:tcW w:w="1153"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35.3</w:t>
            </w:r>
          </w:p>
        </w:tc>
        <w:tc>
          <w:tcPr>
            <w:tcW w:w="1758" w:type="dxa"/>
            <w:gridSpan w:val="2"/>
            <w:tcBorders>
              <w:right w:val="single" w:color="auto" w:sz="4" w:space="0"/>
            </w:tcBorders>
            <w:vAlign w:val="center"/>
          </w:tcPr>
          <w:p>
            <w:pPr>
              <w:pStyle w:val="35"/>
              <w:spacing w:line="440" w:lineRule="exact"/>
              <w:jc w:val="center"/>
              <w:rPr>
                <w:rFonts w:ascii="仿宋_GB2312" w:hAnsi="仿宋_GB2312" w:eastAsia="仿宋_GB2312" w:cs="仿宋_GB2312"/>
                <w:szCs w:val="28"/>
              </w:rPr>
            </w:pPr>
            <w:r>
              <w:rPr>
                <w:rFonts w:hint="eastAsia" w:ascii="仿宋_GB2312" w:hAnsi="仿宋_GB2312" w:eastAsia="仿宋_GB2312" w:cs="仿宋_GB2312"/>
                <w:szCs w:val="28"/>
              </w:rPr>
              <w:t>其他</w:t>
            </w:r>
          </w:p>
        </w:tc>
        <w:tc>
          <w:tcPr>
            <w:tcW w:w="6030" w:type="dxa"/>
            <w:tcBorders>
              <w:left w:val="single" w:color="auto" w:sz="4" w:space="0"/>
            </w:tcBorders>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除法律、法规和规章规定外，招标文件中用“拒绝”、“不接受”、“无效”、“不得”等文字规定或标注“★”符号的条款为实质性要求条款（即重要条款），对其中任何一条的偏离，在评标时将其视为无效投标。未用上述文字规定或符号标注的条款为非实质性要求条款（即一般条款）。</w:t>
            </w:r>
          </w:p>
        </w:tc>
      </w:tr>
      <w:tr>
        <w:trPr>
          <w:trHeight w:val="1120" w:hRule="atLeast"/>
        </w:trPr>
        <w:tc>
          <w:tcPr>
            <w:tcW w:w="1153"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 xml:space="preserve">  36</w:t>
            </w:r>
          </w:p>
        </w:tc>
        <w:tc>
          <w:tcPr>
            <w:tcW w:w="1758" w:type="dxa"/>
            <w:gridSpan w:val="2"/>
            <w:tcBorders>
              <w:right w:val="single" w:color="auto" w:sz="4" w:space="0"/>
            </w:tcBorders>
            <w:vAlign w:val="center"/>
          </w:tcPr>
          <w:p>
            <w:pPr>
              <w:pStyle w:val="35"/>
              <w:spacing w:line="440" w:lineRule="exact"/>
              <w:jc w:val="center"/>
              <w:rPr>
                <w:rFonts w:ascii="仿宋_GB2312" w:hAnsi="仿宋_GB2312" w:eastAsia="仿宋_GB2312" w:cs="仿宋_GB2312"/>
                <w:szCs w:val="28"/>
              </w:rPr>
            </w:pPr>
            <w:r>
              <w:rPr>
                <w:rFonts w:hint="eastAsia" w:ascii="仿宋_GB2312" w:hAnsi="仿宋_GB2312" w:eastAsia="仿宋_GB2312" w:cs="仿宋_GB2312"/>
                <w:szCs w:val="28"/>
              </w:rPr>
              <w:t>履约保证金</w:t>
            </w:r>
          </w:p>
        </w:tc>
        <w:tc>
          <w:tcPr>
            <w:tcW w:w="6030" w:type="dxa"/>
            <w:tcBorders>
              <w:left w:val="single" w:color="auto" w:sz="4" w:space="0"/>
            </w:tcBorders>
            <w:vAlign w:val="center"/>
          </w:tcPr>
          <w:p>
            <w:pPr>
              <w:pStyle w:val="41"/>
              <w:snapToGrid w:val="0"/>
              <w:spacing w:line="440" w:lineRule="exact"/>
              <w:jc w:val="both"/>
              <w:rPr>
                <w:rFonts w:ascii="仿宋_GB2312" w:hAnsi="仿宋_GB2312" w:eastAsia="仿宋_GB2312" w:cs="仿宋_GB2312"/>
                <w:color w:val="FF0000"/>
                <w:sz w:val="28"/>
                <w:szCs w:val="28"/>
                <w:highlight w:val="none"/>
              </w:rPr>
            </w:pPr>
            <w:r>
              <w:rPr>
                <w:rFonts w:hint="eastAsia" w:ascii="仿宋_GB2312" w:hAnsi="仿宋_GB2312" w:eastAsia="仿宋_GB2312" w:cs="仿宋_GB2312"/>
                <w:color w:val="FF0000"/>
                <w:sz w:val="28"/>
                <w:szCs w:val="28"/>
                <w:highlight w:val="none"/>
              </w:rPr>
              <w:t>1.中标单位收到中标通知书后10日内（签订合同前）向采购人缴纳中标金额</w:t>
            </w:r>
            <w:r>
              <w:rPr>
                <w:rFonts w:hint="eastAsia" w:ascii="仿宋_GB2312" w:hAnsi="仿宋_GB2312" w:eastAsia="仿宋_GB2312" w:cs="仿宋_GB2312"/>
                <w:color w:val="FF0000"/>
                <w:sz w:val="28"/>
                <w:szCs w:val="28"/>
                <w:highlight w:val="none"/>
                <w:lang w:val="en-US" w:eastAsia="zh-CN"/>
              </w:rPr>
              <w:t>10</w:t>
            </w:r>
            <w:r>
              <w:rPr>
                <w:rFonts w:hint="eastAsia" w:ascii="仿宋_GB2312" w:hAnsi="仿宋_GB2312" w:eastAsia="仿宋_GB2312" w:cs="仿宋_GB2312"/>
                <w:color w:val="FF0000"/>
                <w:sz w:val="28"/>
                <w:szCs w:val="28"/>
                <w:highlight w:val="none"/>
              </w:rPr>
              <w:t>%的履约保证金。否则视为自动放弃中标资格，由第二中标候选人中标，以此类推。</w:t>
            </w:r>
          </w:p>
          <w:p>
            <w:pPr>
              <w:pStyle w:val="41"/>
              <w:snapToGrid w:val="0"/>
              <w:spacing w:line="44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2.履约保证金形式：转账</w:t>
            </w:r>
          </w:p>
          <w:p>
            <w:pPr>
              <w:pStyle w:val="41"/>
              <w:snapToGrid w:val="0"/>
              <w:spacing w:line="44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中标单位未按本文件规定缴纳履约保证金的，其投标保证金将不予退还。</w:t>
            </w:r>
          </w:p>
          <w:p>
            <w:pPr>
              <w:pStyle w:val="35"/>
              <w:spacing w:line="440" w:lineRule="exact"/>
              <w:rPr>
                <w:rFonts w:ascii="仿宋_GB2312" w:hAnsi="仿宋_GB2312" w:eastAsia="仿宋_GB2312" w:cs="仿宋_GB2312"/>
                <w:sz w:val="21"/>
                <w:szCs w:val="21"/>
              </w:rPr>
            </w:pPr>
            <w:r>
              <w:rPr>
                <w:rFonts w:hint="eastAsia" w:ascii="仿宋_GB2312" w:hAnsi="仿宋_GB2312" w:eastAsia="仿宋_GB2312" w:cs="仿宋_GB2312"/>
                <w:color w:val="000000"/>
                <w:szCs w:val="28"/>
              </w:rPr>
              <w:t>根据签订合同账户汇款</w:t>
            </w:r>
          </w:p>
        </w:tc>
      </w:tr>
      <w:tr>
        <w:trPr>
          <w:trHeight w:val="1120" w:hRule="atLeast"/>
        </w:trPr>
        <w:tc>
          <w:tcPr>
            <w:tcW w:w="1153" w:type="dxa"/>
            <w:vAlign w:val="center"/>
          </w:tcPr>
          <w:p>
            <w:pPr>
              <w:pStyle w:val="35"/>
              <w:spacing w:line="440" w:lineRule="exact"/>
              <w:rPr>
                <w:rFonts w:ascii="仿宋_GB2312" w:hAnsi="仿宋_GB2312" w:eastAsia="仿宋_GB2312" w:cs="仿宋_GB2312"/>
                <w:szCs w:val="28"/>
              </w:rPr>
            </w:pPr>
            <w:r>
              <w:rPr>
                <w:rFonts w:hint="eastAsia" w:ascii="仿宋_GB2312" w:hAnsi="仿宋_GB2312" w:eastAsia="仿宋_GB2312" w:cs="仿宋_GB2312"/>
                <w:szCs w:val="28"/>
              </w:rPr>
              <w:t xml:space="preserve">  37</w:t>
            </w:r>
          </w:p>
        </w:tc>
        <w:tc>
          <w:tcPr>
            <w:tcW w:w="1758" w:type="dxa"/>
            <w:gridSpan w:val="2"/>
            <w:tcBorders>
              <w:right w:val="single" w:color="auto" w:sz="4" w:space="0"/>
            </w:tcBorders>
            <w:vAlign w:val="center"/>
          </w:tcPr>
          <w:p>
            <w:pPr>
              <w:pStyle w:val="35"/>
              <w:spacing w:line="440" w:lineRule="exact"/>
              <w:jc w:val="center"/>
              <w:rPr>
                <w:rFonts w:ascii="仿宋_GB2312" w:hAnsi="仿宋_GB2312" w:eastAsia="仿宋_GB2312" w:cs="仿宋_GB2312"/>
                <w:szCs w:val="28"/>
              </w:rPr>
            </w:pPr>
            <w:r>
              <w:rPr>
                <w:rFonts w:hint="eastAsia" w:ascii="仿宋_GB2312" w:hAnsi="仿宋_GB2312" w:eastAsia="仿宋_GB2312" w:cs="仿宋_GB2312"/>
                <w:szCs w:val="28"/>
              </w:rPr>
              <w:t>备注</w:t>
            </w:r>
          </w:p>
        </w:tc>
        <w:tc>
          <w:tcPr>
            <w:tcW w:w="6030" w:type="dxa"/>
            <w:tcBorders>
              <w:left w:val="single" w:color="auto" w:sz="4" w:space="0"/>
            </w:tcBorders>
            <w:vAlign w:val="center"/>
          </w:tcPr>
          <w:p>
            <w:pPr>
              <w:pStyle w:val="35"/>
              <w:spacing w:line="440" w:lineRule="exact"/>
              <w:rPr>
                <w:rFonts w:ascii="仿宋_GB2312" w:hAnsi="仿宋_GB2312" w:eastAsia="仿宋_GB2312" w:cs="仿宋_GB2312"/>
                <w:color w:val="000000"/>
                <w:szCs w:val="28"/>
              </w:rPr>
            </w:pPr>
            <w:r>
              <w:rPr>
                <w:rFonts w:hint="eastAsia" w:ascii="仿宋_GB2312" w:hAnsi="仿宋_GB2312" w:eastAsia="仿宋_GB2312" w:cs="仿宋_GB2312"/>
                <w:szCs w:val="28"/>
              </w:rPr>
              <w:t>投标人</w:t>
            </w:r>
            <w:r>
              <w:rPr>
                <w:rFonts w:hint="eastAsia" w:ascii="仿宋_GB2312" w:hAnsi="仿宋_GB2312" w:eastAsia="仿宋_GB2312" w:cs="仿宋_GB2312"/>
                <w:szCs w:val="28"/>
                <w:lang w:val="zh-CN"/>
              </w:rPr>
              <w:t>应认真阅读招标文件所有的事项、格式、条款等，如</w:t>
            </w:r>
            <w:r>
              <w:rPr>
                <w:rFonts w:hint="eastAsia" w:ascii="仿宋_GB2312" w:hAnsi="仿宋_GB2312" w:eastAsia="仿宋_GB2312" w:cs="仿宋_GB2312"/>
                <w:szCs w:val="28"/>
              </w:rPr>
              <w:t>投标人</w:t>
            </w:r>
            <w:r>
              <w:rPr>
                <w:rFonts w:hint="eastAsia" w:ascii="仿宋_GB2312" w:hAnsi="仿宋_GB2312" w:eastAsia="仿宋_GB2312" w:cs="仿宋_GB2312"/>
                <w:szCs w:val="28"/>
                <w:lang w:val="zh-CN"/>
              </w:rPr>
              <w:t>没有按照招标文件要求提交资料，或者响应文件没有对招标文件做出实质性响应，可能导致其响应文件被认定为无效响应。为节能减排、保护环境，倡议响应文件双面打印。</w:t>
            </w:r>
          </w:p>
        </w:tc>
      </w:tr>
    </w:tbl>
    <w:p>
      <w:pPr>
        <w:pStyle w:val="41"/>
        <w:jc w:val="center"/>
        <w:outlineLvl w:val="1"/>
        <w:rPr>
          <w:rFonts w:ascii="宋体" w:hAnsi="宋体" w:cs="仿宋"/>
          <w:b/>
          <w:color w:val="auto"/>
          <w:sz w:val="36"/>
        </w:rPr>
      </w:pPr>
      <w:r>
        <w:rPr>
          <w:rFonts w:hint="eastAsia" w:ascii="仿宋" w:hAnsi="仿宋" w:eastAsia="仿宋" w:cs="仿宋"/>
          <w:b/>
          <w:color w:val="auto"/>
          <w:sz w:val="36"/>
        </w:rPr>
        <w:br w:type="page"/>
      </w:r>
      <w:r>
        <w:rPr>
          <w:rFonts w:hint="eastAsia" w:ascii="宋体" w:hAnsi="宋体" w:cs="宋体"/>
          <w:b/>
          <w:color w:val="auto"/>
          <w:sz w:val="32"/>
          <w:szCs w:val="32"/>
        </w:rPr>
        <w:t>投标须知正文</w:t>
      </w:r>
    </w:p>
    <w:p>
      <w:pPr>
        <w:pStyle w:val="41"/>
        <w:spacing w:line="460" w:lineRule="exact"/>
        <w:jc w:val="both"/>
        <w:outlineLvl w:val="1"/>
        <w:rPr>
          <w:rFonts w:ascii="宋体" w:hAnsi="宋体" w:cs="仿宋"/>
          <w:b/>
          <w:bCs/>
          <w:color w:val="auto"/>
          <w:sz w:val="32"/>
          <w:szCs w:val="32"/>
        </w:rPr>
      </w:pPr>
      <w:r>
        <w:rPr>
          <w:rFonts w:hint="eastAsia" w:ascii="宋体" w:hAnsi="宋体" w:cs="仿宋"/>
          <w:b/>
          <w:bCs/>
          <w:color w:val="auto"/>
          <w:sz w:val="32"/>
          <w:szCs w:val="32"/>
        </w:rPr>
        <w:t>一</w:t>
      </w:r>
      <w:r>
        <w:rPr>
          <w:rFonts w:hint="eastAsia" w:ascii="仿宋_GB2312" w:hAnsi="仿宋_GB2312" w:eastAsia="仿宋_GB2312" w:cs="仿宋_GB2312"/>
          <w:b/>
          <w:kern w:val="0"/>
          <w:sz w:val="28"/>
          <w:szCs w:val="28"/>
        </w:rPr>
        <w:t xml:space="preserve">. </w:t>
      </w:r>
      <w:r>
        <w:rPr>
          <w:rFonts w:hint="eastAsia" w:ascii="宋体" w:hAnsi="宋体" w:cs="仿宋"/>
          <w:b/>
          <w:bCs/>
          <w:color w:val="auto"/>
          <w:sz w:val="32"/>
          <w:szCs w:val="32"/>
        </w:rPr>
        <w:t>总  则</w:t>
      </w:r>
    </w:p>
    <w:p>
      <w:pPr>
        <w:adjustRightInd w:val="0"/>
        <w:snapToGrid w:val="0"/>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1．项目概况</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项目名称：详见</w:t>
      </w:r>
      <w:r>
        <w:rPr>
          <w:rFonts w:hint="eastAsia" w:ascii="仿宋_GB2312" w:hAnsi="仿宋_GB2312" w:eastAsia="仿宋_GB2312" w:cs="仿宋_GB2312"/>
          <w:b/>
          <w:bCs/>
          <w:color w:val="auto"/>
          <w:sz w:val="28"/>
          <w:szCs w:val="28"/>
        </w:rPr>
        <w:t>投标须知前附表</w:t>
      </w:r>
      <w:r>
        <w:rPr>
          <w:rFonts w:hint="eastAsia" w:ascii="仿宋_GB2312" w:hAnsi="仿宋_GB2312" w:eastAsia="仿宋_GB2312" w:cs="仿宋_GB2312"/>
          <w:color w:val="auto"/>
          <w:sz w:val="28"/>
          <w:szCs w:val="28"/>
        </w:rPr>
        <w:t>；</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招标范围：详见</w:t>
      </w:r>
      <w:r>
        <w:rPr>
          <w:rFonts w:hint="eastAsia" w:ascii="仿宋_GB2312" w:hAnsi="仿宋_GB2312" w:eastAsia="仿宋_GB2312" w:cs="仿宋_GB2312"/>
          <w:b/>
          <w:bCs/>
          <w:color w:val="auto"/>
          <w:sz w:val="28"/>
          <w:szCs w:val="28"/>
        </w:rPr>
        <w:t>投标须知前附表</w:t>
      </w:r>
      <w:r>
        <w:rPr>
          <w:rFonts w:hint="eastAsia" w:ascii="仿宋_GB2312" w:hAnsi="仿宋_GB2312" w:eastAsia="仿宋_GB2312" w:cs="仿宋_GB2312"/>
          <w:color w:val="auto"/>
          <w:sz w:val="28"/>
          <w:szCs w:val="28"/>
        </w:rPr>
        <w:t>；</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 项目地点：详见</w:t>
      </w:r>
      <w:r>
        <w:rPr>
          <w:rFonts w:hint="eastAsia" w:ascii="仿宋_GB2312" w:hAnsi="仿宋_GB2312" w:eastAsia="仿宋_GB2312" w:cs="仿宋_GB2312"/>
          <w:b/>
          <w:bCs/>
          <w:color w:val="auto"/>
          <w:sz w:val="28"/>
          <w:szCs w:val="28"/>
        </w:rPr>
        <w:t>投标须知前附表</w:t>
      </w:r>
      <w:r>
        <w:rPr>
          <w:rFonts w:hint="eastAsia" w:ascii="仿宋_GB2312" w:hAnsi="仿宋_GB2312" w:eastAsia="仿宋_GB2312" w:cs="仿宋_GB2312"/>
          <w:color w:val="auto"/>
          <w:sz w:val="28"/>
          <w:szCs w:val="28"/>
        </w:rPr>
        <w:t>；</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 招标方式：详见</w:t>
      </w:r>
      <w:r>
        <w:rPr>
          <w:rFonts w:hint="eastAsia" w:ascii="仿宋_GB2312" w:hAnsi="仿宋_GB2312" w:eastAsia="仿宋_GB2312" w:cs="仿宋_GB2312"/>
          <w:b/>
          <w:bCs/>
          <w:color w:val="auto"/>
          <w:sz w:val="28"/>
          <w:szCs w:val="28"/>
        </w:rPr>
        <w:t>投标须知前附表</w:t>
      </w:r>
      <w:r>
        <w:rPr>
          <w:rFonts w:hint="eastAsia" w:ascii="仿宋_GB2312" w:hAnsi="仿宋_GB2312" w:eastAsia="仿宋_GB2312" w:cs="仿宋_GB2312"/>
          <w:color w:val="auto"/>
          <w:sz w:val="28"/>
          <w:szCs w:val="28"/>
        </w:rPr>
        <w:t>；</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 交 货 期：详见</w:t>
      </w:r>
      <w:r>
        <w:rPr>
          <w:rFonts w:hint="eastAsia" w:ascii="仿宋_GB2312" w:hAnsi="仿宋_GB2312" w:eastAsia="仿宋_GB2312" w:cs="仿宋_GB2312"/>
          <w:b/>
          <w:bCs/>
          <w:color w:val="auto"/>
          <w:sz w:val="28"/>
          <w:szCs w:val="28"/>
        </w:rPr>
        <w:t>投标须知前附表</w:t>
      </w:r>
      <w:r>
        <w:rPr>
          <w:rFonts w:hint="eastAsia" w:ascii="仿宋_GB2312" w:hAnsi="仿宋_GB2312" w:eastAsia="仿宋_GB2312" w:cs="仿宋_GB2312"/>
          <w:color w:val="auto"/>
          <w:sz w:val="28"/>
          <w:szCs w:val="28"/>
        </w:rPr>
        <w:t>。</w:t>
      </w:r>
    </w:p>
    <w:p>
      <w:pPr>
        <w:adjustRightInd w:val="0"/>
        <w:snapToGrid w:val="0"/>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 定义</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 “采购人”是指依法进行政府采购的国家机关、事业单位、团体组织。采购人名称、地址、电话、联系人见</w:t>
      </w:r>
      <w:r>
        <w:rPr>
          <w:rFonts w:hint="eastAsia" w:ascii="仿宋_GB2312" w:hAnsi="仿宋_GB2312" w:eastAsia="仿宋_GB2312" w:cs="仿宋_GB2312"/>
          <w:b/>
          <w:bCs/>
          <w:color w:val="auto"/>
          <w:sz w:val="28"/>
          <w:szCs w:val="28"/>
        </w:rPr>
        <w:t>投标须知前附表</w:t>
      </w:r>
      <w:r>
        <w:rPr>
          <w:rFonts w:hint="eastAsia" w:ascii="仿宋_GB2312" w:hAnsi="仿宋_GB2312" w:eastAsia="仿宋_GB2312" w:cs="仿宋_GB2312"/>
          <w:color w:val="auto"/>
          <w:sz w:val="28"/>
          <w:szCs w:val="28"/>
        </w:rPr>
        <w:t>。</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 “采购代理机构”是指接受采购人委托，代理采购项目的集中采购机构和其他招标代理机构。采购代理机构名称、地址、电话、联系人见</w:t>
      </w:r>
      <w:r>
        <w:rPr>
          <w:rFonts w:hint="eastAsia" w:ascii="仿宋_GB2312" w:hAnsi="仿宋_GB2312" w:eastAsia="仿宋_GB2312" w:cs="仿宋_GB2312"/>
          <w:b/>
          <w:bCs/>
          <w:color w:val="auto"/>
          <w:sz w:val="28"/>
          <w:szCs w:val="28"/>
        </w:rPr>
        <w:t>投标须知前附表</w:t>
      </w:r>
      <w:r>
        <w:rPr>
          <w:rFonts w:hint="eastAsia" w:ascii="仿宋_GB2312" w:hAnsi="仿宋_GB2312" w:eastAsia="仿宋_GB2312" w:cs="仿宋_GB2312"/>
          <w:color w:val="auto"/>
          <w:sz w:val="28"/>
          <w:szCs w:val="28"/>
        </w:rPr>
        <w:t>。</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2.3 “投标人”是指响应招标、参加投标竞争的法人、其他组织或者自然人。</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 “货物”是指各种形态和种类的物品，包括原材料、燃料、设备、产品等，详见《政府采购品目分类目录》（财库[2013]189号）。</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2.5 “节能产品”或者“环保产品”是指财政部发布的《节能产品政府采购清单》或者《环境标志产品政府采购清单》的产品。</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2.6 “进口产品”是指通过中国海关报关验放进入中国境内且产自关境外的产品，详见《中华人民共和国财政部办公厅关于政府采购进口产品管理有关问题的通知》财办库[2008]248号及《政府采购进口产品管理办法》财库〔2007〕119号。</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 偏离</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2.7.1 本条所称偏离为投标文件对招标文伴的偏离，即不满足、或不响应招标文件的要求。偏离分为对招标文件的实质性要求条款偏离和对招标文件的一般商务和技术条款偏离。</w:t>
      </w:r>
    </w:p>
    <w:p>
      <w:pPr>
        <w:pStyle w:val="41"/>
        <w:snapToGrid w:val="0"/>
        <w:spacing w:line="560" w:lineRule="exact"/>
        <w:ind w:firstLine="562"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2.7.2 除法律、法规和规章规定外，招标文件中用“拒绝”、“不接受”、“无效”、“不得”等文字规定或标注“★”符号的条款为实质性要求条款（即重要条款），对其中任何一条的偏离，在评标时将其视为无效投标</w:t>
      </w:r>
      <w:r>
        <w:rPr>
          <w:rFonts w:hint="eastAsia" w:ascii="仿宋_GB2312" w:hAnsi="仿宋_GB2312" w:eastAsia="仿宋_GB2312" w:cs="仿宋_GB2312"/>
          <w:color w:val="auto"/>
          <w:sz w:val="28"/>
          <w:szCs w:val="28"/>
        </w:rPr>
        <w:t>。未用上述文字规定或符号标注的条款为非实质性要求条款（即一般条款）。</w:t>
      </w:r>
    </w:p>
    <w:p>
      <w:pPr>
        <w:widowControl/>
        <w:adjustRightInd w:val="0"/>
        <w:snapToGrid w:val="0"/>
        <w:ind w:firstLine="56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2.8 </w:t>
      </w:r>
      <w:r>
        <w:rPr>
          <w:rFonts w:hint="eastAsia" w:ascii="仿宋_GB2312" w:hAnsi="仿宋_GB2312" w:eastAsia="仿宋_GB2312" w:cs="仿宋_GB2312"/>
          <w:spacing w:val="-13"/>
          <w:kern w:val="0"/>
          <w:sz w:val="28"/>
          <w:szCs w:val="28"/>
        </w:rPr>
        <w:t>若采购人员及相关人员与供应商（即投标人）有下列利害关系之一的，应当回避：</w:t>
      </w:r>
    </w:p>
    <w:p>
      <w:pPr>
        <w:widowControl/>
        <w:adjustRightInd w:val="0"/>
        <w:snapToGrid w:val="0"/>
        <w:ind w:firstLine="56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2.8.1参加采购活动前3年内与供应商存在劳动关系；</w:t>
      </w:r>
    </w:p>
    <w:p>
      <w:pPr>
        <w:widowControl/>
        <w:adjustRightInd w:val="0"/>
        <w:snapToGrid w:val="0"/>
        <w:ind w:firstLine="56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2.8.2参加采购活动前3年内担任供应商的董事、监事；</w:t>
      </w:r>
    </w:p>
    <w:p>
      <w:pPr>
        <w:widowControl/>
        <w:adjustRightInd w:val="0"/>
        <w:snapToGrid w:val="0"/>
        <w:ind w:firstLine="56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2.8.3参加采购活动前3年内是供应商的控股股东或者实际控制人；</w:t>
      </w:r>
    </w:p>
    <w:p>
      <w:pPr>
        <w:widowControl/>
        <w:adjustRightInd w:val="0"/>
        <w:snapToGrid w:val="0"/>
        <w:ind w:firstLine="56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2.8.4与供应商的法定代表人或者负责人有夫妻、直系血亲、三代以内旁系血亲或者近姻亲关系；</w:t>
      </w:r>
    </w:p>
    <w:p>
      <w:pPr>
        <w:widowControl/>
        <w:adjustRightInd w:val="0"/>
        <w:snapToGrid w:val="0"/>
        <w:ind w:firstLine="56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2.8.5与供应商有其他可能影响政府采购活动公平、公正进行的关系;</w:t>
      </w:r>
    </w:p>
    <w:p>
      <w:pPr>
        <w:widowControl/>
        <w:adjustRightInd w:val="0"/>
        <w:snapToGrid w:val="0"/>
        <w:ind w:firstLine="56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2.8.6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widowControl/>
        <w:adjustRightInd w:val="0"/>
        <w:snapToGrid w:val="0"/>
        <w:ind w:firstLine="56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2.9 采购人或者采购代理机构有下列情形之一的，属于以不合理的条件对供应商（即投标人）实行差别待遇或者歧视待遇：</w:t>
      </w:r>
    </w:p>
    <w:p>
      <w:pPr>
        <w:widowControl/>
        <w:adjustRightInd w:val="0"/>
        <w:snapToGrid w:val="0"/>
        <w:ind w:firstLine="56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2.9.1就同一采购项目向供应商提供有差别的项目信息；</w:t>
      </w:r>
    </w:p>
    <w:p>
      <w:pPr>
        <w:widowControl/>
        <w:adjustRightInd w:val="0"/>
        <w:snapToGrid w:val="0"/>
        <w:ind w:firstLine="56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2.9.2设定的资格、技术、商务条件与采购项目的具体特点和实际需要不相适应或者与合同履行无关；</w:t>
      </w:r>
    </w:p>
    <w:p>
      <w:pPr>
        <w:widowControl/>
        <w:adjustRightInd w:val="0"/>
        <w:snapToGrid w:val="0"/>
        <w:ind w:firstLine="56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2.9.3采购需求中的技术、服务等要求指向特定供应商、特定产品；</w:t>
      </w:r>
    </w:p>
    <w:p>
      <w:pPr>
        <w:widowControl/>
        <w:adjustRightInd w:val="0"/>
        <w:snapToGrid w:val="0"/>
        <w:ind w:firstLine="56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2.9.4对供应商采取不同的资格审查或者评标标准；</w:t>
      </w:r>
    </w:p>
    <w:p>
      <w:pPr>
        <w:widowControl/>
        <w:adjustRightInd w:val="0"/>
        <w:snapToGrid w:val="0"/>
        <w:ind w:firstLine="56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2.9.5限定或者指定特定的专利、商标、品牌或者供应商；</w:t>
      </w:r>
    </w:p>
    <w:p>
      <w:pPr>
        <w:widowControl/>
        <w:adjustRightInd w:val="0"/>
        <w:snapToGrid w:val="0"/>
        <w:ind w:firstLine="56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2.9.6非法限定供应商的所有制形式、组织形式或者所在地；</w:t>
      </w:r>
    </w:p>
    <w:p>
      <w:pPr>
        <w:widowControl/>
        <w:adjustRightInd w:val="0"/>
        <w:snapToGrid w:val="0"/>
        <w:ind w:firstLine="56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2.9.7以其他不合理条件限制或者排斥潜在供应商。</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2.10 特别说明</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2.10.1 投标人在本次招标活动中，必须遵循《中华人民共和国政府采购法》、《中华人民共和国政府采购法实施条例》、《政府采购货物和服务招标投标管理办法》（财政部令第84号）等相关法律、法规的规定。凡参加投标的投标人必须具有履行本招标文件规定的有关要求的能力，信誉良好；</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2.10.2 投标人参加投标所使用的资格、信誉、荣誉与相关认证等必须为投标人所拥有；</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2.10.3 投标人应仔细阅读招标文件的所有内容，按照招标文件的要求提交投标文件，并对所提供的全部资料的真实性承担法律责任;</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2.10.4 投标人在投标活动中提供任何虚假材料，其</w:t>
      </w:r>
      <w:r>
        <w:rPr>
          <w:rFonts w:hint="eastAsia" w:ascii="仿宋_GB2312" w:hAnsi="仿宋_GB2312" w:eastAsia="仿宋_GB2312" w:cs="仿宋_GB2312"/>
          <w:b/>
          <w:bCs/>
          <w:color w:val="auto"/>
          <w:sz w:val="28"/>
          <w:szCs w:val="28"/>
        </w:rPr>
        <w:t>投标无效</w:t>
      </w:r>
      <w:r>
        <w:rPr>
          <w:rFonts w:hint="eastAsia" w:ascii="仿宋_GB2312" w:hAnsi="仿宋_GB2312" w:eastAsia="仿宋_GB2312" w:cs="仿宋_GB2312"/>
          <w:color w:val="auto"/>
          <w:sz w:val="28"/>
          <w:szCs w:val="28"/>
        </w:rPr>
        <w:t>并承担相应法律责任。</w:t>
      </w:r>
    </w:p>
    <w:p>
      <w:pPr>
        <w:adjustRightInd w:val="0"/>
        <w:snapToGrid w:val="0"/>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3. 投标人的资格要求</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 投标人应当符合</w:t>
      </w:r>
      <w:r>
        <w:rPr>
          <w:rFonts w:hint="eastAsia" w:ascii="仿宋_GB2312" w:hAnsi="仿宋_GB2312" w:eastAsia="仿宋_GB2312" w:cs="仿宋_GB2312"/>
          <w:b/>
          <w:bCs/>
          <w:color w:val="auto"/>
          <w:sz w:val="28"/>
          <w:szCs w:val="28"/>
        </w:rPr>
        <w:t>投标须知前附表</w:t>
      </w:r>
      <w:r>
        <w:rPr>
          <w:rFonts w:hint="eastAsia" w:ascii="仿宋_GB2312" w:hAnsi="仿宋_GB2312" w:eastAsia="仿宋_GB2312" w:cs="仿宋_GB2312"/>
          <w:color w:val="auto"/>
          <w:sz w:val="28"/>
          <w:szCs w:val="28"/>
        </w:rPr>
        <w:t>中规定及下列要求：</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3.1.1 《中华人民共和国政府采购法》第二十二条第一款规定的供应商基本资格条件；</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3.1.2 招标文件规定的投标人特定资格条件；</w:t>
      </w:r>
    </w:p>
    <w:p>
      <w:pPr>
        <w:pStyle w:val="35"/>
        <w:rPr>
          <w:rFonts w:ascii="仿宋_GB2312" w:hAnsi="仿宋_GB2312" w:eastAsia="仿宋_GB2312" w:cs="仿宋_GB2312"/>
          <w:szCs w:val="28"/>
        </w:rPr>
      </w:pPr>
      <w:r>
        <w:rPr>
          <w:rFonts w:hint="eastAsia" w:ascii="仿宋_GB2312" w:hAnsi="仿宋_GB2312" w:eastAsia="仿宋_GB2312" w:cs="仿宋_GB2312"/>
          <w:szCs w:val="28"/>
        </w:rPr>
        <w:t xml:space="preserve">    3.1.3 投标人必须是在中华人民共和国境内注册的独立法人或其他组织，能独立承担民事责任，拥有有效的法人营业执照，拥有完成本招标项目的专业技术能力和技术人员。</w:t>
      </w:r>
    </w:p>
    <w:p>
      <w:pPr>
        <w:adjustRightInd w:val="0"/>
        <w:snapToGrid w:val="0"/>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3.1.4 单位负责人为同一人或者存在直接控股、管理关系的不同供应商，不得参加同一合同项下的政府采购活动。</w:t>
      </w:r>
    </w:p>
    <w:p>
      <w:pPr>
        <w:adjustRightInd w:val="0"/>
        <w:snapToGrid w:val="0"/>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为采购项目提供整体设计、规范编制或者项目管理、监理、检测等服务的法人、其它组织或自然人，不得再参加该采购项目的投标。</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 投标人不得存在下列情形之一：</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3.2.1 与采购人、采购代理机构存在利害关系;</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3.2.2 受到刑事处罚，或者受到3万元以上的罚款、责令停产停业、在1至3年内禁止参加政府采购活动、暂扣或者吊销许可证、暂扣或者吊销执照等情形之一的行政处罚，或者存在财政部门认定的其他重大违法记录。</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 投标人具有履行合同所必需的设备和专业技术能力，在人员、设备、资金等方面具有相应能力；投标人提供的的产品必须是成熟产品；在项目地具有技术支持和后续服务等能力。</w:t>
      </w:r>
    </w:p>
    <w:p>
      <w:pPr>
        <w:pStyle w:val="41"/>
        <w:snapToGrid w:val="0"/>
        <w:spacing w:line="560" w:lineRule="exact"/>
        <w:ind w:firstLine="562"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3.4 使用综合评分法的采购项目</w:t>
      </w:r>
      <w:r>
        <w:rPr>
          <w:rFonts w:hint="eastAsia" w:ascii="仿宋_GB2312" w:hAnsi="仿宋_GB2312" w:eastAsia="仿宋_GB2312" w:cs="仿宋_GB2312"/>
          <w:color w:val="auto"/>
          <w:sz w:val="28"/>
          <w:szCs w:val="28"/>
        </w:rPr>
        <w:t>，提供相同品牌产品且通过资格审查、符合性审查的不同投标人参加同一合同项下投标的，按一家投标人计算，评标后得分最高的同品牌投标人获得中标人推荐资格；评标得分相同的，由采购人或者采购人委托评标委员会按照招标文件规定的方式确定一个投标人获得中标人推荐资格，招标文件未规定的采取随机抽取方式确定，其他同品牌投标人不作为中标候选人。</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非单一产品采购项目，采购人应当根据采购项目技术构成、产品价格比重等合理确定核心产品，并在招标文件中载明。多家投标人提供的核心产品品牌相同的，同上处理。</w:t>
      </w:r>
    </w:p>
    <w:p>
      <w:pPr>
        <w:adjustRightInd w:val="0"/>
        <w:snapToGrid w:val="0"/>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4．投标费用和知识产权</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 投标人应承担其参加本招标活动自身所发生的费用。招标文件所提供的资料，是采购人现有的能被投标人利用的资料，采购人对投标人做出的任何推论、理解和结论均不负责任。</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4.2 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p>
    <w:p>
      <w:pPr>
        <w:adjustRightInd w:val="0"/>
        <w:snapToGrid w:val="0"/>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5. 授权委托</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 投标人代表为投标人法定代表人的，应持有法定代表人身份证明。投标人代表不是投标人法定代表人的，应持有法定代表人授权书。</w:t>
      </w:r>
    </w:p>
    <w:p>
      <w:pPr>
        <w:adjustRightInd w:val="0"/>
        <w:snapToGrid w:val="0"/>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6. 联合体投标</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 除</w:t>
      </w:r>
      <w:r>
        <w:rPr>
          <w:rFonts w:hint="eastAsia" w:ascii="仿宋_GB2312" w:hAnsi="仿宋_GB2312" w:eastAsia="仿宋_GB2312" w:cs="仿宋_GB2312"/>
          <w:b/>
          <w:bCs/>
          <w:color w:val="auto"/>
          <w:sz w:val="28"/>
          <w:szCs w:val="28"/>
        </w:rPr>
        <w:t>投标须知前附表</w:t>
      </w:r>
      <w:r>
        <w:rPr>
          <w:rFonts w:hint="eastAsia" w:ascii="仿宋_GB2312" w:hAnsi="仿宋_GB2312" w:eastAsia="仿宋_GB2312" w:cs="仿宋_GB2312"/>
          <w:color w:val="auto"/>
          <w:sz w:val="28"/>
          <w:szCs w:val="28"/>
        </w:rPr>
        <w:t>中另有规定，本次招标采购不接受以联合体形式投标的投标人。</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6.2 两个以上的法人、其他组织或者自然人可以组成一个联合体，以一个投标人的身份共同参加政府采购活动。投标人为联合体形式的，除应符合本章第3条规定外，还应遵守以下规定：</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6.2.1 联合体各方必须签订联合体协议书，明确联合体牵头人和各方的义务、工作、合同工作量比例；</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6.2.2 联合体各方均应当符合本章第3.1款规定的投标人基本资格条件；联合体中有同类资质的投标人按照联合体分工承担相同工作的，按照资质等级较低的投标人确定资质等级。</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6.2.3 除</w:t>
      </w:r>
      <w:r>
        <w:rPr>
          <w:rFonts w:hint="eastAsia" w:ascii="仿宋_GB2312" w:hAnsi="仿宋_GB2312" w:eastAsia="仿宋_GB2312" w:cs="仿宋_GB2312"/>
          <w:b/>
          <w:bCs/>
          <w:color w:val="auto"/>
          <w:sz w:val="28"/>
          <w:szCs w:val="28"/>
        </w:rPr>
        <w:t>投标须知前附表</w:t>
      </w:r>
      <w:r>
        <w:rPr>
          <w:rFonts w:hint="eastAsia" w:ascii="仿宋_GB2312" w:hAnsi="仿宋_GB2312" w:eastAsia="仿宋_GB2312" w:cs="仿宋_GB2312"/>
          <w:color w:val="auto"/>
          <w:sz w:val="28"/>
          <w:szCs w:val="28"/>
        </w:rPr>
        <w:t>中另有规定，联合体各方中至少有一方应当符合本章第3.1款规定的投标人特定资格条件。</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6.3 大中型企业和其他自然人、法人或者其他组织与小型、微型企业组成联合体，联合体协议中约定，小型、微型企业的协议合同金额占到联合体协议合同总金额30%以上的，可给予联合体2%的价格扣除。</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联合体各方均为小型、微型企业的，联合体视同为小型、微型企业享受扶持政策。</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组成联合体的大中型企业和其他自然人、法人或者其他组织，与小型、微型企业之间不得存在投资关系，并附协议书。</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6.4 以联合体形式参加政府采购活动的，联合体各方不得再单独参加或者与其他投标人另外组成联合体参加同一合同项下的政府采购活动。</w:t>
      </w:r>
    </w:p>
    <w:p>
      <w:pPr>
        <w:adjustRightInd w:val="0"/>
        <w:snapToGrid w:val="0"/>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7. 现场考察</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7.1 投标人应按</w:t>
      </w:r>
      <w:r>
        <w:rPr>
          <w:rFonts w:hint="eastAsia" w:ascii="仿宋_GB2312" w:hAnsi="仿宋_GB2312" w:eastAsia="仿宋_GB2312" w:cs="仿宋_GB2312"/>
          <w:b/>
          <w:bCs/>
          <w:color w:val="auto"/>
          <w:sz w:val="28"/>
          <w:szCs w:val="28"/>
        </w:rPr>
        <w:t>投标须知前附表</w:t>
      </w:r>
      <w:r>
        <w:rPr>
          <w:rFonts w:hint="eastAsia" w:ascii="仿宋_GB2312" w:hAnsi="仿宋_GB2312" w:eastAsia="仿宋_GB2312" w:cs="仿宋_GB2312"/>
          <w:color w:val="auto"/>
          <w:sz w:val="28"/>
          <w:szCs w:val="28"/>
        </w:rPr>
        <w:t>中规定对招标采购项目现场和周围环境进行现场考察或者参加开标前答疑会。</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7.2 </w:t>
      </w:r>
      <w:r>
        <w:rPr>
          <w:rFonts w:hint="eastAsia" w:ascii="仿宋_GB2312" w:hAnsi="仿宋_GB2312" w:eastAsia="仿宋_GB2312" w:cs="仿宋_GB2312"/>
          <w:color w:val="auto"/>
          <w:spacing w:val="-9"/>
          <w:sz w:val="28"/>
          <w:szCs w:val="28"/>
        </w:rPr>
        <w:t>现场考察或者参加开标前答疑会的费用由</w:t>
      </w:r>
      <w:r>
        <w:rPr>
          <w:rFonts w:hint="eastAsia" w:ascii="仿宋_GB2312" w:hAnsi="仿宋_GB2312" w:eastAsia="仿宋_GB2312" w:cs="仿宋_GB2312"/>
          <w:color w:val="auto"/>
          <w:sz w:val="28"/>
          <w:szCs w:val="28"/>
        </w:rPr>
        <w:t>投标人</w:t>
      </w:r>
      <w:r>
        <w:rPr>
          <w:rFonts w:hint="eastAsia" w:ascii="仿宋_GB2312" w:hAnsi="仿宋_GB2312" w:eastAsia="仿宋_GB2312" w:cs="仿宋_GB2312"/>
          <w:color w:val="auto"/>
          <w:spacing w:val="-9"/>
          <w:sz w:val="28"/>
          <w:szCs w:val="28"/>
        </w:rPr>
        <w:t>自行承担，现场考察或者参加开标前答疑会期间所发生的人身伤害及财产损失由投标人自行负责。</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7.3 采购人不对投标人据此而做出的推论、理解和结论负责。如果中标，投标人不得以任何借口，而提出额外补偿，或延长合同期限的要求。</w:t>
      </w:r>
    </w:p>
    <w:p>
      <w:pPr>
        <w:adjustRightInd w:val="0"/>
        <w:snapToGrid w:val="0"/>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8. 采购进口产品</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8.1 </w:t>
      </w:r>
      <w:r>
        <w:rPr>
          <w:rFonts w:hint="eastAsia" w:ascii="仿宋_GB2312" w:hAnsi="仿宋_GB2312" w:eastAsia="仿宋_GB2312" w:cs="仿宋_GB2312"/>
          <w:b/>
          <w:color w:val="auto"/>
          <w:sz w:val="28"/>
          <w:szCs w:val="28"/>
        </w:rPr>
        <w:t>除投标须知前附表另有规定外</w:t>
      </w:r>
      <w:r>
        <w:rPr>
          <w:rFonts w:hint="eastAsia" w:ascii="仿宋_GB2312" w:hAnsi="仿宋_GB2312" w:eastAsia="仿宋_GB2312" w:cs="仿宋_GB2312"/>
          <w:color w:val="auto"/>
          <w:sz w:val="28"/>
          <w:szCs w:val="28"/>
        </w:rPr>
        <w:t>,本项目拒绝进口产品参加招标采购活动。</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8.2 本章第8.1款规定同意购买进口产品的，本项目采购活动不限制满足招标文件要求的国内产品参与招标。</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8.3 采购人采购进口产品的，必须在采购活动开始前向财政部门提出申请并获得财政部门审核同意后，才能开展采购活动。在采购活动开始前没有获得财政部门同意而开展采购活动的，应当进行国内公开招标,并拒绝进口产品参加投标。</w:t>
      </w:r>
    </w:p>
    <w:p>
      <w:pPr>
        <w:adjustRightInd w:val="0"/>
        <w:snapToGrid w:val="0"/>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9. 政府采购政策支持</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 产品符合政府采购强制采购政策的，实行强制采购;符合政府采购优先采购政策的产品，享受节能产品、环境标志产品的产品优惠（由投标人在报价文件中选择并填报，评标时进行价格优惠）；投标人符合支持中小企业发展政策优惠的，可以同时享受节能产品、环境标志产品的产品优惠并累加优惠。财政部门关于政府采购强制采购、优先采购的政策规定可在中国政府采购网(www.ccgp.gov.cn)查询。本项目节能、环境标志产品的优惠办法见第三章评标办法。</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 同一项目中部分产品属于优先采购政策的，评标时只对该部分产品的报价实行价格优惠。</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9.3 监狱企业参加政府采购活动时，应当提供由省级以上监狱管理局、戒毒管理局（含新疆生产建设兵团）出具的属于监狱企业的证明文件。</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在政府采购活动中，监狱企业视同小型、微型企业，享受预留份额、评标中价格扣除等政府采购促进中小企业发展的政府采购政策。</w:t>
      </w:r>
    </w:p>
    <w:p>
      <w:pPr>
        <w:pStyle w:val="41"/>
        <w:snapToGrid w:val="0"/>
        <w:spacing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pacing w:val="-4"/>
          <w:sz w:val="28"/>
          <w:szCs w:val="28"/>
        </w:rPr>
        <w:t>①有制服采购项目的部门，应加强对政府采购预算和计划编制工作的统筹，预留本部门制服采购项目预算总额的30%以上，专门面向监狱企业采购。②省级以上政府部门组织的公务员考试、招生考试、等级考试、资格考试的试卷印刷项目原则上应当在符合有关资质的监狱企业范围内采购。③各地在免费教科书政府采购工作中，应当根据符合教科书印制资质的监狱企业情况，提出由监狱企业印刷的比例要求。④各地区可以结合本地区实际，对监狱企业生产的办公用品、家具用具、车辆维修和提供的保养服务、消防设备等，提出预留份额等政府采购支持措施，加大对监狱企业产品的采购力度。</w:t>
      </w:r>
      <w:r>
        <w:rPr>
          <w:rFonts w:hint="eastAsia" w:ascii="仿宋_GB2312" w:hAnsi="仿宋_GB2312" w:eastAsia="仿宋_GB2312" w:cs="仿宋_GB2312"/>
          <w:color w:val="auto"/>
          <w:sz w:val="28"/>
          <w:szCs w:val="28"/>
        </w:rPr>
        <w:t>）</w:t>
      </w:r>
    </w:p>
    <w:p>
      <w:pPr>
        <w:adjustRightInd w:val="0"/>
        <w:snapToGrid w:val="0"/>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9.4 </w:t>
      </w:r>
      <w:r>
        <w:rPr>
          <w:rFonts w:hint="eastAsia" w:ascii="仿宋_GB2312" w:hAnsi="仿宋_GB2312" w:eastAsia="仿宋_GB2312" w:cs="仿宋_GB2312"/>
          <w:spacing w:val="-4"/>
          <w:kern w:val="0"/>
          <w:sz w:val="28"/>
          <w:szCs w:val="28"/>
        </w:rPr>
        <w:t>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残疾人福利性单位视同小型、微型企业，享受评标中价格扣除等促进中小企业发展的政府采购政策。</w:t>
      </w:r>
      <w:r>
        <w:rPr>
          <w:rFonts w:hint="eastAsia" w:ascii="仿宋_GB2312" w:hAnsi="仿宋_GB2312" w:eastAsia="仿宋_GB2312" w:cs="仿宋_GB2312"/>
          <w:b/>
          <w:bCs/>
          <w:spacing w:val="-4"/>
          <w:kern w:val="0"/>
          <w:sz w:val="28"/>
          <w:szCs w:val="28"/>
        </w:rPr>
        <w:t>本项目具体扣除比例为6%。</w:t>
      </w:r>
    </w:p>
    <w:p>
      <w:pPr>
        <w:pStyle w:val="41"/>
        <w:jc w:val="both"/>
        <w:outlineLvl w:val="1"/>
        <w:rPr>
          <w:rFonts w:ascii="宋体" w:hAnsi="宋体" w:cs="宋体"/>
          <w:color w:val="auto"/>
          <w:sz w:val="32"/>
          <w:szCs w:val="32"/>
        </w:rPr>
      </w:pPr>
      <w:r>
        <w:rPr>
          <w:rFonts w:hint="eastAsia" w:ascii="宋体" w:hAnsi="宋体" w:cs="宋体"/>
          <w:b/>
          <w:bCs/>
          <w:color w:val="auto"/>
          <w:sz w:val="32"/>
          <w:szCs w:val="32"/>
        </w:rPr>
        <w:br w:type="page"/>
      </w:r>
      <w:r>
        <w:rPr>
          <w:rFonts w:hint="eastAsia" w:ascii="宋体" w:hAnsi="宋体" w:cs="宋体"/>
          <w:b/>
          <w:bCs/>
          <w:color w:val="auto"/>
          <w:sz w:val="32"/>
          <w:szCs w:val="32"/>
        </w:rPr>
        <w:t xml:space="preserve">    二</w:t>
      </w:r>
      <w:r>
        <w:rPr>
          <w:rFonts w:hint="eastAsia" w:ascii="仿宋_GB2312" w:hAnsi="仿宋_GB2312" w:eastAsia="仿宋_GB2312" w:cs="仿宋_GB2312"/>
          <w:b/>
          <w:kern w:val="0"/>
          <w:sz w:val="28"/>
          <w:szCs w:val="28"/>
        </w:rPr>
        <w:t xml:space="preserve">. </w:t>
      </w:r>
      <w:r>
        <w:rPr>
          <w:rFonts w:hint="eastAsia" w:ascii="宋体" w:hAnsi="宋体" w:cs="宋体"/>
          <w:b/>
          <w:bCs/>
          <w:color w:val="auto"/>
          <w:sz w:val="32"/>
          <w:szCs w:val="32"/>
        </w:rPr>
        <w:t>招标文件</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10. 招标文件的组成</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10.1 招标文件用以阐明所需货物和服务、招标投标程序和商务合同主要条款，本招标文件由下列文件组成：</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第一章 招标公告</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第二章 投标须知前附表</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第三章 评标方法及标准</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第四章 政府采购合同范本</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笫五章 采购需求</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第六章 投标文件格式</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10.2 本章第11.1款规定的提交投标文件截止时间前对招标文件澄清或者修改内容，是招标文件的组成部分。</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10.3 投标人应仔细阅读招标文件的全部内容，按照招标文件要求编制投标文件。任何对招标文件的忽略或误解不能作为投标文件存在缺陷或瑕疵的理由，如果没有按照招标文件要求提交全部资料或者投标文件没有对招标文件做出实质性响应，其投标文件可能被拒绝，其风险由投标人承担。</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11. 提交投标文件的截止时间</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11.1 </w:t>
      </w:r>
      <w:r>
        <w:rPr>
          <w:rFonts w:hint="eastAsia" w:ascii="仿宋_GB2312" w:hAnsi="仿宋_GB2312" w:eastAsia="仿宋_GB2312" w:cs="仿宋_GB2312"/>
          <w:sz w:val="28"/>
          <w:szCs w:val="28"/>
        </w:rPr>
        <w:t>投标人</w:t>
      </w:r>
      <w:r>
        <w:rPr>
          <w:rFonts w:hint="eastAsia" w:ascii="仿宋_GB2312" w:hAnsi="仿宋_GB2312" w:eastAsia="仿宋_GB2312" w:cs="仿宋_GB2312"/>
          <w:kern w:val="0"/>
          <w:sz w:val="28"/>
          <w:szCs w:val="28"/>
        </w:rPr>
        <w:t>提交投标文件的截止时间见投标须知前附表。</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12. 招标文件的澄清或者修改</w:t>
      </w:r>
    </w:p>
    <w:p>
      <w:pPr>
        <w:adjustRightInd w:val="0"/>
        <w:snapToGrid w:val="0"/>
        <w:spacing w:line="360" w:lineRule="auto"/>
        <w:ind w:firstLine="56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12.1 采购人或者采购代理机构对己发出的招标文件进行必要澄清或者修改的，澄清或者修改的内容可能影响投标文件编制的，采购人或者采购代理机构应当在投标截止时间至少15日前，以书面形式通知所有获取招标文件的潜在</w:t>
      </w:r>
      <w:r>
        <w:rPr>
          <w:rFonts w:hint="eastAsia" w:ascii="仿宋_GB2312" w:hAnsi="仿宋_GB2312" w:eastAsia="仿宋_GB2312" w:cs="仿宋_GB2312"/>
          <w:sz w:val="28"/>
          <w:szCs w:val="28"/>
        </w:rPr>
        <w:t>投标人</w:t>
      </w:r>
      <w:r>
        <w:rPr>
          <w:rFonts w:hint="eastAsia" w:ascii="仿宋_GB2312" w:hAnsi="仿宋_GB2312" w:eastAsia="仿宋_GB2312" w:cs="仿宋_GB2312"/>
          <w:kern w:val="0"/>
          <w:sz w:val="28"/>
          <w:szCs w:val="28"/>
        </w:rPr>
        <w:t>，并在财政部门指定的政府采购信息发布媒体上发布更正公告。该澄清或者修改的内容为招标文件的组成部分。</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12.2 如果澄清或者修改发出的时间距规定的投标截止时间不足15日且可能影响投标人编制投标文件，采购人将相应顺延投标截止时间。</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12.3 投标人认为招标文件存在歧视性条款或其它异议，应在收到招标文件之日或者招标文件公告期限届满之日起7个工作日内以书面形式向采购人或者采购代理机构提出。</w:t>
      </w:r>
    </w:p>
    <w:p>
      <w:pPr>
        <w:pStyle w:val="41"/>
        <w:jc w:val="both"/>
        <w:outlineLvl w:val="1"/>
        <w:rPr>
          <w:rFonts w:ascii="宋体" w:hAnsi="宋体" w:cs="宋体"/>
          <w:b/>
          <w:bCs/>
          <w:color w:val="auto"/>
          <w:sz w:val="32"/>
          <w:szCs w:val="32"/>
        </w:rPr>
      </w:pPr>
      <w:r>
        <w:rPr>
          <w:rFonts w:hint="eastAsia" w:ascii="宋体" w:hAnsi="宋体" w:cs="宋体"/>
          <w:b/>
          <w:bCs/>
          <w:color w:val="auto"/>
          <w:sz w:val="32"/>
          <w:szCs w:val="32"/>
        </w:rPr>
        <w:br w:type="page"/>
      </w:r>
      <w:r>
        <w:rPr>
          <w:rFonts w:hint="eastAsia" w:ascii="宋体" w:hAnsi="宋体" w:cs="宋体"/>
          <w:b/>
          <w:bCs/>
          <w:color w:val="auto"/>
          <w:sz w:val="32"/>
          <w:szCs w:val="32"/>
        </w:rPr>
        <w:t xml:space="preserve">    三</w:t>
      </w:r>
      <w:r>
        <w:rPr>
          <w:rFonts w:hint="eastAsia" w:ascii="仿宋_GB2312" w:hAnsi="仿宋_GB2312" w:eastAsia="仿宋_GB2312" w:cs="仿宋_GB2312"/>
          <w:b/>
          <w:kern w:val="0"/>
          <w:sz w:val="28"/>
          <w:szCs w:val="28"/>
        </w:rPr>
        <w:t xml:space="preserve">. </w:t>
      </w:r>
      <w:r>
        <w:rPr>
          <w:rFonts w:hint="eastAsia" w:ascii="宋体" w:hAnsi="宋体" w:cs="宋体"/>
          <w:b/>
          <w:bCs/>
          <w:color w:val="auto"/>
          <w:sz w:val="32"/>
          <w:szCs w:val="32"/>
        </w:rPr>
        <w:t>投标文件</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13. 一般要求</w:t>
      </w:r>
    </w:p>
    <w:p>
      <w:pPr>
        <w:adjustRightInd w:val="0"/>
        <w:snapToGrid w:val="0"/>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13.1 投标人应仔细阅读招标文件的所有内容，</w:t>
      </w:r>
      <w:r>
        <w:rPr>
          <w:rFonts w:hint="eastAsia" w:ascii="仿宋_GB2312" w:hAnsi="仿宋_GB2312" w:eastAsia="仿宋_GB2312" w:cs="仿宋_GB2312"/>
          <w:sz w:val="28"/>
          <w:szCs w:val="28"/>
        </w:rPr>
        <w:t>在充分理解招标文件提出的各项条款和要求后，制作投标文件。</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13.2 投标人制作的投标文件应当对招标文件作出实质性响应，且</w:t>
      </w:r>
      <w:r>
        <w:rPr>
          <w:rFonts w:hint="eastAsia" w:ascii="仿宋_GB2312" w:hAnsi="仿宋_GB2312" w:eastAsia="仿宋_GB2312" w:cs="仿宋_GB2312"/>
          <w:kern w:val="0"/>
          <w:sz w:val="28"/>
          <w:szCs w:val="28"/>
        </w:rPr>
        <w:t>投标人应保证所提供的全部资料的真实性。</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13.3 </w:t>
      </w:r>
      <w:r>
        <w:rPr>
          <w:rFonts w:hint="eastAsia" w:ascii="仿宋_GB2312" w:hAnsi="仿宋_GB2312" w:eastAsia="仿宋_GB2312" w:cs="仿宋_GB2312"/>
          <w:sz w:val="28"/>
          <w:szCs w:val="28"/>
        </w:rPr>
        <w:t>投标人对招标文件所要求的任何条款有偏离的，均应按本招标文件所附的技术或商务偏离表格式逐一填报，如未在偏离表中填报，则采购人/采购代理机构有充分理由认为投标人已响应或满足招标文件的部分或全部条款。</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13.2 投标语言</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13.2.1 投标人提交的投标文件及投标人与采购人或采购代理机构就有关招标活动的所有来往函电均应使用中文。</w:t>
      </w:r>
      <w:r>
        <w:rPr>
          <w:rFonts w:hint="eastAsia" w:ascii="仿宋_GB2312" w:hAnsi="仿宋_GB2312" w:eastAsia="仿宋_GB2312" w:cs="仿宋_GB2312"/>
          <w:sz w:val="28"/>
          <w:szCs w:val="28"/>
        </w:rPr>
        <w:t>如果投标人提供的文件资料以其它语言书写，投标人应将其译成中文作为投标的语言，如有差异，以中文为准。</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13.3 计量单位</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13.3.1 投标文件应使用我国法定计量单位，未注明计量单位的默认为我国法定计量单位。</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13.4 投标文件应采用书面形式，传真、电子邮件形式的投标文件概不接受。</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13.5 </w:t>
      </w:r>
      <w:r>
        <w:rPr>
          <w:rFonts w:hint="eastAsia" w:ascii="仿宋_GB2312" w:hAnsi="仿宋_GB2312" w:eastAsia="仿宋_GB2312" w:cs="仿宋_GB2312"/>
          <w:sz w:val="28"/>
          <w:szCs w:val="28"/>
        </w:rPr>
        <w:t>投标人</w:t>
      </w:r>
      <w:r>
        <w:rPr>
          <w:rFonts w:hint="eastAsia" w:ascii="仿宋_GB2312" w:hAnsi="仿宋_GB2312" w:eastAsia="仿宋_GB2312" w:cs="仿宋_GB2312"/>
          <w:kern w:val="0"/>
          <w:sz w:val="28"/>
          <w:szCs w:val="28"/>
        </w:rPr>
        <w:t>应按招标文件中提供的投标文件格式填写。</w:t>
      </w:r>
      <w:r>
        <w:rPr>
          <w:rFonts w:hint="eastAsia" w:ascii="仿宋_GB2312" w:hAnsi="仿宋_GB2312" w:eastAsia="仿宋_GB2312" w:cs="仿宋_GB2312"/>
          <w:sz w:val="28"/>
          <w:szCs w:val="28"/>
        </w:rPr>
        <w:t>本招标文件提供了一部分用于编制投标文件时的必要格式，投标人应按所提供的格式填报，格式可扩展。对于招标文件中未提供格式的投标内容，由投标人自行编制。</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14. 投标文件的组成及编制</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14.1 投标文件包括下列内容，</w:t>
      </w:r>
      <w:r>
        <w:rPr>
          <w:rFonts w:hint="eastAsia" w:ascii="仿宋_GB2312" w:hAnsi="仿宋_GB2312" w:eastAsia="仿宋_GB2312" w:cs="仿宋_GB2312"/>
          <w:sz w:val="28"/>
          <w:szCs w:val="28"/>
        </w:rPr>
        <w:t>投标人应按照下列顺序编制投标文件（若未按顺序编写，由此可能产生的不利后果由投标人自行承担）</w:t>
      </w:r>
      <w:r>
        <w:rPr>
          <w:rFonts w:hint="eastAsia" w:ascii="仿宋_GB2312" w:hAnsi="仿宋_GB2312" w:eastAsia="仿宋_GB2312" w:cs="仿宋_GB2312"/>
          <w:kern w:val="0"/>
          <w:sz w:val="28"/>
          <w:szCs w:val="28"/>
        </w:rPr>
        <w:t>：</w:t>
      </w:r>
    </w:p>
    <w:p>
      <w:pPr>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14.1.1 </w:t>
      </w:r>
      <w:r>
        <w:rPr>
          <w:rFonts w:hint="eastAsia" w:ascii="仿宋_GB2312" w:hAnsi="仿宋_GB2312" w:eastAsia="仿宋_GB2312" w:cs="仿宋_GB2312"/>
          <w:sz w:val="28"/>
          <w:szCs w:val="28"/>
        </w:rPr>
        <w:t>投标函；</w:t>
      </w:r>
    </w:p>
    <w:p>
      <w:pPr>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14.1.2法定代表人身份证明或法定代表人授权委托书；</w:t>
      </w:r>
    </w:p>
    <w:p>
      <w:pPr>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14.1.3开标一览表；</w:t>
      </w:r>
    </w:p>
    <w:p>
      <w:pPr>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14.1.4投标保证金提交证明；</w:t>
      </w:r>
    </w:p>
    <w:p>
      <w:pPr>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14.1.5投标供应商资格证明文件，包括：</w:t>
      </w:r>
    </w:p>
    <w:p>
      <w:pPr>
        <w:spacing w:line="44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① 关于资格的声明函；</w:t>
      </w:r>
    </w:p>
    <w:p>
      <w:pPr>
        <w:spacing w:line="44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② 投标人基本情况表；</w:t>
      </w:r>
    </w:p>
    <w:p>
      <w:pPr>
        <w:spacing w:line="44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③ 信用查询记录；</w:t>
      </w:r>
    </w:p>
    <w:p>
      <w:pPr>
        <w:spacing w:line="44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④ 近三年内已完成的类似项目业绩；</w:t>
      </w:r>
    </w:p>
    <w:p>
      <w:pPr>
        <w:spacing w:line="440" w:lineRule="exact"/>
        <w:ind w:firstLine="543" w:firstLineChars="194"/>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14.1.6 项目整体服务方案；</w:t>
      </w:r>
    </w:p>
    <w:p>
      <w:pPr>
        <w:spacing w:line="440" w:lineRule="exact"/>
        <w:ind w:firstLine="543" w:firstLineChars="194"/>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14.1.7项目负责人简历表及拟投入本项目主要成员表；</w:t>
      </w:r>
    </w:p>
    <w:p>
      <w:pPr>
        <w:spacing w:line="440" w:lineRule="exact"/>
        <w:ind w:firstLine="543" w:firstLineChars="194"/>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14.1.8 服务承诺书；</w:t>
      </w:r>
    </w:p>
    <w:p>
      <w:pPr>
        <w:spacing w:line="440" w:lineRule="exact"/>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14.1.9偏离表；</w:t>
      </w:r>
    </w:p>
    <w:p>
      <w:pPr>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14.1.10 其他有利资料；</w:t>
      </w:r>
    </w:p>
    <w:p>
      <w:pPr>
        <w:spacing w:line="44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14.1.11 投标单位反商业贿赂承诺书。</w:t>
      </w:r>
    </w:p>
    <w:p>
      <w:pPr>
        <w:spacing w:line="440" w:lineRule="exact"/>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14.1.12 </w:t>
      </w:r>
      <w:r>
        <w:rPr>
          <w:rFonts w:hint="eastAsia" w:ascii="仿宋_GB2312" w:hAnsi="仿宋_GB2312" w:eastAsia="仿宋_GB2312" w:cs="仿宋_GB2312"/>
          <w:b w:val="0"/>
          <w:bCs w:val="0"/>
          <w:kern w:val="0"/>
          <w:sz w:val="28"/>
          <w:szCs w:val="28"/>
          <w:lang w:val="en-US" w:eastAsia="zh-CN"/>
        </w:rPr>
        <w:t>退投标保证金的函</w:t>
      </w:r>
    </w:p>
    <w:p>
      <w:pPr>
        <w:adjustRightInd w:val="0"/>
        <w:snapToGrid w:val="0"/>
        <w:spacing w:line="360" w:lineRule="auto"/>
        <w:ind w:firstLine="560"/>
        <w:rPr>
          <w:rFonts w:ascii="仿宋_GB2312" w:hAnsi="仿宋_GB2312" w:eastAsia="仿宋_GB2312" w:cs="仿宋_GB2312"/>
          <w:b/>
          <w:sz w:val="28"/>
          <w:szCs w:val="28"/>
        </w:rPr>
      </w:pPr>
      <w:r>
        <w:rPr>
          <w:rFonts w:hint="eastAsia" w:ascii="仿宋_GB2312" w:hAnsi="仿宋_GB2312" w:eastAsia="仿宋_GB2312" w:cs="仿宋_GB2312"/>
          <w:kern w:val="0"/>
          <w:sz w:val="28"/>
          <w:szCs w:val="28"/>
        </w:rPr>
        <w:t>14.2 ▲</w:t>
      </w:r>
      <w:r>
        <w:rPr>
          <w:rFonts w:hint="eastAsia" w:ascii="仿宋_GB2312" w:hAnsi="仿宋_GB2312" w:eastAsia="仿宋_GB2312" w:cs="仿宋_GB2312"/>
          <w:b/>
          <w:sz w:val="28"/>
          <w:szCs w:val="28"/>
        </w:rPr>
        <w:t>上述所列内容，投标文件正、副本中均应包含。正本中，投标人自行编制的内容应为原件，各种资格证书、证件均须为加盖投标人公章的复印件；副本应当是正本的复印件或影印件，且内容应一致。如果正本与副本不符，以正本为准，如因投标文件正、副本内容不一致对投标人产生不利影响，由投标人自行负责。</w:t>
      </w:r>
    </w:p>
    <w:p>
      <w:pPr>
        <w:adjustRightInd w:val="0"/>
        <w:snapToGrid w:val="0"/>
        <w:spacing w:line="360" w:lineRule="auto"/>
        <w:ind w:firstLine="560"/>
        <w:rPr>
          <w:rFonts w:ascii="仿宋_GB2312" w:hAnsi="仿宋_GB2312" w:eastAsia="仿宋_GB2312" w:cs="仿宋_GB2312"/>
          <w:b/>
          <w:sz w:val="28"/>
          <w:szCs w:val="28"/>
        </w:rPr>
      </w:pPr>
      <w:r>
        <w:rPr>
          <w:rFonts w:hint="eastAsia" w:ascii="仿宋_GB2312" w:hAnsi="仿宋_GB2312" w:eastAsia="仿宋_GB2312" w:cs="仿宋_GB2312"/>
          <w:sz w:val="28"/>
          <w:szCs w:val="28"/>
        </w:rPr>
        <w:t>14.3 上述14.1款所列内容▲</w:t>
      </w:r>
      <w:r>
        <w:rPr>
          <w:rFonts w:hint="eastAsia" w:ascii="仿宋_GB2312" w:hAnsi="仿宋_GB2312" w:eastAsia="仿宋_GB2312" w:cs="仿宋_GB2312"/>
          <w:b/>
          <w:sz w:val="28"/>
          <w:szCs w:val="28"/>
        </w:rPr>
        <w:t>应当统一装订成一册，按投标人所投标包/标段独立装订成册。如果投标人同时参加2个或以上标包/标段投标，则投标文件必须按标包/标段分别独立制作，不得混作。</w:t>
      </w:r>
    </w:p>
    <w:p>
      <w:pPr>
        <w:adjustRightInd w:val="0"/>
        <w:snapToGrid w:val="0"/>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14.4 ▲</w:t>
      </w:r>
      <w:r>
        <w:rPr>
          <w:rFonts w:hint="eastAsia" w:ascii="仿宋_GB2312" w:hAnsi="仿宋_GB2312" w:eastAsia="仿宋_GB2312" w:cs="仿宋_GB2312"/>
          <w:b/>
          <w:sz w:val="28"/>
          <w:szCs w:val="28"/>
        </w:rPr>
        <w:t>投标文件不得采用活页装订</w:t>
      </w:r>
      <w:r>
        <w:rPr>
          <w:rFonts w:hint="eastAsia" w:ascii="仿宋_GB2312" w:hAnsi="仿宋_GB2312" w:eastAsia="仿宋_GB2312" w:cs="仿宋_GB2312"/>
          <w:sz w:val="28"/>
          <w:szCs w:val="28"/>
        </w:rPr>
        <w:t>（推荐使用胶装），并在首页编制“投标文件目录”并标注准确的页码索引。投标文件封面应标明采购项目名称、采购内容、招标编号、所投“标包/标段号”、“标包/标段内容”、采购人名称、投标人名称等内容。</w:t>
      </w:r>
    </w:p>
    <w:p>
      <w:pPr>
        <w:adjustRightInd w:val="0"/>
        <w:snapToGrid w:val="0"/>
        <w:spacing w:line="360" w:lineRule="auto"/>
        <w:ind w:firstLine="560"/>
        <w:rPr>
          <w:rFonts w:ascii="仿宋_GB2312" w:hAnsi="仿宋_GB2312" w:eastAsia="仿宋_GB2312" w:cs="仿宋_GB2312"/>
          <w:kern w:val="0"/>
          <w:sz w:val="28"/>
          <w:szCs w:val="28"/>
          <w:highlight w:val="magenta"/>
        </w:rPr>
      </w:pPr>
      <w:r>
        <w:rPr>
          <w:rFonts w:hint="eastAsia" w:ascii="仿宋_GB2312" w:hAnsi="仿宋_GB2312" w:eastAsia="仿宋_GB2312" w:cs="仿宋_GB2312"/>
          <w:sz w:val="28"/>
          <w:szCs w:val="28"/>
        </w:rPr>
        <w:t>14.5 投标人应按《投标人须知前附表》要求的份数提供投标文件。在每本投标文件的封面右上角标明“正本”或“副本”。</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14.6 根据《中华人民共和国政府采购法》第四十二条的规定，投标人无论中标与否，其投标文件均不予退还。</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14.7 投标人根据招标文件的规定和采购项目的实际情况，拟在中标后将中标项目的非主体、非关键性工作分包的，应当在投标文件中载明分包承担主体，分包承担主体应当具备相应资质条件且不得再次分包，该部分应与“投标人的资格证明材料”编制在同一章节，列表说明拟分包项目的具体内容、分包承担主体及其资质条件，并附入分包承担主体的法人营业执照副本、资质证书及其它资质证明文件。</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15. 投标报价</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15.1 投标货币</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以人民币报价，以元为单位，保留小数点后两位。</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15.2 投标报价是履行合同的最终价格，应包括为完成本项目招标范围内所有货物（含配套件、备品备件、专用工具）及其供货、运输、安装调试、检验、培训、保险、税金及技术服务等全部费用。</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15.3 投标报价应按填报准确、齐全，</w:t>
      </w:r>
      <w:r>
        <w:rPr>
          <w:rFonts w:hint="eastAsia" w:ascii="仿宋_GB2312" w:hAnsi="仿宋_GB2312" w:eastAsia="仿宋_GB2312" w:cs="仿宋_GB2312"/>
          <w:sz w:val="28"/>
          <w:szCs w:val="28"/>
        </w:rPr>
        <w:t>投标人免费提供的项目，应注明免费。</w:t>
      </w:r>
      <w:r>
        <w:rPr>
          <w:rFonts w:hint="eastAsia" w:ascii="仿宋_GB2312" w:hAnsi="仿宋_GB2312" w:eastAsia="仿宋_GB2312" w:cs="仿宋_GB2312"/>
          <w:kern w:val="0"/>
          <w:sz w:val="28"/>
          <w:szCs w:val="28"/>
        </w:rPr>
        <w:t>投标人漏报、少报的费用，视为已包含在其他报价中，中标后不予调整。▲</w:t>
      </w:r>
      <w:r>
        <w:rPr>
          <w:rFonts w:hint="eastAsia" w:ascii="仿宋_GB2312" w:hAnsi="仿宋_GB2312" w:eastAsia="仿宋_GB2312" w:cs="仿宋_GB2312"/>
          <w:b/>
          <w:kern w:val="0"/>
          <w:sz w:val="28"/>
          <w:szCs w:val="28"/>
        </w:rPr>
        <w:t>任何有选择性的投标报价将被认为未实质响应招标文件而被视为投标无效。</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15.3 投标人应按第六章“投标文件格式”所提供的报价表格式填写，所投货物须满足第五章“采购需求”要求。若投标人在本章第11.1款规定的提交投标文件截止时间前修改开标一览表中的报价，应同时修改其按第六章要求填写的相应报价表中的报价。此修改须符合本章第21.1款的有关要求。</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15.4 投标文件中标明的价格在合同执行过程中是固定不变的，投标人不得以任何理由予以变更。</w:t>
      </w:r>
    </w:p>
    <w:p>
      <w:pPr>
        <w:adjustRightInd w:val="0"/>
        <w:snapToGrid w:val="0"/>
        <w:spacing w:line="360" w:lineRule="auto"/>
        <w:ind w:firstLine="560"/>
        <w:rPr>
          <w:rFonts w:ascii="仿宋_GB2312" w:hAnsi="仿宋_GB2312" w:eastAsia="仿宋_GB2312" w:cs="仿宋_GB2312"/>
          <w:b/>
          <w:kern w:val="0"/>
          <w:sz w:val="28"/>
          <w:szCs w:val="28"/>
        </w:rPr>
      </w:pPr>
      <w:r>
        <w:rPr>
          <w:rFonts w:hint="eastAsia" w:ascii="仿宋_GB2312" w:hAnsi="仿宋_GB2312" w:eastAsia="仿宋_GB2312" w:cs="仿宋_GB2312"/>
          <w:kern w:val="0"/>
          <w:sz w:val="28"/>
          <w:szCs w:val="28"/>
        </w:rPr>
        <w:t>15.5 本采购项目预算详见投标须知前附表，▲</w:t>
      </w:r>
      <w:r>
        <w:rPr>
          <w:rFonts w:hint="eastAsia" w:ascii="仿宋_GB2312" w:hAnsi="仿宋_GB2312" w:eastAsia="仿宋_GB2312" w:cs="仿宋_GB2312"/>
          <w:b/>
          <w:kern w:val="0"/>
          <w:sz w:val="28"/>
          <w:szCs w:val="28"/>
        </w:rPr>
        <w:t>投标人的报价不得超过采购项目预算，否则投标无效。</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16. 投标人符合招标文件规定的证明文件</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16.1 投标人应提供资格证明材料，以证实其各项条件能满足本章第3.1款规定的投标人资格条件要求。</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16.2 投标人为联合体形式的，则应提交联合体各方资格文件、联合体协议，否则将视为非实质投标而被拒绝。</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16.3 投标人在货物说明中应当说明货物的品牌型号、规格参数、制造商及原产地等，交货时应出具原产地证明及出厂合格证明。</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16.4 上述证明文件可以是文字资料、图纸和数据，并须提供：</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16.4.1 货物主要性能和参数的详细说明；</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16.4.2 对照招标文件技术规格，逐条说明所提供货物和服务对招标文件的技术规格条文的响应与偏离。对有具体参数要求的指标，投标人应提供具体参数值。</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17. 投标保证金</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17.1 ▲</w:t>
      </w:r>
      <w:r>
        <w:rPr>
          <w:rFonts w:hint="eastAsia" w:ascii="仿宋_GB2312" w:hAnsi="仿宋_GB2312" w:eastAsia="仿宋_GB2312" w:cs="仿宋_GB2312"/>
          <w:b/>
          <w:kern w:val="0"/>
          <w:sz w:val="28"/>
          <w:szCs w:val="28"/>
        </w:rPr>
        <w:t>投标须知前附表规定提交投标保证金的，供应商应按投标须知前附表规定的形式、金额，在本章第11.1款规定的提交投标文件截止时间前，提交投标保证金。投标保证金有效期应当与本章第18.1款规定的投标文件有效期一致。</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17.2 投标人为联合体的，可以由联合体中的主办方或者联合体各方共同提交投标保证金，其提交的投标保证金，对联合体各方均具有约束力。</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17.3 投标人在投标截止时间前撤回已递交的投标文件的，采购人或者采购代理机构应当自收到投标人书面撤回通知之日起５个工作日内，退还已收取的投标保证金，但因投标人自身原因导致无法及时退还的除外。</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采购人或者采购代理机构应当自中标通知书发出之日起5个工作日内退还未中标人的投标保证金，自采购合同签订之日起5个工作日内退还中标人的投标保证金或者转为中标人的履约保证金。</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17.4 ▲</w:t>
      </w:r>
      <w:r>
        <w:rPr>
          <w:rFonts w:hint="eastAsia" w:ascii="仿宋_GB2312" w:hAnsi="仿宋_GB2312" w:eastAsia="仿宋_GB2312" w:cs="仿宋_GB2312"/>
          <w:b/>
          <w:kern w:val="0"/>
          <w:sz w:val="28"/>
          <w:szCs w:val="28"/>
        </w:rPr>
        <w:t>有下列情形之一的，投标保证金不予退还：</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17.4.1 投标人在投标有效期内撤销投标文件的；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17.4.2 中标后无正当理由不与采购人签订合同的;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17.4.3 将中标项目转让给他人，或者在投标文件中未说明，且未经采购人同意，将中标项目转包或部分分包给他人的;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17.4.4 中标人未按招标文件规定缴纳履约保证金的；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17.4.5 拒绝履行合同义务的。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17.4.6 投标人恶意串通，妨碍其他投标人的竞争行为，损害采购人或者其他投标人的合法权益的。</w:t>
      </w:r>
    </w:p>
    <w:p>
      <w:pPr>
        <w:adjustRightInd w:val="0"/>
        <w:snapToGrid w:val="0"/>
        <w:spacing w:line="360" w:lineRule="auto"/>
        <w:ind w:firstLine="560"/>
        <w:rPr>
          <w:rFonts w:ascii="仿宋_GB2312" w:hAnsi="仿宋_GB2312" w:eastAsia="仿宋_GB2312" w:cs="仿宋_GB2312"/>
          <w:b/>
          <w:kern w:val="0"/>
          <w:sz w:val="28"/>
          <w:szCs w:val="28"/>
        </w:rPr>
      </w:pPr>
      <w:r>
        <w:rPr>
          <w:rFonts w:hint="eastAsia" w:ascii="仿宋_GB2312" w:hAnsi="仿宋_GB2312" w:eastAsia="仿宋_GB2312" w:cs="仿宋_GB2312"/>
          <w:kern w:val="0"/>
          <w:sz w:val="28"/>
          <w:szCs w:val="28"/>
        </w:rPr>
        <w:t>17.4.7 投标人出现本章23.7款所述情形之一的，视为投标人串通投标，其投标无效。</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18. 投标有效期</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18.1 投标有效期见投标须知前附表，在此期间投标文件对投标人具有法律约束力，从本章第11.1款规定的提交投标文件截止时间之日起计算。▲</w:t>
      </w:r>
      <w:r>
        <w:rPr>
          <w:rFonts w:hint="eastAsia" w:ascii="仿宋_GB2312" w:hAnsi="仿宋_GB2312" w:eastAsia="仿宋_GB2312" w:cs="仿宋_GB2312"/>
          <w:b/>
          <w:kern w:val="0"/>
          <w:sz w:val="28"/>
          <w:szCs w:val="28"/>
        </w:rPr>
        <w:t>投标有效期不足的投标将被视为无效投标</w:t>
      </w:r>
      <w:r>
        <w:rPr>
          <w:rFonts w:hint="eastAsia" w:ascii="仿宋_GB2312" w:hAnsi="仿宋_GB2312" w:eastAsia="仿宋_GB2312" w:cs="仿宋_GB2312"/>
          <w:kern w:val="0"/>
          <w:sz w:val="28"/>
          <w:szCs w:val="28"/>
        </w:rPr>
        <w:t>。</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18.2 投标文件中承诺的投标有效期应当不少于招标文件中载明的投标有效期。投标有效期内投标人撤销投标文件的，采购人或者采购代理机构可以不退还投标保证金。</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18.3 若遇特殊情况，采购人/采购代理机构可要求投标人同意延长投标有效期。相应的要求应以书面、电传、传真形式送达投标人，投标人应在规定的时间内书面答复采购人/采购代理机构。如果投标人接受延期，投标保证金的有效期也应相应延长。投标人也可以拒绝延期要求而无须以其投标保证金为抵押。任何同意延期的投标人都不会被要求或被允许修改其投标文件。</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19. 投标文件的签署</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19.1 ▲</w:t>
      </w:r>
      <w:r>
        <w:rPr>
          <w:rFonts w:hint="eastAsia" w:ascii="仿宋_GB2312" w:hAnsi="仿宋_GB2312" w:eastAsia="仿宋_GB2312" w:cs="仿宋_GB2312"/>
          <w:b/>
          <w:kern w:val="0"/>
          <w:sz w:val="28"/>
          <w:szCs w:val="28"/>
        </w:rPr>
        <w:t>投标文件正本和副本应按招标文件要求签章处盖单位公章和由法定代表人或其授权代表签字；任何行间插字、涂改、增删处，均应由法定代表人或其授权代表在旁边签字并加盖单位公章。否则，将导致投标文件无效。</w:t>
      </w:r>
    </w:p>
    <w:p>
      <w:pPr>
        <w:adjustRightInd w:val="0"/>
        <w:snapToGrid w:val="0"/>
        <w:spacing w:line="360" w:lineRule="auto"/>
        <w:ind w:firstLine="560"/>
        <w:rPr>
          <w:rFonts w:ascii="仿宋_GB2312" w:hAnsi="仿宋_GB2312" w:eastAsia="仿宋_GB2312" w:cs="仿宋_GB2312"/>
          <w:b/>
          <w:bCs/>
          <w:sz w:val="28"/>
          <w:szCs w:val="28"/>
        </w:rPr>
      </w:pPr>
      <w:r>
        <w:rPr>
          <w:rFonts w:hint="eastAsia" w:ascii="仿宋_GB2312" w:hAnsi="仿宋_GB2312" w:eastAsia="仿宋_GB2312" w:cs="仿宋_GB2312"/>
          <w:kern w:val="0"/>
          <w:sz w:val="28"/>
          <w:szCs w:val="28"/>
        </w:rPr>
        <w:t>19.2 ▲</w:t>
      </w:r>
      <w:r>
        <w:rPr>
          <w:rFonts w:hint="eastAsia" w:ascii="仿宋_GB2312" w:hAnsi="仿宋_GB2312" w:eastAsia="仿宋_GB2312" w:cs="仿宋_GB2312"/>
          <w:b/>
          <w:kern w:val="0"/>
          <w:sz w:val="28"/>
          <w:szCs w:val="28"/>
        </w:rPr>
        <w:t>投标文件正本和副本封面投标人落款处必须加盖投标人单位公章，需由法定代表人或其授权代表签字处均须由法定代表人或其授权代表签字。否则，将导致投标文件无效。（投标文件正本须逐页盖单位公章，副本可为正本的复印件）</w:t>
      </w:r>
    </w:p>
    <w:p>
      <w:pPr>
        <w:pStyle w:val="41"/>
        <w:jc w:val="both"/>
        <w:outlineLvl w:val="1"/>
        <w:rPr>
          <w:rFonts w:ascii="宋体" w:hAnsi="宋体" w:cs="宋体"/>
          <w:b/>
          <w:bCs/>
          <w:color w:val="auto"/>
          <w:sz w:val="32"/>
          <w:szCs w:val="32"/>
        </w:rPr>
      </w:pPr>
      <w:r>
        <w:rPr>
          <w:rFonts w:hint="eastAsia" w:ascii="宋体" w:hAnsi="宋体" w:cs="宋体"/>
          <w:b/>
          <w:bCs/>
          <w:color w:val="auto"/>
          <w:sz w:val="32"/>
          <w:szCs w:val="32"/>
        </w:rPr>
        <w:t xml:space="preserve">    四</w:t>
      </w:r>
      <w:r>
        <w:rPr>
          <w:rFonts w:hint="eastAsia" w:ascii="仿宋_GB2312" w:hAnsi="仿宋_GB2312" w:eastAsia="仿宋_GB2312" w:cs="仿宋_GB2312"/>
          <w:b/>
          <w:kern w:val="0"/>
          <w:sz w:val="28"/>
          <w:szCs w:val="28"/>
        </w:rPr>
        <w:t xml:space="preserve">. </w:t>
      </w:r>
      <w:r>
        <w:rPr>
          <w:rFonts w:hint="eastAsia" w:ascii="宋体" w:hAnsi="宋体" w:cs="宋体"/>
          <w:b/>
          <w:bCs/>
          <w:color w:val="auto"/>
          <w:sz w:val="32"/>
          <w:szCs w:val="32"/>
        </w:rPr>
        <w:t>投标文件的递交</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20. 投标文件的密封和标记</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20.1 投标文件应密封包装，加贴封条，并在封套的封口处（封套两端折叠封口处）盖投标人单位章或密封章。</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 投标文件封套上应写明的内容见投标须知前附表。</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20.3 投标文件如果未按上述规定密封、标记，采购人或采购代理机构将拒绝接收。</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20.4 《招标文件》中要求单独密封递交的文件，投标人必须按上述要求单独密封和递交。</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21. 投标文件的补充、修改和撤回</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21.1 投标人在投标截止时间前，可以对所提交的投标文件进行补充、修改或者撤回，并书面通知采购人或者采购代理机构，该通知应由投标人法定代表人或其授权代表签字并加盖投标人单位公章。补充、修改的内容应当按照招标文件要求签署、盖章、密封后，作为投标文件的组成部分。</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21.2 补充、修改的内容与投标文件不一致时，以补充、修改的内容为准。</w:t>
      </w:r>
    </w:p>
    <w:p>
      <w:pPr>
        <w:adjustRightInd w:val="0"/>
        <w:snapToGrid w:val="0"/>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21.3 除非采购人/采购代理机构要求，投标人在投标截止时间后不得修改和补充其投标文件。</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21.4 投标人不得在投标截止时间起至投标文件有效期满前撤回投标文件，否则其投标保证金将不予退还。</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22. 投标文件的递交</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22.1 投标人应在投标截止时间前，将投标文件送达投标须知前附表中指定的投标地点。在投标截止时间后送达的投标文件，采购人、采购代理机构应当拒收。</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22.2 如投标须知前附表中要求提供样品的，应按要求提供样品及相关资料，并在递交投标文件时一起提交。</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采购活动结束后，对于未中标人提供的样品，应当及时退还或者经未中标人同意后自行处理；对于中标人提供的样品，应当按照招标文件的规定进行保管、封存，并作为履约验收的参考。</w:t>
      </w:r>
    </w:p>
    <w:p>
      <w:pPr>
        <w:pStyle w:val="41"/>
        <w:jc w:val="both"/>
        <w:outlineLvl w:val="1"/>
        <w:rPr>
          <w:rFonts w:ascii="宋体" w:hAnsi="宋体" w:cs="仿宋"/>
          <w:b/>
          <w:bCs/>
          <w:color w:val="auto"/>
          <w:sz w:val="32"/>
          <w:szCs w:val="32"/>
        </w:rPr>
      </w:pPr>
      <w:r>
        <w:rPr>
          <w:rFonts w:hint="eastAsia" w:ascii="宋体" w:hAnsi="宋体" w:cs="仿宋"/>
          <w:b/>
          <w:bCs/>
          <w:color w:val="auto"/>
          <w:sz w:val="32"/>
          <w:szCs w:val="32"/>
        </w:rPr>
        <w:t xml:space="preserve">    五</w:t>
      </w:r>
      <w:r>
        <w:rPr>
          <w:rFonts w:hint="eastAsia" w:ascii="仿宋_GB2312" w:hAnsi="仿宋_GB2312" w:eastAsia="仿宋_GB2312" w:cs="仿宋_GB2312"/>
          <w:b/>
          <w:kern w:val="0"/>
          <w:sz w:val="28"/>
          <w:szCs w:val="28"/>
        </w:rPr>
        <w:t xml:space="preserve">. </w:t>
      </w:r>
      <w:r>
        <w:rPr>
          <w:rFonts w:hint="eastAsia" w:ascii="宋体" w:hAnsi="宋体" w:cs="仿宋"/>
          <w:b/>
          <w:bCs/>
          <w:color w:val="auto"/>
          <w:sz w:val="32"/>
          <w:szCs w:val="32"/>
        </w:rPr>
        <w:t>开标和评标</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23. 开标</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23.1 采购代理机构在招标文件规定的投标截止时间的同一时间即开标时间和规定的地点组织公开开标，开标由采购人或者采购代理机构主持，并邀请所有投标人法定代表人或其授权代表参加。参加开标的投标人代表应签名以证明其出席。评标委员会成员不得参加开标活动。</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23.2 </w:t>
      </w:r>
      <w:r>
        <w:rPr>
          <w:rFonts w:hint="eastAsia" w:ascii="仿宋_GB2312" w:hAnsi="仿宋_GB2312" w:eastAsia="仿宋_GB2312" w:cs="仿宋_GB2312"/>
          <w:bCs/>
          <w:color w:val="000000"/>
          <w:sz w:val="28"/>
          <w:szCs w:val="28"/>
        </w:rPr>
        <w:t>开标前，采购代理机构将会同监督人员或公证人员进行验标（检查投标人报名及保证金交纳情况），确认无误后开标。</w:t>
      </w:r>
      <w:r>
        <w:rPr>
          <w:rFonts w:hint="eastAsia" w:ascii="仿宋_GB2312" w:hAnsi="仿宋_GB2312" w:eastAsia="仿宋_GB2312" w:cs="仿宋_GB2312"/>
          <w:kern w:val="0"/>
          <w:sz w:val="28"/>
          <w:szCs w:val="28"/>
        </w:rPr>
        <w:t>开标时，应当由投标人或者其推选的代表检查投标文件的密封情况；经确认无误后，由采购人或者采购代理机构工作人员当众拆封，宣布投标人名称、投标价格和招标文件规定的需要宣布的其他内容，并记录在案。</w:t>
      </w:r>
    </w:p>
    <w:p>
      <w:pPr>
        <w:adjustRightInd w:val="0"/>
        <w:snapToGrid w:val="0"/>
        <w:spacing w:line="360" w:lineRule="auto"/>
        <w:ind w:firstLine="562"/>
        <w:rPr>
          <w:rFonts w:ascii="仿宋_GB2312" w:hAnsi="仿宋_GB2312" w:eastAsia="仿宋_GB2312" w:cs="仿宋_GB2312"/>
          <w:b/>
          <w:sz w:val="28"/>
          <w:szCs w:val="28"/>
        </w:rPr>
      </w:pPr>
      <w:r>
        <w:rPr>
          <w:rFonts w:hint="eastAsia" w:ascii="仿宋_GB2312" w:hAnsi="仿宋_GB2312" w:eastAsia="仿宋_GB2312" w:cs="仿宋_GB2312"/>
          <w:b/>
          <w:sz w:val="28"/>
          <w:szCs w:val="28"/>
        </w:rPr>
        <w:t>如果递交投标文件的投标人不足3家，将不进行开标，采购人将依法重新组织招标或采用其它采购方式采购。</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23.3 开标过程由采购代理机构负责记录，由参加开标的各投标人代表、采购人代表、监督人、记录人和相关工作人员签字确认后随采购文件一并存档。</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投标人未参加开标的，视同认可开标结果。</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23.4 公开招标数额标准以上的采购项目，投标截止时间后投标人不足3家或者通过资格审查或符合性审查的投标人不足3家的，除采购任务取消情形外，按照以下方式处理：</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23.4.1 招标文件存在不合理条款或者招标程序不符合规定的，采购人、采购代理机构改正后依法重新招标；</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23.4.2 招标文件没有不合理条款、招标程序符合规定，需要采用其他采购方式采购的，采购人应当依法报财政部门批准。</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23.5 开标结束后，采购人或者采购代理机构应当依法对投标人的资格进行审查。</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如果资格审查合格的投标人不足3家，将不进行评标，</w:t>
      </w:r>
      <w:r>
        <w:rPr>
          <w:rFonts w:hint="eastAsia" w:ascii="仿宋_GB2312" w:hAnsi="仿宋_GB2312" w:eastAsia="仿宋_GB2312" w:cs="仿宋_GB2312"/>
          <w:b/>
          <w:sz w:val="28"/>
          <w:szCs w:val="28"/>
        </w:rPr>
        <w:t>采购人将依法重新组织招标或采用其它采购方式采购。</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23.6 投标人应当遵循公平竞争的原则，不得恶意串通，不得妨碍其他投标人的竞争行为，不得损害采购人或者其他投标人的合法权益。</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在评标过程中发现投标人有上述情形的，评标委员会应当认定其</w:t>
      </w:r>
      <w:r>
        <w:rPr>
          <w:rFonts w:hint="eastAsia" w:ascii="仿宋_GB2312" w:hAnsi="仿宋_GB2312" w:eastAsia="仿宋_GB2312" w:cs="仿宋_GB2312"/>
          <w:b/>
          <w:kern w:val="0"/>
          <w:sz w:val="28"/>
          <w:szCs w:val="28"/>
        </w:rPr>
        <w:t>投标无效</w:t>
      </w:r>
      <w:r>
        <w:rPr>
          <w:rFonts w:hint="eastAsia" w:ascii="仿宋_GB2312" w:hAnsi="仿宋_GB2312" w:eastAsia="仿宋_GB2312" w:cs="仿宋_GB2312"/>
          <w:kern w:val="0"/>
          <w:sz w:val="28"/>
          <w:szCs w:val="28"/>
        </w:rPr>
        <w:t>，并书面报告本级财政部门。</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23.7 ▲有下列情形之一的，视为投标人串通投标，其投标无效,并对投标人依照《政府采购法》第七十七条的规定追究法律责任：</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23.7.1 不同投标人的投标文件由同一单位或者个人编制；</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23.7.2 不同投标人委托同一单位或者个人办理投标事宜；</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23.7.3 不同投标人的投标文件载明的项目管理成员或者联系人员为同一人；</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23.7.4 不同投标人的投标文件异常一致或者投标报价呈规律性差异；</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23.7.5 不同投标人的投标文件相互混装；</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23.7.6 不同投标人的投标保证金从同一单位或者个人的账户转出。</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24. 评标委员会</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24.1 采购人或者采购代理机构负责组织评标工作，并履行下列职责：</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24.1.1核对评标专家身份和采购人代表授权函，对评标专家在政府采购活动中的职责履行情况予以记录，并及时将有关违法违规行为向财政部门报告；</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24.1.2宣布评标纪律；</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24.1.3公布投标人名单，告知评标专家应当回避的情形；</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24.1.4组织评标委员会推选评标组长,采购人代表不得担任组长；</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24.1.5在评标期间采取必要的通讯管理措施,保证评标活动不受外界干扰；</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24.1.6根据评标委员会的要求介绍政府采购相关政策法规、招标文件；</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24.1.7维护评标秩序，监督评标委员会依照招标文件规定的评标程序、方法和标准进行独立评标，及时制止和纠正采购人代表、评标专家的倾向性言论或者违法违规行为；</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24.1.8核对评标结果，有本招标文件投标须知正文第25.10条规定情形的，要求评标委员会复核或者书面说明理由，评标委员会拒绝的，应予记录并向本级财政部门报告；</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24.1.9评标工作完成后，按照规定向评标专家支付劳务报酬和异地评标差旅费，不得向评标专家以外的其他人员支付评标劳务报酬；</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24.1.10处理与评标有关的其他事项。</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采购人可以在评标前说明项目背景和采购需求，说明内容不得含有歧视性、倾向性意见，不得超出招标文件所述范围。说明应当提交书面材料，并随采购文件一并存档。</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24.2 评标委员会负责具体评标事务，并独立履行下列职责：</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24.2.1审查、评价投标文件是否符合招标文件的商务、技术等实质性要求；</w:t>
      </w:r>
    </w:p>
    <w:p>
      <w:pPr>
        <w:adjustRightInd w:val="0"/>
        <w:snapToGrid w:val="0"/>
        <w:spacing w:line="360" w:lineRule="auto"/>
        <w:ind w:firstLine="560"/>
        <w:rPr>
          <w:rFonts w:ascii="仿宋_GB2312" w:hAnsi="仿宋_GB2312" w:eastAsia="仿宋_GB2312" w:cs="仿宋_GB2312"/>
          <w:kern w:val="0"/>
          <w:sz w:val="28"/>
          <w:szCs w:val="28"/>
        </w:rPr>
      </w:pPr>
      <w:bookmarkStart w:id="9" w:name="OLE_LINK4"/>
      <w:r>
        <w:rPr>
          <w:rFonts w:hint="eastAsia" w:ascii="仿宋_GB2312" w:hAnsi="仿宋_GB2312" w:eastAsia="仿宋_GB2312" w:cs="仿宋_GB2312"/>
          <w:kern w:val="0"/>
          <w:sz w:val="28"/>
          <w:szCs w:val="28"/>
        </w:rPr>
        <w:t>24.2.</w:t>
      </w:r>
      <w:bookmarkEnd w:id="9"/>
      <w:r>
        <w:rPr>
          <w:rFonts w:hint="eastAsia" w:ascii="仿宋_GB2312" w:hAnsi="仿宋_GB2312" w:eastAsia="仿宋_GB2312" w:cs="仿宋_GB2312"/>
          <w:kern w:val="0"/>
          <w:sz w:val="28"/>
          <w:szCs w:val="28"/>
        </w:rPr>
        <w:t>2要求投标人对投标文件有关事项作出澄清或者说明；</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24.2.3对投标文件进行比较和评价；</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24.2.4确定中标候选人名单，或者根据采购人委托直接确定中标人；</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24.2.5向采购人、采购代理机构或者有关部门报告评标中发现的违法行为。</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24.3 评标委员会由采购人代表和评标专家组成，成员人数应当为5人以上单数，其中评标专家不得少于成员总数的三分之二。评标委员会成员与投标人存在利害关系的，应当回避。</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24.3.1 采购项目符合下列情形之一的，评标委员会成员人数应当为7人以上单数：</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（1）采购预算金额在1000万元以上；</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（2）技术复杂；</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（3）社会影响较大。</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24.3.2 评标专家对本单位的采购项目只能作为采购人代表参与评标，对技术复杂、专业性强的采购项目，通过随机方式难以确定合适评标专家的，经主管预算单位同意，采购人可以自行选定相应专业领域的评标专家情形除外。采购代理机构工作人员不得参加由本机构代理的政府采购项目的评标。</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24.3.3 评标委员会成员名单在评标结果公告前应当保密。</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24.4 采购人或者采购代理机构应当从省级以上财政部门设立的政府采购评标专家库中，通过随机方式抽取评标专家。</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对技术复杂、专业性强的采购项目，通过随机方式难以确定合适评标专家的，经主管预算单位同意，采购人可以自行选定相应专业领域的评标专家。</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24.5 评标中因评标委员会成员缺席、回避或者健康等特殊原因导致评标委员会组成不符合《中华人民共和国政府采购法》、《中华人民共和国政府采购法实施条例》、《政府采购货物和服务招标投标管理办法》相关规定的，采购人或者采购代理机构应当依法补足后继续评标。被更换的评标委员会成员所作出的评标意见无效。</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无法及时补足评标委员会成员的，采购人或者采购代理机构应当停止评标活动，封存所有投标文件和开标、评标资料，依法重新组建评标委员会进行评标。原评标委员会所作出的评标意见无效。</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采购人或者采购代理机构应当将变更、重新组建评标委员会的情况予以记录，并随采购文件一并存档。</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24.6  采购人委派代表参加评标委员会的，应当向采购代理机构出具授权函，采购人代表不得担任评标委员会主任委员。除授权代表外，采购人可以委派纪检监察等相关人员进入评标现场，对评标工作实施监督，但不得超过２人。</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24.7  评标委员会成员应认真执行《中华人民共和国政府采购法》、《中华人民共和国政府采购法实施条例》、《政府采购货物和服务招标投标管理办法》及相关法规规定，同时维护采购人与投标人的合法权益。</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24.8 评标委员会及其成员不得有下列行为：</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（1）确定参与评标至评标结束前私自接触投标人；</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（2）接受投标人提出的与投标文件不一致的澄清或者说明，本招标文件投标须知正文第25.2条规定的情形除外；</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（3）违反评标纪律发表倾向性意见或者征询采购人的倾向性意见；</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（4）对需要专业判断的主观评标因素协商评分；</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（5）在评标过程中擅离职守，影响评标程序正常进行的；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（6）记录、复制或者带走任何评标资料；</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（7）其他不遵守评标纪律的行为。</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评标委员会成员有以上第1至5项行为之一的，其评标意见无效，并不得获取评标劳务报酬和报销异地评标差旅费。</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24.9评标委员会成员要严格遵守评标时间，主动出具身份证明，遵守评标工作纪律和评标回避的相关规定。在评标工作开始前，将手机等通讯工具或相关电子设备交由采购人或采购代理机构统一保管，拒不上交的，采购人或采购代理机构可以拒绝其参加评标工作并向财政部门报告。</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评标委员会成员和评标工作有关人员不得干预或者影响正常评标工作，不得明示或者暗示其倾向性、引导性意见，不得修改或细化采购文件确定的评标程序、评标方法、评标因素和评标标准，不得接受投标人主动提出的澄清和解释，不得征询采购人代表的倾向性意见，不得协商评分，不得记录、复制或带走任何评标资料。评标结果汇总完成后，采购人、采购代理机构和评标委员会均不得修改评标结果或者要求重新评标，但资格性检查认定错误、分值汇总计算错误、分项评分超出评分标准范围、客观分评分不一致、经评标委员会一致认定评分畸高、畸低的情形除外。出现上述除外情形的，评标委员会应当现场修改评标结果，并在评标报告中明确记载。</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25. 评标</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25.1 评标委员会按照第三章“评标方法及标准”规定的评标方法、评标因素、标准和程序以及有关法律、法规及规章对投标文件进行评标，评标委员会应当对符合资格的投标人的投标文件进行符合性审查，以确定其是否满足招标文件的实质性要求。</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25.2 对于投标文件中含义不明确、同类问题表述不一致或者有明显文字和计算错误的内容，评标委员会应当以书面形式要求投标人作出必要的澄清、说明或者补正。</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投标人的澄清、说明或者补正应当采用书面形式，并加盖公章或者由法定代表人或其授权的代表签字。投标人的澄清、说明或者补正不得超出投标文件的范围或者改变投标文件的实质性内容。</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25.3 投标文件报价出现前后不一致的，除招标文件另有规定外，按照下列规定修正：</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25.3.1 投标文件中开标一览表（报价表）内容与投标文件中相应内容不一致的，以开标一览表（报价表）为准；</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25.3.2 大写金额和小写金额不一致的，以大写金额为准；</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25.3.3 单价金额小数点或者百分比有明显错位的，以开标一览表的总价为准，并修改单价；</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25.3.4 总价金额与按单价汇总金额不一致的，以单价金额计算结果为准。</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同时出现两种以上不一致的，按照前款规定的顺序修正。修正后的报价按照本招标文件投标须知正文第25.2款的规定经投标人确认后产生约束力，▲</w:t>
      </w:r>
      <w:r>
        <w:rPr>
          <w:rFonts w:hint="eastAsia" w:ascii="仿宋_GB2312" w:hAnsi="仿宋_GB2312" w:eastAsia="仿宋_GB2312" w:cs="仿宋_GB2312"/>
          <w:b/>
          <w:kern w:val="0"/>
          <w:sz w:val="28"/>
          <w:szCs w:val="28"/>
        </w:rPr>
        <w:t>投标人拒绝确认的，其投标无效</w:t>
      </w:r>
      <w:r>
        <w:rPr>
          <w:rFonts w:hint="eastAsia" w:ascii="仿宋_GB2312" w:hAnsi="仿宋_GB2312" w:eastAsia="仿宋_GB2312" w:cs="仿宋_GB2312"/>
          <w:kern w:val="0"/>
          <w:sz w:val="28"/>
          <w:szCs w:val="28"/>
        </w:rPr>
        <w:t>。</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25.4 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_GB2312" w:hAnsi="仿宋_GB2312" w:eastAsia="仿宋_GB2312" w:cs="仿宋_GB2312"/>
          <w:b/>
          <w:kern w:val="0"/>
          <w:sz w:val="28"/>
          <w:szCs w:val="28"/>
        </w:rPr>
        <w:t>投标人不能证明其报价合理性的，评标委员会应当将其作为无效投标处理</w:t>
      </w:r>
      <w:r>
        <w:rPr>
          <w:rFonts w:hint="eastAsia" w:ascii="仿宋_GB2312" w:hAnsi="仿宋_GB2312" w:eastAsia="仿宋_GB2312" w:cs="仿宋_GB2312"/>
          <w:kern w:val="0"/>
          <w:sz w:val="28"/>
          <w:szCs w:val="28"/>
        </w:rPr>
        <w:t>。</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25.5 评标委员会成员对需要共同认定的事项存在争议的，应当按照少数服从多数的原则作出结论。持不同意见的评标委员会成员应当在评标报告上签署不同意见及理由，否则视为同意评标报告。</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25.6 评标委员会应当按照招标文件中规定的评标方法和标准，对资格性审查、符合性审查合格的投标文件进行商务和技术评估，综合比较与评价。</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25.7 本项目评标方法为：综合评分法。</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25.7.1 </w:t>
      </w:r>
      <w:r>
        <w:rPr>
          <w:rFonts w:hint="eastAsia" w:ascii="仿宋_GB2312" w:hAnsi="仿宋_GB2312" w:eastAsia="仿宋_GB2312" w:cs="仿宋_GB2312"/>
          <w:b/>
          <w:kern w:val="0"/>
          <w:sz w:val="28"/>
          <w:szCs w:val="28"/>
        </w:rPr>
        <w:t>综合评分法</w:t>
      </w:r>
      <w:r>
        <w:rPr>
          <w:rFonts w:hint="eastAsia" w:ascii="仿宋_GB2312" w:hAnsi="仿宋_GB2312" w:eastAsia="仿宋_GB2312" w:cs="仿宋_GB2312"/>
          <w:kern w:val="0"/>
          <w:sz w:val="28"/>
          <w:szCs w:val="28"/>
        </w:rPr>
        <w:t>，是投标文件满足招标文件全部实质性要求，且按照评标因素的量化指标评标得分最高的投标人为中标候选人的评标方法。</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评标因素的设定与投标人所提供货物服务的质量相关，包括投标报价、技术或者服务水平、履约能力、售后服务等。资格条件不得作为评标因素。</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25.7.2 评标时，评标委员会各成员应当独立对每个投标人的投标文件进行评价，并汇总每个投标人的得分。</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25.7.3 评标过程中，不得去掉报价中的最高报价和最低报价。</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25.7.4 因落实政府采购政策进行价格调整的，以调整后的价格计算评标基准价和投标报价。</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25.8 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25.9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25.10 评标结果汇总完成后，除下列情形外，任何人不得修改评标结果：</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（1）分值汇总计算错误的；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（2）分项评分超出评分标准范围的；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（3）评标委员会成员对客观评标因素评分不一致的；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（4）经评标委员会认定评分畸高、畸低的。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财政部门。</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投标人对上述(1)～(4)项提出质疑的，采购人或者采购代理机构可以组织原评标委员会进行重新评标，重新评标改变评标结果的，应当书面报告本级财政部门。</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25.11 评标委员会根据全体评标成员签字的原始评标记录和评标结果编写评标报告。评标报告应当包括以下内容：</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（1）招标公告刊登的媒体名称、开标日期和地点；</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（2）投标人名单和评标委员会成员名单；</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（3）评标方法和标准；</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（4）开标记录和评标情况及说明，包括无效投标人名单及原因；</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（5）评标结果，确定的中标候选人名单或者经采购人委托直接确定的中标人；</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（6）其他需要说明的情况，包括评标过程中投标人根据评标委员会要求进行的澄清、说明或者补正，评标委员会成员的更换等。</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25.12 采购人、采购代理机构应当采取必要措施加强评标现场管理，与评标工作无关的人员不得进入评标现场，保证评标在严格保密的情况下进行。除采购人代表、评标现场组织人员外，采购人的其他工作人员以及与评标工作无关的人员不得进入评标现场。评标委员会成员及其它有关人员对评标情况以及在评标过程中获悉的国家秘密、商业秘密负有保密责任。</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25.13 评标委员会或者其成员存在下列情形导致评标结果无效的，采购人、采购代理机构可以重新组建评标委员会进行评标，并书面报告本级财政部门，但采购合同已经履行的除外：</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（1）评标委员会组成不符合本招标文件规定的；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（2）有《政府采购货物和服务招标投标管理办法》（财政部令第87号）第六十二条第一至五项（即：本招标文件投标须知正文第24.8条第（1）至（5）项）情形的；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（3）评标委员会及其成员独立评标受到非法干预的；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（4）有《政府采购法实施条例》第七十五条规定的违法行为的。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有违法违规行为的原评标委员会成员不得参加重新组建的评标委员会。</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25.14 评标委员会发现采购文件存在歧义、重大缺陷导致评标工作无法进行，或者采购文件内容违反国家有关规定的，要停止评标工作并向采购人或采购代理机构书面说明情况，采购人或采购代理机构应当修改采购文件后重新组织采购活动；发现投标人提供虚假材料、串通等违法违规行为的，要及时向采购人或采购代理机构报告。</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26. 确定中标人</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26.1 定标</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26.1.1 采购代理机构应当在评标结束后2个工作日内将评标报告送采购人。</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26.1.2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26.1.3 采购人应当确定排名第一的中标候选人为中标人。排名第一的中标候选人拒绝签订合同而放弃中标、或因不可抗力提出不能履行合同，或者招标文件规定应当提交履约保证金而在规定的期限内未能提交的，采购人可以确定排名第二的中标候选人为中标人，以此类推。</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26.1.4 采购人在收到评标报告5个工作日内未按评标报告推荐的中标候选人顺序确定中标人，又不能说明合法理由的，视同按评标报告推荐的顺序确定排名第一的中标候选人为中标人。</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26.2 中标结果公告</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26.2.1 采购人或者采购代理机构应当自中标人确定之日起2个工作日内，在省级以上财政部门指定的媒体上公告中标结果，招标文件应当随中标结果同时公告。</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26.2.2 中标结果公告内容应当包括采购人及其委托的采购代理机构的名称、地址、联系方式，项目名称和项目编号，中标人名称、地址和中标金额，主要中标标的的名称、规格型号、数量、单价、服务要求，中标公告期限以及评标专家名单。</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26.2.3 中标公告期限为</w:t>
      </w: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个工作日。</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26.2.4 在公告中标结果的同时，采购人或者采购代理机构应当向中标人发出中标通知书；对未通过资格审查的投标人，应当告知其未通过的原因；采用综合评分法评标的，还应当告知未中标人本人的评标得分与排序。</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26.3 采购人不保证将合同授予最低投标报价的投标人。</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26.4 在确定中标人前，招标采购单位不得与投标人就投标价格、投标方案等实质性内容进行谈判。</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26.5 采购人有权在定标之前拒绝任何有不正当行为或扰乱正常招标工作的投标人，由此对投标人造成的损失不负任何责任，同时对此也不做任何解释。</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27. 招标终止</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27.1 在招标采购中，出现下列情形之一的，应予废标：</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（1）符合专业条件的投标人或者对招标文件作实质响应的投标人不足三家的；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（2）出现影响采购公正的违法、违规行为的；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（3）投标人的报价均超过了采购预算，采购人不能支付的；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（4）因重大变故，采购任务取消的。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废标后，采购人应当将废标理由通知所有投标人。</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废标后，除采购任务取消情形外，应当重新组织招标；需要采取其他方式采购的，应当在采购活动开始前获得设区的市、自治州以上人民政府采购监督管理部门或者政府有关部门批准。</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27.2 出现下列情形之一的，采购人或者采购代理机构应当终止招标采购活动，在财政部门指定的媒体上发布项目终止公告并说明原因，重新开展采购活动：</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27.2.1 因情况变化，不再符合规定的招标采购方式适用情形的；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27.2.2 出现影响采购公正的违法、违规行为的；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27.2.3 已确定中标人但尚未签订政府采购合同的，中标结果无效，需从合格的中标候选人中另行确定中标人但没有合格的中标候选人的；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27.2.4 政府采购合同已签订但尚未履行的，撤销合同，需从合格的中标候选人中另行确定中标人但没有合格的中标候选人的；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27.2.5 因重大变故，采购任务取消的。</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28. 重新评标</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28.1 除本须知第25.10所述情形外，采购人或者采购代理机构不能以任何理由组织重新评标。采购人、采购代理机构发现评标委员会未按照招标文件规定的评标标准进行评标的，应当重新开展采购活动，并同时书面报告本级财政部门。</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29. 保密与纪律事项</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29.1 评标委员会成员以及与评标工作有关的人员不得泄露评标情况以及评标过程中获悉的国家秘密、商业秘密。</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评标过程保密是指评标开始后评标委员会对投标人资格审查开始至中标公告期结束、中标通知书发出等与项目相关所有的文字、评标委员会的对话、音视频等相关资料的保密，如与采购项目相关的采购人、采购代理机构、评标委员会及公共资源交易中心人员及其他相关人员泄密，从而导致评标结果出现不公正性，有关行政主管部门将根据《政府采购法》、《政府采购法实施条例》及相关法律法规规定将责任人提请上级行政主管部门追究其责任；构成犯罪的，将提请司法机关依法追究其刑事责任。</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29.2 投标人不得与采购人、采购代理机构、其他投标人恶意串通；不得向采购人、采购代理机构或者评标委员会成员行贿或者提供其他不正当利益；不得提供虚假材料谋取中标；不得以任何方式干扰、影响采购工作。</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29.3 有下列情形之一的，属于恶意串通，投标无效，并依照《政府采购法》第七十七条的规定追究法律责任：</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（1）投标人直接或者间接从采购人、采购代理机构获得其他投标人的投标情况，并修改其投标文件的；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（2）投标人按照采购人或采购代理机构授意撤换、修改投标文件的；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（3）投标人之间协商技术方案、合同条款以及报价等投标文件实质性内容的;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（4）属于同一集团、协会、商会等组织成员的投标人按照该组织要求协同参加政府采购活动的；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（5）投标人之间事先约定由某一特定投标人中标的；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（6）投标人之间商定部分投标人放弃提交投标文件或者退出招标或者放弃中标的；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（7）投标人与采购人、采购代理机构以及评标委员会成员之间、投标人相互之间，为谋求特定投标人中标或者排斥其他投标人的其他串通行为的。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（8）法律、行政法规或规章规定的其他串通行为。</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29.4 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（1）提供虚假材料谋取中标的；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（2）采取不正当手段诋毁、排挤其他投标人的；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（3）与采购人、其他投标人或者采购代理机构恶意串通的；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（4）向采购人、采购代理机构行贿或者提供其他不正当利益的；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（5）在招标采购过程中与采购人进行协商谈判的；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（6）拒绝有关部门监督检查或者提供虚假情况的。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供应商有上述第（1）至（5）项情形之一的，中标无效。</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29.5 投标人有下列情形之一的，依照《政府采购法》第七十七条第一款的规定追究法律责任：</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（1）向评标委员会成员行贿或者提供其他不正当利益；</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（2）中标后无正当理由拒不与采购人签订政府采购合同；</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（3）未按照采购文件确定的事项签订政府采购合同；</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（4）将政府采购合同转包；</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（5）提供假冒伪劣产品；</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（6）擅自变更、中止或者终止政府采购合同。</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标人有上述第一项规定情形的，中标无效。评标阶段资格发生变化，投标人未依照《政府采购法实施条例》第二十一条的规定通知采购人和采购代理机构的，处以采购金额5‰的罚款，列入不良行为记录名单，中标无效。</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29.6 投标人捏造事实、提供虚假材料或者以非法手段取得证明材料进行投诉的，由财政部门列入不良行为记录名单，禁止其1至3年内参加政府采购活动。</w:t>
      </w:r>
    </w:p>
    <w:p>
      <w:pPr>
        <w:pStyle w:val="41"/>
        <w:jc w:val="both"/>
        <w:outlineLvl w:val="1"/>
        <w:rPr>
          <w:rFonts w:ascii="宋体" w:hAnsi="宋体" w:cs="仿宋"/>
          <w:b/>
          <w:bCs/>
          <w:color w:val="auto"/>
          <w:sz w:val="32"/>
          <w:szCs w:val="32"/>
        </w:rPr>
      </w:pPr>
      <w:r>
        <w:rPr>
          <w:rFonts w:hint="eastAsia" w:ascii="宋体" w:hAnsi="宋体" w:cs="仿宋"/>
          <w:b/>
          <w:bCs/>
          <w:color w:val="auto"/>
          <w:sz w:val="32"/>
          <w:szCs w:val="32"/>
        </w:rPr>
        <w:t xml:space="preserve">    六</w:t>
      </w:r>
      <w:r>
        <w:rPr>
          <w:rFonts w:hint="eastAsia" w:ascii="仿宋_GB2312" w:hAnsi="仿宋_GB2312" w:eastAsia="仿宋_GB2312" w:cs="仿宋_GB2312"/>
          <w:b/>
          <w:kern w:val="0"/>
          <w:sz w:val="28"/>
          <w:szCs w:val="28"/>
        </w:rPr>
        <w:t xml:space="preserve">. </w:t>
      </w:r>
      <w:r>
        <w:rPr>
          <w:rFonts w:hint="eastAsia" w:ascii="宋体" w:hAnsi="宋体" w:cs="仿宋"/>
          <w:b/>
          <w:bCs/>
          <w:color w:val="auto"/>
          <w:sz w:val="32"/>
          <w:szCs w:val="32"/>
        </w:rPr>
        <w:t>中标结果信息公布与授予合同</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30. 中标信息的公布</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30.1 采购人或者采购代理机构应当自中标人确定之日起2个工作日内，发出中标通知书，并在省级以上人民政府财政部门指定的媒体上公告中标结果，招标文件随中标结果同时公告。</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30.2 中标通知书对采购人和中标人具有同等法律效力。</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31. 询问及质疑</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31.1 投标人对政府采购活动事项有疑问的，可以向采购人或采购代理机构提出询问，采购人或采购代理机构将在三个工作日内作出答复。</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31.2 投标人若认为招标文件、招标过程和中标结果使自己的权益受到损害，应当在下列时间内以书面形式向采购人或采购代理机构提出：</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31.2.1 对可以质疑的招标文件提出质疑的，应在收到招标文件之日7个工作日内。</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31.2.2 对采购过程提出质疑的，应在该采购程序环节结束之日起7个工作日内提出。</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31.2.3 关于中标结果的质疑，应在中标结果信息发布后7个工作日内提出。</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31.3 投标人提出质疑的，应提供质疑书原件。采购人或采购代理机构应当向质疑投标人签收回执。</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31.4 质疑书应当包括下列内容：</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31.4.1 质疑投标人的名称、地址及有效联系方式；</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31.4.2 质疑事项；</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31.4.3 事实依据及相关证明材料；</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31.4.4 相关请求及主张。</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31.5 质疑书应当由投标人法定代表人或其授权代表签字并加盖投标人单位章，质疑书由授权代表签字的应附投标人法定代表人委托授权书。</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31.6 采购人或采购代理机构将在签收回执之日起7个工作日内作出书面答复，并以书面形式通知质疑投标投标人和其他有关的投标人。</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31.7 投标人对采购人或采购代理机构的答复不满意，或者采购人或采购代理机构未在规定的期限作出答复的，可在答复期满后15个工作日内，按政府采购相关法律法规的规定及程序，向同级财政部门提出投诉。</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31.8 参与政府采购活动的投标人对评标过程或者结果提出质疑的，采购人或采购代理机构可以组织原评标委员会协助处理质疑事项，并依据评标委员会出具的意见进行答复。质疑答复导致中标结果改变的，采购人或采购代理机构应当将相关情况报财政部门备案。</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32. 中标通知</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32.1 中标人确定后，采购人或采购代理机构将以书面形式向中标人发出中标通知书。中标通知书对采购人和中标人具有同等法律效力。中标通知书发出后，采购人不得违法改变中标结果，中标人无正当理由不得放弃中标。</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32.2 中标人在收到中标通知书后10日内，应按照投标须知前附表的规定，向采购人提交履约担保。联合体中标的，履约担保由联合体各方或联合体中牵头人的名义提交。</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32.3 招标文件要求中标人提交履约保证金的，中标人应当以电汇、支票、汇票、本票或者金融机构、担保机构出具的保函等非现金形式提交。中标人没有按照规定提交履约担保的，视为放弃中标资格，其投标保证金不予退还。</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32.4 中标人拒绝与采购人签订合同的，采购人可以按照评标报告推荐的中标候选人名单排序，确定下一候选人为中标人，也可以重新开展政府采购活动。</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33. 签订合同</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33.1 采购人应当自中标通知书发出之日起30日内，按照招标文件和中标人投标文件的规定，与中标人签订书面合同。所签订的合同不得对招标文件确定的事项和中标人投标文件作实质性修改。中标通知书是合同文件的组成部分。</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采购人不得向中标人提出任何不合理的要求作为签订合同的条件。</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33.2 政府采购合同应当包括采购人与中标人的名称和住所、标的、数量、质量、价款或者报酬、履行期限及地点和方式、验收要求、违约责任、解决争议的方法等内容。</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33.3 采购人与中标人应当根据合同的约定依法履行合同义务。</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政府采购合同的履行、违约责任和解决争议的方法等适用《中华人民共和国合同法》。</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33.4 采购人应当及时对采购项目进行验收。采购人可以邀请参加本项目的其他投标人或者第三方机构参与验收。参与验收的投标人或者第三方机构的意见作为验收书的参考资料一并存档。</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33.5 采购人应当加强对中标人的履约管理，并按照采购合同约定，及时向中标人支付采购资金。对于中标人违反采购合同约定的行为，采购人应当及时处理，依法追究其违约责任。</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33.6 中标人应当按照合同约定履行义务。中标人不得向他人转让中标项目，也不得将中标项目分包后分别向他人转让。合同分包需在投标文件中予以说明，并需经采购人同意。否则，采购人有权取消中标人的中标资格。</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33.7 中标人有下列情形之一的，责令限期改正，情节严重的，列入不良行为记录名单，在1至3年内禁止参加政府采购活动，并予以通报：</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33.7.1 中标后无正当理由不与采购人签订合同的；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33.7.2 未按照招标文件确定的事项签订政府采购合同，或者与采购人另行订立背离合同实质性内容的协议的；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33.7.3 拒绝履行合同义务的；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33.7.4 违反法律、规章、规范性文件规定的。</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33.8 政府采购合同的双方当事人不得擅自变更、中止或者终止合同。</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政府采购合同继续履行将损害国家利益和社会公共利益的，双方当事人应当变更、中止或者终止合同。有过错的一方应当承担赔偿责任，双方都有过错的，各自承担相应的责任。</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33.9 采购人应当自政府采购合同签订之日起2个工作日内,将政府采购合同在省级以上人民政府财政部门指定的媒体上公告,但政府采购合同中涉及国家秘密、商业秘密的内容除外。</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34. 政府采购合同履行中数量的变更</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34.1 政府采购合同履行中，采购人需追加与合同标的相同的货物、工程或者服务的，在不改变合同其他条款的前提下，可以与中标人协商签订补充合同，但所有补充合同的采购金额不得超过原合同采购金额的10%。</w:t>
      </w:r>
    </w:p>
    <w:p>
      <w:pPr>
        <w:pStyle w:val="41"/>
        <w:jc w:val="both"/>
        <w:outlineLvl w:val="1"/>
        <w:rPr>
          <w:rFonts w:ascii="宋体" w:hAnsi="宋体" w:cs="仿宋"/>
          <w:b/>
          <w:bCs/>
          <w:color w:val="auto"/>
          <w:sz w:val="32"/>
          <w:szCs w:val="32"/>
        </w:rPr>
      </w:pPr>
      <w:r>
        <w:rPr>
          <w:rFonts w:hint="eastAsia" w:ascii="宋体" w:hAnsi="宋体" w:cs="仿宋"/>
          <w:b/>
          <w:bCs/>
          <w:color w:val="auto"/>
          <w:sz w:val="32"/>
          <w:szCs w:val="32"/>
        </w:rPr>
        <w:t xml:space="preserve">    七</w:t>
      </w:r>
      <w:r>
        <w:rPr>
          <w:rFonts w:hint="eastAsia" w:ascii="仿宋_GB2312" w:hAnsi="仿宋_GB2312" w:eastAsia="仿宋_GB2312" w:cs="仿宋_GB2312"/>
          <w:b/>
          <w:kern w:val="0"/>
          <w:sz w:val="28"/>
          <w:szCs w:val="28"/>
        </w:rPr>
        <w:t xml:space="preserve">. </w:t>
      </w:r>
      <w:r>
        <w:rPr>
          <w:rFonts w:hint="eastAsia" w:ascii="宋体" w:hAnsi="宋体" w:cs="仿宋"/>
          <w:b/>
          <w:bCs/>
          <w:color w:val="auto"/>
          <w:sz w:val="32"/>
          <w:szCs w:val="32"/>
        </w:rPr>
        <w:t>其他规定</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35. 招标代理服务费</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35.1 中标人应按投标须知前附表规定交纳招标代理服务费。</w:t>
      </w:r>
    </w:p>
    <w:p>
      <w:pPr>
        <w:pStyle w:val="5"/>
        <w:numPr>
          <w:ilvl w:val="3"/>
          <w:numId w:val="0"/>
        </w:numPr>
        <w:tabs>
          <w:tab w:val="left" w:pos="435"/>
          <w:tab w:val="clear" w:pos="420"/>
        </w:tabs>
        <w:rPr>
          <w:rFonts w:ascii="Times New Roman" w:hAnsi="Times New Roman" w:cs="Times New Roman"/>
          <w:bCs/>
          <w:sz w:val="28"/>
          <w:szCs w:val="20"/>
        </w:rPr>
      </w:pPr>
      <w:r>
        <w:rPr>
          <w:rFonts w:hint="eastAsia" w:ascii="仿宋_GB2312" w:hAnsi="仿宋_GB2312" w:eastAsia="仿宋_GB2312" w:cs="仿宋_GB2312"/>
          <w:kern w:val="0"/>
          <w:sz w:val="28"/>
          <w:szCs w:val="28"/>
        </w:rPr>
        <w:t xml:space="preserve">    36. </w:t>
      </w:r>
      <w:r>
        <w:rPr>
          <w:rFonts w:hint="eastAsia" w:ascii="仿宋_GB2312" w:hAnsi="仿宋_GB2312" w:eastAsia="仿宋_GB2312" w:cs="仿宋_GB2312"/>
          <w:bCs/>
          <w:sz w:val="28"/>
          <w:szCs w:val="20"/>
        </w:rPr>
        <w:t>履约保证金</w:t>
      </w:r>
    </w:p>
    <w:p>
      <w:pPr>
        <w:adjustRightInd w:val="0"/>
        <w:snapToGrid w:val="0"/>
        <w:ind w:firstLine="56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36.1第一成交候选人在收到成交公示结束后10日内（签订合同前）向采购人缴纳合同金额*</w:t>
      </w:r>
      <w:r>
        <w:rPr>
          <w:rFonts w:hint="eastAsia" w:ascii="仿宋_GB2312" w:hAnsi="仿宋_GB2312" w:eastAsia="仿宋_GB2312" w:cs="仿宋_GB2312"/>
          <w:color w:val="000000"/>
          <w:kern w:val="0"/>
          <w:sz w:val="28"/>
          <w:szCs w:val="28"/>
          <w:lang w:val="en-US" w:eastAsia="zh-CN"/>
        </w:rPr>
        <w:t>10</w:t>
      </w:r>
      <w:r>
        <w:rPr>
          <w:rFonts w:hint="eastAsia" w:ascii="仿宋_GB2312" w:hAnsi="仿宋_GB2312" w:eastAsia="仿宋_GB2312" w:cs="仿宋_GB2312"/>
          <w:color w:val="000000"/>
          <w:kern w:val="0"/>
          <w:sz w:val="28"/>
          <w:szCs w:val="28"/>
        </w:rPr>
        <w:t>%的履约保证金。否则视为自动放弃成交资格，由第二候选人成交，以此类推。</w:t>
      </w:r>
    </w:p>
    <w:p>
      <w:pPr>
        <w:adjustRightInd w:val="0"/>
        <w:snapToGrid w:val="0"/>
        <w:ind w:firstLine="56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36.2 履约保证金形式：转账</w:t>
      </w:r>
    </w:p>
    <w:p>
      <w:pPr>
        <w:adjustRightInd w:val="0"/>
        <w:snapToGrid w:val="0"/>
        <w:ind w:firstLine="56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成交单位未按本文件规定缴纳履约保证金的，其保证金将不予退还。</w:t>
      </w:r>
    </w:p>
    <w:p>
      <w:pPr>
        <w:adjustRightInd w:val="0"/>
        <w:snapToGrid w:val="0"/>
        <w:ind w:firstLine="56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36.3 履约保证金缴纳账户信息：根据签订合同账户汇款。</w:t>
      </w:r>
    </w:p>
    <w:p>
      <w:pPr>
        <w:adjustRightInd w:val="0"/>
        <w:snapToGrid w:val="0"/>
        <w:ind w:firstLine="56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36.4 履约保证金的退还：合同履约完成，项目竣工验收合格后，凭验收报告向乙方无息退还履约保证金。成交单位未按照合同、法律法规、招标文件等相关规定履行责任，采购人有权扣除履约保证金，并解除合同，由此造成的一切损失，由成交单位自行承担。</w:t>
      </w:r>
    </w:p>
    <w:p>
      <w:pPr>
        <w:adjustRightInd w:val="0"/>
        <w:snapToGrid w:val="0"/>
        <w:spacing w:line="360" w:lineRule="auto"/>
        <w:ind w:firstLine="56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37.其他规定</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37.1 采购人、采购代理机构应当建立真实完整的招标采购档案，妥善保存每项采购活动的采购文件。</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37.2 招标文件的其他规定见投标须知前附表。</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37.3 本招标文件是根据《中华人民共和国政府采购法》、《中华人民共和国政府采购法实施条例》和《政府采购货物和服务招标投标管理办法》（财政部令第87号）的规定编制，解释权属</w:t>
      </w:r>
      <w:r>
        <w:rPr>
          <w:rFonts w:hint="eastAsia" w:ascii="仿宋_GB2312" w:hAnsi="仿宋_GB2312" w:eastAsia="仿宋_GB2312" w:cs="仿宋_GB2312"/>
          <w:bCs/>
          <w:kern w:val="0"/>
          <w:sz w:val="28"/>
          <w:szCs w:val="28"/>
        </w:rPr>
        <w:t>新疆崇业招标代理有限公司</w:t>
      </w:r>
      <w:r>
        <w:rPr>
          <w:rFonts w:hint="eastAsia" w:ascii="仿宋_GB2312" w:hAnsi="仿宋_GB2312" w:eastAsia="仿宋_GB2312" w:cs="仿宋_GB2312"/>
          <w:kern w:val="0"/>
          <w:sz w:val="28"/>
          <w:szCs w:val="28"/>
        </w:rPr>
        <w:t>。</w:t>
      </w:r>
    </w:p>
    <w:p>
      <w:pPr>
        <w:adjustRightInd w:val="0"/>
        <w:snapToGrid w:val="0"/>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37.4参与本次招标的投标人应当派商务、技术人员参加开标会议，并对评标委员会提出的商务、技术问题进行答疑和澄清。</w:t>
      </w:r>
    </w:p>
    <w:p>
      <w:pPr>
        <w:ind w:firstLine="560"/>
      </w:pPr>
      <w:r>
        <w:rPr>
          <w:rFonts w:hint="eastAsia" w:ascii="仿宋_GB2312" w:hAnsi="仿宋_GB2312" w:eastAsia="仿宋_GB2312" w:cs="仿宋_GB2312"/>
          <w:sz w:val="28"/>
          <w:szCs w:val="28"/>
        </w:rPr>
        <w:br w:type="page"/>
      </w:r>
    </w:p>
    <w:p>
      <w:pPr>
        <w:pStyle w:val="23"/>
        <w:rPr>
          <w:rFonts w:ascii="黑体" w:hAnsi="黑体" w:eastAsia="黑体" w:cs="黑体"/>
          <w:b w:val="0"/>
          <w:bCs w:val="0"/>
        </w:rPr>
      </w:pPr>
      <w:bookmarkStart w:id="10" w:name="_Toc6248"/>
      <w:r>
        <w:rPr>
          <w:rFonts w:hint="eastAsia" w:ascii="黑体" w:hAnsi="黑体" w:eastAsia="黑体" w:cs="黑体"/>
          <w:b w:val="0"/>
          <w:bCs w:val="0"/>
        </w:rPr>
        <w:t>第三章 评标标准</w:t>
      </w:r>
      <w:bookmarkEnd w:id="4"/>
      <w:bookmarkEnd w:id="10"/>
    </w:p>
    <w:p>
      <w:pPr>
        <w:pStyle w:val="3"/>
        <w:numPr>
          <w:ilvl w:val="1"/>
          <w:numId w:val="0"/>
        </w:numPr>
        <w:rPr>
          <w:rFonts w:ascii="仿宋_GB2312" w:hAnsi="仿宋_GB2312" w:eastAsia="仿宋_GB2312" w:cs="仿宋_GB2312"/>
          <w:sz w:val="28"/>
          <w:szCs w:val="28"/>
        </w:rPr>
      </w:pPr>
      <w:bookmarkStart w:id="11" w:name="_Toc26131"/>
      <w:r>
        <w:rPr>
          <w:rFonts w:hint="eastAsia" w:ascii="仿宋_GB2312" w:hAnsi="仿宋_GB2312" w:eastAsia="仿宋_GB2312" w:cs="仿宋_GB2312"/>
          <w:sz w:val="28"/>
          <w:szCs w:val="28"/>
        </w:rPr>
        <w:t>一</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sz w:val="28"/>
          <w:szCs w:val="28"/>
        </w:rPr>
        <w:t>总则</w:t>
      </w:r>
      <w:bookmarkEnd w:id="11"/>
    </w:p>
    <w:p>
      <w:pPr>
        <w:pStyle w:val="4"/>
        <w:numPr>
          <w:ilvl w:val="2"/>
          <w:numId w:val="0"/>
        </w:numPr>
        <w:tabs>
          <w:tab w:val="left" w:pos="468"/>
        </w:tabs>
        <w:ind w:left="640" w:leftChars="200"/>
        <w:rPr>
          <w:rFonts w:ascii="仿宋_GB2312" w:hAnsi="仿宋_GB2312" w:eastAsia="仿宋_GB2312" w:cs="仿宋_GB2312"/>
          <w:sz w:val="28"/>
          <w:szCs w:val="28"/>
        </w:rPr>
      </w:pPr>
      <w:bookmarkStart w:id="12" w:name="_Toc23716"/>
      <w:r>
        <w:rPr>
          <w:rFonts w:hint="eastAsia" w:ascii="仿宋_GB2312" w:hAnsi="仿宋_GB2312" w:eastAsia="仿宋_GB2312" w:cs="仿宋_GB2312"/>
          <w:sz w:val="28"/>
          <w:szCs w:val="28"/>
        </w:rPr>
        <w:t>1.评标委员会</w:t>
      </w:r>
      <w:bookmarkEnd w:id="12"/>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1.1评标由依法组建的评标委员会负责,其成员构成方式详见投标须知正文。</w:t>
      </w:r>
    </w:p>
    <w:p>
      <w:pPr>
        <w:pStyle w:val="4"/>
        <w:numPr>
          <w:ilvl w:val="2"/>
          <w:numId w:val="0"/>
        </w:numPr>
        <w:tabs>
          <w:tab w:val="left" w:pos="468"/>
        </w:tabs>
        <w:ind w:left="640" w:leftChars="200"/>
        <w:rPr>
          <w:rFonts w:ascii="仿宋_GB2312" w:hAnsi="仿宋_GB2312" w:eastAsia="仿宋_GB2312" w:cs="仿宋_GB2312"/>
          <w:sz w:val="28"/>
          <w:szCs w:val="28"/>
        </w:rPr>
      </w:pPr>
      <w:bookmarkStart w:id="13" w:name="_Toc762"/>
      <w:r>
        <w:rPr>
          <w:rFonts w:hint="eastAsia" w:ascii="仿宋_GB2312" w:hAnsi="仿宋_GB2312" w:eastAsia="仿宋_GB2312" w:cs="仿宋_GB2312"/>
          <w:sz w:val="28"/>
          <w:szCs w:val="28"/>
        </w:rPr>
        <w:t>2.评标方法</w:t>
      </w:r>
      <w:bookmarkEnd w:id="13"/>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2.1本项目评标方法为：综合评分法。</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2.1.1综合评分法，是投标文件满足招标文件全部实质性要求，且按照评标因素的量化指标评标得分最高的投标人为中标候选人的评标方法。</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评标因素的设定与投标人所提供货物服务的质量相关，包括投标报价、技术或者服务水平、履约能力、售后服务等。资格条件不得作为评标因素。</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2.1.2评标时，评标委员会各成员应当独立对每个投标人的投标文件进行评价，并汇总每个投标人的得分。</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2.1.3评标过程中，不得去掉报价中的最高报价和最低报价。</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2.1.4因落实政府采购政策进行价格调整的，以调整后的价格计算评标基准价和投标报价。</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2.2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pPr>
        <w:pStyle w:val="4"/>
        <w:numPr>
          <w:ilvl w:val="2"/>
          <w:numId w:val="0"/>
        </w:numPr>
        <w:tabs>
          <w:tab w:val="left" w:pos="468"/>
        </w:tabs>
        <w:ind w:left="640" w:leftChars="200"/>
        <w:rPr>
          <w:rFonts w:ascii="仿宋_GB2312" w:hAnsi="仿宋_GB2312" w:eastAsia="仿宋_GB2312" w:cs="仿宋_GB2312"/>
          <w:sz w:val="28"/>
          <w:szCs w:val="28"/>
        </w:rPr>
      </w:pPr>
      <w:bookmarkStart w:id="14" w:name="_Toc586"/>
      <w:r>
        <w:rPr>
          <w:rFonts w:hint="eastAsia" w:ascii="仿宋_GB2312" w:hAnsi="仿宋_GB2312" w:eastAsia="仿宋_GB2312" w:cs="仿宋_GB2312"/>
          <w:sz w:val="28"/>
          <w:szCs w:val="28"/>
        </w:rPr>
        <w:t>3.评标原则和评标纪律</w:t>
      </w:r>
      <w:bookmarkEnd w:id="14"/>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3.1评标委员会成员应当按照客观、公正、审慎的原则，根据招标文件规定的评标程序、评标方法和评标标准进行独立评标。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3.2评标委员会成员应当在评标报告上签字，对自己的评标意见承担法律责任。评标委员会成员对需要共同认定的事项存在争议的，应当按照少数服从多数的原则作出结论。持不同意见的评标委员会成员应当在评标报告上签署不同意见及理由，否则视为同意评标报告。</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3.3评标纪律</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3.3.1采购人委派代表参加评标委员会的，应当向采购代理机构出具授权函。除授权代表外，采购人可以委派纪检监察等相关人员进入评标现场，对评标工作实施监督，但不得超过２人。采购人需要在评标前介绍项目背景和技术需求的，应当事先提交书面介绍材料，介绍内容不得存在歧视性、倾向性意见，不得超出采购文件所述范围，书面介绍材料作为采购项目文件随其他文件一并存档。评标委员会应当推选组长，但采购人代表不得担任组长。</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3.3.2评标委员会成员要严格遵守评标时间，主动出具身份证明，遵守评标工作纪律和评标回避的相关规定。在评标工作开始前，将手机等通讯工具或相关电子设备交由采购人或采购代理机构统一保管，拒不上交的，采购人或采购代理机构可以拒绝其参加评标工作并向财政部门报告。</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3.3.3评标委员会成员和评标工作有关人员不得干预或者影响正常评标工作，不得明示或者暗示其倾向性、引导性意见，不得修改或细化采购文件确定的评标程序、评标方法、评标因素和评标标准，不得接受投标人主动提出的澄清和解释，不得征询采购人代表的倾向性意见，不得协商评分，不得记录、复制或带走任何评标资料。评标结果汇总完成后，采购人、采购代理机构和评标委员会均不得修改评标结果或者要求重新评标，但资格性检查认定错误、分值汇总计算错误、分项评分超出评分标准范围、客观分评分不一致、经评标委员会一致认定评分畸高、畸低的情形除外。出现上述除外情形的，评标委员会应当现场修改评标结果，并在评标报告中明确记载。</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3.3.4评标委员会成员不得私自泄露评标内容。评标过程应严格遵守保密制度。开标后,直到授予中标人合同止，凡是属于审查、澄清、评价和比较的有关资料以及授标建议等均不得向投标人或其他无关的人员透露。</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3.3.5采购人、采购代理机构要加强评标现场管理，与评标工作无关的人员不得进入评标现场。各级财政部门对评标活动相关各方违反评标工作纪律及要求的行为，将依法严肃处理。</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3.4评标委员会成员应当履行的义务</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3.4.1评标委员会成员应根据政府采购法律法规和采购文件所载明的评标方法、标准进行评标，遵纪守法，客观、公正、廉洁地履行职责。</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3.4.2评标委员会成员应熟悉和理解采购文件，认真阅读所有投标人的投标文件，对所有投标文件逐一进行资格性、符合性检查，按采购文件规定的评标方法和标准，进行比较和评价；</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3.4.3对投标人的价格分等客观评分项的评分应当一致，对其他需要借助专业知识评判的主观评分项，应当严格按照评分细则公正评分。</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3.4.4评标委员会如需要投标人对投标文件有关事项作出澄清的，应当给予投标人必要的反馈时间，但澄清事项不得超出投标文件的范围，不得实质性改变投标文件的内容，不得通过澄清等方式对投标人实行差别对待。</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3.4.5评标委员会应对评分汇总情况进行复核，特别是对排名第一的、报价最低的投标或相应文件被认定为无效的情形进行重点复核，并根据评标结果推荐中标候选人，或者根据采购人委托协议规定直接确定中标人，起草并签署评标报告。</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3.4.6评标委员会应在采购项目招标失败时，出具招标文件是否存在不合理条款的论证意见，并协助采购人、采购代理机构、财政部门答复质疑或处理投诉事项。</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3.4.7评标委员会应对评标过程和结果以及投标人的商业秘密保密。</w:t>
      </w:r>
    </w:p>
    <w:p>
      <w:pPr>
        <w:pStyle w:val="3"/>
        <w:numPr>
          <w:ilvl w:val="1"/>
          <w:numId w:val="0"/>
        </w:numPr>
        <w:rPr>
          <w:rFonts w:ascii="仿宋_GB2312" w:hAnsi="仿宋_GB2312" w:eastAsia="仿宋_GB2312" w:cs="仿宋_GB2312"/>
          <w:sz w:val="28"/>
          <w:szCs w:val="28"/>
        </w:rPr>
      </w:pPr>
      <w:bookmarkStart w:id="15" w:name="_Toc15375"/>
      <w:r>
        <w:rPr>
          <w:rFonts w:hint="eastAsia" w:ascii="仿宋_GB2312" w:hAnsi="仿宋_GB2312" w:eastAsia="仿宋_GB2312" w:cs="仿宋_GB2312"/>
          <w:sz w:val="28"/>
          <w:szCs w:val="28"/>
        </w:rPr>
        <w:t xml:space="preserve">    二</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sz w:val="28"/>
          <w:szCs w:val="28"/>
        </w:rPr>
        <w:t>评标程序</w:t>
      </w:r>
      <w:bookmarkEnd w:id="15"/>
    </w:p>
    <w:p>
      <w:pPr>
        <w:pStyle w:val="4"/>
        <w:numPr>
          <w:ilvl w:val="2"/>
          <w:numId w:val="0"/>
        </w:numPr>
        <w:tabs>
          <w:tab w:val="left" w:pos="468"/>
        </w:tabs>
        <w:ind w:left="640" w:leftChars="200"/>
        <w:rPr>
          <w:rFonts w:ascii="仿宋_GB2312" w:hAnsi="仿宋_GB2312" w:eastAsia="仿宋_GB2312" w:cs="仿宋_GB2312"/>
          <w:sz w:val="28"/>
          <w:szCs w:val="28"/>
        </w:rPr>
      </w:pPr>
      <w:bookmarkStart w:id="16" w:name="_Toc31634"/>
      <w:r>
        <w:rPr>
          <w:rFonts w:hint="eastAsia" w:ascii="仿宋_GB2312" w:hAnsi="仿宋_GB2312" w:eastAsia="仿宋_GB2312" w:cs="仿宋_GB2312"/>
          <w:sz w:val="28"/>
          <w:szCs w:val="28"/>
        </w:rPr>
        <w:t>4.投标文件的初步评标</w:t>
      </w:r>
      <w:bookmarkEnd w:id="16"/>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4.1初步评标分为资格性检查和符合性检查。</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4.1.1资格性检查</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根据法律法规和招标文件的规定，对投标文件中的资格证明文件、投标保证金等进行审查，以确定投标投标人是否具备投标资格。</w:t>
      </w:r>
      <w:r>
        <w:rPr>
          <w:rFonts w:hint="eastAsia" w:ascii="仿宋_GB2312" w:hAnsi="仿宋_GB2312" w:eastAsia="仿宋_GB2312" w:cs="仿宋_GB2312"/>
          <w:b/>
          <w:bCs/>
          <w:sz w:val="28"/>
          <w:szCs w:val="28"/>
        </w:rPr>
        <w:t>一.资格性审查表</w:t>
      </w:r>
    </w:p>
    <w:tbl>
      <w:tblPr>
        <w:tblpPr w:leftFromText="180" w:rightFromText="180" w:vertAnchor="text" w:horzAnchor="page" w:tblpX="1508" w:tblpY="240"/>
        <w:tblOverlap w:val="never"/>
        <w:tblW w:w="9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17"/>
        <w:gridCol w:w="668"/>
        <w:gridCol w:w="7101"/>
        <w:gridCol w:w="945"/>
      </w:tblGrid>
      <w:tr>
        <w:trPr>
          <w:trHeight w:val="614" w:hRule="atLeast"/>
        </w:trPr>
        <w:tc>
          <w:tcPr>
            <w:tcW w:w="517" w:type="dxa"/>
            <w:vMerge w:val="restart"/>
            <w:vAlign w:val="center"/>
          </w:tcPr>
          <w:p>
            <w:pPr>
              <w:pStyle w:val="18"/>
              <w:spacing w:line="440" w:lineRule="exact"/>
              <w:rPr>
                <w:rFonts w:ascii="仿宋_GB2312" w:hAnsi="仿宋_GB2312" w:eastAsia="仿宋_GB2312" w:cs="仿宋_GB2312"/>
                <w:b/>
                <w:bCs/>
                <w:szCs w:val="28"/>
              </w:rPr>
            </w:pPr>
            <w:r>
              <w:rPr>
                <w:rFonts w:hint="eastAsia" w:ascii="仿宋_GB2312" w:hAnsi="仿宋_GB2312" w:eastAsia="仿宋_GB2312" w:cs="仿宋_GB2312"/>
                <w:b/>
                <w:bCs/>
                <w:szCs w:val="28"/>
              </w:rPr>
              <w:t>资格性审查</w:t>
            </w:r>
          </w:p>
          <w:p>
            <w:pPr>
              <w:pStyle w:val="18"/>
              <w:spacing w:line="440" w:lineRule="exact"/>
              <w:rPr>
                <w:rFonts w:ascii="仿宋_GB2312" w:hAnsi="仿宋_GB2312" w:eastAsia="仿宋_GB2312" w:cs="仿宋_GB2312"/>
                <w:b/>
                <w:bCs/>
                <w:szCs w:val="28"/>
              </w:rPr>
            </w:pPr>
            <w:r>
              <w:rPr>
                <w:rFonts w:hint="eastAsia" w:ascii="仿宋_GB2312" w:hAnsi="仿宋_GB2312" w:eastAsia="仿宋_GB2312" w:cs="仿宋_GB2312"/>
                <w:b/>
                <w:bCs/>
                <w:szCs w:val="28"/>
              </w:rPr>
              <w:t xml:space="preserve">  </w:t>
            </w:r>
          </w:p>
          <w:p>
            <w:pPr>
              <w:pStyle w:val="18"/>
              <w:spacing w:line="440" w:lineRule="exact"/>
              <w:rPr>
                <w:rFonts w:ascii="仿宋_GB2312" w:hAnsi="仿宋_GB2312" w:eastAsia="仿宋_GB2312" w:cs="仿宋_GB2312"/>
                <w:b/>
                <w:bCs/>
                <w:szCs w:val="28"/>
              </w:rPr>
            </w:pPr>
            <w:r>
              <w:rPr>
                <w:rFonts w:hint="eastAsia" w:ascii="仿宋_GB2312" w:hAnsi="仿宋_GB2312" w:eastAsia="仿宋_GB2312" w:cs="仿宋_GB2312"/>
                <w:b/>
                <w:bCs/>
                <w:szCs w:val="28"/>
              </w:rPr>
              <w:t xml:space="preserve">  </w:t>
            </w:r>
          </w:p>
          <w:p>
            <w:pPr>
              <w:pStyle w:val="18"/>
              <w:spacing w:line="440" w:lineRule="exact"/>
              <w:rPr>
                <w:rFonts w:ascii="仿宋_GB2312" w:hAnsi="仿宋_GB2312" w:eastAsia="仿宋_GB2312" w:cs="仿宋_GB2312"/>
                <w:b/>
                <w:bCs/>
                <w:szCs w:val="28"/>
              </w:rPr>
            </w:pPr>
            <w:r>
              <w:rPr>
                <w:rFonts w:hint="eastAsia" w:ascii="仿宋_GB2312" w:hAnsi="仿宋_GB2312" w:eastAsia="仿宋_GB2312" w:cs="仿宋_GB2312"/>
                <w:b/>
                <w:bCs/>
                <w:szCs w:val="28"/>
              </w:rPr>
              <w:t xml:space="preserve">  </w:t>
            </w:r>
          </w:p>
          <w:p>
            <w:pPr>
              <w:pStyle w:val="18"/>
              <w:spacing w:line="440" w:lineRule="exact"/>
              <w:rPr>
                <w:rFonts w:ascii="仿宋_GB2312" w:hAnsi="仿宋_GB2312" w:eastAsia="仿宋_GB2312" w:cs="仿宋_GB2312"/>
                <w:szCs w:val="28"/>
              </w:rPr>
            </w:pPr>
            <w:r>
              <w:rPr>
                <w:rFonts w:hint="eastAsia" w:ascii="仿宋_GB2312" w:hAnsi="仿宋_GB2312" w:eastAsia="仿宋_GB2312" w:cs="仿宋_GB2312"/>
                <w:b/>
                <w:bCs/>
                <w:szCs w:val="28"/>
              </w:rPr>
              <w:t xml:space="preserve">  </w:t>
            </w:r>
          </w:p>
        </w:tc>
        <w:tc>
          <w:tcPr>
            <w:tcW w:w="668" w:type="dxa"/>
            <w:vAlign w:val="center"/>
          </w:tcPr>
          <w:p>
            <w:pPr>
              <w:pStyle w:val="18"/>
              <w:spacing w:line="440" w:lineRule="exact"/>
              <w:jc w:val="center"/>
              <w:rPr>
                <w:rFonts w:ascii="仿宋_GB2312" w:hAnsi="仿宋_GB2312" w:eastAsia="仿宋_GB2312" w:cs="仿宋_GB2312"/>
                <w:szCs w:val="28"/>
              </w:rPr>
            </w:pPr>
            <w:r>
              <w:rPr>
                <w:rFonts w:hint="eastAsia" w:ascii="仿宋_GB2312" w:hAnsi="仿宋_GB2312" w:eastAsia="仿宋_GB2312" w:cs="仿宋_GB2312"/>
                <w:b/>
                <w:bCs/>
                <w:szCs w:val="28"/>
              </w:rPr>
              <w:t>序号</w:t>
            </w:r>
          </w:p>
        </w:tc>
        <w:tc>
          <w:tcPr>
            <w:tcW w:w="7101" w:type="dxa"/>
            <w:vAlign w:val="center"/>
          </w:tcPr>
          <w:p>
            <w:pPr>
              <w:pStyle w:val="18"/>
              <w:spacing w:line="440" w:lineRule="exact"/>
              <w:jc w:val="center"/>
              <w:rPr>
                <w:rFonts w:ascii="仿宋_GB2312" w:hAnsi="仿宋_GB2312" w:eastAsia="仿宋_GB2312" w:cs="仿宋_GB2312"/>
                <w:b/>
                <w:bCs/>
                <w:szCs w:val="28"/>
              </w:rPr>
            </w:pPr>
            <w:r>
              <w:rPr>
                <w:rFonts w:hint="eastAsia" w:ascii="仿宋_GB2312" w:hAnsi="仿宋_GB2312" w:eastAsia="仿宋_GB2312" w:cs="仿宋_GB2312"/>
                <w:b/>
                <w:bCs/>
                <w:szCs w:val="28"/>
              </w:rPr>
              <w:t>内容</w:t>
            </w:r>
          </w:p>
        </w:tc>
        <w:tc>
          <w:tcPr>
            <w:tcW w:w="945" w:type="dxa"/>
            <w:vAlign w:val="center"/>
          </w:tcPr>
          <w:p>
            <w:pPr>
              <w:pStyle w:val="18"/>
              <w:spacing w:line="440" w:lineRule="exact"/>
              <w:jc w:val="both"/>
              <w:rPr>
                <w:rFonts w:ascii="仿宋_GB2312" w:hAnsi="仿宋_GB2312" w:eastAsia="仿宋_GB2312" w:cs="仿宋_GB2312"/>
                <w:b/>
                <w:bCs/>
                <w:szCs w:val="28"/>
              </w:rPr>
            </w:pPr>
            <w:r>
              <w:rPr>
                <w:rFonts w:hint="eastAsia" w:ascii="仿宋_GB2312" w:hAnsi="仿宋_GB2312" w:eastAsia="仿宋_GB2312" w:cs="仿宋_GB2312"/>
                <w:b/>
                <w:bCs/>
                <w:szCs w:val="28"/>
              </w:rPr>
              <w:t>是否通 过</w:t>
            </w:r>
          </w:p>
        </w:tc>
      </w:tr>
      <w:tr>
        <w:tc>
          <w:tcPr>
            <w:tcW w:w="517" w:type="dxa"/>
            <w:vMerge w:val="continue"/>
            <w:vAlign w:val="center"/>
          </w:tcPr>
          <w:p>
            <w:pPr>
              <w:pStyle w:val="18"/>
              <w:spacing w:line="440" w:lineRule="exact"/>
              <w:rPr>
                <w:rFonts w:ascii="仿宋_GB2312" w:hAnsi="仿宋_GB2312" w:eastAsia="仿宋_GB2312" w:cs="仿宋_GB2312"/>
                <w:szCs w:val="28"/>
              </w:rPr>
            </w:pPr>
          </w:p>
        </w:tc>
        <w:tc>
          <w:tcPr>
            <w:tcW w:w="668" w:type="dxa"/>
            <w:vAlign w:val="center"/>
          </w:tcPr>
          <w:p>
            <w:pPr>
              <w:pStyle w:val="18"/>
              <w:spacing w:line="440" w:lineRule="exact"/>
              <w:jc w:val="center"/>
              <w:rPr>
                <w:rFonts w:ascii="仿宋_GB2312" w:hAnsi="仿宋_GB2312" w:eastAsia="仿宋_GB2312" w:cs="仿宋_GB2312"/>
                <w:color w:val="000000"/>
                <w:szCs w:val="28"/>
              </w:rPr>
            </w:pPr>
            <w:r>
              <w:rPr>
                <w:rFonts w:hint="eastAsia" w:ascii="仿宋_GB2312" w:hAnsi="仿宋_GB2312" w:eastAsia="仿宋_GB2312" w:cs="仿宋_GB2312"/>
                <w:color w:val="000000"/>
                <w:szCs w:val="28"/>
              </w:rPr>
              <w:t>1</w:t>
            </w:r>
          </w:p>
        </w:tc>
        <w:tc>
          <w:tcPr>
            <w:tcW w:w="7101" w:type="dxa"/>
            <w:vAlign w:val="center"/>
          </w:tcPr>
          <w:p>
            <w:pPr>
              <w:widowControl/>
              <w:spacing w:line="440" w:lineRule="exact"/>
              <w:ind w:firstLine="0"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供应商必须是中华人民共和国境内注册，具有有效的“三证合一”或“一照一码”的营业执照，具有独立订立合同的权利，能独立承担民事责任的能力；</w:t>
            </w:r>
          </w:p>
        </w:tc>
        <w:tc>
          <w:tcPr>
            <w:tcW w:w="945" w:type="dxa"/>
            <w:vAlign w:val="center"/>
          </w:tcPr>
          <w:p>
            <w:pPr>
              <w:pStyle w:val="18"/>
              <w:spacing w:line="440" w:lineRule="exact"/>
              <w:rPr>
                <w:rFonts w:ascii="仿宋_GB2312" w:hAnsi="仿宋_GB2312" w:eastAsia="仿宋_GB2312" w:cs="仿宋_GB2312"/>
                <w:szCs w:val="28"/>
              </w:rPr>
            </w:pPr>
          </w:p>
        </w:tc>
      </w:tr>
      <w:tr>
        <w:trPr>
          <w:trHeight w:val="1060" w:hRule="atLeast"/>
        </w:trPr>
        <w:tc>
          <w:tcPr>
            <w:tcW w:w="517" w:type="dxa"/>
            <w:vMerge w:val="continue"/>
            <w:vAlign w:val="center"/>
          </w:tcPr>
          <w:p>
            <w:pPr>
              <w:pStyle w:val="18"/>
              <w:spacing w:line="440" w:lineRule="exact"/>
              <w:rPr>
                <w:rFonts w:ascii="仿宋_GB2312" w:hAnsi="仿宋_GB2312" w:eastAsia="仿宋_GB2312" w:cs="仿宋_GB2312"/>
                <w:szCs w:val="28"/>
              </w:rPr>
            </w:pPr>
          </w:p>
        </w:tc>
        <w:tc>
          <w:tcPr>
            <w:tcW w:w="668" w:type="dxa"/>
            <w:vAlign w:val="center"/>
          </w:tcPr>
          <w:p>
            <w:pPr>
              <w:pStyle w:val="18"/>
              <w:spacing w:line="440" w:lineRule="exact"/>
              <w:jc w:val="center"/>
              <w:rPr>
                <w:rFonts w:ascii="仿宋_GB2312" w:hAnsi="仿宋_GB2312" w:eastAsia="仿宋_GB2312" w:cs="仿宋_GB2312"/>
                <w:color w:val="000000"/>
                <w:szCs w:val="28"/>
              </w:rPr>
            </w:pPr>
            <w:r>
              <w:rPr>
                <w:rFonts w:hint="eastAsia" w:ascii="仿宋_GB2312" w:hAnsi="仿宋_GB2312" w:eastAsia="仿宋_GB2312" w:cs="仿宋_GB2312"/>
                <w:color w:val="000000"/>
                <w:szCs w:val="28"/>
              </w:rPr>
              <w:t>2</w:t>
            </w:r>
          </w:p>
        </w:tc>
        <w:tc>
          <w:tcPr>
            <w:tcW w:w="7101" w:type="dxa"/>
            <w:vAlign w:val="center"/>
          </w:tcPr>
          <w:p>
            <w:pPr>
              <w:spacing w:line="440" w:lineRule="exact"/>
              <w:ind w:firstLine="0" w:firstLineChars="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法定代表人或者委托代理人是否携带本人身份证原件和法定代表人授权委托书原件并且（复印件加盖公章）是否齐全有效；</w:t>
            </w:r>
          </w:p>
        </w:tc>
        <w:tc>
          <w:tcPr>
            <w:tcW w:w="945" w:type="dxa"/>
            <w:vAlign w:val="center"/>
          </w:tcPr>
          <w:p>
            <w:pPr>
              <w:pStyle w:val="18"/>
              <w:spacing w:line="440" w:lineRule="exact"/>
              <w:rPr>
                <w:rFonts w:ascii="仿宋_GB2312" w:hAnsi="仿宋_GB2312" w:eastAsia="仿宋_GB2312" w:cs="仿宋_GB2312"/>
                <w:szCs w:val="28"/>
              </w:rPr>
            </w:pPr>
          </w:p>
        </w:tc>
      </w:tr>
      <w:tr>
        <w:trPr>
          <w:trHeight w:val="627" w:hRule="atLeast"/>
        </w:trPr>
        <w:tc>
          <w:tcPr>
            <w:tcW w:w="517" w:type="dxa"/>
            <w:vMerge w:val="continue"/>
            <w:vAlign w:val="center"/>
          </w:tcPr>
          <w:p>
            <w:pPr>
              <w:pStyle w:val="18"/>
              <w:spacing w:line="440" w:lineRule="exact"/>
              <w:rPr>
                <w:rFonts w:ascii="仿宋_GB2312" w:hAnsi="仿宋_GB2312" w:eastAsia="仿宋_GB2312" w:cs="仿宋_GB2312"/>
                <w:szCs w:val="28"/>
              </w:rPr>
            </w:pPr>
          </w:p>
        </w:tc>
        <w:tc>
          <w:tcPr>
            <w:tcW w:w="668" w:type="dxa"/>
            <w:vAlign w:val="center"/>
          </w:tcPr>
          <w:p>
            <w:pPr>
              <w:pStyle w:val="18"/>
              <w:spacing w:line="440" w:lineRule="exact"/>
              <w:jc w:val="center"/>
              <w:rPr>
                <w:rFonts w:ascii="仿宋_GB2312" w:hAnsi="仿宋_GB2312" w:eastAsia="仿宋_GB2312" w:cs="仿宋_GB2312"/>
                <w:szCs w:val="28"/>
              </w:rPr>
            </w:pPr>
            <w:r>
              <w:rPr>
                <w:rFonts w:hint="eastAsia" w:ascii="仿宋_GB2312" w:hAnsi="仿宋_GB2312" w:eastAsia="仿宋_GB2312" w:cs="仿宋_GB2312"/>
                <w:szCs w:val="28"/>
              </w:rPr>
              <w:t>3</w:t>
            </w:r>
          </w:p>
        </w:tc>
        <w:tc>
          <w:tcPr>
            <w:tcW w:w="7101" w:type="dxa"/>
            <w:vAlign w:val="center"/>
          </w:tcPr>
          <w:p>
            <w:pPr>
              <w:widowControl/>
              <w:spacing w:line="440" w:lineRule="exact"/>
              <w:ind w:firstLine="0"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响应文件是否按</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文件规定密封装订胶印的；</w:t>
            </w:r>
          </w:p>
        </w:tc>
        <w:tc>
          <w:tcPr>
            <w:tcW w:w="945" w:type="dxa"/>
            <w:vAlign w:val="center"/>
          </w:tcPr>
          <w:p>
            <w:pPr>
              <w:pStyle w:val="18"/>
              <w:spacing w:line="440" w:lineRule="exact"/>
              <w:rPr>
                <w:rFonts w:ascii="仿宋_GB2312" w:hAnsi="仿宋_GB2312" w:eastAsia="仿宋_GB2312" w:cs="仿宋_GB2312"/>
                <w:szCs w:val="28"/>
              </w:rPr>
            </w:pPr>
          </w:p>
        </w:tc>
      </w:tr>
      <w:tr>
        <w:tc>
          <w:tcPr>
            <w:tcW w:w="517" w:type="dxa"/>
            <w:vMerge w:val="continue"/>
            <w:vAlign w:val="center"/>
          </w:tcPr>
          <w:p>
            <w:pPr>
              <w:pStyle w:val="18"/>
              <w:spacing w:line="440" w:lineRule="exact"/>
              <w:rPr>
                <w:rFonts w:ascii="仿宋_GB2312" w:hAnsi="仿宋_GB2312" w:eastAsia="仿宋_GB2312" w:cs="仿宋_GB2312"/>
                <w:szCs w:val="28"/>
              </w:rPr>
            </w:pPr>
          </w:p>
        </w:tc>
        <w:tc>
          <w:tcPr>
            <w:tcW w:w="668" w:type="dxa"/>
            <w:vAlign w:val="center"/>
          </w:tcPr>
          <w:p>
            <w:pPr>
              <w:pStyle w:val="18"/>
              <w:spacing w:line="440" w:lineRule="exact"/>
              <w:jc w:val="center"/>
              <w:rPr>
                <w:rFonts w:ascii="仿宋_GB2312" w:hAnsi="仿宋_GB2312" w:eastAsia="仿宋_GB2312" w:cs="仿宋_GB2312"/>
                <w:szCs w:val="28"/>
              </w:rPr>
            </w:pPr>
            <w:r>
              <w:rPr>
                <w:rFonts w:hint="eastAsia" w:ascii="仿宋_GB2312" w:hAnsi="仿宋_GB2312" w:eastAsia="仿宋_GB2312" w:cs="仿宋_GB2312"/>
                <w:szCs w:val="28"/>
              </w:rPr>
              <w:t>4</w:t>
            </w:r>
          </w:p>
        </w:tc>
        <w:tc>
          <w:tcPr>
            <w:tcW w:w="7101" w:type="dxa"/>
            <w:vAlign w:val="center"/>
          </w:tcPr>
          <w:p>
            <w:pPr>
              <w:pStyle w:val="18"/>
              <w:spacing w:line="440" w:lineRule="exact"/>
              <w:jc w:val="both"/>
              <w:rPr>
                <w:rFonts w:ascii="仿宋_GB2312" w:hAnsi="仿宋_GB2312" w:eastAsia="仿宋_GB2312" w:cs="仿宋_GB2312"/>
                <w:szCs w:val="28"/>
              </w:rPr>
            </w:pPr>
            <w:r>
              <w:rPr>
                <w:rFonts w:hint="eastAsia" w:ascii="仿宋_GB2312" w:hAnsi="仿宋_GB2312" w:eastAsia="仿宋_GB2312" w:cs="仿宋_GB2312"/>
                <w:szCs w:val="28"/>
              </w:rPr>
              <w:t>未被“信用中国”网站（ www.creditchina.gov.cn）、中国政府采购网（www.ccgp.gov.cn）被列入失信被执行人、重大税收违法案件当事人名单、政府采购严重违法失信行为记录名单的（尚在处罚期内的），将拒绝其参加本次政府采购活动;（须自</w:t>
            </w:r>
            <w:r>
              <w:rPr>
                <w:rFonts w:hint="eastAsia" w:ascii="仿宋_GB2312" w:hAnsi="仿宋_GB2312" w:eastAsia="仿宋_GB2312" w:cs="仿宋_GB2312"/>
                <w:szCs w:val="28"/>
                <w:lang w:eastAsia="zh-CN"/>
              </w:rPr>
              <w:t>公开</w:t>
            </w:r>
            <w:r>
              <w:rPr>
                <w:rFonts w:hint="eastAsia" w:ascii="仿宋_GB2312" w:hAnsi="仿宋_GB2312" w:eastAsia="仿宋_GB2312" w:cs="仿宋_GB2312"/>
                <w:szCs w:val="28"/>
              </w:rPr>
              <w:t>性</w:t>
            </w:r>
            <w:r>
              <w:rPr>
                <w:rFonts w:hint="eastAsia" w:ascii="仿宋_GB2312" w:hAnsi="仿宋_GB2312" w:eastAsia="仿宋_GB2312" w:cs="仿宋_GB2312"/>
                <w:szCs w:val="28"/>
                <w:lang w:eastAsia="zh-CN"/>
              </w:rPr>
              <w:t>招标</w:t>
            </w:r>
            <w:r>
              <w:rPr>
                <w:rFonts w:hint="eastAsia" w:ascii="仿宋_GB2312" w:hAnsi="仿宋_GB2312" w:eastAsia="仿宋_GB2312" w:cs="仿宋_GB2312"/>
                <w:szCs w:val="28"/>
              </w:rPr>
              <w:t>公告发布之日起至首次提交响应文件截止时间内）；</w:t>
            </w:r>
          </w:p>
        </w:tc>
        <w:tc>
          <w:tcPr>
            <w:tcW w:w="945" w:type="dxa"/>
            <w:vAlign w:val="center"/>
          </w:tcPr>
          <w:p>
            <w:pPr>
              <w:pStyle w:val="18"/>
              <w:spacing w:line="440" w:lineRule="exact"/>
              <w:rPr>
                <w:rFonts w:ascii="仿宋_GB2312" w:hAnsi="仿宋_GB2312" w:eastAsia="仿宋_GB2312" w:cs="仿宋_GB2312"/>
                <w:szCs w:val="28"/>
              </w:rPr>
            </w:pPr>
          </w:p>
        </w:tc>
      </w:tr>
    </w:tbl>
    <w:p>
      <w:pPr>
        <w:ind w:firstLine="560"/>
        <w:rPr>
          <w:rFonts w:ascii="仿宋_GB2312" w:hAnsi="仿宋_GB2312" w:eastAsia="仿宋_GB2312" w:cs="仿宋_GB2312"/>
          <w:sz w:val="28"/>
          <w:szCs w:val="28"/>
        </w:rPr>
      </w:pPr>
    </w:p>
    <w:p>
      <w:pPr>
        <w:spacing w:line="360" w:lineRule="auto"/>
        <w:ind w:firstLine="562"/>
        <w:rPr>
          <w:rFonts w:ascii="仿宋_GB2312" w:hAnsi="仿宋_GB2312" w:eastAsia="仿宋_GB2312" w:cs="仿宋_GB2312"/>
          <w:b/>
          <w:bCs/>
          <w:sz w:val="28"/>
          <w:szCs w:val="28"/>
        </w:rPr>
      </w:pPr>
    </w:p>
    <w:p>
      <w:pPr>
        <w:spacing w:line="360" w:lineRule="auto"/>
        <w:ind w:firstLine="562"/>
        <w:rPr>
          <w:rFonts w:ascii="仿宋_GB2312" w:hAnsi="仿宋_GB2312" w:eastAsia="仿宋_GB2312" w:cs="仿宋_GB2312"/>
          <w:b/>
          <w:bCs/>
          <w:sz w:val="28"/>
          <w:szCs w:val="28"/>
        </w:rPr>
      </w:pPr>
    </w:p>
    <w:p>
      <w:pPr>
        <w:spacing w:line="360" w:lineRule="auto"/>
        <w:ind w:firstLine="562"/>
        <w:rPr>
          <w:rFonts w:ascii="仿宋_GB2312" w:hAnsi="仿宋_GB2312" w:eastAsia="仿宋_GB2312" w:cs="仿宋_GB2312"/>
          <w:b/>
          <w:bCs/>
          <w:sz w:val="28"/>
          <w:szCs w:val="28"/>
        </w:rPr>
      </w:pPr>
    </w:p>
    <w:p>
      <w:pPr>
        <w:spacing w:line="360" w:lineRule="auto"/>
        <w:ind w:firstLine="562"/>
        <w:rPr>
          <w:rFonts w:ascii="仿宋_GB2312" w:hAnsi="仿宋_GB2312" w:eastAsia="仿宋_GB2312" w:cs="仿宋_GB2312"/>
          <w:b/>
          <w:bCs/>
          <w:sz w:val="28"/>
          <w:szCs w:val="28"/>
        </w:rPr>
      </w:pPr>
    </w:p>
    <w:p>
      <w:pPr>
        <w:spacing w:line="360" w:lineRule="auto"/>
        <w:ind w:firstLine="562"/>
        <w:rPr>
          <w:rFonts w:ascii="仿宋_GB2312" w:hAnsi="仿宋_GB2312" w:eastAsia="仿宋_GB2312" w:cs="仿宋_GB2312"/>
          <w:b/>
          <w:bCs/>
          <w:sz w:val="28"/>
          <w:szCs w:val="28"/>
        </w:rPr>
      </w:pPr>
    </w:p>
    <w:p>
      <w:pPr>
        <w:spacing w:line="360" w:lineRule="auto"/>
        <w:ind w:firstLine="562"/>
        <w:rPr>
          <w:rFonts w:ascii="仿宋_GB2312" w:hAnsi="仿宋_GB2312" w:eastAsia="仿宋_GB2312" w:cs="仿宋_GB2312"/>
          <w:b/>
          <w:bCs/>
          <w:sz w:val="28"/>
          <w:szCs w:val="28"/>
        </w:rPr>
      </w:pPr>
    </w:p>
    <w:p>
      <w:pPr>
        <w:spacing w:line="360" w:lineRule="auto"/>
        <w:ind w:firstLine="0" w:firstLineChars="0"/>
        <w:rPr>
          <w:rFonts w:ascii="仿宋_GB2312" w:hAnsi="仿宋_GB2312" w:eastAsia="仿宋_GB2312" w:cs="仿宋_GB2312"/>
          <w:b/>
          <w:bCs/>
          <w:sz w:val="28"/>
          <w:szCs w:val="28"/>
        </w:rPr>
      </w:pPr>
    </w:p>
    <w:p>
      <w:pPr>
        <w:pStyle w:val="30"/>
        <w:ind w:firstLine="562"/>
        <w:rPr>
          <w:rFonts w:ascii="仿宋_GB2312" w:hAnsi="仿宋_GB2312" w:eastAsia="仿宋_GB2312" w:cs="仿宋_GB2312"/>
          <w:b/>
          <w:bCs/>
          <w:sz w:val="28"/>
          <w:szCs w:val="28"/>
        </w:rPr>
      </w:pPr>
    </w:p>
    <w:p>
      <w:pPr>
        <w:ind w:firstLine="640"/>
      </w:pPr>
    </w:p>
    <w:p>
      <w:pPr>
        <w:spacing w:line="360" w:lineRule="auto"/>
        <w:ind w:firstLine="562"/>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符合性评审表</w:t>
      </w:r>
    </w:p>
    <w:tbl>
      <w:tblPr>
        <w:tblpPr w:leftFromText="180" w:rightFromText="180" w:vertAnchor="text" w:horzAnchor="page" w:tblpX="1508" w:tblpY="240"/>
        <w:tblOverlap w:val="never"/>
        <w:tblW w:w="9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17"/>
        <w:gridCol w:w="668"/>
        <w:gridCol w:w="7101"/>
        <w:gridCol w:w="945"/>
      </w:tblGrid>
      <w:tr>
        <w:trPr>
          <w:trHeight w:val="614" w:hRule="atLeast"/>
        </w:trPr>
        <w:tc>
          <w:tcPr>
            <w:tcW w:w="517" w:type="dxa"/>
            <w:vMerge w:val="restart"/>
            <w:vAlign w:val="center"/>
          </w:tcPr>
          <w:p>
            <w:pPr>
              <w:pStyle w:val="18"/>
              <w:spacing w:line="500" w:lineRule="exact"/>
              <w:jc w:val="center"/>
              <w:rPr>
                <w:rFonts w:ascii="仿宋_GB2312" w:hAnsi="仿宋_GB2312" w:eastAsia="仿宋_GB2312" w:cs="仿宋_GB2312"/>
                <w:b/>
                <w:bCs/>
                <w:szCs w:val="28"/>
              </w:rPr>
            </w:pPr>
          </w:p>
          <w:p>
            <w:pPr>
              <w:pStyle w:val="18"/>
              <w:spacing w:line="500" w:lineRule="exact"/>
              <w:rPr>
                <w:rFonts w:ascii="仿宋_GB2312" w:hAnsi="仿宋_GB2312" w:eastAsia="仿宋_GB2312" w:cs="仿宋_GB2312"/>
                <w:b/>
                <w:bCs/>
                <w:szCs w:val="28"/>
              </w:rPr>
            </w:pPr>
            <w:r>
              <w:rPr>
                <w:rFonts w:hint="eastAsia" w:ascii="仿宋_GB2312" w:hAnsi="仿宋_GB2312" w:eastAsia="仿宋_GB2312" w:cs="仿宋_GB2312"/>
                <w:b/>
                <w:bCs/>
                <w:szCs w:val="28"/>
              </w:rPr>
              <w:t>符</w:t>
            </w:r>
          </w:p>
          <w:p>
            <w:pPr>
              <w:pStyle w:val="18"/>
              <w:spacing w:line="500" w:lineRule="exact"/>
              <w:rPr>
                <w:rFonts w:ascii="仿宋_GB2312" w:hAnsi="仿宋_GB2312" w:eastAsia="仿宋_GB2312" w:cs="仿宋_GB2312"/>
                <w:b/>
                <w:bCs/>
                <w:szCs w:val="28"/>
              </w:rPr>
            </w:pPr>
            <w:r>
              <w:rPr>
                <w:rFonts w:hint="eastAsia" w:ascii="仿宋_GB2312" w:hAnsi="仿宋_GB2312" w:eastAsia="仿宋_GB2312" w:cs="仿宋_GB2312"/>
                <w:b/>
                <w:bCs/>
                <w:szCs w:val="28"/>
              </w:rPr>
              <w:t xml:space="preserve">  合</w:t>
            </w:r>
          </w:p>
          <w:p>
            <w:pPr>
              <w:pStyle w:val="18"/>
              <w:spacing w:line="500" w:lineRule="exact"/>
              <w:rPr>
                <w:rFonts w:ascii="仿宋_GB2312" w:hAnsi="仿宋_GB2312" w:eastAsia="仿宋_GB2312" w:cs="仿宋_GB2312"/>
                <w:b/>
                <w:bCs/>
                <w:szCs w:val="28"/>
              </w:rPr>
            </w:pPr>
            <w:r>
              <w:rPr>
                <w:rFonts w:hint="eastAsia" w:ascii="仿宋_GB2312" w:hAnsi="仿宋_GB2312" w:eastAsia="仿宋_GB2312" w:cs="仿宋_GB2312"/>
                <w:b/>
                <w:bCs/>
                <w:szCs w:val="28"/>
              </w:rPr>
              <w:t xml:space="preserve">  性</w:t>
            </w:r>
          </w:p>
          <w:p>
            <w:pPr>
              <w:pStyle w:val="18"/>
              <w:spacing w:line="500" w:lineRule="exact"/>
              <w:rPr>
                <w:rFonts w:ascii="仿宋_GB2312" w:hAnsi="仿宋_GB2312" w:eastAsia="仿宋_GB2312" w:cs="仿宋_GB2312"/>
                <w:b/>
                <w:bCs/>
                <w:szCs w:val="28"/>
              </w:rPr>
            </w:pPr>
            <w:r>
              <w:rPr>
                <w:rFonts w:hint="eastAsia" w:ascii="仿宋_GB2312" w:hAnsi="仿宋_GB2312" w:eastAsia="仿宋_GB2312" w:cs="仿宋_GB2312"/>
                <w:b/>
                <w:bCs/>
                <w:szCs w:val="28"/>
              </w:rPr>
              <w:t xml:space="preserve">  评</w:t>
            </w:r>
          </w:p>
          <w:p>
            <w:pPr>
              <w:pStyle w:val="18"/>
              <w:spacing w:line="500" w:lineRule="exact"/>
              <w:rPr>
                <w:rFonts w:ascii="仿宋_GB2312" w:hAnsi="仿宋_GB2312" w:eastAsia="仿宋_GB2312" w:cs="仿宋_GB2312"/>
                <w:szCs w:val="28"/>
              </w:rPr>
            </w:pPr>
            <w:r>
              <w:rPr>
                <w:rFonts w:hint="eastAsia" w:ascii="仿宋_GB2312" w:hAnsi="仿宋_GB2312" w:eastAsia="仿宋_GB2312" w:cs="仿宋_GB2312"/>
                <w:b/>
                <w:bCs/>
                <w:szCs w:val="28"/>
              </w:rPr>
              <w:t xml:space="preserve">  审</w:t>
            </w:r>
          </w:p>
        </w:tc>
        <w:tc>
          <w:tcPr>
            <w:tcW w:w="668" w:type="dxa"/>
            <w:vAlign w:val="center"/>
          </w:tcPr>
          <w:p>
            <w:pPr>
              <w:pStyle w:val="18"/>
              <w:spacing w:line="500" w:lineRule="exact"/>
              <w:jc w:val="center"/>
              <w:rPr>
                <w:rFonts w:ascii="仿宋_GB2312" w:hAnsi="仿宋_GB2312" w:eastAsia="仿宋_GB2312" w:cs="仿宋_GB2312"/>
                <w:szCs w:val="28"/>
              </w:rPr>
            </w:pPr>
            <w:r>
              <w:rPr>
                <w:rFonts w:hint="eastAsia" w:ascii="仿宋_GB2312" w:hAnsi="仿宋_GB2312" w:eastAsia="仿宋_GB2312" w:cs="仿宋_GB2312"/>
                <w:b/>
                <w:bCs/>
                <w:szCs w:val="28"/>
              </w:rPr>
              <w:t>序号</w:t>
            </w:r>
          </w:p>
        </w:tc>
        <w:tc>
          <w:tcPr>
            <w:tcW w:w="7101" w:type="dxa"/>
            <w:vAlign w:val="center"/>
          </w:tcPr>
          <w:p>
            <w:pPr>
              <w:pStyle w:val="18"/>
              <w:spacing w:line="500" w:lineRule="exact"/>
              <w:jc w:val="center"/>
              <w:rPr>
                <w:rFonts w:ascii="仿宋_GB2312" w:hAnsi="仿宋_GB2312" w:eastAsia="仿宋_GB2312" w:cs="仿宋_GB2312"/>
                <w:b/>
                <w:bCs/>
                <w:szCs w:val="28"/>
              </w:rPr>
            </w:pPr>
            <w:r>
              <w:rPr>
                <w:rFonts w:hint="eastAsia" w:ascii="仿宋_GB2312" w:hAnsi="仿宋_GB2312" w:eastAsia="仿宋_GB2312" w:cs="仿宋_GB2312"/>
                <w:b/>
                <w:bCs/>
                <w:szCs w:val="28"/>
              </w:rPr>
              <w:t>内容</w:t>
            </w:r>
          </w:p>
        </w:tc>
        <w:tc>
          <w:tcPr>
            <w:tcW w:w="945" w:type="dxa"/>
            <w:vAlign w:val="center"/>
          </w:tcPr>
          <w:p>
            <w:pPr>
              <w:pStyle w:val="18"/>
              <w:spacing w:line="500" w:lineRule="exact"/>
              <w:jc w:val="both"/>
              <w:rPr>
                <w:rFonts w:ascii="仿宋_GB2312" w:hAnsi="仿宋_GB2312" w:eastAsia="仿宋_GB2312" w:cs="仿宋_GB2312"/>
                <w:b/>
                <w:bCs/>
                <w:szCs w:val="28"/>
              </w:rPr>
            </w:pPr>
            <w:r>
              <w:rPr>
                <w:rFonts w:hint="eastAsia" w:ascii="仿宋_GB2312" w:hAnsi="仿宋_GB2312" w:eastAsia="仿宋_GB2312" w:cs="仿宋_GB2312"/>
                <w:b/>
                <w:bCs/>
                <w:szCs w:val="28"/>
              </w:rPr>
              <w:t>是否通 过</w:t>
            </w:r>
          </w:p>
        </w:tc>
      </w:tr>
      <w:tr>
        <w:tc>
          <w:tcPr>
            <w:tcW w:w="517" w:type="dxa"/>
            <w:vMerge w:val="continue"/>
            <w:tcBorders>
              <w:left w:val="nil"/>
              <w:right w:val="nil"/>
            </w:tcBorders>
            <w:vAlign w:val="center"/>
          </w:tcPr>
          <w:p>
            <w:pPr>
              <w:pStyle w:val="18"/>
              <w:spacing w:line="500" w:lineRule="exact"/>
              <w:rPr>
                <w:rFonts w:ascii="仿宋_GB2312" w:hAnsi="仿宋_GB2312" w:eastAsia="仿宋_GB2312" w:cs="仿宋_GB2312"/>
                <w:szCs w:val="28"/>
              </w:rPr>
            </w:pPr>
          </w:p>
        </w:tc>
        <w:tc>
          <w:tcPr>
            <w:tcW w:w="668" w:type="dxa"/>
            <w:vAlign w:val="center"/>
          </w:tcPr>
          <w:p>
            <w:pPr>
              <w:pStyle w:val="18"/>
              <w:spacing w:line="500" w:lineRule="exact"/>
              <w:jc w:val="center"/>
              <w:rPr>
                <w:rFonts w:ascii="仿宋_GB2312" w:hAnsi="仿宋_GB2312" w:eastAsia="仿宋_GB2312" w:cs="仿宋_GB2312"/>
                <w:szCs w:val="28"/>
              </w:rPr>
            </w:pPr>
            <w:r>
              <w:rPr>
                <w:rFonts w:hint="eastAsia" w:ascii="仿宋_GB2312" w:hAnsi="仿宋_GB2312" w:eastAsia="仿宋_GB2312" w:cs="仿宋_GB2312"/>
                <w:szCs w:val="28"/>
              </w:rPr>
              <w:t>1</w:t>
            </w:r>
          </w:p>
        </w:tc>
        <w:tc>
          <w:tcPr>
            <w:tcW w:w="7101" w:type="dxa"/>
            <w:vAlign w:val="center"/>
          </w:tcPr>
          <w:p>
            <w:pPr>
              <w:pStyle w:val="18"/>
              <w:spacing w:line="500" w:lineRule="exact"/>
              <w:jc w:val="both"/>
              <w:rPr>
                <w:rFonts w:ascii="仿宋_GB2312" w:hAnsi="仿宋_GB2312" w:eastAsia="仿宋_GB2312" w:cs="仿宋_GB2312"/>
                <w:szCs w:val="28"/>
              </w:rPr>
            </w:pPr>
            <w:r>
              <w:rPr>
                <w:rFonts w:hint="eastAsia" w:ascii="仿宋_GB2312" w:hAnsi="仿宋_GB2312" w:eastAsia="仿宋_GB2312" w:cs="仿宋_GB2312"/>
                <w:szCs w:val="28"/>
              </w:rPr>
              <w:t>凡招标文件中要求盖章处，是否按要求加盖单位公章、法定代表人章的；</w:t>
            </w:r>
          </w:p>
        </w:tc>
        <w:tc>
          <w:tcPr>
            <w:tcW w:w="945" w:type="dxa"/>
            <w:vAlign w:val="center"/>
          </w:tcPr>
          <w:p>
            <w:pPr>
              <w:pStyle w:val="18"/>
              <w:spacing w:line="500" w:lineRule="exact"/>
              <w:rPr>
                <w:rFonts w:ascii="仿宋_GB2312" w:hAnsi="仿宋_GB2312" w:eastAsia="仿宋_GB2312" w:cs="仿宋_GB2312"/>
                <w:szCs w:val="28"/>
              </w:rPr>
            </w:pPr>
          </w:p>
        </w:tc>
      </w:tr>
      <w:tr>
        <w:tc>
          <w:tcPr>
            <w:tcW w:w="517" w:type="dxa"/>
            <w:vMerge w:val="continue"/>
            <w:tcBorders>
              <w:left w:val="nil"/>
              <w:right w:val="nil"/>
            </w:tcBorders>
            <w:vAlign w:val="center"/>
          </w:tcPr>
          <w:p>
            <w:pPr>
              <w:pStyle w:val="18"/>
              <w:spacing w:line="500" w:lineRule="exact"/>
              <w:rPr>
                <w:rFonts w:ascii="仿宋_GB2312" w:hAnsi="仿宋_GB2312" w:eastAsia="仿宋_GB2312" w:cs="仿宋_GB2312"/>
                <w:szCs w:val="28"/>
              </w:rPr>
            </w:pPr>
          </w:p>
        </w:tc>
        <w:tc>
          <w:tcPr>
            <w:tcW w:w="668" w:type="dxa"/>
            <w:vAlign w:val="center"/>
          </w:tcPr>
          <w:p>
            <w:pPr>
              <w:pStyle w:val="18"/>
              <w:spacing w:line="500" w:lineRule="exact"/>
              <w:jc w:val="center"/>
              <w:rPr>
                <w:rFonts w:ascii="仿宋_GB2312" w:hAnsi="仿宋_GB2312" w:eastAsia="仿宋_GB2312" w:cs="仿宋_GB2312"/>
                <w:szCs w:val="28"/>
              </w:rPr>
            </w:pPr>
            <w:r>
              <w:rPr>
                <w:rFonts w:hint="eastAsia" w:ascii="仿宋_GB2312" w:hAnsi="仿宋_GB2312" w:eastAsia="仿宋_GB2312" w:cs="仿宋_GB2312"/>
                <w:szCs w:val="28"/>
              </w:rPr>
              <w:t>2</w:t>
            </w:r>
          </w:p>
        </w:tc>
        <w:tc>
          <w:tcPr>
            <w:tcW w:w="7101" w:type="dxa"/>
            <w:vAlign w:val="center"/>
          </w:tcPr>
          <w:p>
            <w:pPr>
              <w:pStyle w:val="18"/>
              <w:spacing w:line="500" w:lineRule="exact"/>
              <w:jc w:val="both"/>
              <w:rPr>
                <w:rFonts w:ascii="仿宋_GB2312" w:hAnsi="仿宋_GB2312" w:eastAsia="仿宋_GB2312" w:cs="仿宋_GB2312"/>
                <w:szCs w:val="28"/>
              </w:rPr>
            </w:pPr>
            <w:r>
              <w:rPr>
                <w:rFonts w:hint="eastAsia" w:ascii="仿宋_GB2312" w:hAnsi="仿宋_GB2312" w:eastAsia="仿宋_GB2312" w:cs="仿宋_GB2312"/>
                <w:szCs w:val="28"/>
              </w:rPr>
              <w:t>响应文件中是否按</w:t>
            </w:r>
            <w:r>
              <w:rPr>
                <w:rFonts w:hint="eastAsia" w:ascii="仿宋_GB2312" w:hAnsi="仿宋_GB2312" w:eastAsia="仿宋_GB2312" w:cs="仿宋_GB2312"/>
                <w:szCs w:val="28"/>
                <w:lang w:eastAsia="zh-CN"/>
              </w:rPr>
              <w:t>招标</w:t>
            </w:r>
            <w:r>
              <w:rPr>
                <w:rFonts w:hint="eastAsia" w:ascii="仿宋_GB2312" w:hAnsi="仿宋_GB2312" w:eastAsia="仿宋_GB2312" w:cs="仿宋_GB2312"/>
                <w:szCs w:val="28"/>
              </w:rPr>
              <w:t>文件要求提供法定代表人身份证明或法定代表人授权委托书或者与现场提供不一致的；</w:t>
            </w:r>
          </w:p>
        </w:tc>
        <w:tc>
          <w:tcPr>
            <w:tcW w:w="945" w:type="dxa"/>
            <w:vAlign w:val="center"/>
          </w:tcPr>
          <w:p>
            <w:pPr>
              <w:pStyle w:val="18"/>
              <w:spacing w:line="500" w:lineRule="exact"/>
              <w:rPr>
                <w:rFonts w:ascii="仿宋_GB2312" w:hAnsi="仿宋_GB2312" w:eastAsia="仿宋_GB2312" w:cs="仿宋_GB2312"/>
                <w:szCs w:val="28"/>
              </w:rPr>
            </w:pPr>
          </w:p>
        </w:tc>
      </w:tr>
      <w:tr>
        <w:trPr>
          <w:trHeight w:val="90" w:hRule="atLeast"/>
        </w:trPr>
        <w:tc>
          <w:tcPr>
            <w:tcW w:w="517" w:type="dxa"/>
            <w:vMerge w:val="continue"/>
            <w:tcBorders>
              <w:left w:val="nil"/>
              <w:right w:val="nil"/>
            </w:tcBorders>
            <w:vAlign w:val="center"/>
          </w:tcPr>
          <w:p>
            <w:pPr>
              <w:pStyle w:val="18"/>
              <w:spacing w:line="500" w:lineRule="exact"/>
              <w:rPr>
                <w:rFonts w:ascii="仿宋_GB2312" w:hAnsi="仿宋_GB2312" w:eastAsia="仿宋_GB2312" w:cs="仿宋_GB2312"/>
                <w:szCs w:val="28"/>
              </w:rPr>
            </w:pPr>
          </w:p>
        </w:tc>
        <w:tc>
          <w:tcPr>
            <w:tcW w:w="668" w:type="dxa"/>
            <w:vAlign w:val="center"/>
          </w:tcPr>
          <w:p>
            <w:pPr>
              <w:pStyle w:val="18"/>
              <w:spacing w:line="500" w:lineRule="exact"/>
              <w:jc w:val="center"/>
              <w:rPr>
                <w:rFonts w:ascii="仿宋_GB2312" w:hAnsi="仿宋_GB2312" w:eastAsia="仿宋_GB2312" w:cs="仿宋_GB2312"/>
                <w:szCs w:val="28"/>
              </w:rPr>
            </w:pPr>
            <w:r>
              <w:rPr>
                <w:rFonts w:hint="eastAsia" w:ascii="仿宋_GB2312" w:hAnsi="仿宋_GB2312" w:eastAsia="仿宋_GB2312" w:cs="仿宋_GB2312"/>
                <w:szCs w:val="28"/>
              </w:rPr>
              <w:t>3</w:t>
            </w:r>
          </w:p>
        </w:tc>
        <w:tc>
          <w:tcPr>
            <w:tcW w:w="7101" w:type="dxa"/>
            <w:vAlign w:val="center"/>
          </w:tcPr>
          <w:p>
            <w:pPr>
              <w:pStyle w:val="18"/>
              <w:spacing w:line="500" w:lineRule="exact"/>
              <w:jc w:val="both"/>
              <w:rPr>
                <w:rFonts w:ascii="仿宋_GB2312" w:hAnsi="仿宋_GB2312" w:eastAsia="仿宋_GB2312" w:cs="仿宋_GB2312"/>
                <w:szCs w:val="28"/>
              </w:rPr>
            </w:pPr>
            <w:r>
              <w:rPr>
                <w:rFonts w:hint="eastAsia" w:ascii="仿宋_GB2312" w:hAnsi="仿宋_GB2312" w:eastAsia="仿宋_GB2312" w:cs="仿宋_GB2312"/>
                <w:szCs w:val="28"/>
              </w:rPr>
              <w:t>响应文件是否按</w:t>
            </w:r>
            <w:r>
              <w:rPr>
                <w:rFonts w:hint="eastAsia" w:ascii="仿宋_GB2312" w:hAnsi="仿宋_GB2312" w:eastAsia="仿宋_GB2312" w:cs="仿宋_GB2312"/>
                <w:szCs w:val="28"/>
                <w:lang w:eastAsia="zh-CN"/>
              </w:rPr>
              <w:t>招标</w:t>
            </w:r>
            <w:r>
              <w:rPr>
                <w:rFonts w:hint="eastAsia" w:ascii="仿宋_GB2312" w:hAnsi="仿宋_GB2312" w:eastAsia="仿宋_GB2312" w:cs="仿宋_GB2312"/>
                <w:szCs w:val="28"/>
              </w:rPr>
              <w:t>文件规定密封、装订、胶印的；</w:t>
            </w:r>
          </w:p>
        </w:tc>
        <w:tc>
          <w:tcPr>
            <w:tcW w:w="945" w:type="dxa"/>
            <w:vAlign w:val="center"/>
          </w:tcPr>
          <w:p>
            <w:pPr>
              <w:pStyle w:val="18"/>
              <w:spacing w:line="500" w:lineRule="exact"/>
              <w:rPr>
                <w:rFonts w:ascii="仿宋_GB2312" w:hAnsi="仿宋_GB2312" w:eastAsia="仿宋_GB2312" w:cs="仿宋_GB2312"/>
                <w:szCs w:val="28"/>
              </w:rPr>
            </w:pPr>
          </w:p>
        </w:tc>
      </w:tr>
      <w:tr>
        <w:tc>
          <w:tcPr>
            <w:tcW w:w="517" w:type="dxa"/>
            <w:vMerge w:val="continue"/>
            <w:tcBorders>
              <w:left w:val="nil"/>
              <w:right w:val="nil"/>
            </w:tcBorders>
            <w:vAlign w:val="center"/>
          </w:tcPr>
          <w:p>
            <w:pPr>
              <w:pStyle w:val="18"/>
              <w:spacing w:line="500" w:lineRule="exact"/>
              <w:rPr>
                <w:rFonts w:ascii="仿宋_GB2312" w:hAnsi="仿宋_GB2312" w:eastAsia="仿宋_GB2312" w:cs="仿宋_GB2312"/>
                <w:szCs w:val="28"/>
              </w:rPr>
            </w:pPr>
          </w:p>
        </w:tc>
        <w:tc>
          <w:tcPr>
            <w:tcW w:w="668" w:type="dxa"/>
            <w:vAlign w:val="center"/>
          </w:tcPr>
          <w:p>
            <w:pPr>
              <w:pStyle w:val="18"/>
              <w:spacing w:line="500" w:lineRule="exact"/>
              <w:jc w:val="center"/>
              <w:rPr>
                <w:rFonts w:ascii="仿宋_GB2312" w:hAnsi="仿宋_GB2312" w:eastAsia="仿宋_GB2312" w:cs="仿宋_GB2312"/>
                <w:szCs w:val="28"/>
              </w:rPr>
            </w:pPr>
            <w:r>
              <w:rPr>
                <w:rFonts w:hint="eastAsia" w:ascii="仿宋_GB2312" w:hAnsi="仿宋_GB2312" w:eastAsia="仿宋_GB2312" w:cs="仿宋_GB2312"/>
                <w:szCs w:val="28"/>
              </w:rPr>
              <w:t>4</w:t>
            </w:r>
          </w:p>
        </w:tc>
        <w:tc>
          <w:tcPr>
            <w:tcW w:w="7101" w:type="dxa"/>
            <w:vAlign w:val="center"/>
          </w:tcPr>
          <w:p>
            <w:pPr>
              <w:pStyle w:val="18"/>
              <w:spacing w:line="500" w:lineRule="exact"/>
              <w:jc w:val="both"/>
              <w:rPr>
                <w:rFonts w:ascii="仿宋_GB2312" w:hAnsi="仿宋_GB2312" w:eastAsia="仿宋_GB2312" w:cs="仿宋_GB2312"/>
                <w:szCs w:val="28"/>
              </w:rPr>
            </w:pPr>
            <w:r>
              <w:rPr>
                <w:rFonts w:hint="eastAsia" w:ascii="仿宋_GB2312" w:hAnsi="仿宋_GB2312" w:eastAsia="仿宋_GB2312" w:cs="仿宋_GB2312"/>
                <w:szCs w:val="28"/>
              </w:rPr>
              <w:t>响应文件格式是否按照</w:t>
            </w:r>
            <w:r>
              <w:rPr>
                <w:rFonts w:hint="eastAsia" w:ascii="仿宋_GB2312" w:hAnsi="仿宋_GB2312" w:eastAsia="仿宋_GB2312" w:cs="仿宋_GB2312"/>
                <w:szCs w:val="28"/>
                <w:lang w:eastAsia="zh-CN"/>
              </w:rPr>
              <w:t>招标</w:t>
            </w:r>
            <w:r>
              <w:rPr>
                <w:rFonts w:hint="eastAsia" w:ascii="仿宋_GB2312" w:hAnsi="仿宋_GB2312" w:eastAsia="仿宋_GB2312" w:cs="仿宋_GB2312"/>
                <w:szCs w:val="28"/>
              </w:rPr>
              <w:t>文件规定格式填写，内容不全或关键字迹模糊、无法辨认的；</w:t>
            </w:r>
          </w:p>
        </w:tc>
        <w:tc>
          <w:tcPr>
            <w:tcW w:w="945" w:type="dxa"/>
            <w:vAlign w:val="center"/>
          </w:tcPr>
          <w:p>
            <w:pPr>
              <w:pStyle w:val="18"/>
              <w:spacing w:line="500" w:lineRule="exact"/>
              <w:rPr>
                <w:rFonts w:ascii="仿宋_GB2312" w:hAnsi="仿宋_GB2312" w:eastAsia="仿宋_GB2312" w:cs="仿宋_GB2312"/>
                <w:szCs w:val="28"/>
              </w:rPr>
            </w:pPr>
          </w:p>
        </w:tc>
      </w:tr>
      <w:tr>
        <w:trPr>
          <w:trHeight w:val="465" w:hRule="atLeast"/>
        </w:trPr>
        <w:tc>
          <w:tcPr>
            <w:tcW w:w="517" w:type="dxa"/>
            <w:vMerge w:val="continue"/>
            <w:tcBorders>
              <w:left w:val="nil"/>
              <w:right w:val="nil"/>
            </w:tcBorders>
            <w:vAlign w:val="center"/>
          </w:tcPr>
          <w:p>
            <w:pPr>
              <w:pStyle w:val="18"/>
              <w:spacing w:line="500" w:lineRule="exact"/>
              <w:rPr>
                <w:rFonts w:ascii="仿宋_GB2312" w:hAnsi="仿宋_GB2312" w:eastAsia="仿宋_GB2312" w:cs="仿宋_GB2312"/>
                <w:szCs w:val="28"/>
              </w:rPr>
            </w:pPr>
          </w:p>
        </w:tc>
        <w:tc>
          <w:tcPr>
            <w:tcW w:w="668" w:type="dxa"/>
            <w:vAlign w:val="center"/>
          </w:tcPr>
          <w:p>
            <w:pPr>
              <w:pStyle w:val="18"/>
              <w:spacing w:line="500" w:lineRule="exact"/>
              <w:jc w:val="center"/>
              <w:rPr>
                <w:rFonts w:ascii="仿宋_GB2312" w:hAnsi="仿宋_GB2312" w:eastAsia="仿宋_GB2312" w:cs="仿宋_GB2312"/>
                <w:szCs w:val="28"/>
              </w:rPr>
            </w:pPr>
            <w:r>
              <w:rPr>
                <w:rFonts w:hint="eastAsia" w:ascii="仿宋_GB2312" w:hAnsi="仿宋_GB2312" w:eastAsia="仿宋_GB2312" w:cs="仿宋_GB2312"/>
                <w:szCs w:val="28"/>
              </w:rPr>
              <w:t>5</w:t>
            </w:r>
          </w:p>
        </w:tc>
        <w:tc>
          <w:tcPr>
            <w:tcW w:w="7101" w:type="dxa"/>
            <w:vAlign w:val="center"/>
          </w:tcPr>
          <w:p>
            <w:pPr>
              <w:pStyle w:val="18"/>
              <w:spacing w:line="500" w:lineRule="exact"/>
              <w:jc w:val="both"/>
              <w:rPr>
                <w:rFonts w:ascii="仿宋_GB2312" w:hAnsi="仿宋_GB2312" w:eastAsia="仿宋_GB2312" w:cs="仿宋_GB2312"/>
                <w:szCs w:val="28"/>
              </w:rPr>
            </w:pPr>
            <w:r>
              <w:rPr>
                <w:rFonts w:hint="eastAsia" w:ascii="仿宋_GB2312" w:hAnsi="仿宋_GB2312" w:eastAsia="仿宋_GB2312" w:cs="仿宋_GB2312"/>
                <w:szCs w:val="28"/>
              </w:rPr>
              <w:t>最终报价是否超出所设定最高限价的；</w:t>
            </w:r>
          </w:p>
        </w:tc>
        <w:tc>
          <w:tcPr>
            <w:tcW w:w="945" w:type="dxa"/>
            <w:vAlign w:val="center"/>
          </w:tcPr>
          <w:p>
            <w:pPr>
              <w:pStyle w:val="18"/>
              <w:spacing w:line="500" w:lineRule="exact"/>
              <w:rPr>
                <w:rFonts w:ascii="仿宋_GB2312" w:hAnsi="仿宋_GB2312" w:eastAsia="仿宋_GB2312" w:cs="仿宋_GB2312"/>
                <w:szCs w:val="28"/>
              </w:rPr>
            </w:pPr>
          </w:p>
        </w:tc>
      </w:tr>
      <w:tr>
        <w:tc>
          <w:tcPr>
            <w:tcW w:w="517" w:type="dxa"/>
            <w:vMerge w:val="continue"/>
            <w:tcBorders>
              <w:left w:val="nil"/>
              <w:right w:val="nil"/>
            </w:tcBorders>
            <w:vAlign w:val="center"/>
          </w:tcPr>
          <w:p>
            <w:pPr>
              <w:pStyle w:val="18"/>
              <w:spacing w:line="500" w:lineRule="exact"/>
              <w:rPr>
                <w:rFonts w:ascii="仿宋_GB2312" w:hAnsi="仿宋_GB2312" w:eastAsia="仿宋_GB2312" w:cs="仿宋_GB2312"/>
                <w:szCs w:val="28"/>
              </w:rPr>
            </w:pPr>
          </w:p>
        </w:tc>
        <w:tc>
          <w:tcPr>
            <w:tcW w:w="668" w:type="dxa"/>
            <w:vAlign w:val="center"/>
          </w:tcPr>
          <w:p>
            <w:pPr>
              <w:pStyle w:val="18"/>
              <w:spacing w:line="500" w:lineRule="exact"/>
              <w:jc w:val="center"/>
              <w:rPr>
                <w:rFonts w:ascii="仿宋_GB2312" w:hAnsi="仿宋_GB2312" w:eastAsia="仿宋_GB2312" w:cs="仿宋_GB2312"/>
                <w:szCs w:val="28"/>
              </w:rPr>
            </w:pPr>
            <w:r>
              <w:rPr>
                <w:rFonts w:ascii="仿宋_GB2312" w:hAnsi="仿宋_GB2312" w:eastAsia="仿宋_GB2312" w:cs="仿宋_GB2312"/>
                <w:szCs w:val="28"/>
              </w:rPr>
              <w:t>6</w:t>
            </w:r>
          </w:p>
        </w:tc>
        <w:tc>
          <w:tcPr>
            <w:tcW w:w="7101" w:type="dxa"/>
            <w:vAlign w:val="center"/>
          </w:tcPr>
          <w:p>
            <w:pPr>
              <w:pStyle w:val="18"/>
              <w:spacing w:line="500" w:lineRule="exact"/>
              <w:jc w:val="both"/>
              <w:rPr>
                <w:rFonts w:ascii="仿宋_GB2312" w:hAnsi="仿宋_GB2312" w:eastAsia="仿宋_GB2312" w:cs="仿宋_GB2312"/>
                <w:szCs w:val="28"/>
              </w:rPr>
            </w:pPr>
            <w:r>
              <w:rPr>
                <w:rFonts w:hint="eastAsia" w:ascii="仿宋_GB2312" w:hAnsi="仿宋_GB2312" w:eastAsia="仿宋_GB2312" w:cs="仿宋_GB2312"/>
                <w:szCs w:val="28"/>
              </w:rPr>
              <w:t>响应文件中有关材料未存在弄虚作假;</w:t>
            </w:r>
          </w:p>
        </w:tc>
        <w:tc>
          <w:tcPr>
            <w:tcW w:w="945" w:type="dxa"/>
            <w:vAlign w:val="center"/>
          </w:tcPr>
          <w:p>
            <w:pPr>
              <w:pStyle w:val="18"/>
              <w:spacing w:line="500" w:lineRule="exact"/>
              <w:rPr>
                <w:rFonts w:ascii="仿宋_GB2312" w:hAnsi="仿宋_GB2312" w:eastAsia="仿宋_GB2312" w:cs="仿宋_GB2312"/>
                <w:szCs w:val="28"/>
              </w:rPr>
            </w:pPr>
          </w:p>
        </w:tc>
      </w:tr>
      <w:tr>
        <w:tc>
          <w:tcPr>
            <w:tcW w:w="517" w:type="dxa"/>
            <w:vMerge w:val="continue"/>
            <w:tcBorders>
              <w:left w:val="nil"/>
              <w:right w:val="nil"/>
            </w:tcBorders>
            <w:vAlign w:val="center"/>
          </w:tcPr>
          <w:p>
            <w:pPr>
              <w:pStyle w:val="18"/>
              <w:spacing w:line="500" w:lineRule="exact"/>
              <w:rPr>
                <w:rFonts w:ascii="仿宋_GB2312" w:hAnsi="仿宋_GB2312" w:eastAsia="仿宋_GB2312" w:cs="仿宋_GB2312"/>
                <w:szCs w:val="28"/>
              </w:rPr>
            </w:pPr>
          </w:p>
        </w:tc>
        <w:tc>
          <w:tcPr>
            <w:tcW w:w="668" w:type="dxa"/>
            <w:vAlign w:val="center"/>
          </w:tcPr>
          <w:p>
            <w:pPr>
              <w:pStyle w:val="18"/>
              <w:spacing w:line="500" w:lineRule="exact"/>
              <w:jc w:val="center"/>
              <w:rPr>
                <w:rFonts w:ascii="仿宋_GB2312" w:hAnsi="仿宋_GB2312" w:eastAsia="仿宋_GB2312" w:cs="仿宋_GB2312"/>
                <w:szCs w:val="28"/>
              </w:rPr>
            </w:pPr>
            <w:r>
              <w:rPr>
                <w:rFonts w:ascii="仿宋_GB2312" w:hAnsi="仿宋_GB2312" w:eastAsia="仿宋_GB2312" w:cs="仿宋_GB2312"/>
                <w:szCs w:val="28"/>
              </w:rPr>
              <w:t>7</w:t>
            </w:r>
          </w:p>
        </w:tc>
        <w:tc>
          <w:tcPr>
            <w:tcW w:w="7101" w:type="dxa"/>
            <w:vAlign w:val="center"/>
          </w:tcPr>
          <w:p>
            <w:pPr>
              <w:pStyle w:val="18"/>
              <w:spacing w:line="500" w:lineRule="exact"/>
              <w:jc w:val="both"/>
              <w:rPr>
                <w:rFonts w:ascii="仿宋_GB2312" w:hAnsi="仿宋_GB2312" w:eastAsia="仿宋_GB2312" w:cs="仿宋_GB2312"/>
                <w:szCs w:val="28"/>
              </w:rPr>
            </w:pPr>
            <w:r>
              <w:rPr>
                <w:rFonts w:hint="eastAsia" w:ascii="仿宋_GB2312" w:hAnsi="仿宋_GB2312" w:eastAsia="仿宋_GB2312" w:cs="仿宋_GB2312"/>
                <w:szCs w:val="28"/>
              </w:rPr>
              <w:t>投标人是否对同一招标项目作出两个以上报价未明确效力的；</w:t>
            </w:r>
          </w:p>
        </w:tc>
        <w:tc>
          <w:tcPr>
            <w:tcW w:w="945" w:type="dxa"/>
            <w:vAlign w:val="center"/>
          </w:tcPr>
          <w:p>
            <w:pPr>
              <w:pStyle w:val="18"/>
              <w:spacing w:line="500" w:lineRule="exact"/>
              <w:rPr>
                <w:rFonts w:ascii="仿宋_GB2312" w:hAnsi="仿宋_GB2312" w:eastAsia="仿宋_GB2312" w:cs="仿宋_GB2312"/>
                <w:szCs w:val="28"/>
              </w:rPr>
            </w:pPr>
          </w:p>
        </w:tc>
      </w:tr>
      <w:tr>
        <w:tc>
          <w:tcPr>
            <w:tcW w:w="517" w:type="dxa"/>
            <w:vMerge w:val="continue"/>
            <w:tcBorders>
              <w:left w:val="nil"/>
              <w:right w:val="nil"/>
            </w:tcBorders>
            <w:vAlign w:val="center"/>
          </w:tcPr>
          <w:p>
            <w:pPr>
              <w:pStyle w:val="18"/>
              <w:spacing w:line="500" w:lineRule="exact"/>
              <w:rPr>
                <w:rFonts w:ascii="仿宋_GB2312" w:hAnsi="仿宋_GB2312" w:eastAsia="仿宋_GB2312" w:cs="仿宋_GB2312"/>
                <w:szCs w:val="28"/>
              </w:rPr>
            </w:pPr>
          </w:p>
        </w:tc>
        <w:tc>
          <w:tcPr>
            <w:tcW w:w="668" w:type="dxa"/>
            <w:vAlign w:val="center"/>
          </w:tcPr>
          <w:p>
            <w:pPr>
              <w:pStyle w:val="18"/>
              <w:spacing w:line="500" w:lineRule="exact"/>
              <w:jc w:val="center"/>
              <w:rPr>
                <w:rFonts w:ascii="仿宋_GB2312" w:hAnsi="仿宋_GB2312" w:eastAsia="仿宋_GB2312" w:cs="仿宋_GB2312"/>
                <w:szCs w:val="28"/>
              </w:rPr>
            </w:pPr>
            <w:r>
              <w:rPr>
                <w:rFonts w:ascii="仿宋_GB2312" w:hAnsi="仿宋_GB2312" w:eastAsia="仿宋_GB2312" w:cs="仿宋_GB2312"/>
                <w:szCs w:val="28"/>
              </w:rPr>
              <w:t>8</w:t>
            </w:r>
          </w:p>
        </w:tc>
        <w:tc>
          <w:tcPr>
            <w:tcW w:w="7101" w:type="dxa"/>
            <w:vAlign w:val="center"/>
          </w:tcPr>
          <w:p>
            <w:pPr>
              <w:pStyle w:val="18"/>
              <w:spacing w:line="500" w:lineRule="exact"/>
              <w:jc w:val="both"/>
              <w:rPr>
                <w:rFonts w:ascii="仿宋_GB2312" w:hAnsi="仿宋_GB2312" w:eastAsia="仿宋_GB2312" w:cs="仿宋_GB2312"/>
                <w:szCs w:val="28"/>
              </w:rPr>
            </w:pPr>
            <w:r>
              <w:rPr>
                <w:rFonts w:hint="eastAsia" w:ascii="仿宋_GB2312" w:hAnsi="仿宋_GB2312" w:eastAsia="仿宋_GB2312" w:cs="仿宋_GB2312"/>
                <w:szCs w:val="28"/>
              </w:rPr>
              <w:t>是否采用人民币报价或者未按照</w:t>
            </w:r>
            <w:r>
              <w:rPr>
                <w:rFonts w:hint="eastAsia" w:ascii="仿宋_GB2312" w:hAnsi="仿宋_GB2312" w:eastAsia="仿宋_GB2312" w:cs="仿宋_GB2312"/>
                <w:szCs w:val="28"/>
                <w:lang w:eastAsia="zh-CN"/>
              </w:rPr>
              <w:t>招标</w:t>
            </w:r>
            <w:r>
              <w:rPr>
                <w:rFonts w:hint="eastAsia" w:ascii="仿宋_GB2312" w:hAnsi="仿宋_GB2312" w:eastAsia="仿宋_GB2312" w:cs="仿宋_GB2312"/>
                <w:szCs w:val="28"/>
              </w:rPr>
              <w:t>文件标明的币种报价的；</w:t>
            </w:r>
          </w:p>
        </w:tc>
        <w:tc>
          <w:tcPr>
            <w:tcW w:w="945" w:type="dxa"/>
            <w:vAlign w:val="center"/>
          </w:tcPr>
          <w:p>
            <w:pPr>
              <w:pStyle w:val="18"/>
              <w:spacing w:line="500" w:lineRule="exact"/>
              <w:rPr>
                <w:rFonts w:ascii="仿宋_GB2312" w:hAnsi="仿宋_GB2312" w:eastAsia="仿宋_GB2312" w:cs="仿宋_GB2312"/>
                <w:szCs w:val="28"/>
              </w:rPr>
            </w:pPr>
          </w:p>
        </w:tc>
      </w:tr>
      <w:tr>
        <w:tc>
          <w:tcPr>
            <w:tcW w:w="517" w:type="dxa"/>
            <w:vMerge w:val="continue"/>
            <w:tcBorders>
              <w:left w:val="nil"/>
              <w:right w:val="nil"/>
            </w:tcBorders>
            <w:vAlign w:val="center"/>
          </w:tcPr>
          <w:p>
            <w:pPr>
              <w:pStyle w:val="18"/>
              <w:spacing w:line="500" w:lineRule="exact"/>
              <w:rPr>
                <w:rFonts w:ascii="仿宋_GB2312" w:hAnsi="仿宋_GB2312" w:eastAsia="仿宋_GB2312" w:cs="仿宋_GB2312"/>
                <w:szCs w:val="28"/>
              </w:rPr>
            </w:pPr>
          </w:p>
        </w:tc>
        <w:tc>
          <w:tcPr>
            <w:tcW w:w="668" w:type="dxa"/>
            <w:vAlign w:val="center"/>
          </w:tcPr>
          <w:p>
            <w:pPr>
              <w:pStyle w:val="18"/>
              <w:spacing w:line="500" w:lineRule="exact"/>
              <w:jc w:val="center"/>
              <w:rPr>
                <w:rFonts w:ascii="仿宋_GB2312" w:hAnsi="仿宋_GB2312" w:eastAsia="仿宋_GB2312" w:cs="仿宋_GB2312"/>
                <w:szCs w:val="28"/>
              </w:rPr>
            </w:pPr>
            <w:r>
              <w:rPr>
                <w:rFonts w:ascii="仿宋_GB2312" w:hAnsi="仿宋_GB2312" w:eastAsia="仿宋_GB2312" w:cs="仿宋_GB2312"/>
                <w:szCs w:val="28"/>
              </w:rPr>
              <w:t>9</w:t>
            </w:r>
          </w:p>
        </w:tc>
        <w:tc>
          <w:tcPr>
            <w:tcW w:w="7101" w:type="dxa"/>
            <w:vAlign w:val="center"/>
          </w:tcPr>
          <w:p>
            <w:pPr>
              <w:pStyle w:val="18"/>
              <w:spacing w:line="500" w:lineRule="exact"/>
              <w:jc w:val="both"/>
              <w:rPr>
                <w:rFonts w:ascii="仿宋_GB2312" w:hAnsi="仿宋_GB2312" w:eastAsia="仿宋_GB2312" w:cs="仿宋_GB2312"/>
                <w:szCs w:val="28"/>
              </w:rPr>
            </w:pPr>
            <w:r>
              <w:rPr>
                <w:rFonts w:hint="eastAsia" w:ascii="仿宋_GB2312" w:hAnsi="仿宋_GB2312" w:eastAsia="仿宋_GB2312" w:cs="仿宋_GB2312"/>
                <w:szCs w:val="28"/>
              </w:rPr>
              <w:t>是否满足</w:t>
            </w:r>
            <w:r>
              <w:rPr>
                <w:rFonts w:hint="eastAsia" w:ascii="仿宋_GB2312" w:hAnsi="仿宋_GB2312" w:eastAsia="仿宋_GB2312" w:cs="仿宋_GB2312"/>
                <w:szCs w:val="28"/>
                <w:lang w:eastAsia="zh-CN"/>
              </w:rPr>
              <w:t>招标</w:t>
            </w:r>
            <w:r>
              <w:rPr>
                <w:rFonts w:hint="eastAsia" w:ascii="仿宋_GB2312" w:hAnsi="仿宋_GB2312" w:eastAsia="仿宋_GB2312" w:cs="仿宋_GB2312"/>
                <w:szCs w:val="28"/>
              </w:rPr>
              <w:t>文件实质性要求；</w:t>
            </w:r>
          </w:p>
        </w:tc>
        <w:tc>
          <w:tcPr>
            <w:tcW w:w="945" w:type="dxa"/>
            <w:vAlign w:val="center"/>
          </w:tcPr>
          <w:p>
            <w:pPr>
              <w:pStyle w:val="18"/>
              <w:spacing w:line="500" w:lineRule="exact"/>
              <w:rPr>
                <w:rFonts w:ascii="仿宋_GB2312" w:hAnsi="仿宋_GB2312" w:eastAsia="仿宋_GB2312" w:cs="仿宋_GB2312"/>
                <w:szCs w:val="28"/>
              </w:rPr>
            </w:pPr>
          </w:p>
        </w:tc>
      </w:tr>
      <w:tr>
        <w:tc>
          <w:tcPr>
            <w:tcW w:w="517" w:type="dxa"/>
            <w:vMerge w:val="continue"/>
            <w:tcBorders>
              <w:left w:val="nil"/>
              <w:right w:val="nil"/>
            </w:tcBorders>
            <w:vAlign w:val="center"/>
          </w:tcPr>
          <w:p>
            <w:pPr>
              <w:pStyle w:val="18"/>
              <w:spacing w:line="500" w:lineRule="exact"/>
              <w:rPr>
                <w:rFonts w:ascii="仿宋_GB2312" w:hAnsi="仿宋_GB2312" w:eastAsia="仿宋_GB2312" w:cs="仿宋_GB2312"/>
                <w:szCs w:val="28"/>
              </w:rPr>
            </w:pPr>
          </w:p>
        </w:tc>
        <w:tc>
          <w:tcPr>
            <w:tcW w:w="668" w:type="dxa"/>
            <w:vAlign w:val="center"/>
          </w:tcPr>
          <w:p>
            <w:pPr>
              <w:pStyle w:val="18"/>
              <w:spacing w:line="500" w:lineRule="exact"/>
              <w:jc w:val="center"/>
              <w:rPr>
                <w:rFonts w:ascii="仿宋_GB2312" w:hAnsi="仿宋_GB2312" w:eastAsia="仿宋_GB2312" w:cs="仿宋_GB2312"/>
                <w:szCs w:val="28"/>
              </w:rPr>
            </w:pPr>
            <w:r>
              <w:rPr>
                <w:rFonts w:hint="eastAsia" w:ascii="仿宋_GB2312" w:hAnsi="仿宋_GB2312" w:eastAsia="仿宋_GB2312" w:cs="仿宋_GB2312"/>
                <w:szCs w:val="28"/>
              </w:rPr>
              <w:t>1</w:t>
            </w:r>
            <w:r>
              <w:rPr>
                <w:rFonts w:ascii="仿宋_GB2312" w:hAnsi="仿宋_GB2312" w:eastAsia="仿宋_GB2312" w:cs="仿宋_GB2312"/>
                <w:szCs w:val="28"/>
              </w:rPr>
              <w:t>0</w:t>
            </w:r>
          </w:p>
        </w:tc>
        <w:tc>
          <w:tcPr>
            <w:tcW w:w="7101" w:type="dxa"/>
            <w:vAlign w:val="center"/>
          </w:tcPr>
          <w:p>
            <w:pPr>
              <w:snapToGrid w:val="0"/>
              <w:spacing w:line="50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响应文件是否附有采购人不能接受条件的；</w:t>
            </w:r>
          </w:p>
        </w:tc>
        <w:tc>
          <w:tcPr>
            <w:tcW w:w="945" w:type="dxa"/>
            <w:vAlign w:val="center"/>
          </w:tcPr>
          <w:p>
            <w:pPr>
              <w:pStyle w:val="18"/>
              <w:spacing w:line="500" w:lineRule="exact"/>
              <w:rPr>
                <w:rFonts w:ascii="仿宋_GB2312" w:hAnsi="仿宋_GB2312" w:eastAsia="仿宋_GB2312" w:cs="仿宋_GB2312"/>
                <w:szCs w:val="28"/>
              </w:rPr>
            </w:pPr>
          </w:p>
        </w:tc>
      </w:tr>
      <w:tr>
        <w:tc>
          <w:tcPr>
            <w:tcW w:w="517" w:type="dxa"/>
            <w:vMerge w:val="continue"/>
            <w:tcBorders>
              <w:left w:val="nil"/>
              <w:right w:val="nil"/>
            </w:tcBorders>
            <w:vAlign w:val="center"/>
          </w:tcPr>
          <w:p>
            <w:pPr>
              <w:pStyle w:val="18"/>
              <w:spacing w:line="500" w:lineRule="exact"/>
              <w:rPr>
                <w:rFonts w:ascii="仿宋_GB2312" w:hAnsi="仿宋_GB2312" w:eastAsia="仿宋_GB2312" w:cs="仿宋_GB2312"/>
                <w:szCs w:val="28"/>
              </w:rPr>
            </w:pPr>
          </w:p>
        </w:tc>
        <w:tc>
          <w:tcPr>
            <w:tcW w:w="668" w:type="dxa"/>
            <w:vAlign w:val="center"/>
          </w:tcPr>
          <w:p>
            <w:pPr>
              <w:pStyle w:val="18"/>
              <w:spacing w:line="500" w:lineRule="exact"/>
              <w:jc w:val="center"/>
              <w:rPr>
                <w:rFonts w:ascii="仿宋_GB2312" w:hAnsi="仿宋_GB2312" w:eastAsia="仿宋_GB2312" w:cs="仿宋_GB2312"/>
                <w:szCs w:val="28"/>
              </w:rPr>
            </w:pPr>
            <w:r>
              <w:rPr>
                <w:rFonts w:hint="eastAsia" w:ascii="仿宋_GB2312" w:hAnsi="仿宋_GB2312" w:eastAsia="仿宋_GB2312" w:cs="仿宋_GB2312"/>
                <w:szCs w:val="28"/>
              </w:rPr>
              <w:t>1</w:t>
            </w:r>
            <w:r>
              <w:rPr>
                <w:rFonts w:ascii="仿宋_GB2312" w:hAnsi="仿宋_GB2312" w:eastAsia="仿宋_GB2312" w:cs="仿宋_GB2312"/>
                <w:szCs w:val="28"/>
              </w:rPr>
              <w:t>1</w:t>
            </w:r>
          </w:p>
        </w:tc>
        <w:tc>
          <w:tcPr>
            <w:tcW w:w="7101" w:type="dxa"/>
            <w:vAlign w:val="center"/>
          </w:tcPr>
          <w:p>
            <w:pPr>
              <w:snapToGrid w:val="0"/>
              <w:spacing w:line="50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未存在不符合法律、法规和招标文件中规定的其</w:t>
            </w:r>
            <w:r>
              <w:rPr>
                <w:rFonts w:hint="eastAsia" w:ascii="仿宋_GB2312" w:hAnsi="仿宋_GB2312" w:eastAsia="仿宋_GB2312" w:cs="仿宋_GB2312"/>
                <w:kern w:val="0"/>
                <w:sz w:val="28"/>
                <w:szCs w:val="28"/>
              </w:rPr>
              <w:t>他</w:t>
            </w:r>
            <w:r>
              <w:rPr>
                <w:rFonts w:hint="eastAsia" w:ascii="仿宋_GB2312" w:hAnsi="仿宋_GB2312" w:eastAsia="仿宋_GB2312" w:cs="仿宋_GB2312"/>
                <w:sz w:val="28"/>
                <w:szCs w:val="28"/>
              </w:rPr>
              <w:t>实质性要求，以及其他认为不能实质上满足招标文件要求的；</w:t>
            </w:r>
          </w:p>
        </w:tc>
        <w:tc>
          <w:tcPr>
            <w:tcW w:w="945" w:type="dxa"/>
            <w:vAlign w:val="center"/>
          </w:tcPr>
          <w:p>
            <w:pPr>
              <w:pStyle w:val="18"/>
              <w:spacing w:line="500" w:lineRule="exact"/>
              <w:rPr>
                <w:rFonts w:ascii="仿宋_GB2312" w:hAnsi="仿宋_GB2312" w:eastAsia="仿宋_GB2312" w:cs="仿宋_GB2312"/>
                <w:szCs w:val="28"/>
              </w:rPr>
            </w:pPr>
          </w:p>
        </w:tc>
      </w:tr>
      <w:tr>
        <w:tc>
          <w:tcPr>
            <w:tcW w:w="9231" w:type="dxa"/>
            <w:gridSpan w:val="4"/>
            <w:vAlign w:val="center"/>
          </w:tcPr>
          <w:p>
            <w:pPr>
              <w:pStyle w:val="18"/>
              <w:spacing w:line="500" w:lineRule="exact"/>
              <w:rPr>
                <w:rFonts w:ascii="仿宋_GB2312" w:hAnsi="仿宋_GB2312" w:eastAsia="仿宋_GB2312" w:cs="仿宋_GB2312"/>
                <w:szCs w:val="28"/>
              </w:rPr>
            </w:pPr>
            <w:r>
              <w:rPr>
                <w:rFonts w:hint="eastAsia" w:ascii="仿宋_GB2312" w:hAnsi="仿宋_GB2312" w:eastAsia="仿宋_GB2312" w:cs="仿宋_GB2312"/>
                <w:sz w:val="24"/>
                <w:szCs w:val="24"/>
              </w:rPr>
              <w:t>备注：资格审查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4.1.2符合性检查</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4.1.2.1依据招标文件的规定，从投标文件的有效性、完整性和对招标文件的响应程度进行审查，以确定是否对招标文件的实质性要求作出响应。评标委员会评标投标文件的响应性只根据投标文件真实无误的内容，而不依据外部的证据，但投标文件有不真实、不正确的内容时除外。</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4.1.2.2投标人不得通过修正或撤销不符合要求的偏离从而使其投标成为实质上响应的投标。</w:t>
      </w:r>
    </w:p>
    <w:p>
      <w:pPr>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4.2有下列情形之一时,评标委员会应予废标,并将理由通知所有投标人:</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(1)符合专业条件的投标人或者对招标文件作实质性响应的投标人不足三家的；</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(2)出现影响招标公正的违法、违规行为的；</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(3)投标人的报份均超过了采购预算,采购人不能支付的；</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(4)因重大变故，采购任务取消的。</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4.3废标后，除采购任务取消情形外，招标采购单位应当重新组织招标。需要采取其他采购方式的，应当在采购活动开始前获得设区的市、自治州以上人民政府财政部门的批准。</w:t>
      </w:r>
    </w:p>
    <w:p>
      <w:pPr>
        <w:pStyle w:val="4"/>
        <w:numPr>
          <w:ilvl w:val="2"/>
          <w:numId w:val="0"/>
        </w:numPr>
        <w:tabs>
          <w:tab w:val="left" w:pos="468"/>
        </w:tabs>
        <w:ind w:left="640" w:leftChars="200"/>
        <w:rPr>
          <w:rFonts w:ascii="仿宋_GB2312" w:hAnsi="仿宋_GB2312" w:eastAsia="仿宋_GB2312" w:cs="仿宋_GB2312"/>
          <w:sz w:val="28"/>
          <w:szCs w:val="28"/>
        </w:rPr>
      </w:pPr>
      <w:bookmarkStart w:id="17" w:name="_Toc31425"/>
      <w:r>
        <w:rPr>
          <w:rFonts w:hint="eastAsia" w:ascii="仿宋_GB2312" w:hAnsi="仿宋_GB2312" w:eastAsia="仿宋_GB2312" w:cs="仿宋_GB2312"/>
          <w:sz w:val="28"/>
          <w:szCs w:val="28"/>
        </w:rPr>
        <w:t>5.澄清有关问题</w:t>
      </w:r>
      <w:bookmarkEnd w:id="17"/>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5.1对于投标文件中含义不明确、同类问题表述不一致或者有明显文字和计算错误的内容，评标委员会应当以书面形式要求投标人作出必要的澄清、说明或者补正。</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投标人的澄清、说明或者补正应当采用书面形式，并加盖公章，或者由法定代表人或其授权的代表签字。投标人的澄清、说明或者补正不得超出投标文件的范围或者改变投标文件的实质性内容。</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5.2投标人不得对下列内容进行澄清或补充：</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(1)投标报价、质量标准、合同履行期限等实质性内容。</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(2)不满足第二章投标须知第2.10款规定的实质性要求的投标文件内容。</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5.3投标文件报价出现前后不一致的，除招标文件另有规定外，按照下列规定修正：</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（1）投标文件中开标一览表（报价表）内容与投标文件中相应内容不一致的，以开标一览表（报价表）为准；</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（2）大写金额和小写金额不一致的，以大写金额为准；</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（3）单价金额小数点或者百分比有明显错位的，以开标一览表的总价为准，并修改单价；</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（4）总价金额与按单价汇总金额不一致的，以单价金额计算结果为准。</w:t>
      </w:r>
    </w:p>
    <w:p>
      <w:pPr>
        <w:ind w:firstLine="56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同时出现两种以上不一致的，按照前款规定的顺序修正。修正后的报价按照本</w:t>
      </w:r>
      <w:r>
        <w:rPr>
          <w:rFonts w:hint="eastAsia" w:ascii="仿宋_GB2312" w:hAnsi="仿宋_GB2312" w:eastAsia="仿宋_GB2312" w:cs="仿宋_GB2312"/>
          <w:kern w:val="0"/>
          <w:sz w:val="28"/>
          <w:szCs w:val="28"/>
        </w:rPr>
        <w:t>章5.1款的规定经投标人确认后产生约束力，▲</w:t>
      </w:r>
      <w:r>
        <w:rPr>
          <w:rFonts w:hint="eastAsia" w:ascii="仿宋_GB2312" w:hAnsi="仿宋_GB2312" w:eastAsia="仿宋_GB2312" w:cs="仿宋_GB2312"/>
          <w:b/>
          <w:kern w:val="0"/>
          <w:sz w:val="28"/>
          <w:szCs w:val="28"/>
        </w:rPr>
        <w:t>投标人不确认或拒绝修正的，其投标无效</w:t>
      </w:r>
      <w:r>
        <w:rPr>
          <w:rFonts w:hint="eastAsia" w:ascii="仿宋_GB2312" w:hAnsi="仿宋_GB2312" w:eastAsia="仿宋_GB2312" w:cs="仿宋_GB2312"/>
          <w:kern w:val="0"/>
          <w:sz w:val="28"/>
          <w:szCs w:val="28"/>
        </w:rPr>
        <w:t>。</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5.4投标人按照评标委员会要求提供的有效书面澄清材料，是投标文件的补充材料，成为其投标文件的组成部分。</w:t>
      </w:r>
    </w:p>
    <w:p>
      <w:pPr>
        <w:ind w:firstLine="56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5.5评标委员会认为投标人的报价明显低于其他通过符合性审查投标人的报价，有可能影响产品质量或者不能诚信履约的，应当要求其在评标现场合理的时间</w:t>
      </w:r>
      <w:r>
        <w:rPr>
          <w:rFonts w:hint="eastAsia" w:ascii="仿宋_GB2312" w:hAnsi="仿宋_GB2312" w:eastAsia="仿宋_GB2312" w:cs="仿宋_GB2312"/>
          <w:kern w:val="0"/>
          <w:sz w:val="28"/>
          <w:szCs w:val="28"/>
        </w:rPr>
        <w:t>内提供书面说明，必要时提交相关证明材料；▲</w:t>
      </w:r>
      <w:r>
        <w:rPr>
          <w:rFonts w:hint="eastAsia" w:ascii="仿宋_GB2312" w:hAnsi="仿宋_GB2312" w:eastAsia="仿宋_GB2312" w:cs="仿宋_GB2312"/>
          <w:b/>
          <w:kern w:val="0"/>
          <w:sz w:val="28"/>
          <w:szCs w:val="28"/>
        </w:rPr>
        <w:t>投标人规定的时间内不能证明其报价合理性的，评标委员会应当将其作为无效投标处理</w:t>
      </w:r>
      <w:r>
        <w:rPr>
          <w:rFonts w:hint="eastAsia" w:ascii="仿宋_GB2312" w:hAnsi="仿宋_GB2312" w:eastAsia="仿宋_GB2312" w:cs="仿宋_GB2312"/>
          <w:kern w:val="0"/>
          <w:sz w:val="28"/>
          <w:szCs w:val="28"/>
        </w:rPr>
        <w:t>。</w:t>
      </w:r>
    </w:p>
    <w:p>
      <w:pPr>
        <w:pStyle w:val="4"/>
        <w:numPr>
          <w:ilvl w:val="2"/>
          <w:numId w:val="0"/>
        </w:numPr>
        <w:tabs>
          <w:tab w:val="left" w:pos="468"/>
        </w:tabs>
        <w:ind w:left="640" w:leftChars="200"/>
        <w:rPr>
          <w:rFonts w:ascii="仿宋_GB2312" w:hAnsi="仿宋_GB2312" w:eastAsia="仿宋_GB2312" w:cs="仿宋_GB2312"/>
          <w:sz w:val="28"/>
          <w:szCs w:val="28"/>
        </w:rPr>
      </w:pPr>
      <w:bookmarkStart w:id="18" w:name="_Toc30594"/>
      <w:r>
        <w:rPr>
          <w:rFonts w:hint="eastAsia" w:ascii="仿宋_GB2312" w:hAnsi="仿宋_GB2312" w:eastAsia="仿宋_GB2312" w:cs="仿宋_GB2312"/>
          <w:sz w:val="28"/>
          <w:szCs w:val="28"/>
        </w:rPr>
        <w:t>6.详细评标</w:t>
      </w:r>
      <w:bookmarkEnd w:id="18"/>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6.1评标委员会应按照招标文件中规定的评标方法、标准和评标因素，对资格性检查和符合性检查合格的投标文件进行商务和技术评估，综合比较与评价。</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6.2评标时，评标委员会各成员应当独立对每个投标人的投标文件进行评价、评分，然后汇总每个投标人每项评分因素的得分。</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6.3投标人在评标过程中，所进行的试图影响评标结果的不符合招标规则的活动，可能导致其被取消中标资格。</w:t>
      </w:r>
    </w:p>
    <w:p>
      <w:pPr>
        <w:adjustRightInd w:val="0"/>
        <w:snapToGrid w:val="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6.4</w:t>
      </w:r>
      <w:r>
        <w:rPr>
          <w:rFonts w:hint="eastAsia" w:ascii="仿宋_GB2312" w:hAnsi="仿宋_GB2312" w:eastAsia="仿宋_GB2312" w:cs="仿宋_GB2312"/>
          <w:kern w:val="0"/>
          <w:sz w:val="28"/>
          <w:szCs w:val="28"/>
        </w:rPr>
        <w:t>评分标准：各投标人的总评分：报价评分(含政策优惠价格折扣)（10分）+技术评分（50分）+商务评分（40分）=100分，</w:t>
      </w:r>
      <w:r>
        <w:rPr>
          <w:rFonts w:hint="eastAsia" w:ascii="仿宋_GB2312" w:hAnsi="仿宋_GB2312" w:eastAsia="仿宋_GB2312" w:cs="仿宋_GB2312"/>
          <w:sz w:val="28"/>
          <w:szCs w:val="28"/>
        </w:rPr>
        <w:t>具体评分细则如下：</w:t>
      </w:r>
    </w:p>
    <w:p>
      <w:pPr>
        <w:spacing w:line="440" w:lineRule="exact"/>
        <w:ind w:firstLine="0" w:firstLineChars="0"/>
        <w:rPr>
          <w:rFonts w:ascii="仿宋_GB2312" w:hAnsi="仿宋_GB2312" w:eastAsia="仿宋_GB2312" w:cs="仿宋_GB2312"/>
          <w:sz w:val="28"/>
          <w:szCs w:val="28"/>
        </w:rPr>
      </w:pPr>
      <w:bookmarkStart w:id="19" w:name="_Toc14342"/>
      <w:bookmarkStart w:id="20" w:name="_Toc8467"/>
      <w:r>
        <w:rPr>
          <w:rFonts w:hint="eastAsia" w:ascii="仿宋_GB2312" w:hAnsi="仿宋_GB2312" w:eastAsia="仿宋_GB2312" w:cs="仿宋_GB2312"/>
          <w:b/>
          <w:bCs/>
          <w:sz w:val="28"/>
          <w:szCs w:val="28"/>
        </w:rPr>
        <w:br/>
      </w:r>
    </w:p>
    <w:p>
      <w:pPr>
        <w:pStyle w:val="4"/>
        <w:numPr>
          <w:ilvl w:val="2"/>
          <w:numId w:val="0"/>
        </w:numPr>
        <w:tabs>
          <w:tab w:val="left" w:pos="468"/>
        </w:tabs>
        <w:ind w:left="64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7.推荐中标候选人名单</w:t>
      </w:r>
      <w:bookmarkEnd w:id="19"/>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7.1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7.2评标结果汇总完成后，除下列情形外，任何人不得修改评标结果：</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(1)分值汇总计算错误的；</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(2)分项评分超出评分标准范围的；</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(3)评标委员会成员对客观评标因素评分不一致的；</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(4)经评标委员会认定评分畸高、畸低的。</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财政部门。</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投标人对上述(1)～(4)提出质疑的，采购人或者采购代理机构可以组织原评标委员会进行重新评标，重新评标改变评标结果的，应当书面报告本级财政部门。</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7.3评标委员会根据全体评标成员签字的原始评标记录和评标结果编写评标报告。评标报告应当包括以下内容：</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（1）招标公告刊登的媒体名称、开标日期和地点；</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（2）投标人名单和评标委员会成员名单；</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（3）评标方法和标准；</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（4）开标记录和评标情况及说明，包括无效投标人名单及原因；</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（5）评标结果，确定的中标候选人名单或者经采购人委托直接确定的中标人；</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（6）其他需要说明的情况，包括评标过程中投标人根据评标委员会要求进行的澄清、说明或者补正，评标委员会成员的更换等。</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7.4本次招标采购推荐的中标候选人数量见投标须知前附表。</w:t>
      </w:r>
    </w:p>
    <w:p>
      <w:pPr>
        <w:ind w:firstLine="640"/>
      </w:pPr>
      <w:r>
        <w:rPr>
          <w:rFonts w:hint="eastAsia"/>
        </w:rPr>
        <w:br w:type="page"/>
      </w:r>
    </w:p>
    <w:p>
      <w:pPr>
        <w:pStyle w:val="23"/>
        <w:spacing w:before="0" w:after="0"/>
        <w:rPr>
          <w:rFonts w:ascii="黑体" w:hAnsi="黑体" w:eastAsia="黑体" w:cs="黑体"/>
          <w:b w:val="0"/>
          <w:bCs w:val="0"/>
        </w:rPr>
      </w:pPr>
      <w:bookmarkStart w:id="21" w:name="_Toc531706627"/>
      <w:bookmarkStart w:id="22" w:name="_Toc12295"/>
      <w:r>
        <w:rPr>
          <w:rFonts w:hint="eastAsia" w:ascii="黑体" w:hAnsi="黑体" w:eastAsia="黑体" w:cs="黑体"/>
          <w:b w:val="0"/>
          <w:bCs w:val="0"/>
        </w:rPr>
        <w:t xml:space="preserve">第四章 </w:t>
      </w:r>
      <w:bookmarkEnd w:id="21"/>
      <w:r>
        <w:rPr>
          <w:rFonts w:hint="eastAsia" w:ascii="黑体" w:hAnsi="黑体" w:eastAsia="黑体" w:cs="黑体"/>
          <w:b w:val="0"/>
          <w:bCs w:val="0"/>
        </w:rPr>
        <w:t>政府采购合同</w:t>
      </w:r>
      <w:bookmarkEnd w:id="22"/>
      <w:r>
        <w:rPr>
          <w:rFonts w:hint="eastAsia" w:ascii="黑体" w:hAnsi="黑体" w:eastAsia="黑体" w:cs="黑体"/>
          <w:b w:val="0"/>
          <w:bCs w:val="0"/>
        </w:rPr>
        <w:t>范本（仅供参考）</w:t>
      </w:r>
    </w:p>
    <w:p>
      <w:pPr>
        <w:pStyle w:val="32"/>
        <w:adjustRightInd w:val="0"/>
        <w:snapToGrid w:val="0"/>
        <w:spacing w:line="360" w:lineRule="auto"/>
        <w:ind w:firstLine="700" w:firstLineChars="250"/>
        <w:rPr>
          <w:rFonts w:ascii="仿宋_GB2312" w:hAnsi="仿宋_GB2312" w:eastAsia="仿宋_GB2312" w:cs="仿宋_GB2312"/>
          <w:sz w:val="28"/>
          <w:szCs w:val="28"/>
        </w:rPr>
      </w:pPr>
    </w:p>
    <w:p>
      <w:pPr>
        <w:pStyle w:val="32"/>
        <w:adjustRightInd w:val="0"/>
        <w:snapToGrid w:val="0"/>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____________________（下称甲方）和</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（下称乙方）就</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事宜，经双方友好协商，一致同意依照中华人民共和国《合同法》签订本合同。</w:t>
      </w:r>
    </w:p>
    <w:p>
      <w:pPr>
        <w:ind w:firstLine="616" w:firstLineChars="219"/>
        <w:rPr>
          <w:rFonts w:ascii="仿宋_GB2312" w:hAnsi="仿宋_GB2312" w:eastAsia="仿宋_GB2312" w:cs="仿宋_GB2312"/>
          <w:b/>
          <w:sz w:val="28"/>
          <w:szCs w:val="28"/>
        </w:rPr>
      </w:pPr>
      <w:r>
        <w:rPr>
          <w:rFonts w:hint="eastAsia" w:ascii="仿宋_GB2312" w:hAnsi="仿宋_GB2312" w:eastAsia="仿宋_GB2312" w:cs="仿宋_GB2312"/>
          <w:b/>
          <w:sz w:val="28"/>
          <w:szCs w:val="28"/>
        </w:rPr>
        <w:t>1．定义</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1.1 在此合同中按照说明解释下列术语：</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1.1.1 “合同”指的是甲方和乙方之间的协议，它被记录在双方签订的合同里，包括所有的附件和由证明体现的所有文件，包括其投标期间的所有文件及承诺。</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1.1.2 “合同价格”是指在合同下可付给乙方的全部正确履行合同义务的价格。</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1.1.3 “合同产品”是指乙方根据合同向甲方提供的产品、机器、装置、仪器、备品备件、专用工具、材料和所有各种物品。</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1.1.4 “技术文件”是指与合同产品相关的设计、开发、制造、监造、检验、施工、安装、调试、性能验收试验、验收和技术指导等文件（包括图纸和各种文字说明、标准），用于甲方对合同产品进行正确运行和维护的文件。</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1.1.5 “服务”是指由乙方提供的与设计、制造、检验、施工、安装、调试、性能验收试验、验收直至最终验收证书签发相关的技术指导、技术配合等（包括人员培训）全过程的服务。</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1.1.6 “免费服务期”是指合同产品到货，安装调试完毕并通过验收合格之日起</w:t>
      </w:r>
      <w:r>
        <w:rPr>
          <w:rFonts w:hint="eastAsia" w:ascii="仿宋_GB2312" w:hAnsi="仿宋_GB2312" w:eastAsia="仿宋_GB2312" w:cs="仿宋_GB2312"/>
          <w:sz w:val="28"/>
          <w:szCs w:val="28"/>
          <w:u w:val="single"/>
        </w:rPr>
        <w:t xml:space="preserve">      壹年    </w:t>
      </w:r>
      <w:r>
        <w:rPr>
          <w:rFonts w:hint="eastAsia" w:ascii="仿宋_GB2312" w:hAnsi="仿宋_GB2312" w:eastAsia="仿宋_GB2312" w:cs="仿宋_GB2312"/>
          <w:sz w:val="28"/>
          <w:szCs w:val="28"/>
        </w:rPr>
        <w:t>。</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1.1.7 “甲方”指的是</w:t>
      </w:r>
      <w:r>
        <w:rPr>
          <w:rFonts w:hint="eastAsia" w:ascii="仿宋_GB2312" w:hAnsi="仿宋_GB2312" w:eastAsia="仿宋_GB2312" w:cs="仿宋_GB2312"/>
          <w:sz w:val="28"/>
          <w:szCs w:val="28"/>
          <w:u w:val="single"/>
        </w:rPr>
        <w:t xml:space="preserve"> 新疆维吾尔自治区机关事务管理局  </w:t>
      </w:r>
      <w:r>
        <w:rPr>
          <w:rFonts w:hint="eastAsia" w:ascii="仿宋_GB2312" w:hAnsi="仿宋_GB2312" w:eastAsia="仿宋_GB2312" w:cs="仿宋_GB2312"/>
          <w:sz w:val="28"/>
          <w:szCs w:val="28"/>
        </w:rPr>
        <w:t>。</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1.1.8 “乙方”指的是提供本合同项下所有产品及服务的制造厂商或供货商。</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1.1.9 “验收”系指甲方依据技术规格规定接受合同产品所依据的程序和条件。</w:t>
      </w:r>
    </w:p>
    <w:p>
      <w:pPr>
        <w:ind w:firstLine="616" w:firstLineChars="219"/>
        <w:rPr>
          <w:rFonts w:ascii="仿宋_GB2312" w:hAnsi="仿宋_GB2312" w:eastAsia="仿宋_GB2312" w:cs="仿宋_GB2312"/>
          <w:b/>
          <w:sz w:val="28"/>
          <w:szCs w:val="28"/>
        </w:rPr>
      </w:pPr>
      <w:bookmarkStart w:id="23" w:name="_Toc374636931"/>
      <w:r>
        <w:rPr>
          <w:rFonts w:hint="eastAsia" w:ascii="仿宋_GB2312" w:hAnsi="仿宋_GB2312" w:eastAsia="仿宋_GB2312" w:cs="仿宋_GB2312"/>
          <w:b/>
          <w:sz w:val="28"/>
          <w:szCs w:val="28"/>
        </w:rPr>
        <w:t>2．合同标的</w:t>
      </w:r>
      <w:bookmarkEnd w:id="23"/>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乙方同意向甲方出售合同产品，甲方同意从乙方购买合同产品。</w:t>
      </w:r>
    </w:p>
    <w:p>
      <w:pPr>
        <w:widowControl w:val="0"/>
        <w:wordWrap/>
        <w:adjustRightInd/>
        <w:snapToGrid/>
        <w:spacing w:before="0" w:after="0" w:line="560" w:lineRule="exact"/>
        <w:ind w:left="0" w:leftChars="0" w:right="0" w:firstLine="640"/>
        <w:textAlignment w:val="auto"/>
        <w:outlineLvl w:val="9"/>
        <w:rPr>
          <w:rFonts w:ascii="仿宋_GB2312" w:hAnsi="仿宋_GB2312" w:eastAsia="仿宋_GB2312" w:cs="仿宋_GB2312"/>
          <w:sz w:val="28"/>
          <w:szCs w:val="28"/>
          <w:u w:val="single" w:color="auto"/>
        </w:rPr>
      </w:pPr>
      <w:r>
        <w:rPr>
          <w:rFonts w:hint="eastAsia" w:ascii="仿宋_GB2312" w:hAnsi="仿宋_GB2312" w:eastAsia="仿宋_GB2312" w:cs="仿宋_GB2312"/>
          <w:sz w:val="28"/>
          <w:szCs w:val="28"/>
        </w:rPr>
        <w:t>2.1 产品名称：</w:t>
      </w:r>
      <w:r>
        <w:rPr>
          <w:rFonts w:hint="eastAsia" w:ascii="仿宋_GB2312" w:hAnsi="仿宋_GB2312" w:eastAsia="仿宋_GB2312" w:cs="仿宋_GB2312"/>
          <w:b w:val="0"/>
          <w:bCs w:val="0"/>
          <w:color w:val="000000"/>
          <w:w w:val="100"/>
          <w:sz w:val="32"/>
          <w:szCs w:val="32"/>
          <w:u w:val="single" w:color="auto"/>
        </w:rPr>
        <w:t>新</w:t>
      </w:r>
      <w:r>
        <w:rPr>
          <w:rFonts w:hint="eastAsia" w:ascii="仿宋_GB2312" w:hAnsi="仿宋_GB2312" w:eastAsia="仿宋_GB2312" w:cs="仿宋_GB2312"/>
          <w:szCs w:val="32"/>
          <w:u w:val="single" w:color="auto"/>
        </w:rPr>
        <w:t>疆维吾尔自治区机关事务管理局信息化平台建设项目</w:t>
      </w:r>
      <w:r>
        <w:rPr>
          <w:rFonts w:hint="eastAsia" w:ascii="仿宋_GB2312" w:hAnsi="仿宋_GB2312" w:eastAsia="仿宋_GB2312" w:cs="仿宋_GB2312"/>
          <w:szCs w:val="32"/>
          <w:u w:val="single" w:color="auto"/>
          <w:lang w:eastAsia="zh-CN"/>
        </w:rPr>
        <w:t>。</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2.2 凡乙方供应的产品均应是全新、安全、经济、技术先进并且是成熟可靠的。</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2.3 合同产品的技术规范、技术经济指标和性能按双方签订的《技术协议》（如果有的话）、乙方的《投标文件》及《招标文件》有关要求执行。</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2.4 乙方提供合同产品的供货范围按乙方在投标文件报出的并经甲方同意认可的供货范围执行。</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2.5 乙方负责合同产品的运输及保险。</w:t>
      </w:r>
    </w:p>
    <w:p>
      <w:pPr>
        <w:ind w:firstLine="616" w:firstLineChars="219"/>
        <w:rPr>
          <w:rFonts w:ascii="仿宋_GB2312" w:hAnsi="仿宋_GB2312" w:eastAsia="仿宋_GB2312" w:cs="仿宋_GB2312"/>
          <w:b/>
          <w:sz w:val="28"/>
          <w:szCs w:val="28"/>
        </w:rPr>
      </w:pPr>
      <w:bookmarkStart w:id="24" w:name="_Toc374636932"/>
      <w:r>
        <w:rPr>
          <w:rFonts w:hint="eastAsia" w:ascii="仿宋_GB2312" w:hAnsi="仿宋_GB2312" w:eastAsia="仿宋_GB2312" w:cs="仿宋_GB2312"/>
          <w:b/>
          <w:sz w:val="28"/>
          <w:szCs w:val="28"/>
        </w:rPr>
        <w:t>3．供货范围</w:t>
      </w:r>
      <w:bookmarkEnd w:id="24"/>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3.1 合同供货范围包括了所有产品、技术资料、人员培训及技术协调、技术服务及技术指导,但在执行合同过程中如发现有任何漏项和短缺，在发货清单中并未列入而且确实是乙方供货范围中应该有的,并且是满足《招标文件》,均应由乙方负责将所缺的产品、技术资料、人员培训及技术协调、技术服务及技术指导等补上，且不发生费用问题。</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3.2 在执行合同过程中，如发现不属技术规范中漏设或招标文件要求中漏项所造成的任何遗漏和缺项，而纯属乙方的不慎所造成，不管其漏项和短缺的产品的金额是多少，均由乙方补齐，费用由乙方承担。</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3.3 产品供应清单</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3.3.1 合同谈判时，甲方有权根据实际需要，对合同产品及服务进行适当的调整，具体增减幅度不超过中标价格的10%,如果本次</w:t>
      </w:r>
      <w:r>
        <w:rPr>
          <w:rFonts w:hint="eastAsia" w:ascii="仿宋_GB2312" w:hAnsi="仿宋_GB2312" w:eastAsia="仿宋_GB2312" w:cs="仿宋_GB2312"/>
          <w:sz w:val="28"/>
          <w:szCs w:val="28"/>
          <w:lang w:eastAsia="zh-CN"/>
        </w:rPr>
        <w:t>公开</w:t>
      </w:r>
      <w:r>
        <w:rPr>
          <w:rFonts w:hint="eastAsia" w:ascii="仿宋_GB2312" w:hAnsi="仿宋_GB2312" w:eastAsia="仿宋_GB2312" w:cs="仿宋_GB2312"/>
          <w:sz w:val="28"/>
          <w:szCs w:val="28"/>
        </w:rPr>
        <w:t>性</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采购的所有投标报价均超过招标人的项目预算，招标人保留废标的权利。</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3.3.2 合同产品的供应清单按双方签订的《技术协议》（如果有的话）、乙方的《投标文件》及《招标文件》有关要求执行。</w:t>
      </w:r>
    </w:p>
    <w:p>
      <w:pPr>
        <w:ind w:firstLine="616" w:firstLineChars="219"/>
        <w:rPr>
          <w:rFonts w:ascii="仿宋_GB2312" w:hAnsi="仿宋_GB2312" w:eastAsia="仿宋_GB2312" w:cs="仿宋_GB2312"/>
          <w:b/>
          <w:sz w:val="28"/>
          <w:szCs w:val="28"/>
        </w:rPr>
      </w:pPr>
      <w:r>
        <w:rPr>
          <w:rFonts w:hint="eastAsia" w:ascii="仿宋_GB2312" w:hAnsi="仿宋_GB2312" w:eastAsia="仿宋_GB2312" w:cs="仿宋_GB2312"/>
          <w:b/>
          <w:sz w:val="28"/>
          <w:szCs w:val="28"/>
        </w:rPr>
        <w:t>4．合同价格</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4.1 本合同价格即合同总价为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本合同价格包括合同产品、税费、运杂费、保险费、技术资料、服务、验收等与合同有关的所有费用。</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4.1.1 合同产品价格为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4.2 上述合同价格是合同产品安装调试完成且验收合格后的固定不变价格，借任何理由调价都是不允许的。</w:t>
      </w:r>
    </w:p>
    <w:p>
      <w:pPr>
        <w:ind w:firstLine="616" w:firstLineChars="219"/>
        <w:rPr>
          <w:rFonts w:ascii="仿宋_GB2312" w:hAnsi="仿宋_GB2312" w:eastAsia="仿宋_GB2312" w:cs="仿宋_GB2312"/>
          <w:b/>
          <w:sz w:val="28"/>
          <w:szCs w:val="28"/>
        </w:rPr>
      </w:pPr>
      <w:r>
        <w:rPr>
          <w:rFonts w:hint="eastAsia" w:ascii="仿宋_GB2312" w:hAnsi="仿宋_GB2312" w:eastAsia="仿宋_GB2312" w:cs="仿宋_GB2312"/>
          <w:b/>
          <w:sz w:val="28"/>
          <w:szCs w:val="28"/>
        </w:rPr>
        <w:t>5．付款方式</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5.1</w:t>
      </w:r>
      <w:r>
        <w:rPr>
          <w:rFonts w:hint="eastAsia" w:cs="宋体"/>
          <w:sz w:val="24"/>
        </w:rPr>
        <w:t xml:space="preserve"> </w:t>
      </w:r>
      <w:r>
        <w:rPr>
          <w:rFonts w:hint="eastAsia" w:ascii="仿宋_GB2312" w:hAnsi="仿宋_GB2312" w:eastAsia="仿宋_GB2312" w:cs="仿宋_GB2312"/>
          <w:sz w:val="28"/>
          <w:szCs w:val="28"/>
        </w:rPr>
        <w:t>签订合同五个工作日内支付合同总金额的60%，软件安装完毕并测试通过后支付合同总金额的30%，最终验收通过后支付剩余10%。</w:t>
      </w:r>
    </w:p>
    <w:p>
      <w:pPr>
        <w:ind w:firstLine="616" w:firstLineChars="219"/>
        <w:rPr>
          <w:rFonts w:ascii="仿宋_GB2312" w:hAnsi="仿宋_GB2312" w:eastAsia="仿宋_GB2312" w:cs="仿宋_GB2312"/>
          <w:b/>
          <w:sz w:val="28"/>
          <w:szCs w:val="28"/>
        </w:rPr>
      </w:pPr>
      <w:r>
        <w:rPr>
          <w:rFonts w:hint="eastAsia" w:ascii="仿宋_GB2312" w:hAnsi="仿宋_GB2312" w:eastAsia="仿宋_GB2312" w:cs="仿宋_GB2312"/>
          <w:b/>
          <w:sz w:val="28"/>
          <w:szCs w:val="28"/>
        </w:rPr>
        <w:t>6．实施周期</w:t>
      </w:r>
    </w:p>
    <w:p>
      <w:pPr>
        <w:spacing w:line="360" w:lineRule="auto"/>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签订合同后肆个月内，乙方必须保证完成合同内的所有内容，但因甲方原因造成的工期延后除外。</w:t>
      </w:r>
    </w:p>
    <w:p>
      <w:pPr>
        <w:ind w:firstLine="616" w:firstLineChars="219"/>
        <w:rPr>
          <w:rFonts w:ascii="仿宋_GB2312" w:hAnsi="仿宋_GB2312" w:eastAsia="仿宋_GB2312" w:cs="仿宋_GB2312"/>
          <w:b/>
          <w:sz w:val="28"/>
          <w:szCs w:val="28"/>
        </w:rPr>
      </w:pPr>
      <w:r>
        <w:rPr>
          <w:rFonts w:hint="eastAsia" w:ascii="仿宋_GB2312" w:hAnsi="仿宋_GB2312" w:eastAsia="仿宋_GB2312" w:cs="仿宋_GB2312"/>
          <w:b/>
          <w:sz w:val="28"/>
          <w:szCs w:val="28"/>
        </w:rPr>
        <w:t>7．交货地点</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按照招标人要求。</w:t>
      </w:r>
    </w:p>
    <w:p>
      <w:pPr>
        <w:numPr>
          <w:ilvl w:val="0"/>
          <w:numId w:val="7"/>
        </w:numPr>
        <w:ind w:firstLine="616" w:firstLineChars="219"/>
        <w:rPr>
          <w:rFonts w:ascii="仿宋_GB2312" w:hAnsi="仿宋_GB2312" w:eastAsia="仿宋_GB2312" w:cs="仿宋_GB2312"/>
          <w:b/>
          <w:sz w:val="28"/>
          <w:szCs w:val="28"/>
        </w:rPr>
      </w:pPr>
      <w:r>
        <w:rPr>
          <w:rFonts w:hint="eastAsia" w:ascii="仿宋_GB2312" w:hAnsi="仿宋_GB2312" w:eastAsia="仿宋_GB2312" w:cs="仿宋_GB2312"/>
          <w:b/>
          <w:sz w:val="28"/>
          <w:szCs w:val="28"/>
        </w:rPr>
        <w:t>专利权</w:t>
      </w:r>
    </w:p>
    <w:p>
      <w:pPr>
        <w:ind w:firstLine="0" w:firstLineChars="0"/>
        <w:rPr>
          <w:rFonts w:ascii="仿宋_GB2312" w:hAnsi="仿宋_GB2312" w:eastAsia="仿宋_GB2312" w:cs="仿宋_GB2312"/>
          <w:sz w:val="28"/>
          <w:szCs w:val="28"/>
        </w:rPr>
      </w:pPr>
      <w:r>
        <w:rPr>
          <w:rFonts w:hint="eastAsia" w:cs="宋体"/>
          <w:sz w:val="24"/>
        </w:rPr>
        <w:t xml:space="preserve">    </w:t>
      </w:r>
      <w:r>
        <w:rPr>
          <w:rFonts w:hint="eastAsia" w:ascii="仿宋_GB2312" w:hAnsi="仿宋_GB2312" w:eastAsia="仿宋_GB2312" w:cs="仿宋_GB2312"/>
          <w:sz w:val="28"/>
          <w:szCs w:val="28"/>
        </w:rPr>
        <w:t xml:space="preserve"> 乙方开发完软件通过最终验收，且甲方付清全部合同款后，乙方应将软件全部源代码移交给甲方，软件知识产权由甲方单独享有。</w:t>
      </w:r>
    </w:p>
    <w:p>
      <w:pPr>
        <w:pStyle w:val="3"/>
      </w:pPr>
      <w:bookmarkStart w:id="25" w:name="_Toc16512"/>
      <w:r>
        <w:rPr>
          <w:rFonts w:hint="eastAsia"/>
        </w:rPr>
        <w:t>9．技术资料的交付</w:t>
      </w:r>
      <w:bookmarkEnd w:id="25"/>
    </w:p>
    <w:p>
      <w:pPr>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9．技术资料的交付</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9.1 乙方应向甲方交付全套技术资料。</w:t>
      </w:r>
    </w:p>
    <w:p>
      <w:pPr>
        <w:ind w:firstLine="616" w:firstLineChars="219"/>
        <w:rPr>
          <w:rFonts w:ascii="仿宋_GB2312" w:hAnsi="仿宋_GB2312" w:eastAsia="仿宋_GB2312" w:cs="仿宋_GB2312"/>
          <w:b/>
          <w:sz w:val="28"/>
          <w:szCs w:val="28"/>
        </w:rPr>
      </w:pPr>
      <w:r>
        <w:rPr>
          <w:rFonts w:hint="eastAsia" w:ascii="仿宋_GB2312" w:hAnsi="仿宋_GB2312" w:eastAsia="仿宋_GB2312" w:cs="仿宋_GB2312"/>
          <w:b/>
          <w:sz w:val="28"/>
          <w:szCs w:val="28"/>
        </w:rPr>
        <w:t>10．维护与索赔</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10.1免费服务期（包含相关设备质保）</w:t>
      </w:r>
    </w:p>
    <w:p>
      <w:pPr>
        <w:ind w:firstLine="613" w:firstLineChars="219"/>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10.1.1免费服务期是指合同产品安装、调试检测完毕并经验收合格之日开始计算周期，软件免费维护期一年（但不包括甲方在系统软件开展正常业务的运行维护）。</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10.1.2 在此服务期内，乙方应对合同产品发生的任何不足或故障负责，费用由乙方负担。</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10.2 在服务期内，如发现乙方提供的产品有缺陷，不符合本合同规定时，甲方认为如属乙方责任，则甲方有权向乙方提出索赔。乙方在接到甲方索赔文件后，应立即无偿调试、升级、赔款，由此产生的到现场的费用由乙方负担。</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10.3 如由于乙方责任需要更换、修理有缺陷的产品，而使合同产品停运时，则免费服务期按实际调试或升级、换货所延误的时间做相应的延长，且新更换或修理的产品，其免费服务期应重新计算。</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10.4 如果乙方在收到通知后</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天内没有弥补缺陷，甲方可采取必要的补救措施，但风险和费用将由乙方承担。</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10.5 由于乙方原因未能按本合同规定的实施周期将产品交付使用时（不可抗力除外），甲方有权按下列比例向乙方收取违约金：</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迟交1～7天，支付迟交产品合同总金额的0.5%，不满7天按7天计算；迟交违约金的额度不得超过迟交产品合同金额的5%；乙方支付迟交违约金，并不解除乙方按照合同继续交货的义务。</w:t>
      </w:r>
    </w:p>
    <w:p>
      <w:pPr>
        <w:ind w:firstLine="616" w:firstLineChars="219"/>
        <w:rPr>
          <w:rFonts w:ascii="仿宋_GB2312" w:hAnsi="仿宋_GB2312" w:eastAsia="仿宋_GB2312" w:cs="仿宋_GB2312"/>
          <w:b/>
          <w:sz w:val="28"/>
          <w:szCs w:val="28"/>
        </w:rPr>
      </w:pPr>
      <w:r>
        <w:rPr>
          <w:rFonts w:hint="eastAsia" w:ascii="仿宋_GB2312" w:hAnsi="仿宋_GB2312" w:eastAsia="仿宋_GB2312" w:cs="仿宋_GB2312"/>
          <w:b/>
          <w:sz w:val="28"/>
          <w:szCs w:val="28"/>
        </w:rPr>
        <w:t>11．安装调试</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11.1 乙方必须在合同签订后将所有的安装调试条件、需甲方配合的事项以书面方式通知甲方；</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11.2 乙方免费负责合同产品在甲方的安装、调试，甲方协助开展工作；</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11.3 乙方安装调试的专业技术人员应及时到达甲方现场，直至安装调试结束、通过验收；</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11.4乙方负责安装调试期间产生的和合同产品有关的任何费用；</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11.5上述安装调试完成后，甲方按相应的乙方在投标文件中所提供的技术指标进行验收；</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11.6 乙方如不能按时完成安装、调试工作，应赔偿由此甲方造成的所有损失；</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11.7最终的测试验收报告由甲乙双方代表签字认可后生效。</w:t>
      </w:r>
    </w:p>
    <w:p>
      <w:pPr>
        <w:ind w:firstLine="616" w:firstLineChars="219"/>
        <w:rPr>
          <w:rFonts w:ascii="仿宋_GB2312" w:hAnsi="仿宋_GB2312" w:eastAsia="仿宋_GB2312" w:cs="仿宋_GB2312"/>
          <w:b/>
          <w:sz w:val="28"/>
          <w:szCs w:val="28"/>
        </w:rPr>
      </w:pPr>
      <w:r>
        <w:rPr>
          <w:rFonts w:hint="eastAsia" w:ascii="仿宋_GB2312" w:hAnsi="仿宋_GB2312" w:eastAsia="仿宋_GB2312" w:cs="仿宋_GB2312"/>
          <w:b/>
          <w:sz w:val="28"/>
          <w:szCs w:val="28"/>
        </w:rPr>
        <w:t>12．培训</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12.1 乙方的安装调试人员有义务对甲方的设备维修人员及使用人员进行培训，使维修人员能对设备进行日常维护和一般性故障的查找及故障的排除，使用人员能够熟练掌握设备的各项功能和操作。</w:t>
      </w:r>
    </w:p>
    <w:p>
      <w:pPr>
        <w:ind w:firstLine="616" w:firstLineChars="219"/>
        <w:rPr>
          <w:rFonts w:ascii="仿宋_GB2312" w:hAnsi="仿宋_GB2312" w:eastAsia="仿宋_GB2312" w:cs="仿宋_GB2312"/>
          <w:b/>
          <w:sz w:val="28"/>
          <w:szCs w:val="28"/>
        </w:rPr>
      </w:pPr>
      <w:r>
        <w:rPr>
          <w:rFonts w:hint="eastAsia" w:ascii="仿宋_GB2312" w:hAnsi="仿宋_GB2312" w:eastAsia="仿宋_GB2312" w:cs="仿宋_GB2312"/>
          <w:b/>
          <w:sz w:val="28"/>
          <w:szCs w:val="28"/>
        </w:rPr>
        <w:t>13．检验</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13.1 对于乙方提供的所有产品, 甲方可委派相关人员进行检验，验收合格后，所产生的费用由甲方承担，经检验不合格时，所产生的费用由乙方承担。</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13.2 具体的检验标准按乙方在投标文件中承诺的并经甲方确认的规定执行。</w:t>
      </w:r>
    </w:p>
    <w:p>
      <w:pPr>
        <w:ind w:firstLine="616" w:firstLineChars="219"/>
        <w:rPr>
          <w:rFonts w:ascii="仿宋_GB2312" w:hAnsi="仿宋_GB2312" w:eastAsia="仿宋_GB2312" w:cs="仿宋_GB2312"/>
          <w:b/>
          <w:sz w:val="28"/>
          <w:szCs w:val="28"/>
        </w:rPr>
      </w:pPr>
      <w:r>
        <w:rPr>
          <w:rFonts w:hint="eastAsia" w:ascii="仿宋_GB2312" w:hAnsi="仿宋_GB2312" w:eastAsia="仿宋_GB2312" w:cs="仿宋_GB2312"/>
          <w:b/>
          <w:sz w:val="28"/>
          <w:szCs w:val="28"/>
        </w:rPr>
        <w:t>14．违约责任</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14.1 由于乙方原因未能按本合同规定的实施周期将产品交付使用时（不可抗力除外），招标人有权按下列比例向乙方收取违约金：</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迟交1～4周，每周支付迟交产品合同总金额的1%；</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迟交5～8周，每周支付迟交产品合同总金额的1.5％；</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迟交9周以上，每周支付迟交产品合同总金额的2%；</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不满一周按一周计算。</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乙方支付迟交违约金，并不解除乙方按照合同继续交货的义务。</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14.2 乙方对于根据本合同承担的赔偿和违约责任不论单项或多项累计将不超过合同总价的10%。</w:t>
      </w:r>
    </w:p>
    <w:p>
      <w:pPr>
        <w:ind w:firstLine="616" w:firstLineChars="219"/>
        <w:rPr>
          <w:rFonts w:ascii="仿宋_GB2312" w:hAnsi="仿宋_GB2312" w:eastAsia="仿宋_GB2312" w:cs="仿宋_GB2312"/>
          <w:b/>
          <w:sz w:val="28"/>
          <w:szCs w:val="28"/>
        </w:rPr>
      </w:pPr>
      <w:r>
        <w:rPr>
          <w:rFonts w:hint="eastAsia" w:ascii="仿宋_GB2312" w:hAnsi="仿宋_GB2312" w:eastAsia="仿宋_GB2312" w:cs="仿宋_GB2312"/>
          <w:b/>
          <w:sz w:val="28"/>
          <w:szCs w:val="28"/>
        </w:rPr>
        <w:t>15．合同的变更、修改、中止和终止</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15.1 本合同一经生效，合同双方均不得擅自对本合同的内容（包括附件）作任何单方修改。但任何一方均可以对合同内容以书面形式提出变更、修改、取消或补充的建议。该项建议由一方按顺序编号的修改通知书向对方签发，修改通知书副本经对方签署人会签后返还给修改通知书一方。如果双方共同认为该项修改会对合同价格和交货进度有重大影响时，乙方应在收到上述修改通知书后的14个工作日内，提出影响合同价格和/或交货（完工）期的详细说明。双方同意后经双方法人代表或授权代表签字并经主管部门审核盖章后生效。将修改后的有关部分抄送原合同有关单位。</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15.2 如果乙方有违反或拒绝执行本合同规定的行为时，甲方将用书面通知乙方，乙方在接到通知书后5个工作日内确认无误后应对违反或拒绝作出修正，如果认为在5个工作日内来不及纠正时，应提出修正计划。如果得不到纠正或提不出修正计划，甲方将保留暂停履行本合同的一部份或全部的权利。对于这种暂停，甲方将不出具变更通知书，由此而发生的一切费用、损失和索赔将由乙方负担。</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15.3 根据14.2条款规定，如果甲方行使暂停权利后，甲方有权停付到期应向乙方支付暂停部分的款项，并有权将在执行合同中，预付给乙方的暂停部分款项索回。</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15.4 在合同执行过程中，若因国家计划调整而引起本合同无法正常执行时，乙方或甲方可以向对方提出暂停执行合同或修改合同有关条款的建议，与之有关的事宜双方协商办理。</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15.5 在合同执行过程中，若因乙方产品质量低劣或合同履行困难，甲方有权利终止合同并另择供货人。</w:t>
      </w:r>
    </w:p>
    <w:p>
      <w:pPr>
        <w:ind w:firstLine="616" w:firstLineChars="219"/>
        <w:rPr>
          <w:rFonts w:ascii="仿宋_GB2312" w:hAnsi="仿宋_GB2312" w:eastAsia="仿宋_GB2312" w:cs="仿宋_GB2312"/>
          <w:b/>
          <w:sz w:val="28"/>
          <w:szCs w:val="28"/>
        </w:rPr>
      </w:pPr>
      <w:r>
        <w:rPr>
          <w:rFonts w:hint="eastAsia" w:ascii="仿宋_GB2312" w:hAnsi="仿宋_GB2312" w:eastAsia="仿宋_GB2312" w:cs="仿宋_GB2312"/>
          <w:b/>
          <w:sz w:val="28"/>
          <w:szCs w:val="28"/>
        </w:rPr>
        <w:t>16．不可抗力</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16.1 不可抗力是合同签字生效后发生的非有关方所能控制的，并非合同方过失的、无法中止的、不能预防的社会和自然事件，包括但不限于：严重的自然灾害（如台风、洪水、地震、火灾、爆炸等），战争（不论是否宣战）、叛乱、破坏、动乱、社会敌视行为、正式罢工等等。合同双方的任何一方，由于不可抗力而影响合同义务执行时，则延迟合同义务的期限相当于不可抗力事件的时间，但是不能因为不可抗力的延迟而调整价格。</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16.2 受到不可抗力影响的一方应在不可抗力事件发生后，尽快将所发生的不可抗力事件的情况以传真和电报通知另一方审阅确认，受影响的一方同时应尽量设法缩小这种影响和由此而引起的延误，一旦不可抗力的影响消除后，应将此情况立即通知对方。</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16.3 如双方对不可抗力事件的影响估计将延续到一百二十天以上时，双方应通过友好协商解决本合同的执行问题（包括交货、试运行和验收等问题）。</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16.4 如果不可抗力使交货时间严重影响了工程进度，甲方有权终止合同，遗留问题由双方通过友好协商妥善解决。</w:t>
      </w:r>
    </w:p>
    <w:p>
      <w:pPr>
        <w:ind w:firstLine="616" w:firstLineChars="219"/>
        <w:rPr>
          <w:rFonts w:ascii="仿宋_GB2312" w:hAnsi="仿宋_GB2312" w:eastAsia="仿宋_GB2312" w:cs="仿宋_GB2312"/>
          <w:b/>
          <w:sz w:val="28"/>
          <w:szCs w:val="28"/>
        </w:rPr>
      </w:pPr>
      <w:r>
        <w:rPr>
          <w:rFonts w:hint="eastAsia" w:ascii="仿宋_GB2312" w:hAnsi="仿宋_GB2312" w:eastAsia="仿宋_GB2312" w:cs="仿宋_GB2312"/>
          <w:b/>
          <w:sz w:val="28"/>
          <w:szCs w:val="28"/>
        </w:rPr>
        <w:t>17．合同争议的解决</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17.1 本合同适用法律为中华人民共和国法律。</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17.2 凡与本合同有关而引起的一切争议，双方应通过友好协商解决，如经协商仍不能达成协议时，任何一方均有权将争议提交人民法院审理。</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17.3 双方约定的有审判管辖权的审判机关为：</w:t>
      </w:r>
      <w:r>
        <w:rPr>
          <w:rFonts w:hint="eastAsia" w:ascii="仿宋_GB2312" w:hAnsi="仿宋_GB2312" w:eastAsia="仿宋_GB2312" w:cs="仿宋_GB2312"/>
          <w:sz w:val="28"/>
          <w:szCs w:val="28"/>
          <w:u w:val="single"/>
        </w:rPr>
        <w:t xml:space="preserve">                         </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17.4 法院判决对双方都有约束力。</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17.5 上述过程发生的费用除另有规定外，应由败诉方承担。</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17.6 在法院判决期间，除提交法院判决的事项外，合同仍应继续履行。</w:t>
      </w:r>
    </w:p>
    <w:p>
      <w:pPr>
        <w:ind w:firstLine="616" w:firstLineChars="219"/>
        <w:rPr>
          <w:rFonts w:ascii="仿宋_GB2312" w:hAnsi="仿宋_GB2312" w:eastAsia="仿宋_GB2312" w:cs="仿宋_GB2312"/>
          <w:b/>
          <w:sz w:val="28"/>
          <w:szCs w:val="28"/>
        </w:rPr>
      </w:pPr>
      <w:r>
        <w:rPr>
          <w:rFonts w:hint="eastAsia" w:ascii="仿宋_GB2312" w:hAnsi="仿宋_GB2312" w:eastAsia="仿宋_GB2312" w:cs="仿宋_GB2312"/>
          <w:b/>
          <w:sz w:val="28"/>
          <w:szCs w:val="28"/>
        </w:rPr>
        <w:t>18．其它</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18.1 本合同于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日由甲乙双方法人代表或授权代表在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签字。本合同经双方法人或授权代表签字并加盖合同章后生效。</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18.2 本合同一式正本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份，副本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份，其中乙方执正本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份，副本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份；甲方执正本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份，副本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18.3 双方任何一方未取得另一方事先同意前，不得将本合同项下的部分或全部权利或义务转让给第三方。</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18.4 乙方在取得甲方同意后所选定的分包商应被视为同乙方一样为履行本合同对甲方承担责任。其过失疏忽或其它任何违反合同的行为，应由乙方直接承担。</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18.5 本合同项下双方相互提供的文件、资料、双方除为履行合同的目的外，均不得泄露给与工程无关的第三方。</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18.6 本合同明确了双方全部的权利和义务。任何一方不享有或承担合同规定以外的权利和义务。</w:t>
      </w:r>
    </w:p>
    <w:p>
      <w:pPr>
        <w:ind w:firstLine="613" w:firstLineChars="219"/>
        <w:rPr>
          <w:rFonts w:ascii="仿宋_GB2312" w:hAnsi="仿宋_GB2312" w:eastAsia="仿宋_GB2312" w:cs="仿宋_GB2312"/>
          <w:sz w:val="28"/>
          <w:szCs w:val="28"/>
        </w:rPr>
      </w:pPr>
      <w:r>
        <w:rPr>
          <w:rFonts w:hint="eastAsia" w:ascii="仿宋_GB2312" w:hAnsi="仿宋_GB2312" w:eastAsia="仿宋_GB2312" w:cs="仿宋_GB2312"/>
          <w:sz w:val="28"/>
          <w:szCs w:val="28"/>
        </w:rPr>
        <w:t>18.7 甲、乙双方签订的《技术协议》（如果有的话）、乙方的评标答疑记录、乙方的《投标文件》、《招标文件》及其澄清函、变更函（或通知等）均为本合同的补充文件，是与本合同不可分割的一部分，与本合同同等具有法律效力。</w:t>
      </w:r>
    </w:p>
    <w:p>
      <w:pPr>
        <w:ind w:firstLine="562"/>
        <w:rPr>
          <w:rFonts w:ascii="仿宋_GB2312" w:hAnsi="仿宋_GB2312" w:eastAsia="仿宋_GB2312" w:cs="仿宋_GB2312"/>
          <w:b/>
          <w:sz w:val="28"/>
          <w:szCs w:val="28"/>
        </w:rPr>
      </w:pPr>
      <w:r>
        <w:rPr>
          <w:rFonts w:hint="eastAsia" w:ascii="仿宋_GB2312" w:hAnsi="仿宋_GB2312" w:eastAsia="仿宋_GB2312" w:cs="仿宋_GB2312"/>
          <w:b/>
          <w:sz w:val="28"/>
          <w:szCs w:val="28"/>
        </w:rPr>
        <w:t>18.8 双方全部的权利和义务以中标后签署的文件为准，未尽事宜双方协商解决。</w:t>
      </w:r>
    </w:p>
    <w:p>
      <w:pPr>
        <w:ind w:firstLine="723"/>
        <w:jc w:val="center"/>
        <w:rPr>
          <w:rFonts w:cs="宋体"/>
          <w:b/>
          <w:color w:val="000000"/>
          <w:sz w:val="36"/>
          <w:szCs w:val="36"/>
        </w:rPr>
      </w:pPr>
    </w:p>
    <w:p>
      <w:pPr>
        <w:ind w:firstLine="640"/>
      </w:pPr>
    </w:p>
    <w:p>
      <w:pPr>
        <w:pStyle w:val="23"/>
        <w:rPr>
          <w:rFonts w:ascii="宋体" w:hAnsi="宋体" w:eastAsia="宋体" w:cs="宋体"/>
        </w:rPr>
      </w:pPr>
      <w:bookmarkStart w:id="26" w:name="_Toc6229"/>
    </w:p>
    <w:p>
      <w:pPr>
        <w:pStyle w:val="23"/>
        <w:rPr>
          <w:rFonts w:ascii="宋体" w:hAnsi="宋体" w:eastAsia="宋体" w:cs="宋体"/>
        </w:rPr>
      </w:pPr>
    </w:p>
    <w:p>
      <w:pPr>
        <w:pStyle w:val="23"/>
        <w:rPr>
          <w:rFonts w:ascii="宋体" w:hAnsi="宋体" w:eastAsia="宋体" w:cs="宋体"/>
        </w:rPr>
      </w:pPr>
    </w:p>
    <w:p>
      <w:pPr>
        <w:pStyle w:val="23"/>
        <w:rPr>
          <w:rFonts w:ascii="宋体" w:hAnsi="宋体" w:eastAsia="宋体" w:cs="宋体"/>
        </w:rPr>
      </w:pPr>
    </w:p>
    <w:p>
      <w:pPr>
        <w:pStyle w:val="23"/>
        <w:rPr>
          <w:rFonts w:ascii="黑体" w:hAnsi="黑体" w:eastAsia="黑体" w:cs="黑体"/>
        </w:rPr>
      </w:pPr>
      <w:r>
        <w:rPr>
          <w:rFonts w:hint="eastAsia" w:ascii="黑体" w:hAnsi="黑体" w:eastAsia="黑体" w:cs="黑体"/>
          <w:b w:val="0"/>
          <w:bCs w:val="0"/>
        </w:rPr>
        <w:t>第五章 采购需求</w:t>
      </w:r>
      <w:bookmarkEnd w:id="20"/>
      <w:bookmarkEnd w:id="26"/>
    </w:p>
    <w:p>
      <w:pPr>
        <w:ind w:firstLine="0" w:firstLineChars="0"/>
      </w:pPr>
    </w:p>
    <w:p>
      <w:pPr>
        <w:pStyle w:val="3"/>
        <w:numPr>
          <w:ilvl w:val="1"/>
          <w:numId w:val="0"/>
        </w:numPr>
        <w:rPr>
          <w:rFonts w:ascii="黑体" w:hAnsi="黑体" w:eastAsia="黑体" w:cs="黑体"/>
          <w:b w:val="0"/>
          <w:bCs/>
          <w:sz w:val="28"/>
          <w:szCs w:val="28"/>
        </w:rPr>
      </w:pPr>
      <w:bookmarkStart w:id="27" w:name="_Toc344"/>
      <w:bookmarkStart w:id="28" w:name="_Toc19276"/>
      <w:r>
        <w:rPr>
          <w:rFonts w:hint="eastAsia" w:ascii="黑体" w:hAnsi="黑体" w:eastAsia="黑体" w:cs="黑体"/>
          <w:b w:val="0"/>
          <w:bCs/>
          <w:sz w:val="28"/>
          <w:szCs w:val="28"/>
        </w:rPr>
        <w:t xml:space="preserve">    一.项目名称</w:t>
      </w:r>
      <w:bookmarkEnd w:id="27"/>
      <w:bookmarkEnd w:id="28"/>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新疆维吾尔自治区机关事务管理局信息化平台建设项目 </w:t>
      </w:r>
      <w:bookmarkStart w:id="29" w:name="_Toc6212"/>
      <w:bookmarkStart w:id="30" w:name="_Toc29634"/>
    </w:p>
    <w:p>
      <w:pPr>
        <w:spacing w:line="360" w:lineRule="auto"/>
        <w:ind w:firstLine="560"/>
        <w:rPr>
          <w:rFonts w:ascii="黑体" w:hAnsi="黑体" w:eastAsia="黑体" w:cs="黑体"/>
          <w:sz w:val="28"/>
          <w:szCs w:val="28"/>
        </w:rPr>
      </w:pPr>
      <w:r>
        <w:rPr>
          <w:rFonts w:hint="eastAsia" w:ascii="黑体" w:hAnsi="黑体" w:eastAsia="黑体" w:cs="黑体"/>
          <w:sz w:val="28"/>
          <w:szCs w:val="28"/>
        </w:rPr>
        <w:t>二.建设目标</w:t>
      </w:r>
      <w:bookmarkEnd w:id="29"/>
      <w:bookmarkEnd w:id="30"/>
      <w:bookmarkStart w:id="31" w:name="_Toc8051"/>
      <w:bookmarkEnd w:id="31"/>
    </w:p>
    <w:p>
      <w:pPr>
        <w:snapToGrid w:val="0"/>
        <w:spacing w:line="500" w:lineRule="exact"/>
        <w:ind w:firstLine="560"/>
        <w:rPr>
          <w:rFonts w:ascii="仿宋_GB2312" w:hAnsi="仿宋_GB2312" w:eastAsia="仿宋_GB2312" w:cs="仿宋_GB2312"/>
          <w:sz w:val="28"/>
          <w:szCs w:val="28"/>
        </w:rPr>
      </w:pPr>
      <w:bookmarkStart w:id="32" w:name="_Toc13281"/>
      <w:r>
        <w:rPr>
          <w:rFonts w:hint="eastAsia" w:ascii="仿宋_GB2312" w:hAnsi="仿宋_GB2312" w:eastAsia="仿宋_GB2312" w:cs="仿宋_GB2312"/>
          <w:sz w:val="28"/>
          <w:szCs w:val="28"/>
        </w:rPr>
        <w:t>新疆维吾尔自治区机关事务管理局信息化平台建设项目以实现机关事务集中统一管理为基础，以标准化和信息化为支撑，围绕“一体三化”新发展理念组织项目建设，加快推进“互联网+机关事务”电子政务建设，为管理服务对象提供便捷、舒适、安全、有效的服务体验。集成建设机关事务信息化平台，打破数据壁垒，实现机关事务数据业务的互联互通，统筹建设机关事务信息化平台数据中台，通过数据清洗、数据治理和数据标准化建设，实现机关事务数据汇集、数据互通、数据共享、数据展示和大数据分析。逐步建设机关事务信息化平台业务中台，实现统一系统管理、统一身份认证、统一接口服务、统一信息发布、统一电子签章、统一地图服务（GIS平台服务）、统一数据展示和统一日志管理。配套建设机关事务信息化平台技术中台，实现数据中台和业务中台数据交互调用，完成机关事务信息化平台与自治区政务一体化平台等行业系统平台的数据交互。新建自治区行政事业性单位国有资产管理子系统，实现国有资产的全生命周期管理，提高国有资产管理效能，升级改造自治区党政机关公务用车管理子系统、自治区党政机关房地产管理子系统和自治区机关事务管理局协同办公子系统，拓展优化部分业务功能，同步完成3个升级改造业务子系统的内网数据迁移。配套建立机关事务信息化用户层级标准、数据标准和云资源管理使用规范等业务管理标准规范。</w:t>
      </w:r>
    </w:p>
    <w:p>
      <w:pPr>
        <w:pStyle w:val="4"/>
        <w:numPr>
          <w:ilvl w:val="2"/>
          <w:numId w:val="0"/>
        </w:numPr>
        <w:tabs>
          <w:tab w:val="left" w:pos="468"/>
          <w:tab w:val="clear" w:pos="420"/>
        </w:tabs>
        <w:spacing w:after="0"/>
        <w:ind w:firstLine="560" w:firstLineChars="200"/>
        <w:rPr>
          <w:rFonts w:ascii="黑体" w:hAnsi="黑体" w:eastAsia="黑体" w:cs="黑体"/>
          <w:b w:val="0"/>
          <w:bCs/>
          <w:sz w:val="28"/>
          <w:szCs w:val="28"/>
        </w:rPr>
      </w:pPr>
      <w:r>
        <w:rPr>
          <w:rFonts w:hint="eastAsia" w:ascii="黑体" w:hAnsi="黑体" w:eastAsia="黑体" w:cs="黑体"/>
          <w:b w:val="0"/>
          <w:bCs/>
          <w:sz w:val="28"/>
          <w:szCs w:val="28"/>
        </w:rPr>
        <w:t>三、建设内容</w:t>
      </w:r>
      <w:bookmarkEnd w:id="32"/>
    </w:p>
    <w:p>
      <w:pPr>
        <w:snapToGrid w:val="0"/>
        <w:spacing w:line="360" w:lineRule="auto"/>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数据中台：数据中台采用云化方式部署在机关事务专属云计算中心，中台各类业务数据集中存储在机关事务专属云，数据中台具备数据接入、数据处理、基础信息资源池、数据服务、服务总线、数据运维等功能。其中</w:t>
      </w:r>
      <w:r>
        <w:rPr>
          <w:rFonts w:hint="eastAsia" w:ascii="仿宋_GB2312" w:hAnsi="仿宋_GB2312" w:eastAsia="仿宋_GB2312" w:cs="仿宋_GB2312"/>
          <w:b/>
          <w:bCs/>
          <w:sz w:val="28"/>
          <w:szCs w:val="28"/>
        </w:rPr>
        <w:t>数据接入</w:t>
      </w:r>
      <w:r>
        <w:rPr>
          <w:rFonts w:hint="eastAsia" w:ascii="仿宋_GB2312" w:hAnsi="仿宋_GB2312" w:eastAsia="仿宋_GB2312" w:cs="仿宋_GB2312"/>
          <w:sz w:val="28"/>
          <w:szCs w:val="28"/>
        </w:rPr>
        <w:t>具备数据探查、数据读取、数据对账、断点续传、任务管理、数据分发能力，支持对接各种常见关系型数据库、非关系型数据库、内存型数据库、数据存储平台或国产化数据库的主流数据源的接入，支持系统文件搬移、文件解析、文件压缩和对结构化和非结构化数据提取采集，支持批量数据载入和实时数据采集。</w:t>
      </w:r>
      <w:r>
        <w:rPr>
          <w:rFonts w:hint="eastAsia" w:ascii="仿宋_GB2312" w:hAnsi="仿宋_GB2312" w:eastAsia="仿宋_GB2312" w:cs="仿宋_GB2312"/>
          <w:b/>
          <w:bCs/>
          <w:sz w:val="28"/>
          <w:szCs w:val="28"/>
        </w:rPr>
        <w:t>数据处理</w:t>
      </w:r>
      <w:r>
        <w:rPr>
          <w:rFonts w:hint="eastAsia" w:ascii="仿宋_GB2312" w:hAnsi="仿宋_GB2312" w:eastAsia="仿宋_GB2312" w:cs="仿宋_GB2312"/>
          <w:sz w:val="28"/>
          <w:szCs w:val="28"/>
        </w:rPr>
        <w:t>支持结构化数据和空间数据处理，具备数据提取、数据清洗、数据转换、数据去重、数据比对、数据补全、数据关联、数据融合、数据标识、数据加载、图纸数字化、属性编辑、注记编辑、数据元建立和数据应用能力。</w:t>
      </w:r>
      <w:r>
        <w:rPr>
          <w:rFonts w:hint="eastAsia" w:ascii="仿宋_GB2312" w:hAnsi="仿宋_GB2312" w:eastAsia="仿宋_GB2312" w:cs="仿宋_GB2312"/>
          <w:b/>
          <w:bCs/>
          <w:sz w:val="28"/>
          <w:szCs w:val="28"/>
        </w:rPr>
        <w:t>基础信息资源池</w:t>
      </w:r>
      <w:r>
        <w:rPr>
          <w:rFonts w:hint="eastAsia" w:ascii="仿宋_GB2312" w:hAnsi="仿宋_GB2312" w:eastAsia="仿宋_GB2312" w:cs="仿宋_GB2312"/>
          <w:sz w:val="28"/>
          <w:szCs w:val="28"/>
        </w:rPr>
        <w:t>按照数据使用目的分级分类建库，统一规划资源，统一数据标准、统一规范流程，依托云计算平台提供的数据组件，形成包含原始库、资源库、主题库等的机关事务管理数据资源池，为综合展示、数据服务、领导决策提供数据支持。</w:t>
      </w:r>
      <w:r>
        <w:rPr>
          <w:rFonts w:hint="eastAsia" w:ascii="仿宋_GB2312" w:hAnsi="仿宋_GB2312" w:eastAsia="仿宋_GB2312" w:cs="仿宋_GB2312"/>
          <w:b/>
          <w:bCs/>
          <w:sz w:val="28"/>
          <w:szCs w:val="28"/>
        </w:rPr>
        <w:t>数据服务</w:t>
      </w:r>
      <w:r>
        <w:rPr>
          <w:rFonts w:hint="eastAsia" w:ascii="仿宋_GB2312" w:hAnsi="仿宋_GB2312" w:eastAsia="仿宋_GB2312" w:cs="仿宋_GB2312"/>
          <w:sz w:val="28"/>
          <w:szCs w:val="28"/>
        </w:rPr>
        <w:t>具备</w:t>
      </w:r>
      <w:bookmarkStart w:id="33" w:name="_Toc536091400"/>
      <w:bookmarkStart w:id="34" w:name="_Toc10067586"/>
      <w:r>
        <w:rPr>
          <w:rFonts w:hint="eastAsia" w:ascii="仿宋_GB2312" w:hAnsi="仿宋_GB2312" w:eastAsia="仿宋_GB2312" w:cs="仿宋_GB2312"/>
          <w:sz w:val="28"/>
          <w:szCs w:val="28"/>
        </w:rPr>
        <w:t>数据</w:t>
      </w:r>
      <w:bookmarkEnd w:id="33"/>
      <w:r>
        <w:rPr>
          <w:rFonts w:hint="eastAsia" w:ascii="仿宋_GB2312" w:hAnsi="仿宋_GB2312" w:eastAsia="仿宋_GB2312" w:cs="仿宋_GB2312"/>
          <w:sz w:val="28"/>
          <w:szCs w:val="28"/>
        </w:rPr>
        <w:t>查询检索</w:t>
      </w:r>
      <w:bookmarkEnd w:id="34"/>
      <w:r>
        <w:rPr>
          <w:rFonts w:hint="eastAsia" w:ascii="仿宋_GB2312" w:hAnsi="仿宋_GB2312" w:eastAsia="仿宋_GB2312" w:cs="仿宋_GB2312"/>
          <w:sz w:val="28"/>
          <w:szCs w:val="28"/>
        </w:rPr>
        <w:t>、数据推送和实时数据服务能力，支持对平台内部的结构化数据、半结构化数据以及非结构化数据建立索引，支持近实时检索、分布式批量索引、中文智能分词检索，支持对搜索敏感关键词的管理和屏蔽，支持对资源目录、元数据建立索引，提供高效的元数据管理功能服务，支持搜索日志的审计功能。</w:t>
      </w:r>
      <w:r>
        <w:rPr>
          <w:rFonts w:hint="eastAsia" w:ascii="仿宋_GB2312" w:hAnsi="仿宋_GB2312" w:eastAsia="仿宋_GB2312" w:cs="仿宋_GB2312"/>
          <w:b/>
          <w:bCs/>
          <w:sz w:val="28"/>
          <w:szCs w:val="28"/>
        </w:rPr>
        <w:t>服务总线</w:t>
      </w:r>
      <w:r>
        <w:rPr>
          <w:rFonts w:hint="eastAsia" w:ascii="仿宋_GB2312" w:hAnsi="仿宋_GB2312" w:eastAsia="仿宋_GB2312" w:cs="仿宋_GB2312"/>
          <w:sz w:val="28"/>
          <w:szCs w:val="28"/>
        </w:rPr>
        <w:t>支持用户通过服务门户进行服务的注册、订阅、查询，支持服务门户和数据总线与外部认证授权系统对接，支持用户和数据权限的认证，支持数据资源池中的数据通过数据服务挂载到服务总线中对外提供服务。</w:t>
      </w:r>
      <w:r>
        <w:rPr>
          <w:rFonts w:hint="eastAsia" w:ascii="仿宋_GB2312" w:hAnsi="仿宋_GB2312" w:eastAsia="仿宋_GB2312" w:cs="仿宋_GB2312"/>
          <w:b/>
          <w:sz w:val="28"/>
          <w:szCs w:val="28"/>
        </w:rPr>
        <w:t>数据运维</w:t>
      </w:r>
      <w:r>
        <w:rPr>
          <w:rFonts w:hint="eastAsia" w:ascii="仿宋_GB2312" w:hAnsi="仿宋_GB2312" w:eastAsia="仿宋_GB2312" w:cs="仿宋_GB2312"/>
          <w:sz w:val="28"/>
          <w:szCs w:val="28"/>
        </w:rPr>
        <w:t>具备运维规则配置管理、实时状态釆集、运行状态监控、数据运维报表、告警管理、运维日志审计能力。</w:t>
      </w:r>
    </w:p>
    <w:p>
      <w:pPr>
        <w:snapToGrid w:val="0"/>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2.业务中台：实现统一系统管理、统一身份认证、统一接口服务、统一信息发布、统一电子签章、统一地图服务（GIS平台服务）、统一物联网服务、统一数据展示和统一日志管理。</w:t>
      </w:r>
      <w:r>
        <w:rPr>
          <w:rFonts w:hint="eastAsia" w:ascii="仿宋_GB2312" w:hAnsi="仿宋_GB2312" w:eastAsia="仿宋_GB2312" w:cs="仿宋_GB2312"/>
          <w:b/>
          <w:bCs/>
          <w:sz w:val="28"/>
          <w:szCs w:val="28"/>
        </w:rPr>
        <w:t>统一系统管理</w:t>
      </w:r>
      <w:r>
        <w:rPr>
          <w:rFonts w:hint="eastAsia" w:ascii="仿宋_GB2312" w:hAnsi="仿宋_GB2312" w:eastAsia="仿宋_GB2312" w:cs="仿宋_GB2312"/>
          <w:sz w:val="28"/>
          <w:szCs w:val="28"/>
        </w:rPr>
        <w:t>系统管理包括机构同步、人员同步、角色同步、系统管理，机构同步：组织机构管理；人员同步包括系统用户、账户管理、登录、注销；角色同步包括角色管理、用户权限；系统管理：用户反馈、密码修改、系统参数管理及其他。为新疆维吾尔自治区机关事务管理局信息化建设系统提供统一入口，将各类业务系统数据整合起来，实现一个桌面集中办公，解决多系统多门户多操作的问题。以集中式的信息推送平台，让不同的部门、不同的岗位、不同的人员都可快速的有针对性的获取与工作有关的信息。</w:t>
      </w:r>
      <w:r>
        <w:rPr>
          <w:rFonts w:hint="eastAsia" w:ascii="仿宋_GB2312" w:hAnsi="仿宋_GB2312" w:eastAsia="仿宋_GB2312" w:cs="仿宋_GB2312"/>
          <w:b/>
          <w:bCs/>
          <w:sz w:val="28"/>
          <w:szCs w:val="28"/>
        </w:rPr>
        <w:t>统一身份认证</w:t>
      </w:r>
      <w:r>
        <w:rPr>
          <w:rFonts w:hint="eastAsia" w:ascii="仿宋_GB2312" w:hAnsi="仿宋_GB2312" w:eastAsia="仿宋_GB2312" w:cs="仿宋_GB2312"/>
          <w:sz w:val="28"/>
          <w:szCs w:val="28"/>
        </w:rPr>
        <w:t>建设基于机关事务信息化平台的身份认证系统，实现一个身份认证体系下，用户根据角色权限不同分权分限使用平台功能。</w:t>
      </w:r>
      <w:r>
        <w:rPr>
          <w:rFonts w:hint="eastAsia" w:ascii="仿宋_GB2312" w:hAnsi="仿宋_GB2312" w:eastAsia="仿宋_GB2312" w:cs="仿宋_GB2312"/>
          <w:b/>
          <w:bCs/>
          <w:sz w:val="28"/>
          <w:szCs w:val="28"/>
        </w:rPr>
        <w:t>统一接口服务</w:t>
      </w:r>
      <w:r>
        <w:rPr>
          <w:rFonts w:hint="eastAsia" w:ascii="仿宋_GB2312" w:hAnsi="仿宋_GB2312" w:eastAsia="仿宋_GB2312" w:cs="仿宋_GB2312"/>
          <w:sz w:val="28"/>
          <w:szCs w:val="28"/>
        </w:rPr>
        <w:t>开发建设标准数据接口，面向不同权限的外部用户提供统一的接口对接服务，实现数交互共享。</w:t>
      </w:r>
      <w:r>
        <w:rPr>
          <w:rFonts w:hint="eastAsia" w:ascii="仿宋_GB2312" w:hAnsi="仿宋_GB2312" w:eastAsia="仿宋_GB2312" w:cs="仿宋_GB2312"/>
          <w:b/>
          <w:bCs/>
          <w:sz w:val="28"/>
          <w:szCs w:val="28"/>
        </w:rPr>
        <w:t>统一信息发布</w:t>
      </w:r>
      <w:r>
        <w:rPr>
          <w:rFonts w:hint="eastAsia" w:ascii="仿宋_GB2312" w:hAnsi="仿宋_GB2312" w:eastAsia="仿宋_GB2312" w:cs="仿宋_GB2312"/>
          <w:sz w:val="28"/>
          <w:szCs w:val="28"/>
        </w:rPr>
        <w:t>用户在客户端可查看各系统的最新通知/公告信息，同时可通过通知/公告名称进行模糊搜索查看。支持后台管理和同步政府发布的与系统相关的通知/公告内容。后台可实现新增、修改、删除、发布区政府预发布的相关通知/公告内容及有效期；通知/公告的字段要求有：通知/公告编号、通知/公告范围、通知/公告标题、通知/公告内容、通知/公告发布时间、通知/公告发布单位等。</w:t>
      </w:r>
      <w:r>
        <w:rPr>
          <w:rFonts w:hint="eastAsia" w:ascii="仿宋_GB2312" w:hAnsi="仿宋_GB2312" w:eastAsia="仿宋_GB2312" w:cs="仿宋_GB2312"/>
          <w:b/>
          <w:bCs/>
          <w:sz w:val="28"/>
          <w:szCs w:val="28"/>
        </w:rPr>
        <w:t>统一电子签章</w:t>
      </w:r>
      <w:r>
        <w:rPr>
          <w:rFonts w:hint="eastAsia" w:ascii="仿宋_GB2312" w:hAnsi="仿宋_GB2312" w:eastAsia="仿宋_GB2312" w:cs="仿宋_GB2312"/>
          <w:sz w:val="28"/>
          <w:szCs w:val="28"/>
        </w:rPr>
        <w:t>建立一个符合电子签名法等相关法规要求，符合国家电子签章认证体系规范的电子印章管理平台，机关事务管理局各个业务系统或平台可根据不同的业务需求与电子签章平台对接，直接调用签章接口服务进行在线签章，实现多套系统和电子印章的协同，提高办公效率；按照“一套系统、一次验证、一个界面、多级应用”的总体建设思路，构建一个基于现有网络体系的、电子一体化的、覆盖各个业务系统的、统一电子签章平台，满足跨时间、跨区域、跨部门、跨系统的印章应用要求。</w:t>
      </w:r>
      <w:r>
        <w:rPr>
          <w:rFonts w:hint="eastAsia" w:ascii="仿宋_GB2312" w:hAnsi="仿宋_GB2312" w:eastAsia="仿宋_GB2312" w:cs="仿宋_GB2312"/>
          <w:b/>
          <w:bCs/>
          <w:sz w:val="28"/>
          <w:szCs w:val="28"/>
        </w:rPr>
        <w:t>统一地图服务（GIS平台服务）</w:t>
      </w:r>
      <w:r>
        <w:rPr>
          <w:rFonts w:hint="eastAsia" w:ascii="仿宋_GB2312" w:hAnsi="仿宋_GB2312" w:eastAsia="仿宋_GB2312" w:cs="仿宋_GB2312"/>
          <w:sz w:val="28"/>
          <w:szCs w:val="28"/>
        </w:rPr>
        <w:t>建设统一的地图服务平台，支撑整个机关事务信息化平台的地图调用服务，同步配套开发基于地图服务的各类应用。</w:t>
      </w:r>
      <w:r>
        <w:rPr>
          <w:rFonts w:hint="eastAsia" w:ascii="仿宋_GB2312" w:hAnsi="仿宋_GB2312" w:eastAsia="仿宋_GB2312" w:cs="仿宋_GB2312"/>
          <w:b/>
          <w:bCs/>
          <w:sz w:val="28"/>
          <w:szCs w:val="28"/>
        </w:rPr>
        <w:t>统一物联网服务</w:t>
      </w:r>
      <w:r>
        <w:rPr>
          <w:rFonts w:hint="eastAsia" w:ascii="仿宋_GB2312" w:hAnsi="仿宋_GB2312" w:eastAsia="仿宋_GB2312" w:cs="仿宋_GB2312"/>
          <w:sz w:val="28"/>
          <w:szCs w:val="28"/>
        </w:rPr>
        <w:t>通过移动专网（APN）实现物联网设备数据采集，</w:t>
      </w:r>
      <w:r>
        <w:rPr>
          <w:rFonts w:hint="eastAsia" w:ascii="仿宋_GB2312" w:hAnsi="仿宋_GB2312" w:eastAsia="仿宋_GB2312" w:cs="仿宋_GB2312"/>
          <w:sz w:val="28"/>
          <w:szCs w:val="28"/>
          <w:lang w:val="zh-CN"/>
        </w:rPr>
        <w:t>应用于环境监控、远程抄表、智能家电、智能硬件、节能减排、车联网、工业控制、物流跟踪等多种业务领域，满足了</w:t>
      </w:r>
      <w:r>
        <w:rPr>
          <w:rFonts w:hint="eastAsia" w:ascii="仿宋_GB2312" w:hAnsi="仿宋_GB2312" w:eastAsia="仿宋_GB2312" w:cs="仿宋_GB2312"/>
          <w:sz w:val="28"/>
          <w:szCs w:val="28"/>
        </w:rPr>
        <w:t>物联网</w:t>
      </w:r>
      <w:r>
        <w:rPr>
          <w:rFonts w:hint="eastAsia" w:ascii="仿宋_GB2312" w:hAnsi="仿宋_GB2312" w:eastAsia="仿宋_GB2312" w:cs="仿宋_GB2312"/>
          <w:sz w:val="28"/>
          <w:szCs w:val="28"/>
          <w:lang w:val="zh-CN"/>
        </w:rPr>
        <w:t>领域设备连接、协议适配、数据存储、数据安全、大数据分析等服务需求。</w:t>
      </w:r>
      <w:r>
        <w:rPr>
          <w:rFonts w:hint="eastAsia" w:ascii="仿宋_GB2312" w:hAnsi="仿宋_GB2312" w:eastAsia="仿宋_GB2312" w:cs="仿宋_GB2312"/>
          <w:b/>
          <w:bCs/>
          <w:sz w:val="28"/>
          <w:szCs w:val="28"/>
        </w:rPr>
        <w:t>统一数据展示</w:t>
      </w:r>
      <w:r>
        <w:rPr>
          <w:rFonts w:hint="eastAsia" w:ascii="仿宋_GB2312" w:hAnsi="仿宋_GB2312" w:eastAsia="仿宋_GB2312" w:cs="仿宋_GB2312"/>
          <w:b w:val="0"/>
          <w:bCs w:val="0"/>
          <w:color w:val="000000"/>
          <w:sz w:val="28"/>
          <w:szCs w:val="28"/>
          <w:lang w:eastAsia="zh-CN"/>
        </w:rPr>
        <w:t>汇集中台数据，建设领导驾驶舱，进行大数据分析展示，形成数据组建，支持自定义数据展示。</w:t>
      </w:r>
      <w:r>
        <w:rPr>
          <w:rFonts w:hint="eastAsia" w:ascii="仿宋_GB2312" w:hAnsi="仿宋_GB2312" w:eastAsia="仿宋_GB2312" w:cs="仿宋_GB2312"/>
          <w:b/>
          <w:bCs/>
          <w:sz w:val="28"/>
          <w:szCs w:val="28"/>
        </w:rPr>
        <w:t>统一日志管理</w:t>
      </w:r>
      <w:r>
        <w:rPr>
          <w:rFonts w:hint="eastAsia" w:ascii="仿宋_GB2312" w:hAnsi="仿宋_GB2312" w:eastAsia="仿宋_GB2312" w:cs="仿宋_GB2312"/>
          <w:sz w:val="28"/>
          <w:szCs w:val="28"/>
          <w:lang w:val="zh-CN"/>
        </w:rPr>
        <w:t>为了保障系统稳定可靠需要本系统应当具有高度的可监控性。</w:t>
      </w:r>
      <w:r>
        <w:rPr>
          <w:rFonts w:hint="eastAsia" w:ascii="仿宋_GB2312" w:hAnsi="仿宋_GB2312" w:eastAsia="仿宋_GB2312" w:cs="仿宋_GB2312"/>
          <w:sz w:val="28"/>
          <w:szCs w:val="28"/>
        </w:rPr>
        <w:t>完备的系统日志和监控，对各个模块的运行情况和用户关键操作进行跟踪记录。通过周期性审计、实时审计和事后审计等审计策略，以发现非法违规操作，进而发现安全漏洞并及时采取补救措施。通过系统配置工具，可以完成所有与系统相关操作和配置。</w:t>
      </w:r>
    </w:p>
    <w:p>
      <w:pPr>
        <w:snapToGrid w:val="0"/>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3.根据机关事务管理局工作要求，对中台系统进行APP端建设，实现手机端的个人登录与注册、根据角色不同查看不同机构信息、查看最新的通知公告、实现预警信息的查看及个人信息管理，</w:t>
      </w:r>
      <w:r>
        <w:rPr>
          <w:rFonts w:hint="eastAsia" w:ascii="仿宋_GB2312" w:hAnsi="仿宋_GB2312" w:eastAsia="仿宋_GB2312" w:cs="仿宋_GB2312"/>
          <w:bCs/>
          <w:sz w:val="28"/>
          <w:szCs w:val="28"/>
        </w:rPr>
        <w:t>使系统使用实现简单化、便捷化。</w:t>
      </w:r>
    </w:p>
    <w:p>
      <w:pPr>
        <w:snapToGrid w:val="0"/>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根据机关事务管理局工作要求，对中台系统进行微信小程序端搭建，实现小程序端的个人登录与认证、根据角色不同查看不同机构信息、查看最新的通知公告、实现预警信息的查看及个人信息管理，使系统使用实现简单化、便捷化。</w:t>
      </w:r>
    </w:p>
    <w:p>
      <w:pPr>
        <w:snapToGrid w:val="0"/>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5.行政事业性单位国有资产管理子系统：系统建设日常管理、数据统计分析、公物仓管理、监督管理、系统管理等功能模块。</w:t>
      </w:r>
      <w:r>
        <w:rPr>
          <w:rFonts w:hint="eastAsia" w:ascii="仿宋_GB2312" w:hAnsi="仿宋_GB2312" w:eastAsia="仿宋_GB2312" w:cs="仿宋_GB2312"/>
          <w:b/>
          <w:bCs/>
          <w:sz w:val="28"/>
          <w:szCs w:val="28"/>
        </w:rPr>
        <w:t>日常管理</w:t>
      </w:r>
      <w:r>
        <w:rPr>
          <w:rFonts w:hint="eastAsia" w:ascii="仿宋_GB2312" w:hAnsi="仿宋_GB2312" w:eastAsia="仿宋_GB2312" w:cs="仿宋_GB2312"/>
          <w:sz w:val="28"/>
          <w:szCs w:val="28"/>
        </w:rPr>
        <w:t>为资产全生命周期管理，包括资产配置管理、资产采购管理、资产使用管理、资产处置管理、资产清查盘点。其中资产配置管理包括配置计划编制、配置计划汇总、配置计划审核、配置计划实施、采购计划反馈；资产采购管理包括采购计划编制、采购计划汇总、采购计划审核、采购计划实施、采购计划反馈、采购合同报备；资产使用管理包括入库管理、领用管理、卡片管理、借用管理、租赁管理、维修保养；资产处置管理包括无偿划转、对外捐赠、转让、置换、报废、损失核销；资产清查盘点包括数据采集、自动盘点、结果显示。</w:t>
      </w:r>
      <w:r>
        <w:rPr>
          <w:rFonts w:hint="eastAsia" w:ascii="仿宋_GB2312" w:hAnsi="仿宋_GB2312" w:eastAsia="仿宋_GB2312" w:cs="仿宋_GB2312"/>
          <w:b/>
          <w:bCs/>
          <w:sz w:val="28"/>
          <w:szCs w:val="28"/>
        </w:rPr>
        <w:t>数据统计分析</w:t>
      </w:r>
      <w:r>
        <w:rPr>
          <w:rFonts w:hint="eastAsia" w:ascii="仿宋_GB2312" w:hAnsi="仿宋_GB2312" w:eastAsia="仿宋_GB2312" w:cs="仿宋_GB2312"/>
          <w:sz w:val="28"/>
          <w:szCs w:val="28"/>
        </w:rPr>
        <w:t>相关资产数据的统计分析功能。包括查询、汇总统计、报表、报告、资产对账、决策分析、模板管理；其中查询包括总体情况、资产构成、增加/减少情况、常用资产、使用情况、分布情况、用途分类、维修情况、待报废资产、入账情况、取得方式、折旧查询、历史查询；汇总统计包括资产类别统计、单位资产统计、部门资产统计；报表包括资产配置情况报表、资产趋势情况报表、资产清查数据报表、资产结构报表、资产类别报表、资产价值报表、其他相关报表；资产对账包括数据导入、数据匹配、数据分析、差异提醒；决策分析包括资产配置情况分析、资产趋势情况分析、资产清查数据分析、资产结构分析、资产类别分析、资产价值分析、其他相关分析。</w:t>
      </w:r>
      <w:r>
        <w:rPr>
          <w:rFonts w:hint="eastAsia" w:ascii="仿宋_GB2312" w:hAnsi="仿宋_GB2312" w:eastAsia="仿宋_GB2312" w:cs="仿宋_GB2312"/>
          <w:b/>
          <w:bCs/>
          <w:sz w:val="28"/>
          <w:szCs w:val="28"/>
        </w:rPr>
        <w:t>公物仓管理</w:t>
      </w:r>
      <w:r>
        <w:rPr>
          <w:rFonts w:hint="eastAsia" w:ascii="仿宋_GB2312" w:hAnsi="仿宋_GB2312" w:eastAsia="仿宋_GB2312" w:cs="仿宋_GB2312"/>
          <w:sz w:val="28"/>
          <w:szCs w:val="28"/>
        </w:rPr>
        <w:t>主要包括调剂仓、罚没仓管理；其中调剂仓包括虚拟仓管理（包括展示平台）、实体仓管理（需打通实体仓库的监控系统）；罚没仓管理包括罚没资产入库、罚没资产保管、罚没资产仓库管理、罚没资产监管与审批。</w:t>
      </w:r>
      <w:r>
        <w:rPr>
          <w:rFonts w:hint="eastAsia" w:ascii="仿宋_GB2312" w:hAnsi="仿宋_GB2312" w:eastAsia="仿宋_GB2312" w:cs="仿宋_GB2312"/>
          <w:b/>
          <w:bCs/>
          <w:sz w:val="28"/>
          <w:szCs w:val="28"/>
        </w:rPr>
        <w:t>监督管理</w:t>
      </w:r>
      <w:r>
        <w:rPr>
          <w:rFonts w:hint="eastAsia" w:ascii="仿宋_GB2312" w:hAnsi="仿宋_GB2312" w:eastAsia="仿宋_GB2312" w:cs="仿宋_GB2312"/>
          <w:sz w:val="28"/>
          <w:szCs w:val="28"/>
        </w:rPr>
        <w:t>主要包括绩效考核、资产预警、资产巡检。其中绩效考核包括考核指标设置、资产绩效测评、资产绩效报告；资产预警包括超标预警、电子围栏超出预警；资产巡检包括日常巡检、专项巡检。</w:t>
      </w:r>
      <w:r>
        <w:rPr>
          <w:rFonts w:hint="eastAsia" w:ascii="仿宋_GB2312" w:hAnsi="仿宋_GB2312" w:eastAsia="仿宋_GB2312" w:cs="仿宋_GB2312"/>
          <w:b/>
          <w:bCs/>
          <w:sz w:val="28"/>
          <w:szCs w:val="28"/>
        </w:rPr>
        <w:t>系统管理</w:t>
      </w:r>
      <w:r>
        <w:rPr>
          <w:rFonts w:hint="eastAsia" w:ascii="仿宋_GB2312" w:hAnsi="仿宋_GB2312" w:eastAsia="仿宋_GB2312" w:cs="仿宋_GB2312"/>
          <w:sz w:val="28"/>
          <w:szCs w:val="28"/>
        </w:rPr>
        <w:t>包括系统初始化、标准限额管理、资产编码规则。其中系统初始化包括初始化配置、导入数据；标准限额管理包括资产配置标准设定、公物仓入库标准设定、罚没仓入库标准设定。</w:t>
      </w:r>
    </w:p>
    <w:p>
      <w:pPr>
        <w:autoSpaceDE w:val="0"/>
        <w:snapToGrid w:val="0"/>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6.协同办公系统：协同办公系统具备公文管理、会议管理、档案管理、事务管理和图书管理功能。其中</w:t>
      </w:r>
      <w:r>
        <w:rPr>
          <w:rFonts w:hint="eastAsia" w:ascii="仿宋_GB2312" w:hAnsi="仿宋_GB2312" w:eastAsia="仿宋_GB2312" w:cs="仿宋_GB2312"/>
          <w:b/>
          <w:bCs/>
          <w:sz w:val="28"/>
          <w:szCs w:val="28"/>
        </w:rPr>
        <w:t>公文管理</w:t>
      </w:r>
      <w:r>
        <w:rPr>
          <w:rFonts w:hint="eastAsia" w:ascii="仿宋_GB2312" w:hAnsi="仿宋_GB2312" w:eastAsia="仿宋_GB2312" w:cs="仿宋_GB2312"/>
          <w:sz w:val="28"/>
          <w:szCs w:val="28"/>
        </w:rPr>
        <w:t>支持在线编辑</w:t>
      </w:r>
      <w:r>
        <w:rPr>
          <w:rFonts w:hint="eastAsia" w:ascii="仿宋_GB2312" w:hAnsi="仿宋_GB2312" w:eastAsia="仿宋_GB2312" w:cs="仿宋_GB2312"/>
          <w:sz w:val="28"/>
          <w:szCs w:val="28"/>
          <w:highlight w:val="none"/>
        </w:rPr>
        <w:t>、在线</w:t>
      </w:r>
      <w:r>
        <w:rPr>
          <w:rFonts w:ascii="仿宋_GB2312" w:hAnsi="仿宋_GB2312" w:eastAsia="仿宋_GB2312" w:cs="仿宋_GB2312"/>
          <w:sz w:val="28"/>
          <w:szCs w:val="28"/>
          <w:highlight w:val="none"/>
        </w:rPr>
        <w:t>打印、</w:t>
      </w:r>
      <w:r>
        <w:rPr>
          <w:rFonts w:hint="eastAsia" w:ascii="仿宋_GB2312" w:hAnsi="仿宋_GB2312" w:eastAsia="仿宋_GB2312" w:cs="仿宋_GB2312"/>
          <w:sz w:val="28"/>
          <w:szCs w:val="28"/>
        </w:rPr>
        <w:t>流转审核、手写签批、在线套红、在线签章、联合发文、电子启封、督办催交、公文交换、统计分析、个人文件夹、公文知识库等功能。支持PDF、OFD等主流格式，提供可视化配置公文处理流程，支持固定流程和临时流程，支持流程环节的自动转发，</w:t>
      </w:r>
      <w:r>
        <w:rPr>
          <w:rFonts w:hint="eastAsia" w:ascii="仿宋_GB2312" w:hAnsi="仿宋_GB2312" w:eastAsia="仿宋_GB2312" w:cs="仿宋_GB2312"/>
          <w:sz w:val="28"/>
          <w:szCs w:val="28"/>
          <w:highlight w:val="none"/>
        </w:rPr>
        <w:t>支持</w:t>
      </w:r>
      <w:r>
        <w:rPr>
          <w:rFonts w:ascii="仿宋_GB2312" w:hAnsi="仿宋_GB2312" w:eastAsia="仿宋_GB2312" w:cs="仿宋_GB2312"/>
          <w:sz w:val="28"/>
          <w:szCs w:val="28"/>
          <w:highlight w:val="none"/>
        </w:rPr>
        <w:t>自定义转发、</w:t>
      </w:r>
      <w:r>
        <w:rPr>
          <w:rFonts w:hint="eastAsia" w:ascii="仿宋_GB2312" w:hAnsi="仿宋_GB2312" w:eastAsia="仿宋_GB2312" w:cs="仿宋_GB2312"/>
          <w:sz w:val="28"/>
          <w:szCs w:val="28"/>
        </w:rPr>
        <w:t>支持配置节点权限。提供自动排序、授权办理等功能。</w:t>
      </w:r>
      <w:r>
        <w:rPr>
          <w:rFonts w:hint="eastAsia" w:ascii="仿宋_GB2312" w:hAnsi="仿宋_GB2312" w:eastAsia="仿宋_GB2312" w:cs="仿宋_GB2312"/>
          <w:b/>
          <w:bCs/>
          <w:sz w:val="28"/>
          <w:szCs w:val="28"/>
        </w:rPr>
        <w:t>会议管理</w:t>
      </w:r>
      <w:r>
        <w:rPr>
          <w:rFonts w:hint="eastAsia" w:ascii="仿宋_GB2312" w:hAnsi="仿宋_GB2312" w:eastAsia="仿宋_GB2312" w:cs="仿宋_GB2312"/>
          <w:sz w:val="28"/>
          <w:szCs w:val="28"/>
        </w:rPr>
        <w:t>支持会前管理的会议室配置管理、会议材料网上发放、会议室预约管理、会议室占用管理（显示占用、茶水服务准备等）、自动和手工的在线排座、会议通知的起草和发送；会中管理的会议签到、会议性质（涉密、非涉密等）；会后管理的显示离开情况，实现纪要上传存档；无纸化会议的材料分发</w:t>
      </w:r>
      <w:r>
        <w:rPr>
          <w:rFonts w:hint="eastAsia" w:ascii="仿宋_GB2312" w:hAnsi="仿宋_GB2312" w:eastAsia="仿宋_GB2312" w:cs="仿宋_GB2312"/>
          <w:color w:val="FF0000"/>
          <w:sz w:val="28"/>
          <w:szCs w:val="28"/>
          <w:lang w:eastAsia="zh-CN"/>
        </w:rPr>
        <w:t>（提供保障</w:t>
      </w:r>
      <w:r>
        <w:rPr>
          <w:rFonts w:hint="eastAsia" w:ascii="仿宋_GB2312" w:hAnsi="仿宋_GB2312" w:eastAsia="仿宋_GB2312" w:cs="仿宋_GB2312"/>
          <w:color w:val="FF0000"/>
          <w:sz w:val="28"/>
          <w:szCs w:val="28"/>
          <w:lang w:val="en-US" w:eastAsia="zh-CN"/>
        </w:rPr>
        <w:t>50人无纸化会议召开，含硬件保障）</w:t>
      </w:r>
      <w:r>
        <w:rPr>
          <w:rFonts w:hint="eastAsia" w:ascii="仿宋_GB2312" w:hAnsi="仿宋_GB2312" w:eastAsia="仿宋_GB2312" w:cs="仿宋_GB2312"/>
          <w:sz w:val="28"/>
          <w:szCs w:val="28"/>
        </w:rPr>
        <w:t>和形成会议原始记录等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FF0000"/>
          <w:sz w:val="28"/>
          <w:szCs w:val="28"/>
          <w:lang w:eastAsia="zh-CN"/>
        </w:rPr>
        <w:t>同步免费提升综合会议室会议音视频效果，确保会议音视频顺畅（含音视频系统升级）。</w:t>
      </w:r>
      <w:r>
        <w:rPr>
          <w:rFonts w:hint="eastAsia" w:ascii="仿宋_GB2312" w:hAnsi="仿宋_GB2312" w:eastAsia="仿宋_GB2312" w:cs="仿宋_GB2312"/>
          <w:b/>
          <w:bCs/>
          <w:sz w:val="28"/>
          <w:szCs w:val="28"/>
        </w:rPr>
        <w:t>档案管理</w:t>
      </w:r>
      <w:r>
        <w:rPr>
          <w:rFonts w:hint="eastAsia" w:ascii="仿宋_GB2312" w:hAnsi="仿宋_GB2312" w:eastAsia="仿宋_GB2312" w:cs="仿宋_GB2312"/>
          <w:sz w:val="28"/>
          <w:szCs w:val="28"/>
        </w:rPr>
        <w:t>支持公文、资料归档，支持纸质档案数字化处理，实现摘要、图片等上传，实现档案授权借阅、查看、修改、下载、打印等；支持档案统计、模糊检索、精确检索和全文检索，支持网络硬盘功能，可以创建文件夹、上传和下载文件以及将文件共享给其它人。</w:t>
      </w:r>
      <w:r>
        <w:rPr>
          <w:rFonts w:hint="eastAsia" w:ascii="仿宋_GB2312" w:hAnsi="仿宋_GB2312" w:eastAsia="仿宋_GB2312" w:cs="仿宋_GB2312"/>
          <w:b/>
          <w:bCs/>
          <w:sz w:val="28"/>
          <w:szCs w:val="28"/>
        </w:rPr>
        <w:t>事务管理</w:t>
      </w:r>
      <w:r>
        <w:rPr>
          <w:rFonts w:hint="eastAsia" w:ascii="仿宋_GB2312" w:hAnsi="仿宋_GB2312" w:eastAsia="仿宋_GB2312" w:cs="仿宋_GB2312"/>
          <w:sz w:val="28"/>
          <w:szCs w:val="28"/>
        </w:rPr>
        <w:t>具备耗材申用管理、用印管理、人事管理、标准化流程审批管理、考勤管理、机关订餐管理、机关停车管理、机关来访管理、机关绩效考核管理、机关用车管理功能。图书管理包括图书采购管理、使用管理、处置管理、清查盘点等，其中使用管理包括图书入库管理、图书资产卡片管理、借用管理等</w:t>
      </w:r>
    </w:p>
    <w:p>
      <w:pPr>
        <w:autoSpaceDE w:val="0"/>
        <w:snapToGrid w:val="0"/>
        <w:spacing w:line="360" w:lineRule="auto"/>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7.党政机关房地产管理子系统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基于机关事务信息化平台开发自治区党政机关房地产管理子系统，包括单位基本信息、房产基本信息、图形化管理、办公用房管理、经济性房产管理、区直属机关干部保障性住房管理（包括周转房管理、区直属机关公租房管理、经济适用房管理等）、综合统计分析、系统管理8个功能模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FF0000"/>
          <w:sz w:val="28"/>
          <w:szCs w:val="28"/>
          <w:lang w:eastAsia="zh-CN"/>
        </w:rPr>
        <w:t>能够与招标单位原公房平台系统进行对接，投标文件需体现对接方案。</w:t>
      </w:r>
    </w:p>
    <w:p>
      <w:pPr>
        <w:autoSpaceDE w:val="0"/>
        <w:snapToGrid w:val="0"/>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8.党政机关公务用车管理子系统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基于机关事务信息化平台开发自治区党政机关公务用车管理子系统，包括编制管理、数据管理、购置管理、处置管理、保险管理、维修管理、燃油管理、监督管理、使用管理、统计分析和系统管理11个功能模块。并实现与国管局系统的数据对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FF0000"/>
          <w:sz w:val="28"/>
          <w:szCs w:val="28"/>
          <w:lang w:eastAsia="zh-CN"/>
        </w:rPr>
        <w:t>能够与原招标单位公务用车平台系统进行对接，投标文件需体现对接方案。</w:t>
      </w:r>
    </w:p>
    <w:p>
      <w:pPr>
        <w:spacing w:line="5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9.系统安全建设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：在系统开发过程中，应当在设计阶段同步考虑安全功能的设计，并在系统编码阶段同步实现安全功能，按照等级保护的要求进行建设开发，应用系统应具备以下能力</w:t>
      </w:r>
      <w:r>
        <w:rPr>
          <w:rFonts w:hint="eastAsia" w:ascii="仿宋_GB2312" w:hAnsi="仿宋_GB2312" w:eastAsia="仿宋_GB2312" w:cs="仿宋_GB2312"/>
          <w:b/>
          <w:bCs/>
          <w:sz w:val="28"/>
          <w:szCs w:val="28"/>
        </w:rPr>
        <w:t>身份鉴别</w:t>
      </w:r>
      <w:r>
        <w:rPr>
          <w:rFonts w:hint="eastAsia" w:ascii="仿宋_GB2312" w:hAnsi="仿宋_GB2312" w:eastAsia="仿宋_GB2312" w:cs="仿宋_GB2312"/>
          <w:sz w:val="28"/>
          <w:szCs w:val="28"/>
        </w:rPr>
        <w:t>：应对登录的用户进行身份标识和鉴别，身份标识具有唯一性，鉴别信息具有复杂度要求并定期更换；应提供并启用登录失败处理功能，多次登录失败后应采取必要的保护措施；应强制用户首次登录时修改初始口令；用户身份鉴别信息丢失或失效时，应采用技术措施确保鉴别信息重置过程的安全；应采用两种或两种以上组合的鉴别技术对用户进行身份鉴别，且其中一种鉴别技术至少应使用动态口令、密码技术或生物技术来实现。本方案中采用身份认证服务平台实现APP及小程序和PC端应用的双因素认证。</w:t>
      </w:r>
      <w:r>
        <w:rPr>
          <w:rFonts w:hint="eastAsia" w:ascii="仿宋_GB2312" w:hAnsi="仿宋_GB2312" w:eastAsia="仿宋_GB2312" w:cs="仿宋_GB2312"/>
          <w:b/>
          <w:bCs/>
          <w:sz w:val="28"/>
          <w:szCs w:val="28"/>
        </w:rPr>
        <w:t>访问控制</w:t>
      </w:r>
      <w:r>
        <w:rPr>
          <w:rFonts w:hint="eastAsia" w:ascii="仿宋_GB2312" w:hAnsi="仿宋_GB2312" w:eastAsia="仿宋_GB2312" w:cs="仿宋_GB2312"/>
          <w:sz w:val="28"/>
          <w:szCs w:val="28"/>
        </w:rPr>
        <w:t>：应提供访问控制功能，对登录的用户分配账号和权限；应重命名或删除默认账户，修改默认账户的默认口令；应及时删除或停用多余的、过期的账户，避免共享账户的存在；应授予不同账户为完成各自承担任务所需的最小权限，并在它们之间形成相互制约的关系；应由授权主体配置访问控制策略，访问控制策略规定主体对客体的访问规则；访问控制的粒度应达到主体为用户级，客体为文件、数据库表级、记录或字段级；应对敏感信息资源设置安全标记，并控制主体对有安全标记信息资源的访问。</w:t>
      </w:r>
      <w:r>
        <w:rPr>
          <w:rFonts w:hint="eastAsia" w:ascii="仿宋_GB2312" w:hAnsi="仿宋_GB2312" w:eastAsia="仿宋_GB2312" w:cs="仿宋_GB2312"/>
          <w:b/>
          <w:bCs/>
          <w:sz w:val="28"/>
          <w:szCs w:val="28"/>
        </w:rPr>
        <w:t>安全审计</w:t>
      </w:r>
      <w:r>
        <w:rPr>
          <w:rFonts w:hint="eastAsia" w:ascii="仿宋_GB2312" w:hAnsi="仿宋_GB2312" w:eastAsia="仿宋_GB2312" w:cs="仿宋_GB2312"/>
          <w:sz w:val="28"/>
          <w:szCs w:val="28"/>
        </w:rPr>
        <w:t>：应提供安全审计功能，审计覆盖到每个用户，对重要的用户行为和重要安全事件进行审计；审计记录应包括事件的日期和时间、用户、事件类型、事件是否成功及其他与审计相关的信息；应对审计记录进行保护，定期备份，避免受到未预期的删除、修改或覆盖等。应确保审计记录的留存时间符合法律法规要求；应对审计进程进行保护，防止未经授权的中断。</w:t>
      </w:r>
      <w:r>
        <w:rPr>
          <w:rFonts w:hint="eastAsia" w:ascii="仿宋_GB2312" w:hAnsi="仿宋_GB2312" w:eastAsia="仿宋_GB2312" w:cs="仿宋_GB2312"/>
          <w:b/>
          <w:bCs/>
          <w:sz w:val="28"/>
          <w:szCs w:val="28"/>
        </w:rPr>
        <w:t>软件容错</w:t>
      </w:r>
      <w:r>
        <w:rPr>
          <w:rFonts w:hint="eastAsia" w:ascii="仿宋_GB2312" w:hAnsi="仿宋_GB2312" w:eastAsia="仿宋_GB2312" w:cs="仿宋_GB2312"/>
          <w:sz w:val="28"/>
          <w:szCs w:val="28"/>
        </w:rPr>
        <w:t>：应提供数据有效性检验功能，保证通过人机接口输入或通过通信接口输入的内容符合系统设定要求；在故障发生时，应能够继续提供一部分功能，确保能够实施必要的措施；在故障发生时，应自动保存易失性数据和所有状态，保证系统能够进行恢复。</w:t>
      </w:r>
      <w:r>
        <w:rPr>
          <w:rFonts w:hint="eastAsia" w:ascii="仿宋_GB2312" w:hAnsi="仿宋_GB2312" w:eastAsia="仿宋_GB2312" w:cs="仿宋_GB2312"/>
          <w:b/>
          <w:bCs/>
          <w:sz w:val="28"/>
          <w:szCs w:val="28"/>
        </w:rPr>
        <w:t>资源控制</w:t>
      </w:r>
      <w:r>
        <w:rPr>
          <w:rFonts w:hint="eastAsia" w:ascii="仿宋_GB2312" w:hAnsi="仿宋_GB2312" w:eastAsia="仿宋_GB2312" w:cs="仿宋_GB2312"/>
          <w:sz w:val="28"/>
          <w:szCs w:val="28"/>
        </w:rPr>
        <w:t>：当通信双方中的一方在一段时间内未作任何响应，另一方应能够自动结束会话；应能够对系统的最大并发会话连接数进行限制；应能够对单个账号的多重并发会话进行限制；</w:t>
      </w:r>
      <w:r>
        <w:rPr>
          <w:rFonts w:hint="eastAsia" w:ascii="仿宋_GB2312" w:hAnsi="仿宋_GB2312" w:eastAsia="仿宋_GB2312" w:cs="仿宋_GB2312"/>
          <w:b/>
          <w:bCs/>
          <w:sz w:val="28"/>
          <w:szCs w:val="28"/>
        </w:rPr>
        <w:t>数据完整性</w:t>
      </w:r>
      <w:r>
        <w:rPr>
          <w:rFonts w:hint="eastAsia" w:ascii="仿宋_GB2312" w:hAnsi="仿宋_GB2312" w:eastAsia="仿宋_GB2312" w:cs="仿宋_GB2312"/>
          <w:sz w:val="28"/>
          <w:szCs w:val="28"/>
        </w:rPr>
        <w:t>：应采用校验码技术或密码技术保证重要数据在传输过程中的完整性，包括但不限于鉴别数据、重要业务数据、重要审计数据、重要配置数据、重要视频数据和重要个人信息等；应采用校验码技术或密码技术保证重要数据在存储过程中的完整性，包括但不限于鉴别数据、重要业务数据、重要审计数据、重要配置数据、重要视频数据和重要个人信息等。</w:t>
      </w:r>
      <w:r>
        <w:rPr>
          <w:rFonts w:hint="eastAsia" w:ascii="仿宋_GB2312" w:hAnsi="仿宋_GB2312" w:eastAsia="仿宋_GB2312" w:cs="仿宋_GB2312"/>
          <w:b/>
          <w:bCs/>
          <w:sz w:val="28"/>
          <w:szCs w:val="28"/>
        </w:rPr>
        <w:t>数据保密性</w:t>
      </w:r>
      <w:r>
        <w:rPr>
          <w:rFonts w:hint="eastAsia" w:ascii="仿宋_GB2312" w:hAnsi="仿宋_GB2312" w:eastAsia="仿宋_GB2312" w:cs="仿宋_GB2312"/>
          <w:sz w:val="28"/>
          <w:szCs w:val="28"/>
        </w:rPr>
        <w:t>：应采用密码技术保证重要数据在传输过程中的保密性，包括但不限于鉴别数据、重要业务数据和重要个人信息等；应采用密码技术保证重要数据在存储过程中的保密性，包括但不限于鉴别数据、重要业务数据和重要个人信息等。</w:t>
      </w:r>
      <w:r>
        <w:rPr>
          <w:rFonts w:hint="eastAsia" w:ascii="仿宋_GB2312" w:hAnsi="仿宋_GB2312" w:eastAsia="仿宋_GB2312" w:cs="仿宋_GB2312"/>
          <w:b/>
          <w:bCs/>
          <w:sz w:val="28"/>
          <w:szCs w:val="28"/>
        </w:rPr>
        <w:t>个人信息保护</w:t>
      </w:r>
      <w:r>
        <w:rPr>
          <w:rFonts w:hint="eastAsia" w:ascii="仿宋_GB2312" w:hAnsi="仿宋_GB2312" w:eastAsia="仿宋_GB2312" w:cs="仿宋_GB2312"/>
          <w:sz w:val="28"/>
          <w:szCs w:val="28"/>
        </w:rPr>
        <w:t>：应仅采集和保存业务必需的用户个人信息；应禁止未授权访问和非法使用用户个人信息。</w:t>
      </w:r>
      <w:r>
        <w:rPr>
          <w:rFonts w:hint="eastAsia" w:ascii="仿宋_GB2312" w:hAnsi="仿宋_GB2312" w:eastAsia="仿宋_GB2312" w:cs="仿宋_GB2312"/>
          <w:b/>
          <w:bCs/>
          <w:sz w:val="28"/>
          <w:szCs w:val="28"/>
        </w:rPr>
        <w:t>代码安全</w:t>
      </w:r>
      <w:r>
        <w:rPr>
          <w:rFonts w:hint="eastAsia" w:ascii="仿宋_GB2312" w:hAnsi="仿宋_GB2312" w:eastAsia="仿宋_GB2312" w:cs="仿宋_GB2312"/>
          <w:sz w:val="28"/>
          <w:szCs w:val="28"/>
        </w:rPr>
        <w:t>：第三方软件开发商应具备相应的开发资质，在应用开发过程中采用安全开发过程管理，并采用代码安全检测工具在开发过程中进行代码安全检测与审计，并要求第三方开发厂商提供系统源代码。</w:t>
      </w:r>
      <w:bookmarkStart w:id="35" w:name="_Toc531674298"/>
      <w:bookmarkEnd w:id="35"/>
    </w:p>
    <w:p>
      <w:pPr>
        <w:pStyle w:val="27"/>
        <w:adjustRightInd/>
        <w:snapToGrid w:val="0"/>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10.信创适配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基于机关事务信息化平台开展信创适配工作，包括前期准备、基础环境搭建、应用迁移、全面适配测试、升级改造、应用部署、数据迁移、适配验证、试运行、正式运行等十个阶段。围绕着信创系统改造升级的核心目标，完成好每一个阶段的任务，确保系统信创环境下开发和适配的顺利完成。</w:t>
      </w:r>
    </w:p>
    <w:p>
      <w:pPr>
        <w:snapToGrid w:val="0"/>
        <w:spacing w:line="500" w:lineRule="exact"/>
        <w:ind w:firstLine="560"/>
        <w:rPr>
          <w:rFonts w:ascii="仿宋_GB2312" w:hAnsi="仿宋_GB2312" w:eastAsia="仿宋_GB2312" w:cs="仿宋_GB2312"/>
          <w:sz w:val="28"/>
          <w:szCs w:val="28"/>
        </w:rPr>
      </w:pPr>
      <w:bookmarkStart w:id="36" w:name="_Toc29459"/>
      <w:r>
        <w:rPr>
          <w:rFonts w:hint="eastAsia" w:ascii="仿宋_GB2312" w:hAnsi="仿宋_GB2312" w:eastAsia="仿宋_GB2312" w:cs="仿宋_GB2312"/>
          <w:sz w:val="28"/>
          <w:szCs w:val="28"/>
        </w:rPr>
        <w:t>11.国密应用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提供相关的密码资源，实现对信息资源的集中化、共享化、服务化部署需求，适应云服务化特点，实现快速交付、弹性扩展、集中管理及服务化等要求，安全密码安全服务以国产密码为基础，依托主流云计算框架，采用虚拟化、微服务、集群等技术，这些密码系统和资源的部署和设计，按照大数据、云服务计算技术架构的要求，满足统一构建密码服务平台，整合密码产品、密码使用策略、密码服务接口和服务应用，将密码系统和设备的设计、部署、运维、管理等组合成一种服务，来解决用户的密码应用需求。</w:t>
      </w:r>
    </w:p>
    <w:p>
      <w:pPr>
        <w:pStyle w:val="15"/>
        <w:ind w:firstLine="0" w:firstLineChars="0"/>
      </w:pPr>
    </w:p>
    <w:p>
      <w:pPr>
        <w:pStyle w:val="4"/>
        <w:numPr>
          <w:ilvl w:val="2"/>
          <w:numId w:val="0"/>
        </w:numPr>
        <w:tabs>
          <w:tab w:val="left" w:pos="468"/>
          <w:tab w:val="clear" w:pos="420"/>
        </w:tabs>
        <w:spacing w:after="0"/>
        <w:sectPr>
          <w:pgSz w:w="11906" w:h="16838"/>
          <w:pgMar w:top="1440" w:right="1800" w:bottom="1440" w:left="1800" w:header="851" w:footer="992" w:gutter="0"/>
          <w:pgNumType w:fmt="decimal"/>
          <w:cols w:space="720" w:num="1"/>
          <w:docGrid w:type="lines" w:linePitch="312"/>
        </w:sectPr>
      </w:pPr>
      <w:r>
        <w:rPr>
          <w:rFonts w:hint="eastAsia" w:ascii="黑体" w:hAnsi="黑体" w:eastAsia="黑体" w:cs="黑体"/>
          <w:b w:val="0"/>
          <w:bCs/>
          <w:sz w:val="28"/>
          <w:szCs w:val="28"/>
        </w:rPr>
        <w:t xml:space="preserve">    </w:t>
      </w:r>
    </w:p>
    <w:p>
      <w:pPr>
        <w:pStyle w:val="4"/>
        <w:numPr>
          <w:ilvl w:val="2"/>
          <w:numId w:val="0"/>
        </w:numPr>
        <w:tabs>
          <w:tab w:val="left" w:pos="468"/>
          <w:tab w:val="clear" w:pos="420"/>
        </w:tabs>
        <w:spacing w:after="0"/>
        <w:rPr>
          <w:rFonts w:ascii="黑体" w:hAnsi="黑体" w:eastAsia="黑体" w:cs="黑体"/>
          <w:b w:val="0"/>
          <w:bCs/>
          <w:sz w:val="28"/>
          <w:szCs w:val="28"/>
        </w:rPr>
      </w:pP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四、建设周期</w:t>
      </w:r>
      <w:bookmarkEnd w:id="36"/>
    </w:p>
    <w:p>
      <w:pPr>
        <w:ind w:firstLine="560"/>
        <w:rPr>
          <w:rFonts w:hint="eastAsia" w:ascii="仿宋_GB2312" w:hAnsi="仿宋_GB2312" w:eastAsia="仿宋_GB2312" w:cs="仿宋_GB2312"/>
          <w:color w:val="FF0000"/>
          <w:sz w:val="28"/>
          <w:szCs w:val="28"/>
        </w:rPr>
      </w:pPr>
      <w:bookmarkStart w:id="37" w:name="_Hlk44536167"/>
      <w:bookmarkStart w:id="38" w:name="_Toc31156"/>
      <w:bookmarkStart w:id="39" w:name="_Toc4281"/>
      <w:r>
        <w:rPr>
          <w:rFonts w:hint="eastAsia" w:ascii="仿宋_GB2312" w:hAnsi="仿宋_GB2312" w:eastAsia="仿宋_GB2312" w:cs="仿宋_GB2312"/>
          <w:color w:val="FF0000"/>
          <w:sz w:val="28"/>
          <w:szCs w:val="28"/>
        </w:rPr>
        <w:t>本项目建设期自初步设计及概算编制开始</w:t>
      </w:r>
      <w:r>
        <w:rPr>
          <w:rFonts w:hint="eastAsia" w:ascii="仿宋_GB2312" w:hAnsi="仿宋_GB2312" w:eastAsia="仿宋_GB2312" w:cs="仿宋_GB2312"/>
          <w:color w:val="FF0000"/>
          <w:sz w:val="28"/>
          <w:szCs w:val="28"/>
          <w:lang w:eastAsia="zh-CN"/>
        </w:rPr>
        <w:t>到最终验收</w:t>
      </w:r>
      <w:r>
        <w:rPr>
          <w:rFonts w:hint="eastAsia" w:ascii="仿宋_GB2312" w:hAnsi="仿宋_GB2312" w:eastAsia="仿宋_GB2312" w:cs="仿宋_GB2312"/>
          <w:color w:val="FF0000"/>
          <w:sz w:val="28"/>
          <w:szCs w:val="28"/>
        </w:rPr>
        <w:t>预计周期</w:t>
      </w:r>
      <w:bookmarkEnd w:id="37"/>
      <w:r>
        <w:rPr>
          <w:rFonts w:hint="eastAsia" w:ascii="仿宋_GB2312" w:hAnsi="仿宋_GB2312" w:eastAsia="仿宋_GB2312" w:cs="仿宋_GB2312"/>
          <w:color w:val="FF0000"/>
          <w:sz w:val="28"/>
          <w:szCs w:val="28"/>
        </w:rPr>
        <w:t>为10个月（2021年11月至2022年8月）。</w:t>
      </w:r>
    </w:p>
    <w:p>
      <w:pPr>
        <w:ind w:firstLine="560"/>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eastAsia="zh-CN"/>
        </w:rPr>
        <w:t>阶段性验收时间为</w:t>
      </w:r>
      <w:r>
        <w:rPr>
          <w:rFonts w:hint="eastAsia" w:ascii="仿宋_GB2312" w:hAnsi="仿宋_GB2312" w:eastAsia="仿宋_GB2312" w:cs="仿宋_GB2312"/>
          <w:color w:val="FF0000"/>
          <w:sz w:val="28"/>
          <w:szCs w:val="28"/>
          <w:lang w:val="en-US" w:eastAsia="zh-CN"/>
        </w:rPr>
        <w:t>2021年12月20日前，由招标单位组织专家组一阶段验收工作，验收标准为完成数据中台基本功能、公车系统、资产管理系统上线，同时完成能耗平台数据对接工作。</w:t>
      </w:r>
    </w:p>
    <w:p>
      <w:pPr>
        <w:ind w:firstLine="560"/>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终验时间为2022年8月31日前，由招标单位组织专家组完成终验，验收标准为整体项目上线交付。</w:t>
      </w:r>
    </w:p>
    <w:p>
      <w:pPr>
        <w:pStyle w:val="3"/>
        <w:numPr>
          <w:ilvl w:val="1"/>
          <w:numId w:val="0"/>
        </w:numPr>
        <w:rPr>
          <w:rFonts w:ascii="黑体" w:hAnsi="黑体" w:eastAsia="黑体" w:cs="黑体"/>
          <w:b w:val="0"/>
          <w:bCs/>
          <w:sz w:val="28"/>
          <w:szCs w:val="28"/>
        </w:rPr>
      </w:pPr>
      <w:r>
        <w:rPr>
          <w:rFonts w:hint="eastAsia" w:ascii="黑体" w:hAnsi="黑体" w:eastAsia="黑体" w:cs="黑体"/>
          <w:b w:val="0"/>
          <w:bCs/>
          <w:sz w:val="28"/>
          <w:szCs w:val="28"/>
        </w:rPr>
        <w:t xml:space="preserve">   </w:t>
      </w:r>
      <w:bookmarkEnd w:id="38"/>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五.总体性能要求</w:t>
      </w:r>
      <w:bookmarkEnd w:id="39"/>
    </w:p>
    <w:p>
      <w:pPr>
        <w:snapToGrid w:val="0"/>
        <w:spacing w:line="500" w:lineRule="exact"/>
        <w:ind w:firstLine="560"/>
        <w:rPr>
          <w:rFonts w:ascii="仿宋_GB2312" w:hAnsi="仿宋_GB2312" w:eastAsia="仿宋_GB2312" w:cs="仿宋_GB2312"/>
          <w:sz w:val="28"/>
          <w:szCs w:val="28"/>
        </w:rPr>
      </w:pPr>
      <w:bookmarkStart w:id="40" w:name="_Toc30866"/>
      <w:bookmarkStart w:id="41" w:name="_Toc29704"/>
      <w:r>
        <w:rPr>
          <w:rFonts w:hint="eastAsia" w:ascii="仿宋_GB2312" w:hAnsi="仿宋_GB2312" w:eastAsia="仿宋_GB2312" w:cs="仿宋_GB2312"/>
          <w:sz w:val="28"/>
          <w:szCs w:val="28"/>
        </w:rPr>
        <w:t>本项目应符合相关标准和规范，系统应具备较高的安全性和可靠性、较好的兼容性，并提供接口和详细文档说明。系统应满足以下要求：</w:t>
      </w:r>
    </w:p>
    <w:p>
      <w:pPr>
        <w:snapToGrid w:val="0"/>
        <w:spacing w:line="5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1.具有容错容灾和备份机制，每年平均故障时间少于7天，平均故障恢复时间小于1小时；</w:t>
      </w:r>
    </w:p>
    <w:p>
      <w:pPr>
        <w:snapToGrid w:val="0"/>
        <w:spacing w:line="5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2.CPU使用率上限为85%，空闲可用内存大于10%，内存使用率上限为85%，管理部门用户ping成功率为100%，丢包率不超过0.01%；</w:t>
      </w:r>
    </w:p>
    <w:p>
      <w:pPr>
        <w:snapToGrid w:val="0"/>
        <w:spacing w:line="5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系统支持的注册用户数20000个，在线用户数大约5000个（自治区机关同时在线180+地州同时在线120人*14（1680人）+县市同时在线30人*96（2880人）合计4740人），平均响应时间小于1秒，用户登录事务成功率为100%，保存数据事务成功率为100%，提交数据事务成功率为100%，超时错误率不超过0.05%。</w:t>
      </w:r>
    </w:p>
    <w:p>
      <w:pPr>
        <w:pStyle w:val="3"/>
        <w:numPr>
          <w:ilvl w:val="1"/>
          <w:numId w:val="0"/>
        </w:numPr>
        <w:ind w:firstLine="560" w:firstLineChars="200"/>
        <w:rPr>
          <w:rFonts w:ascii="黑体" w:hAnsi="黑体" w:eastAsia="黑体" w:cs="黑体"/>
          <w:b w:val="0"/>
          <w:bCs/>
          <w:sz w:val="28"/>
          <w:szCs w:val="28"/>
        </w:rPr>
      </w:pPr>
      <w:r>
        <w:rPr>
          <w:rFonts w:hint="eastAsia" w:ascii="黑体" w:hAnsi="黑体" w:eastAsia="黑体" w:cs="黑体"/>
          <w:b w:val="0"/>
          <w:bCs/>
          <w:sz w:val="28"/>
          <w:szCs w:val="28"/>
        </w:rPr>
        <w:t>六.项目需遵循的有关标准和规范</w:t>
      </w:r>
      <w:bookmarkEnd w:id="40"/>
      <w:bookmarkEnd w:id="41"/>
      <w:bookmarkStart w:id="42" w:name="_Toc73027713"/>
      <w:bookmarkStart w:id="43" w:name="_Toc73027561"/>
      <w:bookmarkStart w:id="44" w:name="_Toc29853"/>
      <w:bookmarkStart w:id="45" w:name="_Toc73027349"/>
      <w:bookmarkStart w:id="46" w:name="_Toc73110661"/>
      <w:bookmarkStart w:id="47" w:name="_Toc73111435"/>
      <w:bookmarkStart w:id="48" w:name="_Toc73110505"/>
      <w:bookmarkStart w:id="49" w:name="_Toc697"/>
      <w:bookmarkStart w:id="50" w:name="_Toc2352"/>
    </w:p>
    <w:p>
      <w:pPr>
        <w:pStyle w:val="3"/>
        <w:numPr>
          <w:ilvl w:val="1"/>
          <w:numId w:val="0"/>
        </w:numPr>
        <w:spacing w:line="500" w:lineRule="exact"/>
        <w:ind w:firstLine="560" w:firstLineChars="200"/>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1.政策法规</w:t>
      </w:r>
      <w:bookmarkEnd w:id="42"/>
      <w:bookmarkEnd w:id="43"/>
      <w:bookmarkEnd w:id="44"/>
      <w:bookmarkEnd w:id="45"/>
      <w:bookmarkEnd w:id="46"/>
      <w:bookmarkEnd w:id="47"/>
      <w:bookmarkEnd w:id="48"/>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中共中央办公厅、国务院办公厅印发《国家信息化发展战略纲要》；</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《中华人民共和国国民经济和社会发展第十四个五年规划和2035年远景目标纲要》；</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《国家电子政务标准体系建设指南》（市场监管总局办公厅、中共中央办公厅机要局、国务院办公厅电子政务办公室、中央网信办秘书局、国家发展改革委办公厅、工业和信息化部办公厅等六部门印发）；</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《中华人民共和国网络安全法》（2016年11月7日通过，自2017年6月1日起施行）；</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《中华人民共和国保守国家秘密法》（2010年4月29日修订通过，自2010年10月1日起施行）；</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《中华人民共和国密码法》（2019年10月26日通过，自2020年1月1日起施行）；</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《中华人民共和国数据安全法》（2021年6月10日通过，自2021年9月1日起施行）；</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《国务院办公厅关于印发国家政务信息化项目建设管理办法的通知》（国办发〔2019〕57号）；</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《关于进一步加强政务部门信息共享建设管理的指导意见》（发改高技〔2013〕733号）；</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《国家电子政务顶层设计总体方案》(中共中央办公厅厅字〔2017〕7号)；</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《电子政务网安全要求》(国家电子政务外网管理中心〔2017〕2号)；</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《关于印发“互联网+政务服务”技术体系建设指南的通知》(国办函〔2016〕108号)；</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《国务院关于积极推进“互联网+”行动的指导意见》(国发〔2015〕40号)；</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《政务信息资源共享管理暂行办法》(国发〔2016〕51号)；</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《关于建立国家电子政务工作统筹协调机制的意见》(中网办发〔2016〕6号)；</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《互联网新技术新业务安全评估指南》(工业信息化部〔2016〕)；</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《国务院关于促进云计算创新发展培育信息产业新业态的意见》(国发〔2015〕5号)；</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《国务院办公厅关于促进电子政协调发展的指导意见》(国办发〔2014〕）；</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《中央网信办印发关于加强党政部门云计算服务络安全管理的意见》(中网办发文〔2014〕14号)；</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《进一步深化“互联网+政务服务”推进政务服务“一网、一门、一次”改革实施方案》（国办发〔2018〕45号）；</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《国务院办公厅关于全面开展工程建设项目审批制度改革的实施意见》（国办发〔2019〕11号）；</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《政府购买服务管理办法》(财综〔2020〕96号)；</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《国务院办公厅关于政府向社会力量购买服的指导意见》(国办发〔2013〕96号)；</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《自治区贯彻&lt;机关事务管理条例&gt;实施意见》；</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《关于进一步推进自治区“互联网+监管”系统建设和应用工作的通知》（新政办明电〔2019〕196号）；</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《新疆维吾尔自治区全面开展工程建设项目审批制度改革实施方案》（新政办发〔2019〕65号）；</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《关于印发新疆维吾尔自治区政务信息化项目建设管理办法的通知》（新政办发〔2021〕14号）；</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《中华人民共和国计算机信息系统安全保护条例》（中华人民共和国国务院令147号发布）；</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《中华人民共和国计算机信息网络国际联网管理暂行规定》(国务院令第195号，1996年2月1日施行)；</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《国家电子政务总体框架》（国信〔2006〕2号）；</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《信息安全等级保护管理办法》(公通字〔2007〕43号）；</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《关于推进新时代机关事务工作的指导意见》；</w:t>
      </w:r>
    </w:p>
    <w:p>
      <w:pPr>
        <w:pStyle w:val="50"/>
        <w:numPr>
          <w:ilvl w:val="0"/>
          <w:numId w:val="8"/>
        </w:numPr>
        <w:snapToGrid w:val="0"/>
        <w:spacing w:line="500" w:lineRule="exact"/>
        <w:ind w:left="0" w:firstLine="560"/>
        <w:rPr>
          <w:rFonts w:ascii="仿宋_GB2312" w:hAnsi="仿宋_GB2312" w:eastAsia="仿宋_GB2312" w:cs="仿宋_GB2312"/>
          <w:sz w:val="28"/>
          <w:szCs w:val="28"/>
        </w:rPr>
      </w:pPr>
      <w:bookmarkStart w:id="51" w:name="_Toc73111436"/>
      <w:bookmarkStart w:id="52" w:name="_Toc73027350"/>
      <w:bookmarkStart w:id="53" w:name="_Toc73027714"/>
      <w:bookmarkStart w:id="54" w:name="_Toc73110662"/>
      <w:bookmarkStart w:id="55" w:name="_Toc73110506"/>
      <w:bookmarkStart w:id="56" w:name="_Toc73027562"/>
      <w:r>
        <w:rPr>
          <w:rFonts w:hint="eastAsia" w:ascii="仿宋_GB2312" w:hAnsi="仿宋_GB2312" w:eastAsia="仿宋_GB2312" w:cs="仿宋_GB2312"/>
          <w:sz w:val="28"/>
          <w:szCs w:val="28"/>
        </w:rPr>
        <w:t>中共中央办公厅国务院办公厅关于印发《党政机关办公用房管理办法》的通知（中办发〔2017〕70号）；</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中共中央办公厅国务院办公厅关于印发《党政机关公务用车管理办法》的通知（中办发〔2017〕71号）；</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自治区党委办公厅自治区人民政府办公厅关于印发《新疆维吾尔族自治区党政机关公务用车管理办法》的通知（新党办发〔2018〕65号）；</w:t>
      </w:r>
    </w:p>
    <w:p>
      <w:pPr>
        <w:pStyle w:val="50"/>
        <w:numPr>
          <w:ilvl w:val="0"/>
          <w:numId w:val="8"/>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自治区党委办公厅自治区人民政府办公厅关于印发《新疆维吾尔族自治区党政机关办公用房管理办法》的通知（新党办发〔2018〕66号）。</w:t>
      </w:r>
    </w:p>
    <w:p>
      <w:pPr>
        <w:pStyle w:val="4"/>
        <w:numPr>
          <w:ilvl w:val="2"/>
          <w:numId w:val="0"/>
        </w:numPr>
        <w:snapToGrid w:val="0"/>
        <w:spacing w:line="500" w:lineRule="exact"/>
        <w:ind w:right="240"/>
        <w:rPr>
          <w:rFonts w:ascii="仿宋_GB2312" w:hAnsi="仿宋_GB2312" w:eastAsia="仿宋_GB2312" w:cs="仿宋_GB2312"/>
          <w:sz w:val="28"/>
          <w:szCs w:val="28"/>
        </w:rPr>
      </w:pPr>
      <w:bookmarkStart w:id="57" w:name="_Toc5345"/>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val="0"/>
          <w:bCs/>
          <w:sz w:val="28"/>
          <w:szCs w:val="28"/>
        </w:rPr>
        <w:t xml:space="preserve"> 2.国家标准</w:t>
      </w:r>
      <w:bookmarkEnd w:id="51"/>
      <w:bookmarkEnd w:id="52"/>
      <w:bookmarkEnd w:id="53"/>
      <w:bookmarkEnd w:id="54"/>
      <w:bookmarkEnd w:id="55"/>
      <w:bookmarkEnd w:id="56"/>
      <w:bookmarkEnd w:id="57"/>
    </w:p>
    <w:p>
      <w:pPr>
        <w:pStyle w:val="50"/>
        <w:numPr>
          <w:ilvl w:val="0"/>
          <w:numId w:val="9"/>
        </w:numPr>
        <w:snapToGrid w:val="0"/>
        <w:spacing w:line="500" w:lineRule="exact"/>
        <w:ind w:left="0" w:firstLine="560"/>
        <w:rPr>
          <w:rFonts w:ascii="仿宋_GB2312" w:hAnsi="仿宋_GB2312" w:eastAsia="仿宋_GB2312" w:cs="仿宋_GB2312"/>
          <w:sz w:val="28"/>
          <w:szCs w:val="28"/>
        </w:rPr>
      </w:pPr>
      <w:bookmarkStart w:id="58" w:name="_Toc73111437"/>
      <w:bookmarkStart w:id="59" w:name="_Toc73027715"/>
      <w:bookmarkStart w:id="60" w:name="_Toc73110507"/>
      <w:bookmarkStart w:id="61" w:name="_Toc73027563"/>
      <w:bookmarkStart w:id="62" w:name="_Toc73027351"/>
      <w:bookmarkStart w:id="63" w:name="_Toc530779168"/>
      <w:bookmarkStart w:id="64" w:name="_Toc18423526"/>
      <w:bookmarkStart w:id="65" w:name="_Toc73110663"/>
      <w:bookmarkStart w:id="66" w:name="_Toc482197018"/>
      <w:r>
        <w:rPr>
          <w:rFonts w:hint="eastAsia" w:ascii="仿宋_GB2312" w:hAnsi="仿宋_GB2312" w:eastAsia="仿宋_GB2312" w:cs="仿宋_GB2312"/>
          <w:sz w:val="28"/>
          <w:szCs w:val="28"/>
        </w:rPr>
        <w:t>《信息处理 数据流程图、程序流程图、系统流程图、程序网络图和系统资源图的文件编制符号及约定》（GB/T 1526-1989）；</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《中华人民共和国行政区划代码》（GB/T 2260-2007）；</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《信息分类和编码的基本原则与方法》（GB/T 7027-2002）；</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《数据元和交换格式 信息交换 日期和时间表示法》（GB/T 7408-2005）；</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 软件生存周期过程》（GB/T 8566-2007）；</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《计算机软件文档编制规范》（GB/T 8567-2006）；</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《计算机软件需求规格说明规范》（GB/T 9385-2008）；</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《计算机软件测试文档编制规范》（GB/T 9386-2008）；</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《分类与编码通用术语》（GB/T 10113-2003）；</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 软件工程术语》（GB/T 11457-2006）；</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《全国组织机构代码编制规则》（GB 11714-1997）；</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 开放系统互连 运输服务定义》（GB/T 12453-2008）；</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 开放系统互连 提供连接方式运输服务的协议》（GB/T 12500-2008）；</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《信息处理 程序构造及其表示的约定》（GB/T 13502-1992）；</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《信息处理系统计算机系统配置图符号及约定》（GB/T 14085-1993）；</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《计算机软件可靠性和可维护性管理》（GB/T 14394-2008）；</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 开放系统互连 网络服务定义》（GB/T 15126-2008）；</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《计算机软件测试规范》（GB/T 15532-2008）；</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 开放系统互连 公共管理信息服务》（GB/T 16644-2008）；</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 开放系统互连 公共管理信息协议 第1部分：规范》（GB/T 16645.1-2008）；</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《系统与软件工程 用户文档的管理者要求》（GB/T 16680-2015）；</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《计算机信息系统安全保护等级划分准则》（GB 17859-1999）；</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 开放系统互联 网络层安全协议》（GB/T 17963-2000）；</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 数据元素值表示 格式记法》（GB/T 18142-2017）；</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 CASE工具的评价与选择指南》（GB/T 18234-2000）；</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 元数据注册系统(MDR) 第1部分：框架》（GB/T 18391.1-2009）；</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 元数据注册系统(MDR) 第2部分：分类》（GB/T 18391.2-2009）；</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 元数据注册系统(MDR) 第3部分：注册系统元模型与基本属性》（GB/T 18391.3-2009）；</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 元数据注册系统(MDR) 第4部分：数据定义的形成》（GB/T 18391.4-2009）；</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 元数据注册系统(MDR) 第5部分：命名和标识原则》（GB/T 18391.5-2009）；</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 元数据注册系统(MDR) 第6部分：注册》（GB/T 18391.6-2009）；</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 系统及软件完整性级别》（GB/T 18492-2001）；</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 软件生存周期过程指南》（GB/Z 18493-2001）；</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 可扩展置标语言(XML)1.0》（GB/T 18793-2002）；</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《软件工程 产品评价 第6部分:评价模块的文档编制》（GB/T 18905.6-2002）；</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 软件工程 CASE工具的采用指南》（GB/T 18914-2014）；</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fldChar w:fldCharType="begin"/>
      </w:r>
      <w:r>
        <w:instrText xml:space="preserve">HYPERLINK "http://openstd.samr.gov.cn/bzgk/gb/javascript:void(0)" </w:instrText>
      </w:r>
      <w:r>
        <w:fldChar w:fldCharType="separate"/>
      </w:r>
      <w:r>
        <w:rPr>
          <w:rFonts w:hint="eastAsia" w:ascii="仿宋_GB2312" w:hAnsi="仿宋_GB2312" w:eastAsia="仿宋_GB2312" w:cs="仿宋_GB2312"/>
          <w:sz w:val="28"/>
          <w:szCs w:val="28"/>
        </w:rPr>
        <w:t>软件工程 GB/T 19001-2000应用于计算机软件的指南</w:t>
      </w:r>
      <w:r>
        <w:fldChar w:fldCharType="end"/>
      </w:r>
      <w:r>
        <w:rPr>
          <w:rFonts w:hint="eastAsia" w:ascii="仿宋_GB2312" w:hAnsi="仿宋_GB2312" w:eastAsia="仿宋_GB2312" w:cs="仿宋_GB2312"/>
          <w:sz w:val="28"/>
          <w:szCs w:val="28"/>
        </w:rPr>
        <w:t>》（GB/T 19003-2008）；</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《电子政务主题词表编制规则》（GB/T 19486-2004）；</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《电子政务业务流程设计方法 通用规范》（GB/T 19487-2004）；</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《电子政务数据元 第1部分:设计和管理规范》（GB/T 19488.1-2004）；</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《电子政务数据元 第2部分：公共数据元目录》（</w:t>
      </w:r>
      <w:r>
        <w:fldChar w:fldCharType="begin"/>
      </w:r>
      <w:r>
        <w:instrText xml:space="preserve">HYPERLINK "http://std.samr.gov.cn/gb/search/gbDetailed?id=71F772D76E0BD3A7E05397BE0A0AB82A" \t "http://std.samr.gov.cn/gb/_blank" </w:instrText>
      </w:r>
      <w:r>
        <w:fldChar w:fldCharType="separate"/>
      </w:r>
      <w:r>
        <w:rPr>
          <w:rFonts w:hint="eastAsia" w:ascii="仿宋_GB2312" w:hAnsi="仿宋_GB2312" w:eastAsia="仿宋_GB2312" w:cs="仿宋_GB2312"/>
          <w:sz w:val="28"/>
          <w:szCs w:val="28"/>
        </w:rPr>
        <w:t>GB/T 19488.2-2008</w:t>
      </w:r>
      <w:r>
        <w:fldChar w:fldCharType="end"/>
      </w:r>
      <w:r>
        <w:rPr>
          <w:rFonts w:hint="eastAsia" w:ascii="仿宋_GB2312" w:hAnsi="仿宋_GB2312" w:eastAsia="仿宋_GB2312" w:cs="仿宋_GB2312"/>
          <w:sz w:val="28"/>
          <w:szCs w:val="28"/>
        </w:rPr>
        <w:t>）；</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 会计核算软件数据接口》（GB/T 19581-2004）；</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《信息技术服务 监理 第1部分：总则》（GB/T 19668.1-2014）；</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《XML在电子政务中的应用指南》（GB/Z 19669-2005）；</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《组织机构类型》（GB/T 20091-2021）；</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《软件工程 软件生存周期过程 用于项目管理的指南》（GB/Z 20156-2006）；</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 软件维护》（GB/T 20157-2006）；</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 软件生存周期过程 配置管理》（GB/T 20158-2006）；</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《信息安全技术 信息系统安全管理要求》（GB/T 20269-2006）；</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《信息安全技术 网络基础安全技术要求》（GB/T 20270-2006）；</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《信息安全技术 信息系统通用安全技术要求》（GB/T 20271-2006）；</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《信息安全技术 操作系统安全技术要求》（GB/T 20272-2019）；</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《信息安全技术 数据库管理系统安全技术要求》（GB/T 20273-2019）；</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《信息安全技术 信息系统安全保障评估框架 第一部分：简介和一般模型》（GB/T 20274.1-2006）；</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《信息安全技术 信息系统安全保障评估框架 第2部分：技术保障》（</w:t>
      </w:r>
      <w:r>
        <w:fldChar w:fldCharType="begin"/>
      </w:r>
      <w:r>
        <w:instrText xml:space="preserve">HYPERLINK "http://std.samr.gov.cn/gb/search/gbDetailed?id=71F772D75E1AD3A7E05397BE0A0AB82A" \t "http://std.samr.gov.cn/gb/_blank" </w:instrText>
      </w:r>
      <w:r>
        <w:fldChar w:fldCharType="separate"/>
      </w:r>
      <w:r>
        <w:rPr>
          <w:rFonts w:hint="eastAsia" w:ascii="仿宋_GB2312" w:hAnsi="仿宋_GB2312" w:eastAsia="仿宋_GB2312" w:cs="仿宋_GB2312"/>
          <w:sz w:val="28"/>
          <w:szCs w:val="28"/>
        </w:rPr>
        <w:t>GB/T 20274.2-2008</w:t>
      </w:r>
      <w:r>
        <w:fldChar w:fldCharType="end"/>
      </w:r>
      <w:r>
        <w:rPr>
          <w:rFonts w:hint="eastAsia" w:ascii="仿宋_GB2312" w:hAnsi="仿宋_GB2312" w:eastAsia="仿宋_GB2312" w:cs="仿宋_GB2312"/>
          <w:sz w:val="28"/>
          <w:szCs w:val="28"/>
        </w:rPr>
        <w:t>）；</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《信息安全技术 信息系统安全保障评估框架 第3部分：管理保障》（</w:t>
      </w:r>
      <w:r>
        <w:fldChar w:fldCharType="begin"/>
      </w:r>
      <w:r>
        <w:instrText xml:space="preserve">HYPERLINK "http://std.samr.gov.cn/gb/search/gbDetailed?id=71F772D7616FD3A7E05397BE0A0AB82A" \t "http://std.samr.gov.cn/gb/_blank" </w:instrText>
      </w:r>
      <w:r>
        <w:fldChar w:fldCharType="separate"/>
      </w:r>
      <w:r>
        <w:rPr>
          <w:rFonts w:hint="eastAsia" w:ascii="仿宋_GB2312" w:hAnsi="仿宋_GB2312" w:eastAsia="仿宋_GB2312" w:cs="仿宋_GB2312"/>
          <w:sz w:val="28"/>
          <w:szCs w:val="28"/>
        </w:rPr>
        <w:t>GB/T 20274.3-2008</w:t>
      </w:r>
      <w:r>
        <w:fldChar w:fldCharType="end"/>
      </w:r>
      <w:r>
        <w:rPr>
          <w:rFonts w:hint="eastAsia" w:ascii="仿宋_GB2312" w:hAnsi="仿宋_GB2312" w:eastAsia="仿宋_GB2312" w:cs="仿宋_GB2312"/>
          <w:sz w:val="28"/>
          <w:szCs w:val="28"/>
        </w:rPr>
        <w:t>）；</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《信息安全技术 信息系统安全保障评估框架 第4部分：工程保障》（</w:t>
      </w:r>
      <w:r>
        <w:fldChar w:fldCharType="begin"/>
      </w:r>
      <w:r>
        <w:instrText xml:space="preserve">HYPERLINK "http://std.samr.gov.cn/gb/search/gbDetailed?id=71F772D75A99D3A7E05397BE0A0AB82A" \t "http://std.samr.gov.cn/gb/_blank" </w:instrText>
      </w:r>
      <w:r>
        <w:fldChar w:fldCharType="separate"/>
      </w:r>
      <w:r>
        <w:rPr>
          <w:rFonts w:hint="eastAsia" w:ascii="仿宋_GB2312" w:hAnsi="仿宋_GB2312" w:eastAsia="仿宋_GB2312" w:cs="仿宋_GB2312"/>
          <w:sz w:val="28"/>
          <w:szCs w:val="28"/>
        </w:rPr>
        <w:t>GB/T 20274.4-2008</w:t>
      </w:r>
      <w:r>
        <w:fldChar w:fldCharType="end"/>
      </w:r>
      <w:r>
        <w:rPr>
          <w:rFonts w:hint="eastAsia" w:ascii="仿宋_GB2312" w:hAnsi="仿宋_GB2312" w:eastAsia="仿宋_GB2312" w:cs="仿宋_GB2312"/>
          <w:sz w:val="28"/>
          <w:szCs w:val="28"/>
        </w:rPr>
        <w:t>）；</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fldChar w:fldCharType="begin"/>
      </w:r>
      <w:r>
        <w:instrText xml:space="preserve">HYPERLINK "http://openstd.samr.gov.cn/bzgk/gb/javascript:void(0)" </w:instrText>
      </w:r>
      <w:r>
        <w:fldChar w:fldCharType="separate"/>
      </w:r>
      <w:r>
        <w:rPr>
          <w:rFonts w:hint="eastAsia" w:ascii="仿宋_GB2312" w:hAnsi="仿宋_GB2312" w:eastAsia="仿宋_GB2312" w:cs="仿宋_GB2312"/>
          <w:sz w:val="28"/>
          <w:szCs w:val="28"/>
        </w:rPr>
        <w:t>信息安全技术 网络入侵检测系统技术要求和测试评价方法</w:t>
      </w:r>
      <w:r>
        <w:fldChar w:fldCharType="end"/>
      </w:r>
      <w:r>
        <w:rPr>
          <w:rFonts w:hint="eastAsia" w:ascii="仿宋_GB2312" w:hAnsi="仿宋_GB2312" w:eastAsia="仿宋_GB2312" w:cs="仿宋_GB2312"/>
          <w:sz w:val="28"/>
          <w:szCs w:val="28"/>
        </w:rPr>
        <w:t>》（GB/T 20275-2013）；</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《信息安全技术 网络和终端隔离产品安全技术要求》（GB/T 20279-2015）；</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《软件工程 软件测量过程》（GB/T 20917-2007）；</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 软件生存周期过程 风险管理》（GB/T 20918-2007）；</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《信息安全技术 信息安全风险评估规范》（GB/T 20984-2007）；</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 安全技术 信息安全事件管理 第1部分：事件管理原理》（</w:t>
      </w:r>
      <w:r>
        <w:fldChar w:fldCharType="begin"/>
      </w:r>
      <w:r>
        <w:instrText xml:space="preserve">HYPERLINK "http://std.samr.gov.cn/gb/search/gbDetailed?id=71F772D82473D3A7E05397BE0A0AB82A" \t "http://std.samr.gov.cn/gb/_blank" </w:instrText>
      </w:r>
      <w:r>
        <w:fldChar w:fldCharType="separate"/>
      </w:r>
      <w:r>
        <w:rPr>
          <w:rFonts w:hint="eastAsia" w:ascii="仿宋_GB2312" w:hAnsi="仿宋_GB2312" w:eastAsia="仿宋_GB2312" w:cs="仿宋_GB2312"/>
          <w:sz w:val="28"/>
          <w:szCs w:val="28"/>
        </w:rPr>
        <w:t>GB/T 20985.1-2017</w:t>
      </w:r>
      <w:r>
        <w:fldChar w:fldCharType="end"/>
      </w:r>
      <w:r>
        <w:rPr>
          <w:rFonts w:hint="eastAsia" w:ascii="仿宋_GB2312" w:hAnsi="仿宋_GB2312" w:eastAsia="仿宋_GB2312" w:cs="仿宋_GB2312"/>
          <w:sz w:val="28"/>
          <w:szCs w:val="28"/>
        </w:rPr>
        <w:t>）；</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 安全技术 信息安全事件管理 第2部分：事件响应规划和准备指南》（GB/T 20985.2-2020）；</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《信息安全技术 信息系统灾难恢复规范》（GB/T 20988-2007）；</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《国家电子政务网络技术和运行管理规范》（GB/T 21061-2007）；</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《政务信息资源交换体系 第1部分：总体框架》（GB/T 21062.1-2007）；</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《政务信息资源交换体系 第2部分：技术要求》（</w:t>
      </w:r>
      <w:r>
        <w:fldChar w:fldCharType="begin"/>
      </w:r>
      <w:r>
        <w:instrText xml:space="preserve">HYPERLINK "http://std.samr.gov.cn/gb/search/gbDetailed?id=71F772D78910D3A7E05397BE0A0AB82A" \t "http://std.samr.gov.cn/gb/_blank" </w:instrText>
      </w:r>
      <w:r>
        <w:fldChar w:fldCharType="separate"/>
      </w:r>
      <w:r>
        <w:rPr>
          <w:rFonts w:hint="eastAsia" w:ascii="仿宋_GB2312" w:hAnsi="仿宋_GB2312" w:eastAsia="仿宋_GB2312" w:cs="仿宋_GB2312"/>
          <w:sz w:val="28"/>
          <w:szCs w:val="28"/>
        </w:rPr>
        <w:t>GB/T 21062.2-2007</w:t>
      </w:r>
      <w:r>
        <w:fldChar w:fldCharType="end"/>
      </w:r>
      <w:r>
        <w:rPr>
          <w:rFonts w:hint="eastAsia" w:ascii="仿宋_GB2312" w:hAnsi="仿宋_GB2312" w:eastAsia="仿宋_GB2312" w:cs="仿宋_GB2312"/>
          <w:sz w:val="28"/>
          <w:szCs w:val="28"/>
        </w:rPr>
        <w:t>）；</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《政务信息资源交换体系 第3部分：数据接口规范》（</w:t>
      </w:r>
      <w:r>
        <w:fldChar w:fldCharType="begin"/>
      </w:r>
      <w:r>
        <w:instrText xml:space="preserve">HYPERLINK "http://std.samr.gov.cn/gb/search/gbDetailed?id=71F772D77FDCD3A7E05397BE0A0AB82A" \t "http://std.samr.gov.cn/gb/_blank" </w:instrText>
      </w:r>
      <w:r>
        <w:fldChar w:fldCharType="separate"/>
      </w:r>
      <w:r>
        <w:rPr>
          <w:rFonts w:hint="eastAsia" w:ascii="仿宋_GB2312" w:hAnsi="仿宋_GB2312" w:eastAsia="仿宋_GB2312" w:cs="仿宋_GB2312"/>
          <w:sz w:val="28"/>
          <w:szCs w:val="28"/>
        </w:rPr>
        <w:t>GB/T 21062.3-2007</w:t>
      </w:r>
      <w:r>
        <w:fldChar w:fldCharType="end"/>
      </w:r>
      <w:r>
        <w:rPr>
          <w:rFonts w:hint="eastAsia" w:ascii="仿宋_GB2312" w:hAnsi="仿宋_GB2312" w:eastAsia="仿宋_GB2312" w:cs="仿宋_GB2312"/>
          <w:sz w:val="28"/>
          <w:szCs w:val="28"/>
        </w:rPr>
        <w:t>）；</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《政务信息资源交换体系 第4部分：技术管理要求》（</w:t>
      </w:r>
      <w:r>
        <w:fldChar w:fldCharType="begin"/>
      </w:r>
      <w:r>
        <w:instrText xml:space="preserve">HYPERLINK "http://std.samr.gov.cn/gb/search/gbDetailed?id=71F772D7F81ED3A7E05397BE0A0AB82A" \t "http://std.samr.gov.cn/gb/_blank" </w:instrText>
      </w:r>
      <w:r>
        <w:fldChar w:fldCharType="separate"/>
      </w:r>
      <w:r>
        <w:rPr>
          <w:rFonts w:hint="eastAsia" w:ascii="仿宋_GB2312" w:hAnsi="仿宋_GB2312" w:eastAsia="仿宋_GB2312" w:cs="仿宋_GB2312"/>
          <w:sz w:val="28"/>
          <w:szCs w:val="28"/>
        </w:rPr>
        <w:t>GB/T 21062.4-2007</w:t>
      </w:r>
      <w:r>
        <w:fldChar w:fldCharType="end"/>
      </w:r>
      <w:r>
        <w:rPr>
          <w:rFonts w:hint="eastAsia" w:ascii="仿宋_GB2312" w:hAnsi="仿宋_GB2312" w:eastAsia="仿宋_GB2312" w:cs="仿宋_GB2312"/>
          <w:sz w:val="28"/>
          <w:szCs w:val="28"/>
        </w:rPr>
        <w:t>）；</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《政务信息资源目录体系 第3部分：核心元数据》（GB/T 21063.3-2007）；</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《电子政务系统总体设计要求》（GB/T 21064-2007）；</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 安全技术 信息安全控制实践指南》（GB/T 22081-2016）；</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《信息安全技术 网络安全等级保护基本要求》（GB/T 22239-2019）；</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《信息安全技术 网络安全等级保护定级指南》（GB/T 22240-2020）；</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《信息安全技术 网络安全等级保护安全设计技术要求》（GB/T 25070-2019）；</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fldChar w:fldCharType="begin"/>
      </w:r>
      <w:r>
        <w:instrText xml:space="preserve">HYPERLINK "http://std.sacinfo.org.cn/home/javascript:;" </w:instrText>
      </w:r>
      <w:r>
        <w:fldChar w:fldCharType="separate"/>
      </w:r>
      <w:r>
        <w:rPr>
          <w:rFonts w:hint="eastAsia" w:ascii="仿宋_GB2312" w:hAnsi="仿宋_GB2312" w:eastAsia="仿宋_GB2312" w:cs="仿宋_GB2312"/>
          <w:sz w:val="28"/>
          <w:szCs w:val="28"/>
        </w:rPr>
        <w:t>网络入侵检测系统技术要求</w:t>
      </w:r>
      <w:r>
        <w:fldChar w:fldCharType="end"/>
      </w:r>
      <w:r>
        <w:rPr>
          <w:rFonts w:hint="eastAsia" w:ascii="仿宋_GB2312" w:hAnsi="仿宋_GB2312" w:eastAsia="仿宋_GB2312" w:cs="仿宋_GB2312"/>
          <w:sz w:val="28"/>
          <w:szCs w:val="28"/>
        </w:rPr>
        <w:t>》（GB/T 26269-2010）；</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《信息安全技术 网络安全等级保护测评要求》（GB/T 28448-2019）；</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《信息安全技术 云计算服务安全指南》（GB/T 31167-2014）；</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《信息安全技术 云计算服务安全能力要求》（GB/T 31168-2014）；</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fldChar w:fldCharType="begin"/>
      </w:r>
      <w:r>
        <w:instrText xml:space="preserve">HYPERLINK "http://std.sacinfo.org.cn/home/javascript:;" </w:instrText>
      </w:r>
      <w:r>
        <w:fldChar w:fldCharType="separate"/>
      </w:r>
      <w:r>
        <w:rPr>
          <w:rFonts w:hint="eastAsia" w:ascii="仿宋_GB2312" w:hAnsi="仿宋_GB2312" w:eastAsia="仿宋_GB2312" w:cs="仿宋_GB2312"/>
          <w:sz w:val="28"/>
          <w:szCs w:val="28"/>
        </w:rPr>
        <w:t>信息技术服务 质量评价指标体系</w:t>
      </w:r>
      <w:r>
        <w:fldChar w:fldCharType="end"/>
      </w:r>
      <w:r>
        <w:rPr>
          <w:rFonts w:hint="eastAsia" w:ascii="仿宋_GB2312" w:hAnsi="仿宋_GB2312" w:eastAsia="仿宋_GB2312" w:cs="仿宋_GB2312"/>
          <w:sz w:val="28"/>
          <w:szCs w:val="28"/>
        </w:rPr>
        <w:t>》（GB/T 33850-2017）；</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《信息安全技术 密码模块安全要求》（GB/T 37092-2018）；</w:t>
      </w:r>
    </w:p>
    <w:p>
      <w:pPr>
        <w:pStyle w:val="50"/>
        <w:numPr>
          <w:ilvl w:val="0"/>
          <w:numId w:val="9"/>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fldChar w:fldCharType="begin"/>
      </w:r>
      <w:r>
        <w:instrText xml:space="preserve">HYPERLINK "http://std.samr.gov.cn/gb/search/gbDetailed?id=BD89DE8E07393D08E05397BE0A0A4FAD" \t "http://std.samr.gov.cn/search/_blank" </w:instrText>
      </w:r>
      <w:r>
        <w:fldChar w:fldCharType="separate"/>
      </w:r>
      <w:r>
        <w:rPr>
          <w:rFonts w:hint="eastAsia" w:ascii="仿宋_GB2312" w:hAnsi="仿宋_GB2312" w:eastAsia="仿宋_GB2312" w:cs="仿宋_GB2312"/>
          <w:sz w:val="28"/>
          <w:szCs w:val="28"/>
        </w:rPr>
        <w:t>信息安全技术 信息系统密码应用基本要求</w:t>
      </w:r>
      <w:r>
        <w:fldChar w:fldCharType="end"/>
      </w:r>
      <w:r>
        <w:rPr>
          <w:rFonts w:hint="eastAsia" w:ascii="仿宋_GB2312" w:hAnsi="仿宋_GB2312" w:eastAsia="仿宋_GB2312" w:cs="仿宋_GB2312"/>
          <w:sz w:val="28"/>
          <w:szCs w:val="28"/>
        </w:rPr>
        <w:t>》（GB/T 39786-2021）。</w:t>
      </w:r>
      <w:bookmarkStart w:id="67" w:name="_Toc5183"/>
    </w:p>
    <w:p>
      <w:pPr>
        <w:pStyle w:val="50"/>
        <w:snapToGrid w:val="0"/>
        <w:spacing w:line="50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3.行业标准</w:t>
      </w:r>
      <w:bookmarkEnd w:id="58"/>
      <w:bookmarkEnd w:id="59"/>
      <w:bookmarkEnd w:id="60"/>
      <w:bookmarkEnd w:id="61"/>
      <w:bookmarkEnd w:id="62"/>
      <w:bookmarkEnd w:id="63"/>
      <w:bookmarkEnd w:id="64"/>
      <w:bookmarkEnd w:id="65"/>
      <w:bookmarkEnd w:id="66"/>
      <w:bookmarkEnd w:id="67"/>
    </w:p>
    <w:p>
      <w:pPr>
        <w:pStyle w:val="50"/>
        <w:numPr>
          <w:ilvl w:val="0"/>
          <w:numId w:val="10"/>
        </w:numPr>
        <w:snapToGrid w:val="0"/>
        <w:spacing w:line="500" w:lineRule="exact"/>
        <w:ind w:left="0" w:firstLine="560"/>
        <w:rPr>
          <w:rFonts w:ascii="仿宋_GB2312" w:hAnsi="仿宋_GB2312" w:eastAsia="仿宋_GB2312" w:cs="仿宋_GB2312"/>
          <w:sz w:val="28"/>
          <w:szCs w:val="28"/>
        </w:rPr>
      </w:pPr>
      <w:bookmarkStart w:id="68" w:name="_Toc73110664"/>
      <w:bookmarkStart w:id="69" w:name="_Toc73027352"/>
      <w:bookmarkStart w:id="70" w:name="_Toc482197019"/>
      <w:bookmarkStart w:id="71" w:name="_Toc530779169"/>
      <w:bookmarkStart w:id="72" w:name="_Toc73027716"/>
      <w:bookmarkStart w:id="73" w:name="_Toc18423527"/>
      <w:bookmarkStart w:id="74" w:name="_Toc73110508"/>
      <w:bookmarkStart w:id="75" w:name="_Toc73027564"/>
      <w:bookmarkStart w:id="76" w:name="_Toc73111438"/>
      <w:r>
        <w:rPr>
          <w:rFonts w:hint="eastAsia" w:ascii="仿宋_GB2312" w:hAnsi="仿宋_GB2312" w:eastAsia="仿宋_GB2312" w:cs="仿宋_GB2312"/>
          <w:sz w:val="28"/>
          <w:szCs w:val="28"/>
        </w:rPr>
        <w:t>《软件能力成熟度模型》（SJ/T 11235-2001）；</w:t>
      </w:r>
    </w:p>
    <w:p>
      <w:pPr>
        <w:pStyle w:val="50"/>
        <w:numPr>
          <w:ilvl w:val="0"/>
          <w:numId w:val="10"/>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《软件过程能力评估模型》（SJ/T 11234-2001）；</w:t>
      </w:r>
    </w:p>
    <w:p>
      <w:pPr>
        <w:pStyle w:val="50"/>
        <w:numPr>
          <w:ilvl w:val="0"/>
          <w:numId w:val="10"/>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《数字接口内容保护系统技术规范》（SJ/T 11407-2009）；</w:t>
      </w:r>
    </w:p>
    <w:p>
      <w:pPr>
        <w:pStyle w:val="50"/>
        <w:numPr>
          <w:ilvl w:val="0"/>
          <w:numId w:val="10"/>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《软件构件图形用户界面图元构件描述规范》（SJ/T 11408-2009）；</w:t>
      </w:r>
    </w:p>
    <w:p>
      <w:pPr>
        <w:pStyle w:val="50"/>
        <w:numPr>
          <w:ilvl w:val="0"/>
          <w:numId w:val="10"/>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《软件构件模型》（SJ/T 11409-2009）；</w:t>
      </w:r>
    </w:p>
    <w:p>
      <w:pPr>
        <w:pStyle w:val="50"/>
        <w:numPr>
          <w:ilvl w:val="0"/>
          <w:numId w:val="10"/>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《数据传输链路和系统的性能分配及限值》（YD/T 819-1996）；</w:t>
      </w:r>
    </w:p>
    <w:p>
      <w:pPr>
        <w:pStyle w:val="50"/>
        <w:numPr>
          <w:ilvl w:val="0"/>
          <w:numId w:val="10"/>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《信息技术系统间近距离无线通信及信息交换的接口和协议》（ISO18092）；</w:t>
      </w:r>
    </w:p>
    <w:p>
      <w:pPr>
        <w:pStyle w:val="50"/>
        <w:numPr>
          <w:ilvl w:val="0"/>
          <w:numId w:val="10"/>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《国家电子政务外网安全标准汇编》(国家电子政务外网管理中心)；</w:t>
      </w:r>
    </w:p>
    <w:p>
      <w:pPr>
        <w:pStyle w:val="50"/>
        <w:numPr>
          <w:ilvl w:val="0"/>
          <w:numId w:val="10"/>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《云计算资源池系统设备安装工程设计规范》（YD/T 5227-2015）；</w:t>
      </w:r>
    </w:p>
    <w:p>
      <w:pPr>
        <w:pStyle w:val="50"/>
        <w:numPr>
          <w:ilvl w:val="0"/>
          <w:numId w:val="10"/>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《计算机病毒防治系统技术要求》（GJB 5368-2005）；</w:t>
      </w:r>
    </w:p>
    <w:p>
      <w:pPr>
        <w:pStyle w:val="50"/>
        <w:numPr>
          <w:ilvl w:val="0"/>
          <w:numId w:val="10"/>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《网络与信息安全应急处理服务资质评估方法》（YD/T1799-2008）；</w:t>
      </w:r>
    </w:p>
    <w:p>
      <w:pPr>
        <w:pStyle w:val="50"/>
        <w:numPr>
          <w:ilvl w:val="0"/>
          <w:numId w:val="10"/>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《信息安全运行管理系统总体架构》（YD/T1800-2008）。</w:t>
      </w:r>
    </w:p>
    <w:p>
      <w:pPr>
        <w:pStyle w:val="4"/>
        <w:numPr>
          <w:ilvl w:val="2"/>
          <w:numId w:val="0"/>
        </w:numPr>
        <w:snapToGrid w:val="0"/>
        <w:spacing w:line="500" w:lineRule="exact"/>
        <w:ind w:right="240"/>
        <w:rPr>
          <w:rFonts w:ascii="仿宋_GB2312" w:hAnsi="仿宋_GB2312" w:eastAsia="仿宋_GB2312" w:cs="仿宋_GB2312"/>
          <w:sz w:val="28"/>
          <w:szCs w:val="28"/>
        </w:rPr>
      </w:pPr>
      <w:bookmarkStart w:id="77" w:name="_Toc12249"/>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val="0"/>
          <w:bCs/>
          <w:sz w:val="28"/>
          <w:szCs w:val="28"/>
        </w:rPr>
        <w:t>4.其他依据</w:t>
      </w:r>
      <w:bookmarkEnd w:id="68"/>
      <w:bookmarkEnd w:id="69"/>
      <w:bookmarkEnd w:id="70"/>
      <w:bookmarkEnd w:id="71"/>
      <w:bookmarkEnd w:id="72"/>
      <w:bookmarkEnd w:id="73"/>
      <w:bookmarkEnd w:id="74"/>
      <w:bookmarkEnd w:id="75"/>
      <w:bookmarkEnd w:id="76"/>
      <w:bookmarkEnd w:id="77"/>
    </w:p>
    <w:p>
      <w:pPr>
        <w:pStyle w:val="50"/>
        <w:numPr>
          <w:ilvl w:val="0"/>
          <w:numId w:val="11"/>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国家和新疆现行的相关法律、法规、规范、规程、标准、规定、标准设计图集等；</w:t>
      </w:r>
    </w:p>
    <w:p>
      <w:pPr>
        <w:pStyle w:val="50"/>
        <w:numPr>
          <w:ilvl w:val="0"/>
          <w:numId w:val="11"/>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《电子建设工程预算定额》（2015年）；</w:t>
      </w:r>
    </w:p>
    <w:p>
      <w:pPr>
        <w:pStyle w:val="50"/>
        <w:numPr>
          <w:ilvl w:val="0"/>
          <w:numId w:val="11"/>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《工程勘察设计收费管理规定》（计价格〔2002〕10号）；</w:t>
      </w:r>
    </w:p>
    <w:p>
      <w:pPr>
        <w:pStyle w:val="50"/>
        <w:numPr>
          <w:ilvl w:val="0"/>
          <w:numId w:val="11"/>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《基本建设项目建设成本管理规定》（财建〔2016〕504号）；</w:t>
      </w:r>
    </w:p>
    <w:p>
      <w:pPr>
        <w:pStyle w:val="50"/>
        <w:numPr>
          <w:ilvl w:val="0"/>
          <w:numId w:val="11"/>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建设单位提供的相关资料；</w:t>
      </w:r>
    </w:p>
    <w:p>
      <w:pPr>
        <w:pStyle w:val="50"/>
        <w:numPr>
          <w:ilvl w:val="0"/>
          <w:numId w:val="11"/>
        </w:numPr>
        <w:snapToGrid w:val="0"/>
        <w:spacing w:line="500" w:lineRule="exact"/>
        <w:ind w:left="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设计人员现场调研、勘察资料；</w:t>
      </w:r>
    </w:p>
    <w:p>
      <w:pPr>
        <w:pStyle w:val="50"/>
        <w:numPr>
          <w:ilvl w:val="0"/>
          <w:numId w:val="11"/>
        </w:numPr>
        <w:snapToGrid w:val="0"/>
        <w:spacing w:line="500" w:lineRule="exact"/>
        <w:ind w:left="0" w:firstLine="560"/>
        <w:rPr>
          <w:rFonts w:eastAsia="宋体" w:cs="宋体"/>
          <w:sz w:val="28"/>
          <w:szCs w:val="28"/>
        </w:rPr>
      </w:pPr>
      <w:r>
        <w:rPr>
          <w:rFonts w:hint="eastAsia" w:ascii="仿宋_GB2312" w:hAnsi="仿宋_GB2312" w:eastAsia="仿宋_GB2312" w:cs="仿宋_GB2312"/>
          <w:sz w:val="28"/>
          <w:szCs w:val="28"/>
        </w:rPr>
        <w:t>相关设备厂家提供的技术方案及询价响应文件；</w:t>
      </w:r>
    </w:p>
    <w:p>
      <w:pPr>
        <w:ind w:firstLine="560"/>
        <w:rPr>
          <w:rFonts w:ascii="仿宋_GB2312" w:hAnsi="仿宋_GB2312" w:eastAsia="仿宋_GB2312" w:cs="仿宋_GB2312"/>
          <w:color w:val="000000"/>
          <w:sz w:val="28"/>
          <w:szCs w:val="28"/>
        </w:rPr>
      </w:pPr>
      <w:r>
        <w:rPr>
          <w:rFonts w:hint="eastAsia" w:ascii="黑体" w:hAnsi="黑体" w:eastAsia="黑体" w:cs="黑体"/>
          <w:sz w:val="28"/>
          <w:szCs w:val="28"/>
        </w:rPr>
        <w:t xml:space="preserve">  </w:t>
      </w:r>
      <w:bookmarkEnd w:id="49"/>
      <w:bookmarkEnd w:id="50"/>
      <w:bookmarkStart w:id="78" w:name="_Toc17289"/>
    </w:p>
    <w:p>
      <w:pPr>
        <w:pStyle w:val="3"/>
        <w:numPr>
          <w:ilvl w:val="1"/>
          <w:numId w:val="0"/>
        </w:numPr>
        <w:rPr>
          <w:rFonts w:ascii="黑体" w:hAnsi="黑体" w:eastAsia="黑体" w:cs="黑体"/>
          <w:b w:val="0"/>
          <w:bCs/>
          <w:sz w:val="28"/>
          <w:szCs w:val="28"/>
        </w:rPr>
      </w:pPr>
      <w:bookmarkStart w:id="79" w:name="_Toc30318"/>
      <w:r>
        <w:rPr>
          <w:rFonts w:hint="eastAsia" w:ascii="黑体" w:hAnsi="黑体" w:eastAsia="黑体" w:cs="黑体"/>
          <w:b w:val="0"/>
          <w:bCs/>
          <w:sz w:val="28"/>
          <w:szCs w:val="28"/>
        </w:rPr>
        <w:t xml:space="preserve">    七.安装、调试、售后服务及技术支持</w:t>
      </w:r>
      <w:bookmarkEnd w:id="78"/>
      <w:bookmarkEnd w:id="79"/>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1.系统软件开发周期为签订合同后的</w:t>
      </w:r>
      <w:r>
        <w:rPr>
          <w:rFonts w:hint="eastAsia" w:ascii="仿宋_GB2312" w:hAnsi="仿宋_GB2312" w:eastAsia="仿宋_GB2312" w:cs="仿宋_GB2312"/>
          <w:b w:val="0"/>
          <w:bCs w:val="0"/>
          <w:color w:val="000000"/>
          <w:sz w:val="28"/>
          <w:szCs w:val="28"/>
          <w:lang w:val="en-US" w:eastAsia="zh-CN"/>
        </w:rPr>
        <w:t>8</w:t>
      </w:r>
      <w:r>
        <w:rPr>
          <w:rFonts w:hint="eastAsia" w:ascii="仿宋_GB2312" w:hAnsi="仿宋_GB2312" w:eastAsia="仿宋_GB2312" w:cs="仿宋_GB2312"/>
          <w:sz w:val="28"/>
          <w:szCs w:val="28"/>
        </w:rPr>
        <w:t>个月，中标人（单位）需组织专人严格按招标文件的详细需求与招标方进行功能细化和技术开发，并进行系统软件的安装、调试、维护。</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2.中标人应免费提供1年系统软件维护、升级和技术支持等服务，及时解决问题，确保系统业务正常运行。</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3.中标人必需提供7*24小时服务，出现故障后，一般性问题在8小时内解决；重大型故障，在4小时到现场响应，48小时之内解决问题。</w:t>
      </w:r>
    </w:p>
    <w:p>
      <w:pPr>
        <w:ind w:firstLine="560"/>
        <w:rPr>
          <w:rFonts w:ascii="仿宋_GB2312" w:hAnsi="仿宋_GB2312" w:eastAsia="仿宋_GB2312" w:cs="仿宋_GB2312"/>
          <w:sz w:val="28"/>
          <w:szCs w:val="28"/>
        </w:rPr>
      </w:pPr>
      <w:bookmarkStart w:id="80" w:name="_Toc456770940"/>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平台本次</w:t>
      </w:r>
      <w:r>
        <w:rPr>
          <w:rFonts w:ascii="仿宋_GB2312" w:hAnsi="仿宋_GB2312" w:eastAsia="仿宋_GB2312" w:cs="仿宋_GB2312"/>
          <w:sz w:val="28"/>
          <w:szCs w:val="28"/>
        </w:rPr>
        <w:t>项目产生的</w:t>
      </w:r>
      <w:r>
        <w:rPr>
          <w:rFonts w:hint="eastAsia" w:ascii="仿宋_GB2312" w:hAnsi="仿宋_GB2312" w:eastAsia="仿宋_GB2312" w:cs="仿宋_GB2312"/>
          <w:sz w:val="28"/>
          <w:szCs w:val="28"/>
        </w:rPr>
        <w:t>开发源代码、平台所有权、知识产权、软件著作权归招标方所有。</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5.中标方必需确保其维护的本系统的数据安全；该数据所有权为招标方，未经其允许，中标方不得随意使用和复制，否则招标方将追究其法律责任。</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中标方需根据招标方要求，完成好信息资源共享目录编制与维护。</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7.中标人需准备有成熟的紧急故障处理应急方案，保证紧急情况下快速故障处理，缩短故障处理时限。</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8.中标人在进行系统版本升级时，需提前3个工作日提供信息通告，并做好数据备份，升级完成后联系使用方相关人员确认系统是否正常运行。</w:t>
      </w:r>
    </w:p>
    <w:p>
      <w:pPr>
        <w:pStyle w:val="33"/>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9.</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中标人需配合招标方完成与各设备厂商的技术对接，并出具测试报告，所产生的工时费由中标人与相应厂商协量解决。</w:t>
      </w:r>
      <w:bookmarkEnd w:id="80"/>
    </w:p>
    <w:p>
      <w:pPr>
        <w:pStyle w:val="23"/>
        <w:spacing w:after="240"/>
        <w:rPr>
          <w:rFonts w:ascii="宋体" w:hAnsi="宋体"/>
          <w:sz w:val="36"/>
          <w:szCs w:val="36"/>
        </w:rPr>
      </w:pPr>
    </w:p>
    <w:p>
      <w:pPr>
        <w:ind w:firstLine="720"/>
        <w:rPr>
          <w:sz w:val="36"/>
          <w:szCs w:val="36"/>
        </w:rPr>
      </w:pPr>
    </w:p>
    <w:p>
      <w:pPr>
        <w:pStyle w:val="33"/>
        <w:ind w:firstLine="360"/>
        <w:rPr>
          <w:sz w:val="36"/>
          <w:szCs w:val="36"/>
        </w:rPr>
      </w:pPr>
    </w:p>
    <w:p>
      <w:pPr>
        <w:pStyle w:val="33"/>
        <w:ind w:firstLine="360"/>
        <w:rPr>
          <w:sz w:val="36"/>
          <w:szCs w:val="36"/>
        </w:rPr>
      </w:pPr>
    </w:p>
    <w:p>
      <w:pPr>
        <w:pStyle w:val="23"/>
        <w:spacing w:after="240"/>
        <w:rPr>
          <w:rFonts w:ascii="宋体" w:hAnsi="宋体"/>
          <w:sz w:val="36"/>
          <w:szCs w:val="36"/>
        </w:rPr>
      </w:pPr>
    </w:p>
    <w:p>
      <w:pPr>
        <w:ind w:firstLine="720"/>
        <w:rPr>
          <w:sz w:val="36"/>
          <w:szCs w:val="36"/>
        </w:rPr>
      </w:pPr>
    </w:p>
    <w:p>
      <w:pPr>
        <w:pStyle w:val="33"/>
        <w:ind w:firstLine="360"/>
        <w:rPr>
          <w:sz w:val="36"/>
          <w:szCs w:val="36"/>
        </w:rPr>
      </w:pPr>
    </w:p>
    <w:p>
      <w:pPr>
        <w:pStyle w:val="33"/>
        <w:ind w:firstLine="360"/>
        <w:rPr>
          <w:sz w:val="36"/>
          <w:szCs w:val="36"/>
        </w:rPr>
      </w:pPr>
    </w:p>
    <w:p>
      <w:pPr>
        <w:pStyle w:val="33"/>
        <w:ind w:firstLine="360"/>
        <w:rPr>
          <w:sz w:val="36"/>
          <w:szCs w:val="36"/>
        </w:rPr>
      </w:pPr>
    </w:p>
    <w:p>
      <w:pPr>
        <w:ind w:firstLine="0" w:firstLineChars="0"/>
        <w:outlineLvl w:val="0"/>
        <w:rPr>
          <w:rFonts w:hint="eastAsia" w:ascii="黑体" w:hAnsi="黑体" w:eastAsia="黑体" w:cs="黑体"/>
          <w:b/>
        </w:rPr>
      </w:pPr>
      <w:bookmarkStart w:id="81" w:name="_Toc26526"/>
      <w:bookmarkStart w:id="82" w:name="_Toc268426420"/>
      <w:bookmarkStart w:id="83" w:name="第六部分"/>
      <w:r>
        <w:rPr>
          <w:rFonts w:hint="eastAsia" w:ascii="黑体" w:hAnsi="黑体" w:eastAsia="黑体" w:cs="黑体"/>
          <w:b/>
        </w:rPr>
        <w:t xml:space="preserve">                 </w:t>
      </w:r>
    </w:p>
    <w:p>
      <w:pPr>
        <w:ind w:firstLine="0" w:firstLineChars="0"/>
        <w:outlineLvl w:val="0"/>
        <w:rPr>
          <w:rFonts w:hint="eastAsia" w:ascii="黑体" w:hAnsi="黑体" w:eastAsia="黑体" w:cs="黑体"/>
          <w:b/>
        </w:rPr>
      </w:pPr>
    </w:p>
    <w:p>
      <w:pPr>
        <w:ind w:firstLine="0" w:firstLineChars="0"/>
        <w:outlineLvl w:val="0"/>
        <w:rPr>
          <w:rFonts w:hint="eastAsia" w:ascii="黑体" w:hAnsi="黑体" w:eastAsia="黑体" w:cs="黑体"/>
          <w:b/>
        </w:rPr>
      </w:pPr>
    </w:p>
    <w:p>
      <w:pPr>
        <w:ind w:firstLine="0" w:firstLineChars="0"/>
        <w:outlineLvl w:val="0"/>
        <w:rPr>
          <w:rFonts w:hint="eastAsia" w:ascii="黑体" w:hAnsi="黑体" w:eastAsia="黑体" w:cs="黑体"/>
          <w:b/>
        </w:rPr>
      </w:pPr>
    </w:p>
    <w:p>
      <w:pPr>
        <w:ind w:firstLine="0" w:firstLineChars="0"/>
        <w:outlineLvl w:val="0"/>
        <w:rPr>
          <w:rFonts w:ascii="黑体" w:hAnsi="黑体" w:eastAsia="黑体" w:cs="黑体"/>
          <w:b/>
        </w:rPr>
      </w:pPr>
      <w:r>
        <w:rPr>
          <w:rFonts w:hint="eastAsia" w:ascii="黑体" w:hAnsi="黑体" w:eastAsia="黑体" w:cs="黑体"/>
          <w:b/>
          <w:lang w:val="en-US" w:eastAsia="zh-CN"/>
        </w:rPr>
        <w:t xml:space="preserve">                  </w:t>
      </w:r>
      <w:r>
        <w:rPr>
          <w:rFonts w:hint="eastAsia" w:ascii="黑体" w:hAnsi="黑体" w:eastAsia="黑体" w:cs="黑体"/>
          <w:b/>
        </w:rPr>
        <w:t xml:space="preserve"> 第六章 投标文件格式</w:t>
      </w:r>
      <w:bookmarkEnd w:id="81"/>
      <w:bookmarkEnd w:id="82"/>
    </w:p>
    <w:p>
      <w:pPr>
        <w:ind w:firstLine="640"/>
        <w:jc w:val="center"/>
        <w:rPr>
          <w:rFonts w:eastAsia="宋体" w:cs="宋体"/>
        </w:rPr>
      </w:pPr>
      <w:r>
        <w:rPr>
          <w:rFonts w:hint="eastAsia" w:eastAsia="宋体" w:cs="宋体"/>
        </w:rPr>
        <w:t>（投标文件制作格式）</w:t>
      </w:r>
      <w:bookmarkEnd w:id="83"/>
    </w:p>
    <w:p>
      <w:pPr>
        <w:ind w:firstLine="640"/>
      </w:pPr>
    </w:p>
    <w:p>
      <w:pPr>
        <w:ind w:firstLine="640"/>
      </w:pPr>
    </w:p>
    <w:p>
      <w:pPr>
        <w:ind w:firstLine="640"/>
      </w:pPr>
    </w:p>
    <w:p>
      <w:pPr>
        <w:ind w:firstLine="602"/>
        <w:jc w:val="right"/>
        <w:rPr>
          <w:b/>
          <w:bCs/>
          <w:sz w:val="30"/>
          <w:szCs w:val="30"/>
          <w:bdr w:val="single" w:color="auto" w:sz="4" w:space="0"/>
        </w:rPr>
      </w:pPr>
      <w:r>
        <w:rPr>
          <w:rFonts w:hint="eastAsia"/>
          <w:b/>
          <w:bCs/>
          <w:sz w:val="30"/>
          <w:szCs w:val="30"/>
          <w:bdr w:val="single" w:color="auto" w:sz="4" w:space="0"/>
        </w:rPr>
        <w:t>正本</w:t>
      </w:r>
      <w:r>
        <w:rPr>
          <w:b/>
          <w:bCs/>
          <w:sz w:val="30"/>
          <w:szCs w:val="30"/>
          <w:bdr w:val="single" w:color="auto" w:sz="4" w:space="0"/>
        </w:rPr>
        <w:t>(</w:t>
      </w:r>
      <w:r>
        <w:rPr>
          <w:rFonts w:hint="eastAsia"/>
          <w:b/>
          <w:bCs/>
          <w:sz w:val="30"/>
          <w:szCs w:val="30"/>
          <w:bdr w:val="single" w:color="auto" w:sz="4" w:space="0"/>
        </w:rPr>
        <w:t>或副本</w:t>
      </w:r>
      <w:r>
        <w:rPr>
          <w:b/>
          <w:bCs/>
          <w:sz w:val="30"/>
          <w:szCs w:val="30"/>
          <w:bdr w:val="single" w:color="auto" w:sz="4" w:space="0"/>
        </w:rPr>
        <w:t>)</w:t>
      </w:r>
    </w:p>
    <w:p>
      <w:pPr>
        <w:spacing w:line="360" w:lineRule="auto"/>
        <w:ind w:firstLine="602"/>
        <w:jc w:val="center"/>
        <w:rPr>
          <w:b/>
          <w:bCs/>
          <w:sz w:val="30"/>
          <w:szCs w:val="30"/>
        </w:rPr>
      </w:pPr>
    </w:p>
    <w:p>
      <w:pPr>
        <w:spacing w:line="360" w:lineRule="auto"/>
        <w:ind w:firstLine="0" w:firstLineChars="0"/>
        <w:rPr>
          <w:rFonts w:ascii="方正小标宋简体" w:eastAsia="方正小标宋简体"/>
          <w:bCs/>
          <w:sz w:val="44"/>
          <w:szCs w:val="44"/>
        </w:rPr>
      </w:pPr>
      <w:r>
        <w:rPr>
          <w:rFonts w:hint="eastAsia" w:ascii="方正小标宋简体" w:eastAsia="方正小标宋简体"/>
          <w:bCs/>
          <w:sz w:val="44"/>
          <w:szCs w:val="44"/>
        </w:rPr>
        <w:t xml:space="preserve">                XXX项目</w:t>
      </w:r>
    </w:p>
    <w:p>
      <w:pPr>
        <w:pStyle w:val="41"/>
        <w:spacing w:line="360" w:lineRule="atLeast"/>
        <w:ind w:firstLine="723"/>
        <w:jc w:val="center"/>
        <w:rPr>
          <w:rFonts w:ascii="宋体" w:hAnsi="宋体" w:cs="仿宋"/>
          <w:color w:val="auto"/>
          <w:sz w:val="36"/>
          <w:szCs w:val="36"/>
        </w:rPr>
      </w:pPr>
      <w:r>
        <w:rPr>
          <w:rFonts w:hint="eastAsia" w:ascii="宋体" w:hAnsi="宋体" w:cs="仿宋"/>
          <w:b/>
          <w:color w:val="auto"/>
          <w:sz w:val="36"/>
          <w:szCs w:val="36"/>
        </w:rPr>
        <w:t>投 标 文 件</w:t>
      </w:r>
    </w:p>
    <w:p>
      <w:pPr>
        <w:pStyle w:val="41"/>
        <w:ind w:firstLine="560"/>
        <w:jc w:val="center"/>
        <w:rPr>
          <w:rFonts w:ascii="宋体" w:hAnsi="宋体" w:cs="仿宋"/>
          <w:color w:val="auto"/>
          <w:sz w:val="28"/>
          <w:szCs w:val="28"/>
        </w:rPr>
      </w:pPr>
      <w:r>
        <w:rPr>
          <w:rFonts w:hint="eastAsia" w:ascii="宋体" w:hAnsi="宋体" w:cs="仿宋"/>
          <w:color w:val="auto"/>
          <w:sz w:val="28"/>
          <w:szCs w:val="28"/>
        </w:rPr>
        <w:t>（正本/副本）</w:t>
      </w:r>
    </w:p>
    <w:p>
      <w:pPr>
        <w:pStyle w:val="41"/>
        <w:ind w:firstLine="560"/>
        <w:jc w:val="center"/>
        <w:rPr>
          <w:rFonts w:ascii="宋体" w:hAnsi="宋体" w:cs="仿宋"/>
          <w:color w:val="auto"/>
          <w:sz w:val="28"/>
          <w:szCs w:val="28"/>
        </w:rPr>
      </w:pPr>
    </w:p>
    <w:p>
      <w:pPr>
        <w:spacing w:line="360" w:lineRule="auto"/>
        <w:ind w:firstLine="0" w:firstLineChars="0"/>
        <w:rPr>
          <w:rFonts w:ascii="方正小标宋简体" w:eastAsia="方正小标宋简体"/>
          <w:sz w:val="44"/>
          <w:szCs w:val="44"/>
        </w:rPr>
      </w:pPr>
    </w:p>
    <w:p>
      <w:pPr>
        <w:spacing w:line="360" w:lineRule="auto"/>
        <w:ind w:firstLine="723"/>
        <w:rPr>
          <w:b/>
          <w:sz w:val="36"/>
          <w:szCs w:val="36"/>
        </w:rPr>
      </w:pPr>
    </w:p>
    <w:p>
      <w:pPr>
        <w:spacing w:line="360" w:lineRule="auto"/>
        <w:ind w:firstLine="600"/>
        <w:rPr>
          <w:color w:val="000000"/>
          <w:sz w:val="30"/>
        </w:rPr>
      </w:pPr>
    </w:p>
    <w:p>
      <w:pPr>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 目 名 称：</w:t>
      </w:r>
      <w:r>
        <w:rPr>
          <w:rFonts w:hint="eastAsia" w:ascii="仿宋_GB2312" w:hAnsi="仿宋_GB2312" w:eastAsia="仿宋_GB2312" w:cs="仿宋_GB2312"/>
          <w:kern w:val="0"/>
          <w:sz w:val="28"/>
          <w:szCs w:val="28"/>
          <w:u w:val="single"/>
        </w:rPr>
        <w:t xml:space="preserve">                                         </w:t>
      </w:r>
    </w:p>
    <w:p>
      <w:pPr>
        <w:pStyle w:val="41"/>
        <w:spacing w:line="360" w:lineRule="auto"/>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 目 编 号：</w:t>
      </w:r>
      <w:r>
        <w:rPr>
          <w:rFonts w:hint="eastAsia" w:ascii="仿宋_GB2312" w:hAnsi="仿宋_GB2312" w:eastAsia="仿宋_GB2312" w:cs="仿宋_GB2312"/>
          <w:color w:val="auto"/>
          <w:sz w:val="28"/>
          <w:szCs w:val="28"/>
          <w:u w:val="single"/>
        </w:rPr>
        <w:t xml:space="preserve">                                         </w:t>
      </w:r>
    </w:p>
    <w:p>
      <w:pPr>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p>
      <w:pPr>
        <w:spacing w:line="360" w:lineRule="auto"/>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投标人名 称：</w:t>
      </w:r>
      <w:r>
        <w:rPr>
          <w:rFonts w:hint="eastAsia" w:ascii="仿宋_GB2312" w:hAnsi="仿宋_GB2312" w:eastAsia="仿宋_GB2312" w:cs="仿宋_GB2312"/>
          <w:kern w:val="0"/>
          <w:sz w:val="28"/>
          <w:szCs w:val="28"/>
          <w:u w:val="single"/>
        </w:rPr>
        <w:t xml:space="preserve">                             （加盖公章） </w:t>
      </w:r>
    </w:p>
    <w:p>
      <w:pPr>
        <w:spacing w:line="360" w:lineRule="auto"/>
        <w:ind w:firstLine="0" w:firstLineChars="0"/>
        <w:rPr>
          <w:rFonts w:cs="宋体"/>
          <w:b/>
          <w:bCs/>
          <w:sz w:val="28"/>
          <w:szCs w:val="28"/>
        </w:rPr>
      </w:pPr>
      <w:r>
        <w:rPr>
          <w:rFonts w:hint="eastAsia" w:ascii="仿宋_GB2312" w:hAnsi="仿宋_GB2312" w:eastAsia="仿宋_GB2312" w:cs="仿宋_GB2312"/>
          <w:kern w:val="0"/>
          <w:sz w:val="28"/>
          <w:szCs w:val="28"/>
        </w:rPr>
        <w:t xml:space="preserve">                                  </w:t>
      </w:r>
      <w:r>
        <w:rPr>
          <w:rFonts w:hint="eastAsia" w:cs="宋体"/>
          <w:bCs/>
          <w:sz w:val="28"/>
          <w:szCs w:val="28"/>
        </w:rPr>
        <w:t xml:space="preserve"> </w:t>
      </w:r>
      <w:r>
        <w:rPr>
          <w:rFonts w:cs="宋体"/>
          <w:bCs/>
          <w:sz w:val="28"/>
          <w:szCs w:val="28"/>
        </w:rPr>
        <w:t>20</w:t>
      </w:r>
      <w:r>
        <w:rPr>
          <w:rFonts w:hint="eastAsia" w:cs="宋体"/>
          <w:bCs/>
          <w:sz w:val="28"/>
          <w:szCs w:val="28"/>
        </w:rPr>
        <w:t>21年</w:t>
      </w:r>
      <w:r>
        <w:rPr>
          <w:rFonts w:hint="eastAsia" w:cs="宋体"/>
          <w:bCs/>
          <w:sz w:val="28"/>
          <w:szCs w:val="28"/>
          <w:u w:val="single"/>
        </w:rPr>
        <w:t xml:space="preserve">   </w:t>
      </w:r>
      <w:r>
        <w:rPr>
          <w:rFonts w:hint="eastAsia" w:cs="宋体"/>
          <w:bCs/>
          <w:sz w:val="28"/>
          <w:szCs w:val="28"/>
        </w:rPr>
        <w:t>月</w:t>
      </w:r>
      <w:r>
        <w:rPr>
          <w:rFonts w:cs="宋体"/>
          <w:bCs/>
          <w:sz w:val="28"/>
          <w:szCs w:val="28"/>
          <w:u w:val="single"/>
        </w:rPr>
        <w:t xml:space="preserve">   </w:t>
      </w:r>
      <w:r>
        <w:rPr>
          <w:rFonts w:hint="eastAsia" w:cs="宋体"/>
          <w:bCs/>
          <w:sz w:val="28"/>
          <w:szCs w:val="28"/>
        </w:rPr>
        <w:t>日</w:t>
      </w:r>
    </w:p>
    <w:p>
      <w:pPr>
        <w:ind w:firstLine="723"/>
        <w:rPr>
          <w:b/>
          <w:bCs/>
          <w:sz w:val="36"/>
          <w:szCs w:val="36"/>
        </w:rPr>
      </w:pPr>
      <w:r>
        <w:rPr>
          <w:rFonts w:hint="eastAsia"/>
          <w:b/>
          <w:bCs/>
          <w:sz w:val="36"/>
          <w:szCs w:val="36"/>
        </w:rPr>
        <w:br w:type="page"/>
      </w:r>
    </w:p>
    <w:p>
      <w:pPr>
        <w:ind w:firstLine="723"/>
        <w:jc w:val="center"/>
        <w:rPr>
          <w:rFonts w:eastAsia="宋体" w:cs="宋体"/>
          <w:b/>
          <w:sz w:val="36"/>
          <w:szCs w:val="36"/>
        </w:rPr>
      </w:pPr>
      <w:r>
        <w:rPr>
          <w:rFonts w:hint="eastAsia" w:eastAsia="宋体" w:cs="宋体"/>
          <w:b/>
          <w:bCs/>
          <w:sz w:val="36"/>
          <w:szCs w:val="36"/>
        </w:rPr>
        <w:t>目   录</w:t>
      </w:r>
    </w:p>
    <w:p>
      <w:pPr>
        <w:tabs>
          <w:tab w:val="left" w:pos="3443"/>
        </w:tabs>
        <w:spacing w:line="440" w:lineRule="exact"/>
        <w:ind w:firstLine="480"/>
        <w:rPr>
          <w:sz w:val="24"/>
        </w:rPr>
      </w:pPr>
      <w:r>
        <w:rPr>
          <w:sz w:val="24"/>
        </w:rPr>
        <w:tab/>
      </w:r>
    </w:p>
    <w:p>
      <w:pPr>
        <w:spacing w:line="440" w:lineRule="exact"/>
        <w:ind w:firstLine="480"/>
        <w:rPr>
          <w:sz w:val="24"/>
        </w:rPr>
      </w:pPr>
    </w:p>
    <w:p>
      <w:pPr>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（一）投标函；</w:t>
      </w:r>
    </w:p>
    <w:p>
      <w:pPr>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（二）法定代表人身份证明或法定代表人授权委托书；</w:t>
      </w:r>
    </w:p>
    <w:p>
      <w:pPr>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（三）开标一览表；</w:t>
      </w:r>
    </w:p>
    <w:p>
      <w:pPr>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保证金提交证明；</w:t>
      </w:r>
    </w:p>
    <w:p>
      <w:pPr>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（五）投标供应商资格证明文件，包括：</w:t>
      </w:r>
    </w:p>
    <w:p>
      <w:pPr>
        <w:spacing w:line="44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1. 关于资格的声明函；</w:t>
      </w:r>
    </w:p>
    <w:p>
      <w:pPr>
        <w:spacing w:line="44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2. 投标人基本情况表；</w:t>
      </w:r>
    </w:p>
    <w:p>
      <w:pPr>
        <w:spacing w:line="44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3. 信用查询记录；</w:t>
      </w:r>
    </w:p>
    <w:p>
      <w:pPr>
        <w:spacing w:line="44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4. 近三年内已完成的类似项目业绩；</w:t>
      </w:r>
    </w:p>
    <w:p>
      <w:pPr>
        <w:spacing w:line="440" w:lineRule="exact"/>
        <w:ind w:firstLine="543" w:firstLineChars="194"/>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 项目整体服务方案；</w:t>
      </w:r>
    </w:p>
    <w:p>
      <w:pPr>
        <w:spacing w:line="440" w:lineRule="exact"/>
        <w:ind w:firstLine="543" w:firstLineChars="194"/>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 项目负责人简历表及拟投入本项目主要成员表；</w:t>
      </w:r>
    </w:p>
    <w:p>
      <w:pPr>
        <w:spacing w:line="44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（八） 服务承诺书；</w:t>
      </w:r>
    </w:p>
    <w:p>
      <w:pPr>
        <w:spacing w:line="440" w:lineRule="exact"/>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（九）偏离表；</w:t>
      </w:r>
    </w:p>
    <w:p>
      <w:pPr>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（十） 其他有利资料；</w:t>
      </w:r>
    </w:p>
    <w:p>
      <w:pPr>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（十一 ） 投标单位反商业贿赂承诺书。</w:t>
      </w:r>
    </w:p>
    <w:p>
      <w:pPr>
        <w:spacing w:line="440" w:lineRule="exact"/>
        <w:ind w:left="0" w:leftChars="0" w:firstLine="0" w:firstLineChars="0"/>
        <w:jc w:val="both"/>
        <w:rPr>
          <w:rFonts w:ascii="仿宋_GB2312" w:hAnsi="仿宋_GB2312" w:eastAsia="仿宋_GB2312" w:cs="仿宋_GB2312"/>
          <w:b/>
          <w:sz w:val="28"/>
          <w:szCs w:val="28"/>
        </w:rPr>
      </w:pPr>
      <w:r>
        <w:rPr>
          <w:rFonts w:hint="eastAsia" w:cs="仿宋"/>
          <w:b/>
          <w:bCs/>
          <w:kern w:val="0"/>
          <w:sz w:val="36"/>
          <w:szCs w:val="36"/>
          <w:lang w:val="en-US" w:eastAsia="zh-CN"/>
        </w:rPr>
        <w:t xml:space="preserve">   </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十二</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退投标保证金的函</w:t>
      </w:r>
    </w:p>
    <w:p>
      <w:pPr>
        <w:spacing w:line="520" w:lineRule="exact"/>
        <w:ind w:firstLine="562"/>
        <w:jc w:val="center"/>
        <w:rPr>
          <w:rFonts w:ascii="仿宋_GB2312" w:hAnsi="仿宋_GB2312" w:eastAsia="仿宋_GB2312" w:cs="仿宋_GB2312"/>
          <w:b/>
          <w:sz w:val="28"/>
          <w:szCs w:val="28"/>
        </w:rPr>
      </w:pPr>
    </w:p>
    <w:p>
      <w:pPr>
        <w:spacing w:line="520" w:lineRule="exact"/>
        <w:ind w:firstLine="562"/>
        <w:jc w:val="center"/>
        <w:outlineLvl w:val="1"/>
        <w:rPr>
          <w:b/>
          <w:sz w:val="30"/>
          <w:szCs w:val="30"/>
        </w:rPr>
      </w:pPr>
      <w:r>
        <w:rPr>
          <w:rFonts w:hint="eastAsia" w:ascii="仿宋_GB2312" w:hAnsi="仿宋_GB2312" w:eastAsia="仿宋_GB2312" w:cs="仿宋_GB2312"/>
          <w:b/>
          <w:sz w:val="28"/>
          <w:szCs w:val="28"/>
        </w:rPr>
        <w:br w:type="page"/>
      </w:r>
      <w:r>
        <w:rPr>
          <w:rFonts w:hint="eastAsia" w:eastAsia="宋体" w:cs="宋体"/>
          <w:b/>
        </w:rPr>
        <w:t>（一）投标函</w:t>
      </w:r>
    </w:p>
    <w:p>
      <w:pPr>
        <w:spacing w:line="420" w:lineRule="exact"/>
        <w:ind w:firstLine="480"/>
        <w:rPr>
          <w:sz w:val="24"/>
        </w:rPr>
      </w:pPr>
    </w:p>
    <w:p>
      <w:pPr>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（招标人名称）</w:t>
      </w:r>
    </w:p>
    <w:p>
      <w:pPr>
        <w:spacing w:line="4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根据贵方为</w:t>
      </w:r>
      <w:r>
        <w:rPr>
          <w:rFonts w:hint="eastAsia" w:ascii="仿宋_GB2312" w:hAnsi="仿宋_GB2312" w:eastAsia="仿宋_GB2312" w:cs="仿宋_GB2312"/>
          <w:sz w:val="28"/>
          <w:szCs w:val="28"/>
          <w:u w:val="single"/>
        </w:rPr>
        <w:t xml:space="preserve">　　（项目名称）    </w:t>
      </w:r>
      <w:r>
        <w:rPr>
          <w:rFonts w:hint="eastAsia" w:ascii="仿宋_GB2312" w:hAnsi="仿宋_GB2312" w:eastAsia="仿宋_GB2312" w:cs="仿宋_GB2312"/>
          <w:sz w:val="28"/>
          <w:szCs w:val="28"/>
        </w:rPr>
        <w:t>项目的</w:t>
      </w:r>
      <w:r>
        <w:rPr>
          <w:rFonts w:hint="eastAsia" w:ascii="仿宋_GB2312" w:hAnsi="仿宋_GB2312" w:eastAsia="仿宋_GB2312" w:cs="仿宋_GB2312"/>
          <w:sz w:val="28"/>
          <w:szCs w:val="28"/>
          <w:lang w:eastAsia="zh-CN"/>
        </w:rPr>
        <w:t>公开</w:t>
      </w:r>
      <w:r>
        <w:rPr>
          <w:rFonts w:hint="eastAsia" w:ascii="仿宋_GB2312" w:hAnsi="仿宋_GB2312" w:eastAsia="仿宋_GB2312" w:cs="仿宋_GB2312"/>
          <w:sz w:val="28"/>
          <w:szCs w:val="28"/>
        </w:rPr>
        <w:t>性</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文件</w:t>
      </w:r>
      <w:r>
        <w:rPr>
          <w:rFonts w:hint="eastAsia" w:ascii="仿宋_GB2312" w:hAnsi="仿宋_GB2312" w:eastAsia="仿宋_GB2312" w:cs="仿宋_GB2312"/>
          <w:sz w:val="28"/>
          <w:szCs w:val="28"/>
          <w:u w:val="single"/>
        </w:rPr>
        <w:t xml:space="preserve">（项目编号） </w:t>
      </w:r>
      <w:r>
        <w:rPr>
          <w:rFonts w:hint="eastAsia" w:ascii="仿宋_GB2312" w:hAnsi="仿宋_GB2312" w:eastAsia="仿宋_GB2312" w:cs="仿宋_GB2312"/>
          <w:sz w:val="28"/>
          <w:szCs w:val="28"/>
        </w:rPr>
        <w:t>，签字代表</w:t>
      </w:r>
      <w:r>
        <w:rPr>
          <w:rFonts w:hint="eastAsia" w:ascii="仿宋_GB2312" w:hAnsi="仿宋_GB2312" w:eastAsia="仿宋_GB2312" w:cs="仿宋_GB2312"/>
          <w:sz w:val="28"/>
          <w:szCs w:val="28"/>
          <w:u w:val="single"/>
        </w:rPr>
        <w:t>（姓名、职务）</w:t>
      </w:r>
      <w:r>
        <w:rPr>
          <w:rFonts w:hint="eastAsia" w:ascii="仿宋_GB2312" w:hAnsi="仿宋_GB2312" w:eastAsia="仿宋_GB2312" w:cs="仿宋_GB2312"/>
          <w:sz w:val="28"/>
          <w:szCs w:val="28"/>
        </w:rPr>
        <w:t>经正式授权并代表投标人</w:t>
      </w:r>
      <w:r>
        <w:rPr>
          <w:rFonts w:hint="eastAsia" w:ascii="仿宋_GB2312" w:hAnsi="仿宋_GB2312" w:eastAsia="仿宋_GB2312" w:cs="仿宋_GB2312"/>
          <w:sz w:val="28"/>
          <w:szCs w:val="28"/>
          <w:u w:val="single"/>
        </w:rPr>
        <w:t>（投标人名称、地址）</w:t>
      </w:r>
      <w:r>
        <w:rPr>
          <w:rFonts w:hint="eastAsia" w:ascii="仿宋_GB2312" w:hAnsi="仿宋_GB2312" w:eastAsia="仿宋_GB2312" w:cs="仿宋_GB2312"/>
          <w:sz w:val="28"/>
          <w:szCs w:val="28"/>
        </w:rPr>
        <w:t>提交下述文件正本一份和副本</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份。</w:t>
      </w:r>
    </w:p>
    <w:p>
      <w:pPr>
        <w:spacing w:line="4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1.开标一览表</w:t>
      </w:r>
    </w:p>
    <w:p>
      <w:pPr>
        <w:spacing w:line="4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2.按</w:t>
      </w:r>
      <w:r>
        <w:rPr>
          <w:rFonts w:hint="eastAsia" w:ascii="仿宋_GB2312" w:hAnsi="仿宋_GB2312" w:eastAsia="仿宋_GB2312" w:cs="仿宋_GB2312"/>
          <w:sz w:val="28"/>
          <w:szCs w:val="28"/>
          <w:lang w:eastAsia="zh-CN"/>
        </w:rPr>
        <w:t>公开</w:t>
      </w:r>
      <w:r>
        <w:rPr>
          <w:rFonts w:hint="eastAsia" w:ascii="仿宋_GB2312" w:hAnsi="仿宋_GB2312" w:eastAsia="仿宋_GB2312" w:cs="仿宋_GB2312"/>
          <w:sz w:val="28"/>
          <w:szCs w:val="28"/>
        </w:rPr>
        <w:t>性</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文件投标人须知、技术规格要求及其他要求提供有关文件</w:t>
      </w:r>
    </w:p>
    <w:p>
      <w:pPr>
        <w:spacing w:line="4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保证金，形式</w:t>
      </w:r>
      <w:r>
        <w:rPr>
          <w:rFonts w:hint="eastAsia" w:ascii="仿宋_GB2312" w:hAnsi="仿宋_GB2312" w:eastAsia="仿宋_GB2312" w:cs="仿宋_GB2312"/>
          <w:sz w:val="28"/>
          <w:szCs w:val="28"/>
          <w:u w:val="single"/>
        </w:rPr>
        <w:t>（电汇、网银）</w:t>
      </w:r>
      <w:r>
        <w:rPr>
          <w:rFonts w:hint="eastAsia" w:ascii="仿宋_GB2312" w:hAnsi="仿宋_GB2312" w:eastAsia="仿宋_GB2312" w:cs="仿宋_GB2312"/>
          <w:sz w:val="28"/>
          <w:szCs w:val="28"/>
        </w:rPr>
        <w:t>，金额为</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w:t>
      </w:r>
    </w:p>
    <w:p>
      <w:pPr>
        <w:spacing w:line="4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据此函，签字代表宣布并同意如下：</w:t>
      </w:r>
    </w:p>
    <w:p>
      <w:pPr>
        <w:spacing w:line="4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1.所附投标报价表中规定的应提交和交付的货物和服务投标总报价为</w:t>
      </w:r>
      <w:r>
        <w:rPr>
          <w:rFonts w:hint="eastAsia" w:ascii="仿宋_GB2312" w:hAnsi="仿宋_GB2312" w:eastAsia="仿宋_GB2312" w:cs="仿宋_GB2312"/>
          <w:sz w:val="28"/>
          <w:szCs w:val="28"/>
          <w:u w:val="single"/>
        </w:rPr>
        <w:t xml:space="preserve">（注明币种，并用文字和数字表示的投标总价）  </w:t>
      </w:r>
      <w:r>
        <w:rPr>
          <w:rFonts w:hint="eastAsia" w:ascii="仿宋_GB2312" w:hAnsi="仿宋_GB2312" w:eastAsia="仿宋_GB2312" w:cs="仿宋_GB2312"/>
          <w:sz w:val="28"/>
          <w:szCs w:val="28"/>
        </w:rPr>
        <w:t>。</w:t>
      </w:r>
    </w:p>
    <w:p>
      <w:pPr>
        <w:spacing w:line="4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2.我方将按</w:t>
      </w:r>
      <w:r>
        <w:rPr>
          <w:rFonts w:hint="eastAsia" w:ascii="仿宋_GB2312" w:hAnsi="仿宋_GB2312" w:eastAsia="仿宋_GB2312" w:cs="仿宋_GB2312"/>
          <w:sz w:val="28"/>
          <w:szCs w:val="28"/>
          <w:lang w:eastAsia="zh-CN"/>
        </w:rPr>
        <w:t>公开</w:t>
      </w:r>
      <w:r>
        <w:rPr>
          <w:rFonts w:hint="eastAsia" w:ascii="仿宋_GB2312" w:hAnsi="仿宋_GB2312" w:eastAsia="仿宋_GB2312" w:cs="仿宋_GB2312"/>
          <w:sz w:val="28"/>
          <w:szCs w:val="28"/>
        </w:rPr>
        <w:t>性</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文件的规定履行合同责任和义务；</w:t>
      </w:r>
    </w:p>
    <w:p>
      <w:pPr>
        <w:spacing w:line="4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3.我方已详细阅读并理解了</w:t>
      </w:r>
      <w:r>
        <w:rPr>
          <w:rFonts w:hint="eastAsia" w:ascii="仿宋_GB2312" w:hAnsi="仿宋_GB2312" w:eastAsia="仿宋_GB2312" w:cs="仿宋_GB2312"/>
          <w:sz w:val="28"/>
          <w:szCs w:val="28"/>
          <w:lang w:eastAsia="zh-CN"/>
        </w:rPr>
        <w:t>公开</w:t>
      </w:r>
      <w:r>
        <w:rPr>
          <w:rFonts w:hint="eastAsia" w:ascii="仿宋_GB2312" w:hAnsi="仿宋_GB2312" w:eastAsia="仿宋_GB2312" w:cs="仿宋_GB2312"/>
          <w:sz w:val="28"/>
          <w:szCs w:val="28"/>
        </w:rPr>
        <w:t>性</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文件的全部，包括修改文件（如有的话）。我们完全理解并同意放弃对这方面有不明及误解的权利。</w:t>
      </w:r>
    </w:p>
    <w:p>
      <w:pPr>
        <w:spacing w:line="4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4.本投标有效期自开标之日起</w:t>
      </w:r>
      <w:r>
        <w:rPr>
          <w:rFonts w:hint="eastAsia" w:ascii="仿宋_GB2312" w:hAnsi="仿宋_GB2312" w:eastAsia="仿宋_GB2312" w:cs="仿宋_GB2312"/>
          <w:sz w:val="28"/>
          <w:szCs w:val="28"/>
          <w:u w:val="single"/>
        </w:rPr>
        <w:t>　90　</w:t>
      </w:r>
      <w:r>
        <w:rPr>
          <w:rFonts w:hint="eastAsia" w:ascii="仿宋_GB2312" w:hAnsi="仿宋_GB2312" w:eastAsia="仿宋_GB2312" w:cs="仿宋_GB2312"/>
          <w:sz w:val="28"/>
          <w:szCs w:val="28"/>
        </w:rPr>
        <w:t>个日历日。</w:t>
      </w:r>
    </w:p>
    <w:p>
      <w:pPr>
        <w:spacing w:line="4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5.在规定的开标时间后，如果在投标有效期内撤回投标，我方同意</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保证金将被贵方没收。</w:t>
      </w:r>
    </w:p>
    <w:p>
      <w:pPr>
        <w:spacing w:line="4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6.我方同意提供按照贵方可能要求的与其投标有关的一切数据或资料，完全理解贵方不一定接受最低价的投标或收到的任何投标的约定。</w:t>
      </w:r>
    </w:p>
    <w:p>
      <w:pPr>
        <w:spacing w:line="4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7.与本投标有关的一切正式往来信函请寄：</w:t>
      </w:r>
    </w:p>
    <w:p>
      <w:pPr>
        <w:spacing w:line="4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地　　　　 址：</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u w:val="single"/>
        </w:rPr>
        <w:t>　　　　   　　　　　</w:t>
      </w:r>
    </w:p>
    <w:p>
      <w:pPr>
        <w:spacing w:line="4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电　　　　 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传真：</w:t>
      </w:r>
      <w:r>
        <w:rPr>
          <w:rFonts w:hint="eastAsia" w:ascii="仿宋_GB2312" w:hAnsi="仿宋_GB2312" w:eastAsia="仿宋_GB2312" w:cs="仿宋_GB2312"/>
          <w:sz w:val="28"/>
          <w:szCs w:val="28"/>
          <w:u w:val="single"/>
        </w:rPr>
        <w:t>　   　　　　　　　　</w:t>
      </w:r>
    </w:p>
    <w:p>
      <w:pPr>
        <w:spacing w:line="4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投标人代表签字：</w:t>
      </w:r>
      <w:r>
        <w:rPr>
          <w:rFonts w:hint="eastAsia" w:ascii="仿宋_GB2312" w:hAnsi="仿宋_GB2312" w:eastAsia="仿宋_GB2312" w:cs="仿宋_GB2312"/>
          <w:sz w:val="28"/>
          <w:szCs w:val="28"/>
          <w:u w:val="single"/>
        </w:rPr>
        <w:t>　　　　　　　　　　　　</w:t>
      </w:r>
    </w:p>
    <w:p>
      <w:pPr>
        <w:spacing w:line="4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投 标 人 名 称：</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（盖章）</w:t>
      </w:r>
    </w:p>
    <w:p>
      <w:pPr>
        <w:spacing w:line="4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2021年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420" w:lineRule="exact"/>
        <w:ind w:firstLine="562"/>
        <w:jc w:val="center"/>
        <w:rPr>
          <w:rFonts w:ascii="仿宋_GB2312" w:hAnsi="仿宋_GB2312" w:eastAsia="仿宋_GB2312" w:cs="仿宋_GB2312"/>
          <w:b/>
          <w:sz w:val="28"/>
          <w:szCs w:val="28"/>
        </w:rPr>
      </w:pPr>
    </w:p>
    <w:p>
      <w:pPr>
        <w:spacing w:line="420" w:lineRule="exact"/>
        <w:ind w:firstLine="562"/>
        <w:jc w:val="center"/>
        <w:rPr>
          <w:rFonts w:ascii="仿宋_GB2312" w:hAnsi="仿宋_GB2312" w:eastAsia="仿宋_GB2312" w:cs="仿宋_GB2312"/>
          <w:b/>
          <w:sz w:val="28"/>
          <w:szCs w:val="28"/>
        </w:rPr>
      </w:pPr>
    </w:p>
    <w:p>
      <w:pPr>
        <w:spacing w:line="520" w:lineRule="exact"/>
        <w:ind w:firstLine="643"/>
        <w:jc w:val="left"/>
        <w:rPr>
          <w:b/>
        </w:rPr>
      </w:pPr>
    </w:p>
    <w:p>
      <w:pPr>
        <w:spacing w:line="440" w:lineRule="exact"/>
        <w:ind w:firstLine="0" w:firstLineChars="0"/>
        <w:outlineLvl w:val="1"/>
        <w:rPr>
          <w:b/>
          <w:sz w:val="30"/>
          <w:szCs w:val="30"/>
        </w:rPr>
      </w:pPr>
      <w:r>
        <w:rPr>
          <w:rFonts w:hint="eastAsia"/>
          <w:b/>
          <w:sz w:val="30"/>
          <w:szCs w:val="30"/>
        </w:rPr>
        <w:t xml:space="preserve">      </w:t>
      </w:r>
    </w:p>
    <w:p>
      <w:pPr>
        <w:spacing w:line="440" w:lineRule="exact"/>
        <w:ind w:firstLine="0" w:firstLineChars="0"/>
        <w:outlineLvl w:val="1"/>
        <w:rPr>
          <w:b/>
          <w:sz w:val="30"/>
          <w:szCs w:val="30"/>
        </w:rPr>
      </w:pPr>
      <w:r>
        <w:rPr>
          <w:rFonts w:hint="eastAsia"/>
          <w:b/>
          <w:sz w:val="30"/>
          <w:szCs w:val="30"/>
        </w:rPr>
        <w:br w:type="page"/>
      </w:r>
      <w:r>
        <w:rPr>
          <w:rFonts w:hint="eastAsia" w:eastAsia="宋体" w:cs="宋体"/>
          <w:b/>
        </w:rPr>
        <w:t xml:space="preserve"> （二）法定人代表身份证明及法定代表人授权委托书</w:t>
      </w:r>
    </w:p>
    <w:p>
      <w:pPr>
        <w:spacing w:before="100" w:beforeAutospacing="1" w:after="100" w:afterAutospacing="1" w:line="240" w:lineRule="atLeast"/>
        <w:ind w:firstLine="562"/>
        <w:jc w:val="center"/>
        <w:rPr>
          <w:b/>
          <w:bCs/>
          <w:sz w:val="28"/>
          <w:szCs w:val="28"/>
        </w:rPr>
      </w:pPr>
      <w:r>
        <w:rPr>
          <w:b/>
          <w:bCs/>
          <w:sz w:val="28"/>
          <w:szCs w:val="28"/>
        </w:rPr>
        <w:t>1</w:t>
      </w:r>
      <w:r>
        <w:rPr>
          <w:rFonts w:hint="eastAsia"/>
          <w:b/>
          <w:bCs/>
          <w:sz w:val="28"/>
          <w:szCs w:val="28"/>
        </w:rPr>
        <w:t>.</w:t>
      </w:r>
      <w:r>
        <w:rPr>
          <w:b/>
          <w:bCs/>
          <w:sz w:val="28"/>
          <w:szCs w:val="28"/>
        </w:rPr>
        <w:t xml:space="preserve"> </w:t>
      </w:r>
      <w:r>
        <w:rPr>
          <w:rFonts w:hint="eastAsia"/>
          <w:b/>
          <w:bCs/>
          <w:sz w:val="28"/>
          <w:szCs w:val="28"/>
        </w:rPr>
        <w:t>法定代表人身份证明</w:t>
      </w:r>
    </w:p>
    <w:p>
      <w:pPr>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（采购人）：</w:t>
      </w:r>
    </w:p>
    <w:p>
      <w:pPr>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兹证明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同志在我单位任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（职务），是我单位的法定代表人。</w:t>
      </w:r>
    </w:p>
    <w:p>
      <w:pPr>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附法定代表人基本情况：</w:t>
      </w:r>
    </w:p>
    <w:p>
      <w:pPr>
        <w:autoSpaceDE w:val="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（亲笔签字或盖章）  </w:t>
      </w:r>
      <w:r>
        <w:rPr>
          <w:rFonts w:hint="eastAsia" w:ascii="仿宋_GB2312" w:hAnsi="仿宋_GB2312" w:eastAsia="仿宋_GB2312" w:cs="仿宋_GB2312"/>
          <w:sz w:val="28"/>
          <w:szCs w:val="28"/>
        </w:rPr>
        <w:t>性别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年龄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pacing w:line="460" w:lineRule="exact"/>
        <w:ind w:firstLine="56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p>
    <w:p>
      <w:pPr>
        <w:spacing w:line="460" w:lineRule="exact"/>
        <w:ind w:firstLine="56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通讯地址：</w:t>
      </w:r>
      <w:r>
        <w:rPr>
          <w:rFonts w:hint="eastAsia" w:ascii="仿宋_GB2312" w:hAnsi="仿宋_GB2312" w:eastAsia="仿宋_GB2312" w:cs="仿宋_GB2312"/>
          <w:sz w:val="28"/>
          <w:szCs w:val="28"/>
          <w:u w:val="single"/>
        </w:rPr>
        <w:t xml:space="preserve">                                             </w:t>
      </w:r>
    </w:p>
    <w:p>
      <w:pPr>
        <w:spacing w:line="460" w:lineRule="exact"/>
        <w:ind w:firstLine="56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电话号码：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u w:val="single"/>
        </w:rPr>
        <w:t xml:space="preserve">                     </w:t>
      </w:r>
    </w:p>
    <w:p>
      <w:pPr>
        <w:spacing w:line="460" w:lineRule="exact"/>
        <w:ind w:firstLine="560"/>
        <w:rPr>
          <w:rFonts w:ascii="仿宋_GB2312" w:hAnsi="仿宋_GB2312" w:eastAsia="仿宋_GB2312" w:cs="仿宋_GB2312"/>
          <w:sz w:val="28"/>
          <w:szCs w:val="28"/>
        </w:rPr>
      </w:pPr>
    </w:p>
    <w:p>
      <w:pPr>
        <w:topLinePunct w:val="1"/>
        <w:spacing w:line="420" w:lineRule="exact"/>
        <w:ind w:firstLine="2520" w:firstLineChars="9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投标供应商：</w:t>
      </w:r>
      <w:r>
        <w:rPr>
          <w:rFonts w:hint="eastAsia" w:ascii="仿宋_GB2312" w:hAnsi="仿宋_GB2312" w:eastAsia="仿宋_GB2312" w:cs="仿宋_GB2312"/>
          <w:bCs/>
          <w:sz w:val="28"/>
          <w:szCs w:val="28"/>
          <w:u w:val="single"/>
        </w:rPr>
        <w:t xml:space="preserve">   （全称）（盖章） </w:t>
      </w:r>
    </w:p>
    <w:p>
      <w:pPr>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日期：2021年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460" w:lineRule="exact"/>
        <w:ind w:firstLine="560"/>
        <w:rPr>
          <w:rFonts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附：法定代表人《居民身份证》复印件正反面</w:t>
      </w:r>
    </w:p>
    <w:tbl>
      <w:tblPr>
        <w:tblW w:w="8229"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114"/>
        <w:gridCol w:w="4115"/>
      </w:tblGrid>
      <w:tr>
        <w:trPr>
          <w:trHeight w:val="1767" w:hRule="atLeast"/>
        </w:trPr>
        <w:tc>
          <w:tcPr>
            <w:tcW w:w="4114" w:type="dxa"/>
            <w:vAlign w:val="center"/>
          </w:tcPr>
          <w:p>
            <w:pPr>
              <w:spacing w:line="420" w:lineRule="exact"/>
              <w:ind w:firstLine="5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（身份证正面）</w:t>
            </w:r>
          </w:p>
        </w:tc>
        <w:tc>
          <w:tcPr>
            <w:tcW w:w="4115" w:type="dxa"/>
            <w:vAlign w:val="center"/>
          </w:tcPr>
          <w:p>
            <w:pPr>
              <w:spacing w:line="420" w:lineRule="exact"/>
              <w:ind w:firstLine="5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（身份证背面）</w:t>
            </w:r>
          </w:p>
        </w:tc>
      </w:tr>
    </w:tbl>
    <w:p>
      <w:pPr>
        <w:adjustRightInd w:val="0"/>
        <w:snapToGrid w:val="0"/>
        <w:spacing w:line="240" w:lineRule="atLeast"/>
        <w:ind w:firstLine="560"/>
        <w:rPr>
          <w:rFonts w:ascii="仿宋_GB2312" w:hAnsi="仿宋_GB2312" w:eastAsia="仿宋_GB2312" w:cs="仿宋_GB2312"/>
          <w:sz w:val="28"/>
          <w:szCs w:val="28"/>
        </w:rPr>
      </w:pPr>
    </w:p>
    <w:p>
      <w:pPr>
        <w:adjustRightInd w:val="0"/>
        <w:snapToGrid w:val="0"/>
        <w:spacing w:line="240" w:lineRule="atLeast"/>
        <w:ind w:firstLine="560"/>
        <w:rPr>
          <w:rFonts w:ascii="仿宋_GB2312" w:hAnsi="仿宋_GB2312" w:eastAsia="仿宋_GB2312" w:cs="仿宋_GB2312"/>
          <w:sz w:val="28"/>
          <w:szCs w:val="28"/>
        </w:rPr>
      </w:pPr>
    </w:p>
    <w:p>
      <w:pPr>
        <w:spacing w:line="3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注：1.法定代表人签字或盖章必须是亲笔签名或相关主管行政部门备案的法定代表人印章。不得使用其他印章或是电子版签名。</w:t>
      </w:r>
    </w:p>
    <w:p>
      <w:pPr>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2.投标人的法人代表本人作为公司代理人前来参加投标的，须提供此项证明文件，并携带法人的身份证原件（本授权书原件一式两份，一份密封封装在响应文件正本中，一份现场查验）。</w:t>
      </w:r>
    </w:p>
    <w:p>
      <w:pPr>
        <w:ind w:firstLine="562"/>
        <w:rPr>
          <w:rFonts w:ascii="仿宋_GB2312" w:hAnsi="仿宋_GB2312" w:eastAsia="仿宋_GB2312" w:cs="仿宋_GB2312"/>
          <w:b/>
          <w:sz w:val="28"/>
          <w:szCs w:val="28"/>
        </w:rPr>
      </w:pPr>
    </w:p>
    <w:p>
      <w:pPr>
        <w:ind w:firstLine="562"/>
        <w:rPr>
          <w:rFonts w:ascii="仿宋_GB2312" w:hAnsi="仿宋_GB2312" w:eastAsia="仿宋_GB2312" w:cs="仿宋_GB2312"/>
          <w:b/>
          <w:sz w:val="28"/>
          <w:szCs w:val="28"/>
        </w:rPr>
      </w:pPr>
    </w:p>
    <w:p>
      <w:pPr>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w:t>
      </w:r>
    </w:p>
    <w:p>
      <w:pPr>
        <w:ind w:firstLine="0" w:firstLineChars="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r>
        <w:rPr>
          <w:rFonts w:hint="eastAsia" w:ascii="仿宋_GB2312" w:hAnsi="仿宋_GB2312" w:eastAsia="仿宋_GB2312" w:cs="仿宋_GB2312"/>
          <w:b/>
          <w:sz w:val="28"/>
          <w:szCs w:val="28"/>
        </w:rPr>
        <w:t>2.法定代表人授权委托书</w:t>
      </w:r>
    </w:p>
    <w:p>
      <w:pPr>
        <w:ind w:firstLine="482"/>
        <w:jc w:val="center"/>
        <w:rPr>
          <w:b/>
          <w:sz w:val="24"/>
        </w:rPr>
      </w:pPr>
    </w:p>
    <w:p>
      <w:pPr>
        <w:pStyle w:val="46"/>
        <w:autoSpaceDE w:val="0"/>
        <w:spacing w:after="0" w:line="440" w:lineRule="exact"/>
        <w:ind w:left="0" w:leftChars="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本授权书声明：注册于</w:t>
      </w:r>
      <w:r>
        <w:rPr>
          <w:rFonts w:hint="eastAsia" w:ascii="仿宋_GB2312" w:hAnsi="仿宋_GB2312" w:eastAsia="仿宋_GB2312" w:cs="仿宋_GB2312"/>
          <w:sz w:val="28"/>
          <w:szCs w:val="28"/>
          <w:u w:val="single"/>
        </w:rPr>
        <w:t>（地区的名称）</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u w:val="single"/>
        </w:rPr>
        <w:t>（公司名称）</w:t>
      </w:r>
      <w:r>
        <w:rPr>
          <w:rFonts w:hint="eastAsia" w:ascii="仿宋_GB2312" w:hAnsi="仿宋_GB2312" w:eastAsia="仿宋_GB2312" w:cs="仿宋_GB2312"/>
          <w:sz w:val="28"/>
          <w:szCs w:val="28"/>
        </w:rPr>
        <w:t>，在下面签字的法定代表人</w:t>
      </w:r>
      <w:r>
        <w:rPr>
          <w:rFonts w:hint="eastAsia" w:ascii="仿宋_GB2312" w:hAnsi="仿宋_GB2312" w:eastAsia="仿宋_GB2312" w:cs="仿宋_GB2312"/>
          <w:sz w:val="28"/>
          <w:szCs w:val="28"/>
          <w:u w:val="single"/>
        </w:rPr>
        <w:t>（姓名）</w:t>
      </w:r>
      <w:r>
        <w:rPr>
          <w:rFonts w:hint="eastAsia" w:ascii="仿宋_GB2312" w:hAnsi="仿宋_GB2312" w:eastAsia="仿宋_GB2312" w:cs="仿宋_GB2312"/>
          <w:sz w:val="28"/>
          <w:szCs w:val="28"/>
        </w:rPr>
        <w:t>，代表本公司委托在下面签字的</w:t>
      </w:r>
      <w:r>
        <w:rPr>
          <w:rFonts w:hint="eastAsia" w:ascii="仿宋_GB2312" w:hAnsi="仿宋_GB2312" w:eastAsia="仿宋_GB2312" w:cs="仿宋_GB2312"/>
          <w:sz w:val="28"/>
          <w:szCs w:val="28"/>
          <w:u w:val="single"/>
        </w:rPr>
        <w:t>（被授权人的姓名）</w:t>
      </w:r>
      <w:r>
        <w:rPr>
          <w:rFonts w:hint="eastAsia" w:ascii="仿宋_GB2312" w:hAnsi="仿宋_GB2312" w:eastAsia="仿宋_GB2312" w:cs="仿宋_GB2312"/>
          <w:sz w:val="28"/>
          <w:szCs w:val="28"/>
        </w:rPr>
        <w:t>为本公司的合法代理人，就</w:t>
      </w:r>
      <w:r>
        <w:rPr>
          <w:rFonts w:hint="eastAsia" w:ascii="仿宋_GB2312" w:hAnsi="仿宋_GB2312" w:eastAsia="仿宋_GB2312" w:cs="仿宋_GB2312"/>
          <w:sz w:val="28"/>
          <w:szCs w:val="28"/>
          <w:u w:val="single"/>
        </w:rPr>
        <w:t>　（项目名称）　</w:t>
      </w:r>
      <w:r>
        <w:rPr>
          <w:rFonts w:hint="eastAsia" w:ascii="仿宋_GB2312" w:hAnsi="仿宋_GB2312" w:eastAsia="仿宋_GB2312" w:cs="仿宋_GB2312"/>
          <w:sz w:val="28"/>
          <w:szCs w:val="28"/>
        </w:rPr>
        <w:t>的投标，以本公司的名义处理一切与之有关的事务。</w:t>
      </w:r>
    </w:p>
    <w:p>
      <w:pPr>
        <w:spacing w:line="420" w:lineRule="exact"/>
        <w:ind w:firstLine="560"/>
        <w:rPr>
          <w:rFonts w:ascii="仿宋_GB2312" w:hAnsi="仿宋_GB2312" w:eastAsia="仿宋_GB2312" w:cs="仿宋_GB2312"/>
          <w:sz w:val="28"/>
          <w:szCs w:val="28"/>
        </w:rPr>
      </w:pPr>
    </w:p>
    <w:p>
      <w:pPr>
        <w:autoSpaceDE w:val="0"/>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本授权书于2021年</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日签字生效，代理人无转委托权，特此声明。</w:t>
      </w:r>
    </w:p>
    <w:p>
      <w:pPr>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附：委托代理人的身份证复印件（加盖单位公章）</w:t>
      </w:r>
    </w:p>
    <w:tbl>
      <w:tblPr>
        <w:tblW w:w="8229"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114"/>
        <w:gridCol w:w="4115"/>
      </w:tblGrid>
      <w:tr>
        <w:trPr>
          <w:trHeight w:val="1785" w:hRule="atLeast"/>
        </w:trPr>
        <w:tc>
          <w:tcPr>
            <w:tcW w:w="4114" w:type="dxa"/>
            <w:vAlign w:val="center"/>
          </w:tcPr>
          <w:p>
            <w:pPr>
              <w:spacing w:line="420" w:lineRule="exact"/>
              <w:ind w:firstLine="5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（身份证正面）</w:t>
            </w:r>
          </w:p>
        </w:tc>
        <w:tc>
          <w:tcPr>
            <w:tcW w:w="4115" w:type="dxa"/>
            <w:vAlign w:val="center"/>
          </w:tcPr>
          <w:p>
            <w:pPr>
              <w:spacing w:line="420" w:lineRule="exact"/>
              <w:ind w:firstLine="5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（身份证背面）</w:t>
            </w:r>
          </w:p>
        </w:tc>
      </w:tr>
    </w:tbl>
    <w:p>
      <w:pPr>
        <w:spacing w:line="420" w:lineRule="exact"/>
        <w:ind w:firstLine="560"/>
        <w:rPr>
          <w:rFonts w:ascii="仿宋_GB2312" w:hAnsi="仿宋_GB2312" w:eastAsia="仿宋_GB2312" w:cs="仿宋_GB2312"/>
          <w:sz w:val="28"/>
          <w:szCs w:val="28"/>
        </w:rPr>
      </w:pPr>
    </w:p>
    <w:p>
      <w:pPr>
        <w:topLinePunct w:val="1"/>
        <w:spacing w:line="420" w:lineRule="exact"/>
        <w:ind w:firstLine="560"/>
        <w:rPr>
          <w:rFonts w:ascii="仿宋_GB2312" w:hAnsi="仿宋_GB2312" w:eastAsia="仿宋_GB2312" w:cs="仿宋_GB2312"/>
          <w:sz w:val="28"/>
          <w:szCs w:val="28"/>
        </w:rPr>
      </w:pPr>
    </w:p>
    <w:p>
      <w:pPr>
        <w:topLinePunct w:val="1"/>
        <w:spacing w:line="420" w:lineRule="exact"/>
        <w:ind w:firstLine="2520" w:firstLineChars="900"/>
        <w:rPr>
          <w:rFonts w:ascii="仿宋_GB2312" w:hAnsi="仿宋_GB2312" w:eastAsia="仿宋_GB2312" w:cs="仿宋_GB2312"/>
          <w:sz w:val="28"/>
          <w:szCs w:val="28"/>
        </w:rPr>
      </w:pPr>
      <w:r>
        <w:rPr>
          <w:rFonts w:hint="eastAsia" w:ascii="仿宋_GB2312" w:hAnsi="仿宋_GB2312" w:eastAsia="仿宋_GB2312" w:cs="仿宋_GB2312"/>
          <w:sz w:val="28"/>
          <w:szCs w:val="28"/>
        </w:rPr>
        <w:t>投标供应商：</w:t>
      </w:r>
      <w:r>
        <w:rPr>
          <w:rFonts w:hint="eastAsia" w:ascii="仿宋_GB2312" w:hAnsi="仿宋_GB2312" w:eastAsia="仿宋_GB2312" w:cs="仿宋_GB2312"/>
          <w:bCs/>
          <w:sz w:val="28"/>
          <w:szCs w:val="28"/>
          <w:u w:val="single"/>
        </w:rPr>
        <w:t xml:space="preserve">   （全称）（盖章）   </w:t>
      </w:r>
    </w:p>
    <w:p>
      <w:pPr>
        <w:autoSpaceDE w:val="0"/>
        <w:spacing w:line="420" w:lineRule="exact"/>
        <w:ind w:firstLine="56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法定代表人签字或盖章：</w:t>
      </w:r>
      <w:r>
        <w:rPr>
          <w:rFonts w:hint="eastAsia" w:ascii="仿宋_GB2312" w:hAnsi="仿宋_GB2312" w:eastAsia="仿宋_GB2312" w:cs="仿宋_GB2312"/>
          <w:sz w:val="28"/>
          <w:szCs w:val="28"/>
          <w:u w:val="single"/>
        </w:rPr>
        <w:t>　　　　　 　</w:t>
      </w:r>
    </w:p>
    <w:p>
      <w:pPr>
        <w:topLinePunct w:val="1"/>
        <w:spacing w:line="420" w:lineRule="exact"/>
        <w:ind w:firstLine="2520" w:firstLineChars="9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身份证号码：</w:t>
      </w:r>
    </w:p>
    <w:p>
      <w:pPr>
        <w:autoSpaceDE w:val="0"/>
        <w:spacing w:line="420" w:lineRule="exact"/>
        <w:ind w:firstLine="56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委托代理人签字：</w:t>
      </w:r>
      <w:r>
        <w:rPr>
          <w:rFonts w:hint="eastAsia" w:ascii="仿宋_GB2312" w:hAnsi="仿宋_GB2312" w:eastAsia="仿宋_GB2312" w:cs="仿宋_GB2312"/>
          <w:sz w:val="28"/>
          <w:szCs w:val="28"/>
          <w:u w:val="single"/>
        </w:rPr>
        <w:t>　　　　　　　　　　　</w:t>
      </w:r>
    </w:p>
    <w:p>
      <w:pPr>
        <w:topLinePunct w:val="1"/>
        <w:spacing w:line="420" w:lineRule="exact"/>
        <w:ind w:firstLine="2520" w:firstLineChars="9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身份证号码：</w:t>
      </w:r>
    </w:p>
    <w:p>
      <w:pPr>
        <w:autoSpaceDE w:val="0"/>
        <w:spacing w:line="420" w:lineRule="exact"/>
        <w:ind w:firstLine="700" w:firstLineChars="25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授权日期：2021</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日</w:t>
      </w:r>
    </w:p>
    <w:p>
      <w:pPr>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 xml:space="preserve"> 注：</w:t>
      </w:r>
      <w:r>
        <w:rPr>
          <w:rFonts w:hint="eastAsia" w:ascii="仿宋_GB2312" w:hAnsi="仿宋_GB2312" w:eastAsia="仿宋_GB2312" w:cs="仿宋_GB2312"/>
          <w:sz w:val="28"/>
          <w:szCs w:val="28"/>
        </w:rPr>
        <w:t>1.法定代表人签字或盖章必须是亲笔签名或相关主管行政部门备案的法定代表人印章。</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2.本授权书原件一式两份，一份密封封装在响应文件正本中，一份现场查验。</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3.投标人的委托代理人作为公司的代表前来参加投标的投标人，须提供此项证明文件。</w:t>
      </w:r>
    </w:p>
    <w:p>
      <w:pPr>
        <w:pStyle w:val="43"/>
        <w:spacing w:line="340" w:lineRule="exact"/>
        <w:ind w:left="-275" w:leftChars="-86"/>
        <w:jc w:val="center"/>
        <w:rPr>
          <w:rFonts w:ascii="仿宋_GB2312" w:hAnsi="仿宋_GB2312" w:eastAsia="仿宋_GB2312" w:cs="仿宋_GB2312"/>
          <w:b/>
          <w:kern w:val="2"/>
          <w:sz w:val="28"/>
          <w:szCs w:val="28"/>
        </w:rPr>
      </w:pPr>
    </w:p>
    <w:p>
      <w:pPr>
        <w:pStyle w:val="34"/>
        <w:spacing w:line="360" w:lineRule="atLeast"/>
        <w:ind w:firstLine="643"/>
        <w:jc w:val="center"/>
        <w:outlineLvl w:val="1"/>
        <w:rPr>
          <w:rFonts w:eastAsia="宋体" w:cs="宋体"/>
          <w:b/>
          <w:sz w:val="32"/>
        </w:rPr>
      </w:pPr>
      <w:r>
        <w:rPr>
          <w:rFonts w:hint="eastAsia" w:eastAsia="宋体" w:cs="宋体"/>
          <w:b/>
          <w:bCs/>
          <w:color w:val="000000"/>
          <w:sz w:val="32"/>
        </w:rPr>
        <w:t>（三）</w:t>
      </w:r>
      <w:r>
        <w:rPr>
          <w:rFonts w:hint="eastAsia" w:eastAsia="宋体" w:cs="宋体"/>
          <w:b/>
          <w:sz w:val="32"/>
        </w:rPr>
        <w:t>开标一览表</w:t>
      </w:r>
    </w:p>
    <w:p>
      <w:pPr>
        <w:pStyle w:val="34"/>
        <w:spacing w:beforeAutospacing="0" w:afterAutospacing="0" w:line="360" w:lineRule="atLeas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tbl>
      <w:tblPr>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00"/>
        <w:gridCol w:w="3152"/>
        <w:gridCol w:w="4587"/>
      </w:tblGrid>
      <w:tr>
        <w:trPr>
          <w:trHeight w:val="696" w:hRule="atLeast"/>
        </w:trPr>
        <w:tc>
          <w:tcPr>
            <w:tcW w:w="1300" w:type="dxa"/>
            <w:vAlign w:val="center"/>
          </w:tcPr>
          <w:p>
            <w:pPr>
              <w:pStyle w:val="43"/>
              <w:ind w:left="-377" w:leftChars="-342" w:right="-1133" w:rightChars="-354" w:hanging="717" w:hangingChars="256"/>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3152" w:type="dxa"/>
            <w:vAlign w:val="center"/>
          </w:tcPr>
          <w:p>
            <w:pPr>
              <w:widowControl/>
              <w:ind w:firstLine="56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项目 </w:t>
            </w:r>
          </w:p>
        </w:tc>
        <w:tc>
          <w:tcPr>
            <w:tcW w:w="4587" w:type="dxa"/>
            <w:vAlign w:val="center"/>
          </w:tcPr>
          <w:p>
            <w:pPr>
              <w:pStyle w:val="41"/>
              <w:snapToGrid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金额（元）</w:t>
            </w:r>
          </w:p>
        </w:tc>
      </w:tr>
      <w:tr>
        <w:trPr>
          <w:trHeight w:val="929" w:hRule="atLeast"/>
        </w:trPr>
        <w:tc>
          <w:tcPr>
            <w:tcW w:w="1300" w:type="dxa"/>
            <w:vAlign w:val="center"/>
          </w:tcPr>
          <w:p>
            <w:pPr>
              <w:pStyle w:val="43"/>
              <w:ind w:left="-105" w:right="-97" w:firstLine="84" w:firstLineChars="3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3152" w:type="dxa"/>
            <w:vAlign w:val="center"/>
          </w:tcPr>
          <w:p>
            <w:pPr>
              <w:pStyle w:val="41"/>
              <w:snapToGrid w:val="0"/>
              <w:ind w:left="473" w:hanging="473"/>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投标报价（总价）</w:t>
            </w:r>
          </w:p>
        </w:tc>
        <w:tc>
          <w:tcPr>
            <w:tcW w:w="4587" w:type="dxa"/>
            <w:vAlign w:val="center"/>
          </w:tcPr>
          <w:p>
            <w:pPr>
              <w:pStyle w:val="41"/>
              <w:snapToGrid w:val="0"/>
              <w:spacing w:line="40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小写：</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pStyle w:val="41"/>
              <w:snapToGrid w:val="0"/>
              <w:spacing w:line="40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大写：</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tc>
      </w:tr>
      <w:tr>
        <w:trPr>
          <w:trHeight w:val="605" w:hRule="atLeast"/>
        </w:trPr>
        <w:tc>
          <w:tcPr>
            <w:tcW w:w="9039" w:type="dxa"/>
            <w:gridSpan w:val="3"/>
            <w:vAlign w:val="center"/>
          </w:tcPr>
          <w:p>
            <w:pPr>
              <w:pStyle w:val="41"/>
              <w:snapToGrid w:val="0"/>
              <w:spacing w:line="40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sz w:val="28"/>
                <w:szCs w:val="28"/>
              </w:rPr>
              <w:t>服务期限：</w:t>
            </w:r>
          </w:p>
        </w:tc>
      </w:tr>
      <w:tr>
        <w:trPr>
          <w:trHeight w:val="682" w:hRule="atLeast"/>
        </w:trPr>
        <w:tc>
          <w:tcPr>
            <w:tcW w:w="9039" w:type="dxa"/>
            <w:gridSpan w:val="3"/>
            <w:vAlign w:val="center"/>
          </w:tcPr>
          <w:p>
            <w:pPr>
              <w:pStyle w:val="41"/>
              <w:snapToGrid w:val="0"/>
              <w:spacing w:line="40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r>
    </w:tbl>
    <w:p>
      <w:pPr>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注：1.表中大小写不一致时，以大写为准。     </w:t>
      </w:r>
    </w:p>
    <w:p>
      <w:pPr>
        <w:autoSpaceDE w:val="0"/>
        <w:autoSpaceDN w:val="0"/>
        <w:adjustRightInd w:val="0"/>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2.此表一式两份，一份用信封单独密封，另一份装订在响应文件正本中，两个表须内容必须一致。 </w:t>
      </w:r>
    </w:p>
    <w:p>
      <w:pPr>
        <w:autoSpaceDE w:val="0"/>
        <w:autoSpaceDN w:val="0"/>
        <w:adjustRightInd w:val="0"/>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3.投标报价为完成本次采购项目内的所有内容的一切相关费用。可根据需要附报价明细。</w:t>
      </w:r>
    </w:p>
    <w:p>
      <w:pPr>
        <w:autoSpaceDE w:val="0"/>
        <w:autoSpaceDN w:val="0"/>
        <w:adjustRightInd w:val="0"/>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4.本表中“投标总报价”必须与《投标函》中的“投标总报价”均保持一致，如不一致，以《开标一览表》为准。</w:t>
      </w:r>
    </w:p>
    <w:p>
      <w:pPr>
        <w:pStyle w:val="34"/>
        <w:spacing w:line="360" w:lineRule="atLeast"/>
        <w:ind w:firstLine="560"/>
        <w:rPr>
          <w:rFonts w:ascii="仿宋_GB2312" w:hAnsi="仿宋_GB2312" w:eastAsia="仿宋_GB2312" w:cs="仿宋_GB2312"/>
          <w:sz w:val="28"/>
          <w:szCs w:val="28"/>
        </w:rPr>
      </w:pPr>
    </w:p>
    <w:p>
      <w:pPr>
        <w:pStyle w:val="15"/>
        <w:spacing w:line="360" w:lineRule="auto"/>
        <w:ind w:firstLine="560"/>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投标人供应商：</w:t>
      </w:r>
      <w:r>
        <w:rPr>
          <w:rFonts w:hint="eastAsia" w:ascii="仿宋_GB2312" w:hAnsi="仿宋_GB2312" w:eastAsia="仿宋_GB2312" w:cs="仿宋_GB2312"/>
          <w:bCs/>
          <w:sz w:val="28"/>
          <w:szCs w:val="28"/>
          <w:u w:val="single"/>
        </w:rPr>
        <w:t xml:space="preserve">   （全称）（盖章）   </w:t>
      </w:r>
    </w:p>
    <w:p>
      <w:pPr>
        <w:pStyle w:val="15"/>
        <w:spacing w:line="360" w:lineRule="auto"/>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法定代表人或委托代理人：</w:t>
      </w:r>
      <w:r>
        <w:rPr>
          <w:rFonts w:hint="eastAsia" w:ascii="仿宋_GB2312" w:hAnsi="仿宋_GB2312" w:eastAsia="仿宋_GB2312" w:cs="仿宋_GB2312"/>
          <w:bCs/>
          <w:sz w:val="28"/>
          <w:szCs w:val="28"/>
          <w:u w:val="single"/>
        </w:rPr>
        <w:t>（签字或盖章）</w:t>
      </w:r>
    </w:p>
    <w:p>
      <w:pPr>
        <w:ind w:left="4900" w:right="960" w:hanging="4900" w:hangingChars="17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 期：</w:t>
      </w:r>
      <w:r>
        <w:rPr>
          <w:rFonts w:hint="eastAsia" w:ascii="仿宋_GB2312" w:hAnsi="仿宋_GB2312" w:eastAsia="仿宋_GB2312" w:cs="仿宋_GB2312"/>
          <w:bCs/>
          <w:sz w:val="28"/>
          <w:szCs w:val="28"/>
        </w:rPr>
        <w:t>2021年</w:t>
      </w:r>
      <w:r>
        <w:rPr>
          <w:rFonts w:hint="eastAsia" w:ascii="仿宋_GB2312" w:hAnsi="仿宋_GB2312" w:eastAsia="仿宋_GB2312" w:cs="仿宋_GB2312"/>
          <w:bCs/>
          <w:sz w:val="28"/>
          <w:szCs w:val="28"/>
          <w:u w:val="single"/>
        </w:rPr>
        <w:t>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w:t>
      </w:r>
    </w:p>
    <w:p>
      <w:pPr>
        <w:ind w:firstLine="560"/>
        <w:rPr>
          <w:rFonts w:ascii="仿宋_GB2312" w:hAnsi="仿宋_GB2312" w:eastAsia="仿宋_GB2312" w:cs="仿宋_GB2312"/>
          <w:sz w:val="28"/>
          <w:szCs w:val="28"/>
        </w:rPr>
      </w:pPr>
    </w:p>
    <w:p>
      <w:pPr>
        <w:spacing w:line="400" w:lineRule="exact"/>
        <w:ind w:firstLine="560"/>
        <w:rPr>
          <w:kern w:val="0"/>
          <w:sz w:val="28"/>
          <w:szCs w:val="28"/>
        </w:rPr>
      </w:pPr>
    </w:p>
    <w:p>
      <w:pPr>
        <w:spacing w:line="400" w:lineRule="exact"/>
        <w:ind w:firstLine="560"/>
        <w:rPr>
          <w:kern w:val="0"/>
          <w:sz w:val="28"/>
          <w:szCs w:val="28"/>
        </w:rPr>
      </w:pPr>
    </w:p>
    <w:p>
      <w:pPr>
        <w:spacing w:line="400" w:lineRule="exact"/>
        <w:ind w:firstLine="560"/>
        <w:rPr>
          <w:kern w:val="0"/>
          <w:sz w:val="28"/>
          <w:szCs w:val="28"/>
        </w:rPr>
      </w:pPr>
    </w:p>
    <w:p>
      <w:pPr>
        <w:spacing w:line="400" w:lineRule="exact"/>
        <w:ind w:firstLine="560"/>
        <w:rPr>
          <w:kern w:val="0"/>
          <w:sz w:val="28"/>
          <w:szCs w:val="28"/>
        </w:rPr>
      </w:pPr>
    </w:p>
    <w:p>
      <w:pPr>
        <w:spacing w:line="400" w:lineRule="exact"/>
        <w:ind w:firstLine="560"/>
        <w:rPr>
          <w:kern w:val="0"/>
          <w:sz w:val="28"/>
          <w:szCs w:val="28"/>
        </w:rPr>
      </w:pPr>
    </w:p>
    <w:p>
      <w:pPr>
        <w:spacing w:line="400" w:lineRule="atLeast"/>
        <w:ind w:firstLine="602"/>
        <w:outlineLvl w:val="1"/>
        <w:rPr>
          <w:b/>
          <w:bCs/>
          <w:color w:val="000000"/>
          <w:sz w:val="30"/>
          <w:szCs w:val="30"/>
        </w:rPr>
      </w:pPr>
      <w:r>
        <w:rPr>
          <w:rFonts w:hint="eastAsia"/>
          <w:b/>
          <w:bCs/>
          <w:color w:val="000000"/>
          <w:sz w:val="30"/>
          <w:szCs w:val="30"/>
        </w:rPr>
        <w:t xml:space="preserve">          </w:t>
      </w:r>
      <w:r>
        <w:rPr>
          <w:rFonts w:hint="eastAsia" w:eastAsia="宋体" w:cs="宋体"/>
          <w:b/>
          <w:bCs/>
          <w:color w:val="000000"/>
        </w:rPr>
        <w:t>（四）</w:t>
      </w:r>
      <w:r>
        <w:rPr>
          <w:rFonts w:hint="eastAsia" w:eastAsia="宋体" w:cs="宋体"/>
          <w:b/>
          <w:bCs/>
          <w:color w:val="000000"/>
          <w:lang w:eastAsia="zh-CN"/>
        </w:rPr>
        <w:t>招标</w:t>
      </w:r>
      <w:r>
        <w:rPr>
          <w:rFonts w:hint="eastAsia" w:eastAsia="宋体" w:cs="宋体"/>
          <w:b/>
          <w:bCs/>
          <w:color w:val="000000"/>
        </w:rPr>
        <w:t>保证金提交证明</w:t>
      </w:r>
    </w:p>
    <w:p>
      <w:pPr>
        <w:spacing w:line="440" w:lineRule="exact"/>
        <w:ind w:firstLine="562"/>
        <w:rPr>
          <w:rFonts w:ascii="仿宋_GB2312" w:eastAsia="仿宋_GB2312"/>
          <w:b/>
          <w:color w:val="000000"/>
          <w:sz w:val="28"/>
          <w:szCs w:val="28"/>
        </w:rPr>
      </w:pPr>
    </w:p>
    <w:p>
      <w:pPr>
        <w:snapToGrid w:val="0"/>
        <w:spacing w:line="400" w:lineRule="atLeast"/>
        <w:ind w:right="56" w:firstLine="0" w:firstLineChars="0"/>
        <w:rPr>
          <w:rFonts w:ascii="仿宋_GB2312" w:hAnsi="仿宋_GB2312" w:eastAsia="仿宋_GB2312" w:cs="仿宋_GB2312"/>
          <w:b/>
          <w:sz w:val="28"/>
          <w:szCs w:val="28"/>
        </w:rPr>
      </w:pPr>
      <w:r>
        <w:rPr>
          <w:rFonts w:hint="eastAsia" w:ascii="仿宋_GB2312" w:hAnsi="仿宋_GB2312" w:eastAsia="仿宋_GB2312" w:cs="仿宋_GB2312"/>
          <w:color w:val="000000"/>
          <w:sz w:val="28"/>
          <w:szCs w:val="28"/>
        </w:rPr>
        <w:t>（投标人须将投标保证金汇款凭证复印件或汇款截图附在此处）</w:t>
      </w:r>
    </w:p>
    <w:p>
      <w:pPr>
        <w:spacing w:line="440" w:lineRule="exact"/>
        <w:ind w:firstLine="562"/>
        <w:jc w:val="center"/>
        <w:rPr>
          <w:rFonts w:ascii="仿宋_GB2312" w:eastAsia="仿宋_GB2312"/>
          <w:b/>
          <w:color w:val="000000"/>
          <w:sz w:val="28"/>
          <w:szCs w:val="28"/>
        </w:rPr>
      </w:pPr>
    </w:p>
    <w:p>
      <w:pPr>
        <w:spacing w:line="440" w:lineRule="exact"/>
        <w:ind w:firstLine="562"/>
        <w:jc w:val="center"/>
        <w:rPr>
          <w:rFonts w:ascii="仿宋_GB2312" w:eastAsia="仿宋_GB2312"/>
          <w:b/>
          <w:color w:val="000000"/>
          <w:sz w:val="28"/>
          <w:szCs w:val="28"/>
        </w:rPr>
      </w:pPr>
    </w:p>
    <w:p>
      <w:pPr>
        <w:spacing w:line="440" w:lineRule="exact"/>
        <w:ind w:firstLine="562"/>
        <w:rPr>
          <w:b/>
          <w:color w:val="000000"/>
          <w:sz w:val="28"/>
          <w:szCs w:val="28"/>
        </w:rPr>
      </w:pPr>
    </w:p>
    <w:p>
      <w:pPr>
        <w:spacing w:line="440" w:lineRule="exact"/>
        <w:ind w:firstLine="602"/>
        <w:jc w:val="center"/>
        <w:rPr>
          <w:b/>
          <w:sz w:val="30"/>
          <w:szCs w:val="30"/>
        </w:rPr>
      </w:pPr>
    </w:p>
    <w:p>
      <w:pPr>
        <w:spacing w:line="440" w:lineRule="exact"/>
        <w:ind w:firstLine="602"/>
        <w:jc w:val="center"/>
        <w:rPr>
          <w:b/>
          <w:sz w:val="30"/>
          <w:szCs w:val="30"/>
        </w:rPr>
      </w:pPr>
    </w:p>
    <w:p>
      <w:pPr>
        <w:spacing w:line="440" w:lineRule="exact"/>
        <w:ind w:firstLine="602"/>
        <w:jc w:val="center"/>
        <w:rPr>
          <w:b/>
          <w:sz w:val="30"/>
          <w:szCs w:val="30"/>
        </w:rPr>
      </w:pPr>
    </w:p>
    <w:p>
      <w:pPr>
        <w:spacing w:line="440" w:lineRule="exact"/>
        <w:ind w:firstLine="602"/>
        <w:jc w:val="center"/>
        <w:outlineLvl w:val="1"/>
        <w:rPr>
          <w:b/>
          <w:sz w:val="30"/>
          <w:szCs w:val="30"/>
        </w:rPr>
      </w:pPr>
    </w:p>
    <w:p>
      <w:pPr>
        <w:spacing w:line="440" w:lineRule="exact"/>
        <w:ind w:firstLine="602"/>
        <w:jc w:val="center"/>
        <w:outlineLvl w:val="1"/>
        <w:rPr>
          <w:b/>
          <w:sz w:val="30"/>
          <w:szCs w:val="30"/>
        </w:rPr>
      </w:pPr>
    </w:p>
    <w:p>
      <w:pPr>
        <w:spacing w:line="440" w:lineRule="exact"/>
        <w:ind w:firstLine="602"/>
        <w:jc w:val="center"/>
        <w:outlineLvl w:val="1"/>
        <w:rPr>
          <w:b/>
          <w:sz w:val="30"/>
          <w:szCs w:val="30"/>
        </w:rPr>
      </w:pPr>
    </w:p>
    <w:p>
      <w:pPr>
        <w:spacing w:line="440" w:lineRule="exact"/>
        <w:ind w:firstLine="602"/>
        <w:jc w:val="center"/>
        <w:outlineLvl w:val="1"/>
        <w:rPr>
          <w:b/>
          <w:sz w:val="30"/>
          <w:szCs w:val="30"/>
        </w:rPr>
      </w:pPr>
    </w:p>
    <w:p>
      <w:pPr>
        <w:spacing w:line="440" w:lineRule="exact"/>
        <w:ind w:firstLine="602"/>
        <w:jc w:val="center"/>
        <w:outlineLvl w:val="1"/>
        <w:rPr>
          <w:b/>
          <w:sz w:val="30"/>
          <w:szCs w:val="30"/>
        </w:rPr>
      </w:pPr>
    </w:p>
    <w:p>
      <w:pPr>
        <w:spacing w:line="440" w:lineRule="exact"/>
        <w:ind w:firstLine="602"/>
        <w:jc w:val="center"/>
        <w:outlineLvl w:val="1"/>
        <w:rPr>
          <w:b/>
          <w:sz w:val="30"/>
          <w:szCs w:val="30"/>
        </w:rPr>
      </w:pPr>
    </w:p>
    <w:p>
      <w:pPr>
        <w:spacing w:line="440" w:lineRule="exact"/>
        <w:ind w:firstLine="602"/>
        <w:jc w:val="center"/>
        <w:outlineLvl w:val="1"/>
        <w:rPr>
          <w:b/>
          <w:sz w:val="30"/>
          <w:szCs w:val="30"/>
        </w:rPr>
      </w:pPr>
    </w:p>
    <w:p>
      <w:pPr>
        <w:spacing w:line="440" w:lineRule="exact"/>
        <w:ind w:firstLine="602"/>
        <w:jc w:val="center"/>
        <w:outlineLvl w:val="1"/>
        <w:rPr>
          <w:b/>
          <w:sz w:val="30"/>
          <w:szCs w:val="30"/>
        </w:rPr>
      </w:pPr>
    </w:p>
    <w:p>
      <w:pPr>
        <w:spacing w:line="440" w:lineRule="exact"/>
        <w:ind w:firstLine="602"/>
        <w:jc w:val="center"/>
        <w:outlineLvl w:val="1"/>
        <w:rPr>
          <w:b/>
          <w:sz w:val="30"/>
          <w:szCs w:val="30"/>
        </w:rPr>
      </w:pPr>
    </w:p>
    <w:p>
      <w:pPr>
        <w:spacing w:line="440" w:lineRule="exact"/>
        <w:ind w:firstLine="602"/>
        <w:jc w:val="center"/>
        <w:outlineLvl w:val="1"/>
        <w:rPr>
          <w:b/>
          <w:sz w:val="30"/>
          <w:szCs w:val="30"/>
        </w:rPr>
      </w:pPr>
    </w:p>
    <w:p>
      <w:pPr>
        <w:spacing w:line="440" w:lineRule="exact"/>
        <w:ind w:firstLine="602"/>
        <w:jc w:val="center"/>
        <w:outlineLvl w:val="1"/>
        <w:rPr>
          <w:b/>
          <w:sz w:val="30"/>
          <w:szCs w:val="30"/>
        </w:rPr>
      </w:pPr>
    </w:p>
    <w:p>
      <w:pPr>
        <w:spacing w:line="440" w:lineRule="exact"/>
        <w:ind w:firstLine="602"/>
        <w:jc w:val="center"/>
        <w:outlineLvl w:val="1"/>
        <w:rPr>
          <w:b/>
          <w:sz w:val="30"/>
          <w:szCs w:val="30"/>
        </w:rPr>
      </w:pPr>
    </w:p>
    <w:p>
      <w:pPr>
        <w:spacing w:line="440" w:lineRule="exact"/>
        <w:ind w:firstLine="602"/>
        <w:jc w:val="center"/>
        <w:outlineLvl w:val="1"/>
        <w:rPr>
          <w:b/>
          <w:sz w:val="30"/>
          <w:szCs w:val="30"/>
        </w:rPr>
      </w:pPr>
    </w:p>
    <w:p>
      <w:pPr>
        <w:spacing w:line="440" w:lineRule="exact"/>
        <w:ind w:firstLine="602"/>
        <w:jc w:val="center"/>
        <w:outlineLvl w:val="1"/>
        <w:rPr>
          <w:b/>
          <w:sz w:val="30"/>
          <w:szCs w:val="30"/>
        </w:rPr>
      </w:pPr>
    </w:p>
    <w:p>
      <w:pPr>
        <w:spacing w:line="440" w:lineRule="exact"/>
        <w:ind w:firstLine="602"/>
        <w:jc w:val="center"/>
        <w:outlineLvl w:val="1"/>
        <w:rPr>
          <w:b/>
          <w:sz w:val="30"/>
          <w:szCs w:val="30"/>
        </w:rPr>
      </w:pPr>
    </w:p>
    <w:p>
      <w:pPr>
        <w:spacing w:line="440" w:lineRule="exact"/>
        <w:ind w:firstLine="602"/>
        <w:jc w:val="center"/>
        <w:outlineLvl w:val="1"/>
        <w:rPr>
          <w:b/>
          <w:sz w:val="30"/>
          <w:szCs w:val="30"/>
        </w:rPr>
      </w:pPr>
    </w:p>
    <w:p>
      <w:pPr>
        <w:spacing w:line="440" w:lineRule="exact"/>
        <w:ind w:firstLine="602"/>
        <w:jc w:val="center"/>
        <w:outlineLvl w:val="1"/>
        <w:rPr>
          <w:b/>
          <w:sz w:val="30"/>
          <w:szCs w:val="30"/>
        </w:rPr>
      </w:pPr>
    </w:p>
    <w:p>
      <w:pPr>
        <w:spacing w:line="440" w:lineRule="exact"/>
        <w:ind w:firstLine="602"/>
        <w:jc w:val="center"/>
        <w:outlineLvl w:val="1"/>
        <w:rPr>
          <w:b/>
          <w:sz w:val="30"/>
          <w:szCs w:val="30"/>
        </w:rPr>
      </w:pPr>
    </w:p>
    <w:p>
      <w:pPr>
        <w:spacing w:line="440" w:lineRule="exact"/>
        <w:ind w:firstLine="602"/>
        <w:jc w:val="center"/>
        <w:outlineLvl w:val="1"/>
        <w:rPr>
          <w:b/>
          <w:color w:val="000000"/>
          <w:sz w:val="30"/>
          <w:szCs w:val="30"/>
        </w:rPr>
      </w:pPr>
      <w:r>
        <w:rPr>
          <w:rFonts w:hint="eastAsia"/>
          <w:b/>
          <w:sz w:val="30"/>
          <w:szCs w:val="30"/>
        </w:rPr>
        <w:br w:type="page"/>
      </w:r>
      <w:r>
        <w:rPr>
          <w:rFonts w:hint="eastAsia" w:eastAsia="宋体" w:cs="宋体"/>
          <w:b/>
        </w:rPr>
        <w:t>（五）投标供应商资格证明文件</w:t>
      </w:r>
    </w:p>
    <w:p>
      <w:pPr>
        <w:spacing w:line="440" w:lineRule="exact"/>
        <w:ind w:firstLine="643"/>
        <w:jc w:val="center"/>
        <w:rPr>
          <w:b/>
          <w:color w:val="000000"/>
        </w:rPr>
      </w:pPr>
    </w:p>
    <w:p>
      <w:pPr>
        <w:spacing w:line="440" w:lineRule="exact"/>
        <w:ind w:firstLine="562"/>
        <w:jc w:val="center"/>
        <w:rPr>
          <w:b/>
          <w:color w:val="000000"/>
          <w:sz w:val="28"/>
          <w:szCs w:val="28"/>
        </w:rPr>
      </w:pPr>
      <w:r>
        <w:rPr>
          <w:rFonts w:hint="eastAsia"/>
          <w:b/>
          <w:color w:val="000000"/>
          <w:sz w:val="28"/>
          <w:szCs w:val="28"/>
        </w:rPr>
        <w:t>1.关于资格的声明函</w:t>
      </w:r>
    </w:p>
    <w:p>
      <w:pPr>
        <w:spacing w:line="440" w:lineRule="exact"/>
        <w:ind w:firstLine="482"/>
        <w:jc w:val="center"/>
        <w:rPr>
          <w:b/>
          <w:color w:val="000000"/>
          <w:sz w:val="24"/>
          <w:szCs w:val="24"/>
        </w:rPr>
      </w:pPr>
    </w:p>
    <w:p>
      <w:pPr>
        <w:pStyle w:val="46"/>
        <w:spacing w:line="440" w:lineRule="exact"/>
        <w:ind w:left="64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（招标人名称）</w:t>
      </w:r>
    </w:p>
    <w:p>
      <w:pPr>
        <w:pStyle w:val="46"/>
        <w:spacing w:line="440" w:lineRule="exact"/>
        <w:ind w:left="64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关于贵方2021年</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日第（项目编号）</w:t>
      </w:r>
      <w:r>
        <w:rPr>
          <w:rFonts w:hint="eastAsia" w:ascii="仿宋_GB2312" w:hAnsi="仿宋_GB2312" w:eastAsia="仿宋_GB2312" w:cs="仿宋_GB2312"/>
          <w:sz w:val="28"/>
          <w:szCs w:val="28"/>
          <w:lang w:eastAsia="zh-CN"/>
        </w:rPr>
        <w:t>公开</w:t>
      </w:r>
      <w:r>
        <w:rPr>
          <w:rFonts w:hint="eastAsia" w:ascii="仿宋_GB2312" w:hAnsi="仿宋_GB2312" w:eastAsia="仿宋_GB2312" w:cs="仿宋_GB2312"/>
          <w:sz w:val="28"/>
          <w:szCs w:val="28"/>
        </w:rPr>
        <w:t>性</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公告关于</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的采购项目，本签字人愿意参加投标，并有能力提供</w:t>
      </w:r>
      <w:r>
        <w:rPr>
          <w:rFonts w:hint="eastAsia" w:ascii="仿宋_GB2312" w:hAnsi="仿宋_GB2312" w:eastAsia="仿宋_GB2312" w:cs="仿宋_GB2312"/>
          <w:sz w:val="28"/>
          <w:szCs w:val="28"/>
          <w:u w:val="single"/>
        </w:rPr>
        <w:t xml:space="preserve">  （项目名称） </w:t>
      </w:r>
      <w:r>
        <w:rPr>
          <w:rFonts w:hint="eastAsia" w:ascii="仿宋_GB2312" w:hAnsi="仿宋_GB2312" w:eastAsia="仿宋_GB2312" w:cs="仿宋_GB2312"/>
          <w:sz w:val="28"/>
          <w:szCs w:val="28"/>
        </w:rPr>
        <w:t>项目中的全部工程、服务内容，并保证所提交的所有文件和说明是真实和准确的。</w:t>
      </w:r>
    </w:p>
    <w:p>
      <w:pPr>
        <w:pStyle w:val="46"/>
        <w:spacing w:line="440" w:lineRule="exact"/>
        <w:ind w:left="640" w:firstLine="560"/>
        <w:rPr>
          <w:rFonts w:ascii="仿宋_GB2312" w:hAnsi="仿宋_GB2312" w:eastAsia="仿宋_GB2312" w:cs="仿宋_GB2312"/>
          <w:sz w:val="28"/>
          <w:szCs w:val="28"/>
        </w:rPr>
      </w:pPr>
    </w:p>
    <w:p>
      <w:pPr>
        <w:topLinePunct w:val="1"/>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topLinePunct w:val="1"/>
        <w:spacing w:line="420" w:lineRule="exact"/>
        <w:ind w:firstLine="560"/>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 xml:space="preserve">                  投标供应商：</w:t>
      </w:r>
      <w:r>
        <w:rPr>
          <w:rFonts w:hint="eastAsia" w:ascii="仿宋_GB2312" w:hAnsi="仿宋_GB2312" w:eastAsia="仿宋_GB2312" w:cs="仿宋_GB2312"/>
          <w:bCs/>
          <w:sz w:val="28"/>
          <w:szCs w:val="28"/>
          <w:u w:val="single"/>
        </w:rPr>
        <w:t xml:space="preserve">   （全称）（盖章）   </w:t>
      </w:r>
    </w:p>
    <w:p>
      <w:pPr>
        <w:pStyle w:val="30"/>
        <w:ind w:firstLine="480"/>
      </w:pPr>
    </w:p>
    <w:p>
      <w:pPr>
        <w:pStyle w:val="46"/>
        <w:spacing w:line="440" w:lineRule="exact"/>
        <w:ind w:left="640" w:firstLine="56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被授权签署本资格文件人：</w:t>
      </w:r>
      <w:r>
        <w:rPr>
          <w:rFonts w:hint="eastAsia" w:ascii="仿宋_GB2312" w:hAnsi="仿宋_GB2312" w:eastAsia="仿宋_GB2312" w:cs="仿宋_GB2312"/>
          <w:sz w:val="28"/>
          <w:szCs w:val="28"/>
          <w:u w:val="single"/>
        </w:rPr>
        <w:t>被授权人姓名（签字）</w:t>
      </w:r>
    </w:p>
    <w:p>
      <w:pPr>
        <w:pStyle w:val="46"/>
        <w:spacing w:line="440" w:lineRule="exact"/>
        <w:ind w:left="640" w:firstLine="56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地址：</w:t>
      </w:r>
      <w:r>
        <w:rPr>
          <w:rFonts w:hint="eastAsia" w:ascii="仿宋_GB2312" w:hAnsi="仿宋_GB2312" w:eastAsia="仿宋_GB2312" w:cs="仿宋_GB2312"/>
          <w:sz w:val="28"/>
          <w:szCs w:val="28"/>
          <w:u w:val="single"/>
        </w:rPr>
        <w:t xml:space="preserve">　　　　　　　　　　　　  </w:t>
      </w:r>
    </w:p>
    <w:p>
      <w:pPr>
        <w:pStyle w:val="46"/>
        <w:spacing w:line="440" w:lineRule="exact"/>
        <w:ind w:left="64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传真：</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　　　　　　</w:t>
      </w:r>
    </w:p>
    <w:p>
      <w:pPr>
        <w:pStyle w:val="46"/>
        <w:spacing w:line="440" w:lineRule="exact"/>
        <w:ind w:left="64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邮编：</w:t>
      </w:r>
      <w:r>
        <w:rPr>
          <w:rFonts w:hint="eastAsia" w:ascii="仿宋_GB2312" w:hAnsi="仿宋_GB2312" w:eastAsia="仿宋_GB2312" w:cs="仿宋_GB2312"/>
          <w:sz w:val="28"/>
          <w:szCs w:val="28"/>
          <w:u w:val="single"/>
        </w:rPr>
        <w:t>　　　　　　　　　　　　　</w:t>
      </w:r>
    </w:p>
    <w:p>
      <w:pPr>
        <w:pStyle w:val="46"/>
        <w:spacing w:line="440" w:lineRule="exact"/>
        <w:ind w:left="640"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w:t>
      </w:r>
      <w:r>
        <w:rPr>
          <w:rFonts w:hint="eastAsia" w:ascii="仿宋_GB2312" w:hAnsi="仿宋_GB2312" w:eastAsia="仿宋_GB2312" w:cs="仿宋_GB2312"/>
          <w:sz w:val="28"/>
          <w:szCs w:val="28"/>
          <w:u w:val="single"/>
        </w:rPr>
        <w:t xml:space="preserve">                          </w:t>
      </w:r>
    </w:p>
    <w:p>
      <w:pPr>
        <w:pStyle w:val="32"/>
        <w:spacing w:line="440" w:lineRule="exact"/>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2021年</w:t>
      </w:r>
      <w:r>
        <w:rPr>
          <w:rFonts w:hint="eastAsia" w:ascii="仿宋_GB2312" w:hAnsi="仿宋_GB2312" w:eastAsia="仿宋_GB2312" w:cs="仿宋_GB2312"/>
          <w:bCs/>
          <w:sz w:val="28"/>
          <w:szCs w:val="28"/>
          <w:u w:val="single"/>
        </w:rPr>
        <w:t>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w:t>
      </w:r>
    </w:p>
    <w:p>
      <w:pPr>
        <w:spacing w:line="440" w:lineRule="exact"/>
        <w:ind w:firstLine="562"/>
        <w:rPr>
          <w:rFonts w:ascii="仿宋_GB2312" w:hAnsi="仿宋_GB2312" w:eastAsia="仿宋_GB2312" w:cs="仿宋_GB2312"/>
          <w:b/>
          <w:sz w:val="28"/>
          <w:szCs w:val="28"/>
        </w:rPr>
      </w:pPr>
    </w:p>
    <w:p>
      <w:pPr>
        <w:spacing w:line="440" w:lineRule="exact"/>
        <w:ind w:firstLine="482"/>
        <w:jc w:val="center"/>
        <w:rPr>
          <w:b/>
          <w:color w:val="000000"/>
          <w:sz w:val="24"/>
          <w:szCs w:val="24"/>
        </w:rPr>
      </w:pPr>
    </w:p>
    <w:p>
      <w:pPr>
        <w:spacing w:line="440" w:lineRule="exact"/>
        <w:ind w:firstLine="562"/>
        <w:jc w:val="center"/>
        <w:rPr>
          <w:rFonts w:ascii="仿宋_GB2312" w:eastAsia="仿宋_GB2312"/>
          <w:b/>
          <w:color w:val="000000"/>
          <w:sz w:val="28"/>
          <w:szCs w:val="28"/>
        </w:rPr>
      </w:pPr>
    </w:p>
    <w:p>
      <w:pPr>
        <w:spacing w:line="440" w:lineRule="exact"/>
        <w:ind w:firstLine="602"/>
        <w:jc w:val="center"/>
        <w:rPr>
          <w:b/>
          <w:color w:val="000000"/>
          <w:sz w:val="30"/>
          <w:szCs w:val="30"/>
        </w:rPr>
      </w:pPr>
    </w:p>
    <w:p>
      <w:pPr>
        <w:spacing w:line="440" w:lineRule="exact"/>
        <w:ind w:firstLine="562"/>
        <w:jc w:val="center"/>
        <w:rPr>
          <w:b/>
          <w:color w:val="000000"/>
          <w:sz w:val="28"/>
          <w:szCs w:val="28"/>
        </w:rPr>
      </w:pPr>
    </w:p>
    <w:p>
      <w:pPr>
        <w:spacing w:line="440" w:lineRule="exact"/>
        <w:ind w:firstLine="562"/>
        <w:jc w:val="center"/>
        <w:rPr>
          <w:b/>
          <w:color w:val="000000"/>
          <w:sz w:val="28"/>
          <w:szCs w:val="28"/>
        </w:rPr>
      </w:pPr>
    </w:p>
    <w:p>
      <w:pPr>
        <w:spacing w:line="440" w:lineRule="exact"/>
        <w:ind w:firstLine="562"/>
        <w:jc w:val="center"/>
        <w:rPr>
          <w:b/>
          <w:color w:val="000000"/>
          <w:sz w:val="28"/>
          <w:szCs w:val="28"/>
        </w:rPr>
      </w:pPr>
    </w:p>
    <w:p>
      <w:pPr>
        <w:spacing w:line="440" w:lineRule="exact"/>
        <w:ind w:firstLine="562"/>
        <w:jc w:val="center"/>
        <w:rPr>
          <w:b/>
          <w:color w:val="000000"/>
          <w:sz w:val="28"/>
          <w:szCs w:val="28"/>
        </w:rPr>
      </w:pPr>
    </w:p>
    <w:p>
      <w:pPr>
        <w:spacing w:line="440" w:lineRule="exact"/>
        <w:ind w:firstLine="0" w:firstLineChars="0"/>
        <w:rPr>
          <w:b/>
          <w:color w:val="000000"/>
          <w:sz w:val="28"/>
          <w:szCs w:val="28"/>
        </w:rPr>
      </w:pPr>
    </w:p>
    <w:p>
      <w:pPr>
        <w:spacing w:line="440" w:lineRule="exact"/>
        <w:ind w:left="0" w:leftChars="0" w:firstLine="0" w:firstLineChars="0"/>
        <w:jc w:val="both"/>
        <w:rPr>
          <w:b/>
          <w:sz w:val="28"/>
          <w:szCs w:val="28"/>
        </w:rPr>
      </w:pPr>
      <w:r>
        <w:rPr>
          <w:rFonts w:hint="eastAsia"/>
          <w:b/>
          <w:color w:val="000000"/>
          <w:sz w:val="28"/>
          <w:szCs w:val="28"/>
          <w:lang w:val="en-US" w:eastAsia="zh-CN"/>
        </w:rPr>
        <w:t xml:space="preserve">                 </w:t>
      </w:r>
      <w:r>
        <w:rPr>
          <w:rFonts w:hint="eastAsia"/>
          <w:b/>
          <w:color w:val="000000"/>
          <w:sz w:val="28"/>
          <w:szCs w:val="28"/>
        </w:rPr>
        <w:t>2.投标人基本情况表</w:t>
      </w:r>
    </w:p>
    <w:p>
      <w:pPr>
        <w:ind w:firstLine="560"/>
        <w:rPr>
          <w:sz w:val="28"/>
          <w:szCs w:val="28"/>
        </w:rPr>
      </w:pPr>
    </w:p>
    <w:tbl>
      <w:tblPr>
        <w:tblW w:w="87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732"/>
        <w:gridCol w:w="1121"/>
        <w:gridCol w:w="611"/>
        <w:gridCol w:w="1731"/>
        <w:gridCol w:w="1733"/>
        <w:gridCol w:w="1827"/>
      </w:tblGrid>
      <w:tr>
        <w:trPr>
          <w:trHeight w:val="461" w:hRule="atLeast"/>
        </w:trPr>
        <w:tc>
          <w:tcPr>
            <w:tcW w:w="1732" w:type="dxa"/>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7023" w:type="dxa"/>
            <w:gridSpan w:val="5"/>
            <w:vAlign w:val="center"/>
          </w:tcPr>
          <w:p>
            <w:pPr>
              <w:ind w:firstLine="0" w:firstLineChars="0"/>
              <w:jc w:val="center"/>
              <w:rPr>
                <w:rFonts w:ascii="仿宋_GB2312" w:hAnsi="仿宋_GB2312" w:eastAsia="仿宋_GB2312" w:cs="仿宋_GB2312"/>
                <w:sz w:val="28"/>
                <w:szCs w:val="28"/>
              </w:rPr>
            </w:pPr>
          </w:p>
        </w:tc>
      </w:tr>
      <w:tr>
        <w:trPr>
          <w:trHeight w:val="467" w:hRule="atLeast"/>
        </w:trPr>
        <w:tc>
          <w:tcPr>
            <w:tcW w:w="1732" w:type="dxa"/>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7023" w:type="dxa"/>
            <w:gridSpan w:val="5"/>
            <w:vAlign w:val="center"/>
          </w:tcPr>
          <w:p>
            <w:pPr>
              <w:ind w:firstLine="0" w:firstLineChars="0"/>
              <w:jc w:val="center"/>
              <w:rPr>
                <w:rFonts w:ascii="仿宋_GB2312" w:hAnsi="仿宋_GB2312" w:eastAsia="仿宋_GB2312" w:cs="仿宋_GB2312"/>
                <w:sz w:val="28"/>
                <w:szCs w:val="28"/>
              </w:rPr>
            </w:pPr>
          </w:p>
        </w:tc>
      </w:tr>
      <w:tr>
        <w:trPr>
          <w:trHeight w:val="459" w:hRule="atLeast"/>
        </w:trPr>
        <w:tc>
          <w:tcPr>
            <w:tcW w:w="1732" w:type="dxa"/>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办公地址</w:t>
            </w:r>
          </w:p>
        </w:tc>
        <w:tc>
          <w:tcPr>
            <w:tcW w:w="7023" w:type="dxa"/>
            <w:gridSpan w:val="5"/>
            <w:vAlign w:val="center"/>
          </w:tcPr>
          <w:p>
            <w:pPr>
              <w:ind w:firstLine="0" w:firstLineChars="0"/>
              <w:jc w:val="center"/>
              <w:rPr>
                <w:rFonts w:ascii="仿宋_GB2312" w:hAnsi="仿宋_GB2312" w:eastAsia="仿宋_GB2312" w:cs="仿宋_GB2312"/>
                <w:sz w:val="28"/>
                <w:szCs w:val="28"/>
              </w:rPr>
            </w:pPr>
          </w:p>
        </w:tc>
      </w:tr>
      <w:tr>
        <w:trPr>
          <w:trHeight w:val="465" w:hRule="atLeast"/>
        </w:trPr>
        <w:tc>
          <w:tcPr>
            <w:tcW w:w="1732" w:type="dxa"/>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c>
          <w:tcPr>
            <w:tcW w:w="1732" w:type="dxa"/>
            <w:gridSpan w:val="2"/>
            <w:vAlign w:val="center"/>
          </w:tcPr>
          <w:p>
            <w:pPr>
              <w:ind w:firstLine="0" w:firstLineChars="0"/>
              <w:jc w:val="center"/>
              <w:rPr>
                <w:rFonts w:ascii="仿宋_GB2312" w:hAnsi="仿宋_GB2312" w:eastAsia="仿宋_GB2312" w:cs="仿宋_GB2312"/>
                <w:sz w:val="28"/>
                <w:szCs w:val="28"/>
              </w:rPr>
            </w:pPr>
          </w:p>
        </w:tc>
        <w:tc>
          <w:tcPr>
            <w:tcW w:w="1731" w:type="dxa"/>
            <w:vAlign w:val="center"/>
          </w:tcPr>
          <w:p>
            <w:pPr>
              <w:ind w:firstLine="0" w:firstLineChars="0"/>
              <w:jc w:val="center"/>
              <w:rPr>
                <w:rFonts w:ascii="仿宋_GB2312" w:hAnsi="仿宋_GB2312" w:eastAsia="仿宋_GB2312" w:cs="仿宋_GB2312"/>
                <w:sz w:val="28"/>
                <w:szCs w:val="28"/>
              </w:rPr>
            </w:pPr>
          </w:p>
        </w:tc>
        <w:tc>
          <w:tcPr>
            <w:tcW w:w="1733" w:type="dxa"/>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1827" w:type="dxa"/>
            <w:vAlign w:val="center"/>
          </w:tcPr>
          <w:p>
            <w:pPr>
              <w:ind w:firstLine="0" w:firstLineChars="0"/>
              <w:jc w:val="center"/>
              <w:rPr>
                <w:rFonts w:ascii="仿宋_GB2312" w:hAnsi="仿宋_GB2312" w:eastAsia="仿宋_GB2312" w:cs="仿宋_GB2312"/>
                <w:sz w:val="28"/>
                <w:szCs w:val="28"/>
              </w:rPr>
            </w:pPr>
          </w:p>
        </w:tc>
      </w:tr>
      <w:tr>
        <w:trPr>
          <w:trHeight w:val="470" w:hRule="atLeast"/>
        </w:trPr>
        <w:tc>
          <w:tcPr>
            <w:tcW w:w="1732" w:type="dxa"/>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电话</w:t>
            </w:r>
          </w:p>
        </w:tc>
        <w:tc>
          <w:tcPr>
            <w:tcW w:w="1732" w:type="dxa"/>
            <w:gridSpan w:val="2"/>
            <w:vAlign w:val="center"/>
          </w:tcPr>
          <w:p>
            <w:pPr>
              <w:ind w:firstLine="0" w:firstLineChars="0"/>
              <w:jc w:val="center"/>
              <w:rPr>
                <w:rFonts w:ascii="仿宋_GB2312" w:hAnsi="仿宋_GB2312" w:eastAsia="仿宋_GB2312" w:cs="仿宋_GB2312"/>
                <w:sz w:val="28"/>
                <w:szCs w:val="28"/>
              </w:rPr>
            </w:pPr>
          </w:p>
        </w:tc>
        <w:tc>
          <w:tcPr>
            <w:tcW w:w="1731" w:type="dxa"/>
            <w:vAlign w:val="center"/>
          </w:tcPr>
          <w:p>
            <w:pPr>
              <w:ind w:firstLine="0" w:firstLineChars="0"/>
              <w:jc w:val="center"/>
              <w:rPr>
                <w:rFonts w:ascii="仿宋_GB2312" w:hAnsi="仿宋_GB2312" w:eastAsia="仿宋_GB2312" w:cs="仿宋_GB2312"/>
                <w:sz w:val="28"/>
                <w:szCs w:val="28"/>
              </w:rPr>
            </w:pPr>
          </w:p>
        </w:tc>
        <w:tc>
          <w:tcPr>
            <w:tcW w:w="1733" w:type="dxa"/>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传真</w:t>
            </w:r>
          </w:p>
        </w:tc>
        <w:tc>
          <w:tcPr>
            <w:tcW w:w="1827" w:type="dxa"/>
            <w:vAlign w:val="center"/>
          </w:tcPr>
          <w:p>
            <w:pPr>
              <w:ind w:firstLine="0" w:firstLineChars="0"/>
              <w:jc w:val="center"/>
              <w:rPr>
                <w:rFonts w:ascii="仿宋_GB2312" w:hAnsi="仿宋_GB2312" w:eastAsia="仿宋_GB2312" w:cs="仿宋_GB2312"/>
                <w:sz w:val="28"/>
                <w:szCs w:val="28"/>
              </w:rPr>
            </w:pPr>
          </w:p>
        </w:tc>
      </w:tr>
      <w:tr>
        <w:trPr>
          <w:trHeight w:val="476" w:hRule="atLeast"/>
        </w:trPr>
        <w:tc>
          <w:tcPr>
            <w:tcW w:w="1732" w:type="dxa"/>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c>
          <w:tcPr>
            <w:tcW w:w="1732" w:type="dxa"/>
            <w:gridSpan w:val="2"/>
            <w:vAlign w:val="center"/>
          </w:tcPr>
          <w:p>
            <w:pPr>
              <w:ind w:firstLine="0" w:firstLineChars="0"/>
              <w:jc w:val="center"/>
              <w:rPr>
                <w:rFonts w:ascii="仿宋_GB2312" w:hAnsi="仿宋_GB2312" w:eastAsia="仿宋_GB2312" w:cs="仿宋_GB2312"/>
                <w:sz w:val="28"/>
                <w:szCs w:val="28"/>
              </w:rPr>
            </w:pPr>
          </w:p>
        </w:tc>
        <w:tc>
          <w:tcPr>
            <w:tcW w:w="1731" w:type="dxa"/>
            <w:vAlign w:val="center"/>
          </w:tcPr>
          <w:p>
            <w:pPr>
              <w:ind w:firstLine="0" w:firstLineChars="0"/>
              <w:jc w:val="center"/>
              <w:rPr>
                <w:rFonts w:ascii="仿宋_GB2312" w:hAnsi="仿宋_GB2312" w:eastAsia="仿宋_GB2312" w:cs="仿宋_GB2312"/>
                <w:sz w:val="28"/>
                <w:szCs w:val="28"/>
              </w:rPr>
            </w:pPr>
          </w:p>
        </w:tc>
        <w:tc>
          <w:tcPr>
            <w:tcW w:w="1733" w:type="dxa"/>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E-Mail</w:t>
            </w:r>
          </w:p>
        </w:tc>
        <w:tc>
          <w:tcPr>
            <w:tcW w:w="1827" w:type="dxa"/>
            <w:vAlign w:val="center"/>
          </w:tcPr>
          <w:p>
            <w:pPr>
              <w:ind w:firstLine="0" w:firstLineChars="0"/>
              <w:jc w:val="center"/>
              <w:rPr>
                <w:rFonts w:ascii="仿宋_GB2312" w:hAnsi="仿宋_GB2312" w:eastAsia="仿宋_GB2312" w:cs="仿宋_GB2312"/>
                <w:sz w:val="28"/>
                <w:szCs w:val="28"/>
              </w:rPr>
            </w:pPr>
          </w:p>
        </w:tc>
      </w:tr>
      <w:tr>
        <w:trPr>
          <w:trHeight w:val="640" w:hRule="atLeast"/>
        </w:trPr>
        <w:tc>
          <w:tcPr>
            <w:tcW w:w="2853" w:type="dxa"/>
            <w:gridSpan w:val="2"/>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社会统一信用代码</w:t>
            </w:r>
          </w:p>
        </w:tc>
        <w:tc>
          <w:tcPr>
            <w:tcW w:w="5902" w:type="dxa"/>
            <w:gridSpan w:val="4"/>
            <w:vAlign w:val="center"/>
          </w:tcPr>
          <w:p>
            <w:pPr>
              <w:ind w:firstLine="0" w:firstLineChars="0"/>
              <w:jc w:val="center"/>
              <w:rPr>
                <w:rFonts w:ascii="仿宋_GB2312" w:hAnsi="仿宋_GB2312" w:eastAsia="仿宋_GB2312" w:cs="仿宋_GB2312"/>
                <w:sz w:val="28"/>
                <w:szCs w:val="28"/>
              </w:rPr>
            </w:pPr>
          </w:p>
        </w:tc>
      </w:tr>
      <w:tr>
        <w:trPr>
          <w:trHeight w:val="640" w:hRule="atLeast"/>
        </w:trPr>
        <w:tc>
          <w:tcPr>
            <w:tcW w:w="2853" w:type="dxa"/>
            <w:gridSpan w:val="2"/>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资质等级</w:t>
            </w:r>
          </w:p>
        </w:tc>
        <w:tc>
          <w:tcPr>
            <w:tcW w:w="5902" w:type="dxa"/>
            <w:gridSpan w:val="4"/>
            <w:vAlign w:val="center"/>
          </w:tcPr>
          <w:p>
            <w:pPr>
              <w:ind w:firstLine="0" w:firstLineChars="0"/>
              <w:jc w:val="center"/>
              <w:rPr>
                <w:rFonts w:ascii="仿宋_GB2312" w:hAnsi="仿宋_GB2312" w:eastAsia="仿宋_GB2312" w:cs="仿宋_GB2312"/>
                <w:sz w:val="28"/>
                <w:szCs w:val="28"/>
              </w:rPr>
            </w:pPr>
          </w:p>
        </w:tc>
      </w:tr>
      <w:tr>
        <w:trPr>
          <w:trHeight w:val="1474" w:hRule="atLeast"/>
        </w:trPr>
        <w:tc>
          <w:tcPr>
            <w:tcW w:w="1732" w:type="dxa"/>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注册资金</w:t>
            </w:r>
          </w:p>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（开办费）</w:t>
            </w:r>
          </w:p>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3463" w:type="dxa"/>
            <w:gridSpan w:val="3"/>
            <w:vAlign w:val="center"/>
          </w:tcPr>
          <w:p>
            <w:pPr>
              <w:ind w:firstLine="0" w:firstLineChars="0"/>
              <w:jc w:val="center"/>
              <w:rPr>
                <w:rFonts w:ascii="仿宋_GB2312" w:hAnsi="仿宋_GB2312" w:eastAsia="仿宋_GB2312" w:cs="仿宋_GB2312"/>
                <w:sz w:val="28"/>
                <w:szCs w:val="28"/>
              </w:rPr>
            </w:pPr>
          </w:p>
        </w:tc>
        <w:tc>
          <w:tcPr>
            <w:tcW w:w="1733" w:type="dxa"/>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专业人员数量</w:t>
            </w:r>
          </w:p>
        </w:tc>
        <w:tc>
          <w:tcPr>
            <w:tcW w:w="1827" w:type="dxa"/>
            <w:vAlign w:val="center"/>
          </w:tcPr>
          <w:p>
            <w:pPr>
              <w:ind w:firstLine="0" w:firstLineChars="0"/>
              <w:jc w:val="center"/>
              <w:rPr>
                <w:rFonts w:ascii="仿宋_GB2312" w:hAnsi="仿宋_GB2312" w:eastAsia="仿宋_GB2312" w:cs="仿宋_GB2312"/>
                <w:sz w:val="28"/>
                <w:szCs w:val="28"/>
              </w:rPr>
            </w:pPr>
          </w:p>
        </w:tc>
      </w:tr>
      <w:tr>
        <w:trPr>
          <w:trHeight w:val="1023" w:hRule="atLeast"/>
        </w:trPr>
        <w:tc>
          <w:tcPr>
            <w:tcW w:w="1732" w:type="dxa"/>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业务范围      （编号）</w:t>
            </w:r>
          </w:p>
        </w:tc>
        <w:tc>
          <w:tcPr>
            <w:tcW w:w="7023" w:type="dxa"/>
            <w:gridSpan w:val="5"/>
            <w:vAlign w:val="center"/>
          </w:tcPr>
          <w:p>
            <w:pPr>
              <w:ind w:firstLine="0" w:firstLineChars="0"/>
              <w:rPr>
                <w:rFonts w:ascii="仿宋_GB2312" w:hAnsi="仿宋_GB2312" w:eastAsia="仿宋_GB2312" w:cs="仿宋_GB2312"/>
                <w:sz w:val="28"/>
                <w:szCs w:val="28"/>
              </w:rPr>
            </w:pPr>
          </w:p>
        </w:tc>
      </w:tr>
      <w:tr>
        <w:trPr>
          <w:trHeight w:val="1648" w:hRule="atLeast"/>
        </w:trPr>
        <w:tc>
          <w:tcPr>
            <w:tcW w:w="8755" w:type="dxa"/>
            <w:gridSpan w:val="6"/>
            <w:vAlign w:val="top"/>
          </w:tcPr>
          <w:p>
            <w:pPr>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机构简况：</w:t>
            </w:r>
          </w:p>
        </w:tc>
      </w:tr>
    </w:tbl>
    <w:p>
      <w:pPr>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注：在本表后应附,① 投标单位企业法人营业执照或具有同等法律效力的许可经营证明文件的复印件(并加盖单位章)、相关资质证书（如有）、许可证书（如有）及本</w:t>
      </w:r>
      <w:r>
        <w:rPr>
          <w:rFonts w:hint="eastAsia" w:ascii="仿宋_GB2312" w:hAnsi="仿宋_GB2312" w:eastAsia="仿宋_GB2312" w:cs="仿宋_GB2312"/>
          <w:sz w:val="28"/>
          <w:szCs w:val="28"/>
          <w:lang w:eastAsia="zh-CN"/>
        </w:rPr>
        <w:t>公开</w:t>
      </w:r>
      <w:r>
        <w:rPr>
          <w:rFonts w:hint="eastAsia" w:ascii="仿宋_GB2312" w:hAnsi="仿宋_GB2312" w:eastAsia="仿宋_GB2312" w:cs="仿宋_GB2312"/>
          <w:sz w:val="28"/>
          <w:szCs w:val="28"/>
        </w:rPr>
        <w:t>性</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文件中相关资格要求的内容等资料的复印件。</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② 附其他相关证明材料复印件（如：办公用房产权或者使用权证明复印件）（如有需要）</w:t>
      </w:r>
    </w:p>
    <w:p>
      <w:pPr>
        <w:pStyle w:val="32"/>
        <w:ind w:firstLine="562"/>
        <w:jc w:val="center"/>
        <w:rPr>
          <w:rFonts w:ascii="仿宋_GB2312" w:hAnsi="仿宋_GB2312" w:eastAsia="仿宋_GB2312" w:cs="仿宋_GB2312"/>
          <w:b/>
          <w:sz w:val="28"/>
          <w:szCs w:val="28"/>
        </w:rPr>
      </w:pPr>
    </w:p>
    <w:p>
      <w:pPr>
        <w:pStyle w:val="32"/>
        <w:ind w:firstLine="562"/>
        <w:jc w:val="center"/>
        <w:rPr>
          <w:rFonts w:hAnsi="宋体"/>
          <w:b/>
          <w:sz w:val="28"/>
          <w:szCs w:val="28"/>
        </w:rPr>
      </w:pPr>
      <w:r>
        <w:rPr>
          <w:rFonts w:hint="eastAsia" w:hAnsi="宋体"/>
          <w:b/>
          <w:sz w:val="28"/>
          <w:szCs w:val="28"/>
        </w:rPr>
        <w:t>3.信用查询记录</w:t>
      </w:r>
    </w:p>
    <w:p>
      <w:pPr>
        <w:pStyle w:val="32"/>
        <w:ind w:firstLine="643"/>
        <w:jc w:val="center"/>
        <w:rPr>
          <w:rFonts w:hAnsi="宋体"/>
          <w:b/>
          <w:sz w:val="32"/>
        </w:rPr>
      </w:pPr>
    </w:p>
    <w:p>
      <w:pPr>
        <w:spacing w:beforeLines="20" w:line="44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查询</w:t>
      </w:r>
      <w:r>
        <w:rPr>
          <w:rFonts w:hint="eastAsia" w:ascii="仿宋_GB2312" w:hAnsi="仿宋_GB2312" w:eastAsia="仿宋_GB2312" w:cs="仿宋_GB2312"/>
          <w:b/>
          <w:bCs/>
          <w:kern w:val="0"/>
          <w:sz w:val="28"/>
          <w:szCs w:val="28"/>
        </w:rPr>
        <w:t>渠道</w:t>
      </w:r>
      <w:r>
        <w:rPr>
          <w:rFonts w:hint="eastAsia" w:ascii="仿宋_GB2312" w:hAnsi="仿宋_GB2312" w:eastAsia="仿宋_GB2312" w:cs="仿宋_GB2312"/>
          <w:b/>
          <w:bCs/>
          <w:sz w:val="28"/>
          <w:szCs w:val="28"/>
        </w:rPr>
        <w:t>为：</w:t>
      </w:r>
      <w:r>
        <w:rPr>
          <w:rFonts w:hint="eastAsia" w:ascii="仿宋_GB2312" w:hAnsi="仿宋_GB2312" w:eastAsia="仿宋_GB2312" w:cs="仿宋_GB2312"/>
          <w:sz w:val="28"/>
          <w:szCs w:val="28"/>
        </w:rPr>
        <w:t xml:space="preserve">在“信用中国”网站（ </w:t>
      </w:r>
      <w:r>
        <w:fldChar w:fldCharType="begin"/>
      </w:r>
      <w:r>
        <w:instrText xml:space="preserve">HYPERLINK "http://www.creditchina.gov.cn）、中国政府采购网（www.ccgp.gov.cn）被列入失信被执行人、重大税收违法案件当事人名单、政府采购严重违法失信行为记录名单的（尚在处罚期内的），将拒绝其参加本次政府采购活动，投标人自行打印并盖单位公章。/" </w:instrText>
      </w:r>
      <w:r>
        <w:fldChar w:fldCharType="separate"/>
      </w:r>
      <w:r>
        <w:rPr>
          <w:rFonts w:hint="eastAsia" w:ascii="仿宋_GB2312" w:hAnsi="仿宋_GB2312" w:eastAsia="仿宋_GB2312" w:cs="仿宋_GB2312"/>
          <w:sz w:val="28"/>
          <w:szCs w:val="28"/>
        </w:rPr>
        <w:t>www.creditchina.gov.cn）被列入失信被执行人、重大税收违法案件当事人名单、中国政府采购网（www.ccgp.gov.cn）政府采购严重违法失信行为记录名单的（尚在处罚期内的），将拒绝其参加本次政府采购活动，投标人自行打印并盖单位公章。</w:t>
      </w:r>
      <w:r>
        <w:fldChar w:fldCharType="end"/>
      </w:r>
    </w:p>
    <w:p>
      <w:pPr>
        <w:spacing w:line="44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注：上述资格审查材料，是响应文件的组成部分，投标人须在响应文件中提供，若响应文件中未按规定提供，投标人有可能承担评审时资格审查被否决。</w:t>
      </w:r>
    </w:p>
    <w:p>
      <w:pPr>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附网页查询后的截图证明。</w:t>
      </w:r>
    </w:p>
    <w:p>
      <w:pPr>
        <w:ind w:firstLine="560"/>
        <w:rPr>
          <w:rFonts w:ascii="仿宋_GB2312" w:hAnsi="仿宋_GB2312" w:eastAsia="仿宋_GB2312" w:cs="仿宋_GB2312"/>
          <w:sz w:val="28"/>
          <w:szCs w:val="28"/>
        </w:rPr>
      </w:pPr>
    </w:p>
    <w:p>
      <w:pPr>
        <w:tabs>
          <w:tab w:val="left" w:pos="6663"/>
        </w:tabs>
        <w:ind w:firstLine="562"/>
        <w:rPr>
          <w:b/>
          <w:sz w:val="28"/>
          <w:szCs w:val="28"/>
        </w:rPr>
      </w:pPr>
    </w:p>
    <w:p>
      <w:pPr>
        <w:tabs>
          <w:tab w:val="left" w:pos="6663"/>
        </w:tabs>
        <w:ind w:firstLine="562"/>
        <w:rPr>
          <w:b/>
          <w:sz w:val="28"/>
          <w:szCs w:val="28"/>
        </w:rPr>
      </w:pPr>
    </w:p>
    <w:p>
      <w:pPr>
        <w:tabs>
          <w:tab w:val="left" w:pos="6663"/>
        </w:tabs>
        <w:ind w:firstLine="562"/>
        <w:rPr>
          <w:b/>
          <w:sz w:val="28"/>
          <w:szCs w:val="28"/>
        </w:rPr>
      </w:pPr>
    </w:p>
    <w:p>
      <w:pPr>
        <w:tabs>
          <w:tab w:val="left" w:pos="6663"/>
        </w:tabs>
        <w:ind w:firstLine="562"/>
        <w:rPr>
          <w:b/>
          <w:sz w:val="28"/>
          <w:szCs w:val="28"/>
        </w:rPr>
      </w:pPr>
    </w:p>
    <w:p>
      <w:pPr>
        <w:tabs>
          <w:tab w:val="left" w:pos="6663"/>
        </w:tabs>
        <w:ind w:firstLine="562"/>
        <w:rPr>
          <w:b/>
          <w:sz w:val="28"/>
          <w:szCs w:val="28"/>
        </w:rPr>
      </w:pPr>
    </w:p>
    <w:p>
      <w:pPr>
        <w:tabs>
          <w:tab w:val="left" w:pos="6663"/>
        </w:tabs>
        <w:ind w:firstLine="562"/>
        <w:rPr>
          <w:b/>
          <w:sz w:val="28"/>
          <w:szCs w:val="28"/>
        </w:rPr>
      </w:pPr>
    </w:p>
    <w:p>
      <w:pPr>
        <w:tabs>
          <w:tab w:val="left" w:pos="6663"/>
        </w:tabs>
        <w:ind w:firstLine="562"/>
        <w:rPr>
          <w:b/>
          <w:sz w:val="28"/>
          <w:szCs w:val="28"/>
        </w:rPr>
      </w:pPr>
    </w:p>
    <w:p>
      <w:pPr>
        <w:tabs>
          <w:tab w:val="left" w:pos="6663"/>
        </w:tabs>
        <w:ind w:firstLine="562"/>
        <w:rPr>
          <w:b/>
          <w:sz w:val="28"/>
          <w:szCs w:val="28"/>
        </w:rPr>
      </w:pPr>
    </w:p>
    <w:p>
      <w:pPr>
        <w:tabs>
          <w:tab w:val="left" w:pos="6663"/>
        </w:tabs>
        <w:ind w:firstLine="562"/>
        <w:rPr>
          <w:b/>
          <w:sz w:val="28"/>
          <w:szCs w:val="28"/>
        </w:rPr>
      </w:pPr>
    </w:p>
    <w:p>
      <w:pPr>
        <w:tabs>
          <w:tab w:val="left" w:pos="6663"/>
        </w:tabs>
        <w:ind w:firstLine="562"/>
        <w:rPr>
          <w:b/>
          <w:sz w:val="28"/>
          <w:szCs w:val="28"/>
        </w:rPr>
      </w:pPr>
    </w:p>
    <w:p>
      <w:pPr>
        <w:tabs>
          <w:tab w:val="left" w:pos="6663"/>
        </w:tabs>
        <w:ind w:firstLine="562"/>
        <w:rPr>
          <w:b/>
          <w:sz w:val="28"/>
          <w:szCs w:val="28"/>
        </w:rPr>
      </w:pPr>
    </w:p>
    <w:p>
      <w:pPr>
        <w:tabs>
          <w:tab w:val="left" w:pos="6663"/>
        </w:tabs>
        <w:ind w:firstLine="562"/>
        <w:rPr>
          <w:b/>
          <w:sz w:val="28"/>
          <w:szCs w:val="28"/>
        </w:rPr>
      </w:pPr>
    </w:p>
    <w:p>
      <w:pPr>
        <w:tabs>
          <w:tab w:val="left" w:pos="6663"/>
        </w:tabs>
        <w:ind w:firstLine="562"/>
        <w:rPr>
          <w:b/>
          <w:sz w:val="28"/>
          <w:szCs w:val="28"/>
        </w:rPr>
      </w:pPr>
    </w:p>
    <w:p>
      <w:pPr>
        <w:tabs>
          <w:tab w:val="left" w:pos="6663"/>
        </w:tabs>
        <w:ind w:firstLine="562"/>
        <w:rPr>
          <w:b/>
          <w:color w:val="000000"/>
          <w:sz w:val="30"/>
          <w:szCs w:val="30"/>
        </w:rPr>
      </w:pPr>
      <w:r>
        <w:rPr>
          <w:rFonts w:hint="eastAsia"/>
          <w:b/>
          <w:sz w:val="28"/>
          <w:szCs w:val="28"/>
        </w:rPr>
        <w:t xml:space="preserve">         4.近三年内已完成的类似项目业绩</w:t>
      </w:r>
    </w:p>
    <w:p>
      <w:pPr>
        <w:spacing w:line="440" w:lineRule="exact"/>
        <w:ind w:firstLine="1313" w:firstLineChars="545"/>
        <w:rPr>
          <w:b/>
          <w:color w:val="000000"/>
          <w:sz w:val="24"/>
          <w:szCs w:val="24"/>
        </w:rPr>
      </w:pPr>
    </w:p>
    <w:p>
      <w:pPr>
        <w:spacing w:line="440" w:lineRule="exact"/>
        <w:ind w:firstLine="140" w:firstLineChars="5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投标人名称（公章）：</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项目编号/包号：</w:t>
      </w:r>
      <w:r>
        <w:rPr>
          <w:rFonts w:hint="eastAsia" w:ascii="仿宋_GB2312" w:hAnsi="仿宋_GB2312" w:eastAsia="仿宋_GB2312" w:cs="仿宋_GB2312"/>
          <w:color w:val="000000"/>
          <w:sz w:val="28"/>
          <w:szCs w:val="28"/>
          <w:u w:val="single"/>
        </w:rPr>
        <w:t>　　　　　　　　　　　</w:t>
      </w:r>
    </w:p>
    <w:p>
      <w:pPr>
        <w:spacing w:line="440" w:lineRule="exact"/>
        <w:ind w:firstLine="1546" w:firstLineChars="550"/>
        <w:rPr>
          <w:rFonts w:ascii="仿宋_GB2312" w:hAnsi="仿宋_GB2312" w:eastAsia="仿宋_GB2312" w:cs="仿宋_GB2312"/>
          <w:b/>
          <w:color w:val="000000"/>
          <w:sz w:val="28"/>
          <w:szCs w:val="28"/>
        </w:rPr>
      </w:pPr>
    </w:p>
    <w:tbl>
      <w:tblPr>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92"/>
        <w:gridCol w:w="1843"/>
        <w:gridCol w:w="1276"/>
        <w:gridCol w:w="1995"/>
        <w:gridCol w:w="1620"/>
        <w:gridCol w:w="1346"/>
      </w:tblGrid>
      <w:tr>
        <w:trPr>
          <w:trHeight w:val="500" w:hRule="atLeast"/>
        </w:trPr>
        <w:tc>
          <w:tcPr>
            <w:tcW w:w="992" w:type="dxa"/>
            <w:shd w:val="clear" w:color="auto" w:fill="E6E6E6"/>
            <w:vAlign w:val="top"/>
          </w:tcPr>
          <w:p>
            <w:pPr>
              <w:pStyle w:val="41"/>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843" w:type="dxa"/>
            <w:shd w:val="clear" w:color="auto" w:fill="E6E6E6"/>
            <w:vAlign w:val="top"/>
          </w:tcPr>
          <w:p>
            <w:pPr>
              <w:pStyle w:val="41"/>
              <w:spacing w:line="440" w:lineRule="exact"/>
              <w:ind w:right="-163" w:rightChars="-51"/>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1276" w:type="dxa"/>
            <w:shd w:val="clear" w:color="auto" w:fill="E6E6E6"/>
            <w:vAlign w:val="top"/>
          </w:tcPr>
          <w:p>
            <w:pPr>
              <w:pStyle w:val="41"/>
              <w:spacing w:line="440" w:lineRule="exact"/>
              <w:ind w:right="-163" w:rightChars="-51"/>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发包人</w:t>
            </w:r>
          </w:p>
        </w:tc>
        <w:tc>
          <w:tcPr>
            <w:tcW w:w="1995" w:type="dxa"/>
            <w:shd w:val="clear" w:color="auto" w:fill="E6E6E6"/>
            <w:vAlign w:val="top"/>
          </w:tcPr>
          <w:p>
            <w:pPr>
              <w:pStyle w:val="41"/>
              <w:spacing w:line="440" w:lineRule="exact"/>
              <w:ind w:firstLine="36" w:firstLineChars="13"/>
              <w:rPr>
                <w:rFonts w:ascii="仿宋_GB2312" w:hAnsi="仿宋_GB2312" w:eastAsia="仿宋_GB2312" w:cs="仿宋_GB2312"/>
                <w:sz w:val="28"/>
                <w:szCs w:val="28"/>
              </w:rPr>
            </w:pPr>
            <w:r>
              <w:rPr>
                <w:rFonts w:hint="eastAsia" w:ascii="仿宋_GB2312" w:hAnsi="仿宋_GB2312" w:eastAsia="仿宋_GB2312" w:cs="仿宋_GB2312"/>
                <w:sz w:val="28"/>
                <w:szCs w:val="28"/>
              </w:rPr>
              <w:t>主要内容</w:t>
            </w:r>
          </w:p>
        </w:tc>
        <w:tc>
          <w:tcPr>
            <w:tcW w:w="1620" w:type="dxa"/>
            <w:shd w:val="clear" w:color="auto" w:fill="E6E6E6"/>
            <w:vAlign w:val="top"/>
          </w:tcPr>
          <w:p>
            <w:pPr>
              <w:pStyle w:val="41"/>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完工时间</w:t>
            </w:r>
          </w:p>
        </w:tc>
        <w:tc>
          <w:tcPr>
            <w:tcW w:w="1346" w:type="dxa"/>
            <w:shd w:val="clear" w:color="auto" w:fill="E6E6E6"/>
            <w:vAlign w:val="top"/>
          </w:tcPr>
          <w:p>
            <w:pPr>
              <w:pStyle w:val="41"/>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rPr>
          <w:trHeight w:val="476" w:hRule="atLeast"/>
        </w:trPr>
        <w:tc>
          <w:tcPr>
            <w:tcW w:w="992" w:type="dxa"/>
            <w:vAlign w:val="top"/>
          </w:tcPr>
          <w:p>
            <w:pPr>
              <w:spacing w:line="440" w:lineRule="exact"/>
              <w:ind w:firstLine="560"/>
              <w:rPr>
                <w:rFonts w:ascii="仿宋_GB2312" w:hAnsi="仿宋_GB2312" w:eastAsia="仿宋_GB2312" w:cs="仿宋_GB2312"/>
                <w:color w:val="000000"/>
                <w:sz w:val="28"/>
                <w:szCs w:val="28"/>
              </w:rPr>
            </w:pPr>
          </w:p>
        </w:tc>
        <w:tc>
          <w:tcPr>
            <w:tcW w:w="1843" w:type="dxa"/>
            <w:vAlign w:val="top"/>
          </w:tcPr>
          <w:p>
            <w:pPr>
              <w:spacing w:line="440" w:lineRule="exact"/>
              <w:ind w:firstLine="560"/>
              <w:rPr>
                <w:rFonts w:ascii="仿宋_GB2312" w:hAnsi="仿宋_GB2312" w:eastAsia="仿宋_GB2312" w:cs="仿宋_GB2312"/>
                <w:color w:val="000000"/>
                <w:sz w:val="28"/>
                <w:szCs w:val="28"/>
              </w:rPr>
            </w:pPr>
          </w:p>
        </w:tc>
        <w:tc>
          <w:tcPr>
            <w:tcW w:w="1276" w:type="dxa"/>
            <w:vAlign w:val="top"/>
          </w:tcPr>
          <w:p>
            <w:pPr>
              <w:spacing w:line="440" w:lineRule="exact"/>
              <w:ind w:firstLine="560"/>
              <w:rPr>
                <w:rFonts w:ascii="仿宋_GB2312" w:hAnsi="仿宋_GB2312" w:eastAsia="仿宋_GB2312" w:cs="仿宋_GB2312"/>
                <w:color w:val="000000"/>
                <w:sz w:val="28"/>
                <w:szCs w:val="28"/>
              </w:rPr>
            </w:pPr>
          </w:p>
        </w:tc>
        <w:tc>
          <w:tcPr>
            <w:tcW w:w="1995" w:type="dxa"/>
            <w:vAlign w:val="top"/>
          </w:tcPr>
          <w:p>
            <w:pPr>
              <w:spacing w:line="440" w:lineRule="exact"/>
              <w:ind w:firstLine="560"/>
              <w:rPr>
                <w:rFonts w:ascii="仿宋_GB2312" w:hAnsi="仿宋_GB2312" w:eastAsia="仿宋_GB2312" w:cs="仿宋_GB2312"/>
                <w:color w:val="000000"/>
                <w:sz w:val="28"/>
                <w:szCs w:val="28"/>
              </w:rPr>
            </w:pPr>
          </w:p>
        </w:tc>
        <w:tc>
          <w:tcPr>
            <w:tcW w:w="1620" w:type="dxa"/>
            <w:vAlign w:val="top"/>
          </w:tcPr>
          <w:p>
            <w:pPr>
              <w:spacing w:line="440" w:lineRule="exact"/>
              <w:ind w:firstLine="560"/>
              <w:rPr>
                <w:rFonts w:ascii="仿宋_GB2312" w:hAnsi="仿宋_GB2312" w:eastAsia="仿宋_GB2312" w:cs="仿宋_GB2312"/>
                <w:color w:val="000000"/>
                <w:sz w:val="28"/>
                <w:szCs w:val="28"/>
              </w:rPr>
            </w:pPr>
          </w:p>
        </w:tc>
        <w:tc>
          <w:tcPr>
            <w:tcW w:w="1346" w:type="dxa"/>
            <w:vAlign w:val="top"/>
          </w:tcPr>
          <w:p>
            <w:pPr>
              <w:spacing w:line="440" w:lineRule="exact"/>
              <w:ind w:firstLine="560"/>
              <w:rPr>
                <w:rFonts w:ascii="仿宋_GB2312" w:hAnsi="仿宋_GB2312" w:eastAsia="仿宋_GB2312" w:cs="仿宋_GB2312"/>
                <w:color w:val="000000"/>
                <w:sz w:val="28"/>
                <w:szCs w:val="28"/>
              </w:rPr>
            </w:pPr>
          </w:p>
        </w:tc>
      </w:tr>
      <w:tr>
        <w:trPr>
          <w:trHeight w:val="476" w:hRule="atLeast"/>
        </w:trPr>
        <w:tc>
          <w:tcPr>
            <w:tcW w:w="992" w:type="dxa"/>
            <w:vAlign w:val="top"/>
          </w:tcPr>
          <w:p>
            <w:pPr>
              <w:spacing w:line="440" w:lineRule="exact"/>
              <w:ind w:firstLine="560"/>
              <w:rPr>
                <w:rFonts w:ascii="仿宋_GB2312" w:hAnsi="仿宋_GB2312" w:eastAsia="仿宋_GB2312" w:cs="仿宋_GB2312"/>
                <w:color w:val="000000"/>
                <w:sz w:val="28"/>
                <w:szCs w:val="28"/>
              </w:rPr>
            </w:pPr>
          </w:p>
        </w:tc>
        <w:tc>
          <w:tcPr>
            <w:tcW w:w="1843" w:type="dxa"/>
            <w:vAlign w:val="top"/>
          </w:tcPr>
          <w:p>
            <w:pPr>
              <w:spacing w:line="440" w:lineRule="exact"/>
              <w:ind w:firstLine="560"/>
              <w:rPr>
                <w:rFonts w:ascii="仿宋_GB2312" w:hAnsi="仿宋_GB2312" w:eastAsia="仿宋_GB2312" w:cs="仿宋_GB2312"/>
                <w:color w:val="000000"/>
                <w:sz w:val="28"/>
                <w:szCs w:val="28"/>
              </w:rPr>
            </w:pPr>
          </w:p>
        </w:tc>
        <w:tc>
          <w:tcPr>
            <w:tcW w:w="1276" w:type="dxa"/>
            <w:vAlign w:val="top"/>
          </w:tcPr>
          <w:p>
            <w:pPr>
              <w:spacing w:line="440" w:lineRule="exact"/>
              <w:ind w:firstLine="560"/>
              <w:rPr>
                <w:rFonts w:ascii="仿宋_GB2312" w:hAnsi="仿宋_GB2312" w:eastAsia="仿宋_GB2312" w:cs="仿宋_GB2312"/>
                <w:color w:val="000000"/>
                <w:sz w:val="28"/>
                <w:szCs w:val="28"/>
              </w:rPr>
            </w:pPr>
          </w:p>
        </w:tc>
        <w:tc>
          <w:tcPr>
            <w:tcW w:w="1995" w:type="dxa"/>
            <w:vAlign w:val="top"/>
          </w:tcPr>
          <w:p>
            <w:pPr>
              <w:spacing w:line="440" w:lineRule="exact"/>
              <w:ind w:firstLine="560"/>
              <w:rPr>
                <w:rFonts w:ascii="仿宋_GB2312" w:hAnsi="仿宋_GB2312" w:eastAsia="仿宋_GB2312" w:cs="仿宋_GB2312"/>
                <w:color w:val="000000"/>
                <w:sz w:val="28"/>
                <w:szCs w:val="28"/>
              </w:rPr>
            </w:pPr>
          </w:p>
        </w:tc>
        <w:tc>
          <w:tcPr>
            <w:tcW w:w="1620" w:type="dxa"/>
            <w:vAlign w:val="top"/>
          </w:tcPr>
          <w:p>
            <w:pPr>
              <w:spacing w:line="440" w:lineRule="exact"/>
              <w:ind w:firstLine="560"/>
              <w:rPr>
                <w:rFonts w:ascii="仿宋_GB2312" w:hAnsi="仿宋_GB2312" w:eastAsia="仿宋_GB2312" w:cs="仿宋_GB2312"/>
                <w:color w:val="000000"/>
                <w:sz w:val="28"/>
                <w:szCs w:val="28"/>
              </w:rPr>
            </w:pPr>
          </w:p>
        </w:tc>
        <w:tc>
          <w:tcPr>
            <w:tcW w:w="1346" w:type="dxa"/>
            <w:vAlign w:val="top"/>
          </w:tcPr>
          <w:p>
            <w:pPr>
              <w:spacing w:line="440" w:lineRule="exact"/>
              <w:ind w:firstLine="560"/>
              <w:rPr>
                <w:rFonts w:ascii="仿宋_GB2312" w:hAnsi="仿宋_GB2312" w:eastAsia="仿宋_GB2312" w:cs="仿宋_GB2312"/>
                <w:color w:val="000000"/>
                <w:sz w:val="28"/>
                <w:szCs w:val="28"/>
              </w:rPr>
            </w:pPr>
          </w:p>
        </w:tc>
      </w:tr>
      <w:tr>
        <w:trPr>
          <w:trHeight w:val="496" w:hRule="atLeast"/>
        </w:trPr>
        <w:tc>
          <w:tcPr>
            <w:tcW w:w="992" w:type="dxa"/>
            <w:vAlign w:val="top"/>
          </w:tcPr>
          <w:p>
            <w:pPr>
              <w:spacing w:line="440" w:lineRule="exact"/>
              <w:ind w:firstLine="560"/>
              <w:rPr>
                <w:rFonts w:ascii="仿宋_GB2312" w:hAnsi="仿宋_GB2312" w:eastAsia="仿宋_GB2312" w:cs="仿宋_GB2312"/>
                <w:color w:val="000000"/>
                <w:sz w:val="28"/>
                <w:szCs w:val="28"/>
              </w:rPr>
            </w:pPr>
          </w:p>
        </w:tc>
        <w:tc>
          <w:tcPr>
            <w:tcW w:w="1843" w:type="dxa"/>
            <w:vAlign w:val="top"/>
          </w:tcPr>
          <w:p>
            <w:pPr>
              <w:spacing w:line="440" w:lineRule="exact"/>
              <w:ind w:firstLine="560"/>
              <w:rPr>
                <w:rFonts w:ascii="仿宋_GB2312" w:hAnsi="仿宋_GB2312" w:eastAsia="仿宋_GB2312" w:cs="仿宋_GB2312"/>
                <w:color w:val="000000"/>
                <w:sz w:val="28"/>
                <w:szCs w:val="28"/>
              </w:rPr>
            </w:pPr>
          </w:p>
        </w:tc>
        <w:tc>
          <w:tcPr>
            <w:tcW w:w="1276" w:type="dxa"/>
            <w:vAlign w:val="top"/>
          </w:tcPr>
          <w:p>
            <w:pPr>
              <w:spacing w:line="440" w:lineRule="exact"/>
              <w:ind w:firstLine="560"/>
              <w:rPr>
                <w:rFonts w:ascii="仿宋_GB2312" w:hAnsi="仿宋_GB2312" w:eastAsia="仿宋_GB2312" w:cs="仿宋_GB2312"/>
                <w:color w:val="000000"/>
                <w:sz w:val="28"/>
                <w:szCs w:val="28"/>
              </w:rPr>
            </w:pPr>
          </w:p>
        </w:tc>
        <w:tc>
          <w:tcPr>
            <w:tcW w:w="1995" w:type="dxa"/>
            <w:vAlign w:val="top"/>
          </w:tcPr>
          <w:p>
            <w:pPr>
              <w:spacing w:line="440" w:lineRule="exact"/>
              <w:ind w:firstLine="560"/>
              <w:rPr>
                <w:rFonts w:ascii="仿宋_GB2312" w:hAnsi="仿宋_GB2312" w:eastAsia="仿宋_GB2312" w:cs="仿宋_GB2312"/>
                <w:color w:val="000000"/>
                <w:sz w:val="28"/>
                <w:szCs w:val="28"/>
              </w:rPr>
            </w:pPr>
          </w:p>
        </w:tc>
        <w:tc>
          <w:tcPr>
            <w:tcW w:w="1620" w:type="dxa"/>
            <w:vAlign w:val="top"/>
          </w:tcPr>
          <w:p>
            <w:pPr>
              <w:spacing w:line="440" w:lineRule="exact"/>
              <w:ind w:firstLine="560"/>
              <w:rPr>
                <w:rFonts w:ascii="仿宋_GB2312" w:hAnsi="仿宋_GB2312" w:eastAsia="仿宋_GB2312" w:cs="仿宋_GB2312"/>
                <w:color w:val="000000"/>
                <w:sz w:val="28"/>
                <w:szCs w:val="28"/>
              </w:rPr>
            </w:pPr>
          </w:p>
        </w:tc>
        <w:tc>
          <w:tcPr>
            <w:tcW w:w="1346" w:type="dxa"/>
            <w:vAlign w:val="top"/>
          </w:tcPr>
          <w:p>
            <w:pPr>
              <w:spacing w:line="440" w:lineRule="exact"/>
              <w:ind w:firstLine="560"/>
              <w:rPr>
                <w:rFonts w:ascii="仿宋_GB2312" w:hAnsi="仿宋_GB2312" w:eastAsia="仿宋_GB2312" w:cs="仿宋_GB2312"/>
                <w:color w:val="000000"/>
                <w:sz w:val="28"/>
                <w:szCs w:val="28"/>
              </w:rPr>
            </w:pPr>
          </w:p>
        </w:tc>
      </w:tr>
      <w:tr>
        <w:trPr>
          <w:trHeight w:val="496" w:hRule="atLeast"/>
        </w:trPr>
        <w:tc>
          <w:tcPr>
            <w:tcW w:w="992" w:type="dxa"/>
            <w:vAlign w:val="top"/>
          </w:tcPr>
          <w:p>
            <w:pPr>
              <w:spacing w:line="440" w:lineRule="exact"/>
              <w:ind w:firstLine="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1843" w:type="dxa"/>
            <w:vAlign w:val="top"/>
          </w:tcPr>
          <w:p>
            <w:pPr>
              <w:spacing w:line="440" w:lineRule="exact"/>
              <w:ind w:firstLine="560"/>
              <w:rPr>
                <w:rFonts w:ascii="仿宋_GB2312" w:hAnsi="仿宋_GB2312" w:eastAsia="仿宋_GB2312" w:cs="仿宋_GB2312"/>
                <w:color w:val="000000"/>
                <w:sz w:val="28"/>
                <w:szCs w:val="28"/>
              </w:rPr>
            </w:pPr>
          </w:p>
        </w:tc>
        <w:tc>
          <w:tcPr>
            <w:tcW w:w="1276" w:type="dxa"/>
            <w:vAlign w:val="top"/>
          </w:tcPr>
          <w:p>
            <w:pPr>
              <w:spacing w:line="440" w:lineRule="exact"/>
              <w:ind w:firstLine="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1995" w:type="dxa"/>
            <w:vAlign w:val="top"/>
          </w:tcPr>
          <w:p>
            <w:pPr>
              <w:spacing w:line="440" w:lineRule="exact"/>
              <w:ind w:firstLine="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1620" w:type="dxa"/>
            <w:vAlign w:val="top"/>
          </w:tcPr>
          <w:p>
            <w:pPr>
              <w:spacing w:line="440" w:lineRule="exact"/>
              <w:ind w:firstLine="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1346" w:type="dxa"/>
            <w:vAlign w:val="top"/>
          </w:tcPr>
          <w:p>
            <w:pPr>
              <w:spacing w:line="440" w:lineRule="exact"/>
              <w:ind w:firstLine="560"/>
              <w:rPr>
                <w:rFonts w:ascii="仿宋_GB2312" w:hAnsi="仿宋_GB2312" w:eastAsia="仿宋_GB2312" w:cs="仿宋_GB2312"/>
                <w:color w:val="000000"/>
                <w:sz w:val="28"/>
                <w:szCs w:val="28"/>
              </w:rPr>
            </w:pPr>
          </w:p>
        </w:tc>
      </w:tr>
    </w:tbl>
    <w:p>
      <w:pPr>
        <w:spacing w:line="440" w:lineRule="exact"/>
        <w:ind w:firstLine="560"/>
        <w:rPr>
          <w:rFonts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我单位承诺以上填报内容真实。如不真实，将按照有关规定接受处理。</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注：1.按招标人要求的内容及范围提供相关类型的业绩。</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2.本表后须附清晰可辨的、真实的合同协议书中标通知书等相关的证明材料。如未附证明材料或工作内容模糊不清的，其业绩将不予认定。有效业绩的认定详见投标人须知前附表。  </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3.如近年来，投标人法人机构发生合法变更或重组或法人名称变更时，应提供相关部门的合法批件或其他相关证明材料来证明其所附业绩的继承性。</w:t>
      </w:r>
    </w:p>
    <w:p>
      <w:pPr>
        <w:ind w:firstLine="602"/>
        <w:jc w:val="center"/>
        <w:outlineLvl w:val="1"/>
        <w:rPr>
          <w:b/>
          <w:sz w:val="30"/>
          <w:szCs w:val="30"/>
        </w:rPr>
      </w:pPr>
    </w:p>
    <w:p>
      <w:pPr>
        <w:ind w:firstLine="602"/>
        <w:jc w:val="center"/>
        <w:outlineLvl w:val="1"/>
        <w:rPr>
          <w:b/>
          <w:sz w:val="30"/>
          <w:szCs w:val="30"/>
        </w:rPr>
      </w:pPr>
    </w:p>
    <w:p>
      <w:pPr>
        <w:ind w:firstLine="602"/>
        <w:jc w:val="center"/>
        <w:outlineLvl w:val="1"/>
        <w:rPr>
          <w:b/>
          <w:sz w:val="30"/>
          <w:szCs w:val="30"/>
        </w:rPr>
      </w:pPr>
    </w:p>
    <w:p>
      <w:pPr>
        <w:ind w:firstLine="602"/>
        <w:jc w:val="center"/>
        <w:outlineLvl w:val="1"/>
        <w:rPr>
          <w:b/>
          <w:sz w:val="30"/>
          <w:szCs w:val="30"/>
        </w:rPr>
      </w:pPr>
    </w:p>
    <w:p>
      <w:pPr>
        <w:ind w:firstLine="602"/>
        <w:jc w:val="center"/>
        <w:outlineLvl w:val="1"/>
        <w:rPr>
          <w:b/>
          <w:sz w:val="30"/>
          <w:szCs w:val="30"/>
        </w:rPr>
      </w:pPr>
    </w:p>
    <w:p>
      <w:pPr>
        <w:ind w:firstLine="602"/>
        <w:jc w:val="center"/>
        <w:outlineLvl w:val="1"/>
        <w:rPr>
          <w:b/>
          <w:sz w:val="30"/>
          <w:szCs w:val="30"/>
        </w:rPr>
      </w:pPr>
    </w:p>
    <w:p>
      <w:pPr>
        <w:ind w:firstLine="602"/>
        <w:jc w:val="center"/>
        <w:outlineLvl w:val="1"/>
        <w:rPr>
          <w:b/>
          <w:sz w:val="30"/>
          <w:szCs w:val="30"/>
        </w:rPr>
      </w:pPr>
    </w:p>
    <w:p>
      <w:pPr>
        <w:ind w:firstLine="602"/>
        <w:jc w:val="center"/>
        <w:outlineLvl w:val="1"/>
        <w:rPr>
          <w:b/>
          <w:sz w:val="30"/>
          <w:szCs w:val="30"/>
        </w:rPr>
      </w:pPr>
    </w:p>
    <w:p>
      <w:pPr>
        <w:ind w:firstLine="643"/>
        <w:jc w:val="center"/>
        <w:outlineLvl w:val="1"/>
        <w:rPr>
          <w:rFonts w:eastAsia="宋体" w:cs="宋体"/>
          <w:b/>
        </w:rPr>
      </w:pPr>
      <w:r>
        <w:rPr>
          <w:rFonts w:hint="eastAsia" w:eastAsia="宋体" w:cs="宋体"/>
          <w:b/>
        </w:rPr>
        <w:t>（六）项目整体服务方案</w:t>
      </w:r>
    </w:p>
    <w:p>
      <w:pPr>
        <w:spacing w:line="480" w:lineRule="atLeast"/>
        <w:ind w:firstLine="560"/>
        <w:rPr>
          <w:sz w:val="28"/>
          <w:szCs w:val="28"/>
        </w:rPr>
      </w:pP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1.对招标项目的理解和总体思路；</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2.服务方案；</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3.工作量及计划安排；</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4.质量保证措施、进度保证措施等；</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5.针对本项目的特点，提供完善和可操作性的项目售后技术服务工作保障，承诺后续服务的安排及服务保证措施；</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6.其他建议。</w:t>
      </w:r>
    </w:p>
    <w:p>
      <w:pPr>
        <w:spacing w:line="360" w:lineRule="auto"/>
        <w:ind w:firstLine="560"/>
        <w:jc w:val="center"/>
        <w:rPr>
          <w:rFonts w:ascii="仿宋_GB2312" w:hAnsi="仿宋_GB2312" w:eastAsia="仿宋_GB2312" w:cs="仿宋_GB2312"/>
          <w:sz w:val="28"/>
          <w:szCs w:val="28"/>
        </w:rPr>
      </w:pPr>
    </w:p>
    <w:p>
      <w:pPr>
        <w:spacing w:line="440" w:lineRule="atLeast"/>
        <w:ind w:firstLine="480"/>
        <w:rPr>
          <w:sz w:val="24"/>
        </w:rPr>
      </w:pPr>
    </w:p>
    <w:p>
      <w:pPr>
        <w:spacing w:line="360" w:lineRule="auto"/>
        <w:ind w:firstLine="551" w:firstLineChars="196"/>
        <w:rPr>
          <w:rFonts w:ascii="仿宋_GB2312" w:hAnsi="仿宋_GB2312" w:eastAsia="仿宋_GB2312" w:cs="仿宋_GB2312"/>
          <w:sz w:val="28"/>
          <w:szCs w:val="28"/>
        </w:rPr>
      </w:pPr>
      <w:r>
        <w:rPr>
          <w:rFonts w:hint="eastAsia" w:ascii="仿宋_GB2312" w:hAnsi="仿宋_GB2312" w:eastAsia="仿宋_GB2312" w:cs="仿宋_GB2312"/>
          <w:b/>
          <w:sz w:val="28"/>
          <w:szCs w:val="28"/>
        </w:rPr>
        <w:t>上述内容仅供参考，如有不足，请自行补充提供。</w:t>
      </w:r>
    </w:p>
    <w:p>
      <w:pPr>
        <w:ind w:firstLine="562"/>
        <w:jc w:val="center"/>
        <w:rPr>
          <w:rFonts w:ascii="仿宋_GB2312" w:hAnsi="仿宋_GB2312" w:eastAsia="仿宋_GB2312" w:cs="仿宋_GB2312"/>
          <w:b/>
          <w:sz w:val="28"/>
          <w:szCs w:val="28"/>
        </w:rPr>
      </w:pPr>
    </w:p>
    <w:p>
      <w:pPr>
        <w:ind w:firstLine="562"/>
        <w:jc w:val="center"/>
        <w:rPr>
          <w:b/>
          <w:sz w:val="28"/>
          <w:szCs w:val="28"/>
        </w:rPr>
      </w:pPr>
    </w:p>
    <w:p>
      <w:pPr>
        <w:ind w:firstLine="562"/>
        <w:jc w:val="center"/>
        <w:rPr>
          <w:b/>
          <w:sz w:val="28"/>
          <w:szCs w:val="28"/>
        </w:rPr>
      </w:pPr>
    </w:p>
    <w:p>
      <w:pPr>
        <w:ind w:firstLine="562"/>
        <w:jc w:val="center"/>
        <w:rPr>
          <w:b/>
          <w:sz w:val="28"/>
          <w:szCs w:val="28"/>
        </w:rPr>
      </w:pPr>
    </w:p>
    <w:p>
      <w:pPr>
        <w:ind w:firstLine="562"/>
        <w:jc w:val="center"/>
        <w:rPr>
          <w:b/>
          <w:sz w:val="28"/>
          <w:szCs w:val="28"/>
        </w:rPr>
      </w:pPr>
    </w:p>
    <w:p>
      <w:pPr>
        <w:ind w:firstLine="562"/>
        <w:jc w:val="center"/>
        <w:rPr>
          <w:b/>
          <w:sz w:val="28"/>
          <w:szCs w:val="28"/>
        </w:rPr>
      </w:pPr>
    </w:p>
    <w:p>
      <w:pPr>
        <w:ind w:firstLine="562"/>
        <w:jc w:val="center"/>
        <w:rPr>
          <w:b/>
          <w:sz w:val="28"/>
          <w:szCs w:val="28"/>
        </w:rPr>
      </w:pPr>
    </w:p>
    <w:p>
      <w:pPr>
        <w:ind w:firstLine="562"/>
        <w:jc w:val="center"/>
        <w:rPr>
          <w:b/>
          <w:sz w:val="28"/>
          <w:szCs w:val="28"/>
        </w:rPr>
      </w:pPr>
    </w:p>
    <w:p>
      <w:pPr>
        <w:ind w:firstLine="602"/>
        <w:jc w:val="center"/>
        <w:outlineLvl w:val="1"/>
        <w:rPr>
          <w:b/>
          <w:color w:val="000000"/>
          <w:sz w:val="30"/>
        </w:rPr>
      </w:pPr>
    </w:p>
    <w:p>
      <w:pPr>
        <w:ind w:firstLine="602"/>
        <w:jc w:val="center"/>
        <w:outlineLvl w:val="1"/>
        <w:rPr>
          <w:b/>
          <w:color w:val="000000"/>
          <w:sz w:val="30"/>
        </w:rPr>
      </w:pPr>
    </w:p>
    <w:p>
      <w:pPr>
        <w:ind w:firstLine="602"/>
        <w:jc w:val="center"/>
        <w:outlineLvl w:val="1"/>
        <w:rPr>
          <w:b/>
          <w:color w:val="000000"/>
          <w:sz w:val="30"/>
        </w:rPr>
      </w:pPr>
    </w:p>
    <w:p>
      <w:pPr>
        <w:ind w:firstLine="602"/>
        <w:jc w:val="center"/>
        <w:outlineLvl w:val="1"/>
        <w:rPr>
          <w:b/>
          <w:color w:val="000000"/>
          <w:sz w:val="30"/>
        </w:rPr>
      </w:pPr>
    </w:p>
    <w:p>
      <w:pPr>
        <w:ind w:firstLine="0" w:firstLineChars="0"/>
        <w:outlineLvl w:val="1"/>
        <w:rPr>
          <w:rFonts w:eastAsia="宋体" w:cs="宋体"/>
          <w:b/>
          <w:color w:val="000000"/>
        </w:rPr>
      </w:pPr>
      <w:r>
        <w:rPr>
          <w:rFonts w:hint="eastAsia" w:eastAsia="宋体" w:cs="宋体"/>
          <w:b/>
          <w:color w:val="000000"/>
        </w:rPr>
        <w:t>（七）项目负责人简历表及拟投入本项目主要成员表</w:t>
      </w:r>
    </w:p>
    <w:p>
      <w:pPr>
        <w:spacing w:line="440" w:lineRule="exact"/>
        <w:ind w:firstLine="562"/>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1.项目负责人简历表</w:t>
      </w:r>
    </w:p>
    <w:tbl>
      <w:tblPr>
        <w:tblW w:w="90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228"/>
        <w:gridCol w:w="1969"/>
        <w:gridCol w:w="224"/>
        <w:gridCol w:w="959"/>
        <w:gridCol w:w="787"/>
        <w:gridCol w:w="1638"/>
        <w:gridCol w:w="2242"/>
      </w:tblGrid>
      <w:tr>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姓名</w:t>
            </w:r>
          </w:p>
        </w:tc>
        <w:tc>
          <w:tcPr>
            <w:tcW w:w="2193" w:type="dxa"/>
            <w:gridSpan w:val="2"/>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p>
        </w:tc>
        <w:tc>
          <w:tcPr>
            <w:tcW w:w="959"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年龄</w:t>
            </w:r>
          </w:p>
        </w:tc>
        <w:tc>
          <w:tcPr>
            <w:tcW w:w="787"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p>
        </w:tc>
        <w:tc>
          <w:tcPr>
            <w:tcW w:w="1638"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身份证号码</w:t>
            </w:r>
          </w:p>
        </w:tc>
        <w:tc>
          <w:tcPr>
            <w:tcW w:w="2242"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p>
        </w:tc>
      </w:tr>
      <w:tr>
        <w:trPr>
          <w:trHeight w:val="454" w:hRule="atLeast"/>
          <w:jc w:val="center"/>
        </w:trPr>
        <w:tc>
          <w:tcPr>
            <w:tcW w:w="1228"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毕业学校</w:t>
            </w:r>
          </w:p>
        </w:tc>
        <w:tc>
          <w:tcPr>
            <w:tcW w:w="3939" w:type="dxa"/>
            <w:gridSpan w:val="4"/>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p>
        </w:tc>
        <w:tc>
          <w:tcPr>
            <w:tcW w:w="1638"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专     业</w:t>
            </w:r>
          </w:p>
        </w:tc>
        <w:tc>
          <w:tcPr>
            <w:tcW w:w="2242"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p>
        </w:tc>
      </w:tr>
      <w:tr>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学位</w:t>
            </w:r>
          </w:p>
        </w:tc>
        <w:tc>
          <w:tcPr>
            <w:tcW w:w="2193" w:type="dxa"/>
            <w:gridSpan w:val="2"/>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p>
        </w:tc>
        <w:tc>
          <w:tcPr>
            <w:tcW w:w="959"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职称</w:t>
            </w:r>
          </w:p>
        </w:tc>
        <w:tc>
          <w:tcPr>
            <w:tcW w:w="787"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p>
        </w:tc>
        <w:tc>
          <w:tcPr>
            <w:tcW w:w="1638"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     务</w:t>
            </w:r>
          </w:p>
        </w:tc>
        <w:tc>
          <w:tcPr>
            <w:tcW w:w="2242"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p>
        </w:tc>
      </w:tr>
      <w:tr>
        <w:trPr>
          <w:trHeight w:val="892" w:hRule="atLeast"/>
          <w:jc w:val="center"/>
        </w:trPr>
        <w:tc>
          <w:tcPr>
            <w:tcW w:w="1228"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现所在机构或部门</w:t>
            </w:r>
          </w:p>
        </w:tc>
        <w:tc>
          <w:tcPr>
            <w:tcW w:w="3939" w:type="dxa"/>
            <w:gridSpan w:val="4"/>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p>
        </w:tc>
        <w:tc>
          <w:tcPr>
            <w:tcW w:w="1638" w:type="dxa"/>
            <w:tcBorders>
              <w:top w:val="single" w:color="auto" w:sz="6" w:space="0"/>
              <w:left w:val="single" w:color="auto" w:sz="6" w:space="0"/>
              <w:bottom w:val="single" w:color="auto" w:sz="6" w:space="0"/>
              <w:right w:val="single" w:color="auto" w:sz="6" w:space="0"/>
            </w:tcBorders>
            <w:vAlign w:val="center"/>
          </w:tcPr>
          <w:p>
            <w:pPr>
              <w:spacing w:line="440" w:lineRule="exact"/>
              <w:ind w:firstLine="0" w:firstLineChars="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服务时间</w:t>
            </w:r>
          </w:p>
        </w:tc>
        <w:tc>
          <w:tcPr>
            <w:tcW w:w="2242"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p>
        </w:tc>
      </w:tr>
      <w:tr>
        <w:trPr>
          <w:trHeight w:val="438" w:hRule="atLeast"/>
          <w:jc w:val="center"/>
        </w:trPr>
        <w:tc>
          <w:tcPr>
            <w:tcW w:w="1228" w:type="dxa"/>
            <w:vMerge w:val="restart"/>
            <w:tcBorders>
              <w:top w:val="single" w:color="auto" w:sz="6" w:space="0"/>
              <w:left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注册证书及注册号</w:t>
            </w:r>
          </w:p>
        </w:tc>
        <w:tc>
          <w:tcPr>
            <w:tcW w:w="1969"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序号</w:t>
            </w:r>
          </w:p>
        </w:tc>
        <w:tc>
          <w:tcPr>
            <w:tcW w:w="1970" w:type="dxa"/>
            <w:gridSpan w:val="3"/>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证书名</w:t>
            </w:r>
          </w:p>
        </w:tc>
        <w:tc>
          <w:tcPr>
            <w:tcW w:w="1638" w:type="dxa"/>
            <w:tcBorders>
              <w:top w:val="single" w:color="auto" w:sz="6" w:space="0"/>
              <w:left w:val="single" w:color="auto" w:sz="6" w:space="0"/>
              <w:bottom w:val="single" w:color="auto" w:sz="6" w:space="0"/>
              <w:right w:val="single" w:color="auto" w:sz="6" w:space="0"/>
            </w:tcBorders>
            <w:vAlign w:val="center"/>
          </w:tcPr>
          <w:p>
            <w:pPr>
              <w:spacing w:line="440" w:lineRule="exact"/>
              <w:ind w:firstLine="0" w:firstLineChars="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证书号</w:t>
            </w:r>
          </w:p>
        </w:tc>
        <w:tc>
          <w:tcPr>
            <w:tcW w:w="2242"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p>
        </w:tc>
      </w:tr>
      <w:tr>
        <w:trPr>
          <w:trHeight w:val="145" w:hRule="atLeast"/>
          <w:jc w:val="center"/>
        </w:trPr>
        <w:tc>
          <w:tcPr>
            <w:tcW w:w="1228" w:type="dxa"/>
            <w:vMerge w:val="continue"/>
            <w:tcBorders>
              <w:top w:val="single" w:color="auto" w:sz="6" w:space="0"/>
              <w:left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p>
        </w:tc>
        <w:tc>
          <w:tcPr>
            <w:tcW w:w="1969"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p>
        </w:tc>
        <w:tc>
          <w:tcPr>
            <w:tcW w:w="1970" w:type="dxa"/>
            <w:gridSpan w:val="3"/>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p>
        </w:tc>
        <w:tc>
          <w:tcPr>
            <w:tcW w:w="1638" w:type="dxa"/>
            <w:tcBorders>
              <w:top w:val="single" w:color="auto" w:sz="6" w:space="0"/>
              <w:left w:val="single" w:color="auto" w:sz="6" w:space="0"/>
              <w:bottom w:val="single" w:color="auto" w:sz="6" w:space="0"/>
              <w:right w:val="single" w:color="auto" w:sz="6" w:space="0"/>
            </w:tcBorders>
            <w:vAlign w:val="center"/>
          </w:tcPr>
          <w:p>
            <w:pPr>
              <w:spacing w:line="440" w:lineRule="exact"/>
              <w:ind w:firstLine="0" w:firstLineChars="0"/>
              <w:rPr>
                <w:rFonts w:ascii="仿宋_GB2312" w:hAnsi="仿宋_GB2312" w:eastAsia="仿宋_GB2312" w:cs="仿宋_GB2312"/>
                <w:color w:val="000000"/>
                <w:sz w:val="28"/>
                <w:szCs w:val="28"/>
              </w:rPr>
            </w:pPr>
          </w:p>
        </w:tc>
        <w:tc>
          <w:tcPr>
            <w:tcW w:w="2242"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p>
        </w:tc>
      </w:tr>
      <w:tr>
        <w:trPr>
          <w:trHeight w:val="145" w:hRule="atLeast"/>
          <w:jc w:val="center"/>
        </w:trPr>
        <w:tc>
          <w:tcPr>
            <w:tcW w:w="1228" w:type="dxa"/>
            <w:vMerge w:val="continue"/>
            <w:tcBorders>
              <w:top w:val="single" w:color="auto" w:sz="6" w:space="0"/>
              <w:left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p>
        </w:tc>
        <w:tc>
          <w:tcPr>
            <w:tcW w:w="1969"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p>
        </w:tc>
        <w:tc>
          <w:tcPr>
            <w:tcW w:w="1970" w:type="dxa"/>
            <w:gridSpan w:val="3"/>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p>
        </w:tc>
        <w:tc>
          <w:tcPr>
            <w:tcW w:w="1638" w:type="dxa"/>
            <w:tcBorders>
              <w:top w:val="single" w:color="auto" w:sz="6" w:space="0"/>
              <w:left w:val="single" w:color="auto" w:sz="6" w:space="0"/>
              <w:bottom w:val="single" w:color="auto" w:sz="6" w:space="0"/>
              <w:right w:val="single" w:color="auto" w:sz="6" w:space="0"/>
            </w:tcBorders>
            <w:vAlign w:val="center"/>
          </w:tcPr>
          <w:p>
            <w:pPr>
              <w:spacing w:line="440" w:lineRule="exact"/>
              <w:ind w:firstLine="0" w:firstLineChars="0"/>
              <w:rPr>
                <w:rFonts w:ascii="仿宋_GB2312" w:hAnsi="仿宋_GB2312" w:eastAsia="仿宋_GB2312" w:cs="仿宋_GB2312"/>
                <w:color w:val="000000"/>
                <w:sz w:val="28"/>
                <w:szCs w:val="28"/>
              </w:rPr>
            </w:pPr>
          </w:p>
        </w:tc>
        <w:tc>
          <w:tcPr>
            <w:tcW w:w="2242"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p>
        </w:tc>
      </w:tr>
      <w:tr>
        <w:trPr>
          <w:trHeight w:val="944" w:hRule="atLeast"/>
          <w:jc w:val="center"/>
        </w:trPr>
        <w:tc>
          <w:tcPr>
            <w:tcW w:w="1228" w:type="dxa"/>
            <w:tcBorders>
              <w:top w:val="single" w:color="auto" w:sz="6" w:space="0"/>
              <w:left w:val="single" w:color="auto" w:sz="6" w:space="0"/>
              <w:bottom w:val="single" w:color="auto" w:sz="6" w:space="0"/>
              <w:right w:val="single" w:color="auto" w:sz="6" w:space="0"/>
            </w:tcBorders>
            <w:vAlign w:val="center"/>
          </w:tcPr>
          <w:p>
            <w:pPr>
              <w:spacing w:line="440" w:lineRule="exact"/>
              <w:ind w:firstLine="0" w:firstLineChars="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主要经历</w:t>
            </w:r>
          </w:p>
        </w:tc>
        <w:tc>
          <w:tcPr>
            <w:tcW w:w="7819" w:type="dxa"/>
            <w:gridSpan w:val="6"/>
            <w:tcBorders>
              <w:top w:val="single" w:color="auto" w:sz="6" w:space="0"/>
              <w:left w:val="single" w:color="auto" w:sz="6" w:space="0"/>
              <w:bottom w:val="single" w:color="auto" w:sz="6" w:space="0"/>
              <w:right w:val="single" w:color="auto" w:sz="6" w:space="0"/>
            </w:tcBorders>
            <w:vAlign w:val="center"/>
          </w:tcPr>
          <w:p>
            <w:pPr>
              <w:spacing w:line="440" w:lineRule="exact"/>
              <w:ind w:firstLine="0" w:firstLineChars="0"/>
              <w:jc w:val="center"/>
              <w:rPr>
                <w:rFonts w:ascii="仿宋_GB2312" w:hAnsi="仿宋_GB2312" w:eastAsia="仿宋_GB2312" w:cs="仿宋_GB2312"/>
                <w:color w:val="000000"/>
                <w:sz w:val="28"/>
                <w:szCs w:val="28"/>
              </w:rPr>
            </w:pPr>
          </w:p>
        </w:tc>
      </w:tr>
      <w:tr>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日期</w:t>
            </w:r>
          </w:p>
        </w:tc>
        <w:tc>
          <w:tcPr>
            <w:tcW w:w="3152" w:type="dxa"/>
            <w:gridSpan w:val="3"/>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参加过的项目名称</w:t>
            </w:r>
          </w:p>
        </w:tc>
        <w:tc>
          <w:tcPr>
            <w:tcW w:w="2425" w:type="dxa"/>
            <w:gridSpan w:val="2"/>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担任何职务</w:t>
            </w:r>
          </w:p>
        </w:tc>
        <w:tc>
          <w:tcPr>
            <w:tcW w:w="2242"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备注</w:t>
            </w:r>
          </w:p>
        </w:tc>
      </w:tr>
      <w:tr>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p>
        </w:tc>
        <w:tc>
          <w:tcPr>
            <w:tcW w:w="3152" w:type="dxa"/>
            <w:gridSpan w:val="3"/>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p>
        </w:tc>
        <w:tc>
          <w:tcPr>
            <w:tcW w:w="2425" w:type="dxa"/>
            <w:gridSpan w:val="2"/>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p>
        </w:tc>
        <w:tc>
          <w:tcPr>
            <w:tcW w:w="2242"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p>
        </w:tc>
      </w:tr>
      <w:tr>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p>
        </w:tc>
        <w:tc>
          <w:tcPr>
            <w:tcW w:w="3152" w:type="dxa"/>
            <w:gridSpan w:val="3"/>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p>
        </w:tc>
        <w:tc>
          <w:tcPr>
            <w:tcW w:w="2425" w:type="dxa"/>
            <w:gridSpan w:val="2"/>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p>
        </w:tc>
        <w:tc>
          <w:tcPr>
            <w:tcW w:w="2242"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ascii="仿宋_GB2312" w:hAnsi="仿宋_GB2312" w:eastAsia="仿宋_GB2312" w:cs="仿宋_GB2312"/>
                <w:color w:val="000000"/>
                <w:sz w:val="28"/>
                <w:szCs w:val="28"/>
              </w:rPr>
            </w:pPr>
          </w:p>
        </w:tc>
      </w:tr>
    </w:tbl>
    <w:p>
      <w:pPr>
        <w:ind w:firstLine="560"/>
        <w:rPr>
          <w:rFonts w:ascii="仿宋_GB2312" w:hAnsi="仿宋_GB2312" w:eastAsia="仿宋_GB2312" w:cs="仿宋_GB2312"/>
          <w:vanish/>
          <w:color w:val="000000"/>
          <w:sz w:val="28"/>
          <w:szCs w:val="28"/>
        </w:rPr>
      </w:pPr>
    </w:p>
    <w:tbl>
      <w:tblPr>
        <w:tblpPr w:leftFromText="180" w:rightFromText="180" w:vertAnchor="text" w:horzAnchor="margin" w:tblpX="144" w:tblpY="709"/>
        <w:tblOverlap w:val="never"/>
        <w:tblW w:w="8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74"/>
        <w:gridCol w:w="1011"/>
        <w:gridCol w:w="857"/>
        <w:gridCol w:w="930"/>
        <w:gridCol w:w="1706"/>
        <w:gridCol w:w="1579"/>
        <w:gridCol w:w="1762"/>
      </w:tblGrid>
      <w:tr>
        <w:trPr>
          <w:cantSplit/>
          <w:trHeight w:val="654" w:hRule="atLeast"/>
        </w:trPr>
        <w:tc>
          <w:tcPr>
            <w:tcW w:w="674" w:type="dxa"/>
            <w:vAlign w:val="center"/>
          </w:tcPr>
          <w:p>
            <w:pPr>
              <w:spacing w:line="440" w:lineRule="exact"/>
              <w:ind w:firstLine="0" w:firstLineChars="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序号</w:t>
            </w:r>
          </w:p>
        </w:tc>
        <w:tc>
          <w:tcPr>
            <w:tcW w:w="1011" w:type="dxa"/>
            <w:vAlign w:val="center"/>
          </w:tcPr>
          <w:p>
            <w:pPr>
              <w:spacing w:line="440" w:lineRule="exact"/>
              <w:ind w:firstLine="0" w:firstLineChars="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姓名</w:t>
            </w:r>
          </w:p>
        </w:tc>
        <w:tc>
          <w:tcPr>
            <w:tcW w:w="857" w:type="dxa"/>
            <w:vAlign w:val="center"/>
          </w:tcPr>
          <w:p>
            <w:pPr>
              <w:spacing w:line="440" w:lineRule="exact"/>
              <w:ind w:firstLine="0" w:firstLineChars="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年龄</w:t>
            </w:r>
          </w:p>
        </w:tc>
        <w:tc>
          <w:tcPr>
            <w:tcW w:w="930" w:type="dxa"/>
            <w:vAlign w:val="center"/>
          </w:tcPr>
          <w:p>
            <w:pPr>
              <w:spacing w:line="440" w:lineRule="exact"/>
              <w:ind w:firstLine="0" w:firstLineChars="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职称</w:t>
            </w:r>
          </w:p>
        </w:tc>
        <w:tc>
          <w:tcPr>
            <w:tcW w:w="1706" w:type="dxa"/>
            <w:vAlign w:val="center"/>
          </w:tcPr>
          <w:p>
            <w:pPr>
              <w:spacing w:line="440" w:lineRule="exact"/>
              <w:ind w:firstLine="0" w:firstLineChars="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学历及持证情况</w:t>
            </w:r>
          </w:p>
        </w:tc>
        <w:tc>
          <w:tcPr>
            <w:tcW w:w="1579" w:type="dxa"/>
            <w:vAlign w:val="center"/>
          </w:tcPr>
          <w:p>
            <w:pPr>
              <w:spacing w:line="440" w:lineRule="exact"/>
              <w:ind w:firstLine="0" w:firstLineChars="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岗位</w:t>
            </w:r>
          </w:p>
        </w:tc>
        <w:tc>
          <w:tcPr>
            <w:tcW w:w="1762" w:type="dxa"/>
            <w:vAlign w:val="center"/>
          </w:tcPr>
          <w:p>
            <w:pPr>
              <w:spacing w:line="440" w:lineRule="exact"/>
              <w:ind w:firstLine="0" w:firstLineChars="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从事该岗位</w:t>
            </w:r>
          </w:p>
          <w:p>
            <w:pPr>
              <w:spacing w:line="440" w:lineRule="exact"/>
              <w:ind w:firstLine="0" w:firstLineChars="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时间</w:t>
            </w:r>
          </w:p>
        </w:tc>
      </w:tr>
      <w:tr>
        <w:trPr>
          <w:cantSplit/>
          <w:trHeight w:val="407" w:hRule="atLeast"/>
        </w:trPr>
        <w:tc>
          <w:tcPr>
            <w:tcW w:w="674" w:type="dxa"/>
            <w:vAlign w:val="top"/>
          </w:tcPr>
          <w:p>
            <w:pPr>
              <w:spacing w:line="440" w:lineRule="exact"/>
              <w:ind w:firstLine="0" w:firstLineChars="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011" w:type="dxa"/>
            <w:vAlign w:val="top"/>
          </w:tcPr>
          <w:p>
            <w:pPr>
              <w:spacing w:line="440" w:lineRule="exact"/>
              <w:ind w:firstLine="0" w:firstLineChars="0"/>
              <w:jc w:val="center"/>
              <w:rPr>
                <w:rFonts w:ascii="仿宋_GB2312" w:hAnsi="仿宋_GB2312" w:eastAsia="仿宋_GB2312" w:cs="仿宋_GB2312"/>
                <w:color w:val="000000"/>
                <w:sz w:val="28"/>
                <w:szCs w:val="28"/>
              </w:rPr>
            </w:pPr>
          </w:p>
        </w:tc>
        <w:tc>
          <w:tcPr>
            <w:tcW w:w="857" w:type="dxa"/>
            <w:vAlign w:val="top"/>
          </w:tcPr>
          <w:p>
            <w:pPr>
              <w:spacing w:line="440" w:lineRule="exact"/>
              <w:ind w:firstLine="0" w:firstLineChars="0"/>
              <w:jc w:val="center"/>
              <w:rPr>
                <w:rFonts w:ascii="仿宋_GB2312" w:hAnsi="仿宋_GB2312" w:eastAsia="仿宋_GB2312" w:cs="仿宋_GB2312"/>
                <w:color w:val="000000"/>
                <w:sz w:val="28"/>
                <w:szCs w:val="28"/>
              </w:rPr>
            </w:pPr>
          </w:p>
        </w:tc>
        <w:tc>
          <w:tcPr>
            <w:tcW w:w="930" w:type="dxa"/>
            <w:vAlign w:val="top"/>
          </w:tcPr>
          <w:p>
            <w:pPr>
              <w:spacing w:line="440" w:lineRule="exact"/>
              <w:ind w:firstLine="0" w:firstLineChars="0"/>
              <w:jc w:val="center"/>
              <w:rPr>
                <w:rFonts w:ascii="仿宋_GB2312" w:hAnsi="仿宋_GB2312" w:eastAsia="仿宋_GB2312" w:cs="仿宋_GB2312"/>
                <w:color w:val="000000"/>
                <w:sz w:val="28"/>
                <w:szCs w:val="28"/>
              </w:rPr>
            </w:pPr>
          </w:p>
        </w:tc>
        <w:tc>
          <w:tcPr>
            <w:tcW w:w="1706" w:type="dxa"/>
            <w:vAlign w:val="top"/>
          </w:tcPr>
          <w:p>
            <w:pPr>
              <w:spacing w:line="440" w:lineRule="exact"/>
              <w:ind w:firstLine="0" w:firstLineChars="0"/>
              <w:jc w:val="center"/>
              <w:rPr>
                <w:rFonts w:ascii="仿宋_GB2312" w:hAnsi="仿宋_GB2312" w:eastAsia="仿宋_GB2312" w:cs="仿宋_GB2312"/>
                <w:color w:val="000000"/>
                <w:sz w:val="28"/>
                <w:szCs w:val="28"/>
              </w:rPr>
            </w:pPr>
          </w:p>
        </w:tc>
        <w:tc>
          <w:tcPr>
            <w:tcW w:w="1579" w:type="dxa"/>
            <w:vAlign w:val="top"/>
          </w:tcPr>
          <w:p>
            <w:pPr>
              <w:spacing w:line="440" w:lineRule="exact"/>
              <w:ind w:firstLine="0" w:firstLineChars="0"/>
              <w:jc w:val="center"/>
              <w:rPr>
                <w:rFonts w:ascii="仿宋_GB2312" w:hAnsi="仿宋_GB2312" w:eastAsia="仿宋_GB2312" w:cs="仿宋_GB2312"/>
                <w:color w:val="000000"/>
                <w:sz w:val="28"/>
                <w:szCs w:val="28"/>
              </w:rPr>
            </w:pPr>
          </w:p>
        </w:tc>
        <w:tc>
          <w:tcPr>
            <w:tcW w:w="1762" w:type="dxa"/>
            <w:vAlign w:val="top"/>
          </w:tcPr>
          <w:p>
            <w:pPr>
              <w:spacing w:line="440" w:lineRule="exact"/>
              <w:ind w:firstLine="0" w:firstLineChars="0"/>
              <w:jc w:val="center"/>
              <w:rPr>
                <w:rFonts w:ascii="仿宋_GB2312" w:hAnsi="仿宋_GB2312" w:eastAsia="仿宋_GB2312" w:cs="仿宋_GB2312"/>
                <w:color w:val="000000"/>
                <w:sz w:val="28"/>
                <w:szCs w:val="28"/>
              </w:rPr>
            </w:pPr>
          </w:p>
        </w:tc>
      </w:tr>
      <w:tr>
        <w:trPr>
          <w:cantSplit/>
          <w:trHeight w:val="454" w:hRule="atLeast"/>
        </w:trPr>
        <w:tc>
          <w:tcPr>
            <w:tcW w:w="674" w:type="dxa"/>
            <w:vAlign w:val="top"/>
          </w:tcPr>
          <w:p>
            <w:pPr>
              <w:spacing w:line="440" w:lineRule="exact"/>
              <w:ind w:firstLine="0" w:firstLineChars="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1011" w:type="dxa"/>
            <w:vAlign w:val="top"/>
          </w:tcPr>
          <w:p>
            <w:pPr>
              <w:spacing w:line="440" w:lineRule="exact"/>
              <w:ind w:firstLine="0" w:firstLineChars="0"/>
              <w:jc w:val="center"/>
              <w:rPr>
                <w:rFonts w:ascii="仿宋_GB2312" w:hAnsi="仿宋_GB2312" w:eastAsia="仿宋_GB2312" w:cs="仿宋_GB2312"/>
                <w:color w:val="000000"/>
                <w:sz w:val="28"/>
                <w:szCs w:val="28"/>
              </w:rPr>
            </w:pPr>
          </w:p>
        </w:tc>
        <w:tc>
          <w:tcPr>
            <w:tcW w:w="857" w:type="dxa"/>
            <w:vAlign w:val="top"/>
          </w:tcPr>
          <w:p>
            <w:pPr>
              <w:spacing w:line="440" w:lineRule="exact"/>
              <w:ind w:firstLine="0" w:firstLineChars="0"/>
              <w:jc w:val="center"/>
              <w:rPr>
                <w:rFonts w:ascii="仿宋_GB2312" w:hAnsi="仿宋_GB2312" w:eastAsia="仿宋_GB2312" w:cs="仿宋_GB2312"/>
                <w:color w:val="000000"/>
                <w:sz w:val="28"/>
                <w:szCs w:val="28"/>
              </w:rPr>
            </w:pPr>
          </w:p>
        </w:tc>
        <w:tc>
          <w:tcPr>
            <w:tcW w:w="930" w:type="dxa"/>
            <w:vAlign w:val="top"/>
          </w:tcPr>
          <w:p>
            <w:pPr>
              <w:spacing w:line="440" w:lineRule="exact"/>
              <w:ind w:firstLine="0" w:firstLineChars="0"/>
              <w:jc w:val="center"/>
              <w:rPr>
                <w:rFonts w:ascii="仿宋_GB2312" w:hAnsi="仿宋_GB2312" w:eastAsia="仿宋_GB2312" w:cs="仿宋_GB2312"/>
                <w:color w:val="000000"/>
                <w:sz w:val="28"/>
                <w:szCs w:val="28"/>
              </w:rPr>
            </w:pPr>
          </w:p>
        </w:tc>
        <w:tc>
          <w:tcPr>
            <w:tcW w:w="1706" w:type="dxa"/>
            <w:vAlign w:val="top"/>
          </w:tcPr>
          <w:p>
            <w:pPr>
              <w:spacing w:line="440" w:lineRule="exact"/>
              <w:ind w:firstLine="0" w:firstLineChars="0"/>
              <w:jc w:val="center"/>
              <w:rPr>
                <w:rFonts w:ascii="仿宋_GB2312" w:hAnsi="仿宋_GB2312" w:eastAsia="仿宋_GB2312" w:cs="仿宋_GB2312"/>
                <w:color w:val="000000"/>
                <w:sz w:val="28"/>
                <w:szCs w:val="28"/>
              </w:rPr>
            </w:pPr>
          </w:p>
        </w:tc>
        <w:tc>
          <w:tcPr>
            <w:tcW w:w="1579" w:type="dxa"/>
            <w:vAlign w:val="top"/>
          </w:tcPr>
          <w:p>
            <w:pPr>
              <w:spacing w:line="440" w:lineRule="exact"/>
              <w:ind w:firstLine="0" w:firstLineChars="0"/>
              <w:jc w:val="center"/>
              <w:rPr>
                <w:rFonts w:ascii="仿宋_GB2312" w:hAnsi="仿宋_GB2312" w:eastAsia="仿宋_GB2312" w:cs="仿宋_GB2312"/>
                <w:color w:val="000000"/>
                <w:sz w:val="28"/>
                <w:szCs w:val="28"/>
              </w:rPr>
            </w:pPr>
          </w:p>
        </w:tc>
        <w:tc>
          <w:tcPr>
            <w:tcW w:w="1762" w:type="dxa"/>
            <w:vAlign w:val="top"/>
          </w:tcPr>
          <w:p>
            <w:pPr>
              <w:spacing w:line="440" w:lineRule="exact"/>
              <w:ind w:firstLine="0" w:firstLineChars="0"/>
              <w:jc w:val="center"/>
              <w:rPr>
                <w:rFonts w:ascii="仿宋_GB2312" w:hAnsi="仿宋_GB2312" w:eastAsia="仿宋_GB2312" w:cs="仿宋_GB2312"/>
                <w:color w:val="000000"/>
                <w:sz w:val="28"/>
                <w:szCs w:val="28"/>
              </w:rPr>
            </w:pPr>
          </w:p>
        </w:tc>
      </w:tr>
      <w:tr>
        <w:trPr>
          <w:cantSplit/>
          <w:trHeight w:val="407" w:hRule="atLeast"/>
        </w:trPr>
        <w:tc>
          <w:tcPr>
            <w:tcW w:w="674" w:type="dxa"/>
            <w:vAlign w:val="top"/>
          </w:tcPr>
          <w:p>
            <w:pPr>
              <w:spacing w:line="440" w:lineRule="exact"/>
              <w:ind w:firstLine="0" w:firstLineChars="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1011" w:type="dxa"/>
            <w:vAlign w:val="top"/>
          </w:tcPr>
          <w:p>
            <w:pPr>
              <w:spacing w:line="440" w:lineRule="exact"/>
              <w:ind w:firstLine="0" w:firstLineChars="0"/>
              <w:jc w:val="center"/>
              <w:rPr>
                <w:rFonts w:ascii="仿宋_GB2312" w:hAnsi="仿宋_GB2312" w:eastAsia="仿宋_GB2312" w:cs="仿宋_GB2312"/>
                <w:color w:val="000000"/>
                <w:sz w:val="28"/>
                <w:szCs w:val="28"/>
              </w:rPr>
            </w:pPr>
          </w:p>
        </w:tc>
        <w:tc>
          <w:tcPr>
            <w:tcW w:w="857" w:type="dxa"/>
            <w:vAlign w:val="top"/>
          </w:tcPr>
          <w:p>
            <w:pPr>
              <w:spacing w:line="440" w:lineRule="exact"/>
              <w:ind w:firstLine="0" w:firstLineChars="0"/>
              <w:jc w:val="center"/>
              <w:rPr>
                <w:rFonts w:ascii="仿宋_GB2312" w:hAnsi="仿宋_GB2312" w:eastAsia="仿宋_GB2312" w:cs="仿宋_GB2312"/>
                <w:color w:val="000000"/>
                <w:sz w:val="28"/>
                <w:szCs w:val="28"/>
              </w:rPr>
            </w:pPr>
          </w:p>
        </w:tc>
        <w:tc>
          <w:tcPr>
            <w:tcW w:w="930" w:type="dxa"/>
            <w:vAlign w:val="top"/>
          </w:tcPr>
          <w:p>
            <w:pPr>
              <w:spacing w:line="440" w:lineRule="exact"/>
              <w:ind w:firstLine="0" w:firstLineChars="0"/>
              <w:jc w:val="center"/>
              <w:rPr>
                <w:rFonts w:ascii="仿宋_GB2312" w:hAnsi="仿宋_GB2312" w:eastAsia="仿宋_GB2312" w:cs="仿宋_GB2312"/>
                <w:color w:val="000000"/>
                <w:sz w:val="28"/>
                <w:szCs w:val="28"/>
              </w:rPr>
            </w:pPr>
          </w:p>
        </w:tc>
        <w:tc>
          <w:tcPr>
            <w:tcW w:w="1706" w:type="dxa"/>
            <w:vAlign w:val="top"/>
          </w:tcPr>
          <w:p>
            <w:pPr>
              <w:spacing w:line="440" w:lineRule="exact"/>
              <w:ind w:firstLine="0" w:firstLineChars="0"/>
              <w:jc w:val="center"/>
              <w:rPr>
                <w:rFonts w:ascii="仿宋_GB2312" w:hAnsi="仿宋_GB2312" w:eastAsia="仿宋_GB2312" w:cs="仿宋_GB2312"/>
                <w:color w:val="000000"/>
                <w:sz w:val="28"/>
                <w:szCs w:val="28"/>
              </w:rPr>
            </w:pPr>
          </w:p>
        </w:tc>
        <w:tc>
          <w:tcPr>
            <w:tcW w:w="1579" w:type="dxa"/>
            <w:vAlign w:val="top"/>
          </w:tcPr>
          <w:p>
            <w:pPr>
              <w:spacing w:line="440" w:lineRule="exact"/>
              <w:ind w:firstLine="0" w:firstLineChars="0"/>
              <w:jc w:val="center"/>
              <w:rPr>
                <w:rFonts w:ascii="仿宋_GB2312" w:hAnsi="仿宋_GB2312" w:eastAsia="仿宋_GB2312" w:cs="仿宋_GB2312"/>
                <w:color w:val="000000"/>
                <w:sz w:val="28"/>
                <w:szCs w:val="28"/>
              </w:rPr>
            </w:pPr>
          </w:p>
        </w:tc>
        <w:tc>
          <w:tcPr>
            <w:tcW w:w="1762" w:type="dxa"/>
            <w:vAlign w:val="top"/>
          </w:tcPr>
          <w:p>
            <w:pPr>
              <w:spacing w:line="440" w:lineRule="exact"/>
              <w:ind w:firstLine="0" w:firstLineChars="0"/>
              <w:jc w:val="center"/>
              <w:rPr>
                <w:rFonts w:ascii="仿宋_GB2312" w:hAnsi="仿宋_GB2312" w:eastAsia="仿宋_GB2312" w:cs="仿宋_GB2312"/>
                <w:color w:val="000000"/>
                <w:sz w:val="28"/>
                <w:szCs w:val="28"/>
              </w:rPr>
            </w:pPr>
          </w:p>
        </w:tc>
      </w:tr>
      <w:tr>
        <w:trPr>
          <w:cantSplit/>
          <w:trHeight w:val="407" w:hRule="atLeast"/>
        </w:trPr>
        <w:tc>
          <w:tcPr>
            <w:tcW w:w="674" w:type="dxa"/>
            <w:vAlign w:val="top"/>
          </w:tcPr>
          <w:p>
            <w:pPr>
              <w:spacing w:line="440" w:lineRule="exact"/>
              <w:ind w:firstLine="0" w:firstLineChars="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1011" w:type="dxa"/>
            <w:vAlign w:val="top"/>
          </w:tcPr>
          <w:p>
            <w:pPr>
              <w:spacing w:line="440" w:lineRule="exact"/>
              <w:ind w:firstLine="0" w:firstLineChars="0"/>
              <w:jc w:val="center"/>
              <w:rPr>
                <w:rFonts w:ascii="仿宋_GB2312" w:hAnsi="仿宋_GB2312" w:eastAsia="仿宋_GB2312" w:cs="仿宋_GB2312"/>
                <w:color w:val="000000"/>
                <w:sz w:val="28"/>
                <w:szCs w:val="28"/>
              </w:rPr>
            </w:pPr>
          </w:p>
        </w:tc>
        <w:tc>
          <w:tcPr>
            <w:tcW w:w="857" w:type="dxa"/>
            <w:vAlign w:val="top"/>
          </w:tcPr>
          <w:p>
            <w:pPr>
              <w:spacing w:line="440" w:lineRule="exact"/>
              <w:ind w:firstLine="0" w:firstLineChars="0"/>
              <w:jc w:val="center"/>
              <w:rPr>
                <w:rFonts w:ascii="仿宋_GB2312" w:hAnsi="仿宋_GB2312" w:eastAsia="仿宋_GB2312" w:cs="仿宋_GB2312"/>
                <w:color w:val="000000"/>
                <w:sz w:val="28"/>
                <w:szCs w:val="28"/>
              </w:rPr>
            </w:pPr>
          </w:p>
        </w:tc>
        <w:tc>
          <w:tcPr>
            <w:tcW w:w="930" w:type="dxa"/>
            <w:vAlign w:val="top"/>
          </w:tcPr>
          <w:p>
            <w:pPr>
              <w:spacing w:line="440" w:lineRule="exact"/>
              <w:ind w:firstLine="0" w:firstLineChars="0"/>
              <w:jc w:val="center"/>
              <w:rPr>
                <w:rFonts w:ascii="仿宋_GB2312" w:hAnsi="仿宋_GB2312" w:eastAsia="仿宋_GB2312" w:cs="仿宋_GB2312"/>
                <w:color w:val="000000"/>
                <w:sz w:val="28"/>
                <w:szCs w:val="28"/>
              </w:rPr>
            </w:pPr>
          </w:p>
        </w:tc>
        <w:tc>
          <w:tcPr>
            <w:tcW w:w="1706" w:type="dxa"/>
            <w:vAlign w:val="top"/>
          </w:tcPr>
          <w:p>
            <w:pPr>
              <w:spacing w:line="440" w:lineRule="exact"/>
              <w:ind w:firstLine="0" w:firstLineChars="0"/>
              <w:jc w:val="center"/>
              <w:rPr>
                <w:rFonts w:ascii="仿宋_GB2312" w:hAnsi="仿宋_GB2312" w:eastAsia="仿宋_GB2312" w:cs="仿宋_GB2312"/>
                <w:color w:val="000000"/>
                <w:sz w:val="28"/>
                <w:szCs w:val="28"/>
              </w:rPr>
            </w:pPr>
          </w:p>
        </w:tc>
        <w:tc>
          <w:tcPr>
            <w:tcW w:w="1579" w:type="dxa"/>
            <w:vAlign w:val="top"/>
          </w:tcPr>
          <w:p>
            <w:pPr>
              <w:spacing w:line="440" w:lineRule="exact"/>
              <w:ind w:firstLine="0" w:firstLineChars="0"/>
              <w:jc w:val="center"/>
              <w:rPr>
                <w:rFonts w:ascii="仿宋_GB2312" w:hAnsi="仿宋_GB2312" w:eastAsia="仿宋_GB2312" w:cs="仿宋_GB2312"/>
                <w:color w:val="000000"/>
                <w:sz w:val="28"/>
                <w:szCs w:val="28"/>
              </w:rPr>
            </w:pPr>
          </w:p>
        </w:tc>
        <w:tc>
          <w:tcPr>
            <w:tcW w:w="1762" w:type="dxa"/>
            <w:vAlign w:val="top"/>
          </w:tcPr>
          <w:p>
            <w:pPr>
              <w:spacing w:line="440" w:lineRule="exact"/>
              <w:ind w:firstLine="0" w:firstLineChars="0"/>
              <w:jc w:val="center"/>
              <w:rPr>
                <w:rFonts w:ascii="仿宋_GB2312" w:hAnsi="仿宋_GB2312" w:eastAsia="仿宋_GB2312" w:cs="仿宋_GB2312"/>
                <w:color w:val="000000"/>
                <w:sz w:val="28"/>
                <w:szCs w:val="28"/>
              </w:rPr>
            </w:pPr>
          </w:p>
        </w:tc>
      </w:tr>
    </w:tbl>
    <w:p>
      <w:pPr>
        <w:autoSpaceDE w:val="0"/>
        <w:autoSpaceDN w:val="0"/>
        <w:adjustRightInd w:val="0"/>
        <w:spacing w:line="440" w:lineRule="exact"/>
        <w:ind w:firstLine="562"/>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2.拟投入本项目的主要成员表</w:t>
      </w:r>
    </w:p>
    <w:p>
      <w:pPr>
        <w:autoSpaceDE w:val="0"/>
        <w:autoSpaceDN w:val="0"/>
        <w:adjustRightInd w:val="0"/>
        <w:snapToGrid w:val="0"/>
        <w:spacing w:line="240" w:lineRule="atLeast"/>
        <w:ind w:firstLine="602"/>
        <w:rPr>
          <w:rFonts w:ascii="仿宋_GB2312" w:hAnsi="仿宋_GB2312" w:eastAsia="仿宋_GB2312" w:cs="仿宋_GB2312"/>
          <w:color w:val="000000"/>
          <w:spacing w:val="10"/>
          <w:sz w:val="28"/>
          <w:szCs w:val="28"/>
        </w:rPr>
      </w:pPr>
      <w:r>
        <w:rPr>
          <w:rFonts w:hint="eastAsia" w:ascii="仿宋_GB2312" w:hAnsi="仿宋_GB2312" w:eastAsia="仿宋_GB2312" w:cs="仿宋_GB2312"/>
          <w:b/>
          <w:color w:val="000000"/>
          <w:spacing w:val="10"/>
          <w:sz w:val="28"/>
          <w:szCs w:val="28"/>
        </w:rPr>
        <w:t>注:</w:t>
      </w:r>
      <w:r>
        <w:rPr>
          <w:rFonts w:hint="eastAsia" w:ascii="仿宋_GB2312" w:hAnsi="仿宋_GB2312" w:eastAsia="仿宋_GB2312" w:cs="仿宋_GB2312"/>
          <w:color w:val="000000"/>
          <w:spacing w:val="10"/>
          <w:sz w:val="28"/>
          <w:szCs w:val="28"/>
        </w:rPr>
        <w:t>上述两表后应附（</w:t>
      </w:r>
      <w:r>
        <w:rPr>
          <w:rFonts w:hint="eastAsia" w:ascii="仿宋_GB2312" w:hAnsi="仿宋_GB2312" w:eastAsia="仿宋_GB2312" w:cs="仿宋_GB2312"/>
          <w:bCs/>
          <w:color w:val="000000"/>
          <w:sz w:val="28"/>
          <w:szCs w:val="28"/>
        </w:rPr>
        <w:t>复印件并加盖公章的）的</w:t>
      </w:r>
      <w:r>
        <w:rPr>
          <w:rFonts w:hint="eastAsia" w:ascii="仿宋_GB2312" w:hAnsi="仿宋_GB2312" w:eastAsia="仿宋_GB2312" w:cs="仿宋_GB2312"/>
          <w:color w:val="000000"/>
          <w:spacing w:val="10"/>
          <w:sz w:val="28"/>
          <w:szCs w:val="28"/>
        </w:rPr>
        <w:t xml:space="preserve"> </w:t>
      </w:r>
    </w:p>
    <w:p>
      <w:pPr>
        <w:autoSpaceDE w:val="0"/>
        <w:autoSpaceDN w:val="0"/>
        <w:adjustRightInd w:val="0"/>
        <w:snapToGrid w:val="0"/>
        <w:spacing w:line="240" w:lineRule="atLeast"/>
        <w:ind w:firstLine="600"/>
        <w:rPr>
          <w:rFonts w:ascii="仿宋_GB2312" w:hAnsi="仿宋_GB2312" w:eastAsia="仿宋_GB2312" w:cs="仿宋_GB2312"/>
          <w:color w:val="000000"/>
          <w:spacing w:val="10"/>
          <w:sz w:val="28"/>
          <w:szCs w:val="28"/>
        </w:rPr>
      </w:pPr>
      <w:r>
        <w:rPr>
          <w:rFonts w:hint="eastAsia" w:ascii="仿宋_GB2312" w:hAnsi="仿宋_GB2312" w:eastAsia="仿宋_GB2312" w:cs="仿宋_GB2312"/>
          <w:color w:val="000000"/>
          <w:spacing w:val="10"/>
          <w:sz w:val="28"/>
          <w:szCs w:val="28"/>
        </w:rPr>
        <w:t>1.职称证书复印件（如有）；2.身份证复印件；3.</w:t>
      </w:r>
      <w:r>
        <w:rPr>
          <w:rFonts w:hint="eastAsia" w:ascii="仿宋_GB2312" w:hAnsi="仿宋_GB2312" w:eastAsia="仿宋_GB2312" w:cs="仿宋_GB2312"/>
          <w:bCs/>
          <w:color w:val="000000"/>
          <w:sz w:val="28"/>
          <w:szCs w:val="28"/>
        </w:rPr>
        <w:t>具有国家规定相关执业资格证书复印件（如有）</w:t>
      </w:r>
      <w:r>
        <w:rPr>
          <w:rFonts w:hint="eastAsia" w:ascii="仿宋_GB2312" w:hAnsi="仿宋_GB2312" w:eastAsia="仿宋_GB2312" w:cs="仿宋_GB2312"/>
          <w:color w:val="000000"/>
          <w:spacing w:val="10"/>
          <w:sz w:val="28"/>
          <w:szCs w:val="28"/>
        </w:rPr>
        <w:t>；</w:t>
      </w:r>
    </w:p>
    <w:p>
      <w:pPr>
        <w:autoSpaceDE w:val="0"/>
        <w:autoSpaceDN w:val="0"/>
        <w:adjustRightInd w:val="0"/>
        <w:snapToGrid w:val="0"/>
        <w:spacing w:line="240" w:lineRule="atLeast"/>
        <w:ind w:firstLine="600"/>
        <w:rPr>
          <w:rFonts w:ascii="仿宋_GB2312" w:hAnsi="仿宋_GB2312" w:eastAsia="仿宋_GB2312" w:cs="仿宋_GB2312"/>
          <w:bCs/>
          <w:color w:val="000000"/>
          <w:sz w:val="28"/>
          <w:szCs w:val="28"/>
        </w:rPr>
      </w:pPr>
      <w:r>
        <w:rPr>
          <w:rFonts w:hint="eastAsia" w:ascii="仿宋_GB2312" w:hAnsi="仿宋_GB2312" w:eastAsia="仿宋_GB2312" w:cs="仿宋_GB2312"/>
          <w:color w:val="000000"/>
          <w:spacing w:val="10"/>
          <w:sz w:val="28"/>
          <w:szCs w:val="28"/>
        </w:rPr>
        <w:t>4.项目负责人相关业绩证明材料复印件</w:t>
      </w:r>
      <w:r>
        <w:rPr>
          <w:rFonts w:hint="eastAsia" w:ascii="仿宋_GB2312" w:hAnsi="仿宋_GB2312" w:eastAsia="仿宋_GB2312" w:cs="仿宋_GB2312"/>
          <w:bCs/>
          <w:color w:val="000000"/>
          <w:sz w:val="28"/>
          <w:szCs w:val="28"/>
        </w:rPr>
        <w:t>。</w:t>
      </w:r>
    </w:p>
    <w:p>
      <w:pPr>
        <w:autoSpaceDE w:val="0"/>
        <w:autoSpaceDN w:val="0"/>
        <w:adjustRightInd w:val="0"/>
        <w:snapToGrid w:val="0"/>
        <w:spacing w:line="240" w:lineRule="atLeast"/>
        <w:ind w:firstLine="543" w:firstLineChars="194"/>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特别要求：</w:t>
      </w:r>
      <w:r>
        <w:rPr>
          <w:rFonts w:hint="eastAsia" w:ascii="仿宋_GB2312" w:hAnsi="仿宋_GB2312" w:eastAsia="仿宋_GB2312" w:cs="仿宋_GB2312"/>
          <w:color w:val="000000"/>
          <w:kern w:val="1"/>
          <w:sz w:val="28"/>
          <w:szCs w:val="28"/>
        </w:rPr>
        <w:t>拟投入本项目的工作人员须满足本项目的工作要求，在合同履行过程中，中标人须根据本项目的实际需求或招标人的进度要求，对人员进行合理的增加，费用均包含在投标报价中。</w:t>
      </w:r>
    </w:p>
    <w:p>
      <w:pPr>
        <w:ind w:firstLine="560"/>
        <w:rPr>
          <w:rFonts w:ascii="仿宋_GB2312" w:hAnsi="仿宋_GB2312" w:eastAsia="仿宋_GB2312" w:cs="仿宋_GB2312"/>
          <w:sz w:val="28"/>
          <w:szCs w:val="28"/>
        </w:rPr>
      </w:pPr>
    </w:p>
    <w:p>
      <w:pPr>
        <w:ind w:firstLine="0" w:firstLineChars="0"/>
        <w:outlineLvl w:val="1"/>
        <w:rPr>
          <w:b/>
          <w:sz w:val="30"/>
          <w:szCs w:val="30"/>
        </w:rPr>
      </w:pPr>
      <w:r>
        <w:rPr>
          <w:rFonts w:hint="eastAsia"/>
          <w:b/>
          <w:sz w:val="30"/>
          <w:szCs w:val="30"/>
        </w:rPr>
        <w:t xml:space="preserve">                  </w:t>
      </w:r>
      <w:r>
        <w:rPr>
          <w:rFonts w:hint="eastAsia" w:eastAsia="宋体" w:cs="宋体"/>
          <w:b/>
          <w:lang w:val="en-US" w:eastAsia="zh-CN"/>
        </w:rPr>
        <w:t xml:space="preserve"> </w:t>
      </w:r>
      <w:r>
        <w:rPr>
          <w:rFonts w:hint="eastAsia" w:eastAsia="宋体" w:cs="宋体"/>
          <w:b/>
        </w:rPr>
        <w:t>（八）服务承诺书</w:t>
      </w:r>
    </w:p>
    <w:p>
      <w:pPr>
        <w:ind w:firstLine="0" w:firstLineChars="0"/>
        <w:rPr>
          <w:b/>
          <w:bCs/>
          <w:sz w:val="30"/>
          <w:szCs w:val="30"/>
        </w:rPr>
      </w:pPr>
      <w:r>
        <w:rPr>
          <w:rFonts w:hint="eastAsia"/>
          <w:b/>
          <w:bCs/>
          <w:sz w:val="30"/>
          <w:szCs w:val="30"/>
        </w:rPr>
        <w:t xml:space="preserve">                      1  承诺书</w:t>
      </w:r>
    </w:p>
    <w:p>
      <w:pPr>
        <w:pStyle w:val="44"/>
        <w:widowControl w:val="0"/>
        <w:ind w:firstLine="560"/>
        <w:rPr>
          <w:rFonts w:ascii="仿宋_GB2312" w:hAnsi="仿宋_GB2312" w:eastAsia="仿宋_GB2312" w:cs="仿宋_GB2312"/>
          <w:bCs/>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致：</w:t>
      </w:r>
      <w:r>
        <w:rPr>
          <w:rFonts w:hint="eastAsia" w:ascii="仿宋_GB2312" w:hAnsi="仿宋_GB2312" w:eastAsia="仿宋_GB2312" w:cs="仿宋_GB2312"/>
          <w:bCs/>
          <w:sz w:val="28"/>
          <w:szCs w:val="28"/>
          <w:u w:val="single"/>
        </w:rPr>
        <w:t>（招标人）</w:t>
      </w:r>
    </w:p>
    <w:p>
      <w:pPr>
        <w:autoSpaceDE w:val="0"/>
        <w:autoSpaceDN w:val="0"/>
        <w:adjustRightInd w:val="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1.根据已收到的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项目的</w:t>
      </w:r>
      <w:r>
        <w:rPr>
          <w:rFonts w:hint="eastAsia" w:ascii="仿宋_GB2312" w:hAnsi="仿宋_GB2312" w:eastAsia="仿宋_GB2312" w:cs="仿宋_GB2312"/>
          <w:sz w:val="28"/>
          <w:szCs w:val="28"/>
          <w:lang w:eastAsia="zh-CN"/>
        </w:rPr>
        <w:t>公开</w:t>
      </w:r>
      <w:r>
        <w:rPr>
          <w:rFonts w:hint="eastAsia" w:ascii="仿宋_GB2312" w:hAnsi="仿宋_GB2312" w:eastAsia="仿宋_GB2312" w:cs="仿宋_GB2312"/>
          <w:sz w:val="28"/>
          <w:szCs w:val="28"/>
        </w:rPr>
        <w:t>性</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文件，我单位经考察现场和研究贵方的</w:t>
      </w:r>
      <w:r>
        <w:rPr>
          <w:rFonts w:hint="eastAsia" w:ascii="仿宋_GB2312" w:hAnsi="仿宋_GB2312" w:eastAsia="仿宋_GB2312" w:cs="仿宋_GB2312"/>
          <w:sz w:val="28"/>
          <w:szCs w:val="28"/>
          <w:lang w:eastAsia="zh-CN"/>
        </w:rPr>
        <w:t>公开</w:t>
      </w:r>
      <w:r>
        <w:rPr>
          <w:rFonts w:hint="eastAsia" w:ascii="仿宋_GB2312" w:hAnsi="仿宋_GB2312" w:eastAsia="仿宋_GB2312" w:cs="仿宋_GB2312"/>
          <w:sz w:val="28"/>
          <w:szCs w:val="28"/>
        </w:rPr>
        <w:t>性</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文件后，将接受该</w:t>
      </w:r>
      <w:r>
        <w:rPr>
          <w:rFonts w:hint="eastAsia" w:ascii="仿宋_GB2312" w:hAnsi="仿宋_GB2312" w:eastAsia="仿宋_GB2312" w:cs="仿宋_GB2312"/>
          <w:sz w:val="28"/>
          <w:szCs w:val="28"/>
          <w:lang w:eastAsia="zh-CN"/>
        </w:rPr>
        <w:t>公开</w:t>
      </w:r>
      <w:r>
        <w:rPr>
          <w:rFonts w:hint="eastAsia" w:ascii="仿宋_GB2312" w:hAnsi="仿宋_GB2312" w:eastAsia="仿宋_GB2312" w:cs="仿宋_GB2312"/>
          <w:sz w:val="28"/>
          <w:szCs w:val="28"/>
        </w:rPr>
        <w:t>性</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文件中各条款内容并且以投标函表中所报投标价格承包本招标范围内的服务等。</w:t>
      </w:r>
    </w:p>
    <w:p>
      <w:pPr>
        <w:autoSpaceDE w:val="0"/>
        <w:autoSpaceDN w:val="0"/>
        <w:adjustRightInd w:val="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2.如果我方中标，非业主原因，我方保证在指定时间按时完成所承接的服务项目。</w:t>
      </w:r>
    </w:p>
    <w:p>
      <w:pPr>
        <w:autoSpaceDE w:val="0"/>
        <w:autoSpaceDN w:val="0"/>
        <w:adjustRightInd w:val="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3.如果我方中标，非业主原因，我方保证将按下列质量等级完成招标项目。</w:t>
      </w:r>
    </w:p>
    <w:p>
      <w:pPr>
        <w:autoSpaceDE w:val="0"/>
        <w:autoSpaceDN w:val="0"/>
        <w:adjustRightInd w:val="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质量等级：</w:t>
      </w:r>
      <w:r>
        <w:rPr>
          <w:rFonts w:hint="eastAsia" w:ascii="仿宋_GB2312" w:hAnsi="仿宋_GB2312" w:eastAsia="仿宋_GB2312" w:cs="仿宋_GB2312"/>
          <w:sz w:val="28"/>
          <w:szCs w:val="28"/>
          <w:u w:val="single"/>
        </w:rPr>
        <w:t xml:space="preserve">   合格    </w:t>
      </w:r>
    </w:p>
    <w:p>
      <w:pPr>
        <w:autoSpaceDE w:val="0"/>
        <w:autoSpaceDN w:val="0"/>
        <w:adjustRightInd w:val="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4.如果我方中标，我方将按</w:t>
      </w:r>
      <w:r>
        <w:rPr>
          <w:rFonts w:hint="eastAsia" w:ascii="仿宋_GB2312" w:hAnsi="仿宋_GB2312" w:eastAsia="仿宋_GB2312" w:cs="仿宋_GB2312"/>
          <w:sz w:val="28"/>
          <w:szCs w:val="28"/>
          <w:lang w:eastAsia="zh-CN"/>
        </w:rPr>
        <w:t>公开</w:t>
      </w:r>
      <w:r>
        <w:rPr>
          <w:rFonts w:hint="eastAsia" w:ascii="仿宋_GB2312" w:hAnsi="仿宋_GB2312" w:eastAsia="仿宋_GB2312" w:cs="仿宋_GB2312"/>
          <w:sz w:val="28"/>
          <w:szCs w:val="28"/>
        </w:rPr>
        <w:t>性</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文件规定的时间内签订合同。如果我方违约，除投标保证金外，我方还将以中标价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%作为赔偿金，同时贵方有权终止我方中标并选择其它中标人。</w:t>
      </w:r>
    </w:p>
    <w:p>
      <w:pPr>
        <w:autoSpaceDE w:val="0"/>
        <w:autoSpaceDN w:val="0"/>
        <w:adjustRightInd w:val="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5.贵方的</w:t>
      </w:r>
      <w:r>
        <w:rPr>
          <w:rFonts w:hint="eastAsia" w:ascii="仿宋_GB2312" w:hAnsi="仿宋_GB2312" w:eastAsia="仿宋_GB2312" w:cs="仿宋_GB2312"/>
          <w:sz w:val="28"/>
          <w:szCs w:val="28"/>
          <w:lang w:eastAsia="zh-CN"/>
        </w:rPr>
        <w:t>公开</w:t>
      </w:r>
      <w:r>
        <w:rPr>
          <w:rFonts w:hint="eastAsia" w:ascii="仿宋_GB2312" w:hAnsi="仿宋_GB2312" w:eastAsia="仿宋_GB2312" w:cs="仿宋_GB2312"/>
          <w:sz w:val="28"/>
          <w:szCs w:val="28"/>
        </w:rPr>
        <w:t>性</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文件、中标通知书、我方的响应文件将构成约束双方的合同一部分。</w:t>
      </w:r>
    </w:p>
    <w:p>
      <w:pPr>
        <w:autoSpaceDE w:val="0"/>
        <w:autoSpaceDN w:val="0"/>
        <w:adjustRightInd w:val="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6.如果我方未中标，贵方没有必要对我方做出任何解释和说明，我方将充分尊重和理解贵方的选择。</w:t>
      </w:r>
    </w:p>
    <w:p>
      <w:pPr>
        <w:autoSpaceDE w:val="0"/>
        <w:autoSpaceDN w:val="0"/>
        <w:adjustRightInd w:val="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其它承诺优惠条件：</w:t>
      </w:r>
    </w:p>
    <w:p>
      <w:pPr>
        <w:topLinePunct w:val="1"/>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投标供应商：</w:t>
      </w:r>
      <w:r>
        <w:rPr>
          <w:rFonts w:hint="eastAsia" w:ascii="仿宋_GB2312" w:hAnsi="仿宋_GB2312" w:eastAsia="仿宋_GB2312" w:cs="仿宋_GB2312"/>
          <w:bCs/>
          <w:sz w:val="28"/>
          <w:szCs w:val="28"/>
          <w:u w:val="single"/>
        </w:rPr>
        <w:t xml:space="preserve">   （全称）（盖章）   </w:t>
      </w:r>
    </w:p>
    <w:p>
      <w:pPr>
        <w:autoSpaceDE w:val="0"/>
        <w:autoSpaceDN w:val="0"/>
        <w:adjustRightInd w:val="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法定代表人或委托代理人：（签字或盖章）</w:t>
      </w:r>
    </w:p>
    <w:p>
      <w:pPr>
        <w:autoSpaceDE w:val="0"/>
        <w:autoSpaceDN w:val="0"/>
        <w:adjustRightInd w:val="0"/>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 2021年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月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ind w:firstLine="560"/>
        <w:rPr>
          <w:sz w:val="30"/>
          <w:szCs w:val="30"/>
        </w:rPr>
      </w:pPr>
      <w:r>
        <w:rPr>
          <w:rFonts w:hint="eastAsia" w:ascii="仿宋_GB2312" w:hAnsi="仿宋_GB2312" w:eastAsia="仿宋_GB2312" w:cs="仿宋_GB2312"/>
          <w:sz w:val="28"/>
          <w:szCs w:val="28"/>
        </w:rPr>
        <w:br w:type="page"/>
      </w:r>
    </w:p>
    <w:p>
      <w:pPr>
        <w:tabs>
          <w:tab w:val="left" w:pos="420"/>
        </w:tabs>
        <w:ind w:left="320" w:leftChars="100" w:firstLine="0" w:firstLineChars="0"/>
        <w:jc w:val="center"/>
        <w:rPr>
          <w:b/>
          <w:bCs/>
          <w:sz w:val="30"/>
          <w:szCs w:val="30"/>
        </w:rPr>
      </w:pPr>
      <w:r>
        <w:rPr>
          <w:rFonts w:hint="eastAsia"/>
          <w:b/>
          <w:bCs/>
          <w:sz w:val="30"/>
          <w:szCs w:val="30"/>
        </w:rPr>
        <w:t>2 《</w:t>
      </w:r>
      <w:r>
        <w:rPr>
          <w:b/>
          <w:bCs/>
          <w:sz w:val="30"/>
          <w:szCs w:val="30"/>
        </w:rPr>
        <w:t>服务</w:t>
      </w:r>
      <w:r>
        <w:rPr>
          <w:rFonts w:hint="eastAsia"/>
          <w:b/>
          <w:bCs/>
          <w:sz w:val="30"/>
          <w:szCs w:val="30"/>
        </w:rPr>
        <w:t>质量</w:t>
      </w:r>
      <w:r>
        <w:rPr>
          <w:b/>
          <w:bCs/>
          <w:sz w:val="30"/>
          <w:szCs w:val="30"/>
        </w:rPr>
        <w:t>承诺书</w:t>
      </w:r>
      <w:r>
        <w:rPr>
          <w:rFonts w:hint="eastAsia"/>
          <w:b/>
          <w:bCs/>
          <w:sz w:val="30"/>
          <w:szCs w:val="30"/>
        </w:rPr>
        <w:t>》</w:t>
      </w:r>
    </w:p>
    <w:p>
      <w:pPr>
        <w:tabs>
          <w:tab w:val="left" w:pos="420"/>
        </w:tabs>
        <w:ind w:firstLine="5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（格式和内容自拟）</w:t>
      </w:r>
    </w:p>
    <w:p>
      <w:pPr>
        <w:pStyle w:val="34"/>
        <w:spacing w:before="100" w:after="100"/>
        <w:ind w:firstLine="650" w:firstLineChars="232"/>
        <w:rPr>
          <w:rFonts w:ascii="仿宋_GB2312" w:hAnsi="仿宋_GB2312" w:eastAsia="仿宋_GB2312" w:cs="仿宋_GB2312"/>
          <w:sz w:val="28"/>
          <w:szCs w:val="28"/>
        </w:rPr>
      </w:pPr>
      <w:r>
        <w:rPr>
          <w:rFonts w:hint="eastAsia" w:ascii="仿宋_GB2312" w:hAnsi="仿宋_GB2312" w:eastAsia="仿宋_GB2312" w:cs="仿宋_GB2312"/>
          <w:sz w:val="28"/>
          <w:szCs w:val="28"/>
        </w:rPr>
        <w:t>请投标人应按</w:t>
      </w:r>
      <w:r>
        <w:rPr>
          <w:rFonts w:hint="eastAsia" w:ascii="仿宋_GB2312" w:hAnsi="仿宋_GB2312" w:eastAsia="仿宋_GB2312" w:cs="仿宋_GB2312"/>
          <w:sz w:val="28"/>
          <w:szCs w:val="28"/>
          <w:lang w:eastAsia="zh-CN"/>
        </w:rPr>
        <w:t>公开</w:t>
      </w:r>
      <w:r>
        <w:rPr>
          <w:rFonts w:hint="eastAsia" w:ascii="仿宋_GB2312" w:hAnsi="仿宋_GB2312" w:eastAsia="仿宋_GB2312" w:cs="仿宋_GB2312"/>
          <w:sz w:val="28"/>
          <w:szCs w:val="28"/>
        </w:rPr>
        <w:t>性</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文件的规定，针对不同服务内容详细编制满足本项目的</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服务质量承诺书》。包括但不限于以下内容：投标人应说明如何保证各项工作标准，提出具体服务的服务质量保证办法；服务质量标准无法达到合同要求时的奖惩措施。</w:t>
      </w:r>
    </w:p>
    <w:p>
      <w:pPr>
        <w:pStyle w:val="34"/>
        <w:spacing w:before="100" w:after="100"/>
        <w:ind w:firstLine="560"/>
        <w:rPr>
          <w:rFonts w:ascii="仿宋_GB2312" w:hAnsi="仿宋_GB2312" w:eastAsia="仿宋_GB2312" w:cs="仿宋_GB2312"/>
          <w:sz w:val="28"/>
          <w:szCs w:val="28"/>
        </w:rPr>
      </w:pPr>
    </w:p>
    <w:p>
      <w:pPr>
        <w:ind w:firstLine="602"/>
        <w:jc w:val="center"/>
        <w:rPr>
          <w:b/>
          <w:sz w:val="30"/>
        </w:rPr>
      </w:pPr>
    </w:p>
    <w:p>
      <w:pPr>
        <w:ind w:firstLine="602"/>
        <w:jc w:val="center"/>
        <w:rPr>
          <w:b/>
          <w:sz w:val="30"/>
        </w:rPr>
      </w:pPr>
    </w:p>
    <w:p>
      <w:pPr>
        <w:spacing w:line="480" w:lineRule="exact"/>
        <w:ind w:firstLine="602"/>
        <w:jc w:val="center"/>
        <w:rPr>
          <w:b/>
          <w:sz w:val="30"/>
        </w:rPr>
      </w:pPr>
    </w:p>
    <w:p>
      <w:pPr>
        <w:ind w:firstLine="602"/>
        <w:rPr>
          <w:b/>
          <w:sz w:val="30"/>
        </w:rPr>
      </w:pPr>
    </w:p>
    <w:p>
      <w:pPr>
        <w:ind w:firstLine="602"/>
        <w:rPr>
          <w:b/>
          <w:sz w:val="30"/>
        </w:rPr>
      </w:pPr>
    </w:p>
    <w:p>
      <w:pPr>
        <w:tabs>
          <w:tab w:val="left" w:pos="420"/>
        </w:tabs>
        <w:ind w:firstLine="602"/>
        <w:jc w:val="center"/>
        <w:rPr>
          <w:b/>
          <w:bCs/>
          <w:sz w:val="30"/>
          <w:szCs w:val="30"/>
        </w:rPr>
      </w:pPr>
    </w:p>
    <w:p>
      <w:pPr>
        <w:tabs>
          <w:tab w:val="left" w:pos="420"/>
        </w:tabs>
        <w:ind w:firstLine="602"/>
        <w:jc w:val="center"/>
        <w:rPr>
          <w:b/>
          <w:bCs/>
          <w:sz w:val="30"/>
          <w:szCs w:val="30"/>
        </w:rPr>
      </w:pPr>
    </w:p>
    <w:p>
      <w:pPr>
        <w:tabs>
          <w:tab w:val="left" w:pos="420"/>
        </w:tabs>
        <w:ind w:firstLine="602"/>
        <w:jc w:val="center"/>
        <w:rPr>
          <w:b/>
          <w:bCs/>
          <w:sz w:val="30"/>
          <w:szCs w:val="30"/>
        </w:rPr>
      </w:pPr>
    </w:p>
    <w:p>
      <w:pPr>
        <w:tabs>
          <w:tab w:val="left" w:pos="420"/>
        </w:tabs>
        <w:ind w:firstLine="602"/>
        <w:jc w:val="center"/>
        <w:rPr>
          <w:b/>
          <w:bCs/>
          <w:sz w:val="30"/>
          <w:szCs w:val="30"/>
        </w:rPr>
      </w:pPr>
    </w:p>
    <w:p>
      <w:pPr>
        <w:tabs>
          <w:tab w:val="left" w:pos="420"/>
        </w:tabs>
        <w:ind w:firstLine="602"/>
        <w:jc w:val="center"/>
        <w:rPr>
          <w:b/>
          <w:bCs/>
          <w:sz w:val="30"/>
          <w:szCs w:val="30"/>
        </w:rPr>
      </w:pPr>
    </w:p>
    <w:p>
      <w:pPr>
        <w:tabs>
          <w:tab w:val="left" w:pos="420"/>
        </w:tabs>
        <w:ind w:firstLine="602"/>
        <w:jc w:val="center"/>
        <w:rPr>
          <w:b/>
          <w:bCs/>
          <w:sz w:val="30"/>
          <w:szCs w:val="30"/>
        </w:rPr>
      </w:pPr>
    </w:p>
    <w:p>
      <w:pPr>
        <w:tabs>
          <w:tab w:val="left" w:pos="420"/>
        </w:tabs>
        <w:ind w:firstLine="602"/>
        <w:jc w:val="center"/>
        <w:rPr>
          <w:b/>
          <w:bCs/>
          <w:sz w:val="30"/>
          <w:szCs w:val="30"/>
        </w:rPr>
      </w:pPr>
    </w:p>
    <w:p>
      <w:pPr>
        <w:tabs>
          <w:tab w:val="left" w:pos="420"/>
        </w:tabs>
        <w:ind w:firstLine="602"/>
        <w:jc w:val="center"/>
        <w:rPr>
          <w:b/>
          <w:bCs/>
          <w:sz w:val="30"/>
          <w:szCs w:val="30"/>
        </w:rPr>
      </w:pPr>
    </w:p>
    <w:p>
      <w:pPr>
        <w:tabs>
          <w:tab w:val="left" w:pos="420"/>
        </w:tabs>
        <w:ind w:firstLine="602"/>
        <w:jc w:val="center"/>
        <w:rPr>
          <w:b/>
          <w:bCs/>
          <w:sz w:val="30"/>
          <w:szCs w:val="30"/>
        </w:rPr>
      </w:pPr>
    </w:p>
    <w:p>
      <w:pPr>
        <w:tabs>
          <w:tab w:val="left" w:pos="420"/>
        </w:tabs>
        <w:ind w:firstLine="602"/>
        <w:jc w:val="center"/>
        <w:rPr>
          <w:b/>
          <w:bCs/>
          <w:sz w:val="30"/>
          <w:szCs w:val="30"/>
        </w:rPr>
      </w:pPr>
    </w:p>
    <w:p>
      <w:pPr>
        <w:tabs>
          <w:tab w:val="left" w:pos="420"/>
        </w:tabs>
        <w:ind w:firstLine="602"/>
        <w:jc w:val="center"/>
        <w:rPr>
          <w:b/>
          <w:bCs/>
          <w:sz w:val="30"/>
          <w:szCs w:val="30"/>
        </w:rPr>
      </w:pPr>
    </w:p>
    <w:p>
      <w:pPr>
        <w:tabs>
          <w:tab w:val="left" w:pos="420"/>
        </w:tabs>
        <w:ind w:firstLine="602"/>
        <w:jc w:val="center"/>
        <w:rPr>
          <w:b/>
          <w:bCs/>
          <w:sz w:val="30"/>
          <w:szCs w:val="30"/>
        </w:rPr>
      </w:pPr>
      <w:r>
        <w:rPr>
          <w:rFonts w:hint="eastAsia"/>
          <w:b/>
          <w:bCs/>
          <w:sz w:val="30"/>
          <w:szCs w:val="30"/>
        </w:rPr>
        <w:t>3 《保密</w:t>
      </w:r>
      <w:r>
        <w:rPr>
          <w:b/>
          <w:bCs/>
          <w:sz w:val="30"/>
          <w:szCs w:val="30"/>
        </w:rPr>
        <w:t>承诺书</w:t>
      </w:r>
      <w:r>
        <w:rPr>
          <w:rFonts w:hint="eastAsia"/>
          <w:b/>
          <w:bCs/>
          <w:sz w:val="30"/>
          <w:szCs w:val="30"/>
        </w:rPr>
        <w:t>》</w:t>
      </w:r>
    </w:p>
    <w:p>
      <w:pPr>
        <w:tabs>
          <w:tab w:val="left" w:pos="420"/>
        </w:tabs>
        <w:ind w:firstLine="5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（根据招标文件第三部分“采购内容及服务要求”中的相关保密工作要求做出承诺，格式自拟）</w:t>
      </w:r>
    </w:p>
    <w:p>
      <w:pPr>
        <w:ind w:firstLine="562"/>
        <w:rPr>
          <w:rFonts w:ascii="仿宋_GB2312" w:hAnsi="仿宋_GB2312" w:eastAsia="仿宋_GB2312" w:cs="仿宋_GB2312"/>
          <w:b/>
          <w:sz w:val="28"/>
          <w:szCs w:val="28"/>
        </w:rPr>
      </w:pPr>
    </w:p>
    <w:p>
      <w:pPr>
        <w:ind w:firstLine="602"/>
        <w:rPr>
          <w:b/>
          <w:sz w:val="30"/>
        </w:rPr>
      </w:pPr>
    </w:p>
    <w:p>
      <w:pPr>
        <w:ind w:firstLine="602"/>
        <w:rPr>
          <w:b/>
          <w:sz w:val="30"/>
        </w:rPr>
      </w:pPr>
    </w:p>
    <w:p>
      <w:pPr>
        <w:ind w:firstLine="602"/>
        <w:rPr>
          <w:b/>
          <w:sz w:val="30"/>
        </w:rPr>
      </w:pPr>
    </w:p>
    <w:p>
      <w:pPr>
        <w:ind w:firstLine="602"/>
        <w:rPr>
          <w:b/>
          <w:sz w:val="30"/>
        </w:rPr>
      </w:pPr>
    </w:p>
    <w:p>
      <w:pPr>
        <w:ind w:firstLine="602"/>
        <w:rPr>
          <w:b/>
          <w:sz w:val="30"/>
        </w:rPr>
      </w:pPr>
    </w:p>
    <w:p>
      <w:pPr>
        <w:ind w:firstLine="602"/>
        <w:rPr>
          <w:b/>
          <w:sz w:val="30"/>
        </w:rPr>
      </w:pPr>
    </w:p>
    <w:p>
      <w:pPr>
        <w:ind w:firstLine="602"/>
        <w:rPr>
          <w:b/>
          <w:sz w:val="30"/>
        </w:rPr>
      </w:pPr>
    </w:p>
    <w:p>
      <w:pPr>
        <w:ind w:firstLine="602"/>
        <w:jc w:val="center"/>
        <w:outlineLvl w:val="1"/>
        <w:rPr>
          <w:b/>
          <w:sz w:val="30"/>
          <w:szCs w:val="30"/>
        </w:rPr>
      </w:pPr>
    </w:p>
    <w:p>
      <w:pPr>
        <w:ind w:firstLine="602"/>
        <w:jc w:val="center"/>
        <w:outlineLvl w:val="1"/>
        <w:rPr>
          <w:b/>
          <w:sz w:val="30"/>
          <w:szCs w:val="30"/>
        </w:rPr>
      </w:pPr>
    </w:p>
    <w:p>
      <w:pPr>
        <w:ind w:firstLine="602"/>
        <w:jc w:val="center"/>
        <w:outlineLvl w:val="1"/>
        <w:rPr>
          <w:b/>
          <w:sz w:val="30"/>
          <w:szCs w:val="30"/>
        </w:rPr>
      </w:pPr>
    </w:p>
    <w:p>
      <w:pPr>
        <w:ind w:firstLine="602"/>
        <w:jc w:val="center"/>
        <w:outlineLvl w:val="1"/>
        <w:rPr>
          <w:b/>
          <w:sz w:val="30"/>
          <w:szCs w:val="30"/>
        </w:rPr>
      </w:pPr>
    </w:p>
    <w:p>
      <w:pPr>
        <w:ind w:firstLine="602"/>
        <w:jc w:val="center"/>
        <w:outlineLvl w:val="1"/>
        <w:rPr>
          <w:b/>
          <w:sz w:val="30"/>
          <w:szCs w:val="30"/>
        </w:rPr>
      </w:pPr>
    </w:p>
    <w:p>
      <w:pPr>
        <w:ind w:firstLine="602"/>
        <w:jc w:val="center"/>
        <w:outlineLvl w:val="1"/>
        <w:rPr>
          <w:b/>
          <w:sz w:val="30"/>
          <w:szCs w:val="30"/>
        </w:rPr>
      </w:pPr>
    </w:p>
    <w:p>
      <w:pPr>
        <w:ind w:firstLine="602"/>
        <w:jc w:val="center"/>
        <w:outlineLvl w:val="1"/>
        <w:rPr>
          <w:b/>
          <w:sz w:val="30"/>
          <w:szCs w:val="30"/>
        </w:rPr>
      </w:pPr>
    </w:p>
    <w:p>
      <w:pPr>
        <w:ind w:firstLine="602"/>
        <w:jc w:val="center"/>
        <w:outlineLvl w:val="1"/>
        <w:rPr>
          <w:b/>
          <w:sz w:val="30"/>
          <w:szCs w:val="30"/>
        </w:rPr>
      </w:pPr>
    </w:p>
    <w:p>
      <w:pPr>
        <w:ind w:firstLine="602"/>
        <w:jc w:val="center"/>
        <w:outlineLvl w:val="1"/>
        <w:rPr>
          <w:b/>
          <w:sz w:val="30"/>
          <w:szCs w:val="30"/>
        </w:rPr>
      </w:pPr>
    </w:p>
    <w:p>
      <w:pPr>
        <w:ind w:firstLine="602"/>
        <w:jc w:val="center"/>
        <w:outlineLvl w:val="1"/>
        <w:rPr>
          <w:b/>
          <w:sz w:val="30"/>
          <w:szCs w:val="30"/>
        </w:rPr>
      </w:pPr>
    </w:p>
    <w:p>
      <w:pPr>
        <w:ind w:firstLine="602"/>
        <w:jc w:val="center"/>
        <w:outlineLvl w:val="1"/>
        <w:rPr>
          <w:b/>
          <w:sz w:val="30"/>
          <w:szCs w:val="30"/>
        </w:rPr>
      </w:pPr>
    </w:p>
    <w:p>
      <w:pPr>
        <w:ind w:firstLine="602"/>
        <w:jc w:val="center"/>
        <w:outlineLvl w:val="1"/>
        <w:rPr>
          <w:b/>
          <w:sz w:val="30"/>
          <w:szCs w:val="30"/>
        </w:rPr>
      </w:pPr>
    </w:p>
    <w:p>
      <w:pPr>
        <w:ind w:firstLine="643"/>
        <w:jc w:val="center"/>
        <w:outlineLvl w:val="1"/>
        <w:rPr>
          <w:rFonts w:eastAsia="宋体" w:cs="宋体"/>
          <w:b/>
        </w:rPr>
      </w:pPr>
      <w:r>
        <w:rPr>
          <w:rFonts w:hint="eastAsia" w:eastAsia="宋体" w:cs="宋体"/>
          <w:b/>
        </w:rPr>
        <w:t>（九）偏离表</w:t>
      </w:r>
    </w:p>
    <w:p>
      <w:pPr>
        <w:numPr>
          <w:numId w:val="0"/>
        </w:numPr>
        <w:jc w:val="both"/>
        <w:outlineLvl w:val="1"/>
        <w:rPr>
          <w:rFonts w:hint="eastAsia" w:ascii="仿宋_GB2312" w:hAnsi="仿宋_GB2312" w:eastAsia="仿宋_GB2312" w:cs="仿宋_GB2312"/>
          <w:b/>
          <w:bCs w:val="0"/>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技术参数、功能偏离表</w:t>
      </w:r>
    </w:p>
    <w:p>
      <w:pPr>
        <w:spacing w:line="400" w:lineRule="atLeas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投标商名称（公章）：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项目编号/包号：</w:t>
      </w:r>
      <w:r>
        <w:rPr>
          <w:rFonts w:hint="eastAsia" w:ascii="仿宋_GB2312" w:hAnsi="仿宋_GB2312" w:eastAsia="仿宋_GB2312" w:cs="仿宋_GB2312"/>
          <w:sz w:val="28"/>
          <w:szCs w:val="28"/>
          <w:u w:val="single"/>
        </w:rPr>
        <w:t>　　　　　　　　　　　</w:t>
      </w:r>
    </w:p>
    <w:tbl>
      <w:tblPr>
        <w:tblW w:w="96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661"/>
        <w:gridCol w:w="2777"/>
        <w:gridCol w:w="1977"/>
        <w:gridCol w:w="1236"/>
        <w:gridCol w:w="1296"/>
      </w:tblGrid>
      <w:tr>
        <w:trPr>
          <w:cantSplit/>
          <w:trHeight w:val="480" w:hRule="atLeast"/>
        </w:trPr>
        <w:tc>
          <w:tcPr>
            <w:tcW w:w="729" w:type="dxa"/>
            <w:vAlign w:val="center"/>
          </w:tcPr>
          <w:p>
            <w:pPr>
              <w:spacing w:line="400" w:lineRule="atLeast"/>
              <w:ind w:left="0" w:leftChars="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661" w:type="dxa"/>
            <w:vAlign w:val="center"/>
          </w:tcPr>
          <w:p>
            <w:pPr>
              <w:spacing w:line="400" w:lineRule="atLeast"/>
              <w:ind w:left="0" w:leftChars="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招标文件规格条目号</w:t>
            </w:r>
          </w:p>
        </w:tc>
        <w:tc>
          <w:tcPr>
            <w:tcW w:w="2777" w:type="dxa"/>
            <w:vAlign w:val="center"/>
          </w:tcPr>
          <w:p>
            <w:pPr>
              <w:spacing w:line="400" w:lineRule="atLeast"/>
              <w:ind w:left="0" w:leftChars="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招标文件要求规格</w:t>
            </w:r>
          </w:p>
        </w:tc>
        <w:tc>
          <w:tcPr>
            <w:tcW w:w="1977" w:type="dxa"/>
            <w:vAlign w:val="center"/>
          </w:tcPr>
          <w:p>
            <w:pPr>
              <w:spacing w:line="400" w:lineRule="atLeast"/>
              <w:ind w:left="0" w:leftChars="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投标规格</w:t>
            </w:r>
          </w:p>
        </w:tc>
        <w:tc>
          <w:tcPr>
            <w:tcW w:w="1236" w:type="dxa"/>
            <w:vAlign w:val="center"/>
          </w:tcPr>
          <w:p>
            <w:pPr>
              <w:spacing w:line="400" w:lineRule="atLeast"/>
              <w:ind w:left="0" w:leftChars="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偏离</w:t>
            </w:r>
          </w:p>
        </w:tc>
        <w:tc>
          <w:tcPr>
            <w:tcW w:w="1296" w:type="dxa"/>
            <w:vAlign w:val="center"/>
          </w:tcPr>
          <w:p>
            <w:pPr>
              <w:spacing w:line="400" w:lineRule="atLeast"/>
              <w:ind w:left="0" w:leftChars="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说明</w:t>
            </w:r>
          </w:p>
        </w:tc>
      </w:tr>
      <w:tr>
        <w:trPr>
          <w:cantSplit/>
          <w:trHeight w:val="795" w:hRule="atLeast"/>
        </w:trPr>
        <w:tc>
          <w:tcPr>
            <w:tcW w:w="729" w:type="dxa"/>
            <w:vAlign w:val="top"/>
          </w:tcPr>
          <w:p>
            <w:pPr>
              <w:spacing w:line="400" w:lineRule="atLeast"/>
              <w:rPr>
                <w:rFonts w:hint="eastAsia" w:ascii="仿宋_GB2312" w:hAnsi="仿宋_GB2312" w:eastAsia="仿宋_GB2312" w:cs="仿宋_GB2312"/>
                <w:sz w:val="28"/>
                <w:szCs w:val="28"/>
              </w:rPr>
            </w:pPr>
          </w:p>
          <w:p>
            <w:pPr>
              <w:spacing w:line="400" w:lineRule="atLeast"/>
              <w:rPr>
                <w:rFonts w:hint="eastAsia" w:ascii="仿宋_GB2312" w:hAnsi="仿宋_GB2312" w:eastAsia="仿宋_GB2312" w:cs="仿宋_GB2312"/>
                <w:sz w:val="28"/>
                <w:szCs w:val="28"/>
              </w:rPr>
            </w:pPr>
          </w:p>
        </w:tc>
        <w:tc>
          <w:tcPr>
            <w:tcW w:w="1661" w:type="dxa"/>
            <w:vAlign w:val="top"/>
          </w:tcPr>
          <w:p>
            <w:pPr>
              <w:widowControl/>
              <w:spacing w:line="400" w:lineRule="atLeast"/>
              <w:jc w:val="left"/>
              <w:rPr>
                <w:rFonts w:hint="eastAsia" w:ascii="仿宋_GB2312" w:hAnsi="仿宋_GB2312" w:eastAsia="仿宋_GB2312" w:cs="仿宋_GB2312"/>
                <w:sz w:val="28"/>
                <w:szCs w:val="28"/>
              </w:rPr>
            </w:pPr>
          </w:p>
          <w:p>
            <w:pPr>
              <w:spacing w:line="400" w:lineRule="atLeast"/>
              <w:rPr>
                <w:rFonts w:hint="eastAsia" w:ascii="仿宋_GB2312" w:hAnsi="仿宋_GB2312" w:eastAsia="仿宋_GB2312" w:cs="仿宋_GB2312"/>
                <w:sz w:val="28"/>
                <w:szCs w:val="28"/>
              </w:rPr>
            </w:pPr>
          </w:p>
        </w:tc>
        <w:tc>
          <w:tcPr>
            <w:tcW w:w="2777" w:type="dxa"/>
            <w:vAlign w:val="top"/>
          </w:tcPr>
          <w:p>
            <w:pPr>
              <w:spacing w:line="400" w:lineRule="atLeast"/>
              <w:rPr>
                <w:rFonts w:hint="eastAsia" w:ascii="仿宋_GB2312" w:hAnsi="仿宋_GB2312" w:eastAsia="仿宋_GB2312" w:cs="仿宋_GB2312"/>
                <w:sz w:val="28"/>
                <w:szCs w:val="28"/>
              </w:rPr>
            </w:pPr>
          </w:p>
        </w:tc>
        <w:tc>
          <w:tcPr>
            <w:tcW w:w="1977" w:type="dxa"/>
            <w:vAlign w:val="top"/>
          </w:tcPr>
          <w:p>
            <w:pPr>
              <w:spacing w:line="400" w:lineRule="atLeast"/>
              <w:rPr>
                <w:rFonts w:hint="eastAsia" w:ascii="仿宋_GB2312" w:hAnsi="仿宋_GB2312" w:eastAsia="仿宋_GB2312" w:cs="仿宋_GB2312"/>
                <w:sz w:val="28"/>
                <w:szCs w:val="28"/>
              </w:rPr>
            </w:pPr>
          </w:p>
        </w:tc>
        <w:tc>
          <w:tcPr>
            <w:tcW w:w="1236" w:type="dxa"/>
            <w:vAlign w:val="top"/>
          </w:tcPr>
          <w:p>
            <w:pPr>
              <w:spacing w:line="400" w:lineRule="atLeast"/>
              <w:rPr>
                <w:rFonts w:hint="eastAsia" w:ascii="仿宋_GB2312" w:hAnsi="仿宋_GB2312" w:eastAsia="仿宋_GB2312" w:cs="仿宋_GB2312"/>
                <w:sz w:val="28"/>
                <w:szCs w:val="28"/>
              </w:rPr>
            </w:pPr>
          </w:p>
        </w:tc>
        <w:tc>
          <w:tcPr>
            <w:tcW w:w="1296" w:type="dxa"/>
            <w:vAlign w:val="top"/>
          </w:tcPr>
          <w:p>
            <w:pPr>
              <w:spacing w:line="400" w:lineRule="atLeast"/>
              <w:rPr>
                <w:rFonts w:hint="eastAsia" w:ascii="仿宋_GB2312" w:hAnsi="仿宋_GB2312" w:eastAsia="仿宋_GB2312" w:cs="仿宋_GB2312"/>
                <w:sz w:val="28"/>
                <w:szCs w:val="28"/>
              </w:rPr>
            </w:pPr>
          </w:p>
        </w:tc>
      </w:tr>
      <w:tr>
        <w:trPr>
          <w:cantSplit/>
          <w:trHeight w:val="435" w:hRule="atLeast"/>
        </w:trPr>
        <w:tc>
          <w:tcPr>
            <w:tcW w:w="729" w:type="dxa"/>
            <w:vAlign w:val="top"/>
          </w:tcPr>
          <w:p>
            <w:pPr>
              <w:spacing w:line="400" w:lineRule="atLeast"/>
              <w:rPr>
                <w:rFonts w:hint="eastAsia" w:ascii="仿宋_GB2312" w:hAnsi="仿宋_GB2312" w:eastAsia="仿宋_GB2312" w:cs="仿宋_GB2312"/>
                <w:sz w:val="28"/>
                <w:szCs w:val="28"/>
              </w:rPr>
            </w:pPr>
          </w:p>
          <w:p>
            <w:pPr>
              <w:spacing w:line="400" w:lineRule="atLeast"/>
              <w:rPr>
                <w:rFonts w:hint="eastAsia" w:ascii="仿宋_GB2312" w:hAnsi="仿宋_GB2312" w:eastAsia="仿宋_GB2312" w:cs="仿宋_GB2312"/>
                <w:sz w:val="28"/>
                <w:szCs w:val="28"/>
              </w:rPr>
            </w:pPr>
          </w:p>
        </w:tc>
        <w:tc>
          <w:tcPr>
            <w:tcW w:w="1661" w:type="dxa"/>
            <w:vAlign w:val="top"/>
          </w:tcPr>
          <w:p>
            <w:pPr>
              <w:widowControl/>
              <w:spacing w:line="400" w:lineRule="atLeast"/>
              <w:jc w:val="left"/>
              <w:rPr>
                <w:rFonts w:hint="eastAsia" w:ascii="仿宋_GB2312" w:hAnsi="仿宋_GB2312" w:eastAsia="仿宋_GB2312" w:cs="仿宋_GB2312"/>
                <w:sz w:val="28"/>
                <w:szCs w:val="28"/>
              </w:rPr>
            </w:pPr>
          </w:p>
          <w:p>
            <w:pPr>
              <w:spacing w:line="400" w:lineRule="atLeast"/>
              <w:rPr>
                <w:rFonts w:hint="eastAsia" w:ascii="仿宋_GB2312" w:hAnsi="仿宋_GB2312" w:eastAsia="仿宋_GB2312" w:cs="仿宋_GB2312"/>
                <w:sz w:val="28"/>
                <w:szCs w:val="28"/>
              </w:rPr>
            </w:pPr>
          </w:p>
        </w:tc>
        <w:tc>
          <w:tcPr>
            <w:tcW w:w="2777" w:type="dxa"/>
            <w:vAlign w:val="top"/>
          </w:tcPr>
          <w:p>
            <w:pPr>
              <w:spacing w:line="400" w:lineRule="atLeast"/>
              <w:rPr>
                <w:rFonts w:hint="eastAsia" w:ascii="仿宋_GB2312" w:hAnsi="仿宋_GB2312" w:eastAsia="仿宋_GB2312" w:cs="仿宋_GB2312"/>
                <w:sz w:val="28"/>
                <w:szCs w:val="28"/>
              </w:rPr>
            </w:pPr>
          </w:p>
        </w:tc>
        <w:tc>
          <w:tcPr>
            <w:tcW w:w="1977" w:type="dxa"/>
            <w:vAlign w:val="top"/>
          </w:tcPr>
          <w:p>
            <w:pPr>
              <w:spacing w:line="400" w:lineRule="atLeast"/>
              <w:rPr>
                <w:rFonts w:hint="eastAsia" w:ascii="仿宋_GB2312" w:hAnsi="仿宋_GB2312" w:eastAsia="仿宋_GB2312" w:cs="仿宋_GB2312"/>
                <w:sz w:val="28"/>
                <w:szCs w:val="28"/>
              </w:rPr>
            </w:pPr>
          </w:p>
        </w:tc>
        <w:tc>
          <w:tcPr>
            <w:tcW w:w="1236" w:type="dxa"/>
            <w:vAlign w:val="top"/>
          </w:tcPr>
          <w:p>
            <w:pPr>
              <w:spacing w:line="400" w:lineRule="atLeast"/>
              <w:rPr>
                <w:rFonts w:hint="eastAsia" w:ascii="仿宋_GB2312" w:hAnsi="仿宋_GB2312" w:eastAsia="仿宋_GB2312" w:cs="仿宋_GB2312"/>
                <w:sz w:val="28"/>
                <w:szCs w:val="28"/>
              </w:rPr>
            </w:pPr>
          </w:p>
        </w:tc>
        <w:tc>
          <w:tcPr>
            <w:tcW w:w="1296" w:type="dxa"/>
            <w:vAlign w:val="top"/>
          </w:tcPr>
          <w:p>
            <w:pPr>
              <w:spacing w:line="400" w:lineRule="atLeast"/>
              <w:rPr>
                <w:rFonts w:hint="eastAsia" w:ascii="仿宋_GB2312" w:hAnsi="仿宋_GB2312" w:eastAsia="仿宋_GB2312" w:cs="仿宋_GB2312"/>
                <w:sz w:val="28"/>
                <w:szCs w:val="28"/>
              </w:rPr>
            </w:pPr>
          </w:p>
        </w:tc>
      </w:tr>
      <w:tr>
        <w:trPr>
          <w:cantSplit/>
          <w:trHeight w:val="390" w:hRule="atLeast"/>
        </w:trPr>
        <w:tc>
          <w:tcPr>
            <w:tcW w:w="729" w:type="dxa"/>
            <w:vAlign w:val="top"/>
          </w:tcPr>
          <w:p>
            <w:pPr>
              <w:spacing w:line="400" w:lineRule="atLeast"/>
              <w:rPr>
                <w:rFonts w:hint="eastAsia" w:ascii="仿宋_GB2312" w:hAnsi="仿宋_GB2312" w:eastAsia="仿宋_GB2312" w:cs="仿宋_GB2312"/>
                <w:sz w:val="28"/>
                <w:szCs w:val="28"/>
              </w:rPr>
            </w:pPr>
          </w:p>
          <w:p>
            <w:pPr>
              <w:spacing w:line="400" w:lineRule="atLeast"/>
              <w:rPr>
                <w:rFonts w:hint="eastAsia" w:ascii="仿宋_GB2312" w:hAnsi="仿宋_GB2312" w:eastAsia="仿宋_GB2312" w:cs="仿宋_GB2312"/>
                <w:sz w:val="28"/>
                <w:szCs w:val="28"/>
              </w:rPr>
            </w:pPr>
          </w:p>
        </w:tc>
        <w:tc>
          <w:tcPr>
            <w:tcW w:w="1661" w:type="dxa"/>
            <w:vAlign w:val="top"/>
          </w:tcPr>
          <w:p>
            <w:pPr>
              <w:widowControl/>
              <w:spacing w:line="400" w:lineRule="atLeast"/>
              <w:jc w:val="left"/>
              <w:rPr>
                <w:rFonts w:hint="eastAsia" w:ascii="仿宋_GB2312" w:hAnsi="仿宋_GB2312" w:eastAsia="仿宋_GB2312" w:cs="仿宋_GB2312"/>
                <w:sz w:val="28"/>
                <w:szCs w:val="28"/>
              </w:rPr>
            </w:pPr>
          </w:p>
          <w:p>
            <w:pPr>
              <w:spacing w:line="400" w:lineRule="atLeast"/>
              <w:rPr>
                <w:rFonts w:hint="eastAsia" w:ascii="仿宋_GB2312" w:hAnsi="仿宋_GB2312" w:eastAsia="仿宋_GB2312" w:cs="仿宋_GB2312"/>
                <w:sz w:val="28"/>
                <w:szCs w:val="28"/>
              </w:rPr>
            </w:pPr>
          </w:p>
        </w:tc>
        <w:tc>
          <w:tcPr>
            <w:tcW w:w="2777" w:type="dxa"/>
            <w:vAlign w:val="top"/>
          </w:tcPr>
          <w:p>
            <w:pPr>
              <w:spacing w:line="400" w:lineRule="atLeast"/>
              <w:rPr>
                <w:rFonts w:hint="eastAsia" w:ascii="仿宋_GB2312" w:hAnsi="仿宋_GB2312" w:eastAsia="仿宋_GB2312" w:cs="仿宋_GB2312"/>
                <w:sz w:val="28"/>
                <w:szCs w:val="28"/>
              </w:rPr>
            </w:pPr>
          </w:p>
        </w:tc>
        <w:tc>
          <w:tcPr>
            <w:tcW w:w="1977" w:type="dxa"/>
            <w:vAlign w:val="top"/>
          </w:tcPr>
          <w:p>
            <w:pPr>
              <w:spacing w:line="400" w:lineRule="atLeast"/>
              <w:rPr>
                <w:rFonts w:hint="eastAsia" w:ascii="仿宋_GB2312" w:hAnsi="仿宋_GB2312" w:eastAsia="仿宋_GB2312" w:cs="仿宋_GB2312"/>
                <w:sz w:val="28"/>
                <w:szCs w:val="28"/>
              </w:rPr>
            </w:pPr>
          </w:p>
        </w:tc>
        <w:tc>
          <w:tcPr>
            <w:tcW w:w="1236" w:type="dxa"/>
            <w:vAlign w:val="top"/>
          </w:tcPr>
          <w:p>
            <w:pPr>
              <w:spacing w:line="400" w:lineRule="atLeast"/>
              <w:rPr>
                <w:rFonts w:hint="eastAsia" w:ascii="仿宋_GB2312" w:hAnsi="仿宋_GB2312" w:eastAsia="仿宋_GB2312" w:cs="仿宋_GB2312"/>
                <w:sz w:val="28"/>
                <w:szCs w:val="28"/>
              </w:rPr>
            </w:pPr>
          </w:p>
        </w:tc>
        <w:tc>
          <w:tcPr>
            <w:tcW w:w="1296" w:type="dxa"/>
            <w:vAlign w:val="top"/>
          </w:tcPr>
          <w:p>
            <w:pPr>
              <w:spacing w:line="400" w:lineRule="atLeast"/>
              <w:rPr>
                <w:rFonts w:hint="eastAsia" w:ascii="仿宋_GB2312" w:hAnsi="仿宋_GB2312" w:eastAsia="仿宋_GB2312" w:cs="仿宋_GB2312"/>
                <w:sz w:val="28"/>
                <w:szCs w:val="28"/>
              </w:rPr>
            </w:pPr>
          </w:p>
        </w:tc>
      </w:tr>
    </w:tbl>
    <w:p>
      <w:pPr>
        <w:spacing w:line="40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注：与招标文件要求逐条对应填写，评分时技术符合程度项</w:t>
      </w:r>
      <w:r>
        <w:rPr>
          <w:rFonts w:hint="eastAsia" w:ascii="仿宋_GB2312" w:hAnsi="仿宋_GB2312" w:eastAsia="仿宋_GB2312" w:cs="仿宋_GB2312"/>
          <w:sz w:val="28"/>
          <w:szCs w:val="28"/>
          <w:lang w:eastAsia="zh-CN"/>
        </w:rPr>
        <w:t>根据此表酌情</w:t>
      </w:r>
      <w:r>
        <w:rPr>
          <w:rFonts w:hint="eastAsia" w:ascii="仿宋_GB2312" w:hAnsi="仿宋_GB2312" w:eastAsia="仿宋_GB2312" w:cs="仿宋_GB2312"/>
          <w:color w:val="auto"/>
          <w:sz w:val="28"/>
          <w:szCs w:val="28"/>
          <w:lang w:eastAsia="zh-CN"/>
        </w:rPr>
        <w:t>打</w:t>
      </w:r>
      <w:r>
        <w:rPr>
          <w:rFonts w:hint="eastAsia" w:ascii="仿宋_GB2312" w:hAnsi="仿宋_GB2312" w:eastAsia="仿宋_GB2312" w:cs="仿宋_GB2312"/>
          <w:color w:val="auto"/>
          <w:sz w:val="28"/>
          <w:szCs w:val="28"/>
        </w:rPr>
        <w:t>分。（</w:t>
      </w:r>
      <w:r>
        <w:rPr>
          <w:rFonts w:hint="eastAsia" w:ascii="仿宋_GB2312" w:hAnsi="仿宋_GB2312" w:eastAsia="仿宋_GB2312" w:cs="仿宋_GB2312"/>
          <w:color w:val="auto"/>
          <w:sz w:val="28"/>
          <w:szCs w:val="28"/>
          <w:shd w:val="clear" w:color="auto" w:fill="FFFFFF"/>
          <w:lang w:val="en-US" w:eastAsia="zh-CN"/>
        </w:rPr>
        <w:t>所提供产品的技术参数以技术检验报告或第三方技术支持资料为准，未提供或者不能验证相关参数的，视为负偏离</w:t>
      </w:r>
      <w:r>
        <w:rPr>
          <w:rFonts w:hint="eastAsia" w:ascii="仿宋_GB2312" w:hAnsi="仿宋_GB2312" w:eastAsia="仿宋_GB2312" w:cs="仿宋_GB2312"/>
          <w:color w:val="auto"/>
          <w:sz w:val="28"/>
          <w:szCs w:val="28"/>
        </w:rPr>
        <w:t>）</w:t>
      </w:r>
    </w:p>
    <w:p>
      <w:pPr>
        <w:topLinePunct w:val="1"/>
        <w:spacing w:line="440" w:lineRule="exact"/>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投标供应商：</w:t>
      </w:r>
      <w:r>
        <w:rPr>
          <w:rFonts w:hint="eastAsia" w:ascii="仿宋_GB2312" w:hAnsi="仿宋_GB2312" w:eastAsia="仿宋_GB2312" w:cs="仿宋_GB2312"/>
          <w:bCs/>
          <w:sz w:val="28"/>
          <w:szCs w:val="28"/>
          <w:u w:val="single"/>
        </w:rPr>
        <w:t xml:space="preserve">   （全称）（盖章）   </w:t>
      </w:r>
    </w:p>
    <w:p>
      <w:pPr>
        <w:spacing w:line="440" w:lineRule="exact"/>
        <w:rPr>
          <w:rFonts w:hint="eastAsia" w:ascii="仿宋_GB2312" w:hAnsi="仿宋_GB2312" w:eastAsia="仿宋_GB2312" w:cs="仿宋_GB2312"/>
          <w:sz w:val="28"/>
          <w:szCs w:val="28"/>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法定代表人或授权代理人：（签字或盖章） </w:t>
      </w: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44"/>
        <w:widowControl w:val="0"/>
        <w:spacing w:line="440" w:lineRule="exact"/>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ind w:firstLine="602"/>
        <w:jc w:val="center"/>
        <w:rPr>
          <w:rFonts w:hint="eastAsia" w:ascii="仿宋_GB2312" w:hAnsi="仿宋_GB2312" w:eastAsia="仿宋_GB2312" w:cs="仿宋_GB2312"/>
          <w:b/>
          <w:sz w:val="28"/>
          <w:szCs w:val="28"/>
        </w:rPr>
      </w:pPr>
    </w:p>
    <w:p>
      <w:pPr>
        <w:ind w:firstLine="602"/>
        <w:jc w:val="center"/>
        <w:rPr>
          <w:b/>
          <w:sz w:val="30"/>
        </w:rPr>
      </w:pPr>
    </w:p>
    <w:p>
      <w:pPr>
        <w:autoSpaceDE w:val="0"/>
        <w:ind w:firstLine="560"/>
        <w:rPr>
          <w:rFonts w:hint="eastAsia" w:ascii="仿宋_GB2312" w:hAnsi="仿宋_GB2312" w:eastAsia="仿宋_GB2312" w:cs="仿宋_GB2312"/>
          <w:sz w:val="28"/>
          <w:szCs w:val="28"/>
        </w:rPr>
      </w:pPr>
    </w:p>
    <w:p>
      <w:pPr>
        <w:autoSpaceDE w:val="0"/>
        <w:ind w:firstLine="560"/>
        <w:rPr>
          <w:rFonts w:hint="eastAsia" w:ascii="仿宋_GB2312" w:hAnsi="仿宋_GB2312" w:eastAsia="仿宋_GB2312" w:cs="仿宋_GB2312"/>
          <w:sz w:val="28"/>
          <w:szCs w:val="28"/>
        </w:rPr>
      </w:pPr>
    </w:p>
    <w:p>
      <w:pPr>
        <w:autoSpaceDE w:val="0"/>
        <w:ind w:firstLine="560"/>
        <w:rPr>
          <w:rFonts w:hint="eastAsia" w:ascii="仿宋_GB2312" w:hAnsi="仿宋_GB2312" w:eastAsia="仿宋_GB2312" w:cs="仿宋_GB2312"/>
          <w:sz w:val="28"/>
          <w:szCs w:val="28"/>
        </w:rPr>
      </w:pPr>
    </w:p>
    <w:p>
      <w:pPr>
        <w:autoSpaceDE w:val="0"/>
        <w:ind w:firstLine="5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商务条款偏离表</w:t>
      </w:r>
      <w:r>
        <w:rPr>
          <w:rFonts w:hint="eastAsia" w:ascii="仿宋_GB2312" w:hAnsi="仿宋_GB2312" w:eastAsia="仿宋_GB2312" w:cs="仿宋_GB2312"/>
          <w:b/>
          <w:sz w:val="28"/>
          <w:szCs w:val="28"/>
          <w:lang w:val="en-US" w:eastAsia="zh-CN"/>
        </w:rPr>
        <w:t xml:space="preserve">   </w:t>
      </w:r>
    </w:p>
    <w:p>
      <w:pPr>
        <w:autoSpaceDE w:val="0"/>
        <w:ind w:firstLine="56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投标人名称：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项目编号/合同包号：</w:t>
      </w:r>
      <w:r>
        <w:rPr>
          <w:rFonts w:hint="eastAsia" w:ascii="仿宋_GB2312" w:hAnsi="仿宋_GB2312" w:eastAsia="仿宋_GB2312" w:cs="仿宋_GB2312"/>
          <w:sz w:val="28"/>
          <w:szCs w:val="28"/>
          <w:u w:val="single"/>
        </w:rPr>
        <w:t>　　　　　　　　　　　</w:t>
      </w:r>
    </w:p>
    <w:p>
      <w:pPr>
        <w:ind w:firstLine="560"/>
        <w:rPr>
          <w:rFonts w:ascii="仿宋_GB2312" w:hAnsi="仿宋_GB2312" w:eastAsia="仿宋_GB2312" w:cs="仿宋_GB2312"/>
          <w:sz w:val="28"/>
          <w:szCs w:val="28"/>
          <w:u w:val="single"/>
        </w:rPr>
      </w:pPr>
    </w:p>
    <w:tbl>
      <w:tblPr>
        <w:tblW w:w="842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51"/>
        <w:gridCol w:w="1552"/>
        <w:gridCol w:w="2246"/>
        <w:gridCol w:w="1969"/>
        <w:gridCol w:w="1811"/>
      </w:tblGrid>
      <w:tr>
        <w:trPr>
          <w:cantSplit/>
          <w:trHeight w:val="474" w:hRule="atLeast"/>
        </w:trPr>
        <w:tc>
          <w:tcPr>
            <w:tcW w:w="851" w:type="dxa"/>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552" w:type="dxa"/>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公开</w:t>
            </w:r>
            <w:r>
              <w:rPr>
                <w:rFonts w:hint="eastAsia" w:ascii="仿宋_GB2312" w:hAnsi="仿宋_GB2312" w:eastAsia="仿宋_GB2312" w:cs="仿宋_GB2312"/>
                <w:sz w:val="28"/>
                <w:szCs w:val="28"/>
              </w:rPr>
              <w:t>性</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文件条目号</w:t>
            </w:r>
          </w:p>
        </w:tc>
        <w:tc>
          <w:tcPr>
            <w:tcW w:w="2246" w:type="dxa"/>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公开</w:t>
            </w:r>
            <w:r>
              <w:rPr>
                <w:rFonts w:hint="eastAsia" w:ascii="仿宋_GB2312" w:hAnsi="仿宋_GB2312" w:eastAsia="仿宋_GB2312" w:cs="仿宋_GB2312"/>
                <w:sz w:val="28"/>
                <w:szCs w:val="28"/>
              </w:rPr>
              <w:t>性</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文件的条款</w:t>
            </w:r>
          </w:p>
        </w:tc>
        <w:tc>
          <w:tcPr>
            <w:tcW w:w="1969" w:type="dxa"/>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偏离情况</w:t>
            </w:r>
          </w:p>
        </w:tc>
        <w:tc>
          <w:tcPr>
            <w:tcW w:w="1811" w:type="dxa"/>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说明</w:t>
            </w:r>
          </w:p>
        </w:tc>
      </w:tr>
      <w:tr>
        <w:trPr>
          <w:cantSplit/>
          <w:trHeight w:val="385" w:hRule="atLeast"/>
        </w:trPr>
        <w:tc>
          <w:tcPr>
            <w:tcW w:w="851" w:type="dxa"/>
            <w:vAlign w:val="top"/>
          </w:tcPr>
          <w:p>
            <w:pPr>
              <w:ind w:firstLine="0" w:firstLineChars="0"/>
              <w:rPr>
                <w:rFonts w:ascii="仿宋_GB2312" w:hAnsi="仿宋_GB2312" w:eastAsia="仿宋_GB2312" w:cs="仿宋_GB2312"/>
                <w:sz w:val="28"/>
                <w:szCs w:val="28"/>
              </w:rPr>
            </w:pPr>
          </w:p>
          <w:p>
            <w:pPr>
              <w:ind w:firstLine="0" w:firstLineChars="0"/>
              <w:rPr>
                <w:rFonts w:ascii="仿宋_GB2312" w:hAnsi="仿宋_GB2312" w:eastAsia="仿宋_GB2312" w:cs="仿宋_GB2312"/>
                <w:sz w:val="28"/>
                <w:szCs w:val="28"/>
              </w:rPr>
            </w:pPr>
          </w:p>
        </w:tc>
        <w:tc>
          <w:tcPr>
            <w:tcW w:w="1552" w:type="dxa"/>
            <w:vAlign w:val="top"/>
          </w:tcPr>
          <w:p>
            <w:pPr>
              <w:widowControl/>
              <w:ind w:firstLine="0" w:firstLineChars="0"/>
              <w:jc w:val="left"/>
              <w:rPr>
                <w:rFonts w:ascii="仿宋_GB2312" w:hAnsi="仿宋_GB2312" w:eastAsia="仿宋_GB2312" w:cs="仿宋_GB2312"/>
                <w:sz w:val="28"/>
                <w:szCs w:val="28"/>
              </w:rPr>
            </w:pPr>
          </w:p>
          <w:p>
            <w:pPr>
              <w:ind w:firstLine="0" w:firstLineChars="0"/>
              <w:rPr>
                <w:rFonts w:ascii="仿宋_GB2312" w:hAnsi="仿宋_GB2312" w:eastAsia="仿宋_GB2312" w:cs="仿宋_GB2312"/>
                <w:sz w:val="28"/>
                <w:szCs w:val="28"/>
              </w:rPr>
            </w:pPr>
          </w:p>
        </w:tc>
        <w:tc>
          <w:tcPr>
            <w:tcW w:w="2246" w:type="dxa"/>
            <w:vAlign w:val="top"/>
          </w:tcPr>
          <w:p>
            <w:pPr>
              <w:ind w:firstLine="0" w:firstLineChars="0"/>
              <w:rPr>
                <w:rFonts w:ascii="仿宋_GB2312" w:hAnsi="仿宋_GB2312" w:eastAsia="仿宋_GB2312" w:cs="仿宋_GB2312"/>
                <w:sz w:val="28"/>
                <w:szCs w:val="28"/>
              </w:rPr>
            </w:pPr>
          </w:p>
        </w:tc>
        <w:tc>
          <w:tcPr>
            <w:tcW w:w="1969" w:type="dxa"/>
            <w:vAlign w:val="top"/>
          </w:tcPr>
          <w:p>
            <w:pPr>
              <w:ind w:firstLine="0" w:firstLineChars="0"/>
              <w:rPr>
                <w:rFonts w:ascii="仿宋_GB2312" w:hAnsi="仿宋_GB2312" w:eastAsia="仿宋_GB2312" w:cs="仿宋_GB2312"/>
                <w:sz w:val="28"/>
                <w:szCs w:val="28"/>
              </w:rPr>
            </w:pPr>
          </w:p>
        </w:tc>
        <w:tc>
          <w:tcPr>
            <w:tcW w:w="1811" w:type="dxa"/>
            <w:vAlign w:val="top"/>
          </w:tcPr>
          <w:p>
            <w:pPr>
              <w:ind w:firstLine="0" w:firstLineChars="0"/>
              <w:rPr>
                <w:rFonts w:ascii="仿宋_GB2312" w:hAnsi="仿宋_GB2312" w:eastAsia="仿宋_GB2312" w:cs="仿宋_GB2312"/>
                <w:sz w:val="28"/>
                <w:szCs w:val="28"/>
              </w:rPr>
            </w:pPr>
          </w:p>
        </w:tc>
      </w:tr>
      <w:tr>
        <w:trPr>
          <w:cantSplit/>
          <w:trHeight w:val="430" w:hRule="atLeast"/>
        </w:trPr>
        <w:tc>
          <w:tcPr>
            <w:tcW w:w="851" w:type="dxa"/>
            <w:vAlign w:val="top"/>
          </w:tcPr>
          <w:p>
            <w:pPr>
              <w:ind w:firstLine="0" w:firstLineChars="0"/>
              <w:rPr>
                <w:rFonts w:ascii="仿宋_GB2312" w:hAnsi="仿宋_GB2312" w:eastAsia="仿宋_GB2312" w:cs="仿宋_GB2312"/>
                <w:sz w:val="28"/>
                <w:szCs w:val="28"/>
              </w:rPr>
            </w:pPr>
          </w:p>
          <w:p>
            <w:pPr>
              <w:ind w:firstLine="0" w:firstLineChars="0"/>
              <w:rPr>
                <w:rFonts w:ascii="仿宋_GB2312" w:hAnsi="仿宋_GB2312" w:eastAsia="仿宋_GB2312" w:cs="仿宋_GB2312"/>
                <w:sz w:val="28"/>
                <w:szCs w:val="28"/>
              </w:rPr>
            </w:pPr>
          </w:p>
        </w:tc>
        <w:tc>
          <w:tcPr>
            <w:tcW w:w="1552" w:type="dxa"/>
            <w:vAlign w:val="top"/>
          </w:tcPr>
          <w:p>
            <w:pPr>
              <w:widowControl/>
              <w:ind w:firstLine="0" w:firstLineChars="0"/>
              <w:jc w:val="left"/>
              <w:rPr>
                <w:rFonts w:ascii="仿宋_GB2312" w:hAnsi="仿宋_GB2312" w:eastAsia="仿宋_GB2312" w:cs="仿宋_GB2312"/>
                <w:sz w:val="28"/>
                <w:szCs w:val="28"/>
              </w:rPr>
            </w:pPr>
          </w:p>
          <w:p>
            <w:pPr>
              <w:ind w:firstLine="0" w:firstLineChars="0"/>
              <w:rPr>
                <w:rFonts w:ascii="仿宋_GB2312" w:hAnsi="仿宋_GB2312" w:eastAsia="仿宋_GB2312" w:cs="仿宋_GB2312"/>
                <w:sz w:val="28"/>
                <w:szCs w:val="28"/>
              </w:rPr>
            </w:pPr>
          </w:p>
        </w:tc>
        <w:tc>
          <w:tcPr>
            <w:tcW w:w="2246" w:type="dxa"/>
            <w:vAlign w:val="top"/>
          </w:tcPr>
          <w:p>
            <w:pPr>
              <w:ind w:firstLine="0" w:firstLineChars="0"/>
              <w:rPr>
                <w:rFonts w:ascii="仿宋_GB2312" w:hAnsi="仿宋_GB2312" w:eastAsia="仿宋_GB2312" w:cs="仿宋_GB2312"/>
                <w:sz w:val="28"/>
                <w:szCs w:val="28"/>
              </w:rPr>
            </w:pPr>
          </w:p>
        </w:tc>
        <w:tc>
          <w:tcPr>
            <w:tcW w:w="1969" w:type="dxa"/>
            <w:vAlign w:val="top"/>
          </w:tcPr>
          <w:p>
            <w:pPr>
              <w:ind w:firstLine="0" w:firstLineChars="0"/>
              <w:rPr>
                <w:rFonts w:ascii="仿宋_GB2312" w:hAnsi="仿宋_GB2312" w:eastAsia="仿宋_GB2312" w:cs="仿宋_GB2312"/>
                <w:sz w:val="28"/>
                <w:szCs w:val="28"/>
              </w:rPr>
            </w:pPr>
          </w:p>
        </w:tc>
        <w:tc>
          <w:tcPr>
            <w:tcW w:w="1811" w:type="dxa"/>
            <w:vAlign w:val="top"/>
          </w:tcPr>
          <w:p>
            <w:pPr>
              <w:ind w:firstLine="0" w:firstLineChars="0"/>
              <w:rPr>
                <w:rFonts w:ascii="仿宋_GB2312" w:hAnsi="仿宋_GB2312" w:eastAsia="仿宋_GB2312" w:cs="仿宋_GB2312"/>
                <w:sz w:val="28"/>
                <w:szCs w:val="28"/>
              </w:rPr>
            </w:pPr>
          </w:p>
        </w:tc>
      </w:tr>
      <w:tr>
        <w:trPr>
          <w:cantSplit/>
          <w:trHeight w:val="385" w:hRule="atLeast"/>
        </w:trPr>
        <w:tc>
          <w:tcPr>
            <w:tcW w:w="851" w:type="dxa"/>
            <w:vAlign w:val="top"/>
          </w:tcPr>
          <w:p>
            <w:pPr>
              <w:ind w:firstLine="0" w:firstLineChars="0"/>
              <w:rPr>
                <w:rFonts w:ascii="仿宋_GB2312" w:hAnsi="仿宋_GB2312" w:eastAsia="仿宋_GB2312" w:cs="仿宋_GB2312"/>
                <w:sz w:val="28"/>
                <w:szCs w:val="28"/>
              </w:rPr>
            </w:pPr>
          </w:p>
        </w:tc>
        <w:tc>
          <w:tcPr>
            <w:tcW w:w="1552" w:type="dxa"/>
            <w:vAlign w:val="top"/>
          </w:tcPr>
          <w:p>
            <w:pPr>
              <w:ind w:firstLine="0" w:firstLineChars="0"/>
              <w:rPr>
                <w:rFonts w:ascii="仿宋_GB2312" w:hAnsi="仿宋_GB2312" w:eastAsia="仿宋_GB2312" w:cs="仿宋_GB2312"/>
                <w:sz w:val="28"/>
                <w:szCs w:val="28"/>
              </w:rPr>
            </w:pPr>
          </w:p>
        </w:tc>
        <w:tc>
          <w:tcPr>
            <w:tcW w:w="2246" w:type="dxa"/>
            <w:vAlign w:val="top"/>
          </w:tcPr>
          <w:p>
            <w:pPr>
              <w:ind w:firstLine="0" w:firstLineChars="0"/>
              <w:rPr>
                <w:rFonts w:ascii="仿宋_GB2312" w:hAnsi="仿宋_GB2312" w:eastAsia="仿宋_GB2312" w:cs="仿宋_GB2312"/>
                <w:sz w:val="28"/>
                <w:szCs w:val="28"/>
              </w:rPr>
            </w:pPr>
          </w:p>
          <w:p>
            <w:pPr>
              <w:ind w:firstLine="0" w:firstLineChars="0"/>
              <w:rPr>
                <w:rFonts w:ascii="仿宋_GB2312" w:hAnsi="仿宋_GB2312" w:eastAsia="仿宋_GB2312" w:cs="仿宋_GB2312"/>
                <w:sz w:val="28"/>
                <w:szCs w:val="28"/>
              </w:rPr>
            </w:pPr>
          </w:p>
        </w:tc>
        <w:tc>
          <w:tcPr>
            <w:tcW w:w="1969" w:type="dxa"/>
            <w:vAlign w:val="top"/>
          </w:tcPr>
          <w:p>
            <w:pPr>
              <w:widowControl/>
              <w:ind w:firstLine="0" w:firstLineChars="0"/>
              <w:jc w:val="left"/>
              <w:rPr>
                <w:rFonts w:ascii="仿宋_GB2312" w:hAnsi="仿宋_GB2312" w:eastAsia="仿宋_GB2312" w:cs="仿宋_GB2312"/>
                <w:sz w:val="28"/>
                <w:szCs w:val="28"/>
              </w:rPr>
            </w:pPr>
          </w:p>
          <w:p>
            <w:pPr>
              <w:ind w:firstLine="0" w:firstLineChars="0"/>
              <w:rPr>
                <w:rFonts w:ascii="仿宋_GB2312" w:hAnsi="仿宋_GB2312" w:eastAsia="仿宋_GB2312" w:cs="仿宋_GB2312"/>
                <w:sz w:val="28"/>
                <w:szCs w:val="28"/>
              </w:rPr>
            </w:pPr>
          </w:p>
        </w:tc>
        <w:tc>
          <w:tcPr>
            <w:tcW w:w="1811" w:type="dxa"/>
            <w:vAlign w:val="top"/>
          </w:tcPr>
          <w:p>
            <w:pPr>
              <w:ind w:firstLine="0" w:firstLineChars="0"/>
              <w:rPr>
                <w:rFonts w:ascii="仿宋_GB2312" w:hAnsi="仿宋_GB2312" w:eastAsia="仿宋_GB2312" w:cs="仿宋_GB2312"/>
                <w:sz w:val="28"/>
                <w:szCs w:val="28"/>
              </w:rPr>
            </w:pPr>
          </w:p>
        </w:tc>
      </w:tr>
    </w:tbl>
    <w:p>
      <w:pPr>
        <w:adjustRightInd w:val="0"/>
        <w:snapToGrid w:val="0"/>
        <w:spacing w:line="4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注：投标人要将响应文件与</w:t>
      </w:r>
      <w:r>
        <w:rPr>
          <w:rFonts w:hint="eastAsia" w:ascii="仿宋_GB2312" w:hAnsi="仿宋_GB2312" w:eastAsia="仿宋_GB2312" w:cs="仿宋_GB2312"/>
          <w:sz w:val="28"/>
          <w:szCs w:val="28"/>
          <w:lang w:eastAsia="zh-CN"/>
        </w:rPr>
        <w:t>公开</w:t>
      </w:r>
      <w:r>
        <w:rPr>
          <w:rFonts w:hint="eastAsia" w:ascii="仿宋_GB2312" w:hAnsi="仿宋_GB2312" w:eastAsia="仿宋_GB2312" w:cs="仿宋_GB2312"/>
          <w:sz w:val="28"/>
          <w:szCs w:val="28"/>
        </w:rPr>
        <w:t>性</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文件在商务部分的差异之处汇集成此表。偏离情况处填写“正偏离、负偏离、无偏离”，投标方必须详细填写偏离表，偏离表未声明事项视为认同</w:t>
      </w:r>
      <w:r>
        <w:rPr>
          <w:rFonts w:hint="eastAsia" w:ascii="仿宋_GB2312" w:hAnsi="仿宋_GB2312" w:eastAsia="仿宋_GB2312" w:cs="仿宋_GB2312"/>
          <w:sz w:val="28"/>
          <w:szCs w:val="28"/>
          <w:lang w:eastAsia="zh-CN"/>
        </w:rPr>
        <w:t>公开</w:t>
      </w:r>
      <w:r>
        <w:rPr>
          <w:rFonts w:hint="eastAsia" w:ascii="仿宋_GB2312" w:hAnsi="仿宋_GB2312" w:eastAsia="仿宋_GB2312" w:cs="仿宋_GB2312"/>
          <w:sz w:val="28"/>
          <w:szCs w:val="28"/>
        </w:rPr>
        <w:t>性</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文件标准。</w:t>
      </w:r>
    </w:p>
    <w:p>
      <w:pPr>
        <w:ind w:firstLine="560"/>
        <w:rPr>
          <w:rFonts w:ascii="仿宋_GB2312" w:hAnsi="仿宋_GB2312" w:eastAsia="仿宋_GB2312" w:cs="仿宋_GB2312"/>
          <w:sz w:val="28"/>
          <w:szCs w:val="28"/>
        </w:rPr>
      </w:pPr>
    </w:p>
    <w:p>
      <w:pPr>
        <w:ind w:firstLine="560"/>
        <w:rPr>
          <w:rFonts w:ascii="仿宋_GB2312" w:hAnsi="仿宋_GB2312" w:eastAsia="仿宋_GB2312" w:cs="仿宋_GB2312"/>
          <w:sz w:val="28"/>
          <w:szCs w:val="28"/>
        </w:rPr>
      </w:pPr>
    </w:p>
    <w:p>
      <w:pPr>
        <w:ind w:firstLine="560"/>
        <w:rPr>
          <w:rFonts w:ascii="仿宋_GB2312" w:hAnsi="仿宋_GB2312" w:eastAsia="仿宋_GB2312" w:cs="仿宋_GB2312"/>
          <w:sz w:val="28"/>
          <w:szCs w:val="28"/>
        </w:rPr>
      </w:pPr>
    </w:p>
    <w:p>
      <w:pPr>
        <w:topLinePunct w:val="1"/>
        <w:spacing w:line="44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投标供应商：</w:t>
      </w:r>
      <w:r>
        <w:rPr>
          <w:rFonts w:hint="eastAsia" w:ascii="仿宋_GB2312" w:hAnsi="仿宋_GB2312" w:eastAsia="仿宋_GB2312" w:cs="仿宋_GB2312"/>
          <w:bCs/>
          <w:sz w:val="28"/>
          <w:szCs w:val="28"/>
          <w:u w:val="single"/>
        </w:rPr>
        <w:t xml:space="preserve">   （全称）（盖章）   </w:t>
      </w:r>
    </w:p>
    <w:p>
      <w:pPr>
        <w:spacing w:line="440" w:lineRule="exact"/>
        <w:ind w:firstLine="560"/>
        <w:rPr>
          <w:rFonts w:ascii="仿宋_GB2312" w:hAnsi="仿宋_GB2312" w:eastAsia="仿宋_GB2312" w:cs="仿宋_GB2312"/>
          <w:sz w:val="28"/>
          <w:szCs w:val="28"/>
        </w:rPr>
      </w:pPr>
    </w:p>
    <w:p>
      <w:pPr>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法定代表人或授权代理人：（签字或盖章） </w:t>
      </w:r>
    </w:p>
    <w:p>
      <w:pPr>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44"/>
        <w:widowControl w:val="0"/>
        <w:spacing w:line="44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ind w:firstLine="560"/>
        <w:rPr>
          <w:rFonts w:ascii="仿宋_GB2312" w:hAnsi="仿宋_GB2312" w:eastAsia="仿宋_GB2312" w:cs="仿宋_GB2312"/>
          <w:sz w:val="28"/>
          <w:szCs w:val="28"/>
        </w:rPr>
      </w:pPr>
    </w:p>
    <w:p>
      <w:pPr>
        <w:ind w:firstLine="0" w:firstLineChars="0"/>
        <w:jc w:val="center"/>
        <w:outlineLvl w:val="1"/>
        <w:rPr>
          <w:rFonts w:hint="eastAsia" w:eastAsia="宋体" w:cs="宋体"/>
          <w:b/>
        </w:rPr>
      </w:pPr>
    </w:p>
    <w:p>
      <w:pPr>
        <w:ind w:firstLine="0" w:firstLineChars="0"/>
        <w:jc w:val="center"/>
        <w:outlineLvl w:val="1"/>
        <w:rPr>
          <w:rFonts w:eastAsia="宋体" w:cs="宋体"/>
          <w:b/>
        </w:rPr>
      </w:pPr>
      <w:r>
        <w:rPr>
          <w:rFonts w:hint="eastAsia" w:eastAsia="宋体" w:cs="宋体"/>
          <w:b/>
        </w:rPr>
        <w:t>（十） 其他有利资料</w:t>
      </w:r>
    </w:p>
    <w:p>
      <w:pPr>
        <w:tabs>
          <w:tab w:val="left" w:pos="2940"/>
        </w:tabs>
        <w:ind w:firstLine="480"/>
        <w:jc w:val="left"/>
        <w:rPr>
          <w:bCs/>
          <w:sz w:val="24"/>
        </w:rPr>
      </w:pPr>
    </w:p>
    <w:p>
      <w:pPr>
        <w:tabs>
          <w:tab w:val="left" w:pos="2940"/>
        </w:tabs>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1.其他有利资料。</w:t>
      </w:r>
    </w:p>
    <w:p>
      <w:pPr>
        <w:ind w:firstLine="602"/>
        <w:rPr>
          <w:b/>
          <w:sz w:val="30"/>
        </w:rPr>
      </w:pPr>
    </w:p>
    <w:p>
      <w:pPr>
        <w:ind w:firstLine="602"/>
        <w:rPr>
          <w:b/>
          <w:sz w:val="30"/>
        </w:rPr>
      </w:pPr>
    </w:p>
    <w:p>
      <w:pPr>
        <w:ind w:firstLine="602"/>
        <w:rPr>
          <w:b/>
          <w:sz w:val="30"/>
        </w:rPr>
      </w:pPr>
    </w:p>
    <w:p>
      <w:pPr>
        <w:ind w:firstLine="602"/>
        <w:rPr>
          <w:b/>
          <w:sz w:val="30"/>
        </w:rPr>
      </w:pPr>
    </w:p>
    <w:p>
      <w:pPr>
        <w:ind w:firstLine="562"/>
        <w:rPr>
          <w:b/>
          <w:sz w:val="28"/>
          <w:szCs w:val="28"/>
        </w:rPr>
      </w:pPr>
    </w:p>
    <w:p>
      <w:pPr>
        <w:widowControl/>
        <w:tabs>
          <w:tab w:val="left" w:pos="3568"/>
        </w:tabs>
        <w:spacing w:before="100" w:beforeAutospacing="1" w:after="100" w:afterAutospacing="1" w:line="480" w:lineRule="exact"/>
        <w:ind w:firstLine="602"/>
        <w:outlineLvl w:val="1"/>
        <w:rPr>
          <w:b/>
          <w:sz w:val="30"/>
          <w:szCs w:val="30"/>
        </w:rPr>
      </w:pPr>
    </w:p>
    <w:p>
      <w:pPr>
        <w:widowControl/>
        <w:tabs>
          <w:tab w:val="left" w:pos="3568"/>
        </w:tabs>
        <w:spacing w:before="100" w:beforeAutospacing="1" w:after="100" w:afterAutospacing="1" w:line="480" w:lineRule="exact"/>
        <w:ind w:firstLine="602"/>
        <w:outlineLvl w:val="1"/>
        <w:rPr>
          <w:b/>
          <w:sz w:val="30"/>
          <w:szCs w:val="30"/>
        </w:rPr>
      </w:pPr>
    </w:p>
    <w:p>
      <w:pPr>
        <w:widowControl/>
        <w:tabs>
          <w:tab w:val="left" w:pos="3568"/>
        </w:tabs>
        <w:spacing w:before="100" w:beforeAutospacing="1" w:after="100" w:afterAutospacing="1" w:line="480" w:lineRule="exact"/>
        <w:ind w:firstLine="602"/>
        <w:outlineLvl w:val="1"/>
        <w:rPr>
          <w:b/>
          <w:sz w:val="30"/>
          <w:szCs w:val="30"/>
        </w:rPr>
      </w:pPr>
    </w:p>
    <w:p>
      <w:pPr>
        <w:widowControl/>
        <w:tabs>
          <w:tab w:val="left" w:pos="3568"/>
        </w:tabs>
        <w:spacing w:before="100" w:beforeAutospacing="1" w:after="100" w:afterAutospacing="1" w:line="480" w:lineRule="exact"/>
        <w:ind w:firstLine="602"/>
        <w:outlineLvl w:val="1"/>
        <w:rPr>
          <w:b/>
          <w:sz w:val="30"/>
          <w:szCs w:val="30"/>
        </w:rPr>
      </w:pPr>
    </w:p>
    <w:p>
      <w:pPr>
        <w:widowControl/>
        <w:tabs>
          <w:tab w:val="left" w:pos="3568"/>
        </w:tabs>
        <w:spacing w:before="100" w:beforeAutospacing="1" w:after="100" w:afterAutospacing="1" w:line="480" w:lineRule="exact"/>
        <w:ind w:firstLine="602"/>
        <w:outlineLvl w:val="1"/>
        <w:rPr>
          <w:b/>
          <w:sz w:val="30"/>
          <w:szCs w:val="30"/>
        </w:rPr>
      </w:pPr>
    </w:p>
    <w:p>
      <w:pPr>
        <w:widowControl/>
        <w:tabs>
          <w:tab w:val="left" w:pos="3568"/>
        </w:tabs>
        <w:spacing w:before="100" w:beforeAutospacing="1" w:after="100" w:afterAutospacing="1" w:line="480" w:lineRule="exact"/>
        <w:ind w:firstLine="602"/>
        <w:outlineLvl w:val="1"/>
        <w:rPr>
          <w:b/>
          <w:sz w:val="30"/>
          <w:szCs w:val="30"/>
        </w:rPr>
      </w:pPr>
    </w:p>
    <w:p>
      <w:pPr>
        <w:widowControl/>
        <w:tabs>
          <w:tab w:val="left" w:pos="3568"/>
        </w:tabs>
        <w:spacing w:before="100" w:beforeAutospacing="1" w:after="100" w:afterAutospacing="1" w:line="480" w:lineRule="exact"/>
        <w:ind w:firstLine="602"/>
        <w:outlineLvl w:val="1"/>
        <w:rPr>
          <w:b/>
          <w:sz w:val="30"/>
          <w:szCs w:val="30"/>
        </w:rPr>
      </w:pPr>
    </w:p>
    <w:p>
      <w:pPr>
        <w:widowControl/>
        <w:tabs>
          <w:tab w:val="left" w:pos="3568"/>
        </w:tabs>
        <w:spacing w:before="100" w:beforeAutospacing="1" w:after="100" w:afterAutospacing="1" w:line="480" w:lineRule="exact"/>
        <w:ind w:firstLine="602"/>
        <w:outlineLvl w:val="1"/>
        <w:rPr>
          <w:b/>
          <w:sz w:val="30"/>
          <w:szCs w:val="30"/>
        </w:rPr>
      </w:pPr>
    </w:p>
    <w:p>
      <w:pPr>
        <w:widowControl/>
        <w:tabs>
          <w:tab w:val="left" w:pos="3568"/>
        </w:tabs>
        <w:spacing w:before="100" w:beforeAutospacing="1" w:after="100" w:afterAutospacing="1" w:line="480" w:lineRule="exact"/>
        <w:ind w:firstLine="602"/>
        <w:outlineLvl w:val="1"/>
        <w:rPr>
          <w:b/>
          <w:sz w:val="30"/>
          <w:szCs w:val="30"/>
        </w:rPr>
      </w:pPr>
    </w:p>
    <w:p>
      <w:pPr>
        <w:widowControl/>
        <w:tabs>
          <w:tab w:val="left" w:pos="3568"/>
        </w:tabs>
        <w:spacing w:before="100" w:beforeAutospacing="1" w:after="100" w:afterAutospacing="1" w:line="480" w:lineRule="exact"/>
        <w:ind w:firstLine="602"/>
        <w:outlineLvl w:val="1"/>
        <w:rPr>
          <w:b/>
          <w:sz w:val="30"/>
          <w:szCs w:val="30"/>
        </w:rPr>
      </w:pPr>
      <w:r>
        <w:rPr>
          <w:rFonts w:hint="eastAsia"/>
          <w:b/>
          <w:sz w:val="30"/>
          <w:szCs w:val="30"/>
        </w:rPr>
        <w:t xml:space="preserve">       </w:t>
      </w:r>
    </w:p>
    <w:p>
      <w:pPr>
        <w:widowControl/>
        <w:tabs>
          <w:tab w:val="left" w:pos="3568"/>
        </w:tabs>
        <w:spacing w:before="100" w:beforeAutospacing="1" w:after="100" w:afterAutospacing="1" w:line="480" w:lineRule="exact"/>
        <w:ind w:firstLine="602"/>
        <w:jc w:val="center"/>
        <w:outlineLvl w:val="1"/>
        <w:rPr>
          <w:b/>
          <w:sz w:val="30"/>
        </w:rPr>
      </w:pPr>
      <w:r>
        <w:rPr>
          <w:rFonts w:hint="eastAsia"/>
          <w:b/>
          <w:sz w:val="30"/>
          <w:szCs w:val="30"/>
        </w:rPr>
        <w:br w:type="page"/>
      </w:r>
      <w:r>
        <w:rPr>
          <w:rFonts w:hint="eastAsia"/>
          <w:b/>
          <w:sz w:val="30"/>
          <w:szCs w:val="30"/>
        </w:rPr>
        <w:t xml:space="preserve"> </w:t>
      </w:r>
      <w:r>
        <w:rPr>
          <w:rFonts w:hint="eastAsia" w:eastAsia="宋体" w:cs="宋体"/>
          <w:b/>
        </w:rPr>
        <w:t>（十一）投标单位反商业贿赂承诺书</w:t>
      </w:r>
    </w:p>
    <w:p>
      <w:pPr>
        <w:widowControl/>
        <w:spacing w:before="100" w:beforeAutospacing="1" w:after="100" w:afterAutospacing="1" w:line="480" w:lineRule="exact"/>
        <w:ind w:firstLine="602"/>
        <w:jc w:val="center"/>
        <w:rPr>
          <w:b/>
          <w:sz w:val="30"/>
        </w:rPr>
      </w:pPr>
      <w:r>
        <w:rPr>
          <w:rFonts w:hint="eastAsia"/>
          <w:b/>
          <w:sz w:val="30"/>
        </w:rPr>
        <w:t xml:space="preserve">  承诺书（1）</w:t>
      </w:r>
    </w:p>
    <w:p>
      <w:pPr>
        <w:widowControl/>
        <w:autoSpaceDE w:val="0"/>
        <w:spacing w:before="100" w:beforeAutospacing="1" w:after="100" w:afterAutospacing="1" w:line="44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我公司承诺在</w:t>
      </w:r>
      <w:r>
        <w:rPr>
          <w:rFonts w:hint="eastAsia" w:ascii="仿宋_GB2312" w:hAnsi="仿宋_GB2312" w:eastAsia="仿宋_GB2312" w:cs="仿宋_GB2312"/>
          <w:sz w:val="28"/>
          <w:szCs w:val="28"/>
          <w:u w:val="single"/>
        </w:rPr>
        <w:t>（项目编号、项目名称）</w:t>
      </w:r>
      <w:r>
        <w:rPr>
          <w:rFonts w:hint="eastAsia" w:ascii="仿宋_GB2312" w:hAnsi="仿宋_GB2312" w:eastAsia="仿宋_GB2312" w:cs="仿宋_GB2312"/>
          <w:sz w:val="28"/>
          <w:szCs w:val="28"/>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topLinePunct w:val="1"/>
        <w:spacing w:line="440" w:lineRule="exact"/>
        <w:ind w:firstLine="560"/>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 xml:space="preserve">                  投标供应商：</w:t>
      </w:r>
      <w:r>
        <w:rPr>
          <w:rFonts w:hint="eastAsia" w:ascii="仿宋_GB2312" w:hAnsi="仿宋_GB2312" w:eastAsia="仿宋_GB2312" w:cs="仿宋_GB2312"/>
          <w:bCs/>
          <w:sz w:val="28"/>
          <w:szCs w:val="28"/>
          <w:u w:val="single"/>
        </w:rPr>
        <w:t xml:space="preserve">   （全称）（盖章）   </w:t>
      </w:r>
    </w:p>
    <w:p>
      <w:pPr>
        <w:pStyle w:val="30"/>
        <w:ind w:firstLine="480"/>
      </w:pPr>
    </w:p>
    <w:p>
      <w:pPr>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法定代表人或授权代理人：（签字或盖章） </w:t>
      </w:r>
    </w:p>
    <w:p>
      <w:pPr>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44"/>
        <w:widowControl w:val="0"/>
        <w:spacing w:line="44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日期：2021年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360" w:lineRule="exact"/>
        <w:ind w:firstLine="560"/>
        <w:rPr>
          <w:rFonts w:ascii="仿宋_GB2312" w:hAnsi="仿宋_GB2312" w:eastAsia="仿宋_GB2312" w:cs="仿宋_GB2312"/>
          <w:b/>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w:t>
      </w:r>
    </w:p>
    <w:p>
      <w:pPr>
        <w:spacing w:line="440" w:lineRule="exact"/>
        <w:ind w:firstLine="602"/>
        <w:rPr>
          <w:b/>
          <w:sz w:val="30"/>
          <w:szCs w:val="30"/>
        </w:rPr>
      </w:pPr>
      <w:r>
        <w:rPr>
          <w:rFonts w:hint="eastAsia"/>
          <w:b/>
          <w:sz w:val="30"/>
          <w:szCs w:val="30"/>
        </w:rPr>
        <w:t xml:space="preserve">                        </w:t>
      </w:r>
    </w:p>
    <w:p>
      <w:pPr>
        <w:ind w:firstLine="602"/>
        <w:rPr>
          <w:b/>
          <w:sz w:val="30"/>
          <w:szCs w:val="30"/>
        </w:rPr>
      </w:pPr>
      <w:r>
        <w:rPr>
          <w:rFonts w:hint="eastAsia"/>
          <w:b/>
          <w:sz w:val="30"/>
          <w:szCs w:val="30"/>
        </w:rPr>
        <w:br w:type="page"/>
      </w:r>
    </w:p>
    <w:p>
      <w:pPr>
        <w:spacing w:line="440" w:lineRule="exact"/>
        <w:ind w:firstLine="602"/>
        <w:jc w:val="center"/>
        <w:rPr>
          <w:b/>
          <w:sz w:val="30"/>
          <w:szCs w:val="30"/>
        </w:rPr>
      </w:pPr>
      <w:r>
        <w:rPr>
          <w:rFonts w:hint="eastAsia"/>
          <w:b/>
          <w:sz w:val="30"/>
          <w:szCs w:val="30"/>
        </w:rPr>
        <w:t>承诺书（2）</w:t>
      </w:r>
    </w:p>
    <w:p>
      <w:pPr>
        <w:spacing w:line="440" w:lineRule="exact"/>
        <w:ind w:firstLine="602"/>
        <w:rPr>
          <w:b/>
          <w:sz w:val="30"/>
          <w:szCs w:val="30"/>
        </w:rPr>
      </w:pPr>
    </w:p>
    <w:p>
      <w:pPr>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投标单位承诺书 </w:t>
      </w:r>
    </w:p>
    <w:p>
      <w:pPr>
        <w:autoSpaceDE w:val="0"/>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我公司承诺在参加本次</w:t>
      </w:r>
      <w:r>
        <w:rPr>
          <w:rFonts w:hint="eastAsia" w:ascii="仿宋_GB2312" w:hAnsi="仿宋_GB2312" w:eastAsia="仿宋_GB2312" w:cs="仿宋_GB2312"/>
          <w:sz w:val="28"/>
          <w:szCs w:val="28"/>
          <w:u w:val="single"/>
        </w:rPr>
        <w:t>（项目编号、项目名称）</w:t>
      </w:r>
      <w:r>
        <w:rPr>
          <w:rFonts w:hint="eastAsia" w:ascii="仿宋_GB2312" w:hAnsi="仿宋_GB2312" w:eastAsia="仿宋_GB2312" w:cs="仿宋_GB2312"/>
          <w:sz w:val="28"/>
          <w:szCs w:val="28"/>
        </w:rPr>
        <w:t>投标前三年内，无以下行为：</w:t>
      </w:r>
    </w:p>
    <w:p>
      <w:pPr>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重大违法行为；</w:t>
      </w:r>
    </w:p>
    <w:p>
      <w:pPr>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商业贿赂行为；</w:t>
      </w:r>
    </w:p>
    <w:p>
      <w:pPr>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政府采购法《第七十七条》，列入不良行为记录名单的各种行为；</w:t>
      </w:r>
    </w:p>
    <w:p>
      <w:pPr>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如有上述行为，我公司及项目参与人员自愿放弃本次项目的投标、报价资格，若为预中标、成交人，也自愿放弃中标、成交资格。 </w:t>
      </w:r>
    </w:p>
    <w:p>
      <w:pPr>
        <w:topLinePunct w:val="1"/>
        <w:spacing w:line="440" w:lineRule="exact"/>
        <w:ind w:firstLine="2520" w:firstLineChars="9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topLinePunct w:val="1"/>
        <w:spacing w:line="440" w:lineRule="exact"/>
        <w:ind w:firstLine="560"/>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 xml:space="preserve">                  投标供应商：</w:t>
      </w:r>
      <w:r>
        <w:rPr>
          <w:rFonts w:hint="eastAsia" w:ascii="仿宋_GB2312" w:hAnsi="仿宋_GB2312" w:eastAsia="仿宋_GB2312" w:cs="仿宋_GB2312"/>
          <w:bCs/>
          <w:sz w:val="28"/>
          <w:szCs w:val="28"/>
          <w:u w:val="single"/>
        </w:rPr>
        <w:t xml:space="preserve">   （全称）（盖章）   </w:t>
      </w:r>
    </w:p>
    <w:p>
      <w:pPr>
        <w:pStyle w:val="30"/>
        <w:ind w:firstLine="480"/>
      </w:pPr>
    </w:p>
    <w:p>
      <w:pPr>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法定代表人或授权代理人：（签字或盖章） </w:t>
      </w:r>
    </w:p>
    <w:p>
      <w:pPr>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44"/>
        <w:widowControl w:val="0"/>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日期：2021年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jc w:val="center"/>
        <w:outlineLvl w:val="1"/>
        <w:rPr>
          <w:rFonts w:hint="eastAsia" w:cs="仿宋"/>
          <w:b/>
          <w:bCs/>
          <w:kern w:val="0"/>
          <w:sz w:val="36"/>
          <w:szCs w:val="36"/>
          <w:lang w:eastAsia="zh-CN"/>
        </w:rPr>
      </w:pPr>
    </w:p>
    <w:p>
      <w:pPr>
        <w:jc w:val="center"/>
        <w:outlineLvl w:val="1"/>
        <w:rPr>
          <w:rFonts w:hint="eastAsia" w:cs="仿宋"/>
          <w:b/>
          <w:bCs/>
          <w:kern w:val="0"/>
          <w:sz w:val="36"/>
          <w:szCs w:val="36"/>
          <w:lang w:eastAsia="zh-CN"/>
        </w:rPr>
      </w:pPr>
    </w:p>
    <w:p>
      <w:pPr>
        <w:jc w:val="center"/>
        <w:outlineLvl w:val="1"/>
        <w:rPr>
          <w:rFonts w:hint="eastAsia" w:cs="仿宋"/>
          <w:b/>
          <w:bCs/>
          <w:kern w:val="0"/>
          <w:sz w:val="36"/>
          <w:szCs w:val="36"/>
          <w:lang w:eastAsia="zh-CN"/>
        </w:rPr>
      </w:pPr>
    </w:p>
    <w:p>
      <w:pPr>
        <w:jc w:val="center"/>
        <w:outlineLvl w:val="1"/>
        <w:rPr>
          <w:rFonts w:hint="eastAsia" w:cs="仿宋"/>
          <w:b/>
          <w:bCs/>
          <w:kern w:val="0"/>
          <w:sz w:val="36"/>
          <w:szCs w:val="36"/>
          <w:lang w:eastAsia="zh-CN"/>
        </w:rPr>
      </w:pPr>
    </w:p>
    <w:p>
      <w:pPr>
        <w:jc w:val="center"/>
        <w:outlineLvl w:val="1"/>
        <w:rPr>
          <w:rFonts w:hint="eastAsia" w:cs="仿宋"/>
          <w:b/>
          <w:bCs/>
          <w:kern w:val="0"/>
          <w:sz w:val="36"/>
          <w:szCs w:val="36"/>
          <w:lang w:eastAsia="zh-CN"/>
        </w:rPr>
      </w:pPr>
    </w:p>
    <w:p>
      <w:pPr>
        <w:jc w:val="center"/>
        <w:outlineLvl w:val="1"/>
        <w:rPr>
          <w:rFonts w:hint="eastAsia" w:cs="仿宋"/>
          <w:b/>
          <w:bCs/>
          <w:kern w:val="0"/>
          <w:sz w:val="36"/>
          <w:szCs w:val="36"/>
          <w:lang w:eastAsia="zh-CN"/>
        </w:rPr>
      </w:pPr>
    </w:p>
    <w:p>
      <w:pPr>
        <w:jc w:val="center"/>
        <w:outlineLvl w:val="1"/>
        <w:rPr>
          <w:rFonts w:hint="eastAsia" w:cs="仿宋"/>
          <w:b/>
          <w:bCs/>
          <w:kern w:val="0"/>
          <w:sz w:val="36"/>
          <w:szCs w:val="36"/>
          <w:lang w:eastAsia="zh-CN"/>
        </w:rPr>
      </w:pPr>
    </w:p>
    <w:p>
      <w:pPr>
        <w:jc w:val="center"/>
        <w:outlineLvl w:val="1"/>
        <w:rPr>
          <w:rFonts w:hint="eastAsia" w:cs="仿宋"/>
          <w:b/>
          <w:bCs/>
          <w:kern w:val="0"/>
          <w:sz w:val="36"/>
          <w:szCs w:val="36"/>
          <w:lang w:eastAsia="zh-CN"/>
        </w:rPr>
      </w:pPr>
    </w:p>
    <w:p>
      <w:pPr>
        <w:jc w:val="center"/>
        <w:outlineLvl w:val="1"/>
        <w:rPr>
          <w:rFonts w:hint="eastAsia" w:cs="仿宋"/>
          <w:b/>
          <w:bCs/>
          <w:kern w:val="0"/>
          <w:sz w:val="36"/>
          <w:szCs w:val="36"/>
          <w:lang w:eastAsia="zh-CN"/>
        </w:rPr>
      </w:pPr>
    </w:p>
    <w:p>
      <w:pPr>
        <w:jc w:val="center"/>
        <w:outlineLvl w:val="1"/>
        <w:rPr>
          <w:rFonts w:hint="eastAsia" w:cs="仿宋"/>
          <w:b/>
          <w:bCs/>
          <w:kern w:val="0"/>
          <w:sz w:val="36"/>
          <w:szCs w:val="36"/>
          <w:lang w:eastAsia="zh-CN"/>
        </w:rPr>
      </w:pPr>
    </w:p>
    <w:p>
      <w:pPr>
        <w:jc w:val="center"/>
        <w:outlineLvl w:val="1"/>
        <w:rPr>
          <w:rFonts w:hint="eastAsia" w:ascii="仿宋_GB2312" w:hAnsi="仿宋_GB2312" w:eastAsia="仿宋_GB2312" w:cs="仿宋_GB2312"/>
          <w:b/>
          <w:bCs/>
          <w:kern w:val="0"/>
          <w:sz w:val="28"/>
          <w:szCs w:val="28"/>
          <w:lang w:val="en-US" w:eastAsia="zh-CN"/>
        </w:rPr>
      </w:pPr>
      <w:r>
        <w:rPr>
          <w:rFonts w:hint="eastAsia" w:cs="仿宋"/>
          <w:b/>
          <w:bCs/>
          <w:kern w:val="0"/>
          <w:sz w:val="36"/>
          <w:szCs w:val="36"/>
          <w:lang w:eastAsia="zh-CN"/>
        </w:rPr>
        <w:t>（</w:t>
      </w:r>
      <w:r>
        <w:rPr>
          <w:rFonts w:hint="eastAsia" w:cs="仿宋"/>
          <w:b/>
          <w:bCs/>
          <w:kern w:val="0"/>
          <w:sz w:val="36"/>
          <w:szCs w:val="36"/>
          <w:lang w:val="en-US" w:eastAsia="zh-CN"/>
        </w:rPr>
        <w:t>十二</w:t>
      </w:r>
      <w:r>
        <w:rPr>
          <w:rFonts w:hint="eastAsia" w:cs="仿宋"/>
          <w:b/>
          <w:bCs/>
          <w:kern w:val="0"/>
          <w:sz w:val="36"/>
          <w:szCs w:val="36"/>
          <w:lang w:eastAsia="zh-CN"/>
        </w:rPr>
        <w:t>）</w:t>
      </w:r>
      <w:r>
        <w:rPr>
          <w:rFonts w:hint="eastAsia" w:ascii="华文仿宋" w:hAnsi="华文仿宋" w:eastAsia="华文仿宋" w:cs="华文仿宋"/>
          <w:b/>
          <w:bCs/>
          <w:kern w:val="0"/>
          <w:sz w:val="36"/>
          <w:szCs w:val="36"/>
          <w:lang w:val="en-US" w:eastAsia="zh-CN"/>
        </w:rPr>
        <w:t>退投标保证金的函</w:t>
      </w:r>
    </w:p>
    <w:p>
      <w:pPr>
        <w:rPr>
          <w:rFonts w:hint="eastAsia" w:ascii="仿宋_GB2312" w:hAnsi="仿宋_GB2312" w:eastAsia="仿宋_GB2312" w:cs="仿宋_GB2312"/>
          <w:sz w:val="28"/>
          <w:szCs w:val="28"/>
        </w:rPr>
      </w:pPr>
    </w:p>
    <w:p>
      <w:pPr>
        <w:spacing w:line="40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lang w:eastAsia="zh-CN"/>
        </w:rPr>
        <w:t>新疆崇业招标代理有限公司</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公司名称：</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开户行名称：</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账号（基本账户）：</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税      号：</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联系人姓名：</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投标项目名称：</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投标项目编号：</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投标保证金的形式：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（电汇、网银）</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投标保证金的金额：</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ind w:firstLine="72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备注：中标结果公示期满后，我公司</w:t>
      </w:r>
      <w:r>
        <w:rPr>
          <w:rFonts w:hint="eastAsia" w:ascii="仿宋_GB2312" w:hAnsi="仿宋_GB2312" w:eastAsia="仿宋_GB2312" w:cs="仿宋_GB2312"/>
          <w:sz w:val="28"/>
          <w:szCs w:val="28"/>
          <w:lang w:val="en-US" w:eastAsia="zh-CN"/>
        </w:rPr>
        <w:t>将按退投标保证金的函内容</w:t>
      </w:r>
      <w:r>
        <w:rPr>
          <w:rFonts w:hint="eastAsia" w:ascii="仿宋_GB2312" w:hAnsi="仿宋_GB2312" w:eastAsia="仿宋_GB2312" w:cs="仿宋_GB2312"/>
          <w:sz w:val="28"/>
          <w:szCs w:val="28"/>
        </w:rPr>
        <w:t>，在3～5个工作日内，将投标保证金电汇至投标单位的基本账户，财务电话：</w:t>
      </w:r>
      <w:r>
        <w:rPr>
          <w:rFonts w:hint="eastAsia" w:ascii="仿宋_GB2312" w:hAnsi="仿宋_GB2312" w:eastAsia="仿宋_GB2312" w:cs="仿宋_GB2312"/>
          <w:color w:val="auto"/>
          <w:sz w:val="28"/>
          <w:szCs w:val="28"/>
          <w:lang w:eastAsia="zh-CN"/>
        </w:rPr>
        <w:t>0991-4639656</w:t>
      </w:r>
      <w:r>
        <w:rPr>
          <w:rFonts w:hint="eastAsia" w:ascii="仿宋_GB2312" w:hAnsi="仿宋_GB2312" w:eastAsia="仿宋_GB2312" w:cs="仿宋_GB2312"/>
          <w:sz w:val="28"/>
          <w:szCs w:val="28"/>
        </w:rPr>
        <w:t>。</w:t>
      </w:r>
    </w:p>
    <w:p>
      <w:pPr>
        <w:pStyle w:val="54"/>
        <w:shd w:val="clear" w:color="auto" w:fill="FFFFFF"/>
        <w:wordWrap/>
        <w:adjustRightInd/>
        <w:snapToGrid/>
        <w:spacing w:before="0" w:after="0" w:line="560" w:lineRule="exact"/>
        <w:ind w:left="0" w:leftChars="0" w:firstLine="584" w:firstLineChars="200"/>
        <w:jc w:val="center"/>
        <w:textAlignment w:val="auto"/>
        <w:outlineLvl w:val="9"/>
        <w:rPr>
          <w:rFonts w:hint="eastAsia" w:ascii="仿宋_GB2312" w:hAnsi="仿宋_GB2312" w:eastAsia="仿宋_GB2312" w:cs="仿宋_GB2312"/>
          <w:sz w:val="28"/>
          <w:szCs w:val="28"/>
        </w:rPr>
      </w:pPr>
    </w:p>
    <w:p>
      <w:pPr>
        <w:widowControl w:val="0"/>
        <w:snapToGrid/>
        <w:spacing w:before="0" w:after="0" w:line="560" w:lineRule="exact"/>
        <w:ind w:left="0" w:leftChars="0" w:right="0" w:firstLine="640"/>
        <w:textAlignment w:val="auto"/>
        <w:outlineLvl w:val="9"/>
        <w:rPr>
          <w:rFonts w:hint="eastAsia" w:ascii="仿宋_GB2312" w:hAnsi="仿宋_GB2312" w:eastAsia="仿宋_GB2312" w:cs="仿宋_GB2312"/>
          <w:sz w:val="28"/>
          <w:szCs w:val="28"/>
        </w:rPr>
      </w:pPr>
    </w:p>
    <w:p>
      <w:pPr>
        <w:ind w:firstLine="560"/>
        <w:rPr>
          <w:rFonts w:ascii="仿宋_GB2312" w:hAnsi="仿宋_GB2312" w:eastAsia="仿宋_GB2312" w:cs="仿宋_GB2312"/>
          <w:sz w:val="28"/>
          <w:szCs w:val="28"/>
        </w:rPr>
      </w:pPr>
    </w:p>
    <w:sectPr>
      <w:pgSz w:w="11906" w:h="16838"/>
      <w:pgMar w:top="1440" w:right="1800" w:bottom="1440" w:left="1800" w:header="851" w:footer="992" w:gutter="0"/>
      <w:pgNumType w:fmt="decimal"/>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V Boli">
    <w:panose1 w:val="02000500030200090000"/>
    <w:charset w:val="00"/>
    <w:family w:val="auto"/>
    <w:pitch w:val="default"/>
    <w:sig w:usb0="00000003" w:usb1="00000000" w:usb2="00000100" w:usb3="00000000" w:csb0="00000001" w:csb1="00000000"/>
  </w:font>
  <w:font w:name="Calibri">
    <w:panose1 w:val="020F0502020204030204"/>
    <w:charset w:val="00"/>
    <w:family w:val="auto"/>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长城仿宋">
    <w:altName w:val="仿宋"/>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ZWAdobeF">
    <w:altName w:val="Courier New"/>
    <w:panose1 w:val="00000000000000000000"/>
    <w:charset w:val="00"/>
    <w:family w:val="auto"/>
    <w:pitch w:val="default"/>
    <w:sig w:usb0="20002A87" w:usb1="00000000" w:usb2="00000000" w:usb3="00000000" w:csb0="000001FF" w:csb1="00000000"/>
  </w:font>
  <w:font w:name="Monospaced Number">
    <w:altName w:val="微软雅黑"/>
    <w:panose1 w:val="00000000000000000000"/>
    <w:charset w:val="01"/>
    <w:family w:val="auto"/>
    <w:pitch w:val="default"/>
    <w:sig w:usb0="00000000" w:usb1="00000000" w:usb2="00000000" w:usb3="00000000" w:csb0="00040001" w:csb1="00000000"/>
  </w:font>
  <w:font w:name="华文行楷">
    <w:panose1 w:val="02010800040101010101"/>
    <w:charset w:val="86"/>
    <w:family w:val="auto"/>
    <w:pitch w:val="default"/>
    <w:sig w:usb0="00000001" w:usb1="080F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 w:name="DFHeiW9-GB">
    <w:altName w:val="宋体"/>
    <w:panose1 w:val="00000000000000000000"/>
    <w:charset w:val="86"/>
    <w:family w:val="auto"/>
    <w:pitch w:val="default"/>
    <w:sig w:usb0="00000000" w:usb1="00000000" w:usb2="00000010" w:usb3="00000000" w:csb0="00040000" w:csb1="00000000"/>
  </w:font>
  <w:font w:name="Century Gothic">
    <w:panose1 w:val="020B0502020202020204"/>
    <w:charset w:val="00"/>
    <w:family w:val="auto"/>
    <w:pitch w:val="default"/>
    <w:sig w:usb0="00000287" w:usb1="00000000" w:usb2="00000000" w:usb3="00000000" w:csb0="2000009F" w:csb1="DFD70000"/>
  </w:font>
  <w:font w:name="Times">
    <w:altName w:val="Times New Roman"/>
    <w:panose1 w:val="02020603050405020304"/>
    <w:charset w:val="00"/>
    <w:family w:val="auto"/>
    <w:pitch w:val="default"/>
    <w:sig w:usb0="00000003" w:usb1="00000000" w:usb2="00000000" w:usb3="00000000" w:csb0="00000001" w:csb1="00000000"/>
  </w:font>
  <w:font w:name="新宋体">
    <w:panose1 w:val="02010609030101010101"/>
    <w:charset w:val="86"/>
    <w:family w:val="auto"/>
    <w:pitch w:val="default"/>
    <w:sig w:usb0="00000283" w:usb1="288F0000" w:usb2="00000006" w:usb3="00000000" w:csb0="00040001" w:csb1="00000000"/>
  </w:font>
  <w:font w:name="Microsoft JhengHei">
    <w:panose1 w:val="020B0604030504040204"/>
    <w:charset w:val="88"/>
    <w:family w:val="auto"/>
    <w:pitch w:val="default"/>
    <w:sig w:usb0="000002A7" w:usb1="28CF4400" w:usb2="00000016" w:usb3="00000000" w:csb0="00100009" w:csb1="00000000"/>
  </w:font>
  <w:font w:name="Verdana">
    <w:panose1 w:val="020B0604030504040204"/>
    <w:charset w:val="00"/>
    <w:family w:val="auto"/>
    <w:pitch w:val="default"/>
    <w:sig w:usb0="A00006FF" w:usb1="4000205B" w:usb2="00000010" w:usb3="00000000" w:csb0="2000019F" w:csb1="00000000"/>
  </w:font>
  <w:font w:name="Heiti SC Light">
    <w:altName w:val="Times New Roman"/>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SimSun-ExtB">
    <w:panose1 w:val="02010609060101010101"/>
    <w:charset w:val="86"/>
    <w:family w:val="auto"/>
    <w:pitch w:val="default"/>
    <w:sig w:usb0="00000001" w:usb1="02000000" w:usb2="00000000" w:usb3="00000000" w:csb0="00040001" w:csb1="00000000"/>
  </w:font>
  <w:font w:name="方正仿宋简体">
    <w:altName w:val="微软雅黑"/>
    <w:panose1 w:val="00000000000000000000"/>
    <w:charset w:val="86"/>
    <w:family w:val="auto"/>
    <w:pitch w:val="default"/>
    <w:sig w:usb0="00000000" w:usb1="080E0000" w:usb2="00000010" w:usb3="00000000" w:csb0="00040000" w:csb1="00000000"/>
  </w:font>
  <w:font w:name="sans-serif">
    <w:altName w:val="Segoe Print"/>
    <w:panose1 w:val="00000000000000000000"/>
    <w:charset w:val="01"/>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新宋体-18030">
    <w:altName w:val="宋体"/>
    <w:panose1 w:val="02010600060101010101"/>
    <w:charset w:val="86"/>
    <w:family w:val="auto"/>
    <w:pitch w:val="default"/>
    <w:sig w:usb0="00000000" w:usb1="00000000" w:usb2="0000001E" w:usb3="00000000" w:csb0="003C0041" w:csb1="00000000"/>
  </w:font>
  <w:font w:name="Corbel">
    <w:panose1 w:val="020B0503020204020204"/>
    <w:charset w:val="00"/>
    <w:family w:val="auto"/>
    <w:pitch w:val="default"/>
    <w:sig w:usb0="A00002EF" w:usb1="4000A44B" w:usb2="00000000" w:usb3="00000000" w:csb0="2000019F" w:csb1="00000000"/>
  </w:font>
  <w:font w:name="华文楷体">
    <w:panose1 w:val="02010600040101010101"/>
    <w:charset w:val="86"/>
    <w:family w:val="auto"/>
    <w:pitch w:val="default"/>
    <w:sig w:usb0="00000287" w:usb1="080F0000" w:usb2="00000000" w:usb3="00000000" w:csb0="0004009F" w:csb1="DFD70000"/>
  </w:font>
  <w:font w:name="Microsoft YaHei UI">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00001"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auto"/>
    <w:pitch w:val="default"/>
    <w:sig w:usb0="00000687" w:usb1="00000000" w:usb2="00000000" w:usb3="00000000" w:csb0="2000009F" w:csb1="00000000"/>
  </w:font>
  <w:font w:name="Helvetica">
    <w:panose1 w:val="020B0604020202020204"/>
    <w:charset w:val="00"/>
    <w:family w:val="auto"/>
    <w:pitch w:val="default"/>
    <w:sig w:usb0="00000000" w:usb1="00000000" w:usb2="00000000" w:usb3="00000000" w:csb0="00000000" w:csb1="00000000"/>
  </w:font>
  <w:font w:name="MS Mincho">
    <w:altName w:val="Yu Gothic UI"/>
    <w:panose1 w:val="02020609040205080304"/>
    <w:charset w:val="80"/>
    <w:family w:val="auto"/>
    <w:pitch w:val="default"/>
    <w:sig w:usb0="E00002FF" w:usb1="6AC7FDFB" w:usb2="00000012" w:usb3="00000000" w:csb0="0002009F" w:csb1="00000000"/>
  </w:font>
  <w:font w:name="Yu Gothic UI">
    <w:panose1 w:val="020B05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 w:name="经典美黑简">
    <w:altName w:val="黑体"/>
    <w:panose1 w:val="02010609000101010101"/>
    <w:charset w:val="86"/>
    <w:family w:val="auto"/>
    <w:pitch w:val="default"/>
    <w:sig w:usb0="00000000" w:usb1="00000000" w:usb2="0000001E" w:usb3="00000000" w:csb0="20040000"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8"/>
      <w:jc w:val="center"/>
    </w:pPr>
    <w:r>
      <w:rPr>
        <w:rFonts w:ascii="宋体" w:hAnsi="宋体" w:eastAsia="宋体" w:cs="仿宋"/>
        <w:kern w:val="2"/>
        <w:sz w:val="28"/>
        <w:szCs w:val="32"/>
        <w:lang w:val="en-US" w:eastAsia="zh-CN" w:bidi="ar-SA"/>
      </w:rPr>
      <w:pict>
        <v:shape id="文本框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仿宋"/>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
    <w:nsid w:val="00000003"/>
    <w:multiLevelType w:val="multilevel"/>
    <w:tmpl w:val="00000003"/>
    <w:lvl w:ilvl="0" w:tentative="1">
      <w:start w:val="1"/>
      <w:numFmt w:val="decimal"/>
      <w:lvlText w:val="（%1）"/>
      <w:lvlJc w:val="left"/>
      <w:pPr>
        <w:ind w:left="845" w:hanging="420"/>
      </w:pPr>
      <w:rPr>
        <w:rFonts w:hint="eastAsia"/>
      </w:rPr>
    </w:lvl>
    <w:lvl w:ilvl="1" w:tentative="1">
      <w:start w:val="1"/>
      <w:numFmt w:val="lowerLetter"/>
      <w:lvlText w:val="%2)"/>
      <w:lvlJc w:val="left"/>
      <w:pPr>
        <w:ind w:left="1265" w:hanging="420"/>
      </w:pPr>
    </w:lvl>
    <w:lvl w:ilvl="2" w:tentative="1">
      <w:start w:val="1"/>
      <w:numFmt w:val="lowerRoman"/>
      <w:lvlText w:val="%3."/>
      <w:lvlJc w:val="right"/>
      <w:pPr>
        <w:ind w:left="1685" w:hanging="420"/>
      </w:pPr>
    </w:lvl>
    <w:lvl w:ilvl="3" w:tentative="1">
      <w:start w:val="1"/>
      <w:numFmt w:val="decimal"/>
      <w:lvlText w:val="%4."/>
      <w:lvlJc w:val="left"/>
      <w:pPr>
        <w:ind w:left="2105" w:hanging="420"/>
      </w:pPr>
    </w:lvl>
    <w:lvl w:ilvl="4" w:tentative="1">
      <w:start w:val="1"/>
      <w:numFmt w:val="lowerLetter"/>
      <w:lvlText w:val="%5)"/>
      <w:lvlJc w:val="left"/>
      <w:pPr>
        <w:ind w:left="2525" w:hanging="420"/>
      </w:pPr>
    </w:lvl>
    <w:lvl w:ilvl="5" w:tentative="1">
      <w:start w:val="1"/>
      <w:numFmt w:val="lowerRoman"/>
      <w:lvlText w:val="%6."/>
      <w:lvlJc w:val="right"/>
      <w:pPr>
        <w:ind w:left="2945" w:hanging="420"/>
      </w:pPr>
    </w:lvl>
    <w:lvl w:ilvl="6" w:tentative="1">
      <w:start w:val="1"/>
      <w:numFmt w:val="decimal"/>
      <w:lvlText w:val="%7."/>
      <w:lvlJc w:val="left"/>
      <w:pPr>
        <w:ind w:left="3365" w:hanging="420"/>
      </w:pPr>
    </w:lvl>
    <w:lvl w:ilvl="7" w:tentative="1">
      <w:start w:val="1"/>
      <w:numFmt w:val="lowerLetter"/>
      <w:lvlText w:val="%8)"/>
      <w:lvlJc w:val="left"/>
      <w:pPr>
        <w:ind w:left="3785" w:hanging="420"/>
      </w:pPr>
    </w:lvl>
    <w:lvl w:ilvl="8" w:tentative="1">
      <w:start w:val="1"/>
      <w:numFmt w:val="lowerRoman"/>
      <w:lvlText w:val="%9."/>
      <w:lvlJc w:val="right"/>
      <w:pPr>
        <w:ind w:left="4205" w:hanging="420"/>
      </w:pPr>
    </w:lvl>
  </w:abstractNum>
  <w:abstractNum w:abstractNumId="4">
    <w:nsid w:val="00000004"/>
    <w:multiLevelType w:val="multilevel"/>
    <w:tmpl w:val="00000004"/>
    <w:lvl w:ilvl="0" w:tentative="1">
      <w:start w:val="1"/>
      <w:numFmt w:val="decimal"/>
      <w:lvlText w:val="%1."/>
      <w:lvlJc w:val="left"/>
      <w:pPr>
        <w:ind w:left="425" w:hanging="425"/>
      </w:pPr>
      <w:rPr>
        <w:rFonts w:hint="default"/>
      </w:rPr>
    </w:lvl>
    <w:lvl w:ilvl="1" w:tentative="1">
      <w:start w:val="1"/>
      <w:numFmt w:val="decimal"/>
      <w:lvlText w:val="(%2)"/>
      <w:lvlJc w:val="left"/>
      <w:pPr>
        <w:tabs>
          <w:tab w:val="left" w:pos="840"/>
        </w:tabs>
        <w:ind w:left="840" w:hanging="420"/>
      </w:pPr>
      <w:rPr>
        <w:rFonts w:hint="default"/>
      </w:rPr>
    </w:lvl>
    <w:lvl w:ilvl="2" w:tentative="1">
      <w:start w:val="1"/>
      <w:numFmt w:val="decimalEnclosedCircleChinese"/>
      <w:lvlText w:val="%3"/>
      <w:lvlJc w:val="left"/>
      <w:pPr>
        <w:tabs>
          <w:tab w:val="left" w:pos="1260"/>
        </w:tabs>
        <w:ind w:left="1260" w:hanging="420"/>
      </w:pPr>
      <w:rPr>
        <w:rFonts w:hint="default"/>
      </w:rPr>
    </w:lvl>
    <w:lvl w:ilvl="3" w:tentative="1">
      <w:start w:val="1"/>
      <w:numFmt w:val="decimal"/>
      <w:lvlText w:val="%4)"/>
      <w:lvlJc w:val="left"/>
      <w:pPr>
        <w:tabs>
          <w:tab w:val="left" w:pos="1680"/>
        </w:tabs>
        <w:ind w:left="1680" w:hanging="420"/>
      </w:pPr>
      <w:rPr>
        <w:rFonts w:hint="default"/>
      </w:rPr>
    </w:lvl>
    <w:lvl w:ilvl="4" w:tentative="1">
      <w:start w:val="1"/>
      <w:numFmt w:val="decimal"/>
      <w:pStyle w:val="6"/>
      <w:lvlText w:val="%5."/>
      <w:lvlJc w:val="left"/>
      <w:pPr>
        <w:tabs>
          <w:tab w:val="left" w:pos="2100"/>
        </w:tabs>
        <w:ind w:left="2100" w:hanging="420"/>
      </w:pPr>
      <w:rPr>
        <w:rFonts w:hint="default" w:ascii="宋体" w:hAnsi="宋体" w:eastAsia="宋体" w:cs="宋体"/>
      </w:rPr>
    </w:lvl>
    <w:lvl w:ilvl="5" w:tentative="1">
      <w:start w:val="1"/>
      <w:numFmt w:val="lowerLetter"/>
      <w:lvlText w:val="%6)"/>
      <w:lvlJc w:val="left"/>
      <w:pPr>
        <w:tabs>
          <w:tab w:val="left" w:pos="2520"/>
        </w:tabs>
        <w:ind w:left="2520" w:hanging="420"/>
      </w:pPr>
      <w:rPr>
        <w:rFonts w:hint="default"/>
      </w:rPr>
    </w:lvl>
    <w:lvl w:ilvl="6" w:tentative="1">
      <w:start w:val="1"/>
      <w:numFmt w:val="lowerRoman"/>
      <w:lvlText w:val="%7."/>
      <w:lvlJc w:val="left"/>
      <w:pPr>
        <w:tabs>
          <w:tab w:val="left" w:pos="2940"/>
        </w:tabs>
        <w:ind w:left="2940" w:hanging="420"/>
      </w:pPr>
      <w:rPr>
        <w:rFonts w:hint="default"/>
      </w:rPr>
    </w:lvl>
    <w:lvl w:ilvl="7" w:tentative="1">
      <w:start w:val="1"/>
      <w:numFmt w:val="lowerRoman"/>
      <w:lvlText w:val="%8)"/>
      <w:lvlJc w:val="left"/>
      <w:pPr>
        <w:tabs>
          <w:tab w:val="left" w:pos="3360"/>
        </w:tabs>
        <w:ind w:left="3360" w:hanging="420"/>
      </w:pPr>
      <w:rPr>
        <w:rFonts w:hint="default"/>
      </w:rPr>
    </w:lvl>
    <w:lvl w:ilvl="8" w:tentative="1">
      <w:start w:val="1"/>
      <w:numFmt w:val="lowerLetter"/>
      <w:lvlText w:val="%9."/>
      <w:lvlJc w:val="left"/>
      <w:pPr>
        <w:tabs>
          <w:tab w:val="left" w:pos="3780"/>
        </w:tabs>
        <w:ind w:left="3780" w:hanging="420"/>
      </w:pPr>
      <w:rPr>
        <w:rFonts w:hint="default"/>
      </w:rPr>
    </w:lvl>
  </w:abstractNum>
  <w:abstractNum w:abstractNumId="5">
    <w:nsid w:val="00000005"/>
    <w:multiLevelType w:val="singleLevel"/>
    <w:tmpl w:val="00000005"/>
    <w:lvl w:ilvl="0" w:tentative="1">
      <w:start w:val="5"/>
      <w:numFmt w:val="chineseCounting"/>
      <w:suff w:val="nothing"/>
      <w:lvlText w:val="%1．"/>
      <w:lvlJc w:val="left"/>
    </w:lvl>
  </w:abstractNum>
  <w:abstractNum w:abstractNumId="8">
    <w:nsid w:val="00000008"/>
    <w:multiLevelType w:val="singleLevel"/>
    <w:tmpl w:val="00000008"/>
    <w:lvl w:ilvl="0" w:tentative="1">
      <w:start w:val="6"/>
      <w:numFmt w:val="chineseCounting"/>
      <w:suff w:val="space"/>
      <w:lvlText w:val="第%1章"/>
      <w:lvlJc w:val="left"/>
    </w:lvl>
  </w:abstractNum>
  <w:abstractNum w:abstractNumId="10">
    <w:nsid w:val="0000000A"/>
    <w:multiLevelType w:val="multilevel"/>
    <w:tmpl w:val="0000000A"/>
    <w:lvl w:ilvl="0" w:tentative="1">
      <w:start w:val="1"/>
      <w:numFmt w:val="decimal"/>
      <w:lvlText w:val="（%1）"/>
      <w:lvlJc w:val="left"/>
      <w:pPr>
        <w:ind w:left="845" w:hanging="420"/>
      </w:pPr>
      <w:rPr>
        <w:rFonts w:hint="eastAsia"/>
      </w:rPr>
    </w:lvl>
    <w:lvl w:ilvl="1" w:tentative="1">
      <w:start w:val="1"/>
      <w:numFmt w:val="lowerLetter"/>
      <w:lvlText w:val="%2)"/>
      <w:lvlJc w:val="left"/>
      <w:pPr>
        <w:ind w:left="1265" w:hanging="420"/>
      </w:pPr>
    </w:lvl>
    <w:lvl w:ilvl="2" w:tentative="1">
      <w:start w:val="1"/>
      <w:numFmt w:val="lowerRoman"/>
      <w:lvlText w:val="%3."/>
      <w:lvlJc w:val="right"/>
      <w:pPr>
        <w:ind w:left="1685" w:hanging="420"/>
      </w:pPr>
    </w:lvl>
    <w:lvl w:ilvl="3" w:tentative="1">
      <w:start w:val="1"/>
      <w:numFmt w:val="decimal"/>
      <w:lvlText w:val="%4."/>
      <w:lvlJc w:val="left"/>
      <w:pPr>
        <w:ind w:left="2105" w:hanging="420"/>
      </w:pPr>
    </w:lvl>
    <w:lvl w:ilvl="4" w:tentative="1">
      <w:start w:val="1"/>
      <w:numFmt w:val="lowerLetter"/>
      <w:lvlText w:val="%5)"/>
      <w:lvlJc w:val="left"/>
      <w:pPr>
        <w:ind w:left="2525" w:hanging="420"/>
      </w:pPr>
    </w:lvl>
    <w:lvl w:ilvl="5" w:tentative="1">
      <w:start w:val="1"/>
      <w:numFmt w:val="lowerRoman"/>
      <w:lvlText w:val="%6."/>
      <w:lvlJc w:val="right"/>
      <w:pPr>
        <w:ind w:left="2945" w:hanging="420"/>
      </w:pPr>
    </w:lvl>
    <w:lvl w:ilvl="6" w:tentative="1">
      <w:start w:val="1"/>
      <w:numFmt w:val="decimal"/>
      <w:lvlText w:val="%7."/>
      <w:lvlJc w:val="left"/>
      <w:pPr>
        <w:ind w:left="3365" w:hanging="420"/>
      </w:pPr>
    </w:lvl>
    <w:lvl w:ilvl="7" w:tentative="1">
      <w:start w:val="1"/>
      <w:numFmt w:val="lowerLetter"/>
      <w:lvlText w:val="%8)"/>
      <w:lvlJc w:val="left"/>
      <w:pPr>
        <w:ind w:left="3785" w:hanging="420"/>
      </w:pPr>
    </w:lvl>
    <w:lvl w:ilvl="8" w:tentative="1">
      <w:start w:val="1"/>
      <w:numFmt w:val="lowerRoman"/>
      <w:lvlText w:val="%9."/>
      <w:lvlJc w:val="right"/>
      <w:pPr>
        <w:ind w:left="4205" w:hanging="420"/>
      </w:pPr>
    </w:lvl>
  </w:abstractNum>
  <w:abstractNum w:abstractNumId="11">
    <w:nsid w:val="0000000B"/>
    <w:multiLevelType w:val="multilevel"/>
    <w:tmpl w:val="0000000B"/>
    <w:lvl w:ilvl="0" w:tentative="1">
      <w:start w:val="1"/>
      <w:numFmt w:val="decimal"/>
      <w:lvlText w:val="（%1）"/>
      <w:lvlJc w:val="left"/>
      <w:pPr>
        <w:ind w:left="845" w:hanging="420"/>
      </w:pPr>
      <w:rPr>
        <w:rFonts w:hint="eastAsia"/>
      </w:rPr>
    </w:lvl>
    <w:lvl w:ilvl="1" w:tentative="1">
      <w:start w:val="1"/>
      <w:numFmt w:val="lowerLetter"/>
      <w:lvlText w:val="%2)"/>
      <w:lvlJc w:val="left"/>
      <w:pPr>
        <w:ind w:left="1265" w:hanging="420"/>
      </w:pPr>
    </w:lvl>
    <w:lvl w:ilvl="2" w:tentative="1">
      <w:start w:val="1"/>
      <w:numFmt w:val="lowerRoman"/>
      <w:lvlText w:val="%3."/>
      <w:lvlJc w:val="right"/>
      <w:pPr>
        <w:ind w:left="1685" w:hanging="420"/>
      </w:pPr>
    </w:lvl>
    <w:lvl w:ilvl="3" w:tentative="1">
      <w:start w:val="1"/>
      <w:numFmt w:val="decimal"/>
      <w:lvlText w:val="%4."/>
      <w:lvlJc w:val="left"/>
      <w:pPr>
        <w:ind w:left="2105" w:hanging="420"/>
      </w:pPr>
    </w:lvl>
    <w:lvl w:ilvl="4" w:tentative="1">
      <w:start w:val="1"/>
      <w:numFmt w:val="lowerLetter"/>
      <w:lvlText w:val="%5)"/>
      <w:lvlJc w:val="left"/>
      <w:pPr>
        <w:ind w:left="2525" w:hanging="420"/>
      </w:pPr>
    </w:lvl>
    <w:lvl w:ilvl="5" w:tentative="1">
      <w:start w:val="1"/>
      <w:numFmt w:val="lowerRoman"/>
      <w:lvlText w:val="%6."/>
      <w:lvlJc w:val="right"/>
      <w:pPr>
        <w:ind w:left="2945" w:hanging="420"/>
      </w:pPr>
    </w:lvl>
    <w:lvl w:ilvl="6" w:tentative="1">
      <w:start w:val="1"/>
      <w:numFmt w:val="decimal"/>
      <w:lvlText w:val="%7."/>
      <w:lvlJc w:val="left"/>
      <w:pPr>
        <w:ind w:left="3365" w:hanging="420"/>
      </w:pPr>
    </w:lvl>
    <w:lvl w:ilvl="7" w:tentative="1">
      <w:start w:val="1"/>
      <w:numFmt w:val="lowerLetter"/>
      <w:lvlText w:val="%8)"/>
      <w:lvlJc w:val="left"/>
      <w:pPr>
        <w:ind w:left="3785" w:hanging="420"/>
      </w:pPr>
    </w:lvl>
    <w:lvl w:ilvl="8" w:tentative="1">
      <w:start w:val="1"/>
      <w:numFmt w:val="lowerRoman"/>
      <w:lvlText w:val="%9."/>
      <w:lvlJc w:val="right"/>
      <w:pPr>
        <w:ind w:left="4205" w:hanging="420"/>
      </w:pPr>
    </w:lvl>
  </w:abstractNum>
  <w:abstractNum w:abstractNumId="15">
    <w:nsid w:val="0000000F"/>
    <w:multiLevelType w:val="singleLevel"/>
    <w:tmpl w:val="0000000F"/>
    <w:lvl w:ilvl="0" w:tentative="1">
      <w:start w:val="1"/>
      <w:numFmt w:val="chineseCounting"/>
      <w:suff w:val="nothing"/>
      <w:lvlText w:val="（%1）"/>
      <w:lvlJc w:val="left"/>
      <w:rPr>
        <w:rFonts w:hint="eastAsia"/>
      </w:rPr>
    </w:lvl>
  </w:abstractNum>
  <w:abstractNum w:abstractNumId="17">
    <w:nsid w:val="00000011"/>
    <w:multiLevelType w:val="singleLevel"/>
    <w:tmpl w:val="00000011"/>
    <w:lvl w:ilvl="0" w:tentative="1">
      <w:start w:val="8"/>
      <w:numFmt w:val="decimal"/>
      <w:suff w:val="nothing"/>
      <w:lvlText w:val="%1．"/>
      <w:lvlJc w:val="left"/>
    </w:lvl>
  </w:abstractNum>
  <w:abstractNum w:abstractNumId="18">
    <w:nsid w:val="00000012"/>
    <w:multiLevelType w:val="singleLevel"/>
    <w:tmpl w:val="00000012"/>
    <w:lvl w:ilvl="0" w:tentative="1">
      <w:start w:val="1"/>
      <w:numFmt w:val="chineseCounting"/>
      <w:suff w:val="space"/>
      <w:lvlText w:val="第%1章"/>
      <w:lvlJc w:val="left"/>
    </w:lvl>
  </w:abstractNum>
  <w:abstractNum w:abstractNumId="19">
    <w:nsid w:val="00000013"/>
    <w:multiLevelType w:val="multilevel"/>
    <w:tmpl w:val="00000013"/>
    <w:lvl w:ilvl="0" w:tentative="1">
      <w:start w:val="1"/>
      <w:numFmt w:val="decimal"/>
      <w:pStyle w:val="2"/>
      <w:suff w:val="nothing"/>
      <w:lvlText w:val="%1."/>
      <w:lvlJc w:val="left"/>
      <w:pPr>
        <w:tabs>
          <w:tab w:val="left" w:pos="420"/>
        </w:tabs>
        <w:ind w:left="432" w:hanging="432"/>
      </w:pPr>
      <w:rPr>
        <w:rFonts w:hint="default"/>
      </w:rPr>
    </w:lvl>
    <w:lvl w:ilvl="1" w:tentative="1">
      <w:start w:val="1"/>
      <w:numFmt w:val="decimal"/>
      <w:pStyle w:val="3"/>
      <w:suff w:val="nothing"/>
      <w:lvlText w:val="%1.%2."/>
      <w:lvlJc w:val="left"/>
      <w:pPr>
        <w:tabs>
          <w:tab w:val="left" w:pos="420"/>
        </w:tabs>
        <w:ind w:left="575" w:hanging="575"/>
      </w:pPr>
      <w:rPr>
        <w:rFonts w:hint="default"/>
      </w:rPr>
    </w:lvl>
    <w:lvl w:ilvl="2" w:tentative="1">
      <w:start w:val="1"/>
      <w:numFmt w:val="decimal"/>
      <w:pStyle w:val="4"/>
      <w:suff w:val="nothing"/>
      <w:lvlText w:val="%1.%2.%3."/>
      <w:lvlJc w:val="left"/>
      <w:pPr>
        <w:tabs>
          <w:tab w:val="left" w:pos="420"/>
        </w:tabs>
        <w:ind w:left="720" w:hanging="720"/>
      </w:pPr>
      <w:rPr>
        <w:rFonts w:hint="default"/>
      </w:rPr>
    </w:lvl>
    <w:lvl w:ilvl="3" w:tentative="1">
      <w:start w:val="1"/>
      <w:numFmt w:val="decimal"/>
      <w:pStyle w:val="5"/>
      <w:suff w:val="nothing"/>
      <w:lvlText w:val="%1.%2.%3.%4."/>
      <w:lvlJc w:val="left"/>
      <w:pPr>
        <w:tabs>
          <w:tab w:val="left" w:pos="420"/>
        </w:tabs>
        <w:ind w:left="1009" w:hanging="1009"/>
      </w:pPr>
      <w:rPr>
        <w:rFonts w:hint="default"/>
      </w:rPr>
    </w:lvl>
    <w:lvl w:ilvl="4" w:tentative="1">
      <w:start w:val="1"/>
      <w:numFmt w:val="decimal"/>
      <w:suff w:val="nothing"/>
      <w:lvlText w:val="%1.%2.%3.%4.%5."/>
      <w:lvlJc w:val="left"/>
      <w:pPr>
        <w:tabs>
          <w:tab w:val="left" w:pos="420"/>
        </w:tabs>
        <w:ind w:left="1008" w:hanging="1008"/>
      </w:pPr>
      <w:rPr>
        <w:rFonts w:hint="default"/>
      </w:rPr>
    </w:lvl>
    <w:lvl w:ilvl="5" w:tentative="1">
      <w:start w:val="1"/>
      <w:numFmt w:val="decimal"/>
      <w:pStyle w:val="7"/>
      <w:lvlText w:val="%1.%2.%3.%4.%5.%6."/>
      <w:lvlJc w:val="left"/>
      <w:pPr>
        <w:ind w:left="1151" w:hanging="1151"/>
      </w:pPr>
      <w:rPr>
        <w:rFonts w:hint="default"/>
      </w:rPr>
    </w:lvl>
    <w:lvl w:ilvl="6" w:tentative="1">
      <w:start w:val="1"/>
      <w:numFmt w:val="decimal"/>
      <w:pStyle w:val="8"/>
      <w:lvlText w:val="%1.%2.%3.%4.%5.%6.%7."/>
      <w:lvlJc w:val="left"/>
      <w:pPr>
        <w:ind w:left="1296" w:hanging="1296"/>
      </w:pPr>
      <w:rPr>
        <w:rFonts w:hint="default"/>
      </w:rPr>
    </w:lvl>
    <w:lvl w:ilvl="7" w:tentative="1">
      <w:start w:val="1"/>
      <w:numFmt w:val="decimal"/>
      <w:pStyle w:val="9"/>
      <w:lvlText w:val="%1.%2.%3.%4.%5.%6.%7.%8."/>
      <w:lvlJc w:val="left"/>
      <w:pPr>
        <w:ind w:left="1440" w:hanging="1440"/>
      </w:pPr>
      <w:rPr>
        <w:rFonts w:hint="default"/>
      </w:rPr>
    </w:lvl>
    <w:lvl w:ilvl="8" w:tentative="1">
      <w:start w:val="1"/>
      <w:numFmt w:val="decimal"/>
      <w:pStyle w:val="10"/>
      <w:lvlText w:val="%1.%2.%3.%4.%5.%6.%7.%8.%9."/>
      <w:lvlJc w:val="left"/>
      <w:pPr>
        <w:ind w:left="1583" w:hanging="1583"/>
      </w:pPr>
      <w:rPr>
        <w:rFonts w:hint="default"/>
      </w:rPr>
    </w:lvl>
  </w:abstractNum>
  <w:abstractNum w:abstractNumId="20">
    <w:nsid w:val="00000014"/>
    <w:multiLevelType w:val="multilevel"/>
    <w:tmpl w:val="00000014"/>
    <w:lvl w:ilvl="0" w:tentative="1">
      <w:start w:val="1"/>
      <w:numFmt w:val="decimal"/>
      <w:lvlText w:val="（%1）"/>
      <w:lvlJc w:val="left"/>
      <w:pPr>
        <w:ind w:left="845" w:hanging="420"/>
      </w:pPr>
      <w:rPr>
        <w:rFonts w:hint="eastAsia"/>
      </w:rPr>
    </w:lvl>
    <w:lvl w:ilvl="1" w:tentative="1">
      <w:start w:val="1"/>
      <w:numFmt w:val="lowerLetter"/>
      <w:lvlText w:val="%2)"/>
      <w:lvlJc w:val="left"/>
      <w:pPr>
        <w:ind w:left="1265" w:hanging="420"/>
      </w:pPr>
    </w:lvl>
    <w:lvl w:ilvl="2" w:tentative="1">
      <w:start w:val="1"/>
      <w:numFmt w:val="lowerRoman"/>
      <w:lvlText w:val="%3."/>
      <w:lvlJc w:val="right"/>
      <w:pPr>
        <w:ind w:left="1685" w:hanging="420"/>
      </w:pPr>
    </w:lvl>
    <w:lvl w:ilvl="3" w:tentative="1">
      <w:start w:val="1"/>
      <w:numFmt w:val="decimal"/>
      <w:lvlText w:val="%4."/>
      <w:lvlJc w:val="left"/>
      <w:pPr>
        <w:ind w:left="2105" w:hanging="420"/>
      </w:pPr>
    </w:lvl>
    <w:lvl w:ilvl="4" w:tentative="1">
      <w:start w:val="1"/>
      <w:numFmt w:val="lowerLetter"/>
      <w:lvlText w:val="%5)"/>
      <w:lvlJc w:val="left"/>
      <w:pPr>
        <w:ind w:left="2525" w:hanging="420"/>
      </w:pPr>
    </w:lvl>
    <w:lvl w:ilvl="5" w:tentative="1">
      <w:start w:val="1"/>
      <w:numFmt w:val="lowerRoman"/>
      <w:lvlText w:val="%6."/>
      <w:lvlJc w:val="right"/>
      <w:pPr>
        <w:ind w:left="2945" w:hanging="420"/>
      </w:pPr>
    </w:lvl>
    <w:lvl w:ilvl="6" w:tentative="1">
      <w:start w:val="1"/>
      <w:numFmt w:val="decimal"/>
      <w:lvlText w:val="%7."/>
      <w:lvlJc w:val="left"/>
      <w:pPr>
        <w:ind w:left="3365" w:hanging="420"/>
      </w:pPr>
    </w:lvl>
    <w:lvl w:ilvl="7" w:tentative="1">
      <w:start w:val="1"/>
      <w:numFmt w:val="lowerLetter"/>
      <w:lvlText w:val="%8)"/>
      <w:lvlJc w:val="left"/>
      <w:pPr>
        <w:ind w:left="3785" w:hanging="420"/>
      </w:pPr>
    </w:lvl>
    <w:lvl w:ilvl="8" w:tentative="1">
      <w:start w:val="1"/>
      <w:numFmt w:val="lowerRoman"/>
      <w:lvlText w:val="%9."/>
      <w:lvlJc w:val="right"/>
      <w:pPr>
        <w:ind w:left="4205" w:hanging="420"/>
      </w:pPr>
    </w:lvl>
  </w:abstractNum>
  <w:num w:numId="1">
    <w:abstractNumId w:val="19"/>
  </w:num>
  <w:num w:numId="2">
    <w:abstractNumId w:val="4"/>
  </w:num>
  <w:num w:numId="3">
    <w:abstractNumId w:val="18"/>
  </w:num>
  <w:num w:numId="4">
    <w:abstractNumId w:val="5"/>
  </w:num>
  <w:num w:numId="5">
    <w:abstractNumId w:val="8"/>
  </w:num>
  <w:num w:numId="6">
    <w:abstractNumId w:val="15"/>
  </w:num>
  <w:num w:numId="7">
    <w:abstractNumId w:val="17"/>
  </w:num>
  <w:num w:numId="8">
    <w:abstractNumId w:val="11"/>
  </w:num>
  <w:num w:numId="9">
    <w:abstractNumId w:val="10"/>
  </w:num>
  <w:num w:numId="10">
    <w:abstractNumId w:val="2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spacing w:line="560" w:lineRule="exact"/>
      <w:ind w:firstLine="1120" w:firstLineChars="200"/>
      <w:jc w:val="both"/>
    </w:pPr>
    <w:rPr>
      <w:rFonts w:ascii="宋体" w:hAnsi="宋体" w:eastAsia="仿宋" w:cs="仿宋"/>
      <w:kern w:val="2"/>
      <w:sz w:val="32"/>
      <w:szCs w:val="32"/>
      <w:lang w:val="en-US" w:eastAsia="zh-CN" w:bidi="ar-SA"/>
    </w:rPr>
  </w:style>
  <w:style w:type="paragraph" w:styleId="2">
    <w:name w:val="heading 1"/>
    <w:basedOn w:val="1"/>
    <w:next w:val="1"/>
    <w:link w:val="57"/>
    <w:pPr>
      <w:keepNext/>
      <w:keepLines/>
      <w:numPr>
        <w:ilvl w:val="0"/>
        <w:numId w:val="1"/>
      </w:numPr>
      <w:spacing w:before="200" w:after="120"/>
      <w:ind w:firstLine="0" w:firstLineChars="0"/>
      <w:jc w:val="left"/>
      <w:outlineLvl w:val="0"/>
    </w:pPr>
    <w:rPr>
      <w:rFonts w:ascii="黑体" w:hAnsi="黑体" w:eastAsia="黑体" w:cs="黑体"/>
      <w:kern w:val="44"/>
      <w:sz w:val="32"/>
      <w:szCs w:val="32"/>
    </w:rPr>
  </w:style>
  <w:style w:type="paragraph" w:styleId="3">
    <w:name w:val="heading 2"/>
    <w:basedOn w:val="1"/>
    <w:next w:val="1"/>
    <w:link w:val="59"/>
    <w:pPr>
      <w:keepNext/>
      <w:keepLines/>
      <w:numPr>
        <w:ilvl w:val="1"/>
        <w:numId w:val="1"/>
      </w:numPr>
      <w:spacing w:before="200" w:after="120"/>
      <w:ind w:left="893" w:leftChars="100" w:hanging="573" w:firstLineChars="0"/>
      <w:jc w:val="left"/>
      <w:outlineLvl w:val="1"/>
    </w:pPr>
    <w:rPr>
      <w:rFonts w:ascii="楷体" w:hAnsi="楷体" w:eastAsia="楷体" w:cs="楷体"/>
      <w:b/>
      <w:sz w:val="32"/>
      <w:szCs w:val="32"/>
    </w:rPr>
  </w:style>
  <w:style w:type="paragraph" w:styleId="4">
    <w:name w:val="heading 3"/>
    <w:basedOn w:val="1"/>
    <w:next w:val="1"/>
    <w:link w:val="58"/>
    <w:pPr>
      <w:keepNext/>
      <w:keepLines/>
      <w:numPr>
        <w:ilvl w:val="2"/>
        <w:numId w:val="1"/>
      </w:numPr>
      <w:spacing w:before="200" w:after="160"/>
      <w:ind w:left="1360" w:leftChars="200" w:firstLine="0" w:firstLineChars="0"/>
      <w:outlineLvl w:val="2"/>
    </w:pPr>
    <w:rPr>
      <w:rFonts w:ascii="仿宋" w:hAnsi="仿宋" w:eastAsia="仿宋"/>
      <w:b/>
      <w:sz w:val="32"/>
      <w:szCs w:val="32"/>
    </w:rPr>
  </w:style>
  <w:style w:type="paragraph" w:styleId="5">
    <w:name w:val="heading 4"/>
    <w:basedOn w:val="1"/>
    <w:next w:val="1"/>
    <w:pPr>
      <w:keepNext/>
      <w:keepLines/>
      <w:numPr>
        <w:ilvl w:val="3"/>
        <w:numId w:val="1"/>
      </w:numPr>
      <w:spacing w:before="160" w:after="100"/>
      <w:ind w:left="1969" w:leftChars="300" w:firstLine="0" w:firstLineChars="0"/>
      <w:outlineLvl w:val="3"/>
    </w:pPr>
    <w:rPr>
      <w:b/>
      <w:szCs w:val="30"/>
    </w:rPr>
  </w:style>
  <w:style w:type="paragraph" w:styleId="6">
    <w:name w:val="heading 5"/>
    <w:basedOn w:val="1"/>
    <w:next w:val="1"/>
    <w:pPr>
      <w:keepNext/>
      <w:keepLines/>
      <w:numPr>
        <w:ilvl w:val="4"/>
        <w:numId w:val="2"/>
      </w:numPr>
      <w:tabs>
        <w:tab w:val="left" w:pos="420"/>
        <w:tab w:val="clear" w:pos="2100"/>
      </w:tabs>
      <w:spacing w:before="100" w:after="40"/>
      <w:ind w:left="0" w:firstLine="1120"/>
      <w:outlineLvl w:val="4"/>
    </w:pPr>
    <w:rPr>
      <w:b/>
    </w:rPr>
  </w:style>
  <w:style w:type="paragraph" w:styleId="7">
    <w:name w:val="heading 6"/>
    <w:basedOn w:val="1"/>
    <w:next w:val="1"/>
    <w:pPr>
      <w:keepNext/>
      <w:keepLines/>
      <w:numPr>
        <w:ilvl w:val="5"/>
        <w:numId w:val="1"/>
      </w:numPr>
      <w:tabs>
        <w:tab w:val="left" w:pos="420"/>
      </w:tabs>
      <w:spacing w:before="240" w:after="64" w:line="317" w:lineRule="auto"/>
      <w:ind w:firstLine="0" w:firstLineChars="0"/>
      <w:outlineLvl w:val="5"/>
    </w:pPr>
    <w:rPr>
      <w:rFonts w:ascii="Arial" w:hAnsi="Arial" w:eastAsia="黑体"/>
      <w:b/>
      <w:sz w:val="24"/>
    </w:rPr>
  </w:style>
  <w:style w:type="paragraph" w:styleId="8">
    <w:name w:val="heading 7"/>
    <w:basedOn w:val="1"/>
    <w:next w:val="1"/>
    <w:pPr>
      <w:keepNext/>
      <w:keepLines/>
      <w:numPr>
        <w:ilvl w:val="6"/>
        <w:numId w:val="1"/>
      </w:numPr>
      <w:tabs>
        <w:tab w:val="left" w:pos="420"/>
      </w:tabs>
      <w:spacing w:before="240" w:after="64" w:line="317" w:lineRule="auto"/>
      <w:ind w:firstLine="0" w:firstLineChars="0"/>
      <w:outlineLvl w:val="6"/>
    </w:pPr>
    <w:rPr>
      <w:b/>
      <w:sz w:val="24"/>
    </w:rPr>
  </w:style>
  <w:style w:type="paragraph" w:styleId="9">
    <w:name w:val="heading 8"/>
    <w:basedOn w:val="1"/>
    <w:next w:val="1"/>
    <w:pPr>
      <w:keepNext/>
      <w:keepLines/>
      <w:numPr>
        <w:ilvl w:val="7"/>
        <w:numId w:val="1"/>
      </w:numPr>
      <w:tabs>
        <w:tab w:val="left" w:pos="420"/>
      </w:tabs>
      <w:spacing w:before="240" w:after="64" w:line="317" w:lineRule="auto"/>
      <w:ind w:firstLine="0" w:firstLineChars="0"/>
      <w:outlineLvl w:val="7"/>
    </w:pPr>
    <w:rPr>
      <w:rFonts w:ascii="Arial" w:hAnsi="Arial" w:eastAsia="黑体"/>
      <w:sz w:val="24"/>
    </w:rPr>
  </w:style>
  <w:style w:type="paragraph" w:styleId="10">
    <w:name w:val="heading 9"/>
    <w:basedOn w:val="1"/>
    <w:next w:val="1"/>
    <w:pPr>
      <w:keepNext/>
      <w:keepLines/>
      <w:numPr>
        <w:ilvl w:val="8"/>
        <w:numId w:val="1"/>
      </w:numPr>
      <w:tabs>
        <w:tab w:val="left" w:pos="420"/>
      </w:tabs>
      <w:spacing w:before="240" w:after="64" w:line="317" w:lineRule="auto"/>
      <w:ind w:firstLine="0" w:firstLineChars="0"/>
      <w:outlineLvl w:val="8"/>
    </w:pPr>
    <w:rPr>
      <w:rFonts w:ascii="Arial" w:hAnsi="Arial" w:eastAsia="黑体"/>
      <w:sz w:val="21"/>
    </w:rPr>
  </w:style>
  <w:style w:type="character" w:default="1" w:styleId="24">
    <w:name w:val="Default Paragraph Font"/>
  </w:style>
  <w:style w:type="character" w:customStyle="1" w:styleId="11">
    <w:name w:val="批注主题 Char"/>
    <w:link w:val="12"/>
    <w:semiHidden/>
    <w:rPr>
      <w:b/>
      <w:bCs/>
    </w:rPr>
  </w:style>
  <w:style w:type="paragraph" w:customStyle="1" w:styleId="12">
    <w:name w:val="批注主题1"/>
    <w:basedOn w:val="13"/>
    <w:next w:val="13"/>
    <w:link w:val="11"/>
    <w:pPr>
      <w:spacing w:line="240" w:lineRule="auto"/>
      <w:ind w:firstLine="0" w:firstLineChars="0"/>
    </w:pPr>
    <w:rPr>
      <w:b/>
      <w:bCs/>
    </w:rPr>
  </w:style>
  <w:style w:type="paragraph" w:styleId="13">
    <w:name w:val="annotation text"/>
    <w:basedOn w:val="1"/>
    <w:link w:val="63"/>
    <w:pPr>
      <w:jc w:val="left"/>
    </w:pPr>
    <w:rPr>
      <w:rFonts w:ascii="宋体" w:hAnsi="宋体" w:eastAsia="仿宋" w:cs="仿宋"/>
      <w:kern w:val="2"/>
      <w:sz w:val="32"/>
      <w:szCs w:val="32"/>
    </w:rPr>
  </w:style>
  <w:style w:type="paragraph" w:styleId="14">
    <w:name w:val="caption"/>
    <w:basedOn w:val="1"/>
    <w:next w:val="1"/>
    <w:link w:val="60"/>
    <w:pPr>
      <w:spacing w:before="40"/>
      <w:jc w:val="center"/>
    </w:pPr>
    <w:rPr>
      <w:rFonts w:ascii="Arial" w:hAnsi="Arial" w:eastAsia="黑体"/>
      <w:sz w:val="20"/>
    </w:rPr>
  </w:style>
  <w:style w:type="paragraph" w:styleId="15">
    <w:name w:val="Body Text"/>
    <w:basedOn w:val="1"/>
    <w:next w:val="16"/>
  </w:style>
  <w:style w:type="paragraph" w:customStyle="1" w:styleId="16">
    <w:name w:val="目录 81"/>
    <w:next w:val="1"/>
    <w:pPr>
      <w:wordWrap w:val="0"/>
      <w:ind w:left="2975"/>
      <w:jc w:val="both"/>
    </w:pPr>
    <w:rPr>
      <w:sz w:val="21"/>
      <w:szCs w:val="22"/>
    </w:rPr>
  </w:style>
  <w:style w:type="paragraph" w:styleId="17">
    <w:name w:val="toc 3"/>
    <w:basedOn w:val="1"/>
    <w:next w:val="1"/>
    <w:pPr>
      <w:ind w:left="640" w:leftChars="200" w:firstLine="0" w:firstLineChars="0"/>
    </w:pPr>
  </w:style>
  <w:style w:type="paragraph" w:styleId="18">
    <w:name w:val="footer"/>
    <w:basedOn w:val="1"/>
    <w:pPr>
      <w:tabs>
        <w:tab w:val="center" w:pos="4153"/>
        <w:tab w:val="right" w:pos="8306"/>
      </w:tabs>
      <w:snapToGrid w:val="0"/>
      <w:ind w:firstLine="0" w:firstLineChars="0"/>
      <w:jc w:val="left"/>
    </w:pPr>
    <w:rPr>
      <w:rFonts w:eastAsia="宋体"/>
      <w:sz w:val="28"/>
    </w:rPr>
  </w:style>
  <w:style w:type="paragraph" w:styleId="19">
    <w:name w:val="header"/>
    <w:basedOn w:val="1"/>
    <w:link w:val="61"/>
    <w:pPr>
      <w:pBdr>
        <w:bottom w:val="single" w:color="auto" w:sz="6" w:space="1"/>
      </w:pBdr>
      <w:tabs>
        <w:tab w:val="center" w:pos="4153"/>
        <w:tab w:val="right" w:pos="8306"/>
      </w:tabs>
      <w:snapToGrid w:val="0"/>
      <w:spacing w:line="240" w:lineRule="atLeast"/>
      <w:jc w:val="center"/>
    </w:pPr>
    <w:rPr>
      <w:rFonts w:ascii="Calibri" w:hAnsi="Calibri" w:eastAsia="仿宋" w:cs="黑体"/>
      <w:kern w:val="2"/>
      <w:sz w:val="18"/>
      <w:szCs w:val="18"/>
    </w:rPr>
  </w:style>
  <w:style w:type="paragraph" w:styleId="20">
    <w:name w:val="toc 1"/>
    <w:basedOn w:val="1"/>
    <w:next w:val="1"/>
    <w:pPr>
      <w:tabs>
        <w:tab w:val="right" w:leader="dot" w:pos="9016"/>
      </w:tabs>
    </w:pPr>
  </w:style>
  <w:style w:type="paragraph" w:styleId="21">
    <w:name w:val="footnote text"/>
    <w:basedOn w:val="1"/>
    <w:pPr>
      <w:snapToGrid w:val="0"/>
      <w:jc w:val="left"/>
    </w:pPr>
    <w:rPr>
      <w:sz w:val="18"/>
      <w:szCs w:val="18"/>
    </w:rPr>
  </w:style>
  <w:style w:type="paragraph" w:styleId="22">
    <w:name w:val="toc 2"/>
    <w:basedOn w:val="1"/>
    <w:next w:val="1"/>
    <w:pPr>
      <w:ind w:left="320" w:leftChars="100" w:firstLine="0" w:firstLineChars="0"/>
    </w:pPr>
  </w:style>
  <w:style w:type="paragraph" w:styleId="23">
    <w:name w:val="Title"/>
    <w:basedOn w:val="1"/>
    <w:next w:val="1"/>
    <w:pPr>
      <w:spacing w:before="240" w:after="60"/>
      <w:ind w:firstLine="0" w:firstLineChars="0"/>
      <w:jc w:val="center"/>
      <w:outlineLvl w:val="0"/>
    </w:pPr>
    <w:rPr>
      <w:rFonts w:ascii="Cambria" w:hAnsi="Cambria"/>
      <w:b/>
      <w:bCs/>
      <w:kern w:val="0"/>
    </w:rPr>
  </w:style>
  <w:style w:type="character" w:styleId="25">
    <w:name w:val="FollowedHyperlink"/>
    <w:basedOn w:val="24"/>
    <w:rPr>
      <w:color w:val="800080"/>
      <w:u w:val="single"/>
    </w:rPr>
  </w:style>
  <w:style w:type="character" w:styleId="26">
    <w:name w:val="Hyperlink"/>
    <w:rPr>
      <w:rFonts w:cs="Times New Roman"/>
      <w:color w:val="0000FF"/>
      <w:u w:val="none"/>
    </w:rPr>
  </w:style>
  <w:style w:type="paragraph" w:customStyle="1" w:styleId="27">
    <w:name w:val="Normal Indent"/>
    <w:basedOn w:val="1"/>
    <w:pPr>
      <w:widowControl/>
      <w:autoSpaceDE w:val="0"/>
      <w:autoSpaceDN w:val="0"/>
      <w:adjustRightInd w:val="0"/>
      <w:spacing w:line="380" w:lineRule="exact"/>
      <w:ind w:firstLine="482" w:firstLineChars="0"/>
    </w:pPr>
    <w:rPr>
      <w:rFonts w:eastAsia="MV Boli"/>
    </w:rPr>
  </w:style>
  <w:style w:type="paragraph" w:customStyle="1" w:styleId="28">
    <w:name w:val="Body Text Indent"/>
    <w:basedOn w:val="1"/>
    <w:pPr>
      <w:spacing w:after="120"/>
      <w:ind w:left="420" w:leftChars="200"/>
    </w:pPr>
    <w:rPr>
      <w:rFonts w:eastAsia="MV Boli"/>
      <w:szCs w:val="24"/>
    </w:rPr>
  </w:style>
  <w:style w:type="paragraph" w:customStyle="1" w:styleId="29">
    <w:name w:val="Body Text First Indent 2"/>
    <w:basedOn w:val="28"/>
    <w:next w:val="15"/>
    <w:pPr>
      <w:spacing w:beforeLines="50" w:afterLines="50" w:line="360" w:lineRule="auto"/>
      <w:ind w:firstLine="200"/>
    </w:pPr>
    <w:rPr>
      <w:rFonts w:eastAsia="微软雅黑"/>
      <w:kern w:val="0"/>
      <w:sz w:val="20"/>
      <w:szCs w:val="20"/>
    </w:rPr>
  </w:style>
  <w:style w:type="paragraph" w:customStyle="1" w:styleId="30">
    <w:name w:val="引文目录标题1"/>
    <w:basedOn w:val="1"/>
    <w:next w:val="1"/>
    <w:pPr>
      <w:spacing w:before="120"/>
    </w:pPr>
    <w:rPr>
      <w:rFonts w:ascii="Arial" w:hAnsi="Arial"/>
      <w:sz w:val="24"/>
      <w:szCs w:val="20"/>
    </w:rPr>
  </w:style>
  <w:style w:type="paragraph" w:customStyle="1" w:styleId="31">
    <w:name w:val="正文缩进1"/>
    <w:basedOn w:val="1"/>
    <w:pPr>
      <w:spacing w:line="360" w:lineRule="auto"/>
      <w:ind w:firstLine="420"/>
    </w:pPr>
    <w:rPr>
      <w:rFonts w:ascii="Times New Roman" w:hAnsi="Times New Roman" w:eastAsia="宋体" w:cs="Times New Roman"/>
      <w:sz w:val="24"/>
      <w:szCs w:val="24"/>
    </w:rPr>
  </w:style>
  <w:style w:type="paragraph" w:customStyle="1" w:styleId="32">
    <w:name w:val="纯文本1"/>
    <w:basedOn w:val="1"/>
    <w:rPr>
      <w:rFonts w:hAnsi="Courier New"/>
      <w:sz w:val="22"/>
      <w:szCs w:val="20"/>
    </w:rPr>
  </w:style>
  <w:style w:type="paragraph" w:customStyle="1" w:styleId="33">
    <w:name w:val="正文首行缩进1"/>
    <w:basedOn w:val="15"/>
    <w:pPr>
      <w:ind w:firstLine="420" w:firstLineChars="100"/>
    </w:pPr>
    <w:rPr>
      <w:szCs w:val="20"/>
    </w:rPr>
  </w:style>
  <w:style w:type="paragraph" w:customStyle="1" w:styleId="34">
    <w:name w:val="普通(网站)1"/>
    <w:basedOn w:val="1"/>
    <w:pPr>
      <w:spacing w:beforeAutospacing="1" w:afterAutospacing="1"/>
      <w:jc w:val="left"/>
    </w:pPr>
    <w:rPr>
      <w:rFonts w:cs="Times New Roman"/>
      <w:kern w:val="0"/>
      <w:sz w:val="24"/>
    </w:rPr>
  </w:style>
  <w:style w:type="paragraph" w:customStyle="1" w:styleId="35">
    <w:name w:val="靠左"/>
    <w:basedOn w:val="36"/>
    <w:pPr>
      <w:jc w:val="left"/>
    </w:pPr>
    <w:rPr>
      <w:sz w:val="28"/>
    </w:rPr>
  </w:style>
  <w:style w:type="paragraph" w:customStyle="1" w:styleId="36">
    <w:name w:val="居中"/>
    <w:basedOn w:val="1"/>
    <w:pPr>
      <w:ind w:firstLine="0" w:firstLineChars="0"/>
      <w:jc w:val="center"/>
    </w:pPr>
  </w:style>
  <w:style w:type="paragraph" w:customStyle="1" w:styleId="37">
    <w:name w:val="表格"/>
    <w:basedOn w:val="1"/>
    <w:pPr>
      <w:ind w:firstLine="0" w:firstLineChars="0"/>
      <w:jc w:val="left"/>
    </w:pPr>
  </w:style>
  <w:style w:type="paragraph" w:customStyle="1" w:styleId="38">
    <w:name w:val="WPSOffice手动目录 1"/>
  </w:style>
  <w:style w:type="paragraph" w:customStyle="1" w:styleId="39">
    <w:name w:val="WPSOffice手动目录 2"/>
    <w:pPr>
      <w:ind w:left="200" w:leftChars="200"/>
    </w:pPr>
  </w:style>
  <w:style w:type="paragraph" w:customStyle="1" w:styleId="40">
    <w:name w:val="WPSOffice手动目录 3"/>
    <w:pPr>
      <w:ind w:left="400" w:leftChars="400"/>
    </w:pPr>
  </w:style>
  <w:style w:type="paragraph" w:customStyle="1" w:styleId="41">
    <w:name w:val="Default Text"/>
    <w:link w:val="62"/>
    <w:pPr>
      <w:widowControl w:val="0"/>
      <w:autoSpaceDE w:val="0"/>
      <w:autoSpaceDN w:val="0"/>
      <w:adjustRightInd w:val="0"/>
    </w:pPr>
    <w:rPr>
      <w:color w:val="000000"/>
      <w:kern w:val="2"/>
      <w:sz w:val="24"/>
      <w:szCs w:val="24"/>
    </w:rPr>
  </w:style>
  <w:style w:type="paragraph" w:customStyle="1" w:styleId="42">
    <w:name w:val="Table Paragraph"/>
    <w:basedOn w:val="1"/>
    <w:pPr>
      <w:jc w:val="left"/>
    </w:pPr>
    <w:rPr>
      <w:rFonts w:cs="宋体"/>
      <w:kern w:val="0"/>
      <w:sz w:val="22"/>
      <w:lang w:eastAsia="en-US"/>
    </w:rPr>
  </w:style>
  <w:style w:type="paragraph" w:customStyle="1" w:styleId="43">
    <w:name w:val="缺省文本"/>
    <w:pPr>
      <w:widowControl w:val="0"/>
      <w:autoSpaceDE w:val="0"/>
      <w:autoSpaceDN w:val="0"/>
      <w:adjustRightInd w:val="0"/>
    </w:pPr>
    <w:rPr>
      <w:color w:val="000000"/>
      <w:sz w:val="24"/>
      <w:szCs w:val="24"/>
    </w:rPr>
  </w:style>
  <w:style w:type="paragraph" w:customStyle="1" w:styleId="44">
    <w:name w:val="È±Ê¡ÎÄ±¾"/>
    <w:basedOn w:val="1"/>
    <w:pPr>
      <w:widowControl/>
      <w:overflowPunct w:val="0"/>
      <w:autoSpaceDE w:val="0"/>
      <w:autoSpaceDN w:val="0"/>
      <w:adjustRightInd w:val="0"/>
      <w:jc w:val="left"/>
      <w:textAlignment w:val="baseline"/>
    </w:pPr>
    <w:rPr>
      <w:kern w:val="0"/>
      <w:sz w:val="24"/>
      <w:szCs w:val="20"/>
    </w:rPr>
  </w:style>
  <w:style w:type="paragraph" w:customStyle="1" w:styleId="45">
    <w:name w:val="p0"/>
    <w:basedOn w:val="1"/>
    <w:pPr>
      <w:widowControl/>
    </w:pPr>
    <w:rPr>
      <w:rFonts w:ascii="Calibri" w:hAnsi="Calibri"/>
      <w:kern w:val="0"/>
      <w:szCs w:val="21"/>
    </w:rPr>
  </w:style>
  <w:style w:type="paragraph" w:customStyle="1" w:styleId="46">
    <w:name w:val="正文文本缩进1"/>
    <w:basedOn w:val="1"/>
    <w:pPr>
      <w:spacing w:after="120"/>
      <w:ind w:left="420" w:leftChars="200"/>
    </w:pPr>
  </w:style>
  <w:style w:type="paragraph" w:customStyle="1" w:styleId="47">
    <w:name w:val="正文首行缩进 21"/>
    <w:basedOn w:val="46"/>
    <w:pPr>
      <w:ind w:firstLine="420"/>
    </w:pPr>
    <w:rPr>
      <w:rFonts w:ascii="仿宋_GB2312" w:hAnsi="Calibri" w:eastAsia="Times New Roman" w:cs="Times New Roman"/>
      <w:color w:val="000000"/>
      <w:kern w:val="0"/>
      <w:sz w:val="24"/>
      <w:szCs w:val="24"/>
    </w:rPr>
  </w:style>
  <w:style w:type="paragraph" w:customStyle="1" w:styleId="48">
    <w:name w:val="正文1"/>
    <w:rPr>
      <w:rFonts w:eastAsia="Times New Roman"/>
      <w:sz w:val="24"/>
      <w:szCs w:val="24"/>
    </w:rPr>
  </w:style>
  <w:style w:type="paragraph" w:customStyle="1" w:styleId="49">
    <w:name w:val="样式1"/>
    <w:pPr>
      <w:widowControl w:val="0"/>
      <w:spacing w:line="360" w:lineRule="auto"/>
      <w:ind w:firstLine="200" w:firstLineChars="200"/>
    </w:pPr>
    <w:rPr>
      <w:kern w:val="2"/>
      <w:sz w:val="24"/>
      <w:szCs w:val="22"/>
    </w:rPr>
  </w:style>
  <w:style w:type="paragraph" w:customStyle="1" w:styleId="50">
    <w:name w:val="列出段落1"/>
    <w:basedOn w:val="1"/>
    <w:pPr>
      <w:ind w:firstLine="420"/>
    </w:pPr>
  </w:style>
  <w:style w:type="paragraph" w:customStyle="1" w:styleId="51">
    <w:name w:val="No Spacing"/>
    <w:pPr>
      <w:widowControl w:val="0"/>
      <w:jc w:val="both"/>
    </w:pPr>
    <w:rPr>
      <w:rFonts w:ascii="Times New Roman" w:hAnsi="Times New Roman" w:eastAsia="Times New Roman" w:cs="Times New Roman"/>
      <w:kern w:val="2"/>
      <w:sz w:val="21"/>
      <w:szCs w:val="22"/>
      <w:lang w:val="en-US" w:eastAsia="zh-CN" w:bidi="ar-SA"/>
    </w:rPr>
  </w:style>
  <w:style w:type="paragraph" w:customStyle="1" w:styleId="52">
    <w:name w:val="Body Text First Indent"/>
    <w:basedOn w:val="15"/>
    <w:pPr>
      <w:ind w:firstLine="420" w:firstLineChars="100"/>
    </w:pPr>
    <w:rPr>
      <w:szCs w:val="20"/>
    </w:rPr>
  </w:style>
  <w:style w:type="paragraph" w:customStyle="1" w:styleId="53">
    <w:name w:val="Normal (Web)"/>
    <w:basedOn w:val="1"/>
    <w:pPr>
      <w:spacing w:beforeAutospacing="1" w:afterAutospacing="1"/>
      <w:jc w:val="left"/>
    </w:pPr>
    <w:rPr>
      <w:rFonts w:cs="Times New Roman"/>
      <w:kern w:val="0"/>
      <w:sz w:val="24"/>
    </w:rPr>
  </w:style>
  <w:style w:type="paragraph" w:customStyle="1" w:styleId="54">
    <w:name w:val="HTML Address"/>
    <w:basedOn w:val="1"/>
    <w:pPr>
      <w:widowControl/>
      <w:jc w:val="left"/>
    </w:pPr>
    <w:rPr>
      <w:rFonts w:ascii="宋体" w:hAnsi="宋体" w:cs="宋体"/>
      <w:kern w:val="0"/>
      <w:sz w:val="24"/>
      <w:szCs w:val="24"/>
    </w:rPr>
  </w:style>
  <w:style w:type="paragraph" w:customStyle="1" w:styleId="55">
    <w:name w:val="toa heading"/>
    <w:basedOn w:val="1"/>
    <w:next w:val="1"/>
    <w:pPr>
      <w:spacing w:before="120"/>
    </w:pPr>
    <w:rPr>
      <w:rFonts w:ascii="Arial" w:hAnsi="Arial" w:eastAsia="仿宋"/>
      <w:sz w:val="24"/>
      <w:szCs w:val="20"/>
    </w:rPr>
  </w:style>
  <w:style w:type="character" w:customStyle="1" w:styleId="56">
    <w:name w:val="page number"/>
    <w:basedOn w:val="24"/>
    <w:rPr/>
  </w:style>
  <w:style w:type="character" w:customStyle="1" w:styleId="57">
    <w:name w:val="标题 1 字符"/>
    <w:link w:val="2"/>
    <w:semiHidden/>
    <w:rPr>
      <w:rFonts w:ascii="黑体" w:hAnsi="黑体" w:eastAsia="黑体" w:cs="黑体"/>
      <w:kern w:val="44"/>
      <w:sz w:val="32"/>
      <w:szCs w:val="32"/>
    </w:rPr>
  </w:style>
  <w:style w:type="character" w:customStyle="1" w:styleId="58">
    <w:name w:val="标题 3 字符"/>
    <w:link w:val="4"/>
    <w:semiHidden/>
    <w:rPr>
      <w:rFonts w:ascii="仿宋" w:hAnsi="仿宋" w:eastAsia="仿宋"/>
      <w:b/>
      <w:sz w:val="32"/>
      <w:szCs w:val="32"/>
    </w:rPr>
  </w:style>
  <w:style w:type="character" w:customStyle="1" w:styleId="59">
    <w:name w:val="标题 2 字符"/>
    <w:link w:val="3"/>
    <w:semiHidden/>
    <w:rPr>
      <w:rFonts w:ascii="楷体" w:hAnsi="楷体" w:eastAsia="楷体" w:cs="楷体"/>
      <w:b/>
      <w:sz w:val="32"/>
      <w:szCs w:val="32"/>
    </w:rPr>
  </w:style>
  <w:style w:type="character" w:customStyle="1" w:styleId="60">
    <w:name w:val="题注 字符"/>
    <w:link w:val="14"/>
    <w:semiHidden/>
    <w:rPr>
      <w:rFonts w:ascii="Arial" w:hAnsi="Arial" w:eastAsia="黑体"/>
      <w:sz w:val="20"/>
    </w:rPr>
  </w:style>
  <w:style w:type="character" w:customStyle="1" w:styleId="61">
    <w:name w:val="页眉 字符"/>
    <w:basedOn w:val="24"/>
    <w:link w:val="19"/>
    <w:semiHidden/>
    <w:rPr>
      <w:rFonts w:ascii="Calibri" w:hAnsi="Calibri" w:eastAsia="仿宋" w:cs="黑体"/>
      <w:kern w:val="2"/>
      <w:sz w:val="18"/>
      <w:szCs w:val="18"/>
    </w:rPr>
  </w:style>
  <w:style w:type="character" w:customStyle="1" w:styleId="62">
    <w:name w:val="Default Text Char Char"/>
    <w:link w:val="41"/>
    <w:semiHidden/>
    <w:rPr>
      <w:color w:val="000000"/>
      <w:kern w:val="2"/>
      <w:sz w:val="24"/>
      <w:szCs w:val="24"/>
    </w:rPr>
  </w:style>
  <w:style w:type="character" w:customStyle="1" w:styleId="63">
    <w:name w:val="批注文字 字符"/>
    <w:basedOn w:val="24"/>
    <w:link w:val="13"/>
    <w:semiHidden/>
    <w:rPr>
      <w:rFonts w:ascii="宋体" w:hAnsi="宋体" w:eastAsia="仿宋" w:cs="仿宋"/>
      <w:kern w:val="2"/>
      <w:sz w:val="32"/>
      <w:szCs w:val="3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143</Pages>
  <Words>10493</Words>
  <Characters>59811</Characters>
  <Lines>498</Lines>
  <Paragraphs>140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2021-11-04T15:40:00Z</dcterms:created>
  <dc:creator>Lenovo</dc:creator>
  <cp:lastPrinted>2021-11-24T20:17:00Z</cp:lastPrinted>
  <dcterms:modified xsi:type="dcterms:W3CDTF">2021-11-26T11:34:21Z</dcterms:modified>
  <dc:title>Windows User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A35AEA2F52D14C1EA5BE69BF2DAB6C9F</vt:lpwstr>
  </property>
</Properties>
</file>