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ascii="微软雅黑" w:hAnsi="微软雅黑" w:eastAsia="微软雅黑" w:cs="微软雅黑"/>
          <w:bCs/>
          <w:color w:val="auto"/>
          <w:sz w:val="28"/>
          <w:szCs w:val="28"/>
        </w:rPr>
      </w:pPr>
      <w:r>
        <w:rPr>
          <w:rFonts w:hint="eastAsia" w:ascii="微软雅黑" w:hAnsi="微软雅黑" w:eastAsia="微软雅黑" w:cs="微软雅黑"/>
          <w:bCs/>
          <w:color w:val="auto"/>
          <w:sz w:val="28"/>
          <w:szCs w:val="28"/>
        </w:rPr>
        <w:t xml:space="preserve"> </w:t>
      </w:r>
    </w:p>
    <w:p>
      <w:pPr>
        <w:spacing w:line="240" w:lineRule="atLeast"/>
        <w:jc w:val="center"/>
        <w:rPr>
          <w:rFonts w:hint="eastAsia" w:ascii="微软雅黑" w:hAnsi="微软雅黑" w:eastAsia="微软雅黑" w:cs="微软雅黑"/>
          <w:b/>
          <w:color w:val="auto"/>
          <w:sz w:val="44"/>
          <w:szCs w:val="44"/>
          <w:lang w:eastAsia="zh-Hans"/>
        </w:rPr>
      </w:pPr>
      <w:r>
        <w:rPr>
          <w:rFonts w:hint="eastAsia" w:ascii="微软雅黑" w:hAnsi="微软雅黑" w:eastAsia="微软雅黑" w:cs="微软雅黑"/>
          <w:b/>
          <w:color w:val="auto"/>
          <w:sz w:val="44"/>
          <w:szCs w:val="44"/>
          <w:lang w:val="en-US" w:eastAsia="zh-Hans"/>
        </w:rPr>
        <w:t>喀什地区能力提升培训第三方评估项目</w:t>
      </w:r>
    </w:p>
    <w:p>
      <w:pPr>
        <w:spacing w:line="240" w:lineRule="atLeast"/>
        <w:jc w:val="center"/>
        <w:rPr>
          <w:rFonts w:hint="eastAsia" w:ascii="微软雅黑" w:hAnsi="微软雅黑" w:eastAsia="微软雅黑" w:cs="微软雅黑"/>
          <w:b/>
          <w:color w:val="auto"/>
          <w:sz w:val="36"/>
          <w:szCs w:val="36"/>
          <w:lang w:eastAsia="zh-Hans"/>
        </w:rPr>
      </w:pPr>
    </w:p>
    <w:p>
      <w:pPr>
        <w:spacing w:line="240" w:lineRule="atLeast"/>
        <w:jc w:val="center"/>
        <w:rPr>
          <w:rFonts w:hint="default" w:ascii="微软雅黑" w:hAnsi="微软雅黑" w:eastAsia="微软雅黑" w:cs="微软雅黑"/>
          <w:color w:val="auto"/>
          <w:sz w:val="36"/>
          <w:szCs w:val="36"/>
          <w:lang w:val="en-US"/>
        </w:rPr>
      </w:pPr>
      <w:r>
        <w:rPr>
          <w:rFonts w:hint="eastAsia" w:ascii="微软雅黑" w:hAnsi="微软雅黑" w:eastAsia="微软雅黑" w:cs="微软雅黑"/>
          <w:b/>
          <w:color w:val="auto"/>
          <w:sz w:val="36"/>
          <w:szCs w:val="36"/>
          <w:lang w:eastAsia="zh-Hans"/>
        </w:rPr>
        <w:t>项目</w:t>
      </w:r>
      <w:r>
        <w:rPr>
          <w:rFonts w:hint="eastAsia" w:ascii="微软雅黑" w:hAnsi="微软雅黑" w:eastAsia="微软雅黑" w:cs="微软雅黑"/>
          <w:b/>
          <w:color w:val="auto"/>
          <w:sz w:val="36"/>
          <w:szCs w:val="36"/>
        </w:rPr>
        <w:t>编号：XJ</w:t>
      </w:r>
      <w:r>
        <w:rPr>
          <w:rFonts w:hint="eastAsia" w:ascii="微软雅黑" w:hAnsi="微软雅黑" w:eastAsia="微软雅黑" w:cs="微软雅黑"/>
          <w:b/>
          <w:color w:val="auto"/>
          <w:sz w:val="36"/>
          <w:szCs w:val="36"/>
          <w:lang w:val="en-US" w:eastAsia="zh-CN"/>
        </w:rPr>
        <w:t>HSY</w:t>
      </w:r>
      <w:r>
        <w:rPr>
          <w:rFonts w:hint="eastAsia" w:ascii="微软雅黑" w:hAnsi="微软雅黑" w:eastAsia="微软雅黑" w:cs="微软雅黑"/>
          <w:b/>
          <w:color w:val="auto"/>
          <w:sz w:val="36"/>
          <w:szCs w:val="36"/>
        </w:rPr>
        <w:t>(</w:t>
      </w:r>
      <w:r>
        <w:rPr>
          <w:rFonts w:hint="eastAsia" w:ascii="微软雅黑" w:hAnsi="微软雅黑" w:eastAsia="微软雅黑" w:cs="微软雅黑"/>
          <w:b/>
          <w:color w:val="auto"/>
          <w:sz w:val="36"/>
          <w:szCs w:val="36"/>
          <w:lang w:val="en-US" w:eastAsia="zh-CN"/>
        </w:rPr>
        <w:t>CS</w:t>
      </w:r>
      <w:r>
        <w:rPr>
          <w:rFonts w:hint="eastAsia" w:ascii="微软雅黑" w:hAnsi="微软雅黑" w:eastAsia="微软雅黑" w:cs="微软雅黑"/>
          <w:b/>
          <w:color w:val="auto"/>
          <w:sz w:val="36"/>
          <w:szCs w:val="36"/>
        </w:rPr>
        <w:t>)2021-0</w:t>
      </w:r>
      <w:r>
        <w:rPr>
          <w:rFonts w:hint="eastAsia" w:ascii="微软雅黑" w:hAnsi="微软雅黑" w:eastAsia="微软雅黑" w:cs="微软雅黑"/>
          <w:b/>
          <w:color w:val="auto"/>
          <w:sz w:val="36"/>
          <w:szCs w:val="36"/>
          <w:lang w:val="en-US" w:eastAsia="zh-CN"/>
        </w:rPr>
        <w:t>1-01</w:t>
      </w:r>
    </w:p>
    <w:p>
      <w:pPr>
        <w:spacing w:line="240" w:lineRule="atLeast"/>
        <w:jc w:val="center"/>
        <w:rPr>
          <w:rFonts w:ascii="微软雅黑" w:hAnsi="微软雅黑" w:eastAsia="微软雅黑" w:cs="微软雅黑"/>
          <w:b/>
          <w:color w:val="auto"/>
          <w:sz w:val="52"/>
          <w:szCs w:val="52"/>
        </w:rPr>
      </w:pPr>
    </w:p>
    <w:p>
      <w:pPr>
        <w:spacing w:line="240" w:lineRule="atLeast"/>
        <w:jc w:val="center"/>
        <w:rPr>
          <w:rFonts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磋 商 文 件</w:t>
      </w: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spacing w:line="500" w:lineRule="exact"/>
        <w:ind w:left="2518" w:leftChars="266" w:hanging="1960" w:hangingChars="700"/>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采购单位名称：</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新疆维吾尔自治区喀什地区人力资源和社会保障局</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联   系   人：</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哈森木江·阿布来提</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联 系  电 话：</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rPr>
        <w:t xml:space="preserve">  0998-2671019    </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rPr>
        <w:t xml:space="preserve">    </w:t>
      </w:r>
    </w:p>
    <w:p>
      <w:pPr>
        <w:spacing w:line="500" w:lineRule="exact"/>
        <w:ind w:firstLine="560" w:firstLineChars="200"/>
        <w:rPr>
          <w:rFonts w:ascii="微软雅黑" w:hAnsi="微软雅黑" w:eastAsia="微软雅黑" w:cs="微软雅黑"/>
          <w:b/>
          <w:color w:val="auto"/>
          <w:sz w:val="28"/>
          <w:szCs w:val="28"/>
        </w:rPr>
      </w:pPr>
    </w:p>
    <w:p>
      <w:pPr>
        <w:pStyle w:val="36"/>
        <w:ind w:firstLine="560"/>
        <w:rPr>
          <w:rFonts w:ascii="微软雅黑" w:hAnsi="微软雅黑" w:eastAsia="微软雅黑" w:cs="微软雅黑"/>
          <w:b/>
          <w:color w:val="auto"/>
          <w:sz w:val="28"/>
          <w:szCs w:val="28"/>
        </w:rPr>
      </w:pPr>
    </w:p>
    <w:p>
      <w:pPr>
        <w:spacing w:line="500" w:lineRule="exact"/>
        <w:rPr>
          <w:rFonts w:ascii="微软雅黑" w:hAnsi="微软雅黑" w:eastAsia="微软雅黑" w:cs="微软雅黑"/>
          <w:b/>
          <w:color w:val="auto"/>
          <w:sz w:val="28"/>
          <w:szCs w:val="28"/>
        </w:rPr>
      </w:pPr>
    </w:p>
    <w:p>
      <w:pPr>
        <w:spacing w:line="500" w:lineRule="exact"/>
        <w:ind w:firstLine="560" w:firstLineChars="200"/>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代理机构名称：</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新疆合升源项目管理有限公司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 xml:space="preserve">联   系   人：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郭小萍</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color w:val="auto"/>
        </w:rPr>
      </w:pPr>
      <w:r>
        <w:rPr>
          <w:rFonts w:hint="eastAsia" w:ascii="微软雅黑" w:hAnsi="微软雅黑" w:eastAsia="微软雅黑" w:cs="微软雅黑"/>
          <w:b/>
          <w:color w:val="auto"/>
          <w:sz w:val="28"/>
          <w:szCs w:val="28"/>
        </w:rPr>
        <w:t xml:space="preserve">联 系 电 话 ：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13309986803</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pStyle w:val="36"/>
        <w:ind w:firstLine="480"/>
        <w:rPr>
          <w:color w:val="auto"/>
        </w:rPr>
      </w:pPr>
    </w:p>
    <w:p>
      <w:pPr>
        <w:spacing w:line="240" w:lineRule="atLeast"/>
        <w:jc w:val="center"/>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日期 2021年</w:t>
      </w:r>
      <w:r>
        <w:rPr>
          <w:rFonts w:hint="eastAsia" w:ascii="微软雅黑" w:hAnsi="微软雅黑" w:eastAsia="微软雅黑" w:cs="微软雅黑"/>
          <w:b/>
          <w:color w:val="auto"/>
          <w:sz w:val="28"/>
          <w:szCs w:val="28"/>
          <w:lang w:val="en-US" w:eastAsia="zh-CN"/>
        </w:rPr>
        <w:t>11</w:t>
      </w:r>
      <w:r>
        <w:rPr>
          <w:rFonts w:hint="eastAsia" w:ascii="微软雅黑" w:hAnsi="微软雅黑" w:eastAsia="微软雅黑" w:cs="微软雅黑"/>
          <w:b/>
          <w:color w:val="auto"/>
          <w:sz w:val="28"/>
          <w:szCs w:val="28"/>
        </w:rPr>
        <w:t>月</w:t>
      </w:r>
    </w:p>
    <w:p>
      <w:pPr>
        <w:spacing w:line="240" w:lineRule="atLeast"/>
        <w:ind w:left="1079" w:leftChars="257" w:hanging="540"/>
        <w:jc w:val="center"/>
        <w:rPr>
          <w:rFonts w:ascii="微软雅黑" w:hAnsi="微软雅黑" w:eastAsia="微软雅黑" w:cs="微软雅黑"/>
          <w:b/>
          <w:color w:val="auto"/>
          <w:sz w:val="32"/>
        </w:rPr>
      </w:pPr>
    </w:p>
    <w:p>
      <w:pPr>
        <w:bidi w:val="0"/>
        <w:rPr>
          <w:rFonts w:ascii="Times New Roman" w:hAnsi="Times New Roman" w:eastAsia="宋体" w:cs="Times New Roman"/>
          <w:kern w:val="2"/>
          <w:sz w:val="21"/>
          <w:szCs w:val="24"/>
          <w:lang w:val="en-US" w:eastAsia="zh-CN" w:bidi="ar-SA"/>
        </w:rPr>
      </w:pPr>
    </w:p>
    <w:p>
      <w:pPr>
        <w:tabs>
          <w:tab w:val="center" w:pos="4156"/>
        </w:tabs>
        <w:bidi w:val="0"/>
        <w:jc w:val="left"/>
        <w:rPr>
          <w:lang w:val="en-US" w:eastAsia="zh-CN"/>
        </w:rPr>
        <w:sectPr>
          <w:footerReference r:id="rId3" w:type="default"/>
          <w:pgSz w:w="11906" w:h="16838"/>
          <w:pgMar w:top="1440" w:right="1797" w:bottom="1440" w:left="1797" w:header="851" w:footer="992" w:gutter="0"/>
          <w:pgNumType w:fmt="decimal" w:start="1"/>
          <w:cols w:space="720" w:num="1"/>
          <w:docGrid w:type="linesAndChars" w:linePitch="312" w:charSpace="0"/>
        </w:sectPr>
      </w:pPr>
      <w:r>
        <w:rPr>
          <w:rFonts w:hint="eastAsia"/>
          <w:lang w:val="en-US" w:eastAsia="zh-CN"/>
        </w:rPr>
        <w:tab/>
      </w:r>
    </w:p>
    <w:p>
      <w:pPr>
        <w:spacing w:line="400" w:lineRule="exact"/>
        <w:ind w:left="1080" w:leftChars="257" w:hanging="540"/>
        <w:jc w:val="center"/>
        <w:rPr>
          <w:rFonts w:ascii="微软雅黑" w:hAnsi="微软雅黑" w:eastAsia="微软雅黑" w:cs="微软雅黑"/>
          <w:b/>
          <w:color w:val="auto"/>
          <w:sz w:val="24"/>
        </w:rPr>
      </w:pPr>
      <w:r>
        <w:rPr>
          <w:rFonts w:hint="eastAsia" w:ascii="微软雅黑" w:hAnsi="微软雅黑" w:eastAsia="微软雅黑" w:cs="微软雅黑"/>
          <w:b/>
          <w:color w:val="auto"/>
          <w:sz w:val="24"/>
        </w:rPr>
        <w:t>目  录</w:t>
      </w:r>
    </w:p>
    <w:p>
      <w:pPr>
        <w:pStyle w:val="26"/>
        <w:tabs>
          <w:tab w:val="right" w:leader="dot" w:pos="8312"/>
        </w:tabs>
        <w:rPr>
          <w:rFonts w:ascii="微软雅黑" w:hAnsi="微软雅黑" w:eastAsia="微软雅黑" w:cs="微软雅黑"/>
          <w:color w:val="auto"/>
        </w:rPr>
      </w:pPr>
      <w:r>
        <w:rPr>
          <w:rFonts w:hint="eastAsia" w:ascii="微软雅黑" w:hAnsi="微软雅黑" w:eastAsia="微软雅黑" w:cs="微软雅黑"/>
          <w:color w:val="auto"/>
          <w:kern w:val="0"/>
          <w:sz w:val="24"/>
        </w:rPr>
        <w:fldChar w:fldCharType="begin"/>
      </w:r>
      <w:r>
        <w:rPr>
          <w:rFonts w:hint="eastAsia" w:ascii="微软雅黑" w:hAnsi="微软雅黑" w:eastAsia="微软雅黑" w:cs="微软雅黑"/>
          <w:color w:val="auto"/>
          <w:kern w:val="0"/>
          <w:sz w:val="24"/>
        </w:rPr>
        <w:instrText xml:space="preserve"> TOC \o "1-3" \h \z \u </w:instrText>
      </w:r>
      <w:r>
        <w:rPr>
          <w:rFonts w:hint="eastAsia" w:ascii="微软雅黑" w:hAnsi="微软雅黑" w:eastAsia="微软雅黑" w:cs="微软雅黑"/>
          <w:color w:val="auto"/>
          <w:kern w:val="0"/>
          <w:sz w:val="24"/>
        </w:rPr>
        <w:fldChar w:fldCharType="separate"/>
      </w:r>
      <w:r>
        <w:rPr>
          <w:color w:val="auto"/>
        </w:rPr>
        <w:fldChar w:fldCharType="begin"/>
      </w:r>
      <w:r>
        <w:rPr>
          <w:color w:val="auto"/>
        </w:rPr>
        <w:instrText xml:space="preserve"> HYPERLINK \l "_Toc20891" </w:instrText>
      </w:r>
      <w:r>
        <w:rPr>
          <w:color w:val="auto"/>
        </w:rPr>
        <w:fldChar w:fldCharType="separate"/>
      </w:r>
      <w:r>
        <w:rPr>
          <w:rFonts w:hint="eastAsia" w:ascii="微软雅黑" w:hAnsi="微软雅黑" w:eastAsia="微软雅黑" w:cs="微软雅黑"/>
          <w:color w:val="auto"/>
          <w:szCs w:val="32"/>
        </w:rPr>
        <w:t>第1章   供应商须知</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_Toc20891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3</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31"/>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"_Toc32504" </w:instrText>
      </w:r>
      <w:r>
        <w:rPr>
          <w:color w:val="auto"/>
        </w:rPr>
        <w:fldChar w:fldCharType="separate"/>
      </w:r>
      <w:r>
        <w:rPr>
          <w:rFonts w:hint="eastAsia" w:ascii="微软雅黑" w:hAnsi="微软雅黑" w:eastAsia="微软雅黑" w:cs="微软雅黑"/>
          <w:color w:val="auto"/>
        </w:rPr>
        <w:t>一   总 则</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_Toc32504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3</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"_Toc9522" </w:instrText>
      </w:r>
      <w:r>
        <w:rPr>
          <w:color w:val="auto"/>
        </w:rPr>
        <w:fldChar w:fldCharType="separate"/>
      </w:r>
      <w:r>
        <w:rPr>
          <w:rFonts w:hint="eastAsia" w:ascii="微软雅黑" w:hAnsi="微软雅黑" w:eastAsia="微软雅黑" w:cs="微软雅黑"/>
          <w:color w:val="auto"/>
        </w:rPr>
        <w:t>1.采购人、采购代理机构及供应商</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_Toc9522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3</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"_Toc22529" </w:instrText>
      </w:r>
      <w:r>
        <w:rPr>
          <w:color w:val="auto"/>
        </w:rPr>
        <w:fldChar w:fldCharType="separate"/>
      </w:r>
      <w:r>
        <w:rPr>
          <w:rFonts w:hint="eastAsia" w:ascii="微软雅黑" w:hAnsi="微软雅黑" w:eastAsia="微软雅黑" w:cs="微软雅黑"/>
          <w:color w:val="auto"/>
        </w:rPr>
        <w:t>2.资金来源</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_Toc22529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"_Toc32207" </w:instrText>
      </w:r>
      <w:r>
        <w:rPr>
          <w:color w:val="auto"/>
        </w:rPr>
        <w:fldChar w:fldCharType="separate"/>
      </w:r>
      <w:r>
        <w:rPr>
          <w:rFonts w:hint="eastAsia" w:ascii="微软雅黑" w:hAnsi="微软雅黑" w:eastAsia="微软雅黑" w:cs="微软雅黑"/>
          <w:color w:val="auto"/>
        </w:rPr>
        <w:t>3.磋商费用</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_Toc32207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"_Toc1441" </w:instrText>
      </w:r>
      <w:r>
        <w:rPr>
          <w:color w:val="auto"/>
        </w:rPr>
        <w:fldChar w:fldCharType="separate"/>
      </w:r>
      <w:r>
        <w:rPr>
          <w:rFonts w:hint="eastAsia" w:ascii="微软雅黑" w:hAnsi="微软雅黑" w:eastAsia="微软雅黑" w:cs="微软雅黑"/>
          <w:color w:val="auto"/>
        </w:rPr>
        <w:t>4.适用法律</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_Toc1441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31"/>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"_Toc9896" </w:instrText>
      </w:r>
      <w:r>
        <w:rPr>
          <w:color w:val="auto"/>
        </w:rPr>
        <w:fldChar w:fldCharType="separate"/>
      </w:r>
      <w:r>
        <w:rPr>
          <w:rFonts w:hint="eastAsia" w:ascii="微软雅黑" w:hAnsi="微软雅黑" w:eastAsia="微软雅黑" w:cs="微软雅黑"/>
          <w:color w:val="auto"/>
        </w:rPr>
        <w:t>二   磋商文件</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_Toc9896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"_Toc28042" </w:instrText>
      </w:r>
      <w:r>
        <w:rPr>
          <w:color w:val="auto"/>
        </w:rPr>
        <w:fldChar w:fldCharType="separate"/>
      </w:r>
      <w:r>
        <w:rPr>
          <w:rFonts w:hint="eastAsia" w:ascii="微软雅黑" w:hAnsi="微软雅黑" w:eastAsia="微软雅黑" w:cs="微软雅黑"/>
          <w:color w:val="auto"/>
        </w:rPr>
        <w:t>5.磋商文件构成</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_Toc28042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"_Toc24757" </w:instrText>
      </w:r>
      <w:r>
        <w:rPr>
          <w:color w:val="auto"/>
        </w:rPr>
        <w:fldChar w:fldCharType="separate"/>
      </w:r>
      <w:r>
        <w:rPr>
          <w:rFonts w:hint="eastAsia" w:ascii="微软雅黑" w:hAnsi="微软雅黑" w:eastAsia="微软雅黑" w:cs="微软雅黑"/>
          <w:color w:val="auto"/>
        </w:rPr>
        <w:t>6.磋商文件的澄清与修改</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_Toc24757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"_Toc7862" </w:instrText>
      </w:r>
      <w:r>
        <w:rPr>
          <w:color w:val="auto"/>
        </w:rPr>
        <w:fldChar w:fldCharType="separate"/>
      </w:r>
      <w:r>
        <w:rPr>
          <w:rFonts w:hint="eastAsia" w:ascii="微软雅黑" w:hAnsi="微软雅黑" w:eastAsia="微软雅黑" w:cs="微软雅黑"/>
          <w:color w:val="auto"/>
        </w:rPr>
        <w:t>7.磋商截止时间的顺延</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_Toc7862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31"/>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"_Toc4440" </w:instrText>
      </w:r>
      <w:r>
        <w:rPr>
          <w:color w:val="auto"/>
        </w:rPr>
        <w:fldChar w:fldCharType="separate"/>
      </w:r>
      <w:r>
        <w:rPr>
          <w:rFonts w:hint="eastAsia" w:ascii="微软雅黑" w:hAnsi="微软雅黑" w:eastAsia="微软雅黑" w:cs="微软雅黑"/>
          <w:color w:val="auto"/>
        </w:rPr>
        <w:t>三   响应文件的编制</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_Toc4440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pos="3600"/>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"_Toc6639" </w:instrText>
      </w:r>
      <w:r>
        <w:rPr>
          <w:color w:val="auto"/>
        </w:rPr>
        <w:fldChar w:fldCharType="separate"/>
      </w:r>
      <w:r>
        <w:rPr>
          <w:rFonts w:hint="eastAsia" w:ascii="微软雅黑" w:hAnsi="微软雅黑" w:eastAsia="微软雅黑" w:cs="微软雅黑"/>
          <w:color w:val="auto"/>
        </w:rPr>
        <w:t>8.</w:t>
      </w:r>
      <w:r>
        <w:rPr>
          <w:rFonts w:hint="eastAsia" w:ascii="微软雅黑" w:hAnsi="微软雅黑" w:eastAsia="微软雅黑" w:cs="微软雅黑"/>
          <w:color w:val="auto"/>
        </w:rPr>
        <w:tab/>
      </w:r>
      <w:r>
        <w:rPr>
          <w:rFonts w:hint="eastAsia" w:ascii="微软雅黑" w:hAnsi="微软雅黑" w:eastAsia="微软雅黑" w:cs="微软雅黑"/>
          <w:color w:val="auto"/>
        </w:rPr>
        <w:t>磋商范围及响应文件成交准和计量单位的使用</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_Toc6639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"_Toc27494" </w:instrText>
      </w:r>
      <w:r>
        <w:rPr>
          <w:color w:val="auto"/>
        </w:rPr>
        <w:fldChar w:fldCharType="separate"/>
      </w:r>
      <w:r>
        <w:rPr>
          <w:rFonts w:hint="eastAsia" w:ascii="微软雅黑" w:hAnsi="微软雅黑" w:eastAsia="微软雅黑" w:cs="微软雅黑"/>
          <w:color w:val="auto"/>
        </w:rPr>
        <w:t>9.响应文件构成</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_Toc27494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6</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pos="3600"/>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"_Toc20282" </w:instrText>
      </w:r>
      <w:r>
        <w:rPr>
          <w:color w:val="auto"/>
        </w:rPr>
        <w:fldChar w:fldCharType="separate"/>
      </w:r>
      <w:r>
        <w:rPr>
          <w:rFonts w:hint="eastAsia" w:ascii="微软雅黑" w:hAnsi="微软雅黑" w:eastAsia="微软雅黑" w:cs="微软雅黑"/>
          <w:color w:val="auto"/>
        </w:rPr>
        <w:t>10.</w:t>
      </w:r>
      <w:r>
        <w:rPr>
          <w:rFonts w:hint="eastAsia" w:ascii="微软雅黑" w:hAnsi="微软雅黑" w:eastAsia="微软雅黑" w:cs="微软雅黑"/>
          <w:color w:val="auto"/>
        </w:rPr>
        <w:tab/>
      </w:r>
      <w:r>
        <w:rPr>
          <w:rFonts w:hint="eastAsia" w:ascii="微软雅黑" w:hAnsi="微软雅黑" w:eastAsia="微软雅黑" w:cs="微软雅黑"/>
          <w:color w:val="auto"/>
        </w:rPr>
        <w:t>证明磋商标的的合格性和符合磋商文件规定的技术文件</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_Toc20282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6</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"_Toc3401" </w:instrText>
      </w:r>
      <w:r>
        <w:rPr>
          <w:color w:val="auto"/>
        </w:rPr>
        <w:fldChar w:fldCharType="separate"/>
      </w:r>
      <w:r>
        <w:rPr>
          <w:rFonts w:hint="eastAsia" w:ascii="微软雅黑" w:hAnsi="微软雅黑" w:eastAsia="微软雅黑" w:cs="微软雅黑"/>
          <w:color w:val="auto"/>
        </w:rPr>
        <w:t>11.磋商报价</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_Toc3401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6</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"_Toc32746" </w:instrText>
      </w:r>
      <w:r>
        <w:rPr>
          <w:color w:val="auto"/>
        </w:rPr>
        <w:fldChar w:fldCharType="separate"/>
      </w:r>
      <w:r>
        <w:rPr>
          <w:rFonts w:hint="eastAsia" w:ascii="微软雅黑" w:hAnsi="微软雅黑" w:eastAsia="微软雅黑" w:cs="微软雅黑"/>
          <w:color w:val="auto"/>
        </w:rPr>
        <w:t>12.磋商保证金</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_Toc32746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6</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"_Toc9550" </w:instrText>
      </w:r>
      <w:r>
        <w:rPr>
          <w:color w:val="auto"/>
        </w:rPr>
        <w:fldChar w:fldCharType="separate"/>
      </w:r>
      <w:r>
        <w:rPr>
          <w:rFonts w:hint="eastAsia" w:ascii="微软雅黑" w:hAnsi="微软雅黑" w:eastAsia="微软雅黑" w:cs="微软雅黑"/>
          <w:color w:val="auto"/>
        </w:rPr>
        <w:t>13.磋商有效期</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_Toc9550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7</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"_Toc29240" </w:instrText>
      </w:r>
      <w:r>
        <w:rPr>
          <w:color w:val="auto"/>
        </w:rPr>
        <w:fldChar w:fldCharType="separate"/>
      </w:r>
      <w:r>
        <w:rPr>
          <w:rFonts w:hint="eastAsia" w:ascii="微软雅黑" w:hAnsi="微软雅黑" w:eastAsia="微软雅黑" w:cs="微软雅黑"/>
          <w:color w:val="auto"/>
        </w:rPr>
        <w:t>14.响应文件的签署及规定</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_Toc29240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8</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31"/>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"_Toc30056" </w:instrText>
      </w:r>
      <w:r>
        <w:rPr>
          <w:color w:val="auto"/>
        </w:rPr>
        <w:fldChar w:fldCharType="separate"/>
      </w:r>
      <w:r>
        <w:rPr>
          <w:rFonts w:hint="eastAsia" w:ascii="微软雅黑" w:hAnsi="微软雅黑" w:eastAsia="微软雅黑" w:cs="微软雅黑"/>
          <w:color w:val="auto"/>
        </w:rPr>
        <w:t>四   响应文件的递交</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_Toc30056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8</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"_Toc2691" </w:instrText>
      </w:r>
      <w:r>
        <w:rPr>
          <w:color w:val="auto"/>
        </w:rPr>
        <w:fldChar w:fldCharType="separate"/>
      </w:r>
      <w:r>
        <w:rPr>
          <w:rFonts w:hint="eastAsia" w:ascii="微软雅黑" w:hAnsi="微软雅黑" w:eastAsia="微软雅黑" w:cs="微软雅黑"/>
          <w:color w:val="auto"/>
        </w:rPr>
        <w:t>15.响应文件的密封和标记</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_Toc2691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8</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"_Toc6625" </w:instrText>
      </w:r>
      <w:r>
        <w:rPr>
          <w:color w:val="auto"/>
        </w:rPr>
        <w:fldChar w:fldCharType="separate"/>
      </w:r>
      <w:r>
        <w:rPr>
          <w:rFonts w:hint="eastAsia" w:ascii="微软雅黑" w:hAnsi="微软雅黑" w:eastAsia="微软雅黑" w:cs="微软雅黑"/>
          <w:color w:val="auto"/>
        </w:rPr>
        <w:t>16.磋商截止</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_Toc6625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8</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"_Toc16297" </w:instrText>
      </w:r>
      <w:r>
        <w:rPr>
          <w:color w:val="auto"/>
        </w:rPr>
        <w:fldChar w:fldCharType="separate"/>
      </w:r>
      <w:r>
        <w:rPr>
          <w:rFonts w:hint="eastAsia" w:ascii="微软雅黑" w:hAnsi="微软雅黑" w:eastAsia="微软雅黑" w:cs="微软雅黑"/>
          <w:color w:val="auto"/>
        </w:rPr>
        <w:t>17.响应文件的接收、修改与撤回</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_Toc16297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9</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31"/>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"_Toc21210" </w:instrText>
      </w:r>
      <w:r>
        <w:rPr>
          <w:color w:val="auto"/>
        </w:rPr>
        <w:fldChar w:fldCharType="separate"/>
      </w:r>
      <w:r>
        <w:rPr>
          <w:rFonts w:hint="eastAsia" w:ascii="微软雅黑" w:hAnsi="微软雅黑" w:eastAsia="微软雅黑" w:cs="微软雅黑"/>
          <w:color w:val="auto"/>
        </w:rPr>
        <w:t>五   开标及评标</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_Toc21210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9</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"_Toc19227" </w:instrText>
      </w:r>
      <w:r>
        <w:rPr>
          <w:color w:val="auto"/>
        </w:rPr>
        <w:fldChar w:fldCharType="separate"/>
      </w:r>
      <w:r>
        <w:rPr>
          <w:rFonts w:hint="eastAsia" w:ascii="微软雅黑" w:hAnsi="微软雅黑" w:eastAsia="微软雅黑" w:cs="微软雅黑"/>
          <w:color w:val="auto"/>
        </w:rPr>
        <w:t>18. 开标</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_Toc19227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9</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"_Toc20106" </w:instrText>
      </w:r>
      <w:r>
        <w:rPr>
          <w:color w:val="auto"/>
        </w:rPr>
        <w:fldChar w:fldCharType="separate"/>
      </w:r>
      <w:r>
        <w:rPr>
          <w:rFonts w:hint="eastAsia" w:ascii="微软雅黑" w:hAnsi="微软雅黑" w:eastAsia="微软雅黑" w:cs="微软雅黑"/>
          <w:color w:val="auto"/>
        </w:rPr>
        <w:t>19.资格审查及组建磋商小组</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_Toc20106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10</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"_Toc14999" </w:instrText>
      </w:r>
      <w:r>
        <w:rPr>
          <w:color w:val="auto"/>
        </w:rPr>
        <w:fldChar w:fldCharType="separate"/>
      </w:r>
      <w:r>
        <w:rPr>
          <w:rFonts w:hint="eastAsia" w:ascii="微软雅黑" w:hAnsi="微软雅黑" w:eastAsia="微软雅黑" w:cs="微软雅黑"/>
          <w:color w:val="auto"/>
        </w:rPr>
        <w:t>20.响应文件符合性审查与澄清</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_Toc14999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11</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"_Toc8849" </w:instrText>
      </w:r>
      <w:r>
        <w:rPr>
          <w:color w:val="auto"/>
        </w:rPr>
        <w:fldChar w:fldCharType="separate"/>
      </w:r>
      <w:r>
        <w:rPr>
          <w:rFonts w:hint="eastAsia" w:ascii="微软雅黑" w:hAnsi="微软雅黑" w:eastAsia="微软雅黑" w:cs="微软雅黑"/>
          <w:color w:val="auto"/>
        </w:rPr>
        <w:t>21.磋商偏离</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_Toc8849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12</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"_Toc30895" </w:instrText>
      </w:r>
      <w:r>
        <w:rPr>
          <w:color w:val="auto"/>
        </w:rPr>
        <w:fldChar w:fldCharType="separate"/>
      </w:r>
      <w:r>
        <w:rPr>
          <w:rFonts w:hint="eastAsia" w:ascii="微软雅黑" w:hAnsi="微软雅黑" w:eastAsia="微软雅黑" w:cs="微软雅黑"/>
          <w:color w:val="auto"/>
        </w:rPr>
        <w:t>22.磋商无效</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_Toc30895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12</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"_Toc21732" </w:instrText>
      </w:r>
      <w:r>
        <w:rPr>
          <w:color w:val="auto"/>
        </w:rPr>
        <w:fldChar w:fldCharType="separate"/>
      </w:r>
      <w:r>
        <w:rPr>
          <w:rFonts w:hint="eastAsia" w:ascii="微软雅黑" w:hAnsi="微软雅黑" w:eastAsia="微软雅黑" w:cs="微软雅黑"/>
          <w:color w:val="auto"/>
        </w:rPr>
        <w:t>23.比较与评价</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_Toc21732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13</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"_Toc19075" </w:instrText>
      </w:r>
      <w:r>
        <w:rPr>
          <w:color w:val="auto"/>
        </w:rPr>
        <w:fldChar w:fldCharType="separate"/>
      </w:r>
      <w:r>
        <w:rPr>
          <w:rFonts w:hint="eastAsia" w:ascii="微软雅黑" w:hAnsi="微软雅黑" w:eastAsia="微软雅黑" w:cs="微软雅黑"/>
          <w:color w:val="auto"/>
        </w:rPr>
        <w:t>24.废标</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_Toc19075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"_Toc6429" </w:instrText>
      </w:r>
      <w:r>
        <w:rPr>
          <w:color w:val="auto"/>
        </w:rPr>
        <w:fldChar w:fldCharType="separate"/>
      </w:r>
      <w:r>
        <w:rPr>
          <w:rFonts w:hint="eastAsia" w:ascii="微软雅黑" w:hAnsi="微软雅黑" w:eastAsia="微软雅黑" w:cs="微软雅黑"/>
          <w:color w:val="auto"/>
        </w:rPr>
        <w:t>25.保密原则</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_Toc6429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31"/>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"_Toc29787" </w:instrText>
      </w:r>
      <w:r>
        <w:rPr>
          <w:color w:val="auto"/>
        </w:rPr>
        <w:fldChar w:fldCharType="separate"/>
      </w:r>
      <w:r>
        <w:rPr>
          <w:rFonts w:hint="eastAsia" w:ascii="微软雅黑" w:hAnsi="微软雅黑" w:eastAsia="微软雅黑" w:cs="微软雅黑"/>
          <w:color w:val="auto"/>
        </w:rPr>
        <w:t>六   确定成交</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_Toc29787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"_Toc19757" </w:instrText>
      </w:r>
      <w:r>
        <w:rPr>
          <w:color w:val="auto"/>
        </w:rPr>
        <w:fldChar w:fldCharType="separate"/>
      </w:r>
      <w:r>
        <w:rPr>
          <w:rFonts w:hint="eastAsia" w:ascii="微软雅黑" w:hAnsi="微软雅黑" w:eastAsia="微软雅黑" w:cs="微软雅黑"/>
          <w:color w:val="auto"/>
        </w:rPr>
        <w:t>26.成交候选人的确定原则及标准</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_Toc19757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"_Toc1029" </w:instrText>
      </w:r>
      <w:r>
        <w:rPr>
          <w:color w:val="auto"/>
        </w:rPr>
        <w:fldChar w:fldCharType="separate"/>
      </w:r>
      <w:r>
        <w:rPr>
          <w:rFonts w:hint="eastAsia" w:ascii="微软雅黑" w:hAnsi="微软雅黑" w:eastAsia="微软雅黑" w:cs="微软雅黑"/>
          <w:color w:val="auto"/>
        </w:rPr>
        <w:t>27.确定成交候选人和成交人</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_Toc1029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"_Toc22725" </w:instrText>
      </w:r>
      <w:r>
        <w:rPr>
          <w:color w:val="auto"/>
        </w:rPr>
        <w:fldChar w:fldCharType="separate"/>
      </w:r>
      <w:r>
        <w:rPr>
          <w:rFonts w:hint="eastAsia" w:ascii="微软雅黑" w:hAnsi="微软雅黑" w:eastAsia="微软雅黑" w:cs="微软雅黑"/>
          <w:color w:val="auto"/>
        </w:rPr>
        <w:t>28.采购任务取消</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_Toc22725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"_Toc30493" </w:instrText>
      </w:r>
      <w:r>
        <w:rPr>
          <w:color w:val="auto"/>
        </w:rPr>
        <w:fldChar w:fldCharType="separate"/>
      </w:r>
      <w:r>
        <w:rPr>
          <w:rFonts w:hint="eastAsia" w:ascii="微软雅黑" w:hAnsi="微软雅黑" w:eastAsia="微软雅黑" w:cs="微软雅黑"/>
          <w:color w:val="auto"/>
        </w:rPr>
        <w:t>29.成交通知书和招标结果通知书</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_Toc30493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"_Toc27896" </w:instrText>
      </w:r>
      <w:r>
        <w:rPr>
          <w:color w:val="auto"/>
        </w:rPr>
        <w:fldChar w:fldCharType="separate"/>
      </w:r>
      <w:r>
        <w:rPr>
          <w:rFonts w:hint="eastAsia" w:ascii="微软雅黑" w:hAnsi="微软雅黑" w:eastAsia="微软雅黑" w:cs="微软雅黑"/>
          <w:color w:val="auto"/>
        </w:rPr>
        <w:t>30.签订合同</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_Toc27896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"_Toc25778" </w:instrText>
      </w:r>
      <w:r>
        <w:rPr>
          <w:color w:val="auto"/>
        </w:rPr>
        <w:fldChar w:fldCharType="separate"/>
      </w:r>
      <w:r>
        <w:rPr>
          <w:rFonts w:hint="eastAsia" w:ascii="微软雅黑" w:hAnsi="微软雅黑" w:eastAsia="微软雅黑" w:cs="微软雅黑"/>
          <w:color w:val="auto"/>
        </w:rPr>
        <w:t>31.履约保证金</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_Toc25778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"_Toc19927" </w:instrText>
      </w:r>
      <w:r>
        <w:rPr>
          <w:color w:val="auto"/>
        </w:rPr>
        <w:fldChar w:fldCharType="separate"/>
      </w:r>
      <w:r>
        <w:rPr>
          <w:rFonts w:hint="eastAsia" w:ascii="微软雅黑" w:hAnsi="微软雅黑" w:eastAsia="微软雅黑" w:cs="微软雅黑"/>
          <w:color w:val="auto"/>
        </w:rPr>
        <w:t>32.成交货物费</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_Toc19927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"_Toc19676" </w:instrText>
      </w:r>
      <w:r>
        <w:rPr>
          <w:color w:val="auto"/>
        </w:rPr>
        <w:fldChar w:fldCharType="separate"/>
      </w:r>
      <w:r>
        <w:rPr>
          <w:rFonts w:hint="eastAsia" w:ascii="微软雅黑" w:hAnsi="微软雅黑" w:eastAsia="微软雅黑" w:cs="微软雅黑"/>
          <w:color w:val="auto"/>
        </w:rPr>
        <w:t>33.政府采购信用担保</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_Toc19676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"_Toc24097" </w:instrText>
      </w:r>
      <w:r>
        <w:rPr>
          <w:color w:val="auto"/>
        </w:rPr>
        <w:fldChar w:fldCharType="separate"/>
      </w:r>
      <w:r>
        <w:rPr>
          <w:rFonts w:hint="eastAsia" w:ascii="微软雅黑" w:hAnsi="微软雅黑" w:eastAsia="微软雅黑" w:cs="微软雅黑"/>
          <w:color w:val="auto"/>
        </w:rPr>
        <w:t>34.廉洁自律规定</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_Toc24097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"_Toc1602" </w:instrText>
      </w:r>
      <w:r>
        <w:rPr>
          <w:color w:val="auto"/>
        </w:rPr>
        <w:fldChar w:fldCharType="separate"/>
      </w:r>
      <w:r>
        <w:rPr>
          <w:rFonts w:hint="eastAsia" w:ascii="微软雅黑" w:hAnsi="微软雅黑" w:eastAsia="微软雅黑" w:cs="微软雅黑"/>
          <w:color w:val="auto"/>
        </w:rPr>
        <w:t>35.人员回避</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_Toc1602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"_Toc9532" </w:instrText>
      </w:r>
      <w:r>
        <w:rPr>
          <w:color w:val="auto"/>
        </w:rPr>
        <w:fldChar w:fldCharType="separate"/>
      </w:r>
      <w:r>
        <w:rPr>
          <w:rFonts w:hint="eastAsia" w:ascii="微软雅黑" w:hAnsi="微软雅黑" w:eastAsia="微软雅黑" w:cs="微软雅黑"/>
          <w:color w:val="auto"/>
        </w:rPr>
        <w:t>36.质疑与接收</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_Toc9532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8"/>
        <w:tabs>
          <w:tab w:val="right" w:leader="dot" w:pos="8312"/>
          <w:tab w:val="clear" w:pos="1260"/>
          <w:tab w:val="clear" w:pos="8630"/>
        </w:tabs>
        <w:rPr>
          <w:rFonts w:ascii="微软雅黑" w:hAnsi="微软雅黑" w:eastAsia="微软雅黑" w:cs="微软雅黑"/>
          <w:color w:val="auto"/>
        </w:rPr>
      </w:pPr>
      <w:r>
        <w:rPr>
          <w:color w:val="auto"/>
        </w:rPr>
        <w:fldChar w:fldCharType="begin"/>
      </w:r>
      <w:r>
        <w:rPr>
          <w:color w:val="auto"/>
        </w:rPr>
        <w:instrText xml:space="preserve"> HYPERLINK \l "_Toc16553" </w:instrText>
      </w:r>
      <w:r>
        <w:rPr>
          <w:color w:val="auto"/>
        </w:rPr>
        <w:fldChar w:fldCharType="separate"/>
      </w:r>
      <w:r>
        <w:rPr>
          <w:rFonts w:hint="eastAsia" w:ascii="微软雅黑" w:hAnsi="微软雅黑" w:eastAsia="微软雅黑" w:cs="微软雅黑"/>
          <w:bCs/>
          <w:color w:val="auto"/>
        </w:rPr>
        <w:t>质疑函范本</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_Toc16553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18</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26"/>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"_Toc2566" </w:instrText>
      </w:r>
      <w:r>
        <w:rPr>
          <w:color w:val="auto"/>
        </w:rPr>
        <w:fldChar w:fldCharType="separate"/>
      </w:r>
      <w:r>
        <w:rPr>
          <w:rFonts w:hint="eastAsia" w:ascii="微软雅黑" w:hAnsi="微软雅黑" w:eastAsia="微软雅黑" w:cs="微软雅黑"/>
          <w:color w:val="auto"/>
        </w:rPr>
        <w:t>第2章 响应文件格式</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_Toc2566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20</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26"/>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"_Toc18347" </w:instrText>
      </w:r>
      <w:r>
        <w:rPr>
          <w:color w:val="auto"/>
        </w:rPr>
        <w:fldChar w:fldCharType="separate"/>
      </w:r>
      <w:r>
        <w:rPr>
          <w:rFonts w:hint="eastAsia" w:ascii="微软雅黑" w:hAnsi="微软雅黑" w:eastAsia="微软雅黑" w:cs="微软雅黑"/>
          <w:color w:val="auto"/>
        </w:rPr>
        <w:t>第3章 磋商邀请</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_Toc18347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37</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26"/>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"_Toc29658" </w:instrText>
      </w:r>
      <w:r>
        <w:rPr>
          <w:color w:val="auto"/>
        </w:rPr>
        <w:fldChar w:fldCharType="separate"/>
      </w:r>
      <w:r>
        <w:rPr>
          <w:rFonts w:hint="eastAsia" w:ascii="微软雅黑" w:hAnsi="微软雅黑" w:eastAsia="微软雅黑" w:cs="微软雅黑"/>
          <w:color w:val="auto"/>
          <w:szCs w:val="32"/>
        </w:rPr>
        <w:t>第4章 供应商须知资料表</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_Toc29658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39</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26"/>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"_Toc10828" </w:instrText>
      </w:r>
      <w:r>
        <w:rPr>
          <w:color w:val="auto"/>
        </w:rPr>
        <w:fldChar w:fldCharType="separate"/>
      </w:r>
      <w:r>
        <w:rPr>
          <w:rFonts w:hint="eastAsia" w:ascii="微软雅黑" w:hAnsi="微软雅黑" w:eastAsia="微软雅黑" w:cs="微软雅黑"/>
          <w:color w:val="auto"/>
        </w:rPr>
        <w:t xml:space="preserve">第5章 </w:t>
      </w:r>
      <w:r>
        <w:rPr>
          <w:rFonts w:hint="eastAsia" w:ascii="微软雅黑" w:hAnsi="微软雅黑" w:eastAsia="微软雅黑" w:cs="微软雅黑"/>
          <w:color w:val="auto"/>
          <w:lang w:val="en-US" w:eastAsia="zh-CN"/>
        </w:rPr>
        <w:t>服务</w:t>
      </w:r>
      <w:r>
        <w:rPr>
          <w:rFonts w:hint="eastAsia" w:ascii="微软雅黑" w:hAnsi="微软雅黑" w:eastAsia="微软雅黑" w:cs="微软雅黑"/>
          <w:color w:val="auto"/>
        </w:rPr>
        <w:t>需求一览表及项目要求</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_Toc10828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43</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26"/>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"_Toc3368" </w:instrText>
      </w:r>
      <w:r>
        <w:rPr>
          <w:color w:val="auto"/>
        </w:rPr>
        <w:fldChar w:fldCharType="separate"/>
      </w:r>
      <w:r>
        <w:rPr>
          <w:rFonts w:hint="eastAsia" w:ascii="微软雅黑" w:hAnsi="微软雅黑" w:eastAsia="微软雅黑" w:cs="微软雅黑"/>
          <w:color w:val="auto"/>
        </w:rPr>
        <w:t>第6章 评审方法和标准</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_Toc3368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44</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26"/>
        <w:tabs>
          <w:tab w:val="right" w:leader="dot" w:pos="8312"/>
        </w:tabs>
        <w:rPr>
          <w:rFonts w:ascii="微软雅黑" w:hAnsi="微软雅黑" w:eastAsia="微软雅黑" w:cs="微软雅黑"/>
          <w:color w:val="auto"/>
        </w:rPr>
      </w:pPr>
      <w:r>
        <w:rPr>
          <w:color w:val="auto"/>
        </w:rPr>
        <w:fldChar w:fldCharType="begin"/>
      </w:r>
      <w:r>
        <w:rPr>
          <w:color w:val="auto"/>
        </w:rPr>
        <w:instrText xml:space="preserve"> HYPERLINK \l "_Toc13937" </w:instrText>
      </w:r>
      <w:r>
        <w:rPr>
          <w:color w:val="auto"/>
        </w:rPr>
        <w:fldChar w:fldCharType="separate"/>
      </w:r>
      <w:r>
        <w:rPr>
          <w:rFonts w:hint="eastAsia" w:ascii="微软雅黑" w:hAnsi="微软雅黑" w:eastAsia="微软雅黑" w:cs="微软雅黑"/>
          <w:color w:val="auto"/>
        </w:rPr>
        <w:t>第7章 政府采购合同</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_Toc13937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53</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26"/>
        <w:tabs>
          <w:tab w:val="right" w:leader="dot" w:pos="8312"/>
        </w:tabs>
        <w:rPr>
          <w:rFonts w:ascii="微软雅黑" w:hAnsi="微软雅黑" w:eastAsia="微软雅黑" w:cs="微软雅黑"/>
          <w:color w:val="auto"/>
        </w:rPr>
      </w:pPr>
    </w:p>
    <w:p>
      <w:pPr>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28"/>
        <w:rPr>
          <w:rFonts w:ascii="微软雅黑" w:hAnsi="微软雅黑" w:eastAsia="微软雅黑" w:cs="微软雅黑"/>
          <w:color w:val="auto"/>
        </w:rPr>
      </w:pPr>
    </w:p>
    <w:p>
      <w:pPr>
        <w:pStyle w:val="5"/>
        <w:numPr>
          <w:ilvl w:val="0"/>
          <w:numId w:val="2"/>
        </w:numPr>
        <w:tabs>
          <w:tab w:val="left" w:pos="0"/>
          <w:tab w:val="clear" w:pos="3134"/>
        </w:tabs>
        <w:spacing w:before="0" w:after="0" w:line="400" w:lineRule="exact"/>
        <w:ind w:hanging="3134"/>
        <w:rPr>
          <w:rFonts w:ascii="微软雅黑" w:hAnsi="微软雅黑" w:eastAsia="微软雅黑" w:cs="微软雅黑"/>
          <w:color w:val="auto"/>
          <w:szCs w:val="32"/>
        </w:rPr>
      </w:pPr>
      <w:r>
        <w:rPr>
          <w:rFonts w:hint="eastAsia" w:ascii="微软雅黑" w:hAnsi="微软雅黑" w:eastAsia="微软雅黑" w:cs="微软雅黑"/>
          <w:color w:val="auto"/>
          <w:kern w:val="0"/>
          <w:szCs w:val="24"/>
        </w:rPr>
        <w:fldChar w:fldCharType="end"/>
      </w:r>
      <w:bookmarkStart w:id="0" w:name="_Toc10715352"/>
      <w:bookmarkStart w:id="1" w:name="_Toc20891"/>
      <w:bookmarkStart w:id="2" w:name="_Toc518923059"/>
      <w:bookmarkStart w:id="3" w:name="_Toc1462"/>
      <w:r>
        <w:rPr>
          <w:rFonts w:hint="eastAsia" w:ascii="微软雅黑" w:hAnsi="微软雅黑" w:eastAsia="微软雅黑" w:cs="微软雅黑"/>
          <w:color w:val="auto"/>
          <w:szCs w:val="32"/>
        </w:rPr>
        <w:t>供应商须知</w:t>
      </w:r>
      <w:bookmarkEnd w:id="0"/>
      <w:bookmarkEnd w:id="1"/>
      <w:bookmarkEnd w:id="2"/>
      <w:bookmarkEnd w:id="3"/>
    </w:p>
    <w:p>
      <w:pPr>
        <w:rPr>
          <w:rFonts w:ascii="微软雅黑" w:hAnsi="微软雅黑" w:eastAsia="微软雅黑" w:cs="微软雅黑"/>
          <w:color w:val="auto"/>
          <w:sz w:val="24"/>
        </w:rPr>
      </w:pPr>
    </w:p>
    <w:p>
      <w:pPr>
        <w:pStyle w:val="6"/>
        <w:spacing w:before="0" w:line="240" w:lineRule="atLeast"/>
        <w:ind w:left="1080" w:leftChars="257" w:hanging="540"/>
        <w:rPr>
          <w:rFonts w:ascii="微软雅黑" w:hAnsi="微软雅黑" w:eastAsia="微软雅黑" w:cs="微软雅黑"/>
          <w:color w:val="auto"/>
          <w:sz w:val="24"/>
          <w:szCs w:val="24"/>
        </w:rPr>
      </w:pPr>
      <w:bookmarkStart w:id="4" w:name="_Toc515647757"/>
      <w:bookmarkStart w:id="5" w:name="_Toc216582805"/>
      <w:bookmarkStart w:id="6" w:name="_Toc520356143"/>
      <w:bookmarkStart w:id="7" w:name="_Toc21015"/>
      <w:bookmarkStart w:id="8" w:name="_Toc32504"/>
      <w:bookmarkStart w:id="9" w:name="_Toc21215"/>
      <w:r>
        <w:rPr>
          <w:rFonts w:hint="eastAsia" w:ascii="微软雅黑" w:hAnsi="微软雅黑" w:eastAsia="微软雅黑" w:cs="微软雅黑"/>
          <w:color w:val="auto"/>
          <w:sz w:val="24"/>
          <w:szCs w:val="24"/>
        </w:rPr>
        <w:t xml:space="preserve">一   </w:t>
      </w:r>
      <w:bookmarkEnd w:id="4"/>
      <w:bookmarkEnd w:id="5"/>
      <w:bookmarkEnd w:id="6"/>
      <w:r>
        <w:rPr>
          <w:rFonts w:hint="eastAsia" w:ascii="微软雅黑" w:hAnsi="微软雅黑" w:eastAsia="微软雅黑" w:cs="微软雅黑"/>
          <w:color w:val="auto"/>
          <w:sz w:val="24"/>
          <w:szCs w:val="24"/>
        </w:rPr>
        <w:t>总 则</w:t>
      </w:r>
      <w:bookmarkEnd w:id="7"/>
      <w:bookmarkEnd w:id="8"/>
      <w:bookmarkEnd w:id="9"/>
    </w:p>
    <w:p>
      <w:pPr>
        <w:pStyle w:val="7"/>
        <w:spacing w:before="0" w:after="0" w:line="240" w:lineRule="atLeast"/>
        <w:rPr>
          <w:rFonts w:ascii="微软雅黑" w:hAnsi="微软雅黑" w:eastAsia="微软雅黑" w:cs="微软雅黑"/>
          <w:color w:val="auto"/>
          <w:szCs w:val="24"/>
          <w:u w:val="none"/>
        </w:rPr>
      </w:pPr>
      <w:bookmarkStart w:id="10" w:name="_Toc32623"/>
      <w:bookmarkStart w:id="11" w:name="_Toc32189"/>
      <w:bookmarkStart w:id="12" w:name="_Toc515647758"/>
      <w:bookmarkStart w:id="13" w:name="_Toc520356144"/>
      <w:bookmarkStart w:id="14" w:name="_Toc9522"/>
      <w:r>
        <w:rPr>
          <w:rFonts w:hint="eastAsia" w:ascii="微软雅黑" w:hAnsi="微软雅黑" w:eastAsia="微软雅黑" w:cs="微软雅黑"/>
          <w:color w:val="auto"/>
          <w:szCs w:val="24"/>
          <w:u w:val="none"/>
        </w:rPr>
        <w:t>1.采购人、采购代理机构及</w:t>
      </w:r>
      <w:bookmarkEnd w:id="10"/>
      <w:bookmarkEnd w:id="11"/>
      <w:bookmarkEnd w:id="12"/>
      <w:bookmarkEnd w:id="13"/>
      <w:r>
        <w:rPr>
          <w:rFonts w:hint="eastAsia" w:ascii="微软雅黑" w:hAnsi="微软雅黑" w:eastAsia="微软雅黑" w:cs="微软雅黑"/>
          <w:color w:val="auto"/>
          <w:szCs w:val="24"/>
          <w:u w:val="none"/>
        </w:rPr>
        <w:t>供应商</w:t>
      </w:r>
      <w:bookmarkEnd w:id="14"/>
    </w:p>
    <w:p>
      <w:pPr>
        <w:numPr>
          <w:ilvl w:val="1"/>
          <w:numId w:val="3"/>
        </w:numPr>
        <w:tabs>
          <w:tab w:val="left" w:pos="0"/>
          <w:tab w:val="clear" w:pos="900"/>
        </w:tabs>
        <w:spacing w:line="240" w:lineRule="atLeast"/>
        <w:ind w:hanging="898"/>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采购人：是指依法开展政府采购活动的国家机关、事业单位、团体组织。</w:t>
      </w:r>
    </w:p>
    <w:p>
      <w:pPr>
        <w:tabs>
          <w:tab w:val="left" w:pos="0"/>
        </w:tabs>
        <w:spacing w:line="240" w:lineRule="atLeast"/>
        <w:ind w:left="900"/>
        <w:rPr>
          <w:rFonts w:ascii="微软雅黑" w:hAnsi="微软雅黑" w:eastAsia="微软雅黑" w:cs="微软雅黑"/>
          <w:color w:val="auto"/>
          <w:sz w:val="24"/>
        </w:rPr>
      </w:pPr>
      <w:r>
        <w:rPr>
          <w:rFonts w:hint="eastAsia" w:ascii="微软雅黑" w:hAnsi="微软雅黑" w:eastAsia="微软雅黑" w:cs="微软雅黑"/>
          <w:color w:val="auto"/>
          <w:sz w:val="24"/>
        </w:rPr>
        <w:t>本项目的采购人见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numPr>
          <w:ilvl w:val="1"/>
          <w:numId w:val="3"/>
        </w:numPr>
        <w:tabs>
          <w:tab w:val="left" w:pos="0"/>
          <w:tab w:val="clear" w:pos="900"/>
        </w:tabs>
        <w:spacing w:line="240" w:lineRule="atLeast"/>
        <w:ind w:hanging="898"/>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采购代理机构：是指在集中采购机构或从事采购代理业务的社会中介机构。本项目的采购代理机构见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numPr>
          <w:ilvl w:val="1"/>
          <w:numId w:val="3"/>
        </w:numPr>
        <w:spacing w:line="240" w:lineRule="atLeast"/>
        <w:ind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供应商：是指向采购人提供货物、工程或者服务的法人、非法人组织或者自然人。本项目的供应商及其磋商</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须满足以下条件：</w:t>
      </w:r>
    </w:p>
    <w:p>
      <w:pPr>
        <w:spacing w:line="240" w:lineRule="atLeast"/>
        <w:ind w:left="850" w:hanging="849" w:hangingChars="354"/>
        <w:rPr>
          <w:rFonts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在中华人民共和国境内注册，能够独立承担民事责任，有生产或供应能力的本国供应商。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1.3.3   以采购代理机构认可的方式获得了本项目的磋商文件。</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1.3.4   符合</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中规定的其他要求。</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1.3.5   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中写明允许采购进口产品，供应商应保证所投产品可履行合法报通关手续进入中国关境内。</w:t>
      </w:r>
    </w:p>
    <w:p>
      <w:pPr>
        <w:spacing w:line="240" w:lineRule="atLeast"/>
        <w:ind w:left="899" w:leftChars="428"/>
        <w:rPr>
          <w:rFonts w:ascii="微软雅黑" w:hAnsi="微软雅黑" w:eastAsia="微软雅黑" w:cs="微软雅黑"/>
          <w:color w:val="auto"/>
          <w:sz w:val="24"/>
        </w:rPr>
      </w:pPr>
      <w:r>
        <w:rPr>
          <w:rFonts w:hint="eastAsia" w:ascii="微软雅黑" w:hAnsi="微软雅黑" w:eastAsia="微软雅黑" w:cs="微软雅黑"/>
          <w:color w:val="auto"/>
          <w:sz w:val="24"/>
        </w:rPr>
        <w:t>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中未写明允许采购进口产品，如供应商所投产品为进口产品，其磋商将被认定为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840" w:hanging="840" w:hangingChars="350"/>
        <w:rPr>
          <w:rFonts w:ascii="微软雅黑" w:hAnsi="微软雅黑" w:eastAsia="微软雅黑" w:cs="微软雅黑"/>
          <w:color w:val="auto"/>
          <w:sz w:val="24"/>
        </w:rPr>
      </w:pPr>
      <w:r>
        <w:rPr>
          <w:rFonts w:hint="eastAsia" w:ascii="微软雅黑" w:hAnsi="微软雅黑" w:eastAsia="微软雅黑" w:cs="微软雅黑"/>
          <w:color w:val="auto"/>
          <w:sz w:val="24"/>
        </w:rPr>
        <w:t>1.3.6  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中写明专门面向中小企业采购的，如供应商为非中小企业且所投产品为非中小企业产品，其磋商将被认定为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     如</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中允许联合体磋商，对联合体规定如下：</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1.4.1   两个以上供应商可以组成一个磋商联合体，以一个供应商的身份磋商。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1.4.2   联合体各方均应符合《中华人民共和国政府采购法》第二十二条规定的条件。</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1.4.3   采购人根据采购项目对供应商的特殊要求，联合体中至少应当有一方符合相关规定。</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1.4.4   联合体各方应签订共同磋商协议，明确约定联合体各方承担的工作和相应的责任，并将共同磋商协议连同作为磋商文件第一部分的内容提交。</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1.4.5   大中型企业、其他自然人、法人或者非法人组织与小型、微型企业组成联合体共同参加磋商，共同磋商协议中应写明小型、微型企业的协议合同金额占到共同磋商协议磋商总金额的比例。</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1.4.6  联合体中有同类资质的供应商按照联合体分工承担相同工作的，按照较低的资质等级确定联合体的资质等级。</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1.4.8   对联合体磋商的其他资格要求见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1.5    单位负责人为同一人或者存在直接控股、管理关系的不同供应商，其相关磋商将被认定为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1.6    为本项目提供过整体设计、规范编制或者项目管理、监理、检测等</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的供应商，不得再参加本项目上述</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以外的其他采购活动。否则其磋商将被认定为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1.7</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供应商在磋商过程中不得向采购人提供、给予任何有价值的物品，影响其正常决策行为。一经发现，其将被认定为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7"/>
        <w:spacing w:before="0" w:after="0" w:line="240" w:lineRule="atLeast"/>
        <w:rPr>
          <w:rFonts w:ascii="微软雅黑" w:hAnsi="微软雅黑" w:eastAsia="微软雅黑" w:cs="微软雅黑"/>
          <w:color w:val="auto"/>
          <w:szCs w:val="24"/>
          <w:u w:val="none"/>
        </w:rPr>
      </w:pPr>
      <w:bookmarkStart w:id="15" w:name="_Toc515647759"/>
      <w:bookmarkStart w:id="16" w:name="_Toc5286"/>
      <w:bookmarkStart w:id="17" w:name="_Toc12139"/>
      <w:bookmarkStart w:id="18" w:name="_Toc22529"/>
      <w:r>
        <w:rPr>
          <w:rFonts w:hint="eastAsia" w:ascii="微软雅黑" w:hAnsi="微软雅黑" w:eastAsia="微软雅黑" w:cs="微软雅黑"/>
          <w:color w:val="auto"/>
          <w:szCs w:val="24"/>
          <w:u w:val="none"/>
        </w:rPr>
        <w:t>2.资金来源</w:t>
      </w:r>
      <w:bookmarkEnd w:id="15"/>
      <w:bookmarkEnd w:id="16"/>
      <w:bookmarkEnd w:id="17"/>
      <w:bookmarkEnd w:id="1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2.2    项目预算金额和分项或分包最高限价</w:t>
      </w:r>
      <w:r>
        <w:rPr>
          <w:rFonts w:hint="eastAsia" w:ascii="微软雅黑" w:hAnsi="微软雅黑" w:eastAsia="微软雅黑" w:cs="微软雅黑"/>
          <w:color w:val="auto"/>
          <w:sz w:val="24"/>
          <w:u w:val="single"/>
        </w:rPr>
        <w:t>见供应商须知资料表</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2.3    供应商报价超过磋商文件规定的预算金额或者分项、分包最高限价的，其磋商将被认定为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7"/>
        <w:spacing w:before="0" w:after="0" w:line="240" w:lineRule="atLeast"/>
        <w:rPr>
          <w:rFonts w:ascii="微软雅黑" w:hAnsi="微软雅黑" w:eastAsia="微软雅黑" w:cs="微软雅黑"/>
          <w:color w:val="auto"/>
          <w:szCs w:val="24"/>
          <w:u w:val="none"/>
        </w:rPr>
      </w:pPr>
      <w:bookmarkStart w:id="19" w:name="_Toc20526"/>
      <w:bookmarkStart w:id="20" w:name="_Toc15936"/>
      <w:bookmarkStart w:id="21" w:name="_Toc32207"/>
      <w:bookmarkStart w:id="22" w:name="_Toc515647760"/>
      <w:bookmarkStart w:id="23" w:name="_Toc520356145"/>
      <w:r>
        <w:rPr>
          <w:rFonts w:hint="eastAsia" w:ascii="微软雅黑" w:hAnsi="微软雅黑" w:eastAsia="微软雅黑" w:cs="微软雅黑"/>
          <w:color w:val="auto"/>
          <w:szCs w:val="24"/>
          <w:u w:val="none"/>
        </w:rPr>
        <w:t>3.磋商费用</w:t>
      </w:r>
      <w:bookmarkEnd w:id="19"/>
      <w:bookmarkEnd w:id="20"/>
      <w:bookmarkEnd w:id="21"/>
      <w:bookmarkEnd w:id="22"/>
      <w:bookmarkEnd w:id="23"/>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不论磋商的结果如何，供应商应承担所有与准备和参加磋商有关的费用。</w:t>
      </w:r>
    </w:p>
    <w:p>
      <w:pPr>
        <w:pStyle w:val="7"/>
        <w:spacing w:before="0" w:after="0" w:line="240" w:lineRule="atLeast"/>
        <w:rPr>
          <w:rFonts w:ascii="微软雅黑" w:hAnsi="微软雅黑" w:eastAsia="微软雅黑" w:cs="微软雅黑"/>
          <w:color w:val="auto"/>
          <w:szCs w:val="24"/>
          <w:u w:val="none"/>
        </w:rPr>
      </w:pPr>
      <w:bookmarkStart w:id="24" w:name="_Toc1441"/>
      <w:bookmarkStart w:id="25" w:name="_Toc4463"/>
      <w:bookmarkStart w:id="26" w:name="_Toc6116"/>
      <w:bookmarkStart w:id="27" w:name="_Toc515647761"/>
      <w:r>
        <w:rPr>
          <w:rFonts w:hint="eastAsia" w:ascii="微软雅黑" w:hAnsi="微软雅黑" w:eastAsia="微软雅黑" w:cs="微软雅黑"/>
          <w:color w:val="auto"/>
          <w:szCs w:val="24"/>
          <w:u w:val="none"/>
        </w:rPr>
        <w:t>4.适用法律</w:t>
      </w:r>
      <w:bookmarkEnd w:id="24"/>
      <w:bookmarkEnd w:id="25"/>
      <w:bookmarkEnd w:id="26"/>
      <w:bookmarkEnd w:id="27"/>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微软雅黑" w:hAnsi="微软雅黑" w:eastAsia="微软雅黑" w:cs="微软雅黑"/>
          <w:color w:val="auto"/>
          <w:sz w:val="24"/>
        </w:rPr>
      </w:pPr>
    </w:p>
    <w:p>
      <w:pPr>
        <w:pStyle w:val="6"/>
        <w:spacing w:before="0" w:line="240" w:lineRule="atLeast"/>
        <w:ind w:left="1080" w:leftChars="257" w:hanging="540"/>
        <w:rPr>
          <w:rFonts w:ascii="微软雅黑" w:hAnsi="微软雅黑" w:eastAsia="微软雅黑" w:cs="微软雅黑"/>
          <w:color w:val="auto"/>
          <w:sz w:val="24"/>
          <w:szCs w:val="24"/>
        </w:rPr>
      </w:pPr>
      <w:bookmarkStart w:id="28" w:name="_Toc515647762"/>
      <w:bookmarkStart w:id="29" w:name="_Toc216582806"/>
      <w:bookmarkStart w:id="30" w:name="_Toc520356146"/>
      <w:bookmarkStart w:id="31" w:name="_Toc4365"/>
      <w:bookmarkStart w:id="32" w:name="_Toc21566"/>
      <w:bookmarkStart w:id="33" w:name="_Toc9896"/>
      <w:r>
        <w:rPr>
          <w:rFonts w:hint="eastAsia" w:ascii="微软雅黑" w:hAnsi="微软雅黑" w:eastAsia="微软雅黑" w:cs="微软雅黑"/>
          <w:color w:val="auto"/>
          <w:sz w:val="24"/>
          <w:szCs w:val="24"/>
        </w:rPr>
        <w:t xml:space="preserve">二   </w:t>
      </w:r>
      <w:bookmarkEnd w:id="28"/>
      <w:bookmarkEnd w:id="29"/>
      <w:bookmarkEnd w:id="30"/>
      <w:bookmarkEnd w:id="31"/>
      <w:bookmarkEnd w:id="32"/>
      <w:r>
        <w:rPr>
          <w:rFonts w:hint="eastAsia" w:ascii="微软雅黑" w:hAnsi="微软雅黑" w:eastAsia="微软雅黑" w:cs="微软雅黑"/>
          <w:color w:val="auto"/>
          <w:sz w:val="24"/>
          <w:szCs w:val="24"/>
        </w:rPr>
        <w:t>磋商文件</w:t>
      </w:r>
      <w:bookmarkEnd w:id="33"/>
    </w:p>
    <w:p>
      <w:pPr>
        <w:pStyle w:val="7"/>
        <w:spacing w:before="0" w:after="0" w:line="240" w:lineRule="atLeast"/>
        <w:rPr>
          <w:rFonts w:ascii="微软雅黑" w:hAnsi="微软雅黑" w:eastAsia="微软雅黑" w:cs="微软雅黑"/>
          <w:color w:val="auto"/>
          <w:szCs w:val="24"/>
          <w:u w:val="none"/>
        </w:rPr>
      </w:pPr>
      <w:bookmarkStart w:id="34" w:name="_Toc520356147"/>
      <w:bookmarkStart w:id="35" w:name="_Toc28042"/>
      <w:bookmarkStart w:id="36" w:name="_Toc25743"/>
      <w:bookmarkStart w:id="37" w:name="_Toc14084"/>
      <w:bookmarkStart w:id="38" w:name="_Toc515647763"/>
      <w:r>
        <w:rPr>
          <w:rFonts w:hint="eastAsia" w:ascii="微软雅黑" w:hAnsi="微软雅黑" w:eastAsia="微软雅黑" w:cs="微软雅黑"/>
          <w:color w:val="auto"/>
          <w:szCs w:val="24"/>
          <w:u w:val="none"/>
        </w:rPr>
        <w:t>5.磋商文件构成</w:t>
      </w:r>
      <w:bookmarkEnd w:id="34"/>
      <w:bookmarkEnd w:id="35"/>
      <w:bookmarkEnd w:id="36"/>
      <w:bookmarkEnd w:id="37"/>
      <w:bookmarkEnd w:id="3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磋商文件分为三册共7章，内容如下：</w:t>
      </w:r>
    </w:p>
    <w:p>
      <w:pPr>
        <w:spacing w:line="240" w:lineRule="atLeast"/>
        <w:ind w:left="1079" w:leftChars="428"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第一册</w:t>
      </w:r>
    </w:p>
    <w:p>
      <w:pPr>
        <w:numPr>
          <w:ilvl w:val="0"/>
          <w:numId w:val="4"/>
        </w:numPr>
        <w:tabs>
          <w:tab w:val="left" w:pos="0"/>
        </w:tabs>
        <w:spacing w:line="240" w:lineRule="atLeast"/>
        <w:ind w:hanging="829"/>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w:t>
      </w:r>
    </w:p>
    <w:p>
      <w:pPr>
        <w:numPr>
          <w:ilvl w:val="0"/>
          <w:numId w:val="4"/>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响应文件格式</w:t>
      </w:r>
    </w:p>
    <w:p>
      <w:p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第二册</w:t>
      </w:r>
    </w:p>
    <w:p>
      <w:pPr>
        <w:numPr>
          <w:ilvl w:val="0"/>
          <w:numId w:val="4"/>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磋商邀请</w:t>
      </w:r>
    </w:p>
    <w:p>
      <w:pPr>
        <w:numPr>
          <w:ilvl w:val="0"/>
          <w:numId w:val="4"/>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供应商须知资料表</w:t>
      </w:r>
    </w:p>
    <w:p>
      <w:pPr>
        <w:numPr>
          <w:ilvl w:val="0"/>
          <w:numId w:val="4"/>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需求一览表及技术规格</w:t>
      </w:r>
    </w:p>
    <w:p>
      <w:pPr>
        <w:numPr>
          <w:ilvl w:val="0"/>
          <w:numId w:val="4"/>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评审方法和标准</w:t>
      </w:r>
    </w:p>
    <w:p>
      <w:pPr>
        <w:spacing w:line="240" w:lineRule="atLeast"/>
        <w:ind w:left="901"/>
        <w:rPr>
          <w:rFonts w:ascii="微软雅黑" w:hAnsi="微软雅黑" w:eastAsia="微软雅黑" w:cs="微软雅黑"/>
          <w:color w:val="auto"/>
          <w:sz w:val="24"/>
        </w:rPr>
      </w:pPr>
      <w:r>
        <w:rPr>
          <w:rFonts w:hint="eastAsia" w:ascii="微软雅黑" w:hAnsi="微软雅黑" w:eastAsia="微软雅黑" w:cs="微软雅黑"/>
          <w:color w:val="auto"/>
          <w:sz w:val="24"/>
        </w:rPr>
        <w:t>第三册</w:t>
      </w:r>
    </w:p>
    <w:p>
      <w:pPr>
        <w:numPr>
          <w:ilvl w:val="0"/>
          <w:numId w:val="4"/>
        </w:numPr>
        <w:spacing w:line="240" w:lineRule="atLeast"/>
        <w:ind w:left="718" w:leftChars="342"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政府采购合同格式</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如本文件的前后内容不一致，以最后描述为准。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7"/>
        <w:spacing w:before="0" w:after="0" w:line="240" w:lineRule="atLeast"/>
        <w:rPr>
          <w:rFonts w:ascii="微软雅黑" w:hAnsi="微软雅黑" w:eastAsia="微软雅黑" w:cs="微软雅黑"/>
          <w:color w:val="auto"/>
          <w:szCs w:val="24"/>
          <w:u w:val="none"/>
        </w:rPr>
      </w:pPr>
      <w:bookmarkStart w:id="39" w:name="_Toc520356148"/>
      <w:bookmarkStart w:id="40" w:name="_Toc515904805"/>
      <w:bookmarkStart w:id="41" w:name="_Toc24757"/>
      <w:bookmarkStart w:id="42" w:name="_Toc26044"/>
      <w:bookmarkStart w:id="43" w:name="_Toc9232"/>
      <w:r>
        <w:rPr>
          <w:rFonts w:hint="eastAsia" w:ascii="微软雅黑" w:hAnsi="微软雅黑" w:eastAsia="微软雅黑" w:cs="微软雅黑"/>
          <w:color w:val="auto"/>
          <w:szCs w:val="24"/>
          <w:u w:val="none"/>
        </w:rPr>
        <w:t>6.磋商文件的澄清</w:t>
      </w:r>
      <w:bookmarkEnd w:id="39"/>
      <w:bookmarkEnd w:id="40"/>
      <w:r>
        <w:rPr>
          <w:rFonts w:hint="eastAsia" w:ascii="微软雅黑" w:hAnsi="微软雅黑" w:eastAsia="微软雅黑" w:cs="微软雅黑"/>
          <w:color w:val="auto"/>
          <w:szCs w:val="24"/>
          <w:u w:val="none"/>
        </w:rPr>
        <w:t>与修改</w:t>
      </w:r>
      <w:bookmarkEnd w:id="41"/>
      <w:bookmarkEnd w:id="42"/>
      <w:bookmarkEnd w:id="43"/>
    </w:p>
    <w:p>
      <w:pPr>
        <w:pStyle w:val="11"/>
        <w:ind w:left="840" w:hanging="840" w:hangingChars="350"/>
        <w:rPr>
          <w:rFonts w:ascii="微软雅黑" w:hAnsi="微软雅黑" w:eastAsia="微软雅黑" w:cs="微软雅黑"/>
          <w:color w:val="auto"/>
          <w:szCs w:val="24"/>
        </w:rPr>
      </w:pPr>
      <w:r>
        <w:rPr>
          <w:rFonts w:hint="eastAsia" w:ascii="微软雅黑" w:hAnsi="微软雅黑" w:eastAsia="微软雅黑" w:cs="微软雅黑"/>
          <w:color w:val="auto"/>
          <w:szCs w:val="24"/>
        </w:rPr>
        <w:t>6.1    为了保证对磋商文件的澄清和修改满足法律的时限要求，任何要求对磋商文件进行澄清的供应商，均应在磋商截止期十日前，以书面形式将澄清要求通知采购人或采购代理机构。</w:t>
      </w:r>
    </w:p>
    <w:p>
      <w:pPr>
        <w:pStyle w:val="11"/>
        <w:ind w:left="840" w:hanging="840" w:hangingChars="350"/>
        <w:rPr>
          <w:rFonts w:ascii="微软雅黑" w:hAnsi="微软雅黑" w:eastAsia="微软雅黑" w:cs="微软雅黑"/>
          <w:color w:val="auto"/>
          <w:szCs w:val="24"/>
        </w:rPr>
      </w:pPr>
      <w:bookmarkStart w:id="44" w:name="_Toc520356149"/>
      <w:bookmarkStart w:id="45" w:name="_Ref467378678"/>
      <w:bookmarkStart w:id="46" w:name="_Toc515904806"/>
      <w:r>
        <w:rPr>
          <w:rFonts w:hint="eastAsia" w:ascii="微软雅黑" w:hAnsi="微软雅黑" w:eastAsia="微软雅黑" w:cs="微软雅黑"/>
          <w:color w:val="auto"/>
          <w:szCs w:val="24"/>
        </w:rPr>
        <w:t>6.2</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11"/>
        <w:ind w:left="840" w:hanging="840" w:hangingChars="350"/>
        <w:rPr>
          <w:rFonts w:ascii="微软雅黑" w:hAnsi="微软雅黑" w:eastAsia="微软雅黑" w:cs="微软雅黑"/>
          <w:color w:val="auto"/>
          <w:szCs w:val="24"/>
        </w:rPr>
      </w:pPr>
      <w:r>
        <w:rPr>
          <w:rFonts w:hint="eastAsia" w:ascii="微软雅黑" w:hAnsi="微软雅黑" w:eastAsia="微软雅黑" w:cs="微软雅黑"/>
          <w:color w:val="auto"/>
          <w:szCs w:val="24"/>
        </w:rPr>
        <w:t>6.3</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7"/>
        <w:tabs>
          <w:tab w:val="left" w:pos="900"/>
        </w:tabs>
        <w:spacing w:before="0" w:after="0" w:line="240" w:lineRule="atLeast"/>
        <w:rPr>
          <w:rFonts w:ascii="微软雅黑" w:hAnsi="微软雅黑" w:eastAsia="微软雅黑" w:cs="微软雅黑"/>
          <w:color w:val="auto"/>
          <w:szCs w:val="24"/>
          <w:u w:val="none"/>
        </w:rPr>
      </w:pPr>
      <w:bookmarkStart w:id="47" w:name="_Toc7862"/>
      <w:bookmarkStart w:id="48" w:name="_Toc14569"/>
      <w:bookmarkStart w:id="49" w:name="_Toc25635"/>
      <w:r>
        <w:rPr>
          <w:rFonts w:hint="eastAsia" w:ascii="微软雅黑" w:hAnsi="微软雅黑" w:eastAsia="微软雅黑" w:cs="微软雅黑"/>
          <w:color w:val="auto"/>
          <w:szCs w:val="24"/>
          <w:u w:val="none"/>
        </w:rPr>
        <w:t>7</w:t>
      </w:r>
      <w:bookmarkEnd w:id="44"/>
      <w:bookmarkEnd w:id="45"/>
      <w:bookmarkEnd w:id="46"/>
      <w:r>
        <w:rPr>
          <w:rFonts w:hint="eastAsia" w:ascii="微软雅黑" w:hAnsi="微软雅黑" w:eastAsia="微软雅黑" w:cs="微软雅黑"/>
          <w:color w:val="auto"/>
          <w:szCs w:val="24"/>
          <w:u w:val="none"/>
        </w:rPr>
        <w:t>.磋商截止时间的顺延</w:t>
      </w:r>
      <w:bookmarkEnd w:id="47"/>
      <w:bookmarkEnd w:id="48"/>
      <w:bookmarkEnd w:id="4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为使供应商准备磋商时有足够的时间对磋商文件的澄清或者修改部分进行研究，采购人将依法决定是否顺延磋商截止时间。</w:t>
      </w:r>
    </w:p>
    <w:p>
      <w:pPr>
        <w:pStyle w:val="6"/>
        <w:tabs>
          <w:tab w:val="left" w:pos="900"/>
        </w:tabs>
        <w:spacing w:before="0" w:line="240" w:lineRule="atLeast"/>
        <w:ind w:left="1080" w:leftChars="257" w:hanging="540"/>
        <w:rPr>
          <w:rFonts w:ascii="微软雅黑" w:hAnsi="微软雅黑" w:eastAsia="微软雅黑" w:cs="微软雅黑"/>
          <w:color w:val="auto"/>
          <w:sz w:val="28"/>
        </w:rPr>
      </w:pPr>
      <w:bookmarkStart w:id="50" w:name="_Toc516367020"/>
      <w:bookmarkStart w:id="51" w:name="_Toc18070"/>
      <w:bookmarkStart w:id="52" w:name="_Toc520356150"/>
      <w:bookmarkStart w:id="53" w:name="_Toc7636"/>
      <w:bookmarkStart w:id="54" w:name="_Toc216582807"/>
      <w:bookmarkStart w:id="55" w:name="_Toc30808"/>
      <w:bookmarkStart w:id="56" w:name="_Toc4440"/>
      <w:bookmarkStart w:id="57" w:name="_Toc515647766"/>
      <w:r>
        <w:rPr>
          <w:rFonts w:hint="eastAsia" w:ascii="微软雅黑" w:hAnsi="微软雅黑" w:eastAsia="微软雅黑" w:cs="微软雅黑"/>
          <w:color w:val="auto"/>
          <w:sz w:val="28"/>
        </w:rPr>
        <w:t xml:space="preserve">三   </w:t>
      </w:r>
      <w:bookmarkEnd w:id="50"/>
      <w:r>
        <w:rPr>
          <w:rFonts w:hint="eastAsia" w:ascii="微软雅黑" w:hAnsi="微软雅黑" w:eastAsia="微软雅黑" w:cs="微软雅黑"/>
          <w:color w:val="auto"/>
          <w:sz w:val="28"/>
        </w:rPr>
        <w:t>响应文件的编制</w:t>
      </w:r>
      <w:bookmarkEnd w:id="51"/>
      <w:bookmarkEnd w:id="52"/>
      <w:bookmarkEnd w:id="53"/>
      <w:bookmarkEnd w:id="54"/>
      <w:bookmarkEnd w:id="55"/>
      <w:bookmarkEnd w:id="56"/>
      <w:bookmarkEnd w:id="57"/>
    </w:p>
    <w:p>
      <w:pPr>
        <w:pStyle w:val="11"/>
        <w:rPr>
          <w:rFonts w:ascii="微软雅黑" w:hAnsi="微软雅黑" w:eastAsia="微软雅黑" w:cs="微软雅黑"/>
          <w:color w:val="auto"/>
        </w:rPr>
      </w:pPr>
    </w:p>
    <w:p>
      <w:pPr>
        <w:pStyle w:val="7"/>
        <w:tabs>
          <w:tab w:val="left" w:pos="900"/>
        </w:tabs>
        <w:spacing w:before="0" w:after="0" w:line="240" w:lineRule="atLeast"/>
        <w:rPr>
          <w:rFonts w:ascii="微软雅黑" w:hAnsi="微软雅黑" w:eastAsia="微软雅黑" w:cs="微软雅黑"/>
          <w:color w:val="auto"/>
          <w:u w:val="none"/>
        </w:rPr>
      </w:pPr>
      <w:bookmarkStart w:id="58" w:name="_Toc520356151"/>
      <w:bookmarkStart w:id="59" w:name="_Toc516367021"/>
      <w:bookmarkStart w:id="60" w:name="_Toc3553"/>
      <w:bookmarkStart w:id="61" w:name="_Toc7786"/>
      <w:bookmarkStart w:id="62" w:name="_Toc6639"/>
      <w:bookmarkStart w:id="63" w:name="_Toc515647767"/>
      <w:bookmarkStart w:id="64" w:name="_Toc21065"/>
      <w:r>
        <w:rPr>
          <w:rFonts w:hint="eastAsia" w:ascii="微软雅黑" w:hAnsi="微软雅黑" w:eastAsia="微软雅黑" w:cs="微软雅黑"/>
          <w:color w:val="auto"/>
          <w:u w:val="none"/>
        </w:rPr>
        <w:t>8.</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磋商范围及响应文件成交准和计量单位的使用</w:t>
      </w:r>
      <w:bookmarkEnd w:id="58"/>
      <w:bookmarkEnd w:id="59"/>
      <w:bookmarkEnd w:id="60"/>
      <w:bookmarkEnd w:id="61"/>
      <w:bookmarkEnd w:id="62"/>
      <w:bookmarkEnd w:id="63"/>
      <w:bookmarkEnd w:id="64"/>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项目有分包的，供应商可对磋商文件其中某一个或几个分包</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进行磋商，除非在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中另有规定。</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8.2     供应商应当对所投分包磋商文件中“</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需求”所列的所有内容进行磋商，如仅响应某一包中的部分内容，其该包磋商将被认定为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8.3     无论磋商文件第5章</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需求一览表及技术规格中是否要求，供应商所投</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均应符合国家强制性标准。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8.4     除磋商文件中有特殊要求外，响应文件中所使用的计量单位，应采用中华人民共和国法定计量单位。</w:t>
      </w:r>
    </w:p>
    <w:p>
      <w:pPr>
        <w:pStyle w:val="7"/>
        <w:tabs>
          <w:tab w:val="left" w:pos="900"/>
        </w:tabs>
        <w:spacing w:before="0" w:after="0" w:line="240" w:lineRule="atLeast"/>
        <w:rPr>
          <w:rFonts w:ascii="微软雅黑" w:hAnsi="微软雅黑" w:eastAsia="微软雅黑" w:cs="微软雅黑"/>
          <w:color w:val="auto"/>
          <w:u w:val="none"/>
        </w:rPr>
      </w:pPr>
      <w:bookmarkStart w:id="65" w:name="_Ref467306676"/>
      <w:bookmarkStart w:id="66" w:name="_Toc516367022"/>
      <w:bookmarkStart w:id="67" w:name="_Ref467306195"/>
      <w:bookmarkStart w:id="68" w:name="_Toc27494"/>
      <w:bookmarkStart w:id="69" w:name="_Toc28307"/>
      <w:bookmarkStart w:id="70" w:name="_Toc515647768"/>
      <w:bookmarkStart w:id="71" w:name="_Toc10364"/>
      <w:bookmarkStart w:id="72" w:name="_Toc520356152"/>
      <w:bookmarkStart w:id="73" w:name="_Toc28670"/>
      <w:r>
        <w:rPr>
          <w:rFonts w:hint="eastAsia" w:ascii="微软雅黑" w:hAnsi="微软雅黑" w:eastAsia="微软雅黑" w:cs="微软雅黑"/>
          <w:color w:val="auto"/>
          <w:u w:val="none"/>
        </w:rPr>
        <w:t>9.</w:t>
      </w:r>
      <w:bookmarkEnd w:id="65"/>
      <w:bookmarkEnd w:id="66"/>
      <w:bookmarkEnd w:id="67"/>
      <w:r>
        <w:rPr>
          <w:rFonts w:hint="eastAsia" w:ascii="微软雅黑" w:hAnsi="微软雅黑" w:eastAsia="微软雅黑" w:cs="微软雅黑"/>
          <w:color w:val="auto"/>
          <w:u w:val="none"/>
        </w:rPr>
        <w:t>响应文件构成</w:t>
      </w:r>
      <w:bookmarkEnd w:id="68"/>
      <w:bookmarkEnd w:id="69"/>
      <w:bookmarkEnd w:id="70"/>
      <w:bookmarkEnd w:id="71"/>
      <w:bookmarkEnd w:id="72"/>
      <w:bookmarkEnd w:id="73"/>
    </w:p>
    <w:p>
      <w:pPr>
        <w:tabs>
          <w:tab w:val="left" w:pos="900"/>
          <w:tab w:val="left" w:pos="5580"/>
        </w:tabs>
        <w:spacing w:line="240" w:lineRule="atLeast"/>
        <w:ind w:left="960" w:hanging="960" w:hangingChars="400"/>
        <w:jc w:val="left"/>
        <w:rPr>
          <w:rFonts w:ascii="微软雅黑" w:hAnsi="微软雅黑" w:eastAsia="微软雅黑" w:cs="微软雅黑"/>
          <w:color w:val="auto"/>
          <w:sz w:val="24"/>
          <w:u w:val="single"/>
        </w:rPr>
      </w:pPr>
      <w:bookmarkStart w:id="74" w:name="_Ref467052588"/>
      <w:r>
        <w:rPr>
          <w:rFonts w:hint="eastAsia" w:ascii="微软雅黑" w:hAnsi="微软雅黑" w:eastAsia="微软雅黑" w:cs="微软雅黑"/>
          <w:color w:val="auto"/>
          <w:sz w:val="24"/>
        </w:rPr>
        <w:t xml:space="preserve">9.1     </w:t>
      </w:r>
      <w:r>
        <w:rPr>
          <w:rFonts w:hint="eastAsia" w:ascii="微软雅黑" w:hAnsi="微软雅黑" w:eastAsia="微软雅黑" w:cs="微软雅黑"/>
          <w:color w:val="auto"/>
          <w:sz w:val="24"/>
          <w:u w:val="single"/>
        </w:rPr>
        <w:t>供应商应完整地按磋商文件提供的响应文件格式及要求</w:t>
      </w:r>
      <w:r>
        <w:rPr>
          <w:rFonts w:hint="eastAsia" w:ascii="微软雅黑" w:hAnsi="微软雅黑" w:eastAsia="微软雅黑" w:cs="微软雅黑"/>
          <w:color w:val="auto"/>
          <w:sz w:val="24"/>
          <w:u w:val="single"/>
          <w:lang w:eastAsia="zh-Hans"/>
        </w:rPr>
        <w:t>编写</w:t>
      </w:r>
      <w:r>
        <w:rPr>
          <w:rFonts w:hint="eastAsia" w:ascii="微软雅黑" w:hAnsi="微软雅黑" w:eastAsia="微软雅黑" w:cs="微软雅黑"/>
          <w:color w:val="auto"/>
          <w:sz w:val="24"/>
          <w:u w:val="single"/>
        </w:rPr>
        <w:t>响应文件，响应文件应包括“开标一览表及资格证明文件”和“商务及技术文件”两部分。两部分合订成一册，密封递交。供应商应承担封装失误产生的任何后果。</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9.2    上述文件应按照磋商文件规定的格式填写、签署和盖章。</w:t>
      </w:r>
      <w:bookmarkEnd w:id="74"/>
    </w:p>
    <w:p>
      <w:pPr>
        <w:pStyle w:val="7"/>
        <w:tabs>
          <w:tab w:val="left" w:pos="900"/>
        </w:tabs>
        <w:spacing w:before="0" w:after="0" w:line="240" w:lineRule="atLeast"/>
        <w:rPr>
          <w:rFonts w:ascii="微软雅黑" w:hAnsi="微软雅黑" w:eastAsia="微软雅黑" w:cs="微软雅黑"/>
          <w:color w:val="auto"/>
          <w:u w:val="none"/>
        </w:rPr>
      </w:pPr>
      <w:bookmarkStart w:id="75" w:name="_Toc516367023"/>
      <w:bookmarkStart w:id="76" w:name="_Toc4601"/>
      <w:bookmarkStart w:id="77" w:name="_Toc515647769"/>
      <w:bookmarkStart w:id="78" w:name="_Toc520356153"/>
      <w:bookmarkStart w:id="79" w:name="_Toc20282"/>
      <w:bookmarkStart w:id="80" w:name="_Toc5860"/>
      <w:bookmarkStart w:id="81" w:name="_Toc10379"/>
      <w:r>
        <w:rPr>
          <w:rFonts w:hint="eastAsia" w:ascii="微软雅黑" w:hAnsi="微软雅黑" w:eastAsia="微软雅黑" w:cs="微软雅黑"/>
          <w:color w:val="auto"/>
          <w:u w:val="none"/>
        </w:rPr>
        <w:t>10.</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证明磋商标的的合格性和符合磋商文件规定的技术文件</w:t>
      </w:r>
      <w:bookmarkEnd w:id="75"/>
      <w:bookmarkEnd w:id="76"/>
      <w:bookmarkEnd w:id="77"/>
      <w:bookmarkEnd w:id="78"/>
      <w:bookmarkEnd w:id="79"/>
      <w:bookmarkEnd w:id="80"/>
      <w:bookmarkEnd w:id="81"/>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供应商应提交证明文件，证明其磋商内容符合磋商文件规定。该证明文件是响应文件的一部分。</w:t>
      </w:r>
    </w:p>
    <w:p>
      <w:pPr>
        <w:spacing w:line="240" w:lineRule="atLeast"/>
        <w:ind w:left="900" w:hanging="900" w:hangingChars="375"/>
        <w:rPr>
          <w:rFonts w:ascii="微软雅黑" w:hAnsi="微软雅黑" w:eastAsia="微软雅黑" w:cs="微软雅黑"/>
          <w:color w:val="auto"/>
          <w:sz w:val="24"/>
        </w:rPr>
      </w:pPr>
      <w:bookmarkStart w:id="82" w:name="_Ref467306244"/>
      <w:r>
        <w:rPr>
          <w:rFonts w:hint="eastAsia" w:ascii="微软雅黑" w:hAnsi="微软雅黑" w:eastAsia="微软雅黑" w:cs="微软雅黑"/>
          <w:color w:val="auto"/>
          <w:sz w:val="24"/>
        </w:rPr>
        <w:t>10.2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上款所述的证明文件，可以是文字资料、图纸和数据，</w:t>
      </w:r>
      <w:bookmarkEnd w:id="82"/>
      <w:r>
        <w:rPr>
          <w:rFonts w:hint="eastAsia" w:ascii="微软雅黑" w:hAnsi="微软雅黑" w:eastAsia="微软雅黑" w:cs="微软雅黑"/>
          <w:color w:val="auto"/>
          <w:sz w:val="24"/>
        </w:rPr>
        <w:t>它包括：</w:t>
      </w:r>
    </w:p>
    <w:p>
      <w:pPr>
        <w:pStyle w:val="7"/>
        <w:spacing w:before="0" w:after="0" w:line="240" w:lineRule="atLeast"/>
        <w:rPr>
          <w:rFonts w:ascii="微软雅黑" w:hAnsi="微软雅黑" w:eastAsia="微软雅黑" w:cs="微软雅黑"/>
          <w:color w:val="auto"/>
          <w:u w:val="none"/>
        </w:rPr>
      </w:pPr>
      <w:bookmarkStart w:id="83" w:name="_Toc6864"/>
      <w:bookmarkStart w:id="84" w:name="_Toc23231"/>
      <w:bookmarkStart w:id="85" w:name="_Toc2248"/>
      <w:bookmarkStart w:id="86" w:name="_Toc515647770"/>
      <w:bookmarkStart w:id="87" w:name="_Toc3401"/>
      <w:bookmarkStart w:id="88" w:name="_Toc520356155"/>
      <w:r>
        <w:rPr>
          <w:rFonts w:hint="eastAsia" w:ascii="微软雅黑" w:hAnsi="微软雅黑" w:eastAsia="微软雅黑" w:cs="微软雅黑"/>
          <w:color w:val="auto"/>
          <w:u w:val="none"/>
        </w:rPr>
        <w:t>11.磋商报价</w:t>
      </w:r>
      <w:bookmarkEnd w:id="83"/>
      <w:bookmarkEnd w:id="84"/>
      <w:bookmarkEnd w:id="85"/>
      <w:bookmarkEnd w:id="86"/>
      <w:bookmarkEnd w:id="87"/>
      <w:bookmarkEnd w:id="8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所有磋商均以人民币报价。供应商的磋商报价应遵守《中华人民共和国价格法》。同时，根据《中华人民共和国政府采购法》第二条的规定，为保证公平竞争，如有主体部分的赠与行为，其磋商将被认定为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供应商应在磋商分项报价表上标明磋商</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的单价（如适用）和总价，并由法定代表人或其授权代表签署。</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11.3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采购人不接受具有附加条件的报价。</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11.4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供应商所报的各分项磋商单价在合同履行过程中是固定不变的，不得以任何理由予以变更。任何包含价格调整要求的磋商，其磋商将被认定为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7"/>
        <w:spacing w:before="0" w:after="0" w:line="240" w:lineRule="atLeast"/>
        <w:rPr>
          <w:rFonts w:ascii="微软雅黑" w:hAnsi="微软雅黑" w:eastAsia="微软雅黑" w:cs="微软雅黑"/>
          <w:color w:val="auto"/>
          <w:u w:val="none"/>
        </w:rPr>
      </w:pPr>
      <w:bookmarkStart w:id="89" w:name="_Toc31526"/>
      <w:bookmarkStart w:id="90" w:name="_Toc32746"/>
      <w:bookmarkStart w:id="91" w:name="_Toc17788"/>
      <w:bookmarkStart w:id="92" w:name="_Toc11514"/>
      <w:bookmarkStart w:id="93" w:name="_Toc520356156"/>
      <w:bookmarkStart w:id="94" w:name="_Ref467306513"/>
      <w:bookmarkStart w:id="95" w:name="_Toc515647771"/>
      <w:r>
        <w:rPr>
          <w:rFonts w:hint="eastAsia" w:ascii="微软雅黑" w:hAnsi="微软雅黑" w:eastAsia="微软雅黑" w:cs="微软雅黑"/>
          <w:color w:val="auto"/>
          <w:u w:val="none"/>
        </w:rPr>
        <w:t>12.磋商保证金</w:t>
      </w:r>
      <w:bookmarkEnd w:id="89"/>
      <w:bookmarkEnd w:id="90"/>
      <w:bookmarkEnd w:id="91"/>
      <w:bookmarkEnd w:id="92"/>
      <w:bookmarkEnd w:id="93"/>
      <w:bookmarkEnd w:id="94"/>
      <w:bookmarkEnd w:id="95"/>
    </w:p>
    <w:p>
      <w:pPr>
        <w:spacing w:line="240" w:lineRule="atLeast"/>
        <w:ind w:left="900" w:hanging="900" w:hangingChars="375"/>
        <w:rPr>
          <w:rFonts w:ascii="微软雅黑" w:hAnsi="微软雅黑" w:eastAsia="微软雅黑" w:cs="微软雅黑"/>
          <w:color w:val="auto"/>
          <w:sz w:val="24"/>
        </w:rPr>
      </w:pPr>
      <w:bookmarkStart w:id="96" w:name="_Ref467306302"/>
      <w:r>
        <w:rPr>
          <w:rFonts w:hint="eastAsia" w:ascii="微软雅黑" w:hAnsi="微软雅黑" w:eastAsia="微软雅黑" w:cs="微软雅黑"/>
          <w:color w:val="auto"/>
          <w:sz w:val="24"/>
        </w:rPr>
        <w:t>12.1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中规定的磋商保证金</w:t>
      </w:r>
      <w:bookmarkEnd w:id="96"/>
      <w:r>
        <w:rPr>
          <w:rFonts w:hint="eastAsia" w:ascii="微软雅黑" w:hAnsi="微软雅黑" w:eastAsia="微软雅黑" w:cs="微软雅黑"/>
          <w:color w:val="auto"/>
          <w:sz w:val="24"/>
        </w:rPr>
        <w:t>，并作为其磋商的一部分。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供应商存在下列情形的，磋商保证金不予退还：</w:t>
      </w:r>
    </w:p>
    <w:p>
      <w:pPr>
        <w:pStyle w:val="19"/>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（1）在磋商有效期内，撤销磋商的；</w:t>
      </w:r>
    </w:p>
    <w:p>
      <w:pPr>
        <w:pStyle w:val="19"/>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（2）成交后不按本须知第30条的规定与采购人签订合同的；</w:t>
      </w:r>
    </w:p>
    <w:p>
      <w:pPr>
        <w:pStyle w:val="19"/>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（3）成交后不按本须知第31条的规定提交履约保证金的；</w:t>
      </w:r>
    </w:p>
    <w:p>
      <w:pPr>
        <w:pStyle w:val="19"/>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（4）成交后不按本须知第32条的规定缴纳成交</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费的；</w:t>
      </w:r>
    </w:p>
    <w:p>
      <w:pPr>
        <w:pStyle w:val="19"/>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（5）存在其他违法违规行为的。</w:t>
      </w:r>
    </w:p>
    <w:p>
      <w:pPr>
        <w:spacing w:line="240" w:lineRule="atLeast"/>
        <w:ind w:left="900" w:hanging="900" w:hangingChars="375"/>
        <w:rPr>
          <w:rFonts w:ascii="微软雅黑" w:hAnsi="微软雅黑" w:eastAsia="微软雅黑" w:cs="微软雅黑"/>
          <w:color w:val="auto"/>
          <w:sz w:val="24"/>
        </w:rPr>
      </w:pPr>
      <w:bookmarkStart w:id="97" w:name="_Ref467306336"/>
      <w:r>
        <w:rPr>
          <w:rFonts w:hint="eastAsia" w:ascii="微软雅黑" w:hAnsi="微软雅黑" w:eastAsia="微软雅黑" w:cs="微软雅黑"/>
          <w:color w:val="auto"/>
          <w:sz w:val="24"/>
        </w:rPr>
        <w:t>12.3</w:t>
      </w:r>
      <w:r>
        <w:rPr>
          <w:rFonts w:hint="eastAsia" w:ascii="微软雅黑" w:hAnsi="微软雅黑" w:eastAsia="微软雅黑" w:cs="微软雅黑"/>
          <w:color w:val="auto"/>
          <w:sz w:val="24"/>
        </w:rPr>
        <w:tab/>
      </w:r>
      <w:bookmarkEnd w:id="97"/>
      <w:r>
        <w:rPr>
          <w:rFonts w:hint="eastAsia" w:ascii="微软雅黑" w:hAnsi="微软雅黑" w:eastAsia="微软雅黑" w:cs="微软雅黑"/>
          <w:color w:val="auto"/>
          <w:sz w:val="24"/>
        </w:rPr>
        <w:t>政府采购信用担保试点范围内的项目，接受符合财政部门规定的政府采购磋商担保函原件。</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供应商未按本须知第12.1和12.3条规定提交磋商保证金的，其磋商将被认定为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12.4.1  采用电汇形式的，一般可以实时入账。</w:t>
      </w:r>
    </w:p>
    <w:p>
      <w:pPr>
        <w:spacing w:line="240" w:lineRule="atLeast"/>
        <w:ind w:left="960" w:hanging="960" w:hangingChars="4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12.5   联合体磋商的，可以由联合体中的一方或者共同提交磋商保证金。以一方名义提交磋商保证金的，对联合体各方均具有约束力。</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12.6</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磋商保证金的退还</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12.6.1  成交人应在与采购人签订合同之日起5个工作日内，及时联系保证金收受机构办理磋商保证金无息退还手续。</w:t>
      </w:r>
    </w:p>
    <w:p>
      <w:pPr>
        <w:spacing w:line="240" w:lineRule="atLeast"/>
        <w:ind w:left="960" w:hanging="960" w:hangingChars="400"/>
        <w:rPr>
          <w:rFonts w:ascii="微软雅黑" w:hAnsi="微软雅黑" w:eastAsia="微软雅黑" w:cs="微软雅黑"/>
          <w:color w:val="auto"/>
          <w:sz w:val="24"/>
        </w:rPr>
      </w:pPr>
      <w:r>
        <w:rPr>
          <w:rFonts w:hint="eastAsia" w:ascii="微软雅黑" w:hAnsi="微软雅黑" w:eastAsia="微软雅黑" w:cs="微软雅黑"/>
          <w:color w:val="auto"/>
          <w:sz w:val="24"/>
        </w:rPr>
        <w:t>12.6.2  未成交供应商的磋商保证金将在成交通知书发出之日暨成交结果公告公布之日起5个工作日内无息退还。供应商应及时联系保证金收受机构办理退还磋商保证金手续。</w:t>
      </w:r>
    </w:p>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12.6.3  政府采购磋商担保函不予退回。</w:t>
      </w:r>
    </w:p>
    <w:p>
      <w:pPr>
        <w:spacing w:line="240" w:lineRule="atLeast"/>
        <w:ind w:left="960" w:hanging="960" w:hangingChars="400"/>
        <w:rPr>
          <w:rFonts w:ascii="微软雅黑" w:hAnsi="微软雅黑" w:eastAsia="微软雅黑" w:cs="微软雅黑"/>
          <w:color w:val="auto"/>
          <w:sz w:val="24"/>
        </w:rPr>
      </w:pPr>
      <w:r>
        <w:rPr>
          <w:rFonts w:hint="eastAsia" w:ascii="微软雅黑" w:hAnsi="微软雅黑" w:eastAsia="微软雅黑" w:cs="微软雅黑"/>
          <w:color w:val="auto"/>
          <w:sz w:val="24"/>
        </w:rPr>
        <w:t>12.7    因供应商自身原因导致无法及时退还的，采购人或采购代理机构将不承担相应责任。</w:t>
      </w:r>
    </w:p>
    <w:p>
      <w:pPr>
        <w:pStyle w:val="7"/>
        <w:spacing w:before="0" w:after="0" w:line="240" w:lineRule="atLeast"/>
        <w:rPr>
          <w:rFonts w:ascii="微软雅黑" w:hAnsi="微软雅黑" w:eastAsia="微软雅黑" w:cs="微软雅黑"/>
          <w:color w:val="auto"/>
          <w:u w:val="none"/>
        </w:rPr>
      </w:pPr>
      <w:bookmarkStart w:id="98" w:name="_Toc520356157"/>
      <w:bookmarkStart w:id="99" w:name="_Toc21509"/>
      <w:bookmarkStart w:id="100" w:name="_Toc32569"/>
      <w:bookmarkStart w:id="101" w:name="_Toc23590"/>
      <w:bookmarkStart w:id="102" w:name="_Toc515647772"/>
      <w:bookmarkStart w:id="103" w:name="_Toc9550"/>
      <w:r>
        <w:rPr>
          <w:rFonts w:hint="eastAsia" w:ascii="微软雅黑" w:hAnsi="微软雅黑" w:eastAsia="微软雅黑" w:cs="微软雅黑"/>
          <w:color w:val="auto"/>
          <w:u w:val="none"/>
        </w:rPr>
        <w:t>13.磋商有效期</w:t>
      </w:r>
      <w:bookmarkEnd w:id="98"/>
      <w:bookmarkEnd w:id="99"/>
      <w:bookmarkEnd w:id="100"/>
      <w:bookmarkEnd w:id="101"/>
      <w:bookmarkEnd w:id="102"/>
      <w:bookmarkEnd w:id="103"/>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磋商应在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中规定时间内保持有效。磋商有效期不满足要求的磋商，其磋商将被认定为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7"/>
        <w:spacing w:before="0" w:after="0" w:line="240" w:lineRule="atLeast"/>
        <w:rPr>
          <w:rFonts w:ascii="微软雅黑" w:hAnsi="微软雅黑" w:eastAsia="微软雅黑" w:cs="微软雅黑"/>
          <w:color w:val="auto"/>
          <w:u w:val="none"/>
        </w:rPr>
      </w:pPr>
      <w:bookmarkStart w:id="104" w:name="_Toc520356158"/>
      <w:bookmarkStart w:id="105" w:name="_Toc493"/>
      <w:bookmarkStart w:id="106" w:name="_Toc515647773"/>
      <w:bookmarkStart w:id="107" w:name="_Toc17074"/>
      <w:bookmarkStart w:id="108" w:name="_Toc24880"/>
      <w:bookmarkStart w:id="109" w:name="_Toc29240"/>
      <w:r>
        <w:rPr>
          <w:rFonts w:hint="eastAsia" w:ascii="微软雅黑" w:hAnsi="微软雅黑" w:eastAsia="微软雅黑" w:cs="微软雅黑"/>
          <w:color w:val="auto"/>
          <w:u w:val="none"/>
        </w:rPr>
        <w:t>14.响应文件的签署</w:t>
      </w:r>
      <w:bookmarkEnd w:id="104"/>
      <w:r>
        <w:rPr>
          <w:rFonts w:hint="eastAsia" w:ascii="微软雅黑" w:hAnsi="微软雅黑" w:eastAsia="微软雅黑" w:cs="微软雅黑"/>
          <w:color w:val="auto"/>
          <w:u w:val="none"/>
        </w:rPr>
        <w:t>及规定</w:t>
      </w:r>
      <w:bookmarkEnd w:id="105"/>
      <w:bookmarkEnd w:id="106"/>
      <w:bookmarkEnd w:id="107"/>
      <w:bookmarkEnd w:id="108"/>
      <w:bookmarkEnd w:id="10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供应商应按</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中的规定，准备和递交响应文件资格证明文件、商务和技术文件正本、副本和电子文档，每份资格证明文件、商务和技术文件封皮须清楚地标明“正本”或“副本”。若正本和副本不符，以正本为准。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的正本需打印或用不褪色墨水书写，并由供应商的法定代表人或经其正式委托代理人按磋商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14.3    所有响应文件采用不可拆装的胶订方式装订，否则其磋商将被认定为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响应文件因字迹潦草、表达不清或装订不当所引起的后果由供应商负责。</w:t>
      </w:r>
    </w:p>
    <w:p>
      <w:pPr>
        <w:pStyle w:val="6"/>
        <w:spacing w:before="0" w:line="240" w:lineRule="atLeast"/>
        <w:ind w:left="1080" w:leftChars="257" w:hanging="540"/>
        <w:rPr>
          <w:rFonts w:ascii="微软雅黑" w:hAnsi="微软雅黑" w:eastAsia="微软雅黑" w:cs="微软雅黑"/>
          <w:color w:val="auto"/>
          <w:sz w:val="24"/>
        </w:rPr>
      </w:pPr>
      <w:bookmarkStart w:id="110" w:name="_Toc16865"/>
      <w:bookmarkStart w:id="111" w:name="_Toc11179"/>
      <w:bookmarkStart w:id="112" w:name="_Toc520356159"/>
      <w:bookmarkStart w:id="113" w:name="_Toc515647774"/>
      <w:bookmarkStart w:id="114" w:name="_Toc8711"/>
      <w:bookmarkStart w:id="115" w:name="_Toc30056"/>
      <w:bookmarkStart w:id="116" w:name="_Toc216582808"/>
      <w:r>
        <w:rPr>
          <w:rFonts w:hint="eastAsia" w:ascii="微软雅黑" w:hAnsi="微软雅黑" w:eastAsia="微软雅黑" w:cs="微软雅黑"/>
          <w:color w:val="auto"/>
          <w:sz w:val="24"/>
        </w:rPr>
        <w:t>四   响应文件的递交</w:t>
      </w:r>
      <w:bookmarkEnd w:id="110"/>
      <w:bookmarkEnd w:id="111"/>
      <w:bookmarkEnd w:id="112"/>
      <w:bookmarkEnd w:id="113"/>
      <w:bookmarkEnd w:id="114"/>
      <w:bookmarkEnd w:id="115"/>
      <w:bookmarkEnd w:id="116"/>
    </w:p>
    <w:p>
      <w:pPr>
        <w:pStyle w:val="11"/>
        <w:rPr>
          <w:rFonts w:ascii="微软雅黑" w:hAnsi="微软雅黑" w:eastAsia="微软雅黑" w:cs="微软雅黑"/>
          <w:color w:val="auto"/>
        </w:rPr>
      </w:pPr>
    </w:p>
    <w:p>
      <w:pPr>
        <w:pStyle w:val="7"/>
        <w:spacing w:before="0" w:after="0" w:line="240" w:lineRule="atLeast"/>
        <w:rPr>
          <w:rFonts w:ascii="微软雅黑" w:hAnsi="微软雅黑" w:eastAsia="微软雅黑" w:cs="微软雅黑"/>
          <w:color w:val="auto"/>
          <w:u w:val="none"/>
        </w:rPr>
      </w:pPr>
      <w:bookmarkStart w:id="117" w:name="_Toc520356160"/>
      <w:bookmarkStart w:id="118" w:name="_Toc32337"/>
      <w:bookmarkStart w:id="119" w:name="_Toc2691"/>
      <w:bookmarkStart w:id="120" w:name="_Toc21645"/>
      <w:bookmarkStart w:id="121" w:name="_Toc515647775"/>
      <w:bookmarkStart w:id="122" w:name="_Toc22380"/>
      <w:r>
        <w:rPr>
          <w:rFonts w:hint="eastAsia" w:ascii="微软雅黑" w:hAnsi="微软雅黑" w:eastAsia="微软雅黑" w:cs="微软雅黑"/>
          <w:color w:val="auto"/>
          <w:u w:val="none"/>
        </w:rPr>
        <w:t>15.响应文件的密封和标记</w:t>
      </w:r>
      <w:bookmarkEnd w:id="117"/>
      <w:bookmarkEnd w:id="118"/>
      <w:bookmarkEnd w:id="119"/>
      <w:bookmarkEnd w:id="120"/>
      <w:bookmarkEnd w:id="121"/>
      <w:bookmarkEnd w:id="122"/>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15.1   为方便开启及进行资格审查，供应商应将响应文件第一部分和第二部分的内容合并装订成一册，密封提交，并在封皮正面标明“响应文件”字样。</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15.2   所有包装封皮和信封上均应：</w:t>
      </w:r>
    </w:p>
    <w:p>
      <w:pPr>
        <w:spacing w:line="240" w:lineRule="atLeast"/>
        <w:ind w:left="898" w:leftChars="399" w:hanging="60" w:hangingChars="25"/>
        <w:rPr>
          <w:rFonts w:ascii="微软雅黑" w:hAnsi="微软雅黑" w:eastAsia="微软雅黑" w:cs="微软雅黑"/>
          <w:color w:val="auto"/>
          <w:sz w:val="24"/>
        </w:rPr>
      </w:pPr>
      <w:r>
        <w:rPr>
          <w:rFonts w:hint="eastAsia" w:ascii="微软雅黑" w:hAnsi="微软雅黑" w:eastAsia="微软雅黑" w:cs="微软雅黑"/>
          <w:color w:val="auto"/>
          <w:sz w:val="24"/>
        </w:rPr>
        <w:t>（1）注明招标公告或磋商邀请书中指明的项目名称、招标编号、供应商名称和“在（开标时间）之前不得启封”的字样。</w:t>
      </w:r>
    </w:p>
    <w:p>
      <w:pPr>
        <w:spacing w:line="240" w:lineRule="atLeast"/>
        <w:ind w:left="898" w:leftChars="399" w:hanging="60" w:hangingChars="25"/>
        <w:rPr>
          <w:rFonts w:ascii="微软雅黑" w:hAnsi="微软雅黑" w:eastAsia="微软雅黑" w:cs="微软雅黑"/>
          <w:color w:val="auto"/>
          <w:sz w:val="24"/>
        </w:rPr>
      </w:pPr>
      <w:r>
        <w:rPr>
          <w:rFonts w:hint="eastAsia" w:ascii="微软雅黑" w:hAnsi="微软雅黑" w:eastAsia="微软雅黑" w:cs="微软雅黑"/>
          <w:color w:val="auto"/>
          <w:sz w:val="24"/>
        </w:rPr>
        <w:t>（2）在封口处加盖供应商单位公章或法人签/章。</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15.3    如果供应商未按上述要求密封的，将被拒绝接收。</w:t>
      </w:r>
    </w:p>
    <w:p>
      <w:pPr>
        <w:spacing w:line="240" w:lineRule="atLeast"/>
        <w:ind w:left="900" w:hanging="900" w:hangingChars="375"/>
        <w:rPr>
          <w:rFonts w:ascii="微软雅黑" w:hAnsi="微软雅黑" w:eastAsia="微软雅黑" w:cs="微软雅黑"/>
          <w:color w:val="auto"/>
          <w:sz w:val="24"/>
          <w:u w:val="single"/>
        </w:rPr>
      </w:pPr>
      <w:r>
        <w:rPr>
          <w:rFonts w:hint="eastAsia" w:ascii="微软雅黑" w:hAnsi="微软雅黑" w:eastAsia="微软雅黑" w:cs="微软雅黑"/>
          <w:color w:val="auto"/>
          <w:sz w:val="24"/>
        </w:rPr>
        <w:t xml:space="preserve">15.4   </w:t>
      </w:r>
      <w:r>
        <w:rPr>
          <w:rFonts w:hint="eastAsia" w:ascii="微软雅黑" w:hAnsi="微软雅黑" w:eastAsia="微软雅黑" w:cs="微软雅黑"/>
          <w:b/>
          <w:color w:val="auto"/>
          <w:sz w:val="24"/>
        </w:rPr>
        <w:t xml:space="preserve"> </w:t>
      </w:r>
      <w:r>
        <w:rPr>
          <w:rFonts w:hint="eastAsia" w:ascii="微软雅黑" w:hAnsi="微软雅黑" w:eastAsia="微软雅黑" w:cs="微软雅黑"/>
          <w:color w:val="auto"/>
          <w:sz w:val="24"/>
          <w:u w:val="single"/>
        </w:rPr>
        <w:t>资格证明文件密封装订在其他响应文件中，其磋商将被认定为</w:t>
      </w:r>
      <w:r>
        <w:rPr>
          <w:rFonts w:hint="eastAsia" w:ascii="微软雅黑" w:hAnsi="微软雅黑" w:eastAsia="微软雅黑" w:cs="微软雅黑"/>
          <w:bCs/>
          <w:color w:val="auto"/>
          <w:sz w:val="24"/>
          <w:u w:val="single"/>
        </w:rPr>
        <w:t>磋商无效</w:t>
      </w:r>
      <w:r>
        <w:rPr>
          <w:rFonts w:hint="eastAsia" w:ascii="微软雅黑" w:hAnsi="微软雅黑" w:eastAsia="微软雅黑" w:cs="微软雅黑"/>
          <w:color w:val="auto"/>
          <w:sz w:val="24"/>
          <w:u w:val="single"/>
        </w:rPr>
        <w:t>。</w:t>
      </w:r>
    </w:p>
    <w:p>
      <w:pPr>
        <w:pStyle w:val="7"/>
        <w:spacing w:before="0" w:after="0" w:line="240" w:lineRule="atLeast"/>
        <w:rPr>
          <w:rFonts w:ascii="微软雅黑" w:hAnsi="微软雅黑" w:eastAsia="微软雅黑" w:cs="微软雅黑"/>
          <w:color w:val="auto"/>
          <w:u w:val="none"/>
        </w:rPr>
      </w:pPr>
      <w:bookmarkStart w:id="123" w:name="_Toc515647776"/>
      <w:bookmarkStart w:id="124" w:name="_Toc9840"/>
      <w:bookmarkStart w:id="125" w:name="_Toc31921"/>
      <w:bookmarkStart w:id="126" w:name="_Toc520356161"/>
      <w:bookmarkStart w:id="127" w:name="_Toc12751"/>
      <w:bookmarkStart w:id="128" w:name="_Toc6625"/>
      <w:r>
        <w:rPr>
          <w:rFonts w:hint="eastAsia" w:ascii="微软雅黑" w:hAnsi="微软雅黑" w:eastAsia="微软雅黑" w:cs="微软雅黑"/>
          <w:color w:val="auto"/>
          <w:u w:val="none"/>
        </w:rPr>
        <w:t>16.磋商截止</w:t>
      </w:r>
      <w:bookmarkEnd w:id="123"/>
      <w:bookmarkEnd w:id="124"/>
      <w:bookmarkEnd w:id="125"/>
      <w:bookmarkEnd w:id="126"/>
      <w:bookmarkEnd w:id="127"/>
      <w:bookmarkEnd w:id="12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16.1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供应商应在</w:t>
      </w:r>
      <w:r>
        <w:rPr>
          <w:rFonts w:hint="eastAsia" w:ascii="微软雅黑" w:hAnsi="微软雅黑" w:eastAsia="微软雅黑" w:cs="微软雅黑"/>
          <w:color w:val="auto"/>
          <w:sz w:val="24"/>
          <w:u w:val="single"/>
        </w:rPr>
        <w:t>供应商须知资料表中</w:t>
      </w:r>
      <w:r>
        <w:rPr>
          <w:rFonts w:hint="eastAsia" w:ascii="微软雅黑" w:hAnsi="微软雅黑" w:eastAsia="微软雅黑" w:cs="微软雅黑"/>
          <w:color w:val="auto"/>
          <w:sz w:val="24"/>
        </w:rPr>
        <w:t>规定的截止时间前，将响应文件递交到招标公告中规定的地点。</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16.2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采购人和采购代理机构有权按本须知的规定，延迟磋商截止时间。在此情况下，采购人、采购代理机构和供应商受磋商截止时间制约的所有权利和义务均应延长至新的截止时间。</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16.3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采购人和采购代理机构将拒绝接收在磋商截止时间后送达的响应文件。</w:t>
      </w:r>
    </w:p>
    <w:p>
      <w:pPr>
        <w:pStyle w:val="7"/>
        <w:spacing w:before="0" w:after="0" w:line="240" w:lineRule="atLeast"/>
        <w:rPr>
          <w:rFonts w:ascii="微软雅黑" w:hAnsi="微软雅黑" w:eastAsia="微软雅黑" w:cs="微软雅黑"/>
          <w:color w:val="auto"/>
          <w:u w:val="none"/>
        </w:rPr>
      </w:pPr>
      <w:bookmarkStart w:id="129" w:name="_Toc16297"/>
      <w:bookmarkStart w:id="130" w:name="_Toc520356162"/>
      <w:bookmarkStart w:id="131" w:name="_Toc18537"/>
      <w:bookmarkStart w:id="132" w:name="_Toc515647777"/>
      <w:bookmarkStart w:id="133" w:name="_Toc29943"/>
      <w:bookmarkStart w:id="134" w:name="_Toc24275"/>
      <w:r>
        <w:rPr>
          <w:rFonts w:hint="eastAsia" w:ascii="微软雅黑" w:hAnsi="微软雅黑" w:eastAsia="微软雅黑" w:cs="微软雅黑"/>
          <w:color w:val="auto"/>
          <w:u w:val="none"/>
        </w:rPr>
        <w:t>17.响应文件的接收、修改与撤回</w:t>
      </w:r>
      <w:bookmarkEnd w:id="129"/>
      <w:bookmarkEnd w:id="130"/>
      <w:bookmarkEnd w:id="131"/>
      <w:bookmarkEnd w:id="132"/>
      <w:bookmarkEnd w:id="133"/>
      <w:bookmarkEnd w:id="134"/>
    </w:p>
    <w:p>
      <w:pPr>
        <w:spacing w:line="240" w:lineRule="atLeast"/>
        <w:ind w:left="900" w:hanging="900" w:hangingChars="375"/>
        <w:rPr>
          <w:rFonts w:ascii="微软雅黑" w:hAnsi="微软雅黑" w:eastAsia="微软雅黑" w:cs="微软雅黑"/>
          <w:color w:val="auto"/>
        </w:rPr>
      </w:pPr>
      <w:r>
        <w:rPr>
          <w:rFonts w:hint="eastAsia" w:ascii="微软雅黑" w:hAnsi="微软雅黑" w:eastAsia="微软雅黑" w:cs="微软雅黑"/>
          <w:color w:val="auto"/>
          <w:sz w:val="24"/>
        </w:rPr>
        <w:t>17.1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在磋商截止时间后送达的响应文件的，采购人和采购代理机构将拒绝接收。</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17.2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采购人或者采购代理机构收到响应文件后，应当如实记载响应文件的送达时间和密封情况，并向供应商出具以下签收回执。</w:t>
      </w:r>
    </w:p>
    <w:p>
      <w:pPr>
        <w:spacing w:line="240" w:lineRule="atLeast"/>
        <w:ind w:left="900" w:hanging="900" w:hangingChars="375"/>
        <w:rPr>
          <w:rFonts w:ascii="微软雅黑" w:hAnsi="微软雅黑" w:eastAsia="微软雅黑" w:cs="微软雅黑"/>
          <w:color w:val="auto"/>
          <w:sz w:val="24"/>
        </w:rPr>
      </w:pPr>
    </w:p>
    <w:tbl>
      <w:tblPr>
        <w:tblStyle w:val="37"/>
        <w:tblW w:w="7087" w:type="dxa"/>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vAlign w:val="center"/>
          </w:tcPr>
          <w:p>
            <w:pPr>
              <w:widowControl/>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 xml:space="preserve">接收响应文件回执单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招标编号</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项目名称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供应商名称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递交时间</w:t>
            </w:r>
          </w:p>
        </w:tc>
        <w:tc>
          <w:tcPr>
            <w:tcW w:w="1934"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w:t>
            </w:r>
          </w:p>
        </w:tc>
        <w:tc>
          <w:tcPr>
            <w:tcW w:w="2126"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响应文件密封情况</w:t>
            </w:r>
          </w:p>
        </w:tc>
        <w:tc>
          <w:tcPr>
            <w:tcW w:w="15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接收单位</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接收人签字：</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w:t>
            </w:r>
          </w:p>
        </w:tc>
      </w:tr>
    </w:tbl>
    <w:p>
      <w:pPr>
        <w:spacing w:line="240" w:lineRule="atLeast"/>
        <w:rPr>
          <w:rFonts w:ascii="微软雅黑" w:hAnsi="微软雅黑" w:eastAsia="微软雅黑" w:cs="微软雅黑"/>
          <w:color w:val="auto"/>
          <w:sz w:val="18"/>
          <w:szCs w:val="18"/>
        </w:rPr>
      </w:pPr>
    </w:p>
    <w:p>
      <w:pPr>
        <w:spacing w:line="240" w:lineRule="atLeast"/>
        <w:ind w:left="840" w:hanging="840" w:hangingChars="350"/>
        <w:rPr>
          <w:rFonts w:ascii="微软雅黑" w:hAnsi="微软雅黑" w:eastAsia="微软雅黑" w:cs="微软雅黑"/>
          <w:color w:val="auto"/>
          <w:sz w:val="24"/>
        </w:rPr>
      </w:pPr>
      <w:r>
        <w:rPr>
          <w:rFonts w:hint="eastAsia" w:ascii="微软雅黑" w:hAnsi="微软雅黑" w:eastAsia="微软雅黑" w:cs="微软雅黑"/>
          <w:color w:val="auto"/>
          <w:sz w:val="24"/>
        </w:rPr>
        <w:t>17.3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递交响应文件以后，如果供应商要进行修改或撤回磋商，须提出书面申请并在磋商截止时间前送达开标地点，供应商对响应文件的修改或撤回通知应按本须知规定编制、密封、标记。</w:t>
      </w:r>
    </w:p>
    <w:p>
      <w:pPr>
        <w:spacing w:line="240" w:lineRule="atLeast"/>
        <w:ind w:left="735" w:leftChars="350" w:firstLine="120" w:firstLineChars="50"/>
        <w:rPr>
          <w:rFonts w:ascii="微软雅黑" w:hAnsi="微软雅黑" w:eastAsia="微软雅黑" w:cs="微软雅黑"/>
          <w:color w:val="auto"/>
          <w:sz w:val="24"/>
        </w:rPr>
      </w:pPr>
      <w:r>
        <w:rPr>
          <w:rFonts w:hint="eastAsia" w:ascii="微软雅黑" w:hAnsi="微软雅黑" w:eastAsia="微软雅黑" w:cs="微软雅黑"/>
          <w:color w:val="auto"/>
          <w:sz w:val="24"/>
        </w:rPr>
        <w:t>采购人和采购代理机构将予以接收，并视为响应文件的组成部分。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17.4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在磋商截止期之后，采购人和采购代理机构不接受供应商主动对其响应文件做任何修改。</w:t>
      </w:r>
    </w:p>
    <w:p>
      <w:pPr>
        <w:spacing w:line="240" w:lineRule="atLeast"/>
        <w:ind w:left="900" w:hanging="900" w:hangingChars="375"/>
        <w:rPr>
          <w:color w:val="auto"/>
        </w:rPr>
      </w:pPr>
      <w:r>
        <w:rPr>
          <w:rFonts w:hint="eastAsia" w:ascii="微软雅黑" w:hAnsi="微软雅黑" w:eastAsia="微软雅黑" w:cs="微软雅黑"/>
          <w:color w:val="auto"/>
          <w:sz w:val="24"/>
        </w:rPr>
        <w:t>17.5</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采购人和采购代理机构对所接收响应文件概不退回。</w:t>
      </w:r>
    </w:p>
    <w:p>
      <w:pPr>
        <w:pStyle w:val="6"/>
        <w:spacing w:before="0" w:line="240" w:lineRule="atLeast"/>
        <w:ind w:left="1080" w:leftChars="257" w:hanging="540"/>
        <w:rPr>
          <w:rFonts w:ascii="微软雅黑" w:hAnsi="微软雅黑" w:eastAsia="微软雅黑" w:cs="微软雅黑"/>
          <w:color w:val="auto"/>
          <w:sz w:val="24"/>
        </w:rPr>
      </w:pPr>
      <w:bookmarkStart w:id="135" w:name="_Toc21210"/>
      <w:bookmarkStart w:id="136" w:name="_Toc27283"/>
      <w:bookmarkStart w:id="137" w:name="_Toc12436"/>
      <w:bookmarkStart w:id="138" w:name="_Toc520356163"/>
      <w:bookmarkStart w:id="139" w:name="_Toc216582809"/>
      <w:bookmarkStart w:id="140" w:name="_Toc515647778"/>
      <w:bookmarkStart w:id="141" w:name="_Toc28398"/>
      <w:r>
        <w:rPr>
          <w:rFonts w:hint="eastAsia" w:ascii="微软雅黑" w:hAnsi="微软雅黑" w:eastAsia="微软雅黑" w:cs="微软雅黑"/>
          <w:color w:val="auto"/>
          <w:sz w:val="24"/>
        </w:rPr>
        <w:t>五   开标及评标</w:t>
      </w:r>
      <w:bookmarkEnd w:id="135"/>
      <w:bookmarkEnd w:id="136"/>
      <w:bookmarkEnd w:id="137"/>
      <w:bookmarkEnd w:id="138"/>
      <w:bookmarkEnd w:id="139"/>
      <w:bookmarkEnd w:id="140"/>
      <w:bookmarkEnd w:id="141"/>
    </w:p>
    <w:p>
      <w:pPr>
        <w:pStyle w:val="7"/>
        <w:numPr>
          <w:ilvl w:val="0"/>
          <w:numId w:val="5"/>
        </w:numPr>
        <w:spacing w:line="240" w:lineRule="atLeast"/>
        <w:rPr>
          <w:rFonts w:ascii="微软雅黑" w:hAnsi="微软雅黑" w:eastAsia="微软雅黑" w:cs="微软雅黑"/>
          <w:color w:val="auto"/>
        </w:rPr>
      </w:pPr>
      <w:bookmarkStart w:id="142" w:name="_Toc520356164"/>
      <w:bookmarkStart w:id="143" w:name="_Toc27235"/>
      <w:bookmarkStart w:id="144" w:name="_Toc25345"/>
      <w:bookmarkStart w:id="145" w:name="_Toc19227"/>
      <w:bookmarkStart w:id="146" w:name="_Toc7186"/>
      <w:bookmarkStart w:id="147" w:name="_Toc515647779"/>
      <w:r>
        <w:rPr>
          <w:rFonts w:hint="eastAsia" w:ascii="微软雅黑" w:hAnsi="微软雅黑" w:eastAsia="微软雅黑" w:cs="微软雅黑"/>
          <w:color w:val="auto"/>
          <w:u w:val="none"/>
        </w:rPr>
        <w:t>开标</w:t>
      </w:r>
      <w:bookmarkEnd w:id="142"/>
      <w:bookmarkEnd w:id="143"/>
      <w:bookmarkEnd w:id="144"/>
      <w:bookmarkEnd w:id="145"/>
      <w:bookmarkEnd w:id="146"/>
      <w:bookmarkEnd w:id="147"/>
    </w:p>
    <w:p>
      <w:pPr>
        <w:numPr>
          <w:ilvl w:val="1"/>
          <w:numId w:val="5"/>
        </w:numPr>
        <w:spacing w:line="4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采购人和采购代理机构将按</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中规定的开标时间和地点组织公开开标并邀请所有供应商代表参加。</w:t>
      </w:r>
    </w:p>
    <w:p>
      <w:pPr>
        <w:spacing w:line="400" w:lineRule="exact"/>
        <w:ind w:left="735" w:leftChars="350" w:firstLine="120" w:firstLineChars="50"/>
        <w:rPr>
          <w:rFonts w:ascii="微软雅黑" w:hAnsi="微软雅黑" w:eastAsia="微软雅黑" w:cs="微软雅黑"/>
          <w:color w:val="auto"/>
          <w:sz w:val="24"/>
        </w:rPr>
      </w:pPr>
      <w:r>
        <w:rPr>
          <w:rFonts w:hint="eastAsia" w:ascii="微软雅黑" w:hAnsi="微软雅黑" w:eastAsia="微软雅黑" w:cs="微软雅黑"/>
          <w:color w:val="auto"/>
          <w:sz w:val="24"/>
        </w:rPr>
        <w:t>供应商不足3家的，不得开标。</w:t>
      </w:r>
    </w:p>
    <w:p>
      <w:pPr>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18.2   开标时，由供应商或其推选的代表检查自己或所代表的响应文件的密封情况，经记录后，由采购人或采购代理机构当众拆封响应文件第一部分，宣读供应商名称、磋商价格及磋商文件规定的内容。对于供应商在磋商截止期前递交的磋商声明，在开标时当众宣读，评标时有效。</w:t>
      </w:r>
    </w:p>
    <w:p>
      <w:pPr>
        <w:spacing w:line="400" w:lineRule="exact"/>
        <w:ind w:left="1079" w:leftChars="428"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未宣读磋商价格、价格折扣等实质内容，评标时不予承认。</w:t>
      </w:r>
    </w:p>
    <w:p>
      <w:pPr>
        <w:spacing w:line="4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18.3    采购人或采购代理机构将对开标过程进行记录</w:t>
      </w:r>
      <w:bookmarkStart w:id="148" w:name="_Toc520356165"/>
      <w:r>
        <w:rPr>
          <w:rFonts w:hint="eastAsia" w:ascii="微软雅黑" w:hAnsi="微软雅黑" w:eastAsia="微软雅黑" w:cs="微软雅黑"/>
          <w:color w:val="auto"/>
          <w:sz w:val="24"/>
        </w:rPr>
        <w:t>，由参加开标的各供应商代表和相关工作人员签字确认，并存档备查。</w:t>
      </w:r>
    </w:p>
    <w:p>
      <w:pPr>
        <w:spacing w:line="4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18.4    供应商代表对开标过程和开标记录有疑义，以及认为采购人、采购代理机构相关工作人员有需要回避的情形的，应当场提出询问或者回避申请。</w:t>
      </w:r>
    </w:p>
    <w:p>
      <w:pPr>
        <w:pStyle w:val="7"/>
        <w:spacing w:before="0" w:after="0" w:line="400" w:lineRule="exact"/>
        <w:rPr>
          <w:rFonts w:ascii="微软雅黑" w:hAnsi="微软雅黑" w:eastAsia="微软雅黑" w:cs="微软雅黑"/>
          <w:color w:val="auto"/>
          <w:u w:val="none"/>
        </w:rPr>
      </w:pPr>
      <w:bookmarkStart w:id="149" w:name="_Toc5428"/>
      <w:bookmarkStart w:id="150" w:name="_Toc515647780"/>
      <w:bookmarkStart w:id="151" w:name="_Toc21372"/>
      <w:bookmarkStart w:id="152" w:name="_Toc19296"/>
      <w:bookmarkStart w:id="153" w:name="_Toc20106"/>
      <w:r>
        <w:rPr>
          <w:rFonts w:hint="eastAsia" w:ascii="微软雅黑" w:hAnsi="微软雅黑" w:eastAsia="微软雅黑" w:cs="微软雅黑"/>
          <w:color w:val="auto"/>
          <w:u w:val="none"/>
        </w:rPr>
        <w:t>19.</w:t>
      </w:r>
      <w:bookmarkEnd w:id="148"/>
      <w:r>
        <w:rPr>
          <w:rFonts w:hint="eastAsia" w:ascii="微软雅黑" w:hAnsi="微软雅黑" w:eastAsia="微软雅黑" w:cs="微软雅黑"/>
          <w:color w:val="auto"/>
          <w:u w:val="none"/>
        </w:rPr>
        <w:t>资格审查及组建</w:t>
      </w:r>
      <w:bookmarkEnd w:id="149"/>
      <w:bookmarkEnd w:id="150"/>
      <w:bookmarkEnd w:id="151"/>
      <w:bookmarkEnd w:id="152"/>
      <w:r>
        <w:rPr>
          <w:rFonts w:hint="eastAsia" w:ascii="微软雅黑" w:hAnsi="微软雅黑" w:eastAsia="微软雅黑" w:cs="微软雅黑"/>
          <w:color w:val="auto"/>
          <w:u w:val="none"/>
        </w:rPr>
        <w:t>磋商小组</w:t>
      </w:r>
      <w:bookmarkEnd w:id="153"/>
    </w:p>
    <w:p>
      <w:pPr>
        <w:spacing w:line="400" w:lineRule="exact"/>
        <w:ind w:left="960" w:hanging="960" w:hangingChars="400"/>
        <w:rPr>
          <w:rFonts w:ascii="微软雅黑" w:hAnsi="微软雅黑" w:eastAsia="微软雅黑" w:cs="微软雅黑"/>
          <w:color w:val="auto"/>
          <w:sz w:val="24"/>
        </w:rPr>
      </w:pPr>
      <w:r>
        <w:rPr>
          <w:rFonts w:hint="eastAsia" w:ascii="微软雅黑" w:hAnsi="微软雅黑" w:eastAsia="微软雅黑" w:cs="微软雅黑"/>
          <w:color w:val="auto"/>
          <w:sz w:val="24"/>
        </w:rPr>
        <w:t>19.1    采购人或采购代理机构依据法律法规和磋商文件中规定的内容，对供应商及其</w:t>
      </w:r>
      <w:r>
        <w:rPr>
          <w:rFonts w:hint="eastAsia" w:ascii="微软雅黑" w:hAnsi="微软雅黑" w:eastAsia="微软雅黑" w:cs="微软雅黑"/>
          <w:color w:val="auto"/>
          <w:sz w:val="24"/>
          <w:lang w:val="en-US" w:eastAsia="zh-CN"/>
        </w:rPr>
        <w:t>货物</w:t>
      </w:r>
      <w:r>
        <w:rPr>
          <w:rFonts w:hint="eastAsia" w:ascii="微软雅黑" w:hAnsi="微软雅黑" w:eastAsia="微软雅黑" w:cs="微软雅黑"/>
          <w:color w:val="auto"/>
          <w:sz w:val="24"/>
        </w:rPr>
        <w:t>的资格进行审查，未通过资格审查的供应商不进入评标。</w:t>
      </w:r>
    </w:p>
    <w:p>
      <w:pPr>
        <w:widowControl/>
        <w:spacing w:line="400" w:lineRule="exact"/>
        <w:jc w:val="left"/>
        <w:rPr>
          <w:rFonts w:ascii="微软雅黑" w:hAnsi="微软雅黑" w:eastAsia="微软雅黑" w:cs="微软雅黑"/>
          <w:b/>
          <w:bCs/>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b/>
          <w:bCs/>
          <w:color w:val="auto"/>
          <w:sz w:val="24"/>
        </w:rPr>
        <w:t>本项目现场磋商开启必须提供证件原件：</w:t>
      </w:r>
    </w:p>
    <w:p>
      <w:pPr>
        <w:widowControl/>
        <w:spacing w:line="400" w:lineRule="exact"/>
        <w:jc w:val="left"/>
        <w:rPr>
          <w:rFonts w:hint="eastAsia" w:ascii="微软雅黑" w:hAnsi="微软雅黑" w:eastAsia="微软雅黑" w:cs="微软雅黑"/>
          <w:b/>
          <w:bCs/>
          <w:color w:val="2D04FC"/>
          <w:sz w:val="24"/>
        </w:rPr>
      </w:pPr>
      <w:r>
        <w:rPr>
          <w:rFonts w:hint="eastAsia" w:ascii="微软雅黑" w:hAnsi="微软雅黑" w:eastAsia="微软雅黑" w:cs="微软雅黑"/>
          <w:b/>
          <w:bCs/>
          <w:color w:val="2D04FC"/>
          <w:sz w:val="24"/>
        </w:rPr>
        <w:t>（1）具有有效的独立法人营业执照；</w:t>
      </w:r>
    </w:p>
    <w:p>
      <w:pPr>
        <w:widowControl/>
        <w:spacing w:line="400" w:lineRule="exact"/>
        <w:jc w:val="left"/>
        <w:rPr>
          <w:rFonts w:hint="eastAsia" w:ascii="微软雅黑" w:hAnsi="微软雅黑" w:eastAsia="微软雅黑" w:cs="微软雅黑"/>
          <w:b/>
          <w:bCs/>
          <w:color w:val="2D04FC"/>
          <w:sz w:val="24"/>
        </w:rPr>
      </w:pPr>
      <w:r>
        <w:rPr>
          <w:rFonts w:hint="eastAsia" w:ascii="微软雅黑" w:hAnsi="微软雅黑" w:eastAsia="微软雅黑" w:cs="微软雅黑"/>
          <w:b/>
          <w:bCs/>
          <w:color w:val="2D04FC"/>
          <w:sz w:val="24"/>
        </w:rPr>
        <w:t>（</w:t>
      </w:r>
      <w:r>
        <w:rPr>
          <w:rFonts w:hint="eastAsia" w:ascii="微软雅黑" w:hAnsi="微软雅黑" w:eastAsia="微软雅黑" w:cs="微软雅黑"/>
          <w:b/>
          <w:bCs/>
          <w:color w:val="2D04FC"/>
          <w:sz w:val="24"/>
          <w:lang w:val="en-US" w:eastAsia="zh-CN"/>
        </w:rPr>
        <w:t>2</w:t>
      </w:r>
      <w:r>
        <w:rPr>
          <w:rFonts w:hint="eastAsia" w:ascii="微软雅黑" w:hAnsi="微软雅黑" w:eastAsia="微软雅黑" w:cs="微软雅黑"/>
          <w:b/>
          <w:bCs/>
          <w:color w:val="2D04FC"/>
          <w:sz w:val="24"/>
        </w:rPr>
        <w:t>）良好的商业信誉和健全的财务会计制度证明材料（会计师事务所出具的上年度财务审计报告书原件或影印件；新办企业需提供银行资信证明原件）；</w:t>
      </w:r>
    </w:p>
    <w:p>
      <w:pPr>
        <w:widowControl/>
        <w:spacing w:line="400" w:lineRule="exact"/>
        <w:jc w:val="left"/>
        <w:rPr>
          <w:rFonts w:hint="default" w:ascii="微软雅黑" w:hAnsi="微软雅黑" w:eastAsia="微软雅黑" w:cs="微软雅黑"/>
          <w:b/>
          <w:bCs/>
          <w:color w:val="2D04FC"/>
          <w:sz w:val="24"/>
          <w:lang w:val="en-US" w:eastAsia="zh-CN"/>
        </w:rPr>
      </w:pPr>
      <w:r>
        <w:rPr>
          <w:rFonts w:hint="eastAsia" w:ascii="微软雅黑" w:hAnsi="微软雅黑" w:eastAsia="微软雅黑" w:cs="微软雅黑"/>
          <w:b/>
          <w:bCs/>
          <w:color w:val="2D04FC"/>
          <w:sz w:val="24"/>
        </w:rPr>
        <w:t>（</w:t>
      </w:r>
      <w:r>
        <w:rPr>
          <w:rFonts w:hint="eastAsia" w:ascii="微软雅黑" w:hAnsi="微软雅黑" w:eastAsia="微软雅黑" w:cs="微软雅黑"/>
          <w:b/>
          <w:bCs/>
          <w:color w:val="2D04FC"/>
          <w:sz w:val="24"/>
          <w:lang w:val="en-US" w:eastAsia="zh-CN"/>
        </w:rPr>
        <w:t>3</w:t>
      </w:r>
      <w:r>
        <w:rPr>
          <w:rFonts w:hint="eastAsia" w:ascii="微软雅黑" w:hAnsi="微软雅黑" w:eastAsia="微软雅黑" w:cs="微软雅黑"/>
          <w:b/>
          <w:bCs/>
          <w:color w:val="2D04FC"/>
          <w:sz w:val="24"/>
        </w:rPr>
        <w:t>）法定代表人授权书及被委托人身份证（法定代表人投标提供法定代表人身份证明及身份证），提供在本单位缴纳的近连续3个月社保缴纳证明</w:t>
      </w:r>
      <w:r>
        <w:rPr>
          <w:rFonts w:hint="eastAsia" w:ascii="微软雅黑" w:hAnsi="微软雅黑" w:eastAsia="微软雅黑" w:cs="微软雅黑"/>
          <w:b/>
          <w:bCs/>
          <w:color w:val="2D04FC"/>
          <w:sz w:val="24"/>
          <w:lang w:eastAsia="zh-CN"/>
        </w:rPr>
        <w:t>、</w:t>
      </w:r>
      <w:r>
        <w:rPr>
          <w:rFonts w:hint="eastAsia" w:ascii="微软雅黑" w:hAnsi="微软雅黑" w:eastAsia="微软雅黑" w:cs="微软雅黑"/>
          <w:b/>
          <w:bCs/>
          <w:color w:val="2D04FC"/>
          <w:sz w:val="24"/>
          <w:lang w:val="en-US" w:eastAsia="zh-CN"/>
        </w:rPr>
        <w:t>退休人员提供退休证明；</w:t>
      </w:r>
    </w:p>
    <w:p>
      <w:pPr>
        <w:widowControl/>
        <w:spacing w:line="400" w:lineRule="exact"/>
        <w:jc w:val="left"/>
        <w:rPr>
          <w:rFonts w:hint="eastAsia" w:ascii="微软雅黑" w:hAnsi="微软雅黑" w:eastAsia="微软雅黑" w:cs="微软雅黑"/>
          <w:b/>
          <w:bCs/>
          <w:color w:val="2D04FC"/>
          <w:sz w:val="24"/>
        </w:rPr>
      </w:pPr>
      <w:r>
        <w:rPr>
          <w:rFonts w:hint="eastAsia" w:ascii="微软雅黑" w:hAnsi="微软雅黑" w:eastAsia="微软雅黑" w:cs="微软雅黑"/>
          <w:b/>
          <w:bCs/>
          <w:color w:val="2D04FC"/>
          <w:sz w:val="24"/>
        </w:rPr>
        <w:t>（</w:t>
      </w:r>
      <w:r>
        <w:rPr>
          <w:rFonts w:hint="eastAsia" w:ascii="微软雅黑" w:hAnsi="微软雅黑" w:eastAsia="微软雅黑" w:cs="微软雅黑"/>
          <w:b/>
          <w:bCs/>
          <w:color w:val="2D04FC"/>
          <w:sz w:val="24"/>
          <w:lang w:val="en-US" w:eastAsia="zh-CN"/>
        </w:rPr>
        <w:t>4</w:t>
      </w:r>
      <w:r>
        <w:rPr>
          <w:rFonts w:hint="eastAsia" w:ascii="微软雅黑" w:hAnsi="微软雅黑" w:eastAsia="微软雅黑" w:cs="微软雅黑"/>
          <w:b/>
          <w:bCs/>
          <w:color w:val="2D04FC"/>
          <w:sz w:val="24"/>
        </w:rPr>
        <w:t>）具有税务局开具依法缴纳近连续3个月税收证明的良好记录（完税证明）；</w:t>
      </w:r>
    </w:p>
    <w:p>
      <w:pPr>
        <w:widowControl/>
        <w:spacing w:line="400" w:lineRule="exact"/>
        <w:jc w:val="left"/>
        <w:rPr>
          <w:rFonts w:hint="eastAsia" w:ascii="微软雅黑" w:hAnsi="微软雅黑" w:eastAsia="微软雅黑" w:cs="微软雅黑"/>
          <w:b/>
          <w:bCs/>
          <w:color w:val="2D04FC"/>
          <w:sz w:val="24"/>
        </w:rPr>
      </w:pPr>
      <w:r>
        <w:rPr>
          <w:rFonts w:hint="eastAsia" w:ascii="微软雅黑" w:hAnsi="微软雅黑" w:eastAsia="微软雅黑" w:cs="微软雅黑"/>
          <w:b/>
          <w:bCs/>
          <w:color w:val="2D04FC"/>
          <w:sz w:val="24"/>
        </w:rPr>
        <w:t>（</w:t>
      </w:r>
      <w:r>
        <w:rPr>
          <w:rFonts w:hint="eastAsia" w:ascii="微软雅黑" w:hAnsi="微软雅黑" w:eastAsia="微软雅黑" w:cs="微软雅黑"/>
          <w:b/>
          <w:bCs/>
          <w:color w:val="2D04FC"/>
          <w:sz w:val="24"/>
          <w:lang w:val="en-US" w:eastAsia="zh-CN"/>
        </w:rPr>
        <w:t>5</w:t>
      </w:r>
      <w:r>
        <w:rPr>
          <w:rFonts w:hint="eastAsia" w:ascii="微软雅黑" w:hAnsi="微软雅黑" w:eastAsia="微软雅黑" w:cs="微软雅黑"/>
          <w:b/>
          <w:bCs/>
          <w:color w:val="2D04FC"/>
          <w:sz w:val="24"/>
        </w:rPr>
        <w:t>）参加政府采购活动前3年内在经营活动中没有重大违法记录的书面声明；</w:t>
      </w:r>
    </w:p>
    <w:p>
      <w:pPr>
        <w:widowControl/>
        <w:spacing w:line="400" w:lineRule="exact"/>
        <w:jc w:val="left"/>
        <w:rPr>
          <w:rFonts w:hint="eastAsia" w:ascii="微软雅黑" w:hAnsi="微软雅黑" w:eastAsia="微软雅黑" w:cs="微软雅黑"/>
          <w:b/>
          <w:bCs/>
          <w:color w:val="2D04FC"/>
          <w:sz w:val="24"/>
        </w:rPr>
      </w:pPr>
      <w:r>
        <w:rPr>
          <w:rFonts w:hint="eastAsia" w:ascii="微软雅黑" w:hAnsi="微软雅黑" w:eastAsia="微软雅黑" w:cs="微软雅黑"/>
          <w:b/>
          <w:bCs/>
          <w:color w:val="2D04FC"/>
          <w:sz w:val="24"/>
        </w:rPr>
        <w:t>（</w:t>
      </w:r>
      <w:r>
        <w:rPr>
          <w:rFonts w:hint="eastAsia" w:ascii="微软雅黑" w:hAnsi="微软雅黑" w:eastAsia="微软雅黑" w:cs="微软雅黑"/>
          <w:b/>
          <w:bCs/>
          <w:color w:val="2D04FC"/>
          <w:sz w:val="24"/>
          <w:lang w:val="en-US" w:eastAsia="zh-CN"/>
        </w:rPr>
        <w:t>6</w:t>
      </w:r>
      <w:r>
        <w:rPr>
          <w:rFonts w:hint="eastAsia" w:ascii="微软雅黑" w:hAnsi="微软雅黑" w:eastAsia="微软雅黑" w:cs="微软雅黑"/>
          <w:b/>
          <w:bCs/>
          <w:color w:val="2D04FC"/>
          <w:sz w:val="24"/>
        </w:rPr>
        <w:t>）提供 “信用中国”网站（http://www.creditchina.gov.cn/）和中国政府采购网（www.ccgp.gov.cn）无违法违规行为的查询纪录（提供查询结果网页截图并加盖单位公章；提供截图日期需在本项目领取招标文件期内）；投标人存在不良信用记录的或被列入失信被执行人、重大税收违法案件当事人名单的，其投标将被认定为投标无效）；</w:t>
      </w:r>
    </w:p>
    <w:p>
      <w:pPr>
        <w:widowControl/>
        <w:spacing w:line="400" w:lineRule="exact"/>
        <w:jc w:val="left"/>
        <w:rPr>
          <w:rFonts w:hint="eastAsia" w:ascii="微软雅黑" w:hAnsi="微软雅黑" w:eastAsia="微软雅黑" w:cs="微软雅黑"/>
          <w:b/>
          <w:bCs/>
          <w:color w:val="2D04FC"/>
          <w:sz w:val="24"/>
        </w:rPr>
      </w:pPr>
      <w:r>
        <w:rPr>
          <w:rFonts w:hint="eastAsia" w:ascii="微软雅黑" w:hAnsi="微软雅黑" w:eastAsia="微软雅黑" w:cs="微软雅黑"/>
          <w:b/>
          <w:bCs/>
          <w:color w:val="2D04FC"/>
          <w:sz w:val="24"/>
        </w:rPr>
        <w:t>（</w:t>
      </w:r>
      <w:r>
        <w:rPr>
          <w:rFonts w:hint="eastAsia" w:ascii="微软雅黑" w:hAnsi="微软雅黑" w:eastAsia="微软雅黑" w:cs="微软雅黑"/>
          <w:b/>
          <w:bCs/>
          <w:color w:val="2D04FC"/>
          <w:sz w:val="24"/>
          <w:lang w:val="en-US" w:eastAsia="zh-CN"/>
        </w:rPr>
        <w:t>7</w:t>
      </w:r>
      <w:r>
        <w:rPr>
          <w:rFonts w:hint="eastAsia" w:ascii="微软雅黑" w:hAnsi="微软雅黑" w:eastAsia="微软雅黑" w:cs="微软雅黑"/>
          <w:b/>
          <w:bCs/>
          <w:color w:val="2D04FC"/>
          <w:sz w:val="24"/>
        </w:rPr>
        <w:t>）提供针对本项目的《反商业贿赂承诺书》。</w:t>
      </w:r>
    </w:p>
    <w:p>
      <w:pPr>
        <w:widowControl/>
        <w:spacing w:line="360" w:lineRule="exact"/>
        <w:jc w:val="left"/>
        <w:rPr>
          <w:rFonts w:hint="eastAsia" w:ascii="微软雅黑" w:hAnsi="微软雅黑" w:eastAsia="微软雅黑" w:cs="微软雅黑"/>
          <w:b/>
          <w:bCs/>
          <w:color w:val="2D04FC"/>
          <w:sz w:val="24"/>
        </w:rPr>
      </w:pPr>
      <w:r>
        <w:rPr>
          <w:rFonts w:hint="eastAsia" w:ascii="微软雅黑" w:hAnsi="微软雅黑" w:eastAsia="微软雅黑" w:cs="微软雅黑"/>
          <w:b/>
          <w:bCs/>
          <w:color w:val="2D04FC"/>
          <w:sz w:val="24"/>
        </w:rPr>
        <w:t>（</w:t>
      </w:r>
      <w:r>
        <w:rPr>
          <w:rFonts w:hint="eastAsia" w:ascii="微软雅黑" w:hAnsi="微软雅黑" w:eastAsia="微软雅黑" w:cs="微软雅黑"/>
          <w:b/>
          <w:bCs/>
          <w:color w:val="2D04FC"/>
          <w:sz w:val="24"/>
          <w:lang w:val="en-US" w:eastAsia="zh-CN"/>
        </w:rPr>
        <w:t>8</w:t>
      </w:r>
      <w:r>
        <w:rPr>
          <w:rFonts w:hint="eastAsia" w:ascii="微软雅黑" w:hAnsi="微软雅黑" w:eastAsia="微软雅黑" w:cs="微软雅黑"/>
          <w:b/>
          <w:bCs/>
          <w:color w:val="2D04FC"/>
          <w:sz w:val="24"/>
        </w:rPr>
        <w:t>）磋商保证金</w:t>
      </w:r>
      <w:r>
        <w:rPr>
          <w:rFonts w:hint="eastAsia" w:ascii="微软雅黑" w:hAnsi="微软雅黑" w:eastAsia="微软雅黑" w:cs="微软雅黑"/>
          <w:b/>
          <w:bCs/>
          <w:color w:val="2D04FC"/>
          <w:sz w:val="24"/>
          <w:lang w:val="en-US" w:eastAsia="zh-CN"/>
        </w:rPr>
        <w:t>缴纳有效证明</w:t>
      </w:r>
      <w:r>
        <w:rPr>
          <w:rFonts w:hint="eastAsia" w:ascii="微软雅黑" w:hAnsi="微软雅黑" w:eastAsia="微软雅黑" w:cs="微软雅黑"/>
          <w:b/>
          <w:bCs/>
          <w:color w:val="2D04FC"/>
          <w:sz w:val="24"/>
        </w:rPr>
        <w:t>。</w:t>
      </w:r>
    </w:p>
    <w:p>
      <w:pPr>
        <w:pStyle w:val="2"/>
        <w:rPr>
          <w:rFonts w:hint="default" w:eastAsia="微软雅黑"/>
          <w:color w:val="2D04FC"/>
          <w:lang w:val="en-US" w:eastAsia="zh-CN"/>
        </w:rPr>
      </w:pPr>
      <w:r>
        <w:rPr>
          <w:rFonts w:hint="eastAsia" w:ascii="微软雅黑" w:hAnsi="微软雅黑" w:eastAsia="微软雅黑" w:cs="微软雅黑"/>
          <w:b/>
          <w:bCs/>
          <w:color w:val="2D04FC"/>
          <w:sz w:val="24"/>
          <w:lang w:val="en-US" w:eastAsia="zh-CN"/>
        </w:rPr>
        <w:t>注：上述资质开标现场能够通过官方网站查证的，均视为合格供应商。</w:t>
      </w:r>
    </w:p>
    <w:p>
      <w:pPr>
        <w:spacing w:line="240" w:lineRule="atLeast"/>
        <w:ind w:left="857" w:leftChars="2" w:hanging="853"/>
        <w:rPr>
          <w:rFonts w:ascii="微软雅黑" w:hAnsi="微软雅黑" w:eastAsia="微软雅黑" w:cs="微软雅黑"/>
          <w:color w:val="auto"/>
          <w:sz w:val="24"/>
        </w:rPr>
      </w:pPr>
      <w:r>
        <w:rPr>
          <w:rFonts w:hint="eastAsia" w:ascii="微软雅黑" w:hAnsi="微软雅黑" w:eastAsia="微软雅黑" w:cs="微软雅黑"/>
          <w:color w:val="auto"/>
          <w:sz w:val="24"/>
        </w:rPr>
        <w:t>19.2   采购人或采购代理机构将在开标前1个工作日至磋商截止后1小时的期间内查询供应商的信用记录。供应商存在不良信用记录的，其磋商将被认定为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857" w:leftChars="2" w:hanging="853"/>
        <w:rPr>
          <w:rFonts w:ascii="微软雅黑" w:hAnsi="微软雅黑" w:eastAsia="微软雅黑" w:cs="微软雅黑"/>
          <w:color w:val="auto"/>
          <w:sz w:val="24"/>
        </w:rPr>
      </w:pPr>
      <w:r>
        <w:rPr>
          <w:rFonts w:hint="eastAsia" w:ascii="微软雅黑" w:hAnsi="微软雅黑" w:eastAsia="微软雅黑" w:cs="微软雅黑"/>
          <w:color w:val="auto"/>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ascii="微软雅黑" w:hAnsi="微软雅黑" w:eastAsia="微软雅黑" w:cs="微软雅黑"/>
          <w:color w:val="auto"/>
          <w:sz w:val="24"/>
        </w:rPr>
      </w:pPr>
      <w:r>
        <w:rPr>
          <w:rFonts w:hint="eastAsia" w:ascii="微软雅黑" w:hAnsi="微软雅黑" w:eastAsia="微软雅黑" w:cs="微软雅黑"/>
          <w:color w:val="auto"/>
          <w:sz w:val="24"/>
        </w:rPr>
        <w:t>以联合体形式参加磋商的，联合体任何成员存在以上不良信用记录的，联合体磋商将被认定为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11"/>
        <w:ind w:left="850" w:hanging="849" w:hangingChars="354"/>
        <w:jc w:val="both"/>
        <w:rPr>
          <w:rFonts w:ascii="微软雅黑" w:hAnsi="微软雅黑" w:eastAsia="微软雅黑" w:cs="微软雅黑"/>
          <w:color w:val="auto"/>
        </w:rPr>
      </w:pPr>
      <w:r>
        <w:rPr>
          <w:rFonts w:hint="eastAsia" w:ascii="微软雅黑" w:hAnsi="微软雅黑" w:eastAsia="微软雅黑" w:cs="微软雅黑"/>
          <w:color w:val="auto"/>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11"/>
        <w:ind w:left="850" w:leftChars="405" w:firstLine="0"/>
        <w:jc w:val="both"/>
        <w:rPr>
          <w:rFonts w:ascii="微软雅黑" w:hAnsi="微软雅黑" w:eastAsia="微软雅黑" w:cs="微软雅黑"/>
          <w:color w:val="auto"/>
        </w:rPr>
      </w:pPr>
      <w:r>
        <w:rPr>
          <w:rFonts w:hint="eastAsia" w:ascii="微软雅黑" w:hAnsi="微软雅黑" w:eastAsia="微软雅黑" w:cs="微软雅黑"/>
          <w:color w:val="auto"/>
        </w:rPr>
        <w:t>供应商自行提供的与网站信息不一致的其他证明材料亦不作为资格审查依据。</w:t>
      </w:r>
    </w:p>
    <w:p>
      <w:pPr>
        <w:spacing w:line="240" w:lineRule="atLeast"/>
        <w:ind w:left="850" w:hanging="849" w:hangingChars="354"/>
        <w:rPr>
          <w:rFonts w:ascii="微软雅黑" w:hAnsi="微软雅黑" w:eastAsia="微软雅黑" w:cs="微软雅黑"/>
          <w:color w:val="auto"/>
          <w:sz w:val="24"/>
        </w:rPr>
      </w:pPr>
      <w:r>
        <w:rPr>
          <w:rFonts w:hint="eastAsia" w:ascii="微软雅黑" w:hAnsi="微软雅黑" w:eastAsia="微软雅黑" w:cs="微软雅黑"/>
          <w:color w:val="auto"/>
          <w:sz w:val="24"/>
        </w:rPr>
        <w:t>19.3   按照《中华人民共和国政府采购法》、《中华人民共和国政府采购法实施条例》及本项目本级和上级财政部门的有关规定依法组建的磋商小组，负责评标工作。</w:t>
      </w:r>
      <w:bookmarkStart w:id="154" w:name="_Toc520356166"/>
    </w:p>
    <w:p>
      <w:pPr>
        <w:pStyle w:val="7"/>
        <w:spacing w:before="0" w:after="0" w:line="240" w:lineRule="atLeast"/>
        <w:rPr>
          <w:rFonts w:ascii="微软雅黑" w:hAnsi="微软雅黑" w:eastAsia="微软雅黑" w:cs="微软雅黑"/>
          <w:b w:val="0"/>
          <w:bCs/>
          <w:color w:val="auto"/>
          <w:bdr w:val="single" w:color="auto" w:sz="4" w:space="0"/>
        </w:rPr>
      </w:pPr>
      <w:bookmarkStart w:id="155" w:name="_Toc19949"/>
      <w:bookmarkStart w:id="156" w:name="_Toc515647781"/>
      <w:bookmarkStart w:id="157" w:name="_Toc29043"/>
      <w:bookmarkStart w:id="158" w:name="_Toc28479"/>
      <w:bookmarkStart w:id="159" w:name="_Toc14999"/>
      <w:r>
        <w:rPr>
          <w:rFonts w:hint="eastAsia" w:ascii="微软雅黑" w:hAnsi="微软雅黑" w:eastAsia="微软雅黑" w:cs="微软雅黑"/>
          <w:color w:val="auto"/>
          <w:u w:val="none"/>
        </w:rPr>
        <w:t>20.</w:t>
      </w:r>
      <w:bookmarkEnd w:id="154"/>
      <w:r>
        <w:rPr>
          <w:rFonts w:hint="eastAsia" w:ascii="微软雅黑" w:hAnsi="微软雅黑" w:eastAsia="微软雅黑" w:cs="微软雅黑"/>
          <w:color w:val="auto"/>
          <w:u w:val="none"/>
        </w:rPr>
        <w:t>响应文件符合性审查与澄清</w:t>
      </w:r>
      <w:bookmarkEnd w:id="155"/>
      <w:bookmarkEnd w:id="156"/>
      <w:bookmarkEnd w:id="157"/>
      <w:bookmarkEnd w:id="158"/>
      <w:bookmarkEnd w:id="15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20.1   符合性审查是指依据磋商文件的规定，从响应文件的有效性和完整性对磋商文件的响应程度进行审查，以确定是否对磋商文件的实质性要求做出响应。</w:t>
      </w:r>
      <w:bookmarkStart w:id="160" w:name="_Hlt522424701"/>
      <w:bookmarkEnd w:id="160"/>
      <w:bookmarkStart w:id="161" w:name="_Toc520356167"/>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响应文件的澄清</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20.2.2  供应商的的澄清、说明或补正将作为响应文件的一部分。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20.3  响应文件报价出现前后不一致的，按照下列规定修正：</w:t>
      </w:r>
    </w:p>
    <w:p>
      <w:pPr>
        <w:spacing w:line="240" w:lineRule="atLeast"/>
        <w:ind w:left="1020" w:hanging="1020" w:hangingChars="425"/>
        <w:rPr>
          <w:rFonts w:ascii="微软雅黑" w:hAnsi="微软雅黑" w:eastAsia="微软雅黑" w:cs="微软雅黑"/>
          <w:color w:val="auto"/>
          <w:sz w:val="24"/>
        </w:rPr>
      </w:pPr>
      <w:r>
        <w:rPr>
          <w:rFonts w:hint="eastAsia" w:ascii="微软雅黑" w:hAnsi="微软雅黑" w:eastAsia="微软雅黑" w:cs="微软雅黑"/>
          <w:color w:val="auto"/>
          <w:sz w:val="24"/>
        </w:rPr>
        <w:t>　　   （一）响应文件中开标一览表（报价表）内容与响应文件中相应内容不一致的，以开标一览表（报价表）为准；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（二）大写金额和小写金额不一致的，以大写金额为准；</w:t>
      </w:r>
    </w:p>
    <w:p>
      <w:pPr>
        <w:spacing w:line="240" w:lineRule="atLeast"/>
        <w:ind w:left="1020" w:hanging="1020" w:hangingChars="425"/>
        <w:rPr>
          <w:rFonts w:ascii="微软雅黑" w:hAnsi="微软雅黑" w:eastAsia="微软雅黑" w:cs="微软雅黑"/>
          <w:color w:val="auto"/>
          <w:sz w:val="24"/>
        </w:rPr>
      </w:pPr>
      <w:r>
        <w:rPr>
          <w:rFonts w:hint="eastAsia" w:ascii="微软雅黑" w:hAnsi="微软雅黑" w:eastAsia="微软雅黑" w:cs="微软雅黑"/>
          <w:color w:val="auto"/>
          <w:sz w:val="24"/>
        </w:rPr>
        <w:t>　   　（三）单价金额小数点或者百分比有明显错位的，以开标一览表的总价为准，并修改单价；</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（四）总价金额与按单价汇总金额不一致的，以单价金额计算结果为准。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同时出现两种以上不一致的，按照前款规定的顺序修正。修正后的报价按照第20.2条的规定经供应商确认后产生约束力，供应商不确认的，其磋商将被认定为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735" w:leftChars="350" w:firstLine="120" w:firstLineChars="50"/>
        <w:rPr>
          <w:rFonts w:ascii="微软雅黑" w:hAnsi="微软雅黑" w:eastAsia="微软雅黑" w:cs="微软雅黑"/>
          <w:color w:val="auto"/>
          <w:sz w:val="24"/>
        </w:rPr>
      </w:pPr>
      <w:r>
        <w:rPr>
          <w:rFonts w:hint="eastAsia" w:ascii="微软雅黑" w:hAnsi="微软雅黑" w:eastAsia="微软雅黑" w:cs="微软雅黑"/>
          <w:color w:val="auto"/>
          <w:sz w:val="24"/>
        </w:rPr>
        <w:t>对不同文字文本响应文件的解释发生异议的，以中文文本为准。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20.4   如一个分包内只有一种产品，不同供应商所投产品为同一品牌的，按如下方式处理：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20.5   如一个分包内包含多种产品的，采购人或采购代理机构将在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中载明核心产品，多家供应商提供的核心产品品牌相同的，按第20.4条规定处理。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如采购人所采购产品为政府强制采购的节能产品，供应商所投产品的品牌及型号必须为清单中有效期内产品并提供证明文件，否则其磋商将被认定为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7"/>
        <w:spacing w:before="0" w:after="0" w:line="240" w:lineRule="atLeast"/>
        <w:rPr>
          <w:rFonts w:ascii="微软雅黑" w:hAnsi="微软雅黑" w:eastAsia="微软雅黑" w:cs="微软雅黑"/>
          <w:color w:val="auto"/>
          <w:u w:val="none"/>
        </w:rPr>
      </w:pPr>
      <w:bookmarkStart w:id="162" w:name="_Toc8849"/>
      <w:bookmarkStart w:id="163" w:name="_Toc515647782"/>
      <w:bookmarkStart w:id="164" w:name="_Toc9469"/>
      <w:bookmarkStart w:id="165" w:name="_Toc29782"/>
      <w:bookmarkStart w:id="166" w:name="_Toc6364"/>
      <w:r>
        <w:rPr>
          <w:rFonts w:hint="eastAsia" w:ascii="微软雅黑" w:hAnsi="微软雅黑" w:eastAsia="微软雅黑" w:cs="微软雅黑"/>
          <w:color w:val="auto"/>
          <w:u w:val="none"/>
        </w:rPr>
        <w:t>21.磋商偏离</w:t>
      </w:r>
      <w:bookmarkEnd w:id="162"/>
      <w:bookmarkEnd w:id="163"/>
      <w:bookmarkEnd w:id="164"/>
      <w:bookmarkEnd w:id="165"/>
      <w:bookmarkEnd w:id="166"/>
    </w:p>
    <w:p>
      <w:pPr>
        <w:spacing w:line="240" w:lineRule="atLeast"/>
        <w:ind w:left="848" w:leftChars="99" w:hanging="640" w:hangingChars="267"/>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磋商小组可以接受响应文件中不构成实质性偏离的不正规或不一致。</w:t>
      </w:r>
    </w:p>
    <w:p>
      <w:pPr>
        <w:pStyle w:val="7"/>
        <w:spacing w:before="0" w:after="0" w:line="240" w:lineRule="atLeast"/>
        <w:rPr>
          <w:rFonts w:ascii="微软雅黑" w:hAnsi="微软雅黑" w:eastAsia="微软雅黑" w:cs="微软雅黑"/>
          <w:color w:val="auto"/>
          <w:u w:val="none"/>
        </w:rPr>
      </w:pPr>
      <w:bookmarkStart w:id="167" w:name="_Toc515647783"/>
      <w:bookmarkStart w:id="168" w:name="_Toc6092"/>
      <w:bookmarkStart w:id="169" w:name="_Toc4950"/>
      <w:bookmarkStart w:id="170" w:name="_Toc30895"/>
      <w:bookmarkStart w:id="171" w:name="_Toc23480"/>
      <w:r>
        <w:rPr>
          <w:rFonts w:hint="eastAsia" w:ascii="微软雅黑" w:hAnsi="微软雅黑" w:eastAsia="微软雅黑" w:cs="微软雅黑"/>
          <w:color w:val="auto"/>
          <w:u w:val="none"/>
        </w:rPr>
        <w:t>22.</w:t>
      </w:r>
      <w:bookmarkEnd w:id="167"/>
      <w:r>
        <w:rPr>
          <w:rFonts w:hint="eastAsia" w:ascii="微软雅黑" w:hAnsi="微软雅黑" w:eastAsia="微软雅黑" w:cs="微软雅黑"/>
          <w:color w:val="auto"/>
          <w:u w:val="none"/>
        </w:rPr>
        <w:t>磋商无效</w:t>
      </w:r>
      <w:bookmarkEnd w:id="168"/>
      <w:bookmarkEnd w:id="169"/>
      <w:bookmarkEnd w:id="170"/>
      <w:bookmarkEnd w:id="171"/>
    </w:p>
    <w:p>
      <w:pPr>
        <w:spacing w:line="240" w:lineRule="atLeast"/>
        <w:ind w:left="852" w:leftChars="-23"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。供应商不得通过修正或撤销不符合要求的偏离，从而使其磋商成为实质上响应的磋商。</w:t>
      </w:r>
    </w:p>
    <w:p>
      <w:pPr>
        <w:spacing w:line="240" w:lineRule="atLeast"/>
        <w:ind w:left="792" w:leftChars="377"/>
        <w:rPr>
          <w:rFonts w:ascii="微软雅黑" w:hAnsi="微软雅黑" w:eastAsia="微软雅黑" w:cs="微软雅黑"/>
          <w:color w:val="auto"/>
          <w:sz w:val="24"/>
        </w:rPr>
      </w:pPr>
      <w:r>
        <w:rPr>
          <w:rFonts w:hint="eastAsia" w:ascii="微软雅黑" w:hAnsi="微软雅黑" w:eastAsia="微软雅黑" w:cs="微软雅黑"/>
          <w:color w:val="auto"/>
          <w:sz w:val="24"/>
        </w:rPr>
        <w:t>磋商小组决定磋商的响应性只根据磋商文件要求、响应文件内容及财政主管部门指定相关信息发布媒体。</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如发现下列情况之一的，其磋商将被认定为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r>
        <w:rPr>
          <w:rFonts w:hint="eastAsia" w:ascii="微软雅黑" w:hAnsi="微软雅黑" w:eastAsia="微软雅黑" w:cs="微软雅黑"/>
          <w:b/>
          <w:color w:val="auto"/>
          <w:sz w:val="24"/>
        </w:rPr>
        <w:t>以下情形应当在磋商文件中规定，并以醒目的方式标明</w:t>
      </w:r>
      <w:r>
        <w:rPr>
          <w:rFonts w:hint="eastAsia" w:ascii="微软雅黑" w:hAnsi="微软雅黑" w:eastAsia="微软雅黑" w:cs="微软雅黑"/>
          <w:color w:val="auto"/>
          <w:sz w:val="24"/>
        </w:rPr>
        <w:t>）</w:t>
      </w:r>
    </w:p>
    <w:p>
      <w:pPr>
        <w:numPr>
          <w:ilvl w:val="0"/>
          <w:numId w:val="6"/>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未按磋商文件规定的形式和金额提交磋商保证金的；</w:t>
      </w:r>
    </w:p>
    <w:p>
      <w:pPr>
        <w:numPr>
          <w:ilvl w:val="0"/>
          <w:numId w:val="6"/>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未按照磋商文件规定要求签署、盖章的；</w:t>
      </w:r>
    </w:p>
    <w:p>
      <w:pPr>
        <w:numPr>
          <w:ilvl w:val="0"/>
          <w:numId w:val="6"/>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未满足磋商文件中技术条款的实质性要求；</w:t>
      </w:r>
    </w:p>
    <w:p>
      <w:pPr>
        <w:numPr>
          <w:ilvl w:val="0"/>
          <w:numId w:val="6"/>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与其他供应商串通磋商，或者与招标人串通磋商；</w:t>
      </w:r>
    </w:p>
    <w:p>
      <w:pPr>
        <w:numPr>
          <w:ilvl w:val="0"/>
          <w:numId w:val="6"/>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属于磋商文件规定的其他</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情形；</w:t>
      </w:r>
    </w:p>
    <w:p>
      <w:pPr>
        <w:numPr>
          <w:ilvl w:val="0"/>
          <w:numId w:val="6"/>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磋商小组认为供应商的报价明显低于其他通过符合性检查供应商的报价，有可能影响履约的，且供应商未按照规定证明其报价合理性的；</w:t>
      </w:r>
    </w:p>
    <w:p>
      <w:pPr>
        <w:numPr>
          <w:ilvl w:val="0"/>
          <w:numId w:val="6"/>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响应文件含有采购人不能接受的附加条件的；</w:t>
      </w:r>
    </w:p>
    <w:p>
      <w:pPr>
        <w:numPr>
          <w:ilvl w:val="0"/>
          <w:numId w:val="6"/>
        </w:numPr>
        <w:tabs>
          <w:tab w:val="left" w:pos="0"/>
        </w:tabs>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不符合法规和磋商文件中规定的其他实质性要求的。</w:t>
      </w:r>
    </w:p>
    <w:p>
      <w:pPr>
        <w:pStyle w:val="7"/>
        <w:spacing w:before="0" w:after="0" w:line="240" w:lineRule="atLeast"/>
        <w:rPr>
          <w:rFonts w:ascii="微软雅黑" w:hAnsi="微软雅黑" w:eastAsia="微软雅黑" w:cs="微软雅黑"/>
          <w:color w:val="auto"/>
          <w:u w:val="none"/>
        </w:rPr>
      </w:pPr>
      <w:bookmarkStart w:id="172" w:name="_Toc13652"/>
      <w:bookmarkStart w:id="173" w:name="_Toc21732"/>
      <w:bookmarkStart w:id="174" w:name="_Toc515647784"/>
      <w:bookmarkStart w:id="175" w:name="_Toc28827"/>
      <w:bookmarkStart w:id="176" w:name="_Toc22941"/>
      <w:r>
        <w:rPr>
          <w:rFonts w:hint="eastAsia" w:ascii="微软雅黑" w:hAnsi="微软雅黑" w:eastAsia="微软雅黑" w:cs="微软雅黑"/>
          <w:color w:val="auto"/>
          <w:u w:val="none"/>
        </w:rPr>
        <w:t>23.</w:t>
      </w:r>
      <w:bookmarkEnd w:id="161"/>
      <w:r>
        <w:rPr>
          <w:rFonts w:hint="eastAsia" w:ascii="微软雅黑" w:hAnsi="微软雅黑" w:eastAsia="微软雅黑" w:cs="微软雅黑"/>
          <w:color w:val="auto"/>
          <w:u w:val="none"/>
        </w:rPr>
        <w:t>比较与评价</w:t>
      </w:r>
      <w:bookmarkEnd w:id="172"/>
      <w:bookmarkEnd w:id="173"/>
      <w:bookmarkEnd w:id="174"/>
      <w:bookmarkEnd w:id="175"/>
      <w:bookmarkEnd w:id="176"/>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经符合性审查合格的响应文件，磋商小组将根据磋商文件确定的评标方法和标准，对其技术部分和商务部分作进一步的比较和评价。</w:t>
      </w:r>
    </w:p>
    <w:p>
      <w:pPr>
        <w:spacing w:line="240" w:lineRule="atLeast"/>
        <w:ind w:left="958" w:leftChars="456" w:firstLine="60" w:firstLineChars="25"/>
        <w:rPr>
          <w:color w:val="2D04FC"/>
        </w:rPr>
      </w:pPr>
      <w:r>
        <w:rPr>
          <w:rFonts w:hint="eastAsia" w:ascii="微软雅黑" w:hAnsi="微软雅黑" w:eastAsia="微软雅黑" w:cs="微软雅黑"/>
          <w:b/>
          <w:bCs/>
          <w:color w:val="2D04FC"/>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w:t>
      </w:r>
      <w:r>
        <w:rPr>
          <w:rFonts w:hint="eastAsia" w:ascii="微软雅黑" w:hAnsi="微软雅黑" w:eastAsia="微软雅黑" w:cs="微软雅黑"/>
          <w:b/>
          <w:bCs/>
          <w:color w:val="2D04FC"/>
          <w:sz w:val="24"/>
          <w:lang w:val="en-US" w:eastAsia="zh-CN"/>
        </w:rPr>
        <w:t>货物</w:t>
      </w:r>
      <w:r>
        <w:rPr>
          <w:rFonts w:hint="eastAsia" w:ascii="微软雅黑" w:hAnsi="微软雅黑" w:eastAsia="微软雅黑" w:cs="微软雅黑"/>
          <w:b/>
          <w:bCs/>
          <w:color w:val="2D04FC"/>
          <w:sz w:val="24"/>
        </w:rPr>
        <w:t>均能满足采购文件实质性响应要求的供应商中，按照综合评分由高到低的顺序提出成交候选人，并编写评审报告，将结果通知所有参加磋商的未成交的供应商</w:t>
      </w:r>
      <w:r>
        <w:rPr>
          <w:rFonts w:hint="eastAsia" w:ascii="微软雅黑" w:hAnsi="微软雅黑" w:eastAsia="微软雅黑" w:cs="微软雅黑"/>
          <w:b/>
          <w:bCs/>
          <w:color w:val="2D04FC"/>
          <w:sz w:val="24"/>
          <w:lang w:eastAsia="zh-CN"/>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23.2  </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评标严格按照磋商文件的要求和条件进行。根据实际情况，在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中规定采用下列一种评标方法，详细评标标准见磋商文件</w:t>
      </w:r>
      <w:r>
        <w:rPr>
          <w:rFonts w:hint="eastAsia" w:ascii="微软雅黑" w:hAnsi="微软雅黑" w:eastAsia="微软雅黑" w:cs="微软雅黑"/>
          <w:b/>
          <w:color w:val="auto"/>
          <w:sz w:val="24"/>
        </w:rPr>
        <w:t>第六章：</w:t>
      </w:r>
    </w:p>
    <w:p>
      <w:pPr>
        <w:spacing w:line="240" w:lineRule="atLeast"/>
        <w:ind w:left="898" w:leftChars="342" w:hanging="180" w:hangingChars="75"/>
        <w:rPr>
          <w:rFonts w:ascii="微软雅黑" w:hAnsi="微软雅黑" w:eastAsia="微软雅黑" w:cs="微软雅黑"/>
          <w:color w:val="auto"/>
          <w:sz w:val="24"/>
        </w:rPr>
      </w:pPr>
      <w:r>
        <w:rPr>
          <w:rFonts w:hint="eastAsia" w:ascii="微软雅黑" w:hAnsi="微软雅黑" w:eastAsia="微软雅黑" w:cs="微软雅黑"/>
          <w:b/>
          <w:bCs/>
          <w:color w:val="auto"/>
          <w:sz w:val="24"/>
        </w:rPr>
        <w:t xml:space="preserve"> </w:t>
      </w:r>
      <w:r>
        <w:rPr>
          <w:rFonts w:hint="eastAsia" w:ascii="微软雅黑" w:hAnsi="微软雅黑" w:eastAsia="微软雅黑" w:cs="微软雅黑"/>
          <w:b/>
          <w:bCs/>
          <w:color w:val="2D04FC"/>
          <w:sz w:val="24"/>
          <w:lang w:val="en-US" w:eastAsia="zh-CN"/>
        </w:rPr>
        <w:t>本项目采用</w:t>
      </w:r>
      <w:r>
        <w:rPr>
          <w:rFonts w:hint="eastAsia" w:ascii="微软雅黑" w:hAnsi="微软雅黑" w:eastAsia="微软雅黑" w:cs="微软雅黑"/>
          <w:b/>
          <w:bCs/>
          <w:color w:val="2D04FC"/>
          <w:sz w:val="24"/>
        </w:rPr>
        <w:t>综合评分法</w:t>
      </w:r>
      <w:r>
        <w:rPr>
          <w:rFonts w:hint="eastAsia" w:ascii="微软雅黑" w:hAnsi="微软雅黑" w:eastAsia="微软雅黑" w:cs="微软雅黑"/>
          <w:color w:val="2D04FC"/>
          <w:sz w:val="24"/>
        </w:rPr>
        <w:t>，</w:t>
      </w:r>
      <w:r>
        <w:rPr>
          <w:rFonts w:hint="eastAsia" w:ascii="微软雅黑" w:hAnsi="微软雅黑" w:eastAsia="微软雅黑" w:cs="微软雅黑"/>
          <w:color w:val="auto"/>
          <w:sz w:val="24"/>
        </w:rPr>
        <w:t>是指响应文件满足磋商文件全部实质性要求，且按照评审因素的量化指标评审得分最高的供应商为成交候选人的评标方法。</w:t>
      </w:r>
    </w:p>
    <w:p>
      <w:pPr>
        <w:pStyle w:val="19"/>
        <w:spacing w:line="420" w:lineRule="exact"/>
        <w:ind w:left="900" w:hanging="900" w:hangingChars="3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23.3   根据《政府采购促进中小企业发展管理办法》（财库[20</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46</w:t>
      </w:r>
      <w:r>
        <w:rPr>
          <w:rFonts w:hint="eastAsia" w:ascii="微软雅黑" w:hAnsi="微软雅黑" w:eastAsia="微软雅黑" w:cs="微软雅黑"/>
          <w:color w:val="auto"/>
          <w:sz w:val="24"/>
          <w:szCs w:val="24"/>
        </w:rPr>
        <w:t>号）、</w:t>
      </w:r>
    </w:p>
    <w:p>
      <w:pPr>
        <w:pStyle w:val="19"/>
        <w:spacing w:line="420" w:lineRule="exact"/>
        <w:ind w:left="898" w:leftChars="342" w:hanging="180" w:hangingChars="75"/>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《财政部 司法部关于政府采购支持监狱企业发展有关问题的通知》（财库〔2014〕68号）和《三部门联合发布关于促进残疾人就业政府采购政策的通知》（</w:t>
      </w:r>
      <w:bookmarkStart w:id="177" w:name="sendNo"/>
      <w:r>
        <w:rPr>
          <w:rFonts w:hint="eastAsia" w:ascii="微软雅黑" w:hAnsi="微软雅黑" w:eastAsia="微软雅黑" w:cs="微软雅黑"/>
          <w:bCs/>
          <w:color w:val="auto"/>
          <w:sz w:val="24"/>
          <w:szCs w:val="24"/>
        </w:rPr>
        <w:t>财库〔</w:t>
      </w:r>
      <w:bookmarkEnd w:id="177"/>
      <w:r>
        <w:rPr>
          <w:rFonts w:hint="eastAsia" w:ascii="微软雅黑" w:hAnsi="微软雅黑" w:eastAsia="微软雅黑" w:cs="微软雅黑"/>
          <w:bCs/>
          <w:color w:val="auto"/>
          <w:sz w:val="24"/>
          <w:szCs w:val="24"/>
        </w:rPr>
        <w:t>2017〕141号</w:t>
      </w:r>
      <w:r>
        <w:rPr>
          <w:rFonts w:hint="eastAsia" w:ascii="微软雅黑" w:hAnsi="微软雅黑" w:eastAsia="微软雅黑" w:cs="微软雅黑"/>
          <w:color w:val="auto"/>
          <w:sz w:val="24"/>
          <w:szCs w:val="24"/>
        </w:rPr>
        <w:t>）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7"/>
        <w:spacing w:before="0" w:after="0" w:line="420" w:lineRule="exact"/>
        <w:rPr>
          <w:rFonts w:ascii="微软雅黑" w:hAnsi="微软雅黑" w:eastAsia="微软雅黑" w:cs="微软雅黑"/>
          <w:color w:val="auto"/>
          <w:u w:val="none"/>
        </w:rPr>
      </w:pPr>
      <w:bookmarkStart w:id="178" w:name="_Toc520356168"/>
      <w:bookmarkStart w:id="179" w:name="_Toc19075"/>
      <w:bookmarkStart w:id="180" w:name="_Toc9378"/>
      <w:bookmarkStart w:id="181" w:name="_Toc20227"/>
      <w:bookmarkStart w:id="182" w:name="_Toc16201"/>
      <w:bookmarkStart w:id="183" w:name="_Toc515647785"/>
      <w:r>
        <w:rPr>
          <w:rFonts w:hint="eastAsia" w:ascii="微软雅黑" w:hAnsi="微软雅黑" w:eastAsia="微软雅黑" w:cs="微软雅黑"/>
          <w:color w:val="auto"/>
          <w:u w:val="none"/>
        </w:rPr>
        <w:t>24</w:t>
      </w:r>
      <w:bookmarkEnd w:id="178"/>
      <w:r>
        <w:rPr>
          <w:rFonts w:hint="eastAsia" w:ascii="微软雅黑" w:hAnsi="微软雅黑" w:eastAsia="微软雅黑" w:cs="微软雅黑"/>
          <w:color w:val="auto"/>
          <w:u w:val="none"/>
        </w:rPr>
        <w:t>.废标</w:t>
      </w:r>
      <w:bookmarkEnd w:id="179"/>
      <w:bookmarkEnd w:id="180"/>
      <w:bookmarkEnd w:id="181"/>
      <w:bookmarkEnd w:id="182"/>
      <w:bookmarkEnd w:id="183"/>
    </w:p>
    <w:p>
      <w:pPr>
        <w:spacing w:line="420" w:lineRule="exact"/>
        <w:ind w:left="898" w:leftChars="399" w:hanging="60" w:hangingChars="25"/>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出现下列情形之一，将导致项目废标： </w:t>
      </w:r>
    </w:p>
    <w:p>
      <w:pPr>
        <w:spacing w:line="420" w:lineRule="exact"/>
        <w:ind w:left="900" w:hanging="900" w:hangingChars="375"/>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ab/>
      </w:r>
      <w:r>
        <w:rPr>
          <w:rFonts w:hint="eastAsia" w:ascii="微软雅黑" w:hAnsi="微软雅黑" w:eastAsia="微软雅黑" w:cs="微软雅黑"/>
          <w:b/>
          <w:bCs/>
          <w:color w:val="auto"/>
          <w:sz w:val="24"/>
        </w:rPr>
        <w:t>（1）出现影响采购公正的违法、违规行为的；</w:t>
      </w:r>
    </w:p>
    <w:p>
      <w:pPr>
        <w:spacing w:line="420" w:lineRule="exact"/>
        <w:ind w:firstLine="840" w:firstLineChars="350"/>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（2）供应商的报价均超过了采购预算，采购人不能支付的；</w:t>
      </w:r>
    </w:p>
    <w:p>
      <w:pPr>
        <w:spacing w:line="420" w:lineRule="exact"/>
        <w:ind w:firstLine="840" w:firstLineChars="350"/>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（3）因重大变故，采购任务取消的。   </w:t>
      </w:r>
    </w:p>
    <w:p>
      <w:pPr>
        <w:pStyle w:val="7"/>
        <w:spacing w:before="0" w:after="0" w:line="420" w:lineRule="exact"/>
        <w:rPr>
          <w:rFonts w:ascii="微软雅黑" w:hAnsi="微软雅黑" w:eastAsia="微软雅黑" w:cs="微软雅黑"/>
          <w:color w:val="auto"/>
          <w:u w:val="none"/>
        </w:rPr>
      </w:pPr>
      <w:bookmarkStart w:id="184" w:name="_Toc8176"/>
      <w:bookmarkStart w:id="185" w:name="_Toc6429"/>
      <w:bookmarkStart w:id="186" w:name="_Toc31289"/>
      <w:bookmarkStart w:id="187" w:name="_Toc515647786"/>
      <w:bookmarkStart w:id="188" w:name="_Toc24972"/>
      <w:bookmarkStart w:id="189" w:name="_Toc520356169"/>
      <w:r>
        <w:rPr>
          <w:rFonts w:hint="eastAsia" w:ascii="微软雅黑" w:hAnsi="微软雅黑" w:eastAsia="微软雅黑" w:cs="微软雅黑"/>
          <w:color w:val="auto"/>
          <w:u w:val="none"/>
        </w:rPr>
        <w:t>25.保密原则</w:t>
      </w:r>
      <w:bookmarkEnd w:id="184"/>
      <w:bookmarkEnd w:id="185"/>
      <w:bookmarkEnd w:id="186"/>
      <w:bookmarkEnd w:id="187"/>
      <w:bookmarkEnd w:id="188"/>
    </w:p>
    <w:p>
      <w:pPr>
        <w:spacing w:line="42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评标将在严格保密的情况下进行。</w:t>
      </w:r>
    </w:p>
    <w:p>
      <w:pPr>
        <w:spacing w:line="420" w:lineRule="exact"/>
        <w:ind w:left="900" w:hanging="900" w:hangingChars="375"/>
        <w:rPr>
          <w:rFonts w:ascii="微软雅黑" w:hAnsi="微软雅黑" w:eastAsia="微软雅黑" w:cs="微软雅黑"/>
          <w:color w:val="auto"/>
        </w:rPr>
      </w:pPr>
      <w:r>
        <w:rPr>
          <w:rFonts w:hint="eastAsia" w:ascii="微软雅黑" w:hAnsi="微软雅黑" w:eastAsia="微软雅黑" w:cs="微软雅黑"/>
          <w:color w:val="auto"/>
          <w:sz w:val="24"/>
        </w:rPr>
        <w:t>25.2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政府采购评审专家应当遵守评审工作纪律，不得泄露评审文件、评审情况和评审中获悉的商业秘密。</w:t>
      </w:r>
    </w:p>
    <w:p>
      <w:pPr>
        <w:pStyle w:val="6"/>
        <w:spacing w:before="0" w:line="420" w:lineRule="exact"/>
        <w:ind w:left="1080" w:leftChars="257" w:hanging="540"/>
        <w:rPr>
          <w:rFonts w:ascii="微软雅黑" w:hAnsi="微软雅黑" w:eastAsia="微软雅黑" w:cs="微软雅黑"/>
          <w:color w:val="auto"/>
          <w:sz w:val="24"/>
        </w:rPr>
      </w:pPr>
      <w:bookmarkStart w:id="190" w:name="_Toc515647787"/>
      <w:bookmarkStart w:id="191" w:name="_Toc216582810"/>
      <w:bookmarkStart w:id="192" w:name="_Toc23904"/>
      <w:bookmarkStart w:id="193" w:name="_Toc31195"/>
      <w:bookmarkStart w:id="194" w:name="_Toc12143"/>
      <w:bookmarkStart w:id="195" w:name="_Toc29787"/>
      <w:r>
        <w:rPr>
          <w:rFonts w:hint="eastAsia" w:ascii="微软雅黑" w:hAnsi="微软雅黑" w:eastAsia="微软雅黑" w:cs="微软雅黑"/>
          <w:color w:val="auto"/>
          <w:sz w:val="24"/>
        </w:rPr>
        <w:t xml:space="preserve">六   </w:t>
      </w:r>
      <w:bookmarkEnd w:id="189"/>
      <w:r>
        <w:rPr>
          <w:rFonts w:hint="eastAsia" w:ascii="微软雅黑" w:hAnsi="微软雅黑" w:eastAsia="微软雅黑" w:cs="微软雅黑"/>
          <w:color w:val="auto"/>
          <w:sz w:val="24"/>
        </w:rPr>
        <w:t>确定</w:t>
      </w:r>
      <w:bookmarkEnd w:id="190"/>
      <w:bookmarkEnd w:id="191"/>
      <w:bookmarkEnd w:id="192"/>
      <w:bookmarkEnd w:id="193"/>
      <w:bookmarkEnd w:id="194"/>
      <w:r>
        <w:rPr>
          <w:rFonts w:hint="eastAsia" w:ascii="微软雅黑" w:hAnsi="微软雅黑" w:eastAsia="微软雅黑" w:cs="微软雅黑"/>
          <w:color w:val="auto"/>
          <w:sz w:val="24"/>
        </w:rPr>
        <w:t>成交</w:t>
      </w:r>
      <w:bookmarkEnd w:id="195"/>
    </w:p>
    <w:p>
      <w:pPr>
        <w:pStyle w:val="11"/>
        <w:spacing w:line="420" w:lineRule="exact"/>
        <w:ind w:firstLine="0"/>
        <w:rPr>
          <w:rFonts w:ascii="微软雅黑" w:hAnsi="微软雅黑" w:eastAsia="微软雅黑" w:cs="微软雅黑"/>
          <w:color w:val="auto"/>
        </w:rPr>
      </w:pPr>
    </w:p>
    <w:p>
      <w:pPr>
        <w:pStyle w:val="7"/>
        <w:spacing w:before="0" w:after="0" w:line="420" w:lineRule="exact"/>
        <w:rPr>
          <w:rFonts w:ascii="微软雅黑" w:hAnsi="微软雅黑" w:eastAsia="微软雅黑" w:cs="微软雅黑"/>
          <w:color w:val="auto"/>
          <w:u w:val="none"/>
        </w:rPr>
      </w:pPr>
      <w:bookmarkStart w:id="196" w:name="_Toc4774"/>
      <w:bookmarkStart w:id="197" w:name="_Ref467307010"/>
      <w:bookmarkStart w:id="198" w:name="_Toc23617"/>
      <w:bookmarkStart w:id="199" w:name="_Toc23762"/>
      <w:bookmarkStart w:id="200" w:name="_Toc515647788"/>
      <w:bookmarkStart w:id="201" w:name="_Toc19757"/>
      <w:bookmarkStart w:id="202" w:name="_Toc520356170"/>
      <w:r>
        <w:rPr>
          <w:rFonts w:hint="eastAsia" w:ascii="微软雅黑" w:hAnsi="微软雅黑" w:eastAsia="微软雅黑" w:cs="微软雅黑"/>
          <w:color w:val="auto"/>
          <w:u w:val="none"/>
        </w:rPr>
        <w:t>26.成交候选人的确定原则及标准</w:t>
      </w:r>
      <w:bookmarkEnd w:id="196"/>
      <w:bookmarkEnd w:id="197"/>
      <w:bookmarkEnd w:id="198"/>
      <w:bookmarkEnd w:id="199"/>
      <w:bookmarkEnd w:id="200"/>
      <w:bookmarkEnd w:id="201"/>
      <w:bookmarkEnd w:id="202"/>
    </w:p>
    <w:p>
      <w:pPr>
        <w:spacing w:line="42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除第28条规定外，对实质上响应磋商文件的供应商按下列方法进行排序，确定磋商候选人：</w:t>
      </w:r>
    </w:p>
    <w:p>
      <w:pPr>
        <w:spacing w:line="380" w:lineRule="exact"/>
        <w:ind w:left="901"/>
        <w:rPr>
          <w:rFonts w:ascii="微软雅黑" w:hAnsi="微软雅黑" w:eastAsia="微软雅黑" w:cs="微软雅黑"/>
          <w:color w:val="auto"/>
          <w:sz w:val="24"/>
        </w:rPr>
      </w:pPr>
      <w:bookmarkStart w:id="203" w:name="_Toc520356171"/>
      <w:bookmarkStart w:id="204" w:name="_Toc515647789"/>
      <w:r>
        <w:rPr>
          <w:rFonts w:hint="eastAsia" w:ascii="微软雅黑" w:hAnsi="微软雅黑" w:eastAsia="微软雅黑" w:cs="微软雅黑"/>
          <w:b/>
          <w:bCs/>
          <w:color w:val="2D04FC"/>
          <w:sz w:val="24"/>
          <w:lang w:val="en-US" w:eastAsia="zh-CN"/>
        </w:rPr>
        <w:t>本项目</w:t>
      </w:r>
      <w:r>
        <w:rPr>
          <w:rFonts w:hint="eastAsia" w:ascii="微软雅黑" w:hAnsi="微软雅黑" w:eastAsia="微软雅黑" w:cs="微软雅黑"/>
          <w:b/>
          <w:bCs/>
          <w:color w:val="2D04FC"/>
          <w:sz w:val="24"/>
        </w:rPr>
        <w:t>采用综合评分法的</w:t>
      </w:r>
      <w:r>
        <w:rPr>
          <w:rFonts w:hint="eastAsia" w:ascii="微软雅黑" w:hAnsi="微软雅黑" w:eastAsia="微软雅黑" w:cs="微软雅黑"/>
          <w:color w:val="2D04FC"/>
          <w:sz w:val="24"/>
        </w:rPr>
        <w:t>，</w:t>
      </w:r>
      <w:r>
        <w:rPr>
          <w:rFonts w:hint="eastAsia" w:ascii="微软雅黑" w:hAnsi="微软雅黑" w:eastAsia="微软雅黑" w:cs="微软雅黑"/>
          <w:color w:val="auto"/>
          <w:sz w:val="24"/>
        </w:rPr>
        <w:t>评标结果按评审后得分由高到低顺序排列。得分相同的，按修正和扣除后的磋商报价由低到高顺序排列。得分与磋商报价均相同的处理方式详见磋商文件第6章。</w:t>
      </w:r>
    </w:p>
    <w:p>
      <w:pPr>
        <w:pStyle w:val="7"/>
        <w:tabs>
          <w:tab w:val="left" w:pos="900"/>
        </w:tabs>
        <w:spacing w:before="0" w:after="0" w:line="240" w:lineRule="atLeast"/>
        <w:rPr>
          <w:rFonts w:ascii="微软雅黑" w:hAnsi="微软雅黑" w:eastAsia="微软雅黑" w:cs="微软雅黑"/>
          <w:color w:val="auto"/>
          <w:u w:val="none"/>
        </w:rPr>
      </w:pPr>
      <w:bookmarkStart w:id="205" w:name="_Toc17933"/>
      <w:bookmarkStart w:id="206" w:name="_Toc23951"/>
      <w:bookmarkStart w:id="207" w:name="_Toc9653"/>
      <w:bookmarkStart w:id="208" w:name="_Toc1029"/>
      <w:r>
        <w:rPr>
          <w:rFonts w:hint="eastAsia" w:ascii="微软雅黑" w:hAnsi="微软雅黑" w:eastAsia="微软雅黑" w:cs="微软雅黑"/>
          <w:color w:val="auto"/>
          <w:u w:val="none"/>
        </w:rPr>
        <w:t>27</w:t>
      </w:r>
      <w:bookmarkEnd w:id="203"/>
      <w:r>
        <w:rPr>
          <w:rFonts w:hint="eastAsia" w:ascii="微软雅黑" w:hAnsi="微软雅黑" w:eastAsia="微软雅黑" w:cs="微软雅黑"/>
          <w:color w:val="auto"/>
          <w:u w:val="none"/>
        </w:rPr>
        <w:t>.确定成交候选人和</w:t>
      </w:r>
      <w:bookmarkEnd w:id="204"/>
      <w:bookmarkEnd w:id="205"/>
      <w:bookmarkEnd w:id="206"/>
      <w:bookmarkEnd w:id="207"/>
      <w:r>
        <w:rPr>
          <w:rFonts w:hint="eastAsia" w:ascii="微软雅黑" w:hAnsi="微软雅黑" w:eastAsia="微软雅黑" w:cs="微软雅黑"/>
          <w:color w:val="auto"/>
          <w:u w:val="none"/>
        </w:rPr>
        <w:t>成交人</w:t>
      </w:r>
      <w:bookmarkEnd w:id="20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磋商小组将根据评标标准，按</w:t>
      </w:r>
      <w:r>
        <w:rPr>
          <w:rFonts w:hint="eastAsia" w:ascii="微软雅黑" w:hAnsi="微软雅黑" w:eastAsia="微软雅黑" w:cs="微软雅黑"/>
          <w:color w:val="auto"/>
          <w:sz w:val="24"/>
          <w:u w:val="single"/>
        </w:rPr>
        <w:t>供应商须知资料表中</w:t>
      </w:r>
      <w:r>
        <w:rPr>
          <w:rFonts w:hint="eastAsia" w:ascii="微软雅黑" w:hAnsi="微软雅黑" w:eastAsia="微软雅黑" w:cs="微软雅黑"/>
          <w:color w:val="auto"/>
          <w:sz w:val="24"/>
        </w:rPr>
        <w:t>规定数量推荐成交候选人；或根据采购人的委托，直接确定成交人。</w:t>
      </w:r>
    </w:p>
    <w:p>
      <w:pPr>
        <w:pStyle w:val="7"/>
        <w:tabs>
          <w:tab w:val="left" w:pos="900"/>
        </w:tabs>
        <w:spacing w:before="0" w:after="0" w:line="240" w:lineRule="atLeast"/>
        <w:rPr>
          <w:rFonts w:ascii="微软雅黑" w:hAnsi="微软雅黑" w:eastAsia="微软雅黑" w:cs="微软雅黑"/>
          <w:color w:val="auto"/>
          <w:u w:val="none"/>
        </w:rPr>
      </w:pPr>
      <w:bookmarkStart w:id="209" w:name="_Toc520356173"/>
      <w:bookmarkStart w:id="210" w:name="_Ref467306874"/>
      <w:bookmarkStart w:id="211" w:name="_Toc8389"/>
      <w:bookmarkStart w:id="212" w:name="_Toc22725"/>
      <w:bookmarkStart w:id="213" w:name="_Toc7729"/>
      <w:bookmarkStart w:id="214" w:name="_Toc515647790"/>
      <w:bookmarkStart w:id="215" w:name="_Toc28562"/>
      <w:r>
        <w:rPr>
          <w:rFonts w:hint="eastAsia" w:ascii="微软雅黑" w:hAnsi="微软雅黑" w:eastAsia="微软雅黑" w:cs="微软雅黑"/>
          <w:color w:val="auto"/>
          <w:u w:val="none"/>
        </w:rPr>
        <w:t>28.</w:t>
      </w:r>
      <w:bookmarkEnd w:id="209"/>
      <w:bookmarkEnd w:id="210"/>
      <w:r>
        <w:rPr>
          <w:rFonts w:hint="eastAsia" w:ascii="微软雅黑" w:hAnsi="微软雅黑" w:eastAsia="微软雅黑" w:cs="微软雅黑"/>
          <w:color w:val="auto"/>
          <w:u w:val="none"/>
        </w:rPr>
        <w:t>采购任务取消</w:t>
      </w:r>
      <w:bookmarkEnd w:id="211"/>
      <w:bookmarkEnd w:id="212"/>
      <w:bookmarkEnd w:id="213"/>
      <w:bookmarkEnd w:id="214"/>
      <w:bookmarkEnd w:id="215"/>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因重大变故采购任务取消时，采购人有权拒绝任何供应商成交，且对受影响的供应商不承担任何责任。</w:t>
      </w:r>
      <w:bookmarkStart w:id="216" w:name="_Toc520356174"/>
    </w:p>
    <w:p>
      <w:pPr>
        <w:pStyle w:val="7"/>
        <w:spacing w:before="0" w:after="0" w:line="240" w:lineRule="atLeast"/>
        <w:rPr>
          <w:rFonts w:ascii="微软雅黑" w:hAnsi="微软雅黑" w:eastAsia="微软雅黑" w:cs="微软雅黑"/>
          <w:color w:val="auto"/>
          <w:u w:val="none"/>
        </w:rPr>
      </w:pPr>
      <w:bookmarkStart w:id="217" w:name="_Toc31099"/>
      <w:bookmarkStart w:id="218" w:name="_Toc515647791"/>
      <w:bookmarkStart w:id="219" w:name="_Toc30493"/>
      <w:bookmarkStart w:id="220" w:name="_Toc15270"/>
      <w:bookmarkStart w:id="221" w:name="_Toc30170"/>
      <w:r>
        <w:rPr>
          <w:rFonts w:hint="eastAsia" w:ascii="微软雅黑" w:hAnsi="微软雅黑" w:eastAsia="微软雅黑" w:cs="微软雅黑"/>
          <w:color w:val="auto"/>
          <w:u w:val="none"/>
        </w:rPr>
        <w:t>29.</w:t>
      </w:r>
      <w:bookmarkEnd w:id="216"/>
      <w:r>
        <w:rPr>
          <w:rFonts w:hint="eastAsia" w:ascii="微软雅黑" w:hAnsi="微软雅黑" w:eastAsia="微软雅黑" w:cs="微软雅黑"/>
          <w:color w:val="auto"/>
          <w:u w:val="none"/>
        </w:rPr>
        <w:t>成交通知书和招标结果通知书</w:t>
      </w:r>
      <w:bookmarkEnd w:id="217"/>
      <w:bookmarkEnd w:id="218"/>
      <w:bookmarkEnd w:id="219"/>
      <w:bookmarkEnd w:id="220"/>
      <w:bookmarkEnd w:id="221"/>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29.1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在磋商有效期内，成交人确定后，采购人或者采购代理机构发布成交公告，同时以书面形式向成交人发出成交通知书。</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29.2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成交通知书是合同的组成部分。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29.3    招标结果通知书和成交通知书同时发出。招标结果通知书中将告知未通过资格审查的供应商未通过的原因；采用综合评分法评审的，还将告知未成交人本人的评审得分和排序。</w:t>
      </w:r>
    </w:p>
    <w:p>
      <w:pPr>
        <w:pStyle w:val="7"/>
        <w:spacing w:before="0" w:after="0" w:line="240" w:lineRule="atLeast"/>
        <w:rPr>
          <w:rFonts w:ascii="微软雅黑" w:hAnsi="微软雅黑" w:eastAsia="微软雅黑" w:cs="微软雅黑"/>
          <w:color w:val="auto"/>
          <w:u w:val="none"/>
        </w:rPr>
      </w:pPr>
      <w:bookmarkStart w:id="222" w:name="_Toc790"/>
      <w:bookmarkStart w:id="223" w:name="_Ref467306377"/>
      <w:bookmarkStart w:id="224" w:name="_Ref467307062"/>
      <w:bookmarkStart w:id="225" w:name="_Ref467306978"/>
      <w:bookmarkStart w:id="226" w:name="_Toc27896"/>
      <w:bookmarkStart w:id="227" w:name="_Toc7779"/>
      <w:bookmarkStart w:id="228" w:name="_Ref467307204"/>
      <w:bookmarkStart w:id="229" w:name="_Toc515647792"/>
      <w:bookmarkStart w:id="230" w:name="_Toc15063"/>
      <w:bookmarkStart w:id="231" w:name="_Toc520356175"/>
      <w:r>
        <w:rPr>
          <w:rFonts w:hint="eastAsia" w:ascii="微软雅黑" w:hAnsi="微软雅黑" w:eastAsia="微软雅黑" w:cs="微软雅黑"/>
          <w:color w:val="auto"/>
          <w:u w:val="none"/>
        </w:rPr>
        <w:t>30.签订合同</w:t>
      </w:r>
      <w:bookmarkEnd w:id="222"/>
      <w:bookmarkEnd w:id="223"/>
      <w:bookmarkEnd w:id="224"/>
      <w:bookmarkEnd w:id="225"/>
      <w:bookmarkEnd w:id="226"/>
      <w:bookmarkEnd w:id="227"/>
      <w:bookmarkEnd w:id="228"/>
      <w:bookmarkEnd w:id="229"/>
      <w:bookmarkEnd w:id="230"/>
      <w:bookmarkEnd w:id="231"/>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成交人应当自发出成交通知书之日起30日内，与采购人签订合同。</w:t>
      </w:r>
    </w:p>
    <w:p>
      <w:pPr>
        <w:spacing w:line="3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30.2</w:t>
      </w:r>
      <w:r>
        <w:rPr>
          <w:rFonts w:hint="eastAsia" w:ascii="微软雅黑" w:hAnsi="微软雅黑" w:eastAsia="微软雅黑" w:cs="微软雅黑"/>
          <w:color w:val="auto"/>
          <w:sz w:val="24"/>
        </w:rPr>
        <w:tab/>
      </w:r>
      <w:bookmarkStart w:id="232" w:name="_Ref467306425"/>
      <w:bookmarkStart w:id="233" w:name="_Ref467307090"/>
      <w:bookmarkStart w:id="234" w:name="_Toc520356176"/>
      <w:r>
        <w:rPr>
          <w:rFonts w:hint="eastAsia" w:ascii="微软雅黑" w:hAnsi="微软雅黑" w:eastAsia="微软雅黑" w:cs="微软雅黑"/>
          <w:color w:val="auto"/>
          <w:sz w:val="24"/>
        </w:rPr>
        <w:t>磋商文件、成交人的响应文件及其澄清文件等，均为签订合同的依据。</w:t>
      </w:r>
    </w:p>
    <w:p>
      <w:pPr>
        <w:spacing w:line="3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30.3   成交人拒绝与采购人签订合同的，采购人可以按照评审报告推荐的成交</w:t>
      </w:r>
    </w:p>
    <w:p>
      <w:pPr>
        <w:spacing w:line="300" w:lineRule="exact"/>
        <w:ind w:left="958" w:leftChars="456" w:firstLine="60" w:firstLineChars="25"/>
        <w:rPr>
          <w:rFonts w:ascii="微软雅黑" w:hAnsi="微软雅黑" w:eastAsia="微软雅黑" w:cs="微软雅黑"/>
          <w:color w:val="auto"/>
          <w:sz w:val="24"/>
        </w:rPr>
      </w:pPr>
      <w:r>
        <w:rPr>
          <w:rFonts w:hint="eastAsia" w:ascii="微软雅黑" w:hAnsi="微软雅黑" w:eastAsia="微软雅黑" w:cs="微软雅黑"/>
          <w:color w:val="auto"/>
          <w:sz w:val="24"/>
        </w:rPr>
        <w:t>候选人名单排序，确定下一成交候选人为成交人，也可以重新开展政府采购活动。</w:t>
      </w:r>
    </w:p>
    <w:p>
      <w:pPr>
        <w:spacing w:line="3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30.4   当出现法规规定的</w:t>
      </w:r>
      <w:r>
        <w:rPr>
          <w:rFonts w:hint="eastAsia" w:ascii="微软雅黑" w:hAnsi="微软雅黑" w:eastAsia="微软雅黑" w:cs="微软雅黑"/>
          <w:b/>
          <w:color w:val="auto"/>
          <w:sz w:val="24"/>
        </w:rPr>
        <w:t>成交无效或成交结果无效</w:t>
      </w:r>
      <w:r>
        <w:rPr>
          <w:rFonts w:hint="eastAsia" w:ascii="微软雅黑" w:hAnsi="微软雅黑" w:eastAsia="微软雅黑" w:cs="微软雅黑"/>
          <w:color w:val="auto"/>
          <w:sz w:val="24"/>
        </w:rPr>
        <w:t>情形时，采购人可与排名下一位的成交候选人另行签订合同，或依法重新开展采购活动。</w:t>
      </w:r>
    </w:p>
    <w:p>
      <w:pPr>
        <w:pStyle w:val="7"/>
        <w:spacing w:before="0" w:after="0" w:line="240" w:lineRule="atLeast"/>
        <w:rPr>
          <w:rFonts w:ascii="微软雅黑" w:hAnsi="微软雅黑" w:eastAsia="微软雅黑" w:cs="微软雅黑"/>
          <w:color w:val="auto"/>
          <w:u w:val="none"/>
        </w:rPr>
      </w:pPr>
      <w:bookmarkStart w:id="235" w:name="_Toc14080"/>
      <w:bookmarkStart w:id="236" w:name="_Toc6921"/>
      <w:bookmarkStart w:id="237" w:name="_Toc515647793"/>
      <w:bookmarkStart w:id="238" w:name="_Toc22555"/>
      <w:bookmarkStart w:id="239" w:name="_Toc25778"/>
      <w:r>
        <w:rPr>
          <w:rFonts w:hint="eastAsia" w:ascii="微软雅黑" w:hAnsi="微软雅黑" w:eastAsia="微软雅黑" w:cs="微软雅黑"/>
          <w:color w:val="auto"/>
          <w:u w:val="none"/>
        </w:rPr>
        <w:t>31.履约保证金</w:t>
      </w:r>
      <w:bookmarkEnd w:id="232"/>
      <w:bookmarkEnd w:id="233"/>
      <w:bookmarkEnd w:id="234"/>
      <w:bookmarkEnd w:id="235"/>
      <w:bookmarkEnd w:id="236"/>
      <w:bookmarkEnd w:id="237"/>
      <w:bookmarkEnd w:id="238"/>
      <w:bookmarkEnd w:id="23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成交人应按照</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规定向采购人缴纳履约保证金（如采用保函形式，格式见本章附件1）。</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政府采购利用担保试点范围内的项目，除31.1规定的情形外，成交人也可以按照财政部门的规定，向采购人提供合格的履约担保函（格式见本章附件2）。</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31.3   如果成交人没有按照上述履约保证金的规定执行，将视为放弃成交资格，成交人的磋商保证金将不予退还。在此情况下，采购人可确定下一候选人为成交人，也可以重新开展采购活动。</w:t>
      </w:r>
    </w:p>
    <w:p>
      <w:pPr>
        <w:pStyle w:val="7"/>
        <w:spacing w:before="0" w:after="0" w:line="240" w:lineRule="atLeast"/>
        <w:rPr>
          <w:rFonts w:ascii="微软雅黑" w:hAnsi="微软雅黑" w:eastAsia="微软雅黑" w:cs="微软雅黑"/>
          <w:color w:val="auto"/>
          <w:u w:val="none"/>
        </w:rPr>
      </w:pPr>
      <w:bookmarkStart w:id="240" w:name="_Toc29408"/>
      <w:bookmarkStart w:id="241" w:name="_Toc19927"/>
      <w:bookmarkStart w:id="242" w:name="_Toc515647794"/>
      <w:bookmarkStart w:id="243" w:name="_Toc3090"/>
      <w:bookmarkStart w:id="244" w:name="_Toc29652"/>
      <w:r>
        <w:rPr>
          <w:rFonts w:hint="eastAsia" w:ascii="微软雅黑" w:hAnsi="微软雅黑" w:eastAsia="微软雅黑" w:cs="微软雅黑"/>
          <w:color w:val="auto"/>
          <w:u w:val="none"/>
        </w:rPr>
        <w:t>32.成交</w:t>
      </w:r>
      <w:r>
        <w:rPr>
          <w:rFonts w:hint="eastAsia" w:ascii="微软雅黑" w:hAnsi="微软雅黑" w:eastAsia="微软雅黑" w:cs="微软雅黑"/>
          <w:color w:val="auto"/>
          <w:u w:val="none"/>
          <w:lang w:val="en-US" w:eastAsia="zh-CN"/>
        </w:rPr>
        <w:t>服务</w:t>
      </w:r>
      <w:r>
        <w:rPr>
          <w:rFonts w:hint="eastAsia" w:ascii="微软雅黑" w:hAnsi="微软雅黑" w:eastAsia="微软雅黑" w:cs="微软雅黑"/>
          <w:color w:val="auto"/>
          <w:u w:val="none"/>
        </w:rPr>
        <w:t>费</w:t>
      </w:r>
      <w:bookmarkEnd w:id="240"/>
      <w:bookmarkEnd w:id="241"/>
      <w:bookmarkEnd w:id="242"/>
      <w:bookmarkEnd w:id="243"/>
      <w:bookmarkEnd w:id="244"/>
    </w:p>
    <w:p>
      <w:pPr>
        <w:spacing w:line="240" w:lineRule="atLeast"/>
        <w:ind w:left="840" w:leftChars="200" w:hanging="420" w:hangingChars="1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成交人须按照</w:t>
      </w:r>
      <w:r>
        <w:rPr>
          <w:rFonts w:hint="eastAsia" w:ascii="微软雅黑" w:hAnsi="微软雅黑" w:eastAsia="微软雅黑" w:cs="微软雅黑"/>
          <w:color w:val="auto"/>
          <w:sz w:val="24"/>
          <w:u w:val="single"/>
        </w:rPr>
        <w:t>磋商须知资料表</w:t>
      </w:r>
      <w:r>
        <w:rPr>
          <w:rFonts w:hint="eastAsia" w:ascii="微软雅黑" w:hAnsi="微软雅黑" w:eastAsia="微软雅黑" w:cs="微软雅黑"/>
          <w:color w:val="auto"/>
          <w:sz w:val="24"/>
        </w:rPr>
        <w:t>规定，向采购代理机构支付成交</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费。</w:t>
      </w:r>
    </w:p>
    <w:p>
      <w:pPr>
        <w:pStyle w:val="7"/>
        <w:spacing w:before="0" w:after="0" w:line="240" w:lineRule="atLeast"/>
        <w:rPr>
          <w:rFonts w:ascii="微软雅黑" w:hAnsi="微软雅黑" w:eastAsia="微软雅黑" w:cs="微软雅黑"/>
          <w:color w:val="auto"/>
          <w:u w:val="none"/>
        </w:rPr>
      </w:pPr>
      <w:bookmarkStart w:id="245" w:name="_Toc515647795"/>
      <w:bookmarkStart w:id="246" w:name="_Toc1343"/>
      <w:bookmarkStart w:id="247" w:name="_Toc19676"/>
      <w:bookmarkStart w:id="248" w:name="_Toc7049"/>
      <w:bookmarkStart w:id="249" w:name="_Toc6923"/>
      <w:r>
        <w:rPr>
          <w:rFonts w:hint="eastAsia" w:ascii="微软雅黑" w:hAnsi="微软雅黑" w:eastAsia="微软雅黑" w:cs="微软雅黑"/>
          <w:color w:val="auto"/>
          <w:u w:val="none"/>
        </w:rPr>
        <w:t>33.政府采购信用担保</w:t>
      </w:r>
      <w:bookmarkEnd w:id="245"/>
      <w:bookmarkEnd w:id="246"/>
      <w:bookmarkEnd w:id="247"/>
      <w:bookmarkEnd w:id="248"/>
      <w:bookmarkEnd w:id="24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33.1   本项目是否属于信用担保试点范围见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spacing w:line="320" w:lineRule="exact"/>
        <w:ind w:left="850" w:hanging="849" w:hangingChars="354"/>
        <w:rPr>
          <w:rFonts w:ascii="微软雅黑" w:hAnsi="微软雅黑" w:eastAsia="微软雅黑" w:cs="微软雅黑"/>
          <w:color w:val="auto"/>
          <w:sz w:val="24"/>
        </w:rPr>
      </w:pPr>
      <w:r>
        <w:rPr>
          <w:rFonts w:hint="eastAsia" w:ascii="微软雅黑" w:hAnsi="微软雅黑" w:eastAsia="微软雅黑" w:cs="微软雅黑"/>
          <w:color w:val="auto"/>
          <w:sz w:val="24"/>
        </w:rPr>
        <w:t>33.2   如属于政府采购信用担保试点范围内，中小型企业供应商可以自由按照财政部门的规定，采用磋商担保、履约担保和融资担保。</w:t>
      </w:r>
    </w:p>
    <w:p>
      <w:pPr>
        <w:spacing w:line="32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33.2.1 供应商递交的磋商担保函和履约担保函应符合本磋商文件的规定。</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33.2.2 成交人可以采取融资担保的形式为政府采购项目履约进行融资。</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33.2.3 合格的政府采购专业信用担保机构名单见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pStyle w:val="7"/>
        <w:spacing w:before="0" w:after="0" w:line="240" w:lineRule="atLeast"/>
        <w:rPr>
          <w:rFonts w:ascii="微软雅黑" w:hAnsi="微软雅黑" w:eastAsia="微软雅黑" w:cs="微软雅黑"/>
          <w:color w:val="auto"/>
          <w:u w:val="none"/>
        </w:rPr>
      </w:pPr>
      <w:bookmarkStart w:id="250" w:name="_Toc9673"/>
      <w:bookmarkStart w:id="251" w:name="_Toc2133"/>
      <w:bookmarkStart w:id="252" w:name="_Toc515647796"/>
      <w:bookmarkStart w:id="253" w:name="_Toc24097"/>
      <w:bookmarkStart w:id="254" w:name="_Toc23999"/>
      <w:r>
        <w:rPr>
          <w:rFonts w:hint="eastAsia" w:ascii="微软雅黑" w:hAnsi="微软雅黑" w:eastAsia="微软雅黑" w:cs="微软雅黑"/>
          <w:color w:val="auto"/>
          <w:u w:val="none"/>
        </w:rPr>
        <w:t>34.廉洁自律规定</w:t>
      </w:r>
      <w:bookmarkEnd w:id="250"/>
      <w:bookmarkEnd w:id="251"/>
      <w:bookmarkEnd w:id="252"/>
      <w:bookmarkEnd w:id="253"/>
      <w:bookmarkEnd w:id="254"/>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34.1   采购代理机构工作人员不得以不正当手段获取政府采购代理业务，不得与采购人、供应商恶意串通操纵政府采购活动。</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34.3   为强化采购代理机构内部监督机制，供应商可按</w:t>
      </w:r>
      <w:r>
        <w:rPr>
          <w:rFonts w:hint="eastAsia" w:ascii="微软雅黑" w:hAnsi="微软雅黑" w:eastAsia="微软雅黑" w:cs="微软雅黑"/>
          <w:color w:val="auto"/>
          <w:sz w:val="24"/>
          <w:u w:val="single"/>
        </w:rPr>
        <w:t>供应商须知资料表中的</w:t>
      </w:r>
      <w:r>
        <w:rPr>
          <w:rFonts w:hint="eastAsia" w:ascii="微软雅黑" w:hAnsi="微软雅黑" w:eastAsia="微软雅黑" w:cs="微软雅黑"/>
          <w:color w:val="auto"/>
          <w:sz w:val="24"/>
        </w:rPr>
        <w:t>监督电话和邮箱，反映采购代理机构的廉洁自律等问题。</w:t>
      </w:r>
    </w:p>
    <w:p>
      <w:pPr>
        <w:pStyle w:val="7"/>
        <w:spacing w:before="0" w:after="0" w:line="240" w:lineRule="atLeast"/>
        <w:rPr>
          <w:rFonts w:ascii="微软雅黑" w:hAnsi="微软雅黑" w:eastAsia="微软雅黑" w:cs="微软雅黑"/>
          <w:color w:val="auto"/>
          <w:u w:val="none"/>
        </w:rPr>
      </w:pPr>
      <w:bookmarkStart w:id="255" w:name="_Toc1602"/>
      <w:bookmarkStart w:id="256" w:name="_Toc515647797"/>
      <w:bookmarkStart w:id="257" w:name="_Toc3386"/>
      <w:bookmarkStart w:id="258" w:name="_Toc11586"/>
      <w:bookmarkStart w:id="259" w:name="_Toc25480"/>
      <w:r>
        <w:rPr>
          <w:rFonts w:hint="eastAsia" w:ascii="微软雅黑" w:hAnsi="微软雅黑" w:eastAsia="微软雅黑" w:cs="微软雅黑"/>
          <w:color w:val="auto"/>
          <w:u w:val="none"/>
        </w:rPr>
        <w:t>35.人员回避</w:t>
      </w:r>
      <w:bookmarkEnd w:id="255"/>
      <w:bookmarkEnd w:id="256"/>
      <w:bookmarkEnd w:id="257"/>
      <w:bookmarkEnd w:id="258"/>
      <w:bookmarkEnd w:id="25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供应商认为采购人员及其相关人员有法律法规所列与其他供应商有利害关系的，可以向采购人或采购代理机构书面提出回避申请，并说明理由。</w:t>
      </w:r>
    </w:p>
    <w:p>
      <w:pPr>
        <w:pStyle w:val="7"/>
        <w:spacing w:before="0" w:after="0" w:line="240" w:lineRule="atLeast"/>
        <w:rPr>
          <w:rFonts w:ascii="微软雅黑" w:hAnsi="微软雅黑" w:eastAsia="微软雅黑" w:cs="微软雅黑"/>
          <w:color w:val="auto"/>
          <w:u w:val="none"/>
        </w:rPr>
      </w:pPr>
      <w:bookmarkStart w:id="260" w:name="_Toc1148"/>
      <w:bookmarkStart w:id="261" w:name="_Toc515647798"/>
      <w:bookmarkStart w:id="262" w:name="_Toc9532"/>
      <w:bookmarkStart w:id="263" w:name="_Toc11115"/>
      <w:bookmarkStart w:id="264" w:name="_Toc25962"/>
      <w:r>
        <w:rPr>
          <w:rFonts w:hint="eastAsia" w:ascii="微软雅黑" w:hAnsi="微软雅黑" w:eastAsia="微软雅黑" w:cs="微软雅黑"/>
          <w:color w:val="auto"/>
          <w:u w:val="none"/>
        </w:rPr>
        <w:t>36.质疑与接收</w:t>
      </w:r>
      <w:bookmarkEnd w:id="260"/>
      <w:bookmarkEnd w:id="261"/>
      <w:bookmarkEnd w:id="262"/>
      <w:bookmarkEnd w:id="263"/>
      <w:bookmarkEnd w:id="264"/>
    </w:p>
    <w:p>
      <w:pPr>
        <w:spacing w:line="240" w:lineRule="atLeast"/>
        <w:ind w:left="851" w:leftChars="68" w:hanging="708" w:hangingChars="295"/>
        <w:rPr>
          <w:rFonts w:ascii="微软雅黑" w:hAnsi="微软雅黑" w:eastAsia="微软雅黑" w:cs="微软雅黑"/>
          <w:color w:val="auto"/>
          <w:sz w:val="24"/>
        </w:rPr>
      </w:pPr>
      <w:r>
        <w:rPr>
          <w:rFonts w:hint="eastAsia" w:ascii="微软雅黑" w:hAnsi="微软雅黑" w:eastAsia="微软雅黑" w:cs="微软雅黑"/>
          <w:color w:val="auto"/>
          <w:sz w:val="24"/>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ascii="微软雅黑" w:hAnsi="微软雅黑" w:eastAsia="微软雅黑" w:cs="微软雅黑"/>
          <w:color w:val="auto"/>
          <w:sz w:val="24"/>
        </w:rPr>
      </w:pPr>
      <w:r>
        <w:rPr>
          <w:rFonts w:hint="eastAsia" w:ascii="微软雅黑" w:hAnsi="微软雅黑" w:eastAsia="微软雅黑" w:cs="微软雅黑"/>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微软雅黑" w:hAnsi="微软雅黑" w:eastAsia="微软雅黑" w:cs="微软雅黑"/>
          <w:color w:val="auto"/>
          <w:sz w:val="24"/>
        </w:rPr>
      </w:pPr>
      <w:r>
        <w:rPr>
          <w:rFonts w:hint="eastAsia" w:ascii="微软雅黑" w:hAnsi="微软雅黑" w:eastAsia="微软雅黑" w:cs="微软雅黑"/>
          <w:color w:val="auto"/>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ascii="微软雅黑" w:hAnsi="微软雅黑" w:eastAsia="微软雅黑" w:cs="微软雅黑"/>
          <w:color w:val="auto"/>
          <w:sz w:val="24"/>
        </w:rPr>
      </w:pPr>
      <w:r>
        <w:rPr>
          <w:rFonts w:hint="eastAsia" w:ascii="微软雅黑" w:hAnsi="微软雅黑" w:eastAsia="微软雅黑" w:cs="微软雅黑"/>
          <w:color w:val="auto"/>
          <w:sz w:val="24"/>
        </w:rPr>
        <w:t>36.3  采购代理机构质疑函接收部门、联系电话和通讯地址, 见</w:t>
      </w:r>
      <w:r>
        <w:rPr>
          <w:rFonts w:hint="eastAsia" w:ascii="微软雅黑" w:hAnsi="微软雅黑" w:eastAsia="微软雅黑" w:cs="微软雅黑"/>
          <w:color w:val="auto"/>
          <w:sz w:val="24"/>
          <w:u w:val="single"/>
        </w:rPr>
        <w:t>供应商须知资料表。</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35.4   质疑的提出</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35.5   本采购文件中所称质疑及答复，是指参加本次采购活动的供应商对政府采购活动中的采购文件、采购过程和成交结果向采购方提出质疑，采购方答复质疑的行为。</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（一）对可以质疑的采购文件提出质疑的，为收到采购文件之日或者采购文件公告期限届满之日；</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（二）对采购过程提出质疑的，为各采购程序环节结束之日；</w:t>
      </w:r>
    </w:p>
    <w:p>
      <w:pPr>
        <w:spacing w:line="400" w:lineRule="exact"/>
        <w:ind w:firstLine="720" w:firstLineChars="3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（三）对成交结果提出质疑的，为成交结果公告期限届满之日。</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35.7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35.9   提出质疑应当符合下列条件：</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（一）质疑主体应当符合有关规定；</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（二）在质疑法定期限内提出；</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（三）属于可以提出质疑的政府采购事项受理范围和本项目采购人的管辖权范围；</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（四）政府采购法律、法规、规章规定的其他条件。</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35.11  质疑人所提供的证明材料应当具有真实性、合法性以及与质疑事项的关联性和证明力，否则不能作为认定该质疑事项成立的依据。</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35.12  质疑人提出质疑时应当提交质疑函。质疑函包括下列内容：</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（一）提出质疑的质疑人的名称、地址、邮编、联系人及联系电话等；</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（二）质疑项目的名称、编号；</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（三）质疑事项；</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（四）事实依据和证明材料；</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（五）法律依据；</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（六）提出质疑的日期。</w:t>
      </w:r>
    </w:p>
    <w:p>
      <w:pPr>
        <w:spacing w:line="400" w:lineRule="exact"/>
        <w:ind w:left="958" w:leftChars="456" w:firstLine="60" w:firstLineChars="2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35.13  质疑人可以委托代理人进行质疑。代理人应当提交授权委托书。授权委托书应当载明委托代理的具体权限、期限和相关事项。</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35.14  质疑的审查和受理</w:t>
      </w:r>
    </w:p>
    <w:p>
      <w:pPr>
        <w:spacing w:line="400" w:lineRule="exact"/>
        <w:ind w:left="840" w:leftChars="4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采购方在收到质疑函后应当及时审查是否符合质疑受理条件，对符合质疑受理条件的，及时予以受理。</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35.15  对不符合质疑受理条件的，分别按照下列不同情形予以处理：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（一）质疑函内容不符合规定的，告知质疑人进行修改并重新提出质疑。修改后质疑事项仍不具体、不明确或者最终递交质疑函的时间超过质疑法定期限的，不予受理；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（二）质疑主体不符合有关规定的，告知质疑人不予受理；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（三）超过质疑法定期限提出质疑的，告知质疑人不予受理；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（四）对不属于可以提出质疑的政府采购事项提出质疑的，告知质疑人不予受理；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（五）质疑不属于本项目采购方管辖的，告知质疑人向有管辖权的采购人提出质疑；</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（六）质疑不符合其他条件的，告知质疑人不予受理。</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35.16  质疑的处理和答复</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35.17  采购方受理质疑后，将及时把质疑函发送给被质疑人，并要求其在一定限期内提交书面答复，同时提供有关证据、依据和相关材料。</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35.18  对于质疑事项中涉及的问题较多、情况比较复杂的，为了全面查清事实、取得充分的证据，采购方认为有必要时，可以进行调查取证或者组织质证。</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35.19  对评审过程、成交结果提出质疑的，采购方可以组织原评审委员会协助答复质疑。</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35.20  质疑处理过程中，质疑人书面申请撤回质疑的，将终止质疑处理程序。</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35.21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35.22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35.23  采购方将在正式受理质疑后7个工作日内作出答复。</w:t>
      </w:r>
    </w:p>
    <w:p>
      <w:pPr>
        <w:pStyle w:val="4"/>
        <w:spacing w:line="400" w:lineRule="exact"/>
        <w:rPr>
          <w:rFonts w:ascii="微软雅黑" w:hAnsi="微软雅黑" w:eastAsia="微软雅黑" w:cs="微软雅黑"/>
          <w:color w:val="auto"/>
        </w:rPr>
      </w:pPr>
      <w:r>
        <w:rPr>
          <w:rFonts w:hint="eastAsia" w:ascii="微软雅黑" w:hAnsi="微软雅黑" w:eastAsia="微软雅黑" w:cs="微软雅黑"/>
          <w:color w:val="auto"/>
        </w:rPr>
        <w:t>35.24  质疑答复应当包括下列内容：</w:t>
      </w:r>
    </w:p>
    <w:p>
      <w:pPr>
        <w:pStyle w:val="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（一）质疑人的姓名或者名称；</w:t>
      </w:r>
    </w:p>
    <w:p>
      <w:pPr>
        <w:pStyle w:val="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pPr>
        <w:pStyle w:val="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pPr>
        <w:pStyle w:val="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pPr>
        <w:pStyle w:val="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（五）质疑答复人名称；</w:t>
      </w:r>
    </w:p>
    <w:p>
      <w:pPr>
        <w:pStyle w:val="4"/>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（六）答复质疑的日期。</w:t>
      </w:r>
      <w:bookmarkStart w:id="265" w:name="_Toc16553"/>
    </w:p>
    <w:p>
      <w:pPr>
        <w:pStyle w:val="4"/>
        <w:spacing w:line="400" w:lineRule="exact"/>
        <w:ind w:left="840" w:leftChars="400"/>
        <w:rPr>
          <w:rFonts w:hint="eastAsia" w:ascii="微软雅黑" w:hAnsi="微软雅黑" w:eastAsia="微软雅黑" w:cs="微软雅黑"/>
          <w:color w:val="auto"/>
        </w:rPr>
      </w:pPr>
    </w:p>
    <w:p>
      <w:pPr>
        <w:spacing w:line="400" w:lineRule="exact"/>
        <w:outlineLvl w:val="2"/>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质疑函范本</w:t>
      </w:r>
      <w:bookmarkEnd w:id="265"/>
    </w:p>
    <w:p>
      <w:pPr>
        <w:adjustRightInd w:val="0"/>
        <w:snapToGrid w:val="0"/>
        <w:spacing w:before="240" w:beforeLines="100" w:line="400" w:lineRule="exact"/>
        <w:rPr>
          <w:rFonts w:ascii="微软雅黑" w:hAnsi="微软雅黑" w:eastAsia="微软雅黑" w:cs="微软雅黑"/>
          <w:bCs/>
          <w:color w:val="auto"/>
          <w:sz w:val="24"/>
        </w:rPr>
      </w:pPr>
      <w:r>
        <w:rPr>
          <w:rFonts w:hint="eastAsia" w:ascii="微软雅黑" w:hAnsi="微软雅黑" w:eastAsia="微软雅黑" w:cs="微软雅黑"/>
          <w:bCs/>
          <w:color w:val="auto"/>
          <w:sz w:val="24"/>
        </w:rPr>
        <w:t>一、质疑供应商基本信息</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质疑供应商：</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联系人：</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授权代表：</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地址： </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pPr>
        <w:adjustRightInd w:val="0"/>
        <w:snapToGrid w:val="0"/>
        <w:spacing w:before="240" w:beforeLines="100" w:line="400" w:lineRule="exact"/>
        <w:rPr>
          <w:rFonts w:ascii="微软雅黑" w:hAnsi="微软雅黑" w:eastAsia="微软雅黑" w:cs="微软雅黑"/>
          <w:bCs/>
          <w:color w:val="auto"/>
          <w:sz w:val="24"/>
        </w:rPr>
      </w:pPr>
      <w:r>
        <w:rPr>
          <w:rFonts w:hint="eastAsia" w:ascii="微软雅黑" w:hAnsi="微软雅黑" w:eastAsia="微软雅黑" w:cs="微软雅黑"/>
          <w:bCs/>
          <w:color w:val="auto"/>
          <w:sz w:val="24"/>
        </w:rPr>
        <w:t>二、质疑项目基本情况</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质疑项目的名称：</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质疑项目的编号：</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包号：</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采购人名称：</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采购文件获取日期：</w:t>
      </w:r>
      <w:r>
        <w:rPr>
          <w:rFonts w:hint="eastAsia" w:ascii="微软雅黑" w:hAnsi="微软雅黑" w:eastAsia="微软雅黑" w:cs="微软雅黑"/>
          <w:color w:val="auto"/>
          <w:sz w:val="24"/>
          <w:u w:val="dotted"/>
        </w:rPr>
        <w:t xml:space="preserve">                                           </w:t>
      </w:r>
    </w:p>
    <w:p>
      <w:pPr>
        <w:adjustRightInd w:val="0"/>
        <w:snapToGrid w:val="0"/>
        <w:spacing w:before="240" w:beforeLines="100" w:line="400" w:lineRule="exact"/>
        <w:rPr>
          <w:rFonts w:ascii="微软雅黑" w:hAnsi="微软雅黑" w:eastAsia="微软雅黑" w:cs="微软雅黑"/>
          <w:bCs/>
          <w:color w:val="auto"/>
          <w:sz w:val="24"/>
        </w:rPr>
      </w:pPr>
      <w:r>
        <w:rPr>
          <w:rFonts w:hint="eastAsia" w:ascii="微软雅黑" w:hAnsi="微软雅黑" w:eastAsia="微软雅黑" w:cs="微软雅黑"/>
          <w:bCs/>
          <w:color w:val="auto"/>
          <w:sz w:val="24"/>
        </w:rPr>
        <w:t>三、质疑事项具体内容</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质疑事项1：</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事实依据：</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法律依据：</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质疑事项2</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w:t>
      </w:r>
    </w:p>
    <w:p>
      <w:pPr>
        <w:adjustRightInd w:val="0"/>
        <w:snapToGrid w:val="0"/>
        <w:spacing w:before="240" w:beforeLines="100" w:line="400" w:lineRule="exact"/>
        <w:rPr>
          <w:rFonts w:ascii="微软雅黑" w:hAnsi="微软雅黑" w:eastAsia="微软雅黑" w:cs="微软雅黑"/>
          <w:bCs/>
          <w:color w:val="auto"/>
          <w:sz w:val="24"/>
        </w:rPr>
      </w:pPr>
      <w:r>
        <w:rPr>
          <w:rFonts w:hint="eastAsia" w:ascii="微软雅黑" w:hAnsi="微软雅黑" w:eastAsia="微软雅黑" w:cs="微软雅黑"/>
          <w:bCs/>
          <w:color w:val="auto"/>
          <w:sz w:val="24"/>
        </w:rPr>
        <w:t>四、与质疑事项相关的质疑请求</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请求：</w:t>
      </w:r>
      <w:r>
        <w:rPr>
          <w:rFonts w:hint="eastAsia" w:ascii="微软雅黑" w:hAnsi="微软雅黑" w:eastAsia="微软雅黑" w:cs="微软雅黑"/>
          <w:color w:val="auto"/>
          <w:sz w:val="24"/>
          <w:u w:val="dotted"/>
        </w:rPr>
        <w:t xml:space="preserve">                                               </w:t>
      </w:r>
    </w:p>
    <w:p>
      <w:pPr>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签字(签章)：                   公章：                      </w:t>
      </w:r>
    </w:p>
    <w:p>
      <w:pPr>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pPr>
        <w:spacing w:line="400" w:lineRule="exact"/>
        <w:rPr>
          <w:rFonts w:ascii="微软雅黑" w:hAnsi="微软雅黑" w:eastAsia="微软雅黑" w:cs="微软雅黑"/>
          <w:b/>
          <w:color w:val="auto"/>
          <w:sz w:val="24"/>
        </w:rPr>
      </w:pPr>
    </w:p>
    <w:p>
      <w:pPr>
        <w:spacing w:line="400" w:lineRule="exact"/>
        <w:rPr>
          <w:rFonts w:ascii="微软雅黑" w:hAnsi="微软雅黑" w:eastAsia="微软雅黑" w:cs="微软雅黑"/>
          <w:b/>
          <w:color w:val="auto"/>
          <w:sz w:val="24"/>
        </w:rPr>
      </w:pPr>
      <w:r>
        <w:rPr>
          <w:rFonts w:hint="eastAsia" w:ascii="微软雅黑" w:hAnsi="微软雅黑" w:eastAsia="微软雅黑" w:cs="微软雅黑"/>
          <w:b/>
          <w:color w:val="auto"/>
          <w:sz w:val="24"/>
        </w:rPr>
        <w:t>质疑函制作说明：</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1.供应商提出质疑时，应提交质疑函和必要的证明材料。</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3.质疑供应商若对项目的某一分包进行质疑，质疑函中应列明具体分包号。</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4.质疑函的质疑事项应具体、明确，并有必要的事实依据和法律依据。</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5.质疑函的质疑请求应与质疑事项相关。</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6.质疑供应商为自然人的，质疑函应由本人签字；质疑供应商为法人或者其他组织的，质疑函应由法定代表人、主要负责人，或者其授权代表签字或者盖章，并加盖公章。</w:t>
      </w:r>
    </w:p>
    <w:p>
      <w:pPr>
        <w:spacing w:line="240" w:lineRule="atLeast"/>
        <w:rPr>
          <w:rFonts w:ascii="微软雅黑" w:hAnsi="微软雅黑" w:eastAsia="微软雅黑" w:cs="微软雅黑"/>
          <w:color w:val="auto"/>
          <w:sz w:val="24"/>
        </w:rPr>
      </w:pPr>
    </w:p>
    <w:p>
      <w:pPr>
        <w:pStyle w:val="11"/>
        <w:spacing w:line="240" w:lineRule="atLeast"/>
        <w:ind w:firstLine="0"/>
        <w:rPr>
          <w:rFonts w:ascii="微软雅黑" w:hAnsi="微软雅黑" w:eastAsia="微软雅黑" w:cs="微软雅黑"/>
          <w:color w:val="auto"/>
          <w:kern w:val="2"/>
          <w:szCs w:val="24"/>
        </w:rPr>
      </w:pPr>
    </w:p>
    <w:p>
      <w:pPr>
        <w:rPr>
          <w:rFonts w:ascii="微软雅黑" w:hAnsi="微软雅黑" w:eastAsia="微软雅黑" w:cs="微软雅黑"/>
          <w:color w:val="auto"/>
        </w:rPr>
      </w:pPr>
    </w:p>
    <w:p>
      <w:pPr>
        <w:pStyle w:val="36"/>
        <w:ind w:firstLine="480"/>
        <w:rPr>
          <w:color w:val="auto"/>
        </w:rPr>
      </w:pPr>
    </w:p>
    <w:p>
      <w:pPr>
        <w:pStyle w:val="11"/>
        <w:spacing w:line="240" w:lineRule="atLeast"/>
        <w:ind w:firstLine="0"/>
        <w:rPr>
          <w:rFonts w:ascii="微软雅黑" w:hAnsi="微软雅黑" w:eastAsia="微软雅黑" w:cs="微软雅黑"/>
          <w:color w:val="auto"/>
          <w:kern w:val="2"/>
          <w:szCs w:val="24"/>
        </w:rPr>
      </w:pPr>
    </w:p>
    <w:p>
      <w:pPr>
        <w:pStyle w:val="36"/>
        <w:ind w:firstLine="0" w:firstLineChars="0"/>
        <w:rPr>
          <w:rFonts w:ascii="微软雅黑" w:hAnsi="微软雅黑" w:eastAsia="微软雅黑" w:cs="微软雅黑"/>
          <w:color w:val="auto"/>
        </w:rPr>
      </w:pPr>
    </w:p>
    <w:p>
      <w:pPr>
        <w:pStyle w:val="36"/>
        <w:ind w:firstLine="0" w:firstLineChars="0"/>
        <w:rPr>
          <w:rFonts w:ascii="微软雅黑" w:hAnsi="微软雅黑" w:eastAsia="微软雅黑" w:cs="微软雅黑"/>
          <w:color w:val="auto"/>
        </w:rPr>
      </w:pPr>
    </w:p>
    <w:p>
      <w:pPr>
        <w:pStyle w:val="36"/>
        <w:ind w:firstLine="0" w:firstLineChars="0"/>
        <w:rPr>
          <w:rFonts w:ascii="微软雅黑" w:hAnsi="微软雅黑" w:eastAsia="微软雅黑" w:cs="微软雅黑"/>
          <w:color w:val="auto"/>
        </w:rPr>
      </w:pPr>
    </w:p>
    <w:p>
      <w:pPr>
        <w:pStyle w:val="36"/>
        <w:ind w:firstLine="0" w:firstLineChars="0"/>
        <w:rPr>
          <w:rFonts w:ascii="微软雅黑" w:hAnsi="微软雅黑" w:eastAsia="微软雅黑" w:cs="微软雅黑"/>
          <w:color w:val="auto"/>
        </w:rPr>
      </w:pPr>
    </w:p>
    <w:p>
      <w:pPr>
        <w:pStyle w:val="5"/>
        <w:spacing w:before="0" w:after="0" w:line="240" w:lineRule="atLeast"/>
        <w:rPr>
          <w:rFonts w:ascii="微软雅黑" w:hAnsi="微软雅黑" w:eastAsia="微软雅黑" w:cs="微软雅黑"/>
          <w:color w:val="auto"/>
          <w:sz w:val="24"/>
        </w:rPr>
      </w:pPr>
      <w:bookmarkStart w:id="266" w:name="_Toc515647802"/>
      <w:bookmarkStart w:id="267" w:name="_Toc702"/>
      <w:bookmarkStart w:id="268" w:name="_Toc2566"/>
      <w:bookmarkStart w:id="269" w:name="_Toc728"/>
      <w:bookmarkStart w:id="270" w:name="_Toc216582812"/>
      <w:r>
        <w:rPr>
          <w:rFonts w:hint="eastAsia" w:ascii="微软雅黑" w:hAnsi="微软雅黑" w:eastAsia="微软雅黑" w:cs="微软雅黑"/>
          <w:color w:val="auto"/>
          <w:sz w:val="24"/>
          <w:szCs w:val="24"/>
        </w:rPr>
        <w:t>第2章 响应文件格式</w:t>
      </w:r>
      <w:bookmarkEnd w:id="266"/>
      <w:bookmarkEnd w:id="267"/>
      <w:bookmarkEnd w:id="268"/>
      <w:bookmarkEnd w:id="269"/>
      <w:bookmarkEnd w:id="270"/>
    </w:p>
    <w:p>
      <w:pPr>
        <w:pStyle w:val="6"/>
        <w:spacing w:before="0" w:line="240" w:lineRule="atLeast"/>
        <w:ind w:left="1080" w:leftChars="257" w:hanging="540"/>
        <w:rPr>
          <w:rFonts w:ascii="微软雅黑" w:hAnsi="微软雅黑" w:eastAsia="微软雅黑" w:cs="微软雅黑"/>
          <w:color w:val="auto"/>
          <w:sz w:val="24"/>
        </w:rPr>
      </w:pPr>
      <w:bookmarkStart w:id="271" w:name="_Toc19961"/>
      <w:bookmarkStart w:id="272" w:name="_Toc515647803"/>
      <w:bookmarkStart w:id="273" w:name="_Toc18974"/>
      <w:bookmarkStart w:id="274" w:name="_Toc3315"/>
      <w:bookmarkStart w:id="275" w:name="_Toc18694"/>
      <w:bookmarkStart w:id="276" w:name="_Toc1126"/>
      <w:bookmarkStart w:id="277" w:name="_Toc26489"/>
      <w:r>
        <w:rPr>
          <w:rFonts w:hint="eastAsia" w:ascii="微软雅黑" w:hAnsi="微软雅黑" w:eastAsia="微软雅黑" w:cs="微软雅黑"/>
          <w:color w:val="auto"/>
          <w:sz w:val="24"/>
          <w:szCs w:val="24"/>
        </w:rPr>
        <w:t>第一部分 磋商开启一览表及资格证明文件</w:t>
      </w:r>
      <w:bookmarkEnd w:id="271"/>
      <w:bookmarkEnd w:id="272"/>
      <w:bookmarkEnd w:id="273"/>
      <w:bookmarkEnd w:id="274"/>
      <w:bookmarkEnd w:id="275"/>
      <w:bookmarkEnd w:id="276"/>
      <w:bookmarkEnd w:id="277"/>
    </w:p>
    <w:p>
      <w:pPr>
        <w:tabs>
          <w:tab w:val="left" w:pos="5580"/>
        </w:tabs>
        <w:spacing w:line="36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1.磋商报价一览表;</w:t>
      </w:r>
    </w:p>
    <w:p>
      <w:pPr>
        <w:spacing w:line="460" w:lineRule="exact"/>
        <w:ind w:firstLine="480" w:firstLineChars="200"/>
        <w:rPr>
          <w:rFonts w:hint="eastAsia" w:ascii="微软雅黑" w:hAnsi="微软雅黑" w:eastAsia="微软雅黑" w:cs="微软雅黑"/>
          <w:color w:val="2D04FC"/>
          <w:kern w:val="0"/>
          <w:sz w:val="24"/>
        </w:rPr>
      </w:pPr>
      <w:r>
        <w:rPr>
          <w:rFonts w:hint="eastAsia" w:ascii="微软雅黑" w:hAnsi="微软雅黑" w:eastAsia="微软雅黑" w:cs="微软雅黑"/>
          <w:color w:val="2D04FC"/>
          <w:kern w:val="0"/>
          <w:sz w:val="24"/>
        </w:rPr>
        <w:t>2.具有有效的独立法人营业执照</w:t>
      </w:r>
      <w:r>
        <w:rPr>
          <w:rFonts w:hint="eastAsia" w:ascii="微软雅黑" w:hAnsi="微软雅黑" w:eastAsia="微软雅黑" w:cs="微软雅黑"/>
          <w:color w:val="2D04FC"/>
          <w:kern w:val="0"/>
          <w:sz w:val="24"/>
          <w:lang w:val="en-US" w:eastAsia="zh-CN"/>
        </w:rPr>
        <w:t>复印件</w:t>
      </w:r>
      <w:r>
        <w:rPr>
          <w:rFonts w:hint="eastAsia" w:ascii="微软雅黑" w:hAnsi="微软雅黑" w:eastAsia="微软雅黑" w:cs="微软雅黑"/>
          <w:color w:val="2D04FC"/>
          <w:kern w:val="0"/>
          <w:sz w:val="24"/>
        </w:rPr>
        <w:t>；</w:t>
      </w:r>
    </w:p>
    <w:p>
      <w:pPr>
        <w:pStyle w:val="2"/>
        <w:ind w:firstLine="480" w:firstLineChars="200"/>
        <w:rPr>
          <w:rFonts w:hint="eastAsia" w:ascii="微软雅黑" w:hAnsi="微软雅黑" w:eastAsia="微软雅黑" w:cs="微软雅黑"/>
          <w:color w:val="2D04FC"/>
          <w:kern w:val="0"/>
          <w:sz w:val="24"/>
          <w:lang w:val="en-US" w:eastAsia="zh-CN"/>
        </w:rPr>
      </w:pPr>
      <w:r>
        <w:rPr>
          <w:rFonts w:hint="eastAsia" w:ascii="微软雅黑" w:hAnsi="微软雅黑" w:eastAsia="微软雅黑" w:cs="微软雅黑"/>
          <w:color w:val="2D04FC"/>
          <w:kern w:val="0"/>
          <w:sz w:val="24"/>
          <w:lang w:val="en-US" w:eastAsia="zh-CN"/>
        </w:rPr>
        <w:t>3.良好的商业信誉和健全的财务会计制度证明材料（会计师事务所出具的上年度财务审计报告书原件或影印件；新办企业需提供银行资信证明原件）；</w:t>
      </w:r>
    </w:p>
    <w:p>
      <w:pPr>
        <w:pStyle w:val="2"/>
        <w:ind w:firstLine="480" w:firstLineChars="200"/>
        <w:rPr>
          <w:rFonts w:hint="eastAsia" w:ascii="微软雅黑" w:hAnsi="微软雅黑" w:eastAsia="微软雅黑" w:cs="微软雅黑"/>
          <w:color w:val="2D04FC"/>
          <w:kern w:val="0"/>
          <w:sz w:val="24"/>
          <w:lang w:val="en-US" w:eastAsia="zh-CN"/>
        </w:rPr>
      </w:pPr>
      <w:r>
        <w:rPr>
          <w:rFonts w:hint="eastAsia" w:ascii="微软雅黑" w:hAnsi="微软雅黑" w:eastAsia="微软雅黑" w:cs="微软雅黑"/>
          <w:color w:val="2D04FC"/>
          <w:kern w:val="0"/>
          <w:sz w:val="24"/>
          <w:lang w:val="en-US" w:eastAsia="zh-CN"/>
        </w:rPr>
        <w:t>4.法定代表人授权书及被委托人身份证（法定代表人投标提供法定代表人身份证明及身份证），提供在本单位缴纳的近连续3个月社保缴纳证明、退休人员提供退休证明；</w:t>
      </w:r>
    </w:p>
    <w:p>
      <w:pPr>
        <w:pStyle w:val="2"/>
        <w:ind w:firstLine="480" w:firstLineChars="200"/>
        <w:rPr>
          <w:rFonts w:hint="eastAsia" w:ascii="微软雅黑" w:hAnsi="微软雅黑" w:eastAsia="微软雅黑" w:cs="微软雅黑"/>
          <w:color w:val="2D04FC"/>
          <w:kern w:val="0"/>
          <w:sz w:val="24"/>
          <w:lang w:val="en-US" w:eastAsia="zh-CN"/>
        </w:rPr>
      </w:pPr>
      <w:r>
        <w:rPr>
          <w:rFonts w:hint="eastAsia" w:ascii="微软雅黑" w:hAnsi="微软雅黑" w:eastAsia="微软雅黑" w:cs="微软雅黑"/>
          <w:color w:val="2D04FC"/>
          <w:kern w:val="0"/>
          <w:sz w:val="24"/>
          <w:lang w:val="en-US" w:eastAsia="zh-CN"/>
        </w:rPr>
        <w:t>5.具有税务局开具依法缴纳近连续3个月税收证明的良好记录（完税证明）；</w:t>
      </w:r>
    </w:p>
    <w:p>
      <w:pPr>
        <w:pStyle w:val="2"/>
        <w:ind w:firstLine="480" w:firstLineChars="200"/>
        <w:rPr>
          <w:rFonts w:hint="eastAsia" w:ascii="微软雅黑" w:hAnsi="微软雅黑" w:eastAsia="微软雅黑" w:cs="微软雅黑"/>
          <w:color w:val="2D04FC"/>
          <w:kern w:val="0"/>
          <w:sz w:val="24"/>
          <w:lang w:val="en-US" w:eastAsia="zh-CN"/>
        </w:rPr>
      </w:pPr>
      <w:r>
        <w:rPr>
          <w:rFonts w:hint="eastAsia" w:ascii="微软雅黑" w:hAnsi="微软雅黑" w:eastAsia="微软雅黑" w:cs="微软雅黑"/>
          <w:color w:val="2D04FC"/>
          <w:kern w:val="0"/>
          <w:sz w:val="24"/>
          <w:lang w:val="en-US" w:eastAsia="zh-CN"/>
        </w:rPr>
        <w:t>6.参加政府采购活动前3年内在经营活动中没有重大违法记录的书面声明；</w:t>
      </w:r>
    </w:p>
    <w:p>
      <w:pPr>
        <w:pStyle w:val="2"/>
        <w:ind w:firstLine="480" w:firstLineChars="200"/>
        <w:rPr>
          <w:rFonts w:hint="eastAsia" w:ascii="微软雅黑" w:hAnsi="微软雅黑" w:eastAsia="微软雅黑" w:cs="微软雅黑"/>
          <w:color w:val="2D04FC"/>
          <w:kern w:val="0"/>
          <w:sz w:val="24"/>
          <w:lang w:val="en-US" w:eastAsia="zh-CN"/>
        </w:rPr>
      </w:pPr>
      <w:r>
        <w:rPr>
          <w:rFonts w:hint="eastAsia" w:ascii="微软雅黑" w:hAnsi="微软雅黑" w:eastAsia="微软雅黑" w:cs="微软雅黑"/>
          <w:color w:val="2D04FC"/>
          <w:kern w:val="0"/>
          <w:sz w:val="24"/>
          <w:lang w:val="en-US" w:eastAsia="zh-CN"/>
        </w:rPr>
        <w:t>7.提供 “信用中国”网站（http://www.creditchina.gov.cn/）和中国政府采购网（www.ccgp.gov.cn）无违法违规行为的查询纪录（提供查询结果网页截图并加盖单位公章；提供截图日期需在本项目领取招标文件期内）；投标人存在不良信用记录的或被列入失信被执行人、重大税收违法案件当事人名单的，其投标将被认定为投标无效）；</w:t>
      </w:r>
    </w:p>
    <w:p>
      <w:pPr>
        <w:pStyle w:val="2"/>
        <w:ind w:firstLine="480" w:firstLineChars="200"/>
        <w:rPr>
          <w:rFonts w:hint="eastAsia" w:ascii="微软雅黑" w:hAnsi="微软雅黑" w:eastAsia="微软雅黑" w:cs="微软雅黑"/>
          <w:color w:val="2D04FC"/>
          <w:kern w:val="0"/>
          <w:sz w:val="24"/>
          <w:lang w:val="en-US" w:eastAsia="zh-CN"/>
        </w:rPr>
      </w:pPr>
      <w:r>
        <w:rPr>
          <w:rFonts w:hint="eastAsia" w:ascii="微软雅黑" w:hAnsi="微软雅黑" w:eastAsia="微软雅黑" w:cs="微软雅黑"/>
          <w:color w:val="2D04FC"/>
          <w:kern w:val="0"/>
          <w:sz w:val="24"/>
          <w:lang w:val="en-US" w:eastAsia="zh-CN"/>
        </w:rPr>
        <w:t>8.提供针对本项目的《反商业贿赂承诺书》。</w:t>
      </w:r>
    </w:p>
    <w:p>
      <w:pPr>
        <w:pStyle w:val="2"/>
        <w:ind w:firstLine="480" w:firstLineChars="200"/>
        <w:rPr>
          <w:rFonts w:hint="eastAsia" w:ascii="微软雅黑" w:hAnsi="微软雅黑" w:eastAsia="微软雅黑" w:cs="微软雅黑"/>
          <w:color w:val="2D04FC"/>
          <w:kern w:val="0"/>
          <w:sz w:val="24"/>
          <w:lang w:val="en-US" w:eastAsia="zh-CN"/>
        </w:rPr>
      </w:pPr>
      <w:r>
        <w:rPr>
          <w:rFonts w:hint="eastAsia" w:ascii="微软雅黑" w:hAnsi="微软雅黑" w:eastAsia="微软雅黑" w:cs="微软雅黑"/>
          <w:color w:val="2D04FC"/>
          <w:kern w:val="0"/>
          <w:sz w:val="24"/>
          <w:lang w:val="en-US" w:eastAsia="zh-CN"/>
        </w:rPr>
        <w:t>9.磋商保证金缴纳有效证明。</w:t>
      </w:r>
    </w:p>
    <w:p>
      <w:pPr>
        <w:pStyle w:val="2"/>
        <w:ind w:firstLine="480" w:firstLineChars="200"/>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10.</w:t>
      </w:r>
      <w:r>
        <w:rPr>
          <w:rFonts w:hint="eastAsia" w:ascii="微软雅黑" w:hAnsi="微软雅黑" w:eastAsia="微软雅黑" w:cs="微软雅黑"/>
          <w:color w:val="auto"/>
          <w:kern w:val="0"/>
          <w:sz w:val="24"/>
        </w:rPr>
        <w:t>提供有利于磋商的其他证明材料;</w:t>
      </w:r>
    </w:p>
    <w:p>
      <w:pPr>
        <w:pStyle w:val="2"/>
        <w:rPr>
          <w:rFonts w:hint="eastAsia" w:ascii="微软雅黑" w:hAnsi="微软雅黑" w:eastAsia="微软雅黑" w:cs="微软雅黑"/>
          <w:color w:val="auto"/>
          <w:kern w:val="0"/>
          <w:sz w:val="24"/>
        </w:rPr>
      </w:pPr>
    </w:p>
    <w:p>
      <w:pPr>
        <w:pStyle w:val="2"/>
        <w:rPr>
          <w:rFonts w:hint="eastAsia" w:ascii="微软雅黑" w:hAnsi="微软雅黑" w:eastAsia="微软雅黑" w:cs="微软雅黑"/>
          <w:color w:val="auto"/>
          <w:kern w:val="0"/>
          <w:sz w:val="24"/>
        </w:rPr>
      </w:pPr>
    </w:p>
    <w:p>
      <w:pPr>
        <w:pStyle w:val="2"/>
        <w:rPr>
          <w:rFonts w:hint="eastAsia" w:ascii="微软雅黑" w:hAnsi="微软雅黑" w:eastAsia="微软雅黑" w:cs="微软雅黑"/>
          <w:color w:val="auto"/>
          <w:kern w:val="0"/>
          <w:sz w:val="24"/>
        </w:rPr>
      </w:pPr>
    </w:p>
    <w:p>
      <w:pPr>
        <w:pStyle w:val="2"/>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 xml:space="preserve">     </w:t>
      </w:r>
    </w:p>
    <w:p>
      <w:pPr>
        <w:pStyle w:val="2"/>
        <w:rPr>
          <w:rFonts w:hint="default" w:ascii="微软雅黑" w:hAnsi="微软雅黑" w:eastAsia="微软雅黑" w:cs="微软雅黑"/>
          <w:color w:val="auto"/>
          <w:kern w:val="0"/>
          <w:sz w:val="24"/>
          <w:lang w:val="en-US" w:eastAsia="zh-CN"/>
        </w:rPr>
      </w:pPr>
    </w:p>
    <w:p>
      <w:pPr>
        <w:pStyle w:val="2"/>
        <w:rPr>
          <w:rFonts w:hint="eastAsia" w:ascii="微软雅黑" w:hAnsi="微软雅黑" w:eastAsia="微软雅黑" w:cs="微软雅黑"/>
          <w:color w:val="auto"/>
          <w:kern w:val="0"/>
          <w:sz w:val="24"/>
        </w:rPr>
      </w:pPr>
    </w:p>
    <w:p>
      <w:pPr>
        <w:pStyle w:val="36"/>
        <w:ind w:left="0" w:leftChars="0" w:firstLine="0" w:firstLineChars="0"/>
        <w:rPr>
          <w:rFonts w:ascii="微软雅黑" w:hAnsi="微软雅黑" w:eastAsia="微软雅黑" w:cs="微软雅黑"/>
          <w:color w:val="auto"/>
        </w:rPr>
      </w:pPr>
    </w:p>
    <w:p>
      <w:pPr>
        <w:tabs>
          <w:tab w:val="left" w:pos="5580"/>
        </w:tabs>
        <w:spacing w:line="240" w:lineRule="atLeast"/>
        <w:jc w:val="left"/>
        <w:rPr>
          <w:rFonts w:ascii="微软雅黑" w:hAnsi="微软雅黑" w:eastAsia="微软雅黑" w:cs="微软雅黑"/>
          <w:color w:val="auto"/>
          <w:sz w:val="24"/>
        </w:rPr>
      </w:pPr>
    </w:p>
    <w:p>
      <w:pPr>
        <w:pStyle w:val="6"/>
        <w:spacing w:before="0" w:line="240" w:lineRule="atLeast"/>
        <w:jc w:val="both"/>
        <w:rPr>
          <w:rFonts w:ascii="微软雅黑" w:hAnsi="微软雅黑" w:eastAsia="微软雅黑" w:cs="微软雅黑"/>
          <w:color w:val="auto"/>
          <w:sz w:val="24"/>
          <w:szCs w:val="24"/>
        </w:rPr>
      </w:pPr>
      <w:bookmarkStart w:id="278" w:name="_Toc26846"/>
      <w:bookmarkStart w:id="279" w:name="_Toc16568"/>
      <w:bookmarkStart w:id="280" w:name="_Toc21484"/>
      <w:bookmarkStart w:id="281" w:name="_Toc22539"/>
      <w:bookmarkStart w:id="282" w:name="_Toc31089"/>
      <w:bookmarkStart w:id="283" w:name="_Toc4431"/>
      <w:bookmarkStart w:id="284" w:name="_Toc11138"/>
      <w:bookmarkStart w:id="285" w:name="_Toc515647804"/>
      <w:bookmarkStart w:id="286" w:name="_Toc21614"/>
      <w:bookmarkStart w:id="287" w:name="_Toc16750"/>
      <w:bookmarkStart w:id="288" w:name="_Toc18477"/>
      <w:bookmarkStart w:id="289" w:name="_Toc17198"/>
      <w:bookmarkStart w:id="290" w:name="_Toc14118"/>
      <w:bookmarkStart w:id="291" w:name="_Toc30524"/>
      <w:bookmarkStart w:id="292" w:name="_Toc30630"/>
      <w:bookmarkStart w:id="293" w:name="_Toc3620"/>
      <w:bookmarkStart w:id="294" w:name="_Toc480942349"/>
      <w:bookmarkStart w:id="295" w:name="_Ref467988698"/>
      <w:bookmarkStart w:id="296" w:name="_Toc520356217"/>
      <w:bookmarkStart w:id="297" w:name="_Toc216582813"/>
      <w:r>
        <w:rPr>
          <w:rFonts w:hint="eastAsia" w:ascii="微软雅黑" w:hAnsi="微软雅黑" w:eastAsia="微软雅黑" w:cs="微软雅黑"/>
          <w:color w:val="auto"/>
          <w:sz w:val="24"/>
          <w:szCs w:val="24"/>
        </w:rPr>
        <w:t>1 磋商报价一览表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pStyle w:val="11"/>
        <w:tabs>
          <w:tab w:val="left" w:pos="5580"/>
        </w:tabs>
        <w:spacing w:line="240" w:lineRule="atLeast"/>
        <w:ind w:left="1080" w:leftChars="257" w:hanging="540"/>
        <w:jc w:val="center"/>
        <w:rPr>
          <w:rFonts w:ascii="微软雅黑" w:hAnsi="微软雅黑" w:eastAsia="微软雅黑" w:cs="微软雅黑"/>
          <w:color w:val="auto"/>
          <w:szCs w:val="24"/>
        </w:rPr>
      </w:pPr>
      <w:bookmarkStart w:id="298" w:name="_Hlt520356241"/>
      <w:bookmarkEnd w:id="298"/>
      <w:bookmarkStart w:id="299" w:name="_Toc494296984"/>
      <w:r>
        <w:rPr>
          <w:rFonts w:hint="eastAsia" w:ascii="微软雅黑" w:hAnsi="微软雅黑" w:eastAsia="微软雅黑" w:cs="微软雅黑"/>
          <w:b/>
          <w:color w:val="auto"/>
          <w:szCs w:val="24"/>
        </w:rPr>
        <w:t>磋商报价一览表</w:t>
      </w:r>
    </w:p>
    <w:p>
      <w:pPr>
        <w:tabs>
          <w:tab w:val="left" w:pos="1800"/>
          <w:tab w:val="left" w:pos="5580"/>
        </w:tabs>
        <w:spacing w:line="240" w:lineRule="atLeast"/>
        <w:ind w:left="1080" w:leftChars="257" w:right="-867" w:rightChars="-413" w:hanging="54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招标编号：                 包号：         </w:t>
      </w:r>
    </w:p>
    <w:p>
      <w:pPr>
        <w:tabs>
          <w:tab w:val="left" w:pos="1800"/>
          <w:tab w:val="left" w:pos="5580"/>
        </w:tabs>
        <w:spacing w:line="240" w:lineRule="atLeast"/>
        <w:ind w:left="1080" w:leftChars="257" w:right="-867" w:rightChars="-413" w:hanging="54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报价单位：人民币  </w:t>
      </w:r>
      <w:r>
        <w:rPr>
          <w:rFonts w:hint="eastAsia" w:ascii="微软雅黑" w:hAnsi="微软雅黑" w:eastAsia="微软雅黑" w:cs="微软雅黑"/>
          <w:b/>
          <w:color w:val="auto"/>
          <w:sz w:val="24"/>
        </w:rPr>
        <w:t>元</w:t>
      </w:r>
    </w:p>
    <w:tbl>
      <w:tblPr>
        <w:tblStyle w:val="37"/>
        <w:tblW w:w="8407" w:type="dxa"/>
        <w:tblInd w:w="-395" w:type="dxa"/>
        <w:tblLayout w:type="fixed"/>
        <w:tblCellMar>
          <w:top w:w="0" w:type="dxa"/>
          <w:left w:w="0" w:type="dxa"/>
          <w:bottom w:w="0" w:type="dxa"/>
          <w:right w:w="0" w:type="dxa"/>
        </w:tblCellMar>
      </w:tblPr>
      <w:tblGrid>
        <w:gridCol w:w="1380"/>
        <w:gridCol w:w="2325"/>
        <w:gridCol w:w="1550"/>
        <w:gridCol w:w="1494"/>
        <w:gridCol w:w="1658"/>
      </w:tblGrid>
      <w:tr>
        <w:trPr>
          <w:trHeight w:val="839" w:hRule="atLeast"/>
        </w:trPr>
        <w:tc>
          <w:tcPr>
            <w:tcW w:w="138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项目</w:t>
            </w:r>
            <w:r>
              <w:rPr>
                <w:rFonts w:hint="eastAsia" w:ascii="微软雅黑" w:hAnsi="微软雅黑" w:eastAsia="微软雅黑" w:cs="微软雅黑"/>
                <w:color w:val="auto"/>
                <w:sz w:val="24"/>
              </w:rPr>
              <w:t>名称</w:t>
            </w:r>
          </w:p>
        </w:tc>
        <w:tc>
          <w:tcPr>
            <w:tcW w:w="232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磋商总价</w:t>
            </w:r>
          </w:p>
        </w:tc>
        <w:tc>
          <w:tcPr>
            <w:tcW w:w="155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磋商保证金</w:t>
            </w:r>
          </w:p>
        </w:tc>
        <w:tc>
          <w:tcPr>
            <w:tcW w:w="149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履约期</w:t>
            </w:r>
            <w:r>
              <w:rPr>
                <w:rFonts w:hint="eastAsia" w:ascii="微软雅黑" w:hAnsi="微软雅黑" w:eastAsia="微软雅黑" w:cs="微软雅黑"/>
                <w:color w:val="auto"/>
                <w:sz w:val="24"/>
                <w:lang w:val="en-US" w:eastAsia="zh-CN"/>
              </w:rPr>
              <w:t>限</w:t>
            </w:r>
          </w:p>
        </w:tc>
        <w:tc>
          <w:tcPr>
            <w:tcW w:w="1658"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tblPrEx>
          <w:tblCellMar>
            <w:top w:w="0" w:type="dxa"/>
            <w:left w:w="0" w:type="dxa"/>
            <w:bottom w:w="0" w:type="dxa"/>
            <w:right w:w="0" w:type="dxa"/>
          </w:tblCellMar>
        </w:tblPrEx>
        <w:trPr>
          <w:cantSplit/>
          <w:trHeight w:val="1661" w:hRule="atLeast"/>
        </w:trPr>
        <w:tc>
          <w:tcPr>
            <w:tcW w:w="138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2325"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大写：</w:t>
            </w:r>
          </w:p>
          <w:p>
            <w:pPr>
              <w:tabs>
                <w:tab w:val="left" w:pos="5580"/>
              </w:tabs>
              <w:spacing w:line="240" w:lineRule="atLeast"/>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小写：</w:t>
            </w:r>
          </w:p>
        </w:tc>
        <w:tc>
          <w:tcPr>
            <w:tcW w:w="1550"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1494"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1658"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r>
    </w:tbl>
    <w:p>
      <w:pPr>
        <w:pStyle w:val="19"/>
        <w:tabs>
          <w:tab w:val="left" w:pos="5580"/>
        </w:tabs>
        <w:spacing w:line="240" w:lineRule="atLeast"/>
        <w:rPr>
          <w:rFonts w:ascii="微软雅黑" w:hAnsi="微软雅黑" w:eastAsia="微软雅黑" w:cs="微软雅黑"/>
          <w:color w:val="auto"/>
          <w:sz w:val="24"/>
          <w:szCs w:val="24"/>
          <w:u w:val="single"/>
        </w:rPr>
      </w:pP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rPr>
        <w:t xml:space="preserve">                       </w:t>
      </w:r>
    </w:p>
    <w:p>
      <w:pPr>
        <w:pStyle w:val="19"/>
        <w:tabs>
          <w:tab w:val="left" w:pos="558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法定代表人或委托代理(签字):</w:t>
      </w:r>
      <w:r>
        <w:rPr>
          <w:rFonts w:hint="eastAsia" w:ascii="微软雅黑" w:hAnsi="微软雅黑" w:eastAsia="微软雅黑" w:cs="微软雅黑"/>
          <w:color w:val="auto"/>
          <w:sz w:val="24"/>
          <w:szCs w:val="24"/>
          <w:u w:val="single"/>
        </w:rPr>
        <w:tab/>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w:t>
      </w:r>
      <w:r>
        <w:rPr>
          <w:rFonts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rPr>
        <w:t>1、此表应按供应商须知的规定装订密封。</w:t>
      </w:r>
    </w:p>
    <w:p>
      <w:pPr>
        <w:pStyle w:val="19"/>
        <w:numPr>
          <w:ilvl w:val="0"/>
          <w:numId w:val="7"/>
        </w:numPr>
        <w:tabs>
          <w:tab w:val="left" w:pos="5580"/>
        </w:tabs>
        <w:spacing w:line="240" w:lineRule="atLeast"/>
        <w:ind w:left="1079" w:leftChars="428" w:hanging="180" w:hangingChars="75"/>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此表中，磋商总价应和磋商分项报价表的总价相一致。</w:t>
      </w:r>
    </w:p>
    <w:p>
      <w:pPr>
        <w:pStyle w:val="19"/>
        <w:numPr>
          <w:ilvl w:val="0"/>
          <w:numId w:val="7"/>
        </w:numPr>
        <w:tabs>
          <w:tab w:val="left" w:pos="5580"/>
        </w:tabs>
        <w:spacing w:line="240" w:lineRule="atLeast"/>
        <w:ind w:left="1079" w:leftChars="428" w:hanging="180" w:hangingChars="75"/>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磋商商报价时包含税费等一切与本次项目相关的费用。</w:t>
      </w:r>
    </w:p>
    <w:bookmarkEnd w:id="299"/>
    <w:p>
      <w:pPr>
        <w:pStyle w:val="19"/>
        <w:tabs>
          <w:tab w:val="left" w:pos="5580"/>
        </w:tabs>
        <w:spacing w:line="240" w:lineRule="atLeast"/>
        <w:rPr>
          <w:rFonts w:ascii="微软雅黑" w:hAnsi="微软雅黑" w:eastAsia="微软雅黑" w:cs="微软雅黑"/>
          <w:b/>
          <w:color w:val="auto"/>
          <w:sz w:val="24"/>
          <w:szCs w:val="24"/>
        </w:rPr>
      </w:pPr>
    </w:p>
    <w:p>
      <w:pPr>
        <w:spacing w:line="460" w:lineRule="exact"/>
        <w:outlineLvl w:val="1"/>
        <w:rPr>
          <w:rFonts w:hint="eastAsia" w:ascii="微软雅黑" w:hAnsi="微软雅黑" w:eastAsia="微软雅黑" w:cs="微软雅黑"/>
          <w:b/>
          <w:color w:val="auto"/>
          <w:kern w:val="0"/>
          <w:sz w:val="24"/>
        </w:rPr>
      </w:pPr>
      <w:bookmarkStart w:id="300" w:name="_Toc16516"/>
      <w:bookmarkStart w:id="301" w:name="_Toc16088"/>
      <w:bookmarkStart w:id="302" w:name="_Toc22089"/>
      <w:bookmarkStart w:id="303" w:name="_Toc8241"/>
    </w:p>
    <w:p>
      <w:pPr>
        <w:spacing w:line="460" w:lineRule="exact"/>
        <w:outlineLvl w:val="1"/>
        <w:rPr>
          <w:rFonts w:hint="eastAsia" w:ascii="微软雅黑" w:hAnsi="微软雅黑" w:eastAsia="微软雅黑" w:cs="微软雅黑"/>
          <w:b/>
          <w:color w:val="auto"/>
          <w:kern w:val="0"/>
          <w:sz w:val="24"/>
        </w:rPr>
      </w:pPr>
    </w:p>
    <w:p>
      <w:pPr>
        <w:spacing w:line="460" w:lineRule="exact"/>
        <w:outlineLvl w:val="1"/>
        <w:rPr>
          <w:rFonts w:ascii="微软雅黑" w:hAnsi="微软雅黑" w:eastAsia="微软雅黑" w:cs="微软雅黑"/>
          <w:color w:val="auto"/>
          <w:sz w:val="24"/>
        </w:rPr>
      </w:pPr>
      <w:r>
        <w:rPr>
          <w:rFonts w:hint="eastAsia" w:ascii="微软雅黑" w:hAnsi="微软雅黑" w:eastAsia="微软雅黑" w:cs="微软雅黑"/>
          <w:b/>
          <w:color w:val="auto"/>
          <w:kern w:val="0"/>
          <w:sz w:val="24"/>
        </w:rPr>
        <w:t xml:space="preserve">2 </w:t>
      </w:r>
      <w:bookmarkEnd w:id="300"/>
      <w:bookmarkEnd w:id="301"/>
      <w:bookmarkEnd w:id="302"/>
      <w:bookmarkEnd w:id="303"/>
      <w:r>
        <w:rPr>
          <w:rFonts w:hint="eastAsia" w:ascii="微软雅黑" w:hAnsi="微软雅黑" w:eastAsia="微软雅黑" w:cs="微软雅黑"/>
          <w:b/>
          <w:color w:val="auto"/>
          <w:kern w:val="0"/>
          <w:sz w:val="24"/>
        </w:rPr>
        <w:t>具有有效的独立法人营业执照；</w:t>
      </w:r>
    </w:p>
    <w:p>
      <w:pPr>
        <w:pStyle w:val="36"/>
        <w:ind w:left="0" w:leftChars="0" w:firstLine="0" w:firstLineChars="0"/>
        <w:rPr>
          <w:rFonts w:ascii="微软雅黑" w:hAnsi="微软雅黑" w:eastAsia="微软雅黑" w:cs="微软雅黑"/>
          <w:color w:val="auto"/>
        </w:rPr>
      </w:pPr>
    </w:p>
    <w:p>
      <w:pPr>
        <w:pStyle w:val="36"/>
        <w:ind w:left="0" w:leftChars="0" w:firstLine="0" w:firstLineChars="0"/>
        <w:rPr>
          <w:rFonts w:ascii="微软雅黑" w:hAnsi="微软雅黑" w:eastAsia="微软雅黑" w:cs="微软雅黑"/>
          <w:color w:val="auto"/>
        </w:rPr>
      </w:pPr>
    </w:p>
    <w:p>
      <w:pPr>
        <w:spacing w:line="360" w:lineRule="exact"/>
        <w:rPr>
          <w:rFonts w:hint="eastAsia" w:ascii="微软雅黑" w:hAnsi="微软雅黑" w:eastAsia="微软雅黑" w:cs="微软雅黑"/>
          <w:b/>
          <w:color w:val="0000FF"/>
          <w:kern w:val="0"/>
          <w:sz w:val="24"/>
          <w:lang w:val="en-US" w:eastAsia="zh-CN"/>
        </w:rPr>
      </w:pPr>
      <w:r>
        <w:rPr>
          <w:rFonts w:hint="eastAsia" w:ascii="微软雅黑" w:hAnsi="微软雅黑" w:eastAsia="微软雅黑" w:cs="微软雅黑"/>
          <w:b/>
          <w:color w:val="0000FF"/>
          <w:kern w:val="0"/>
          <w:sz w:val="24"/>
          <w:lang w:val="en-US" w:eastAsia="zh-CN"/>
        </w:rPr>
        <w:t>3 良好的商业信誉和健全的财务会计制度证明材料（会计师事务所出具的上年度财务审计报告书原件或影印件；新办企业需提供银行资信证明原件）；</w:t>
      </w:r>
    </w:p>
    <w:p>
      <w:pPr>
        <w:spacing w:line="360" w:lineRule="exact"/>
        <w:rPr>
          <w:rFonts w:hint="eastAsia" w:ascii="微软雅黑" w:hAnsi="微软雅黑" w:eastAsia="微软雅黑" w:cs="微软雅黑"/>
          <w:b/>
          <w:color w:val="0000FF"/>
          <w:kern w:val="0"/>
          <w:sz w:val="24"/>
          <w:lang w:val="en-US" w:eastAsia="zh-CN"/>
        </w:rPr>
      </w:pPr>
    </w:p>
    <w:p>
      <w:pPr>
        <w:spacing w:line="360" w:lineRule="exact"/>
        <w:rPr>
          <w:rFonts w:hint="eastAsia" w:ascii="微软雅黑" w:hAnsi="微软雅黑" w:eastAsia="微软雅黑" w:cs="微软雅黑"/>
          <w:b/>
          <w:color w:val="0000FF"/>
          <w:kern w:val="0"/>
          <w:sz w:val="24"/>
          <w:lang w:val="en-US" w:eastAsia="zh-CN"/>
        </w:rPr>
      </w:pPr>
    </w:p>
    <w:p>
      <w:pPr>
        <w:spacing w:line="360" w:lineRule="exact"/>
        <w:rPr>
          <w:rFonts w:hint="eastAsia" w:ascii="微软雅黑" w:hAnsi="微软雅黑" w:eastAsia="微软雅黑" w:cs="微软雅黑"/>
          <w:b/>
          <w:color w:val="0000FF"/>
          <w:kern w:val="0"/>
          <w:sz w:val="24"/>
          <w:lang w:val="en-US" w:eastAsia="zh-CN"/>
        </w:rPr>
      </w:pPr>
    </w:p>
    <w:p>
      <w:pPr>
        <w:adjustRightInd w:val="0"/>
        <w:snapToGrid w:val="0"/>
        <w:spacing w:before="240" w:beforeLines="100" w:after="240" w:afterLines="100"/>
        <w:rPr>
          <w:rFonts w:hint="eastAsia" w:ascii="微软雅黑" w:hAnsi="微软雅黑" w:eastAsia="微软雅黑" w:cs="微软雅黑"/>
          <w:b/>
          <w:color w:val="auto"/>
          <w:sz w:val="24"/>
        </w:rPr>
      </w:pPr>
      <w:r>
        <w:rPr>
          <w:rFonts w:hint="eastAsia" w:ascii="微软雅黑" w:hAnsi="微软雅黑" w:eastAsia="微软雅黑" w:cs="微软雅黑"/>
          <w:b/>
          <w:color w:val="0000FF"/>
          <w:kern w:val="0"/>
          <w:sz w:val="24"/>
          <w:lang w:val="en-US" w:eastAsia="zh-CN"/>
        </w:rPr>
        <w:t>4 法定代表人授权书及被委托人身份证（法定代表人投标提供法定代表人身份证明及身份证），提供在本单位缴纳的近连续3个月社保缴纳证明、退休人员提供退休证明；</w:t>
      </w:r>
    </w:p>
    <w:p>
      <w:pPr>
        <w:adjustRightInd w:val="0"/>
        <w:snapToGrid w:val="0"/>
        <w:spacing w:before="240" w:beforeLines="100" w:after="240" w:afterLines="100"/>
        <w:ind w:firstLine="2881" w:firstLineChars="1200"/>
        <w:rPr>
          <w:rFonts w:ascii="微软雅黑" w:hAnsi="微软雅黑" w:eastAsia="微软雅黑" w:cs="微软雅黑"/>
          <w:color w:val="auto"/>
          <w:sz w:val="24"/>
        </w:rPr>
      </w:pPr>
      <w:r>
        <w:rPr>
          <w:rFonts w:hint="eastAsia" w:ascii="微软雅黑" w:hAnsi="微软雅黑" w:eastAsia="微软雅黑" w:cs="微软雅黑"/>
          <w:b/>
          <w:color w:val="auto"/>
          <w:sz w:val="24"/>
        </w:rPr>
        <w:t>法定代表人身份证明</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同志，现任我单位          职务，为法定代表人，特此证明。</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签发日期：                  单位：         </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附：代表人性别：            年龄：           身份证号码：</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联系电话：</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营业执照号码：              经济性质：</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说明：</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1、法定代表人为企业事业单位、国家机关、社会团体的主要行政负责人。</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2、内容必须填写真实、清楚、涂改无效，不得转让。</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3、将此证明书原件提交采购代理机构作为谈判响应文件附件。</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(为避免废标，请供应商务必提供本附件)</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BwocrBMCAAASBAAADgAAAGRycy9lMm9Eb2MueG1srVPNjhMx&#10;DL4j8Q5R7nT6s10to05XaEu5IKi08ADuJJmJlD8l2c70BieEOPAAvMDeOHGFp1l+3gInLaULHBBi&#10;Dhk7sT/bn+3Zea8V2XAfpDUVHQ2GlHBTWyZNU9Hnz5b3zigJEQwDZQ2v6JYHej6/e2fWuZKPbWsV&#10;454giAll5yraxujKogh1yzWEgXXc4KOwXkNE1TcF89AhulbFeDg8LTrrmfO25iHg7WL3SOcZXwhe&#10;x6dCBB6JqijmFvPp87lOZzGfQdl4cK2s92nAP2ShQRoMeoBaQARy5eVvUFrW3gYr4qC2urBCyJrn&#10;GrCa0fCXai5bcDzXguQEd6Ap/D/Y+slm5Ylk2LsTSgxo7NHnDy+/XL+5efexJDdv33978frrp1d4&#10;QdAC6epcKNHr0q38Xgsoptp74XX6Y1WkzxRvDxTzPpIaL8eTyeR0PKWkxrfR9OxkggriFD/dnQ/x&#10;EbeaJKGiQtnuogUfH6jIvYHIV7t2Z75h8zjEnf8Pv5RCsEqypVQqK75ZXyhPNoBDsMzfPuQtM2VI&#10;V9H705wd4CwKBRET1Q7ZCabJ8W55hGPgYf7+BJwSW0BodwlkhGQGpZZYUZZaDuyhYSRuHTbA4KrQ&#10;lIzmjBLFcbOSlC0jSPU3lkioMikIz1uwZyk1b9euJMV+3SNoEteWbXEQrpyXTYusj3Ih6QUHL7dn&#10;vyRpso91lI9Xef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Z14n9UAAAAIAQAADwAAAAAAAAAB&#10;ACAAAAAiAAAAZHJzL2Rvd25yZXYueG1sUEsBAhQAFAAAAAgAh07iQAcKHKwTAgAAEgQAAA4AAAAA&#10;AAAAAQAgAAAAJAEAAGRycy9lMm9Eb2MueG1sUEsFBgAAAAAGAAYAWQEAAKk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color w:val="auto"/>
          <w:sz w:val="24"/>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1"/>
                            </w:pPr>
                          </w:p>
                          <w:p>
                            <w:pPr>
                              <w:pStyle w:val="11"/>
                            </w:pPr>
                          </w:p>
                          <w:p>
                            <w:pPr>
                              <w:pStyle w:val="11"/>
                            </w:pPr>
                          </w:p>
                          <w:p>
                            <w:pPr>
                              <w:pStyle w:val="11"/>
                            </w:pPr>
                          </w:p>
                        </w:txbxContent>
                      </wps:txbx>
                      <wps:bodyPr upright="1"/>
                    </wps:wsp>
                  </a:graphicData>
                </a:graphic>
              </wp:anchor>
            </w:drawing>
          </mc:Choice>
          <mc:Fallback>
            <w:pict>
              <v:roundrect id="_x0000_s1026" o:spid="_x0000_s1026" o:spt="2" style="position:absolute;left:0pt;margin-left:229.8pt;margin-top:2.25pt;height:109.1pt;width:163.55pt;z-index:251660288;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Y+yDeEQIAABoEAAAOAAAAZHJzL2Uyb0RvYy54bWyt&#10;U0uOEzEQ3SNxB8t70p1IyYRWOrMghA2CEQMHqNjubiP/ZDvpzgU4AGskJDaIQ3CcERyDstNkZoAF&#10;QiSSU7arXl6951pdDlqRg/BBWlPT6aSkRBhmuTRtTd+83j5aUhIiGA7KGlHTowj0cv3wwap3lZjZ&#10;ziouPEEQE6re1bSL0VVFEVgnNISJdcLgZWO9hohb3xbcQ4/oWhWzslwUvfXcectECHi6OV3SdcZv&#10;GsHiy6YJIhJVU+QW8+rzuktrsV5B1XpwnWQjDfgHFhqkwT89Q20gAtl7+RuUlszbYJs4YVYXtmkk&#10;E7kH7GZa/tLNdQdO5F5QnODOMoX/B8teHK48kRy9Q6cMaPTo5sO775/ff/v45ebrJ4LHqFHvQoWp&#10;1+7Kj7uAYWp4aLxOv9gKGbKux7OuYoiE4eFsUT5ezlF+hnfT+fyinGXli9ty50N8JqwmKaipt3vD&#10;X6F7WVQ4PA8xq8tHisDfUtJohV4dQJHpYrG4SDwRcUzG6CdmqgxWSb6VSuWNb3dPlCdYWtNt/ozF&#10;99KUIX3iu7yYI3XA19koiBhqh3oF02Zy90rCXeRlmb5/Qk7MNhC6E4OMkNKg6gTwp4aTeHRohMGR&#10;oYmDFpwSJXDCUpQzI0j1N5mogzIJWuRpQCGTTMnPk4MpisNuwNMU7iw/4oPYOy/bDo2YZvrpBh9g&#10;1ncclvTC7+4z6O1Ir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ck2doAAAAJAQAADwAAAAAA&#10;AAABACAAAAAiAAAAZHJzL2Rvd25yZXYueG1sUEsBAhQAFAAAAAgAh07iQBj7IN4RAgAAGgQAAA4A&#10;AAAAAAAAAQAgAAAAKQEAAGRycy9lMm9Eb2MueG1sUEsFBgAAAAAGAAYAWQEAAKwFA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1"/>
                      </w:pPr>
                    </w:p>
                    <w:p>
                      <w:pPr>
                        <w:pStyle w:val="11"/>
                      </w:pPr>
                    </w:p>
                    <w:p>
                      <w:pPr>
                        <w:pStyle w:val="11"/>
                      </w:pPr>
                    </w:p>
                    <w:p>
                      <w:pPr>
                        <w:pStyle w:val="11"/>
                      </w:pPr>
                    </w:p>
                  </w:txbxContent>
                </v:textbox>
              </v:roundrect>
            </w:pict>
          </mc:Fallback>
        </mc:AlternateContent>
      </w:r>
    </w:p>
    <w:p>
      <w:pPr>
        <w:rPr>
          <w:rFonts w:ascii="微软雅黑" w:hAnsi="微软雅黑" w:eastAsia="微软雅黑" w:cs="微软雅黑"/>
          <w:color w:val="auto"/>
          <w:sz w:val="24"/>
        </w:rPr>
      </w:pPr>
    </w:p>
    <w:p>
      <w:pPr>
        <w:rPr>
          <w:rFonts w:ascii="微软雅黑" w:hAnsi="微软雅黑" w:eastAsia="微软雅黑" w:cs="微软雅黑"/>
          <w:color w:val="auto"/>
          <w:sz w:val="24"/>
        </w:rPr>
      </w:pPr>
    </w:p>
    <w:p>
      <w:pPr>
        <w:autoSpaceDE w:val="0"/>
        <w:autoSpaceDN w:val="0"/>
        <w:adjustRightInd w:val="0"/>
        <w:ind w:right="246"/>
        <w:rPr>
          <w:rFonts w:ascii="微软雅黑" w:hAnsi="微软雅黑" w:eastAsia="微软雅黑" w:cs="微软雅黑"/>
          <w:color w:val="auto"/>
          <w:sz w:val="24"/>
        </w:rPr>
      </w:pPr>
    </w:p>
    <w:p>
      <w:pPr>
        <w:autoSpaceDE w:val="0"/>
        <w:autoSpaceDN w:val="0"/>
        <w:adjustRightInd w:val="0"/>
        <w:ind w:right="246" w:firstLine="784" w:firstLineChars="327"/>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供应商（盖章）：                              </w:t>
      </w:r>
    </w:p>
    <w:p>
      <w:pPr>
        <w:adjustRightInd w:val="0"/>
        <w:snapToGrid w:val="0"/>
        <w:ind w:firstLine="784" w:firstLineChars="327"/>
        <w:rPr>
          <w:rFonts w:ascii="微软雅黑" w:hAnsi="微软雅黑" w:eastAsia="微软雅黑" w:cs="微软雅黑"/>
          <w:color w:val="auto"/>
          <w:sz w:val="24"/>
        </w:rPr>
      </w:pPr>
    </w:p>
    <w:p>
      <w:pPr>
        <w:adjustRightInd w:val="0"/>
        <w:snapToGrid w:val="0"/>
        <w:ind w:firstLine="784" w:firstLineChars="327"/>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法定代表人(签/章)： </w:t>
      </w:r>
    </w:p>
    <w:p>
      <w:pPr>
        <w:pStyle w:val="19"/>
        <w:tabs>
          <w:tab w:val="left" w:pos="5370"/>
        </w:tabs>
        <w:spacing w:line="240" w:lineRule="atLeast"/>
        <w:ind w:left="1155" w:leftChars="371" w:hanging="376" w:hangingChars="157"/>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rPr>
        <w:t xml:space="preserve"> </w:t>
      </w:r>
    </w:p>
    <w:p>
      <w:pPr>
        <w:adjustRightInd w:val="0"/>
        <w:snapToGrid w:val="0"/>
        <w:ind w:firstLine="784" w:firstLineChars="327"/>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p>
    <w:p>
      <w:pPr>
        <w:adjustRightInd w:val="0"/>
        <w:snapToGrid w:val="0"/>
        <w:ind w:firstLine="784" w:firstLineChars="327"/>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pPr>
        <w:pStyle w:val="19"/>
        <w:tabs>
          <w:tab w:val="left" w:pos="5580"/>
        </w:tabs>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说明：1.提供有效的营业执照等证明文件复印件，复印件上应加盖本单位章。</w:t>
      </w:r>
    </w:p>
    <w:p>
      <w:pPr>
        <w:pStyle w:val="19"/>
        <w:tabs>
          <w:tab w:val="left" w:pos="5580"/>
        </w:tabs>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2. 供应商为自然人的，应提供身份证明的复印件。</w:t>
      </w:r>
    </w:p>
    <w:p>
      <w:pPr>
        <w:pStyle w:val="19"/>
        <w:tabs>
          <w:tab w:val="left" w:pos="5580"/>
        </w:tabs>
        <w:ind w:left="1080" w:leftChars="257" w:hanging="540"/>
        <w:rPr>
          <w:rFonts w:ascii="微软雅黑" w:hAnsi="微软雅黑" w:eastAsia="微软雅黑" w:cs="微软雅黑"/>
          <w:color w:val="auto"/>
        </w:rPr>
      </w:pPr>
      <w:r>
        <w:rPr>
          <w:rFonts w:hint="eastAsia" w:ascii="微软雅黑" w:hAnsi="微软雅黑" w:eastAsia="微软雅黑" w:cs="微软雅黑"/>
          <w:color w:val="auto"/>
          <w:sz w:val="24"/>
          <w:szCs w:val="24"/>
        </w:rPr>
        <w:t xml:space="preserve">  3.联合体磋商应提供联合体各方满足以上要求的证明文件。</w:t>
      </w:r>
      <w:bookmarkStart w:id="304" w:name="_Toc1083"/>
      <w:bookmarkStart w:id="305" w:name="_Toc16640"/>
      <w:bookmarkStart w:id="306" w:name="_Toc5436"/>
      <w:bookmarkStart w:id="307" w:name="_Toc6829"/>
      <w:bookmarkStart w:id="308" w:name="_Toc21867"/>
      <w:bookmarkStart w:id="309" w:name="_Toc13107"/>
      <w:bookmarkStart w:id="310" w:name="_Toc515647807"/>
      <w:bookmarkStart w:id="311" w:name="_Toc22472"/>
    </w:p>
    <w:p>
      <w:pPr>
        <w:pStyle w:val="6"/>
        <w:spacing w:before="0" w:line="240" w:lineRule="atLeast"/>
        <w:ind w:left="1080" w:leftChars="257" w:hanging="540"/>
        <w:jc w:val="left"/>
        <w:rPr>
          <w:rFonts w:ascii="微软雅黑" w:hAnsi="微软雅黑" w:eastAsia="微软雅黑" w:cs="微软雅黑"/>
          <w:color w:val="auto"/>
          <w:sz w:val="24"/>
          <w:szCs w:val="24"/>
        </w:rPr>
      </w:pPr>
    </w:p>
    <w:p>
      <w:pPr>
        <w:rPr>
          <w:rFonts w:ascii="微软雅黑" w:hAnsi="微软雅黑" w:eastAsia="微软雅黑" w:cs="微软雅黑"/>
          <w:color w:val="auto"/>
          <w:sz w:val="24"/>
          <w:szCs w:val="24"/>
        </w:rPr>
      </w:pPr>
    </w:p>
    <w:p>
      <w:pPr>
        <w:pStyle w:val="2"/>
        <w:rPr>
          <w:rFonts w:ascii="微软雅黑" w:hAnsi="微软雅黑" w:eastAsia="微软雅黑" w:cs="微软雅黑"/>
          <w:color w:val="auto"/>
          <w:sz w:val="24"/>
          <w:szCs w:val="24"/>
        </w:rPr>
      </w:pPr>
    </w:p>
    <w:p>
      <w:pPr>
        <w:pStyle w:val="2"/>
        <w:rPr>
          <w:rFonts w:ascii="微软雅黑" w:hAnsi="微软雅黑" w:eastAsia="微软雅黑" w:cs="微软雅黑"/>
          <w:color w:val="auto"/>
          <w:sz w:val="24"/>
          <w:szCs w:val="24"/>
        </w:rPr>
      </w:pPr>
    </w:p>
    <w:p>
      <w:pPr>
        <w:pStyle w:val="36"/>
        <w:rPr>
          <w:rFonts w:ascii="微软雅黑" w:hAnsi="微软雅黑" w:eastAsia="微软雅黑" w:cs="微软雅黑"/>
          <w:color w:val="auto"/>
          <w:sz w:val="24"/>
          <w:szCs w:val="24"/>
        </w:rPr>
      </w:pPr>
    </w:p>
    <w:p>
      <w:pPr>
        <w:pStyle w:val="36"/>
        <w:rPr>
          <w:rFonts w:ascii="微软雅黑" w:hAnsi="微软雅黑" w:eastAsia="微软雅黑" w:cs="微软雅黑"/>
          <w:color w:val="auto"/>
          <w:sz w:val="24"/>
          <w:szCs w:val="24"/>
        </w:rPr>
      </w:pPr>
    </w:p>
    <w:p>
      <w:pPr>
        <w:pStyle w:val="6"/>
        <w:spacing w:before="0" w:line="240" w:lineRule="atLeast"/>
        <w:ind w:left="1258" w:leftChars="599" w:firstLine="1542" w:firstLineChars="642"/>
        <w:jc w:val="left"/>
        <w:rPr>
          <w:rFonts w:ascii="微软雅黑" w:hAnsi="微软雅黑" w:eastAsia="微软雅黑" w:cs="微软雅黑"/>
          <w:b w:val="0"/>
          <w:color w:val="auto"/>
          <w:sz w:val="24"/>
          <w:szCs w:val="24"/>
          <w:u w:val="single"/>
        </w:rPr>
      </w:pPr>
      <w:bookmarkStart w:id="312" w:name="_Toc7748"/>
      <w:bookmarkStart w:id="313" w:name="_Toc8491"/>
      <w:bookmarkStart w:id="314" w:name="_Toc4082"/>
      <w:bookmarkStart w:id="315" w:name="_Toc27943"/>
      <w:bookmarkStart w:id="316" w:name="_Toc4926"/>
      <w:bookmarkStart w:id="317" w:name="_Toc14483"/>
      <w:bookmarkStart w:id="318" w:name="_Toc16635"/>
      <w:r>
        <w:rPr>
          <w:rFonts w:hint="eastAsia" w:ascii="微软雅黑" w:hAnsi="微软雅黑" w:eastAsia="微软雅黑" w:cs="微软雅黑"/>
          <w:color w:val="auto"/>
          <w:sz w:val="24"/>
          <w:szCs w:val="24"/>
        </w:rPr>
        <w:t>法定代表人授权委托书</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pStyle w:val="19"/>
        <w:tabs>
          <w:tab w:val="left" w:pos="5580"/>
        </w:tabs>
        <w:spacing w:line="240" w:lineRule="atLeast"/>
        <w:rPr>
          <w:rFonts w:ascii="微软雅黑" w:hAnsi="微软雅黑" w:eastAsia="微软雅黑" w:cs="微软雅黑"/>
          <w:color w:val="auto"/>
          <w:sz w:val="24"/>
          <w:szCs w:val="24"/>
        </w:rPr>
      </w:pPr>
      <w:bookmarkStart w:id="319" w:name="_Toc7039"/>
      <w:bookmarkStart w:id="320" w:name="_Toc32520"/>
      <w:bookmarkStart w:id="321" w:name="_Toc515647808"/>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本授权书于           年     月     日签字生效,特此声明。</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7.65pt;height:109.25pt;width:195.15pt;z-index:251662336;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PASOFRECAAAaBAAADgAAAGRycy9lMm9Eb2MueG1s&#10;rVNLjhMxEN0jcQfLe9IfzWSiVjqzIIQNghEDB3D86TbyT7aT7lyAA7BGQmKDOMQcZwTHoOw0mRlg&#10;gRDdkrvsqnr96pVreTlqhfbcB2lNi6tZiRE31DJpuha/fbN5ssAoRGIYUdbwFh94wJerx4+Wg2t4&#10;bXurGPcIQExoBtfiPkbXFEWgPdckzKzjBpzCek0ibH1XME8GQNeqqMtyXgzWM+ct5SHA6froxKuM&#10;LwSn8ZUQgUekWgzcYl59XrdpLVZL0nSeuF7SiQb5BxaaSAM/PUGtSSRo5+VvUFpSb4MVcUatLqwQ&#10;kvJcA1RTlb9Uc90Tx3MtIE5wJ5nC/4OlL/dXHkkGvTvHyBANPbr9+P77lw/fPn29vfmM4Bg0Glxo&#10;IPTaXflpF8BMBY/C6/SFUtCYdT2cdOVjRBQO67OLxVkJ+BR8VVWf13VWvrhLdz7E59xqlIwWe7sz&#10;7DV0L4tK9i9CzOqyiSJh7zASWkGv9kShaj6fXySegDgFg/UTM2UGqyTbSKXyxnfbp8ojSG3xJj9T&#10;8oMwZdCQdFlcJOoEbqdQJIKpHegVTJfJPUgJ95EXZXr/hJyYrUnojwwyQgojTc8Je2YYigcHjTAw&#10;Mjhx0JxhpDhMWLJyZCRS/U0k6KBMguZ5GkDIJFPq57GDyYrjdoTTZG4tO8CF2Dkvux4aUWX6yQMX&#10;MOs7DUu64ff3GfRupF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Bk62fbAAAACgEAAA8AAAAA&#10;AAAAAQAgAAAAIgAAAGRycy9kb3ducmV2LnhtbFBLAQIUABQAAAAIAIdO4kA8BI4VEQIAABoEAAAO&#10;AAAAAAAAAAEAIAAAACoBAABkcnMvZTJvRG9jLnhtbFBLBQYAAAAABgAGAFkBAACt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10.7pt;width:197.45pt;z-index:251661312;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CnKnUnFwIAABIEAAAOAAAAZHJzL2Uyb0RvYy54bWytU0uO&#10;EzEQ3SNxB8t70t2BDEwrnRGaEDYIIs1wgErb3W3JP9medGcHK4RYcAAuwI4VW+Y0w+cWlJ2QSWCD&#10;EFk4Zden33tVNT0blCRr7rwwuqLFKKeE69owoduKvrxc3HtEiQ+gGUijeUU33NOz2d07096WfGw6&#10;Ixl3BItoX/a2ol0ItswyX3dcgR8ZyzU6G+MUBLy6NmMOeqyuZDbO85OsN45ZZ2ruPb7Ot046S/Wb&#10;htfhRdN4HoisKGIL6XTpXMUzm02hbB3YTtQ7GPAPKBQIjR/dl5pDAHLlxB+llKid8aYJo9qozDSN&#10;qHnigGyK/Dc2Fx1YnrigON7uZfL/r2z9fL10RDDs3SklGhT26Ovn198+vrv58KUkN+8//Xj19vv1&#10;G3wgGIFy9daXmHVhl25382hG7kPjVPxHVmRIEm/2EvMhkBofx5P84UkxoaRGX1E8uJ/nqQnZbbp1&#10;PjzlRpFoVLSRpj/vwIXHMnCnIfDltt1Jb1g/8wFxYP6vvAjBGynYQkiZLq5dnUtH1oBDsEi/SART&#10;jsKkJn1FTyfjiA5wFhsJAU1lUR2v2/S9owx/WBiJ3HI5CovA5uC7LYDk2s6dEsgIkUDZcWBPNCNh&#10;Y7EBGleFRjCKM0okx82KVooMIOTfRCI7qWNpnrZgp1Js3rZd0QrDasCi0VwZtsFBuLJOtB2qXiSF&#10;ogcHL2m1W5I42Yd3tA9XefY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kurbdcAAAAIAQAADwAA&#10;AAAAAAABACAAAAAiAAAAZHJzL2Rvd25yZXYueG1sUEsBAhQAFAAAAAgAh07iQKcqdScXAgAAEgQA&#10;AA4AAAAAAAAAAQAgAAAAJgEAAGRycy9lMm9Eb2MueG1sUEsFBgAAAAAGAAYAWQEAAK8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35pt;margin-top:18.55pt;height:110.95pt;width:201.2pt;z-index:251663360;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LJVl9MSAgAAGgQAAA4AAABkcnMvZTJvRG9jLnhtbK1T&#10;zY7TMBC+I/EOlu9s0mrbLVHTPVDKBcGKhQeY2k5i5D/ZbpO+AA/AGQmJC+IheJwVPAZjN3R3gQNC&#10;JJIz9sx8+eYbz/Jy0IrshQ/SmppOzkpKhGGWS9PW9M3rzaMFJSGC4aCsETU9iEAvVw8fLHtXiant&#10;rOLCEwQxoepdTbsYXVUUgXVCQzizThh0NtZriLj1bcE99IiuVTEty3nRW8+dt0yEgKfro5OuMn7T&#10;CBZfNk0QkaiaIreYV5/XbVqL1RKq1oPrJBtpwD+w0CAN/vQEtYYIZOflb1BaMm+DbeIZs7qwTSOZ&#10;yDVgNZPyl2quO3Ai14LiBHeSKfw/WPZif+WJ5Ni7OSUGNPbo5sO775/ff/v45ebrJ4LHqFHvQoWh&#10;1+7Kj7uAZip4aLxOXyyFDFnXw0lXMUTC8HA6m82m5yg/Q9+knJ4vHmfli9t050N8JqwmyaiptzvD&#10;X2H3sqiwfx5iVpePFIG/paTRCnu1B4Uk5/OLxBMRx2C0fmKmzGCV5BupVN74dvtEeYKpNd3kZ0y+&#10;F6YM6ZHvbHExQ+qAt7NRENHUDvUKps3k7qWEu8iLMr1/Qk7M1hC6I4OMkMKg6gTwp4aTeHDYCIMj&#10;QxMHLTglSuCEJStHRpDqbyJRB2UStMjTgEImmVI/jx1MVhy2A54mc2v5AS/EznnZdtiISaafPHgB&#10;s77jsKQbfnefQW9Hev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VwlTNkAAAAIAQAADwAAAAAA&#10;AAABACAAAAAiAAAAZHJzL2Rvd25yZXYueG1sUEsBAhQAFAAAAAgAh07iQLJVl9MSAgAAGgQAAA4A&#10;AAAAAAAAAQAgAAAAKAEAAGRycy9lMm9Eb2MueG1sUEsFBgAAAAAGAAYAWQEAAKw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9"/>
        <w:tabs>
          <w:tab w:val="left" w:pos="5580"/>
        </w:tabs>
        <w:spacing w:line="240" w:lineRule="atLeas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8.45pt;margin-top:11.05pt;height:98.6pt;width:199.65pt;z-index:25166438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K65HxxACAAAaBAAADgAAAGRycy9lMm9Eb2MueG1s&#10;rVPNjtMwEL4j8Q6W7zRJq3ZL1HQPlHJBsGLhAVz/JEb+k+026QvwAJyRkLggHoLHWcFjMHZDdxc4&#10;IEQiOWN75ss338ysLget0IH7IK1pcDUpMeKGWiZN2+A3r7ePlhiFSAwjyhre4CMP+HL98MGqdzWf&#10;2s4qxj0CEBPq3jW4i9HVRRFoxzUJE+u4gUthvSYRtr4tmCc9oGtVTMtyUfTWM+ct5SHA6eZ0idcZ&#10;XwhO40shAo9INRi4xbz6vO7SWqxXpG49cZ2kIw3yDyw0kQZ+eobakEjQ3svfoLSk3gYr4oRaXVgh&#10;JOU5B8imKn/J5rojjudcQJzgzjKF/wdLXxyuPJIMajfDyBANNbr58O775/ffPn65+foJwTFo1LtQ&#10;g+u1u/LjLoCZEh6E1+kLqaAh63o868qHiCgcTuezOTwYUbiryunj2WyeUIvbcOdDfMatRslosLd7&#10;w15B9bKo5PA8xKwuGykS9hYjoRXU6kAUqhaLxcWIODoD9k/MFBmskmwrlcob3+6eKI8gtMHb/IzB&#10;99yUQT3wnS8vEnUC3SkUiWBqB3oF02Zy90LCXeRlmd4/ISdmGxK6E4OMkNxI3XHCnhqG4tFBIQyM&#10;DE4cNGcYKQ4TlqzsGYlUf+MJOiiToHmeBhAyCZ/qeapgsuKwG+A0mTvLjtAQe+dl20Ehqkw/3UAD&#10;5oqNw5I6/O4+g96O9P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4W/PtsAAAAKAQAADwAAAAAA&#10;AAABACAAAAAiAAAAZHJzL2Rvd25yZXYueG1sUEsBAhQAFAAAAAgAh07iQCuuR8cQAgAAGgQAAA4A&#10;AAAAAAAAAQAgAAAAKgEAAGRycy9lMm9Eb2MueG1sUEsFBgAAAAAGAAYAWQEAAKwFA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供应商（盖单位章）;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p>
    <w:p>
      <w:pPr>
        <w:pStyle w:val="19"/>
        <w:tabs>
          <w:tab w:val="left" w:pos="5580"/>
        </w:tabs>
        <w:spacing w:line="240" w:lineRule="atLeast"/>
        <w:ind w:left="1080" w:leftChars="257" w:hanging="540"/>
        <w:rPr>
          <w:rFonts w:ascii="微软雅黑" w:hAnsi="微软雅黑" w:eastAsia="微软雅黑" w:cs="微软雅黑"/>
          <w:color w:val="auto"/>
          <w:sz w:val="24"/>
          <w:szCs w:val="24"/>
        </w:rPr>
      </w:pPr>
    </w:p>
    <w:p>
      <w:pPr>
        <w:pStyle w:val="19"/>
        <w:tabs>
          <w:tab w:val="left" w:pos="5580"/>
        </w:tabs>
        <w:spacing w:line="240" w:lineRule="atLeast"/>
        <w:ind w:left="1080" w:leftChars="257" w:hanging="540"/>
        <w:rPr>
          <w:rFonts w:ascii="微软雅黑" w:hAnsi="微软雅黑" w:eastAsia="微软雅黑" w:cs="微软雅黑"/>
          <w:color w:val="auto"/>
          <w:sz w:val="24"/>
          <w:szCs w:val="24"/>
        </w:rPr>
      </w:pPr>
    </w:p>
    <w:p>
      <w:pPr>
        <w:pStyle w:val="19"/>
        <w:tabs>
          <w:tab w:val="left" w:pos="5370"/>
        </w:tabs>
        <w:spacing w:line="240" w:lineRule="atLeast"/>
        <w:ind w:firstLine="480" w:firstLineChars="200"/>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rPr>
        <w:t xml:space="preserve">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法定代表人（签/章）：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委托代理人（签/章）：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详细通讯地址：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邮 政 编 码 ：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传　　　　真：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　　　　话：                                 </w:t>
      </w:r>
      <w:bookmarkEnd w:id="319"/>
      <w:bookmarkEnd w:id="320"/>
      <w:bookmarkEnd w:id="321"/>
      <w:bookmarkStart w:id="322" w:name="_Toc8410"/>
      <w:bookmarkStart w:id="323" w:name="_Toc4923"/>
      <w:bookmarkStart w:id="324" w:name="_Toc22138"/>
      <w:bookmarkStart w:id="325" w:name="_Toc10290"/>
      <w:bookmarkStart w:id="326" w:name="_Toc11047"/>
      <w:bookmarkStart w:id="327" w:name="_Toc515647809"/>
      <w:bookmarkStart w:id="328" w:name="_Toc15480"/>
      <w:bookmarkStart w:id="329" w:name="_Toc28445"/>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36"/>
        <w:ind w:left="0" w:leftChars="0" w:firstLine="0" w:firstLineChars="0"/>
        <w:rPr>
          <w:rFonts w:ascii="微软雅黑" w:hAnsi="微软雅黑" w:eastAsia="微软雅黑" w:cs="微软雅黑"/>
          <w:b/>
          <w:color w:val="auto"/>
          <w:kern w:val="0"/>
        </w:rPr>
      </w:pPr>
    </w:p>
    <w:p>
      <w:pPr>
        <w:pStyle w:val="19"/>
        <w:tabs>
          <w:tab w:val="left" w:pos="5580"/>
        </w:tabs>
        <w:spacing w:line="240" w:lineRule="atLeast"/>
        <w:rPr>
          <w:rFonts w:hint="eastAsia" w:ascii="微软雅黑" w:hAnsi="微软雅黑" w:eastAsia="微软雅黑" w:cs="微软雅黑"/>
          <w:b/>
          <w:color w:val="auto"/>
          <w:kern w:val="0"/>
          <w:sz w:val="24"/>
        </w:rPr>
      </w:pPr>
    </w:p>
    <w:p>
      <w:pPr>
        <w:pStyle w:val="19"/>
        <w:tabs>
          <w:tab w:val="left" w:pos="5580"/>
        </w:tabs>
        <w:spacing w:line="240" w:lineRule="atLeast"/>
        <w:rPr>
          <w:rFonts w:hint="eastAsia" w:ascii="微软雅黑" w:hAnsi="微软雅黑" w:eastAsia="微软雅黑" w:cs="微软雅黑"/>
          <w:b/>
          <w:color w:val="auto"/>
          <w:kern w:val="0"/>
          <w:sz w:val="24"/>
          <w:szCs w:val="24"/>
          <w:lang w:eastAsia="zh-CN"/>
        </w:rPr>
      </w:pPr>
      <w:r>
        <w:rPr>
          <w:rFonts w:hint="eastAsia" w:ascii="微软雅黑" w:hAnsi="微软雅黑" w:eastAsia="微软雅黑" w:cs="微软雅黑"/>
          <w:b/>
          <w:color w:val="auto"/>
          <w:kern w:val="0"/>
          <w:sz w:val="24"/>
        </w:rPr>
        <w:t>5</w:t>
      </w:r>
      <w:r>
        <w:rPr>
          <w:rFonts w:hint="eastAsia" w:ascii="微软雅黑" w:hAnsi="微软雅黑" w:eastAsia="微软雅黑" w:cs="微软雅黑"/>
          <w:b/>
          <w:color w:val="auto"/>
          <w:kern w:val="0"/>
          <w:sz w:val="24"/>
          <w:lang w:val="en-US" w:eastAsia="zh-CN"/>
        </w:rPr>
        <w:t xml:space="preserve"> 具有税务局开具依法缴纳近连续3个月税收证明的良好记录（完税证明）</w:t>
      </w:r>
      <w:r>
        <w:rPr>
          <w:rFonts w:hint="eastAsia" w:ascii="微软雅黑" w:hAnsi="微软雅黑" w:eastAsia="微软雅黑" w:cs="微软雅黑"/>
          <w:b/>
          <w:color w:val="auto"/>
          <w:kern w:val="0"/>
          <w:sz w:val="24"/>
          <w:lang w:eastAsia="zh-CN"/>
        </w:rPr>
        <w:t>；</w:t>
      </w:r>
    </w:p>
    <w:p>
      <w:pPr>
        <w:rPr>
          <w:rFonts w:hint="eastAsia" w:ascii="微软雅黑" w:hAnsi="微软雅黑" w:eastAsia="微软雅黑" w:cs="微软雅黑"/>
          <w:color w:val="auto"/>
          <w:sz w:val="24"/>
          <w:szCs w:val="24"/>
        </w:rPr>
      </w:pPr>
    </w:p>
    <w:p>
      <w:pPr>
        <w:pStyle w:val="36"/>
        <w:rPr>
          <w:rFonts w:hint="eastAsia"/>
          <w:color w:val="auto"/>
        </w:rPr>
      </w:pPr>
    </w:p>
    <w:p>
      <w:pPr>
        <w:pStyle w:val="36"/>
        <w:rPr>
          <w:rFonts w:hint="eastAsia"/>
          <w:color w:val="auto"/>
        </w:rPr>
      </w:pPr>
    </w:p>
    <w:p>
      <w:pPr>
        <w:pStyle w:val="36"/>
        <w:rPr>
          <w:color w:val="auto"/>
        </w:rPr>
      </w:pPr>
    </w:p>
    <w:p>
      <w:pPr>
        <w:pStyle w:val="19"/>
        <w:tabs>
          <w:tab w:val="left" w:pos="5580"/>
        </w:tabs>
        <w:spacing w:line="240" w:lineRule="atLeast"/>
        <w:rPr>
          <w:rFonts w:ascii="微软雅黑" w:hAnsi="微软雅黑" w:eastAsia="微软雅黑" w:cs="微软雅黑"/>
          <w:b/>
          <w:color w:val="auto"/>
          <w:kern w:val="0"/>
          <w:sz w:val="24"/>
          <w:szCs w:val="24"/>
        </w:rPr>
      </w:pPr>
    </w:p>
    <w:p>
      <w:pPr>
        <w:pStyle w:val="19"/>
        <w:tabs>
          <w:tab w:val="left" w:pos="5580"/>
        </w:tabs>
        <w:spacing w:line="240" w:lineRule="atLeast"/>
        <w:rPr>
          <w:rFonts w:ascii="微软雅黑" w:hAnsi="微软雅黑" w:eastAsia="微软雅黑" w:cs="微软雅黑"/>
          <w:b/>
          <w:color w:val="auto"/>
          <w:kern w:val="0"/>
          <w:sz w:val="24"/>
          <w:szCs w:val="24"/>
        </w:rPr>
      </w:pPr>
    </w:p>
    <w:p>
      <w:pPr>
        <w:pStyle w:val="19"/>
        <w:tabs>
          <w:tab w:val="left" w:pos="5580"/>
        </w:tabs>
        <w:spacing w:line="240" w:lineRule="atLeast"/>
        <w:rPr>
          <w:rFonts w:ascii="微软雅黑" w:hAnsi="微软雅黑" w:eastAsia="微软雅黑" w:cs="微软雅黑"/>
          <w:b/>
          <w:color w:val="auto"/>
          <w:kern w:val="0"/>
          <w:sz w:val="24"/>
          <w:szCs w:val="24"/>
        </w:rPr>
      </w:pPr>
    </w:p>
    <w:p>
      <w:pPr>
        <w:pStyle w:val="6"/>
        <w:jc w:val="both"/>
        <w:rPr>
          <w:rFonts w:ascii="微软雅黑" w:hAnsi="微软雅黑" w:eastAsia="微软雅黑" w:cs="微软雅黑"/>
          <w:color w:val="auto"/>
          <w:sz w:val="24"/>
          <w:szCs w:val="24"/>
        </w:rPr>
      </w:pPr>
      <w:bookmarkStart w:id="330" w:name="_Toc21800"/>
      <w:bookmarkStart w:id="331" w:name="_Toc4086"/>
      <w:bookmarkStart w:id="332" w:name="_Toc13791"/>
      <w:bookmarkStart w:id="333" w:name="_Toc30205"/>
      <w:bookmarkStart w:id="334" w:name="_Toc9810"/>
      <w:bookmarkStart w:id="335" w:name="_Toc12185"/>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 xml:space="preserve"> </w:t>
      </w:r>
      <w:bookmarkEnd w:id="330"/>
      <w:bookmarkEnd w:id="331"/>
      <w:bookmarkEnd w:id="332"/>
      <w:bookmarkEnd w:id="333"/>
      <w:bookmarkEnd w:id="334"/>
      <w:bookmarkEnd w:id="335"/>
      <w:r>
        <w:rPr>
          <w:rFonts w:hint="eastAsia" w:ascii="微软雅黑" w:hAnsi="微软雅黑" w:eastAsia="微软雅黑" w:cs="微软雅黑"/>
          <w:color w:val="auto"/>
          <w:kern w:val="0"/>
          <w:sz w:val="24"/>
          <w:lang w:val="en-US" w:eastAsia="zh-CN"/>
        </w:rPr>
        <w:t>参加政府采购活动前3年内在经营活动中没有重大违法记录的书面声明</w:t>
      </w:r>
      <w:r>
        <w:rPr>
          <w:rFonts w:hint="eastAsia" w:ascii="微软雅黑" w:hAnsi="微软雅黑" w:eastAsia="微软雅黑" w:cs="微软雅黑"/>
          <w:color w:val="auto"/>
          <w:kern w:val="0"/>
          <w:sz w:val="24"/>
        </w:rPr>
        <w:t>；</w:t>
      </w:r>
    </w:p>
    <w:p>
      <w:pPr>
        <w:pStyle w:val="19"/>
        <w:tabs>
          <w:tab w:val="left" w:pos="5580"/>
        </w:tabs>
        <w:spacing w:line="240" w:lineRule="atLeast"/>
        <w:ind w:left="1080" w:leftChars="257" w:hanging="540"/>
        <w:jc w:val="center"/>
        <w:rPr>
          <w:rFonts w:ascii="微软雅黑" w:hAnsi="微软雅黑" w:eastAsia="微软雅黑" w:cs="微软雅黑"/>
          <w:b/>
          <w:color w:val="auto"/>
          <w:kern w:val="0"/>
          <w:sz w:val="24"/>
          <w:szCs w:val="24"/>
        </w:rPr>
      </w:pPr>
    </w:p>
    <w:p>
      <w:pPr>
        <w:pStyle w:val="19"/>
        <w:tabs>
          <w:tab w:val="left" w:pos="5580"/>
        </w:tabs>
        <w:spacing w:line="240" w:lineRule="atLeast"/>
        <w:ind w:left="1080" w:leftChars="257" w:hanging="540"/>
        <w:jc w:val="center"/>
        <w:rPr>
          <w:rFonts w:ascii="微软雅黑" w:hAnsi="微软雅黑" w:eastAsia="微软雅黑" w:cs="微软雅黑"/>
          <w:b/>
          <w:color w:val="auto"/>
          <w:kern w:val="0"/>
          <w:sz w:val="24"/>
          <w:szCs w:val="24"/>
        </w:rPr>
      </w:pPr>
    </w:p>
    <w:p>
      <w:pPr>
        <w:pStyle w:val="19"/>
        <w:tabs>
          <w:tab w:val="left" w:pos="5580"/>
        </w:tabs>
        <w:spacing w:line="240" w:lineRule="atLeast"/>
        <w:ind w:left="1080" w:leftChars="257" w:hanging="540"/>
        <w:jc w:val="center"/>
        <w:rPr>
          <w:rFonts w:ascii="微软雅黑" w:hAnsi="微软雅黑" w:eastAsia="微软雅黑" w:cs="微软雅黑"/>
          <w:b/>
          <w:color w:val="auto"/>
          <w:kern w:val="0"/>
          <w:sz w:val="24"/>
          <w:szCs w:val="24"/>
        </w:rPr>
      </w:pPr>
    </w:p>
    <w:p>
      <w:pPr>
        <w:pStyle w:val="19"/>
        <w:tabs>
          <w:tab w:val="left" w:pos="5580"/>
        </w:tabs>
        <w:spacing w:line="240" w:lineRule="atLeast"/>
        <w:ind w:left="1080" w:leftChars="257" w:hanging="540"/>
        <w:jc w:val="center"/>
        <w:rPr>
          <w:rFonts w:ascii="微软雅黑" w:hAnsi="微软雅黑" w:eastAsia="微软雅黑" w:cs="微软雅黑"/>
          <w:b/>
          <w:color w:val="auto"/>
          <w:kern w:val="0"/>
          <w:sz w:val="24"/>
          <w:szCs w:val="24"/>
        </w:rPr>
      </w:pPr>
    </w:p>
    <w:p>
      <w:pPr>
        <w:pStyle w:val="19"/>
        <w:tabs>
          <w:tab w:val="left" w:pos="5580"/>
        </w:tabs>
        <w:spacing w:line="240" w:lineRule="atLeast"/>
        <w:ind w:left="1080" w:leftChars="257" w:hanging="540"/>
        <w:jc w:val="center"/>
        <w:rPr>
          <w:rFonts w:ascii="微软雅黑" w:hAnsi="微软雅黑" w:eastAsia="微软雅黑" w:cs="微软雅黑"/>
          <w:b/>
          <w:color w:val="auto"/>
          <w:kern w:val="0"/>
          <w:sz w:val="24"/>
          <w:szCs w:val="24"/>
        </w:rPr>
      </w:pPr>
    </w:p>
    <w:p>
      <w:pPr>
        <w:pStyle w:val="19"/>
        <w:tabs>
          <w:tab w:val="left" w:pos="5580"/>
        </w:tabs>
        <w:spacing w:line="240" w:lineRule="atLeast"/>
        <w:rPr>
          <w:rFonts w:ascii="微软雅黑" w:hAnsi="微软雅黑" w:eastAsia="微软雅黑" w:cs="微软雅黑"/>
          <w:b/>
          <w:color w:val="auto"/>
          <w:kern w:val="0"/>
          <w:sz w:val="24"/>
          <w:szCs w:val="24"/>
        </w:rPr>
      </w:pPr>
    </w:p>
    <w:p>
      <w:pPr>
        <w:pStyle w:val="19"/>
        <w:tabs>
          <w:tab w:val="left" w:pos="5580"/>
        </w:tabs>
        <w:spacing w:line="240" w:lineRule="atLeast"/>
        <w:rPr>
          <w:rFonts w:ascii="微软雅黑" w:hAnsi="微软雅黑" w:eastAsia="微软雅黑" w:cs="微软雅黑"/>
          <w:b/>
          <w:color w:val="auto"/>
          <w:kern w:val="0"/>
          <w:sz w:val="24"/>
          <w:szCs w:val="24"/>
        </w:rPr>
      </w:pPr>
    </w:p>
    <w:p>
      <w:pPr>
        <w:pStyle w:val="19"/>
        <w:tabs>
          <w:tab w:val="left" w:pos="5580"/>
        </w:tabs>
        <w:spacing w:line="240" w:lineRule="atLeast"/>
        <w:rPr>
          <w:rFonts w:ascii="微软雅黑" w:hAnsi="微软雅黑" w:eastAsia="微软雅黑" w:cs="微软雅黑"/>
          <w:b/>
          <w:color w:val="auto"/>
          <w:kern w:val="0"/>
          <w:sz w:val="24"/>
          <w:szCs w:val="24"/>
        </w:rPr>
      </w:pPr>
    </w:p>
    <w:p>
      <w:pPr>
        <w:pStyle w:val="19"/>
        <w:tabs>
          <w:tab w:val="left" w:pos="5580"/>
        </w:tabs>
        <w:spacing w:line="240" w:lineRule="atLeast"/>
        <w:rPr>
          <w:rFonts w:hint="eastAsia" w:ascii="微软雅黑" w:hAnsi="微软雅黑" w:eastAsia="微软雅黑" w:cs="微软雅黑"/>
          <w:b/>
          <w:color w:val="auto"/>
          <w:kern w:val="0"/>
          <w:sz w:val="24"/>
        </w:rPr>
      </w:pPr>
      <w:r>
        <w:rPr>
          <w:rFonts w:hint="eastAsia" w:ascii="微软雅黑" w:hAnsi="微软雅黑" w:eastAsia="微软雅黑" w:cs="微软雅黑"/>
          <w:b/>
          <w:color w:val="auto"/>
          <w:kern w:val="0"/>
          <w:sz w:val="24"/>
          <w:lang w:val="en-US" w:eastAsia="zh-CN"/>
        </w:rPr>
        <w:t>7</w:t>
      </w:r>
      <w:r>
        <w:rPr>
          <w:rFonts w:hint="eastAsia" w:ascii="微软雅黑" w:hAnsi="微软雅黑" w:eastAsia="微软雅黑" w:cs="微软雅黑"/>
          <w:b/>
          <w:color w:val="auto"/>
          <w:kern w:val="0"/>
          <w:sz w:val="24"/>
        </w:rPr>
        <w:t xml:space="preserve">  </w:t>
      </w:r>
      <w:r>
        <w:rPr>
          <w:rFonts w:hint="eastAsia" w:ascii="微软雅黑" w:hAnsi="微软雅黑" w:eastAsia="微软雅黑" w:cs="微软雅黑"/>
          <w:b/>
          <w:color w:val="auto"/>
          <w:kern w:val="0"/>
          <w:sz w:val="24"/>
          <w:lang w:val="en-US" w:eastAsia="zh-CN"/>
        </w:rPr>
        <w:t>提供 “信用中国”网站（http://www.creditchina.gov.cn/）和中国政府采购网（www.ccgp.gov.cn）无违法违规行为的查询纪录（提供查询结果网页截图并加盖单位公章；提供截图日期需在本项目领取招标文件期内）；投标人存在不良信用记录的或被列入失信被执行人、重大税收违法案件当事人名单的，其投标将被认定为投标无效）；</w:t>
      </w:r>
    </w:p>
    <w:p>
      <w:pPr>
        <w:pStyle w:val="19"/>
        <w:tabs>
          <w:tab w:val="left" w:pos="5580"/>
        </w:tabs>
        <w:spacing w:line="240" w:lineRule="atLeast"/>
        <w:rPr>
          <w:rFonts w:ascii="微软雅黑" w:hAnsi="微软雅黑" w:eastAsia="微软雅黑" w:cs="微软雅黑"/>
          <w:b/>
          <w:color w:val="auto"/>
          <w:kern w:val="0"/>
          <w:sz w:val="24"/>
          <w:szCs w:val="24"/>
        </w:rPr>
      </w:pPr>
    </w:p>
    <w:p>
      <w:pPr>
        <w:pStyle w:val="19"/>
        <w:tabs>
          <w:tab w:val="left" w:pos="5580"/>
        </w:tabs>
        <w:spacing w:line="240" w:lineRule="atLeast"/>
        <w:rPr>
          <w:rFonts w:ascii="微软雅黑" w:hAnsi="微软雅黑" w:eastAsia="微软雅黑" w:cs="微软雅黑"/>
          <w:b/>
          <w:color w:val="auto"/>
          <w:kern w:val="0"/>
          <w:sz w:val="24"/>
          <w:szCs w:val="24"/>
        </w:rPr>
      </w:pPr>
    </w:p>
    <w:p>
      <w:pPr>
        <w:pStyle w:val="19"/>
        <w:tabs>
          <w:tab w:val="left" w:pos="5580"/>
        </w:tabs>
        <w:spacing w:line="240" w:lineRule="atLeast"/>
        <w:rPr>
          <w:rFonts w:ascii="微软雅黑" w:hAnsi="微软雅黑" w:eastAsia="微软雅黑" w:cs="微软雅黑"/>
          <w:b/>
          <w:color w:val="auto"/>
          <w:kern w:val="0"/>
          <w:sz w:val="24"/>
          <w:szCs w:val="24"/>
        </w:rPr>
      </w:pPr>
    </w:p>
    <w:p>
      <w:pPr>
        <w:pStyle w:val="19"/>
        <w:tabs>
          <w:tab w:val="left" w:pos="5580"/>
        </w:tabs>
        <w:spacing w:line="240" w:lineRule="atLeast"/>
        <w:rPr>
          <w:rFonts w:ascii="微软雅黑" w:hAnsi="微软雅黑" w:eastAsia="微软雅黑" w:cs="微软雅黑"/>
          <w:b/>
          <w:color w:val="auto"/>
          <w:kern w:val="0"/>
          <w:sz w:val="24"/>
          <w:szCs w:val="24"/>
        </w:rPr>
      </w:pPr>
    </w:p>
    <w:p>
      <w:pPr>
        <w:pStyle w:val="19"/>
        <w:tabs>
          <w:tab w:val="left" w:pos="5580"/>
        </w:tabs>
        <w:spacing w:line="240" w:lineRule="atLeast"/>
        <w:rPr>
          <w:rFonts w:ascii="微软雅黑" w:hAnsi="微软雅黑" w:eastAsia="微软雅黑" w:cs="微软雅黑"/>
          <w:b/>
          <w:color w:val="auto"/>
          <w:kern w:val="0"/>
          <w:sz w:val="24"/>
          <w:szCs w:val="24"/>
        </w:rPr>
      </w:pPr>
    </w:p>
    <w:p>
      <w:pPr>
        <w:spacing w:line="360" w:lineRule="exact"/>
        <w:rPr>
          <w:rFonts w:hint="eastAsia" w:ascii="微软雅黑" w:hAnsi="微软雅黑" w:eastAsia="微软雅黑" w:cs="微软雅黑"/>
          <w:b/>
          <w:color w:val="0000FF"/>
          <w:kern w:val="0"/>
          <w:sz w:val="24"/>
        </w:rPr>
      </w:pPr>
      <w:bookmarkStart w:id="336" w:name="_Toc16480"/>
      <w:bookmarkStart w:id="337" w:name="_Toc16326"/>
      <w:bookmarkStart w:id="338" w:name="_Toc20720"/>
      <w:bookmarkStart w:id="339" w:name="_Toc10102"/>
      <w:bookmarkStart w:id="340" w:name="_Toc28525"/>
      <w:bookmarkStart w:id="341" w:name="_Toc5183"/>
      <w:r>
        <w:rPr>
          <w:rFonts w:hint="eastAsia" w:ascii="微软雅黑" w:hAnsi="微软雅黑" w:eastAsia="微软雅黑" w:cs="微软雅黑"/>
          <w:b/>
          <w:color w:val="0000FF"/>
          <w:kern w:val="0"/>
          <w:sz w:val="24"/>
          <w:lang w:val="en-US" w:eastAsia="zh-CN"/>
        </w:rPr>
        <w:t>8</w:t>
      </w:r>
      <w:r>
        <w:rPr>
          <w:rFonts w:hint="eastAsia" w:ascii="微软雅黑" w:hAnsi="微软雅黑" w:eastAsia="微软雅黑" w:cs="微软雅黑"/>
          <w:b/>
          <w:color w:val="0000FF"/>
          <w:kern w:val="0"/>
          <w:sz w:val="24"/>
        </w:rPr>
        <w:t xml:space="preserve"> </w:t>
      </w:r>
      <w:bookmarkEnd w:id="322"/>
      <w:bookmarkEnd w:id="323"/>
      <w:bookmarkEnd w:id="324"/>
      <w:bookmarkEnd w:id="325"/>
      <w:bookmarkEnd w:id="326"/>
      <w:bookmarkEnd w:id="327"/>
      <w:bookmarkEnd w:id="328"/>
      <w:bookmarkEnd w:id="329"/>
      <w:bookmarkEnd w:id="336"/>
      <w:bookmarkEnd w:id="337"/>
      <w:bookmarkEnd w:id="338"/>
      <w:bookmarkEnd w:id="339"/>
      <w:bookmarkEnd w:id="340"/>
      <w:bookmarkEnd w:id="341"/>
      <w:r>
        <w:rPr>
          <w:rFonts w:hint="eastAsia" w:ascii="微软雅黑" w:hAnsi="微软雅黑" w:eastAsia="微软雅黑" w:cs="微软雅黑"/>
          <w:b/>
          <w:color w:val="0000FF"/>
          <w:kern w:val="0"/>
          <w:sz w:val="24"/>
          <w:lang w:val="en-US" w:eastAsia="zh-CN"/>
        </w:rPr>
        <w:t>提供针对本项目的《反商业贿赂承诺书》</w:t>
      </w:r>
      <w:r>
        <w:rPr>
          <w:rFonts w:hint="eastAsia" w:ascii="微软雅黑" w:hAnsi="微软雅黑" w:eastAsia="微软雅黑" w:cs="微软雅黑"/>
          <w:b/>
          <w:color w:val="0000FF"/>
          <w:kern w:val="0"/>
          <w:sz w:val="24"/>
        </w:rPr>
        <w:t>；</w:t>
      </w:r>
    </w:p>
    <w:p>
      <w:pPr>
        <w:spacing w:line="360" w:lineRule="exact"/>
        <w:rPr>
          <w:rFonts w:hint="eastAsia" w:ascii="微软雅黑" w:hAnsi="微软雅黑" w:eastAsia="微软雅黑" w:cs="微软雅黑"/>
          <w:b/>
          <w:color w:val="auto"/>
          <w:kern w:val="0"/>
          <w:sz w:val="24"/>
        </w:rPr>
      </w:pPr>
    </w:p>
    <w:p>
      <w:pPr>
        <w:spacing w:line="360" w:lineRule="exact"/>
        <w:ind w:firstLine="720" w:firstLineChars="300"/>
        <w:rPr>
          <w:rFonts w:hint="eastAsia" w:ascii="微软雅黑" w:hAnsi="微软雅黑" w:eastAsia="微软雅黑" w:cs="微软雅黑"/>
          <w:b/>
          <w:color w:val="auto"/>
          <w:kern w:val="0"/>
          <w:sz w:val="24"/>
          <w:lang w:val="en-US" w:eastAsia="zh-CN"/>
        </w:rPr>
      </w:pPr>
    </w:p>
    <w:p>
      <w:pPr>
        <w:spacing w:line="360" w:lineRule="exact"/>
        <w:ind w:firstLine="720" w:firstLineChars="300"/>
        <w:rPr>
          <w:rFonts w:hint="eastAsia" w:ascii="微软雅黑" w:hAnsi="微软雅黑" w:eastAsia="微软雅黑" w:cs="微软雅黑"/>
          <w:b/>
          <w:color w:val="auto"/>
          <w:kern w:val="0"/>
          <w:sz w:val="24"/>
          <w:lang w:val="en-US" w:eastAsia="zh-CN"/>
        </w:rPr>
      </w:pPr>
    </w:p>
    <w:p>
      <w:pPr>
        <w:pStyle w:val="2"/>
        <w:rPr>
          <w:rFonts w:hint="eastAsia"/>
          <w:lang w:val="en-US" w:eastAsia="zh-CN"/>
        </w:rPr>
      </w:pPr>
    </w:p>
    <w:p>
      <w:pPr>
        <w:spacing w:line="360" w:lineRule="exact"/>
        <w:rPr>
          <w:rFonts w:hint="eastAsia" w:ascii="微软雅黑" w:hAnsi="微软雅黑" w:eastAsia="微软雅黑" w:cs="微软雅黑"/>
          <w:b/>
          <w:color w:val="auto"/>
          <w:kern w:val="0"/>
          <w:sz w:val="24"/>
          <w:lang w:val="en-US" w:eastAsia="zh-CN"/>
        </w:rPr>
      </w:pPr>
    </w:p>
    <w:p>
      <w:pPr>
        <w:spacing w:line="360" w:lineRule="exact"/>
        <w:rPr>
          <w:rFonts w:hint="default" w:ascii="微软雅黑" w:hAnsi="微软雅黑" w:eastAsia="微软雅黑" w:cs="微软雅黑"/>
          <w:b/>
          <w:color w:val="auto"/>
          <w:kern w:val="0"/>
          <w:sz w:val="24"/>
          <w:lang w:val="en-US" w:eastAsia="zh-CN"/>
        </w:rPr>
      </w:pPr>
      <w:r>
        <w:rPr>
          <w:rFonts w:hint="eastAsia" w:ascii="微软雅黑" w:hAnsi="微软雅黑" w:eastAsia="微软雅黑" w:cs="微软雅黑"/>
          <w:b/>
          <w:color w:val="auto"/>
          <w:kern w:val="0"/>
          <w:sz w:val="24"/>
          <w:lang w:val="en-US" w:eastAsia="zh-CN"/>
        </w:rPr>
        <w:t>9 磋商保证金缴纳有效证明</w:t>
      </w:r>
    </w:p>
    <w:tbl>
      <w:tblPr>
        <w:tblStyle w:val="37"/>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微软雅黑" w:hAnsi="微软雅黑" w:eastAsia="微软雅黑" w:cs="微软雅黑"/>
                <w:color w:val="auto"/>
                <w:sz w:val="24"/>
              </w:rPr>
            </w:pPr>
          </w:p>
          <w:p>
            <w:pPr>
              <w:spacing w:line="360" w:lineRule="exact"/>
              <w:rPr>
                <w:rFonts w:ascii="微软雅黑" w:hAnsi="微软雅黑" w:eastAsia="微软雅黑" w:cs="微软雅黑"/>
                <w:color w:val="auto"/>
                <w:sz w:val="24"/>
              </w:rPr>
            </w:pPr>
          </w:p>
          <w:p>
            <w:pPr>
              <w:spacing w:line="360" w:lineRule="exact"/>
              <w:rPr>
                <w:rFonts w:ascii="微软雅黑" w:hAnsi="微软雅黑" w:eastAsia="微软雅黑" w:cs="微软雅黑"/>
                <w:color w:val="auto"/>
                <w:sz w:val="24"/>
              </w:rPr>
            </w:pPr>
          </w:p>
          <w:p>
            <w:pPr>
              <w:spacing w:line="360" w:lineRule="exact"/>
              <w:jc w:val="center"/>
              <w:rPr>
                <w:rFonts w:ascii="微软雅黑" w:hAnsi="微软雅黑" w:eastAsia="微软雅黑" w:cs="微软雅黑"/>
                <w:color w:val="auto"/>
                <w:sz w:val="24"/>
              </w:rPr>
            </w:pPr>
          </w:p>
          <w:p>
            <w:pPr>
              <w:spacing w:line="36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磋商保证金</w:t>
            </w:r>
            <w:r>
              <w:rPr>
                <w:rFonts w:hint="eastAsia" w:ascii="微软雅黑" w:hAnsi="微软雅黑" w:eastAsia="微软雅黑" w:cs="微软雅黑"/>
                <w:color w:val="auto"/>
                <w:sz w:val="24"/>
                <w:lang w:val="en-US" w:eastAsia="zh-CN"/>
              </w:rPr>
              <w:t>缴纳有效证明</w:t>
            </w:r>
            <w:r>
              <w:rPr>
                <w:rFonts w:hint="eastAsia" w:ascii="微软雅黑" w:hAnsi="微软雅黑" w:eastAsia="微软雅黑" w:cs="微软雅黑"/>
                <w:color w:val="auto"/>
                <w:sz w:val="24"/>
              </w:rPr>
              <w:t>复印件</w:t>
            </w:r>
          </w:p>
        </w:tc>
      </w:tr>
    </w:tbl>
    <w:p>
      <w:pPr>
        <w:spacing w:line="240" w:lineRule="atLeast"/>
        <w:rPr>
          <w:rFonts w:ascii="微软雅黑" w:hAnsi="微软雅黑" w:eastAsia="微软雅黑" w:cs="微软雅黑"/>
          <w:color w:val="auto"/>
          <w:sz w:val="24"/>
        </w:rPr>
      </w:pPr>
    </w:p>
    <w:p>
      <w:pPr>
        <w:rPr>
          <w:rFonts w:ascii="微软雅黑" w:hAnsi="微软雅黑" w:eastAsia="微软雅黑" w:cs="微软雅黑"/>
          <w:color w:val="auto"/>
          <w:sz w:val="24"/>
        </w:rPr>
      </w:pPr>
      <w:bookmarkStart w:id="342" w:name="_Toc18754"/>
      <w:bookmarkStart w:id="343" w:name="_Toc5710"/>
      <w:bookmarkStart w:id="344" w:name="_Toc515647810"/>
    </w:p>
    <w:p>
      <w:pPr>
        <w:pStyle w:val="11"/>
        <w:rPr>
          <w:rFonts w:ascii="微软雅黑" w:hAnsi="微软雅黑" w:eastAsia="微软雅黑" w:cs="微软雅黑"/>
          <w:color w:val="auto"/>
        </w:rPr>
      </w:pPr>
    </w:p>
    <w:bookmarkEnd w:id="342"/>
    <w:bookmarkEnd w:id="343"/>
    <w:bookmarkEnd w:id="344"/>
    <w:p>
      <w:pPr>
        <w:spacing w:line="360" w:lineRule="exact"/>
        <w:rPr>
          <w:rFonts w:ascii="微软雅黑" w:hAnsi="微软雅黑" w:eastAsia="微软雅黑" w:cs="微软雅黑"/>
          <w:color w:val="auto"/>
          <w:sz w:val="24"/>
        </w:rPr>
      </w:pPr>
    </w:p>
    <w:p>
      <w:pPr>
        <w:pStyle w:val="36"/>
        <w:rPr>
          <w:rFonts w:hint="default" w:eastAsia="微软雅黑"/>
          <w:lang w:val="en-US" w:eastAsia="zh-CN"/>
        </w:rPr>
      </w:pPr>
    </w:p>
    <w:p>
      <w:pPr>
        <w:pStyle w:val="6"/>
        <w:spacing w:before="0" w:line="360" w:lineRule="exact"/>
        <w:jc w:val="both"/>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bookmarkStart w:id="345" w:name="_Toc10181"/>
      <w:bookmarkStart w:id="346" w:name="_Toc12305"/>
      <w:bookmarkStart w:id="347" w:name="_Toc660"/>
      <w:bookmarkStart w:id="348" w:name="_Toc27251"/>
      <w:bookmarkStart w:id="349" w:name="_Toc26673"/>
      <w:bookmarkStart w:id="350" w:name="_Toc27586"/>
      <w:bookmarkStart w:id="351" w:name="_Toc27874"/>
      <w:bookmarkStart w:id="352" w:name="_Toc16476"/>
      <w:bookmarkStart w:id="353" w:name="_Toc11668"/>
      <w:bookmarkStart w:id="354" w:name="_Toc16724"/>
      <w:bookmarkStart w:id="355" w:name="_Toc4137"/>
      <w:bookmarkStart w:id="356" w:name="_Toc26653"/>
      <w:bookmarkStart w:id="357" w:name="_Toc14251"/>
      <w:bookmarkStart w:id="358" w:name="_Toc30691"/>
      <w:bookmarkStart w:id="359" w:name="_Toc1821"/>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提供有利于磋商的其他证明材料</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pPr>
        <w:pStyle w:val="19"/>
        <w:tabs>
          <w:tab w:val="left" w:pos="5580"/>
        </w:tabs>
        <w:spacing w:line="360" w:lineRule="exact"/>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19"/>
        <w:tabs>
          <w:tab w:val="left" w:pos="5580"/>
        </w:tabs>
        <w:spacing w:line="360" w:lineRule="exact"/>
        <w:ind w:left="1080" w:leftChars="257" w:hanging="540"/>
        <w:rPr>
          <w:rFonts w:ascii="微软雅黑" w:hAnsi="微软雅黑" w:eastAsia="微软雅黑" w:cs="微软雅黑"/>
          <w:color w:val="auto"/>
          <w:sz w:val="24"/>
          <w:szCs w:val="24"/>
          <w:u w:val="single"/>
        </w:rPr>
      </w:pPr>
    </w:p>
    <w:p>
      <w:pPr>
        <w:pStyle w:val="6"/>
        <w:spacing w:before="0" w:line="240" w:lineRule="atLeast"/>
        <w:ind w:left="1080" w:leftChars="257" w:hanging="540"/>
        <w:jc w:val="both"/>
        <w:rPr>
          <w:rFonts w:hint="eastAsia" w:ascii="微软雅黑" w:hAnsi="微软雅黑" w:eastAsia="微软雅黑" w:cs="微软雅黑"/>
          <w:color w:val="auto"/>
          <w:sz w:val="24"/>
          <w:szCs w:val="24"/>
        </w:rPr>
      </w:pPr>
      <w:bookmarkStart w:id="360" w:name="_Toc515647816"/>
      <w:bookmarkStart w:id="361" w:name="_Toc22967"/>
      <w:bookmarkStart w:id="362" w:name="_Toc25827"/>
      <w:bookmarkStart w:id="363" w:name="_Toc12440"/>
      <w:bookmarkStart w:id="364" w:name="_Toc11180"/>
      <w:bookmarkStart w:id="365" w:name="_Toc11956"/>
      <w:bookmarkStart w:id="366" w:name="_Toc3552"/>
    </w:p>
    <w:p>
      <w:pPr>
        <w:pStyle w:val="6"/>
        <w:spacing w:before="0"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第二部分  商务及技术文件</w:t>
      </w:r>
      <w:bookmarkEnd w:id="360"/>
      <w:bookmarkEnd w:id="361"/>
      <w:bookmarkEnd w:id="362"/>
      <w:bookmarkEnd w:id="363"/>
      <w:bookmarkEnd w:id="364"/>
      <w:bookmarkEnd w:id="365"/>
      <w:bookmarkEnd w:id="366"/>
    </w:p>
    <w:p>
      <w:pPr>
        <w:pStyle w:val="19"/>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1、磋商书（磋商文件格式五）</w:t>
      </w:r>
    </w:p>
    <w:p>
      <w:pPr>
        <w:pStyle w:val="19"/>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2、磋商分项报价表（磋商文件格式七）</w:t>
      </w:r>
    </w:p>
    <w:p>
      <w:pPr>
        <w:pStyle w:val="19"/>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val="en-US" w:eastAsia="zh-CN"/>
        </w:rPr>
        <w:t>货物</w:t>
      </w:r>
      <w:r>
        <w:rPr>
          <w:rFonts w:hint="eastAsia" w:ascii="微软雅黑" w:hAnsi="微软雅黑" w:eastAsia="微软雅黑" w:cs="微软雅黑"/>
          <w:color w:val="auto"/>
          <w:sz w:val="24"/>
          <w:szCs w:val="24"/>
        </w:rPr>
        <w:t>说明一览表（磋商文件格式八）</w:t>
      </w:r>
    </w:p>
    <w:p>
      <w:pPr>
        <w:pStyle w:val="19"/>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4、技术规格偏离表（磋商文件格式九）</w:t>
      </w:r>
    </w:p>
    <w:p>
      <w:pPr>
        <w:pStyle w:val="19"/>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5、商务条款偏离表（磋商文件格式十）</w:t>
      </w:r>
    </w:p>
    <w:p>
      <w:pPr>
        <w:pStyle w:val="19"/>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6、符合《政府采购促进中小企业发展暂行办法》、《关于政府采购支持监狱企业发展有关问题的通知》和《三部门联合发布关于促进残疾人就业政府采购政策的通知》价格扣减条件的供应商须提交）</w:t>
      </w:r>
    </w:p>
    <w:p>
      <w:pPr>
        <w:pStyle w:val="19"/>
        <w:ind w:left="311" w:leftChars="148" w:firstLine="228"/>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6-1《供应商企业（单位）类型声明函》（磋商文件格式十一）</w:t>
      </w:r>
    </w:p>
    <w:p>
      <w:pPr>
        <w:pStyle w:val="19"/>
        <w:ind w:left="311" w:leftChars="148" w:firstLine="228"/>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6-2《制造商供应商企业（单位）类型声明函》（磋商文件格式十二）</w:t>
      </w:r>
    </w:p>
    <w:p>
      <w:pPr>
        <w:pStyle w:val="19"/>
        <w:ind w:left="311" w:leftChars="148" w:firstLine="228"/>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6-3《残疾人福利性单位声明函》（磋商文件格式十三）</w:t>
      </w:r>
    </w:p>
    <w:p>
      <w:pPr>
        <w:pStyle w:val="19"/>
        <w:ind w:left="311" w:leftChars="148" w:firstLine="228"/>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7、供应商关联单位的说明（格式自拟）</w:t>
      </w:r>
    </w:p>
    <w:p>
      <w:pPr>
        <w:spacing w:line="360" w:lineRule="exact"/>
        <w:ind w:firstLine="480" w:firstLineChars="200"/>
        <w:rPr>
          <w:rFonts w:ascii="微软雅黑" w:hAnsi="微软雅黑" w:eastAsia="微软雅黑" w:cs="微软雅黑"/>
          <w:bCs/>
          <w:color w:val="auto"/>
          <w:sz w:val="24"/>
        </w:rPr>
      </w:pPr>
      <w:bookmarkStart w:id="367" w:name="_Toc9302"/>
      <w:bookmarkStart w:id="368" w:name="_Toc30163"/>
      <w:r>
        <w:rPr>
          <w:rFonts w:hint="eastAsia" w:ascii="微软雅黑" w:hAnsi="微软雅黑" w:eastAsia="微软雅黑" w:cs="微软雅黑"/>
          <w:bCs/>
          <w:color w:val="auto"/>
          <w:sz w:val="24"/>
        </w:rPr>
        <w:t>8、提供有利于磋商的其他证明材料</w:t>
      </w:r>
      <w:bookmarkEnd w:id="367"/>
      <w:bookmarkEnd w:id="368"/>
    </w:p>
    <w:p>
      <w:pPr>
        <w:spacing w:line="240" w:lineRule="atLeast"/>
        <w:ind w:left="1079" w:leftChars="257" w:hanging="539"/>
        <w:rPr>
          <w:rFonts w:ascii="微软雅黑" w:hAnsi="微软雅黑" w:eastAsia="微软雅黑" w:cs="微软雅黑"/>
          <w:color w:val="auto"/>
          <w:sz w:val="24"/>
        </w:rPr>
      </w:pPr>
      <w:r>
        <w:rPr>
          <w:rFonts w:hint="eastAsia" w:ascii="微软雅黑" w:hAnsi="微软雅黑" w:eastAsia="微软雅黑" w:cs="微软雅黑"/>
          <w:color w:val="auto"/>
          <w:sz w:val="24"/>
        </w:rPr>
        <w:t>9、磋商文件格式范本</w:t>
      </w:r>
    </w:p>
    <w:p>
      <w:pPr>
        <w:pStyle w:val="19"/>
        <w:ind w:left="1080" w:leftChars="257" w:hanging="540"/>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6"/>
        <w:spacing w:before="0" w:line="240" w:lineRule="atLeast"/>
        <w:ind w:left="1080" w:leftChars="257" w:hanging="540"/>
        <w:rPr>
          <w:rFonts w:ascii="微软雅黑" w:hAnsi="微软雅黑" w:eastAsia="微软雅黑" w:cs="微软雅黑"/>
          <w:color w:val="auto"/>
          <w:sz w:val="24"/>
        </w:rPr>
      </w:pPr>
      <w:bookmarkStart w:id="369" w:name="_Toc2041"/>
      <w:bookmarkStart w:id="370" w:name="_Toc515647817"/>
      <w:bookmarkStart w:id="371" w:name="_Toc18614"/>
      <w:bookmarkStart w:id="372" w:name="_Toc14915"/>
      <w:bookmarkStart w:id="373" w:name="_Toc18506"/>
      <w:bookmarkStart w:id="374" w:name="_Toc8940"/>
      <w:bookmarkStart w:id="375" w:name="_Toc11475"/>
      <w:bookmarkStart w:id="376" w:name="_Toc12852"/>
      <w:bookmarkStart w:id="377" w:name="_Toc14858"/>
      <w:bookmarkStart w:id="378" w:name="_Toc22432"/>
      <w:r>
        <w:rPr>
          <w:rFonts w:hint="eastAsia" w:ascii="微软雅黑" w:hAnsi="微软雅黑" w:eastAsia="微软雅黑" w:cs="微软雅黑"/>
          <w:color w:val="auto"/>
          <w:sz w:val="24"/>
          <w:szCs w:val="24"/>
        </w:rPr>
        <w:t xml:space="preserve">1   </w:t>
      </w:r>
      <w:bookmarkEnd w:id="294"/>
      <w:bookmarkEnd w:id="295"/>
      <w:bookmarkStart w:id="379" w:name="_Hlt520355504"/>
      <w:bookmarkEnd w:id="379"/>
      <w:r>
        <w:rPr>
          <w:rFonts w:hint="eastAsia" w:ascii="微软雅黑" w:hAnsi="微软雅黑" w:eastAsia="微软雅黑" w:cs="微软雅黑"/>
          <w:color w:val="auto"/>
          <w:sz w:val="24"/>
          <w:szCs w:val="24"/>
        </w:rPr>
        <w:t>磋商书</w:t>
      </w:r>
      <w:bookmarkEnd w:id="296"/>
      <w:r>
        <w:rPr>
          <w:rFonts w:hint="eastAsia" w:ascii="微软雅黑" w:hAnsi="微软雅黑" w:eastAsia="微软雅黑" w:cs="微软雅黑"/>
          <w:color w:val="auto"/>
          <w:sz w:val="24"/>
          <w:szCs w:val="24"/>
        </w:rPr>
        <w:t>（磋商文件格式五）</w:t>
      </w:r>
      <w:bookmarkEnd w:id="297"/>
      <w:bookmarkEnd w:id="369"/>
      <w:bookmarkEnd w:id="370"/>
      <w:bookmarkEnd w:id="371"/>
      <w:bookmarkEnd w:id="372"/>
      <w:bookmarkEnd w:id="373"/>
      <w:bookmarkEnd w:id="374"/>
      <w:bookmarkEnd w:id="375"/>
      <w:bookmarkEnd w:id="376"/>
      <w:bookmarkEnd w:id="377"/>
      <w:bookmarkEnd w:id="378"/>
    </w:p>
    <w:p>
      <w:pPr>
        <w:tabs>
          <w:tab w:val="left" w:pos="5580"/>
        </w:tabs>
        <w:spacing w:line="240" w:lineRule="atLeast"/>
        <w:ind w:left="1080" w:hanging="1080"/>
        <w:rPr>
          <w:rFonts w:ascii="微软雅黑" w:hAnsi="微软雅黑" w:eastAsia="微软雅黑" w:cs="微软雅黑"/>
          <w:color w:val="auto"/>
          <w:sz w:val="24"/>
        </w:rPr>
      </w:pPr>
      <w:r>
        <w:rPr>
          <w:rFonts w:hint="eastAsia" w:ascii="微软雅黑" w:hAnsi="微软雅黑" w:eastAsia="微软雅黑" w:cs="微软雅黑"/>
          <w:color w:val="auto"/>
          <w:sz w:val="24"/>
        </w:rPr>
        <w:t>致：</w:t>
      </w:r>
    </w:p>
    <w:p>
      <w:pPr>
        <w:pStyle w:val="19"/>
        <w:tabs>
          <w:tab w:val="left" w:pos="5580"/>
        </w:tabs>
        <w:spacing w:line="240" w:lineRule="atLeast"/>
        <w:ind w:left="2" w:leftChars="1"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w:t>
      </w:r>
      <w:r>
        <w:rPr>
          <w:rFonts w:hint="eastAsia" w:ascii="微软雅黑" w:hAnsi="微软雅黑" w:eastAsia="微软雅黑" w:cs="微软雅黑"/>
          <w:i/>
          <w:color w:val="auto"/>
          <w:sz w:val="24"/>
          <w:szCs w:val="24"/>
          <w:u w:val="single"/>
        </w:rPr>
        <w:t>项目名称</w:t>
      </w:r>
      <w:r>
        <w:rPr>
          <w:rFonts w:hint="eastAsia" w:ascii="微软雅黑" w:hAnsi="微软雅黑" w:eastAsia="微软雅黑" w:cs="微软雅黑"/>
          <w:color w:val="auto"/>
          <w:sz w:val="24"/>
          <w:szCs w:val="24"/>
        </w:rPr>
        <w:t>)项目的磋商邀请(</w:t>
      </w:r>
      <w:r>
        <w:rPr>
          <w:rFonts w:hint="eastAsia" w:ascii="微软雅黑" w:hAnsi="微软雅黑" w:eastAsia="微软雅黑" w:cs="微软雅黑"/>
          <w:i/>
          <w:color w:val="auto"/>
          <w:sz w:val="24"/>
          <w:szCs w:val="24"/>
          <w:u w:val="single"/>
        </w:rPr>
        <w:t>招标编号</w:t>
      </w:r>
      <w:r>
        <w:rPr>
          <w:rFonts w:hint="eastAsia" w:ascii="微软雅黑" w:hAnsi="微软雅黑" w:eastAsia="微软雅黑" w:cs="微软雅黑"/>
          <w:color w:val="auto"/>
          <w:sz w:val="24"/>
          <w:szCs w:val="24"/>
        </w:rPr>
        <w:t>),签字代表(</w:t>
      </w:r>
      <w:r>
        <w:rPr>
          <w:rFonts w:hint="eastAsia" w:ascii="微软雅黑" w:hAnsi="微软雅黑" w:eastAsia="微软雅黑" w:cs="微软雅黑"/>
          <w:i/>
          <w:color w:val="auto"/>
          <w:sz w:val="24"/>
          <w:szCs w:val="24"/>
          <w:u w:val="single"/>
        </w:rPr>
        <w:t>姓名、职务</w:t>
      </w:r>
      <w:r>
        <w:rPr>
          <w:rFonts w:hint="eastAsia" w:ascii="微软雅黑" w:hAnsi="微软雅黑" w:eastAsia="微软雅黑" w:cs="微软雅黑"/>
          <w:color w:val="auto"/>
          <w:sz w:val="24"/>
          <w:szCs w:val="24"/>
        </w:rPr>
        <w:t>)经正式授权并代表供应商（</w:t>
      </w:r>
      <w:r>
        <w:rPr>
          <w:rFonts w:hint="eastAsia" w:ascii="微软雅黑" w:hAnsi="微软雅黑" w:eastAsia="微软雅黑" w:cs="微软雅黑"/>
          <w:i/>
          <w:color w:val="auto"/>
          <w:sz w:val="24"/>
          <w:szCs w:val="24"/>
          <w:u w:val="single"/>
        </w:rPr>
        <w:t>名称、地址</w:t>
      </w:r>
      <w:r>
        <w:rPr>
          <w:rFonts w:hint="eastAsia" w:ascii="微软雅黑" w:hAnsi="微软雅黑" w:eastAsia="微软雅黑" w:cs="微软雅黑"/>
          <w:color w:val="auto"/>
          <w:sz w:val="24"/>
          <w:szCs w:val="24"/>
        </w:rPr>
        <w:t>）提交下述文件正本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份、副本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份及电子文档</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份，并以</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形式出具的金额为人民币</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元的磋商保证金。</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据此，签字代表宣布同意如下：</w:t>
      </w:r>
    </w:p>
    <w:p>
      <w:pPr>
        <w:pStyle w:val="19"/>
        <w:tabs>
          <w:tab w:val="left" w:pos="720"/>
          <w:tab w:val="left" w:pos="900"/>
        </w:tabs>
        <w:spacing w:line="240" w:lineRule="atLeast"/>
        <w:ind w:left="769" w:leftChars="257" w:hanging="229"/>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（1）附磋商价格表中规定的应提供</w:t>
      </w:r>
      <w:r>
        <w:rPr>
          <w:rFonts w:hint="eastAsia" w:ascii="微软雅黑" w:hAnsi="微软雅黑" w:eastAsia="微软雅黑" w:cs="微软雅黑"/>
          <w:color w:val="auto"/>
          <w:sz w:val="24"/>
          <w:szCs w:val="24"/>
          <w:lang w:val="en-US" w:eastAsia="zh-CN"/>
        </w:rPr>
        <w:t>货物</w:t>
      </w:r>
      <w:r>
        <w:rPr>
          <w:rFonts w:hint="eastAsia" w:ascii="微软雅黑" w:hAnsi="微软雅黑" w:eastAsia="微软雅黑" w:cs="微软雅黑"/>
          <w:color w:val="auto"/>
          <w:sz w:val="24"/>
          <w:szCs w:val="24"/>
        </w:rPr>
        <w:t>的磋商总价详见磋商开启一览表，</w:t>
      </w:r>
      <w:r>
        <w:rPr>
          <w:rFonts w:hint="eastAsia" w:ascii="微软雅黑" w:hAnsi="微软雅黑" w:eastAsia="微软雅黑" w:cs="微软雅黑"/>
          <w:color w:val="auto"/>
          <w:sz w:val="24"/>
          <w:szCs w:val="24"/>
          <w:u w:val="single"/>
        </w:rPr>
        <w:t>其中由小型和</w:t>
      </w:r>
      <w:r>
        <w:rPr>
          <w:rFonts w:hint="eastAsia" w:ascii="微软雅黑" w:hAnsi="微软雅黑" w:eastAsia="微软雅黑" w:cs="微软雅黑"/>
          <w:color w:val="auto"/>
          <w:sz w:val="24"/>
          <w:szCs w:val="24"/>
        </w:rPr>
        <w:t>微型企业制造产品的价格为</w:t>
      </w:r>
      <w:r>
        <w:rPr>
          <w:rFonts w:hint="eastAsia" w:ascii="微软雅黑" w:hAnsi="微软雅黑" w:eastAsia="微软雅黑" w:cs="微软雅黑"/>
          <w:color w:val="auto"/>
          <w:sz w:val="24"/>
          <w:szCs w:val="24"/>
          <w:u w:val="single"/>
        </w:rPr>
        <w:t>　　  （用文字和数字表示），占磋商总价   %</w:t>
      </w:r>
      <w:r>
        <w:rPr>
          <w:rFonts w:hint="eastAsia" w:ascii="微软雅黑" w:hAnsi="微软雅黑" w:eastAsia="微软雅黑" w:cs="微软雅黑"/>
          <w:color w:val="auto"/>
          <w:sz w:val="24"/>
          <w:szCs w:val="24"/>
        </w:rPr>
        <w:t>。</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（2）本磋商有效期为自磋商截止之日起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个日历日。</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（3）联合体中的大中型企业和其他自然人、法人或者非法人组织，与联合体中的小型、微型企业之间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存在、不存在）投资关系（如果是联合体的话）。</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（4）已详细审查全部磋商文件，包括所有补充通知（如果有的话），完全理解并同意放弃对这方面有不明、误解和质疑的权力。</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（5）在规定的磋商开启时间后，遵守磋商文件中有关保证金的规定。</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（6）我方不是为本项目提供整体设计、规范编制或者项目管理、监理、检测等</w:t>
      </w:r>
      <w:r>
        <w:rPr>
          <w:rFonts w:hint="eastAsia" w:ascii="微软雅黑" w:hAnsi="微软雅黑" w:eastAsia="微软雅黑" w:cs="微软雅黑"/>
          <w:color w:val="auto"/>
          <w:sz w:val="24"/>
          <w:szCs w:val="24"/>
          <w:lang w:val="en-US" w:eastAsia="zh-CN"/>
        </w:rPr>
        <w:t>货物</w:t>
      </w:r>
      <w:r>
        <w:rPr>
          <w:rFonts w:hint="eastAsia" w:ascii="微软雅黑" w:hAnsi="微软雅黑" w:eastAsia="微软雅黑" w:cs="微软雅黑"/>
          <w:color w:val="auto"/>
          <w:sz w:val="24"/>
          <w:szCs w:val="24"/>
        </w:rPr>
        <w:t>的供应商，我方不是采购代理机构的附属机构。</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（7）在领取成交通知书的同时按磋商文件规定的形式，向贵方一次性支付成交</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费。</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（8）按照贵方可能要求，提供与其磋商有关的一切数据或资料，完全理解贵方不一定接受最低价的磋商或收到的任何磋商。</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（9）按照磋商文件的规定履行合同责任和义务。</w:t>
      </w:r>
    </w:p>
    <w:p>
      <w:pPr>
        <w:pStyle w:val="19"/>
        <w:tabs>
          <w:tab w:val="left" w:pos="5580"/>
        </w:tabs>
        <w:spacing w:line="240" w:lineRule="atLeast"/>
        <w:ind w:left="359" w:leftChars="68" w:hanging="216" w:hangingChars="9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与本磋商有关的一切正式往来信函请寄：</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传真</w:t>
      </w:r>
      <w:r>
        <w:rPr>
          <w:rFonts w:hint="eastAsia" w:ascii="微软雅黑" w:hAnsi="微软雅黑" w:eastAsia="微软雅黑" w:cs="微软雅黑"/>
          <w:color w:val="auto"/>
          <w:sz w:val="24"/>
          <w:szCs w:val="24"/>
          <w:u w:val="single"/>
        </w:rPr>
        <w:t xml:space="preserve">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电子函件</w:t>
      </w:r>
      <w:r>
        <w:rPr>
          <w:rFonts w:hint="eastAsia" w:ascii="微软雅黑" w:hAnsi="微软雅黑" w:eastAsia="微软雅黑" w:cs="微软雅黑"/>
          <w:color w:val="auto"/>
          <w:sz w:val="24"/>
          <w:szCs w:val="24"/>
          <w:u w:val="single"/>
        </w:rPr>
        <w:t xml:space="preserve">                         </w:t>
      </w:r>
    </w:p>
    <w:p>
      <w:pPr>
        <w:pStyle w:val="19"/>
        <w:tabs>
          <w:tab w:val="left" w:pos="558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rPr>
        <w:t xml:space="preserve">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供应商名称（全称）</w:t>
      </w:r>
      <w:r>
        <w:rPr>
          <w:rFonts w:hint="eastAsia" w:ascii="微软雅黑" w:hAnsi="微软雅黑" w:eastAsia="微软雅黑" w:cs="微软雅黑"/>
          <w:color w:val="auto"/>
          <w:sz w:val="24"/>
          <w:szCs w:val="24"/>
          <w:u w:val="single"/>
        </w:rPr>
        <w:t xml:space="preserve">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供应商开户银行（全称）</w:t>
      </w:r>
      <w:r>
        <w:rPr>
          <w:rFonts w:hint="eastAsia" w:ascii="微软雅黑" w:hAnsi="微软雅黑" w:eastAsia="微软雅黑" w:cs="微软雅黑"/>
          <w:color w:val="auto"/>
          <w:sz w:val="24"/>
          <w:szCs w:val="24"/>
          <w:u w:val="single"/>
        </w:rPr>
        <w:t xml:space="preserve">　　　　　　 </w:t>
      </w:r>
    </w:p>
    <w:p>
      <w:pPr>
        <w:pStyle w:val="19"/>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供应商银行帐号</w:t>
      </w:r>
      <w:r>
        <w:rPr>
          <w:rFonts w:hint="eastAsia" w:ascii="微软雅黑" w:hAnsi="微软雅黑" w:eastAsia="微软雅黑" w:cs="微软雅黑"/>
          <w:color w:val="auto"/>
          <w:sz w:val="24"/>
          <w:szCs w:val="24"/>
          <w:u w:val="single"/>
        </w:rPr>
        <w:t>　　　　　　　　 　　</w:t>
      </w:r>
    </w:p>
    <w:p>
      <w:pPr>
        <w:pStyle w:val="19"/>
        <w:tabs>
          <w:tab w:val="left" w:pos="558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w:t>
      </w:r>
      <w:bookmarkStart w:id="380" w:name="_Toc216582815"/>
      <w:bookmarkStart w:id="381" w:name="_Toc20897"/>
      <w:bookmarkStart w:id="382" w:name="_Toc1881"/>
      <w:bookmarkStart w:id="383" w:name="_Toc515647818"/>
    </w:p>
    <w:p>
      <w:pPr>
        <w:pStyle w:val="6"/>
        <w:spacing w:before="0" w:line="240" w:lineRule="atLeast"/>
        <w:ind w:left="1080" w:leftChars="257" w:hanging="540"/>
        <w:rPr>
          <w:rFonts w:hint="eastAsia" w:ascii="微软雅黑" w:hAnsi="微软雅黑" w:eastAsia="微软雅黑" w:cs="微软雅黑"/>
          <w:color w:val="auto"/>
          <w:sz w:val="24"/>
          <w:szCs w:val="24"/>
        </w:rPr>
      </w:pPr>
      <w:bookmarkStart w:id="384" w:name="_Toc22674"/>
      <w:bookmarkStart w:id="385" w:name="_Toc23248"/>
      <w:bookmarkStart w:id="386" w:name="_Toc18221"/>
      <w:bookmarkStart w:id="387" w:name="_Toc12874"/>
      <w:bookmarkStart w:id="388" w:name="_Toc23321"/>
      <w:bookmarkStart w:id="389" w:name="_Toc16705"/>
      <w:bookmarkStart w:id="390" w:name="_Toc29155"/>
    </w:p>
    <w:p>
      <w:pPr>
        <w:pStyle w:val="6"/>
        <w:spacing w:before="0" w:line="240" w:lineRule="atLeast"/>
        <w:jc w:val="both"/>
        <w:rPr>
          <w:rFonts w:hint="eastAsia" w:ascii="微软雅黑" w:hAnsi="微软雅黑" w:eastAsia="微软雅黑" w:cs="微软雅黑"/>
          <w:color w:val="auto"/>
          <w:sz w:val="24"/>
          <w:szCs w:val="24"/>
        </w:rPr>
      </w:pPr>
    </w:p>
    <w:p>
      <w:pPr>
        <w:pStyle w:val="6"/>
        <w:spacing w:before="0" w:line="240" w:lineRule="atLeast"/>
        <w:ind w:left="1080" w:leftChars="257" w:hanging="540"/>
        <w:rPr>
          <w:rFonts w:hint="eastAsia" w:ascii="微软雅黑" w:hAnsi="微软雅黑" w:eastAsia="微软雅黑" w:cs="微软雅黑"/>
          <w:color w:val="auto"/>
          <w:sz w:val="24"/>
          <w:szCs w:val="24"/>
        </w:rPr>
      </w:pPr>
    </w:p>
    <w:p>
      <w:pPr>
        <w:pStyle w:val="6"/>
        <w:spacing w:before="0"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   磋商分项报价表</w:t>
      </w:r>
      <w:bookmarkEnd w:id="380"/>
      <w:r>
        <w:rPr>
          <w:rFonts w:hint="eastAsia" w:ascii="微软雅黑" w:hAnsi="微软雅黑" w:eastAsia="微软雅黑" w:cs="微软雅黑"/>
          <w:color w:val="auto"/>
          <w:sz w:val="24"/>
          <w:szCs w:val="24"/>
        </w:rPr>
        <w:t>（磋商文件格式七）</w:t>
      </w:r>
      <w:bookmarkEnd w:id="381"/>
      <w:bookmarkEnd w:id="382"/>
      <w:bookmarkEnd w:id="383"/>
      <w:bookmarkEnd w:id="384"/>
      <w:bookmarkEnd w:id="385"/>
      <w:bookmarkEnd w:id="386"/>
      <w:bookmarkEnd w:id="387"/>
      <w:bookmarkEnd w:id="388"/>
      <w:bookmarkEnd w:id="389"/>
      <w:bookmarkEnd w:id="390"/>
    </w:p>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                      招标编号:                         包号: 　 　报价单位：人民币元</w:t>
      </w:r>
    </w:p>
    <w:tbl>
      <w:tblPr>
        <w:tblStyle w:val="37"/>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2420"/>
        <w:gridCol w:w="1425"/>
        <w:gridCol w:w="1245"/>
        <w:gridCol w:w="1594"/>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vAlign w:val="center"/>
          </w:tcPr>
          <w:p>
            <w:pPr>
              <w:pStyle w:val="19"/>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336" w:type="dxa"/>
            <w:vAlign w:val="center"/>
          </w:tcPr>
          <w:p>
            <w:pPr>
              <w:pStyle w:val="19"/>
              <w:spacing w:line="240" w:lineRule="atLeas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名称</w:t>
            </w:r>
          </w:p>
        </w:tc>
        <w:tc>
          <w:tcPr>
            <w:tcW w:w="2420" w:type="dxa"/>
            <w:vAlign w:val="center"/>
          </w:tcPr>
          <w:p>
            <w:pPr>
              <w:pStyle w:val="19"/>
              <w:spacing w:line="240" w:lineRule="atLeast"/>
              <w:ind w:firstLine="960" w:firstLineChars="400"/>
              <w:jc w:val="left"/>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规格</w:t>
            </w:r>
            <w:r>
              <w:rPr>
                <w:rFonts w:hint="eastAsia" w:ascii="微软雅黑" w:hAnsi="微软雅黑" w:eastAsia="微软雅黑" w:cs="微软雅黑"/>
                <w:color w:val="auto"/>
                <w:sz w:val="24"/>
                <w:szCs w:val="24"/>
                <w:lang w:val="en-US" w:eastAsia="zh-CN"/>
              </w:rPr>
              <w:t>及要求</w:t>
            </w:r>
          </w:p>
        </w:tc>
        <w:tc>
          <w:tcPr>
            <w:tcW w:w="1425" w:type="dxa"/>
            <w:vAlign w:val="center"/>
          </w:tcPr>
          <w:p>
            <w:pPr>
              <w:pStyle w:val="19"/>
              <w:spacing w:line="240" w:lineRule="atLeas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数量</w:t>
            </w:r>
          </w:p>
        </w:tc>
        <w:tc>
          <w:tcPr>
            <w:tcW w:w="1245" w:type="dxa"/>
            <w:vAlign w:val="center"/>
          </w:tcPr>
          <w:p>
            <w:pPr>
              <w:pStyle w:val="19"/>
              <w:spacing w:line="240" w:lineRule="atLeas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单价</w:t>
            </w:r>
          </w:p>
        </w:tc>
        <w:tc>
          <w:tcPr>
            <w:tcW w:w="1594" w:type="dxa"/>
            <w:vAlign w:val="center"/>
          </w:tcPr>
          <w:p>
            <w:pPr>
              <w:pStyle w:val="19"/>
              <w:spacing w:line="240" w:lineRule="atLeas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c>
          <w:tcPr>
            <w:tcW w:w="1107" w:type="dxa"/>
            <w:vAlign w:val="center"/>
          </w:tcPr>
          <w:p>
            <w:pPr>
              <w:pStyle w:val="19"/>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vAlign w:val="center"/>
          </w:tcPr>
          <w:p>
            <w:pPr>
              <w:pStyle w:val="19"/>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336" w:type="dxa"/>
            <w:vAlign w:val="center"/>
          </w:tcPr>
          <w:p>
            <w:pPr>
              <w:pStyle w:val="19"/>
              <w:spacing w:line="240" w:lineRule="atLeast"/>
              <w:jc w:val="left"/>
              <w:rPr>
                <w:rFonts w:ascii="微软雅黑" w:hAnsi="微软雅黑" w:eastAsia="微软雅黑" w:cs="微软雅黑"/>
                <w:color w:val="auto"/>
                <w:sz w:val="24"/>
                <w:szCs w:val="24"/>
              </w:rPr>
            </w:pPr>
          </w:p>
        </w:tc>
        <w:tc>
          <w:tcPr>
            <w:tcW w:w="2420"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42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24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594"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107"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vAlign w:val="center"/>
          </w:tcPr>
          <w:p>
            <w:pPr>
              <w:pStyle w:val="19"/>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1336" w:type="dxa"/>
            <w:vAlign w:val="center"/>
          </w:tcPr>
          <w:p>
            <w:pPr>
              <w:pStyle w:val="19"/>
              <w:spacing w:line="240" w:lineRule="atLeast"/>
              <w:jc w:val="left"/>
              <w:rPr>
                <w:rFonts w:ascii="微软雅黑" w:hAnsi="微软雅黑" w:eastAsia="微软雅黑" w:cs="微软雅黑"/>
                <w:color w:val="auto"/>
                <w:sz w:val="24"/>
                <w:szCs w:val="24"/>
              </w:rPr>
            </w:pPr>
          </w:p>
        </w:tc>
        <w:tc>
          <w:tcPr>
            <w:tcW w:w="2420"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42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24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594"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107"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vAlign w:val="center"/>
          </w:tcPr>
          <w:p>
            <w:pPr>
              <w:pStyle w:val="19"/>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1336" w:type="dxa"/>
            <w:vAlign w:val="center"/>
          </w:tcPr>
          <w:p>
            <w:pPr>
              <w:pStyle w:val="19"/>
              <w:spacing w:line="240" w:lineRule="atLeast"/>
              <w:jc w:val="left"/>
              <w:rPr>
                <w:rFonts w:ascii="微软雅黑" w:hAnsi="微软雅黑" w:eastAsia="微软雅黑" w:cs="微软雅黑"/>
                <w:color w:val="auto"/>
                <w:sz w:val="24"/>
                <w:szCs w:val="24"/>
              </w:rPr>
            </w:pPr>
          </w:p>
        </w:tc>
        <w:tc>
          <w:tcPr>
            <w:tcW w:w="2420"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42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24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594"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107"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vAlign w:val="center"/>
          </w:tcPr>
          <w:p>
            <w:pPr>
              <w:pStyle w:val="19"/>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1336" w:type="dxa"/>
            <w:vAlign w:val="center"/>
          </w:tcPr>
          <w:p>
            <w:pPr>
              <w:pStyle w:val="19"/>
              <w:spacing w:line="240" w:lineRule="atLeast"/>
              <w:jc w:val="left"/>
              <w:rPr>
                <w:rFonts w:ascii="微软雅黑" w:hAnsi="微软雅黑" w:eastAsia="微软雅黑" w:cs="微软雅黑"/>
                <w:color w:val="auto"/>
                <w:sz w:val="24"/>
                <w:szCs w:val="24"/>
              </w:rPr>
            </w:pPr>
          </w:p>
        </w:tc>
        <w:tc>
          <w:tcPr>
            <w:tcW w:w="2420"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42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24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594"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107"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vAlign w:val="center"/>
          </w:tcPr>
          <w:p>
            <w:pPr>
              <w:pStyle w:val="19"/>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1336" w:type="dxa"/>
            <w:vAlign w:val="center"/>
          </w:tcPr>
          <w:p>
            <w:pPr>
              <w:pStyle w:val="19"/>
              <w:spacing w:line="240" w:lineRule="atLeast"/>
              <w:jc w:val="left"/>
              <w:rPr>
                <w:rFonts w:ascii="微软雅黑" w:hAnsi="微软雅黑" w:eastAsia="微软雅黑" w:cs="微软雅黑"/>
                <w:color w:val="auto"/>
                <w:sz w:val="24"/>
                <w:szCs w:val="24"/>
              </w:rPr>
            </w:pPr>
          </w:p>
        </w:tc>
        <w:tc>
          <w:tcPr>
            <w:tcW w:w="2420"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42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24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594"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107"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vAlign w:val="center"/>
          </w:tcPr>
          <w:p>
            <w:pPr>
              <w:pStyle w:val="19"/>
              <w:spacing w:line="240" w:lineRule="atLeast"/>
              <w:jc w:val="left"/>
              <w:rPr>
                <w:rFonts w:hint="default" w:ascii="微软雅黑" w:hAnsi="微软雅黑" w:eastAsia="微软雅黑" w:cs="微软雅黑"/>
                <w:color w:val="auto"/>
                <w:sz w:val="24"/>
                <w:szCs w:val="24"/>
                <w:lang w:val="en-US" w:eastAsia="zh-CN"/>
              </w:rPr>
            </w:pPr>
          </w:p>
        </w:tc>
        <w:tc>
          <w:tcPr>
            <w:tcW w:w="1336" w:type="dxa"/>
            <w:vAlign w:val="center"/>
          </w:tcPr>
          <w:p>
            <w:pPr>
              <w:pStyle w:val="19"/>
              <w:spacing w:line="240" w:lineRule="atLeast"/>
              <w:jc w:val="left"/>
              <w:rPr>
                <w:rFonts w:ascii="微软雅黑" w:hAnsi="微软雅黑" w:eastAsia="微软雅黑" w:cs="微软雅黑"/>
                <w:color w:val="auto"/>
                <w:sz w:val="24"/>
                <w:szCs w:val="24"/>
              </w:rPr>
            </w:pPr>
          </w:p>
        </w:tc>
        <w:tc>
          <w:tcPr>
            <w:tcW w:w="2420"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42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24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594"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107"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vAlign w:val="center"/>
          </w:tcPr>
          <w:p>
            <w:pPr>
              <w:pStyle w:val="19"/>
              <w:spacing w:line="240" w:lineRule="atLeast"/>
              <w:jc w:val="left"/>
              <w:rPr>
                <w:rFonts w:hint="default" w:ascii="微软雅黑" w:hAnsi="微软雅黑" w:eastAsia="微软雅黑" w:cs="微软雅黑"/>
                <w:color w:val="auto"/>
                <w:sz w:val="24"/>
                <w:szCs w:val="24"/>
                <w:lang w:val="en-US" w:eastAsia="zh-CN"/>
              </w:rPr>
            </w:pPr>
          </w:p>
        </w:tc>
        <w:tc>
          <w:tcPr>
            <w:tcW w:w="1336" w:type="dxa"/>
            <w:vAlign w:val="center"/>
          </w:tcPr>
          <w:p>
            <w:pPr>
              <w:pStyle w:val="19"/>
              <w:spacing w:line="240" w:lineRule="atLeast"/>
              <w:jc w:val="left"/>
              <w:rPr>
                <w:rFonts w:ascii="微软雅黑" w:hAnsi="微软雅黑" w:eastAsia="微软雅黑" w:cs="微软雅黑"/>
                <w:color w:val="auto"/>
                <w:sz w:val="24"/>
                <w:szCs w:val="24"/>
              </w:rPr>
            </w:pPr>
          </w:p>
        </w:tc>
        <w:tc>
          <w:tcPr>
            <w:tcW w:w="2420"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42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24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594"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107"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vAlign w:val="center"/>
          </w:tcPr>
          <w:p>
            <w:pPr>
              <w:pStyle w:val="19"/>
              <w:spacing w:line="240" w:lineRule="atLeast"/>
              <w:jc w:val="left"/>
              <w:rPr>
                <w:rFonts w:hint="default" w:ascii="微软雅黑" w:hAnsi="微软雅黑" w:eastAsia="微软雅黑" w:cs="微软雅黑"/>
                <w:color w:val="auto"/>
                <w:sz w:val="24"/>
                <w:szCs w:val="24"/>
                <w:lang w:val="en-US" w:eastAsia="zh-CN"/>
              </w:rPr>
            </w:pPr>
          </w:p>
        </w:tc>
        <w:tc>
          <w:tcPr>
            <w:tcW w:w="1336" w:type="dxa"/>
            <w:vAlign w:val="center"/>
          </w:tcPr>
          <w:p>
            <w:pPr>
              <w:pStyle w:val="19"/>
              <w:spacing w:line="240" w:lineRule="atLeast"/>
              <w:jc w:val="left"/>
              <w:rPr>
                <w:rFonts w:ascii="微软雅黑" w:hAnsi="微软雅黑" w:eastAsia="微软雅黑" w:cs="微软雅黑"/>
                <w:color w:val="auto"/>
                <w:sz w:val="24"/>
                <w:szCs w:val="24"/>
              </w:rPr>
            </w:pPr>
          </w:p>
        </w:tc>
        <w:tc>
          <w:tcPr>
            <w:tcW w:w="2420"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42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245"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594"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c>
          <w:tcPr>
            <w:tcW w:w="1107" w:type="dxa"/>
            <w:vAlign w:val="center"/>
          </w:tcPr>
          <w:p>
            <w:pPr>
              <w:pStyle w:val="19"/>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9881" w:type="dxa"/>
            <w:gridSpan w:val="7"/>
            <w:vAlign w:val="center"/>
          </w:tcPr>
          <w:p>
            <w:pPr>
              <w:pStyle w:val="19"/>
              <w:spacing w:line="240" w:lineRule="atLeast"/>
              <w:ind w:left="1080" w:leftChars="257" w:hanging="54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r>
    </w:tbl>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pPr>
        <w:pStyle w:val="19"/>
        <w:tabs>
          <w:tab w:val="left" w:pos="537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p>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.如果按单价计算的结果与总价不一致,以单价为准修正总价。</w:t>
      </w: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.如果不提供详细分项报价将视为没有实质性响应磋商文件。</w:t>
      </w: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.上述各项的详细分项报价，应另页描述。</w:t>
      </w: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.如果磋商开启一览表（报价表）内容与磋商文件中明细表内容不一致的，以磋商开启一览表（报价表）内容为准。</w:t>
      </w:r>
    </w:p>
    <w:p>
      <w:pPr>
        <w:autoSpaceDE w:val="0"/>
        <w:autoSpaceDN w:val="0"/>
        <w:adjustRightInd w:val="0"/>
        <w:spacing w:line="240" w:lineRule="atLeast"/>
        <w:ind w:left="1080" w:leftChars="257" w:hanging="540"/>
        <w:rPr>
          <w:rFonts w:ascii="微软雅黑" w:hAnsi="微软雅黑" w:eastAsia="微软雅黑" w:cs="微软雅黑"/>
          <w:color w:val="auto"/>
          <w:sz w:val="24"/>
        </w:rPr>
      </w:pPr>
    </w:p>
    <w:p>
      <w:pPr>
        <w:autoSpaceDE w:val="0"/>
        <w:autoSpaceDN w:val="0"/>
        <w:adjustRightInd w:val="0"/>
        <w:spacing w:line="240" w:lineRule="atLeast"/>
        <w:ind w:left="1080" w:leftChars="257" w:hanging="540"/>
        <w:rPr>
          <w:rFonts w:ascii="微软雅黑" w:hAnsi="微软雅黑" w:eastAsia="微软雅黑" w:cs="微软雅黑"/>
          <w:color w:val="auto"/>
          <w:sz w:val="24"/>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19"/>
        <w:spacing w:line="240" w:lineRule="atLeast"/>
        <w:rPr>
          <w:rFonts w:ascii="微软雅黑" w:hAnsi="微软雅黑" w:eastAsia="微软雅黑" w:cs="微软雅黑"/>
          <w:color w:val="auto"/>
          <w:sz w:val="24"/>
          <w:szCs w:val="24"/>
        </w:rPr>
      </w:pPr>
    </w:p>
    <w:p>
      <w:pPr>
        <w:pStyle w:val="6"/>
        <w:spacing w:before="0" w:line="240" w:lineRule="atLeast"/>
        <w:ind w:left="1080" w:leftChars="257" w:hanging="540"/>
        <w:rPr>
          <w:rFonts w:ascii="微软雅黑" w:hAnsi="微软雅黑" w:eastAsia="微软雅黑" w:cs="微软雅黑"/>
          <w:color w:val="auto"/>
          <w:sz w:val="24"/>
          <w:szCs w:val="24"/>
        </w:rPr>
      </w:pPr>
      <w:bookmarkStart w:id="391" w:name="_Toc216582816"/>
      <w:bookmarkStart w:id="392" w:name="_Toc14037"/>
      <w:bookmarkStart w:id="393" w:name="_Toc25251"/>
      <w:bookmarkStart w:id="394" w:name="_Toc22132"/>
      <w:bookmarkStart w:id="395" w:name="_Toc24292"/>
      <w:bookmarkStart w:id="396" w:name="_Toc12151"/>
      <w:bookmarkStart w:id="397" w:name="_Toc6343"/>
      <w:bookmarkStart w:id="398" w:name="_Toc515647819"/>
      <w:bookmarkStart w:id="399" w:name="_Toc9921"/>
      <w:bookmarkStart w:id="400" w:name="_Toc18267"/>
      <w:bookmarkStart w:id="401" w:name="_Toc22104"/>
      <w:r>
        <w:rPr>
          <w:rFonts w:hint="eastAsia" w:ascii="微软雅黑" w:hAnsi="微软雅黑" w:eastAsia="微软雅黑" w:cs="微软雅黑"/>
          <w:color w:val="auto"/>
          <w:sz w:val="24"/>
          <w:szCs w:val="24"/>
        </w:rPr>
        <w:t xml:space="preserve">3 </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说明一览表</w:t>
      </w:r>
      <w:bookmarkEnd w:id="391"/>
      <w:r>
        <w:rPr>
          <w:rFonts w:hint="eastAsia" w:ascii="微软雅黑" w:hAnsi="微软雅黑" w:eastAsia="微软雅黑" w:cs="微软雅黑"/>
          <w:color w:val="auto"/>
          <w:sz w:val="24"/>
          <w:szCs w:val="24"/>
        </w:rPr>
        <w:t>（磋商文件格式八）</w:t>
      </w:r>
      <w:bookmarkEnd w:id="392"/>
      <w:bookmarkEnd w:id="393"/>
      <w:bookmarkEnd w:id="394"/>
      <w:bookmarkEnd w:id="395"/>
      <w:bookmarkEnd w:id="396"/>
      <w:bookmarkEnd w:id="397"/>
      <w:bookmarkEnd w:id="398"/>
      <w:bookmarkEnd w:id="399"/>
      <w:bookmarkEnd w:id="400"/>
      <w:bookmarkEnd w:id="401"/>
    </w:p>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w:t>
      </w: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招标编号:                       包号:                      </w:t>
      </w:r>
    </w:p>
    <w:p>
      <w:pPr>
        <w:pStyle w:val="19"/>
        <w:spacing w:line="240" w:lineRule="atLeast"/>
        <w:ind w:left="1080" w:leftChars="257" w:hanging="540"/>
        <w:rPr>
          <w:rFonts w:ascii="微软雅黑" w:hAnsi="微软雅黑" w:eastAsia="微软雅黑" w:cs="微软雅黑"/>
          <w:color w:val="auto"/>
          <w:sz w:val="24"/>
          <w:szCs w:val="24"/>
        </w:rPr>
      </w:pPr>
    </w:p>
    <w:tbl>
      <w:tblPr>
        <w:tblStyle w:val="37"/>
        <w:tblW w:w="8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63"/>
        <w:gridCol w:w="2008"/>
        <w:gridCol w:w="1221"/>
        <w:gridCol w:w="1266"/>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15"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363"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名称</w:t>
            </w:r>
          </w:p>
        </w:tc>
        <w:tc>
          <w:tcPr>
            <w:tcW w:w="2008"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内容</w:t>
            </w:r>
          </w:p>
        </w:tc>
        <w:tc>
          <w:tcPr>
            <w:tcW w:w="1221"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数量</w:t>
            </w:r>
          </w:p>
        </w:tc>
        <w:tc>
          <w:tcPr>
            <w:tcW w:w="1266" w:type="dxa"/>
            <w:vAlign w:val="center"/>
          </w:tcPr>
          <w:p>
            <w:pPr>
              <w:pStyle w:val="19"/>
              <w:spacing w:line="240" w:lineRule="atLeast"/>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单位</w:t>
            </w:r>
          </w:p>
        </w:tc>
        <w:tc>
          <w:tcPr>
            <w:tcW w:w="1091"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15" w:type="dxa"/>
          </w:tcPr>
          <w:p>
            <w:pPr>
              <w:pStyle w:val="19"/>
              <w:spacing w:line="240" w:lineRule="atLeast"/>
              <w:ind w:left="1080" w:leftChars="257" w:hanging="540"/>
              <w:rPr>
                <w:rFonts w:ascii="微软雅黑" w:hAnsi="微软雅黑" w:eastAsia="微软雅黑" w:cs="微软雅黑"/>
                <w:color w:val="auto"/>
                <w:sz w:val="24"/>
                <w:szCs w:val="24"/>
              </w:rPr>
            </w:pPr>
          </w:p>
        </w:tc>
        <w:tc>
          <w:tcPr>
            <w:tcW w:w="1363"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0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21"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6" w:type="dxa"/>
          </w:tcPr>
          <w:p>
            <w:pPr>
              <w:pStyle w:val="19"/>
              <w:spacing w:line="240" w:lineRule="atLeast"/>
              <w:ind w:left="1080" w:leftChars="257" w:hanging="540"/>
              <w:rPr>
                <w:rFonts w:ascii="微软雅黑" w:hAnsi="微软雅黑" w:eastAsia="微软雅黑" w:cs="微软雅黑"/>
                <w:color w:val="auto"/>
                <w:sz w:val="24"/>
                <w:szCs w:val="24"/>
              </w:rPr>
            </w:pPr>
          </w:p>
        </w:tc>
        <w:tc>
          <w:tcPr>
            <w:tcW w:w="1091"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15" w:type="dxa"/>
          </w:tcPr>
          <w:p>
            <w:pPr>
              <w:pStyle w:val="19"/>
              <w:spacing w:line="240" w:lineRule="atLeast"/>
              <w:ind w:left="1080" w:leftChars="257" w:hanging="540"/>
              <w:rPr>
                <w:rFonts w:ascii="微软雅黑" w:hAnsi="微软雅黑" w:eastAsia="微软雅黑" w:cs="微软雅黑"/>
                <w:color w:val="auto"/>
                <w:sz w:val="24"/>
                <w:szCs w:val="24"/>
              </w:rPr>
            </w:pPr>
          </w:p>
        </w:tc>
        <w:tc>
          <w:tcPr>
            <w:tcW w:w="1363"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0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21"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6" w:type="dxa"/>
          </w:tcPr>
          <w:p>
            <w:pPr>
              <w:pStyle w:val="19"/>
              <w:spacing w:line="240" w:lineRule="atLeast"/>
              <w:ind w:left="1080" w:leftChars="257" w:hanging="540"/>
              <w:rPr>
                <w:rFonts w:ascii="微软雅黑" w:hAnsi="微软雅黑" w:eastAsia="微软雅黑" w:cs="微软雅黑"/>
                <w:color w:val="auto"/>
                <w:sz w:val="24"/>
                <w:szCs w:val="24"/>
              </w:rPr>
            </w:pPr>
          </w:p>
        </w:tc>
        <w:tc>
          <w:tcPr>
            <w:tcW w:w="1091"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15" w:type="dxa"/>
          </w:tcPr>
          <w:p>
            <w:pPr>
              <w:pStyle w:val="19"/>
              <w:spacing w:line="240" w:lineRule="atLeast"/>
              <w:ind w:left="1080" w:leftChars="257" w:hanging="540"/>
              <w:rPr>
                <w:rFonts w:ascii="微软雅黑" w:hAnsi="微软雅黑" w:eastAsia="微软雅黑" w:cs="微软雅黑"/>
                <w:color w:val="auto"/>
                <w:sz w:val="24"/>
                <w:szCs w:val="24"/>
              </w:rPr>
            </w:pPr>
          </w:p>
        </w:tc>
        <w:tc>
          <w:tcPr>
            <w:tcW w:w="1363"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0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21"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6" w:type="dxa"/>
          </w:tcPr>
          <w:p>
            <w:pPr>
              <w:pStyle w:val="19"/>
              <w:spacing w:line="240" w:lineRule="atLeast"/>
              <w:ind w:left="1080" w:leftChars="257" w:hanging="540"/>
              <w:rPr>
                <w:rFonts w:ascii="微软雅黑" w:hAnsi="微软雅黑" w:eastAsia="微软雅黑" w:cs="微软雅黑"/>
                <w:color w:val="auto"/>
                <w:sz w:val="24"/>
                <w:szCs w:val="24"/>
              </w:rPr>
            </w:pPr>
          </w:p>
        </w:tc>
        <w:tc>
          <w:tcPr>
            <w:tcW w:w="1091"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15" w:type="dxa"/>
          </w:tcPr>
          <w:p>
            <w:pPr>
              <w:pStyle w:val="19"/>
              <w:spacing w:line="240" w:lineRule="atLeast"/>
              <w:ind w:left="1080" w:leftChars="257" w:hanging="540"/>
              <w:rPr>
                <w:rFonts w:ascii="微软雅黑" w:hAnsi="微软雅黑" w:eastAsia="微软雅黑" w:cs="微软雅黑"/>
                <w:color w:val="auto"/>
                <w:sz w:val="24"/>
                <w:szCs w:val="24"/>
              </w:rPr>
            </w:pPr>
          </w:p>
        </w:tc>
        <w:tc>
          <w:tcPr>
            <w:tcW w:w="1363"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0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21"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6" w:type="dxa"/>
          </w:tcPr>
          <w:p>
            <w:pPr>
              <w:pStyle w:val="19"/>
              <w:spacing w:line="240" w:lineRule="atLeast"/>
              <w:ind w:left="1080" w:leftChars="257" w:hanging="540"/>
              <w:rPr>
                <w:rFonts w:ascii="微软雅黑" w:hAnsi="微软雅黑" w:eastAsia="微软雅黑" w:cs="微软雅黑"/>
                <w:color w:val="auto"/>
                <w:sz w:val="24"/>
                <w:szCs w:val="24"/>
              </w:rPr>
            </w:pPr>
          </w:p>
        </w:tc>
        <w:tc>
          <w:tcPr>
            <w:tcW w:w="1091"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15" w:type="dxa"/>
          </w:tcPr>
          <w:p>
            <w:pPr>
              <w:pStyle w:val="19"/>
              <w:spacing w:line="240" w:lineRule="atLeast"/>
              <w:ind w:left="1080" w:leftChars="257" w:hanging="540"/>
              <w:rPr>
                <w:rFonts w:ascii="微软雅黑" w:hAnsi="微软雅黑" w:eastAsia="微软雅黑" w:cs="微软雅黑"/>
                <w:color w:val="auto"/>
                <w:sz w:val="24"/>
                <w:szCs w:val="24"/>
              </w:rPr>
            </w:pPr>
          </w:p>
        </w:tc>
        <w:tc>
          <w:tcPr>
            <w:tcW w:w="1363"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0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21"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6" w:type="dxa"/>
          </w:tcPr>
          <w:p>
            <w:pPr>
              <w:pStyle w:val="19"/>
              <w:spacing w:line="240" w:lineRule="atLeast"/>
              <w:ind w:left="1080" w:leftChars="257" w:hanging="540"/>
              <w:rPr>
                <w:rFonts w:ascii="微软雅黑" w:hAnsi="微软雅黑" w:eastAsia="微软雅黑" w:cs="微软雅黑"/>
                <w:color w:val="auto"/>
                <w:sz w:val="24"/>
                <w:szCs w:val="24"/>
              </w:rPr>
            </w:pPr>
          </w:p>
        </w:tc>
        <w:tc>
          <w:tcPr>
            <w:tcW w:w="1091"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15" w:type="dxa"/>
          </w:tcPr>
          <w:p>
            <w:pPr>
              <w:pStyle w:val="19"/>
              <w:spacing w:line="240" w:lineRule="atLeast"/>
              <w:ind w:left="1080" w:leftChars="257" w:hanging="540"/>
              <w:rPr>
                <w:rFonts w:ascii="微软雅黑" w:hAnsi="微软雅黑" w:eastAsia="微软雅黑" w:cs="微软雅黑"/>
                <w:color w:val="auto"/>
                <w:sz w:val="24"/>
                <w:szCs w:val="24"/>
              </w:rPr>
            </w:pPr>
          </w:p>
        </w:tc>
        <w:tc>
          <w:tcPr>
            <w:tcW w:w="1363"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0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21"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6" w:type="dxa"/>
          </w:tcPr>
          <w:p>
            <w:pPr>
              <w:pStyle w:val="19"/>
              <w:spacing w:line="240" w:lineRule="atLeast"/>
              <w:ind w:left="1080" w:leftChars="257" w:hanging="540"/>
              <w:rPr>
                <w:rFonts w:ascii="微软雅黑" w:hAnsi="微软雅黑" w:eastAsia="微软雅黑" w:cs="微软雅黑"/>
                <w:color w:val="auto"/>
                <w:sz w:val="24"/>
                <w:szCs w:val="24"/>
              </w:rPr>
            </w:pPr>
          </w:p>
        </w:tc>
        <w:tc>
          <w:tcPr>
            <w:tcW w:w="1091"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15" w:type="dxa"/>
          </w:tcPr>
          <w:p>
            <w:pPr>
              <w:pStyle w:val="19"/>
              <w:spacing w:line="240" w:lineRule="atLeast"/>
              <w:ind w:left="1080" w:leftChars="257" w:hanging="540"/>
              <w:rPr>
                <w:rFonts w:ascii="微软雅黑" w:hAnsi="微软雅黑" w:eastAsia="微软雅黑" w:cs="微软雅黑"/>
                <w:color w:val="auto"/>
                <w:sz w:val="24"/>
                <w:szCs w:val="24"/>
              </w:rPr>
            </w:pPr>
          </w:p>
        </w:tc>
        <w:tc>
          <w:tcPr>
            <w:tcW w:w="1363"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0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21"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6" w:type="dxa"/>
          </w:tcPr>
          <w:p>
            <w:pPr>
              <w:pStyle w:val="19"/>
              <w:spacing w:line="240" w:lineRule="atLeast"/>
              <w:ind w:left="1080" w:leftChars="257" w:hanging="540"/>
              <w:rPr>
                <w:rFonts w:ascii="微软雅黑" w:hAnsi="微软雅黑" w:eastAsia="微软雅黑" w:cs="微软雅黑"/>
                <w:color w:val="auto"/>
                <w:sz w:val="24"/>
                <w:szCs w:val="24"/>
              </w:rPr>
            </w:pPr>
          </w:p>
        </w:tc>
        <w:tc>
          <w:tcPr>
            <w:tcW w:w="1091"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15" w:type="dxa"/>
          </w:tcPr>
          <w:p>
            <w:pPr>
              <w:pStyle w:val="19"/>
              <w:spacing w:line="240" w:lineRule="atLeast"/>
              <w:ind w:left="1080" w:leftChars="257" w:hanging="540"/>
              <w:rPr>
                <w:rFonts w:ascii="微软雅黑" w:hAnsi="微软雅黑" w:eastAsia="微软雅黑" w:cs="微软雅黑"/>
                <w:color w:val="auto"/>
                <w:sz w:val="24"/>
                <w:szCs w:val="24"/>
              </w:rPr>
            </w:pPr>
          </w:p>
        </w:tc>
        <w:tc>
          <w:tcPr>
            <w:tcW w:w="1363"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0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21"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6" w:type="dxa"/>
          </w:tcPr>
          <w:p>
            <w:pPr>
              <w:pStyle w:val="19"/>
              <w:spacing w:line="240" w:lineRule="atLeast"/>
              <w:ind w:left="1080" w:leftChars="257" w:hanging="540"/>
              <w:rPr>
                <w:rFonts w:ascii="微软雅黑" w:hAnsi="微软雅黑" w:eastAsia="微软雅黑" w:cs="微软雅黑"/>
                <w:color w:val="auto"/>
                <w:sz w:val="24"/>
                <w:szCs w:val="24"/>
              </w:rPr>
            </w:pPr>
          </w:p>
        </w:tc>
        <w:tc>
          <w:tcPr>
            <w:tcW w:w="1091" w:type="dxa"/>
          </w:tcPr>
          <w:p>
            <w:pPr>
              <w:pStyle w:val="19"/>
              <w:spacing w:line="240" w:lineRule="atLeast"/>
              <w:ind w:left="1080" w:leftChars="257" w:hanging="540"/>
              <w:rPr>
                <w:rFonts w:ascii="微软雅黑" w:hAnsi="微软雅黑" w:eastAsia="微软雅黑" w:cs="微软雅黑"/>
                <w:color w:val="auto"/>
                <w:sz w:val="24"/>
                <w:szCs w:val="24"/>
              </w:rPr>
            </w:pPr>
          </w:p>
        </w:tc>
      </w:tr>
    </w:tbl>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pPr>
        <w:pStyle w:val="19"/>
        <w:tabs>
          <w:tab w:val="left" w:pos="537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p>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 各项</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详细技术性能应另页描述。</w:t>
      </w:r>
    </w:p>
    <w:p>
      <w:pPr>
        <w:pStyle w:val="19"/>
        <w:spacing w:line="240" w:lineRule="atLeast"/>
        <w:ind w:left="1080" w:leftChars="257" w:hanging="540"/>
        <w:jc w:val="center"/>
        <w:rPr>
          <w:rFonts w:ascii="微软雅黑" w:hAnsi="微软雅黑" w:eastAsia="微软雅黑" w:cs="微软雅黑"/>
          <w:color w:val="auto"/>
          <w:sz w:val="24"/>
          <w:szCs w:val="24"/>
        </w:rPr>
      </w:pPr>
    </w:p>
    <w:p>
      <w:pPr>
        <w:pStyle w:val="19"/>
        <w:spacing w:line="240" w:lineRule="atLeast"/>
        <w:ind w:left="1080" w:leftChars="257" w:hanging="540"/>
        <w:jc w:val="center"/>
        <w:rPr>
          <w:rFonts w:ascii="微软雅黑" w:hAnsi="微软雅黑" w:eastAsia="微软雅黑" w:cs="微软雅黑"/>
          <w:color w:val="auto"/>
          <w:sz w:val="24"/>
          <w:szCs w:val="24"/>
        </w:rPr>
        <w:sectPr>
          <w:footerReference r:id="rId4" w:type="default"/>
          <w:pgSz w:w="11906" w:h="16838"/>
          <w:pgMar w:top="1440" w:right="1797" w:bottom="1440" w:left="1797" w:header="851" w:footer="992" w:gutter="0"/>
          <w:pgNumType w:fmt="decimal" w:start="1"/>
          <w:cols w:space="720" w:num="1"/>
          <w:docGrid w:linePitch="312" w:charSpace="0"/>
        </w:sectPr>
      </w:pPr>
    </w:p>
    <w:p>
      <w:pPr>
        <w:pStyle w:val="6"/>
        <w:spacing w:before="0" w:line="240" w:lineRule="atLeast"/>
        <w:ind w:left="1080" w:leftChars="257" w:hanging="540"/>
        <w:rPr>
          <w:rFonts w:ascii="微软雅黑" w:hAnsi="微软雅黑" w:eastAsia="微软雅黑" w:cs="微软雅黑"/>
          <w:color w:val="auto"/>
          <w:sz w:val="24"/>
          <w:szCs w:val="24"/>
        </w:rPr>
      </w:pPr>
      <w:bookmarkStart w:id="402" w:name="_Toc216582817"/>
      <w:bookmarkStart w:id="403" w:name="_Toc338"/>
      <w:bookmarkStart w:id="404" w:name="_Toc4880"/>
      <w:bookmarkStart w:id="405" w:name="_Toc1130"/>
      <w:bookmarkStart w:id="406" w:name="_Toc1232"/>
      <w:bookmarkStart w:id="407" w:name="_Toc24864"/>
      <w:bookmarkStart w:id="408" w:name="_Toc28959"/>
      <w:bookmarkStart w:id="409" w:name="_Toc515647820"/>
      <w:bookmarkStart w:id="410" w:name="_Toc9012"/>
      <w:bookmarkStart w:id="411" w:name="_Toc32689"/>
      <w:bookmarkStart w:id="412" w:name="_Toc22563"/>
      <w:r>
        <w:rPr>
          <w:rFonts w:hint="eastAsia" w:ascii="微软雅黑" w:hAnsi="微软雅黑" w:eastAsia="微软雅黑" w:cs="微软雅黑"/>
          <w:color w:val="auto"/>
          <w:sz w:val="24"/>
          <w:szCs w:val="24"/>
        </w:rPr>
        <w:t>4  技术规格偏离表</w:t>
      </w:r>
      <w:bookmarkEnd w:id="402"/>
      <w:r>
        <w:rPr>
          <w:rFonts w:hint="eastAsia" w:ascii="微软雅黑" w:hAnsi="微软雅黑" w:eastAsia="微软雅黑" w:cs="微软雅黑"/>
          <w:color w:val="auto"/>
          <w:sz w:val="24"/>
          <w:szCs w:val="24"/>
        </w:rPr>
        <w:t>（磋商文件格式九）</w:t>
      </w:r>
      <w:bookmarkEnd w:id="403"/>
      <w:bookmarkEnd w:id="404"/>
      <w:bookmarkEnd w:id="405"/>
      <w:bookmarkEnd w:id="406"/>
      <w:bookmarkEnd w:id="407"/>
      <w:bookmarkEnd w:id="408"/>
      <w:bookmarkEnd w:id="409"/>
      <w:bookmarkEnd w:id="410"/>
      <w:bookmarkEnd w:id="411"/>
      <w:bookmarkEnd w:id="412"/>
    </w:p>
    <w:p>
      <w:pPr>
        <w:pStyle w:val="19"/>
        <w:spacing w:line="240" w:lineRule="atLeas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                       招标编号:                 包号:</w:t>
      </w:r>
    </w:p>
    <w:tbl>
      <w:tblPr>
        <w:tblStyle w:val="3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260"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名称</w:t>
            </w:r>
          </w:p>
        </w:tc>
        <w:tc>
          <w:tcPr>
            <w:tcW w:w="2340" w:type="dxa"/>
            <w:vAlign w:val="center"/>
          </w:tcPr>
          <w:p>
            <w:pPr>
              <w:pStyle w:val="19"/>
              <w:spacing w:line="240" w:lineRule="atLeast"/>
              <w:ind w:left="269" w:leftChars="128"/>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磋商文件条款号</w:t>
            </w:r>
          </w:p>
        </w:tc>
        <w:tc>
          <w:tcPr>
            <w:tcW w:w="1260"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招标规格</w:t>
            </w:r>
          </w:p>
        </w:tc>
        <w:tc>
          <w:tcPr>
            <w:tcW w:w="1260"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磋商规格</w:t>
            </w:r>
          </w:p>
        </w:tc>
        <w:tc>
          <w:tcPr>
            <w:tcW w:w="900"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偏离</w:t>
            </w:r>
          </w:p>
        </w:tc>
        <w:tc>
          <w:tcPr>
            <w:tcW w:w="900" w:type="dxa"/>
            <w:vAlign w:val="center"/>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3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126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bl>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pPr>
        <w:pStyle w:val="19"/>
        <w:tabs>
          <w:tab w:val="left" w:pos="537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19"/>
        <w:tabs>
          <w:tab w:val="left" w:pos="5580"/>
        </w:tabs>
        <w:spacing w:line="240" w:lineRule="atLeast"/>
        <w:rPr>
          <w:rFonts w:ascii="微软雅黑" w:hAnsi="微软雅黑" w:eastAsia="微软雅黑" w:cs="微软雅黑"/>
          <w:color w:val="auto"/>
          <w:sz w:val="24"/>
          <w:szCs w:val="24"/>
        </w:rPr>
      </w:pPr>
    </w:p>
    <w:p>
      <w:pPr>
        <w:pStyle w:val="6"/>
        <w:spacing w:before="0" w:line="240" w:lineRule="atLeast"/>
        <w:ind w:left="1080" w:leftChars="257" w:hanging="540"/>
        <w:rPr>
          <w:rFonts w:ascii="微软雅黑" w:hAnsi="微软雅黑" w:eastAsia="微软雅黑" w:cs="微软雅黑"/>
          <w:color w:val="auto"/>
          <w:sz w:val="24"/>
          <w:szCs w:val="24"/>
        </w:rPr>
      </w:pPr>
      <w:bookmarkStart w:id="413" w:name="_Toc216582818"/>
      <w:bookmarkStart w:id="414" w:name="_Toc1980"/>
      <w:bookmarkStart w:id="415" w:name="_Toc13810"/>
      <w:bookmarkStart w:id="416" w:name="_Toc3060"/>
      <w:bookmarkStart w:id="417" w:name="_Toc4467"/>
      <w:bookmarkStart w:id="418" w:name="_Toc515647821"/>
      <w:bookmarkStart w:id="419" w:name="_Toc3484"/>
      <w:bookmarkStart w:id="420" w:name="_Toc15724"/>
      <w:bookmarkStart w:id="421" w:name="_Toc3332"/>
      <w:bookmarkStart w:id="422" w:name="_Toc23"/>
      <w:bookmarkStart w:id="423" w:name="_Toc24350"/>
      <w:r>
        <w:rPr>
          <w:rFonts w:hint="eastAsia" w:ascii="微软雅黑" w:hAnsi="微软雅黑" w:eastAsia="微软雅黑" w:cs="微软雅黑"/>
          <w:color w:val="auto"/>
          <w:sz w:val="24"/>
          <w:szCs w:val="24"/>
        </w:rPr>
        <w:t>5   商务条款偏离表</w:t>
      </w:r>
      <w:bookmarkEnd w:id="413"/>
      <w:r>
        <w:rPr>
          <w:rFonts w:hint="eastAsia" w:ascii="微软雅黑" w:hAnsi="微软雅黑" w:eastAsia="微软雅黑" w:cs="微软雅黑"/>
          <w:color w:val="auto"/>
          <w:sz w:val="24"/>
          <w:szCs w:val="24"/>
        </w:rPr>
        <w:t>（磋商文件格式十）</w:t>
      </w:r>
      <w:bookmarkEnd w:id="414"/>
      <w:bookmarkEnd w:id="415"/>
      <w:bookmarkEnd w:id="416"/>
      <w:bookmarkEnd w:id="417"/>
      <w:bookmarkEnd w:id="418"/>
      <w:bookmarkEnd w:id="419"/>
      <w:bookmarkEnd w:id="420"/>
      <w:bookmarkEnd w:id="421"/>
      <w:bookmarkEnd w:id="422"/>
      <w:bookmarkEnd w:id="423"/>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w:t>
      </w: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招标编号:                                  包号:</w:t>
      </w:r>
    </w:p>
    <w:tbl>
      <w:tblPr>
        <w:tblStyle w:val="3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2040" w:type="dxa"/>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磋商文件条款号</w:t>
            </w:r>
          </w:p>
        </w:tc>
        <w:tc>
          <w:tcPr>
            <w:tcW w:w="2520" w:type="dxa"/>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磋商文件的商务条款</w:t>
            </w:r>
          </w:p>
        </w:tc>
        <w:tc>
          <w:tcPr>
            <w:tcW w:w="2520" w:type="dxa"/>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磋商文件的商务条款</w:t>
            </w:r>
          </w:p>
        </w:tc>
        <w:tc>
          <w:tcPr>
            <w:tcW w:w="900" w:type="dxa"/>
          </w:tcPr>
          <w:p>
            <w:pPr>
              <w:pStyle w:val="19"/>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jc w:val="center"/>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jc w:val="center"/>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9"/>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9"/>
              <w:spacing w:line="240" w:lineRule="atLeast"/>
              <w:ind w:left="1080" w:leftChars="257" w:hanging="540"/>
              <w:rPr>
                <w:rFonts w:ascii="微软雅黑" w:hAnsi="微软雅黑" w:eastAsia="微软雅黑" w:cs="微软雅黑"/>
                <w:color w:val="auto"/>
                <w:sz w:val="24"/>
                <w:szCs w:val="24"/>
              </w:rPr>
            </w:pPr>
          </w:p>
        </w:tc>
      </w:tr>
    </w:tbl>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p>
    <w:p>
      <w:pPr>
        <w:pStyle w:val="19"/>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法定代表人或其委托代理（签/章）: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pPr>
        <w:pStyle w:val="19"/>
        <w:tabs>
          <w:tab w:val="left" w:pos="537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p>
    <w:p>
      <w:pPr>
        <w:pStyle w:val="19"/>
        <w:spacing w:line="240" w:lineRule="atLeast"/>
        <w:rPr>
          <w:rFonts w:ascii="微软雅黑" w:hAnsi="微软雅黑" w:eastAsia="微软雅黑" w:cs="微软雅黑"/>
          <w:color w:val="auto"/>
          <w:sz w:val="24"/>
          <w:szCs w:val="24"/>
        </w:rPr>
      </w:pPr>
    </w:p>
    <w:p>
      <w:pPr>
        <w:pStyle w:val="19"/>
        <w:spacing w:line="240" w:lineRule="atLeast"/>
        <w:rPr>
          <w:rFonts w:ascii="微软雅黑" w:hAnsi="微软雅黑" w:eastAsia="微软雅黑" w:cs="微软雅黑"/>
          <w:color w:val="auto"/>
          <w:sz w:val="24"/>
          <w:szCs w:val="24"/>
        </w:rPr>
      </w:pPr>
    </w:p>
    <w:p>
      <w:pPr>
        <w:pStyle w:val="19"/>
        <w:spacing w:line="240" w:lineRule="atLeast"/>
        <w:rPr>
          <w:rFonts w:ascii="微软雅黑" w:hAnsi="微软雅黑" w:eastAsia="微软雅黑" w:cs="微软雅黑"/>
          <w:color w:val="auto"/>
          <w:sz w:val="24"/>
          <w:szCs w:val="24"/>
        </w:rPr>
      </w:pPr>
    </w:p>
    <w:p>
      <w:pPr>
        <w:pStyle w:val="6"/>
        <w:spacing w:before="0" w:line="240" w:lineRule="atLeast"/>
        <w:jc w:val="both"/>
        <w:rPr>
          <w:rFonts w:hint="eastAsia" w:ascii="微软雅黑" w:hAnsi="微软雅黑" w:eastAsia="微软雅黑" w:cs="微软雅黑"/>
          <w:color w:val="auto"/>
          <w:sz w:val="24"/>
          <w:szCs w:val="24"/>
        </w:rPr>
      </w:pPr>
      <w:bookmarkStart w:id="424" w:name="_Hlt520350918"/>
      <w:bookmarkEnd w:id="424"/>
      <w:bookmarkStart w:id="425" w:name="_Hlt520274911"/>
      <w:bookmarkEnd w:id="425"/>
      <w:bookmarkStart w:id="426" w:name="_Hlt520343392"/>
      <w:bookmarkEnd w:id="426"/>
      <w:bookmarkStart w:id="427" w:name="_Hlt520274065"/>
      <w:bookmarkEnd w:id="427"/>
      <w:bookmarkStart w:id="428" w:name="_Hlt520271212"/>
      <w:bookmarkEnd w:id="428"/>
      <w:bookmarkStart w:id="429" w:name="_Hlt520274407"/>
      <w:bookmarkEnd w:id="429"/>
      <w:bookmarkStart w:id="430" w:name="_Hlt520343000"/>
      <w:bookmarkEnd w:id="430"/>
      <w:bookmarkStart w:id="431" w:name="_Hlt520274393"/>
      <w:bookmarkEnd w:id="431"/>
      <w:bookmarkStart w:id="432" w:name="_Hlt520273711"/>
      <w:bookmarkEnd w:id="432"/>
      <w:bookmarkStart w:id="433" w:name="_Hlt520273973"/>
      <w:bookmarkEnd w:id="433"/>
      <w:bookmarkStart w:id="434" w:name="_Hlt520350957"/>
      <w:bookmarkEnd w:id="434"/>
      <w:bookmarkStart w:id="435" w:name="_Toc21312"/>
      <w:bookmarkStart w:id="436" w:name="_Toc10444"/>
      <w:bookmarkStart w:id="437" w:name="_Toc22578"/>
      <w:bookmarkStart w:id="438" w:name="_Toc515647823"/>
      <w:bookmarkStart w:id="439" w:name="_Toc6055"/>
      <w:bookmarkStart w:id="440" w:name="_Toc10725"/>
      <w:bookmarkStart w:id="441" w:name="_Toc32368"/>
      <w:bookmarkStart w:id="442" w:name="_Toc15566"/>
      <w:bookmarkStart w:id="443" w:name="_Toc29837"/>
      <w:bookmarkStart w:id="444" w:name="_Toc388"/>
    </w:p>
    <w:p>
      <w:pPr>
        <w:pStyle w:val="6"/>
        <w:spacing w:before="0" w:line="240" w:lineRule="atLeast"/>
        <w:jc w:val="both"/>
        <w:rPr>
          <w:rFonts w:ascii="微软雅黑" w:hAnsi="微软雅黑" w:eastAsia="微软雅黑" w:cs="微软雅黑"/>
          <w:b w:val="0"/>
          <w:color w:val="auto"/>
          <w:sz w:val="24"/>
          <w:szCs w:val="24"/>
        </w:rPr>
      </w:pPr>
      <w:r>
        <w:rPr>
          <w:rFonts w:hint="eastAsia" w:ascii="微软雅黑" w:hAnsi="微软雅黑" w:eastAsia="微软雅黑" w:cs="微软雅黑"/>
          <w:color w:val="auto"/>
          <w:sz w:val="24"/>
          <w:szCs w:val="24"/>
        </w:rPr>
        <w:t xml:space="preserve">6-1 </w:t>
      </w:r>
      <w:r>
        <w:rPr>
          <w:rFonts w:hint="eastAsia" w:ascii="微软雅黑" w:hAnsi="微软雅黑" w:eastAsia="微软雅黑" w:cs="微软雅黑"/>
          <w:b w:val="0"/>
          <w:color w:val="auto"/>
          <w:sz w:val="24"/>
          <w:szCs w:val="24"/>
        </w:rPr>
        <w:t xml:space="preserve"> </w:t>
      </w:r>
      <w:r>
        <w:rPr>
          <w:rFonts w:hint="eastAsia" w:ascii="微软雅黑" w:hAnsi="微软雅黑" w:eastAsia="微软雅黑" w:cs="微软雅黑"/>
          <w:color w:val="auto"/>
          <w:sz w:val="24"/>
          <w:szCs w:val="24"/>
        </w:rPr>
        <w:t>供应商企业（单位）类型声明函（磋商文件格式十一）</w:t>
      </w:r>
      <w:bookmarkEnd w:id="435"/>
      <w:bookmarkEnd w:id="436"/>
      <w:bookmarkEnd w:id="437"/>
      <w:bookmarkEnd w:id="438"/>
      <w:bookmarkEnd w:id="439"/>
      <w:bookmarkEnd w:id="440"/>
      <w:bookmarkEnd w:id="441"/>
      <w:bookmarkEnd w:id="442"/>
      <w:bookmarkEnd w:id="443"/>
      <w:bookmarkEnd w:id="444"/>
    </w:p>
    <w:p>
      <w:pPr>
        <w:spacing w:line="240" w:lineRule="atLeast"/>
        <w:ind w:left="1080" w:leftChars="257" w:hanging="540"/>
        <w:jc w:val="center"/>
        <w:rPr>
          <w:rFonts w:ascii="微软雅黑" w:hAnsi="微软雅黑" w:eastAsia="微软雅黑" w:cs="微软雅黑"/>
          <w:b/>
          <w:color w:val="auto"/>
          <w:kern w:val="0"/>
          <w:sz w:val="24"/>
        </w:rPr>
      </w:pPr>
    </w:p>
    <w:p>
      <w:pPr>
        <w:widowControl/>
        <w:spacing w:before="100" w:beforeAutospacing="1" w:after="100" w:afterAutospacing="1" w:line="330" w:lineRule="atLeas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1、□本企业（单位）为直接供应商提供本企业（单位）制造的货物。</w:t>
      </w:r>
    </w:p>
    <w:p>
      <w:pPr>
        <w:widowControl/>
        <w:numPr>
          <w:ilvl w:val="0"/>
          <w:numId w:val="8"/>
        </w:numPr>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 本企业</w:t>
      </w:r>
      <w:r>
        <w:rPr>
          <w:rFonts w:hint="eastAsia" w:ascii="微软雅黑" w:hAnsi="微软雅黑" w:eastAsia="微软雅黑" w:cs="微软雅黑"/>
          <w:color w:val="auto"/>
          <w:kern w:val="0"/>
          <w:sz w:val="24"/>
          <w:u w:val="single"/>
        </w:rPr>
        <w:t xml:space="preserve">        </w:t>
      </w:r>
      <w:r>
        <w:rPr>
          <w:rFonts w:hint="eastAsia" w:ascii="微软雅黑" w:hAnsi="微软雅黑" w:eastAsia="微软雅黑" w:cs="微软雅黑"/>
          <w:color w:val="auto"/>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kern w:val="0"/>
          <w:sz w:val="24"/>
        </w:rPr>
        <w:t>根据《关于促进残疾人就业政府采购政策的通知》（财库〔2017〕141号）。本单位</w:t>
      </w:r>
      <w:r>
        <w:rPr>
          <w:rFonts w:hint="eastAsia" w:ascii="微软雅黑" w:hAnsi="微软雅黑" w:eastAsia="微软雅黑" w:cs="微软雅黑"/>
          <w:color w:val="auto"/>
          <w:kern w:val="0"/>
          <w:sz w:val="24"/>
          <w:u w:val="single"/>
        </w:rPr>
        <w:t xml:space="preserve">        </w:t>
      </w:r>
      <w:r>
        <w:rPr>
          <w:rFonts w:hint="eastAsia" w:ascii="微软雅黑" w:hAnsi="微软雅黑" w:eastAsia="微软雅黑" w:cs="微软雅黑"/>
          <w:color w:val="auto"/>
          <w:kern w:val="0"/>
          <w:sz w:val="24"/>
        </w:rPr>
        <w:t>（请填写：是、不是）残疾人福利性单位。</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3、□本企业（单位）为联合体一方，提供本企业（单位）制造的货物，由本企业（单位）承担工程、提供货物。本企业（单位）提供协议合同金额占到共同磋商协议合同总金额的比例为</w:t>
      </w:r>
      <w:r>
        <w:rPr>
          <w:rFonts w:hint="eastAsia" w:ascii="微软雅黑" w:hAnsi="微软雅黑" w:eastAsia="微软雅黑" w:cs="微软雅黑"/>
          <w:color w:val="auto"/>
          <w:kern w:val="0"/>
          <w:sz w:val="24"/>
          <w:u w:val="single"/>
        </w:rPr>
        <w:t xml:space="preserve">       </w:t>
      </w:r>
      <w:r>
        <w:rPr>
          <w:rFonts w:hint="eastAsia" w:ascii="微软雅黑" w:hAnsi="微软雅黑" w:eastAsia="微软雅黑" w:cs="微软雅黑"/>
          <w:color w:val="auto"/>
          <w:kern w:val="0"/>
          <w:sz w:val="24"/>
        </w:rPr>
        <w:t>。</w:t>
      </w:r>
    </w:p>
    <w:p>
      <w:pPr>
        <w:widowControl/>
        <w:spacing w:before="100" w:beforeAutospacing="1" w:after="100" w:afterAutospacing="1" w:line="330" w:lineRule="atLeas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供应商名称（公章）：___________ </w:t>
      </w:r>
    </w:p>
    <w:p>
      <w:pPr>
        <w:widowControl/>
        <w:spacing w:before="100" w:beforeAutospacing="1" w:after="100" w:afterAutospacing="1" w:line="330" w:lineRule="atLeast"/>
        <w:ind w:firstLine="3120" w:firstLineChars="13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日　期：____________                     </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p>
    <w:p>
      <w:pPr>
        <w:spacing w:line="240" w:lineRule="atLeast"/>
        <w:ind w:left="1080" w:leftChars="257" w:hanging="540"/>
        <w:jc w:val="center"/>
        <w:rPr>
          <w:rFonts w:ascii="微软雅黑" w:hAnsi="微软雅黑" w:eastAsia="微软雅黑" w:cs="微软雅黑"/>
          <w:b/>
          <w:color w:val="auto"/>
          <w:kern w:val="0"/>
          <w:sz w:val="24"/>
        </w:rPr>
      </w:pPr>
      <w:r>
        <w:rPr>
          <w:rFonts w:hint="eastAsia" w:ascii="微软雅黑" w:hAnsi="微软雅黑" w:eastAsia="微软雅黑" w:cs="微软雅黑"/>
          <w:b/>
          <w:color w:val="auto"/>
          <w:kern w:val="0"/>
          <w:sz w:val="24"/>
        </w:rPr>
        <w:t>　</w:t>
      </w:r>
    </w:p>
    <w:p>
      <w:pPr>
        <w:pStyle w:val="6"/>
        <w:spacing w:before="0" w:line="240" w:lineRule="atLeast"/>
        <w:jc w:val="both"/>
        <w:rPr>
          <w:rFonts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br w:type="page"/>
      </w:r>
      <w:bookmarkStart w:id="445" w:name="_Toc10872"/>
      <w:bookmarkStart w:id="446" w:name="_Toc11803"/>
      <w:bookmarkStart w:id="447" w:name="_Toc1721"/>
      <w:bookmarkStart w:id="448" w:name="_Toc4255"/>
      <w:bookmarkStart w:id="449" w:name="_Toc24122"/>
      <w:bookmarkStart w:id="450" w:name="_Toc31112"/>
      <w:bookmarkStart w:id="451" w:name="_Toc10977"/>
      <w:bookmarkStart w:id="452" w:name="_Toc17987"/>
      <w:bookmarkStart w:id="453" w:name="_Toc515647824"/>
      <w:bookmarkStart w:id="454" w:name="_Toc10958"/>
      <w:r>
        <w:rPr>
          <w:rFonts w:hint="eastAsia" w:ascii="微软雅黑" w:hAnsi="微软雅黑" w:eastAsia="微软雅黑" w:cs="微软雅黑"/>
          <w:b w:val="0"/>
          <w:color w:val="auto"/>
          <w:sz w:val="24"/>
          <w:szCs w:val="24"/>
        </w:rPr>
        <w:t>6</w:t>
      </w:r>
      <w:r>
        <w:rPr>
          <w:rFonts w:hint="eastAsia" w:ascii="微软雅黑" w:hAnsi="微软雅黑" w:eastAsia="微软雅黑" w:cs="微软雅黑"/>
          <w:color w:val="auto"/>
          <w:sz w:val="24"/>
          <w:szCs w:val="24"/>
        </w:rPr>
        <w:t>-2   制造商企业（单位）类型声明函（磋商文件格式十二）</w:t>
      </w:r>
      <w:bookmarkEnd w:id="445"/>
      <w:bookmarkEnd w:id="446"/>
      <w:bookmarkEnd w:id="447"/>
      <w:bookmarkEnd w:id="448"/>
      <w:bookmarkEnd w:id="449"/>
      <w:bookmarkEnd w:id="450"/>
      <w:bookmarkEnd w:id="451"/>
      <w:bookmarkEnd w:id="452"/>
      <w:bookmarkEnd w:id="453"/>
      <w:bookmarkEnd w:id="454"/>
    </w:p>
    <w:p>
      <w:pPr>
        <w:spacing w:line="240" w:lineRule="atLeast"/>
        <w:ind w:left="1080" w:leftChars="257" w:hanging="540"/>
        <w:jc w:val="center"/>
        <w:rPr>
          <w:rFonts w:ascii="微软雅黑" w:hAnsi="微软雅黑" w:eastAsia="微软雅黑" w:cs="微软雅黑"/>
          <w:b/>
          <w:color w:val="auto"/>
          <w:kern w:val="0"/>
          <w:sz w:val="24"/>
        </w:rPr>
      </w:pP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本企业为______（请填写：中型、小型、微型）企业。</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本企业</w:t>
      </w:r>
      <w:r>
        <w:rPr>
          <w:rFonts w:hint="eastAsia" w:ascii="微软雅黑" w:hAnsi="微软雅黑" w:eastAsia="微软雅黑" w:cs="微软雅黑"/>
          <w:color w:val="auto"/>
          <w:kern w:val="0"/>
          <w:sz w:val="24"/>
          <w:u w:val="single"/>
        </w:rPr>
        <w:t xml:space="preserve">        </w:t>
      </w:r>
      <w:r>
        <w:rPr>
          <w:rFonts w:hint="eastAsia" w:ascii="微软雅黑" w:hAnsi="微软雅黑" w:eastAsia="微软雅黑" w:cs="微软雅黑"/>
          <w:color w:val="auto"/>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本单位为</w:t>
      </w:r>
      <w:r>
        <w:rPr>
          <w:rFonts w:hint="eastAsia" w:ascii="微软雅黑" w:hAnsi="微软雅黑" w:eastAsia="微软雅黑" w:cs="微软雅黑"/>
          <w:color w:val="auto"/>
          <w:kern w:val="0"/>
          <w:sz w:val="24"/>
          <w:u w:val="single"/>
        </w:rPr>
        <w:t xml:space="preserve">        </w:t>
      </w:r>
      <w:r>
        <w:rPr>
          <w:rFonts w:hint="eastAsia" w:ascii="微软雅黑" w:hAnsi="微软雅黑" w:eastAsia="微软雅黑" w:cs="微软雅黑"/>
          <w:color w:val="auto"/>
          <w:kern w:val="0"/>
          <w:sz w:val="24"/>
        </w:rPr>
        <w:t>（请填写：是、不是）残疾人福利性单位。</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本企业（单位）提供本企业（单位）制造的货物。</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u w:val="single" w:color="FFFFFF"/>
        </w:rPr>
      </w:pPr>
      <w:r>
        <w:rPr>
          <w:rFonts w:hint="eastAsia" w:ascii="微软雅黑" w:hAnsi="微软雅黑" w:eastAsia="微软雅黑" w:cs="微软雅黑"/>
          <w:color w:val="auto"/>
          <w:kern w:val="0"/>
          <w:sz w:val="24"/>
        </w:rPr>
        <w:t>本声明函经制造商和供应商共同盖章生效。</w:t>
      </w:r>
    </w:p>
    <w:p>
      <w:pPr>
        <w:widowControl/>
        <w:spacing w:before="100" w:beforeAutospacing="1" w:after="100" w:afterAutospacing="1" w:line="330" w:lineRule="atLeast"/>
        <w:jc w:val="left"/>
        <w:rPr>
          <w:rFonts w:ascii="微软雅黑" w:hAnsi="微软雅黑" w:eastAsia="微软雅黑" w:cs="微软雅黑"/>
          <w:color w:val="auto"/>
          <w:kern w:val="0"/>
          <w:sz w:val="24"/>
        </w:rPr>
      </w:pPr>
    </w:p>
    <w:p>
      <w:pPr>
        <w:widowControl/>
        <w:spacing w:before="100" w:beforeAutospacing="1" w:after="100" w:afterAutospacing="1" w:line="330" w:lineRule="atLeast"/>
        <w:ind w:firstLine="3120" w:firstLineChars="13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制造商名称（公章）：</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kern w:val="0"/>
          <w:sz w:val="24"/>
        </w:rPr>
        <w:t xml:space="preserve">           </w:t>
      </w:r>
    </w:p>
    <w:p>
      <w:pPr>
        <w:widowControl/>
        <w:spacing w:before="100" w:beforeAutospacing="1" w:after="100" w:afterAutospacing="1" w:line="330" w:lineRule="atLeast"/>
        <w:ind w:firstLine="3120" w:firstLineChars="13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供应商名称（公章）：___________ </w:t>
      </w:r>
    </w:p>
    <w:p>
      <w:pPr>
        <w:widowControl/>
        <w:spacing w:before="100" w:beforeAutospacing="1" w:after="100" w:afterAutospacing="1" w:line="330" w:lineRule="atLeast"/>
        <w:ind w:firstLine="3120" w:firstLineChars="13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日　期：____________                     </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p>
    <w:p>
      <w:pPr>
        <w:rPr>
          <w:rFonts w:ascii="微软雅黑" w:hAnsi="微软雅黑" w:eastAsia="微软雅黑" w:cs="微软雅黑"/>
          <w:color w:val="auto"/>
          <w:sz w:val="24"/>
        </w:rPr>
      </w:pPr>
    </w:p>
    <w:p>
      <w:pPr>
        <w:widowControl/>
        <w:spacing w:before="100" w:beforeAutospacing="1" w:after="100" w:afterAutospacing="1" w:line="330" w:lineRule="atLeast"/>
        <w:ind w:firstLine="720" w:firstLineChars="300"/>
        <w:jc w:val="left"/>
        <w:rPr>
          <w:rFonts w:ascii="微软雅黑" w:hAnsi="微软雅黑" w:eastAsia="微软雅黑" w:cs="微软雅黑"/>
          <w:color w:val="auto"/>
          <w:sz w:val="24"/>
        </w:rPr>
      </w:pPr>
    </w:p>
    <w:p>
      <w:pPr>
        <w:pStyle w:val="6"/>
        <w:spacing w:before="0" w:line="240" w:lineRule="atLeast"/>
        <w:jc w:val="both"/>
        <w:rPr>
          <w:rFonts w:ascii="微软雅黑" w:hAnsi="微软雅黑" w:eastAsia="微软雅黑" w:cs="微软雅黑"/>
          <w:color w:val="auto"/>
          <w:sz w:val="24"/>
          <w:szCs w:val="24"/>
        </w:rPr>
      </w:pPr>
      <w:bookmarkStart w:id="455" w:name="_Toc23068"/>
      <w:bookmarkStart w:id="456" w:name="OLE_LINK13"/>
      <w:bookmarkStart w:id="457" w:name="_Toc5825"/>
      <w:bookmarkStart w:id="458" w:name="_Toc515647825"/>
      <w:bookmarkStart w:id="459" w:name="_Toc15209"/>
      <w:bookmarkStart w:id="460" w:name="_Toc14068"/>
      <w:bookmarkStart w:id="461" w:name="_Toc26116"/>
      <w:bookmarkStart w:id="462" w:name="_Toc13191"/>
      <w:bookmarkStart w:id="463" w:name="_Toc19284"/>
      <w:bookmarkStart w:id="464" w:name="OLE_LINK14"/>
      <w:bookmarkStart w:id="465" w:name="_Toc10900"/>
      <w:bookmarkStart w:id="466" w:name="_Toc30321"/>
      <w:r>
        <w:rPr>
          <w:rFonts w:hint="eastAsia" w:ascii="微软雅黑" w:hAnsi="微软雅黑" w:eastAsia="微软雅黑" w:cs="微软雅黑"/>
          <w:color w:val="auto"/>
          <w:sz w:val="24"/>
          <w:szCs w:val="24"/>
        </w:rPr>
        <w:t>6-3   残疾人福利性单位声明函（磋商文件格式十三）</w:t>
      </w:r>
      <w:bookmarkEnd w:id="455"/>
      <w:bookmarkEnd w:id="456"/>
      <w:bookmarkEnd w:id="457"/>
      <w:bookmarkEnd w:id="458"/>
      <w:bookmarkEnd w:id="459"/>
      <w:bookmarkEnd w:id="460"/>
      <w:bookmarkEnd w:id="461"/>
      <w:bookmarkEnd w:id="462"/>
      <w:bookmarkEnd w:id="463"/>
      <w:bookmarkEnd w:id="464"/>
      <w:bookmarkEnd w:id="465"/>
      <w:bookmarkEnd w:id="466"/>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firstLine="567"/>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本单位对上述声明的真实性负责。如有虚假，将依法承担相应责任。</w:t>
      </w:r>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left="1080" w:leftChars="257" w:hanging="540"/>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              残疾人福利性单位名称（公章）：______________</w:t>
      </w:r>
    </w:p>
    <w:p>
      <w:pPr>
        <w:spacing w:line="240" w:lineRule="atLeast"/>
        <w:ind w:left="1080" w:leftChars="257" w:hanging="540"/>
        <w:jc w:val="center"/>
        <w:rPr>
          <w:rFonts w:ascii="微软雅黑" w:hAnsi="微软雅黑" w:eastAsia="微软雅黑" w:cs="微软雅黑"/>
          <w:b/>
          <w:color w:val="auto"/>
          <w:kern w:val="0"/>
          <w:sz w:val="24"/>
        </w:rPr>
      </w:pPr>
      <w:r>
        <w:rPr>
          <w:rFonts w:hint="eastAsia" w:ascii="微软雅黑" w:hAnsi="微软雅黑" w:eastAsia="微软雅黑" w:cs="微软雅黑"/>
          <w:color w:val="auto"/>
          <w:kern w:val="0"/>
          <w:sz w:val="24"/>
        </w:rPr>
        <w:t xml:space="preserve">                 日  期：_____________________________________</w:t>
      </w:r>
    </w:p>
    <w:p>
      <w:pPr>
        <w:spacing w:line="240" w:lineRule="atLeast"/>
        <w:ind w:left="1080" w:leftChars="257" w:hanging="540"/>
        <w:jc w:val="center"/>
        <w:rPr>
          <w:rFonts w:ascii="微软雅黑" w:hAnsi="微软雅黑" w:eastAsia="微软雅黑" w:cs="微软雅黑"/>
          <w:b/>
          <w:color w:val="auto"/>
          <w:kern w:val="0"/>
          <w:sz w:val="24"/>
        </w:rPr>
      </w:pPr>
    </w:p>
    <w:p>
      <w:pPr>
        <w:spacing w:line="240" w:lineRule="atLeast"/>
        <w:ind w:left="1080" w:leftChars="257" w:hanging="540"/>
        <w:jc w:val="center"/>
        <w:rPr>
          <w:rFonts w:ascii="微软雅黑" w:hAnsi="微软雅黑" w:eastAsia="微软雅黑" w:cs="微软雅黑"/>
          <w:b/>
          <w:color w:val="auto"/>
          <w:kern w:val="0"/>
          <w:sz w:val="24"/>
        </w:rPr>
      </w:pPr>
    </w:p>
    <w:p>
      <w:pPr>
        <w:pStyle w:val="36"/>
        <w:ind w:firstLine="480"/>
        <w:rPr>
          <w:color w:val="auto"/>
        </w:rPr>
      </w:pPr>
    </w:p>
    <w:p>
      <w:pPr>
        <w:spacing w:line="240" w:lineRule="atLeast"/>
        <w:rPr>
          <w:rFonts w:ascii="微软雅黑" w:hAnsi="微软雅黑" w:eastAsia="微软雅黑" w:cs="微软雅黑"/>
          <w:b/>
          <w:color w:val="auto"/>
          <w:kern w:val="0"/>
          <w:sz w:val="24"/>
        </w:rPr>
      </w:pPr>
    </w:p>
    <w:p>
      <w:pPr>
        <w:pStyle w:val="11"/>
        <w:rPr>
          <w:rFonts w:ascii="微软雅黑" w:hAnsi="微软雅黑" w:eastAsia="微软雅黑" w:cs="微软雅黑"/>
          <w:color w:val="auto"/>
          <w:szCs w:val="24"/>
        </w:rPr>
      </w:pPr>
    </w:p>
    <w:p>
      <w:pPr>
        <w:pStyle w:val="6"/>
        <w:spacing w:before="0" w:line="240" w:lineRule="atLeast"/>
        <w:ind w:left="1080" w:leftChars="257" w:hanging="540"/>
        <w:jc w:val="both"/>
        <w:rPr>
          <w:rFonts w:ascii="微软雅黑" w:hAnsi="微软雅黑" w:eastAsia="微软雅黑" w:cs="微软雅黑"/>
          <w:color w:val="auto"/>
          <w:sz w:val="24"/>
          <w:szCs w:val="24"/>
        </w:rPr>
      </w:pPr>
      <w:bookmarkStart w:id="467" w:name="_Toc3587"/>
      <w:bookmarkStart w:id="468" w:name="_Toc30054"/>
      <w:bookmarkStart w:id="469" w:name="_Toc28516"/>
      <w:bookmarkStart w:id="470" w:name="_Toc6452"/>
      <w:bookmarkStart w:id="471" w:name="_Toc6531"/>
      <w:bookmarkStart w:id="472" w:name="_Toc30795"/>
      <w:bookmarkStart w:id="473" w:name="_Toc18365"/>
      <w:bookmarkStart w:id="474" w:name="_Toc4574"/>
      <w:bookmarkStart w:id="475" w:name="_Toc515647827"/>
      <w:bookmarkStart w:id="476" w:name="_Toc28099"/>
      <w:r>
        <w:rPr>
          <w:rFonts w:hint="eastAsia" w:ascii="微软雅黑" w:hAnsi="微软雅黑" w:eastAsia="微软雅黑" w:cs="微软雅黑"/>
          <w:color w:val="auto"/>
          <w:sz w:val="24"/>
          <w:szCs w:val="24"/>
        </w:rPr>
        <w:t>7   供应商关联单位的说明</w:t>
      </w:r>
      <w:bookmarkEnd w:id="467"/>
      <w:bookmarkEnd w:id="468"/>
      <w:bookmarkEnd w:id="469"/>
      <w:bookmarkEnd w:id="470"/>
      <w:bookmarkEnd w:id="471"/>
      <w:bookmarkEnd w:id="472"/>
      <w:bookmarkEnd w:id="473"/>
      <w:bookmarkEnd w:id="474"/>
      <w:bookmarkEnd w:id="475"/>
      <w:bookmarkEnd w:id="476"/>
    </w:p>
    <w:p>
      <w:pPr>
        <w:pStyle w:val="11"/>
        <w:jc w:val="center"/>
        <w:rPr>
          <w:rFonts w:ascii="微软雅黑" w:hAnsi="微软雅黑" w:eastAsia="微软雅黑" w:cs="微软雅黑"/>
          <w:color w:val="auto"/>
          <w:szCs w:val="24"/>
        </w:rPr>
      </w:pPr>
    </w:p>
    <w:p>
      <w:pPr>
        <w:pStyle w:val="11"/>
        <w:ind w:firstLine="480" w:firstLineChars="200"/>
        <w:rPr>
          <w:rFonts w:ascii="微软雅黑" w:hAnsi="微软雅黑" w:eastAsia="微软雅黑" w:cs="微软雅黑"/>
          <w:color w:val="auto"/>
          <w:szCs w:val="24"/>
        </w:rPr>
      </w:pPr>
      <w:r>
        <w:rPr>
          <w:rFonts w:hint="eastAsia" w:ascii="微软雅黑" w:hAnsi="微软雅黑" w:eastAsia="微软雅黑" w:cs="微软雅黑"/>
          <w:color w:val="auto"/>
          <w:szCs w:val="24"/>
        </w:rPr>
        <w:t>说明：供应商应当如实披露与本单位存在下列关联关系的单位名称：</w:t>
      </w:r>
    </w:p>
    <w:p>
      <w:pPr>
        <w:pStyle w:val="11"/>
        <w:numPr>
          <w:ilvl w:val="0"/>
          <w:numId w:val="9"/>
        </w:numPr>
        <w:ind w:firstLine="480" w:firstLineChars="200"/>
        <w:rPr>
          <w:rFonts w:ascii="微软雅黑" w:hAnsi="微软雅黑" w:eastAsia="微软雅黑" w:cs="微软雅黑"/>
          <w:color w:val="auto"/>
          <w:szCs w:val="24"/>
        </w:rPr>
      </w:pPr>
      <w:r>
        <w:rPr>
          <w:rFonts w:hint="eastAsia" w:ascii="微软雅黑" w:hAnsi="微软雅黑" w:eastAsia="微软雅黑" w:cs="微软雅黑"/>
          <w:color w:val="auto"/>
          <w:szCs w:val="24"/>
        </w:rPr>
        <w:t>与供应商单位负责人为同一人的其他单位；</w:t>
      </w:r>
      <w:r>
        <w:rPr>
          <w:rFonts w:hint="eastAsia" w:ascii="微软雅黑" w:hAnsi="微软雅黑" w:eastAsia="微软雅黑" w:cs="微软雅黑"/>
          <w:color w:val="auto"/>
          <w:szCs w:val="24"/>
        </w:rPr>
        <w:br w:type="textWrapping"/>
      </w:r>
      <w:r>
        <w:rPr>
          <w:rFonts w:hint="eastAsia" w:ascii="微软雅黑" w:hAnsi="微软雅黑" w:eastAsia="微软雅黑" w:cs="微软雅黑"/>
          <w:color w:val="auto"/>
          <w:szCs w:val="24"/>
        </w:rPr>
        <w:t xml:space="preserve">    （2）与供应商存在直接控股、管理关系的其他单位。</w:t>
      </w:r>
    </w:p>
    <w:p>
      <w:pPr>
        <w:pStyle w:val="11"/>
        <w:ind w:firstLine="0"/>
        <w:rPr>
          <w:rFonts w:ascii="微软雅黑" w:hAnsi="微软雅黑" w:eastAsia="微软雅黑" w:cs="微软雅黑"/>
          <w:color w:val="auto"/>
          <w:szCs w:val="24"/>
        </w:rPr>
      </w:pPr>
    </w:p>
    <w:p>
      <w:pPr>
        <w:rPr>
          <w:rFonts w:ascii="微软雅黑" w:hAnsi="微软雅黑" w:eastAsia="微软雅黑" w:cs="微软雅黑"/>
          <w:color w:val="auto"/>
          <w:sz w:val="24"/>
        </w:rPr>
      </w:pPr>
    </w:p>
    <w:p>
      <w:pPr>
        <w:pStyle w:val="36"/>
        <w:ind w:firstLine="0" w:firstLineChars="0"/>
        <w:rPr>
          <w:rFonts w:ascii="微软雅黑" w:hAnsi="微软雅黑" w:eastAsia="微软雅黑" w:cs="微软雅黑"/>
          <w:color w:val="auto"/>
        </w:rPr>
      </w:pPr>
    </w:p>
    <w:p>
      <w:pPr>
        <w:pStyle w:val="36"/>
        <w:ind w:firstLine="0" w:firstLineChars="0"/>
        <w:rPr>
          <w:rFonts w:ascii="微软雅黑" w:hAnsi="微软雅黑" w:eastAsia="微软雅黑" w:cs="微软雅黑"/>
          <w:color w:val="auto"/>
        </w:rPr>
      </w:pPr>
    </w:p>
    <w:p>
      <w:pPr>
        <w:pStyle w:val="6"/>
        <w:spacing w:before="0" w:line="240" w:lineRule="atLeast"/>
        <w:ind w:left="1080" w:leftChars="257" w:hanging="540"/>
        <w:jc w:val="both"/>
        <w:rPr>
          <w:rFonts w:ascii="微软雅黑" w:hAnsi="微软雅黑" w:eastAsia="微软雅黑" w:cs="微软雅黑"/>
          <w:color w:val="auto"/>
          <w:sz w:val="24"/>
          <w:szCs w:val="24"/>
        </w:rPr>
      </w:pPr>
      <w:bookmarkStart w:id="477" w:name="_Toc18143"/>
      <w:bookmarkStart w:id="478" w:name="_Toc515647828"/>
      <w:bookmarkStart w:id="479" w:name="_Toc5427"/>
      <w:bookmarkStart w:id="480" w:name="_Toc31340"/>
      <w:bookmarkStart w:id="481" w:name="_Toc17333"/>
      <w:bookmarkStart w:id="482" w:name="_Toc8697"/>
      <w:bookmarkStart w:id="483" w:name="_Toc31535"/>
      <w:bookmarkStart w:id="484" w:name="_Toc7414"/>
      <w:bookmarkStart w:id="485" w:name="_Toc10150"/>
      <w:bookmarkStart w:id="486" w:name="_Toc13906"/>
      <w:r>
        <w:rPr>
          <w:rFonts w:hint="eastAsia" w:ascii="微软雅黑" w:hAnsi="微软雅黑" w:eastAsia="微软雅黑" w:cs="微软雅黑"/>
          <w:color w:val="auto"/>
          <w:sz w:val="24"/>
          <w:szCs w:val="24"/>
        </w:rPr>
        <w:t xml:space="preserve">8   </w:t>
      </w:r>
      <w:bookmarkEnd w:id="477"/>
      <w:bookmarkEnd w:id="478"/>
      <w:bookmarkEnd w:id="479"/>
      <w:bookmarkEnd w:id="480"/>
      <w:bookmarkEnd w:id="481"/>
      <w:bookmarkEnd w:id="482"/>
      <w:bookmarkEnd w:id="483"/>
      <w:bookmarkEnd w:id="484"/>
      <w:r>
        <w:rPr>
          <w:rFonts w:hint="eastAsia" w:ascii="微软雅黑" w:hAnsi="微软雅黑" w:eastAsia="微软雅黑" w:cs="微软雅黑"/>
          <w:color w:val="auto"/>
          <w:sz w:val="24"/>
          <w:szCs w:val="24"/>
        </w:rPr>
        <w:t>提供有利于磋商的其他证明材料</w:t>
      </w:r>
      <w:bookmarkEnd w:id="485"/>
      <w:bookmarkEnd w:id="486"/>
    </w:p>
    <w:p>
      <w:pPr>
        <w:spacing w:line="240" w:lineRule="atLeast"/>
        <w:ind w:left="1079" w:leftChars="257" w:hanging="539"/>
        <w:jc w:val="left"/>
        <w:outlineLvl w:val="1"/>
        <w:rPr>
          <w:rFonts w:ascii="微软雅黑" w:hAnsi="微软雅黑" w:eastAsia="微软雅黑" w:cs="微软雅黑"/>
          <w:b/>
          <w:color w:val="auto"/>
          <w:kern w:val="0"/>
          <w:sz w:val="24"/>
          <w:szCs w:val="20"/>
        </w:rPr>
      </w:pPr>
      <w:r>
        <w:rPr>
          <w:rFonts w:hint="eastAsia" w:ascii="微软雅黑" w:hAnsi="微软雅黑" w:eastAsia="微软雅黑" w:cs="微软雅黑"/>
          <w:color w:val="auto"/>
          <w:sz w:val="24"/>
        </w:rPr>
        <w:br w:type="page"/>
      </w:r>
      <w:bookmarkStart w:id="487" w:name="_Toc24705"/>
      <w:bookmarkStart w:id="488" w:name="_Toc25307"/>
      <w:bookmarkStart w:id="489" w:name="_Toc2099"/>
      <w:bookmarkStart w:id="490" w:name="_Toc20471"/>
      <w:bookmarkStart w:id="491" w:name="_Toc8073"/>
      <w:bookmarkStart w:id="492" w:name="_Toc29345"/>
      <w:bookmarkStart w:id="493" w:name="_Toc13385"/>
      <w:r>
        <w:rPr>
          <w:rFonts w:hint="eastAsia" w:ascii="微软雅黑" w:hAnsi="微软雅黑" w:eastAsia="微软雅黑" w:cs="微软雅黑"/>
          <w:b/>
          <w:color w:val="auto"/>
          <w:kern w:val="0"/>
          <w:sz w:val="24"/>
          <w:szCs w:val="20"/>
        </w:rPr>
        <w:t>9    响应文件格式范本</w:t>
      </w:r>
      <w:bookmarkEnd w:id="487"/>
      <w:bookmarkEnd w:id="488"/>
      <w:bookmarkEnd w:id="489"/>
      <w:bookmarkEnd w:id="490"/>
      <w:bookmarkEnd w:id="491"/>
      <w:bookmarkEnd w:id="492"/>
      <w:bookmarkEnd w:id="493"/>
    </w:p>
    <w:tbl>
      <w:tblPr>
        <w:tblStyle w:val="37"/>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3"/>
              <w:jc w:val="center"/>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（正本/副本）</w:t>
            </w:r>
          </w:p>
          <w:p>
            <w:pPr>
              <w:pStyle w:val="3"/>
              <w:ind w:firstLine="4202" w:firstLineChars="1500"/>
              <w:rPr>
                <w:rFonts w:ascii="微软雅黑" w:hAnsi="微软雅黑" w:eastAsia="微软雅黑" w:cs="微软雅黑"/>
                <w:b/>
                <w:bCs/>
                <w:color w:val="auto"/>
                <w:sz w:val="28"/>
                <w:szCs w:val="28"/>
              </w:rPr>
            </w:pPr>
          </w:p>
          <w:p>
            <w:pPr>
              <w:pStyle w:val="3"/>
              <w:ind w:firstLine="4202" w:firstLineChars="1500"/>
              <w:rPr>
                <w:rFonts w:ascii="微软雅黑" w:hAnsi="微软雅黑" w:eastAsia="微软雅黑" w:cs="微软雅黑"/>
                <w:b/>
                <w:bCs/>
                <w:color w:val="auto"/>
                <w:sz w:val="28"/>
                <w:szCs w:val="28"/>
              </w:rPr>
            </w:pPr>
          </w:p>
          <w:p>
            <w:pPr>
              <w:pStyle w:val="3"/>
              <w:rPr>
                <w:rFonts w:ascii="微软雅黑" w:hAnsi="微软雅黑" w:eastAsia="微软雅黑" w:cs="微软雅黑"/>
                <w:b/>
                <w:bCs/>
                <w:color w:val="auto"/>
                <w:sz w:val="28"/>
                <w:szCs w:val="28"/>
              </w:rPr>
            </w:pPr>
          </w:p>
          <w:p>
            <w:pPr>
              <w:pStyle w:val="3"/>
              <w:ind w:firstLine="2521" w:firstLineChars="900"/>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pPr>
              <w:pStyle w:val="3"/>
              <w:jc w:val="center"/>
              <w:rPr>
                <w:rFonts w:ascii="微软雅黑" w:hAnsi="微软雅黑" w:eastAsia="微软雅黑" w:cs="微软雅黑"/>
                <w:b/>
                <w:bCs/>
                <w:color w:val="auto"/>
                <w:sz w:val="21"/>
                <w:szCs w:val="21"/>
              </w:rPr>
            </w:pPr>
          </w:p>
          <w:p>
            <w:pPr>
              <w:pStyle w:val="3"/>
              <w:ind w:firstLine="3152" w:firstLineChars="1500"/>
              <w:rPr>
                <w:rFonts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编号 ＊＊＊</w:t>
            </w:r>
          </w:p>
          <w:p>
            <w:pPr>
              <w:pStyle w:val="3"/>
              <w:jc w:val="center"/>
              <w:rPr>
                <w:rFonts w:ascii="微软雅黑" w:hAnsi="微软雅黑" w:eastAsia="微软雅黑" w:cs="微软雅黑"/>
                <w:b/>
                <w:bCs/>
                <w:color w:val="auto"/>
                <w:sz w:val="48"/>
              </w:rPr>
            </w:pPr>
          </w:p>
          <w:p>
            <w:pPr>
              <w:pStyle w:val="3"/>
              <w:jc w:val="center"/>
              <w:rPr>
                <w:rFonts w:ascii="微软雅黑" w:hAnsi="微软雅黑" w:eastAsia="微软雅黑" w:cs="微软雅黑"/>
                <w:b/>
                <w:bCs/>
                <w:color w:val="auto"/>
                <w:sz w:val="48"/>
              </w:rPr>
            </w:pPr>
            <w:r>
              <w:rPr>
                <w:rFonts w:hint="eastAsia" w:ascii="微软雅黑" w:hAnsi="微软雅黑" w:eastAsia="微软雅黑" w:cs="微软雅黑"/>
                <w:b/>
                <w:bCs/>
                <w:color w:val="auto"/>
                <w:sz w:val="48"/>
              </w:rPr>
              <w:t>响 应 文 件</w:t>
            </w:r>
          </w:p>
          <w:p>
            <w:pPr>
              <w:jc w:val="center"/>
              <w:rPr>
                <w:rFonts w:ascii="微软雅黑" w:hAnsi="微软雅黑" w:eastAsia="微软雅黑" w:cs="微软雅黑"/>
                <w:b/>
                <w:color w:val="auto"/>
                <w:sz w:val="32"/>
              </w:rPr>
            </w:pPr>
          </w:p>
          <w:p>
            <w:pPr>
              <w:pStyle w:val="11"/>
              <w:ind w:firstLine="0"/>
              <w:rPr>
                <w:rFonts w:ascii="微软雅黑" w:hAnsi="微软雅黑" w:eastAsia="微软雅黑" w:cs="微软雅黑"/>
                <w:b/>
                <w:color w:val="auto"/>
                <w:sz w:val="32"/>
              </w:rPr>
            </w:pPr>
          </w:p>
          <w:p>
            <w:pPr>
              <w:spacing w:line="360" w:lineRule="auto"/>
              <w:ind w:left="176" w:leftChars="84" w:firstLine="840" w:firstLineChars="400"/>
              <w:rPr>
                <w:rFonts w:ascii="微软雅黑" w:hAnsi="微软雅黑" w:eastAsia="微软雅黑" w:cs="微软雅黑"/>
                <w:color w:val="auto"/>
                <w:szCs w:val="21"/>
              </w:rPr>
            </w:pPr>
            <w:r>
              <w:rPr>
                <w:rFonts w:hint="eastAsia" w:ascii="微软雅黑" w:hAnsi="微软雅黑" w:eastAsia="微软雅黑" w:cs="微软雅黑"/>
                <w:color w:val="auto"/>
                <w:szCs w:val="21"/>
              </w:rPr>
              <w:t>磋商单位：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（公章）</w:t>
            </w:r>
          </w:p>
          <w:p>
            <w:pPr>
              <w:spacing w:line="360" w:lineRule="auto"/>
              <w:ind w:left="176" w:leftChars="84" w:firstLine="840" w:firstLineChars="400"/>
              <w:rPr>
                <w:rFonts w:ascii="微软雅黑" w:hAnsi="微软雅黑" w:eastAsia="微软雅黑" w:cs="微软雅黑"/>
                <w:color w:val="auto"/>
                <w:szCs w:val="21"/>
                <w:u w:val="single"/>
              </w:rPr>
            </w:pPr>
            <w:r>
              <w:rPr>
                <w:rFonts w:hint="eastAsia" w:ascii="微软雅黑" w:hAnsi="微软雅黑" w:eastAsia="微软雅黑" w:cs="微软雅黑"/>
                <w:color w:val="auto"/>
                <w:szCs w:val="21"/>
              </w:rPr>
              <w:t>项目名称：</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ascii="微软雅黑" w:hAnsi="微软雅黑" w:eastAsia="微软雅黑" w:cs="微软雅黑"/>
                <w:color w:val="auto"/>
                <w:szCs w:val="21"/>
                <w:u w:val="single"/>
              </w:rPr>
            </w:pPr>
            <w:r>
              <w:rPr>
                <w:rFonts w:hint="eastAsia" w:ascii="微软雅黑" w:hAnsi="微软雅黑" w:eastAsia="微软雅黑" w:cs="微软雅黑"/>
                <w:color w:val="auto"/>
                <w:szCs w:val="21"/>
              </w:rPr>
              <w:t>项目编号：</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ascii="微软雅黑" w:hAnsi="微软雅黑" w:eastAsia="微软雅黑" w:cs="微软雅黑"/>
                <w:color w:val="auto"/>
                <w:szCs w:val="21"/>
                <w:u w:val="single"/>
              </w:rPr>
            </w:pPr>
            <w:r>
              <w:rPr>
                <w:rFonts w:hint="eastAsia" w:ascii="微软雅黑" w:hAnsi="微软雅黑" w:eastAsia="微软雅黑" w:cs="微软雅黑"/>
                <w:color w:val="auto"/>
                <w:szCs w:val="21"/>
              </w:rPr>
              <w:t>联 系 人：</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ascii="微软雅黑" w:hAnsi="微软雅黑" w:eastAsia="微软雅黑" w:cs="微软雅黑"/>
                <w:color w:val="auto"/>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ascii="微软雅黑" w:hAnsi="微软雅黑" w:eastAsia="微软雅黑" w:cs="微软雅黑"/>
                <w:color w:val="auto"/>
                <w:szCs w:val="21"/>
                <w:u w:val="single"/>
              </w:rPr>
            </w:pPr>
            <w:r>
              <w:rPr>
                <w:rFonts w:hint="eastAsia" w:ascii="微软雅黑" w:hAnsi="微软雅黑" w:eastAsia="微软雅黑" w:cs="微软雅黑"/>
                <w:color w:val="auto"/>
                <w:szCs w:val="21"/>
              </w:rPr>
              <w:t xml:space="preserve">地    址  ：  </w:t>
            </w:r>
            <w:r>
              <w:rPr>
                <w:rFonts w:hint="eastAsia" w:ascii="微软雅黑" w:hAnsi="微软雅黑" w:eastAsia="微软雅黑" w:cs="微软雅黑"/>
                <w:color w:val="auto"/>
                <w:szCs w:val="21"/>
                <w:u w:val="single"/>
              </w:rPr>
              <w:t xml:space="preserve">                                    </w:t>
            </w:r>
          </w:p>
          <w:p>
            <w:pPr>
              <w:spacing w:line="360" w:lineRule="auto"/>
              <w:ind w:left="176" w:leftChars="84" w:firstLine="960" w:firstLineChars="400"/>
              <w:rPr>
                <w:rFonts w:ascii="微软雅黑" w:hAnsi="微软雅黑" w:eastAsia="微软雅黑" w:cs="微软雅黑"/>
                <w:color w:val="auto"/>
                <w:sz w:val="24"/>
              </w:rPr>
            </w:pPr>
          </w:p>
          <w:p>
            <w:pPr>
              <w:jc w:val="center"/>
              <w:rPr>
                <w:rFonts w:ascii="微软雅黑" w:hAnsi="微软雅黑" w:eastAsia="微软雅黑" w:cs="微软雅黑"/>
                <w:b/>
                <w:bCs/>
                <w:color w:val="auto"/>
              </w:rPr>
            </w:pPr>
          </w:p>
          <w:p>
            <w:pPr>
              <w:jc w:val="center"/>
              <w:rPr>
                <w:rFonts w:ascii="微软雅黑" w:hAnsi="微软雅黑" w:eastAsia="微软雅黑" w:cs="微软雅黑"/>
                <w:b/>
                <w:bCs/>
                <w:color w:val="auto"/>
              </w:rPr>
            </w:pPr>
          </w:p>
          <w:p>
            <w:pPr>
              <w:jc w:val="center"/>
              <w:rPr>
                <w:rFonts w:ascii="微软雅黑" w:hAnsi="微软雅黑" w:eastAsia="微软雅黑" w:cs="微软雅黑"/>
                <w:b/>
                <w:bCs/>
                <w:color w:val="auto"/>
              </w:rPr>
            </w:pPr>
          </w:p>
          <w:p>
            <w:pPr>
              <w:jc w:val="center"/>
              <w:rPr>
                <w:rFonts w:ascii="微软雅黑" w:hAnsi="微软雅黑" w:eastAsia="微软雅黑" w:cs="微软雅黑"/>
                <w:b/>
                <w:bCs/>
                <w:color w:val="auto"/>
              </w:rPr>
            </w:pPr>
            <w:r>
              <w:rPr>
                <w:rFonts w:hint="eastAsia" w:ascii="微软雅黑" w:hAnsi="微软雅黑" w:eastAsia="微软雅黑" w:cs="微软雅黑"/>
                <w:b/>
                <w:bCs/>
                <w:color w:val="auto"/>
              </w:rPr>
              <w:t>注：   在20XX年   月  日 上午</w:t>
            </w:r>
            <w:r>
              <w:rPr>
                <w:rFonts w:hint="eastAsia" w:ascii="微软雅黑" w:hAnsi="微软雅黑" w:eastAsia="微软雅黑" w:cs="微软雅黑"/>
                <w:color w:val="auto"/>
                <w:kern w:val="0"/>
                <w:szCs w:val="21"/>
                <w:lang w:bidi="ar"/>
              </w:rPr>
              <w:t>XX</w:t>
            </w:r>
            <w:r>
              <w:rPr>
                <w:rFonts w:hint="eastAsia" w:ascii="微软雅黑" w:hAnsi="微软雅黑" w:eastAsia="微软雅黑" w:cs="微软雅黑"/>
                <w:b/>
                <w:bCs/>
                <w:color w:val="auto"/>
              </w:rPr>
              <w:t>之前不得启封</w:t>
            </w:r>
          </w:p>
          <w:p>
            <w:pPr>
              <w:jc w:val="center"/>
              <w:rPr>
                <w:rFonts w:ascii="微软雅黑" w:hAnsi="微软雅黑" w:eastAsia="微软雅黑" w:cs="微软雅黑"/>
                <w:b/>
                <w:bCs/>
                <w:color w:val="auto"/>
              </w:rPr>
            </w:pPr>
          </w:p>
        </w:tc>
      </w:tr>
    </w:tbl>
    <w:p>
      <w:pPr>
        <w:spacing w:line="240" w:lineRule="atLeast"/>
        <w:rPr>
          <w:rFonts w:ascii="微软雅黑" w:hAnsi="微软雅黑" w:eastAsia="微软雅黑" w:cs="微软雅黑"/>
          <w:b/>
          <w:color w:val="auto"/>
          <w:sz w:val="30"/>
          <w:szCs w:val="30"/>
        </w:rPr>
      </w:pPr>
      <w:r>
        <w:rPr>
          <w:rFonts w:hint="eastAsia" w:ascii="微软雅黑" w:hAnsi="微软雅黑" w:eastAsia="微软雅黑" w:cs="微软雅黑"/>
          <w:color w:val="auto"/>
          <w:sz w:val="24"/>
        </w:rPr>
        <w:br w:type="page"/>
      </w:r>
    </w:p>
    <w:p>
      <w:pPr>
        <w:spacing w:line="240" w:lineRule="atLeast"/>
        <w:jc w:val="center"/>
        <w:rPr>
          <w:rFonts w:ascii="微软雅黑" w:hAnsi="微软雅黑" w:eastAsia="微软雅黑" w:cs="微软雅黑"/>
          <w:b/>
          <w:color w:val="auto"/>
          <w:sz w:val="44"/>
          <w:szCs w:val="44"/>
        </w:rPr>
      </w:pPr>
    </w:p>
    <w:p>
      <w:pPr>
        <w:pStyle w:val="36"/>
        <w:ind w:firstLine="0" w:firstLineChars="0"/>
        <w:rPr>
          <w:rFonts w:ascii="微软雅黑" w:hAnsi="微软雅黑" w:eastAsia="微软雅黑" w:cs="微软雅黑"/>
          <w:b/>
          <w:color w:val="auto"/>
          <w:sz w:val="44"/>
          <w:szCs w:val="44"/>
        </w:rPr>
      </w:pPr>
    </w:p>
    <w:p>
      <w:pPr>
        <w:pStyle w:val="36"/>
        <w:ind w:firstLine="0" w:firstLineChars="0"/>
        <w:rPr>
          <w:rFonts w:ascii="微软雅黑" w:hAnsi="微软雅黑" w:eastAsia="微软雅黑" w:cs="微软雅黑"/>
          <w:b/>
          <w:color w:val="auto"/>
          <w:sz w:val="44"/>
          <w:szCs w:val="44"/>
        </w:rPr>
      </w:pPr>
    </w:p>
    <w:p>
      <w:pPr>
        <w:spacing w:line="240" w:lineRule="atLeast"/>
        <w:jc w:val="center"/>
        <w:rPr>
          <w:rFonts w:ascii="微软雅黑" w:hAnsi="微软雅黑" w:eastAsia="微软雅黑" w:cs="微软雅黑"/>
          <w:b/>
          <w:color w:val="auto"/>
          <w:sz w:val="44"/>
          <w:szCs w:val="44"/>
        </w:rPr>
      </w:pPr>
    </w:p>
    <w:p>
      <w:pPr>
        <w:spacing w:line="240" w:lineRule="atLeast"/>
        <w:jc w:val="center"/>
        <w:rPr>
          <w:rFonts w:ascii="微软雅黑" w:hAnsi="微软雅黑" w:eastAsia="微软雅黑" w:cs="微软雅黑"/>
          <w:b/>
          <w:color w:val="auto"/>
          <w:sz w:val="40"/>
          <w:szCs w:val="40"/>
        </w:rPr>
      </w:pPr>
      <w:r>
        <w:rPr>
          <w:rFonts w:hint="eastAsia" w:ascii="微软雅黑" w:hAnsi="微软雅黑" w:eastAsia="微软雅黑" w:cs="微软雅黑"/>
          <w:b/>
          <w:color w:val="auto"/>
          <w:sz w:val="56"/>
          <w:szCs w:val="56"/>
        </w:rPr>
        <w:t>磋 商 文 件</w:t>
      </w:r>
    </w:p>
    <w:p>
      <w:pPr>
        <w:pStyle w:val="36"/>
        <w:ind w:firstLine="480"/>
        <w:rPr>
          <w:rFonts w:ascii="微软雅黑" w:hAnsi="微软雅黑" w:eastAsia="微软雅黑" w:cs="微软雅黑"/>
          <w:color w:val="auto"/>
        </w:rPr>
      </w:pPr>
    </w:p>
    <w:p>
      <w:pPr>
        <w:spacing w:line="460" w:lineRule="exact"/>
        <w:jc w:val="center"/>
        <w:rPr>
          <w:rFonts w:hint="default" w:ascii="微软雅黑" w:hAnsi="微软雅黑" w:eastAsia="微软雅黑" w:cs="微软雅黑"/>
          <w:b/>
          <w:color w:val="auto"/>
          <w:kern w:val="44"/>
          <w:sz w:val="28"/>
          <w:szCs w:val="18"/>
          <w:lang w:val="en-US" w:eastAsia="zh-CN"/>
        </w:rPr>
      </w:pPr>
      <w:r>
        <w:rPr>
          <w:rFonts w:hint="eastAsia" w:ascii="微软雅黑" w:hAnsi="微软雅黑" w:eastAsia="微软雅黑" w:cs="微软雅黑"/>
          <w:b/>
          <w:color w:val="auto"/>
          <w:kern w:val="44"/>
          <w:sz w:val="28"/>
          <w:szCs w:val="18"/>
          <w:lang w:eastAsia="zh-CN"/>
        </w:rPr>
        <w:t>项目编号：XJ</w:t>
      </w:r>
      <w:r>
        <w:rPr>
          <w:rFonts w:hint="eastAsia" w:ascii="微软雅黑" w:hAnsi="微软雅黑" w:eastAsia="微软雅黑" w:cs="微软雅黑"/>
          <w:b/>
          <w:color w:val="auto"/>
          <w:kern w:val="44"/>
          <w:sz w:val="28"/>
          <w:szCs w:val="18"/>
          <w:lang w:val="en-US" w:eastAsia="zh-CN"/>
        </w:rPr>
        <w:t>HSY</w:t>
      </w:r>
      <w:r>
        <w:rPr>
          <w:rFonts w:hint="eastAsia" w:ascii="微软雅黑" w:hAnsi="微软雅黑" w:eastAsia="微软雅黑" w:cs="微软雅黑"/>
          <w:b/>
          <w:color w:val="auto"/>
          <w:kern w:val="44"/>
          <w:sz w:val="28"/>
          <w:szCs w:val="18"/>
          <w:lang w:eastAsia="zh-CN"/>
        </w:rPr>
        <w:t>(</w:t>
      </w:r>
      <w:r>
        <w:rPr>
          <w:rFonts w:hint="eastAsia" w:ascii="微软雅黑" w:hAnsi="微软雅黑" w:eastAsia="微软雅黑" w:cs="微软雅黑"/>
          <w:b/>
          <w:color w:val="auto"/>
          <w:kern w:val="44"/>
          <w:sz w:val="28"/>
          <w:szCs w:val="18"/>
          <w:lang w:val="en-US" w:eastAsia="zh-CN"/>
        </w:rPr>
        <w:t>CS</w:t>
      </w:r>
      <w:r>
        <w:rPr>
          <w:rFonts w:hint="eastAsia" w:ascii="微软雅黑" w:hAnsi="微软雅黑" w:eastAsia="微软雅黑" w:cs="微软雅黑"/>
          <w:b/>
          <w:color w:val="auto"/>
          <w:kern w:val="44"/>
          <w:sz w:val="28"/>
          <w:szCs w:val="18"/>
          <w:lang w:eastAsia="zh-CN"/>
        </w:rPr>
        <w:t>)2021-0</w:t>
      </w:r>
      <w:r>
        <w:rPr>
          <w:rFonts w:hint="eastAsia" w:ascii="微软雅黑" w:hAnsi="微软雅黑" w:eastAsia="微软雅黑" w:cs="微软雅黑"/>
          <w:b/>
          <w:color w:val="auto"/>
          <w:kern w:val="44"/>
          <w:sz w:val="28"/>
          <w:szCs w:val="18"/>
          <w:lang w:val="en-US" w:eastAsia="zh-CN"/>
        </w:rPr>
        <w:t>1-01</w:t>
      </w:r>
    </w:p>
    <w:p>
      <w:pPr>
        <w:spacing w:line="240" w:lineRule="atLeast"/>
        <w:jc w:val="center"/>
        <w:rPr>
          <w:rFonts w:ascii="微软雅黑" w:hAnsi="微软雅黑" w:eastAsia="微软雅黑" w:cs="微软雅黑"/>
          <w:b/>
          <w:color w:val="auto"/>
          <w:sz w:val="40"/>
          <w:szCs w:val="40"/>
        </w:rPr>
      </w:pPr>
    </w:p>
    <w:p>
      <w:pPr>
        <w:spacing w:line="240" w:lineRule="atLeast"/>
        <w:rPr>
          <w:rFonts w:ascii="微软雅黑" w:hAnsi="微软雅黑" w:eastAsia="微软雅黑" w:cs="微软雅黑"/>
          <w:b/>
          <w:color w:val="auto"/>
          <w:sz w:val="52"/>
        </w:rPr>
      </w:pPr>
    </w:p>
    <w:p>
      <w:pPr>
        <w:spacing w:line="240" w:lineRule="atLeast"/>
        <w:ind w:left="1080" w:leftChars="257" w:hanging="540"/>
        <w:rPr>
          <w:rFonts w:ascii="微软雅黑" w:hAnsi="微软雅黑" w:eastAsia="微软雅黑" w:cs="微软雅黑"/>
          <w:b/>
          <w:color w:val="auto"/>
          <w:sz w:val="28"/>
        </w:rPr>
      </w:pPr>
    </w:p>
    <w:p>
      <w:pPr>
        <w:spacing w:line="240" w:lineRule="atLeast"/>
        <w:ind w:left="1976" w:leftChars="941" w:firstLine="1642" w:firstLineChars="342"/>
        <w:rPr>
          <w:rFonts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第二册</w:t>
      </w:r>
    </w:p>
    <w:p>
      <w:pPr>
        <w:spacing w:line="240" w:lineRule="atLeast"/>
        <w:ind w:left="1080" w:leftChars="257" w:hanging="540"/>
        <w:rPr>
          <w:rFonts w:ascii="微软雅黑" w:hAnsi="微软雅黑" w:eastAsia="微软雅黑" w:cs="微软雅黑"/>
          <w:b/>
          <w:color w:val="auto"/>
          <w:sz w:val="28"/>
        </w:rPr>
      </w:pPr>
    </w:p>
    <w:p>
      <w:pPr>
        <w:spacing w:line="240" w:lineRule="atLeast"/>
        <w:ind w:left="1080" w:leftChars="257" w:hanging="540"/>
        <w:rPr>
          <w:rFonts w:ascii="微软雅黑" w:hAnsi="微软雅黑" w:eastAsia="微软雅黑" w:cs="微软雅黑"/>
          <w:b/>
          <w:color w:val="auto"/>
          <w:sz w:val="28"/>
        </w:rPr>
      </w:pPr>
    </w:p>
    <w:p>
      <w:pPr>
        <w:spacing w:line="240" w:lineRule="atLeast"/>
        <w:ind w:left="1080" w:leftChars="257" w:hanging="540"/>
        <w:rPr>
          <w:rFonts w:ascii="微软雅黑" w:hAnsi="微软雅黑" w:eastAsia="微软雅黑" w:cs="微软雅黑"/>
          <w:b/>
          <w:color w:val="auto"/>
          <w:sz w:val="28"/>
        </w:rPr>
      </w:pPr>
    </w:p>
    <w:p>
      <w:pPr>
        <w:pStyle w:val="36"/>
        <w:ind w:firstLine="560"/>
        <w:rPr>
          <w:rFonts w:ascii="微软雅黑" w:hAnsi="微软雅黑" w:eastAsia="微软雅黑" w:cs="微软雅黑"/>
          <w:b/>
          <w:color w:val="auto"/>
          <w:sz w:val="28"/>
        </w:rPr>
      </w:pPr>
    </w:p>
    <w:p>
      <w:pPr>
        <w:pStyle w:val="36"/>
        <w:ind w:firstLine="560"/>
        <w:rPr>
          <w:rFonts w:ascii="微软雅黑" w:hAnsi="微软雅黑" w:eastAsia="微软雅黑" w:cs="微软雅黑"/>
          <w:b/>
          <w:color w:val="auto"/>
          <w:sz w:val="28"/>
        </w:rPr>
      </w:pPr>
    </w:p>
    <w:p>
      <w:pPr>
        <w:pStyle w:val="36"/>
        <w:ind w:firstLine="560"/>
        <w:rPr>
          <w:rFonts w:ascii="微软雅黑" w:hAnsi="微软雅黑" w:eastAsia="微软雅黑" w:cs="微软雅黑"/>
          <w:b/>
          <w:color w:val="auto"/>
          <w:sz w:val="28"/>
        </w:rPr>
      </w:pPr>
    </w:p>
    <w:p>
      <w:pPr>
        <w:spacing w:line="240" w:lineRule="atLeast"/>
        <w:ind w:left="1080" w:leftChars="257" w:hanging="540"/>
        <w:rPr>
          <w:rFonts w:ascii="微软雅黑" w:hAnsi="微软雅黑" w:eastAsia="微软雅黑" w:cs="微软雅黑"/>
          <w:b/>
          <w:color w:val="auto"/>
          <w:sz w:val="28"/>
        </w:rPr>
      </w:pPr>
    </w:p>
    <w:p>
      <w:pPr>
        <w:pStyle w:val="11"/>
        <w:ind w:firstLine="0"/>
        <w:rPr>
          <w:rFonts w:ascii="微软雅黑" w:hAnsi="微软雅黑" w:eastAsia="微软雅黑" w:cs="微软雅黑"/>
          <w:b/>
          <w:color w:val="auto"/>
          <w:sz w:val="52"/>
        </w:rPr>
      </w:pPr>
    </w:p>
    <w:p>
      <w:pPr>
        <w:pStyle w:val="5"/>
        <w:tabs>
          <w:tab w:val="left" w:pos="0"/>
        </w:tabs>
        <w:spacing w:before="0" w:after="0" w:line="240" w:lineRule="atLeast"/>
        <w:rPr>
          <w:rFonts w:ascii="微软雅黑" w:hAnsi="微软雅黑" w:eastAsia="微软雅黑" w:cs="微软雅黑"/>
          <w:color w:val="auto"/>
        </w:rPr>
      </w:pPr>
      <w:bookmarkStart w:id="494" w:name="_Toc219175634"/>
      <w:bookmarkStart w:id="495" w:name="_Toc216582822"/>
      <w:bookmarkStart w:id="496" w:name="_Toc515647829"/>
      <w:bookmarkStart w:id="497" w:name="_Toc507399902"/>
      <w:bookmarkStart w:id="498" w:name="_Toc18347"/>
      <w:bookmarkStart w:id="499" w:name="_Toc218935350"/>
      <w:bookmarkStart w:id="500" w:name="_Toc16370"/>
      <w:bookmarkStart w:id="501" w:name="_Toc28765"/>
      <w:r>
        <w:rPr>
          <w:rFonts w:hint="eastAsia" w:ascii="微软雅黑" w:hAnsi="微软雅黑" w:eastAsia="微软雅黑" w:cs="微软雅黑"/>
          <w:color w:val="auto"/>
        </w:rPr>
        <w:t>第3章 磋商邀请</w:t>
      </w:r>
      <w:bookmarkEnd w:id="494"/>
      <w:bookmarkEnd w:id="495"/>
      <w:bookmarkEnd w:id="496"/>
      <w:bookmarkEnd w:id="497"/>
      <w:bookmarkEnd w:id="498"/>
      <w:bookmarkEnd w:id="499"/>
      <w:bookmarkEnd w:id="500"/>
      <w:bookmarkEnd w:id="501"/>
    </w:p>
    <w:p>
      <w:pPr>
        <w:pStyle w:val="5"/>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Light" w:hAnsi="微软雅黑 Light" w:eastAsia="微软雅黑 Light" w:cs="微软雅黑 Light"/>
          <w:sz w:val="28"/>
          <w:szCs w:val="28"/>
        </w:rPr>
      </w:pPr>
      <w:bookmarkStart w:id="502" w:name="_Toc507399903"/>
      <w:bookmarkStart w:id="503" w:name="_Toc512937850"/>
      <w:bookmarkStart w:id="504" w:name="_Toc31583"/>
      <w:bookmarkStart w:id="505" w:name="_Toc515647830"/>
      <w:bookmarkStart w:id="506" w:name="_Toc10488"/>
      <w:bookmarkStart w:id="507" w:name="_Toc216582823"/>
      <w:r>
        <w:rPr>
          <w:rFonts w:hint="eastAsia" w:ascii="微软雅黑 Light" w:hAnsi="微软雅黑 Light" w:eastAsia="微软雅黑 Light" w:cs="微软雅黑 Light"/>
          <w:sz w:val="28"/>
          <w:szCs w:val="28"/>
          <w:lang w:val="en-US" w:eastAsia="zh-CN"/>
        </w:rPr>
        <w:t>新疆合升源项目管理有限公司关于喀什地区能力提升培训第三方评估及能力提升培训电子证书管理系统开发项目</w:t>
      </w:r>
      <w:r>
        <w:rPr>
          <w:rFonts w:hint="eastAsia" w:ascii="微软雅黑 Light" w:hAnsi="微软雅黑 Light" w:eastAsia="微软雅黑 Light" w:cs="微软雅黑 Light"/>
          <w:sz w:val="28"/>
          <w:szCs w:val="28"/>
        </w:rPr>
        <w:t>的</w:t>
      </w:r>
      <w:r>
        <w:rPr>
          <w:rFonts w:hint="eastAsia" w:ascii="微软雅黑 Light" w:hAnsi="微软雅黑 Light" w:eastAsia="微软雅黑 Light" w:cs="微软雅黑 Light"/>
          <w:sz w:val="28"/>
          <w:szCs w:val="28"/>
          <w:lang w:val="en-US" w:eastAsia="zh-CN"/>
        </w:rPr>
        <w:t>竞争性磋商</w:t>
      </w:r>
      <w:r>
        <w:rPr>
          <w:rFonts w:hint="eastAsia" w:ascii="微软雅黑 Light" w:hAnsi="微软雅黑 Light" w:eastAsia="微软雅黑 Light" w:cs="微软雅黑 Light"/>
          <w:sz w:val="28"/>
          <w:szCs w:val="28"/>
        </w:rPr>
        <w:t>公告</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项目概况</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lang w:val="en-US" w:eastAsia="zh-CN"/>
        </w:rPr>
        <w:t>喀什地区能力提升培训第三方评估及能力提升培训电子证书管理系统开发项目</w:t>
      </w:r>
      <w:r>
        <w:rPr>
          <w:rFonts w:hint="eastAsia" w:ascii="微软雅黑 Light" w:hAnsi="微软雅黑 Light" w:eastAsia="微软雅黑 Light" w:cs="微软雅黑 Light"/>
          <w:i w:val="0"/>
          <w:iCs w:val="0"/>
          <w:caps w:val="0"/>
          <w:color w:val="000000"/>
          <w:spacing w:val="0"/>
          <w:sz w:val="21"/>
          <w:szCs w:val="21"/>
        </w:rPr>
        <w:t>的潜在</w:t>
      </w:r>
      <w:r>
        <w:rPr>
          <w:rFonts w:hint="eastAsia" w:ascii="微软雅黑 Light" w:hAnsi="微软雅黑 Light" w:eastAsia="微软雅黑 Light" w:cs="微软雅黑 Light"/>
          <w:i w:val="0"/>
          <w:iCs w:val="0"/>
          <w:caps w:val="0"/>
          <w:color w:val="000000"/>
          <w:spacing w:val="0"/>
          <w:sz w:val="21"/>
          <w:szCs w:val="21"/>
          <w:lang w:val="en-US" w:eastAsia="zh-CN"/>
        </w:rPr>
        <w:t>供应商</w:t>
      </w:r>
      <w:r>
        <w:rPr>
          <w:rFonts w:hint="eastAsia" w:ascii="微软雅黑 Light" w:hAnsi="微软雅黑 Light" w:eastAsia="微软雅黑 Light" w:cs="微软雅黑 Light"/>
          <w:i w:val="0"/>
          <w:iCs w:val="0"/>
          <w:caps w:val="0"/>
          <w:color w:val="000000"/>
          <w:spacing w:val="0"/>
          <w:sz w:val="21"/>
          <w:szCs w:val="21"/>
        </w:rPr>
        <w:t>应在政采云平台获取</w:t>
      </w:r>
      <w:r>
        <w:rPr>
          <w:rFonts w:hint="eastAsia" w:ascii="微软雅黑 Light" w:hAnsi="微软雅黑 Light" w:eastAsia="微软雅黑 Light" w:cs="微软雅黑 Light"/>
          <w:i w:val="0"/>
          <w:iCs w:val="0"/>
          <w:caps w:val="0"/>
          <w:color w:val="000000"/>
          <w:spacing w:val="0"/>
          <w:sz w:val="21"/>
          <w:szCs w:val="21"/>
          <w:lang w:val="en-US" w:eastAsia="zh-CN"/>
        </w:rPr>
        <w:t>磋商</w:t>
      </w:r>
      <w:r>
        <w:rPr>
          <w:rFonts w:hint="eastAsia" w:ascii="微软雅黑 Light" w:hAnsi="微软雅黑 Light" w:eastAsia="微软雅黑 Light" w:cs="微软雅黑 Light"/>
          <w:i w:val="0"/>
          <w:iCs w:val="0"/>
          <w:caps w:val="0"/>
          <w:color w:val="000000"/>
          <w:spacing w:val="0"/>
          <w:sz w:val="21"/>
          <w:szCs w:val="21"/>
        </w:rPr>
        <w:t>文件，并于2021年1</w:t>
      </w:r>
      <w:r>
        <w:rPr>
          <w:rFonts w:hint="eastAsia" w:ascii="微软雅黑 Light" w:hAnsi="微软雅黑 Light" w:eastAsia="微软雅黑 Light" w:cs="微软雅黑 Light"/>
          <w:i w:val="0"/>
          <w:iCs w:val="0"/>
          <w:caps w:val="0"/>
          <w:color w:val="000000"/>
          <w:spacing w:val="0"/>
          <w:sz w:val="21"/>
          <w:szCs w:val="21"/>
          <w:lang w:val="en-US" w:eastAsia="zh-CN"/>
        </w:rPr>
        <w:t>1</w:t>
      </w:r>
      <w:r>
        <w:rPr>
          <w:rFonts w:hint="eastAsia" w:ascii="微软雅黑 Light" w:hAnsi="微软雅黑 Light" w:eastAsia="微软雅黑 Light" w:cs="微软雅黑 Light"/>
          <w:i w:val="0"/>
          <w:iCs w:val="0"/>
          <w:caps w:val="0"/>
          <w:color w:val="000000"/>
          <w:spacing w:val="0"/>
          <w:sz w:val="21"/>
          <w:szCs w:val="21"/>
        </w:rPr>
        <w:t>月</w:t>
      </w:r>
      <w:r>
        <w:rPr>
          <w:rFonts w:hint="eastAsia" w:ascii="微软雅黑 Light" w:hAnsi="微软雅黑 Light" w:eastAsia="微软雅黑 Light" w:cs="微软雅黑 Light"/>
          <w:i w:val="0"/>
          <w:iCs w:val="0"/>
          <w:caps w:val="0"/>
          <w:color w:val="000000"/>
          <w:spacing w:val="0"/>
          <w:sz w:val="21"/>
          <w:szCs w:val="21"/>
          <w:lang w:val="en-US" w:eastAsia="zh-CN"/>
        </w:rPr>
        <w:t>25</w:t>
      </w:r>
      <w:r>
        <w:rPr>
          <w:rFonts w:hint="eastAsia" w:ascii="微软雅黑 Light" w:hAnsi="微软雅黑 Light" w:eastAsia="微软雅黑 Light" w:cs="微软雅黑 Light"/>
          <w:i w:val="0"/>
          <w:iCs w:val="0"/>
          <w:caps w:val="0"/>
          <w:color w:val="000000"/>
          <w:spacing w:val="0"/>
          <w:sz w:val="21"/>
          <w:szCs w:val="21"/>
        </w:rPr>
        <w:t>日 11:00（北京时间）前递交</w:t>
      </w:r>
      <w:r>
        <w:rPr>
          <w:rFonts w:hint="eastAsia" w:ascii="微软雅黑 Light" w:hAnsi="微软雅黑 Light" w:eastAsia="微软雅黑 Light" w:cs="微软雅黑 Light"/>
          <w:i w:val="0"/>
          <w:iCs w:val="0"/>
          <w:caps w:val="0"/>
          <w:color w:val="000000"/>
          <w:spacing w:val="0"/>
          <w:sz w:val="21"/>
          <w:szCs w:val="21"/>
          <w:lang w:val="en-US" w:eastAsia="zh-CN"/>
        </w:rPr>
        <w:t>响应</w:t>
      </w:r>
      <w:r>
        <w:rPr>
          <w:rFonts w:hint="eastAsia" w:ascii="微软雅黑 Light" w:hAnsi="微软雅黑 Light" w:eastAsia="微软雅黑 Light" w:cs="微软雅黑 Light"/>
          <w:i w:val="0"/>
          <w:iCs w:val="0"/>
          <w:caps w:val="0"/>
          <w:color w:val="000000"/>
          <w:spacing w:val="0"/>
          <w:sz w:val="21"/>
          <w:szCs w:val="21"/>
        </w:rPr>
        <w:t>文件。</w:t>
      </w:r>
    </w:p>
    <w:p>
      <w:pPr>
        <w:pStyle w:val="33"/>
        <w:keepNext w:val="0"/>
        <w:keepLines w:val="0"/>
        <w:pageBreakBefore w:val="0"/>
        <w:widowControl/>
        <w:suppressLineNumbers w:val="0"/>
        <w:kinsoku/>
        <w:wordWrap/>
        <w:overflowPunct/>
        <w:topLinePunct w:val="0"/>
        <w:autoSpaceDE/>
        <w:autoSpaceDN/>
        <w:bidi w:val="0"/>
        <w:adjustRightInd/>
        <w:spacing w:before="204" w:beforeAutospacing="0" w:after="204" w:afterAutospacing="0" w:line="280" w:lineRule="exact"/>
        <w:ind w:left="0" w:right="0"/>
        <w:jc w:val="both"/>
        <w:textAlignment w:val="auto"/>
        <w:rPr>
          <w:rFonts w:hint="eastAsia" w:ascii="微软雅黑 Light" w:hAnsi="微软雅黑 Light" w:eastAsia="微软雅黑 Light" w:cs="微软雅黑 Light"/>
          <w:sz w:val="21"/>
          <w:szCs w:val="21"/>
        </w:rPr>
      </w:pPr>
      <w:r>
        <w:rPr>
          <w:rStyle w:val="40"/>
          <w:rFonts w:hint="eastAsia" w:ascii="微软雅黑 Light" w:hAnsi="微软雅黑 Light" w:eastAsia="微软雅黑 Light" w:cs="微软雅黑 Light"/>
          <w:i w:val="0"/>
          <w:iCs w:val="0"/>
          <w:caps w:val="0"/>
          <w:color w:val="000000"/>
          <w:spacing w:val="0"/>
          <w:sz w:val="21"/>
          <w:szCs w:val="21"/>
        </w:rPr>
        <w:t>一、项目基本情况</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lang w:eastAsia="zh-CN"/>
        </w:rPr>
      </w:pPr>
      <w:r>
        <w:rPr>
          <w:rFonts w:hint="eastAsia" w:ascii="微软雅黑 Light" w:hAnsi="微软雅黑 Light" w:eastAsia="微软雅黑 Light" w:cs="微软雅黑 Light"/>
          <w:i w:val="0"/>
          <w:iCs w:val="0"/>
          <w:caps w:val="0"/>
          <w:color w:val="000000"/>
          <w:spacing w:val="0"/>
          <w:sz w:val="21"/>
          <w:szCs w:val="21"/>
        </w:rPr>
        <w:t>项目编号：XJ</w:t>
      </w:r>
      <w:r>
        <w:rPr>
          <w:rFonts w:hint="eastAsia" w:ascii="微软雅黑 Light" w:hAnsi="微软雅黑 Light" w:eastAsia="微软雅黑 Light" w:cs="微软雅黑 Light"/>
          <w:i w:val="0"/>
          <w:iCs w:val="0"/>
          <w:caps w:val="0"/>
          <w:color w:val="000000"/>
          <w:spacing w:val="0"/>
          <w:sz w:val="21"/>
          <w:szCs w:val="21"/>
          <w:lang w:val="en-US" w:eastAsia="zh-CN"/>
        </w:rPr>
        <w:t>HSY</w:t>
      </w:r>
      <w:r>
        <w:rPr>
          <w:rFonts w:hint="eastAsia" w:ascii="微软雅黑 Light" w:hAnsi="微软雅黑 Light" w:eastAsia="微软雅黑 Light" w:cs="微软雅黑 Light"/>
          <w:i w:val="0"/>
          <w:iCs w:val="0"/>
          <w:caps w:val="0"/>
          <w:color w:val="000000"/>
          <w:spacing w:val="0"/>
          <w:sz w:val="21"/>
          <w:szCs w:val="21"/>
        </w:rPr>
        <w:t>(</w:t>
      </w:r>
      <w:r>
        <w:rPr>
          <w:rFonts w:hint="eastAsia" w:ascii="微软雅黑 Light" w:hAnsi="微软雅黑 Light" w:eastAsia="微软雅黑 Light" w:cs="微软雅黑 Light"/>
          <w:i w:val="0"/>
          <w:iCs w:val="0"/>
          <w:caps w:val="0"/>
          <w:color w:val="000000"/>
          <w:spacing w:val="0"/>
          <w:sz w:val="21"/>
          <w:szCs w:val="21"/>
          <w:lang w:val="en-US" w:eastAsia="zh-CN"/>
        </w:rPr>
        <w:t>CS</w:t>
      </w:r>
      <w:r>
        <w:rPr>
          <w:rFonts w:hint="eastAsia" w:ascii="微软雅黑 Light" w:hAnsi="微软雅黑 Light" w:eastAsia="微软雅黑 Light" w:cs="微软雅黑 Light"/>
          <w:i w:val="0"/>
          <w:iCs w:val="0"/>
          <w:caps w:val="0"/>
          <w:color w:val="000000"/>
          <w:spacing w:val="0"/>
          <w:sz w:val="21"/>
          <w:szCs w:val="21"/>
        </w:rPr>
        <w:t>)2021-0</w:t>
      </w:r>
      <w:r>
        <w:rPr>
          <w:rFonts w:hint="eastAsia" w:ascii="微软雅黑 Light" w:hAnsi="微软雅黑 Light" w:eastAsia="微软雅黑 Light" w:cs="微软雅黑 Light"/>
          <w:i w:val="0"/>
          <w:iCs w:val="0"/>
          <w:caps w:val="0"/>
          <w:color w:val="000000"/>
          <w:spacing w:val="0"/>
          <w:sz w:val="21"/>
          <w:szCs w:val="21"/>
          <w:lang w:val="en-US" w:eastAsia="zh-CN"/>
        </w:rPr>
        <w:t>1</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项目名称：</w:t>
      </w:r>
      <w:r>
        <w:rPr>
          <w:rFonts w:hint="eastAsia" w:ascii="微软雅黑 Light" w:hAnsi="微软雅黑 Light" w:eastAsia="微软雅黑 Light" w:cs="微软雅黑 Light"/>
          <w:i w:val="0"/>
          <w:iCs w:val="0"/>
          <w:caps w:val="0"/>
          <w:color w:val="000000"/>
          <w:spacing w:val="0"/>
          <w:sz w:val="21"/>
          <w:szCs w:val="21"/>
          <w:lang w:val="en-US" w:eastAsia="zh-CN"/>
        </w:rPr>
        <w:t>喀什地区能力提升培训第三方评估及能力提升培训电子证书管理系统开发项目</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采购方式：</w:t>
      </w:r>
      <w:r>
        <w:rPr>
          <w:rFonts w:hint="eastAsia" w:ascii="微软雅黑 Light" w:hAnsi="微软雅黑 Light" w:eastAsia="微软雅黑 Light" w:cs="微软雅黑 Light"/>
          <w:i w:val="0"/>
          <w:iCs w:val="0"/>
          <w:caps w:val="0"/>
          <w:color w:val="000000"/>
          <w:spacing w:val="0"/>
          <w:sz w:val="21"/>
          <w:szCs w:val="21"/>
          <w:lang w:val="en-US" w:eastAsia="zh-CN"/>
        </w:rPr>
        <w:t>竞争性磋商</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预算金额（元）：</w:t>
      </w:r>
      <w:r>
        <w:rPr>
          <w:rFonts w:hint="eastAsia" w:ascii="微软雅黑 Light" w:hAnsi="微软雅黑 Light" w:eastAsia="微软雅黑 Light" w:cs="微软雅黑 Light"/>
          <w:i w:val="0"/>
          <w:iCs w:val="0"/>
          <w:caps w:val="0"/>
          <w:color w:val="000000"/>
          <w:spacing w:val="0"/>
          <w:sz w:val="21"/>
          <w:szCs w:val="21"/>
          <w:lang w:val="en-US" w:eastAsia="zh-CN"/>
        </w:rPr>
        <w:t>740000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left="0" w:right="0" w:firstLine="420"/>
        <w:textAlignment w:val="auto"/>
        <w:rPr>
          <w:rFonts w:hint="eastAsia" w:ascii="微软雅黑 Light" w:hAnsi="微软雅黑 Light" w:eastAsia="微软雅黑 Light" w:cs="微软雅黑 Light"/>
          <w:i w:val="0"/>
          <w:iCs w:val="0"/>
          <w:caps w:val="0"/>
          <w:spacing w:val="0"/>
          <w:sz w:val="21"/>
          <w:szCs w:val="21"/>
          <w:lang w:val="en-US" w:eastAsia="zh-CN"/>
        </w:rPr>
      </w:pPr>
      <w:r>
        <w:rPr>
          <w:rFonts w:hint="eastAsia" w:ascii="微软雅黑 Light" w:hAnsi="微软雅黑 Light" w:eastAsia="微软雅黑 Light" w:cs="微软雅黑 Light"/>
          <w:i w:val="0"/>
          <w:iCs w:val="0"/>
          <w:caps w:val="0"/>
          <w:spacing w:val="0"/>
          <w:sz w:val="21"/>
          <w:szCs w:val="21"/>
        </w:rPr>
        <w:t>最高限价（元）：标项一:</w:t>
      </w:r>
      <w:r>
        <w:rPr>
          <w:rFonts w:hint="eastAsia" w:ascii="微软雅黑 Light" w:hAnsi="微软雅黑 Light" w:eastAsia="微软雅黑 Light" w:cs="微软雅黑 Light"/>
          <w:i w:val="0"/>
          <w:iCs w:val="0"/>
          <w:caps w:val="0"/>
          <w:spacing w:val="0"/>
          <w:sz w:val="21"/>
          <w:szCs w:val="21"/>
          <w:lang w:val="en-US" w:eastAsia="zh-CN"/>
        </w:rPr>
        <w:t>240000</w:t>
      </w:r>
      <w:r>
        <w:rPr>
          <w:rFonts w:hint="eastAsia" w:ascii="微软雅黑 Light" w:hAnsi="微软雅黑 Light" w:eastAsia="微软雅黑 Light" w:cs="微软雅黑 Light"/>
          <w:i w:val="0"/>
          <w:iCs w:val="0"/>
          <w:caps w:val="0"/>
          <w:spacing w:val="0"/>
          <w:sz w:val="21"/>
          <w:szCs w:val="21"/>
        </w:rPr>
        <w:t>.00,标项二:5</w:t>
      </w:r>
      <w:r>
        <w:rPr>
          <w:rFonts w:hint="eastAsia" w:ascii="微软雅黑 Light" w:hAnsi="微软雅黑 Light" w:eastAsia="微软雅黑 Light" w:cs="微软雅黑 Light"/>
          <w:i w:val="0"/>
          <w:iCs w:val="0"/>
          <w:caps w:val="0"/>
          <w:spacing w:val="0"/>
          <w:sz w:val="21"/>
          <w:szCs w:val="21"/>
          <w:lang w:val="en-US" w:eastAsia="zh-CN"/>
        </w:rPr>
        <w:t>00000.00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left="0" w:right="0" w:firstLine="420"/>
        <w:textAlignment w:val="auto"/>
        <w:rPr>
          <w:rFonts w:hint="eastAsia" w:ascii="微软雅黑 Light" w:hAnsi="微软雅黑 Light" w:eastAsia="微软雅黑 Light" w:cs="微软雅黑 Light"/>
          <w:i w:val="0"/>
          <w:iCs w:val="0"/>
          <w:caps w:val="0"/>
          <w:spacing w:val="0"/>
          <w:sz w:val="16"/>
          <w:szCs w:val="16"/>
        </w:rPr>
      </w:pPr>
      <w:r>
        <w:rPr>
          <w:rFonts w:hint="eastAsia" w:ascii="微软雅黑 Light" w:hAnsi="微软雅黑 Light" w:eastAsia="微软雅黑 Light" w:cs="微软雅黑 Light"/>
          <w:i w:val="0"/>
          <w:iCs w:val="0"/>
          <w:caps w:val="0"/>
          <w:spacing w:val="0"/>
          <w:sz w:val="21"/>
          <w:szCs w:val="21"/>
        </w:rPr>
        <w:t>采购需求：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left="0" w:right="0" w:firstLine="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spacing w:val="0"/>
          <w:sz w:val="21"/>
          <w:szCs w:val="21"/>
        </w:rPr>
        <w:t>  标项一:</w:t>
      </w:r>
      <w:r>
        <w:rPr>
          <w:rFonts w:hint="eastAsia" w:ascii="微软雅黑 Light" w:hAnsi="微软雅黑 Light" w:eastAsia="微软雅黑 Light" w:cs="微软雅黑 Light"/>
          <w:i w:val="0"/>
          <w:iCs w:val="0"/>
          <w:caps w:val="0"/>
          <w:spacing w:val="0"/>
          <w:sz w:val="21"/>
          <w:szCs w:val="21"/>
        </w:rPr>
        <w:br w:type="textWrapping"/>
      </w:r>
      <w:r>
        <w:rPr>
          <w:rFonts w:hint="eastAsia" w:ascii="微软雅黑 Light" w:hAnsi="微软雅黑 Light" w:eastAsia="微软雅黑 Light" w:cs="微软雅黑 Light"/>
          <w:i w:val="0"/>
          <w:iCs w:val="0"/>
          <w:caps w:val="0"/>
          <w:spacing w:val="0"/>
          <w:sz w:val="21"/>
          <w:szCs w:val="21"/>
        </w:rPr>
        <w:t>  标项名称:</w:t>
      </w:r>
      <w:r>
        <w:rPr>
          <w:rFonts w:hint="eastAsia" w:ascii="微软雅黑 Light" w:hAnsi="微软雅黑 Light" w:eastAsia="微软雅黑 Light" w:cs="微软雅黑 Light"/>
          <w:i w:val="0"/>
          <w:iCs w:val="0"/>
          <w:caps w:val="0"/>
          <w:color w:val="000000"/>
          <w:spacing w:val="0"/>
          <w:sz w:val="21"/>
          <w:szCs w:val="21"/>
          <w:lang w:val="en-US" w:eastAsia="zh-CN"/>
        </w:rPr>
        <w:t>喀什地区能力提升培训第三方评估</w:t>
      </w:r>
      <w:r>
        <w:rPr>
          <w:rFonts w:hint="eastAsia" w:ascii="微软雅黑 Light" w:hAnsi="微软雅黑 Light" w:eastAsia="微软雅黑 Light" w:cs="微软雅黑 Light"/>
          <w:i w:val="0"/>
          <w:iCs w:val="0"/>
          <w:caps w:val="0"/>
          <w:spacing w:val="0"/>
          <w:sz w:val="21"/>
          <w:szCs w:val="21"/>
          <w:lang w:val="en-US" w:eastAsia="zh-CN"/>
        </w:rPr>
        <w:t>项目</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left="0" w:right="0" w:firstLine="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spacing w:val="0"/>
          <w:sz w:val="21"/>
          <w:szCs w:val="21"/>
        </w:rPr>
        <w:t>  数量:1</w:t>
      </w:r>
      <w:r>
        <w:rPr>
          <w:rFonts w:hint="eastAsia" w:ascii="微软雅黑 Light" w:hAnsi="微软雅黑 Light" w:eastAsia="微软雅黑 Light" w:cs="微软雅黑 Light"/>
          <w:i w:val="0"/>
          <w:iCs w:val="0"/>
          <w:caps w:val="0"/>
          <w:spacing w:val="0"/>
          <w:sz w:val="21"/>
          <w:szCs w:val="21"/>
          <w:lang w:val="en-US" w:eastAsia="zh-CN"/>
        </w:rPr>
        <w:t>项</w:t>
      </w:r>
      <w:r>
        <w:rPr>
          <w:rFonts w:hint="eastAsia" w:ascii="微软雅黑 Light" w:hAnsi="微软雅黑 Light" w:eastAsia="微软雅黑 Light" w:cs="微软雅黑 Light"/>
          <w:i w:val="0"/>
          <w:iCs w:val="0"/>
          <w:caps w:val="0"/>
          <w:spacing w:val="0"/>
          <w:sz w:val="21"/>
          <w:szCs w:val="21"/>
        </w:rPr>
        <w:br w:type="textWrapping"/>
      </w:r>
      <w:r>
        <w:rPr>
          <w:rFonts w:hint="eastAsia" w:ascii="微软雅黑 Light" w:hAnsi="微软雅黑 Light" w:eastAsia="微软雅黑 Light" w:cs="微软雅黑 Light"/>
          <w:i w:val="0"/>
          <w:iCs w:val="0"/>
          <w:caps w:val="0"/>
          <w:spacing w:val="0"/>
          <w:sz w:val="21"/>
          <w:szCs w:val="21"/>
        </w:rPr>
        <w:t>  预算金额（元）:</w:t>
      </w:r>
      <w:r>
        <w:rPr>
          <w:rFonts w:hint="eastAsia" w:ascii="微软雅黑 Light" w:hAnsi="微软雅黑 Light" w:eastAsia="微软雅黑 Light" w:cs="微软雅黑 Light"/>
          <w:i w:val="0"/>
          <w:iCs w:val="0"/>
          <w:caps w:val="0"/>
          <w:spacing w:val="0"/>
          <w:sz w:val="21"/>
          <w:szCs w:val="21"/>
          <w:lang w:val="en-US" w:eastAsia="zh-CN"/>
        </w:rPr>
        <w:t>240000</w:t>
      </w:r>
      <w:r>
        <w:rPr>
          <w:rFonts w:hint="eastAsia" w:ascii="微软雅黑 Light" w:hAnsi="微软雅黑 Light" w:eastAsia="微软雅黑 Light" w:cs="微软雅黑 Light"/>
          <w:i w:val="0"/>
          <w:iCs w:val="0"/>
          <w:caps w:val="0"/>
          <w:spacing w:val="0"/>
          <w:sz w:val="21"/>
          <w:szCs w:val="21"/>
        </w:rPr>
        <w:t>.00</w:t>
      </w:r>
      <w:r>
        <w:rPr>
          <w:rFonts w:hint="eastAsia" w:ascii="微软雅黑 Light" w:hAnsi="微软雅黑 Light" w:eastAsia="微软雅黑 Light" w:cs="微软雅黑 Light"/>
          <w:i w:val="0"/>
          <w:iCs w:val="0"/>
          <w:caps w:val="0"/>
          <w:spacing w:val="0"/>
          <w:sz w:val="21"/>
          <w:szCs w:val="21"/>
        </w:rPr>
        <w:br w:type="textWrapping"/>
      </w:r>
      <w:r>
        <w:rPr>
          <w:rFonts w:hint="eastAsia" w:ascii="微软雅黑 Light" w:hAnsi="微软雅黑 Light" w:eastAsia="微软雅黑 Light" w:cs="微软雅黑 Light"/>
          <w:i w:val="0"/>
          <w:iCs w:val="0"/>
          <w:caps w:val="0"/>
          <w:spacing w:val="0"/>
          <w:sz w:val="21"/>
          <w:szCs w:val="21"/>
        </w:rPr>
        <w:t>  简要规格描述或项目基本概况介绍、用途：具体详见磋商文件</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left="0" w:right="0" w:firstLine="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spacing w:val="0"/>
          <w:sz w:val="21"/>
          <w:szCs w:val="21"/>
        </w:rPr>
        <w:t>  标项二:</w:t>
      </w:r>
      <w:r>
        <w:rPr>
          <w:rFonts w:hint="eastAsia" w:ascii="微软雅黑 Light" w:hAnsi="微软雅黑 Light" w:eastAsia="微软雅黑 Light" w:cs="微软雅黑 Light"/>
          <w:i w:val="0"/>
          <w:iCs w:val="0"/>
          <w:caps w:val="0"/>
          <w:spacing w:val="0"/>
          <w:sz w:val="21"/>
          <w:szCs w:val="21"/>
        </w:rPr>
        <w:br w:type="textWrapping"/>
      </w:r>
      <w:r>
        <w:rPr>
          <w:rFonts w:hint="eastAsia" w:ascii="微软雅黑 Light" w:hAnsi="微软雅黑 Light" w:eastAsia="微软雅黑 Light" w:cs="微软雅黑 Light"/>
          <w:i w:val="0"/>
          <w:iCs w:val="0"/>
          <w:caps w:val="0"/>
          <w:spacing w:val="0"/>
          <w:sz w:val="21"/>
          <w:szCs w:val="21"/>
        </w:rPr>
        <w:t>  标项名称:</w:t>
      </w:r>
      <w:r>
        <w:rPr>
          <w:rFonts w:hint="eastAsia" w:ascii="微软雅黑 Light" w:hAnsi="微软雅黑 Light" w:eastAsia="微软雅黑 Light" w:cs="微软雅黑 Light"/>
          <w:i w:val="0"/>
          <w:iCs w:val="0"/>
          <w:caps w:val="0"/>
          <w:spacing w:val="0"/>
          <w:sz w:val="21"/>
          <w:szCs w:val="21"/>
          <w:lang w:val="en-US" w:eastAsia="zh-CN"/>
        </w:rPr>
        <w:t>喀什地区能力提升培训电子证书管理系统开发项目</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left="0" w:right="0" w:firstLine="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spacing w:val="0"/>
          <w:sz w:val="21"/>
          <w:szCs w:val="21"/>
        </w:rPr>
        <w:t>  数量:1</w:t>
      </w:r>
      <w:r>
        <w:rPr>
          <w:rFonts w:hint="eastAsia" w:ascii="微软雅黑 Light" w:hAnsi="微软雅黑 Light" w:eastAsia="微软雅黑 Light" w:cs="微软雅黑 Light"/>
          <w:i w:val="0"/>
          <w:iCs w:val="0"/>
          <w:caps w:val="0"/>
          <w:spacing w:val="0"/>
          <w:sz w:val="21"/>
          <w:szCs w:val="21"/>
          <w:lang w:val="en-US" w:eastAsia="zh-CN"/>
        </w:rPr>
        <w:t>项</w:t>
      </w:r>
      <w:r>
        <w:rPr>
          <w:rFonts w:hint="eastAsia" w:ascii="微软雅黑 Light" w:hAnsi="微软雅黑 Light" w:eastAsia="微软雅黑 Light" w:cs="微软雅黑 Light"/>
          <w:i w:val="0"/>
          <w:iCs w:val="0"/>
          <w:caps w:val="0"/>
          <w:spacing w:val="0"/>
          <w:sz w:val="21"/>
          <w:szCs w:val="21"/>
        </w:rPr>
        <w:br w:type="textWrapping"/>
      </w:r>
      <w:r>
        <w:rPr>
          <w:rFonts w:hint="eastAsia" w:ascii="微软雅黑 Light" w:hAnsi="微软雅黑 Light" w:eastAsia="微软雅黑 Light" w:cs="微软雅黑 Light"/>
          <w:i w:val="0"/>
          <w:iCs w:val="0"/>
          <w:caps w:val="0"/>
          <w:spacing w:val="0"/>
          <w:sz w:val="21"/>
          <w:szCs w:val="21"/>
        </w:rPr>
        <w:t>  预算金额（元）:5</w:t>
      </w:r>
      <w:r>
        <w:rPr>
          <w:rFonts w:hint="eastAsia" w:ascii="微软雅黑 Light" w:hAnsi="微软雅黑 Light" w:eastAsia="微软雅黑 Light" w:cs="微软雅黑 Light"/>
          <w:i w:val="0"/>
          <w:iCs w:val="0"/>
          <w:caps w:val="0"/>
          <w:spacing w:val="0"/>
          <w:sz w:val="21"/>
          <w:szCs w:val="21"/>
          <w:lang w:val="en-US" w:eastAsia="zh-CN"/>
        </w:rPr>
        <w:t>00000</w:t>
      </w:r>
      <w:r>
        <w:rPr>
          <w:rFonts w:hint="eastAsia" w:ascii="微软雅黑 Light" w:hAnsi="微软雅黑 Light" w:eastAsia="微软雅黑 Light" w:cs="微软雅黑 Light"/>
          <w:i w:val="0"/>
          <w:iCs w:val="0"/>
          <w:caps w:val="0"/>
          <w:spacing w:val="0"/>
          <w:sz w:val="21"/>
          <w:szCs w:val="21"/>
        </w:rPr>
        <w:t>.</w:t>
      </w:r>
      <w:r>
        <w:rPr>
          <w:rFonts w:hint="eastAsia" w:ascii="微软雅黑 Light" w:hAnsi="微软雅黑 Light" w:eastAsia="微软雅黑 Light" w:cs="微软雅黑 Light"/>
          <w:i w:val="0"/>
          <w:iCs w:val="0"/>
          <w:caps w:val="0"/>
          <w:spacing w:val="0"/>
          <w:sz w:val="21"/>
          <w:szCs w:val="21"/>
          <w:lang w:val="en-US" w:eastAsia="zh-CN"/>
        </w:rPr>
        <w:t>00</w:t>
      </w:r>
      <w:r>
        <w:rPr>
          <w:rFonts w:hint="eastAsia" w:ascii="微软雅黑 Light" w:hAnsi="微软雅黑 Light" w:eastAsia="微软雅黑 Light" w:cs="微软雅黑 Light"/>
          <w:i w:val="0"/>
          <w:iCs w:val="0"/>
          <w:caps w:val="0"/>
          <w:spacing w:val="0"/>
          <w:sz w:val="21"/>
          <w:szCs w:val="21"/>
        </w:rPr>
        <w:br w:type="textWrapping"/>
      </w:r>
      <w:r>
        <w:rPr>
          <w:rFonts w:hint="eastAsia" w:ascii="微软雅黑 Light" w:hAnsi="微软雅黑 Light" w:eastAsia="微软雅黑 Light" w:cs="微软雅黑 Light"/>
          <w:i w:val="0"/>
          <w:iCs w:val="0"/>
          <w:caps w:val="0"/>
          <w:spacing w:val="0"/>
          <w:sz w:val="21"/>
          <w:szCs w:val="21"/>
        </w:rPr>
        <w:t>  简要规格描述或项目基本概况介绍、用途：具体详见磋商文件</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合同履约期限：</w:t>
      </w:r>
      <w:r>
        <w:rPr>
          <w:rFonts w:hint="eastAsia" w:ascii="微软雅黑 Light" w:hAnsi="微软雅黑 Light" w:eastAsia="微软雅黑 Light" w:cs="微软雅黑 Light"/>
          <w:i w:val="0"/>
          <w:iCs w:val="0"/>
          <w:caps w:val="0"/>
          <w:spacing w:val="0"/>
          <w:sz w:val="21"/>
          <w:szCs w:val="21"/>
          <w:shd w:val="clear" w:color="auto" w:fill="FFFFFF"/>
        </w:rPr>
        <w:t>详见磋商文件</w:t>
      </w:r>
      <w:r>
        <w:rPr>
          <w:rFonts w:hint="eastAsia" w:ascii="微软雅黑 Light" w:hAnsi="微软雅黑 Light" w:eastAsia="微软雅黑 Light" w:cs="微软雅黑 Light"/>
          <w:i w:val="0"/>
          <w:iCs w:val="0"/>
          <w:caps w:val="0"/>
          <w:color w:val="000000"/>
          <w:spacing w:val="0"/>
          <w:sz w:val="21"/>
          <w:szCs w:val="21"/>
        </w:rPr>
        <w:t>。</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本项目（否）接受联合体投标。</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textAlignment w:val="auto"/>
        <w:rPr>
          <w:rFonts w:hint="eastAsia" w:ascii="微软雅黑 Light" w:hAnsi="微软雅黑 Light" w:eastAsia="微软雅黑 Light" w:cs="微软雅黑 Light"/>
        </w:rPr>
      </w:pPr>
      <w:r>
        <w:rPr>
          <w:rStyle w:val="40"/>
          <w:rFonts w:hint="eastAsia" w:ascii="微软雅黑 Light" w:hAnsi="微软雅黑 Light" w:eastAsia="微软雅黑 Light" w:cs="微软雅黑 Light"/>
          <w:i w:val="0"/>
          <w:iCs w:val="0"/>
          <w:caps w:val="0"/>
          <w:color w:val="000000"/>
          <w:spacing w:val="0"/>
          <w:sz w:val="21"/>
          <w:szCs w:val="21"/>
        </w:rPr>
        <w:t>二、申请人的资格要求：</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1.满足《中华人民共和国政府采购法》第二十二条规定；</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2.落实政府采购政策需满足的资格要求：无</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3.本项目的特定资格要求：</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FF"/>
          <w:spacing w:val="0"/>
          <w:sz w:val="21"/>
          <w:szCs w:val="21"/>
        </w:rPr>
      </w:pPr>
      <w:r>
        <w:rPr>
          <w:rFonts w:hint="eastAsia" w:ascii="微软雅黑 Light" w:hAnsi="微软雅黑 Light" w:eastAsia="微软雅黑 Light" w:cs="微软雅黑 Light"/>
          <w:i w:val="0"/>
          <w:iCs w:val="0"/>
          <w:caps w:val="0"/>
          <w:color w:val="0000FF"/>
          <w:spacing w:val="0"/>
          <w:sz w:val="21"/>
          <w:szCs w:val="21"/>
        </w:rPr>
        <w:t>（1）具有有效的独立法人营业执照；</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FF"/>
          <w:spacing w:val="0"/>
          <w:sz w:val="21"/>
          <w:szCs w:val="21"/>
        </w:rPr>
      </w:pPr>
      <w:r>
        <w:rPr>
          <w:rFonts w:hint="eastAsia" w:ascii="微软雅黑 Light" w:hAnsi="微软雅黑 Light" w:eastAsia="微软雅黑 Light" w:cs="微软雅黑 Light"/>
          <w:i w:val="0"/>
          <w:iCs w:val="0"/>
          <w:caps w:val="0"/>
          <w:color w:val="0000FF"/>
          <w:spacing w:val="0"/>
          <w:sz w:val="21"/>
          <w:szCs w:val="21"/>
        </w:rPr>
        <w:t>（</w:t>
      </w:r>
      <w:r>
        <w:rPr>
          <w:rFonts w:hint="eastAsia" w:ascii="微软雅黑 Light" w:hAnsi="微软雅黑 Light" w:eastAsia="微软雅黑 Light" w:cs="微软雅黑 Light"/>
          <w:i w:val="0"/>
          <w:iCs w:val="0"/>
          <w:caps w:val="0"/>
          <w:color w:val="0000FF"/>
          <w:spacing w:val="0"/>
          <w:sz w:val="21"/>
          <w:szCs w:val="21"/>
          <w:lang w:val="en-US" w:eastAsia="zh-CN"/>
        </w:rPr>
        <w:t>2</w:t>
      </w:r>
      <w:r>
        <w:rPr>
          <w:rFonts w:hint="eastAsia" w:ascii="微软雅黑 Light" w:hAnsi="微软雅黑 Light" w:eastAsia="微软雅黑 Light" w:cs="微软雅黑 Light"/>
          <w:i w:val="0"/>
          <w:iCs w:val="0"/>
          <w:caps w:val="0"/>
          <w:color w:val="0000FF"/>
          <w:spacing w:val="0"/>
          <w:sz w:val="21"/>
          <w:szCs w:val="21"/>
        </w:rPr>
        <w:t>）良好的商业信誉和健全的财务会计制度证明材料（会计师事务所出具的上年度财务审计报告书原件或影印件；新办企业需提供银行资信证明原件）；</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FF"/>
          <w:spacing w:val="0"/>
          <w:sz w:val="21"/>
          <w:szCs w:val="21"/>
        </w:rPr>
      </w:pPr>
      <w:r>
        <w:rPr>
          <w:rFonts w:hint="eastAsia" w:ascii="微软雅黑 Light" w:hAnsi="微软雅黑 Light" w:eastAsia="微软雅黑 Light" w:cs="微软雅黑 Light"/>
          <w:i w:val="0"/>
          <w:iCs w:val="0"/>
          <w:caps w:val="0"/>
          <w:color w:val="0000FF"/>
          <w:spacing w:val="0"/>
          <w:sz w:val="21"/>
          <w:szCs w:val="21"/>
        </w:rPr>
        <w:t>（</w:t>
      </w:r>
      <w:r>
        <w:rPr>
          <w:rFonts w:hint="eastAsia" w:ascii="微软雅黑 Light" w:hAnsi="微软雅黑 Light" w:eastAsia="微软雅黑 Light" w:cs="微软雅黑 Light"/>
          <w:i w:val="0"/>
          <w:iCs w:val="0"/>
          <w:caps w:val="0"/>
          <w:color w:val="0000FF"/>
          <w:spacing w:val="0"/>
          <w:sz w:val="21"/>
          <w:szCs w:val="21"/>
          <w:lang w:val="en-US" w:eastAsia="zh-CN"/>
        </w:rPr>
        <w:t>3</w:t>
      </w:r>
      <w:r>
        <w:rPr>
          <w:rFonts w:hint="eastAsia" w:ascii="微软雅黑 Light" w:hAnsi="微软雅黑 Light" w:eastAsia="微软雅黑 Light" w:cs="微软雅黑 Light"/>
          <w:i w:val="0"/>
          <w:iCs w:val="0"/>
          <w:caps w:val="0"/>
          <w:color w:val="0000FF"/>
          <w:spacing w:val="0"/>
          <w:sz w:val="21"/>
          <w:szCs w:val="21"/>
        </w:rPr>
        <w:t>）法定代表人授权书及被委托人身份证（法定代表人投标提供法定代表人身份证明及身份证），提供在本单位缴纳的近连续3个月社保缴纳证明</w:t>
      </w:r>
      <w:r>
        <w:rPr>
          <w:rFonts w:hint="eastAsia" w:ascii="微软雅黑 Light" w:hAnsi="微软雅黑 Light" w:eastAsia="微软雅黑 Light" w:cs="微软雅黑 Light"/>
          <w:i w:val="0"/>
          <w:iCs w:val="0"/>
          <w:caps w:val="0"/>
          <w:color w:val="0000FF"/>
          <w:spacing w:val="0"/>
          <w:sz w:val="21"/>
          <w:szCs w:val="21"/>
          <w:lang w:eastAsia="zh-CN"/>
        </w:rPr>
        <w:t>、</w:t>
      </w:r>
      <w:r>
        <w:rPr>
          <w:rFonts w:hint="eastAsia" w:ascii="微软雅黑 Light" w:hAnsi="微软雅黑 Light" w:eastAsia="微软雅黑 Light" w:cs="微软雅黑 Light"/>
          <w:i w:val="0"/>
          <w:iCs w:val="0"/>
          <w:caps w:val="0"/>
          <w:color w:val="0000FF"/>
          <w:spacing w:val="0"/>
          <w:sz w:val="21"/>
          <w:szCs w:val="21"/>
          <w:lang w:val="en-US" w:eastAsia="zh-CN"/>
        </w:rPr>
        <w:t>退休人员提供退休证明；</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FF"/>
          <w:spacing w:val="0"/>
          <w:sz w:val="21"/>
          <w:szCs w:val="21"/>
        </w:rPr>
      </w:pPr>
      <w:r>
        <w:rPr>
          <w:rFonts w:hint="eastAsia" w:ascii="微软雅黑 Light" w:hAnsi="微软雅黑 Light" w:eastAsia="微软雅黑 Light" w:cs="微软雅黑 Light"/>
          <w:i w:val="0"/>
          <w:iCs w:val="0"/>
          <w:caps w:val="0"/>
          <w:color w:val="0000FF"/>
          <w:spacing w:val="0"/>
          <w:sz w:val="21"/>
          <w:szCs w:val="21"/>
        </w:rPr>
        <w:t>（</w:t>
      </w:r>
      <w:r>
        <w:rPr>
          <w:rFonts w:hint="eastAsia" w:ascii="微软雅黑 Light" w:hAnsi="微软雅黑 Light" w:eastAsia="微软雅黑 Light" w:cs="微软雅黑 Light"/>
          <w:i w:val="0"/>
          <w:iCs w:val="0"/>
          <w:caps w:val="0"/>
          <w:color w:val="0000FF"/>
          <w:spacing w:val="0"/>
          <w:sz w:val="21"/>
          <w:szCs w:val="21"/>
          <w:lang w:val="en-US" w:eastAsia="zh-CN"/>
        </w:rPr>
        <w:t>4</w:t>
      </w:r>
      <w:r>
        <w:rPr>
          <w:rFonts w:hint="eastAsia" w:ascii="微软雅黑 Light" w:hAnsi="微软雅黑 Light" w:eastAsia="微软雅黑 Light" w:cs="微软雅黑 Light"/>
          <w:i w:val="0"/>
          <w:iCs w:val="0"/>
          <w:caps w:val="0"/>
          <w:color w:val="0000FF"/>
          <w:spacing w:val="0"/>
          <w:sz w:val="21"/>
          <w:szCs w:val="21"/>
        </w:rPr>
        <w:t>）具有税务局开具依法缴纳近连续3个月税收证明的良好记录（完税证明）；</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FF"/>
          <w:spacing w:val="0"/>
          <w:sz w:val="21"/>
          <w:szCs w:val="21"/>
        </w:rPr>
      </w:pPr>
      <w:r>
        <w:rPr>
          <w:rFonts w:hint="eastAsia" w:ascii="微软雅黑 Light" w:hAnsi="微软雅黑 Light" w:eastAsia="微软雅黑 Light" w:cs="微软雅黑 Light"/>
          <w:i w:val="0"/>
          <w:iCs w:val="0"/>
          <w:caps w:val="0"/>
          <w:color w:val="0000FF"/>
          <w:spacing w:val="0"/>
          <w:sz w:val="21"/>
          <w:szCs w:val="21"/>
        </w:rPr>
        <w:t>（</w:t>
      </w:r>
      <w:r>
        <w:rPr>
          <w:rFonts w:hint="eastAsia" w:ascii="微软雅黑 Light" w:hAnsi="微软雅黑 Light" w:eastAsia="微软雅黑 Light" w:cs="微软雅黑 Light"/>
          <w:i w:val="0"/>
          <w:iCs w:val="0"/>
          <w:caps w:val="0"/>
          <w:color w:val="0000FF"/>
          <w:spacing w:val="0"/>
          <w:sz w:val="21"/>
          <w:szCs w:val="21"/>
          <w:lang w:val="en-US" w:eastAsia="zh-CN"/>
        </w:rPr>
        <w:t>5</w:t>
      </w:r>
      <w:r>
        <w:rPr>
          <w:rFonts w:hint="eastAsia" w:ascii="微软雅黑 Light" w:hAnsi="微软雅黑 Light" w:eastAsia="微软雅黑 Light" w:cs="微软雅黑 Light"/>
          <w:i w:val="0"/>
          <w:iCs w:val="0"/>
          <w:caps w:val="0"/>
          <w:color w:val="0000FF"/>
          <w:spacing w:val="0"/>
          <w:sz w:val="21"/>
          <w:szCs w:val="21"/>
        </w:rPr>
        <w:t>）参加政府采购活动前3年内在经营活动中没有重大违法记录的书面声明；</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FF"/>
          <w:spacing w:val="0"/>
          <w:sz w:val="21"/>
          <w:szCs w:val="21"/>
        </w:rPr>
      </w:pPr>
      <w:r>
        <w:rPr>
          <w:rFonts w:hint="eastAsia" w:ascii="微软雅黑 Light" w:hAnsi="微软雅黑 Light" w:eastAsia="微软雅黑 Light" w:cs="微软雅黑 Light"/>
          <w:i w:val="0"/>
          <w:iCs w:val="0"/>
          <w:caps w:val="0"/>
          <w:color w:val="0000FF"/>
          <w:spacing w:val="0"/>
          <w:sz w:val="21"/>
          <w:szCs w:val="21"/>
        </w:rPr>
        <w:t>（</w:t>
      </w:r>
      <w:r>
        <w:rPr>
          <w:rFonts w:hint="eastAsia" w:ascii="微软雅黑 Light" w:hAnsi="微软雅黑 Light" w:eastAsia="微软雅黑 Light" w:cs="微软雅黑 Light"/>
          <w:i w:val="0"/>
          <w:iCs w:val="0"/>
          <w:caps w:val="0"/>
          <w:color w:val="0000FF"/>
          <w:spacing w:val="0"/>
          <w:sz w:val="21"/>
          <w:szCs w:val="21"/>
          <w:lang w:val="en-US" w:eastAsia="zh-CN"/>
        </w:rPr>
        <w:t>6</w:t>
      </w:r>
      <w:r>
        <w:rPr>
          <w:rFonts w:hint="eastAsia" w:ascii="微软雅黑 Light" w:hAnsi="微软雅黑 Light" w:eastAsia="微软雅黑 Light" w:cs="微软雅黑 Light"/>
          <w:i w:val="0"/>
          <w:iCs w:val="0"/>
          <w:caps w:val="0"/>
          <w:color w:val="0000FF"/>
          <w:spacing w:val="0"/>
          <w:sz w:val="21"/>
          <w:szCs w:val="21"/>
        </w:rPr>
        <w:t>）提供 “信用中国”网站（http://www.creditchina.gov.cn/）和中国政府采购网（www.ccgp.gov.cn）无违法违规行为的查询纪录（提供查询结果网页截图并加盖单位公章；提供截图日期需在本项目领取招标文件期内）；投标人存在不良信用记录的或被列入失信被执行人、重大税收违法案件当事人名单的，其投标将被认定为投标无效）；</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FF"/>
          <w:spacing w:val="0"/>
          <w:sz w:val="21"/>
          <w:szCs w:val="21"/>
        </w:rPr>
      </w:pPr>
      <w:r>
        <w:rPr>
          <w:rFonts w:hint="eastAsia" w:ascii="微软雅黑 Light" w:hAnsi="微软雅黑 Light" w:eastAsia="微软雅黑 Light" w:cs="微软雅黑 Light"/>
          <w:i w:val="0"/>
          <w:iCs w:val="0"/>
          <w:caps w:val="0"/>
          <w:color w:val="0000FF"/>
          <w:spacing w:val="0"/>
          <w:sz w:val="21"/>
          <w:szCs w:val="21"/>
        </w:rPr>
        <w:t>（</w:t>
      </w:r>
      <w:r>
        <w:rPr>
          <w:rFonts w:hint="eastAsia" w:ascii="微软雅黑 Light" w:hAnsi="微软雅黑 Light" w:eastAsia="微软雅黑 Light" w:cs="微软雅黑 Light"/>
          <w:i w:val="0"/>
          <w:iCs w:val="0"/>
          <w:caps w:val="0"/>
          <w:color w:val="0000FF"/>
          <w:spacing w:val="0"/>
          <w:sz w:val="21"/>
          <w:szCs w:val="21"/>
          <w:lang w:val="en-US" w:eastAsia="zh-CN"/>
        </w:rPr>
        <w:t>7</w:t>
      </w:r>
      <w:r>
        <w:rPr>
          <w:rFonts w:hint="eastAsia" w:ascii="微软雅黑 Light" w:hAnsi="微软雅黑 Light" w:eastAsia="微软雅黑 Light" w:cs="微软雅黑 Light"/>
          <w:i w:val="0"/>
          <w:iCs w:val="0"/>
          <w:caps w:val="0"/>
          <w:color w:val="0000FF"/>
          <w:spacing w:val="0"/>
          <w:sz w:val="21"/>
          <w:szCs w:val="21"/>
        </w:rPr>
        <w:t>）提供针对本项目的《反商业贿赂承诺书》。</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FF"/>
          <w:spacing w:val="0"/>
          <w:sz w:val="21"/>
          <w:szCs w:val="21"/>
        </w:rPr>
      </w:pPr>
      <w:r>
        <w:rPr>
          <w:rFonts w:hint="eastAsia" w:ascii="微软雅黑 Light" w:hAnsi="微软雅黑 Light" w:eastAsia="微软雅黑 Light" w:cs="微软雅黑 Light"/>
          <w:i w:val="0"/>
          <w:iCs w:val="0"/>
          <w:caps w:val="0"/>
          <w:color w:val="0000FF"/>
          <w:spacing w:val="0"/>
          <w:sz w:val="21"/>
          <w:szCs w:val="21"/>
        </w:rPr>
        <w:t>（</w:t>
      </w:r>
      <w:r>
        <w:rPr>
          <w:rFonts w:hint="eastAsia" w:ascii="微软雅黑 Light" w:hAnsi="微软雅黑 Light" w:eastAsia="微软雅黑 Light" w:cs="微软雅黑 Light"/>
          <w:i w:val="0"/>
          <w:iCs w:val="0"/>
          <w:caps w:val="0"/>
          <w:color w:val="0000FF"/>
          <w:spacing w:val="0"/>
          <w:sz w:val="21"/>
          <w:szCs w:val="21"/>
          <w:lang w:val="en-US" w:eastAsia="zh-CN"/>
        </w:rPr>
        <w:t>8</w:t>
      </w:r>
      <w:r>
        <w:rPr>
          <w:rFonts w:hint="eastAsia" w:ascii="微软雅黑 Light" w:hAnsi="微软雅黑 Light" w:eastAsia="微软雅黑 Light" w:cs="微软雅黑 Light"/>
          <w:i w:val="0"/>
          <w:iCs w:val="0"/>
          <w:caps w:val="0"/>
          <w:color w:val="0000FF"/>
          <w:spacing w:val="0"/>
          <w:sz w:val="21"/>
          <w:szCs w:val="21"/>
        </w:rPr>
        <w:t>）磋商保证金</w:t>
      </w:r>
      <w:r>
        <w:rPr>
          <w:rFonts w:hint="eastAsia" w:ascii="微软雅黑 Light" w:hAnsi="微软雅黑 Light" w:eastAsia="微软雅黑 Light" w:cs="微软雅黑 Light"/>
          <w:i w:val="0"/>
          <w:iCs w:val="0"/>
          <w:caps w:val="0"/>
          <w:color w:val="0000FF"/>
          <w:spacing w:val="0"/>
          <w:sz w:val="21"/>
          <w:szCs w:val="21"/>
          <w:lang w:val="en-US" w:eastAsia="zh-CN"/>
        </w:rPr>
        <w:t>缴纳有效证明</w:t>
      </w:r>
      <w:r>
        <w:rPr>
          <w:rFonts w:hint="eastAsia" w:ascii="微软雅黑 Light" w:hAnsi="微软雅黑 Light" w:eastAsia="微软雅黑 Light" w:cs="微软雅黑 Light"/>
          <w:i w:val="0"/>
          <w:iCs w:val="0"/>
          <w:caps w:val="0"/>
          <w:color w:val="0000FF"/>
          <w:spacing w:val="0"/>
          <w:sz w:val="21"/>
          <w:szCs w:val="21"/>
        </w:rPr>
        <w:t>。</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FF"/>
          <w:spacing w:val="0"/>
          <w:sz w:val="21"/>
          <w:szCs w:val="21"/>
        </w:rPr>
      </w:pPr>
      <w:r>
        <w:rPr>
          <w:rFonts w:hint="eastAsia" w:ascii="微软雅黑 Light" w:hAnsi="微软雅黑 Light" w:eastAsia="微软雅黑 Light" w:cs="微软雅黑 Light"/>
          <w:i w:val="0"/>
          <w:iCs w:val="0"/>
          <w:caps w:val="0"/>
          <w:color w:val="0000FF"/>
          <w:spacing w:val="0"/>
          <w:sz w:val="21"/>
          <w:szCs w:val="21"/>
        </w:rPr>
        <w:t>（</w:t>
      </w:r>
      <w:r>
        <w:rPr>
          <w:rFonts w:hint="eastAsia" w:ascii="微软雅黑 Light" w:hAnsi="微软雅黑 Light" w:eastAsia="微软雅黑 Light" w:cs="微软雅黑 Light"/>
          <w:i w:val="0"/>
          <w:iCs w:val="0"/>
          <w:caps w:val="0"/>
          <w:color w:val="0000FF"/>
          <w:spacing w:val="0"/>
          <w:sz w:val="21"/>
          <w:szCs w:val="21"/>
          <w:lang w:val="en-US" w:eastAsia="zh-CN"/>
        </w:rPr>
        <w:t>9</w:t>
      </w:r>
      <w:r>
        <w:rPr>
          <w:rFonts w:hint="eastAsia" w:ascii="微软雅黑 Light" w:hAnsi="微软雅黑 Light" w:eastAsia="微软雅黑 Light" w:cs="微软雅黑 Light"/>
          <w:i w:val="0"/>
          <w:iCs w:val="0"/>
          <w:caps w:val="0"/>
          <w:color w:val="0000FF"/>
          <w:spacing w:val="0"/>
          <w:sz w:val="21"/>
          <w:szCs w:val="21"/>
        </w:rPr>
        <w:t>）本项目不接受联合体投标。</w:t>
      </w:r>
    </w:p>
    <w:p>
      <w:pPr>
        <w:pStyle w:val="33"/>
        <w:keepNext w:val="0"/>
        <w:keepLines w:val="0"/>
        <w:pageBreakBefore w:val="0"/>
        <w:widowControl/>
        <w:suppressLineNumbers w:val="0"/>
        <w:kinsoku/>
        <w:wordWrap/>
        <w:overflowPunct/>
        <w:topLinePunct w:val="0"/>
        <w:autoSpaceDE/>
        <w:autoSpaceDN/>
        <w:bidi w:val="0"/>
        <w:adjustRightInd/>
        <w:spacing w:before="204" w:beforeAutospacing="0" w:after="204" w:afterAutospacing="0" w:line="280" w:lineRule="exact"/>
        <w:ind w:left="0" w:right="0"/>
        <w:jc w:val="both"/>
        <w:textAlignment w:val="auto"/>
        <w:rPr>
          <w:rFonts w:hint="eastAsia" w:ascii="微软雅黑 Light" w:hAnsi="微软雅黑 Light" w:eastAsia="微软雅黑 Light" w:cs="微软雅黑 Light"/>
          <w:sz w:val="21"/>
          <w:szCs w:val="21"/>
        </w:rPr>
      </w:pPr>
      <w:r>
        <w:rPr>
          <w:rStyle w:val="40"/>
          <w:rFonts w:hint="eastAsia" w:ascii="微软雅黑 Light" w:hAnsi="微软雅黑 Light" w:eastAsia="微软雅黑 Light" w:cs="微软雅黑 Light"/>
          <w:i w:val="0"/>
          <w:iCs w:val="0"/>
          <w:caps w:val="0"/>
          <w:color w:val="000000"/>
          <w:spacing w:val="0"/>
          <w:sz w:val="21"/>
          <w:szCs w:val="21"/>
        </w:rPr>
        <w:t>三、获取招标文件</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时间：2021年</w:t>
      </w:r>
      <w:r>
        <w:rPr>
          <w:rFonts w:hint="eastAsia" w:ascii="微软雅黑 Light" w:hAnsi="微软雅黑 Light" w:eastAsia="微软雅黑 Light" w:cs="微软雅黑 Light"/>
          <w:i w:val="0"/>
          <w:iCs w:val="0"/>
          <w:caps w:val="0"/>
          <w:color w:val="000000"/>
          <w:spacing w:val="0"/>
          <w:sz w:val="21"/>
          <w:szCs w:val="21"/>
          <w:lang w:val="en-US" w:eastAsia="zh-CN"/>
        </w:rPr>
        <w:t>11</w:t>
      </w:r>
      <w:r>
        <w:rPr>
          <w:rFonts w:hint="eastAsia" w:ascii="微软雅黑 Light" w:hAnsi="微软雅黑 Light" w:eastAsia="微软雅黑 Light" w:cs="微软雅黑 Light"/>
          <w:i w:val="0"/>
          <w:iCs w:val="0"/>
          <w:caps w:val="0"/>
          <w:color w:val="000000"/>
          <w:spacing w:val="0"/>
          <w:sz w:val="21"/>
          <w:szCs w:val="21"/>
        </w:rPr>
        <w:t>月</w:t>
      </w:r>
      <w:r>
        <w:rPr>
          <w:rFonts w:hint="eastAsia" w:ascii="微软雅黑 Light" w:hAnsi="微软雅黑 Light" w:eastAsia="微软雅黑 Light" w:cs="微软雅黑 Light"/>
          <w:i w:val="0"/>
          <w:iCs w:val="0"/>
          <w:caps w:val="0"/>
          <w:color w:val="000000"/>
          <w:spacing w:val="0"/>
          <w:sz w:val="21"/>
          <w:szCs w:val="21"/>
          <w:lang w:val="en-US" w:eastAsia="zh-CN"/>
        </w:rPr>
        <w:t>15</w:t>
      </w:r>
      <w:r>
        <w:rPr>
          <w:rFonts w:hint="eastAsia" w:ascii="微软雅黑 Light" w:hAnsi="微软雅黑 Light" w:eastAsia="微软雅黑 Light" w:cs="微软雅黑 Light"/>
          <w:i w:val="0"/>
          <w:iCs w:val="0"/>
          <w:caps w:val="0"/>
          <w:color w:val="000000"/>
          <w:spacing w:val="0"/>
          <w:sz w:val="21"/>
          <w:szCs w:val="21"/>
        </w:rPr>
        <w:t>日至2021年1</w:t>
      </w:r>
      <w:r>
        <w:rPr>
          <w:rFonts w:hint="eastAsia" w:ascii="微软雅黑 Light" w:hAnsi="微软雅黑 Light" w:eastAsia="微软雅黑 Light" w:cs="微软雅黑 Light"/>
          <w:i w:val="0"/>
          <w:iCs w:val="0"/>
          <w:caps w:val="0"/>
          <w:color w:val="000000"/>
          <w:spacing w:val="0"/>
          <w:sz w:val="21"/>
          <w:szCs w:val="21"/>
          <w:lang w:val="en-US" w:eastAsia="zh-CN"/>
        </w:rPr>
        <w:t>1</w:t>
      </w:r>
      <w:r>
        <w:rPr>
          <w:rFonts w:hint="eastAsia" w:ascii="微软雅黑 Light" w:hAnsi="微软雅黑 Light" w:eastAsia="微软雅黑 Light" w:cs="微软雅黑 Light"/>
          <w:i w:val="0"/>
          <w:iCs w:val="0"/>
          <w:caps w:val="0"/>
          <w:color w:val="000000"/>
          <w:spacing w:val="0"/>
          <w:sz w:val="21"/>
          <w:szCs w:val="21"/>
        </w:rPr>
        <w:t>月</w:t>
      </w:r>
      <w:r>
        <w:rPr>
          <w:rFonts w:hint="eastAsia" w:ascii="微软雅黑 Light" w:hAnsi="微软雅黑 Light" w:eastAsia="微软雅黑 Light" w:cs="微软雅黑 Light"/>
          <w:i w:val="0"/>
          <w:iCs w:val="0"/>
          <w:caps w:val="0"/>
          <w:color w:val="000000"/>
          <w:spacing w:val="0"/>
          <w:sz w:val="21"/>
          <w:szCs w:val="21"/>
          <w:lang w:val="en-US" w:eastAsia="zh-CN"/>
        </w:rPr>
        <w:t>22</w:t>
      </w:r>
      <w:r>
        <w:rPr>
          <w:rFonts w:hint="eastAsia" w:ascii="微软雅黑 Light" w:hAnsi="微软雅黑 Light" w:eastAsia="微软雅黑 Light" w:cs="微软雅黑 Light"/>
          <w:i w:val="0"/>
          <w:iCs w:val="0"/>
          <w:caps w:val="0"/>
          <w:color w:val="000000"/>
          <w:spacing w:val="0"/>
          <w:sz w:val="21"/>
          <w:szCs w:val="21"/>
        </w:rPr>
        <w:t>日，每天上午10:00至14:00，下午16:00至</w:t>
      </w:r>
      <w:r>
        <w:rPr>
          <w:rFonts w:hint="eastAsia" w:ascii="微软雅黑 Light" w:hAnsi="微软雅黑 Light" w:eastAsia="微软雅黑 Light" w:cs="微软雅黑 Light"/>
          <w:i w:val="0"/>
          <w:iCs w:val="0"/>
          <w:caps w:val="0"/>
          <w:color w:val="000000"/>
          <w:spacing w:val="0"/>
          <w:sz w:val="21"/>
          <w:szCs w:val="21"/>
          <w:lang w:val="en-US" w:eastAsia="zh-CN"/>
        </w:rPr>
        <w:t>19</w:t>
      </w:r>
      <w:r>
        <w:rPr>
          <w:rFonts w:hint="eastAsia" w:ascii="微软雅黑 Light" w:hAnsi="微软雅黑 Light" w:eastAsia="微软雅黑 Light" w:cs="微软雅黑 Light"/>
          <w:i w:val="0"/>
          <w:iCs w:val="0"/>
          <w:caps w:val="0"/>
          <w:color w:val="000000"/>
          <w:spacing w:val="0"/>
          <w:sz w:val="21"/>
          <w:szCs w:val="21"/>
        </w:rPr>
        <w:t>:</w:t>
      </w:r>
      <w:r>
        <w:rPr>
          <w:rFonts w:hint="eastAsia" w:ascii="微软雅黑 Light" w:hAnsi="微软雅黑 Light" w:eastAsia="微软雅黑 Light" w:cs="微软雅黑 Light"/>
          <w:i w:val="0"/>
          <w:iCs w:val="0"/>
          <w:caps w:val="0"/>
          <w:color w:val="000000"/>
          <w:spacing w:val="0"/>
          <w:sz w:val="21"/>
          <w:szCs w:val="21"/>
          <w:lang w:val="en-US" w:eastAsia="zh-CN"/>
        </w:rPr>
        <w:t>30</w:t>
      </w:r>
      <w:r>
        <w:rPr>
          <w:rFonts w:hint="eastAsia" w:ascii="微软雅黑 Light" w:hAnsi="微软雅黑 Light" w:eastAsia="微软雅黑 Light" w:cs="微软雅黑 Light"/>
          <w:i w:val="0"/>
          <w:iCs w:val="0"/>
          <w:caps w:val="0"/>
          <w:color w:val="000000"/>
          <w:spacing w:val="0"/>
          <w:sz w:val="21"/>
          <w:szCs w:val="21"/>
        </w:rPr>
        <w:t>（北京时间，法定节假日除外）</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地点：政采云平台（https://www.zcygov.cn）</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00"/>
          <w:spacing w:val="0"/>
          <w:sz w:val="21"/>
          <w:szCs w:val="21"/>
        </w:rPr>
      </w:pPr>
      <w:r>
        <w:rPr>
          <w:rFonts w:hint="eastAsia" w:ascii="微软雅黑 Light" w:hAnsi="微软雅黑 Light" w:eastAsia="微软雅黑 Light" w:cs="微软雅黑 Light"/>
          <w:i w:val="0"/>
          <w:iCs w:val="0"/>
          <w:caps w:val="0"/>
          <w:color w:val="000000"/>
          <w:spacing w:val="0"/>
          <w:sz w:val="21"/>
          <w:szCs w:val="21"/>
        </w:rPr>
        <w:t>方式：</w:t>
      </w:r>
      <w:r>
        <w:rPr>
          <w:rFonts w:hint="eastAsia" w:ascii="微软雅黑 Light" w:hAnsi="微软雅黑 Light" w:eastAsia="微软雅黑 Light" w:cs="微软雅黑 Light"/>
          <w:i w:val="0"/>
          <w:iCs w:val="0"/>
          <w:caps w:val="0"/>
          <w:color w:val="000000"/>
          <w:spacing w:val="0"/>
          <w:sz w:val="21"/>
          <w:szCs w:val="21"/>
          <w:lang w:val="en-US" w:eastAsia="zh-CN"/>
        </w:rPr>
        <w:t>供应商</w:t>
      </w:r>
      <w:r>
        <w:rPr>
          <w:rFonts w:hint="eastAsia" w:ascii="微软雅黑 Light" w:hAnsi="微软雅黑 Light" w:eastAsia="微软雅黑 Light" w:cs="微软雅黑 Light"/>
          <w:i w:val="0"/>
          <w:iCs w:val="0"/>
          <w:caps w:val="0"/>
          <w:color w:val="000000"/>
          <w:spacing w:val="0"/>
          <w:sz w:val="21"/>
          <w:szCs w:val="21"/>
        </w:rPr>
        <w:t>登陆政采云平台http://www.zcygov.cn/，在线获取招标文件（登录政府采购云平台→ 项目采购 → 获取招标文件 → 上传资格要求文件（资格证明材料加盖公章后的扫描件按顺序做成PDF文件”） ，审核通过后可下载招标文件，如有操作性问题，可与政采云在线客服进行咨询，咨询电话：400-881-7190）</w:t>
      </w:r>
    </w:p>
    <w:p>
      <w:pPr>
        <w:pStyle w:val="33"/>
        <w:keepNext w:val="0"/>
        <w:keepLines w:val="0"/>
        <w:pageBreakBefore w:val="0"/>
        <w:widowControl/>
        <w:suppressLineNumbers w:val="0"/>
        <w:kinsoku/>
        <w:wordWrap/>
        <w:overflowPunct/>
        <w:topLinePunct w:val="0"/>
        <w:autoSpaceDE/>
        <w:autoSpaceDN/>
        <w:bidi w:val="0"/>
        <w:adjustRightIn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售价（元）：0</w:t>
      </w:r>
    </w:p>
    <w:p>
      <w:pPr>
        <w:pStyle w:val="3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80" w:lineRule="exact"/>
        <w:ind w:left="0" w:right="0"/>
        <w:jc w:val="both"/>
        <w:textAlignment w:val="auto"/>
        <w:rPr>
          <w:rFonts w:hint="eastAsia" w:ascii="微软雅黑 Light" w:hAnsi="微软雅黑 Light" w:eastAsia="微软雅黑 Light" w:cs="微软雅黑 Light"/>
          <w:sz w:val="21"/>
          <w:szCs w:val="21"/>
        </w:rPr>
      </w:pPr>
      <w:r>
        <w:rPr>
          <w:rStyle w:val="40"/>
          <w:rFonts w:hint="eastAsia" w:ascii="微软雅黑 Light" w:hAnsi="微软雅黑 Light" w:eastAsia="微软雅黑 Light" w:cs="微软雅黑 Light"/>
          <w:i w:val="0"/>
          <w:iCs w:val="0"/>
          <w:caps w:val="0"/>
          <w:color w:val="000000"/>
          <w:spacing w:val="0"/>
          <w:sz w:val="21"/>
          <w:szCs w:val="21"/>
        </w:rPr>
        <w:t>四、提交投标文件截止时间、开标时间和地点</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提交投标文件截止时间：</w:t>
      </w:r>
      <w:r>
        <w:rPr>
          <w:rFonts w:hint="eastAsia" w:ascii="微软雅黑 Light" w:hAnsi="微软雅黑 Light" w:eastAsia="微软雅黑 Light" w:cs="微软雅黑 Light"/>
          <w:i w:val="0"/>
          <w:iCs w:val="0"/>
          <w:caps w:val="0"/>
          <w:color w:val="2D04FC"/>
          <w:spacing w:val="0"/>
          <w:sz w:val="21"/>
          <w:szCs w:val="21"/>
        </w:rPr>
        <w:t>2021年1</w:t>
      </w:r>
      <w:r>
        <w:rPr>
          <w:rFonts w:hint="eastAsia" w:ascii="微软雅黑 Light" w:hAnsi="微软雅黑 Light" w:eastAsia="微软雅黑 Light" w:cs="微软雅黑 Light"/>
          <w:i w:val="0"/>
          <w:iCs w:val="0"/>
          <w:caps w:val="0"/>
          <w:color w:val="2D04FC"/>
          <w:spacing w:val="0"/>
          <w:sz w:val="21"/>
          <w:szCs w:val="21"/>
          <w:lang w:val="en-US" w:eastAsia="zh-CN"/>
        </w:rPr>
        <w:t>1</w:t>
      </w:r>
      <w:r>
        <w:rPr>
          <w:rFonts w:hint="eastAsia" w:ascii="微软雅黑 Light" w:hAnsi="微软雅黑 Light" w:eastAsia="微软雅黑 Light" w:cs="微软雅黑 Light"/>
          <w:i w:val="0"/>
          <w:iCs w:val="0"/>
          <w:caps w:val="0"/>
          <w:color w:val="2D04FC"/>
          <w:spacing w:val="0"/>
          <w:sz w:val="21"/>
          <w:szCs w:val="21"/>
        </w:rPr>
        <w:t>月</w:t>
      </w:r>
      <w:r>
        <w:rPr>
          <w:rFonts w:hint="eastAsia" w:ascii="微软雅黑 Light" w:hAnsi="微软雅黑 Light" w:eastAsia="微软雅黑 Light" w:cs="微软雅黑 Light"/>
          <w:i w:val="0"/>
          <w:iCs w:val="0"/>
          <w:caps w:val="0"/>
          <w:color w:val="2D04FC"/>
          <w:spacing w:val="0"/>
          <w:sz w:val="21"/>
          <w:szCs w:val="21"/>
          <w:lang w:val="en-US" w:eastAsia="zh-CN"/>
        </w:rPr>
        <w:t>25</w:t>
      </w:r>
      <w:r>
        <w:rPr>
          <w:rFonts w:hint="eastAsia" w:ascii="微软雅黑 Light" w:hAnsi="微软雅黑 Light" w:eastAsia="微软雅黑 Light" w:cs="微软雅黑 Light"/>
          <w:i w:val="0"/>
          <w:iCs w:val="0"/>
          <w:caps w:val="0"/>
          <w:color w:val="2D04FC"/>
          <w:spacing w:val="0"/>
          <w:sz w:val="21"/>
          <w:szCs w:val="21"/>
        </w:rPr>
        <w:t>日 11:00（北京时间）</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 xml:space="preserve">投标地点：喀什西域名都二期高层A座8楼1083室 </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开标时间：</w:t>
      </w:r>
      <w:r>
        <w:rPr>
          <w:rFonts w:hint="eastAsia" w:ascii="微软雅黑 Light" w:hAnsi="微软雅黑 Light" w:eastAsia="微软雅黑 Light" w:cs="微软雅黑 Light"/>
          <w:i w:val="0"/>
          <w:iCs w:val="0"/>
          <w:caps w:val="0"/>
          <w:color w:val="2D04FC"/>
          <w:spacing w:val="0"/>
          <w:sz w:val="21"/>
          <w:szCs w:val="21"/>
        </w:rPr>
        <w:t>2021年1</w:t>
      </w:r>
      <w:r>
        <w:rPr>
          <w:rFonts w:hint="eastAsia" w:ascii="微软雅黑 Light" w:hAnsi="微软雅黑 Light" w:eastAsia="微软雅黑 Light" w:cs="微软雅黑 Light"/>
          <w:i w:val="0"/>
          <w:iCs w:val="0"/>
          <w:caps w:val="0"/>
          <w:color w:val="2D04FC"/>
          <w:spacing w:val="0"/>
          <w:sz w:val="21"/>
          <w:szCs w:val="21"/>
          <w:lang w:val="en-US" w:eastAsia="zh-CN"/>
        </w:rPr>
        <w:t>1</w:t>
      </w:r>
      <w:r>
        <w:rPr>
          <w:rFonts w:hint="eastAsia" w:ascii="微软雅黑 Light" w:hAnsi="微软雅黑 Light" w:eastAsia="微软雅黑 Light" w:cs="微软雅黑 Light"/>
          <w:i w:val="0"/>
          <w:iCs w:val="0"/>
          <w:caps w:val="0"/>
          <w:color w:val="2D04FC"/>
          <w:spacing w:val="0"/>
          <w:sz w:val="21"/>
          <w:szCs w:val="21"/>
        </w:rPr>
        <w:t>月</w:t>
      </w:r>
      <w:r>
        <w:rPr>
          <w:rFonts w:hint="eastAsia" w:ascii="微软雅黑 Light" w:hAnsi="微软雅黑 Light" w:eastAsia="微软雅黑 Light" w:cs="微软雅黑 Light"/>
          <w:i w:val="0"/>
          <w:iCs w:val="0"/>
          <w:caps w:val="0"/>
          <w:color w:val="2D04FC"/>
          <w:spacing w:val="0"/>
          <w:sz w:val="21"/>
          <w:szCs w:val="21"/>
          <w:lang w:val="en-US" w:eastAsia="zh-CN"/>
        </w:rPr>
        <w:t>25</w:t>
      </w:r>
      <w:r>
        <w:rPr>
          <w:rFonts w:hint="eastAsia" w:ascii="微软雅黑 Light" w:hAnsi="微软雅黑 Light" w:eastAsia="微软雅黑 Light" w:cs="微软雅黑 Light"/>
          <w:i w:val="0"/>
          <w:iCs w:val="0"/>
          <w:caps w:val="0"/>
          <w:color w:val="2D04FC"/>
          <w:spacing w:val="0"/>
          <w:sz w:val="21"/>
          <w:szCs w:val="21"/>
        </w:rPr>
        <w:t>日 11:00</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开标地点：喀什西域名都二期高层A座8楼1083室</w:t>
      </w:r>
    </w:p>
    <w:p>
      <w:pPr>
        <w:pStyle w:val="3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80" w:lineRule="exact"/>
        <w:ind w:left="0" w:right="0"/>
        <w:jc w:val="both"/>
        <w:textAlignment w:val="auto"/>
        <w:rPr>
          <w:rFonts w:hint="eastAsia" w:ascii="微软雅黑 Light" w:hAnsi="微软雅黑 Light" w:eastAsia="微软雅黑 Light" w:cs="微软雅黑 Light"/>
          <w:sz w:val="25"/>
          <w:szCs w:val="25"/>
        </w:rPr>
      </w:pPr>
      <w:r>
        <w:rPr>
          <w:rStyle w:val="40"/>
          <w:rFonts w:hint="eastAsia" w:ascii="微软雅黑 Light" w:hAnsi="微软雅黑 Light" w:eastAsia="微软雅黑 Light" w:cs="微软雅黑 Light"/>
          <w:i w:val="0"/>
          <w:iCs w:val="0"/>
          <w:caps w:val="0"/>
          <w:color w:val="000000"/>
          <w:spacing w:val="0"/>
          <w:sz w:val="21"/>
          <w:szCs w:val="21"/>
        </w:rPr>
        <w:t>五、公告期限</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自本公告发布之日起5个工作日。</w:t>
      </w:r>
    </w:p>
    <w:p>
      <w:pPr>
        <w:pStyle w:val="3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80" w:lineRule="exact"/>
        <w:ind w:left="0" w:right="0"/>
        <w:jc w:val="both"/>
        <w:textAlignment w:val="auto"/>
        <w:rPr>
          <w:rFonts w:hint="eastAsia" w:ascii="微软雅黑 Light" w:hAnsi="微软雅黑 Light" w:eastAsia="微软雅黑 Light" w:cs="微软雅黑 Light"/>
          <w:sz w:val="21"/>
          <w:szCs w:val="21"/>
        </w:rPr>
      </w:pPr>
      <w:r>
        <w:rPr>
          <w:rStyle w:val="40"/>
          <w:rFonts w:hint="eastAsia" w:ascii="微软雅黑 Light" w:hAnsi="微软雅黑 Light" w:eastAsia="微软雅黑 Light" w:cs="微软雅黑 Light"/>
          <w:i w:val="0"/>
          <w:iCs w:val="0"/>
          <w:caps w:val="0"/>
          <w:color w:val="000000"/>
          <w:spacing w:val="0"/>
          <w:sz w:val="21"/>
          <w:szCs w:val="21"/>
        </w:rPr>
        <w:t>六、其他补充事宜</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无</w:t>
      </w:r>
    </w:p>
    <w:p>
      <w:pPr>
        <w:pStyle w:val="3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80" w:lineRule="exact"/>
        <w:ind w:left="0" w:right="0"/>
        <w:jc w:val="both"/>
        <w:textAlignment w:val="auto"/>
        <w:rPr>
          <w:rFonts w:hint="eastAsia" w:ascii="微软雅黑 Light" w:hAnsi="微软雅黑 Light" w:eastAsia="微软雅黑 Light" w:cs="微软雅黑 Light"/>
          <w:sz w:val="25"/>
          <w:szCs w:val="25"/>
        </w:rPr>
      </w:pPr>
      <w:r>
        <w:rPr>
          <w:rStyle w:val="40"/>
          <w:rFonts w:hint="eastAsia" w:ascii="微软雅黑 Light" w:hAnsi="微软雅黑 Light" w:eastAsia="微软雅黑 Light" w:cs="微软雅黑 Light"/>
          <w:i w:val="0"/>
          <w:iCs w:val="0"/>
          <w:caps w:val="0"/>
          <w:color w:val="000000"/>
          <w:spacing w:val="0"/>
          <w:sz w:val="21"/>
          <w:szCs w:val="21"/>
        </w:rPr>
        <w:t>七、对本次采购提出询问，请按以下方式联系</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1.采购人信息</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名 称：</w:t>
      </w:r>
      <w:r>
        <w:rPr>
          <w:rFonts w:hint="eastAsia" w:ascii="微软雅黑 Light" w:hAnsi="微软雅黑 Light" w:eastAsia="微软雅黑 Light" w:cs="微软雅黑 Light"/>
          <w:i w:val="0"/>
          <w:iCs w:val="0"/>
          <w:caps w:val="0"/>
          <w:color w:val="000000"/>
          <w:spacing w:val="0"/>
          <w:sz w:val="21"/>
          <w:szCs w:val="21"/>
          <w:lang w:val="en-US" w:eastAsia="zh-CN"/>
        </w:rPr>
        <w:t>新疆维吾尔自治区喀什地区人力资源和社会保障局 </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i w:val="0"/>
          <w:iCs w:val="0"/>
          <w:caps w:val="0"/>
          <w:color w:val="000000"/>
          <w:spacing w:val="0"/>
          <w:sz w:val="21"/>
          <w:szCs w:val="21"/>
          <w:lang w:val="en-US" w:eastAsia="zh-CN"/>
        </w:rPr>
      </w:pPr>
      <w:r>
        <w:rPr>
          <w:rFonts w:hint="eastAsia" w:ascii="微软雅黑 Light" w:hAnsi="微软雅黑 Light" w:eastAsia="微软雅黑 Light" w:cs="微软雅黑 Light"/>
          <w:i w:val="0"/>
          <w:iCs w:val="0"/>
          <w:caps w:val="0"/>
          <w:color w:val="000000"/>
          <w:spacing w:val="0"/>
          <w:sz w:val="21"/>
          <w:szCs w:val="21"/>
        </w:rPr>
        <w:t>地 址：喀什</w:t>
      </w:r>
      <w:r>
        <w:rPr>
          <w:rFonts w:hint="eastAsia" w:ascii="微软雅黑 Light" w:hAnsi="微软雅黑 Light" w:eastAsia="微软雅黑 Light" w:cs="微软雅黑 Light"/>
          <w:i w:val="0"/>
          <w:iCs w:val="0"/>
          <w:caps w:val="0"/>
          <w:color w:val="000000"/>
          <w:spacing w:val="0"/>
          <w:sz w:val="21"/>
          <w:szCs w:val="21"/>
          <w:lang w:val="en-US" w:eastAsia="zh-CN"/>
        </w:rPr>
        <w:t>市</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lang w:val="en-US" w:eastAsia="zh-CN"/>
        </w:rPr>
      </w:pPr>
      <w:r>
        <w:rPr>
          <w:rFonts w:hint="eastAsia" w:ascii="微软雅黑 Light" w:hAnsi="微软雅黑 Light" w:eastAsia="微软雅黑 Light" w:cs="微软雅黑 Light"/>
          <w:i w:val="0"/>
          <w:iCs w:val="0"/>
          <w:caps w:val="0"/>
          <w:color w:val="000000"/>
          <w:spacing w:val="0"/>
          <w:sz w:val="21"/>
          <w:szCs w:val="21"/>
        </w:rPr>
        <w:t>联系方式：0998-2671019</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2.采购代理机构信息</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名 称：新疆</w:t>
      </w:r>
      <w:r>
        <w:rPr>
          <w:rFonts w:hint="eastAsia" w:ascii="微软雅黑 Light" w:hAnsi="微软雅黑 Light" w:eastAsia="微软雅黑 Light" w:cs="微软雅黑 Light"/>
          <w:i w:val="0"/>
          <w:iCs w:val="0"/>
          <w:caps w:val="0"/>
          <w:color w:val="000000"/>
          <w:spacing w:val="0"/>
          <w:sz w:val="21"/>
          <w:szCs w:val="21"/>
          <w:lang w:val="en-US" w:eastAsia="zh-CN"/>
        </w:rPr>
        <w:t>合升源项目管理有限公司</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地 址：喀什西域名都二期高层A座8楼1083室</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lang w:val="en-US" w:eastAsia="zh-CN"/>
        </w:rPr>
      </w:pPr>
      <w:r>
        <w:rPr>
          <w:rFonts w:hint="eastAsia" w:ascii="微软雅黑 Light" w:hAnsi="微软雅黑 Light" w:eastAsia="微软雅黑 Light" w:cs="微软雅黑 Light"/>
          <w:i w:val="0"/>
          <w:iCs w:val="0"/>
          <w:caps w:val="0"/>
          <w:color w:val="000000"/>
          <w:spacing w:val="0"/>
          <w:sz w:val="21"/>
          <w:szCs w:val="21"/>
        </w:rPr>
        <w:t>联系方式：13</w:t>
      </w:r>
      <w:r>
        <w:rPr>
          <w:rFonts w:hint="eastAsia" w:ascii="微软雅黑 Light" w:hAnsi="微软雅黑 Light" w:eastAsia="微软雅黑 Light" w:cs="微软雅黑 Light"/>
          <w:i w:val="0"/>
          <w:iCs w:val="0"/>
          <w:caps w:val="0"/>
          <w:color w:val="000000"/>
          <w:spacing w:val="0"/>
          <w:sz w:val="21"/>
          <w:szCs w:val="21"/>
          <w:lang w:val="en-US" w:eastAsia="zh-CN"/>
        </w:rPr>
        <w:t>309986803</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3.项目联系方式</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lang w:eastAsia="zh-CN"/>
        </w:rPr>
      </w:pPr>
      <w:r>
        <w:rPr>
          <w:rFonts w:hint="eastAsia" w:ascii="微软雅黑 Light" w:hAnsi="微软雅黑 Light" w:eastAsia="微软雅黑 Light" w:cs="微软雅黑 Light"/>
          <w:i w:val="0"/>
          <w:iCs w:val="0"/>
          <w:caps w:val="0"/>
          <w:color w:val="000000"/>
          <w:spacing w:val="0"/>
          <w:sz w:val="21"/>
          <w:szCs w:val="21"/>
        </w:rPr>
        <w:t>项目联系人：</w:t>
      </w:r>
      <w:r>
        <w:rPr>
          <w:rStyle w:val="44"/>
          <w:rFonts w:hint="eastAsia" w:ascii="微软雅黑 Light" w:hAnsi="微软雅黑 Light" w:eastAsia="微软雅黑 Light" w:cs="微软雅黑 Light"/>
          <w:i w:val="0"/>
          <w:iCs w:val="0"/>
          <w:caps w:val="0"/>
          <w:color w:val="000000"/>
          <w:spacing w:val="0"/>
          <w:sz w:val="21"/>
          <w:szCs w:val="21"/>
          <w:lang w:val="en-US" w:eastAsia="zh-CN"/>
        </w:rPr>
        <w:t>郭小萍</w:t>
      </w:r>
    </w:p>
    <w:p>
      <w:pPr>
        <w:pStyle w:val="3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firstLine="42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i w:val="0"/>
          <w:iCs w:val="0"/>
          <w:caps w:val="0"/>
          <w:color w:val="000000"/>
          <w:spacing w:val="0"/>
          <w:sz w:val="21"/>
          <w:szCs w:val="21"/>
        </w:rPr>
        <w:t>电 话：</w:t>
      </w:r>
      <w:r>
        <w:rPr>
          <w:rStyle w:val="44"/>
          <w:rFonts w:hint="eastAsia" w:ascii="微软雅黑 Light" w:hAnsi="微软雅黑 Light" w:eastAsia="微软雅黑 Light" w:cs="微软雅黑 Light"/>
          <w:i w:val="0"/>
          <w:iCs w:val="0"/>
          <w:caps w:val="0"/>
          <w:color w:val="000000"/>
          <w:spacing w:val="0"/>
          <w:sz w:val="21"/>
          <w:szCs w:val="21"/>
        </w:rPr>
        <w:t>1</w:t>
      </w:r>
      <w:r>
        <w:rPr>
          <w:rStyle w:val="44"/>
          <w:rFonts w:hint="eastAsia" w:ascii="微软雅黑 Light" w:hAnsi="微软雅黑 Light" w:eastAsia="微软雅黑 Light" w:cs="微软雅黑 Light"/>
          <w:i w:val="0"/>
          <w:iCs w:val="0"/>
          <w:caps w:val="0"/>
          <w:color w:val="000000"/>
          <w:spacing w:val="0"/>
          <w:sz w:val="21"/>
          <w:szCs w:val="21"/>
          <w:lang w:val="en-US" w:eastAsia="zh-CN"/>
        </w:rPr>
        <w:t>3309986803</w:t>
      </w:r>
    </w:p>
    <w:p>
      <w:pPr>
        <w:pStyle w:val="36"/>
        <w:ind w:firstLine="0" w:firstLineChars="0"/>
        <w:rPr>
          <w:rFonts w:ascii="微软雅黑" w:hAnsi="微软雅黑" w:eastAsia="微软雅黑" w:cs="微软雅黑"/>
          <w:color w:val="auto"/>
          <w:szCs w:val="32"/>
        </w:rPr>
      </w:pPr>
      <w:bookmarkStart w:id="508" w:name="_Toc29658"/>
    </w:p>
    <w:p>
      <w:pPr>
        <w:pStyle w:val="5"/>
        <w:tabs>
          <w:tab w:val="left" w:pos="0"/>
        </w:tabs>
        <w:spacing w:before="0" w:after="0" w:line="240" w:lineRule="atLeast"/>
        <w:rPr>
          <w:rFonts w:ascii="微软雅黑" w:hAnsi="微软雅黑" w:eastAsia="微软雅黑" w:cs="微软雅黑"/>
          <w:color w:val="auto"/>
          <w:szCs w:val="32"/>
        </w:rPr>
      </w:pPr>
      <w:r>
        <w:rPr>
          <w:rFonts w:hint="eastAsia" w:ascii="微软雅黑" w:hAnsi="微软雅黑" w:eastAsia="微软雅黑" w:cs="微软雅黑"/>
          <w:color w:val="auto"/>
          <w:szCs w:val="32"/>
        </w:rPr>
        <w:t>第4章 供应商须知资料表</w:t>
      </w:r>
      <w:bookmarkEnd w:id="502"/>
      <w:bookmarkEnd w:id="503"/>
      <w:bookmarkEnd w:id="504"/>
      <w:bookmarkEnd w:id="505"/>
      <w:bookmarkEnd w:id="506"/>
      <w:bookmarkEnd w:id="507"/>
      <w:bookmarkEnd w:id="508"/>
    </w:p>
    <w:p>
      <w:pPr>
        <w:spacing w:line="240" w:lineRule="atLeast"/>
        <w:ind w:firstLine="360" w:firstLineChars="15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本表是本招标项目的具体资料，是对供应商须知的具体补充和修改，如有矛盾，应以本资料表为准。</w:t>
      </w:r>
    </w:p>
    <w:tbl>
      <w:tblPr>
        <w:tblStyle w:val="37"/>
        <w:tblW w:w="907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58"/>
        <w:gridCol w:w="80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条款号</w:t>
            </w:r>
          </w:p>
        </w:tc>
        <w:tc>
          <w:tcPr>
            <w:tcW w:w="8019" w:type="dxa"/>
            <w:vAlign w:val="center"/>
          </w:tcPr>
          <w:p>
            <w:pPr>
              <w:spacing w:line="240" w:lineRule="atLeast"/>
              <w:ind w:left="1080" w:leftChars="257" w:hanging="540"/>
              <w:rPr>
                <w:rFonts w:ascii="微软雅黑" w:hAnsi="微软雅黑" w:eastAsia="微软雅黑" w:cs="微软雅黑"/>
                <w:b/>
                <w:color w:val="auto"/>
                <w:sz w:val="24"/>
              </w:rPr>
            </w:pPr>
            <w:r>
              <w:rPr>
                <w:rFonts w:hint="eastAsia" w:ascii="微软雅黑" w:hAnsi="微软雅黑" w:eastAsia="微软雅黑" w:cs="微软雅黑"/>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6" w:hRule="atLeast"/>
        </w:trPr>
        <w:tc>
          <w:tcPr>
            <w:tcW w:w="1058" w:type="dxa"/>
            <w:vAlign w:val="center"/>
          </w:tcPr>
          <w:p>
            <w:pPr>
              <w:spacing w:line="240" w:lineRule="atLeast"/>
              <w:ind w:firstLine="240" w:firstLineChars="100"/>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1.1</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采购单位： </w:t>
            </w:r>
            <w:r>
              <w:rPr>
                <w:rFonts w:hint="eastAsia" w:ascii="微软雅黑" w:hAnsi="微软雅黑" w:eastAsia="微软雅黑" w:cs="微软雅黑"/>
                <w:color w:val="auto"/>
                <w:sz w:val="24"/>
                <w:lang w:val="en-US" w:eastAsia="zh-CN"/>
              </w:rPr>
              <w:t>新疆维吾尔自治区喀什地区人力资源和社会保障局 </w:t>
            </w:r>
          </w:p>
          <w:p>
            <w:pPr>
              <w:pStyle w:val="33"/>
              <w:widowControl/>
              <w:spacing w:line="500" w:lineRule="exact"/>
              <w:jc w:val="left"/>
              <w:rPr>
                <w:rFonts w:ascii="微软雅黑" w:hAnsi="微软雅黑" w:eastAsia="微软雅黑" w:cs="微软雅黑"/>
                <w:color w:val="auto"/>
              </w:rPr>
            </w:pPr>
            <w:r>
              <w:rPr>
                <w:rFonts w:hint="eastAsia" w:ascii="微软雅黑" w:hAnsi="微软雅黑" w:eastAsia="微软雅黑" w:cs="微软雅黑"/>
                <w:color w:val="auto"/>
                <w:kern w:val="0"/>
              </w:rPr>
              <w:t>联 系 人：</w:t>
            </w:r>
            <w:r>
              <w:rPr>
                <w:rFonts w:hint="eastAsia" w:ascii="微软雅黑" w:hAnsi="微软雅黑" w:eastAsia="微软雅黑" w:cs="微软雅黑"/>
                <w:color w:val="auto"/>
                <w:kern w:val="0"/>
                <w:u w:val="single"/>
              </w:rPr>
              <w:t xml:space="preserve">哈森木江·阿布来提 </w:t>
            </w:r>
            <w:r>
              <w:rPr>
                <w:rFonts w:hint="eastAsia" w:ascii="微软雅黑" w:hAnsi="微软雅黑" w:eastAsia="微软雅黑" w:cs="微软雅黑"/>
                <w:color w:val="auto"/>
                <w:kern w:val="0"/>
                <w:u w:val="single"/>
                <w:lang w:val="en-US" w:eastAsia="zh-CN"/>
              </w:rPr>
              <w:t xml:space="preserve"> </w:t>
            </w:r>
            <w:r>
              <w:rPr>
                <w:rFonts w:hint="eastAsia" w:ascii="微软雅黑" w:hAnsi="微软雅黑" w:eastAsia="微软雅黑" w:cs="微软雅黑"/>
                <w:color w:val="auto"/>
                <w:kern w:val="0"/>
              </w:rPr>
              <w:t>电话：</w:t>
            </w:r>
            <w:r>
              <w:rPr>
                <w:rFonts w:hint="eastAsia" w:ascii="微软雅黑" w:hAnsi="微软雅黑" w:eastAsia="微软雅黑" w:cs="微软雅黑"/>
                <w:color w:val="auto"/>
                <w:kern w:val="0"/>
                <w:u w:val="single"/>
              </w:rPr>
              <w:t xml:space="preserve"> </w:t>
            </w:r>
            <w:r>
              <w:rPr>
                <w:rFonts w:hint="eastAsia" w:ascii="微软雅黑" w:hAnsi="微软雅黑" w:eastAsia="微软雅黑" w:cs="微软雅黑"/>
                <w:color w:val="auto"/>
                <w:kern w:val="0"/>
                <w:u w:val="single"/>
                <w:lang w:val="en-US" w:eastAsia="zh-CN"/>
              </w:rPr>
              <w:t>0998-2671019</w:t>
            </w:r>
            <w:r>
              <w:rPr>
                <w:rFonts w:hint="eastAsia" w:ascii="微软雅黑" w:hAnsi="微软雅黑" w:eastAsia="微软雅黑" w:cs="微软雅黑"/>
                <w:color w:val="auto"/>
                <w:kern w:val="0"/>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3" w:hRule="atLeast"/>
        </w:trPr>
        <w:tc>
          <w:tcPr>
            <w:tcW w:w="1058" w:type="dxa"/>
            <w:vAlign w:val="center"/>
          </w:tcPr>
          <w:p>
            <w:pPr>
              <w:spacing w:line="240" w:lineRule="atLeast"/>
              <w:ind w:firstLine="240" w:firstLineChars="100"/>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1.2</w:t>
            </w:r>
          </w:p>
        </w:tc>
        <w:tc>
          <w:tcPr>
            <w:tcW w:w="8019" w:type="dxa"/>
            <w:vAlign w:val="center"/>
          </w:tcPr>
          <w:p>
            <w:pPr>
              <w:spacing w:line="240" w:lineRule="atLeast"/>
              <w:rPr>
                <w:rFonts w:ascii="微软雅黑" w:hAnsi="微软雅黑" w:eastAsia="微软雅黑" w:cs="微软雅黑"/>
                <w:color w:val="auto"/>
                <w:sz w:val="24"/>
                <w:u w:val="single"/>
              </w:rPr>
            </w:pPr>
            <w:r>
              <w:rPr>
                <w:rFonts w:hint="eastAsia" w:ascii="微软雅黑" w:hAnsi="微软雅黑" w:eastAsia="微软雅黑" w:cs="微软雅黑"/>
                <w:color w:val="auto"/>
                <w:sz w:val="24"/>
              </w:rPr>
              <w:t>采购代理机构：</w:t>
            </w:r>
            <w:r>
              <w:rPr>
                <w:rFonts w:hint="eastAsia" w:ascii="微软雅黑" w:hAnsi="微软雅黑" w:eastAsia="微软雅黑" w:cs="微软雅黑"/>
                <w:color w:val="auto"/>
                <w:sz w:val="24"/>
                <w:u w:val="single"/>
                <w:lang w:val="en-US" w:eastAsia="zh-CN"/>
              </w:rPr>
              <w:t>新疆</w:t>
            </w:r>
            <w:r>
              <w:rPr>
                <w:rFonts w:hint="eastAsia" w:ascii="微软雅黑" w:hAnsi="微软雅黑" w:eastAsia="微软雅黑" w:cs="微软雅黑"/>
                <w:color w:val="auto"/>
                <w:sz w:val="24"/>
                <w:u w:val="single"/>
              </w:rPr>
              <w:t xml:space="preserve">合升源项目管理有限公司    </w:t>
            </w:r>
          </w:p>
          <w:p>
            <w:pPr>
              <w:spacing w:line="500" w:lineRule="exact"/>
              <w:rPr>
                <w:rFonts w:ascii="微软雅黑" w:hAnsi="微软雅黑" w:eastAsia="微软雅黑" w:cs="微软雅黑"/>
                <w:color w:val="auto"/>
                <w:sz w:val="24"/>
                <w:u w:val="single"/>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single"/>
                <w:lang w:val="en-US" w:eastAsia="zh-CN"/>
              </w:rPr>
              <w:t>喀什西域名都二期高层A座8楼1083室</w:t>
            </w:r>
          </w:p>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联系人：</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lang w:val="en-US" w:eastAsia="zh-CN"/>
              </w:rPr>
              <w:t>郭小萍</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color="FFFFFF"/>
              </w:rPr>
              <w:t xml:space="preserve"> </w:t>
            </w:r>
            <w:r>
              <w:rPr>
                <w:rFonts w:hint="eastAsia" w:ascii="微软雅黑" w:hAnsi="微软雅黑" w:eastAsia="微软雅黑" w:cs="微软雅黑"/>
                <w:color w:val="auto"/>
                <w:sz w:val="24"/>
              </w:rPr>
              <w:t>电话：</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13309986803</w:t>
            </w:r>
            <w:r>
              <w:rPr>
                <w:rFonts w:hint="eastAsia" w:ascii="微软雅黑" w:hAnsi="微软雅黑" w:eastAsia="微软雅黑" w:cs="微软雅黑"/>
                <w:color w:val="auto"/>
                <w:sz w:val="24"/>
                <w:u w:val="singl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0" w:hRule="atLeast"/>
        </w:trPr>
        <w:tc>
          <w:tcPr>
            <w:tcW w:w="1058" w:type="dxa"/>
            <w:vAlign w:val="center"/>
          </w:tcPr>
          <w:p>
            <w:pPr>
              <w:spacing w:line="240" w:lineRule="atLeast"/>
              <w:ind w:firstLine="240" w:firstLineChars="100"/>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1.3.4</w:t>
            </w:r>
          </w:p>
        </w:tc>
        <w:tc>
          <w:tcPr>
            <w:tcW w:w="8019" w:type="dxa"/>
            <w:vAlign w:val="center"/>
          </w:tcPr>
          <w:p>
            <w:pPr>
              <w:widowControl/>
              <w:spacing w:line="360" w:lineRule="exact"/>
              <w:jc w:val="left"/>
              <w:rPr>
                <w:rFonts w:hint="eastAsia" w:ascii="微软雅黑 Light" w:hAnsi="微软雅黑 Light" w:eastAsia="微软雅黑 Light" w:cs="微软雅黑 Light"/>
                <w:b/>
                <w:bCs/>
                <w:color w:val="auto"/>
                <w:sz w:val="21"/>
                <w:szCs w:val="21"/>
              </w:rPr>
            </w:pPr>
            <w:r>
              <w:rPr>
                <w:rFonts w:hint="eastAsia" w:ascii="微软雅黑 Light" w:hAnsi="微软雅黑 Light" w:eastAsia="微软雅黑 Light" w:cs="微软雅黑 Light"/>
                <w:b/>
                <w:bCs/>
                <w:color w:val="auto"/>
                <w:sz w:val="21"/>
                <w:szCs w:val="21"/>
              </w:rPr>
              <w:t>合格供应商的其他资格要求：（磋商开启时须携带以下资格条件证明原件）</w:t>
            </w:r>
          </w:p>
          <w:p>
            <w:pPr>
              <w:pStyle w:val="2"/>
              <w:ind w:left="0" w:leftChars="0" w:firstLine="0" w:firstLineChars="0"/>
              <w:rPr>
                <w:rFonts w:hint="eastAsia" w:ascii="微软雅黑 Light" w:hAnsi="微软雅黑 Light" w:eastAsia="微软雅黑 Light" w:cs="微软雅黑 Light"/>
                <w:b/>
                <w:bCs/>
                <w:color w:val="auto"/>
                <w:kern w:val="2"/>
                <w:sz w:val="21"/>
                <w:szCs w:val="21"/>
                <w:lang w:val="en-US" w:eastAsia="zh-CN" w:bidi="ar-SA"/>
              </w:rPr>
            </w:pPr>
            <w:r>
              <w:rPr>
                <w:rFonts w:hint="eastAsia" w:ascii="微软雅黑 Light" w:hAnsi="微软雅黑 Light" w:eastAsia="微软雅黑 Light" w:cs="微软雅黑 Light"/>
                <w:b/>
                <w:bCs/>
                <w:color w:val="auto"/>
                <w:kern w:val="2"/>
                <w:sz w:val="21"/>
                <w:szCs w:val="21"/>
                <w:lang w:val="en-US" w:eastAsia="zh-CN" w:bidi="ar-SA"/>
              </w:rPr>
              <w:t>（1）具有有效的独立法人营业执照；</w:t>
            </w:r>
          </w:p>
          <w:p>
            <w:pPr>
              <w:pStyle w:val="2"/>
              <w:ind w:left="0" w:leftChars="0" w:firstLine="0" w:firstLineChars="0"/>
              <w:rPr>
                <w:rFonts w:hint="eastAsia" w:ascii="微软雅黑 Light" w:hAnsi="微软雅黑 Light" w:eastAsia="微软雅黑 Light" w:cs="微软雅黑 Light"/>
                <w:b/>
                <w:bCs/>
                <w:color w:val="auto"/>
                <w:kern w:val="2"/>
                <w:sz w:val="21"/>
                <w:szCs w:val="21"/>
                <w:lang w:val="en-US" w:eastAsia="zh-CN" w:bidi="ar-SA"/>
              </w:rPr>
            </w:pPr>
            <w:r>
              <w:rPr>
                <w:rFonts w:hint="eastAsia" w:ascii="微软雅黑 Light" w:hAnsi="微软雅黑 Light" w:eastAsia="微软雅黑 Light" w:cs="微软雅黑 Light"/>
                <w:b/>
                <w:bCs/>
                <w:color w:val="auto"/>
                <w:kern w:val="2"/>
                <w:sz w:val="21"/>
                <w:szCs w:val="21"/>
                <w:lang w:val="en-US" w:eastAsia="zh-CN" w:bidi="ar-SA"/>
              </w:rPr>
              <w:t>（2）良好的商业信誉和健全的财务会计制度证明材料（会计师事务所出具的上年度财务审计报告书原件或影印件；新办企业需提供银行资信证明原件）；</w:t>
            </w:r>
          </w:p>
          <w:p>
            <w:pPr>
              <w:pStyle w:val="2"/>
              <w:ind w:left="0" w:leftChars="0" w:firstLine="0" w:firstLineChars="0"/>
              <w:rPr>
                <w:rFonts w:hint="eastAsia" w:ascii="微软雅黑 Light" w:hAnsi="微软雅黑 Light" w:eastAsia="微软雅黑 Light" w:cs="微软雅黑 Light"/>
                <w:b/>
                <w:bCs/>
                <w:color w:val="auto"/>
                <w:kern w:val="2"/>
                <w:sz w:val="21"/>
                <w:szCs w:val="21"/>
                <w:highlight w:val="none"/>
                <w:lang w:val="en-US" w:eastAsia="zh-CN" w:bidi="ar-SA"/>
              </w:rPr>
            </w:pPr>
            <w:r>
              <w:rPr>
                <w:rFonts w:hint="eastAsia" w:ascii="微软雅黑 Light" w:hAnsi="微软雅黑 Light" w:eastAsia="微软雅黑 Light" w:cs="微软雅黑 Light"/>
                <w:b/>
                <w:bCs/>
                <w:color w:val="auto"/>
                <w:kern w:val="2"/>
                <w:sz w:val="21"/>
                <w:szCs w:val="21"/>
                <w:highlight w:val="none"/>
                <w:lang w:val="en-US" w:eastAsia="zh-CN" w:bidi="ar-SA"/>
              </w:rPr>
              <w:t>（3）法定代表人授权书及被委托人身份证（法定代表人投标提供法定代表人身份证明及身份证），提供在本单位缴纳的近连续3个月社保缴纳证明、退休人员提供退休证明；</w:t>
            </w:r>
          </w:p>
          <w:p>
            <w:pPr>
              <w:pStyle w:val="2"/>
              <w:ind w:left="0" w:leftChars="0" w:firstLine="0" w:firstLineChars="0"/>
              <w:rPr>
                <w:rFonts w:hint="eastAsia" w:ascii="微软雅黑 Light" w:hAnsi="微软雅黑 Light" w:eastAsia="微软雅黑 Light" w:cs="微软雅黑 Light"/>
                <w:b/>
                <w:bCs/>
                <w:color w:val="auto"/>
                <w:kern w:val="2"/>
                <w:sz w:val="21"/>
                <w:szCs w:val="21"/>
                <w:lang w:val="en-US" w:eastAsia="zh-CN" w:bidi="ar-SA"/>
              </w:rPr>
            </w:pPr>
            <w:r>
              <w:rPr>
                <w:rFonts w:hint="eastAsia" w:ascii="微软雅黑 Light" w:hAnsi="微软雅黑 Light" w:eastAsia="微软雅黑 Light" w:cs="微软雅黑 Light"/>
                <w:b/>
                <w:bCs/>
                <w:color w:val="auto"/>
                <w:kern w:val="2"/>
                <w:sz w:val="21"/>
                <w:szCs w:val="21"/>
                <w:lang w:val="en-US" w:eastAsia="zh-CN" w:bidi="ar-SA"/>
              </w:rPr>
              <w:t>（4）具有税务局开具依法缴纳近连续3个月税收证明的良好记录（完税证明）；</w:t>
            </w:r>
          </w:p>
          <w:p>
            <w:pPr>
              <w:pStyle w:val="2"/>
              <w:ind w:left="0" w:leftChars="0" w:firstLine="0" w:firstLineChars="0"/>
              <w:rPr>
                <w:rFonts w:hint="eastAsia" w:ascii="微软雅黑 Light" w:hAnsi="微软雅黑 Light" w:eastAsia="微软雅黑 Light" w:cs="微软雅黑 Light"/>
                <w:b/>
                <w:bCs/>
                <w:color w:val="auto"/>
                <w:kern w:val="2"/>
                <w:sz w:val="21"/>
                <w:szCs w:val="21"/>
                <w:lang w:val="en-US" w:eastAsia="zh-CN" w:bidi="ar-SA"/>
              </w:rPr>
            </w:pPr>
            <w:r>
              <w:rPr>
                <w:rFonts w:hint="eastAsia" w:ascii="微软雅黑 Light" w:hAnsi="微软雅黑 Light" w:eastAsia="微软雅黑 Light" w:cs="微软雅黑 Light"/>
                <w:b/>
                <w:bCs/>
                <w:color w:val="auto"/>
                <w:kern w:val="2"/>
                <w:sz w:val="21"/>
                <w:szCs w:val="21"/>
                <w:lang w:val="en-US" w:eastAsia="zh-CN" w:bidi="ar-SA"/>
              </w:rPr>
              <w:t>（5）参加政府采购活动前3年内在经营活动中没有重大违法记录的书面声明；</w:t>
            </w:r>
          </w:p>
          <w:p>
            <w:pPr>
              <w:pStyle w:val="2"/>
              <w:ind w:left="0" w:leftChars="0" w:firstLine="0" w:firstLineChars="0"/>
              <w:rPr>
                <w:rFonts w:hint="eastAsia" w:ascii="微软雅黑 Light" w:hAnsi="微软雅黑 Light" w:eastAsia="微软雅黑 Light" w:cs="微软雅黑 Light"/>
                <w:b/>
                <w:bCs/>
                <w:color w:val="auto"/>
                <w:kern w:val="2"/>
                <w:sz w:val="21"/>
                <w:szCs w:val="21"/>
                <w:lang w:val="en-US" w:eastAsia="zh-CN" w:bidi="ar-SA"/>
              </w:rPr>
            </w:pPr>
            <w:r>
              <w:rPr>
                <w:rFonts w:hint="eastAsia" w:ascii="微软雅黑 Light" w:hAnsi="微软雅黑 Light" w:eastAsia="微软雅黑 Light" w:cs="微软雅黑 Light"/>
                <w:b/>
                <w:bCs/>
                <w:color w:val="auto"/>
                <w:kern w:val="2"/>
                <w:sz w:val="21"/>
                <w:szCs w:val="21"/>
                <w:lang w:val="en-US" w:eastAsia="zh-CN" w:bidi="ar-SA"/>
              </w:rPr>
              <w:t>（6）提供 “信用中国”网站（http://www.creditchina.gov.cn/）和中国政府采购网（www.ccgp.gov.cn）无违法违规行为的查询纪录（提供查询结果网页截图并加盖单位公章；提供截图日期需在本项目领取招标文件期内）；投标人存在不良信用记录的或被列入失信被执行人、重大税收违法案件当事人名单的，其投标将被认定为投标无效）；</w:t>
            </w:r>
          </w:p>
          <w:p>
            <w:pPr>
              <w:pStyle w:val="2"/>
              <w:ind w:left="0" w:leftChars="0" w:firstLine="0" w:firstLineChars="0"/>
              <w:rPr>
                <w:rFonts w:hint="eastAsia" w:ascii="微软雅黑 Light" w:hAnsi="微软雅黑 Light" w:eastAsia="微软雅黑 Light" w:cs="微软雅黑 Light"/>
                <w:b/>
                <w:bCs/>
                <w:color w:val="auto"/>
                <w:kern w:val="2"/>
                <w:sz w:val="21"/>
                <w:szCs w:val="21"/>
                <w:lang w:val="en-US" w:eastAsia="zh-CN" w:bidi="ar-SA"/>
              </w:rPr>
            </w:pPr>
            <w:r>
              <w:rPr>
                <w:rFonts w:hint="eastAsia" w:ascii="微软雅黑 Light" w:hAnsi="微软雅黑 Light" w:eastAsia="微软雅黑 Light" w:cs="微软雅黑 Light"/>
                <w:b/>
                <w:bCs/>
                <w:color w:val="auto"/>
                <w:kern w:val="2"/>
                <w:sz w:val="21"/>
                <w:szCs w:val="21"/>
                <w:lang w:val="en-US" w:eastAsia="zh-CN" w:bidi="ar-SA"/>
              </w:rPr>
              <w:t>（7）提供针对本项目的《反商业贿赂承诺书》。</w:t>
            </w:r>
          </w:p>
          <w:p>
            <w:pPr>
              <w:pStyle w:val="2"/>
              <w:ind w:left="0" w:leftChars="0" w:firstLine="0" w:firstLineChars="0"/>
              <w:rPr>
                <w:rFonts w:hint="eastAsia" w:ascii="微软雅黑 Light" w:hAnsi="微软雅黑 Light" w:eastAsia="微软雅黑 Light" w:cs="微软雅黑 Light"/>
                <w:b/>
                <w:bCs/>
                <w:color w:val="auto"/>
                <w:kern w:val="2"/>
                <w:sz w:val="21"/>
                <w:szCs w:val="21"/>
                <w:lang w:val="en-US" w:eastAsia="zh-CN" w:bidi="ar-SA"/>
              </w:rPr>
            </w:pPr>
            <w:r>
              <w:rPr>
                <w:rFonts w:hint="eastAsia" w:ascii="微软雅黑 Light" w:hAnsi="微软雅黑 Light" w:eastAsia="微软雅黑 Light" w:cs="微软雅黑 Light"/>
                <w:b/>
                <w:bCs/>
                <w:color w:val="auto"/>
                <w:kern w:val="2"/>
                <w:sz w:val="21"/>
                <w:szCs w:val="21"/>
                <w:lang w:val="en-US" w:eastAsia="zh-CN" w:bidi="ar-SA"/>
              </w:rPr>
              <w:t>（8）磋商保证金缴纳有效证明。</w:t>
            </w:r>
          </w:p>
          <w:p>
            <w:pPr>
              <w:pStyle w:val="2"/>
              <w:ind w:left="0" w:leftChars="0" w:firstLine="0" w:firstLineChars="0"/>
              <w:rPr>
                <w:rFonts w:hint="eastAsia" w:ascii="微软雅黑 Light" w:hAnsi="微软雅黑 Light" w:eastAsia="微软雅黑 Light" w:cs="微软雅黑 Light"/>
                <w:b/>
                <w:bCs/>
                <w:color w:val="auto"/>
                <w:kern w:val="2"/>
                <w:sz w:val="21"/>
                <w:szCs w:val="21"/>
                <w:lang w:val="en-US" w:eastAsia="zh-CN" w:bidi="ar-SA"/>
              </w:rPr>
            </w:pPr>
            <w:r>
              <w:rPr>
                <w:rFonts w:hint="eastAsia" w:ascii="微软雅黑 Light" w:hAnsi="微软雅黑 Light" w:eastAsia="微软雅黑 Light" w:cs="微软雅黑 Light"/>
                <w:b/>
                <w:bCs/>
                <w:color w:val="auto"/>
                <w:kern w:val="2"/>
                <w:sz w:val="21"/>
                <w:szCs w:val="21"/>
                <w:lang w:val="en-US" w:eastAsia="zh-CN" w:bidi="ar-SA"/>
              </w:rPr>
              <w:t>（9）本项目不接受联合体投标。</w:t>
            </w:r>
          </w:p>
          <w:p>
            <w:pPr>
              <w:pStyle w:val="2"/>
              <w:ind w:left="0" w:leftChars="0" w:firstLine="0" w:firstLineChars="0"/>
              <w:rPr>
                <w:rFonts w:hint="eastAsia" w:asciiTheme="minorEastAsia" w:hAnsiTheme="minorEastAsia" w:eastAsiaTheme="minorEastAsia" w:cstheme="minorEastAsia"/>
                <w:b/>
                <w:bCs/>
                <w:kern w:val="2"/>
                <w:sz w:val="21"/>
                <w:szCs w:val="21"/>
                <w:lang w:val="en-US" w:eastAsia="zh-CN" w:bidi="ar-SA"/>
              </w:rPr>
            </w:pPr>
            <w:r>
              <w:rPr>
                <w:rFonts w:hint="eastAsia" w:ascii="微软雅黑 Light" w:hAnsi="微软雅黑 Light" w:eastAsia="微软雅黑 Light" w:cs="微软雅黑 Light"/>
                <w:b/>
                <w:bCs/>
                <w:color w:val="auto"/>
                <w:kern w:val="2"/>
                <w:sz w:val="21"/>
                <w:szCs w:val="21"/>
                <w:lang w:val="en-US" w:eastAsia="zh-CN" w:bidi="ar-SA"/>
              </w:rPr>
              <w:t>注：上述资质开标现场能够通过官方网站查证的，均视为合格供应商。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5" w:hRule="atLeast"/>
        </w:trPr>
        <w:tc>
          <w:tcPr>
            <w:tcW w:w="1058" w:type="dxa"/>
            <w:vAlign w:val="center"/>
          </w:tcPr>
          <w:p>
            <w:pPr>
              <w:spacing w:line="240" w:lineRule="atLeast"/>
              <w:ind w:firstLine="240" w:firstLineChars="100"/>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1.3.5</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是否允许采购进口产品：</w:t>
            </w:r>
            <w:r>
              <w:rPr>
                <w:rFonts w:hint="eastAsia" w:ascii="微软雅黑" w:hAnsi="微软雅黑" w:eastAsia="微软雅黑" w:cs="微软雅黑"/>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trPr>
        <w:tc>
          <w:tcPr>
            <w:tcW w:w="1058" w:type="dxa"/>
            <w:vAlign w:val="center"/>
          </w:tcPr>
          <w:p>
            <w:pPr>
              <w:spacing w:line="240" w:lineRule="atLeast"/>
              <w:ind w:firstLine="240" w:firstLineChars="100"/>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1.3.6</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是否为专门面向中小企业采购：</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否</w:t>
            </w:r>
            <w:r>
              <w:rPr>
                <w:rFonts w:hint="eastAsia" w:ascii="微软雅黑" w:hAnsi="微软雅黑" w:eastAsia="微软雅黑" w:cs="微软雅黑"/>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trPr>
        <w:tc>
          <w:tcPr>
            <w:tcW w:w="1058" w:type="dxa"/>
            <w:vAlign w:val="center"/>
          </w:tcPr>
          <w:p>
            <w:pPr>
              <w:spacing w:line="240" w:lineRule="atLeast"/>
              <w:ind w:firstLine="240" w:firstLineChars="100"/>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1.4</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是否允许联合体磋商：</w:t>
            </w:r>
            <w:r>
              <w:rPr>
                <w:rFonts w:hint="eastAsia" w:ascii="微软雅黑" w:hAnsi="微软雅黑" w:eastAsia="微软雅黑" w:cs="微软雅黑"/>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1058" w:type="dxa"/>
            <w:vAlign w:val="center"/>
          </w:tcPr>
          <w:p>
            <w:pPr>
              <w:spacing w:line="240" w:lineRule="atLeast"/>
              <w:ind w:firstLine="240" w:firstLineChars="100"/>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1.4.8</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1" w:hRule="atLeast"/>
        </w:trPr>
        <w:tc>
          <w:tcPr>
            <w:tcW w:w="1058" w:type="dxa"/>
            <w:vAlign w:val="center"/>
          </w:tcPr>
          <w:p>
            <w:pPr>
              <w:spacing w:line="240" w:lineRule="atLeast"/>
              <w:ind w:firstLine="240" w:firstLineChars="100"/>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2.2</w:t>
            </w:r>
          </w:p>
        </w:tc>
        <w:tc>
          <w:tcPr>
            <w:tcW w:w="8019" w:type="dxa"/>
            <w:vAlign w:val="center"/>
          </w:tcPr>
          <w:p>
            <w:pPr>
              <w:pStyle w:val="11"/>
              <w:spacing w:line="400" w:lineRule="exact"/>
              <w:ind w:firstLine="0"/>
              <w:rPr>
                <w:rFonts w:ascii="微软雅黑" w:hAnsi="微软雅黑" w:eastAsia="微软雅黑" w:cs="微软雅黑"/>
                <w:color w:val="auto"/>
                <w:szCs w:val="24"/>
              </w:rPr>
            </w:pPr>
            <w:r>
              <w:rPr>
                <w:rFonts w:hint="eastAsia" w:ascii="微软雅黑" w:hAnsi="微软雅黑" w:eastAsia="微软雅黑" w:cs="微软雅黑"/>
                <w:b/>
                <w:bCs/>
                <w:color w:val="auto"/>
                <w:kern w:val="2"/>
                <w:szCs w:val="24"/>
              </w:rPr>
              <w:t>项目预算金额：</w:t>
            </w:r>
            <w:r>
              <w:rPr>
                <w:rFonts w:hint="eastAsia" w:ascii="微软雅黑" w:hAnsi="微软雅黑" w:eastAsia="微软雅黑" w:cs="微软雅黑"/>
                <w:b/>
                <w:bCs/>
                <w:color w:val="auto"/>
                <w:kern w:val="2"/>
                <w:szCs w:val="24"/>
                <w:lang w:val="en-US" w:eastAsia="zh-CN"/>
              </w:rPr>
              <w:t>240000</w:t>
            </w:r>
            <w:r>
              <w:rPr>
                <w:rFonts w:hint="eastAsia" w:ascii="微软雅黑" w:hAnsi="微软雅黑" w:eastAsia="微软雅黑" w:cs="微软雅黑"/>
                <w:b/>
                <w:bCs/>
                <w:color w:val="auto"/>
                <w:kern w:val="2"/>
                <w:szCs w:val="24"/>
              </w:rPr>
              <w:t>.00元；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058" w:type="dxa"/>
            <w:vAlign w:val="center"/>
          </w:tcPr>
          <w:p>
            <w:pPr>
              <w:spacing w:line="240" w:lineRule="atLeast"/>
              <w:ind w:firstLine="240" w:firstLineChars="100"/>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12.1</w:t>
            </w:r>
          </w:p>
        </w:tc>
        <w:tc>
          <w:tcPr>
            <w:tcW w:w="8019" w:type="dxa"/>
            <w:vAlign w:val="center"/>
          </w:tcPr>
          <w:p>
            <w:pPr>
              <w:rPr>
                <w:rFonts w:hint="eastAsia" w:ascii="微软雅黑" w:hAnsi="微软雅黑" w:eastAsia="微软雅黑" w:cs="微软雅黑"/>
                <w:color w:val="0000FF"/>
                <w:sz w:val="24"/>
                <w:lang w:val="en-US" w:eastAsia="zh-CN"/>
              </w:rPr>
            </w:pPr>
            <w:r>
              <w:rPr>
                <w:rFonts w:hint="eastAsia" w:ascii="微软雅黑" w:hAnsi="微软雅黑" w:eastAsia="微软雅黑" w:cs="微软雅黑"/>
                <w:color w:val="0000FF"/>
                <w:sz w:val="24"/>
              </w:rPr>
              <w:t>磋商保证金形式：</w:t>
            </w:r>
            <w:r>
              <w:rPr>
                <w:rFonts w:hint="eastAsia" w:ascii="微软雅黑" w:hAnsi="微软雅黑" w:eastAsia="微软雅黑" w:cs="微软雅黑"/>
                <w:color w:val="0000FF"/>
                <w:sz w:val="24"/>
              </w:rPr>
              <w:sym w:font="Wingdings 2" w:char="00A3"/>
            </w:r>
            <w:r>
              <w:rPr>
                <w:rFonts w:hint="eastAsia" w:ascii="微软雅黑" w:hAnsi="微软雅黑" w:eastAsia="微软雅黑" w:cs="微软雅黑"/>
                <w:color w:val="0000FF"/>
                <w:sz w:val="24"/>
              </w:rPr>
              <w:t>电汇  </w:t>
            </w:r>
            <w:r>
              <w:rPr>
                <w:rFonts w:hint="eastAsia" w:ascii="微软雅黑" w:hAnsi="微软雅黑" w:eastAsia="微软雅黑" w:cs="微软雅黑"/>
                <w:color w:val="0000FF"/>
                <w:sz w:val="24"/>
              </w:rPr>
              <w:sym w:font="Wingdings 2" w:char="0052"/>
            </w:r>
            <w:r>
              <w:rPr>
                <w:rFonts w:hint="eastAsia" w:ascii="微软雅黑" w:hAnsi="微软雅黑" w:eastAsia="微软雅黑" w:cs="微软雅黑"/>
                <w:color w:val="0000FF"/>
                <w:sz w:val="24"/>
              </w:rPr>
              <w:t>企业帐户网银汇款</w:t>
            </w:r>
            <w:r>
              <w:rPr>
                <w:rFonts w:hint="eastAsia" w:ascii="微软雅黑" w:hAnsi="微软雅黑" w:eastAsia="微软雅黑" w:cs="微软雅黑"/>
                <w:color w:val="0000FF"/>
                <w:sz w:val="24"/>
                <w:lang w:val="en-US" w:eastAsia="zh-CN"/>
              </w:rPr>
              <w:t xml:space="preserve"> </w:t>
            </w:r>
            <w:r>
              <w:rPr>
                <w:rFonts w:hint="eastAsia" w:ascii="微软雅黑" w:hAnsi="微软雅黑" w:eastAsia="微软雅黑" w:cs="微软雅黑"/>
                <w:color w:val="0000FF"/>
                <w:sz w:val="24"/>
              </w:rPr>
              <w:t> </w:t>
            </w:r>
            <w:r>
              <w:rPr>
                <w:rFonts w:hint="eastAsia" w:ascii="微软雅黑" w:hAnsi="微软雅黑" w:eastAsia="微软雅黑" w:cs="微软雅黑"/>
                <w:color w:val="0000FF"/>
                <w:sz w:val="24"/>
              </w:rPr>
              <w:sym w:font="Wingdings 2" w:char="0052"/>
            </w:r>
            <w:r>
              <w:rPr>
                <w:rFonts w:hint="eastAsia" w:ascii="微软雅黑" w:hAnsi="微软雅黑" w:eastAsia="微软雅黑" w:cs="微软雅黑"/>
                <w:color w:val="0000FF"/>
                <w:sz w:val="24"/>
              </w:rPr>
              <w:t>银行保函</w:t>
            </w:r>
            <w:r>
              <w:rPr>
                <w:rFonts w:hint="eastAsia" w:ascii="微软雅黑" w:hAnsi="微软雅黑" w:eastAsia="微软雅黑" w:cs="微软雅黑"/>
                <w:color w:val="0000FF"/>
                <w:sz w:val="24"/>
                <w:lang w:val="en-US" w:eastAsia="zh-CN"/>
              </w:rPr>
              <w:t xml:space="preserve">  </w:t>
            </w:r>
            <w:r>
              <w:rPr>
                <w:rFonts w:hint="eastAsia" w:ascii="微软雅黑" w:hAnsi="微软雅黑" w:eastAsia="微软雅黑" w:cs="微软雅黑"/>
                <w:color w:val="0000FF"/>
                <w:sz w:val="24"/>
              </w:rPr>
              <w:sym w:font="Wingdings 2" w:char="00A3"/>
            </w:r>
            <w:r>
              <w:rPr>
                <w:rFonts w:hint="eastAsia" w:ascii="微软雅黑" w:hAnsi="微软雅黑" w:eastAsia="微软雅黑" w:cs="微软雅黑"/>
                <w:color w:val="0000FF"/>
                <w:sz w:val="24"/>
              </w:rPr>
              <w:t>支票</w:t>
            </w:r>
          </w:p>
          <w:p>
            <w:pPr>
              <w:rPr>
                <w:rFonts w:ascii="微软雅黑" w:hAnsi="微软雅黑" w:eastAsia="微软雅黑" w:cs="微软雅黑"/>
                <w:color w:val="auto"/>
              </w:rPr>
            </w:pPr>
            <w:r>
              <w:rPr>
                <w:rFonts w:hint="eastAsia" w:ascii="微软雅黑" w:hAnsi="微软雅黑" w:eastAsia="微软雅黑" w:cs="微软雅黑"/>
                <w:b/>
                <w:bCs/>
                <w:color w:val="auto"/>
                <w:sz w:val="24"/>
              </w:rPr>
              <w:t>小写：</w:t>
            </w:r>
            <w:r>
              <w:rPr>
                <w:rFonts w:hint="eastAsia" w:ascii="微软雅黑" w:hAnsi="微软雅黑" w:eastAsia="微软雅黑" w:cs="微软雅黑"/>
                <w:b/>
                <w:bCs/>
                <w:color w:val="auto"/>
                <w:sz w:val="24"/>
                <w:lang w:val="en-US" w:eastAsia="zh-CN"/>
              </w:rPr>
              <w:t>4000</w:t>
            </w:r>
            <w:r>
              <w:rPr>
                <w:rFonts w:hint="eastAsia" w:ascii="微软雅黑" w:hAnsi="微软雅黑" w:eastAsia="微软雅黑" w:cs="微软雅黑"/>
                <w:b/>
                <w:bCs/>
                <w:color w:val="auto"/>
                <w:sz w:val="24"/>
              </w:rPr>
              <w:t>元(大写：</w:t>
            </w:r>
            <w:r>
              <w:rPr>
                <w:rFonts w:hint="eastAsia" w:ascii="微软雅黑" w:hAnsi="微软雅黑" w:eastAsia="微软雅黑" w:cs="微软雅黑"/>
                <w:b/>
                <w:bCs/>
                <w:color w:val="auto"/>
                <w:sz w:val="24"/>
                <w:lang w:val="en-US" w:eastAsia="zh-CN"/>
              </w:rPr>
              <w:t>肆仟元整</w:t>
            </w:r>
            <w:r>
              <w:rPr>
                <w:rFonts w:hint="eastAsia" w:ascii="微软雅黑" w:hAnsi="微软雅黑" w:eastAsia="微软雅黑" w:cs="微软雅黑"/>
                <w:b/>
                <w:bCs/>
                <w:color w:val="auto"/>
                <w:sz w:val="24"/>
              </w:rPr>
              <w:t>）；</w:t>
            </w:r>
          </w:p>
          <w:p>
            <w:pPr>
              <w:rPr>
                <w:rFonts w:ascii="微软雅黑" w:hAnsi="微软雅黑" w:eastAsia="微软雅黑" w:cs="微软雅黑"/>
                <w:b/>
                <w:color w:val="auto"/>
                <w:sz w:val="24"/>
              </w:rPr>
            </w:pPr>
            <w:r>
              <w:rPr>
                <w:rFonts w:hint="eastAsia" w:ascii="微软雅黑" w:hAnsi="微软雅黑" w:eastAsia="微软雅黑" w:cs="微软雅黑"/>
                <w:i/>
                <w:color w:val="auto"/>
                <w:sz w:val="24"/>
              </w:rPr>
              <w:t>（按照各分包控制金额2%以内的整数计算）</w:t>
            </w:r>
          </w:p>
          <w:p>
            <w:pPr>
              <w:rPr>
                <w:rFonts w:ascii="微软雅黑" w:hAnsi="微软雅黑" w:eastAsia="微软雅黑" w:cs="微软雅黑"/>
                <w:b/>
                <w:color w:val="auto"/>
                <w:sz w:val="24"/>
              </w:rPr>
            </w:pPr>
            <w:r>
              <w:rPr>
                <w:rFonts w:hint="eastAsia" w:ascii="微软雅黑" w:hAnsi="微软雅黑" w:eastAsia="微软雅黑" w:cs="微软雅黑"/>
                <w:b/>
                <w:color w:val="auto"/>
                <w:sz w:val="24"/>
              </w:rPr>
              <w:t>磋商保证金收款人：</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账户名：</w:t>
            </w:r>
            <w:r>
              <w:rPr>
                <w:rFonts w:hint="eastAsia" w:ascii="微软雅黑" w:hAnsi="微软雅黑" w:eastAsia="微软雅黑" w:cs="微软雅黑"/>
                <w:color w:val="auto"/>
                <w:sz w:val="24"/>
                <w:lang w:val="en-US" w:eastAsia="zh-CN"/>
              </w:rPr>
              <w:t>新疆合升源项目管理有限公司</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账  号：</w:t>
            </w:r>
            <w:r>
              <w:rPr>
                <w:rFonts w:hint="eastAsia" w:ascii="微软雅黑" w:hAnsi="微软雅黑" w:eastAsia="微软雅黑" w:cs="微软雅黑"/>
                <w:color w:val="auto"/>
                <w:sz w:val="24"/>
                <w:lang w:val="en-US" w:eastAsia="zh-CN"/>
              </w:rPr>
              <w:t>8600 2051 2010 1035 30802</w:t>
            </w: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开户行：喀什农村商业银行股份有限公司克孜都维路支行</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（电汇时请在汇款备注栏注明项目名称及编号、包号（如有），并注明是磋商保证金）     </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磋商保证金必须在</w:t>
            </w:r>
            <w:r>
              <w:rPr>
                <w:rFonts w:hint="eastAsia" w:ascii="微软雅黑" w:hAnsi="微软雅黑" w:eastAsia="微软雅黑" w:cs="微软雅黑"/>
                <w:color w:val="auto"/>
                <w:sz w:val="24"/>
                <w:lang w:val="en-US" w:eastAsia="zh-CN"/>
              </w:rPr>
              <w:t>开标</w:t>
            </w:r>
            <w:r>
              <w:rPr>
                <w:rFonts w:hint="eastAsia" w:ascii="微软雅黑" w:hAnsi="微软雅黑" w:eastAsia="微软雅黑" w:cs="微软雅黑"/>
                <w:color w:val="auto"/>
                <w:sz w:val="24"/>
              </w:rPr>
              <w:t>之前交到</w:t>
            </w:r>
            <w:r>
              <w:rPr>
                <w:rFonts w:hint="eastAsia" w:ascii="微软雅黑" w:hAnsi="微软雅黑" w:eastAsia="微软雅黑" w:cs="微软雅黑"/>
                <w:color w:val="auto"/>
                <w:sz w:val="24"/>
                <w:lang w:val="en-US" w:eastAsia="zh-CN"/>
              </w:rPr>
              <w:t>新疆合升源项目管理有限公司</w:t>
            </w:r>
            <w:r>
              <w:rPr>
                <w:rFonts w:hint="eastAsia" w:ascii="微软雅黑" w:hAnsi="微软雅黑" w:eastAsia="微软雅黑" w:cs="微软雅黑"/>
                <w:color w:val="auto"/>
                <w:sz w:val="24"/>
              </w:rPr>
              <w:t>账户中。不接受现金、支票及任何个人、分公司汇款。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1"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13.1</w:t>
            </w:r>
          </w:p>
        </w:tc>
        <w:tc>
          <w:tcPr>
            <w:tcW w:w="8019" w:type="dxa"/>
            <w:vAlign w:val="center"/>
          </w:tcPr>
          <w:p>
            <w:pPr>
              <w:spacing w:line="240" w:lineRule="atLeast"/>
              <w:rPr>
                <w:rFonts w:ascii="微软雅黑" w:hAnsi="微软雅黑" w:eastAsia="微软雅黑" w:cs="微软雅黑"/>
                <w:color w:val="auto"/>
                <w:sz w:val="24"/>
                <w:u w:val="single"/>
              </w:rPr>
            </w:pPr>
            <w:r>
              <w:rPr>
                <w:rFonts w:hint="eastAsia" w:ascii="微软雅黑" w:hAnsi="微软雅黑" w:eastAsia="微软雅黑" w:cs="微软雅黑"/>
                <w:color w:val="auto"/>
                <w:sz w:val="24"/>
              </w:rPr>
              <w:t>磋商有效期：</w:t>
            </w:r>
            <w:r>
              <w:rPr>
                <w:rFonts w:hint="eastAsia" w:ascii="微软雅黑" w:hAnsi="微软雅黑" w:eastAsia="微软雅黑" w:cs="微软雅黑"/>
                <w:color w:val="auto"/>
                <w:sz w:val="24"/>
                <w:u w:val="single"/>
              </w:rPr>
              <w:t>　60　</w:t>
            </w:r>
            <w:r>
              <w:rPr>
                <w:rFonts w:hint="eastAsia" w:ascii="微软雅黑" w:hAnsi="微软雅黑" w:eastAsia="微软雅黑" w:cs="微软雅黑"/>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058" w:type="dxa"/>
            <w:vAlign w:val="center"/>
          </w:tcPr>
          <w:p>
            <w:pPr>
              <w:spacing w:line="400" w:lineRule="exac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14.1</w:t>
            </w:r>
          </w:p>
        </w:tc>
        <w:tc>
          <w:tcPr>
            <w:tcW w:w="8019" w:type="dxa"/>
            <w:vAlign w:val="center"/>
          </w:tcPr>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响应文件包括“磋商报价表及资格证明文件”和“商务及技术文件”两部分，两部分合订成一册密封递交。</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响应文件：正本：壹份、副本：贰份；（正、副本分别单独密封提交，密封袋封面右上角标明“正本”和“副本”字样）</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供应商必须制作“磋商报价表”并单独密封提交，并在密封袋上标明“磋商报价表”的字样。不按要求标注或不单独提交磋商报价表，其磋商将被拒绝。</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除上述文件外，还须密封递交响应文件电子文档1份。供应商必须制作“电子版U盘”并单独密封提交。电子版U盘必须是与正本完全一致PDF格式文本及Word文档两个格式。并在密封袋上标明“电子版U盘”字样。不按要求提交电子版U盘，其磋商无效。</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响应文件使用A4，胶装，每册装订应牢固、不易拆散和换页，不得采用活页装订。</w:t>
            </w:r>
          </w:p>
          <w:p>
            <w:pPr>
              <w:spacing w:line="400" w:lineRule="exact"/>
              <w:rPr>
                <w:rFonts w:ascii="微软雅黑" w:hAnsi="微软雅黑" w:eastAsia="微软雅黑" w:cs="微软雅黑"/>
                <w:b/>
                <w:bCs/>
                <w:iCs/>
                <w:color w:val="auto"/>
                <w:sz w:val="24"/>
              </w:rPr>
            </w:pPr>
            <w:r>
              <w:rPr>
                <w:rFonts w:hint="eastAsia" w:ascii="微软雅黑" w:hAnsi="微软雅黑" w:eastAsia="微软雅黑" w:cs="微软雅黑"/>
                <w:b/>
                <w:bCs/>
                <w:iCs/>
                <w:color w:val="auto"/>
                <w:sz w:val="24"/>
              </w:rPr>
              <w:t>响应文件的签署及规定：</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供应商应按供应商须知资料表中的规定，准备和递交响应文件正本、副本、开标一览表和电子文档，每份资格响应文件封皮须清楚地标明“正本”或“副本”。若正本和副本不符，以正本为准。</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响应文件的正本需打印或用不褪色墨水书写，并由供应商的法定代表人或经其正式委托代理人按磋商文件规定在响应文件上签字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spacing w:line="400" w:lineRule="exact"/>
              <w:rPr>
                <w:rFonts w:ascii="微软雅黑" w:hAnsi="微软雅黑" w:eastAsia="微软雅黑" w:cs="微软雅黑"/>
                <w:b/>
                <w:bCs/>
                <w:iCs/>
                <w:color w:val="auto"/>
                <w:sz w:val="24"/>
              </w:rPr>
            </w:pPr>
            <w:r>
              <w:rPr>
                <w:rFonts w:hint="eastAsia" w:ascii="微软雅黑" w:hAnsi="微软雅黑" w:eastAsia="微软雅黑" w:cs="微软雅黑"/>
                <w:b/>
                <w:bCs/>
                <w:iCs/>
                <w:color w:val="auto"/>
                <w:sz w:val="24"/>
              </w:rPr>
              <w:t>所有包装封皮和信封上均应：</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注明招标公告或磋商邀请书中指明的项目名称、招标编号、供应商名称和“在（开标时间）之前不得启封”的字样。</w:t>
            </w:r>
          </w:p>
          <w:p>
            <w:pPr>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在封口处加盖供应商单位公章。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16.1</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磋商截止时间：</w:t>
            </w:r>
            <w:r>
              <w:rPr>
                <w:rFonts w:hint="eastAsia" w:ascii="微软雅黑" w:hAnsi="微软雅黑" w:eastAsia="微软雅黑" w:cs="微软雅黑"/>
                <w:color w:val="2D04FC"/>
                <w:sz w:val="24"/>
              </w:rPr>
              <w:t>2021年</w:t>
            </w:r>
            <w:r>
              <w:rPr>
                <w:rFonts w:hint="eastAsia" w:ascii="微软雅黑" w:hAnsi="微软雅黑" w:eastAsia="微软雅黑" w:cs="微软雅黑"/>
                <w:color w:val="2D04FC"/>
                <w:sz w:val="24"/>
                <w:lang w:val="en-US" w:eastAsia="zh-CN"/>
              </w:rPr>
              <w:t>11</w:t>
            </w:r>
            <w:r>
              <w:rPr>
                <w:rFonts w:hint="eastAsia" w:ascii="微软雅黑" w:hAnsi="微软雅黑" w:eastAsia="微软雅黑" w:cs="微软雅黑"/>
                <w:color w:val="2D04FC"/>
                <w:sz w:val="24"/>
              </w:rPr>
              <w:t>月</w:t>
            </w:r>
            <w:r>
              <w:rPr>
                <w:rFonts w:hint="eastAsia" w:ascii="微软雅黑" w:hAnsi="微软雅黑" w:eastAsia="微软雅黑" w:cs="微软雅黑"/>
                <w:color w:val="2D04FC"/>
                <w:sz w:val="24"/>
                <w:lang w:val="en-US" w:eastAsia="zh-CN"/>
              </w:rPr>
              <w:t>25</w:t>
            </w:r>
            <w:r>
              <w:rPr>
                <w:rFonts w:hint="eastAsia" w:ascii="微软雅黑" w:hAnsi="微软雅黑" w:eastAsia="微软雅黑" w:cs="微软雅黑"/>
                <w:color w:val="2D04FC"/>
                <w:sz w:val="24"/>
              </w:rPr>
              <w:t>日1</w:t>
            </w:r>
            <w:r>
              <w:rPr>
                <w:rFonts w:hint="eastAsia" w:ascii="微软雅黑" w:hAnsi="微软雅黑" w:eastAsia="微软雅黑" w:cs="微软雅黑"/>
                <w:color w:val="2D04FC"/>
                <w:sz w:val="24"/>
                <w:lang w:val="en-US" w:eastAsia="zh-CN"/>
              </w:rPr>
              <w:t>1</w:t>
            </w:r>
            <w:r>
              <w:rPr>
                <w:rFonts w:hint="eastAsia" w:ascii="微软雅黑" w:hAnsi="微软雅黑" w:eastAsia="微软雅黑" w:cs="微软雅黑"/>
                <w:color w:val="2D04FC"/>
                <w:sz w:val="24"/>
              </w:rPr>
              <w:t>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18.1</w:t>
            </w:r>
          </w:p>
        </w:tc>
        <w:tc>
          <w:tcPr>
            <w:tcW w:w="8019" w:type="dxa"/>
            <w:vAlign w:val="center"/>
          </w:tcPr>
          <w:p>
            <w:pPr>
              <w:spacing w:line="240" w:lineRule="atLeast"/>
              <w:rPr>
                <w:rFonts w:ascii="微软雅黑" w:hAnsi="微软雅黑" w:eastAsia="微软雅黑" w:cs="微软雅黑"/>
                <w:color w:val="auto"/>
                <w:kern w:val="0"/>
                <w:sz w:val="24"/>
              </w:rPr>
            </w:pPr>
            <w:r>
              <w:rPr>
                <w:rFonts w:hint="eastAsia" w:ascii="微软雅黑" w:hAnsi="微软雅黑" w:eastAsia="微软雅黑" w:cs="微软雅黑"/>
                <w:color w:val="auto"/>
                <w:sz w:val="24"/>
              </w:rPr>
              <w:t>磋商</w:t>
            </w:r>
            <w:r>
              <w:rPr>
                <w:rFonts w:hint="eastAsia" w:ascii="微软雅黑" w:hAnsi="微软雅黑" w:eastAsia="微软雅黑" w:cs="微软雅黑"/>
                <w:color w:val="auto"/>
                <w:kern w:val="0"/>
                <w:sz w:val="24"/>
              </w:rPr>
              <w:t>时间：</w:t>
            </w:r>
            <w:r>
              <w:rPr>
                <w:rFonts w:hint="eastAsia" w:ascii="微软雅黑" w:hAnsi="微软雅黑" w:eastAsia="微软雅黑" w:cs="微软雅黑"/>
                <w:color w:val="2D04FC"/>
                <w:kern w:val="0"/>
                <w:sz w:val="24"/>
              </w:rPr>
              <w:t>2021年</w:t>
            </w:r>
            <w:r>
              <w:rPr>
                <w:rFonts w:hint="eastAsia" w:ascii="微软雅黑" w:hAnsi="微软雅黑" w:eastAsia="微软雅黑" w:cs="微软雅黑"/>
                <w:color w:val="2D04FC"/>
                <w:kern w:val="0"/>
                <w:sz w:val="24"/>
                <w:lang w:val="en-US" w:eastAsia="zh-CN"/>
              </w:rPr>
              <w:t>11</w:t>
            </w:r>
            <w:r>
              <w:rPr>
                <w:rFonts w:hint="eastAsia" w:ascii="微软雅黑" w:hAnsi="微软雅黑" w:eastAsia="微软雅黑" w:cs="微软雅黑"/>
                <w:color w:val="2D04FC"/>
                <w:kern w:val="0"/>
                <w:sz w:val="24"/>
              </w:rPr>
              <w:t>月</w:t>
            </w:r>
            <w:r>
              <w:rPr>
                <w:rFonts w:hint="eastAsia" w:ascii="微软雅黑" w:hAnsi="微软雅黑" w:eastAsia="微软雅黑" w:cs="微软雅黑"/>
                <w:color w:val="2D04FC"/>
                <w:kern w:val="0"/>
                <w:sz w:val="24"/>
                <w:lang w:val="en-US" w:eastAsia="zh-CN"/>
              </w:rPr>
              <w:t>25</w:t>
            </w:r>
            <w:r>
              <w:rPr>
                <w:rFonts w:hint="eastAsia" w:ascii="微软雅黑" w:hAnsi="微软雅黑" w:eastAsia="微软雅黑" w:cs="微软雅黑"/>
                <w:color w:val="2D04FC"/>
                <w:kern w:val="0"/>
                <w:sz w:val="24"/>
              </w:rPr>
              <w:t>日</w:t>
            </w:r>
            <w:r>
              <w:rPr>
                <w:rFonts w:hint="eastAsia" w:ascii="微软雅黑" w:hAnsi="微软雅黑" w:eastAsia="微软雅黑" w:cs="微软雅黑"/>
                <w:color w:val="2D04FC"/>
                <w:kern w:val="0"/>
                <w:sz w:val="24"/>
                <w:lang w:val="en-US" w:eastAsia="zh-CN"/>
              </w:rPr>
              <w:t>11</w:t>
            </w:r>
            <w:r>
              <w:rPr>
                <w:rFonts w:hint="eastAsia" w:ascii="微软雅黑" w:hAnsi="微软雅黑" w:eastAsia="微软雅黑" w:cs="微软雅黑"/>
                <w:color w:val="2D04FC"/>
                <w:kern w:val="0"/>
                <w:sz w:val="24"/>
              </w:rPr>
              <w:t>点00分（北京时间）</w:t>
            </w:r>
          </w:p>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kern w:val="0"/>
                <w:sz w:val="24"/>
              </w:rPr>
              <w:t>磋商地点：</w:t>
            </w:r>
            <w:r>
              <w:rPr>
                <w:rFonts w:hint="eastAsia" w:ascii="微软雅黑" w:hAnsi="微软雅黑" w:eastAsia="微软雅黑" w:cs="微软雅黑"/>
                <w:color w:val="auto"/>
                <w:kern w:val="0"/>
                <w:sz w:val="24"/>
                <w:lang w:val="en-US" w:eastAsia="zh-CN"/>
              </w:rPr>
              <w:t>喀什西域名都二期高层A座8楼1083室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20.5</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highlight w:val="none"/>
                <w:lang w:val="en-US" w:eastAsia="zh-CN"/>
              </w:rPr>
              <w:t>核心产品</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能力提升培训第三方评估</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23.2</w:t>
            </w:r>
          </w:p>
        </w:tc>
        <w:tc>
          <w:tcPr>
            <w:tcW w:w="8019" w:type="dxa"/>
            <w:vAlign w:val="center"/>
          </w:tcPr>
          <w:p>
            <w:pPr>
              <w:spacing w:line="240" w:lineRule="atLeast"/>
              <w:rPr>
                <w:rFonts w:ascii="微软雅黑" w:hAnsi="微软雅黑" w:eastAsia="微软雅黑" w:cs="微软雅黑"/>
                <w:i/>
                <w:color w:val="auto"/>
                <w:sz w:val="24"/>
              </w:rPr>
            </w:pPr>
            <w:r>
              <w:rPr>
                <w:rFonts w:hint="eastAsia" w:ascii="微软雅黑" w:hAnsi="微软雅黑" w:eastAsia="微软雅黑" w:cs="微软雅黑"/>
                <w:color w:val="auto"/>
                <w:sz w:val="24"/>
              </w:rPr>
              <w:t>评审方法：</w:t>
            </w:r>
            <w:r>
              <w:rPr>
                <w:rFonts w:hint="eastAsia" w:ascii="微软雅黑" w:hAnsi="微软雅黑" w:eastAsia="微软雅黑" w:cs="微软雅黑"/>
                <w:color w:val="auto"/>
                <w:sz w:val="24"/>
                <w:u w:val="single"/>
              </w:rPr>
              <w:t>　综合评分法　</w:t>
            </w:r>
            <w:r>
              <w:rPr>
                <w:rFonts w:hint="eastAsia" w:ascii="微软雅黑" w:hAnsi="微软雅黑" w:eastAsia="微软雅黑" w:cs="微软雅黑"/>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27</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推荐成交候选供应商的数量：</w:t>
            </w:r>
            <w:r>
              <w:rPr>
                <w:rFonts w:hint="eastAsia" w:ascii="微软雅黑" w:hAnsi="微软雅黑" w:eastAsia="微软雅黑" w:cs="微软雅黑"/>
                <w:color w:val="auto"/>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1"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27</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招标人是否委托评审委员会直接确定成交人：</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0"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31.1</w:t>
            </w:r>
          </w:p>
        </w:tc>
        <w:tc>
          <w:tcPr>
            <w:tcW w:w="8019" w:type="dxa"/>
            <w:vAlign w:val="center"/>
          </w:tcPr>
          <w:p>
            <w:pPr>
              <w:spacing w:line="240" w:lineRule="atLeast"/>
              <w:rPr>
                <w:rFonts w:ascii="微软雅黑" w:hAnsi="微软雅黑" w:eastAsia="微软雅黑" w:cs="微软雅黑"/>
                <w:i/>
                <w:color w:val="auto"/>
                <w:sz w:val="24"/>
              </w:rPr>
            </w:pPr>
            <w:r>
              <w:rPr>
                <w:rFonts w:hint="eastAsia" w:ascii="微软雅黑" w:hAnsi="微软雅黑" w:eastAsia="微软雅黑" w:cs="微软雅黑"/>
                <w:color w:val="auto"/>
                <w:sz w:val="24"/>
              </w:rPr>
              <w:t>履约保证金金额：合同总价的</w:t>
            </w:r>
            <w:r>
              <w:rPr>
                <w:rFonts w:hint="eastAsia" w:ascii="微软雅黑" w:hAnsi="微软雅黑" w:eastAsia="微软雅黑" w:cs="微软雅黑"/>
                <w:color w:val="auto"/>
                <w:sz w:val="24"/>
                <w:u w:val="single"/>
              </w:rPr>
              <w:t>　10%　</w:t>
            </w:r>
          </w:p>
          <w:p>
            <w:pPr>
              <w:spacing w:line="240" w:lineRule="atLeast"/>
              <w:rPr>
                <w:rFonts w:ascii="微软雅黑" w:hAnsi="微软雅黑" w:eastAsia="微软雅黑" w:cs="微软雅黑"/>
                <w:color w:val="auto"/>
                <w:sz w:val="24"/>
                <w:u w:val="single"/>
              </w:rPr>
            </w:pPr>
            <w:r>
              <w:rPr>
                <w:rFonts w:hint="eastAsia" w:ascii="微软雅黑" w:hAnsi="微软雅黑" w:eastAsia="微软雅黑" w:cs="微软雅黑"/>
                <w:color w:val="auto"/>
                <w:sz w:val="24"/>
              </w:rPr>
              <w:t>履约保证金形式：</w:t>
            </w:r>
            <w:r>
              <w:rPr>
                <w:rFonts w:hint="eastAsia" w:ascii="微软雅黑" w:hAnsi="微软雅黑" w:eastAsia="微软雅黑" w:cs="微软雅黑"/>
                <w:color w:val="auto"/>
                <w:sz w:val="24"/>
                <w:u w:val="single"/>
              </w:rPr>
              <w:t xml:space="preserve">合同约定  </w:t>
            </w:r>
          </w:p>
          <w:p>
            <w:pPr>
              <w:spacing w:line="240" w:lineRule="atLeast"/>
              <w:rPr>
                <w:rFonts w:ascii="微软雅黑" w:hAnsi="微软雅黑" w:eastAsia="微软雅黑" w:cs="微软雅黑"/>
                <w:color w:val="auto"/>
                <w:sz w:val="24"/>
                <w:u w:val="single"/>
              </w:rPr>
            </w:pPr>
            <w:r>
              <w:rPr>
                <w:rFonts w:hint="eastAsia" w:ascii="微软雅黑" w:hAnsi="微软雅黑" w:eastAsia="微软雅黑" w:cs="微软雅黑"/>
                <w:color w:val="auto"/>
                <w:sz w:val="24"/>
                <w:u w:val="single"/>
              </w:rPr>
              <w:t>提交履约保证金的时间：签订合同前</w:t>
            </w:r>
            <w:r>
              <w:rPr>
                <w:rFonts w:hint="eastAsia" w:ascii="微软雅黑" w:hAnsi="微软雅黑" w:eastAsia="微软雅黑" w:cs="微软雅黑"/>
                <w:color w:val="auto"/>
                <w:sz w:val="24"/>
                <w:u w:val="single"/>
                <w:lang w:val="en-US" w:eastAsia="zh-CN"/>
              </w:rPr>
              <w:t>3</w:t>
            </w:r>
            <w:r>
              <w:rPr>
                <w:rFonts w:hint="eastAsia" w:ascii="微软雅黑" w:hAnsi="微软雅黑" w:eastAsia="微软雅黑" w:cs="微软雅黑"/>
                <w:color w:val="auto"/>
                <w:sz w:val="24"/>
                <w:u w:val="singl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6"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32</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成交</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费：</w:t>
            </w:r>
            <w:r>
              <w:rPr>
                <w:rFonts w:hint="eastAsia" w:ascii="微软雅黑" w:hAnsi="微软雅黑" w:eastAsia="微软雅黑" w:cs="微软雅黑"/>
                <w:color w:val="auto"/>
                <w:sz w:val="24"/>
                <w:lang w:val="en-US" w:eastAsia="zh-CN"/>
              </w:rPr>
              <w:t>按预算金额参照原国家计委计价格【2002】1980号文和国家发改委发改办价格【2003】857号文的计算方法收取，</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由成交供应商支付</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 xml:space="preserve"> </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支付形式：</w:t>
            </w:r>
            <w:r>
              <w:rPr>
                <w:rFonts w:hint="eastAsia" w:ascii="微软雅黑" w:hAnsi="微软雅黑" w:eastAsia="微软雅黑" w:cs="微软雅黑"/>
                <w:color w:val="auto"/>
                <w:sz w:val="24"/>
                <w:u w:val="single"/>
              </w:rPr>
              <w:t xml:space="preserve"> 转账  </w:t>
            </w:r>
          </w:p>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支付时间：</w:t>
            </w:r>
            <w:r>
              <w:rPr>
                <w:rFonts w:hint="eastAsia" w:ascii="微软雅黑" w:hAnsi="微软雅黑" w:eastAsia="微软雅黑" w:cs="微软雅黑"/>
                <w:color w:val="auto"/>
                <w:sz w:val="24"/>
                <w:u w:val="single"/>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1" w:hRule="atLeast"/>
        </w:trPr>
        <w:tc>
          <w:tcPr>
            <w:tcW w:w="1058" w:type="dxa"/>
            <w:vAlign w:val="center"/>
          </w:tcPr>
          <w:p>
            <w:pPr>
              <w:spacing w:line="240" w:lineRule="atLeast"/>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33.1</w:t>
            </w:r>
          </w:p>
        </w:tc>
        <w:tc>
          <w:tcPr>
            <w:tcW w:w="8019"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本项目是否属于信用担保试点范围：</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color w:val="auto"/>
                <w:sz w:val="24"/>
              </w:rPr>
              <w:t xml:space="preserve"> </w:t>
            </w:r>
          </w:p>
        </w:tc>
      </w:tr>
    </w:tbl>
    <w:p>
      <w:pPr>
        <w:spacing w:line="240" w:lineRule="atLeast"/>
        <w:ind w:left="1080" w:leftChars="257" w:hanging="540"/>
        <w:rPr>
          <w:rFonts w:ascii="微软雅黑" w:hAnsi="微软雅黑" w:eastAsia="微软雅黑" w:cs="微软雅黑"/>
          <w:color w:val="auto"/>
          <w:sz w:val="24"/>
        </w:rPr>
        <w:sectPr>
          <w:headerReference r:id="rId5" w:type="default"/>
          <w:headerReference r:id="rId6" w:type="even"/>
          <w:footerReference r:id="rId7" w:type="even"/>
          <w:pgSz w:w="11906" w:h="16838"/>
          <w:pgMar w:top="1440" w:right="1797" w:bottom="1440" w:left="1797" w:header="851" w:footer="992" w:gutter="0"/>
          <w:pgNumType w:fmt="decimal"/>
          <w:cols w:space="720" w:num="1"/>
          <w:docGrid w:linePitch="312" w:charSpace="0"/>
        </w:sectPr>
      </w:pPr>
    </w:p>
    <w:p>
      <w:pPr>
        <w:widowControl/>
        <w:jc w:val="center"/>
        <w:rPr>
          <w:rFonts w:ascii="微软雅黑" w:hAnsi="微软雅黑" w:eastAsia="微软雅黑" w:cs="微软雅黑"/>
          <w:b/>
          <w:color w:val="auto"/>
          <w:kern w:val="0"/>
          <w:sz w:val="32"/>
          <w:szCs w:val="32"/>
        </w:rPr>
      </w:pPr>
      <w:bookmarkStart w:id="509" w:name="_Toc218935351"/>
      <w:bookmarkStart w:id="510" w:name="_Toc216582811"/>
      <w:bookmarkStart w:id="511" w:name="_Toc216513787"/>
      <w:bookmarkStart w:id="512" w:name="_Toc219175635"/>
      <w:bookmarkStart w:id="513" w:name="_Toc507399906"/>
      <w:bookmarkStart w:id="514" w:name="_Toc216582825"/>
      <w:bookmarkStart w:id="515" w:name="_Toc218935354"/>
      <w:bookmarkStart w:id="516" w:name="_Toc512937852"/>
      <w:bookmarkStart w:id="517" w:name="_Toc219175638"/>
      <w:bookmarkStart w:id="518" w:name="_Toc9032"/>
      <w:bookmarkStart w:id="519" w:name="_Toc9887"/>
      <w:bookmarkStart w:id="520" w:name="_Toc515647831"/>
      <w:r>
        <w:rPr>
          <w:rFonts w:hint="eastAsia" w:ascii="微软雅黑" w:hAnsi="微软雅黑" w:eastAsia="微软雅黑" w:cs="微软雅黑"/>
          <w:b/>
          <w:color w:val="auto"/>
          <w:kern w:val="0"/>
          <w:sz w:val="32"/>
          <w:szCs w:val="32"/>
        </w:rPr>
        <w:t>资格审查表</w:t>
      </w:r>
    </w:p>
    <w:p>
      <w:pPr>
        <w:rPr>
          <w:rFonts w:ascii="微软雅黑" w:hAnsi="微软雅黑" w:eastAsia="微软雅黑" w:cs="微软雅黑"/>
          <w:color w:val="auto"/>
        </w:rPr>
      </w:pPr>
    </w:p>
    <w:tbl>
      <w:tblPr>
        <w:tblStyle w:val="37"/>
        <w:tblpPr w:leftFromText="180" w:rightFromText="180" w:vertAnchor="text" w:horzAnchor="page" w:tblpX="511" w:tblpY="372"/>
        <w:tblOverlap w:val="never"/>
        <w:tblW w:w="16127" w:type="dxa"/>
        <w:tblInd w:w="0" w:type="dxa"/>
        <w:tblLayout w:type="fixed"/>
        <w:tblCellMar>
          <w:top w:w="0" w:type="dxa"/>
          <w:left w:w="108" w:type="dxa"/>
          <w:bottom w:w="0" w:type="dxa"/>
          <w:right w:w="108" w:type="dxa"/>
        </w:tblCellMar>
      </w:tblPr>
      <w:tblGrid>
        <w:gridCol w:w="367"/>
        <w:gridCol w:w="708"/>
        <w:gridCol w:w="2609"/>
        <w:gridCol w:w="1640"/>
        <w:gridCol w:w="1517"/>
        <w:gridCol w:w="1635"/>
        <w:gridCol w:w="2970"/>
        <w:gridCol w:w="2144"/>
        <w:gridCol w:w="945"/>
        <w:gridCol w:w="796"/>
        <w:gridCol w:w="796"/>
      </w:tblGrid>
      <w:tr>
        <w:tblPrEx>
          <w:tblCellMar>
            <w:top w:w="0" w:type="dxa"/>
            <w:left w:w="108" w:type="dxa"/>
            <w:bottom w:w="0" w:type="dxa"/>
            <w:right w:w="108" w:type="dxa"/>
          </w:tblCellMar>
        </w:tblPrEx>
        <w:trPr>
          <w:trHeight w:val="444" w:hRule="atLeast"/>
        </w:trPr>
        <w:tc>
          <w:tcPr>
            <w:tcW w:w="36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供应商名称</w:t>
            </w:r>
          </w:p>
        </w:tc>
        <w:tc>
          <w:tcPr>
            <w:tcW w:w="14964" w:type="dxa"/>
            <w:gridSpan w:val="9"/>
            <w:tcBorders>
              <w:top w:val="single" w:color="auto" w:sz="4" w:space="0"/>
              <w:left w:val="nil"/>
              <w:bottom w:val="single" w:color="auto" w:sz="4" w:space="0"/>
              <w:right w:val="single" w:color="auto" w:sz="4" w:space="0"/>
            </w:tcBorders>
            <w:vAlign w:val="center"/>
          </w:tcPr>
          <w:p>
            <w:pPr>
              <w:spacing w:line="240" w:lineRule="atLeast"/>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审查项目</w:t>
            </w:r>
            <w:r>
              <w:rPr>
                <w:rFonts w:hint="eastAsia" w:ascii="微软雅黑" w:hAnsi="微软雅黑" w:eastAsia="微软雅黑" w:cs="微软雅黑"/>
                <w:color w:val="auto"/>
                <w:sz w:val="18"/>
                <w:szCs w:val="18"/>
                <w:lang w:eastAsia="zh-CN"/>
              </w:rPr>
              <w:t>（</w:t>
            </w:r>
            <w:r>
              <w:rPr>
                <w:rFonts w:hint="eastAsia" w:ascii="微软雅黑" w:hAnsi="微软雅黑" w:eastAsia="微软雅黑" w:cs="微软雅黑"/>
                <w:b/>
                <w:bCs/>
                <w:color w:val="auto"/>
                <w:sz w:val="24"/>
              </w:rPr>
              <w:t>提示：上述资质开标现场能够通过查证的，均视为合格供应商。</w:t>
            </w:r>
            <w:r>
              <w:rPr>
                <w:rFonts w:hint="eastAsia" w:ascii="微软雅黑" w:hAnsi="微软雅黑" w:eastAsia="微软雅黑" w:cs="微软雅黑"/>
                <w:color w:val="auto"/>
                <w:sz w:val="18"/>
                <w:szCs w:val="18"/>
                <w:lang w:eastAsia="zh-CN"/>
              </w:rPr>
              <w:t>）</w:t>
            </w:r>
          </w:p>
        </w:tc>
        <w:tc>
          <w:tcPr>
            <w:tcW w:w="796" w:type="dxa"/>
            <w:tcBorders>
              <w:top w:val="single" w:color="auto" w:sz="4" w:space="0"/>
              <w:left w:val="nil"/>
              <w:bottom w:val="single" w:color="auto" w:sz="4" w:space="0"/>
              <w:right w:val="single" w:color="auto" w:sz="4" w:space="0"/>
            </w:tcBorders>
            <w:vAlign w:val="center"/>
          </w:tcPr>
          <w:p>
            <w:pPr>
              <w:spacing w:line="240" w:lineRule="atLeas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结论</w:t>
            </w:r>
          </w:p>
        </w:tc>
      </w:tr>
      <w:tr>
        <w:tblPrEx>
          <w:tblCellMar>
            <w:top w:w="0" w:type="dxa"/>
            <w:left w:w="108" w:type="dxa"/>
            <w:bottom w:w="0" w:type="dxa"/>
            <w:right w:w="108" w:type="dxa"/>
          </w:tblCellMar>
        </w:tblPrEx>
        <w:trPr>
          <w:trHeight w:val="3246" w:hRule="atLeast"/>
        </w:trPr>
        <w:tc>
          <w:tcPr>
            <w:tcW w:w="36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微软雅黑" w:hAnsi="微软雅黑" w:eastAsia="微软雅黑" w:cs="微软雅黑"/>
                <w:color w:val="auto"/>
                <w:sz w:val="18"/>
                <w:szCs w:val="18"/>
              </w:rPr>
            </w:pPr>
          </w:p>
        </w:tc>
        <w:tc>
          <w:tcPr>
            <w:tcW w:w="708" w:type="dxa"/>
            <w:tcBorders>
              <w:top w:val="nil"/>
              <w:left w:val="nil"/>
              <w:bottom w:val="single" w:color="auto" w:sz="4" w:space="0"/>
              <w:right w:val="single" w:color="auto" w:sz="4" w:space="0"/>
            </w:tcBorders>
            <w:vAlign w:val="center"/>
          </w:tcPr>
          <w:p>
            <w:pPr>
              <w:spacing w:line="240" w:lineRule="auto"/>
              <w:rPr>
                <w:rFonts w:ascii="微软雅黑" w:hAnsi="微软雅黑" w:eastAsia="微软雅黑" w:cs="微软雅黑"/>
                <w:color w:val="2D04FC"/>
                <w:sz w:val="18"/>
                <w:szCs w:val="18"/>
              </w:rPr>
            </w:pPr>
            <w:r>
              <w:rPr>
                <w:rFonts w:hint="eastAsia" w:ascii="微软雅黑" w:hAnsi="微软雅黑" w:eastAsia="微软雅黑" w:cs="微软雅黑"/>
                <w:color w:val="2D04FC"/>
                <w:sz w:val="18"/>
                <w:szCs w:val="18"/>
              </w:rPr>
              <w:t>具有有效的独立法人营业执照；</w:t>
            </w:r>
          </w:p>
        </w:tc>
        <w:tc>
          <w:tcPr>
            <w:tcW w:w="2609" w:type="dxa"/>
            <w:tcBorders>
              <w:top w:val="nil"/>
              <w:left w:val="single" w:color="auto" w:sz="4" w:space="0"/>
              <w:bottom w:val="single" w:color="auto" w:sz="4" w:space="0"/>
              <w:right w:val="single" w:color="auto" w:sz="4" w:space="0"/>
            </w:tcBorders>
            <w:vAlign w:val="center"/>
          </w:tcPr>
          <w:p>
            <w:pPr>
              <w:spacing w:line="240" w:lineRule="auto"/>
              <w:rPr>
                <w:rFonts w:hint="eastAsia" w:ascii="微软雅黑" w:hAnsi="微软雅黑" w:eastAsia="微软雅黑" w:cs="微软雅黑"/>
                <w:color w:val="2D04FC"/>
                <w:sz w:val="18"/>
                <w:szCs w:val="18"/>
              </w:rPr>
            </w:pPr>
            <w:r>
              <w:rPr>
                <w:rFonts w:hint="eastAsia" w:ascii="微软雅黑" w:hAnsi="微软雅黑" w:eastAsia="微软雅黑" w:cs="微软雅黑"/>
                <w:color w:val="2D04FC"/>
                <w:sz w:val="18"/>
                <w:szCs w:val="18"/>
                <w:lang w:val="en-US" w:eastAsia="zh-CN"/>
              </w:rPr>
              <w:t>良好的商业信誉和健全的财务会计制度证明材料（会计师事务所出具的上年度财务审计报告书原件或影印件；新办企业需提供银行资信证明原件）；</w:t>
            </w:r>
          </w:p>
        </w:tc>
        <w:tc>
          <w:tcPr>
            <w:tcW w:w="1640" w:type="dxa"/>
            <w:tcBorders>
              <w:top w:val="nil"/>
              <w:left w:val="nil"/>
              <w:bottom w:val="single" w:color="auto" w:sz="4" w:space="0"/>
              <w:right w:val="single" w:color="auto" w:sz="4" w:space="0"/>
            </w:tcBorders>
            <w:vAlign w:val="center"/>
          </w:tcPr>
          <w:p>
            <w:pPr>
              <w:spacing w:line="240" w:lineRule="auto"/>
              <w:rPr>
                <w:rFonts w:hint="default" w:ascii="微软雅黑" w:hAnsi="微软雅黑" w:eastAsia="微软雅黑" w:cs="微软雅黑"/>
                <w:color w:val="2D04FC"/>
                <w:sz w:val="18"/>
                <w:szCs w:val="18"/>
                <w:lang w:val="en-US" w:eastAsia="zh-CN"/>
              </w:rPr>
            </w:pPr>
            <w:r>
              <w:rPr>
                <w:rFonts w:hint="eastAsia" w:ascii="微软雅黑" w:hAnsi="微软雅黑" w:eastAsia="微软雅黑" w:cs="微软雅黑"/>
                <w:color w:val="2D04FC"/>
                <w:sz w:val="18"/>
                <w:szCs w:val="18"/>
                <w:lang w:eastAsia="zh-CN"/>
              </w:rPr>
              <w:t>法定代表人授权书及被委托人身份证（法定代表人投标提供法定代表人身份证明及身份证），提供在本单位缴纳的近连续3个月社保缴纳证明、</w:t>
            </w:r>
            <w:r>
              <w:rPr>
                <w:rFonts w:hint="eastAsia" w:ascii="微软雅黑" w:hAnsi="微软雅黑" w:eastAsia="微软雅黑" w:cs="微软雅黑"/>
                <w:color w:val="2D04FC"/>
                <w:sz w:val="18"/>
                <w:szCs w:val="18"/>
                <w:lang w:val="en-US" w:eastAsia="zh-CN"/>
              </w:rPr>
              <w:t>退休人员提供退休证明；</w:t>
            </w:r>
          </w:p>
        </w:tc>
        <w:tc>
          <w:tcPr>
            <w:tcW w:w="1517" w:type="dxa"/>
            <w:tcBorders>
              <w:top w:val="nil"/>
              <w:left w:val="nil"/>
              <w:bottom w:val="single" w:color="auto" w:sz="4" w:space="0"/>
              <w:right w:val="single" w:color="auto" w:sz="4" w:space="0"/>
            </w:tcBorders>
            <w:vAlign w:val="center"/>
          </w:tcPr>
          <w:p>
            <w:pPr>
              <w:spacing w:line="240" w:lineRule="auto"/>
              <w:rPr>
                <w:rFonts w:hint="eastAsia" w:ascii="微软雅黑" w:hAnsi="微软雅黑" w:eastAsia="微软雅黑" w:cs="微软雅黑"/>
                <w:color w:val="2D04FC"/>
                <w:sz w:val="18"/>
                <w:szCs w:val="18"/>
                <w:lang w:eastAsia="zh-CN"/>
              </w:rPr>
            </w:pPr>
            <w:r>
              <w:rPr>
                <w:rFonts w:hint="eastAsia" w:ascii="微软雅黑" w:hAnsi="微软雅黑" w:eastAsia="微软雅黑" w:cs="微软雅黑"/>
                <w:color w:val="2D04FC"/>
                <w:sz w:val="18"/>
                <w:szCs w:val="18"/>
                <w:lang w:eastAsia="zh-CN"/>
              </w:rPr>
              <w:t>具有税务局开具依法缴纳近连续3个月税收证明的良好记录（完税证明）；</w:t>
            </w:r>
          </w:p>
        </w:tc>
        <w:tc>
          <w:tcPr>
            <w:tcW w:w="1635" w:type="dxa"/>
            <w:tcBorders>
              <w:top w:val="nil"/>
              <w:left w:val="single" w:color="auto" w:sz="4" w:space="0"/>
              <w:bottom w:val="single" w:color="auto" w:sz="4" w:space="0"/>
              <w:right w:val="single" w:color="auto" w:sz="4" w:space="0"/>
            </w:tcBorders>
            <w:vAlign w:val="center"/>
          </w:tcPr>
          <w:p>
            <w:pPr>
              <w:spacing w:line="240" w:lineRule="auto"/>
              <w:rPr>
                <w:rFonts w:hint="eastAsia" w:ascii="微软雅黑" w:hAnsi="微软雅黑" w:eastAsia="微软雅黑" w:cs="微软雅黑"/>
                <w:color w:val="2D04FC"/>
                <w:sz w:val="18"/>
                <w:szCs w:val="18"/>
                <w:lang w:eastAsia="zh-CN"/>
              </w:rPr>
            </w:pPr>
            <w:r>
              <w:rPr>
                <w:rFonts w:hint="eastAsia" w:ascii="微软雅黑" w:hAnsi="微软雅黑" w:eastAsia="微软雅黑" w:cs="微软雅黑"/>
                <w:color w:val="2D04FC"/>
                <w:sz w:val="18"/>
                <w:szCs w:val="18"/>
                <w:lang w:eastAsia="zh-CN"/>
              </w:rPr>
              <w:t>参加政府采购活动前3年内在经营活动中没有重大违法记录的书面声明；</w:t>
            </w:r>
          </w:p>
        </w:tc>
        <w:tc>
          <w:tcPr>
            <w:tcW w:w="2970" w:type="dxa"/>
            <w:tcBorders>
              <w:top w:val="nil"/>
              <w:left w:val="single" w:color="auto" w:sz="4" w:space="0"/>
              <w:bottom w:val="single" w:color="auto" w:sz="4" w:space="0"/>
              <w:right w:val="single" w:color="auto" w:sz="4" w:space="0"/>
            </w:tcBorders>
            <w:vAlign w:val="center"/>
          </w:tcPr>
          <w:p>
            <w:pPr>
              <w:spacing w:line="240" w:lineRule="auto"/>
              <w:rPr>
                <w:rFonts w:hint="eastAsia" w:ascii="微软雅黑" w:hAnsi="微软雅黑" w:eastAsia="微软雅黑" w:cs="微软雅黑"/>
                <w:color w:val="2D04FC"/>
                <w:sz w:val="18"/>
                <w:szCs w:val="18"/>
                <w:lang w:eastAsia="zh-CN"/>
              </w:rPr>
            </w:pPr>
            <w:r>
              <w:rPr>
                <w:rFonts w:hint="eastAsia" w:ascii="微软雅黑" w:hAnsi="微软雅黑" w:eastAsia="微软雅黑" w:cs="微软雅黑"/>
                <w:color w:val="2D04FC"/>
                <w:sz w:val="18"/>
                <w:szCs w:val="18"/>
                <w:lang w:eastAsia="zh-CN"/>
              </w:rPr>
              <w:t>提供 “信用中国”网站（http://www.creditchina.gov.cn/）和中国政府采购网（www.ccgp.gov.cn）无违法违规行为的查询纪录（提供查询结果网页截图并加盖单位公章；提供截图日期需在本项目领取招标文件期内）；投标人存在不良信用记录的或被列入失信被执行人、重大税收违法案件当事人名单的，其投标将被认定为投标无效）；</w:t>
            </w:r>
          </w:p>
        </w:tc>
        <w:tc>
          <w:tcPr>
            <w:tcW w:w="2144" w:type="dxa"/>
            <w:tcBorders>
              <w:top w:val="nil"/>
              <w:left w:val="nil"/>
              <w:bottom w:val="single" w:color="auto" w:sz="4" w:space="0"/>
              <w:right w:val="single" w:color="auto" w:sz="4" w:space="0"/>
            </w:tcBorders>
            <w:vAlign w:val="center"/>
          </w:tcPr>
          <w:p>
            <w:pPr>
              <w:spacing w:line="240" w:lineRule="auto"/>
              <w:rPr>
                <w:rFonts w:hint="eastAsia" w:ascii="微软雅黑" w:hAnsi="微软雅黑" w:eastAsia="微软雅黑" w:cs="微软雅黑"/>
                <w:color w:val="2D04FC"/>
                <w:sz w:val="18"/>
                <w:szCs w:val="18"/>
                <w:lang w:eastAsia="zh-CN"/>
              </w:rPr>
            </w:pPr>
            <w:r>
              <w:rPr>
                <w:rFonts w:hint="eastAsia" w:ascii="微软雅黑" w:hAnsi="微软雅黑" w:eastAsia="微软雅黑" w:cs="微软雅黑"/>
                <w:color w:val="2D04FC"/>
                <w:sz w:val="18"/>
                <w:szCs w:val="18"/>
                <w:lang w:val="en-US" w:eastAsia="zh-CN"/>
              </w:rPr>
              <w:t>提供针对本项目的《反商业贿赂承诺书》</w:t>
            </w:r>
          </w:p>
        </w:tc>
        <w:tc>
          <w:tcPr>
            <w:tcW w:w="945" w:type="dxa"/>
            <w:tcBorders>
              <w:top w:val="nil"/>
              <w:left w:val="single" w:color="auto" w:sz="4" w:space="0"/>
              <w:bottom w:val="single" w:color="auto" w:sz="4" w:space="0"/>
              <w:right w:val="single" w:color="auto" w:sz="4" w:space="0"/>
            </w:tcBorders>
            <w:vAlign w:val="center"/>
          </w:tcPr>
          <w:p>
            <w:pPr>
              <w:spacing w:line="240" w:lineRule="auto"/>
              <w:rPr>
                <w:rFonts w:hint="eastAsia" w:ascii="微软雅黑" w:hAnsi="微软雅黑" w:eastAsia="微软雅黑" w:cs="微软雅黑"/>
                <w:color w:val="2D04FC"/>
                <w:sz w:val="18"/>
                <w:szCs w:val="18"/>
                <w:lang w:eastAsia="zh-CN"/>
              </w:rPr>
            </w:pPr>
            <w:r>
              <w:rPr>
                <w:rFonts w:hint="eastAsia" w:ascii="微软雅黑" w:hAnsi="微软雅黑" w:eastAsia="微软雅黑" w:cs="微软雅黑"/>
                <w:color w:val="2D04FC"/>
                <w:sz w:val="18"/>
                <w:szCs w:val="18"/>
                <w:lang w:val="en-US" w:eastAsia="zh-CN"/>
              </w:rPr>
              <w:t>磋商保证金缴纳有效证明</w:t>
            </w:r>
          </w:p>
        </w:tc>
        <w:tc>
          <w:tcPr>
            <w:tcW w:w="79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微软雅黑" w:hAnsi="微软雅黑" w:eastAsia="微软雅黑" w:cs="微软雅黑"/>
                <w:color w:val="2D04FC"/>
                <w:sz w:val="18"/>
                <w:szCs w:val="18"/>
              </w:rPr>
            </w:pPr>
            <w:r>
              <w:rPr>
                <w:rFonts w:hint="eastAsia" w:ascii="微软雅黑" w:hAnsi="微软雅黑" w:eastAsia="微软雅黑" w:cs="微软雅黑"/>
                <w:color w:val="2D04FC"/>
                <w:sz w:val="18"/>
                <w:szCs w:val="18"/>
                <w:lang w:val="en-US" w:eastAsia="zh-CN"/>
              </w:rPr>
              <w:t>本项目不接受联合体投标。</w:t>
            </w:r>
          </w:p>
        </w:tc>
        <w:tc>
          <w:tcPr>
            <w:tcW w:w="79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微软雅黑" w:hAnsi="微软雅黑" w:eastAsia="微软雅黑" w:cs="微软雅黑"/>
                <w:color w:val="auto"/>
                <w:sz w:val="18"/>
                <w:szCs w:val="18"/>
              </w:rPr>
            </w:pPr>
          </w:p>
        </w:tc>
      </w:tr>
      <w:tr>
        <w:tblPrEx>
          <w:tblCellMar>
            <w:top w:w="0" w:type="dxa"/>
            <w:left w:w="108" w:type="dxa"/>
            <w:bottom w:w="0" w:type="dxa"/>
            <w:right w:w="108" w:type="dxa"/>
          </w:tblCellMar>
        </w:tblPrEx>
        <w:trPr>
          <w:trHeight w:val="806" w:hRule="atLeast"/>
        </w:trPr>
        <w:tc>
          <w:tcPr>
            <w:tcW w:w="367" w:type="dxa"/>
            <w:tcBorders>
              <w:top w:val="nil"/>
              <w:left w:val="single" w:color="auto" w:sz="4" w:space="0"/>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　</w:t>
            </w:r>
          </w:p>
        </w:tc>
        <w:tc>
          <w:tcPr>
            <w:tcW w:w="708" w:type="dxa"/>
            <w:tcBorders>
              <w:top w:val="nil"/>
              <w:left w:val="nil"/>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　</w:t>
            </w:r>
          </w:p>
        </w:tc>
        <w:tc>
          <w:tcPr>
            <w:tcW w:w="2609" w:type="dxa"/>
            <w:tcBorders>
              <w:top w:val="nil"/>
              <w:left w:val="single" w:color="auto" w:sz="4" w:space="0"/>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p>
        </w:tc>
        <w:tc>
          <w:tcPr>
            <w:tcW w:w="1640" w:type="dxa"/>
            <w:tcBorders>
              <w:top w:val="nil"/>
              <w:left w:val="nil"/>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p>
        </w:tc>
        <w:tc>
          <w:tcPr>
            <w:tcW w:w="1517" w:type="dxa"/>
            <w:tcBorders>
              <w:top w:val="nil"/>
              <w:left w:val="nil"/>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　</w:t>
            </w:r>
          </w:p>
          <w:p>
            <w:pPr>
              <w:spacing w:line="240" w:lineRule="atLeast"/>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　</w:t>
            </w:r>
          </w:p>
        </w:tc>
        <w:tc>
          <w:tcPr>
            <w:tcW w:w="1635" w:type="dxa"/>
            <w:tcBorders>
              <w:top w:val="nil"/>
              <w:left w:val="single" w:color="auto" w:sz="4" w:space="0"/>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p>
        </w:tc>
        <w:tc>
          <w:tcPr>
            <w:tcW w:w="2970" w:type="dxa"/>
            <w:tcBorders>
              <w:top w:val="nil"/>
              <w:left w:val="single" w:color="auto" w:sz="4" w:space="0"/>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　</w:t>
            </w:r>
          </w:p>
        </w:tc>
        <w:tc>
          <w:tcPr>
            <w:tcW w:w="2144" w:type="dxa"/>
            <w:tcBorders>
              <w:top w:val="nil"/>
              <w:left w:val="nil"/>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　</w:t>
            </w:r>
          </w:p>
        </w:tc>
        <w:tc>
          <w:tcPr>
            <w:tcW w:w="945" w:type="dxa"/>
            <w:tcBorders>
              <w:top w:val="nil"/>
              <w:left w:val="single" w:color="auto" w:sz="4" w:space="0"/>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p>
        </w:tc>
        <w:tc>
          <w:tcPr>
            <w:tcW w:w="796" w:type="dxa"/>
            <w:tcBorders>
              <w:top w:val="single" w:color="auto" w:sz="4" w:space="0"/>
              <w:left w:val="nil"/>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p>
        </w:tc>
        <w:tc>
          <w:tcPr>
            <w:tcW w:w="796" w:type="dxa"/>
            <w:tcBorders>
              <w:top w:val="single" w:color="auto" w:sz="4" w:space="0"/>
              <w:left w:val="nil"/>
              <w:bottom w:val="single" w:color="auto" w:sz="4" w:space="0"/>
              <w:right w:val="single" w:color="auto" w:sz="4" w:space="0"/>
            </w:tcBorders>
            <w:vAlign w:val="center"/>
          </w:tcPr>
          <w:p>
            <w:pPr>
              <w:spacing w:line="240" w:lineRule="atLeast"/>
              <w:rPr>
                <w:rFonts w:ascii="微软雅黑" w:hAnsi="微软雅黑" w:eastAsia="微软雅黑" w:cs="微软雅黑"/>
                <w:color w:val="auto"/>
                <w:sz w:val="20"/>
                <w:szCs w:val="20"/>
              </w:rPr>
            </w:pPr>
          </w:p>
        </w:tc>
      </w:tr>
      <w:bookmarkEnd w:id="509"/>
      <w:bookmarkEnd w:id="510"/>
      <w:bookmarkEnd w:id="511"/>
      <w:bookmarkEnd w:id="512"/>
    </w:tbl>
    <w:p>
      <w:pPr>
        <w:pStyle w:val="5"/>
        <w:tabs>
          <w:tab w:val="left" w:pos="3134"/>
        </w:tabs>
        <w:spacing w:before="0" w:after="0" w:line="240" w:lineRule="atLeast"/>
        <w:rPr>
          <w:rFonts w:ascii="微软雅黑" w:hAnsi="微软雅黑" w:eastAsia="微软雅黑" w:cs="微软雅黑"/>
          <w:color w:val="auto"/>
        </w:rPr>
        <w:sectPr>
          <w:pgSz w:w="16838" w:h="11906" w:orient="landscape"/>
          <w:pgMar w:top="1797" w:right="1440" w:bottom="1797" w:left="1440" w:header="851" w:footer="992" w:gutter="0"/>
          <w:pgNumType w:fmt="decimal"/>
          <w:cols w:space="720" w:num="1"/>
          <w:docGrid w:linePitch="312" w:charSpace="0"/>
        </w:sectPr>
      </w:pPr>
    </w:p>
    <w:bookmarkEnd w:id="513"/>
    <w:bookmarkEnd w:id="514"/>
    <w:bookmarkEnd w:id="515"/>
    <w:bookmarkEnd w:id="516"/>
    <w:bookmarkEnd w:id="517"/>
    <w:bookmarkEnd w:id="518"/>
    <w:bookmarkEnd w:id="519"/>
    <w:bookmarkEnd w:id="520"/>
    <w:p>
      <w:pPr>
        <w:pStyle w:val="5"/>
        <w:numPr>
          <w:ilvl w:val="0"/>
          <w:numId w:val="10"/>
        </w:numPr>
        <w:tabs>
          <w:tab w:val="left" w:pos="0"/>
        </w:tabs>
        <w:spacing w:before="0" w:after="0" w:line="240" w:lineRule="atLeast"/>
        <w:rPr>
          <w:rFonts w:ascii="微软雅黑" w:hAnsi="微软雅黑" w:eastAsia="微软雅黑" w:cs="微软雅黑"/>
          <w:color w:val="auto"/>
          <w:sz w:val="28"/>
          <w:szCs w:val="28"/>
        </w:rPr>
      </w:pPr>
      <w:bookmarkStart w:id="521" w:name="_Toc10828"/>
      <w:bookmarkStart w:id="522" w:name="_Toc219175639"/>
      <w:bookmarkStart w:id="523" w:name="_Toc216582826"/>
      <w:bookmarkStart w:id="524" w:name="_Toc218935355"/>
      <w:r>
        <w:rPr>
          <w:rFonts w:hint="eastAsia" w:ascii="微软雅黑" w:hAnsi="微软雅黑" w:eastAsia="微软雅黑" w:cs="微软雅黑"/>
          <w:color w:val="auto"/>
          <w:lang w:val="en-US" w:eastAsia="zh-CN"/>
        </w:rPr>
        <w:t>服务</w:t>
      </w:r>
      <w:r>
        <w:rPr>
          <w:rFonts w:hint="eastAsia" w:ascii="微软雅黑" w:hAnsi="微软雅黑" w:eastAsia="微软雅黑" w:cs="微软雅黑"/>
          <w:color w:val="auto"/>
        </w:rPr>
        <w:t>需求</w:t>
      </w:r>
      <w:bookmarkEnd w:id="521"/>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718" w:leftChars="342" w:right="1489" w:rightChars="709" w:firstLine="1518" w:firstLineChars="632"/>
        <w:textAlignment w:val="auto"/>
        <w:rPr>
          <w:rFonts w:hint="eastAsia" w:ascii="微软雅黑" w:hAnsi="微软雅黑" w:eastAsia="微软雅黑" w:cs="微软雅黑"/>
          <w:b/>
          <w:bCs/>
          <w:color w:val="1D41D5"/>
          <w:lang w:val="en-US" w:eastAsia="zh-CN"/>
        </w:rPr>
      </w:pP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718" w:leftChars="342" w:right="1489" w:rightChars="709" w:firstLine="1516" w:firstLineChars="632"/>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喀什地区能力提升培训第三方评估项目技术规格及要求</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 xml:space="preserve">   </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引进第三方，对全地区相关群体能力提升培训成果进行公开公平公正评估。</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一、项目目标</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718" w:leftChars="342" w:right="1489" w:rightChars="709" w:firstLine="324" w:firstLineChars="13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以项目为载体，面向社会引进第三方，公开公平公正按照地区统一标准对相关群体能力提升培训进行专项评估。</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二、项目实施地点</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718" w:leftChars="342" w:right="1489" w:rightChars="709" w:firstLine="324" w:firstLineChars="13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项目实施地点为喀什地区随机抽取的3个县（市）。</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三、项目人员及进度</w:t>
      </w:r>
    </w:p>
    <w:p>
      <w:pPr>
        <w:pStyle w:val="46"/>
        <w:keepNext w:val="0"/>
        <w:keepLines w:val="0"/>
        <w:pageBreakBefore w:val="0"/>
        <w:numPr>
          <w:ilvl w:val="0"/>
          <w:numId w:val="11"/>
        </w:numPr>
        <w:tabs>
          <w:tab w:val="left" w:pos="640"/>
        </w:tabs>
        <w:kinsoku/>
        <w:wordWrap/>
        <w:overflowPunct/>
        <w:topLinePunct w:val="0"/>
        <w:autoSpaceDE/>
        <w:autoSpaceDN/>
        <w:bidi w:val="0"/>
        <w:adjustRightInd/>
        <w:snapToGrid/>
        <w:spacing w:line="400" w:lineRule="exact"/>
        <w:ind w:left="822" w:leftChars="0" w:right="1489" w:rightChars="709" w:firstLine="0" w:firstLineChars="0"/>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项目人员： 每个县（市）需要3个4人小组同时开展工作，至少需要15人。</w:t>
      </w:r>
    </w:p>
    <w:p>
      <w:pPr>
        <w:pStyle w:val="46"/>
        <w:keepNext w:val="0"/>
        <w:keepLines w:val="0"/>
        <w:pageBreakBefore w:val="0"/>
        <w:numPr>
          <w:ilvl w:val="0"/>
          <w:numId w:val="11"/>
        </w:numPr>
        <w:tabs>
          <w:tab w:val="left" w:pos="640"/>
        </w:tabs>
        <w:kinsoku/>
        <w:wordWrap/>
        <w:overflowPunct/>
        <w:topLinePunct w:val="0"/>
        <w:autoSpaceDE/>
        <w:autoSpaceDN/>
        <w:bidi w:val="0"/>
        <w:adjustRightInd/>
        <w:snapToGrid/>
        <w:spacing w:line="400" w:lineRule="exact"/>
        <w:ind w:left="822" w:leftChars="0" w:right="1489" w:rightChars="709" w:firstLine="0" w:firstLineChars="0"/>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每个小组须有1名有主持或从事第三方测评经验（须出具业主证明或相关项目合同）的项目负责人进行日常监测和评估，协助推动工作。</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项目进度：每个县（市）完成工作需3天，3个县（市）需9天完成，3天进行汇总</w:t>
      </w:r>
      <w:r>
        <w:rPr>
          <w:rFonts w:hint="eastAsia" w:ascii="微软雅黑" w:hAnsi="微软雅黑" w:eastAsia="微软雅黑" w:cs="微软雅黑"/>
          <w:b w:val="0"/>
          <w:bCs w:val="0"/>
          <w:color w:val="1D41D5"/>
          <w:lang w:val="en" w:eastAsia="zh-CN"/>
        </w:rPr>
        <w:t>、</w:t>
      </w:r>
      <w:r>
        <w:rPr>
          <w:rFonts w:hint="eastAsia" w:ascii="微软雅黑" w:hAnsi="微软雅黑" w:eastAsia="微软雅黑" w:cs="微软雅黑"/>
          <w:b w:val="0"/>
          <w:bCs w:val="0"/>
          <w:color w:val="1D41D5"/>
          <w:lang w:val="en-US" w:eastAsia="zh-CN"/>
        </w:rPr>
        <w:t>分析工作和撰写报告，12天内必须完成所有工作。</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四、项目内容</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 xml:space="preserve">喀什地区随机抽取3个县（市），每个县（市）随机抽取900人进行能力提升培训评估。 </w:t>
      </w:r>
    </w:p>
    <w:p>
      <w:pPr>
        <w:pStyle w:val="46"/>
        <w:keepNext w:val="0"/>
        <w:keepLines w:val="0"/>
        <w:pageBreakBefore w:val="0"/>
        <w:numPr>
          <w:ilvl w:val="0"/>
          <w:numId w:val="12"/>
        </w:numPr>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1D41D5"/>
          <w:lang w:val="en-US" w:eastAsia="zh-CN"/>
        </w:rPr>
        <w:t>服务质量要求</w:t>
      </w:r>
    </w:p>
    <w:p>
      <w:pPr>
        <w:pStyle w:val="46"/>
        <w:keepNext w:val="0"/>
        <w:keepLines w:val="0"/>
        <w:pageBreakBefore w:val="0"/>
        <w:numPr>
          <w:ilvl w:val="0"/>
          <w:numId w:val="13"/>
        </w:numPr>
        <w:tabs>
          <w:tab w:val="left" w:pos="640"/>
        </w:tabs>
        <w:kinsoku/>
        <w:wordWrap/>
        <w:overflowPunct/>
        <w:topLinePunct w:val="0"/>
        <w:autoSpaceDE/>
        <w:autoSpaceDN/>
        <w:bidi w:val="0"/>
        <w:adjustRightInd/>
        <w:snapToGrid/>
        <w:spacing w:line="400" w:lineRule="exact"/>
        <w:ind w:leftChars="163" w:right="1489" w:rightChars="709" w:firstLine="480" w:firstLineChars="200"/>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供应商提供的评估报告，数据整理分析完整、思路清晰，且报告应避免出现错别字以及逻辑、语法、知识性错误等。</w:t>
      </w:r>
    </w:p>
    <w:p>
      <w:pPr>
        <w:pStyle w:val="46"/>
        <w:keepNext w:val="0"/>
        <w:keepLines w:val="0"/>
        <w:pageBreakBefore w:val="0"/>
        <w:numPr>
          <w:ilvl w:val="0"/>
          <w:numId w:val="0"/>
        </w:numPr>
        <w:tabs>
          <w:tab w:val="left" w:pos="640"/>
        </w:tabs>
        <w:kinsoku/>
        <w:wordWrap/>
        <w:overflowPunct/>
        <w:topLinePunct w:val="0"/>
        <w:autoSpaceDE/>
        <w:autoSpaceDN/>
        <w:bidi w:val="0"/>
        <w:adjustRightInd/>
        <w:snapToGrid/>
        <w:spacing w:line="400" w:lineRule="exact"/>
        <w:ind w:leftChars="163" w:right="1489" w:rightChars="709" w:firstLine="480" w:firstLineChars="200"/>
        <w:textAlignment w:val="auto"/>
        <w:rPr>
          <w:rFonts w:hint="default" w:ascii="微软雅黑" w:hAnsi="微软雅黑" w:eastAsia="微软雅黑" w:cs="微软雅黑"/>
          <w:b/>
          <w:bCs/>
          <w:color w:val="1D41D5"/>
          <w:lang w:val="en-US" w:eastAsia="zh-CN"/>
        </w:rPr>
      </w:pPr>
      <w:r>
        <w:rPr>
          <w:rFonts w:hint="eastAsia" w:ascii="微软雅黑" w:hAnsi="微软雅黑" w:eastAsia="微软雅黑" w:cs="微软雅黑"/>
          <w:b w:val="0"/>
          <w:bCs w:val="0"/>
          <w:color w:val="1D41D5"/>
          <w:lang w:val="en-US" w:eastAsia="zh-CN"/>
        </w:rPr>
        <w:t>2、成交单位不能因人员变化影响项目进度。</w:t>
      </w:r>
    </w:p>
    <w:p>
      <w:pPr>
        <w:pStyle w:val="46"/>
        <w:keepNext w:val="0"/>
        <w:keepLines w:val="0"/>
        <w:pageBreakBefore w:val="0"/>
        <w:numPr>
          <w:ilvl w:val="0"/>
          <w:numId w:val="0"/>
        </w:numPr>
        <w:tabs>
          <w:tab w:val="left" w:pos="640"/>
        </w:tabs>
        <w:kinsoku/>
        <w:wordWrap/>
        <w:overflowPunct/>
        <w:topLinePunct w:val="0"/>
        <w:autoSpaceDE/>
        <w:autoSpaceDN/>
        <w:bidi w:val="0"/>
        <w:adjustRightInd/>
        <w:snapToGrid/>
        <w:spacing w:line="400" w:lineRule="exact"/>
        <w:ind w:leftChars="163" w:right="1489" w:rightChars="709" w:firstLine="480" w:firstLineChars="200"/>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六、服务约定</w:t>
      </w:r>
    </w:p>
    <w:p>
      <w:pPr>
        <w:pStyle w:val="46"/>
        <w:keepNext w:val="0"/>
        <w:keepLines w:val="0"/>
        <w:pageBreakBefore w:val="0"/>
        <w:numPr>
          <w:ilvl w:val="0"/>
          <w:numId w:val="0"/>
        </w:numPr>
        <w:tabs>
          <w:tab w:val="left" w:pos="640"/>
        </w:tabs>
        <w:kinsoku/>
        <w:wordWrap/>
        <w:overflowPunct/>
        <w:topLinePunct w:val="0"/>
        <w:autoSpaceDE/>
        <w:autoSpaceDN/>
        <w:bidi w:val="0"/>
        <w:adjustRightInd/>
        <w:snapToGrid/>
        <w:spacing w:line="400" w:lineRule="exact"/>
        <w:ind w:leftChars="163" w:right="1489" w:rightChars="709" w:firstLine="480" w:firstLineChars="200"/>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1、合同签订后12天内完成项目内容，供应商完成评估指标及工作报告，采购人验收合格后一次性支付合同总金额的100%，具体内容以合同签订为准。</w:t>
      </w:r>
    </w:p>
    <w:p>
      <w:pPr>
        <w:pStyle w:val="46"/>
        <w:keepNext w:val="0"/>
        <w:keepLines w:val="0"/>
        <w:pageBreakBefore w:val="0"/>
        <w:numPr>
          <w:ilvl w:val="0"/>
          <w:numId w:val="0"/>
        </w:numPr>
        <w:tabs>
          <w:tab w:val="left" w:pos="640"/>
        </w:tabs>
        <w:kinsoku/>
        <w:wordWrap/>
        <w:overflowPunct/>
        <w:topLinePunct w:val="0"/>
        <w:autoSpaceDE/>
        <w:autoSpaceDN/>
        <w:bidi w:val="0"/>
        <w:adjustRightInd/>
        <w:snapToGrid/>
        <w:spacing w:line="400" w:lineRule="exact"/>
        <w:ind w:leftChars="163" w:right="1489" w:rightChars="709" w:firstLine="480" w:firstLineChars="200"/>
        <w:textAlignment w:val="auto"/>
        <w:rPr>
          <w:rFonts w:hint="eastAsia"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2、履约保证金按合同总价的10%，领取中标通知书3日内（日历日）提交，项目完成并验收合格后无息返还。</w:t>
      </w:r>
    </w:p>
    <w:p>
      <w:pPr>
        <w:pStyle w:val="46"/>
        <w:keepNext w:val="0"/>
        <w:keepLines w:val="0"/>
        <w:pageBreakBefore w:val="0"/>
        <w:numPr>
          <w:ilvl w:val="0"/>
          <w:numId w:val="0"/>
        </w:numPr>
        <w:tabs>
          <w:tab w:val="left" w:pos="640"/>
        </w:tabs>
        <w:kinsoku/>
        <w:wordWrap/>
        <w:overflowPunct/>
        <w:topLinePunct w:val="0"/>
        <w:autoSpaceDE/>
        <w:autoSpaceDN/>
        <w:bidi w:val="0"/>
        <w:adjustRightInd/>
        <w:snapToGrid/>
        <w:spacing w:line="400" w:lineRule="exact"/>
        <w:ind w:leftChars="163" w:right="1489" w:rightChars="709" w:firstLine="480" w:firstLineChars="200"/>
        <w:textAlignment w:val="auto"/>
        <w:rPr>
          <w:rFonts w:hint="default"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七、其他要求</w:t>
      </w:r>
    </w:p>
    <w:p>
      <w:pPr>
        <w:pStyle w:val="46"/>
        <w:keepNext w:val="0"/>
        <w:keepLines w:val="0"/>
        <w:pageBreakBefore w:val="0"/>
        <w:numPr>
          <w:ilvl w:val="0"/>
          <w:numId w:val="0"/>
        </w:numPr>
        <w:tabs>
          <w:tab w:val="left" w:pos="640"/>
        </w:tabs>
        <w:kinsoku/>
        <w:wordWrap/>
        <w:overflowPunct/>
        <w:topLinePunct w:val="0"/>
        <w:autoSpaceDE/>
        <w:autoSpaceDN/>
        <w:bidi w:val="0"/>
        <w:adjustRightInd/>
        <w:snapToGrid/>
        <w:spacing w:line="400" w:lineRule="exact"/>
        <w:ind w:leftChars="363" w:right="1489" w:rightChars="709"/>
        <w:textAlignment w:val="auto"/>
        <w:rPr>
          <w:rFonts w:hint="default" w:ascii="微软雅黑" w:hAnsi="微软雅黑" w:eastAsia="微软雅黑" w:cs="微软雅黑"/>
          <w:b w:val="0"/>
          <w:bCs w:val="0"/>
          <w:color w:val="1D41D5"/>
          <w:lang w:val="en-US" w:eastAsia="zh-CN"/>
        </w:rPr>
      </w:pPr>
      <w:r>
        <w:rPr>
          <w:rFonts w:hint="eastAsia" w:ascii="微软雅黑" w:hAnsi="微软雅黑" w:eastAsia="微软雅黑" w:cs="微软雅黑"/>
          <w:b w:val="0"/>
          <w:bCs w:val="0"/>
          <w:color w:val="1D41D5"/>
          <w:lang w:val="en-US" w:eastAsia="zh-CN"/>
        </w:rPr>
        <w:t>供应商须提供至少1个成功的社会评估类案例，提供相应证明材料</w:t>
      </w:r>
    </w:p>
    <w:p>
      <w:pPr>
        <w:pStyle w:val="46"/>
        <w:keepNext w:val="0"/>
        <w:keepLines w:val="0"/>
        <w:pageBreakBefore w:val="0"/>
        <w:tabs>
          <w:tab w:val="left" w:pos="640"/>
        </w:tabs>
        <w:kinsoku/>
        <w:wordWrap/>
        <w:overflowPunct/>
        <w:topLinePunct w:val="0"/>
        <w:autoSpaceDE/>
        <w:autoSpaceDN/>
        <w:bidi w:val="0"/>
        <w:adjustRightInd/>
        <w:snapToGrid/>
        <w:spacing w:line="400" w:lineRule="exact"/>
        <w:ind w:left="635" w:leftChars="228" w:right="1489" w:rightChars="709" w:hanging="156" w:hangingChars="65"/>
        <w:textAlignment w:val="auto"/>
        <w:rPr>
          <w:rFonts w:hint="eastAsia" w:ascii="微软雅黑" w:hAnsi="微软雅黑" w:eastAsia="微软雅黑" w:cs="微软雅黑"/>
          <w:b/>
          <w:bCs/>
          <w:color w:val="1D41D5"/>
          <w:lang w:val="en-US" w:eastAsia="zh-CN"/>
        </w:rPr>
      </w:pPr>
    </w:p>
    <w:p>
      <w:pPr>
        <w:pStyle w:val="12"/>
        <w:rPr>
          <w:rFonts w:hint="default" w:ascii="微软雅黑" w:hAnsi="微软雅黑" w:eastAsia="微软雅黑" w:cs="微软雅黑"/>
          <w:b/>
          <w:bCs/>
          <w:color w:val="1D41D5"/>
          <w:kern w:val="0"/>
          <w:sz w:val="24"/>
          <w:szCs w:val="24"/>
          <w:lang w:val="en-US" w:eastAsia="zh-CN" w:bidi="ar-SA"/>
        </w:rPr>
      </w:pPr>
    </w:p>
    <w:p>
      <w:pPr>
        <w:rPr>
          <w:rFonts w:hint="eastAsia"/>
        </w:rPr>
      </w:pPr>
    </w:p>
    <w:p>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color w:val="401BC0"/>
          <w:kern w:val="0"/>
          <w:sz w:val="24"/>
          <w:szCs w:val="24"/>
          <w:lang w:val="en-US" w:eastAsia="zh-CN" w:bidi="ar-SA"/>
        </w:rPr>
      </w:pPr>
      <w:bookmarkStart w:id="525" w:name="_Toc3368"/>
    </w:p>
    <w:p>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color w:val="401BC0"/>
          <w:kern w:val="0"/>
          <w:sz w:val="24"/>
          <w:szCs w:val="24"/>
          <w:lang w:val="en-US" w:eastAsia="zh-CN" w:bidi="ar-SA"/>
        </w:rPr>
      </w:pPr>
    </w:p>
    <w:p>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color w:val="401BC0"/>
          <w:kern w:val="0"/>
          <w:sz w:val="24"/>
          <w:szCs w:val="24"/>
          <w:lang w:val="en-US" w:eastAsia="zh-CN" w:bidi="ar-SA"/>
        </w:rPr>
      </w:pPr>
    </w:p>
    <w:p>
      <w:pPr>
        <w:pStyle w:val="5"/>
        <w:tabs>
          <w:tab w:val="left" w:pos="0"/>
        </w:tabs>
        <w:spacing w:before="0" w:after="0" w:line="240" w:lineRule="atLeast"/>
        <w:rPr>
          <w:rFonts w:ascii="微软雅黑" w:hAnsi="微软雅黑" w:eastAsia="微软雅黑" w:cs="微软雅黑"/>
          <w:color w:val="auto"/>
        </w:rPr>
      </w:pPr>
      <w:r>
        <w:rPr>
          <w:rFonts w:hint="eastAsia" w:ascii="微软雅黑" w:hAnsi="微软雅黑" w:eastAsia="微软雅黑" w:cs="微软雅黑"/>
          <w:color w:val="auto"/>
        </w:rPr>
        <w:t xml:space="preserve">第6章 </w:t>
      </w:r>
      <w:bookmarkStart w:id="526" w:name="_Toc507399907"/>
      <w:bookmarkStart w:id="527" w:name="_Toc7971"/>
      <w:bookmarkStart w:id="528" w:name="_Toc32647"/>
      <w:bookmarkStart w:id="529" w:name="_Toc515647832"/>
      <w:r>
        <w:rPr>
          <w:rFonts w:hint="eastAsia" w:ascii="微软雅黑" w:hAnsi="微软雅黑" w:eastAsia="微软雅黑" w:cs="微软雅黑"/>
          <w:color w:val="auto"/>
        </w:rPr>
        <w:t>评审方法和标准</w:t>
      </w:r>
      <w:bookmarkEnd w:id="522"/>
      <w:bookmarkEnd w:id="523"/>
      <w:bookmarkEnd w:id="524"/>
      <w:bookmarkEnd w:id="525"/>
      <w:bookmarkEnd w:id="526"/>
      <w:bookmarkEnd w:id="527"/>
      <w:bookmarkEnd w:id="528"/>
      <w:bookmarkEnd w:id="529"/>
    </w:p>
    <w:p>
      <w:pPr>
        <w:pStyle w:val="3"/>
        <w:tabs>
          <w:tab w:val="clear" w:pos="567"/>
        </w:tabs>
        <w:spacing w:before="0" w:line="240" w:lineRule="atLeast"/>
        <w:ind w:firstLine="540" w:firstLineChars="225"/>
        <w:rPr>
          <w:rFonts w:ascii="微软雅黑" w:hAnsi="微软雅黑" w:eastAsia="微软雅黑" w:cs="微软雅黑"/>
          <w:color w:val="auto"/>
        </w:rPr>
      </w:pPr>
    </w:p>
    <w:p>
      <w:pPr>
        <w:pStyle w:val="3"/>
        <w:tabs>
          <w:tab w:val="clear" w:pos="567"/>
        </w:tabs>
        <w:spacing w:before="0" w:line="400" w:lineRule="exact"/>
        <w:ind w:left="479" w:leftChars="228" w:right="1069" w:rightChars="509" w:firstLine="60" w:firstLineChars="25"/>
        <w:rPr>
          <w:rFonts w:hint="eastAsia" w:ascii="微软雅黑" w:hAnsi="微软雅黑" w:eastAsia="微软雅黑" w:cs="微软雅黑"/>
          <w:color w:val="auto"/>
        </w:rPr>
      </w:pPr>
      <w:r>
        <w:rPr>
          <w:rFonts w:hint="eastAsia" w:ascii="微软雅黑" w:hAnsi="微软雅黑" w:eastAsia="微软雅黑" w:cs="微软雅黑"/>
          <w:color w:val="auto"/>
        </w:rPr>
        <w:t>本项目将按照磋商文件第一章供应商须知中“五 磋商开启及评审”、“六 确定成交”</w:t>
      </w:r>
    </w:p>
    <w:p>
      <w:pPr>
        <w:pStyle w:val="3"/>
        <w:tabs>
          <w:tab w:val="clear" w:pos="567"/>
        </w:tabs>
        <w:spacing w:before="0" w:line="400" w:lineRule="exact"/>
        <w:ind w:left="479" w:leftChars="228" w:right="1069" w:rightChars="509" w:firstLine="60" w:firstLineChars="25"/>
        <w:rPr>
          <w:rFonts w:ascii="微软雅黑" w:hAnsi="微软雅黑" w:eastAsia="微软雅黑" w:cs="微软雅黑"/>
          <w:color w:val="auto"/>
        </w:rPr>
      </w:pPr>
      <w:r>
        <w:rPr>
          <w:rFonts w:hint="eastAsia" w:ascii="微软雅黑" w:hAnsi="微软雅黑" w:eastAsia="微软雅黑" w:cs="微软雅黑"/>
          <w:color w:val="auto"/>
        </w:rPr>
        <w:t>及本章的规定评标。</w:t>
      </w:r>
    </w:p>
    <w:p>
      <w:pPr>
        <w:widowControl/>
        <w:spacing w:line="400" w:lineRule="exact"/>
        <w:ind w:firstLine="480" w:firstLineChars="200"/>
        <w:rPr>
          <w:rFonts w:ascii="微软雅黑" w:hAnsi="微软雅黑" w:eastAsia="微软雅黑" w:cs="微软雅黑"/>
          <w:color w:val="auto"/>
          <w:sz w:val="24"/>
        </w:rPr>
      </w:pPr>
      <w:r>
        <w:rPr>
          <w:rFonts w:hint="eastAsia" w:ascii="微软雅黑" w:hAnsi="微软雅黑" w:eastAsia="微软雅黑" w:cs="微软雅黑"/>
          <w:color w:val="auto"/>
          <w:sz w:val="24"/>
        </w:rPr>
        <w:t>注：1.磋商无效的情形：</w:t>
      </w:r>
    </w:p>
    <w:p>
      <w:pPr>
        <w:widowControl/>
        <w:spacing w:line="400" w:lineRule="exact"/>
        <w:ind w:left="479" w:leftChars="114" w:right="1268" w:rightChars="604" w:hanging="240" w:hangingChars="100"/>
        <w:rPr>
          <w:rFonts w:ascii="微软雅黑" w:hAnsi="微软雅黑" w:eastAsia="微软雅黑" w:cs="微软雅黑"/>
          <w:color w:val="auto"/>
          <w:sz w:val="24"/>
        </w:rPr>
      </w:pPr>
      <w:r>
        <w:rPr>
          <w:rFonts w:hint="eastAsia" w:ascii="微软雅黑" w:hAnsi="微软雅黑" w:eastAsia="微软雅黑" w:cs="微软雅黑"/>
          <w:color w:val="auto"/>
          <w:sz w:val="24"/>
        </w:rPr>
        <w:t>（1）单位负责人为同一人或者存在直接控股、管理关系的不同供应商，其相关磋商将被认定为磋商无效。</w:t>
      </w:r>
    </w:p>
    <w:p>
      <w:pPr>
        <w:widowControl/>
        <w:spacing w:line="400" w:lineRule="exact"/>
        <w:ind w:left="479" w:leftChars="114" w:right="1268" w:rightChars="604" w:hanging="240" w:hangingChars="100"/>
        <w:rPr>
          <w:rFonts w:ascii="微软雅黑" w:hAnsi="微软雅黑" w:eastAsia="微软雅黑" w:cs="微软雅黑"/>
          <w:color w:val="auto"/>
          <w:sz w:val="24"/>
        </w:rPr>
      </w:pPr>
      <w:r>
        <w:rPr>
          <w:rFonts w:hint="eastAsia" w:ascii="微软雅黑" w:hAnsi="微软雅黑" w:eastAsia="微软雅黑" w:cs="微软雅黑"/>
          <w:color w:val="auto"/>
          <w:sz w:val="24"/>
        </w:rPr>
        <w:t>（2）若供应商须知资料表中未写明允许采购进口产品，如供应商所投产品为进口产品，其磋商将被认定为磋商无效。</w:t>
      </w:r>
    </w:p>
    <w:p>
      <w:pPr>
        <w:widowControl/>
        <w:spacing w:line="400" w:lineRule="exact"/>
        <w:ind w:left="480" w:right="1268" w:rightChars="604" w:hanging="480" w:hangingChars="20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rPr>
        <w:t>（3）为本项目提供过整体设计、规范编制或者项目管理、监理、检测等货物的供应商，不得再参加本项目上述货物以外的其他采购活动。否则其磋商将被认定为磋商无效。</w:t>
      </w:r>
    </w:p>
    <w:p>
      <w:pPr>
        <w:widowControl/>
        <w:spacing w:line="400" w:lineRule="exact"/>
        <w:ind w:left="479" w:leftChars="228" w:right="1268" w:rightChars="604" w:firstLine="0" w:firstLineChars="0"/>
        <w:rPr>
          <w:rFonts w:ascii="微软雅黑" w:hAnsi="微软雅黑" w:eastAsia="微软雅黑" w:cs="微软雅黑"/>
          <w:color w:val="auto"/>
          <w:sz w:val="24"/>
        </w:rPr>
      </w:pPr>
      <w:r>
        <w:rPr>
          <w:rFonts w:hint="eastAsia" w:ascii="微软雅黑" w:hAnsi="微软雅黑" w:eastAsia="微软雅黑" w:cs="微软雅黑"/>
          <w:color w:val="auto"/>
          <w:sz w:val="24"/>
        </w:rPr>
        <w:t>供应商在磋商过程中不得向采购人提供、给予任何有价值的物品，影响其正常决策行为。一经发现，其将被认定为磋商无效。</w:t>
      </w:r>
    </w:p>
    <w:p>
      <w:pPr>
        <w:widowControl/>
        <w:spacing w:line="400" w:lineRule="exact"/>
        <w:ind w:left="458" w:leftChars="104" w:right="1268" w:rightChars="604" w:hanging="240" w:hangingChars="100"/>
        <w:rPr>
          <w:rFonts w:ascii="微软雅黑" w:hAnsi="微软雅黑" w:eastAsia="微软雅黑" w:cs="微软雅黑"/>
          <w:color w:val="auto"/>
          <w:sz w:val="24"/>
        </w:rPr>
      </w:pPr>
      <w:r>
        <w:rPr>
          <w:rFonts w:hint="eastAsia" w:ascii="微软雅黑" w:hAnsi="微软雅黑" w:eastAsia="微软雅黑" w:cs="微软雅黑"/>
          <w:color w:val="auto"/>
          <w:sz w:val="24"/>
        </w:rPr>
        <w:t>（4）供应商报价超过磋商文件规定的预算金额或者分项、分包最高限价的，其磋商将被认定为磋商无效。</w:t>
      </w:r>
    </w:p>
    <w:p>
      <w:pPr>
        <w:widowControl/>
        <w:spacing w:line="400" w:lineRule="exact"/>
        <w:ind w:left="458" w:leftChars="104" w:right="1268" w:rightChars="604" w:hanging="240" w:hangingChars="100"/>
        <w:rPr>
          <w:rFonts w:ascii="微软雅黑" w:hAnsi="微软雅黑" w:eastAsia="微软雅黑" w:cs="微软雅黑"/>
          <w:color w:val="auto"/>
          <w:sz w:val="24"/>
        </w:rPr>
      </w:pPr>
      <w:r>
        <w:rPr>
          <w:rFonts w:hint="eastAsia" w:ascii="微软雅黑" w:hAnsi="微软雅黑" w:eastAsia="微软雅黑" w:cs="微软雅黑"/>
          <w:color w:val="auto"/>
          <w:sz w:val="24"/>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widowControl/>
        <w:tabs>
          <w:tab w:val="left" w:pos="9660"/>
        </w:tabs>
        <w:spacing w:line="400" w:lineRule="exact"/>
        <w:ind w:left="480" w:right="1268" w:rightChars="604" w:hanging="480" w:hangingChars="20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rPr>
        <w:t>（6）供应商应当对所投分包磋商文件中“货物需求”所列的所有内容进行磋商，如仅响应某一包中的部分内容，其该包磋商将被认定为磋商无效。</w:t>
      </w:r>
    </w:p>
    <w:p>
      <w:pPr>
        <w:widowControl/>
        <w:spacing w:line="400" w:lineRule="exact"/>
        <w:ind w:left="218" w:leftChars="104" w:right="1268" w:rightChars="604" w:firstLine="0" w:firstLineChars="0"/>
        <w:rPr>
          <w:rFonts w:ascii="微软雅黑" w:hAnsi="微软雅黑" w:eastAsia="微软雅黑" w:cs="微软雅黑"/>
          <w:color w:val="auto"/>
          <w:sz w:val="24"/>
        </w:rPr>
      </w:pPr>
      <w:r>
        <w:rPr>
          <w:rFonts w:hint="eastAsia" w:ascii="微软雅黑" w:hAnsi="微软雅黑" w:eastAsia="微软雅黑" w:cs="微软雅黑"/>
          <w:color w:val="auto"/>
          <w:sz w:val="24"/>
        </w:rPr>
        <w:t>（7）供应商未按本须知第12.1和12.3条规定提交磋商保证金的，其磋商资格将被认定为无效。</w:t>
      </w:r>
    </w:p>
    <w:p>
      <w:pPr>
        <w:widowControl/>
        <w:tabs>
          <w:tab w:val="left" w:pos="9880"/>
        </w:tabs>
        <w:spacing w:line="400" w:lineRule="exact"/>
        <w:ind w:left="458" w:leftChars="104" w:right="1268" w:rightChars="604" w:hanging="240" w:hangingChars="100"/>
        <w:rPr>
          <w:rFonts w:ascii="微软雅黑" w:hAnsi="微软雅黑" w:eastAsia="微软雅黑" w:cs="微软雅黑"/>
          <w:color w:val="auto"/>
          <w:sz w:val="24"/>
        </w:rPr>
      </w:pPr>
      <w:r>
        <w:rPr>
          <w:rFonts w:hint="eastAsia" w:ascii="微软雅黑" w:hAnsi="微软雅黑" w:eastAsia="微软雅黑" w:cs="微软雅黑"/>
          <w:color w:val="auto"/>
          <w:sz w:val="24"/>
        </w:rPr>
        <w:t>（8）所有磋商均以人民币报价。供应商的磋商报价应遵守《中华人民共和国价格法》。同时，根据《中华人民共和国政府采购法》第二条的规定，为保证公平竞争，如有货物主体部分的赠与行为，其磋商将被认定为磋商无效。</w:t>
      </w:r>
    </w:p>
    <w:p>
      <w:pPr>
        <w:widowControl/>
        <w:spacing w:line="400" w:lineRule="exact"/>
        <w:ind w:left="419" w:leftChars="114" w:right="1268" w:rightChars="604"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（9）供应商所报的各分项磋商单价在合同履行过程中是固定不变的，不得以任何理由予以变更。任何包含价格调整要求的磋商，其磋商将被认定为磋商无效。</w:t>
      </w:r>
    </w:p>
    <w:p>
      <w:pPr>
        <w:widowControl/>
        <w:spacing w:line="400" w:lineRule="exact"/>
        <w:ind w:left="479" w:leftChars="114" w:right="1268" w:rightChars="604" w:hanging="240" w:hangingChars="100"/>
        <w:rPr>
          <w:rFonts w:ascii="微软雅黑" w:hAnsi="微软雅黑" w:eastAsia="微软雅黑" w:cs="微软雅黑"/>
          <w:color w:val="auto"/>
          <w:sz w:val="24"/>
        </w:rPr>
      </w:pPr>
      <w:r>
        <w:rPr>
          <w:rFonts w:hint="eastAsia" w:ascii="微软雅黑" w:hAnsi="微软雅黑" w:eastAsia="微软雅黑" w:cs="微软雅黑"/>
          <w:color w:val="auto"/>
          <w:sz w:val="24"/>
        </w:rPr>
        <w:t>（10）磋商应在供应商须知资料表中规定时间内保持有效。磋商有效期不满足要求的磋商，其磋商将被认定为磋商无效。</w:t>
      </w:r>
    </w:p>
    <w:p>
      <w:pPr>
        <w:widowControl/>
        <w:spacing w:line="400" w:lineRule="exact"/>
        <w:ind w:left="419" w:leftChars="114"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（11）所有响应文件采用不可拆装的胶订方式装订，否则其磋商将被认定为磋商无效。</w:t>
      </w:r>
    </w:p>
    <w:p>
      <w:pPr>
        <w:widowControl/>
        <w:spacing w:line="400" w:lineRule="exact"/>
        <w:ind w:left="479" w:leftChars="114" w:right="1489" w:rightChars="709" w:hanging="240" w:hangingChars="100"/>
        <w:rPr>
          <w:rFonts w:ascii="微软雅黑" w:hAnsi="微软雅黑" w:eastAsia="微软雅黑" w:cs="微软雅黑"/>
          <w:color w:val="auto"/>
          <w:sz w:val="24"/>
        </w:rPr>
      </w:pPr>
      <w:r>
        <w:rPr>
          <w:rFonts w:hint="eastAsia" w:ascii="微软雅黑" w:hAnsi="微软雅黑" w:eastAsia="微软雅黑" w:cs="微软雅黑"/>
          <w:color w:val="auto"/>
          <w:sz w:val="24"/>
        </w:rPr>
        <w:t>（12）采购人或采购代理机构将在开标前1个工作日至磋商截止后1小时的期间内查询供应商的信用记录。供应商存在不良信用记录的，其磋商将被认定为磋商无效。</w:t>
      </w:r>
    </w:p>
    <w:p>
      <w:pPr>
        <w:widowControl/>
        <w:spacing w:line="400" w:lineRule="exact"/>
        <w:ind w:left="419" w:leftChars="114" w:right="1268" w:rightChars="604"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widowControl/>
        <w:spacing w:line="400" w:lineRule="exact"/>
        <w:ind w:left="419" w:leftChars="114" w:right="1268" w:rightChars="604"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widowControl/>
        <w:spacing w:line="400" w:lineRule="exact"/>
        <w:ind w:left="419" w:leftChars="114"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（15）如发现下列情况之一的，其磋商将被认定为磋商无效：</w:t>
      </w:r>
    </w:p>
    <w:p>
      <w:pPr>
        <w:widowControl/>
        <w:spacing w:line="400" w:lineRule="exact"/>
        <w:ind w:left="420" w:leftChars="200" w:right="1268" w:rightChars="604" w:firstLine="0" w:firstLineChars="0"/>
        <w:rPr>
          <w:rFonts w:ascii="微软雅黑" w:hAnsi="微软雅黑" w:eastAsia="微软雅黑" w:cs="微软雅黑"/>
          <w:color w:val="auto"/>
          <w:sz w:val="24"/>
        </w:rPr>
      </w:pPr>
      <w:r>
        <w:rPr>
          <w:rFonts w:hint="eastAsia" w:ascii="微软雅黑" w:hAnsi="微软雅黑" w:eastAsia="微软雅黑" w:cs="微软雅黑"/>
          <w:color w:val="auto"/>
          <w:sz w:val="24"/>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widowControl/>
        <w:spacing w:line="400" w:lineRule="exact"/>
        <w:ind w:left="420" w:leftChars="200" w:right="1268" w:rightChars="604" w:firstLine="0" w:firstLineChars="0"/>
        <w:rPr>
          <w:rFonts w:ascii="微软雅黑" w:hAnsi="微软雅黑" w:eastAsia="微软雅黑" w:cs="微软雅黑"/>
          <w:color w:val="auto"/>
          <w:sz w:val="24"/>
        </w:rPr>
      </w:pPr>
      <w:r>
        <w:rPr>
          <w:rFonts w:hint="eastAsia" w:ascii="微软雅黑" w:hAnsi="微软雅黑" w:eastAsia="微软雅黑" w:cs="微软雅黑"/>
          <w:color w:val="auto"/>
          <w:sz w:val="24"/>
        </w:rPr>
        <w:t>2.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color w:val="auto"/>
          <w:sz w:val="24"/>
          <w:u w:val="single"/>
        </w:rPr>
        <w:t xml:space="preserve">  6  </w:t>
      </w:r>
      <w:r>
        <w:rPr>
          <w:rFonts w:hint="eastAsia" w:ascii="微软雅黑" w:hAnsi="微软雅黑" w:eastAsia="微软雅黑" w:cs="微软雅黑"/>
          <w:color w:val="auto"/>
          <w:sz w:val="24"/>
        </w:rPr>
        <w:t xml:space="preserve"> %后参与评审。对于同时属于小微企业、监狱企业或残疾人福利性单位的，不重复进行报价扣除。</w:t>
      </w:r>
    </w:p>
    <w:p>
      <w:pPr>
        <w:widowControl/>
        <w:spacing w:line="400" w:lineRule="exact"/>
        <w:ind w:left="479" w:leftChars="228" w:right="1268" w:rightChars="604" w:firstLine="60" w:firstLineChars="2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3.联合协议中约定，小型、微型企业和监狱企业的协议合同金额占到联合体协议合同总金额30%以上的，可给予联合体</w:t>
      </w:r>
      <w:r>
        <w:rPr>
          <w:rFonts w:hint="eastAsia" w:ascii="微软雅黑" w:hAnsi="微软雅黑" w:eastAsia="微软雅黑" w:cs="微软雅黑"/>
          <w:color w:val="auto"/>
          <w:sz w:val="24"/>
          <w:u w:val="single"/>
        </w:rPr>
        <w:t xml:space="preserve"> 2%-3</w:t>
      </w:r>
      <w:r>
        <w:rPr>
          <w:rFonts w:hint="eastAsia" w:ascii="微软雅黑" w:hAnsi="微软雅黑" w:eastAsia="微软雅黑" w:cs="微软雅黑"/>
          <w:color w:val="auto"/>
          <w:sz w:val="24"/>
        </w:rPr>
        <w:t>%的价格扣除。</w:t>
      </w:r>
      <w:r>
        <w:rPr>
          <w:rFonts w:hint="eastAsia" w:ascii="微软雅黑" w:hAnsi="微软雅黑" w:eastAsia="微软雅黑" w:cs="微软雅黑"/>
          <w:b/>
          <w:bCs/>
          <w:color w:val="auto"/>
          <w:sz w:val="24"/>
        </w:rPr>
        <w:t>（本项目不适用）</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联合体各方均为小型、微型企业和监狱企业的，联合体视同为小型、微型企业和监狱企业。</w:t>
      </w:r>
    </w:p>
    <w:p>
      <w:pPr>
        <w:pStyle w:val="3"/>
        <w:numPr>
          <w:ilvl w:val="0"/>
          <w:numId w:val="0"/>
        </w:numPr>
        <w:tabs>
          <w:tab w:val="clear" w:pos="567"/>
        </w:tabs>
        <w:spacing w:before="0" w:line="400" w:lineRule="exact"/>
        <w:ind w:left="420" w:leftChars="200" w:right="1268" w:rightChars="604" w:firstLine="0" w:firstLineChars="0"/>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4.</w:t>
      </w:r>
      <w:r>
        <w:rPr>
          <w:rFonts w:hint="eastAsia" w:ascii="微软雅黑" w:hAnsi="微软雅黑" w:eastAsia="微软雅黑" w:cs="微软雅黑"/>
          <w:color w:val="auto"/>
        </w:rPr>
        <w:t>供应商为提供货物在磋商中伴随磋商的产品如被列入财政部与国家主管部门颁发的节能产品目录或环境标志产品目录或无线局域网产品目录，应提供相关证明，在评标时予以优先采购</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 xml:space="preserve"> </w:t>
      </w:r>
    </w:p>
    <w:p>
      <w:pPr>
        <w:pStyle w:val="3"/>
        <w:numPr>
          <w:ilvl w:val="0"/>
          <w:numId w:val="0"/>
        </w:numPr>
        <w:tabs>
          <w:tab w:val="clear" w:pos="567"/>
        </w:tabs>
        <w:spacing w:before="0" w:line="400" w:lineRule="exact"/>
        <w:ind w:left="420" w:leftChars="200" w:firstLine="0" w:firstLineChars="0"/>
        <w:rPr>
          <w:rFonts w:ascii="微软雅黑" w:hAnsi="微软雅黑" w:eastAsia="微软雅黑" w:cs="微软雅黑"/>
          <w:color w:val="auto"/>
          <w:u w:val="single"/>
        </w:rPr>
      </w:pPr>
      <w:r>
        <w:rPr>
          <w:rFonts w:hint="eastAsia" w:ascii="微软雅黑" w:hAnsi="微软雅黑" w:eastAsia="微软雅黑" w:cs="微软雅黑"/>
          <w:color w:val="auto"/>
        </w:rPr>
        <w:t>5.对创新产品或创新性企业的优惠措施为：</w:t>
      </w:r>
      <w:r>
        <w:rPr>
          <w:rFonts w:hint="eastAsia" w:ascii="微软雅黑" w:hAnsi="微软雅黑" w:eastAsia="微软雅黑" w:cs="微软雅黑"/>
          <w:color w:val="auto"/>
          <w:u w:val="single"/>
        </w:rPr>
        <w:t xml:space="preserve">     /      </w:t>
      </w:r>
    </w:p>
    <w:p>
      <w:pPr>
        <w:pStyle w:val="11"/>
        <w:spacing w:line="500" w:lineRule="exact"/>
        <w:ind w:firstLine="480" w:firstLineChars="200"/>
        <w:rPr>
          <w:rFonts w:ascii="微软雅黑" w:hAnsi="微软雅黑" w:eastAsia="微软雅黑" w:cs="微软雅黑"/>
          <w:color w:val="auto"/>
        </w:rPr>
      </w:pPr>
      <w:r>
        <w:rPr>
          <w:rFonts w:hint="eastAsia" w:ascii="微软雅黑" w:hAnsi="微软雅黑" w:eastAsia="微软雅黑" w:cs="微软雅黑"/>
          <w:color w:val="auto"/>
        </w:rPr>
        <w:t>6.同品牌处理办法：</w:t>
      </w:r>
    </w:p>
    <w:p>
      <w:pPr>
        <w:pStyle w:val="11"/>
        <w:spacing w:line="500" w:lineRule="exact"/>
        <w:ind w:left="420" w:leftChars="200" w:right="1268" w:rightChars="604" w:firstLine="0" w:firstLineChars="0"/>
        <w:rPr>
          <w:rFonts w:ascii="微软雅黑" w:hAnsi="微软雅黑" w:eastAsia="微软雅黑" w:cs="微软雅黑"/>
          <w:color w:val="auto"/>
          <w:u w:val="single"/>
        </w:rPr>
      </w:pPr>
      <w:r>
        <w:rPr>
          <w:rFonts w:hint="eastAsia" w:ascii="微软雅黑" w:hAnsi="微软雅黑" w:eastAsia="微软雅黑" w:cs="微软雅黑"/>
          <w:color w:val="auto"/>
        </w:rPr>
        <w:t>如采用综合评标法，则：</w:t>
      </w:r>
      <w:r>
        <w:rPr>
          <w:rFonts w:hint="eastAsia" w:ascii="微软雅黑" w:hAnsi="微软雅黑" w:eastAsia="微软雅黑" w:cs="微软雅黑"/>
          <w:color w:val="auto"/>
          <w:u w:val="single"/>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3"/>
        <w:tabs>
          <w:tab w:val="clear" w:pos="567"/>
        </w:tabs>
        <w:spacing w:before="0" w:line="400" w:lineRule="exact"/>
        <w:ind w:left="479" w:leftChars="228" w:firstLine="60" w:firstLineChars="25"/>
        <w:rPr>
          <w:rFonts w:ascii="微软雅黑" w:hAnsi="微软雅黑" w:eastAsia="微软雅黑" w:cs="微软雅黑"/>
          <w:color w:val="auto"/>
        </w:rPr>
      </w:pPr>
      <w:r>
        <w:rPr>
          <w:rFonts w:hint="eastAsia" w:ascii="微软雅黑" w:hAnsi="微软雅黑" w:eastAsia="微软雅黑" w:cs="微软雅黑"/>
          <w:color w:val="auto"/>
        </w:rPr>
        <w:t xml:space="preserve">7.成交候选人并列式时的处理方式：   </w:t>
      </w:r>
    </w:p>
    <w:p>
      <w:pPr>
        <w:pStyle w:val="11"/>
        <w:spacing w:line="400" w:lineRule="exact"/>
        <w:ind w:left="479" w:leftChars="228" w:right="1268" w:rightChars="604" w:firstLine="60" w:firstLineChars="25"/>
        <w:rPr>
          <w:rFonts w:ascii="微软雅黑" w:hAnsi="微软雅黑" w:eastAsia="微软雅黑" w:cs="微软雅黑"/>
          <w:b/>
          <w:bCs/>
          <w:color w:val="auto"/>
        </w:rPr>
      </w:pPr>
      <w:r>
        <w:rPr>
          <w:rFonts w:hint="eastAsia" w:ascii="微软雅黑" w:hAnsi="微软雅黑" w:eastAsia="微软雅黑" w:cs="微软雅黑"/>
          <w:color w:val="auto"/>
          <w:kern w:val="2"/>
          <w:szCs w:val="24"/>
        </w:rPr>
        <w:t>如采用综合评标法，则：</w:t>
      </w:r>
      <w:r>
        <w:rPr>
          <w:rFonts w:hint="eastAsia" w:ascii="微软雅黑" w:hAnsi="微软雅黑" w:eastAsia="微软雅黑" w:cs="微软雅黑"/>
          <w:color w:val="auto"/>
          <w:kern w:val="2"/>
          <w:szCs w:val="24"/>
          <w:u w:val="single"/>
        </w:rPr>
        <w:t xml:space="preserve">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bookmarkStart w:id="530" w:name="_Toc18284"/>
    </w:p>
    <w:p>
      <w:pPr>
        <w:spacing w:line="300" w:lineRule="auto"/>
        <w:jc w:val="center"/>
        <w:outlineLvl w:val="1"/>
        <w:rPr>
          <w:rFonts w:ascii="微软雅黑" w:hAnsi="微软雅黑" w:eastAsia="微软雅黑" w:cs="微软雅黑"/>
          <w:b/>
          <w:bCs/>
          <w:color w:val="auto"/>
          <w:sz w:val="24"/>
        </w:rPr>
      </w:pPr>
      <w:bookmarkStart w:id="531" w:name="_Toc5480"/>
      <w:r>
        <w:rPr>
          <w:rFonts w:hint="eastAsia" w:ascii="微软雅黑" w:hAnsi="微软雅黑" w:eastAsia="微软雅黑" w:cs="微软雅黑"/>
          <w:b/>
          <w:bCs/>
          <w:color w:val="auto"/>
          <w:sz w:val="24"/>
        </w:rPr>
        <w:t>初步评审—资格性审查表</w:t>
      </w:r>
      <w:bookmarkEnd w:id="530"/>
      <w:bookmarkEnd w:id="531"/>
    </w:p>
    <w:tbl>
      <w:tblPr>
        <w:tblStyle w:val="37"/>
        <w:tblpPr w:leftFromText="180" w:rightFromText="180" w:vertAnchor="text" w:horzAnchor="page" w:tblpXSpec="center" w:tblpY="116"/>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091"/>
        <w:gridCol w:w="929"/>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83" w:type="dxa"/>
            <w:vMerge w:val="restart"/>
            <w:vAlign w:val="center"/>
          </w:tcPr>
          <w:p>
            <w:pPr>
              <w:spacing w:line="400" w:lineRule="exact"/>
              <w:jc w:val="center"/>
              <w:rPr>
                <w:rFonts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序号</w:t>
            </w:r>
          </w:p>
        </w:tc>
        <w:tc>
          <w:tcPr>
            <w:tcW w:w="7091" w:type="dxa"/>
            <w:vMerge w:val="restart"/>
            <w:vAlign w:val="center"/>
          </w:tcPr>
          <w:p>
            <w:pPr>
              <w:spacing w:line="400" w:lineRule="exact"/>
              <w:jc w:val="center"/>
              <w:rPr>
                <w:rFonts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评审内容</w:t>
            </w:r>
          </w:p>
        </w:tc>
        <w:tc>
          <w:tcPr>
            <w:tcW w:w="2406" w:type="dxa"/>
            <w:gridSpan w:val="3"/>
            <w:vAlign w:val="center"/>
          </w:tcPr>
          <w:p>
            <w:pPr>
              <w:spacing w:line="400" w:lineRule="exact"/>
              <w:jc w:val="center"/>
              <w:rPr>
                <w:rFonts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83" w:type="dxa"/>
            <w:vMerge w:val="continue"/>
            <w:vAlign w:val="center"/>
          </w:tcPr>
          <w:p>
            <w:pPr>
              <w:spacing w:line="400" w:lineRule="exact"/>
              <w:jc w:val="center"/>
              <w:rPr>
                <w:rFonts w:ascii="微软雅黑" w:hAnsi="微软雅黑" w:eastAsia="微软雅黑" w:cs="微软雅黑"/>
                <w:bCs/>
                <w:color w:val="auto"/>
                <w:sz w:val="21"/>
                <w:szCs w:val="21"/>
              </w:rPr>
            </w:pPr>
          </w:p>
        </w:tc>
        <w:tc>
          <w:tcPr>
            <w:tcW w:w="7091" w:type="dxa"/>
            <w:vMerge w:val="continue"/>
            <w:vAlign w:val="center"/>
          </w:tcPr>
          <w:p>
            <w:pPr>
              <w:spacing w:line="400" w:lineRule="exact"/>
              <w:jc w:val="center"/>
              <w:rPr>
                <w:rFonts w:ascii="微软雅黑" w:hAnsi="微软雅黑" w:eastAsia="微软雅黑" w:cs="微软雅黑"/>
                <w:bCs/>
                <w:color w:val="auto"/>
                <w:sz w:val="21"/>
                <w:szCs w:val="21"/>
              </w:rPr>
            </w:pPr>
          </w:p>
        </w:tc>
        <w:tc>
          <w:tcPr>
            <w:tcW w:w="929" w:type="dxa"/>
            <w:vAlign w:val="center"/>
          </w:tcPr>
          <w:p>
            <w:pPr>
              <w:spacing w:line="40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是否合格</w:t>
            </w:r>
          </w:p>
        </w:tc>
        <w:tc>
          <w:tcPr>
            <w:tcW w:w="750" w:type="dxa"/>
            <w:vAlign w:val="center"/>
          </w:tcPr>
          <w:p>
            <w:pPr>
              <w:spacing w:line="40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是否合格</w:t>
            </w:r>
          </w:p>
        </w:tc>
        <w:tc>
          <w:tcPr>
            <w:tcW w:w="727" w:type="dxa"/>
            <w:vAlign w:val="center"/>
          </w:tcPr>
          <w:p>
            <w:pPr>
              <w:spacing w:line="40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83" w:type="dxa"/>
            <w:vAlign w:val="center"/>
          </w:tcPr>
          <w:p>
            <w:pPr>
              <w:spacing w:line="400" w:lineRule="exact"/>
              <w:jc w:val="center"/>
              <w:rPr>
                <w:rFonts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1</w:t>
            </w:r>
          </w:p>
        </w:tc>
        <w:tc>
          <w:tcPr>
            <w:tcW w:w="7091" w:type="dxa"/>
            <w:vAlign w:val="center"/>
          </w:tcPr>
          <w:p>
            <w:pPr>
              <w:spacing w:line="460" w:lineRule="exact"/>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具有有效的独立法人营业执照；</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83" w:type="dxa"/>
            <w:vAlign w:val="center"/>
          </w:tcPr>
          <w:p>
            <w:pPr>
              <w:spacing w:line="400" w:lineRule="exact"/>
              <w:jc w:val="center"/>
              <w:rPr>
                <w:rFonts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2</w:t>
            </w:r>
          </w:p>
        </w:tc>
        <w:tc>
          <w:tcPr>
            <w:tcW w:w="709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hAnsi="微软雅黑" w:eastAsia="微软雅黑" w:cs="微软雅黑"/>
                <w:color w:val="2D04FC"/>
                <w:kern w:val="0"/>
                <w:sz w:val="21"/>
                <w:szCs w:val="21"/>
              </w:rPr>
            </w:pPr>
            <w:r>
              <w:rPr>
                <w:rFonts w:hint="eastAsia" w:ascii="微软雅黑" w:hAnsi="微软雅黑" w:eastAsia="微软雅黑" w:cs="微软雅黑"/>
                <w:color w:val="2D04FC"/>
                <w:kern w:val="0"/>
                <w:sz w:val="21"/>
                <w:szCs w:val="21"/>
                <w:lang w:val="en-US" w:eastAsia="zh-CN"/>
              </w:rPr>
              <w:t>良好的商业信誉和健全的财务会计制度证明材料（会计师事务所出具的上年度财务审计报告书原件或影印件；新办企业需提供银行资信证明原件）；</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83" w:type="dxa"/>
            <w:vAlign w:val="center"/>
          </w:tcPr>
          <w:p>
            <w:pPr>
              <w:spacing w:line="400" w:lineRule="exact"/>
              <w:jc w:val="center"/>
              <w:rPr>
                <w:rFonts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3</w:t>
            </w:r>
          </w:p>
        </w:tc>
        <w:tc>
          <w:tcPr>
            <w:tcW w:w="70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color w:val="2D04FC"/>
                <w:sz w:val="21"/>
                <w:szCs w:val="21"/>
                <w:lang w:val="en-US" w:eastAsia="zh-CN"/>
              </w:rPr>
            </w:pPr>
            <w:r>
              <w:rPr>
                <w:rFonts w:hint="eastAsia" w:ascii="微软雅黑" w:hAnsi="微软雅黑" w:eastAsia="微软雅黑" w:cs="微软雅黑"/>
                <w:color w:val="2D04FC"/>
                <w:sz w:val="21"/>
                <w:szCs w:val="21"/>
                <w:lang w:eastAsia="zh-CN"/>
              </w:rPr>
              <w:t>法定代表人授权书及被委托人身份证（法定代表人投标提供法定代表人身份证明及身份证），提供在本单位缴纳的近连续3个月社保缴纳证明、</w:t>
            </w:r>
            <w:r>
              <w:rPr>
                <w:rFonts w:hint="eastAsia" w:ascii="微软雅黑" w:hAnsi="微软雅黑" w:eastAsia="微软雅黑" w:cs="微软雅黑"/>
                <w:color w:val="2D04FC"/>
                <w:sz w:val="21"/>
                <w:szCs w:val="21"/>
                <w:lang w:val="en-US" w:eastAsia="zh-CN"/>
              </w:rPr>
              <w:t>退休人员提供退休证明</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83" w:type="dxa"/>
            <w:vAlign w:val="center"/>
          </w:tcPr>
          <w:p>
            <w:pPr>
              <w:spacing w:line="400" w:lineRule="exact"/>
              <w:jc w:val="center"/>
              <w:rPr>
                <w:rFonts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4</w:t>
            </w:r>
          </w:p>
        </w:tc>
        <w:tc>
          <w:tcPr>
            <w:tcW w:w="7091" w:type="dxa"/>
            <w:vAlign w:val="center"/>
          </w:tcPr>
          <w:p>
            <w:pPr>
              <w:spacing w:line="460" w:lineRule="exact"/>
              <w:jc w:val="left"/>
              <w:rPr>
                <w:rFonts w:ascii="微软雅黑" w:hAnsi="微软雅黑" w:eastAsia="微软雅黑" w:cs="微软雅黑"/>
                <w:color w:val="2D04FC"/>
                <w:sz w:val="21"/>
                <w:szCs w:val="21"/>
              </w:rPr>
            </w:pPr>
            <w:r>
              <w:rPr>
                <w:rFonts w:hint="eastAsia" w:ascii="微软雅黑" w:hAnsi="微软雅黑" w:eastAsia="微软雅黑" w:cs="微软雅黑"/>
                <w:color w:val="2D04FC"/>
                <w:sz w:val="21"/>
                <w:szCs w:val="21"/>
              </w:rPr>
              <w:t>具有税务局开具依法缴纳近连续3个月税收证明的良好记录（完税证明）；</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3" w:type="dxa"/>
            <w:vAlign w:val="center"/>
          </w:tcPr>
          <w:p>
            <w:pPr>
              <w:spacing w:line="460" w:lineRule="exact"/>
              <w:jc w:val="center"/>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val="en-US" w:eastAsia="zh-CN"/>
              </w:rPr>
              <w:t>5</w:t>
            </w:r>
          </w:p>
        </w:tc>
        <w:tc>
          <w:tcPr>
            <w:tcW w:w="7091" w:type="dxa"/>
            <w:vAlign w:val="center"/>
          </w:tcPr>
          <w:p>
            <w:pPr>
              <w:spacing w:line="460" w:lineRule="exact"/>
              <w:jc w:val="left"/>
              <w:rPr>
                <w:rFonts w:ascii="微软雅黑" w:hAnsi="微软雅黑" w:eastAsia="微软雅黑" w:cs="微软雅黑"/>
                <w:color w:val="2D04FC"/>
                <w:kern w:val="0"/>
                <w:sz w:val="21"/>
                <w:szCs w:val="21"/>
              </w:rPr>
            </w:pPr>
            <w:r>
              <w:rPr>
                <w:rFonts w:hint="eastAsia" w:ascii="微软雅黑" w:hAnsi="微软雅黑" w:eastAsia="微软雅黑" w:cs="微软雅黑"/>
                <w:color w:val="2D04FC"/>
                <w:kern w:val="0"/>
                <w:sz w:val="21"/>
                <w:szCs w:val="21"/>
              </w:rPr>
              <w:t>参加政府采购活动前3年内在经营活动中没有重大违法记录的书面声明；</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83" w:type="dxa"/>
            <w:vAlign w:val="center"/>
          </w:tcPr>
          <w:p>
            <w:pPr>
              <w:spacing w:line="460" w:lineRule="exact"/>
              <w:jc w:val="center"/>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val="en-US" w:eastAsia="zh-CN"/>
              </w:rPr>
              <w:t>6</w:t>
            </w:r>
          </w:p>
        </w:tc>
        <w:tc>
          <w:tcPr>
            <w:tcW w:w="70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hAnsi="微软雅黑" w:eastAsia="微软雅黑" w:cs="微软雅黑"/>
                <w:color w:val="2D04FC"/>
                <w:kern w:val="0"/>
                <w:sz w:val="21"/>
                <w:szCs w:val="21"/>
              </w:rPr>
            </w:pPr>
            <w:r>
              <w:rPr>
                <w:rFonts w:hint="eastAsia" w:ascii="微软雅黑" w:hAnsi="微软雅黑" w:eastAsia="微软雅黑" w:cs="微软雅黑"/>
                <w:color w:val="2D04FC"/>
                <w:kern w:val="0"/>
                <w:sz w:val="21"/>
                <w:szCs w:val="21"/>
                <w:lang w:val="en-US" w:eastAsia="zh-CN"/>
              </w:rPr>
              <w:t>提供 “信用中国”网站（http://www.creditchina.gov.cn/）和中国政府采购网（www.ccgp.gov.cn）无违法违规行为的查询纪录（提供查询结果网页截图并加盖单位公章；提供截图日期需在本项目领取招标文件期内）；投标人存在不良信用记录的或被列入失信被执行人、重大税收违法案件当事人名单的，其投标将被认定为投标无效）；</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83" w:type="dxa"/>
            <w:vAlign w:val="center"/>
          </w:tcPr>
          <w:p>
            <w:pPr>
              <w:spacing w:line="460" w:lineRule="exact"/>
              <w:jc w:val="center"/>
              <w:rPr>
                <w:rFonts w:hint="eastAsia" w:ascii="微软雅黑" w:hAnsi="微软雅黑" w:eastAsia="微软雅黑" w:cs="微软雅黑"/>
                <w:color w:val="auto"/>
                <w:kern w:val="0"/>
                <w:sz w:val="21"/>
                <w:szCs w:val="21"/>
                <w:lang w:val="en-US" w:eastAsia="zh-CN"/>
              </w:rPr>
            </w:pPr>
            <w:r>
              <w:rPr>
                <w:rFonts w:hint="eastAsia" w:ascii="微软雅黑" w:hAnsi="微软雅黑" w:eastAsia="微软雅黑" w:cs="微软雅黑"/>
                <w:color w:val="auto"/>
                <w:kern w:val="0"/>
                <w:sz w:val="21"/>
                <w:szCs w:val="21"/>
                <w:lang w:val="en-US" w:eastAsia="zh-CN"/>
              </w:rPr>
              <w:t>7</w:t>
            </w:r>
          </w:p>
        </w:tc>
        <w:tc>
          <w:tcPr>
            <w:tcW w:w="7091" w:type="dxa"/>
            <w:vAlign w:val="center"/>
          </w:tcPr>
          <w:p>
            <w:pPr>
              <w:spacing w:line="460" w:lineRule="exact"/>
              <w:jc w:val="left"/>
              <w:rPr>
                <w:rFonts w:hint="eastAsia" w:ascii="微软雅黑" w:hAnsi="微软雅黑" w:eastAsia="微软雅黑" w:cs="微软雅黑"/>
                <w:color w:val="2D04FC"/>
                <w:kern w:val="0"/>
                <w:sz w:val="21"/>
                <w:szCs w:val="21"/>
              </w:rPr>
            </w:pPr>
            <w:r>
              <w:rPr>
                <w:rFonts w:hint="eastAsia" w:ascii="微软雅黑" w:hAnsi="微软雅黑" w:eastAsia="微软雅黑" w:cs="微软雅黑"/>
                <w:color w:val="2D04FC"/>
                <w:kern w:val="0"/>
                <w:sz w:val="21"/>
                <w:szCs w:val="21"/>
                <w:lang w:val="en-US" w:eastAsia="zh-CN"/>
              </w:rPr>
              <w:t>提供针对本项目的《反商业贿赂承诺书》</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83" w:type="dxa"/>
            <w:vAlign w:val="center"/>
          </w:tcPr>
          <w:p>
            <w:pPr>
              <w:spacing w:line="460" w:lineRule="exact"/>
              <w:jc w:val="center"/>
              <w:rPr>
                <w:rFonts w:hint="eastAsia" w:ascii="微软雅黑" w:hAnsi="微软雅黑" w:eastAsia="微软雅黑" w:cs="微软雅黑"/>
                <w:color w:val="auto"/>
                <w:kern w:val="0"/>
                <w:sz w:val="21"/>
                <w:szCs w:val="21"/>
                <w:lang w:val="en-US" w:eastAsia="zh-CN"/>
              </w:rPr>
            </w:pPr>
            <w:r>
              <w:rPr>
                <w:rFonts w:hint="eastAsia" w:ascii="微软雅黑" w:hAnsi="微软雅黑" w:eastAsia="微软雅黑" w:cs="微软雅黑"/>
                <w:color w:val="auto"/>
                <w:kern w:val="0"/>
                <w:sz w:val="21"/>
                <w:szCs w:val="21"/>
                <w:lang w:val="en-US" w:eastAsia="zh-CN"/>
              </w:rPr>
              <w:t>8</w:t>
            </w:r>
          </w:p>
        </w:tc>
        <w:tc>
          <w:tcPr>
            <w:tcW w:w="7091" w:type="dxa"/>
            <w:vAlign w:val="center"/>
          </w:tcPr>
          <w:p>
            <w:pPr>
              <w:spacing w:line="460" w:lineRule="exact"/>
              <w:jc w:val="left"/>
              <w:rPr>
                <w:rFonts w:ascii="微软雅黑" w:hAnsi="微软雅黑" w:eastAsia="微软雅黑" w:cs="微软雅黑"/>
                <w:color w:val="2D04FC"/>
                <w:kern w:val="0"/>
                <w:sz w:val="21"/>
                <w:szCs w:val="21"/>
              </w:rPr>
            </w:pPr>
            <w:r>
              <w:rPr>
                <w:rFonts w:hint="eastAsia" w:ascii="微软雅黑" w:hAnsi="微软雅黑" w:eastAsia="微软雅黑" w:cs="微软雅黑"/>
                <w:color w:val="2D04FC"/>
                <w:kern w:val="0"/>
                <w:sz w:val="21"/>
                <w:szCs w:val="21"/>
                <w:lang w:val="en-US" w:eastAsia="zh-CN"/>
              </w:rPr>
              <w:t>磋商保证金缴纳有效证明</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83" w:type="dxa"/>
            <w:vAlign w:val="center"/>
          </w:tcPr>
          <w:p>
            <w:pPr>
              <w:spacing w:line="400" w:lineRule="exac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9</w:t>
            </w:r>
          </w:p>
        </w:tc>
        <w:tc>
          <w:tcPr>
            <w:tcW w:w="7091" w:type="dxa"/>
            <w:vAlign w:val="center"/>
          </w:tcPr>
          <w:p>
            <w:pPr>
              <w:spacing w:line="400" w:lineRule="exact"/>
              <w:rPr>
                <w:rFonts w:ascii="微软雅黑" w:hAnsi="微软雅黑" w:eastAsia="微软雅黑" w:cs="微软雅黑"/>
                <w:color w:val="auto"/>
                <w:sz w:val="21"/>
                <w:szCs w:val="21"/>
              </w:rPr>
            </w:pPr>
            <w:r>
              <w:rPr>
                <w:rFonts w:hint="eastAsia" w:ascii="微软雅黑" w:hAnsi="微软雅黑" w:eastAsia="微软雅黑" w:cs="微软雅黑"/>
                <w:color w:val="2D04FC"/>
                <w:kern w:val="0"/>
                <w:sz w:val="21"/>
                <w:szCs w:val="21"/>
                <w:lang w:val="en-US" w:eastAsia="zh-CN"/>
              </w:rPr>
              <w:t>本项目不接受联合体投标</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83" w:type="dxa"/>
            <w:vAlign w:val="center"/>
          </w:tcPr>
          <w:p>
            <w:pPr>
              <w:spacing w:line="400" w:lineRule="exact"/>
              <w:jc w:val="center"/>
              <w:rPr>
                <w:rFonts w:ascii="微软雅黑" w:hAnsi="微软雅黑" w:eastAsia="微软雅黑" w:cs="微软雅黑"/>
                <w:color w:val="auto"/>
                <w:sz w:val="21"/>
                <w:szCs w:val="21"/>
              </w:rPr>
            </w:pPr>
          </w:p>
        </w:tc>
        <w:tc>
          <w:tcPr>
            <w:tcW w:w="7091" w:type="dxa"/>
            <w:vAlign w:val="center"/>
          </w:tcPr>
          <w:p>
            <w:pPr>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结论</w:t>
            </w:r>
          </w:p>
        </w:tc>
        <w:tc>
          <w:tcPr>
            <w:tcW w:w="929" w:type="dxa"/>
          </w:tcPr>
          <w:p>
            <w:pPr>
              <w:spacing w:line="400" w:lineRule="exact"/>
              <w:rPr>
                <w:rFonts w:ascii="微软雅黑" w:hAnsi="微软雅黑" w:eastAsia="微软雅黑" w:cs="微软雅黑"/>
                <w:color w:val="auto"/>
                <w:sz w:val="21"/>
                <w:szCs w:val="21"/>
              </w:rPr>
            </w:pPr>
          </w:p>
        </w:tc>
        <w:tc>
          <w:tcPr>
            <w:tcW w:w="750" w:type="dxa"/>
          </w:tcPr>
          <w:p>
            <w:pPr>
              <w:spacing w:line="400" w:lineRule="exact"/>
              <w:rPr>
                <w:rFonts w:ascii="微软雅黑" w:hAnsi="微软雅黑" w:eastAsia="微软雅黑" w:cs="微软雅黑"/>
                <w:color w:val="auto"/>
                <w:sz w:val="21"/>
                <w:szCs w:val="21"/>
              </w:rPr>
            </w:pPr>
          </w:p>
        </w:tc>
        <w:tc>
          <w:tcPr>
            <w:tcW w:w="727" w:type="dxa"/>
          </w:tcPr>
          <w:p>
            <w:pPr>
              <w:spacing w:line="400" w:lineRule="exact"/>
              <w:rPr>
                <w:rFonts w:ascii="微软雅黑" w:hAnsi="微软雅黑" w:eastAsia="微软雅黑" w:cs="微软雅黑"/>
                <w:color w:val="auto"/>
                <w:sz w:val="21"/>
                <w:szCs w:val="21"/>
              </w:rPr>
            </w:pPr>
          </w:p>
        </w:tc>
      </w:tr>
    </w:tbl>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right="1489" w:rightChars="709"/>
        <w:rPr>
          <w:rFonts w:hint="eastAsia" w:ascii="微软雅黑" w:hAnsi="微软雅黑" w:eastAsia="微软雅黑" w:cs="微软雅黑"/>
          <w:color w:val="auto"/>
          <w:sz w:val="24"/>
        </w:rPr>
      </w:pPr>
    </w:p>
    <w:p>
      <w:pPr>
        <w:spacing w:line="360" w:lineRule="exact"/>
        <w:ind w:left="218" w:leftChars="104" w:right="1489" w:rightChars="709" w:firstLine="0" w:firstLineChars="0"/>
        <w:rPr>
          <w:rFonts w:hint="eastAsia" w:ascii="微软雅黑" w:hAnsi="微软雅黑" w:eastAsia="微软雅黑" w:cs="微软雅黑"/>
          <w:color w:val="auto"/>
          <w:sz w:val="21"/>
          <w:szCs w:val="21"/>
        </w:rPr>
      </w:pPr>
    </w:p>
    <w:p>
      <w:pPr>
        <w:spacing w:line="360" w:lineRule="exact"/>
        <w:ind w:left="218" w:leftChars="104" w:right="1489" w:rightChars="709" w:firstLine="0" w:firstLineChars="0"/>
        <w:rPr>
          <w:rFonts w:hint="eastAsia" w:ascii="微软雅黑" w:hAnsi="微软雅黑" w:eastAsia="微软雅黑" w:cs="微软雅黑"/>
          <w:color w:val="auto"/>
          <w:sz w:val="21"/>
          <w:szCs w:val="21"/>
        </w:rPr>
      </w:pPr>
    </w:p>
    <w:p>
      <w:pPr>
        <w:spacing w:line="360" w:lineRule="exact"/>
        <w:ind w:left="218" w:leftChars="104" w:right="1489" w:rightChars="709" w:firstLine="0" w:firstLineChars="0"/>
        <w:rPr>
          <w:rFonts w:hint="eastAsia" w:ascii="微软雅黑" w:hAnsi="微软雅黑" w:eastAsia="微软雅黑" w:cs="微软雅黑"/>
          <w:color w:val="auto"/>
          <w:sz w:val="21"/>
          <w:szCs w:val="21"/>
        </w:rPr>
      </w:pPr>
    </w:p>
    <w:p>
      <w:pPr>
        <w:spacing w:line="360" w:lineRule="exact"/>
        <w:ind w:left="218" w:leftChars="104" w:right="1489" w:rightChars="709" w:firstLine="0" w:firstLineChars="0"/>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说明：（1）上述各项中用“√”表示通过，“×”表示不通过；</w:t>
      </w:r>
    </w:p>
    <w:p>
      <w:pPr>
        <w:spacing w:line="360" w:lineRule="exact"/>
        <w:ind w:left="210" w:right="1069" w:rightChars="509" w:hanging="210" w:hangingChars="100"/>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（2）上述各项中如有一项为“×”，则结论为“×”，表示该磋商文件中存在重大偏差，不能通过初步评审；评委对某一分项评审认为不合格时，必须要写明原因。</w:t>
      </w:r>
    </w:p>
    <w:p>
      <w:pPr>
        <w:spacing w:line="360" w:lineRule="exact"/>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（3）磋商文件最终合格与否，以所有评委的评审意见中少数服从多数为原则定论。</w:t>
      </w:r>
    </w:p>
    <w:p>
      <w:pPr>
        <w:tabs>
          <w:tab w:val="left" w:pos="10080"/>
        </w:tabs>
        <w:spacing w:line="360" w:lineRule="auto"/>
        <w:ind w:left="210" w:leftChars="100" w:right="1069" w:rightChars="509" w:firstLine="0" w:firstLineChars="0"/>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备注：如果磋商文件中有一项未通过上述审查标准，评审委员会将认定整个磋商文件未响应磋商文件而予以废标处理。</w:t>
      </w:r>
    </w:p>
    <w:p>
      <w:pPr>
        <w:pStyle w:val="2"/>
        <w:rPr>
          <w:rFonts w:hint="eastAsia" w:ascii="微软雅黑" w:hAnsi="微软雅黑" w:eastAsia="微软雅黑" w:cs="微软雅黑"/>
          <w:b/>
          <w:bCs/>
          <w:color w:val="auto"/>
          <w:sz w:val="21"/>
          <w:szCs w:val="21"/>
        </w:rPr>
      </w:pPr>
    </w:p>
    <w:p>
      <w:pPr>
        <w:pStyle w:val="11"/>
        <w:spacing w:line="300" w:lineRule="auto"/>
        <w:ind w:firstLine="0"/>
        <w:jc w:val="center"/>
        <w:outlineLvl w:val="1"/>
        <w:rPr>
          <w:rFonts w:hint="eastAsia" w:ascii="微软雅黑" w:hAnsi="微软雅黑" w:eastAsia="微软雅黑" w:cs="微软雅黑"/>
          <w:b/>
          <w:color w:val="auto"/>
          <w:sz w:val="28"/>
          <w:szCs w:val="28"/>
        </w:rPr>
      </w:pPr>
      <w:bookmarkStart w:id="532" w:name="_Toc22896"/>
      <w:bookmarkStart w:id="533" w:name="_Toc19552"/>
    </w:p>
    <w:p>
      <w:pPr>
        <w:pStyle w:val="11"/>
        <w:spacing w:line="300" w:lineRule="auto"/>
        <w:ind w:firstLine="0"/>
        <w:jc w:val="center"/>
        <w:outlineLvl w:val="1"/>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初步评审—符合性审查表</w:t>
      </w:r>
      <w:bookmarkEnd w:id="532"/>
      <w:bookmarkEnd w:id="533"/>
    </w:p>
    <w:tbl>
      <w:tblPr>
        <w:tblStyle w:val="37"/>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691"/>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62" w:type="dxa"/>
            <w:gridSpan w:val="2"/>
            <w:vAlign w:val="center"/>
          </w:tcPr>
          <w:p>
            <w:pPr>
              <w:spacing w:line="300" w:lineRule="auto"/>
              <w:ind w:left="60" w:firstLine="3600" w:firstLineChars="1500"/>
              <w:rPr>
                <w:rFonts w:ascii="微软雅黑" w:hAnsi="微软雅黑" w:eastAsia="微软雅黑" w:cs="微软雅黑"/>
                <w:color w:val="auto"/>
                <w:sz w:val="24"/>
              </w:rPr>
            </w:pPr>
            <w:r>
              <w:rPr>
                <w:rFonts w:hint="eastAsia" w:ascii="微软雅黑" w:hAnsi="微软雅黑" w:eastAsia="微软雅黑" w:cs="微软雅黑"/>
                <w:color w:val="auto"/>
                <w:sz w:val="24"/>
              </w:rPr>
              <w:t>评审内容</w:t>
            </w:r>
          </w:p>
        </w:tc>
        <w:tc>
          <w:tcPr>
            <w:tcW w:w="1358" w:type="dxa"/>
            <w:vAlign w:val="center"/>
          </w:tcPr>
          <w:p>
            <w:pPr>
              <w:spacing w:line="300" w:lineRule="auto"/>
              <w:ind w:left="60"/>
              <w:rPr>
                <w:rFonts w:ascii="微软雅黑" w:hAnsi="微软雅黑" w:eastAsia="微软雅黑" w:cs="微软雅黑"/>
                <w:color w:val="auto"/>
                <w:sz w:val="24"/>
              </w:rPr>
            </w:pPr>
            <w:r>
              <w:rPr>
                <w:rFonts w:hint="eastAsia" w:ascii="微软雅黑" w:hAnsi="微软雅黑" w:eastAsia="微软雅黑" w:cs="微软雅黑"/>
                <w:color w:val="auto"/>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71" w:type="dxa"/>
            <w:vAlign w:val="center"/>
          </w:tcPr>
          <w:p>
            <w:pPr>
              <w:spacing w:line="300" w:lineRule="auto"/>
              <w:ind w:left="60"/>
              <w:rPr>
                <w:rFonts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6691" w:type="dxa"/>
            <w:vAlign w:val="center"/>
          </w:tcPr>
          <w:p>
            <w:pPr>
              <w:spacing w:line="300" w:lineRule="auto"/>
              <w:ind w:left="60"/>
              <w:rPr>
                <w:rFonts w:ascii="微软雅黑" w:hAnsi="微软雅黑" w:eastAsia="微软雅黑" w:cs="微软雅黑"/>
                <w:color w:val="auto"/>
                <w:sz w:val="24"/>
              </w:rPr>
            </w:pPr>
          </w:p>
        </w:tc>
        <w:tc>
          <w:tcPr>
            <w:tcW w:w="1358" w:type="dxa"/>
            <w:vAlign w:val="center"/>
          </w:tcPr>
          <w:p>
            <w:pPr>
              <w:spacing w:line="300" w:lineRule="auto"/>
              <w:ind w:left="60"/>
              <w:rPr>
                <w:rFonts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各供应商报价未高于预算金额；</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磋商小组认为供应商的报价无明显低于其他通过符合性审查供应商的报价的，供应商的报价不存在异常一致并成规律性的，其报价合理。</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供应商按磋商文件规定提交响应文件份数。</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响应文件按照磋商文件的规定编制、密封、标记及签署盖章的，法定代表人或其授权代表签字（章）和加盖供应商公章的（响应文件正本的印章和签字不能为复印件）；</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按磋商文件规定的格式填写，内容全或关键字迹清晰、数量等齐全的。</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没有采购人不能接受的附加条件的</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不同供应商的响应文件没有错漏一致的情况</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供应商附有详细地址、联系人、电话标明的。</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9</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响应文件没有散页、活页、未胶装的。</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62" w:type="dxa"/>
            <w:gridSpan w:val="2"/>
            <w:vAlign w:val="center"/>
          </w:tcPr>
          <w:p>
            <w:pPr>
              <w:spacing w:line="300" w:lineRule="auto"/>
              <w:ind w:left="60"/>
              <w:rPr>
                <w:rFonts w:ascii="微软雅黑" w:hAnsi="微软雅黑" w:eastAsia="微软雅黑" w:cs="微软雅黑"/>
                <w:color w:val="auto"/>
                <w:sz w:val="24"/>
              </w:rPr>
            </w:pPr>
            <w:r>
              <w:rPr>
                <w:rFonts w:hint="eastAsia" w:ascii="微软雅黑" w:hAnsi="微软雅黑" w:eastAsia="微软雅黑" w:cs="微软雅黑"/>
                <w:color w:val="auto"/>
                <w:sz w:val="24"/>
              </w:rPr>
              <w:t>结论：通过评审打“√”，未通过评审打“×”</w:t>
            </w:r>
          </w:p>
        </w:tc>
        <w:tc>
          <w:tcPr>
            <w:tcW w:w="1358" w:type="dxa"/>
            <w:vAlign w:val="center"/>
          </w:tcPr>
          <w:p>
            <w:pPr>
              <w:spacing w:line="300" w:lineRule="auto"/>
              <w:ind w:left="60"/>
              <w:rPr>
                <w:rFonts w:ascii="微软雅黑" w:hAnsi="微软雅黑" w:eastAsia="微软雅黑" w:cs="微软雅黑"/>
                <w:color w:val="auto"/>
                <w:sz w:val="24"/>
              </w:rPr>
            </w:pPr>
          </w:p>
        </w:tc>
      </w:tr>
    </w:tbl>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rPr>
          <w:rFonts w:hint="eastAsia" w:ascii="微软雅黑" w:hAnsi="微软雅黑" w:eastAsia="微软雅黑" w:cs="微软雅黑"/>
          <w:color w:val="auto"/>
          <w:sz w:val="24"/>
        </w:rPr>
      </w:pPr>
    </w:p>
    <w:p>
      <w:pPr>
        <w:spacing w:line="360" w:lineRule="exact"/>
        <w:ind w:right="1268" w:rightChars="604" w:firstLine="210" w:firstLineChars="100"/>
        <w:jc w:val="left"/>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w:t>
      </w:r>
    </w:p>
    <w:p>
      <w:pPr>
        <w:spacing w:line="360" w:lineRule="exact"/>
        <w:ind w:right="1268" w:rightChars="604" w:firstLine="210" w:firstLineChars="100"/>
        <w:jc w:val="left"/>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（1）上述各项中用“√”表示通过，“×”表示不通过；</w:t>
      </w:r>
    </w:p>
    <w:p>
      <w:pPr>
        <w:spacing w:line="360" w:lineRule="exact"/>
        <w:ind w:left="449" w:leftChars="114" w:right="1268" w:rightChars="604" w:hanging="210" w:hangingChars="100"/>
        <w:jc w:val="left"/>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（2）上述各项中如有一项为“×”，则结论为“×”，表示该磋商文件中存在重大偏差，不能通过初步评审；评委对某一分项评审认为不合格时，必须要写明原因。</w:t>
      </w:r>
    </w:p>
    <w:p>
      <w:pPr>
        <w:spacing w:line="360" w:lineRule="exact"/>
        <w:ind w:right="1268" w:rightChars="604" w:firstLine="210" w:firstLineChars="100"/>
        <w:jc w:val="left"/>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（3）磋商文件最终合格与否，以所有评委的评审意见中少数服从多数为原则定论。</w:t>
      </w:r>
    </w:p>
    <w:p>
      <w:pPr>
        <w:spacing w:line="240" w:lineRule="atLeast"/>
        <w:ind w:left="1080" w:leftChars="257" w:right="1268" w:rightChars="604" w:hanging="540"/>
        <w:jc w:val="left"/>
        <w:rPr>
          <w:rFonts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rPr>
        <w:t>备注：如果磋商文件中有一项未通过上述审查标准，评审委员会将认定整个磋商文件未响应磋商文件而予以废标处理。</w:t>
      </w:r>
      <w:bookmarkStart w:id="534" w:name="_Toc507399904"/>
    </w:p>
    <w:p>
      <w:pPr>
        <w:pStyle w:val="36"/>
        <w:ind w:right="1268" w:rightChars="604" w:firstLine="0" w:firstLineChars="0"/>
        <w:jc w:val="left"/>
        <w:rPr>
          <w:rFonts w:ascii="微软雅黑" w:hAnsi="微软雅黑" w:eastAsia="微软雅黑" w:cs="微软雅黑"/>
          <w:b/>
          <w:color w:val="auto"/>
          <w:sz w:val="28"/>
          <w:szCs w:val="28"/>
        </w:rPr>
      </w:pPr>
      <w:bookmarkStart w:id="535" w:name="_Toc25310"/>
      <w:bookmarkStart w:id="536" w:name="_Toc20930"/>
    </w:p>
    <w:p>
      <w:pPr>
        <w:pStyle w:val="36"/>
        <w:ind w:firstLine="0" w:firstLineChars="0"/>
        <w:rPr>
          <w:rFonts w:ascii="微软雅黑" w:hAnsi="微软雅黑" w:eastAsia="微软雅黑" w:cs="微软雅黑"/>
          <w:b/>
          <w:color w:val="auto"/>
          <w:sz w:val="28"/>
          <w:szCs w:val="28"/>
        </w:rPr>
      </w:pPr>
    </w:p>
    <w:p>
      <w:pPr>
        <w:pStyle w:val="36"/>
        <w:ind w:firstLine="0" w:firstLineChars="0"/>
        <w:rPr>
          <w:rFonts w:ascii="微软雅黑" w:hAnsi="微软雅黑" w:eastAsia="微软雅黑" w:cs="微软雅黑"/>
          <w:b/>
          <w:color w:val="auto"/>
          <w:sz w:val="28"/>
          <w:szCs w:val="28"/>
        </w:rPr>
      </w:pPr>
    </w:p>
    <w:tbl>
      <w:tblPr>
        <w:tblStyle w:val="37"/>
        <w:tblpPr w:leftFromText="180" w:rightFromText="180" w:vertAnchor="text" w:horzAnchor="page" w:tblpX="1291" w:tblpY="345"/>
        <w:tblOverlap w:val="never"/>
        <w:tblW w:w="9611" w:type="dxa"/>
        <w:tblInd w:w="0" w:type="dxa"/>
        <w:tblLayout w:type="fixed"/>
        <w:tblCellMar>
          <w:top w:w="0" w:type="dxa"/>
          <w:left w:w="108" w:type="dxa"/>
          <w:bottom w:w="0" w:type="dxa"/>
          <w:right w:w="108" w:type="dxa"/>
        </w:tblCellMar>
      </w:tblPr>
      <w:tblGrid>
        <w:gridCol w:w="2790"/>
        <w:gridCol w:w="4470"/>
        <w:gridCol w:w="802"/>
        <w:gridCol w:w="829"/>
        <w:gridCol w:w="720"/>
      </w:tblGrid>
      <w:tr>
        <w:tblPrEx>
          <w:tblCellMar>
            <w:top w:w="0" w:type="dxa"/>
            <w:left w:w="108" w:type="dxa"/>
            <w:bottom w:w="0" w:type="dxa"/>
            <w:right w:w="108" w:type="dxa"/>
          </w:tblCellMar>
        </w:tblPrEx>
        <w:trPr>
          <w:trHeight w:val="585" w:hRule="atLeast"/>
        </w:trPr>
        <w:tc>
          <w:tcPr>
            <w:tcW w:w="9611" w:type="dxa"/>
            <w:gridSpan w:val="5"/>
            <w:tcBorders>
              <w:top w:val="nil"/>
              <w:left w:val="nil"/>
              <w:bottom w:val="single" w:color="auto" w:sz="4" w:space="0"/>
              <w:right w:val="nil"/>
            </w:tcBorders>
            <w:vAlign w:val="center"/>
          </w:tcPr>
          <w:p>
            <w:pPr>
              <w:widowControl/>
              <w:spacing w:line="360" w:lineRule="exact"/>
              <w:jc w:val="center"/>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一、商务符合性审查表</w:t>
            </w:r>
          </w:p>
        </w:tc>
      </w:tr>
      <w:tr>
        <w:tblPrEx>
          <w:tblCellMar>
            <w:top w:w="0" w:type="dxa"/>
            <w:left w:w="108" w:type="dxa"/>
            <w:bottom w:w="0" w:type="dxa"/>
            <w:right w:w="108" w:type="dxa"/>
          </w:tblCellMar>
        </w:tblPrEx>
        <w:trPr>
          <w:trHeight w:val="580"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审查事项</w:t>
            </w:r>
          </w:p>
        </w:tc>
        <w:tc>
          <w:tcPr>
            <w:tcW w:w="23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供应商名称及审查情况</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招标文件条款（供应商须知、供应商须知资料表条款号）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本项目要求</w:t>
            </w:r>
          </w:p>
        </w:tc>
        <w:tc>
          <w:tcPr>
            <w:tcW w:w="8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中小企业投标要求（1.3.6）</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本项目</w:t>
            </w:r>
            <w:r>
              <w:rPr>
                <w:rFonts w:hint="eastAsia" w:ascii="微软雅黑" w:hAnsi="微软雅黑" w:eastAsia="微软雅黑" w:cs="微软雅黑"/>
                <w:i/>
                <w:iCs/>
                <w:color w:val="auto"/>
                <w:kern w:val="0"/>
                <w:sz w:val="21"/>
                <w:szCs w:val="21"/>
                <w:u w:val="single"/>
              </w:rPr>
              <w:t>适用</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联合体投标规定</w:t>
            </w:r>
          </w:p>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（1.4）</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本项目</w:t>
            </w:r>
            <w:r>
              <w:rPr>
                <w:rFonts w:hint="eastAsia" w:ascii="微软雅黑" w:hAnsi="微软雅黑" w:eastAsia="微软雅黑" w:cs="微软雅黑"/>
                <w:i/>
                <w:iCs/>
                <w:color w:val="auto"/>
                <w:kern w:val="0"/>
                <w:sz w:val="21"/>
                <w:szCs w:val="21"/>
                <w:u w:val="single"/>
              </w:rPr>
              <w:t>不接受</w:t>
            </w:r>
            <w:r>
              <w:rPr>
                <w:rFonts w:hint="eastAsia" w:ascii="微软雅黑" w:hAnsi="微软雅黑" w:eastAsia="微软雅黑" w:cs="微软雅黑"/>
                <w:color w:val="auto"/>
                <w:kern w:val="0"/>
                <w:sz w:val="21"/>
                <w:szCs w:val="21"/>
              </w:rPr>
              <w:t>联合体投标</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供应商的关联性</w:t>
            </w:r>
          </w:p>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（1.5）</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在同一标包内，单位负责人为非同一人或者不存在直接控股、管理关系的不同供应商。</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未发现影响采购人决策行为（1.5）</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供应商在投标过程中未向采购人提供、给予任何有价值的物品，影响其正常决策行为。</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供应商对所投分包招标文件中所列的所有内容进行投标。</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未包含价格调整要求（11.4）</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供应商所报的各分项投标报价在合同履行过程中是固定不变的，不得以任何理由予以变更。</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投标保证金（12.1）</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符合招标文件要求</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投标有效期满足要求（13.1）</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自提交投标文件截止之日起</w:t>
            </w:r>
            <w:r>
              <w:rPr>
                <w:rFonts w:hint="eastAsia" w:ascii="微软雅黑" w:hAnsi="微软雅黑" w:eastAsia="微软雅黑" w:cs="微软雅黑"/>
                <w:color w:val="auto"/>
                <w:sz w:val="21"/>
                <w:szCs w:val="21"/>
                <w:u w:val="single"/>
              </w:rPr>
              <w:t>60 日</w:t>
            </w:r>
            <w:r>
              <w:rPr>
                <w:rFonts w:hint="eastAsia" w:ascii="微软雅黑" w:hAnsi="微软雅黑" w:eastAsia="微软雅黑" w:cs="微软雅黑"/>
                <w:color w:val="auto"/>
                <w:sz w:val="21"/>
                <w:szCs w:val="21"/>
              </w:rPr>
              <w:t>历日</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投标文件的装订方式（14.3）</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所有投标文件采用不可拆装的胶订方式装订</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投标文件的签署和盖章符合要求</w:t>
            </w:r>
          </w:p>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（14.2、14.4）</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按照招标文件规定要求签署、盖章。</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接受价格的算术修正（20.3）</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投标文件报价出现前后不一致的，应按照招标文件规定的顺序修正。修正后的报价经供应商确认后产生约束力。</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符合强制采购节能产品要求（20.6）</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本项目</w:t>
            </w:r>
            <w:r>
              <w:rPr>
                <w:rFonts w:hint="eastAsia" w:ascii="微软雅黑" w:hAnsi="微软雅黑" w:eastAsia="微软雅黑" w:cs="微软雅黑"/>
                <w:i/>
                <w:iCs/>
                <w:color w:val="auto"/>
                <w:kern w:val="0"/>
                <w:sz w:val="21"/>
                <w:szCs w:val="21"/>
                <w:u w:val="single"/>
              </w:rPr>
              <w:t>不适用</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未发现串通投标（22.2）</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未与其他供应商串通投标，或者与招标人串通投标。</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报价说明可以接受（22.2）</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供应商的报价明显低于其他通过符合性检查供应商的报价，有可能影响履约的，供应商能按照规定证明其报价合理性。</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无采购人不能接受的附加条件（22.2）</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投标文件未含有采购人不能接受的附加条件。</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1"/>
                <w:szCs w:val="21"/>
              </w:rPr>
            </w:pPr>
          </w:p>
        </w:tc>
      </w:tr>
      <w:tr>
        <w:tblPrEx>
          <w:tblCellMar>
            <w:top w:w="0" w:type="dxa"/>
            <w:left w:w="108" w:type="dxa"/>
            <w:bottom w:w="0" w:type="dxa"/>
            <w:right w:w="108" w:type="dxa"/>
          </w:tblCellMar>
        </w:tblPrEx>
        <w:trPr>
          <w:trHeight w:val="578"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b/>
                <w:color w:val="auto"/>
                <w:sz w:val="21"/>
                <w:szCs w:val="21"/>
              </w:rPr>
            </w:pPr>
            <w:r>
              <w:rPr>
                <w:rFonts w:hint="eastAsia" w:ascii="微软雅黑" w:hAnsi="微软雅黑" w:eastAsia="微软雅黑" w:cs="微软雅黑"/>
                <w:b/>
                <w:color w:val="auto"/>
                <w:kern w:val="0"/>
                <w:sz w:val="21"/>
                <w:szCs w:val="21"/>
              </w:rPr>
              <w:t>结论</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p>
        </w:tc>
        <w:tc>
          <w:tcPr>
            <w:tcW w:w="8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1"/>
                <w:szCs w:val="21"/>
              </w:rPr>
            </w:pPr>
          </w:p>
        </w:tc>
      </w:tr>
    </w:tbl>
    <w:p>
      <w:pPr>
        <w:pStyle w:val="3"/>
        <w:tabs>
          <w:tab w:val="clear" w:pos="567"/>
        </w:tabs>
        <w:spacing w:before="0" w:line="360" w:lineRule="exact"/>
        <w:rPr>
          <w:rFonts w:asciiTheme="minorEastAsia" w:hAnsiTheme="minorEastAsia" w:eastAsiaTheme="minorEastAsia" w:cstheme="minorEastAsia"/>
          <w:i/>
          <w:color w:val="auto"/>
          <w:sz w:val="21"/>
          <w:szCs w:val="21"/>
        </w:rPr>
      </w:pPr>
    </w:p>
    <w:p>
      <w:pPr>
        <w:pStyle w:val="3"/>
        <w:tabs>
          <w:tab w:val="clear" w:pos="567"/>
        </w:tabs>
        <w:spacing w:before="0" w:line="360" w:lineRule="exact"/>
        <w:ind w:left="-181" w:leftChars="-86" w:firstLine="660" w:firstLineChars="275"/>
        <w:rPr>
          <w:rFonts w:ascii="微软雅黑" w:hAnsi="微软雅黑" w:eastAsia="微软雅黑" w:cs="微软雅黑"/>
          <w:color w:val="auto"/>
        </w:rPr>
      </w:pPr>
      <w:r>
        <w:rPr>
          <w:rFonts w:hint="eastAsia" w:ascii="微软雅黑" w:hAnsi="微软雅黑" w:eastAsia="微软雅黑" w:cs="微软雅黑"/>
          <w:color w:val="auto"/>
        </w:rPr>
        <w:br w:type="page"/>
      </w:r>
    </w:p>
    <w:tbl>
      <w:tblPr>
        <w:tblStyle w:val="37"/>
        <w:tblW w:w="9011" w:type="dxa"/>
        <w:tblInd w:w="683" w:type="dxa"/>
        <w:tblLayout w:type="fixed"/>
        <w:tblCellMar>
          <w:top w:w="0" w:type="dxa"/>
          <w:left w:w="108" w:type="dxa"/>
          <w:bottom w:w="0" w:type="dxa"/>
          <w:right w:w="108" w:type="dxa"/>
        </w:tblCellMar>
      </w:tblPr>
      <w:tblGrid>
        <w:gridCol w:w="2171"/>
        <w:gridCol w:w="1320"/>
        <w:gridCol w:w="2083"/>
        <w:gridCol w:w="1702"/>
        <w:gridCol w:w="1735"/>
      </w:tblGrid>
      <w:tr>
        <w:tblPrEx>
          <w:tblCellMar>
            <w:top w:w="0" w:type="dxa"/>
            <w:left w:w="108" w:type="dxa"/>
            <w:bottom w:w="0" w:type="dxa"/>
            <w:right w:w="108" w:type="dxa"/>
          </w:tblCellMar>
        </w:tblPrEx>
        <w:trPr>
          <w:trHeight w:val="522" w:hRule="atLeast"/>
        </w:trPr>
        <w:tc>
          <w:tcPr>
            <w:tcW w:w="9011" w:type="dxa"/>
            <w:gridSpan w:val="5"/>
            <w:tcBorders>
              <w:top w:val="nil"/>
              <w:left w:val="nil"/>
              <w:bottom w:val="single" w:color="auto" w:sz="4" w:space="0"/>
              <w:right w:val="nil"/>
            </w:tcBorders>
            <w:vAlign w:val="center"/>
          </w:tcPr>
          <w:p>
            <w:pPr>
              <w:widowControl/>
              <w:spacing w:line="360" w:lineRule="exact"/>
              <w:jc w:val="center"/>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技术符合性审查表</w:t>
            </w:r>
          </w:p>
        </w:tc>
      </w:tr>
      <w:tr>
        <w:tblPrEx>
          <w:tblCellMar>
            <w:top w:w="0" w:type="dxa"/>
            <w:left w:w="108" w:type="dxa"/>
            <w:bottom w:w="0" w:type="dxa"/>
            <w:right w:w="108" w:type="dxa"/>
          </w:tblCellMar>
        </w:tblPrEx>
        <w:trPr>
          <w:trHeight w:val="369" w:hRule="atLeast"/>
        </w:trPr>
        <w:tc>
          <w:tcPr>
            <w:tcW w:w="3491"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审查事项</w:t>
            </w:r>
          </w:p>
        </w:tc>
        <w:tc>
          <w:tcPr>
            <w:tcW w:w="2083"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供应商名称</w:t>
            </w:r>
          </w:p>
        </w:tc>
        <w:tc>
          <w:tcPr>
            <w:tcW w:w="1702"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供应商名称</w:t>
            </w:r>
          </w:p>
        </w:tc>
        <w:tc>
          <w:tcPr>
            <w:tcW w:w="1735"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供应商名称</w:t>
            </w:r>
          </w:p>
        </w:tc>
      </w:tr>
      <w:tr>
        <w:tblPrEx>
          <w:tblCellMar>
            <w:top w:w="0" w:type="dxa"/>
            <w:left w:w="108" w:type="dxa"/>
            <w:bottom w:w="0" w:type="dxa"/>
            <w:right w:w="108" w:type="dxa"/>
          </w:tblCellMar>
        </w:tblPrEx>
        <w:trPr>
          <w:trHeight w:val="527" w:hRule="atLeast"/>
        </w:trPr>
        <w:tc>
          <w:tcPr>
            <w:tcW w:w="349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ascii="微软雅黑" w:hAnsi="微软雅黑" w:eastAsia="微软雅黑" w:cs="微软雅黑"/>
                <w:color w:val="auto"/>
                <w:kern w:val="0"/>
                <w:sz w:val="24"/>
              </w:rPr>
            </w:pP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27" w:hRule="atLeast"/>
        </w:trPr>
        <w:tc>
          <w:tcPr>
            <w:tcW w:w="21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招标文件要求</w:t>
            </w:r>
          </w:p>
        </w:tc>
        <w:tc>
          <w:tcPr>
            <w:tcW w:w="132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条款号</w:t>
            </w: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59" w:hRule="atLeast"/>
        </w:trPr>
        <w:tc>
          <w:tcPr>
            <w:tcW w:w="2171" w:type="dxa"/>
            <w:tcBorders>
              <w:top w:val="nil"/>
              <w:left w:val="single" w:color="auto" w:sz="4" w:space="0"/>
              <w:bottom w:val="single" w:color="auto" w:sz="4" w:space="0"/>
              <w:right w:val="single" w:color="auto" w:sz="4" w:space="0"/>
            </w:tcBorders>
            <w:vAlign w:val="center"/>
          </w:tcPr>
          <w:p>
            <w:pPr>
              <w:pStyle w:val="5"/>
              <w:numPr>
                <w:ilvl w:val="0"/>
                <w:numId w:val="0"/>
              </w:numPr>
              <w:tabs>
                <w:tab w:val="left" w:pos="0"/>
              </w:tabs>
              <w:spacing w:before="0" w:after="0" w:line="240" w:lineRule="atLeast"/>
              <w:ind w:firstLine="240" w:firstLineChars="100"/>
              <w:jc w:val="both"/>
              <w:rPr>
                <w:rFonts w:hint="default" w:ascii="微软雅黑" w:hAnsi="微软雅黑" w:eastAsia="微软雅黑" w:cs="微软雅黑"/>
                <w:color w:val="auto"/>
                <w:kern w:val="0"/>
                <w:sz w:val="24"/>
                <w:lang w:val="en-US" w:eastAsia="zh-CN"/>
              </w:rPr>
            </w:pPr>
            <w:r>
              <w:rPr>
                <w:rFonts w:hint="eastAsia" w:ascii="微软雅黑" w:hAnsi="微软雅黑" w:eastAsia="微软雅黑" w:cs="微软雅黑"/>
                <w:b w:val="0"/>
                <w:bCs/>
                <w:color w:val="auto"/>
                <w:kern w:val="0"/>
                <w:sz w:val="24"/>
                <w:lang w:val="en-US" w:eastAsia="zh-CN"/>
              </w:rPr>
              <w:t>服务需求</w:t>
            </w:r>
          </w:p>
        </w:tc>
        <w:tc>
          <w:tcPr>
            <w:tcW w:w="132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第5章</w:t>
            </w: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w:t>
            </w:r>
          </w:p>
        </w:tc>
      </w:tr>
      <w:tr>
        <w:tblPrEx>
          <w:tblCellMar>
            <w:top w:w="0" w:type="dxa"/>
            <w:left w:w="108" w:type="dxa"/>
            <w:bottom w:w="0" w:type="dxa"/>
            <w:right w:w="108" w:type="dxa"/>
          </w:tblCellMar>
        </w:tblPrEx>
        <w:trPr>
          <w:trHeight w:val="527" w:hRule="atLeast"/>
        </w:trPr>
        <w:tc>
          <w:tcPr>
            <w:tcW w:w="21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27" w:hRule="atLeast"/>
        </w:trPr>
        <w:tc>
          <w:tcPr>
            <w:tcW w:w="21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27" w:hRule="atLeast"/>
        </w:trPr>
        <w:tc>
          <w:tcPr>
            <w:tcW w:w="2171" w:type="dxa"/>
            <w:tcBorders>
              <w:top w:val="nil"/>
              <w:left w:val="single" w:color="auto" w:sz="4" w:space="0"/>
              <w:bottom w:val="nil"/>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1320" w:type="dxa"/>
            <w:tcBorders>
              <w:top w:val="nil"/>
              <w:left w:val="nil"/>
              <w:bottom w:val="nil"/>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2083" w:type="dxa"/>
            <w:tcBorders>
              <w:top w:val="nil"/>
              <w:left w:val="nil"/>
              <w:bottom w:val="nil"/>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nil"/>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nil"/>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27" w:hRule="atLeast"/>
        </w:trPr>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13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2083"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17" w:hRule="atLeast"/>
        </w:trPr>
        <w:tc>
          <w:tcPr>
            <w:tcW w:w="21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27" w:hRule="atLeast"/>
        </w:trPr>
        <w:tc>
          <w:tcPr>
            <w:tcW w:w="21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27" w:hRule="atLeast"/>
        </w:trPr>
        <w:tc>
          <w:tcPr>
            <w:tcW w:w="21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27" w:hRule="atLeast"/>
        </w:trPr>
        <w:tc>
          <w:tcPr>
            <w:tcW w:w="21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27" w:hRule="atLeast"/>
        </w:trPr>
        <w:tc>
          <w:tcPr>
            <w:tcW w:w="21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p>
        </w:tc>
        <w:tc>
          <w:tcPr>
            <w:tcW w:w="2083"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27" w:hRule="atLeast"/>
        </w:trPr>
        <w:tc>
          <w:tcPr>
            <w:tcW w:w="349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结论</w:t>
            </w:r>
          </w:p>
        </w:tc>
        <w:tc>
          <w:tcPr>
            <w:tcW w:w="2083"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02"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735"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433" w:hRule="atLeast"/>
        </w:trPr>
        <w:tc>
          <w:tcPr>
            <w:tcW w:w="2171" w:type="dxa"/>
            <w:tcBorders>
              <w:top w:val="nil"/>
              <w:left w:val="nil"/>
              <w:bottom w:val="nil"/>
              <w:right w:val="nil"/>
            </w:tcBorders>
            <w:vAlign w:val="center"/>
          </w:tcPr>
          <w:p>
            <w:pPr>
              <w:widowControl/>
              <w:spacing w:line="360" w:lineRule="exact"/>
              <w:jc w:val="center"/>
              <w:rPr>
                <w:rFonts w:asciiTheme="minorEastAsia" w:hAnsiTheme="minorEastAsia" w:eastAsiaTheme="minorEastAsia" w:cstheme="minorEastAsia"/>
                <w:color w:val="auto"/>
                <w:kern w:val="0"/>
                <w:sz w:val="24"/>
              </w:rPr>
            </w:pPr>
          </w:p>
        </w:tc>
        <w:tc>
          <w:tcPr>
            <w:tcW w:w="1320" w:type="dxa"/>
            <w:tcBorders>
              <w:top w:val="nil"/>
              <w:left w:val="nil"/>
              <w:bottom w:val="nil"/>
              <w:right w:val="nil"/>
            </w:tcBorders>
            <w:vAlign w:val="center"/>
          </w:tcPr>
          <w:p>
            <w:pPr>
              <w:widowControl/>
              <w:spacing w:line="360" w:lineRule="exact"/>
              <w:jc w:val="center"/>
              <w:rPr>
                <w:rFonts w:asciiTheme="minorEastAsia" w:hAnsiTheme="minorEastAsia" w:eastAsiaTheme="minorEastAsia" w:cstheme="minorEastAsia"/>
                <w:color w:val="auto"/>
                <w:kern w:val="0"/>
                <w:sz w:val="24"/>
              </w:rPr>
            </w:pPr>
          </w:p>
        </w:tc>
        <w:tc>
          <w:tcPr>
            <w:tcW w:w="2083" w:type="dxa"/>
            <w:tcBorders>
              <w:top w:val="nil"/>
              <w:left w:val="nil"/>
              <w:bottom w:val="nil"/>
              <w:right w:val="nil"/>
            </w:tcBorders>
            <w:vAlign w:val="center"/>
          </w:tcPr>
          <w:p>
            <w:pPr>
              <w:widowControl/>
              <w:spacing w:line="360" w:lineRule="exact"/>
              <w:jc w:val="center"/>
              <w:rPr>
                <w:rFonts w:asciiTheme="minorEastAsia" w:hAnsiTheme="minorEastAsia" w:eastAsiaTheme="minorEastAsia" w:cstheme="minorEastAsia"/>
                <w:color w:val="auto"/>
                <w:kern w:val="0"/>
                <w:sz w:val="24"/>
              </w:rPr>
            </w:pPr>
          </w:p>
        </w:tc>
        <w:tc>
          <w:tcPr>
            <w:tcW w:w="1702" w:type="dxa"/>
            <w:tcBorders>
              <w:top w:val="nil"/>
              <w:left w:val="nil"/>
              <w:bottom w:val="nil"/>
              <w:right w:val="nil"/>
            </w:tcBorders>
            <w:vAlign w:val="center"/>
          </w:tcPr>
          <w:p>
            <w:pPr>
              <w:widowControl/>
              <w:spacing w:line="360" w:lineRule="exact"/>
              <w:jc w:val="left"/>
              <w:rPr>
                <w:rFonts w:asciiTheme="minorEastAsia" w:hAnsiTheme="minorEastAsia" w:eastAsiaTheme="minorEastAsia" w:cstheme="minorEastAsia"/>
                <w:color w:val="auto"/>
                <w:kern w:val="0"/>
                <w:sz w:val="24"/>
              </w:rPr>
            </w:pPr>
          </w:p>
        </w:tc>
        <w:tc>
          <w:tcPr>
            <w:tcW w:w="1735" w:type="dxa"/>
            <w:tcBorders>
              <w:top w:val="nil"/>
              <w:left w:val="nil"/>
              <w:bottom w:val="nil"/>
              <w:right w:val="nil"/>
            </w:tcBorders>
            <w:vAlign w:val="center"/>
          </w:tcPr>
          <w:p>
            <w:pPr>
              <w:widowControl/>
              <w:spacing w:line="360" w:lineRule="exact"/>
              <w:jc w:val="left"/>
              <w:rPr>
                <w:rFonts w:asciiTheme="minorEastAsia" w:hAnsiTheme="minorEastAsia" w:eastAsiaTheme="minorEastAsia" w:cstheme="minorEastAsia"/>
                <w:color w:val="auto"/>
                <w:kern w:val="0"/>
                <w:sz w:val="24"/>
              </w:rPr>
            </w:pPr>
          </w:p>
        </w:tc>
      </w:tr>
    </w:tbl>
    <w:p>
      <w:pPr>
        <w:pStyle w:val="3"/>
        <w:tabs>
          <w:tab w:val="clear" w:pos="567"/>
        </w:tabs>
        <w:spacing w:before="0" w:line="360" w:lineRule="exact"/>
        <w:ind w:left="-181" w:leftChars="-86" w:firstLine="660" w:firstLineChars="275"/>
        <w:rPr>
          <w:rFonts w:asciiTheme="minorEastAsia" w:hAnsiTheme="minorEastAsia" w:eastAsiaTheme="minorEastAsia" w:cstheme="minorEastAsia"/>
          <w:color w:val="auto"/>
        </w:rPr>
      </w:pPr>
    </w:p>
    <w:p>
      <w:pPr>
        <w:spacing w:line="360" w:lineRule="exact"/>
        <w:jc w:val="center"/>
        <w:rPr>
          <w:rFonts w:asciiTheme="minorEastAsia" w:hAnsiTheme="minorEastAsia" w:eastAsiaTheme="minorEastAsia" w:cstheme="minorEastAsia"/>
          <w:b/>
          <w:bCs/>
          <w:color w:val="auto"/>
          <w:sz w:val="24"/>
        </w:rPr>
      </w:pPr>
    </w:p>
    <w:p>
      <w:pPr>
        <w:spacing w:line="360" w:lineRule="exact"/>
        <w:jc w:val="center"/>
        <w:rPr>
          <w:rFonts w:asciiTheme="minorEastAsia" w:hAnsiTheme="minorEastAsia" w:eastAsiaTheme="minorEastAsia" w:cstheme="minorEastAsia"/>
          <w:b/>
          <w:bCs/>
          <w:color w:val="auto"/>
          <w:sz w:val="24"/>
        </w:rPr>
      </w:pPr>
    </w:p>
    <w:p>
      <w:pPr>
        <w:spacing w:line="360" w:lineRule="exact"/>
        <w:jc w:val="center"/>
        <w:rPr>
          <w:rFonts w:asciiTheme="minorEastAsia" w:hAnsiTheme="minorEastAsia" w:eastAsiaTheme="minorEastAsia" w:cstheme="minorEastAsia"/>
          <w:b/>
          <w:bCs/>
          <w:color w:val="auto"/>
          <w:sz w:val="24"/>
        </w:rPr>
      </w:pPr>
    </w:p>
    <w:p>
      <w:pPr>
        <w:pStyle w:val="36"/>
        <w:ind w:firstLine="0" w:firstLineChars="0"/>
        <w:rPr>
          <w:rFonts w:ascii="微软雅黑" w:hAnsi="微软雅黑" w:eastAsia="微软雅黑" w:cs="微软雅黑"/>
          <w:b/>
          <w:color w:val="auto"/>
          <w:sz w:val="28"/>
          <w:szCs w:val="28"/>
        </w:rPr>
      </w:pPr>
    </w:p>
    <w:p>
      <w:pPr>
        <w:pStyle w:val="36"/>
        <w:ind w:firstLine="0" w:firstLineChars="0"/>
        <w:rPr>
          <w:rFonts w:ascii="微软雅黑" w:hAnsi="微软雅黑" w:eastAsia="微软雅黑" w:cs="微软雅黑"/>
          <w:b/>
          <w:color w:val="auto"/>
          <w:sz w:val="28"/>
          <w:szCs w:val="28"/>
        </w:rPr>
      </w:pPr>
    </w:p>
    <w:p>
      <w:pPr>
        <w:pStyle w:val="36"/>
        <w:ind w:firstLine="0" w:firstLineChars="0"/>
        <w:rPr>
          <w:rFonts w:ascii="微软雅黑" w:hAnsi="微软雅黑" w:eastAsia="微软雅黑" w:cs="微软雅黑"/>
          <w:b/>
          <w:color w:val="auto"/>
          <w:sz w:val="28"/>
          <w:szCs w:val="28"/>
        </w:rPr>
      </w:pPr>
    </w:p>
    <w:p>
      <w:pPr>
        <w:pStyle w:val="36"/>
        <w:ind w:firstLine="0" w:firstLineChars="0"/>
        <w:rPr>
          <w:rFonts w:ascii="微软雅黑" w:hAnsi="微软雅黑" w:eastAsia="微软雅黑" w:cs="微软雅黑"/>
          <w:b/>
          <w:color w:val="auto"/>
          <w:sz w:val="28"/>
          <w:szCs w:val="28"/>
        </w:rPr>
      </w:pPr>
    </w:p>
    <w:p>
      <w:pPr>
        <w:spacing w:line="240" w:lineRule="atLeast"/>
        <w:outlineLvl w:val="1"/>
        <w:rPr>
          <w:rFonts w:ascii="微软雅黑" w:hAnsi="微软雅黑" w:eastAsia="微软雅黑" w:cs="微软雅黑"/>
          <w:b/>
          <w:color w:val="auto"/>
          <w:sz w:val="28"/>
          <w:szCs w:val="28"/>
        </w:rPr>
      </w:pPr>
    </w:p>
    <w:bookmarkEnd w:id="535"/>
    <w:bookmarkEnd w:id="536"/>
    <w:p>
      <w:pPr>
        <w:spacing w:line="240" w:lineRule="atLeast"/>
        <w:jc w:val="both"/>
        <w:rPr>
          <w:rFonts w:hint="eastAsia" w:ascii="微软雅黑" w:hAnsi="微软雅黑" w:eastAsia="微软雅黑" w:cs="微软雅黑"/>
          <w:b/>
          <w:color w:val="auto"/>
          <w:sz w:val="48"/>
          <w:szCs w:val="48"/>
        </w:rPr>
      </w:pPr>
    </w:p>
    <w:p>
      <w:pPr>
        <w:pStyle w:val="3"/>
        <w:tabs>
          <w:tab w:val="clear" w:pos="567"/>
        </w:tabs>
        <w:spacing w:before="0" w:line="360" w:lineRule="auto"/>
        <w:jc w:val="center"/>
        <w:rPr>
          <w:rFonts w:hint="eastAsia" w:ascii="微软雅黑 Light" w:hAnsi="微软雅黑 Light" w:eastAsia="微软雅黑 Light" w:cs="微软雅黑 Light"/>
          <w:b/>
          <w:bCs/>
        </w:rPr>
      </w:pPr>
      <w:r>
        <w:rPr>
          <w:rFonts w:hint="eastAsia" w:ascii="微软雅黑 Light" w:hAnsi="微软雅黑 Light" w:eastAsia="微软雅黑 Light" w:cs="微软雅黑 Light"/>
          <w:b/>
          <w:bCs/>
        </w:rPr>
        <w:t>评分方法（综合评分法）及评分标准</w:t>
      </w:r>
    </w:p>
    <w:tbl>
      <w:tblPr>
        <w:tblStyle w:val="37"/>
        <w:tblW w:w="9371"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47"/>
        <w:gridCol w:w="1173"/>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shd w:val="clear" w:color="000000" w:fill="BFBFBF"/>
            <w:noWrap w:val="0"/>
            <w:vAlign w:val="center"/>
          </w:tcPr>
          <w:p>
            <w:pPr>
              <w:widowControl/>
              <w:contextualSpacing/>
              <w:rPr>
                <w:rFonts w:hint="eastAsia" w:ascii="微软雅黑 Light" w:hAnsi="微软雅黑 Light" w:eastAsia="微软雅黑 Light" w:cs="微软雅黑 Light"/>
                <w:b/>
                <w:bCs/>
                <w:color w:val="auto"/>
                <w:kern w:val="0"/>
                <w:sz w:val="20"/>
                <w:szCs w:val="20"/>
              </w:rPr>
            </w:pPr>
            <w:r>
              <w:rPr>
                <w:rFonts w:hint="eastAsia" w:ascii="微软雅黑 Light" w:hAnsi="微软雅黑 Light" w:eastAsia="微软雅黑 Light" w:cs="微软雅黑 Light"/>
                <w:b/>
                <w:bCs/>
                <w:color w:val="auto"/>
                <w:kern w:val="0"/>
                <w:sz w:val="20"/>
                <w:szCs w:val="20"/>
              </w:rPr>
              <w:t>评标项目</w:t>
            </w:r>
          </w:p>
        </w:tc>
        <w:tc>
          <w:tcPr>
            <w:tcW w:w="947" w:type="dxa"/>
            <w:shd w:val="clear" w:color="000000" w:fill="BFBFBF"/>
            <w:noWrap w:val="0"/>
            <w:vAlign w:val="center"/>
          </w:tcPr>
          <w:p>
            <w:pPr>
              <w:widowControl/>
              <w:contextualSpacing/>
              <w:rPr>
                <w:rFonts w:hint="eastAsia" w:ascii="微软雅黑 Light" w:hAnsi="微软雅黑 Light" w:eastAsia="微软雅黑 Light" w:cs="微软雅黑 Light"/>
                <w:b/>
                <w:bCs/>
                <w:color w:val="auto"/>
                <w:kern w:val="0"/>
                <w:sz w:val="20"/>
                <w:szCs w:val="20"/>
              </w:rPr>
            </w:pPr>
            <w:r>
              <w:rPr>
                <w:rFonts w:hint="eastAsia" w:ascii="微软雅黑 Light" w:hAnsi="微软雅黑 Light" w:eastAsia="微软雅黑 Light" w:cs="微软雅黑 Light"/>
                <w:b/>
                <w:bCs/>
                <w:color w:val="auto"/>
                <w:kern w:val="0"/>
                <w:sz w:val="20"/>
                <w:szCs w:val="20"/>
              </w:rPr>
              <w:t>评标分项</w:t>
            </w:r>
          </w:p>
        </w:tc>
        <w:tc>
          <w:tcPr>
            <w:tcW w:w="1173" w:type="dxa"/>
            <w:shd w:val="clear" w:color="000000" w:fill="BFBFBF"/>
            <w:noWrap w:val="0"/>
            <w:vAlign w:val="center"/>
          </w:tcPr>
          <w:p>
            <w:pPr>
              <w:widowControl/>
              <w:contextualSpacing/>
              <w:rPr>
                <w:rFonts w:hint="eastAsia" w:ascii="微软雅黑 Light" w:hAnsi="微软雅黑 Light" w:eastAsia="微软雅黑 Light" w:cs="微软雅黑 Light"/>
                <w:b/>
                <w:bCs/>
                <w:color w:val="auto"/>
                <w:kern w:val="0"/>
                <w:sz w:val="20"/>
                <w:szCs w:val="20"/>
              </w:rPr>
            </w:pPr>
            <w:r>
              <w:rPr>
                <w:rFonts w:hint="eastAsia" w:ascii="微软雅黑 Light" w:hAnsi="微软雅黑 Light" w:eastAsia="微软雅黑 Light" w:cs="微软雅黑 Light"/>
                <w:b/>
                <w:bCs/>
                <w:color w:val="auto"/>
                <w:kern w:val="0"/>
                <w:sz w:val="20"/>
                <w:szCs w:val="20"/>
              </w:rPr>
              <w:t>分值</w:t>
            </w:r>
          </w:p>
        </w:tc>
        <w:tc>
          <w:tcPr>
            <w:tcW w:w="6467" w:type="dxa"/>
            <w:shd w:val="clear" w:color="000000" w:fill="BFBFBF"/>
            <w:noWrap w:val="0"/>
            <w:vAlign w:val="center"/>
          </w:tcPr>
          <w:p>
            <w:pPr>
              <w:widowControl/>
              <w:ind w:firstLine="400" w:firstLineChars="200"/>
              <w:contextualSpacing/>
              <w:jc w:val="center"/>
              <w:rPr>
                <w:rFonts w:hint="eastAsia" w:ascii="微软雅黑 Light" w:hAnsi="微软雅黑 Light" w:eastAsia="微软雅黑 Light" w:cs="微软雅黑 Light"/>
                <w:b/>
                <w:bCs/>
                <w:color w:val="auto"/>
                <w:kern w:val="0"/>
                <w:sz w:val="20"/>
                <w:szCs w:val="20"/>
              </w:rPr>
            </w:pPr>
            <w:r>
              <w:rPr>
                <w:rFonts w:hint="eastAsia" w:ascii="微软雅黑 Light" w:hAnsi="微软雅黑 Light" w:eastAsia="微软雅黑 Light" w:cs="微软雅黑 Light"/>
                <w:b/>
                <w:bCs/>
                <w:color w:val="auto"/>
                <w:kern w:val="0"/>
                <w:sz w:val="20"/>
                <w:szCs w:val="20"/>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784" w:type="dxa"/>
            <w:noWrap w:val="0"/>
            <w:vAlign w:val="center"/>
          </w:tcPr>
          <w:p>
            <w:pPr>
              <w:widowControl/>
              <w:ind w:left="200" w:hanging="200" w:hangingChars="100"/>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价格评审（</w:t>
            </w:r>
            <w:r>
              <w:rPr>
                <w:rFonts w:hint="eastAsia" w:ascii="微软雅黑 Light" w:hAnsi="微软雅黑 Light" w:eastAsia="微软雅黑 Light" w:cs="微软雅黑 Light"/>
                <w:color w:val="000000"/>
                <w:kern w:val="0"/>
                <w:sz w:val="20"/>
                <w:szCs w:val="20"/>
                <w:lang w:val="en-US" w:eastAsia="zh-CN"/>
              </w:rPr>
              <w:t>30</w:t>
            </w:r>
            <w:r>
              <w:rPr>
                <w:rFonts w:hint="eastAsia" w:ascii="微软雅黑 Light" w:hAnsi="微软雅黑 Light" w:eastAsia="微软雅黑 Light" w:cs="微软雅黑 Light"/>
                <w:color w:val="000000"/>
                <w:kern w:val="0"/>
                <w:sz w:val="20"/>
                <w:szCs w:val="20"/>
              </w:rPr>
              <w:t>）</w:t>
            </w:r>
          </w:p>
        </w:tc>
        <w:tc>
          <w:tcPr>
            <w:tcW w:w="947" w:type="dxa"/>
            <w:noWrap w:val="0"/>
            <w:vAlign w:val="center"/>
          </w:tcPr>
          <w:p>
            <w:pPr>
              <w:widowControl/>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投标报价</w:t>
            </w:r>
          </w:p>
        </w:tc>
        <w:tc>
          <w:tcPr>
            <w:tcW w:w="1173" w:type="dxa"/>
            <w:noWrap w:val="0"/>
            <w:vAlign w:val="center"/>
          </w:tcPr>
          <w:p>
            <w:pPr>
              <w:widowControl/>
              <w:contextualSpacing/>
              <w:jc w:val="center"/>
              <w:rPr>
                <w:rFonts w:hint="default"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30</w:t>
            </w:r>
          </w:p>
        </w:tc>
        <w:tc>
          <w:tcPr>
            <w:tcW w:w="6467" w:type="dxa"/>
            <w:noWrap w:val="0"/>
            <w:vAlign w:val="center"/>
          </w:tcPr>
          <w:p>
            <w:pPr>
              <w:widowControl/>
              <w:spacing w:line="340" w:lineRule="exact"/>
              <w:contextualSpacing/>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以满足招标文件要求且投标价格最低的投标报价为评标基准价，其价格分为满分；其他投标人的价格分统一按照下列公式计算：</w:t>
            </w:r>
          </w:p>
          <w:p>
            <w:pPr>
              <w:widowControl/>
              <w:spacing w:line="340" w:lineRule="exact"/>
              <w:contextualSpacing/>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报价得分=（评标基准价/投标报价）×价格分值</w:t>
            </w:r>
          </w:p>
          <w:p>
            <w:pPr>
              <w:widowControl/>
              <w:spacing w:line="340" w:lineRule="exact"/>
              <w:contextualSpacing/>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注：为防止恶意低价竞标，若五分之四（含）以上评委认定报价或者重要分项报价明显不合理或者低于成本，有可能影响产品质量和不能诚信履约的，应要求在规定时限内提供书面说明及相关证明材料，否则视为低价恶意竞争，其投标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784" w:type="dxa"/>
            <w:vMerge w:val="restart"/>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商务评审（</w:t>
            </w:r>
            <w:r>
              <w:rPr>
                <w:rFonts w:hint="eastAsia" w:ascii="微软雅黑 Light" w:hAnsi="微软雅黑 Light" w:eastAsia="微软雅黑 Light" w:cs="微软雅黑 Light"/>
                <w:color w:val="000000"/>
                <w:kern w:val="0"/>
                <w:sz w:val="20"/>
                <w:szCs w:val="20"/>
                <w:lang w:val="en-US" w:eastAsia="zh-CN"/>
              </w:rPr>
              <w:t>18</w:t>
            </w:r>
            <w:r>
              <w:rPr>
                <w:rFonts w:hint="eastAsia" w:ascii="微软雅黑 Light" w:hAnsi="微软雅黑 Light" w:eastAsia="微软雅黑 Light" w:cs="微软雅黑 Light"/>
                <w:color w:val="000000"/>
                <w:kern w:val="0"/>
                <w:sz w:val="20"/>
                <w:szCs w:val="20"/>
              </w:rPr>
              <w:t>）</w:t>
            </w:r>
          </w:p>
        </w:tc>
        <w:tc>
          <w:tcPr>
            <w:tcW w:w="947" w:type="dxa"/>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资信及履约能力</w:t>
            </w:r>
          </w:p>
        </w:tc>
        <w:tc>
          <w:tcPr>
            <w:tcW w:w="1173" w:type="dxa"/>
            <w:noWrap w:val="0"/>
            <w:vAlign w:val="center"/>
          </w:tcPr>
          <w:p>
            <w:pPr>
              <w:widowControl/>
              <w:spacing w:line="340" w:lineRule="exact"/>
              <w:contextualSpacing/>
              <w:jc w:val="center"/>
              <w:rPr>
                <w:rFonts w:hint="default" w:ascii="微软雅黑 Light" w:hAnsi="微软雅黑 Light" w:eastAsia="微软雅黑 Light" w:cs="微软雅黑 Light"/>
                <w:color w:val="auto"/>
                <w:kern w:val="0"/>
                <w:sz w:val="20"/>
                <w:szCs w:val="20"/>
                <w:lang w:val="en-US" w:eastAsia="zh-CN"/>
              </w:rPr>
            </w:pPr>
            <w:r>
              <w:rPr>
                <w:rFonts w:hint="eastAsia" w:ascii="微软雅黑 Light" w:hAnsi="微软雅黑 Light" w:eastAsia="微软雅黑 Light" w:cs="微软雅黑 Light"/>
                <w:color w:val="auto"/>
                <w:kern w:val="0"/>
                <w:sz w:val="20"/>
                <w:szCs w:val="20"/>
                <w:lang w:val="en-US" w:eastAsia="zh-CN"/>
              </w:rPr>
              <w:t>13</w:t>
            </w:r>
          </w:p>
        </w:tc>
        <w:tc>
          <w:tcPr>
            <w:tcW w:w="6467" w:type="dxa"/>
            <w:noWrap w:val="0"/>
            <w:vAlign w:val="center"/>
          </w:tcPr>
          <w:p>
            <w:pPr>
              <w:widowControl/>
              <w:spacing w:line="340" w:lineRule="exact"/>
              <w:contextualSpacing/>
              <w:rPr>
                <w:rFonts w:hint="eastAsia" w:ascii="微软雅黑 Light" w:hAnsi="微软雅黑 Light" w:eastAsia="微软雅黑 Light" w:cs="微软雅黑 Light"/>
                <w:color w:val="auto"/>
                <w:kern w:val="0"/>
                <w:sz w:val="20"/>
                <w:szCs w:val="20"/>
              </w:rPr>
            </w:pPr>
            <w:r>
              <w:rPr>
                <w:rFonts w:hint="eastAsia" w:ascii="微软雅黑 Light" w:hAnsi="微软雅黑 Light" w:eastAsia="微软雅黑 Light" w:cs="微软雅黑 Light"/>
                <w:color w:val="auto"/>
                <w:kern w:val="0"/>
                <w:sz w:val="20"/>
                <w:szCs w:val="20"/>
              </w:rPr>
              <w:t>1</w:t>
            </w:r>
            <w:r>
              <w:rPr>
                <w:rFonts w:hint="eastAsia" w:ascii="微软雅黑 Light" w:hAnsi="微软雅黑 Light" w:eastAsia="微软雅黑 Light" w:cs="微软雅黑 Light"/>
                <w:color w:val="auto"/>
                <w:kern w:val="0"/>
                <w:sz w:val="20"/>
                <w:szCs w:val="20"/>
                <w:highlight w:val="none"/>
              </w:rPr>
              <w:t>.提供近3年（从投标截止日往前推算，以合同签订日期为准）以来类似</w:t>
            </w:r>
            <w:r>
              <w:rPr>
                <w:rFonts w:hint="eastAsia" w:ascii="微软雅黑 Light" w:hAnsi="微软雅黑 Light" w:eastAsia="微软雅黑 Light" w:cs="微软雅黑 Light"/>
                <w:color w:val="auto"/>
                <w:kern w:val="0"/>
                <w:sz w:val="20"/>
                <w:szCs w:val="20"/>
                <w:highlight w:val="none"/>
                <w:lang w:val="en-US" w:eastAsia="zh-CN"/>
              </w:rPr>
              <w:t>项目</w:t>
            </w:r>
            <w:r>
              <w:rPr>
                <w:rFonts w:hint="eastAsia" w:ascii="微软雅黑 Light" w:hAnsi="微软雅黑 Light" w:eastAsia="微软雅黑 Light" w:cs="微软雅黑 Light"/>
                <w:color w:val="auto"/>
                <w:kern w:val="0"/>
                <w:sz w:val="20"/>
                <w:szCs w:val="20"/>
                <w:highlight w:val="none"/>
              </w:rPr>
              <w:t>评估类案例业绩（中标通知书或合同），每提供1份得</w:t>
            </w:r>
            <w:r>
              <w:rPr>
                <w:rFonts w:hint="eastAsia" w:ascii="微软雅黑 Light" w:hAnsi="微软雅黑 Light" w:eastAsia="微软雅黑 Light" w:cs="微软雅黑 Light"/>
                <w:color w:val="auto"/>
                <w:kern w:val="0"/>
                <w:sz w:val="20"/>
                <w:szCs w:val="20"/>
                <w:highlight w:val="none"/>
                <w:lang w:val="en-US" w:eastAsia="zh-CN"/>
              </w:rPr>
              <w:t>2</w:t>
            </w:r>
            <w:r>
              <w:rPr>
                <w:rFonts w:hint="eastAsia" w:ascii="微软雅黑 Light" w:hAnsi="微软雅黑 Light" w:eastAsia="微软雅黑 Light" w:cs="微软雅黑 Light"/>
                <w:color w:val="auto"/>
                <w:kern w:val="0"/>
                <w:sz w:val="20"/>
                <w:szCs w:val="20"/>
                <w:highlight w:val="none"/>
              </w:rPr>
              <w:t>分，最高得</w:t>
            </w:r>
            <w:r>
              <w:rPr>
                <w:rFonts w:hint="eastAsia" w:ascii="微软雅黑 Light" w:hAnsi="微软雅黑 Light" w:eastAsia="微软雅黑 Light" w:cs="微软雅黑 Light"/>
                <w:color w:val="auto"/>
                <w:kern w:val="0"/>
                <w:sz w:val="20"/>
                <w:szCs w:val="20"/>
                <w:highlight w:val="none"/>
                <w:lang w:val="en-US" w:eastAsia="zh-CN"/>
              </w:rPr>
              <w:t>10</w:t>
            </w:r>
            <w:r>
              <w:rPr>
                <w:rFonts w:hint="eastAsia" w:ascii="微软雅黑 Light" w:hAnsi="微软雅黑 Light" w:eastAsia="微软雅黑 Light" w:cs="微软雅黑 Light"/>
                <w:color w:val="auto"/>
                <w:kern w:val="0"/>
                <w:sz w:val="20"/>
                <w:szCs w:val="20"/>
                <w:highlight w:val="none"/>
              </w:rPr>
              <w:t>分；</w:t>
            </w:r>
          </w:p>
          <w:p>
            <w:pPr>
              <w:widowControl/>
              <w:spacing w:line="340" w:lineRule="exact"/>
              <w:contextualSpacing/>
              <w:rPr>
                <w:rFonts w:hint="eastAsia" w:ascii="微软雅黑 Light" w:hAnsi="微软雅黑 Light" w:eastAsia="微软雅黑 Light" w:cs="微软雅黑 Light"/>
                <w:color w:val="auto"/>
                <w:kern w:val="0"/>
                <w:sz w:val="20"/>
                <w:szCs w:val="20"/>
              </w:rPr>
            </w:pPr>
            <w:r>
              <w:rPr>
                <w:rFonts w:hint="eastAsia" w:ascii="微软雅黑 Light" w:hAnsi="微软雅黑 Light" w:eastAsia="微软雅黑 Light" w:cs="微软雅黑 Light"/>
                <w:color w:val="auto"/>
                <w:kern w:val="0"/>
                <w:sz w:val="20"/>
                <w:szCs w:val="20"/>
              </w:rPr>
              <w:t>2.综合考虑企业财务状况、资信情况，得</w:t>
            </w:r>
            <w:r>
              <w:rPr>
                <w:rFonts w:hint="eastAsia" w:ascii="微软雅黑 Light" w:hAnsi="微软雅黑 Light" w:eastAsia="微软雅黑 Light" w:cs="微软雅黑 Light"/>
                <w:color w:val="auto"/>
                <w:kern w:val="0"/>
                <w:sz w:val="20"/>
                <w:szCs w:val="20"/>
                <w:lang w:val="en-US" w:eastAsia="zh-CN"/>
              </w:rPr>
              <w:t>3</w:t>
            </w:r>
            <w:r>
              <w:rPr>
                <w:rFonts w:hint="eastAsia" w:ascii="微软雅黑 Light" w:hAnsi="微软雅黑 Light" w:eastAsia="微软雅黑 Light" w:cs="微软雅黑 Light"/>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784" w:type="dxa"/>
            <w:vMerge w:val="continue"/>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p>
        </w:tc>
        <w:tc>
          <w:tcPr>
            <w:tcW w:w="947" w:type="dxa"/>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p>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标书制作</w:t>
            </w:r>
          </w:p>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p>
        </w:tc>
        <w:tc>
          <w:tcPr>
            <w:tcW w:w="1173" w:type="dxa"/>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lang w:eastAsia="zh-CN"/>
              </w:rPr>
            </w:pPr>
            <w:r>
              <w:rPr>
                <w:rFonts w:hint="eastAsia" w:ascii="微软雅黑 Light" w:hAnsi="微软雅黑 Light" w:eastAsia="微软雅黑 Light" w:cs="微软雅黑 Light"/>
                <w:color w:val="000000"/>
                <w:kern w:val="0"/>
                <w:sz w:val="20"/>
                <w:szCs w:val="20"/>
                <w:lang w:val="en-US" w:eastAsia="zh-CN"/>
              </w:rPr>
              <w:t>5</w:t>
            </w:r>
          </w:p>
        </w:tc>
        <w:tc>
          <w:tcPr>
            <w:tcW w:w="6467" w:type="dxa"/>
            <w:noWrap w:val="0"/>
            <w:vAlign w:val="center"/>
          </w:tcPr>
          <w:p>
            <w:pPr>
              <w:widowControl/>
              <w:spacing w:line="340" w:lineRule="exact"/>
              <w:contextualSpacing/>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标书制作：投标书顺序编制，有目录、编页码，装订成册，书面整洁无涂改，没有缺漏项，价格数量等计算准确的，满分</w:t>
            </w:r>
            <w:r>
              <w:rPr>
                <w:rFonts w:hint="eastAsia" w:ascii="微软雅黑 Light" w:hAnsi="微软雅黑 Light" w:eastAsia="微软雅黑 Light" w:cs="微软雅黑 Light"/>
                <w:color w:val="000000"/>
                <w:kern w:val="0"/>
                <w:sz w:val="20"/>
                <w:szCs w:val="20"/>
                <w:lang w:val="en-US" w:eastAsia="zh-CN"/>
              </w:rPr>
              <w:t>5</w:t>
            </w:r>
            <w:r>
              <w:rPr>
                <w:rFonts w:hint="eastAsia" w:ascii="微软雅黑 Light" w:hAnsi="微软雅黑 Light" w:eastAsia="微软雅黑 Light" w:cs="微软雅黑 Light"/>
                <w:color w:val="000000"/>
                <w:kern w:val="0"/>
                <w:sz w:val="20"/>
                <w:szCs w:val="20"/>
              </w:rPr>
              <w:t>分；不符合要求的，每处扣</w:t>
            </w:r>
            <w:r>
              <w:rPr>
                <w:rFonts w:hint="eastAsia" w:ascii="微软雅黑 Light" w:hAnsi="微软雅黑 Light" w:eastAsia="微软雅黑 Light" w:cs="微软雅黑 Light"/>
                <w:color w:val="000000"/>
                <w:kern w:val="0"/>
                <w:sz w:val="20"/>
                <w:szCs w:val="20"/>
                <w:lang w:val="en-US" w:eastAsia="zh-CN"/>
              </w:rPr>
              <w:t>1</w:t>
            </w:r>
            <w:r>
              <w:rPr>
                <w:rFonts w:hint="eastAsia" w:ascii="微软雅黑 Light" w:hAnsi="微软雅黑 Light" w:eastAsia="微软雅黑 Light" w:cs="微软雅黑 Light"/>
                <w:color w:val="000000"/>
                <w:kern w:val="0"/>
                <w:sz w:val="20"/>
                <w:szCs w:val="20"/>
              </w:rPr>
              <w:t>分，该分项总分扣完为止。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84" w:type="dxa"/>
            <w:vMerge w:val="restart"/>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技术部分</w:t>
            </w:r>
          </w:p>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w:t>
            </w:r>
            <w:r>
              <w:rPr>
                <w:rFonts w:hint="eastAsia" w:ascii="微软雅黑 Light" w:hAnsi="微软雅黑 Light" w:eastAsia="微软雅黑 Light" w:cs="微软雅黑 Light"/>
                <w:color w:val="000000"/>
                <w:kern w:val="0"/>
                <w:sz w:val="20"/>
                <w:szCs w:val="20"/>
                <w:lang w:val="en-US" w:eastAsia="zh-CN"/>
              </w:rPr>
              <w:t>52</w:t>
            </w:r>
            <w:r>
              <w:rPr>
                <w:rFonts w:hint="eastAsia" w:ascii="微软雅黑 Light" w:hAnsi="微软雅黑 Light" w:eastAsia="微软雅黑 Light" w:cs="微软雅黑 Light"/>
                <w:color w:val="000000"/>
                <w:kern w:val="0"/>
                <w:sz w:val="20"/>
                <w:szCs w:val="20"/>
              </w:rPr>
              <w:t>）</w:t>
            </w:r>
          </w:p>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br w:type="textWrapping"/>
            </w:r>
          </w:p>
        </w:tc>
        <w:tc>
          <w:tcPr>
            <w:tcW w:w="947" w:type="dxa"/>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服务</w:t>
            </w:r>
          </w:p>
          <w:p>
            <w:pPr>
              <w:widowControl/>
              <w:spacing w:line="340" w:lineRule="exact"/>
              <w:contextualSpacing/>
              <w:jc w:val="center"/>
              <w:rPr>
                <w:rFonts w:hint="default"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方案</w:t>
            </w:r>
          </w:p>
        </w:tc>
        <w:tc>
          <w:tcPr>
            <w:tcW w:w="1173" w:type="dxa"/>
            <w:noWrap w:val="0"/>
            <w:vAlign w:val="center"/>
          </w:tcPr>
          <w:p>
            <w:pPr>
              <w:widowControl/>
              <w:spacing w:line="340" w:lineRule="exact"/>
              <w:contextualSpacing/>
              <w:jc w:val="center"/>
              <w:rPr>
                <w:rFonts w:hint="default"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12</w:t>
            </w:r>
          </w:p>
        </w:tc>
        <w:tc>
          <w:tcPr>
            <w:tcW w:w="6467" w:type="dxa"/>
            <w:noWrap w:val="0"/>
            <w:vAlign w:val="center"/>
          </w:tcPr>
          <w:p>
            <w:pPr>
              <w:widowControl/>
              <w:spacing w:line="340" w:lineRule="exact"/>
              <w:contextualSpacing/>
              <w:rPr>
                <w:rFonts w:hint="default" w:ascii="微软雅黑 Light" w:hAnsi="微软雅黑 Light" w:eastAsia="微软雅黑 Light" w:cs="微软雅黑 Light"/>
                <w:sz w:val="20"/>
                <w:szCs w:val="20"/>
                <w:lang w:val="en-US" w:eastAsia="zh-CN"/>
              </w:rPr>
            </w:pPr>
            <w:r>
              <w:rPr>
                <w:rFonts w:hint="eastAsia" w:ascii="微软雅黑 Light" w:hAnsi="微软雅黑 Light" w:eastAsia="微软雅黑 Light" w:cs="微软雅黑 Light"/>
                <w:color w:val="000000"/>
                <w:kern w:val="0"/>
                <w:sz w:val="20"/>
                <w:szCs w:val="20"/>
                <w:highlight w:val="none"/>
                <w:lang w:val="en-US" w:eastAsia="zh-CN" w:bidi="ar"/>
              </w:rPr>
              <w:t>根据本项目目标、人员、进度、内容等要求进行综合对比：</w:t>
            </w:r>
            <w:r>
              <w:rPr>
                <w:rFonts w:hint="eastAsia" w:ascii="微软雅黑 Light" w:hAnsi="微软雅黑 Light" w:eastAsia="微软雅黑 Light" w:cs="微软雅黑 Light"/>
                <w:color w:val="000000"/>
                <w:kern w:val="0"/>
                <w:sz w:val="20"/>
                <w:szCs w:val="20"/>
                <w:highlight w:val="none"/>
                <w:lang w:bidi="ar"/>
              </w:rPr>
              <w:t>服务方案完整并与本项目需求完全吻合，</w:t>
            </w:r>
            <w:r>
              <w:rPr>
                <w:rFonts w:hint="eastAsia" w:ascii="微软雅黑 Light" w:hAnsi="微软雅黑 Light" w:eastAsia="微软雅黑 Light" w:cs="微软雅黑 Light"/>
                <w:sz w:val="20"/>
                <w:szCs w:val="20"/>
                <w:lang w:val="en-US" w:eastAsia="zh-CN"/>
              </w:rPr>
              <w:t>得12分；服务方案完整与本项目需求基本吻合得6分；不提供得0分。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784" w:type="dxa"/>
            <w:vMerge w:val="continue"/>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p>
        </w:tc>
        <w:tc>
          <w:tcPr>
            <w:tcW w:w="947" w:type="dxa"/>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项目人员配备</w:t>
            </w:r>
          </w:p>
        </w:tc>
        <w:tc>
          <w:tcPr>
            <w:tcW w:w="1173" w:type="dxa"/>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10</w:t>
            </w:r>
          </w:p>
        </w:tc>
        <w:tc>
          <w:tcPr>
            <w:tcW w:w="6467" w:type="dxa"/>
            <w:noWrap w:val="0"/>
            <w:vAlign w:val="center"/>
          </w:tcPr>
          <w:p>
            <w:pPr>
              <w:widowControl/>
              <w:numPr>
                <w:ilvl w:val="0"/>
                <w:numId w:val="14"/>
              </w:numPr>
              <w:spacing w:line="340" w:lineRule="exact"/>
              <w:contextualSpacing/>
              <w:rPr>
                <w:rFonts w:hint="eastAsia" w:ascii="微软雅黑 Light" w:hAnsi="微软雅黑 Light" w:eastAsia="微软雅黑 Light" w:cs="微软雅黑 Light"/>
                <w:sz w:val="20"/>
                <w:szCs w:val="20"/>
                <w:lang w:val="en-US" w:eastAsia="zh-CN"/>
              </w:rPr>
            </w:pPr>
            <w:r>
              <w:rPr>
                <w:rFonts w:hint="eastAsia" w:ascii="微软雅黑 Light" w:hAnsi="微软雅黑 Light" w:eastAsia="微软雅黑 Light" w:cs="微软雅黑 Light"/>
                <w:sz w:val="20"/>
                <w:szCs w:val="20"/>
                <w:lang w:val="en-US" w:eastAsia="zh-CN"/>
              </w:rPr>
              <w:t>供应商对本项目配置的工作人员，应不少于15人，可随时根据采购方需求调配，符合要求，得5分；</w:t>
            </w:r>
          </w:p>
          <w:p>
            <w:pPr>
              <w:pStyle w:val="2"/>
              <w:numPr>
                <w:ilvl w:val="0"/>
                <w:numId w:val="0"/>
              </w:numPr>
              <w:ind w:left="0" w:leftChars="0" w:firstLine="0" w:firstLineChars="0"/>
              <w:rPr>
                <w:rFonts w:hint="eastAsia"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kern w:val="2"/>
                <w:sz w:val="20"/>
                <w:szCs w:val="20"/>
                <w:lang w:val="en-US" w:eastAsia="zh-CN" w:bidi="ar-SA"/>
              </w:rPr>
              <w:t>2、项目负责人曾担任类似社会组织评估工作1项，得2.5分，最高得5分。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84" w:type="dxa"/>
            <w:vMerge w:val="continue"/>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p>
        </w:tc>
        <w:tc>
          <w:tcPr>
            <w:tcW w:w="947" w:type="dxa"/>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项目</w:t>
            </w:r>
          </w:p>
          <w:p>
            <w:pPr>
              <w:widowControl/>
              <w:spacing w:line="340" w:lineRule="exact"/>
              <w:contextualSpacing/>
              <w:jc w:val="center"/>
              <w:rPr>
                <w:rFonts w:hint="default"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进度</w:t>
            </w:r>
          </w:p>
        </w:tc>
        <w:tc>
          <w:tcPr>
            <w:tcW w:w="1173" w:type="dxa"/>
            <w:noWrap w:val="0"/>
            <w:vAlign w:val="center"/>
          </w:tcPr>
          <w:p>
            <w:pPr>
              <w:widowControl/>
              <w:spacing w:line="340" w:lineRule="exact"/>
              <w:contextualSpacing/>
              <w:jc w:val="center"/>
              <w:rPr>
                <w:rFonts w:hint="default"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10</w:t>
            </w:r>
          </w:p>
        </w:tc>
        <w:tc>
          <w:tcPr>
            <w:tcW w:w="6467" w:type="dxa"/>
            <w:noWrap w:val="0"/>
            <w:vAlign w:val="center"/>
          </w:tcPr>
          <w:p>
            <w:pPr>
              <w:widowControl/>
              <w:spacing w:line="340" w:lineRule="exact"/>
              <w:contextualSpacing/>
              <w:rPr>
                <w:rFonts w:hint="eastAsia" w:ascii="微软雅黑 Light" w:hAnsi="微软雅黑 Light" w:eastAsia="微软雅黑 Light" w:cs="微软雅黑 Light"/>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对本项目工作时间进度计划的安排及说明，优先完成得10分；符合要求得5分。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84" w:type="dxa"/>
            <w:vMerge w:val="continue"/>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p>
        </w:tc>
        <w:tc>
          <w:tcPr>
            <w:tcW w:w="947" w:type="dxa"/>
            <w:noWrap w:val="0"/>
            <w:vAlign w:val="center"/>
          </w:tcPr>
          <w:p>
            <w:pPr>
              <w:widowControl/>
              <w:spacing w:line="340" w:lineRule="exact"/>
              <w:contextualSpacing/>
              <w:jc w:val="center"/>
              <w:rPr>
                <w:rFonts w:hint="default"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服务质量措施</w:t>
            </w:r>
          </w:p>
        </w:tc>
        <w:tc>
          <w:tcPr>
            <w:tcW w:w="1173" w:type="dxa"/>
            <w:noWrap w:val="0"/>
            <w:vAlign w:val="center"/>
          </w:tcPr>
          <w:p>
            <w:pPr>
              <w:widowControl/>
              <w:spacing w:line="340" w:lineRule="exact"/>
              <w:contextualSpacing/>
              <w:jc w:val="center"/>
              <w:rPr>
                <w:rFonts w:hint="default"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6</w:t>
            </w:r>
          </w:p>
        </w:tc>
        <w:tc>
          <w:tcPr>
            <w:tcW w:w="6467" w:type="dxa"/>
            <w:noWrap w:val="0"/>
            <w:vAlign w:val="center"/>
          </w:tcPr>
          <w:p>
            <w:pPr>
              <w:widowControl/>
              <w:spacing w:line="340" w:lineRule="exact"/>
              <w:contextualSpacing/>
              <w:rPr>
                <w:rFonts w:hint="default"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根据服务质量要求进行综合对比，</w:t>
            </w:r>
            <w:r>
              <w:rPr>
                <w:rFonts w:hint="eastAsia" w:ascii="微软雅黑 Light" w:hAnsi="微软雅黑 Light" w:eastAsia="微软雅黑 Light" w:cs="微软雅黑 Light"/>
                <w:color w:val="000000"/>
                <w:kern w:val="0"/>
                <w:sz w:val="20"/>
                <w:szCs w:val="20"/>
                <w:highlight w:val="none"/>
                <w:lang w:val="en-US" w:eastAsia="zh-CN" w:bidi="ar"/>
              </w:rPr>
              <w:t>满足要求得6分；</w:t>
            </w:r>
            <w:r>
              <w:rPr>
                <w:rFonts w:hint="eastAsia" w:ascii="微软雅黑 Light" w:hAnsi="微软雅黑 Light" w:eastAsia="微软雅黑 Light" w:cs="微软雅黑 Light"/>
                <w:sz w:val="20"/>
                <w:szCs w:val="20"/>
                <w:lang w:val="en-US" w:eastAsia="zh-CN"/>
              </w:rPr>
              <w:t>基本满足得3分；不提供得0分。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84" w:type="dxa"/>
            <w:vMerge w:val="continue"/>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p>
        </w:tc>
        <w:tc>
          <w:tcPr>
            <w:tcW w:w="947" w:type="dxa"/>
            <w:noWrap w:val="0"/>
            <w:vAlign w:val="center"/>
          </w:tcPr>
          <w:p>
            <w:pPr>
              <w:widowControl/>
              <w:spacing w:line="340" w:lineRule="exact"/>
              <w:contextualSpacing/>
              <w:jc w:val="center"/>
              <w:rPr>
                <w:rFonts w:hint="default"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auto"/>
                <w:kern w:val="0"/>
                <w:sz w:val="20"/>
                <w:szCs w:val="20"/>
                <w:lang w:val="en-US" w:eastAsia="zh-CN"/>
              </w:rPr>
              <w:t>服务期</w:t>
            </w:r>
          </w:p>
        </w:tc>
        <w:tc>
          <w:tcPr>
            <w:tcW w:w="1173" w:type="dxa"/>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auto"/>
                <w:kern w:val="0"/>
                <w:sz w:val="20"/>
                <w:szCs w:val="20"/>
                <w:lang w:val="en-US" w:eastAsia="zh-CN"/>
              </w:rPr>
              <w:t>8</w:t>
            </w:r>
          </w:p>
        </w:tc>
        <w:tc>
          <w:tcPr>
            <w:tcW w:w="6467" w:type="dxa"/>
            <w:noWrap w:val="0"/>
            <w:vAlign w:val="center"/>
          </w:tcPr>
          <w:p>
            <w:pPr>
              <w:widowControl/>
              <w:spacing w:line="340" w:lineRule="exact"/>
              <w:contextualSpacing/>
              <w:rPr>
                <w:rFonts w:hint="eastAsia" w:ascii="微软雅黑 Light" w:hAnsi="微软雅黑 Light" w:eastAsia="微软雅黑 Light" w:cs="微软雅黑 Light"/>
                <w:color w:val="000000"/>
                <w:kern w:val="0"/>
                <w:sz w:val="20"/>
                <w:szCs w:val="20"/>
                <w:lang w:val="en-US" w:eastAsia="zh-CN"/>
              </w:rPr>
            </w:pPr>
            <w:r>
              <w:rPr>
                <w:rFonts w:hint="eastAsia" w:ascii="微软雅黑 Light" w:hAnsi="微软雅黑 Light" w:eastAsia="微软雅黑 Light" w:cs="微软雅黑 Light"/>
                <w:color w:val="000000"/>
                <w:kern w:val="0"/>
                <w:sz w:val="20"/>
                <w:szCs w:val="20"/>
                <w:lang w:val="en-US" w:eastAsia="zh-CN"/>
              </w:rPr>
              <w:t>供应商的服务期限满足采购文件要求得3分，每优于</w:t>
            </w:r>
            <w:bookmarkStart w:id="607" w:name="_GoBack"/>
            <w:bookmarkEnd w:id="607"/>
            <w:r>
              <w:rPr>
                <w:rFonts w:hint="eastAsia" w:ascii="微软雅黑 Light" w:hAnsi="微软雅黑 Light" w:eastAsia="微软雅黑 Light" w:cs="微软雅黑 Light"/>
                <w:color w:val="000000"/>
                <w:kern w:val="0"/>
                <w:sz w:val="20"/>
                <w:szCs w:val="20"/>
                <w:lang w:val="en-US" w:eastAsia="zh-CN"/>
              </w:rPr>
              <w:t>采购文件要求1天得2分，最高8分。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84" w:type="dxa"/>
            <w:vMerge w:val="continue"/>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p>
        </w:tc>
        <w:tc>
          <w:tcPr>
            <w:tcW w:w="947" w:type="dxa"/>
            <w:noWrap w:val="0"/>
            <w:vAlign w:val="center"/>
          </w:tcPr>
          <w:p>
            <w:pPr>
              <w:widowControl/>
              <w:spacing w:line="340" w:lineRule="exact"/>
              <w:contextualSpacing/>
              <w:jc w:val="center"/>
              <w:rPr>
                <w:rFonts w:hint="eastAsia" w:ascii="微软雅黑 Light" w:hAnsi="微软雅黑 Light" w:eastAsia="微软雅黑 Light" w:cs="微软雅黑 Light"/>
                <w:color w:val="auto"/>
                <w:kern w:val="0"/>
                <w:sz w:val="20"/>
                <w:szCs w:val="20"/>
                <w:lang w:val="en-US" w:eastAsia="zh-CN"/>
              </w:rPr>
            </w:pPr>
            <w:r>
              <w:rPr>
                <w:rFonts w:hint="eastAsia" w:ascii="微软雅黑 Light" w:hAnsi="微软雅黑 Light" w:eastAsia="微软雅黑 Light" w:cs="微软雅黑 Light"/>
                <w:color w:val="auto"/>
                <w:kern w:val="0"/>
                <w:sz w:val="20"/>
                <w:szCs w:val="20"/>
                <w:lang w:val="en-US" w:eastAsia="zh-CN"/>
              </w:rPr>
              <w:t>服务</w:t>
            </w:r>
          </w:p>
          <w:p>
            <w:pPr>
              <w:widowControl/>
              <w:spacing w:line="340" w:lineRule="exact"/>
              <w:contextualSpacing/>
              <w:jc w:val="center"/>
              <w:rPr>
                <w:rFonts w:hint="default" w:ascii="微软雅黑 Light" w:hAnsi="微软雅黑 Light" w:eastAsia="微软雅黑 Light" w:cs="微软雅黑 Light"/>
                <w:color w:val="auto"/>
                <w:kern w:val="0"/>
                <w:sz w:val="20"/>
                <w:szCs w:val="20"/>
                <w:lang w:val="en-US" w:eastAsia="zh-CN"/>
              </w:rPr>
            </w:pPr>
            <w:r>
              <w:rPr>
                <w:rFonts w:hint="eastAsia" w:ascii="微软雅黑 Light" w:hAnsi="微软雅黑 Light" w:eastAsia="微软雅黑 Light" w:cs="微软雅黑 Light"/>
                <w:color w:val="auto"/>
                <w:kern w:val="0"/>
                <w:sz w:val="20"/>
                <w:szCs w:val="20"/>
                <w:lang w:val="en-US" w:eastAsia="zh-CN"/>
              </w:rPr>
              <w:t>承诺</w:t>
            </w:r>
          </w:p>
        </w:tc>
        <w:tc>
          <w:tcPr>
            <w:tcW w:w="1173" w:type="dxa"/>
            <w:noWrap w:val="0"/>
            <w:vAlign w:val="center"/>
          </w:tcPr>
          <w:p>
            <w:pPr>
              <w:widowControl/>
              <w:spacing w:line="340" w:lineRule="exact"/>
              <w:contextualSpacing/>
              <w:jc w:val="center"/>
              <w:rPr>
                <w:rFonts w:hint="default" w:ascii="微软雅黑 Light" w:hAnsi="微软雅黑 Light" w:eastAsia="微软雅黑 Light" w:cs="微软雅黑 Light"/>
                <w:color w:val="auto"/>
                <w:kern w:val="0"/>
                <w:sz w:val="20"/>
                <w:szCs w:val="20"/>
                <w:lang w:val="en-US" w:eastAsia="zh-CN"/>
              </w:rPr>
            </w:pPr>
            <w:r>
              <w:rPr>
                <w:rFonts w:hint="eastAsia" w:ascii="微软雅黑 Light" w:hAnsi="微软雅黑 Light" w:eastAsia="微软雅黑 Light" w:cs="微软雅黑 Light"/>
                <w:color w:val="auto"/>
                <w:kern w:val="0"/>
                <w:sz w:val="20"/>
                <w:szCs w:val="20"/>
                <w:lang w:val="en-US" w:eastAsia="zh-CN"/>
              </w:rPr>
              <w:t>6</w:t>
            </w:r>
          </w:p>
        </w:tc>
        <w:tc>
          <w:tcPr>
            <w:tcW w:w="6467" w:type="dxa"/>
            <w:noWrap w:val="0"/>
            <w:vAlign w:val="center"/>
          </w:tcPr>
          <w:p>
            <w:pPr>
              <w:pStyle w:val="2"/>
              <w:ind w:left="0" w:leftChars="0" w:firstLine="0" w:firstLineChars="0"/>
              <w:rPr>
                <w:rFonts w:hint="eastAsia" w:ascii="微软雅黑 Light" w:hAnsi="微软雅黑 Light" w:eastAsia="微软雅黑 Light" w:cs="微软雅黑 Light"/>
                <w:sz w:val="20"/>
                <w:szCs w:val="20"/>
                <w:lang w:val="en-US" w:eastAsia="zh-CN"/>
              </w:rPr>
            </w:pPr>
            <w:r>
              <w:rPr>
                <w:rFonts w:hint="eastAsia" w:ascii="微软雅黑 Light" w:hAnsi="微软雅黑 Light" w:eastAsia="微软雅黑 Light" w:cs="微软雅黑 Light"/>
                <w:kern w:val="2"/>
                <w:sz w:val="20"/>
                <w:szCs w:val="20"/>
                <w:lang w:val="en-US" w:eastAsia="zh-CN" w:bidi="ar-SA"/>
              </w:rPr>
              <w:t>对服务的保密承诺、质量承诺、廉政承诺和其他承诺等，据供应商的响应程度，承诺态度端正得6分；一般得3分；未承诺的得0分。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31" w:type="dxa"/>
            <w:gridSpan w:val="2"/>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合计</w:t>
            </w:r>
          </w:p>
        </w:tc>
        <w:tc>
          <w:tcPr>
            <w:tcW w:w="7640" w:type="dxa"/>
            <w:gridSpan w:val="2"/>
            <w:noWrap w:val="0"/>
            <w:vAlign w:val="center"/>
          </w:tcPr>
          <w:p>
            <w:pPr>
              <w:widowControl/>
              <w:spacing w:line="340" w:lineRule="exact"/>
              <w:contextualSpacing/>
              <w:jc w:val="center"/>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371" w:type="dxa"/>
            <w:gridSpan w:val="4"/>
            <w:noWrap w:val="0"/>
            <w:vAlign w:val="center"/>
          </w:tcPr>
          <w:p>
            <w:pPr>
              <w:widowControl/>
              <w:spacing w:line="340" w:lineRule="exact"/>
              <w:contextualSpacing/>
              <w:rPr>
                <w:rFonts w:hint="eastAsia" w:ascii="微软雅黑 Light" w:hAnsi="微软雅黑 Light" w:eastAsia="微软雅黑 Light" w:cs="微软雅黑 Light"/>
                <w:color w:val="000000"/>
                <w:kern w:val="0"/>
                <w:sz w:val="20"/>
                <w:szCs w:val="20"/>
              </w:rPr>
            </w:pPr>
            <w:r>
              <w:rPr>
                <w:rFonts w:hint="eastAsia" w:ascii="微软雅黑 Light" w:hAnsi="微软雅黑 Light" w:eastAsia="微软雅黑 Light" w:cs="微软雅黑 Light"/>
                <w:color w:val="000000"/>
                <w:kern w:val="0"/>
                <w:sz w:val="20"/>
                <w:szCs w:val="20"/>
              </w:rPr>
              <w:t>注：评委对各投标人同一评分内容量化打分时，如最高得分与最低得分相差25%（含25%）以上时，应做出合理的解释说明，否则不予计分。</w:t>
            </w:r>
          </w:p>
        </w:tc>
      </w:tr>
    </w:tbl>
    <w:p>
      <w:pPr>
        <w:spacing w:line="360" w:lineRule="exact"/>
        <w:ind w:right="1268" w:rightChars="604" w:firstLine="420" w:firstLineChars="20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注：各项目服务方的计分方法：汇总所有评标小组成员对各服务方的有效记分的算术平均值为该项目服务方的综合得分。计算各评审项目得分时，按四舍五入保留二位小数。(</w:t>
      </w:r>
      <w:r>
        <w:rPr>
          <w:rFonts w:hint="eastAsia" w:ascii="微软雅黑" w:hAnsi="微软雅黑" w:eastAsia="微软雅黑" w:cs="微软雅黑"/>
          <w:color w:val="auto"/>
          <w:sz w:val="21"/>
          <w:szCs w:val="21"/>
          <w:lang w:val="zh-CN"/>
        </w:rPr>
        <w:t>价格评分仅限于有效投标人。</w:t>
      </w:r>
      <w:r>
        <w:rPr>
          <w:rFonts w:hint="eastAsia" w:ascii="微软雅黑" w:hAnsi="微软雅黑" w:eastAsia="微软雅黑" w:cs="微软雅黑"/>
          <w:color w:val="auto"/>
          <w:sz w:val="21"/>
          <w:szCs w:val="21"/>
        </w:rPr>
        <w:t>)</w:t>
      </w:r>
    </w:p>
    <w:p>
      <w:pPr>
        <w:spacing w:line="360" w:lineRule="exact"/>
        <w:ind w:left="449" w:leftChars="114" w:right="1268" w:rightChars="604" w:hanging="210" w:hangingChars="100"/>
        <w:jc w:val="left"/>
        <w:rPr>
          <w:rFonts w:hint="eastAsia" w:ascii="微软雅黑" w:hAnsi="微软雅黑" w:eastAsia="微软雅黑" w:cs="微软雅黑"/>
          <w:b/>
          <w:color w:val="auto"/>
          <w:sz w:val="48"/>
          <w:szCs w:val="48"/>
        </w:rPr>
      </w:pPr>
      <w:r>
        <w:rPr>
          <w:rFonts w:hint="eastAsia" w:ascii="微软雅黑" w:hAnsi="微软雅黑" w:eastAsia="微软雅黑" w:cs="微软雅黑"/>
          <w:color w:val="auto"/>
          <w:sz w:val="21"/>
          <w:szCs w:val="21"/>
        </w:rPr>
        <w:t>（内容要包括投标无效界定和详细评标标准）</w:t>
      </w:r>
    </w:p>
    <w:p>
      <w:pPr>
        <w:pStyle w:val="2"/>
        <w:rPr>
          <w:rFonts w:hint="eastAsia" w:ascii="微软雅黑" w:hAnsi="微软雅黑" w:eastAsia="微软雅黑" w:cs="微软雅黑"/>
          <w:b/>
          <w:color w:val="auto"/>
          <w:sz w:val="48"/>
          <w:szCs w:val="48"/>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ascii="微软雅黑" w:hAnsi="微软雅黑" w:eastAsia="微软雅黑" w:cs="微软雅黑"/>
          <w:b/>
          <w:color w:val="auto"/>
          <w:sz w:val="44"/>
          <w:szCs w:val="44"/>
        </w:rPr>
      </w:pPr>
      <w:r>
        <w:rPr>
          <w:rFonts w:hint="eastAsia" w:ascii="微软雅黑" w:hAnsi="微软雅黑" w:eastAsia="微软雅黑" w:cs="微软雅黑"/>
          <w:b/>
          <w:color w:val="auto"/>
          <w:sz w:val="44"/>
          <w:szCs w:val="44"/>
        </w:rPr>
        <w:t>竞争性磋商文件</w:t>
      </w:r>
    </w:p>
    <w:p>
      <w:pPr>
        <w:spacing w:line="240" w:lineRule="atLeast"/>
        <w:ind w:left="1080" w:leftChars="257" w:hanging="540"/>
        <w:jc w:val="center"/>
        <w:rPr>
          <w:rFonts w:ascii="微软雅黑" w:hAnsi="微软雅黑" w:eastAsia="微软雅黑" w:cs="微软雅黑"/>
          <w:b/>
          <w:color w:val="auto"/>
          <w:sz w:val="44"/>
          <w:szCs w:val="44"/>
        </w:rPr>
      </w:pPr>
    </w:p>
    <w:p>
      <w:pPr>
        <w:spacing w:line="240" w:lineRule="atLeast"/>
        <w:ind w:left="1080" w:leftChars="257" w:hanging="540"/>
        <w:jc w:val="center"/>
        <w:rPr>
          <w:rFonts w:hint="eastAsia" w:ascii="微软雅黑" w:hAnsi="微软雅黑" w:eastAsia="微软雅黑" w:cs="微软雅黑"/>
          <w:b/>
          <w:color w:val="auto"/>
          <w:sz w:val="44"/>
          <w:szCs w:val="44"/>
        </w:rPr>
      </w:pPr>
    </w:p>
    <w:p>
      <w:pPr>
        <w:spacing w:line="240" w:lineRule="atLeast"/>
        <w:ind w:left="1080" w:leftChars="257" w:hanging="540"/>
        <w:jc w:val="center"/>
        <w:rPr>
          <w:rFonts w:hint="eastAsia" w:ascii="微软雅黑" w:hAnsi="微软雅黑" w:eastAsia="微软雅黑" w:cs="微软雅黑"/>
          <w:b/>
          <w:color w:val="auto"/>
          <w:sz w:val="44"/>
          <w:szCs w:val="44"/>
        </w:rPr>
      </w:pPr>
    </w:p>
    <w:p>
      <w:pPr>
        <w:spacing w:line="240" w:lineRule="atLeast"/>
        <w:ind w:left="1080" w:leftChars="257" w:hanging="540"/>
        <w:jc w:val="center"/>
        <w:rPr>
          <w:rFonts w:hint="default" w:ascii="微软雅黑" w:hAnsi="微软雅黑" w:eastAsia="微软雅黑" w:cs="微软雅黑"/>
          <w:b/>
          <w:color w:val="auto"/>
          <w:sz w:val="36"/>
          <w:szCs w:val="36"/>
          <w:lang w:val="en-US"/>
        </w:rPr>
      </w:pPr>
      <w:r>
        <w:rPr>
          <w:rFonts w:hint="eastAsia" w:ascii="微软雅黑" w:hAnsi="微软雅黑" w:eastAsia="微软雅黑" w:cs="微软雅黑"/>
          <w:b/>
          <w:color w:val="auto"/>
          <w:sz w:val="36"/>
          <w:szCs w:val="36"/>
        </w:rPr>
        <w:t>编号：XJ</w:t>
      </w:r>
      <w:r>
        <w:rPr>
          <w:rFonts w:hint="eastAsia" w:ascii="微软雅黑" w:hAnsi="微软雅黑" w:eastAsia="微软雅黑" w:cs="微软雅黑"/>
          <w:b/>
          <w:color w:val="auto"/>
          <w:sz w:val="36"/>
          <w:szCs w:val="36"/>
          <w:lang w:val="en-US" w:eastAsia="zh-CN"/>
        </w:rPr>
        <w:t>HSY</w:t>
      </w:r>
      <w:r>
        <w:rPr>
          <w:rFonts w:hint="eastAsia" w:ascii="微软雅黑" w:hAnsi="微软雅黑" w:eastAsia="微软雅黑" w:cs="微软雅黑"/>
          <w:b/>
          <w:color w:val="auto"/>
          <w:sz w:val="36"/>
          <w:szCs w:val="36"/>
        </w:rPr>
        <w:t>(</w:t>
      </w:r>
      <w:r>
        <w:rPr>
          <w:rFonts w:hint="eastAsia" w:ascii="微软雅黑" w:hAnsi="微软雅黑" w:eastAsia="微软雅黑" w:cs="微软雅黑"/>
          <w:b/>
          <w:color w:val="auto"/>
          <w:sz w:val="36"/>
          <w:szCs w:val="36"/>
          <w:lang w:val="en-US" w:eastAsia="zh-CN"/>
        </w:rPr>
        <w:t>CS</w:t>
      </w:r>
      <w:r>
        <w:rPr>
          <w:rFonts w:hint="eastAsia" w:ascii="微软雅黑" w:hAnsi="微软雅黑" w:eastAsia="微软雅黑" w:cs="微软雅黑"/>
          <w:b/>
          <w:color w:val="auto"/>
          <w:sz w:val="36"/>
          <w:szCs w:val="36"/>
        </w:rPr>
        <w:t>)2021-0</w:t>
      </w:r>
      <w:r>
        <w:rPr>
          <w:rFonts w:hint="eastAsia" w:ascii="微软雅黑" w:hAnsi="微软雅黑" w:eastAsia="微软雅黑" w:cs="微软雅黑"/>
          <w:b/>
          <w:color w:val="auto"/>
          <w:sz w:val="36"/>
          <w:szCs w:val="36"/>
          <w:lang w:val="en-US" w:eastAsia="zh-CN"/>
        </w:rPr>
        <w:t>1-01</w:t>
      </w:r>
    </w:p>
    <w:p>
      <w:pPr>
        <w:spacing w:line="240" w:lineRule="atLeast"/>
        <w:rPr>
          <w:rFonts w:ascii="微软雅黑" w:hAnsi="微软雅黑" w:eastAsia="微软雅黑" w:cs="微软雅黑"/>
          <w:b/>
          <w:color w:val="auto"/>
          <w:sz w:val="44"/>
          <w:szCs w:val="44"/>
        </w:rPr>
      </w:pPr>
    </w:p>
    <w:p>
      <w:pPr>
        <w:spacing w:line="240" w:lineRule="atLeast"/>
        <w:ind w:left="1976" w:leftChars="941" w:firstLine="1506" w:firstLineChars="342"/>
        <w:rPr>
          <w:rFonts w:hint="eastAsia" w:ascii="微软雅黑" w:hAnsi="微软雅黑" w:eastAsia="微软雅黑" w:cs="微软雅黑"/>
          <w:b/>
          <w:color w:val="auto"/>
          <w:sz w:val="44"/>
          <w:szCs w:val="44"/>
        </w:rPr>
      </w:pPr>
    </w:p>
    <w:p>
      <w:pPr>
        <w:spacing w:line="240" w:lineRule="atLeast"/>
        <w:ind w:left="1976" w:leftChars="941" w:firstLine="2826" w:firstLineChars="642"/>
        <w:rPr>
          <w:rFonts w:hint="eastAsia" w:ascii="微软雅黑" w:hAnsi="微软雅黑" w:eastAsia="微软雅黑" w:cs="微软雅黑"/>
          <w:b/>
          <w:color w:val="auto"/>
          <w:sz w:val="44"/>
          <w:szCs w:val="44"/>
        </w:rPr>
      </w:pPr>
    </w:p>
    <w:p>
      <w:pPr>
        <w:spacing w:line="240" w:lineRule="atLeast"/>
        <w:ind w:left="1976" w:leftChars="941" w:firstLine="2826" w:firstLineChars="642"/>
        <w:rPr>
          <w:rFonts w:ascii="微软雅黑" w:hAnsi="微软雅黑" w:eastAsia="微软雅黑" w:cs="微软雅黑"/>
          <w:b/>
          <w:color w:val="auto"/>
          <w:sz w:val="44"/>
          <w:szCs w:val="44"/>
        </w:rPr>
      </w:pPr>
      <w:r>
        <w:rPr>
          <w:rFonts w:hint="eastAsia" w:ascii="微软雅黑" w:hAnsi="微软雅黑" w:eastAsia="微软雅黑" w:cs="微软雅黑"/>
          <w:b/>
          <w:color w:val="auto"/>
          <w:sz w:val="44"/>
          <w:szCs w:val="44"/>
        </w:rPr>
        <w:t>第三册</w:t>
      </w:r>
    </w:p>
    <w:p>
      <w:pPr>
        <w:pStyle w:val="5"/>
        <w:tabs>
          <w:tab w:val="left" w:pos="0"/>
        </w:tabs>
        <w:spacing w:before="0" w:after="0" w:line="240" w:lineRule="atLeast"/>
        <w:ind w:firstLine="3522" w:firstLineChars="1100"/>
        <w:jc w:val="both"/>
        <w:rPr>
          <w:rFonts w:hint="eastAsia" w:ascii="微软雅黑" w:hAnsi="微软雅黑" w:eastAsia="微软雅黑" w:cs="微软雅黑"/>
          <w:color w:val="auto"/>
        </w:rPr>
      </w:pPr>
      <w:bookmarkStart w:id="537" w:name="_Toc13937"/>
      <w:bookmarkStart w:id="538" w:name="_Toc515647833"/>
      <w:bookmarkStart w:id="539" w:name="_Toc6865"/>
      <w:bookmarkStart w:id="540" w:name="_Toc4796"/>
    </w:p>
    <w:p>
      <w:pPr>
        <w:pStyle w:val="5"/>
        <w:tabs>
          <w:tab w:val="left" w:pos="0"/>
        </w:tabs>
        <w:spacing w:before="0" w:after="0" w:line="240" w:lineRule="atLeast"/>
        <w:ind w:firstLine="3522" w:firstLineChars="1100"/>
        <w:jc w:val="both"/>
        <w:rPr>
          <w:rFonts w:hint="eastAsia" w:ascii="微软雅黑" w:hAnsi="微软雅黑" w:eastAsia="微软雅黑" w:cs="微软雅黑"/>
          <w:color w:val="auto"/>
        </w:rPr>
      </w:pPr>
    </w:p>
    <w:p>
      <w:pPr>
        <w:pStyle w:val="5"/>
        <w:tabs>
          <w:tab w:val="left" w:pos="0"/>
        </w:tabs>
        <w:spacing w:before="0" w:after="0" w:line="240" w:lineRule="atLeast"/>
        <w:ind w:firstLine="3522" w:firstLineChars="1100"/>
        <w:jc w:val="both"/>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5"/>
        <w:tabs>
          <w:tab w:val="left" w:pos="0"/>
        </w:tabs>
        <w:spacing w:before="0" w:after="0" w:line="240" w:lineRule="atLeast"/>
        <w:ind w:firstLine="3522" w:firstLineChars="1100"/>
        <w:jc w:val="both"/>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2"/>
        <w:rPr>
          <w:rFonts w:hint="eastAsia"/>
        </w:rPr>
      </w:pPr>
    </w:p>
    <w:p>
      <w:pPr>
        <w:pStyle w:val="5"/>
        <w:tabs>
          <w:tab w:val="left" w:pos="0"/>
        </w:tabs>
        <w:spacing w:before="0" w:after="0" w:line="240" w:lineRule="atLeast"/>
        <w:ind w:firstLine="3522" w:firstLineChars="1100"/>
        <w:jc w:val="both"/>
        <w:rPr>
          <w:rFonts w:hint="eastAsia" w:ascii="微软雅黑" w:hAnsi="微软雅黑" w:eastAsia="微软雅黑" w:cs="微软雅黑"/>
          <w:color w:val="auto"/>
        </w:rPr>
      </w:pPr>
    </w:p>
    <w:p>
      <w:pPr>
        <w:pStyle w:val="5"/>
        <w:tabs>
          <w:tab w:val="left" w:pos="0"/>
        </w:tabs>
        <w:spacing w:before="0" w:after="0" w:line="240" w:lineRule="atLeast"/>
        <w:ind w:firstLine="3522" w:firstLineChars="1100"/>
        <w:jc w:val="both"/>
        <w:rPr>
          <w:rFonts w:hint="eastAsia" w:ascii="微软雅黑" w:hAnsi="微软雅黑" w:eastAsia="微软雅黑" w:cs="微软雅黑"/>
          <w:color w:val="auto"/>
        </w:rPr>
      </w:pPr>
    </w:p>
    <w:p>
      <w:pPr>
        <w:pStyle w:val="5"/>
        <w:tabs>
          <w:tab w:val="left" w:pos="0"/>
        </w:tabs>
        <w:spacing w:before="0" w:after="0" w:line="240" w:lineRule="atLeast"/>
        <w:ind w:firstLine="3522" w:firstLineChars="1100"/>
        <w:jc w:val="both"/>
        <w:rPr>
          <w:rFonts w:ascii="微软雅黑" w:hAnsi="微软雅黑" w:eastAsia="微软雅黑" w:cs="微软雅黑"/>
          <w:color w:val="auto"/>
        </w:rPr>
      </w:pPr>
      <w:r>
        <w:rPr>
          <w:rFonts w:hint="eastAsia" w:ascii="微软雅黑" w:hAnsi="微软雅黑" w:eastAsia="微软雅黑" w:cs="微软雅黑"/>
          <w:color w:val="auto"/>
        </w:rPr>
        <w:t>第7章政府采购合同</w:t>
      </w:r>
      <w:bookmarkEnd w:id="534"/>
      <w:bookmarkEnd w:id="537"/>
      <w:bookmarkEnd w:id="538"/>
      <w:bookmarkEnd w:id="539"/>
      <w:bookmarkEnd w:id="540"/>
      <w:bookmarkStart w:id="541" w:name="_Hlt487972895"/>
      <w:bookmarkEnd w:id="541"/>
      <w:bookmarkStart w:id="542" w:name="_Toc216513788"/>
      <w:bookmarkEnd w:id="542"/>
      <w:bookmarkStart w:id="543" w:name="_Toc487900382"/>
      <w:bookmarkEnd w:id="543"/>
    </w:p>
    <w:p>
      <w:pPr>
        <w:pStyle w:val="3"/>
        <w:spacing w:before="12"/>
        <w:rPr>
          <w:rFonts w:hint="eastAsia" w:eastAsia="宋体"/>
          <w:b/>
          <w:sz w:val="26"/>
          <w:lang w:eastAsia="zh-CN"/>
        </w:rPr>
      </w:pPr>
    </w:p>
    <w:p>
      <w:pPr>
        <w:tabs>
          <w:tab w:val="left" w:pos="3633"/>
        </w:tabs>
        <w:spacing w:before="74"/>
        <w:ind w:left="1054" w:right="0" w:firstLine="0"/>
        <w:jc w:val="left"/>
        <w:rPr>
          <w:rFonts w:hint="eastAsia" w:ascii="微软雅黑" w:hAnsi="微软雅黑" w:eastAsia="微软雅黑" w:cs="微软雅黑"/>
          <w:sz w:val="24"/>
        </w:rPr>
      </w:pPr>
      <w:r>
        <w:rPr>
          <w:rFonts w:hint="eastAsia" w:ascii="微软雅黑" w:hAnsi="微软雅黑" w:eastAsia="微软雅黑" w:cs="微软雅黑"/>
          <w:spacing w:val="-1"/>
          <w:sz w:val="24"/>
        </w:rPr>
        <w:t>合</w:t>
      </w:r>
      <w:r>
        <w:rPr>
          <w:rFonts w:hint="eastAsia" w:ascii="微软雅黑" w:hAnsi="微软雅黑" w:eastAsia="微软雅黑" w:cs="微软雅黑"/>
          <w:sz w:val="24"/>
        </w:rPr>
        <w:t>同编号：</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p>
    <w:p>
      <w:pPr>
        <w:pStyle w:val="3"/>
        <w:rPr>
          <w:rFonts w:hint="eastAsia" w:ascii="微软雅黑" w:hAnsi="微软雅黑" w:eastAsia="微软雅黑" w:cs="微软雅黑"/>
          <w:sz w:val="20"/>
        </w:rPr>
      </w:pPr>
    </w:p>
    <w:p>
      <w:pPr>
        <w:pStyle w:val="3"/>
        <w:rPr>
          <w:rFonts w:hint="eastAsia" w:ascii="微软雅黑" w:hAnsi="微软雅黑" w:eastAsia="微软雅黑" w:cs="微软雅黑"/>
          <w:sz w:val="20"/>
        </w:rPr>
      </w:pPr>
    </w:p>
    <w:p>
      <w:pPr>
        <w:pStyle w:val="3"/>
        <w:spacing w:before="3"/>
        <w:rPr>
          <w:rFonts w:hint="eastAsia" w:ascii="微软雅黑" w:hAnsi="微软雅黑" w:eastAsia="微软雅黑" w:cs="微软雅黑"/>
          <w:sz w:val="20"/>
        </w:rPr>
      </w:pPr>
    </w:p>
    <w:p>
      <w:pPr>
        <w:spacing w:before="38"/>
        <w:ind w:left="1456" w:right="2209" w:firstLine="0"/>
        <w:jc w:val="center"/>
        <w:rPr>
          <w:rFonts w:hint="eastAsia" w:ascii="微软雅黑" w:hAnsi="微软雅黑" w:eastAsia="微软雅黑" w:cs="微软雅黑"/>
          <w:b/>
          <w:sz w:val="44"/>
        </w:rPr>
      </w:pPr>
      <w:bookmarkStart w:id="544" w:name="_bookmark40"/>
      <w:bookmarkEnd w:id="544"/>
      <w:r>
        <w:rPr>
          <w:rFonts w:hint="eastAsia" w:ascii="微软雅黑" w:hAnsi="微软雅黑" w:eastAsia="微软雅黑" w:cs="微软雅黑"/>
          <w:b/>
          <w:sz w:val="44"/>
        </w:rPr>
        <w:t>政府采购合同参考范本</w:t>
      </w:r>
    </w:p>
    <w:p>
      <w:pPr>
        <w:pStyle w:val="3"/>
        <w:rPr>
          <w:rFonts w:hint="eastAsia" w:ascii="微软雅黑" w:hAnsi="微软雅黑" w:eastAsia="微软雅黑" w:cs="微软雅黑"/>
          <w:b/>
          <w:sz w:val="45"/>
        </w:rPr>
      </w:pPr>
    </w:p>
    <w:p>
      <w:pPr>
        <w:rPr>
          <w:rFonts w:hint="eastAsia"/>
        </w:rPr>
      </w:pPr>
    </w:p>
    <w:p>
      <w:pPr>
        <w:pStyle w:val="3"/>
        <w:rPr>
          <w:rFonts w:hint="eastAsia" w:ascii="微软雅黑" w:hAnsi="微软雅黑" w:eastAsia="微软雅黑" w:cs="微软雅黑"/>
          <w:b/>
          <w:sz w:val="24"/>
        </w:rPr>
      </w:pPr>
      <w:bookmarkStart w:id="545" w:name="_bookmark41"/>
      <w:bookmarkEnd w:id="545"/>
    </w:p>
    <w:p>
      <w:pPr>
        <w:pStyle w:val="3"/>
        <w:spacing w:before="5"/>
        <w:rPr>
          <w:rFonts w:hint="eastAsia" w:ascii="微软雅黑" w:hAnsi="微软雅黑" w:eastAsia="微软雅黑" w:cs="微软雅黑"/>
          <w:b/>
          <w:sz w:val="25"/>
        </w:rPr>
      </w:pPr>
    </w:p>
    <w:p>
      <w:pPr>
        <w:rPr>
          <w:rFonts w:hint="eastAsia"/>
        </w:rPr>
      </w:pPr>
    </w:p>
    <w:p>
      <w:pPr>
        <w:spacing w:before="0"/>
        <w:ind w:left="1456" w:right="2208" w:firstLine="0"/>
        <w:jc w:val="center"/>
        <w:rPr>
          <w:rFonts w:hint="eastAsia" w:ascii="微软雅黑" w:hAnsi="微软雅黑" w:eastAsia="微软雅黑" w:cs="微软雅黑"/>
          <w:b/>
          <w:sz w:val="24"/>
        </w:rPr>
      </w:pPr>
      <w:bookmarkStart w:id="546" w:name="_bookmark42"/>
      <w:bookmarkEnd w:id="546"/>
      <w:r>
        <w:rPr>
          <w:rFonts w:hint="eastAsia" w:ascii="微软雅黑" w:hAnsi="微软雅黑" w:eastAsia="微软雅黑" w:cs="微软雅黑"/>
          <w:b/>
          <w:sz w:val="24"/>
        </w:rPr>
        <w:t>第一部分 合同书</w:t>
      </w:r>
    </w:p>
    <w:p>
      <w:pPr>
        <w:pStyle w:val="3"/>
        <w:rPr>
          <w:rFonts w:hint="eastAsia" w:ascii="微软雅黑" w:hAnsi="微软雅黑" w:eastAsia="微软雅黑" w:cs="微软雅黑"/>
          <w:b/>
          <w:sz w:val="24"/>
        </w:rPr>
      </w:pPr>
    </w:p>
    <w:p>
      <w:pPr>
        <w:pStyle w:val="3"/>
        <w:rPr>
          <w:rFonts w:hint="eastAsia" w:ascii="微软雅黑" w:hAnsi="微软雅黑" w:eastAsia="微软雅黑" w:cs="微软雅黑"/>
          <w:b/>
          <w:sz w:val="24"/>
        </w:rPr>
      </w:pPr>
    </w:p>
    <w:p>
      <w:pPr>
        <w:pStyle w:val="3"/>
        <w:spacing w:before="12"/>
        <w:rPr>
          <w:rFonts w:hint="eastAsia" w:ascii="微软雅黑" w:hAnsi="微软雅黑" w:eastAsia="微软雅黑" w:cs="微软雅黑"/>
          <w:b/>
          <w:sz w:val="19"/>
        </w:rPr>
      </w:pPr>
    </w:p>
    <w:p>
      <w:pPr>
        <w:tabs>
          <w:tab w:val="left" w:pos="7473"/>
        </w:tabs>
        <w:spacing w:before="0" w:line="240" w:lineRule="auto"/>
        <w:ind w:left="2014" w:right="0" w:firstLine="0"/>
        <w:jc w:val="left"/>
        <w:rPr>
          <w:rFonts w:hint="eastAsia" w:ascii="微软雅黑" w:hAnsi="微软雅黑" w:eastAsia="微软雅黑" w:cs="微软雅黑"/>
          <w:sz w:val="20"/>
        </w:rPr>
      </w:pPr>
      <w:r>
        <w:rPr>
          <w:rFonts w:hint="eastAsia" w:ascii="微软雅黑" w:hAnsi="微软雅黑" w:eastAsia="微软雅黑" w:cs="微软雅黑"/>
          <w:spacing w:val="-1"/>
          <w:sz w:val="24"/>
        </w:rPr>
        <w:t>项</w:t>
      </w:r>
      <w:r>
        <w:rPr>
          <w:rFonts w:hint="eastAsia" w:ascii="微软雅黑" w:hAnsi="微软雅黑" w:eastAsia="微软雅黑" w:cs="微软雅黑"/>
          <w:sz w:val="24"/>
        </w:rPr>
        <w:t>目名称：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p>
    <w:p>
      <w:pPr>
        <w:pStyle w:val="3"/>
        <w:spacing w:before="10" w:line="240" w:lineRule="auto"/>
        <w:rPr>
          <w:rFonts w:hint="eastAsia" w:ascii="微软雅黑" w:hAnsi="微软雅黑" w:eastAsia="微软雅黑" w:cs="微软雅黑"/>
          <w:sz w:val="22"/>
        </w:rPr>
      </w:pPr>
    </w:p>
    <w:p>
      <w:pPr>
        <w:tabs>
          <w:tab w:val="left" w:pos="7473"/>
        </w:tabs>
        <w:spacing w:before="74" w:line="240" w:lineRule="auto"/>
        <w:ind w:left="2014" w:right="0" w:firstLine="0"/>
        <w:jc w:val="left"/>
        <w:rPr>
          <w:rFonts w:hint="eastAsia" w:ascii="微软雅黑" w:hAnsi="微软雅黑" w:eastAsia="微软雅黑" w:cs="微软雅黑"/>
          <w:sz w:val="24"/>
        </w:rPr>
      </w:pPr>
      <w:r>
        <w:rPr>
          <w:rFonts w:hint="eastAsia" w:ascii="微软雅黑" w:hAnsi="微软雅黑" w:eastAsia="微软雅黑" w:cs="微软雅黑"/>
          <w:spacing w:val="-1"/>
          <w:sz w:val="24"/>
        </w:rPr>
        <w:t>甲</w:t>
      </w:r>
      <w:r>
        <w:rPr>
          <w:rFonts w:hint="eastAsia" w:ascii="微软雅黑" w:hAnsi="微软雅黑" w:eastAsia="微软雅黑" w:cs="微软雅黑"/>
          <w:sz w:val="24"/>
        </w:rPr>
        <w:t>方：</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p>
    <w:p>
      <w:pPr>
        <w:pStyle w:val="3"/>
        <w:spacing w:before="9" w:line="240" w:lineRule="auto"/>
        <w:rPr>
          <w:rFonts w:hint="eastAsia" w:ascii="微软雅黑" w:hAnsi="微软雅黑" w:eastAsia="微软雅黑" w:cs="微软雅黑"/>
        </w:rPr>
      </w:pPr>
    </w:p>
    <w:p>
      <w:pPr>
        <w:tabs>
          <w:tab w:val="left" w:pos="7473"/>
        </w:tabs>
        <w:spacing w:before="74" w:line="240" w:lineRule="auto"/>
        <w:ind w:left="2014" w:right="0" w:firstLine="0"/>
        <w:jc w:val="left"/>
        <w:rPr>
          <w:rFonts w:hint="eastAsia" w:ascii="微软雅黑" w:hAnsi="微软雅黑" w:eastAsia="微软雅黑" w:cs="微软雅黑"/>
          <w:sz w:val="24"/>
        </w:rPr>
      </w:pPr>
      <w:r>
        <w:rPr>
          <w:rFonts w:hint="eastAsia" w:ascii="微软雅黑" w:hAnsi="微软雅黑" w:eastAsia="微软雅黑" w:cs="微软雅黑"/>
          <w:spacing w:val="-1"/>
          <w:sz w:val="24"/>
        </w:rPr>
        <w:t>乙</w:t>
      </w:r>
      <w:r>
        <w:rPr>
          <w:rFonts w:hint="eastAsia" w:ascii="微软雅黑" w:hAnsi="微软雅黑" w:eastAsia="微软雅黑" w:cs="微软雅黑"/>
          <w:sz w:val="24"/>
        </w:rPr>
        <w:t>方：</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p>
    <w:p>
      <w:pPr>
        <w:pStyle w:val="3"/>
        <w:spacing w:line="240" w:lineRule="auto"/>
        <w:rPr>
          <w:rFonts w:hint="eastAsia" w:ascii="微软雅黑" w:hAnsi="微软雅黑" w:eastAsia="微软雅黑" w:cs="微软雅黑"/>
          <w:sz w:val="22"/>
        </w:rPr>
      </w:pPr>
    </w:p>
    <w:p>
      <w:pPr>
        <w:tabs>
          <w:tab w:val="left" w:pos="7473"/>
        </w:tabs>
        <w:spacing w:before="74" w:line="240" w:lineRule="auto"/>
        <w:ind w:left="2014" w:right="0" w:firstLine="0"/>
        <w:jc w:val="left"/>
        <w:rPr>
          <w:rFonts w:hint="eastAsia" w:ascii="微软雅黑" w:hAnsi="微软雅黑" w:eastAsia="微软雅黑" w:cs="微软雅黑"/>
          <w:sz w:val="24"/>
        </w:rPr>
      </w:pPr>
      <w:r>
        <w:rPr>
          <w:rFonts w:hint="eastAsia" w:ascii="微软雅黑" w:hAnsi="微软雅黑" w:eastAsia="微软雅黑" w:cs="微软雅黑"/>
          <w:spacing w:val="-1"/>
          <w:sz w:val="24"/>
        </w:rPr>
        <w:t>签</w:t>
      </w:r>
      <w:r>
        <w:rPr>
          <w:rFonts w:hint="eastAsia" w:ascii="微软雅黑" w:hAnsi="微软雅黑" w:eastAsia="微软雅黑" w:cs="微软雅黑"/>
          <w:sz w:val="24"/>
        </w:rPr>
        <w:t>订地：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p>
    <w:p>
      <w:pPr>
        <w:pStyle w:val="3"/>
        <w:spacing w:before="4" w:line="240" w:lineRule="auto"/>
        <w:rPr>
          <w:rFonts w:hint="eastAsia" w:ascii="微软雅黑" w:hAnsi="微软雅黑" w:eastAsia="微软雅黑" w:cs="微软雅黑"/>
          <w:sz w:val="22"/>
        </w:rPr>
      </w:pPr>
    </w:p>
    <w:p>
      <w:pPr>
        <w:tabs>
          <w:tab w:val="left" w:pos="5014"/>
          <w:tab w:val="left" w:pos="6094"/>
          <w:tab w:val="left" w:pos="7174"/>
        </w:tabs>
        <w:spacing w:before="67" w:line="240" w:lineRule="auto"/>
        <w:ind w:left="2014" w:right="0" w:firstLine="0"/>
        <w:jc w:val="left"/>
        <w:rPr>
          <w:rFonts w:hint="eastAsia" w:ascii="微软雅黑" w:hAnsi="微软雅黑" w:eastAsia="微软雅黑" w:cs="微软雅黑"/>
          <w:sz w:val="24"/>
        </w:rPr>
      </w:pPr>
      <w:r>
        <w:rPr>
          <w:rFonts w:hint="eastAsia" w:ascii="微软雅黑" w:hAnsi="微软雅黑" w:eastAsia="微软雅黑" w:cs="微软雅黑"/>
          <w:sz w:val="24"/>
        </w:rPr>
        <w:t>签订日期：</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r>
        <w:rPr>
          <w:rFonts w:hint="eastAsia" w:ascii="微软雅黑" w:hAnsi="微软雅黑" w:eastAsia="微软雅黑" w:cs="微软雅黑"/>
          <w:sz w:val="24"/>
        </w:rPr>
        <w:t>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r>
        <w:rPr>
          <w:rFonts w:hint="eastAsia" w:ascii="微软雅黑" w:hAnsi="微软雅黑" w:eastAsia="微软雅黑" w:cs="微软雅黑"/>
          <w:sz w:val="24"/>
        </w:rPr>
        <w:t>月</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r>
        <w:rPr>
          <w:rFonts w:hint="eastAsia" w:ascii="微软雅黑" w:hAnsi="微软雅黑" w:eastAsia="微软雅黑" w:cs="微软雅黑"/>
          <w:sz w:val="24"/>
        </w:rPr>
        <w:t>日</w:t>
      </w:r>
    </w:p>
    <w:p>
      <w:pPr>
        <w:spacing w:after="0" w:line="240" w:lineRule="auto"/>
        <w:jc w:val="left"/>
        <w:rPr>
          <w:rFonts w:hint="eastAsia" w:ascii="微软雅黑" w:hAnsi="微软雅黑" w:eastAsia="微软雅黑" w:cs="微软雅黑"/>
          <w:sz w:val="24"/>
        </w:rPr>
        <w:sectPr>
          <w:pgSz w:w="11910" w:h="16840"/>
          <w:pgMar w:top="1580" w:right="1" w:bottom="280" w:left="760" w:header="852" w:footer="794" w:gutter="0"/>
          <w:pgNumType w:fmt="decimal"/>
          <w:cols w:space="720" w:num="1"/>
        </w:sectPr>
      </w:pPr>
    </w:p>
    <w:p>
      <w:pPr>
        <w:pStyle w:val="3"/>
        <w:tabs>
          <w:tab w:val="left" w:pos="2314"/>
          <w:tab w:val="clear" w:pos="567"/>
        </w:tabs>
        <w:spacing w:before="4" w:line="290" w:lineRule="auto"/>
        <w:ind w:left="1054" w:right="1808" w:firstLine="419"/>
        <w:jc w:val="both"/>
        <w:rPr>
          <w:rFonts w:hint="eastAsia" w:ascii="微软雅黑" w:hAnsi="微软雅黑" w:eastAsia="微软雅黑" w:cs="微软雅黑"/>
          <w:sz w:val="21"/>
          <w:szCs w:val="21"/>
        </w:rPr>
      </w:pPr>
      <w:r>
        <w:rPr>
          <w:rFonts w:hint="eastAsia" w:ascii="微软雅黑" w:hAnsi="微软雅黑" w:eastAsia="微软雅黑" w:cs="微软雅黑"/>
          <w:w w:val="99"/>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年</w:t>
      </w:r>
      <w:r>
        <w:rPr>
          <w:rFonts w:hint="eastAsia" w:ascii="微软雅黑" w:hAnsi="微软雅黑" w:eastAsia="微软雅黑" w:cs="微软雅黑"/>
          <w:spacing w:val="51"/>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pacing w:val="34"/>
          <w:sz w:val="21"/>
          <w:szCs w:val="21"/>
          <w:u w:val="single"/>
        </w:rPr>
        <w:t xml:space="preserve">   </w:t>
      </w:r>
      <w:r>
        <w:rPr>
          <w:rFonts w:hint="eastAsia" w:ascii="微软雅黑" w:hAnsi="微软雅黑" w:eastAsia="微软雅黑" w:cs="微软雅黑"/>
          <w:spacing w:val="-10"/>
          <w:sz w:val="21"/>
          <w:szCs w:val="21"/>
        </w:rPr>
        <w:t>日，</w:t>
      </w:r>
      <w:r>
        <w:rPr>
          <w:rFonts w:hint="eastAsia" w:ascii="微软雅黑" w:hAnsi="微软雅黑" w:eastAsia="微软雅黑" w:cs="微软雅黑"/>
          <w:spacing w:val="-8"/>
          <w:sz w:val="21"/>
          <w:szCs w:val="21"/>
          <w:u w:val="single"/>
        </w:rPr>
        <w:t xml:space="preserve">   </w:t>
      </w:r>
      <w:r>
        <w:rPr>
          <w:rFonts w:hint="eastAsia" w:ascii="微软雅黑" w:hAnsi="微软雅黑" w:eastAsia="微软雅黑" w:cs="微软雅黑"/>
          <w:sz w:val="21"/>
          <w:szCs w:val="21"/>
          <w:u w:val="single"/>
        </w:rPr>
        <w:t>（采购人名称）</w:t>
      </w:r>
      <w:r>
        <w:rPr>
          <w:rFonts w:hint="eastAsia" w:ascii="微软雅黑" w:hAnsi="微软雅黑" w:eastAsia="微软雅黑" w:cs="微软雅黑"/>
          <w:spacing w:val="42"/>
          <w:sz w:val="21"/>
          <w:szCs w:val="21"/>
          <w:u w:val="single"/>
        </w:rPr>
        <w:t xml:space="preserve">  </w:t>
      </w:r>
      <w:r>
        <w:rPr>
          <w:rFonts w:hint="eastAsia" w:ascii="微软雅黑" w:hAnsi="微软雅黑" w:eastAsia="微软雅黑" w:cs="微软雅黑"/>
          <w:sz w:val="21"/>
          <w:szCs w:val="21"/>
        </w:rPr>
        <w:t>以</w:t>
      </w:r>
      <w:r>
        <w:rPr>
          <w:rFonts w:hint="eastAsia" w:ascii="微软雅黑" w:hAnsi="微软雅黑" w:eastAsia="微软雅黑" w:cs="微软雅黑"/>
          <w:spacing w:val="42"/>
          <w:sz w:val="21"/>
          <w:szCs w:val="21"/>
          <w:u w:val="single"/>
        </w:rPr>
        <w:t xml:space="preserve">  </w:t>
      </w:r>
      <w:r>
        <w:rPr>
          <w:rFonts w:hint="eastAsia" w:ascii="微软雅黑" w:hAnsi="微软雅黑" w:eastAsia="微软雅黑" w:cs="微软雅黑"/>
          <w:sz w:val="21"/>
          <w:szCs w:val="21"/>
          <w:u w:val="single"/>
        </w:rPr>
        <w:t>（政府采购方式）</w:t>
      </w:r>
      <w:r>
        <w:rPr>
          <w:rFonts w:hint="eastAsia" w:ascii="微软雅黑" w:hAnsi="微软雅黑" w:eastAsia="微软雅黑" w:cs="微软雅黑"/>
          <w:spacing w:val="85"/>
          <w:sz w:val="21"/>
          <w:szCs w:val="21"/>
          <w:u w:val="single"/>
        </w:rPr>
        <w:t xml:space="preserve"> </w:t>
      </w:r>
      <w:r>
        <w:rPr>
          <w:rFonts w:hint="eastAsia" w:ascii="微软雅黑" w:hAnsi="微软雅黑" w:eastAsia="微软雅黑" w:cs="微软雅黑"/>
          <w:sz w:val="21"/>
          <w:szCs w:val="21"/>
        </w:rPr>
        <w:t>对</w:t>
      </w:r>
      <w:r>
        <w:rPr>
          <w:rFonts w:hint="eastAsia" w:ascii="微软雅黑" w:hAnsi="微软雅黑" w:eastAsia="微软雅黑" w:cs="微软雅黑"/>
          <w:spacing w:val="42"/>
          <w:sz w:val="21"/>
          <w:szCs w:val="21"/>
          <w:u w:val="single"/>
        </w:rPr>
        <w:t xml:space="preserve">  </w:t>
      </w:r>
      <w:r>
        <w:rPr>
          <w:rFonts w:hint="eastAsia" w:ascii="微软雅黑" w:hAnsi="微软雅黑" w:eastAsia="微软雅黑" w:cs="微软雅黑"/>
          <w:sz w:val="21"/>
          <w:szCs w:val="21"/>
          <w:u w:val="single"/>
        </w:rPr>
        <w:t>（同前页项目名称）</w:t>
      </w:r>
      <w:r>
        <w:rPr>
          <w:rFonts w:hint="eastAsia" w:ascii="微软雅黑" w:hAnsi="微软雅黑" w:eastAsia="微软雅黑" w:cs="微软雅黑"/>
          <w:spacing w:val="4"/>
          <w:sz w:val="21"/>
          <w:szCs w:val="21"/>
          <w:u w:val="single"/>
        </w:rPr>
        <w:t xml:space="preserve">  </w:t>
      </w:r>
      <w:r>
        <w:rPr>
          <w:rFonts w:hint="eastAsia" w:ascii="微软雅黑" w:hAnsi="微软雅黑" w:eastAsia="微软雅黑" w:cs="微软雅黑"/>
          <w:sz w:val="21"/>
          <w:szCs w:val="21"/>
        </w:rPr>
        <w:t>项目进行了采购。经</w:t>
      </w:r>
      <w:r>
        <w:rPr>
          <w:rFonts w:hint="eastAsia" w:ascii="微软雅黑" w:hAnsi="微软雅黑" w:eastAsia="微软雅黑" w:cs="微软雅黑"/>
          <w:spacing w:val="2"/>
          <w:sz w:val="21"/>
          <w:szCs w:val="21"/>
          <w:u w:val="single"/>
        </w:rPr>
        <w:t xml:space="preserve">   </w:t>
      </w:r>
      <w:r>
        <w:rPr>
          <w:rFonts w:hint="eastAsia" w:ascii="微软雅黑" w:hAnsi="微软雅黑" w:eastAsia="微软雅黑" w:cs="微软雅黑"/>
          <w:sz w:val="21"/>
          <w:szCs w:val="21"/>
          <w:u w:val="single"/>
        </w:rPr>
        <w:t>（相关评定主体名称）</w:t>
      </w:r>
      <w:r>
        <w:rPr>
          <w:rFonts w:hint="eastAsia" w:ascii="微软雅黑" w:hAnsi="微软雅黑" w:eastAsia="微软雅黑" w:cs="微软雅黑"/>
          <w:spacing w:val="3"/>
          <w:sz w:val="21"/>
          <w:szCs w:val="21"/>
          <w:u w:val="single"/>
        </w:rPr>
        <w:t xml:space="preserve">   </w:t>
      </w:r>
      <w:r>
        <w:rPr>
          <w:rFonts w:hint="eastAsia" w:ascii="微软雅黑" w:hAnsi="微软雅黑" w:eastAsia="微软雅黑" w:cs="微软雅黑"/>
          <w:spacing w:val="1"/>
          <w:sz w:val="21"/>
          <w:szCs w:val="21"/>
        </w:rPr>
        <w:t>评定，</w:t>
      </w:r>
      <w:r>
        <w:rPr>
          <w:rFonts w:hint="eastAsia" w:ascii="微软雅黑" w:hAnsi="微软雅黑" w:eastAsia="微软雅黑" w:cs="微软雅黑"/>
          <w:spacing w:val="1"/>
          <w:sz w:val="21"/>
          <w:szCs w:val="21"/>
          <w:u w:val="single"/>
        </w:rPr>
        <w:t xml:space="preserve">   </w:t>
      </w:r>
      <w:r>
        <w:rPr>
          <w:rFonts w:hint="eastAsia" w:ascii="微软雅黑" w:hAnsi="微软雅黑" w:eastAsia="微软雅黑" w:cs="微软雅黑"/>
          <w:sz w:val="21"/>
          <w:szCs w:val="21"/>
          <w:u w:val="single"/>
        </w:rPr>
        <w:t>（</w:t>
      </w:r>
      <w:r>
        <w:rPr>
          <w:rFonts w:hint="eastAsia" w:ascii="微软雅黑" w:hAnsi="微软雅黑" w:eastAsia="微软雅黑" w:cs="微软雅黑"/>
          <w:spacing w:val="1"/>
          <w:sz w:val="21"/>
          <w:szCs w:val="21"/>
          <w:u w:val="single"/>
        </w:rPr>
        <w:t>中标供</w:t>
      </w:r>
      <w:r>
        <w:rPr>
          <w:rFonts w:hint="eastAsia" w:ascii="微软雅黑" w:hAnsi="微软雅黑" w:eastAsia="微软雅黑" w:cs="微软雅黑"/>
          <w:spacing w:val="-199"/>
          <w:sz w:val="21"/>
          <w:szCs w:val="21"/>
          <w:u w:val="single"/>
        </w:rPr>
        <w:t>应商</w:t>
      </w:r>
      <w:r>
        <w:rPr>
          <w:rFonts w:hint="eastAsia" w:ascii="微软雅黑" w:hAnsi="微软雅黑" w:eastAsia="微软雅黑" w:cs="微软雅黑"/>
          <w:spacing w:val="2"/>
          <w:sz w:val="21"/>
          <w:szCs w:val="21"/>
          <w:u w:val="single"/>
        </w:rPr>
        <w:t>名称</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为该项目中标供应商。现于中标通知书发出之日起三十日内，按照采购文件确定的事项签订本合同。</w:t>
      </w:r>
    </w:p>
    <w:p>
      <w:pPr>
        <w:pStyle w:val="3"/>
        <w:spacing w:before="3" w:line="292" w:lineRule="auto"/>
        <w:ind w:left="1054" w:right="1808"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根据《中华人民共和国合同法》、《中华人民共和国政府采购法》等相关法律法规之</w:t>
      </w:r>
      <w:r>
        <w:rPr>
          <w:rFonts w:hint="eastAsia" w:ascii="微软雅黑" w:hAnsi="微软雅黑" w:eastAsia="微软雅黑" w:cs="微软雅黑"/>
          <w:spacing w:val="-1"/>
          <w:sz w:val="21"/>
          <w:szCs w:val="21"/>
        </w:rPr>
        <w:t>规定，按照平等、自愿、公平和诚实信用的原则，经</w:t>
      </w:r>
      <w:r>
        <w:rPr>
          <w:rFonts w:hint="eastAsia" w:ascii="微软雅黑" w:hAnsi="微软雅黑" w:eastAsia="微软雅黑" w:cs="微软雅黑"/>
          <w:spacing w:val="91"/>
          <w:sz w:val="21"/>
          <w:szCs w:val="21"/>
          <w:u w:val="single"/>
        </w:rPr>
        <w:t xml:space="preserve"> </w:t>
      </w:r>
      <w:r>
        <w:rPr>
          <w:rFonts w:hint="eastAsia" w:ascii="微软雅黑" w:hAnsi="微软雅黑" w:eastAsia="微软雅黑" w:cs="微软雅黑"/>
          <w:sz w:val="21"/>
          <w:szCs w:val="21"/>
          <w:u w:val="single"/>
        </w:rPr>
        <w:t>（采购人名称）</w:t>
      </w:r>
      <w:r>
        <w:rPr>
          <w:rFonts w:hint="eastAsia" w:ascii="微软雅黑" w:hAnsi="微软雅黑" w:eastAsia="微软雅黑" w:cs="微软雅黑"/>
          <w:spacing w:val="45"/>
          <w:sz w:val="21"/>
          <w:szCs w:val="21"/>
          <w:u w:val="single"/>
        </w:rPr>
        <w:t xml:space="preserve">  </w:t>
      </w:r>
      <w:r>
        <w:rPr>
          <w:rFonts w:hint="eastAsia" w:ascii="微软雅黑" w:hAnsi="微软雅黑" w:eastAsia="微软雅黑" w:cs="微软雅黑"/>
          <w:sz w:val="21"/>
          <w:szCs w:val="21"/>
        </w:rPr>
        <w:t>(以下简称：甲方)和</w:t>
      </w:r>
      <w:r>
        <w:rPr>
          <w:rFonts w:hint="eastAsia" w:ascii="微软雅黑" w:hAnsi="微软雅黑" w:eastAsia="微软雅黑" w:cs="微软雅黑"/>
          <w:spacing w:val="94"/>
          <w:sz w:val="21"/>
          <w:szCs w:val="21"/>
          <w:u w:val="single"/>
        </w:rPr>
        <w:t xml:space="preserve"> </w:t>
      </w:r>
      <w:r>
        <w:rPr>
          <w:rFonts w:hint="eastAsia" w:ascii="微软雅黑" w:hAnsi="微软雅黑" w:eastAsia="微软雅黑" w:cs="微软雅黑"/>
          <w:sz w:val="21"/>
          <w:szCs w:val="21"/>
          <w:u w:val="single"/>
        </w:rPr>
        <w:t>（中标供应商名称）</w:t>
      </w:r>
      <w:r>
        <w:rPr>
          <w:rFonts w:hint="eastAsia" w:ascii="微软雅黑" w:hAnsi="微软雅黑" w:eastAsia="微软雅黑" w:cs="微软雅黑"/>
          <w:spacing w:val="46"/>
          <w:sz w:val="21"/>
          <w:szCs w:val="21"/>
          <w:u w:val="single"/>
        </w:rPr>
        <w:t xml:space="preserve">  </w:t>
      </w:r>
      <w:r>
        <w:rPr>
          <w:rFonts w:hint="eastAsia" w:ascii="微软雅黑" w:hAnsi="微软雅黑" w:eastAsia="微软雅黑" w:cs="微软雅黑"/>
          <w:spacing w:val="-3"/>
          <w:sz w:val="21"/>
          <w:szCs w:val="21"/>
        </w:rPr>
        <w:t>(以下简称：乙方)协商一致，约定以下合同条款，以兹共同遵守、全面履行。</w:t>
      </w:r>
    </w:p>
    <w:p>
      <w:pPr>
        <w:pStyle w:val="9"/>
        <w:numPr>
          <w:ilvl w:val="1"/>
          <w:numId w:val="15"/>
        </w:numPr>
        <w:tabs>
          <w:tab w:val="left" w:pos="1897"/>
        </w:tabs>
        <w:spacing w:before="0" w:after="0" w:line="264" w:lineRule="exact"/>
        <w:ind w:left="1896" w:right="0" w:hanging="422"/>
        <w:jc w:val="left"/>
        <w:rPr>
          <w:rFonts w:hint="eastAsia" w:ascii="微软雅黑" w:hAnsi="微软雅黑" w:eastAsia="微软雅黑" w:cs="微软雅黑"/>
          <w:sz w:val="21"/>
          <w:szCs w:val="21"/>
        </w:rPr>
      </w:pPr>
      <w:bookmarkStart w:id="547" w:name="1.1 合同组成部分"/>
      <w:bookmarkEnd w:id="547"/>
      <w:bookmarkStart w:id="548" w:name="1.1 合同组成部分"/>
      <w:bookmarkEnd w:id="548"/>
      <w:r>
        <w:rPr>
          <w:rFonts w:hint="eastAsia" w:ascii="微软雅黑" w:hAnsi="微软雅黑" w:eastAsia="微软雅黑" w:cs="微软雅黑"/>
          <w:sz w:val="21"/>
          <w:szCs w:val="21"/>
        </w:rPr>
        <w:t>合同组成部分</w:t>
      </w:r>
    </w:p>
    <w:p>
      <w:pPr>
        <w:pStyle w:val="3"/>
        <w:spacing w:before="57"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84"/>
        <w:numPr>
          <w:ilvl w:val="2"/>
          <w:numId w:val="15"/>
        </w:numPr>
        <w:tabs>
          <w:tab w:val="left" w:pos="2104"/>
        </w:tabs>
        <w:spacing w:before="3"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本合同及其补充合同、变更协议；</w:t>
      </w:r>
    </w:p>
    <w:p>
      <w:pPr>
        <w:pStyle w:val="84"/>
        <w:numPr>
          <w:ilvl w:val="2"/>
          <w:numId w:val="15"/>
        </w:numPr>
        <w:tabs>
          <w:tab w:val="left" w:pos="2104"/>
        </w:tabs>
        <w:spacing w:before="60"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中标通知书；</w:t>
      </w:r>
    </w:p>
    <w:p>
      <w:pPr>
        <w:pStyle w:val="84"/>
        <w:numPr>
          <w:ilvl w:val="2"/>
          <w:numId w:val="15"/>
        </w:numPr>
        <w:tabs>
          <w:tab w:val="left" w:pos="2104"/>
        </w:tabs>
        <w:spacing w:before="57"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w w:val="95"/>
          <w:sz w:val="21"/>
          <w:szCs w:val="21"/>
        </w:rPr>
        <w:t>投标文件（含澄清或者说明文件）；</w:t>
      </w:r>
    </w:p>
    <w:p>
      <w:pPr>
        <w:pStyle w:val="84"/>
        <w:numPr>
          <w:ilvl w:val="2"/>
          <w:numId w:val="15"/>
        </w:numPr>
        <w:tabs>
          <w:tab w:val="left" w:pos="2104"/>
        </w:tabs>
        <w:spacing w:before="57"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w w:val="95"/>
          <w:sz w:val="21"/>
          <w:szCs w:val="21"/>
        </w:rPr>
        <w:t>招标文件（含澄清或者修改文件）；</w:t>
      </w:r>
    </w:p>
    <w:p>
      <w:pPr>
        <w:pStyle w:val="84"/>
        <w:numPr>
          <w:ilvl w:val="2"/>
          <w:numId w:val="15"/>
        </w:numPr>
        <w:tabs>
          <w:tab w:val="left" w:pos="2104"/>
        </w:tabs>
        <w:spacing w:before="58"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其他相关采购文件。</w:t>
      </w:r>
    </w:p>
    <w:p>
      <w:pPr>
        <w:pStyle w:val="9"/>
        <w:numPr>
          <w:ilvl w:val="1"/>
          <w:numId w:val="16"/>
        </w:numPr>
        <w:tabs>
          <w:tab w:val="left" w:pos="1897"/>
        </w:tabs>
        <w:spacing w:before="57" w:after="0" w:line="240" w:lineRule="auto"/>
        <w:ind w:left="1896" w:right="0" w:hanging="422"/>
        <w:jc w:val="left"/>
        <w:rPr>
          <w:rFonts w:hint="eastAsia" w:ascii="微软雅黑" w:hAnsi="微软雅黑" w:eastAsia="微软雅黑" w:cs="微软雅黑"/>
          <w:sz w:val="21"/>
          <w:szCs w:val="21"/>
        </w:rPr>
      </w:pPr>
      <w:bookmarkStart w:id="549" w:name="1.2 货物"/>
      <w:bookmarkEnd w:id="549"/>
      <w:bookmarkStart w:id="550" w:name="1.2 货物"/>
      <w:bookmarkEnd w:id="550"/>
      <w:r>
        <w:rPr>
          <w:rFonts w:hint="eastAsia" w:ascii="微软雅黑" w:hAnsi="微软雅黑" w:eastAsia="微软雅黑" w:cs="微软雅黑"/>
          <w:sz w:val="21"/>
          <w:szCs w:val="21"/>
          <w:lang w:val="en-US" w:eastAsia="zh-CN"/>
        </w:rPr>
        <w:t>服务</w:t>
      </w:r>
    </w:p>
    <w:p>
      <w:pPr>
        <w:pStyle w:val="84"/>
        <w:numPr>
          <w:ilvl w:val="2"/>
          <w:numId w:val="16"/>
        </w:numPr>
        <w:tabs>
          <w:tab w:val="left" w:pos="2104"/>
          <w:tab w:val="left" w:pos="8194"/>
        </w:tabs>
        <w:spacing w:before="60"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w:t>
      </w:r>
    </w:p>
    <w:p>
      <w:pPr>
        <w:pStyle w:val="84"/>
        <w:numPr>
          <w:ilvl w:val="2"/>
          <w:numId w:val="16"/>
        </w:numPr>
        <w:tabs>
          <w:tab w:val="left" w:pos="2104"/>
          <w:tab w:val="left" w:pos="8194"/>
        </w:tabs>
        <w:spacing w:before="57"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w:t>
      </w:r>
    </w:p>
    <w:p>
      <w:pPr>
        <w:pStyle w:val="84"/>
        <w:numPr>
          <w:ilvl w:val="2"/>
          <w:numId w:val="16"/>
        </w:numPr>
        <w:tabs>
          <w:tab w:val="left" w:pos="2104"/>
          <w:tab w:val="left" w:pos="8194"/>
        </w:tabs>
        <w:spacing w:before="57"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质量：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w:t>
      </w:r>
    </w:p>
    <w:p>
      <w:pPr>
        <w:pStyle w:val="9"/>
        <w:numPr>
          <w:ilvl w:val="1"/>
          <w:numId w:val="17"/>
        </w:numPr>
        <w:tabs>
          <w:tab w:val="left" w:pos="1897"/>
        </w:tabs>
        <w:spacing w:before="58" w:after="0" w:line="240" w:lineRule="auto"/>
        <w:ind w:left="1896" w:right="0" w:hanging="422"/>
        <w:jc w:val="left"/>
        <w:rPr>
          <w:rFonts w:hint="eastAsia" w:ascii="微软雅黑" w:hAnsi="微软雅黑" w:eastAsia="微软雅黑" w:cs="微软雅黑"/>
          <w:sz w:val="21"/>
          <w:szCs w:val="21"/>
        </w:rPr>
      </w:pPr>
      <w:bookmarkStart w:id="551" w:name="1.3 价款"/>
      <w:bookmarkEnd w:id="551"/>
      <w:bookmarkStart w:id="552" w:name="1.3 价款"/>
      <w:bookmarkEnd w:id="552"/>
      <w:r>
        <w:rPr>
          <w:rFonts w:hint="eastAsia" w:ascii="微软雅黑" w:hAnsi="微软雅黑" w:eastAsia="微软雅黑" w:cs="微软雅黑"/>
          <w:sz w:val="21"/>
          <w:szCs w:val="21"/>
        </w:rPr>
        <w:t>价款</w:t>
      </w:r>
    </w:p>
    <w:p>
      <w:pPr>
        <w:pStyle w:val="3"/>
        <w:tabs>
          <w:tab w:val="left" w:pos="4308"/>
          <w:tab w:val="left" w:pos="7143"/>
          <w:tab w:val="clear" w:pos="567"/>
        </w:tabs>
        <w:spacing w:before="57" w:after="4" w:line="290" w:lineRule="auto"/>
        <w:ind w:left="1474" w:right="2743"/>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本合同总价为：￥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元（大写：</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元人民币）</w:t>
      </w:r>
      <w:r>
        <w:rPr>
          <w:rFonts w:hint="eastAsia" w:ascii="微软雅黑" w:hAnsi="微软雅黑" w:eastAsia="微软雅黑" w:cs="微软雅黑"/>
          <w:spacing w:val="-15"/>
          <w:sz w:val="21"/>
          <w:szCs w:val="21"/>
        </w:rPr>
        <w:t>。</w:t>
      </w:r>
      <w:r>
        <w:rPr>
          <w:rFonts w:hint="eastAsia" w:ascii="微软雅黑" w:hAnsi="微软雅黑" w:eastAsia="微软雅黑" w:cs="微软雅黑"/>
          <w:sz w:val="21"/>
          <w:szCs w:val="21"/>
        </w:rPr>
        <w:t>分项价格：</w:t>
      </w:r>
    </w:p>
    <w:tbl>
      <w:tblPr>
        <w:tblStyle w:val="37"/>
        <w:tblW w:w="0" w:type="auto"/>
        <w:tblInd w:w="1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9"/>
        <w:gridCol w:w="3738"/>
        <w:gridCol w:w="2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19" w:type="dxa"/>
          </w:tcPr>
          <w:p>
            <w:pPr>
              <w:pStyle w:val="49"/>
              <w:spacing w:before="79"/>
              <w:ind w:left="427" w:right="42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3738" w:type="dxa"/>
          </w:tcPr>
          <w:p>
            <w:pPr>
              <w:pStyle w:val="49"/>
              <w:spacing w:before="79"/>
              <w:ind w:left="1527" w:right="132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分项名称</w:t>
            </w:r>
          </w:p>
        </w:tc>
        <w:tc>
          <w:tcPr>
            <w:tcW w:w="2803" w:type="dxa"/>
          </w:tcPr>
          <w:p>
            <w:pPr>
              <w:pStyle w:val="49"/>
              <w:spacing w:before="79"/>
              <w:ind w:left="960" w:right="953"/>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319" w:type="dxa"/>
          </w:tcPr>
          <w:p>
            <w:pPr>
              <w:pStyle w:val="49"/>
              <w:rPr>
                <w:rFonts w:hint="eastAsia" w:ascii="微软雅黑" w:hAnsi="微软雅黑" w:eastAsia="微软雅黑" w:cs="微软雅黑"/>
                <w:sz w:val="21"/>
                <w:szCs w:val="21"/>
              </w:rPr>
            </w:pPr>
          </w:p>
        </w:tc>
        <w:tc>
          <w:tcPr>
            <w:tcW w:w="3738" w:type="dxa"/>
          </w:tcPr>
          <w:p>
            <w:pPr>
              <w:pStyle w:val="49"/>
              <w:rPr>
                <w:rFonts w:hint="eastAsia" w:ascii="微软雅黑" w:hAnsi="微软雅黑" w:eastAsia="微软雅黑" w:cs="微软雅黑"/>
                <w:sz w:val="21"/>
                <w:szCs w:val="21"/>
              </w:rPr>
            </w:pPr>
          </w:p>
        </w:tc>
        <w:tc>
          <w:tcPr>
            <w:tcW w:w="2803" w:type="dxa"/>
          </w:tcPr>
          <w:p>
            <w:pPr>
              <w:pStyle w:val="49"/>
              <w:rPr>
                <w:rFonts w:hint="eastAsia" w:ascii="微软雅黑" w:hAnsi="微软雅黑" w:eastAsia="微软雅黑" w:cs="微软雅黑"/>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19" w:type="dxa"/>
          </w:tcPr>
          <w:p>
            <w:pPr>
              <w:pStyle w:val="49"/>
              <w:rPr>
                <w:rFonts w:hint="eastAsia" w:ascii="微软雅黑" w:hAnsi="微软雅黑" w:eastAsia="微软雅黑" w:cs="微软雅黑"/>
                <w:sz w:val="21"/>
                <w:szCs w:val="21"/>
              </w:rPr>
            </w:pPr>
          </w:p>
        </w:tc>
        <w:tc>
          <w:tcPr>
            <w:tcW w:w="3738" w:type="dxa"/>
          </w:tcPr>
          <w:p>
            <w:pPr>
              <w:pStyle w:val="49"/>
              <w:rPr>
                <w:rFonts w:hint="eastAsia" w:ascii="微软雅黑" w:hAnsi="微软雅黑" w:eastAsia="微软雅黑" w:cs="微软雅黑"/>
                <w:sz w:val="21"/>
                <w:szCs w:val="21"/>
              </w:rPr>
            </w:pPr>
          </w:p>
        </w:tc>
        <w:tc>
          <w:tcPr>
            <w:tcW w:w="2803" w:type="dxa"/>
          </w:tcPr>
          <w:p>
            <w:pPr>
              <w:pStyle w:val="49"/>
              <w:rPr>
                <w:rFonts w:hint="eastAsia" w:ascii="微软雅黑" w:hAnsi="微软雅黑" w:eastAsia="微软雅黑" w:cs="微软雅黑"/>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057" w:type="dxa"/>
            <w:gridSpan w:val="2"/>
          </w:tcPr>
          <w:p>
            <w:pPr>
              <w:pStyle w:val="49"/>
              <w:spacing w:before="85"/>
              <w:ind w:left="2395" w:right="219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总价</w:t>
            </w:r>
          </w:p>
        </w:tc>
        <w:tc>
          <w:tcPr>
            <w:tcW w:w="2803" w:type="dxa"/>
          </w:tcPr>
          <w:p>
            <w:pPr>
              <w:pStyle w:val="49"/>
              <w:rPr>
                <w:rFonts w:hint="eastAsia" w:ascii="微软雅黑" w:hAnsi="微软雅黑" w:eastAsia="微软雅黑" w:cs="微软雅黑"/>
                <w:sz w:val="21"/>
                <w:szCs w:val="21"/>
              </w:rPr>
            </w:pPr>
          </w:p>
        </w:tc>
      </w:tr>
    </w:tbl>
    <w:p>
      <w:pPr>
        <w:pStyle w:val="9"/>
        <w:numPr>
          <w:ilvl w:val="1"/>
          <w:numId w:val="17"/>
        </w:numPr>
        <w:tabs>
          <w:tab w:val="left" w:pos="1897"/>
        </w:tabs>
        <w:spacing w:before="1" w:after="0" w:line="240" w:lineRule="auto"/>
        <w:ind w:left="1896" w:right="0" w:hanging="422"/>
        <w:jc w:val="left"/>
        <w:rPr>
          <w:rFonts w:hint="eastAsia" w:ascii="微软雅黑" w:hAnsi="微软雅黑" w:eastAsia="微软雅黑" w:cs="微软雅黑"/>
          <w:sz w:val="21"/>
          <w:szCs w:val="21"/>
        </w:rPr>
      </w:pPr>
      <w:bookmarkStart w:id="553" w:name="1.4 付款方式和发票开具方式"/>
      <w:bookmarkEnd w:id="553"/>
      <w:bookmarkStart w:id="554" w:name="1.4 付款方式和发票开具方式"/>
      <w:bookmarkEnd w:id="554"/>
      <w:r>
        <w:rPr>
          <w:rFonts w:hint="eastAsia" w:ascii="微软雅黑" w:hAnsi="微软雅黑" w:eastAsia="微软雅黑" w:cs="微软雅黑"/>
          <w:sz w:val="21"/>
          <w:szCs w:val="21"/>
        </w:rPr>
        <w:t>付款方式和发票开具方式</w:t>
      </w:r>
    </w:p>
    <w:p>
      <w:pPr>
        <w:pStyle w:val="84"/>
        <w:numPr>
          <w:ilvl w:val="2"/>
          <w:numId w:val="17"/>
        </w:numPr>
        <w:tabs>
          <w:tab w:val="left" w:pos="2104"/>
          <w:tab w:val="left" w:pos="8194"/>
        </w:tabs>
        <w:spacing w:before="57"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付款方式：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w:t>
      </w:r>
    </w:p>
    <w:p>
      <w:pPr>
        <w:pStyle w:val="84"/>
        <w:numPr>
          <w:ilvl w:val="2"/>
          <w:numId w:val="17"/>
        </w:numPr>
        <w:tabs>
          <w:tab w:val="left" w:pos="2104"/>
          <w:tab w:val="left" w:pos="8194"/>
        </w:tabs>
        <w:spacing w:before="58"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发票开具方式：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w:t>
      </w:r>
    </w:p>
    <w:p>
      <w:pPr>
        <w:pStyle w:val="9"/>
        <w:numPr>
          <w:ilvl w:val="1"/>
          <w:numId w:val="18"/>
        </w:numPr>
        <w:tabs>
          <w:tab w:val="left" w:pos="1897"/>
        </w:tabs>
        <w:spacing w:before="57" w:after="0" w:line="240" w:lineRule="auto"/>
        <w:ind w:left="1896" w:right="0" w:hanging="422"/>
        <w:jc w:val="left"/>
        <w:rPr>
          <w:rFonts w:hint="eastAsia" w:ascii="微软雅黑" w:hAnsi="微软雅黑" w:eastAsia="微软雅黑" w:cs="微软雅黑"/>
          <w:sz w:val="21"/>
          <w:szCs w:val="21"/>
        </w:rPr>
      </w:pPr>
      <w:bookmarkStart w:id="555" w:name="1.5 货物交付期限、地点和方式"/>
      <w:bookmarkEnd w:id="555"/>
      <w:bookmarkStart w:id="556" w:name="1.5 货物交付期限、地点和方式"/>
      <w:bookmarkEnd w:id="556"/>
      <w:r>
        <w:rPr>
          <w:rFonts w:hint="eastAsia" w:ascii="微软雅黑" w:hAnsi="微软雅黑" w:eastAsia="微软雅黑" w:cs="微软雅黑"/>
          <w:sz w:val="21"/>
          <w:szCs w:val="21"/>
        </w:rPr>
        <w:t>交付期限、地点和方式</w:t>
      </w:r>
    </w:p>
    <w:p>
      <w:pPr>
        <w:pStyle w:val="84"/>
        <w:numPr>
          <w:ilvl w:val="2"/>
          <w:numId w:val="18"/>
        </w:numPr>
        <w:tabs>
          <w:tab w:val="left" w:pos="2104"/>
          <w:tab w:val="left" w:pos="8194"/>
        </w:tabs>
        <w:spacing w:before="57"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交付期限：</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w:t>
      </w:r>
    </w:p>
    <w:p>
      <w:pPr>
        <w:pStyle w:val="84"/>
        <w:numPr>
          <w:ilvl w:val="2"/>
          <w:numId w:val="18"/>
        </w:numPr>
        <w:tabs>
          <w:tab w:val="left" w:pos="2104"/>
          <w:tab w:val="left" w:pos="8194"/>
        </w:tabs>
        <w:spacing w:before="58"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交付地点：</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w:t>
      </w:r>
    </w:p>
    <w:p>
      <w:pPr>
        <w:pStyle w:val="84"/>
        <w:numPr>
          <w:ilvl w:val="2"/>
          <w:numId w:val="18"/>
        </w:numPr>
        <w:tabs>
          <w:tab w:val="left" w:pos="2104"/>
          <w:tab w:val="left" w:pos="8194"/>
        </w:tabs>
        <w:spacing w:before="60"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交付方式：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w:t>
      </w:r>
    </w:p>
    <w:p>
      <w:pPr>
        <w:pStyle w:val="9"/>
        <w:numPr>
          <w:ilvl w:val="1"/>
          <w:numId w:val="19"/>
        </w:numPr>
        <w:tabs>
          <w:tab w:val="left" w:pos="1897"/>
        </w:tabs>
        <w:spacing w:before="57" w:after="0" w:line="240" w:lineRule="auto"/>
        <w:ind w:left="1896" w:right="0" w:hanging="422"/>
        <w:jc w:val="left"/>
        <w:rPr>
          <w:rFonts w:hint="eastAsia" w:ascii="微软雅黑" w:hAnsi="微软雅黑" w:eastAsia="微软雅黑" w:cs="微软雅黑"/>
          <w:sz w:val="21"/>
          <w:szCs w:val="21"/>
        </w:rPr>
      </w:pPr>
      <w:bookmarkStart w:id="557" w:name="1.6 违约责任"/>
      <w:bookmarkEnd w:id="557"/>
      <w:bookmarkStart w:id="558" w:name="1.6 违约责任"/>
      <w:bookmarkEnd w:id="558"/>
      <w:r>
        <w:rPr>
          <w:rFonts w:hint="eastAsia" w:ascii="微软雅黑" w:hAnsi="微软雅黑" w:eastAsia="微软雅黑" w:cs="微软雅黑"/>
          <w:sz w:val="21"/>
          <w:szCs w:val="21"/>
        </w:rPr>
        <w:t>违约责任</w:t>
      </w:r>
    </w:p>
    <w:p>
      <w:pPr>
        <w:pStyle w:val="84"/>
        <w:numPr>
          <w:ilvl w:val="2"/>
          <w:numId w:val="19"/>
        </w:numPr>
        <w:tabs>
          <w:tab w:val="left" w:pos="2106"/>
        </w:tabs>
        <w:spacing w:before="57" w:after="0" w:line="290" w:lineRule="auto"/>
        <w:ind w:left="1054" w:right="1811"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除不可抗力外，如果乙方没有按照本合同约定的期限、地点和方式交付货物， 那么甲方可要求乙方支付违约金，违约金按每迟延交付货物一日的应交付而未交付货物价格的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pacing w:val="1"/>
          <w:sz w:val="21"/>
          <w:szCs w:val="21"/>
        </w:rPr>
        <w:t xml:space="preserve"> %计算，最高限额为本合同总价的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 xml:space="preserve"> %；迟延交付货物的违约金计算数额达到前述最高限额之日起，甲方有权在要求乙方支付违约金的同时，书面通知乙方解除本合同；</w:t>
      </w:r>
    </w:p>
    <w:p>
      <w:pPr>
        <w:pStyle w:val="84"/>
        <w:numPr>
          <w:ilvl w:val="2"/>
          <w:numId w:val="19"/>
        </w:numPr>
        <w:tabs>
          <w:tab w:val="left" w:pos="2106"/>
        </w:tabs>
        <w:spacing w:before="57" w:after="0" w:line="290" w:lineRule="auto"/>
        <w:ind w:left="1054" w:right="1811"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pStyle w:val="84"/>
        <w:numPr>
          <w:ilvl w:val="2"/>
          <w:numId w:val="19"/>
        </w:numPr>
        <w:tabs>
          <w:tab w:val="left" w:pos="2106"/>
        </w:tabs>
        <w:spacing w:before="3"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除不可抗力外，任何一方未能履行本合同约定的其他主要义务，经催告后在合理期限内仍未履行的，或者任何一方有其他违约行为致使不能实现合同目的的，或者任何一方有腐败行为</w:t>
      </w:r>
      <w:r>
        <w:rPr>
          <w:rFonts w:hint="eastAsia" w:ascii="微软雅黑" w:hAnsi="微软雅黑" w:eastAsia="微软雅黑" w:cs="微软雅黑"/>
          <w:spacing w:val="4"/>
          <w:sz w:val="21"/>
          <w:szCs w:val="21"/>
        </w:rPr>
        <w:t>（</w:t>
      </w:r>
      <w:r>
        <w:rPr>
          <w:rFonts w:hint="eastAsia" w:ascii="微软雅黑" w:hAnsi="微软雅黑" w:eastAsia="微软雅黑" w:cs="微软雅黑"/>
          <w:sz w:val="21"/>
          <w:szCs w:val="21"/>
        </w:rPr>
        <w:t>即：提供或给予或接受或索取任何财物或其他好处或者采取其他不正当手段影响对方当事人在合同签订、履行过程中的行为）或者欺诈行为</w:t>
      </w:r>
      <w:r>
        <w:rPr>
          <w:rFonts w:hint="eastAsia" w:ascii="微软雅黑" w:hAnsi="微软雅黑" w:eastAsia="微软雅黑" w:cs="微软雅黑"/>
          <w:spacing w:val="4"/>
          <w:sz w:val="21"/>
          <w:szCs w:val="21"/>
        </w:rPr>
        <w:t>（</w:t>
      </w:r>
      <w:r>
        <w:rPr>
          <w:rFonts w:hint="eastAsia" w:ascii="微软雅黑" w:hAnsi="微软雅黑" w:eastAsia="微软雅黑" w:cs="微软雅黑"/>
          <w:sz w:val="21"/>
          <w:szCs w:val="21"/>
        </w:rPr>
        <w:t>即：以谎报事实或者隐瞒真相的方法来影响对方当事人在合同签订、履行过程中的行为</w:t>
      </w:r>
      <w:r>
        <w:rPr>
          <w:rFonts w:hint="eastAsia" w:ascii="微软雅黑" w:hAnsi="微软雅黑" w:eastAsia="微软雅黑" w:cs="微软雅黑"/>
          <w:spacing w:val="4"/>
          <w:sz w:val="21"/>
          <w:szCs w:val="21"/>
        </w:rPr>
        <w:t>）</w:t>
      </w:r>
      <w:r>
        <w:rPr>
          <w:rFonts w:hint="eastAsia" w:ascii="微软雅黑" w:hAnsi="微软雅黑" w:eastAsia="微软雅黑" w:cs="微软雅黑"/>
          <w:sz w:val="21"/>
          <w:szCs w:val="21"/>
        </w:rPr>
        <w:t>的，对方当事人可以书面通知违约方解除本合同；</w:t>
      </w:r>
    </w:p>
    <w:p>
      <w:pPr>
        <w:pStyle w:val="84"/>
        <w:numPr>
          <w:ilvl w:val="2"/>
          <w:numId w:val="19"/>
        </w:numPr>
        <w:tabs>
          <w:tab w:val="left" w:pos="2106"/>
        </w:tabs>
        <w:spacing w:before="7" w:after="0" w:line="292"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84"/>
        <w:numPr>
          <w:ilvl w:val="2"/>
          <w:numId w:val="19"/>
        </w:numPr>
        <w:tabs>
          <w:tab w:val="left" w:pos="2106"/>
        </w:tabs>
        <w:spacing w:before="0"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84"/>
        <w:numPr>
          <w:ilvl w:val="2"/>
          <w:numId w:val="19"/>
        </w:numPr>
        <w:tabs>
          <w:tab w:val="left" w:pos="2106"/>
        </w:tabs>
        <w:spacing w:before="0"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如果出现政府采购监督管理部门在处理投诉事项期间，书面通知甲方暂停采购活动的情形，或者询问或质疑事项可能影响中标结果的，导致甲方中止履行合同的情形， 均不视为甲方违约。</w:t>
      </w:r>
    </w:p>
    <w:p>
      <w:pPr>
        <w:pStyle w:val="9"/>
        <w:numPr>
          <w:ilvl w:val="1"/>
          <w:numId w:val="19"/>
        </w:numPr>
        <w:tabs>
          <w:tab w:val="left" w:pos="1897"/>
        </w:tabs>
        <w:spacing w:before="1" w:after="0" w:line="240" w:lineRule="auto"/>
        <w:ind w:left="1896" w:right="0" w:hanging="42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合同争议的解决</w:t>
      </w:r>
    </w:p>
    <w:p>
      <w:pPr>
        <w:pStyle w:val="84"/>
        <w:numPr>
          <w:ilvl w:val="2"/>
          <w:numId w:val="19"/>
        </w:numPr>
        <w:tabs>
          <w:tab w:val="left" w:pos="2106"/>
          <w:tab w:val="left" w:pos="4666"/>
        </w:tabs>
        <w:spacing w:before="4" w:after="0" w:line="240" w:lineRule="auto"/>
        <w:ind w:left="2105" w:right="1688" w:rightChars="804" w:hanging="63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本合同履行过程中发生的任何争议，双方当事人均可通过和解或者调解解决；不愿和解、调解或者和解、调解不成的，可以选择下列第 种方式解决：将争议提交 </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仲裁委员会依申请仲裁时其现</w:t>
      </w:r>
      <w:r>
        <w:rPr>
          <w:rFonts w:hint="eastAsia" w:ascii="微软雅黑" w:hAnsi="微软雅黑" w:eastAsia="微软雅黑" w:cs="微软雅黑"/>
          <w:spacing w:val="4"/>
          <w:sz w:val="21"/>
          <w:szCs w:val="21"/>
        </w:rPr>
        <w:t>行</w:t>
      </w:r>
      <w:r>
        <w:rPr>
          <w:rFonts w:hint="eastAsia" w:ascii="微软雅黑" w:hAnsi="微软雅黑" w:eastAsia="微软雅黑" w:cs="微软雅黑"/>
          <w:sz w:val="21"/>
          <w:szCs w:val="21"/>
        </w:rPr>
        <w:t>有效</w:t>
      </w:r>
      <w:r>
        <w:rPr>
          <w:rFonts w:hint="eastAsia" w:ascii="微软雅黑" w:hAnsi="微软雅黑" w:eastAsia="微软雅黑" w:cs="微软雅黑"/>
          <w:spacing w:val="4"/>
          <w:sz w:val="21"/>
          <w:szCs w:val="21"/>
        </w:rPr>
        <w:t>的</w:t>
      </w:r>
      <w:r>
        <w:rPr>
          <w:rFonts w:hint="eastAsia" w:ascii="微软雅黑" w:hAnsi="微软雅黑" w:eastAsia="微软雅黑" w:cs="微软雅黑"/>
          <w:sz w:val="21"/>
          <w:szCs w:val="21"/>
        </w:rPr>
        <w:t>仲</w:t>
      </w:r>
      <w:r>
        <w:rPr>
          <w:rFonts w:hint="eastAsia" w:ascii="微软雅黑" w:hAnsi="微软雅黑" w:eastAsia="微软雅黑" w:cs="微软雅黑"/>
          <w:spacing w:val="4"/>
          <w:sz w:val="21"/>
          <w:szCs w:val="21"/>
        </w:rPr>
        <w:t>裁</w:t>
      </w:r>
      <w:r>
        <w:rPr>
          <w:rFonts w:hint="eastAsia" w:ascii="微软雅黑" w:hAnsi="微软雅黑" w:eastAsia="微软雅黑" w:cs="微软雅黑"/>
          <w:sz w:val="21"/>
          <w:szCs w:val="21"/>
        </w:rPr>
        <w:t>规则裁决；</w:t>
      </w:r>
    </w:p>
    <w:p>
      <w:pPr>
        <w:pStyle w:val="84"/>
        <w:numPr>
          <w:ilvl w:val="2"/>
          <w:numId w:val="19"/>
        </w:numPr>
        <w:tabs>
          <w:tab w:val="left" w:pos="2104"/>
          <w:tab w:val="left" w:pos="2626"/>
        </w:tabs>
        <w:spacing w:before="57"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向</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u w:val="single"/>
        </w:rPr>
        <w:t>（被告住所地</w:t>
      </w:r>
      <w:r>
        <w:rPr>
          <w:rFonts w:hint="eastAsia" w:ascii="微软雅黑" w:hAnsi="微软雅黑" w:eastAsia="微软雅黑" w:cs="微软雅黑"/>
          <w:spacing w:val="-3"/>
          <w:sz w:val="21"/>
          <w:szCs w:val="21"/>
          <w:u w:val="single"/>
        </w:rPr>
        <w:t>、</w:t>
      </w:r>
      <w:r>
        <w:rPr>
          <w:rFonts w:hint="eastAsia" w:ascii="微软雅黑" w:hAnsi="微软雅黑" w:eastAsia="微软雅黑" w:cs="微软雅黑"/>
          <w:sz w:val="21"/>
          <w:szCs w:val="21"/>
          <w:u w:val="single"/>
        </w:rPr>
        <w:t>合同履行地</w:t>
      </w:r>
      <w:r>
        <w:rPr>
          <w:rFonts w:hint="eastAsia" w:ascii="微软雅黑" w:hAnsi="微软雅黑" w:eastAsia="微软雅黑" w:cs="微软雅黑"/>
          <w:spacing w:val="-3"/>
          <w:sz w:val="21"/>
          <w:szCs w:val="21"/>
          <w:u w:val="single"/>
        </w:rPr>
        <w:t>、</w:t>
      </w:r>
      <w:r>
        <w:rPr>
          <w:rFonts w:hint="eastAsia" w:ascii="微软雅黑" w:hAnsi="微软雅黑" w:eastAsia="微软雅黑" w:cs="微软雅黑"/>
          <w:sz w:val="21"/>
          <w:szCs w:val="21"/>
          <w:u w:val="single"/>
        </w:rPr>
        <w:t>合同签订地</w:t>
      </w:r>
      <w:r>
        <w:rPr>
          <w:rFonts w:hint="eastAsia" w:ascii="微软雅黑" w:hAnsi="微软雅黑" w:eastAsia="微软雅黑" w:cs="微软雅黑"/>
          <w:spacing w:val="-3"/>
          <w:sz w:val="21"/>
          <w:szCs w:val="21"/>
          <w:u w:val="single"/>
        </w:rPr>
        <w:t>、</w:t>
      </w:r>
      <w:r>
        <w:rPr>
          <w:rFonts w:hint="eastAsia" w:ascii="微软雅黑" w:hAnsi="微软雅黑" w:eastAsia="微软雅黑" w:cs="微软雅黑"/>
          <w:sz w:val="21"/>
          <w:szCs w:val="21"/>
          <w:u w:val="single"/>
        </w:rPr>
        <w:t>原告住所地</w:t>
      </w:r>
      <w:r>
        <w:rPr>
          <w:rFonts w:hint="eastAsia" w:ascii="微软雅黑" w:hAnsi="微软雅黑" w:eastAsia="微软雅黑" w:cs="微软雅黑"/>
          <w:spacing w:val="-3"/>
          <w:sz w:val="21"/>
          <w:szCs w:val="21"/>
          <w:u w:val="single"/>
        </w:rPr>
        <w:t>、</w:t>
      </w:r>
      <w:r>
        <w:rPr>
          <w:rFonts w:hint="eastAsia" w:ascii="微软雅黑" w:hAnsi="微软雅黑" w:eastAsia="微软雅黑" w:cs="微软雅黑"/>
          <w:sz w:val="21"/>
          <w:szCs w:val="21"/>
          <w:u w:val="single"/>
        </w:rPr>
        <w:t>标的物所在地等</w:t>
      </w:r>
    </w:p>
    <w:p>
      <w:pPr>
        <w:pStyle w:val="3"/>
        <w:tabs>
          <w:tab w:val="left" w:pos="6093"/>
          <w:tab w:val="clear" w:pos="567"/>
        </w:tabs>
        <w:spacing w:before="57"/>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u w:val="single"/>
        </w:rPr>
        <w:t>与争议有实际联系的地点中选出的人民法院名称）</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人民法院起诉。</w:t>
      </w:r>
    </w:p>
    <w:p>
      <w:pPr>
        <w:pStyle w:val="9"/>
        <w:spacing w:before="58"/>
        <w:ind w:left="1474"/>
        <w:rPr>
          <w:rFonts w:hint="eastAsia" w:ascii="微软雅黑" w:hAnsi="微软雅黑" w:eastAsia="微软雅黑" w:cs="微软雅黑"/>
          <w:sz w:val="21"/>
          <w:szCs w:val="21"/>
        </w:rPr>
      </w:pPr>
      <w:bookmarkStart w:id="559" w:name="1.8 合同生效"/>
      <w:bookmarkEnd w:id="559"/>
      <w:r>
        <w:rPr>
          <w:rFonts w:hint="eastAsia" w:ascii="微软雅黑" w:hAnsi="微软雅黑" w:eastAsia="微软雅黑" w:cs="微软雅黑"/>
          <w:sz w:val="21"/>
          <w:szCs w:val="21"/>
        </w:rPr>
        <w:t>1.8 合同生效</w:t>
      </w:r>
    </w:p>
    <w:p>
      <w:pPr>
        <w:pStyle w:val="3"/>
        <w:spacing w:before="57"/>
        <w:ind w:left="1456" w:right="566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本合同自双方当事人盖章或者签字时生效。</w:t>
      </w:r>
    </w:p>
    <w:p>
      <w:pPr>
        <w:pStyle w:val="3"/>
        <w:rPr>
          <w:rFonts w:hint="eastAsia" w:ascii="微软雅黑" w:hAnsi="微软雅黑" w:eastAsia="微软雅黑" w:cs="微软雅黑"/>
          <w:sz w:val="21"/>
          <w:szCs w:val="21"/>
        </w:rPr>
      </w:pPr>
    </w:p>
    <w:p>
      <w:pPr>
        <w:tabs>
          <w:tab w:val="left" w:pos="5362"/>
        </w:tabs>
        <w:spacing w:before="130"/>
        <w:ind w:left="1054" w:right="0" w:firstLine="0"/>
        <w:jc w:val="left"/>
        <w:rPr>
          <w:rFonts w:hint="eastAsia" w:ascii="微软雅黑" w:hAnsi="微软雅黑" w:eastAsia="微软雅黑" w:cs="微软雅黑"/>
          <w:sz w:val="21"/>
          <w:szCs w:val="21"/>
        </w:rPr>
      </w:pPr>
      <w:r>
        <w:rPr>
          <w:rFonts w:hint="eastAsia" w:ascii="微软雅黑" w:hAnsi="微软雅黑" w:eastAsia="微软雅黑" w:cs="微软雅黑"/>
          <w:b/>
          <w:sz w:val="21"/>
          <w:szCs w:val="21"/>
        </w:rPr>
        <w:t>甲方</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rPr>
        <w:tab/>
      </w:r>
      <w:r>
        <w:rPr>
          <w:rFonts w:hint="eastAsia" w:ascii="微软雅黑" w:hAnsi="微软雅黑" w:eastAsia="微软雅黑" w:cs="微软雅黑"/>
          <w:b/>
          <w:sz w:val="21"/>
          <w:szCs w:val="21"/>
        </w:rPr>
        <w:t>乙方</w:t>
      </w:r>
      <w:r>
        <w:rPr>
          <w:rFonts w:hint="eastAsia" w:ascii="微软雅黑" w:hAnsi="微软雅黑" w:eastAsia="微软雅黑" w:cs="微软雅黑"/>
          <w:sz w:val="21"/>
          <w:szCs w:val="21"/>
        </w:rPr>
        <w:t>：</w:t>
      </w:r>
    </w:p>
    <w:p>
      <w:pPr>
        <w:pStyle w:val="3"/>
        <w:tabs>
          <w:tab w:val="left" w:pos="5463"/>
          <w:tab w:val="clear" w:pos="567"/>
        </w:tabs>
        <w:spacing w:before="57"/>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统一社会信用代码：</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统一社会信用代码或身份证号码：</w:t>
      </w:r>
    </w:p>
    <w:p>
      <w:pPr>
        <w:pStyle w:val="3"/>
        <w:spacing w:before="12"/>
        <w:rPr>
          <w:rFonts w:hint="eastAsia" w:ascii="微软雅黑" w:hAnsi="微软雅黑" w:eastAsia="微软雅黑" w:cs="微软雅黑"/>
          <w:sz w:val="21"/>
          <w:szCs w:val="21"/>
        </w:rPr>
      </w:pPr>
    </w:p>
    <w:p>
      <w:pPr>
        <w:pStyle w:val="3"/>
        <w:tabs>
          <w:tab w:val="left" w:pos="5359"/>
          <w:tab w:val="clear" w:pos="567"/>
        </w:tabs>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住所：</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住所：</w:t>
      </w:r>
    </w:p>
    <w:p>
      <w:pPr>
        <w:pStyle w:val="3"/>
        <w:tabs>
          <w:tab w:val="left" w:pos="5359"/>
          <w:tab w:val="clear" w:pos="567"/>
        </w:tabs>
        <w:spacing w:before="60"/>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法定代表人或</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法定代表人</w:t>
      </w:r>
    </w:p>
    <w:p>
      <w:pPr>
        <w:pStyle w:val="3"/>
        <w:tabs>
          <w:tab w:val="left" w:pos="5463"/>
          <w:tab w:val="clear" w:pos="567"/>
        </w:tabs>
        <w:spacing w:before="58"/>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授权代表（签字）：</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或授权代表（签字）:</w:t>
      </w:r>
    </w:p>
    <w:p>
      <w:pPr>
        <w:pStyle w:val="3"/>
        <w:tabs>
          <w:tab w:val="left" w:pos="5359"/>
          <w:tab w:val="clear" w:pos="567"/>
        </w:tabs>
        <w:spacing w:before="57"/>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联系人：</w:t>
      </w:r>
    </w:p>
    <w:p>
      <w:pPr>
        <w:pStyle w:val="3"/>
        <w:tabs>
          <w:tab w:val="left" w:pos="5359"/>
          <w:tab w:val="clear" w:pos="567"/>
        </w:tabs>
        <w:spacing w:before="57"/>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约定送达地址：</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约定送达地址：</w:t>
      </w:r>
    </w:p>
    <w:p>
      <w:pPr>
        <w:pStyle w:val="3"/>
        <w:tabs>
          <w:tab w:val="left" w:pos="5359"/>
          <w:tab w:val="clear" w:pos="567"/>
        </w:tabs>
        <w:spacing w:before="58"/>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邮政编码：</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邮政编码：</w:t>
      </w:r>
    </w:p>
    <w:p>
      <w:pPr>
        <w:pStyle w:val="3"/>
        <w:tabs>
          <w:tab w:val="left" w:pos="5359"/>
          <w:tab w:val="clear" w:pos="567"/>
        </w:tabs>
        <w:spacing w:before="57"/>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w:t>
      </w:r>
      <w:r>
        <w:rPr>
          <w:rFonts w:hint="eastAsia" w:ascii="微软雅黑" w:hAnsi="微软雅黑" w:eastAsia="微软雅黑" w:cs="微软雅黑"/>
          <w:sz w:val="21"/>
          <w:szCs w:val="21"/>
        </w:rPr>
        <w:tab/>
      </w:r>
      <w:r>
        <w:rPr>
          <w:rFonts w:hint="eastAsia" w:ascii="微软雅黑" w:hAnsi="微软雅黑" w:eastAsia="微软雅黑" w:cs="微软雅黑"/>
          <w:w w:val="95"/>
          <w:sz w:val="21"/>
          <w:szCs w:val="21"/>
        </w:rPr>
        <w:t>电话:</w:t>
      </w:r>
    </w:p>
    <w:p>
      <w:pPr>
        <w:pStyle w:val="3"/>
        <w:tabs>
          <w:tab w:val="left" w:pos="5359"/>
          <w:tab w:val="clear" w:pos="567"/>
        </w:tabs>
        <w:spacing w:before="60"/>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传真:</w:t>
      </w:r>
      <w:r>
        <w:rPr>
          <w:rFonts w:hint="eastAsia" w:ascii="微软雅黑" w:hAnsi="微软雅黑" w:eastAsia="微软雅黑" w:cs="微软雅黑"/>
          <w:sz w:val="21"/>
          <w:szCs w:val="21"/>
        </w:rPr>
        <w:tab/>
      </w:r>
      <w:r>
        <w:rPr>
          <w:rFonts w:hint="eastAsia" w:ascii="微软雅黑" w:hAnsi="微软雅黑" w:eastAsia="微软雅黑" w:cs="微软雅黑"/>
          <w:w w:val="95"/>
          <w:sz w:val="21"/>
          <w:szCs w:val="21"/>
        </w:rPr>
        <w:t>传真:</w:t>
      </w:r>
    </w:p>
    <w:p>
      <w:pPr>
        <w:pStyle w:val="3"/>
        <w:tabs>
          <w:tab w:val="left" w:pos="5359"/>
          <w:tab w:val="clear" w:pos="567"/>
        </w:tabs>
        <w:spacing w:before="4"/>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电子邮箱：</w:t>
      </w:r>
      <w:r>
        <w:rPr>
          <w:rFonts w:hint="eastAsia" w:ascii="微软雅黑" w:hAnsi="微软雅黑" w:eastAsia="微软雅黑" w:cs="微软雅黑"/>
          <w:sz w:val="21"/>
          <w:szCs w:val="21"/>
        </w:rPr>
        <w:tab/>
      </w:r>
      <w:r>
        <w:rPr>
          <w:rFonts w:hint="eastAsia" w:ascii="微软雅黑" w:hAnsi="微软雅黑" w:eastAsia="微软雅黑" w:cs="微软雅黑"/>
          <w:w w:val="95"/>
          <w:sz w:val="21"/>
          <w:szCs w:val="21"/>
        </w:rPr>
        <w:t>电子邮箱：</w:t>
      </w:r>
    </w:p>
    <w:p>
      <w:pPr>
        <w:pStyle w:val="3"/>
        <w:tabs>
          <w:tab w:val="left" w:pos="5359"/>
          <w:tab w:val="clear" w:pos="567"/>
        </w:tabs>
        <w:spacing w:before="57"/>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开户银行：</w:t>
      </w:r>
      <w:r>
        <w:rPr>
          <w:rFonts w:hint="eastAsia" w:ascii="微软雅黑" w:hAnsi="微软雅黑" w:eastAsia="微软雅黑" w:cs="微软雅黑"/>
          <w:sz w:val="21"/>
          <w:szCs w:val="21"/>
        </w:rPr>
        <w:tab/>
      </w:r>
      <w:r>
        <w:rPr>
          <w:rFonts w:hint="eastAsia" w:ascii="微软雅黑" w:hAnsi="微软雅黑" w:eastAsia="微软雅黑" w:cs="微软雅黑"/>
          <w:w w:val="95"/>
          <w:sz w:val="21"/>
          <w:szCs w:val="21"/>
        </w:rPr>
        <w:t>开户银行：</w:t>
      </w:r>
    </w:p>
    <w:p>
      <w:pPr>
        <w:pStyle w:val="3"/>
        <w:tabs>
          <w:tab w:val="left" w:pos="5359"/>
          <w:tab w:val="clear" w:pos="567"/>
        </w:tabs>
        <w:spacing w:before="57"/>
        <w:ind w:left="1054"/>
        <w:rPr>
          <w:rFonts w:hint="eastAsia" w:ascii="微软雅黑" w:hAnsi="微软雅黑" w:eastAsia="微软雅黑" w:cs="微软雅黑"/>
          <w:sz w:val="21"/>
          <w:szCs w:val="21"/>
        </w:rPr>
      </w:pPr>
      <w:r>
        <w:rPr>
          <w:rFonts w:hint="eastAsia" w:ascii="微软雅黑" w:hAnsi="微软雅黑" w:eastAsia="微软雅黑" w:cs="微软雅黑"/>
          <w:sz w:val="21"/>
          <w:szCs w:val="21"/>
        </w:rPr>
        <w:t>开户名称：</w:t>
      </w:r>
      <w:r>
        <w:rPr>
          <w:rFonts w:hint="eastAsia" w:ascii="微软雅黑" w:hAnsi="微软雅黑" w:eastAsia="微软雅黑" w:cs="微软雅黑"/>
          <w:sz w:val="21"/>
          <w:szCs w:val="21"/>
        </w:rPr>
        <w:tab/>
      </w:r>
      <w:r>
        <w:rPr>
          <w:rFonts w:hint="eastAsia" w:ascii="微软雅黑" w:hAnsi="微软雅黑" w:eastAsia="微软雅黑" w:cs="微软雅黑"/>
          <w:w w:val="95"/>
          <w:sz w:val="21"/>
          <w:szCs w:val="21"/>
        </w:rPr>
        <w:t>开户名称：</w:t>
      </w:r>
    </w:p>
    <w:p>
      <w:pPr>
        <w:pStyle w:val="3"/>
        <w:tabs>
          <w:tab w:val="left" w:pos="5359"/>
          <w:tab w:val="clear" w:pos="567"/>
        </w:tabs>
        <w:spacing w:before="58"/>
        <w:ind w:left="1054"/>
        <w:rPr>
          <w:rFonts w:hint="eastAsia" w:ascii="微软雅黑" w:hAnsi="微软雅黑" w:eastAsia="微软雅黑" w:cs="微软雅黑"/>
          <w:sz w:val="21"/>
          <w:szCs w:val="21"/>
        </w:rPr>
        <w:sectPr>
          <w:pgSz w:w="11910" w:h="16840"/>
          <w:pgMar w:top="1580" w:right="1" w:bottom="280" w:left="760" w:header="852" w:footer="567" w:gutter="0"/>
          <w:pgNumType w:fmt="decimal"/>
          <w:cols w:space="720" w:num="1"/>
        </w:sectPr>
      </w:pPr>
      <w:r>
        <w:rPr>
          <w:rFonts w:hint="eastAsia" w:ascii="微软雅黑" w:hAnsi="微软雅黑" w:eastAsia="微软雅黑" w:cs="微软雅黑"/>
          <w:sz w:val="21"/>
          <w:szCs w:val="21"/>
        </w:rPr>
        <w:t>开户账号：</w:t>
      </w:r>
      <w:r>
        <w:rPr>
          <w:rFonts w:hint="eastAsia" w:ascii="微软雅黑" w:hAnsi="微软雅黑" w:eastAsia="微软雅黑" w:cs="微软雅黑"/>
          <w:sz w:val="21"/>
          <w:szCs w:val="21"/>
        </w:rPr>
        <w:tab/>
      </w:r>
      <w:r>
        <w:rPr>
          <w:rFonts w:hint="eastAsia" w:ascii="微软雅黑" w:hAnsi="微软雅黑" w:eastAsia="微软雅黑" w:cs="微软雅黑"/>
          <w:w w:val="95"/>
          <w:sz w:val="21"/>
          <w:szCs w:val="21"/>
        </w:rPr>
        <w:t>开户账</w:t>
      </w:r>
    </w:p>
    <w:p>
      <w:pPr>
        <w:pStyle w:val="9"/>
        <w:spacing w:before="70"/>
        <w:ind w:left="0" w:leftChars="0" w:right="2007" w:firstLine="4328" w:firstLineChars="2100"/>
        <w:jc w:val="both"/>
        <w:rPr>
          <w:rFonts w:hint="eastAsia" w:ascii="微软雅黑" w:hAnsi="微软雅黑" w:eastAsia="微软雅黑" w:cs="微软雅黑"/>
          <w:sz w:val="21"/>
          <w:szCs w:val="21"/>
        </w:rPr>
      </w:pPr>
      <w:bookmarkStart w:id="560" w:name="_bookmark43"/>
      <w:bookmarkEnd w:id="560"/>
      <w:r>
        <w:rPr>
          <w:rFonts w:hint="eastAsia" w:ascii="微软雅黑" w:hAnsi="微软雅黑" w:eastAsia="微软雅黑" w:cs="微软雅黑"/>
          <w:spacing w:val="-2"/>
          <w:sz w:val="21"/>
          <w:szCs w:val="21"/>
        </w:rPr>
        <w:t>第二部分 合同一般条款</w:t>
      </w:r>
    </w:p>
    <w:p>
      <w:pPr>
        <w:pStyle w:val="84"/>
        <w:numPr>
          <w:ilvl w:val="1"/>
          <w:numId w:val="20"/>
        </w:numPr>
        <w:tabs>
          <w:tab w:val="left" w:pos="1897"/>
        </w:tabs>
        <w:spacing w:before="60" w:after="0" w:line="240" w:lineRule="auto"/>
        <w:ind w:left="1896" w:right="0" w:hanging="422"/>
        <w:jc w:val="left"/>
        <w:rPr>
          <w:rFonts w:hint="eastAsia" w:ascii="微软雅黑" w:hAnsi="微软雅黑" w:eastAsia="微软雅黑" w:cs="微软雅黑"/>
          <w:b/>
          <w:sz w:val="21"/>
          <w:szCs w:val="21"/>
        </w:rPr>
      </w:pPr>
      <w:bookmarkStart w:id="561" w:name="2.1 定义"/>
      <w:bookmarkEnd w:id="561"/>
      <w:bookmarkStart w:id="562" w:name="2.1 定义"/>
      <w:bookmarkEnd w:id="562"/>
      <w:r>
        <w:rPr>
          <w:rFonts w:hint="eastAsia" w:ascii="微软雅黑" w:hAnsi="微软雅黑" w:eastAsia="微软雅黑" w:cs="微软雅黑"/>
          <w:b/>
          <w:sz w:val="21"/>
          <w:szCs w:val="21"/>
        </w:rPr>
        <w:t>定义</w:t>
      </w:r>
    </w:p>
    <w:p>
      <w:pPr>
        <w:pStyle w:val="3"/>
        <w:spacing w:before="57"/>
        <w:ind w:left="1474"/>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本合同中的下列词语应按以下内容进行解释：</w:t>
      </w:r>
    </w:p>
    <w:p>
      <w:pPr>
        <w:pStyle w:val="84"/>
        <w:numPr>
          <w:ilvl w:val="2"/>
          <w:numId w:val="20"/>
        </w:numPr>
        <w:tabs>
          <w:tab w:val="left" w:pos="2106"/>
        </w:tabs>
        <w:spacing w:before="57"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“合同”系指采购人和中标供应商签订的载明双方当事人所达成的协议，并包括所有的附件、附录和构成合同的其他文件。</w:t>
      </w:r>
    </w:p>
    <w:p>
      <w:pPr>
        <w:pStyle w:val="84"/>
        <w:numPr>
          <w:ilvl w:val="2"/>
          <w:numId w:val="20"/>
        </w:numPr>
        <w:tabs>
          <w:tab w:val="left" w:pos="2106"/>
        </w:tabs>
        <w:spacing w:before="2"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“合同价”系指根据合同约定，中标供应商在完全履行合同义务后，采购人应支付给中标供应商的价格。</w:t>
      </w:r>
    </w:p>
    <w:p>
      <w:pPr>
        <w:pStyle w:val="84"/>
        <w:numPr>
          <w:ilvl w:val="2"/>
          <w:numId w:val="20"/>
        </w:numPr>
        <w:tabs>
          <w:tab w:val="left" w:pos="2106"/>
        </w:tabs>
        <w:spacing w:before="4"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“货物”系指中标供应商根据合同约定应向采购人交付的一切各种形态和种类的物品，包括原材料、燃料、设备、机械、仪表、备件、计算机软件、产品等，并包括工具、手册等其他相关资料。</w:t>
      </w:r>
    </w:p>
    <w:p>
      <w:pPr>
        <w:pStyle w:val="84"/>
        <w:numPr>
          <w:ilvl w:val="2"/>
          <w:numId w:val="20"/>
        </w:numPr>
        <w:tabs>
          <w:tab w:val="left" w:pos="2106"/>
        </w:tabs>
        <w:spacing w:before="3"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“甲方”系指与中标供应商签署合同的采购人；采购人委托采购代理机构代表其与乙方签订合同的，采购人的授权委托书作为合同附件。</w:t>
      </w:r>
    </w:p>
    <w:p>
      <w:pPr>
        <w:pStyle w:val="84"/>
        <w:numPr>
          <w:ilvl w:val="2"/>
          <w:numId w:val="20"/>
        </w:numPr>
        <w:tabs>
          <w:tab w:val="left" w:pos="2106"/>
        </w:tabs>
        <w:spacing w:before="4"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84"/>
        <w:numPr>
          <w:ilvl w:val="2"/>
          <w:numId w:val="20"/>
        </w:numPr>
        <w:tabs>
          <w:tab w:val="left" w:pos="2104"/>
        </w:tabs>
        <w:spacing w:before="2"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w w:val="95"/>
          <w:sz w:val="21"/>
          <w:szCs w:val="21"/>
        </w:rPr>
        <w:t>“现场”系指合同约定货物将要运至或者安装的地点。</w:t>
      </w:r>
    </w:p>
    <w:p>
      <w:pPr>
        <w:pStyle w:val="9"/>
        <w:numPr>
          <w:ilvl w:val="1"/>
          <w:numId w:val="21"/>
        </w:numPr>
        <w:tabs>
          <w:tab w:val="left" w:pos="1897"/>
        </w:tabs>
        <w:spacing w:before="58" w:after="0" w:line="240" w:lineRule="auto"/>
        <w:ind w:left="1896" w:right="0" w:hanging="422"/>
        <w:jc w:val="left"/>
        <w:rPr>
          <w:rFonts w:hint="eastAsia" w:ascii="微软雅黑" w:hAnsi="微软雅黑" w:eastAsia="微软雅黑" w:cs="微软雅黑"/>
          <w:sz w:val="21"/>
          <w:szCs w:val="21"/>
        </w:rPr>
      </w:pPr>
      <w:bookmarkStart w:id="563" w:name="2.2 技术规范"/>
      <w:bookmarkEnd w:id="563"/>
      <w:bookmarkStart w:id="564" w:name="2.2 技术规范"/>
      <w:bookmarkEnd w:id="564"/>
      <w:r>
        <w:rPr>
          <w:rFonts w:hint="eastAsia" w:ascii="微软雅黑" w:hAnsi="微软雅黑" w:eastAsia="微软雅黑" w:cs="微软雅黑"/>
          <w:sz w:val="21"/>
          <w:szCs w:val="21"/>
        </w:rPr>
        <w:t>技术规范</w:t>
      </w:r>
    </w:p>
    <w:p>
      <w:pPr>
        <w:pStyle w:val="3"/>
        <w:spacing w:before="57" w:line="292" w:lineRule="auto"/>
        <w:ind w:left="1054" w:right="1811"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货物所应遵守的技术规范应与采购文件规定的技术规范和技术规范附件(如果有的话) 及其技术规范偏差表(如果被甲方接受的话)相一致；如果采购文件中没有技术规范的相应说明，那么应以国家有关部门最新颁布的相应标准和规范为准。</w:t>
      </w:r>
    </w:p>
    <w:p>
      <w:pPr>
        <w:pStyle w:val="9"/>
        <w:numPr>
          <w:ilvl w:val="1"/>
          <w:numId w:val="21"/>
        </w:numPr>
        <w:tabs>
          <w:tab w:val="left" w:pos="1897"/>
        </w:tabs>
        <w:spacing w:before="0" w:after="0" w:line="266" w:lineRule="exact"/>
        <w:ind w:left="1896" w:right="0" w:hanging="422"/>
        <w:jc w:val="left"/>
        <w:rPr>
          <w:rFonts w:hint="eastAsia" w:ascii="微软雅黑" w:hAnsi="微软雅黑" w:eastAsia="微软雅黑" w:cs="微软雅黑"/>
          <w:sz w:val="21"/>
          <w:szCs w:val="21"/>
        </w:rPr>
      </w:pPr>
      <w:bookmarkStart w:id="565" w:name="2.3 知识产权"/>
      <w:bookmarkEnd w:id="565"/>
      <w:bookmarkStart w:id="566" w:name="2.3 知识产权"/>
      <w:bookmarkEnd w:id="566"/>
      <w:r>
        <w:rPr>
          <w:rFonts w:hint="eastAsia" w:ascii="微软雅黑" w:hAnsi="微软雅黑" w:eastAsia="微软雅黑" w:cs="微软雅黑"/>
          <w:sz w:val="21"/>
          <w:szCs w:val="21"/>
        </w:rPr>
        <w:t>知识产权</w:t>
      </w:r>
    </w:p>
    <w:p>
      <w:pPr>
        <w:pStyle w:val="84"/>
        <w:numPr>
          <w:ilvl w:val="2"/>
          <w:numId w:val="21"/>
        </w:numPr>
        <w:tabs>
          <w:tab w:val="left" w:pos="2106"/>
        </w:tabs>
        <w:spacing w:before="57"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84"/>
        <w:numPr>
          <w:ilvl w:val="2"/>
          <w:numId w:val="21"/>
        </w:numPr>
        <w:tabs>
          <w:tab w:val="left" w:pos="2051"/>
        </w:tabs>
        <w:spacing w:before="0" w:after="0" w:line="277" w:lineRule="exact"/>
        <w:ind w:left="2050" w:right="0" w:hanging="576"/>
        <w:jc w:val="left"/>
        <w:rPr>
          <w:rFonts w:hint="eastAsia" w:ascii="微软雅黑" w:hAnsi="微软雅黑" w:eastAsia="微软雅黑" w:cs="微软雅黑"/>
          <w:sz w:val="21"/>
          <w:szCs w:val="21"/>
        </w:rPr>
      </w:pPr>
      <w:r>
        <w:rPr>
          <w:rFonts w:hint="eastAsia" w:ascii="微软雅黑" w:hAnsi="微软雅黑" w:eastAsia="微软雅黑" w:cs="微软雅黑"/>
          <w:spacing w:val="-1"/>
          <w:sz w:val="21"/>
          <w:szCs w:val="21"/>
        </w:rPr>
        <w:t>具有知识产权的计算机软件等货物的知识产权归属，详见</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sz w:val="21"/>
          <w:szCs w:val="21"/>
        </w:rPr>
        <w:t>。</w:t>
      </w:r>
    </w:p>
    <w:p>
      <w:pPr>
        <w:pStyle w:val="9"/>
        <w:numPr>
          <w:ilvl w:val="1"/>
          <w:numId w:val="21"/>
        </w:numPr>
        <w:tabs>
          <w:tab w:val="left" w:pos="1897"/>
        </w:tabs>
        <w:spacing w:before="55" w:after="0" w:line="240" w:lineRule="auto"/>
        <w:ind w:left="1896" w:right="0" w:hanging="422"/>
        <w:jc w:val="left"/>
        <w:rPr>
          <w:rFonts w:hint="eastAsia" w:ascii="微软雅黑" w:hAnsi="微软雅黑" w:eastAsia="微软雅黑" w:cs="微软雅黑"/>
          <w:sz w:val="21"/>
          <w:szCs w:val="21"/>
        </w:rPr>
      </w:pPr>
      <w:bookmarkStart w:id="567" w:name="2.4 包装和装运"/>
      <w:bookmarkEnd w:id="567"/>
      <w:bookmarkStart w:id="568" w:name="2.4 包装和装运"/>
      <w:bookmarkEnd w:id="568"/>
      <w:r>
        <w:rPr>
          <w:rFonts w:hint="eastAsia" w:ascii="微软雅黑" w:hAnsi="微软雅黑" w:eastAsia="微软雅黑" w:cs="微软雅黑"/>
          <w:sz w:val="21"/>
          <w:szCs w:val="21"/>
        </w:rPr>
        <w:t>包装和装运</w:t>
      </w:r>
    </w:p>
    <w:p>
      <w:pPr>
        <w:pStyle w:val="3"/>
        <w:spacing w:before="57"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pacing w:val="-5"/>
          <w:sz w:val="21"/>
          <w:szCs w:val="21"/>
        </w:rPr>
        <w:t>除</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spacing w:val="2"/>
          <w:sz w:val="21"/>
          <w:szCs w:val="21"/>
        </w:rPr>
        <w:t>另有约定外,乙方交付的全部货物,均应采用本行业通用的方式</w:t>
      </w:r>
    </w:p>
    <w:p>
      <w:pPr>
        <w:pStyle w:val="84"/>
        <w:numPr>
          <w:ilvl w:val="2"/>
          <w:numId w:val="21"/>
        </w:numPr>
        <w:tabs>
          <w:tab w:val="left" w:pos="2056"/>
        </w:tabs>
        <w:spacing w:before="47" w:after="0" w:line="290" w:lineRule="auto"/>
        <w:ind w:left="1054" w:right="1807" w:firstLine="420"/>
        <w:jc w:val="both"/>
        <w:rPr>
          <w:rFonts w:hint="eastAsia" w:ascii="微软雅黑" w:hAnsi="微软雅黑" w:eastAsia="微软雅黑" w:cs="微软雅黑"/>
          <w:sz w:val="21"/>
          <w:szCs w:val="21"/>
        </w:rPr>
      </w:pPr>
      <w:r>
        <w:rPr>
          <w:rFonts w:hint="eastAsia" w:ascii="微软雅黑" w:hAnsi="微软雅黑" w:eastAsia="微软雅黑" w:cs="微软雅黑"/>
          <w:spacing w:val="2"/>
          <w:sz w:val="21"/>
          <w:szCs w:val="21"/>
        </w:rPr>
        <w:t xml:space="preserve">  </w:t>
      </w:r>
      <w:r>
        <w:rPr>
          <w:rFonts w:hint="eastAsia" w:ascii="微软雅黑" w:hAnsi="微软雅黑" w:eastAsia="微软雅黑" w:cs="微软雅黑"/>
          <w:sz w:val="21"/>
          <w:szCs w:val="21"/>
        </w:rPr>
        <w:t>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84"/>
        <w:numPr>
          <w:ilvl w:val="2"/>
          <w:numId w:val="21"/>
        </w:numPr>
        <w:tabs>
          <w:tab w:val="left" w:pos="2104"/>
        </w:tabs>
        <w:spacing w:before="0" w:after="0" w:line="273" w:lineRule="exact"/>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pacing w:val="-1"/>
          <w:sz w:val="21"/>
          <w:szCs w:val="21"/>
        </w:rPr>
        <w:t>装运货物的要求和通知，详见</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sz w:val="21"/>
          <w:szCs w:val="21"/>
        </w:rPr>
        <w:t>。</w:t>
      </w:r>
    </w:p>
    <w:p>
      <w:pPr>
        <w:pStyle w:val="9"/>
        <w:numPr>
          <w:ilvl w:val="1"/>
          <w:numId w:val="21"/>
        </w:numPr>
        <w:tabs>
          <w:tab w:val="left" w:pos="1897"/>
        </w:tabs>
        <w:spacing w:before="55" w:after="0" w:line="240" w:lineRule="auto"/>
        <w:ind w:left="1896" w:right="0" w:hanging="422"/>
        <w:jc w:val="left"/>
        <w:rPr>
          <w:rFonts w:hint="eastAsia" w:ascii="微软雅黑" w:hAnsi="微软雅黑" w:eastAsia="微软雅黑" w:cs="微软雅黑"/>
          <w:sz w:val="21"/>
          <w:szCs w:val="21"/>
        </w:rPr>
      </w:pPr>
      <w:bookmarkStart w:id="569" w:name="2.5 履约检查和问题反馈"/>
      <w:bookmarkEnd w:id="569"/>
      <w:bookmarkStart w:id="570" w:name="2.5 履约检查和问题反馈"/>
      <w:bookmarkEnd w:id="570"/>
      <w:r>
        <w:rPr>
          <w:rFonts w:hint="eastAsia" w:ascii="微软雅黑" w:hAnsi="微软雅黑" w:eastAsia="微软雅黑" w:cs="微软雅黑"/>
          <w:sz w:val="21"/>
          <w:szCs w:val="21"/>
        </w:rPr>
        <w:t>履约检查和问题反馈</w:t>
      </w:r>
    </w:p>
    <w:p>
      <w:pPr>
        <w:pStyle w:val="84"/>
        <w:numPr>
          <w:ilvl w:val="2"/>
          <w:numId w:val="21"/>
        </w:numPr>
        <w:tabs>
          <w:tab w:val="left" w:pos="2106"/>
        </w:tabs>
        <w:spacing w:before="4" w:after="0" w:line="290" w:lineRule="auto"/>
        <w:ind w:left="1054" w:right="1814" w:firstLine="420"/>
        <w:jc w:val="left"/>
        <w:rPr>
          <w:rFonts w:hint="eastAsia" w:ascii="微软雅黑" w:hAnsi="微软雅黑" w:eastAsia="微软雅黑" w:cs="微软雅黑"/>
          <w:sz w:val="21"/>
          <w:szCs w:val="21"/>
        </w:rPr>
      </w:pPr>
      <w:r>
        <w:rPr>
          <w:rFonts w:hint="eastAsia" w:ascii="微软雅黑" w:hAnsi="微软雅黑" w:eastAsia="微软雅黑" w:cs="微软雅黑"/>
          <w:spacing w:val="3"/>
          <w:w w:val="95"/>
          <w:sz w:val="21"/>
          <w:szCs w:val="21"/>
        </w:rPr>
        <w:t xml:space="preserve">甲方有权在其认为必要时，对乙方是否能够按照合同约定交付货物进行履约检  </w:t>
      </w:r>
      <w:r>
        <w:rPr>
          <w:rFonts w:hint="eastAsia" w:ascii="微软雅黑" w:hAnsi="微软雅黑" w:eastAsia="微软雅黑" w:cs="微软雅黑"/>
          <w:sz w:val="21"/>
          <w:szCs w:val="21"/>
        </w:rPr>
        <w:t>查，以确保乙方所交付的货物能够依约满足甲方之项目需求，但不得因履约检查妨碍乙方的正常工作，乙方应予积极配合；合同履行期间，甲方有权将履行过程中出现的问题反馈给乙方，双方当事人应以书面形式约定需要完善和改进的内容。</w:t>
      </w:r>
    </w:p>
    <w:p>
      <w:pPr>
        <w:pStyle w:val="84"/>
        <w:numPr>
          <w:ilvl w:val="1"/>
          <w:numId w:val="21"/>
        </w:numPr>
        <w:tabs>
          <w:tab w:val="left" w:pos="1897"/>
        </w:tabs>
        <w:spacing w:before="1" w:after="0" w:line="283" w:lineRule="auto"/>
        <w:ind w:left="1474" w:right="7351" w:firstLine="0"/>
        <w:jc w:val="left"/>
        <w:rPr>
          <w:rFonts w:hint="eastAsia" w:ascii="微软雅黑" w:hAnsi="微软雅黑" w:eastAsia="微软雅黑" w:cs="微软雅黑"/>
          <w:sz w:val="21"/>
          <w:szCs w:val="21"/>
        </w:rPr>
      </w:pPr>
      <w:bookmarkStart w:id="571" w:name="2.6 结算方式和付款条件"/>
      <w:bookmarkEnd w:id="571"/>
      <w:bookmarkStart w:id="572" w:name="2.6 结算方式和付款条件"/>
      <w:bookmarkEnd w:id="572"/>
      <w:r>
        <w:rPr>
          <w:rFonts w:hint="eastAsia" w:ascii="微软雅黑" w:hAnsi="微软雅黑" w:eastAsia="微软雅黑" w:cs="微软雅黑"/>
          <w:b/>
          <w:spacing w:val="-2"/>
          <w:sz w:val="21"/>
          <w:szCs w:val="21"/>
        </w:rPr>
        <w:t>结算方式和付款条件</w:t>
      </w:r>
      <w:r>
        <w:rPr>
          <w:rFonts w:hint="eastAsia" w:ascii="微软雅黑" w:hAnsi="微软雅黑" w:eastAsia="微软雅黑" w:cs="微软雅黑"/>
          <w:spacing w:val="-4"/>
          <w:sz w:val="21"/>
          <w:szCs w:val="21"/>
        </w:rPr>
        <w:t>详见</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b/>
          <w:i/>
          <w:spacing w:val="-65"/>
          <w:sz w:val="21"/>
          <w:szCs w:val="21"/>
          <w:u w:val="single"/>
        </w:rPr>
        <w:t>。</w:t>
      </w:r>
    </w:p>
    <w:p>
      <w:pPr>
        <w:pStyle w:val="9"/>
        <w:numPr>
          <w:ilvl w:val="1"/>
          <w:numId w:val="21"/>
        </w:numPr>
        <w:tabs>
          <w:tab w:val="left" w:pos="1897"/>
        </w:tabs>
        <w:spacing w:before="3" w:after="0" w:line="240" w:lineRule="auto"/>
        <w:ind w:left="1896" w:right="0" w:hanging="422"/>
        <w:jc w:val="left"/>
        <w:rPr>
          <w:rFonts w:hint="eastAsia" w:ascii="微软雅黑" w:hAnsi="微软雅黑" w:eastAsia="微软雅黑" w:cs="微软雅黑"/>
          <w:sz w:val="21"/>
          <w:szCs w:val="21"/>
        </w:rPr>
      </w:pPr>
      <w:bookmarkStart w:id="573" w:name="2.7 技术资料和保密义务"/>
      <w:bookmarkEnd w:id="573"/>
      <w:bookmarkStart w:id="574" w:name="2.7 技术资料和保密义务"/>
      <w:bookmarkEnd w:id="574"/>
      <w:r>
        <w:rPr>
          <w:rFonts w:hint="eastAsia" w:ascii="微软雅黑" w:hAnsi="微软雅黑" w:eastAsia="微软雅黑" w:cs="微软雅黑"/>
          <w:sz w:val="21"/>
          <w:szCs w:val="21"/>
        </w:rPr>
        <w:t>技术资料和保密义务</w:t>
      </w:r>
    </w:p>
    <w:p>
      <w:pPr>
        <w:pStyle w:val="84"/>
        <w:numPr>
          <w:ilvl w:val="2"/>
          <w:numId w:val="21"/>
        </w:numPr>
        <w:tabs>
          <w:tab w:val="left" w:pos="2106"/>
        </w:tabs>
        <w:spacing w:before="60" w:after="0" w:line="288" w:lineRule="auto"/>
        <w:ind w:left="1054" w:right="1814" w:firstLine="42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乙方有权依据合同约定和项目需要，向甲方了解有关情况，调阅有关资料等， 甲方应予积极配合；</w:t>
      </w:r>
    </w:p>
    <w:p>
      <w:pPr>
        <w:pStyle w:val="84"/>
        <w:numPr>
          <w:ilvl w:val="2"/>
          <w:numId w:val="21"/>
        </w:numPr>
        <w:tabs>
          <w:tab w:val="left" w:pos="2104"/>
        </w:tabs>
        <w:spacing w:before="7" w:after="0" w:line="240" w:lineRule="auto"/>
        <w:ind w:left="2103" w:right="0" w:hanging="629"/>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乙方有义务妥善保管和保护由甲方提供的前款信息和资料等；</w:t>
      </w:r>
    </w:p>
    <w:p>
      <w:pPr>
        <w:pStyle w:val="84"/>
        <w:numPr>
          <w:ilvl w:val="2"/>
          <w:numId w:val="21"/>
        </w:numPr>
        <w:tabs>
          <w:tab w:val="left" w:pos="2106"/>
        </w:tabs>
        <w:spacing w:before="57"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9"/>
        <w:numPr>
          <w:ilvl w:val="1"/>
          <w:numId w:val="22"/>
        </w:numPr>
        <w:tabs>
          <w:tab w:val="left" w:pos="1897"/>
        </w:tabs>
        <w:spacing w:before="4" w:after="0" w:line="240" w:lineRule="auto"/>
        <w:ind w:left="1896" w:right="0" w:hanging="422"/>
        <w:jc w:val="left"/>
        <w:rPr>
          <w:rFonts w:hint="eastAsia" w:ascii="微软雅黑" w:hAnsi="微软雅黑" w:eastAsia="微软雅黑" w:cs="微软雅黑"/>
          <w:sz w:val="21"/>
          <w:szCs w:val="21"/>
        </w:rPr>
      </w:pPr>
      <w:bookmarkStart w:id="575" w:name="2.8 质量保证"/>
      <w:bookmarkEnd w:id="575"/>
      <w:bookmarkStart w:id="576" w:name="2.8 质量保证"/>
      <w:bookmarkEnd w:id="576"/>
      <w:r>
        <w:rPr>
          <w:rFonts w:hint="eastAsia" w:ascii="微软雅黑" w:hAnsi="微软雅黑" w:eastAsia="微软雅黑" w:cs="微软雅黑"/>
          <w:sz w:val="21"/>
          <w:szCs w:val="21"/>
        </w:rPr>
        <w:t>质量保证</w:t>
      </w:r>
    </w:p>
    <w:p>
      <w:pPr>
        <w:pStyle w:val="84"/>
        <w:numPr>
          <w:ilvl w:val="2"/>
          <w:numId w:val="22"/>
        </w:numPr>
        <w:tabs>
          <w:tab w:val="left" w:pos="2106"/>
        </w:tabs>
        <w:spacing w:before="59" w:after="0" w:line="290" w:lineRule="auto"/>
        <w:ind w:left="1054" w:right="1814" w:firstLine="42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乙方应建立和完善履行合同的内部质量保证体系，并提供相关内部规章制度给甲方，以便甲方进行监督检查；</w:t>
      </w:r>
    </w:p>
    <w:p>
      <w:pPr>
        <w:pStyle w:val="84"/>
        <w:numPr>
          <w:ilvl w:val="2"/>
          <w:numId w:val="22"/>
        </w:numPr>
        <w:tabs>
          <w:tab w:val="left" w:pos="2106"/>
        </w:tabs>
        <w:spacing w:before="2" w:after="0" w:line="290" w:lineRule="auto"/>
        <w:ind w:left="1054" w:right="1814" w:firstLine="42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乙方应保证履行合同的人员数量和素质、软件和硬件设备的配置、场地、环境和设施等满足全面履行合同的要求，并应接受甲方的监督检查。</w:t>
      </w:r>
    </w:p>
    <w:p>
      <w:pPr>
        <w:pStyle w:val="9"/>
        <w:numPr>
          <w:ilvl w:val="1"/>
          <w:numId w:val="22"/>
        </w:numPr>
        <w:tabs>
          <w:tab w:val="left" w:pos="1897"/>
        </w:tabs>
        <w:spacing w:before="2" w:after="0" w:line="240" w:lineRule="auto"/>
        <w:ind w:left="1896" w:right="0" w:hanging="422"/>
        <w:jc w:val="left"/>
        <w:rPr>
          <w:rFonts w:hint="eastAsia" w:ascii="微软雅黑" w:hAnsi="微软雅黑" w:eastAsia="微软雅黑" w:cs="微软雅黑"/>
          <w:sz w:val="21"/>
          <w:szCs w:val="21"/>
        </w:rPr>
      </w:pPr>
      <w:bookmarkStart w:id="577" w:name="2.9 货物的风险负担"/>
      <w:bookmarkEnd w:id="577"/>
      <w:bookmarkStart w:id="578" w:name="2.9 货物的风险负担"/>
      <w:bookmarkEnd w:id="578"/>
      <w:r>
        <w:rPr>
          <w:rFonts w:hint="eastAsia" w:ascii="微软雅黑" w:hAnsi="微软雅黑" w:eastAsia="微软雅黑" w:cs="微软雅黑"/>
          <w:sz w:val="21"/>
          <w:szCs w:val="21"/>
        </w:rPr>
        <w:t>货物的风险负担</w:t>
      </w:r>
    </w:p>
    <w:p>
      <w:pPr>
        <w:pStyle w:val="3"/>
        <w:spacing w:before="49" w:line="278" w:lineRule="auto"/>
        <w:ind w:left="1044" w:right="1751" w:firstLine="429"/>
        <w:rPr>
          <w:rFonts w:hint="eastAsia" w:ascii="微软雅黑" w:hAnsi="微软雅黑" w:eastAsia="微软雅黑" w:cs="微软雅黑"/>
          <w:sz w:val="21"/>
          <w:szCs w:val="21"/>
          <w:lang w:eastAsia="zh-CN"/>
        </w:rPr>
      </w:pPr>
      <w:r>
        <w:rPr>
          <w:rFonts w:hint="eastAsia" w:ascii="微软雅黑" w:hAnsi="微软雅黑" w:eastAsia="微软雅黑" w:cs="微软雅黑"/>
          <w:spacing w:val="-1"/>
          <w:sz w:val="21"/>
          <w:szCs w:val="21"/>
        </w:rPr>
        <w:t>货物或者在途货物或者交付给第一承运人后的货物毁损、灭失的风险负担详见</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b/>
          <w:bCs/>
          <w:sz w:val="21"/>
          <w:szCs w:val="21"/>
          <w:u w:val="single"/>
          <w:lang w:eastAsia="zh-CN"/>
        </w:rPr>
        <w:t>。</w:t>
      </w:r>
    </w:p>
    <w:p>
      <w:pPr>
        <w:pStyle w:val="9"/>
        <w:numPr>
          <w:ilvl w:val="1"/>
          <w:numId w:val="22"/>
        </w:numPr>
        <w:tabs>
          <w:tab w:val="left" w:pos="2003"/>
        </w:tabs>
        <w:spacing w:before="9" w:after="0" w:line="240" w:lineRule="auto"/>
        <w:ind w:left="2002" w:right="0" w:hanging="528"/>
        <w:jc w:val="left"/>
        <w:rPr>
          <w:rFonts w:hint="eastAsia" w:ascii="微软雅黑" w:hAnsi="微软雅黑" w:eastAsia="微软雅黑" w:cs="微软雅黑"/>
          <w:sz w:val="21"/>
          <w:szCs w:val="21"/>
        </w:rPr>
      </w:pPr>
      <w:bookmarkStart w:id="579" w:name="2.10 延迟交货"/>
      <w:bookmarkEnd w:id="579"/>
      <w:bookmarkStart w:id="580" w:name="2.10 延迟交货"/>
      <w:bookmarkEnd w:id="580"/>
      <w:r>
        <w:rPr>
          <w:rFonts w:hint="eastAsia" w:ascii="微软雅黑" w:hAnsi="微软雅黑" w:eastAsia="微软雅黑" w:cs="微软雅黑"/>
          <w:sz w:val="21"/>
          <w:szCs w:val="21"/>
        </w:rPr>
        <w:t>延迟交货</w:t>
      </w:r>
    </w:p>
    <w:p>
      <w:pPr>
        <w:pStyle w:val="3"/>
        <w:spacing w:before="58"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9"/>
        <w:numPr>
          <w:ilvl w:val="1"/>
          <w:numId w:val="22"/>
        </w:numPr>
        <w:tabs>
          <w:tab w:val="left" w:pos="2003"/>
        </w:tabs>
        <w:spacing w:before="4" w:after="0" w:line="240" w:lineRule="auto"/>
        <w:ind w:left="2002" w:right="0" w:hanging="528"/>
        <w:jc w:val="left"/>
        <w:rPr>
          <w:rFonts w:hint="eastAsia" w:ascii="微软雅黑" w:hAnsi="微软雅黑" w:eastAsia="微软雅黑" w:cs="微软雅黑"/>
          <w:sz w:val="21"/>
          <w:szCs w:val="21"/>
        </w:rPr>
      </w:pPr>
      <w:bookmarkStart w:id="581" w:name="2.11 合同变更"/>
      <w:bookmarkEnd w:id="581"/>
      <w:bookmarkStart w:id="582" w:name="2.11 合同变更"/>
      <w:bookmarkEnd w:id="582"/>
      <w:r>
        <w:rPr>
          <w:rFonts w:hint="eastAsia" w:ascii="微软雅黑" w:hAnsi="微软雅黑" w:eastAsia="微软雅黑" w:cs="微软雅黑"/>
          <w:sz w:val="21"/>
          <w:szCs w:val="21"/>
        </w:rPr>
        <w:t>合同变更</w:t>
      </w:r>
    </w:p>
    <w:p>
      <w:pPr>
        <w:pStyle w:val="84"/>
        <w:numPr>
          <w:ilvl w:val="2"/>
          <w:numId w:val="22"/>
        </w:numPr>
        <w:tabs>
          <w:tab w:val="left" w:pos="2156"/>
        </w:tabs>
        <w:spacing w:before="58"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双方当事人协商一致，可以签订书面补充合同的形式变更合同，但不得违背采购文件确定的事项，且如果系追加与合同标的相同的货物的，那么所有补充合同的采购金</w:t>
      </w:r>
      <w:r>
        <w:rPr>
          <w:rFonts w:hint="eastAsia" w:ascii="微软雅黑" w:hAnsi="微软雅黑" w:eastAsia="微软雅黑" w:cs="微软雅黑"/>
          <w:spacing w:val="-5"/>
          <w:sz w:val="21"/>
          <w:szCs w:val="21"/>
        </w:rPr>
        <w:t xml:space="preserve">额不得超过原合同价的 </w:t>
      </w:r>
      <w:r>
        <w:rPr>
          <w:rFonts w:hint="eastAsia" w:ascii="微软雅黑" w:hAnsi="微软雅黑" w:eastAsia="微软雅黑" w:cs="微软雅黑"/>
          <w:sz w:val="21"/>
          <w:szCs w:val="21"/>
        </w:rPr>
        <w:t>10%；</w:t>
      </w:r>
    </w:p>
    <w:p>
      <w:pPr>
        <w:pStyle w:val="84"/>
        <w:numPr>
          <w:ilvl w:val="2"/>
          <w:numId w:val="22"/>
        </w:numPr>
        <w:tabs>
          <w:tab w:val="left" w:pos="2209"/>
        </w:tabs>
        <w:spacing w:before="2" w:after="0" w:line="292"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pacing w:val="-1"/>
          <w:w w:val="95"/>
          <w:sz w:val="21"/>
          <w:szCs w:val="21"/>
        </w:rPr>
        <w:t xml:space="preserve">合同继续履行将损害国家利益和社会公共利益的，双方当事人应当以书面形式  </w:t>
      </w:r>
      <w:r>
        <w:rPr>
          <w:rFonts w:hint="eastAsia" w:ascii="微软雅黑" w:hAnsi="微软雅黑" w:eastAsia="微软雅黑" w:cs="微软雅黑"/>
          <w:sz w:val="21"/>
          <w:szCs w:val="21"/>
        </w:rPr>
        <w:t>变更合同。有过错的一方应当承担赔偿责任，双方当事人都有过错的，各自承担相应的责任。</w:t>
      </w:r>
    </w:p>
    <w:p>
      <w:pPr>
        <w:pStyle w:val="9"/>
        <w:numPr>
          <w:ilvl w:val="1"/>
          <w:numId w:val="22"/>
        </w:numPr>
        <w:tabs>
          <w:tab w:val="left" w:pos="2003"/>
        </w:tabs>
        <w:spacing w:before="0" w:after="0" w:line="266" w:lineRule="exact"/>
        <w:ind w:left="2002" w:right="0" w:hanging="528"/>
        <w:jc w:val="left"/>
        <w:rPr>
          <w:rFonts w:hint="eastAsia" w:ascii="微软雅黑" w:hAnsi="微软雅黑" w:eastAsia="微软雅黑" w:cs="微软雅黑"/>
          <w:sz w:val="21"/>
          <w:szCs w:val="21"/>
        </w:rPr>
      </w:pPr>
      <w:bookmarkStart w:id="583" w:name="2.12 合同转让和分包"/>
      <w:bookmarkEnd w:id="583"/>
      <w:bookmarkStart w:id="584" w:name="2.12 合同转让和分包"/>
      <w:bookmarkEnd w:id="584"/>
      <w:r>
        <w:rPr>
          <w:rFonts w:hint="eastAsia" w:ascii="微软雅黑" w:hAnsi="微软雅黑" w:eastAsia="微软雅黑" w:cs="微软雅黑"/>
          <w:sz w:val="21"/>
          <w:szCs w:val="21"/>
        </w:rPr>
        <w:t>合同转让和分包</w:t>
      </w:r>
    </w:p>
    <w:p>
      <w:pPr>
        <w:pStyle w:val="3"/>
        <w:spacing w:before="57" w:line="292" w:lineRule="auto"/>
        <w:ind w:left="1054" w:right="1706" w:firstLine="420"/>
        <w:rPr>
          <w:rFonts w:hint="eastAsia" w:ascii="微软雅黑" w:hAnsi="微软雅黑" w:eastAsia="微软雅黑" w:cs="微软雅黑"/>
          <w:sz w:val="21"/>
          <w:szCs w:val="21"/>
        </w:rPr>
      </w:pPr>
      <w:r>
        <w:rPr>
          <w:rFonts w:hint="eastAsia" w:ascii="微软雅黑" w:hAnsi="微软雅黑" w:eastAsia="微软雅黑" w:cs="微软雅黑"/>
          <w:spacing w:val="-2"/>
          <w:w w:val="95"/>
          <w:sz w:val="21"/>
          <w:szCs w:val="21"/>
        </w:rPr>
        <w:t xml:space="preserve">合同的权利义务依法不得转让，但经甲方同意，乙方可以依法采取分包方式履行合同，  </w:t>
      </w:r>
      <w:r>
        <w:rPr>
          <w:rFonts w:hint="eastAsia" w:ascii="微软雅黑" w:hAnsi="微软雅黑" w:eastAsia="微软雅黑" w:cs="微软雅黑"/>
          <w:sz w:val="21"/>
          <w:szCs w:val="21"/>
        </w:rPr>
        <w:t>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9"/>
        <w:numPr>
          <w:ilvl w:val="1"/>
          <w:numId w:val="22"/>
        </w:numPr>
        <w:tabs>
          <w:tab w:val="left" w:pos="2003"/>
        </w:tabs>
        <w:spacing w:before="0" w:after="0" w:line="264" w:lineRule="exact"/>
        <w:ind w:left="2002" w:right="0" w:hanging="528"/>
        <w:jc w:val="left"/>
        <w:rPr>
          <w:rFonts w:hint="eastAsia" w:ascii="微软雅黑" w:hAnsi="微软雅黑" w:eastAsia="微软雅黑" w:cs="微软雅黑"/>
          <w:sz w:val="21"/>
          <w:szCs w:val="21"/>
        </w:rPr>
      </w:pPr>
      <w:bookmarkStart w:id="585" w:name="2.13 不可抗力"/>
      <w:bookmarkEnd w:id="585"/>
      <w:bookmarkStart w:id="586" w:name="2.13 不可抗力"/>
      <w:bookmarkEnd w:id="586"/>
      <w:r>
        <w:rPr>
          <w:rFonts w:hint="eastAsia" w:ascii="微软雅黑" w:hAnsi="微软雅黑" w:eastAsia="微软雅黑" w:cs="微软雅黑"/>
          <w:sz w:val="21"/>
          <w:szCs w:val="21"/>
        </w:rPr>
        <w:t>不可抗力</w:t>
      </w:r>
    </w:p>
    <w:p>
      <w:pPr>
        <w:pStyle w:val="84"/>
        <w:numPr>
          <w:ilvl w:val="2"/>
          <w:numId w:val="22"/>
        </w:numPr>
        <w:tabs>
          <w:tab w:val="left" w:pos="2156"/>
        </w:tabs>
        <w:spacing w:before="57" w:after="0" w:line="290" w:lineRule="auto"/>
        <w:ind w:left="1054" w:right="1814" w:firstLine="42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如果任何一方遭遇法律规定的不可抗力，致使合同履行受阻时，履行合同的期限应予延长，延长的期限应相当于不可抗力所影响的时间；</w:t>
      </w:r>
    </w:p>
    <w:p>
      <w:pPr>
        <w:pStyle w:val="84"/>
        <w:numPr>
          <w:ilvl w:val="2"/>
          <w:numId w:val="22"/>
        </w:numPr>
        <w:tabs>
          <w:tab w:val="left" w:pos="2209"/>
        </w:tabs>
        <w:spacing w:before="2" w:after="0" w:line="240" w:lineRule="auto"/>
        <w:ind w:left="2208" w:right="0" w:hanging="734"/>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因不可抗力致使不能实现合同目的的，当事人可以解除合同；</w:t>
      </w:r>
    </w:p>
    <w:p>
      <w:pPr>
        <w:pStyle w:val="84"/>
        <w:numPr>
          <w:ilvl w:val="2"/>
          <w:numId w:val="22"/>
        </w:numPr>
        <w:tabs>
          <w:tab w:val="left" w:pos="2209"/>
        </w:tabs>
        <w:spacing w:before="47" w:after="0" w:line="288" w:lineRule="auto"/>
        <w:ind w:left="1054" w:right="1807" w:firstLine="420"/>
        <w:jc w:val="left"/>
        <w:rPr>
          <w:rFonts w:hint="eastAsia" w:ascii="微软雅黑" w:hAnsi="微软雅黑" w:eastAsia="微软雅黑" w:cs="微软雅黑"/>
          <w:sz w:val="21"/>
          <w:szCs w:val="21"/>
        </w:rPr>
      </w:pPr>
      <w:r>
        <w:rPr>
          <w:rFonts w:hint="eastAsia" w:ascii="微软雅黑" w:hAnsi="微软雅黑" w:eastAsia="微软雅黑" w:cs="微软雅黑"/>
          <w:spacing w:val="-3"/>
          <w:sz w:val="21"/>
          <w:szCs w:val="21"/>
        </w:rPr>
        <w:t>因不可抗力致使合同有变更必要的，双方当事人应在</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sz w:val="21"/>
          <w:szCs w:val="21"/>
        </w:rPr>
        <w:t>约定时间内  以书面形式变更合同；</w:t>
      </w:r>
    </w:p>
    <w:p>
      <w:pPr>
        <w:pStyle w:val="84"/>
        <w:numPr>
          <w:ilvl w:val="2"/>
          <w:numId w:val="22"/>
        </w:numPr>
        <w:tabs>
          <w:tab w:val="left" w:pos="2156"/>
        </w:tabs>
        <w:spacing w:before="0" w:after="0" w:line="283" w:lineRule="auto"/>
        <w:ind w:left="1054" w:right="1807" w:firstLine="420"/>
        <w:jc w:val="both"/>
        <w:rPr>
          <w:rFonts w:hint="eastAsia" w:ascii="微软雅黑" w:hAnsi="微软雅黑" w:eastAsia="微软雅黑" w:cs="微软雅黑"/>
          <w:sz w:val="21"/>
          <w:szCs w:val="21"/>
        </w:rPr>
      </w:pPr>
      <w:r>
        <w:rPr>
          <w:rFonts w:hint="eastAsia" w:ascii="微软雅黑" w:hAnsi="微软雅黑" w:eastAsia="微软雅黑" w:cs="微软雅黑"/>
          <w:spacing w:val="-1"/>
          <w:sz w:val="21"/>
          <w:szCs w:val="21"/>
        </w:rPr>
        <w:t>受不可抗力影响的一方在不可抗力发生后，应在</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sz w:val="21"/>
          <w:szCs w:val="21"/>
        </w:rPr>
        <w:t xml:space="preserve">约定时间内以书  </w:t>
      </w:r>
      <w:r>
        <w:rPr>
          <w:rFonts w:hint="eastAsia" w:ascii="微软雅黑" w:hAnsi="微软雅黑" w:eastAsia="微软雅黑" w:cs="微软雅黑"/>
          <w:spacing w:val="-1"/>
          <w:sz w:val="21"/>
          <w:szCs w:val="21"/>
        </w:rPr>
        <w:t>面形式通知对方当事人，并在</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sz w:val="21"/>
          <w:szCs w:val="21"/>
        </w:rPr>
        <w:t>约定时间内，将有关部门出具的证明文件送达  对方当事人。</w:t>
      </w:r>
    </w:p>
    <w:p>
      <w:pPr>
        <w:pStyle w:val="9"/>
        <w:numPr>
          <w:ilvl w:val="1"/>
          <w:numId w:val="23"/>
        </w:numPr>
        <w:tabs>
          <w:tab w:val="left" w:pos="2003"/>
        </w:tabs>
        <w:spacing w:before="0" w:after="0" w:line="240" w:lineRule="auto"/>
        <w:ind w:left="2002" w:right="0" w:hanging="528"/>
        <w:jc w:val="left"/>
        <w:rPr>
          <w:rFonts w:hint="eastAsia" w:ascii="微软雅黑" w:hAnsi="微软雅黑" w:eastAsia="微软雅黑" w:cs="微软雅黑"/>
          <w:sz w:val="21"/>
          <w:szCs w:val="21"/>
        </w:rPr>
      </w:pPr>
      <w:bookmarkStart w:id="587" w:name="2.14 税费"/>
      <w:bookmarkEnd w:id="587"/>
      <w:bookmarkStart w:id="588" w:name="2.14 税费"/>
      <w:bookmarkEnd w:id="588"/>
      <w:r>
        <w:rPr>
          <w:rFonts w:hint="eastAsia" w:ascii="微软雅黑" w:hAnsi="微软雅黑" w:eastAsia="微软雅黑" w:cs="微软雅黑"/>
          <w:sz w:val="21"/>
          <w:szCs w:val="21"/>
        </w:rPr>
        <w:t>税费</w:t>
      </w:r>
    </w:p>
    <w:p>
      <w:pPr>
        <w:pStyle w:val="3"/>
        <w:spacing w:before="57"/>
        <w:ind w:left="1474"/>
        <w:rPr>
          <w:rFonts w:hint="eastAsia" w:ascii="微软雅黑" w:hAnsi="微软雅黑" w:eastAsia="微软雅黑" w:cs="微软雅黑"/>
          <w:sz w:val="21"/>
          <w:szCs w:val="21"/>
        </w:rPr>
      </w:pPr>
      <w:r>
        <w:rPr>
          <w:rFonts w:hint="eastAsia" w:ascii="微软雅黑" w:hAnsi="微软雅黑" w:eastAsia="微软雅黑" w:cs="微软雅黑"/>
          <w:sz w:val="21"/>
          <w:szCs w:val="21"/>
        </w:rPr>
        <w:t>与合同有关的一切税费，均按照中华人民共和国法律的相关规定。</w:t>
      </w:r>
    </w:p>
    <w:p>
      <w:pPr>
        <w:pStyle w:val="9"/>
        <w:numPr>
          <w:ilvl w:val="1"/>
          <w:numId w:val="23"/>
        </w:numPr>
        <w:tabs>
          <w:tab w:val="left" w:pos="2003"/>
        </w:tabs>
        <w:spacing w:before="60" w:after="0" w:line="240" w:lineRule="auto"/>
        <w:ind w:left="2002" w:right="0" w:hanging="528"/>
        <w:jc w:val="left"/>
        <w:rPr>
          <w:rFonts w:hint="eastAsia" w:ascii="微软雅黑" w:hAnsi="微软雅黑" w:eastAsia="微软雅黑" w:cs="微软雅黑"/>
          <w:sz w:val="21"/>
          <w:szCs w:val="21"/>
        </w:rPr>
      </w:pPr>
      <w:bookmarkStart w:id="589" w:name="2.15 乙方破产"/>
      <w:bookmarkEnd w:id="589"/>
      <w:bookmarkStart w:id="590" w:name="2.15 乙方破产"/>
      <w:bookmarkEnd w:id="590"/>
      <w:r>
        <w:rPr>
          <w:rFonts w:hint="eastAsia" w:ascii="微软雅黑" w:hAnsi="微软雅黑" w:eastAsia="微软雅黑" w:cs="微软雅黑"/>
          <w:sz w:val="21"/>
          <w:szCs w:val="21"/>
        </w:rPr>
        <w:t>乙方破产</w:t>
      </w:r>
    </w:p>
    <w:p>
      <w:pPr>
        <w:pStyle w:val="3"/>
        <w:spacing w:before="55" w:line="292"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9"/>
        <w:numPr>
          <w:ilvl w:val="1"/>
          <w:numId w:val="23"/>
        </w:numPr>
        <w:tabs>
          <w:tab w:val="left" w:pos="2003"/>
        </w:tabs>
        <w:spacing w:before="0" w:after="0" w:line="266" w:lineRule="exact"/>
        <w:ind w:left="2002" w:right="0" w:hanging="528"/>
        <w:jc w:val="left"/>
        <w:rPr>
          <w:rFonts w:hint="eastAsia" w:ascii="微软雅黑" w:hAnsi="微软雅黑" w:eastAsia="微软雅黑" w:cs="微软雅黑"/>
          <w:sz w:val="21"/>
          <w:szCs w:val="21"/>
        </w:rPr>
      </w:pPr>
      <w:bookmarkStart w:id="591" w:name="2.16 合同中止、终止"/>
      <w:bookmarkEnd w:id="591"/>
      <w:bookmarkStart w:id="592" w:name="2.16 合同中止、终止"/>
      <w:bookmarkEnd w:id="592"/>
      <w:r>
        <w:rPr>
          <w:rFonts w:hint="eastAsia" w:ascii="微软雅黑" w:hAnsi="微软雅黑" w:eastAsia="微软雅黑" w:cs="微软雅黑"/>
          <w:sz w:val="21"/>
          <w:szCs w:val="21"/>
        </w:rPr>
        <w:t>合同中止、终止</w:t>
      </w:r>
    </w:p>
    <w:p>
      <w:pPr>
        <w:pStyle w:val="84"/>
        <w:numPr>
          <w:ilvl w:val="2"/>
          <w:numId w:val="23"/>
        </w:numPr>
        <w:tabs>
          <w:tab w:val="left" w:pos="2209"/>
        </w:tabs>
        <w:spacing w:before="58" w:after="0" w:line="240" w:lineRule="auto"/>
        <w:ind w:left="2208" w:right="0" w:hanging="734"/>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双方当事人不得擅自中止或者终止合同；</w:t>
      </w:r>
    </w:p>
    <w:p>
      <w:pPr>
        <w:pStyle w:val="84"/>
        <w:numPr>
          <w:ilvl w:val="2"/>
          <w:numId w:val="23"/>
        </w:numPr>
        <w:tabs>
          <w:tab w:val="left" w:pos="2156"/>
        </w:tabs>
        <w:spacing w:before="57" w:after="0" w:line="290" w:lineRule="auto"/>
        <w:ind w:left="1054" w:right="1706" w:firstLine="42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合同继续履行将损害国家利益和社会公共利益的，双方当事人应当中止或者终</w:t>
      </w:r>
      <w:r>
        <w:rPr>
          <w:rFonts w:hint="eastAsia" w:ascii="微软雅黑" w:hAnsi="微软雅黑" w:eastAsia="微软雅黑" w:cs="微软雅黑"/>
          <w:spacing w:val="-4"/>
          <w:w w:val="95"/>
          <w:sz w:val="21"/>
          <w:szCs w:val="21"/>
        </w:rPr>
        <w:t>止合同。有过错的一方应当承担赔偿责任，双方当事人都有过错的，各自承担相应的责任。</w:t>
      </w:r>
    </w:p>
    <w:p>
      <w:pPr>
        <w:pStyle w:val="9"/>
        <w:numPr>
          <w:ilvl w:val="1"/>
          <w:numId w:val="23"/>
        </w:numPr>
        <w:tabs>
          <w:tab w:val="left" w:pos="2003"/>
        </w:tabs>
        <w:spacing w:before="4" w:after="0" w:line="240" w:lineRule="auto"/>
        <w:ind w:left="2002" w:right="0" w:hanging="528"/>
        <w:jc w:val="left"/>
        <w:rPr>
          <w:rFonts w:hint="eastAsia" w:ascii="微软雅黑" w:hAnsi="微软雅黑" w:eastAsia="微软雅黑" w:cs="微软雅黑"/>
          <w:sz w:val="21"/>
          <w:szCs w:val="21"/>
        </w:rPr>
      </w:pPr>
      <w:bookmarkStart w:id="593" w:name="2.17 检验和验收"/>
      <w:bookmarkEnd w:id="593"/>
      <w:bookmarkStart w:id="594" w:name="2.17 检验和验收"/>
      <w:bookmarkEnd w:id="594"/>
      <w:r>
        <w:rPr>
          <w:rFonts w:hint="eastAsia" w:ascii="微软雅黑" w:hAnsi="微软雅黑" w:eastAsia="微软雅黑" w:cs="微软雅黑"/>
          <w:sz w:val="21"/>
          <w:szCs w:val="21"/>
        </w:rPr>
        <w:t>检验和验收</w:t>
      </w:r>
    </w:p>
    <w:p>
      <w:pPr>
        <w:pStyle w:val="84"/>
        <w:numPr>
          <w:ilvl w:val="2"/>
          <w:numId w:val="23"/>
        </w:numPr>
        <w:tabs>
          <w:tab w:val="left" w:pos="2156"/>
        </w:tabs>
        <w:spacing w:before="57" w:after="0" w:line="283" w:lineRule="auto"/>
        <w:ind w:left="1054" w:right="1809"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货物交付前，乙方应对货物的质量、数量等方面进行详细、全面的检验，并向</w:t>
      </w:r>
      <w:r>
        <w:rPr>
          <w:rFonts w:hint="eastAsia" w:ascii="微软雅黑" w:hAnsi="微软雅黑" w:eastAsia="微软雅黑" w:cs="微软雅黑"/>
          <w:spacing w:val="-1"/>
          <w:sz w:val="21"/>
          <w:szCs w:val="21"/>
        </w:rPr>
        <w:t>甲方出具证明货物符合合同约定的文件；货物交付时，乙方在</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sz w:val="21"/>
          <w:szCs w:val="21"/>
        </w:rPr>
        <w:t>约定时间内组  织验收，并可依法邀请相关方参加，验收应出具验收书。</w:t>
      </w:r>
    </w:p>
    <w:p>
      <w:pPr>
        <w:pStyle w:val="84"/>
        <w:numPr>
          <w:ilvl w:val="2"/>
          <w:numId w:val="23"/>
        </w:numPr>
        <w:tabs>
          <w:tab w:val="left" w:pos="2156"/>
        </w:tabs>
        <w:spacing w:before="12" w:after="0" w:line="292"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合同期满或者履行完毕后，甲方有权组织（包括依法邀请国家认可的质量检测</w:t>
      </w:r>
      <w:r>
        <w:rPr>
          <w:rFonts w:hint="eastAsia" w:ascii="微软雅黑" w:hAnsi="微软雅黑" w:eastAsia="微软雅黑" w:cs="微软雅黑"/>
          <w:spacing w:val="1"/>
          <w:sz w:val="21"/>
          <w:szCs w:val="21"/>
        </w:rPr>
        <w:t>机构参加</w:t>
      </w:r>
      <w:r>
        <w:rPr>
          <w:rFonts w:hint="eastAsia" w:ascii="微软雅黑" w:hAnsi="微软雅黑" w:eastAsia="微软雅黑" w:cs="微软雅黑"/>
          <w:sz w:val="21"/>
          <w:szCs w:val="21"/>
        </w:rPr>
        <w:t>）对乙方履约的验收，即：按照合同约定的技术、服务、安全标准，组织对每一项技术、服务、安全标准的履约情况的验收，并出具验收书。</w:t>
      </w:r>
    </w:p>
    <w:p>
      <w:pPr>
        <w:pStyle w:val="84"/>
        <w:numPr>
          <w:ilvl w:val="2"/>
          <w:numId w:val="23"/>
        </w:numPr>
        <w:tabs>
          <w:tab w:val="left" w:pos="2209"/>
        </w:tabs>
        <w:spacing w:before="0" w:after="0" w:line="269" w:lineRule="exact"/>
        <w:ind w:left="2208" w:right="0" w:hanging="734"/>
        <w:jc w:val="left"/>
        <w:rPr>
          <w:rFonts w:hint="eastAsia" w:ascii="微软雅黑" w:hAnsi="微软雅黑" w:eastAsia="微软雅黑" w:cs="微软雅黑"/>
          <w:i/>
          <w:sz w:val="21"/>
          <w:szCs w:val="21"/>
        </w:rPr>
      </w:pPr>
      <w:r>
        <w:rPr>
          <w:rFonts w:hint="eastAsia" w:ascii="微软雅黑" w:hAnsi="微软雅黑" w:eastAsia="微软雅黑" w:cs="微软雅黑"/>
          <w:spacing w:val="-1"/>
          <w:sz w:val="21"/>
          <w:szCs w:val="21"/>
        </w:rPr>
        <w:t>检验和验收标准、程序等具体内容以及前述验收书的效力详见</w:t>
      </w:r>
      <w:r>
        <w:rPr>
          <w:rFonts w:hint="eastAsia" w:ascii="微软雅黑" w:hAnsi="微软雅黑" w:eastAsia="微软雅黑" w:cs="微软雅黑"/>
          <w:b/>
          <w:bCs/>
          <w:sz w:val="21"/>
          <w:szCs w:val="21"/>
          <w:u w:val="single"/>
        </w:rPr>
        <w:t>合同专用条款</w:t>
      </w:r>
    </w:p>
    <w:p>
      <w:pPr>
        <w:pStyle w:val="9"/>
        <w:numPr>
          <w:ilvl w:val="1"/>
          <w:numId w:val="24"/>
        </w:numPr>
        <w:tabs>
          <w:tab w:val="left" w:pos="2003"/>
        </w:tabs>
        <w:spacing w:before="54" w:after="0" w:line="240" w:lineRule="auto"/>
        <w:ind w:left="2002" w:right="0" w:hanging="528"/>
        <w:jc w:val="left"/>
        <w:rPr>
          <w:rFonts w:hint="eastAsia" w:ascii="微软雅黑" w:hAnsi="微软雅黑" w:eastAsia="微软雅黑" w:cs="微软雅黑"/>
          <w:sz w:val="21"/>
          <w:szCs w:val="21"/>
        </w:rPr>
      </w:pPr>
      <w:bookmarkStart w:id="595" w:name="2.18 通知和送达"/>
      <w:bookmarkEnd w:id="595"/>
      <w:bookmarkStart w:id="596" w:name="2.18 通知和送达"/>
      <w:bookmarkEnd w:id="596"/>
      <w:r>
        <w:rPr>
          <w:rFonts w:hint="eastAsia" w:ascii="微软雅黑" w:hAnsi="微软雅黑" w:eastAsia="微软雅黑" w:cs="微软雅黑"/>
          <w:sz w:val="21"/>
          <w:szCs w:val="21"/>
        </w:rPr>
        <w:t>通知和送达</w:t>
      </w:r>
    </w:p>
    <w:p>
      <w:pPr>
        <w:pStyle w:val="84"/>
        <w:numPr>
          <w:ilvl w:val="2"/>
          <w:numId w:val="24"/>
        </w:numPr>
        <w:tabs>
          <w:tab w:val="left" w:pos="1788"/>
          <w:tab w:val="left" w:pos="2214"/>
          <w:tab w:val="left" w:pos="8261"/>
        </w:tabs>
        <w:spacing w:before="58" w:after="0" w:line="292" w:lineRule="auto"/>
        <w:ind w:left="1054" w:right="1706" w:firstLine="420"/>
        <w:jc w:val="left"/>
        <w:rPr>
          <w:rFonts w:hint="eastAsia" w:ascii="微软雅黑" w:hAnsi="微软雅黑" w:eastAsia="微软雅黑" w:cs="微软雅黑"/>
          <w:sz w:val="21"/>
          <w:szCs w:val="21"/>
        </w:rPr>
      </w:pPr>
      <w:r>
        <w:rPr>
          <w:rFonts w:hint="eastAsia" w:ascii="微软雅黑" w:hAnsi="微软雅黑" w:eastAsia="微软雅黑" w:cs="微软雅黑"/>
          <w:spacing w:val="7"/>
          <w:sz w:val="21"/>
          <w:szCs w:val="21"/>
        </w:rPr>
        <w:t>任</w:t>
      </w:r>
      <w:r>
        <w:rPr>
          <w:rFonts w:hint="eastAsia" w:ascii="微软雅黑" w:hAnsi="微软雅黑" w:eastAsia="微软雅黑" w:cs="微软雅黑"/>
          <w:spacing w:val="4"/>
          <w:sz w:val="21"/>
          <w:szCs w:val="21"/>
        </w:rPr>
        <w:t>何</w:t>
      </w:r>
      <w:r>
        <w:rPr>
          <w:rFonts w:hint="eastAsia" w:ascii="微软雅黑" w:hAnsi="微软雅黑" w:eastAsia="微软雅黑" w:cs="微软雅黑"/>
          <w:spacing w:val="7"/>
          <w:sz w:val="21"/>
          <w:szCs w:val="21"/>
        </w:rPr>
        <w:t>一方</w:t>
      </w:r>
      <w:r>
        <w:rPr>
          <w:rFonts w:hint="eastAsia" w:ascii="微软雅黑" w:hAnsi="微软雅黑" w:eastAsia="微软雅黑" w:cs="微软雅黑"/>
          <w:spacing w:val="4"/>
          <w:sz w:val="21"/>
          <w:szCs w:val="21"/>
        </w:rPr>
        <w:t>因</w:t>
      </w:r>
      <w:r>
        <w:rPr>
          <w:rFonts w:hint="eastAsia" w:ascii="微软雅黑" w:hAnsi="微软雅黑" w:eastAsia="微软雅黑" w:cs="微软雅黑"/>
          <w:spacing w:val="7"/>
          <w:sz w:val="21"/>
          <w:szCs w:val="21"/>
        </w:rPr>
        <w:t>履</w:t>
      </w:r>
      <w:r>
        <w:rPr>
          <w:rFonts w:hint="eastAsia" w:ascii="微软雅黑" w:hAnsi="微软雅黑" w:eastAsia="微软雅黑" w:cs="微软雅黑"/>
          <w:spacing w:val="4"/>
          <w:sz w:val="21"/>
          <w:szCs w:val="21"/>
        </w:rPr>
        <w:t>行</w:t>
      </w:r>
      <w:r>
        <w:rPr>
          <w:rFonts w:hint="eastAsia" w:ascii="微软雅黑" w:hAnsi="微软雅黑" w:eastAsia="微软雅黑" w:cs="微软雅黑"/>
          <w:spacing w:val="7"/>
          <w:sz w:val="21"/>
          <w:szCs w:val="21"/>
        </w:rPr>
        <w:t>合同</w:t>
      </w:r>
      <w:r>
        <w:rPr>
          <w:rFonts w:hint="eastAsia" w:ascii="微软雅黑" w:hAnsi="微软雅黑" w:eastAsia="微软雅黑" w:cs="微软雅黑"/>
          <w:spacing w:val="4"/>
          <w:sz w:val="21"/>
          <w:szCs w:val="21"/>
        </w:rPr>
        <w:t>而</w:t>
      </w:r>
      <w:r>
        <w:rPr>
          <w:rFonts w:hint="eastAsia" w:ascii="微软雅黑" w:hAnsi="微软雅黑" w:eastAsia="微软雅黑" w:cs="微软雅黑"/>
          <w:spacing w:val="7"/>
          <w:sz w:val="21"/>
          <w:szCs w:val="21"/>
        </w:rPr>
        <w:t>以合</w:t>
      </w:r>
      <w:r>
        <w:rPr>
          <w:rFonts w:hint="eastAsia" w:ascii="微软雅黑" w:hAnsi="微软雅黑" w:eastAsia="微软雅黑" w:cs="微软雅黑"/>
          <w:spacing w:val="4"/>
          <w:sz w:val="21"/>
          <w:szCs w:val="21"/>
        </w:rPr>
        <w:t>同</w:t>
      </w:r>
      <w:r>
        <w:rPr>
          <w:rFonts w:hint="eastAsia" w:ascii="微软雅黑" w:hAnsi="微软雅黑" w:eastAsia="微软雅黑" w:cs="微软雅黑"/>
          <w:spacing w:val="7"/>
          <w:sz w:val="21"/>
          <w:szCs w:val="21"/>
        </w:rPr>
        <w:t>第</w:t>
      </w:r>
      <w:r>
        <w:rPr>
          <w:rFonts w:hint="eastAsia" w:ascii="微软雅黑" w:hAnsi="微软雅黑" w:eastAsia="微软雅黑" w:cs="微软雅黑"/>
          <w:spacing w:val="4"/>
          <w:sz w:val="21"/>
          <w:szCs w:val="21"/>
        </w:rPr>
        <w:t>一</w:t>
      </w:r>
      <w:r>
        <w:rPr>
          <w:rFonts w:hint="eastAsia" w:ascii="微软雅黑" w:hAnsi="微软雅黑" w:eastAsia="微软雅黑" w:cs="微软雅黑"/>
          <w:spacing w:val="7"/>
          <w:sz w:val="21"/>
          <w:szCs w:val="21"/>
        </w:rPr>
        <w:t>部分</w:t>
      </w:r>
      <w:r>
        <w:rPr>
          <w:rFonts w:hint="eastAsia" w:ascii="微软雅黑" w:hAnsi="微软雅黑" w:eastAsia="微软雅黑" w:cs="微软雅黑"/>
          <w:spacing w:val="4"/>
          <w:sz w:val="21"/>
          <w:szCs w:val="21"/>
        </w:rPr>
        <w:t>尾</w:t>
      </w:r>
      <w:r>
        <w:rPr>
          <w:rFonts w:hint="eastAsia" w:ascii="微软雅黑" w:hAnsi="微软雅黑" w:eastAsia="微软雅黑" w:cs="微软雅黑"/>
          <w:spacing w:val="7"/>
          <w:sz w:val="21"/>
          <w:szCs w:val="21"/>
        </w:rPr>
        <w:t>部所</w:t>
      </w:r>
      <w:r>
        <w:rPr>
          <w:rFonts w:hint="eastAsia" w:ascii="微软雅黑" w:hAnsi="微软雅黑" w:eastAsia="微软雅黑" w:cs="微软雅黑"/>
          <w:spacing w:val="4"/>
          <w:sz w:val="21"/>
          <w:szCs w:val="21"/>
        </w:rPr>
        <w:t>列</w:t>
      </w:r>
      <w:r>
        <w:rPr>
          <w:rFonts w:hint="eastAsia" w:ascii="微软雅黑" w:hAnsi="微软雅黑" w:eastAsia="微软雅黑" w:cs="微软雅黑"/>
          <w:spacing w:val="7"/>
          <w:sz w:val="21"/>
          <w:szCs w:val="21"/>
        </w:rPr>
        <w:t>明</w:t>
      </w:r>
      <w:r>
        <w:rPr>
          <w:rFonts w:hint="eastAsia" w:ascii="微软雅黑" w:hAnsi="微软雅黑" w:eastAsia="微软雅黑" w:cs="微软雅黑"/>
          <w:spacing w:val="4"/>
          <w:sz w:val="21"/>
          <w:szCs w:val="21"/>
        </w:rPr>
        <w:t>的</w:t>
      </w:r>
      <w:r>
        <w:rPr>
          <w:rFonts w:hint="eastAsia" w:ascii="微软雅黑" w:hAnsi="微软雅黑" w:eastAsia="微软雅黑" w:cs="微软雅黑"/>
          <w:spacing w:val="4"/>
          <w:sz w:val="21"/>
          <w:szCs w:val="21"/>
          <w:u w:val="single"/>
        </w:rPr>
        <w:t xml:space="preserve"> </w:t>
      </w:r>
      <w:r>
        <w:rPr>
          <w:rFonts w:hint="eastAsia" w:ascii="微软雅黑" w:hAnsi="微软雅黑" w:eastAsia="微软雅黑" w:cs="微软雅黑"/>
          <w:spacing w:val="4"/>
          <w:sz w:val="21"/>
          <w:szCs w:val="21"/>
          <w:u w:val="single"/>
        </w:rPr>
        <w:tab/>
      </w:r>
      <w:r>
        <w:rPr>
          <w:rFonts w:hint="eastAsia" w:ascii="微软雅黑" w:hAnsi="微软雅黑" w:eastAsia="微软雅黑" w:cs="微软雅黑"/>
          <w:spacing w:val="7"/>
          <w:sz w:val="21"/>
          <w:szCs w:val="21"/>
        </w:rPr>
        <w:t>发</w:t>
      </w:r>
      <w:r>
        <w:rPr>
          <w:rFonts w:hint="eastAsia" w:ascii="微软雅黑" w:hAnsi="微软雅黑" w:eastAsia="微软雅黑" w:cs="微软雅黑"/>
          <w:spacing w:val="4"/>
          <w:sz w:val="21"/>
          <w:szCs w:val="21"/>
        </w:rPr>
        <w:t>出</w:t>
      </w:r>
      <w:r>
        <w:rPr>
          <w:rFonts w:hint="eastAsia" w:ascii="微软雅黑" w:hAnsi="微软雅黑" w:eastAsia="微软雅黑" w:cs="微软雅黑"/>
          <w:spacing w:val="7"/>
          <w:sz w:val="21"/>
          <w:szCs w:val="21"/>
        </w:rPr>
        <w:t>的所</w:t>
      </w:r>
      <w:r>
        <w:rPr>
          <w:rFonts w:hint="eastAsia" w:ascii="微软雅黑" w:hAnsi="微软雅黑" w:eastAsia="微软雅黑" w:cs="微软雅黑"/>
          <w:sz w:val="21"/>
          <w:szCs w:val="21"/>
        </w:rPr>
        <w:t>有</w:t>
      </w:r>
      <w:r>
        <w:rPr>
          <w:rFonts w:hint="eastAsia" w:ascii="微软雅黑" w:hAnsi="微软雅黑" w:eastAsia="微软雅黑" w:cs="微软雅黑"/>
          <w:w w:val="95"/>
          <w:sz w:val="21"/>
          <w:szCs w:val="21"/>
        </w:rPr>
        <w:t>通知</w:t>
      </w:r>
      <w:r>
        <w:rPr>
          <w:rFonts w:hint="eastAsia" w:ascii="微软雅黑" w:hAnsi="微软雅黑" w:eastAsia="微软雅黑" w:cs="微软雅黑"/>
          <w:spacing w:val="-3"/>
          <w:w w:val="95"/>
          <w:sz w:val="21"/>
          <w:szCs w:val="21"/>
        </w:rPr>
        <w:t>、</w:t>
      </w:r>
      <w:r>
        <w:rPr>
          <w:rFonts w:hint="eastAsia" w:ascii="微软雅黑" w:hAnsi="微软雅黑" w:eastAsia="微软雅黑" w:cs="微软雅黑"/>
          <w:w w:val="95"/>
          <w:sz w:val="21"/>
          <w:szCs w:val="21"/>
        </w:rPr>
        <w:t>文件</w:t>
      </w:r>
      <w:r>
        <w:rPr>
          <w:rFonts w:hint="eastAsia" w:ascii="微软雅黑" w:hAnsi="微软雅黑" w:eastAsia="微软雅黑" w:cs="微软雅黑"/>
          <w:spacing w:val="-5"/>
          <w:w w:val="95"/>
          <w:sz w:val="21"/>
          <w:szCs w:val="21"/>
        </w:rPr>
        <w:t>、</w:t>
      </w:r>
      <w:r>
        <w:rPr>
          <w:rFonts w:hint="eastAsia" w:ascii="微软雅黑" w:hAnsi="微软雅黑" w:eastAsia="微软雅黑" w:cs="微软雅黑"/>
          <w:w w:val="95"/>
          <w:sz w:val="21"/>
          <w:szCs w:val="21"/>
        </w:rPr>
        <w:t>材料</w:t>
      </w:r>
      <w:r>
        <w:rPr>
          <w:rFonts w:hint="eastAsia" w:ascii="微软雅黑" w:hAnsi="微软雅黑" w:eastAsia="微软雅黑" w:cs="微软雅黑"/>
          <w:spacing w:val="-3"/>
          <w:w w:val="95"/>
          <w:sz w:val="21"/>
          <w:szCs w:val="21"/>
        </w:rPr>
        <w:t>，</w:t>
      </w:r>
      <w:r>
        <w:rPr>
          <w:rFonts w:hint="eastAsia" w:ascii="微软雅黑" w:hAnsi="微软雅黑" w:eastAsia="微软雅黑" w:cs="微软雅黑"/>
          <w:w w:val="95"/>
          <w:sz w:val="21"/>
          <w:szCs w:val="21"/>
        </w:rPr>
        <w:t>均视为已向对方当事人送达</w:t>
      </w:r>
      <w:r>
        <w:rPr>
          <w:rFonts w:hint="eastAsia" w:ascii="微软雅黑" w:hAnsi="微软雅黑" w:eastAsia="微软雅黑" w:cs="微软雅黑"/>
          <w:spacing w:val="-3"/>
          <w:w w:val="95"/>
          <w:sz w:val="21"/>
          <w:szCs w:val="21"/>
        </w:rPr>
        <w:t>；</w:t>
      </w:r>
      <w:r>
        <w:rPr>
          <w:rFonts w:hint="eastAsia" w:ascii="微软雅黑" w:hAnsi="微软雅黑" w:eastAsia="微软雅黑" w:cs="微软雅黑"/>
          <w:w w:val="95"/>
          <w:sz w:val="21"/>
          <w:szCs w:val="21"/>
        </w:rPr>
        <w:t>任何一方变更上述送达方式或者地址的，</w:t>
      </w:r>
      <w:r>
        <w:rPr>
          <w:rFonts w:hint="eastAsia" w:ascii="微软雅黑" w:hAnsi="微软雅黑" w:eastAsia="微软雅黑" w:cs="微软雅黑"/>
          <w:sz w:val="21"/>
          <w:szCs w:val="21"/>
        </w:rPr>
        <w:t>应于</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rPr>
        <w:tab/>
      </w:r>
      <w:r>
        <w:rPr>
          <w:rFonts w:hint="eastAsia" w:ascii="微软雅黑" w:hAnsi="微软雅黑" w:eastAsia="微软雅黑" w:cs="微软雅黑"/>
          <w:sz w:val="21"/>
          <w:szCs w:val="21"/>
        </w:rPr>
        <w:t>个工作日内书面通知对方当事人</w:t>
      </w:r>
      <w:r>
        <w:rPr>
          <w:rFonts w:hint="eastAsia" w:ascii="微软雅黑" w:hAnsi="微软雅黑" w:eastAsia="微软雅黑" w:cs="微软雅黑"/>
          <w:spacing w:val="-8"/>
          <w:sz w:val="21"/>
          <w:szCs w:val="21"/>
        </w:rPr>
        <w:t>，</w:t>
      </w:r>
      <w:r>
        <w:rPr>
          <w:rFonts w:hint="eastAsia" w:ascii="微软雅黑" w:hAnsi="微软雅黑" w:eastAsia="微软雅黑" w:cs="微软雅黑"/>
          <w:sz w:val="21"/>
          <w:szCs w:val="21"/>
        </w:rPr>
        <w:t>在对方当事人收到有关变更通知之前</w:t>
      </w:r>
      <w:r>
        <w:rPr>
          <w:rFonts w:hint="eastAsia" w:ascii="微软雅黑" w:hAnsi="微软雅黑" w:eastAsia="微软雅黑" w:cs="微软雅黑"/>
          <w:spacing w:val="-8"/>
          <w:sz w:val="21"/>
          <w:szCs w:val="21"/>
        </w:rPr>
        <w:t>，</w:t>
      </w:r>
      <w:r>
        <w:rPr>
          <w:rFonts w:hint="eastAsia" w:ascii="微软雅黑" w:hAnsi="微软雅黑" w:eastAsia="微软雅黑" w:cs="微软雅黑"/>
          <w:sz w:val="21"/>
          <w:szCs w:val="21"/>
        </w:rPr>
        <w:t>变更前的约定送达方式或者地址仍视为有效。</w:t>
      </w:r>
    </w:p>
    <w:p>
      <w:pPr>
        <w:pStyle w:val="84"/>
        <w:numPr>
          <w:ilvl w:val="2"/>
          <w:numId w:val="24"/>
        </w:numPr>
        <w:tabs>
          <w:tab w:val="left" w:pos="2156"/>
        </w:tabs>
        <w:spacing w:before="0" w:after="0" w:line="290" w:lineRule="auto"/>
        <w:ind w:left="1054" w:right="1812"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以当面交付方式送达的，交付之时视为送达；以电子邮件方式送达的，发出电子邮件之时视为送达；以传真方式送达的，发出传真之时视为送达；以邮寄方式送达的， 邮件挂号寄出或者交邮之日之次日视为送达。</w:t>
      </w:r>
    </w:p>
    <w:p>
      <w:pPr>
        <w:pStyle w:val="9"/>
        <w:numPr>
          <w:ilvl w:val="1"/>
          <w:numId w:val="24"/>
        </w:numPr>
        <w:tabs>
          <w:tab w:val="left" w:pos="2003"/>
        </w:tabs>
        <w:spacing w:before="0" w:after="0" w:line="240" w:lineRule="auto"/>
        <w:ind w:left="2002" w:right="0" w:hanging="528"/>
        <w:jc w:val="left"/>
        <w:rPr>
          <w:rFonts w:hint="eastAsia" w:ascii="微软雅黑" w:hAnsi="微软雅黑" w:eastAsia="微软雅黑" w:cs="微软雅黑"/>
          <w:sz w:val="21"/>
          <w:szCs w:val="21"/>
        </w:rPr>
      </w:pPr>
      <w:bookmarkStart w:id="597" w:name="2.19 计量单位"/>
      <w:bookmarkEnd w:id="597"/>
      <w:bookmarkStart w:id="598" w:name="2.19 计量单位"/>
      <w:bookmarkEnd w:id="598"/>
      <w:r>
        <w:rPr>
          <w:rFonts w:hint="eastAsia" w:ascii="微软雅黑" w:hAnsi="微软雅黑" w:eastAsia="微软雅黑" w:cs="微软雅黑"/>
          <w:sz w:val="21"/>
          <w:szCs w:val="21"/>
        </w:rPr>
        <w:t>计量单位</w:t>
      </w:r>
    </w:p>
    <w:p>
      <w:pPr>
        <w:pStyle w:val="3"/>
        <w:spacing w:before="57"/>
        <w:ind w:left="1474"/>
        <w:rPr>
          <w:rFonts w:hint="eastAsia" w:ascii="微软雅黑" w:hAnsi="微软雅黑" w:eastAsia="微软雅黑" w:cs="微软雅黑"/>
          <w:sz w:val="21"/>
          <w:szCs w:val="21"/>
        </w:rPr>
      </w:pPr>
      <w:r>
        <w:rPr>
          <w:rFonts w:hint="eastAsia" w:ascii="微软雅黑" w:hAnsi="微软雅黑" w:eastAsia="微软雅黑" w:cs="微软雅黑"/>
          <w:sz w:val="21"/>
          <w:szCs w:val="21"/>
        </w:rPr>
        <w:t>除技术规范中另有规定外,合同的计量单位均使用国家法定计量单位。</w:t>
      </w:r>
    </w:p>
    <w:p>
      <w:pPr>
        <w:pStyle w:val="9"/>
        <w:numPr>
          <w:ilvl w:val="1"/>
          <w:numId w:val="24"/>
        </w:numPr>
        <w:tabs>
          <w:tab w:val="left" w:pos="2003"/>
        </w:tabs>
        <w:spacing w:before="57" w:after="0" w:line="240" w:lineRule="auto"/>
        <w:ind w:left="2002" w:right="0" w:hanging="528"/>
        <w:jc w:val="left"/>
        <w:rPr>
          <w:rFonts w:hint="eastAsia" w:ascii="微软雅黑" w:hAnsi="微软雅黑" w:eastAsia="微软雅黑" w:cs="微软雅黑"/>
          <w:sz w:val="21"/>
          <w:szCs w:val="21"/>
        </w:rPr>
      </w:pPr>
      <w:bookmarkStart w:id="599" w:name="2.20 合同使用的文字和适用的法律"/>
      <w:bookmarkEnd w:id="599"/>
      <w:bookmarkStart w:id="600" w:name="2.20 合同使用的文字和适用的法律"/>
      <w:bookmarkEnd w:id="600"/>
      <w:r>
        <w:rPr>
          <w:rFonts w:hint="eastAsia" w:ascii="微软雅黑" w:hAnsi="微软雅黑" w:eastAsia="微软雅黑" w:cs="微软雅黑"/>
          <w:sz w:val="21"/>
          <w:szCs w:val="21"/>
        </w:rPr>
        <w:t>合同使用的文字和适用的法律</w:t>
      </w:r>
    </w:p>
    <w:p>
      <w:pPr>
        <w:pStyle w:val="84"/>
        <w:numPr>
          <w:ilvl w:val="2"/>
          <w:numId w:val="24"/>
        </w:numPr>
        <w:tabs>
          <w:tab w:val="left" w:pos="2209"/>
        </w:tabs>
        <w:spacing w:before="58" w:after="0" w:line="240" w:lineRule="auto"/>
        <w:ind w:left="2208" w:right="0" w:hanging="734"/>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合同使用汉语书就、变更和解释；</w:t>
      </w:r>
    </w:p>
    <w:p>
      <w:pPr>
        <w:pStyle w:val="84"/>
        <w:numPr>
          <w:ilvl w:val="2"/>
          <w:numId w:val="24"/>
        </w:numPr>
        <w:tabs>
          <w:tab w:val="left" w:pos="2209"/>
        </w:tabs>
        <w:spacing w:before="57" w:after="0" w:line="240" w:lineRule="auto"/>
        <w:ind w:left="2208" w:right="0" w:hanging="734"/>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合同适用中华人民共和国法律。</w:t>
      </w:r>
    </w:p>
    <w:p>
      <w:pPr>
        <w:pStyle w:val="9"/>
        <w:numPr>
          <w:ilvl w:val="1"/>
          <w:numId w:val="24"/>
        </w:numPr>
        <w:tabs>
          <w:tab w:val="left" w:pos="2003"/>
        </w:tabs>
        <w:spacing w:before="57" w:after="0" w:line="240" w:lineRule="auto"/>
        <w:ind w:left="2002" w:right="0" w:hanging="528"/>
        <w:jc w:val="left"/>
        <w:rPr>
          <w:rFonts w:hint="eastAsia" w:ascii="微软雅黑" w:hAnsi="微软雅黑" w:eastAsia="微软雅黑" w:cs="微软雅黑"/>
          <w:sz w:val="21"/>
          <w:szCs w:val="21"/>
        </w:rPr>
      </w:pPr>
      <w:bookmarkStart w:id="601" w:name="2.21 履约保证金"/>
      <w:bookmarkEnd w:id="601"/>
      <w:bookmarkStart w:id="602" w:name="2.21 履约保证金"/>
      <w:bookmarkEnd w:id="602"/>
      <w:r>
        <w:rPr>
          <w:rFonts w:hint="eastAsia" w:ascii="微软雅黑" w:hAnsi="微软雅黑" w:eastAsia="微软雅黑" w:cs="微软雅黑"/>
          <w:sz w:val="21"/>
          <w:szCs w:val="21"/>
        </w:rPr>
        <w:t>履约保证金</w:t>
      </w:r>
    </w:p>
    <w:p>
      <w:pPr>
        <w:pStyle w:val="84"/>
        <w:numPr>
          <w:ilvl w:val="2"/>
          <w:numId w:val="24"/>
        </w:numPr>
        <w:tabs>
          <w:tab w:val="left" w:pos="1788"/>
          <w:tab w:val="left" w:pos="2214"/>
          <w:tab w:val="left" w:pos="8261"/>
        </w:tabs>
        <w:spacing w:before="58" w:after="0" w:line="292" w:lineRule="auto"/>
        <w:ind w:left="1054" w:right="1706" w:firstLine="42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采购文件要求乙方提交履约保证金的，乙方应按合同专用条款约定的方式，以  支票、汇票、本票或者金融机构、担保机构出具的保函等非现金形式，提交不超过合同价10%的履约保证金；履约保证金在合同专用条款约定期间内或者货物质量保证期内不予退还或者  应完全有效，前述约定期间届满或者货物质量保证期届满之日起 个工作日内，甲方应将履约保证金退还乙方；如果乙方不履行合同，履约保证金不予退还；如果乙方未能按合同约定全面履行义务，那么甲方有权从履约保证金中取得补偿或赔偿，同时不影响甲方要求乙方承担合同约定的超过履约保证金的违约责任的权利。</w:t>
      </w:r>
      <w:bookmarkStart w:id="603" w:name="2.22 合同份数"/>
      <w:bookmarkEnd w:id="603"/>
    </w:p>
    <w:p>
      <w:pPr>
        <w:pStyle w:val="11"/>
        <w:spacing w:line="240" w:lineRule="atLeast"/>
        <w:ind w:firstLine="840" w:firstLineChars="400"/>
        <w:rPr>
          <w:rFonts w:hint="eastAsia" w:ascii="微软雅黑" w:hAnsi="微软雅黑" w:eastAsia="微软雅黑" w:cs="微软雅黑"/>
          <w:sz w:val="21"/>
          <w:szCs w:val="21"/>
        </w:rPr>
      </w:pPr>
      <w:r>
        <w:rPr>
          <w:rFonts w:hint="eastAsia" w:ascii="微软雅黑" w:hAnsi="微软雅黑" w:eastAsia="微软雅黑" w:cs="微软雅黑"/>
          <w:sz w:val="21"/>
          <w:szCs w:val="21"/>
        </w:rPr>
        <w:t>2.22 合同份数</w:t>
      </w:r>
    </w:p>
    <w:p>
      <w:pPr>
        <w:spacing w:before="48"/>
        <w:ind w:right="0" w:firstLine="824" w:firstLineChars="400"/>
        <w:jc w:val="left"/>
        <w:rPr>
          <w:rFonts w:hint="eastAsia" w:ascii="微软雅黑" w:hAnsi="微软雅黑" w:eastAsia="微软雅黑" w:cs="微软雅黑"/>
          <w:sz w:val="21"/>
          <w:szCs w:val="21"/>
        </w:rPr>
      </w:pPr>
      <w:r>
        <w:rPr>
          <w:rFonts w:hint="eastAsia" w:ascii="微软雅黑" w:hAnsi="微软雅黑" w:eastAsia="微软雅黑" w:cs="微软雅黑"/>
          <w:spacing w:val="-2"/>
          <w:sz w:val="21"/>
          <w:szCs w:val="21"/>
        </w:rPr>
        <w:t>合同份数按</w:t>
      </w:r>
      <w:r>
        <w:rPr>
          <w:rFonts w:hint="eastAsia" w:ascii="微软雅黑" w:hAnsi="微软雅黑" w:eastAsia="微软雅黑" w:cs="微软雅黑"/>
          <w:b/>
          <w:bCs/>
          <w:sz w:val="21"/>
          <w:szCs w:val="21"/>
          <w:u w:val="single"/>
        </w:rPr>
        <w:t>合同专用条款</w:t>
      </w:r>
      <w:r>
        <w:rPr>
          <w:rFonts w:hint="eastAsia" w:ascii="微软雅黑" w:hAnsi="微软雅黑" w:eastAsia="微软雅黑" w:cs="微软雅黑"/>
          <w:sz w:val="21"/>
          <w:szCs w:val="21"/>
        </w:rPr>
        <w:t>规定，每份均具有同等法律效力。</w:t>
      </w:r>
    </w:p>
    <w:p>
      <w:pPr>
        <w:pStyle w:val="2"/>
        <w:rPr>
          <w:rFonts w:hint="eastAsia" w:ascii="微软雅黑" w:hAnsi="微软雅黑" w:eastAsia="微软雅黑" w:cs="微软雅黑"/>
          <w:sz w:val="21"/>
          <w:szCs w:val="21"/>
        </w:rPr>
      </w:pPr>
    </w:p>
    <w:p>
      <w:pPr>
        <w:pStyle w:val="2"/>
        <w:rPr>
          <w:rFonts w:hint="eastAsia" w:ascii="微软雅黑" w:hAnsi="微软雅黑" w:eastAsia="微软雅黑" w:cs="微软雅黑"/>
          <w:sz w:val="21"/>
          <w:szCs w:val="21"/>
        </w:rPr>
      </w:pPr>
    </w:p>
    <w:p>
      <w:pPr>
        <w:pStyle w:val="3"/>
        <w:spacing w:before="10"/>
        <w:rPr>
          <w:rFonts w:hint="eastAsia" w:ascii="微软雅黑" w:hAnsi="微软雅黑" w:eastAsia="微软雅黑" w:cs="微软雅黑"/>
          <w:sz w:val="21"/>
          <w:szCs w:val="21"/>
        </w:rPr>
      </w:pPr>
    </w:p>
    <w:p>
      <w:pPr>
        <w:pStyle w:val="9"/>
        <w:tabs>
          <w:tab w:val="left" w:pos="3974"/>
          <w:tab w:val="left" w:pos="5091"/>
        </w:tabs>
        <w:ind w:left="0" w:leftChars="0" w:firstLine="2731" w:firstLineChars="1300"/>
        <w:rPr>
          <w:rFonts w:hint="eastAsia" w:ascii="微软雅黑" w:hAnsi="微软雅黑" w:eastAsia="微软雅黑" w:cs="微软雅黑"/>
          <w:sz w:val="21"/>
          <w:szCs w:val="21"/>
        </w:rPr>
      </w:pPr>
      <w:bookmarkStart w:id="604" w:name="_bookmark44"/>
      <w:bookmarkEnd w:id="604"/>
      <w:r>
        <w:rPr>
          <w:rFonts w:hint="eastAsia" w:ascii="微软雅黑" w:hAnsi="微软雅黑" w:eastAsia="微软雅黑" w:cs="微软雅黑"/>
          <w:sz w:val="21"/>
          <w:szCs w:val="21"/>
        </w:rPr>
        <w:t>第三部分</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合同专用条款</w:t>
      </w:r>
    </w:p>
    <w:p>
      <w:pPr>
        <w:rPr>
          <w:rFonts w:hint="eastAsia"/>
          <w:lang w:val="en-US" w:eastAsia="zh-CN"/>
        </w:rPr>
      </w:pPr>
      <w:r>
        <w:rPr>
          <w:rFonts w:hint="eastAsia"/>
          <w:lang w:val="en-US" w:eastAsia="zh-CN"/>
        </w:rPr>
        <w:t xml:space="preserve"> </w:t>
      </w:r>
    </w:p>
    <w:p>
      <w:pPr>
        <w:pStyle w:val="2"/>
        <w:rPr>
          <w:rFonts w:hint="eastAsia"/>
          <w:lang w:val="en-US" w:eastAsia="zh-CN"/>
        </w:rPr>
      </w:pPr>
    </w:p>
    <w:p>
      <w:pPr>
        <w:pStyle w:val="11"/>
        <w:spacing w:line="240" w:lineRule="atLeast"/>
        <w:ind w:left="630" w:leftChars="300" w:right="1688" w:rightChars="804" w:firstLine="0" w:firstLineChars="0"/>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pPr w:leftFromText="180" w:rightFromText="180" w:vertAnchor="text" w:horzAnchor="page" w:tblpX="1640" w:tblpY="25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49"/>
              <w:rPr>
                <w:rFonts w:hint="eastAsia" w:ascii="微软雅黑" w:hAnsi="微软雅黑" w:eastAsia="微软雅黑" w:cs="微软雅黑"/>
                <w:b/>
                <w:sz w:val="21"/>
                <w:szCs w:val="21"/>
              </w:rPr>
            </w:pPr>
            <w:bookmarkStart w:id="605" w:name="1.7 合同争议的解决"/>
            <w:bookmarkEnd w:id="605"/>
            <w:bookmarkStart w:id="606" w:name="1.7 合同争议的解决"/>
            <w:bookmarkEnd w:id="606"/>
            <w:r>
              <w:rPr>
                <w:rFonts w:hint="eastAsia" w:ascii="微软雅黑" w:hAnsi="微软雅黑" w:eastAsia="微软雅黑" w:cs="微软雅黑"/>
                <w:b/>
                <w:sz w:val="21"/>
                <w:szCs w:val="21"/>
              </w:rPr>
              <w:t>条款号</w:t>
            </w:r>
          </w:p>
        </w:tc>
        <w:tc>
          <w:tcPr>
            <w:tcW w:w="7633" w:type="dxa"/>
          </w:tcPr>
          <w:p>
            <w:pPr>
              <w:pStyle w:val="49"/>
              <w:ind w:right="3361" w:firstLine="3152" w:firstLineChars="1500"/>
              <w:jc w:val="both"/>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49"/>
              <w:rPr>
                <w:rFonts w:hint="eastAsia" w:ascii="微软雅黑" w:hAnsi="微软雅黑" w:eastAsia="微软雅黑" w:cs="微软雅黑"/>
                <w:sz w:val="21"/>
                <w:szCs w:val="21"/>
              </w:rPr>
            </w:pPr>
          </w:p>
        </w:tc>
        <w:tc>
          <w:tcPr>
            <w:tcW w:w="7633" w:type="dxa"/>
          </w:tcPr>
          <w:p>
            <w:pPr>
              <w:pStyle w:val="49"/>
              <w:rPr>
                <w:rFonts w:hint="eastAsia" w:ascii="微软雅黑" w:hAnsi="微软雅黑" w:eastAsia="微软雅黑" w:cs="微软雅黑"/>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49"/>
              <w:rPr>
                <w:rFonts w:hint="eastAsia" w:ascii="微软雅黑" w:hAnsi="微软雅黑" w:eastAsia="微软雅黑" w:cs="微软雅黑"/>
                <w:sz w:val="21"/>
                <w:szCs w:val="21"/>
              </w:rPr>
            </w:pPr>
          </w:p>
        </w:tc>
        <w:tc>
          <w:tcPr>
            <w:tcW w:w="7633" w:type="dxa"/>
          </w:tcPr>
          <w:p>
            <w:pPr>
              <w:pStyle w:val="49"/>
              <w:rPr>
                <w:rFonts w:hint="eastAsia" w:ascii="微软雅黑" w:hAnsi="微软雅黑" w:eastAsia="微软雅黑" w:cs="微软雅黑"/>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49"/>
              <w:rPr>
                <w:rFonts w:hint="eastAsia" w:ascii="微软雅黑" w:hAnsi="微软雅黑" w:eastAsia="微软雅黑" w:cs="微软雅黑"/>
                <w:sz w:val="21"/>
                <w:szCs w:val="21"/>
              </w:rPr>
            </w:pPr>
          </w:p>
        </w:tc>
        <w:tc>
          <w:tcPr>
            <w:tcW w:w="7633" w:type="dxa"/>
          </w:tcPr>
          <w:p>
            <w:pPr>
              <w:pStyle w:val="49"/>
              <w:rPr>
                <w:rFonts w:hint="eastAsia" w:ascii="微软雅黑" w:hAnsi="微软雅黑" w:eastAsia="微软雅黑" w:cs="微软雅黑"/>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49"/>
              <w:rPr>
                <w:rFonts w:hint="eastAsia" w:ascii="微软雅黑" w:hAnsi="微软雅黑" w:eastAsia="微软雅黑" w:cs="微软雅黑"/>
                <w:sz w:val="21"/>
                <w:szCs w:val="21"/>
              </w:rPr>
            </w:pPr>
          </w:p>
        </w:tc>
        <w:tc>
          <w:tcPr>
            <w:tcW w:w="7633" w:type="dxa"/>
          </w:tcPr>
          <w:p>
            <w:pPr>
              <w:pStyle w:val="49"/>
              <w:rPr>
                <w:rFonts w:hint="eastAsia" w:ascii="微软雅黑" w:hAnsi="微软雅黑" w:eastAsia="微软雅黑" w:cs="微软雅黑"/>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49"/>
              <w:rPr>
                <w:rFonts w:hint="eastAsia" w:ascii="微软雅黑" w:hAnsi="微软雅黑" w:eastAsia="微软雅黑" w:cs="微软雅黑"/>
                <w:sz w:val="21"/>
                <w:szCs w:val="21"/>
              </w:rPr>
            </w:pPr>
          </w:p>
        </w:tc>
        <w:tc>
          <w:tcPr>
            <w:tcW w:w="7633" w:type="dxa"/>
          </w:tcPr>
          <w:p>
            <w:pPr>
              <w:pStyle w:val="49"/>
              <w:rPr>
                <w:rFonts w:hint="eastAsia" w:ascii="微软雅黑" w:hAnsi="微软雅黑" w:eastAsia="微软雅黑" w:cs="微软雅黑"/>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49"/>
              <w:rPr>
                <w:rFonts w:hint="eastAsia" w:ascii="微软雅黑" w:hAnsi="微软雅黑" w:eastAsia="微软雅黑" w:cs="微软雅黑"/>
                <w:sz w:val="21"/>
                <w:szCs w:val="21"/>
              </w:rPr>
            </w:pPr>
          </w:p>
        </w:tc>
        <w:tc>
          <w:tcPr>
            <w:tcW w:w="7633" w:type="dxa"/>
          </w:tcPr>
          <w:p>
            <w:pPr>
              <w:pStyle w:val="49"/>
              <w:rPr>
                <w:rFonts w:hint="eastAsia" w:ascii="微软雅黑" w:hAnsi="微软雅黑" w:eastAsia="微软雅黑" w:cs="微软雅黑"/>
                <w:sz w:val="21"/>
                <w:szCs w:val="21"/>
              </w:rPr>
            </w:pPr>
          </w:p>
        </w:tc>
      </w:tr>
    </w:tbl>
    <w:p>
      <w:pPr>
        <w:spacing w:after="0" w:line="240" w:lineRule="auto"/>
        <w:jc w:val="left"/>
        <w:rPr>
          <w:rFonts w:hint="eastAsia" w:ascii="微软雅黑" w:hAnsi="微软雅黑" w:eastAsia="微软雅黑" w:cs="微软雅黑"/>
          <w:sz w:val="21"/>
        </w:rPr>
        <w:sectPr>
          <w:pgSz w:w="11910" w:h="16840"/>
          <w:pgMar w:top="1580" w:right="1" w:bottom="280" w:left="760" w:header="852" w:footer="397" w:gutter="0"/>
          <w:pgNumType w:fmt="decimal"/>
          <w:cols w:space="720" w:num="1"/>
        </w:sectPr>
      </w:pPr>
    </w:p>
    <w:p>
      <w:pPr>
        <w:pStyle w:val="12"/>
        <w:rPr>
          <w:rFonts w:hint="eastAsia" w:ascii="微软雅黑" w:hAnsi="微软雅黑" w:eastAsia="微软雅黑" w:cs="微软雅黑"/>
        </w:rPr>
      </w:pPr>
    </w:p>
    <w:sectPr>
      <w:headerReference r:id="rId8" w:type="default"/>
      <w:footerReference r:id="rId9"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4500"/>
        <w:tab w:val="clear" w:pos="4153"/>
      </w:tabs>
      <w:ind w:right="360"/>
      <w:jc w:val="both"/>
      <w:rPr>
        <w:color w:val="FF0000"/>
      </w:rPr>
    </w:pPr>
    <w:r>
      <w:rPr>
        <w:rFonts w:hint="eastAsia"/>
        <w:color w:val="FF0000"/>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both"/>
      <w:rPr>
        <w:color w:val="FF000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end"/>
    </w: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left"/>
      <w:rPr>
        <w:rFonts w:ascii="Cambria" w:hAnsi="Cambria"/>
        <w:sz w:val="32"/>
        <w:szCs w:val="32"/>
      </w:rPr>
    </w:pPr>
    <w:r>
      <w:rPr>
        <w:rFonts w:ascii="Cambria" w:hAnsi="Cambria"/>
        <w:vanish/>
        <w:sz w:val="32"/>
        <w:szCs w:val="32"/>
        <w:highlight w:val="yellow"/>
      </w:rPr>
      <w:t>&lt;</w:t>
    </w:r>
  </w:p>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
      <w:numFmt w:val="decimal"/>
      <w:lvlText w:val="%1"/>
      <w:lvlJc w:val="left"/>
      <w:pPr>
        <w:ind w:left="1896" w:hanging="423"/>
        <w:jc w:val="left"/>
      </w:pPr>
      <w:rPr>
        <w:rFonts w:hint="default"/>
      </w:rPr>
    </w:lvl>
    <w:lvl w:ilvl="1" w:tentative="0">
      <w:start w:val="3"/>
      <w:numFmt w:val="decimal"/>
      <w:lvlText w:val="%1.%2"/>
      <w:lvlJc w:val="left"/>
      <w:pPr>
        <w:ind w:left="1896" w:hanging="423"/>
        <w:jc w:val="left"/>
      </w:pPr>
      <w:rPr>
        <w:rFonts w:hint="default" w:ascii="宋体" w:hAnsi="宋体" w:eastAsia="宋体" w:cs="宋体"/>
        <w:b/>
        <w:bCs/>
        <w:spacing w:val="0"/>
        <w:w w:val="98"/>
        <w:sz w:val="21"/>
        <w:szCs w:val="21"/>
      </w:rPr>
    </w:lvl>
    <w:lvl w:ilvl="2" w:tentative="0">
      <w:start w:val="1"/>
      <w:numFmt w:val="decimal"/>
      <w:lvlText w:val="%1.%2.%3"/>
      <w:lvlJc w:val="left"/>
      <w:pPr>
        <w:ind w:left="2103" w:hanging="629"/>
        <w:jc w:val="left"/>
      </w:pPr>
      <w:rPr>
        <w:rFonts w:hint="default" w:ascii="宋体" w:hAnsi="宋体" w:eastAsia="宋体" w:cs="宋体"/>
        <w:spacing w:val="-2"/>
        <w:w w:val="99"/>
        <w:sz w:val="21"/>
        <w:szCs w:val="21"/>
      </w:rPr>
    </w:lvl>
    <w:lvl w:ilvl="3" w:tentative="0">
      <w:start w:val="0"/>
      <w:numFmt w:val="bullet"/>
      <w:lvlText w:val="•"/>
      <w:lvlJc w:val="left"/>
      <w:pPr>
        <w:ind w:left="4110" w:hanging="629"/>
      </w:pPr>
      <w:rPr>
        <w:rFonts w:hint="default"/>
      </w:rPr>
    </w:lvl>
    <w:lvl w:ilvl="4" w:tentative="0">
      <w:start w:val="0"/>
      <w:numFmt w:val="bullet"/>
      <w:lvlText w:val="•"/>
      <w:lvlJc w:val="left"/>
      <w:pPr>
        <w:ind w:left="5115" w:hanging="629"/>
      </w:pPr>
      <w:rPr>
        <w:rFonts w:hint="default"/>
      </w:rPr>
    </w:lvl>
    <w:lvl w:ilvl="5" w:tentative="0">
      <w:start w:val="0"/>
      <w:numFmt w:val="bullet"/>
      <w:lvlText w:val="•"/>
      <w:lvlJc w:val="left"/>
      <w:pPr>
        <w:ind w:left="6120" w:hanging="629"/>
      </w:pPr>
      <w:rPr>
        <w:rFonts w:hint="default"/>
      </w:rPr>
    </w:lvl>
    <w:lvl w:ilvl="6" w:tentative="0">
      <w:start w:val="0"/>
      <w:numFmt w:val="bullet"/>
      <w:lvlText w:val="•"/>
      <w:lvlJc w:val="left"/>
      <w:pPr>
        <w:ind w:left="7125" w:hanging="629"/>
      </w:pPr>
      <w:rPr>
        <w:rFonts w:hint="default"/>
      </w:rPr>
    </w:lvl>
    <w:lvl w:ilvl="7" w:tentative="0">
      <w:start w:val="0"/>
      <w:numFmt w:val="bullet"/>
      <w:lvlText w:val="•"/>
      <w:lvlJc w:val="left"/>
      <w:pPr>
        <w:ind w:left="8130" w:hanging="629"/>
      </w:pPr>
      <w:rPr>
        <w:rFonts w:hint="default"/>
      </w:rPr>
    </w:lvl>
    <w:lvl w:ilvl="8" w:tentative="0">
      <w:start w:val="0"/>
      <w:numFmt w:val="bullet"/>
      <w:lvlText w:val="•"/>
      <w:lvlJc w:val="left"/>
      <w:pPr>
        <w:ind w:left="9135" w:hanging="629"/>
      </w:pPr>
      <w:rPr>
        <w:rFonts w:hint="default"/>
      </w:rPr>
    </w:lvl>
  </w:abstractNum>
  <w:abstractNum w:abstractNumId="1">
    <w:nsid w:val="9DB7AD43"/>
    <w:multiLevelType w:val="singleLevel"/>
    <w:tmpl w:val="9DB7AD43"/>
    <w:lvl w:ilvl="0" w:tentative="0">
      <w:start w:val="1"/>
      <w:numFmt w:val="decimal"/>
      <w:suff w:val="space"/>
      <w:lvlText w:val="%1、"/>
      <w:lvlJc w:val="left"/>
      <w:pPr>
        <w:ind w:left="822" w:leftChars="0" w:firstLine="0" w:firstLineChars="0"/>
      </w:pPr>
    </w:lvl>
  </w:abstractNum>
  <w:abstractNum w:abstractNumId="2">
    <w:nsid w:val="BB64CFA9"/>
    <w:multiLevelType w:val="multilevel"/>
    <w:tmpl w:val="BB64CFA9"/>
    <w:lvl w:ilvl="0" w:tentative="0">
      <w:start w:val="2"/>
      <w:numFmt w:val="decimal"/>
      <w:lvlText w:val="%1"/>
      <w:lvlJc w:val="left"/>
      <w:pPr>
        <w:ind w:left="2002" w:hanging="528"/>
        <w:jc w:val="left"/>
      </w:pPr>
      <w:rPr>
        <w:rFonts w:hint="default"/>
      </w:rPr>
    </w:lvl>
    <w:lvl w:ilvl="1" w:tentative="0">
      <w:start w:val="18"/>
      <w:numFmt w:val="decimal"/>
      <w:lvlText w:val="%1.%2"/>
      <w:lvlJc w:val="left"/>
      <w:pPr>
        <w:ind w:left="2002" w:hanging="528"/>
        <w:jc w:val="left"/>
      </w:pPr>
      <w:rPr>
        <w:rFonts w:hint="default" w:ascii="宋体" w:hAnsi="宋体" w:eastAsia="宋体" w:cs="宋体"/>
        <w:b/>
        <w:bCs/>
        <w:spacing w:val="0"/>
        <w:w w:val="98"/>
        <w:sz w:val="21"/>
        <w:szCs w:val="21"/>
      </w:rPr>
    </w:lvl>
    <w:lvl w:ilvl="2" w:tentative="0">
      <w:start w:val="1"/>
      <w:numFmt w:val="decimal"/>
      <w:lvlText w:val="%1.%2.%3"/>
      <w:lvlJc w:val="left"/>
      <w:pPr>
        <w:ind w:left="1054" w:hanging="740"/>
        <w:jc w:val="left"/>
      </w:pPr>
      <w:rPr>
        <w:rFonts w:hint="default" w:ascii="宋体" w:hAnsi="宋体" w:eastAsia="宋体" w:cs="宋体"/>
        <w:spacing w:val="-2"/>
        <w:w w:val="99"/>
        <w:sz w:val="21"/>
        <w:szCs w:val="21"/>
      </w:rPr>
    </w:lvl>
    <w:lvl w:ilvl="3" w:tentative="0">
      <w:start w:val="0"/>
      <w:numFmt w:val="bullet"/>
      <w:lvlText w:val="•"/>
      <w:lvlJc w:val="left"/>
      <w:pPr>
        <w:ind w:left="3318" w:hanging="740"/>
      </w:pPr>
      <w:rPr>
        <w:rFonts w:hint="default"/>
      </w:rPr>
    </w:lvl>
    <w:lvl w:ilvl="4" w:tentative="0">
      <w:start w:val="0"/>
      <w:numFmt w:val="bullet"/>
      <w:lvlText w:val="•"/>
      <w:lvlJc w:val="left"/>
      <w:pPr>
        <w:ind w:left="4436" w:hanging="740"/>
      </w:pPr>
      <w:rPr>
        <w:rFonts w:hint="default"/>
      </w:rPr>
    </w:lvl>
    <w:lvl w:ilvl="5" w:tentative="0">
      <w:start w:val="0"/>
      <w:numFmt w:val="bullet"/>
      <w:lvlText w:val="•"/>
      <w:lvlJc w:val="left"/>
      <w:pPr>
        <w:ind w:left="5554" w:hanging="740"/>
      </w:pPr>
      <w:rPr>
        <w:rFonts w:hint="default"/>
      </w:rPr>
    </w:lvl>
    <w:lvl w:ilvl="6" w:tentative="0">
      <w:start w:val="0"/>
      <w:numFmt w:val="bullet"/>
      <w:lvlText w:val="•"/>
      <w:lvlJc w:val="left"/>
      <w:pPr>
        <w:ind w:left="6673" w:hanging="740"/>
      </w:pPr>
      <w:rPr>
        <w:rFonts w:hint="default"/>
      </w:rPr>
    </w:lvl>
    <w:lvl w:ilvl="7" w:tentative="0">
      <w:start w:val="0"/>
      <w:numFmt w:val="bullet"/>
      <w:lvlText w:val="•"/>
      <w:lvlJc w:val="left"/>
      <w:pPr>
        <w:ind w:left="7791" w:hanging="740"/>
      </w:pPr>
      <w:rPr>
        <w:rFonts w:hint="default"/>
      </w:rPr>
    </w:lvl>
    <w:lvl w:ilvl="8" w:tentative="0">
      <w:start w:val="0"/>
      <w:numFmt w:val="bullet"/>
      <w:lvlText w:val="•"/>
      <w:lvlJc w:val="left"/>
      <w:pPr>
        <w:ind w:left="8909" w:hanging="740"/>
      </w:pPr>
      <w:rPr>
        <w:rFonts w:hint="default"/>
      </w:rPr>
    </w:lvl>
  </w:abstractNum>
  <w:abstractNum w:abstractNumId="3">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E093A4B0"/>
    <w:multiLevelType w:val="multilevel"/>
    <w:tmpl w:val="E093A4B0"/>
    <w:lvl w:ilvl="0" w:tentative="0">
      <w:start w:val="2"/>
      <w:numFmt w:val="decimal"/>
      <w:lvlText w:val="%1"/>
      <w:lvlJc w:val="left"/>
      <w:pPr>
        <w:ind w:left="1896" w:hanging="423"/>
        <w:jc w:val="left"/>
      </w:pPr>
      <w:rPr>
        <w:rFonts w:hint="default"/>
      </w:rPr>
    </w:lvl>
    <w:lvl w:ilvl="1" w:tentative="0">
      <w:start w:val="2"/>
      <w:numFmt w:val="decimal"/>
      <w:lvlText w:val="%1.%2"/>
      <w:lvlJc w:val="left"/>
      <w:pPr>
        <w:ind w:left="1896" w:hanging="423"/>
        <w:jc w:val="left"/>
      </w:pPr>
      <w:rPr>
        <w:rFonts w:hint="default" w:ascii="宋体" w:hAnsi="宋体" w:eastAsia="宋体" w:cs="宋体"/>
        <w:b/>
        <w:bCs/>
        <w:spacing w:val="0"/>
        <w:w w:val="98"/>
        <w:sz w:val="21"/>
        <w:szCs w:val="21"/>
      </w:rPr>
    </w:lvl>
    <w:lvl w:ilvl="2" w:tentative="0">
      <w:start w:val="1"/>
      <w:numFmt w:val="decimal"/>
      <w:lvlText w:val="%1.%2.%3"/>
      <w:lvlJc w:val="left"/>
      <w:pPr>
        <w:ind w:left="1054" w:hanging="632"/>
        <w:jc w:val="left"/>
      </w:pPr>
      <w:rPr>
        <w:rFonts w:hint="default" w:ascii="宋体" w:hAnsi="宋体" w:eastAsia="宋体" w:cs="宋体"/>
        <w:spacing w:val="-2"/>
        <w:w w:val="99"/>
        <w:sz w:val="21"/>
        <w:szCs w:val="21"/>
      </w:rPr>
    </w:lvl>
    <w:lvl w:ilvl="3" w:tentative="0">
      <w:start w:val="0"/>
      <w:numFmt w:val="bullet"/>
      <w:lvlText w:val="•"/>
      <w:lvlJc w:val="left"/>
      <w:pPr>
        <w:ind w:left="3954" w:hanging="632"/>
      </w:pPr>
      <w:rPr>
        <w:rFonts w:hint="default"/>
      </w:rPr>
    </w:lvl>
    <w:lvl w:ilvl="4" w:tentative="0">
      <w:start w:val="0"/>
      <w:numFmt w:val="bullet"/>
      <w:lvlText w:val="•"/>
      <w:lvlJc w:val="left"/>
      <w:pPr>
        <w:ind w:left="4982" w:hanging="632"/>
      </w:pPr>
      <w:rPr>
        <w:rFonts w:hint="default"/>
      </w:rPr>
    </w:lvl>
    <w:lvl w:ilvl="5" w:tentative="0">
      <w:start w:val="0"/>
      <w:numFmt w:val="bullet"/>
      <w:lvlText w:val="•"/>
      <w:lvlJc w:val="left"/>
      <w:pPr>
        <w:ind w:left="6009" w:hanging="632"/>
      </w:pPr>
      <w:rPr>
        <w:rFonts w:hint="default"/>
      </w:rPr>
    </w:lvl>
    <w:lvl w:ilvl="6" w:tentative="0">
      <w:start w:val="0"/>
      <w:numFmt w:val="bullet"/>
      <w:lvlText w:val="•"/>
      <w:lvlJc w:val="left"/>
      <w:pPr>
        <w:ind w:left="7036" w:hanging="632"/>
      </w:pPr>
      <w:rPr>
        <w:rFonts w:hint="default"/>
      </w:rPr>
    </w:lvl>
    <w:lvl w:ilvl="7" w:tentative="0">
      <w:start w:val="0"/>
      <w:numFmt w:val="bullet"/>
      <w:lvlText w:val="•"/>
      <w:lvlJc w:val="left"/>
      <w:pPr>
        <w:ind w:left="8064" w:hanging="632"/>
      </w:pPr>
      <w:rPr>
        <w:rFonts w:hint="default"/>
      </w:rPr>
    </w:lvl>
    <w:lvl w:ilvl="8" w:tentative="0">
      <w:start w:val="0"/>
      <w:numFmt w:val="bullet"/>
      <w:lvlText w:val="•"/>
      <w:lvlJc w:val="left"/>
      <w:pPr>
        <w:ind w:left="9091" w:hanging="632"/>
      </w:pPr>
      <w:rPr>
        <w:rFonts w:hint="default"/>
      </w:rPr>
    </w:lvl>
  </w:abstractNum>
  <w:abstractNum w:abstractNumId="5">
    <w:nsid w:val="F7735DC9"/>
    <w:multiLevelType w:val="multilevel"/>
    <w:tmpl w:val="F7735DC9"/>
    <w:lvl w:ilvl="0" w:tentative="0">
      <w:start w:val="2"/>
      <w:numFmt w:val="decimal"/>
      <w:lvlText w:val="%1"/>
      <w:lvlJc w:val="left"/>
      <w:pPr>
        <w:ind w:left="1896" w:hanging="423"/>
        <w:jc w:val="left"/>
      </w:pPr>
      <w:rPr>
        <w:rFonts w:hint="default"/>
      </w:rPr>
    </w:lvl>
    <w:lvl w:ilvl="1" w:tentative="0">
      <w:start w:val="1"/>
      <w:numFmt w:val="decimal"/>
      <w:lvlText w:val="%1.%2"/>
      <w:lvlJc w:val="left"/>
      <w:pPr>
        <w:ind w:left="1896" w:hanging="423"/>
        <w:jc w:val="left"/>
      </w:pPr>
      <w:rPr>
        <w:rFonts w:hint="default" w:ascii="宋体" w:hAnsi="宋体" w:eastAsia="宋体" w:cs="宋体"/>
        <w:b/>
        <w:bCs/>
        <w:spacing w:val="0"/>
        <w:w w:val="98"/>
        <w:sz w:val="21"/>
        <w:szCs w:val="21"/>
      </w:rPr>
    </w:lvl>
    <w:lvl w:ilvl="2" w:tentative="0">
      <w:start w:val="1"/>
      <w:numFmt w:val="decimal"/>
      <w:lvlText w:val="%1.%2.%3"/>
      <w:lvlJc w:val="left"/>
      <w:pPr>
        <w:ind w:left="1054" w:hanging="632"/>
        <w:jc w:val="left"/>
      </w:pPr>
      <w:rPr>
        <w:rFonts w:hint="default" w:ascii="宋体" w:hAnsi="宋体" w:eastAsia="宋体" w:cs="宋体"/>
        <w:spacing w:val="-2"/>
        <w:w w:val="99"/>
        <w:sz w:val="21"/>
        <w:szCs w:val="21"/>
      </w:rPr>
    </w:lvl>
    <w:lvl w:ilvl="3" w:tentative="0">
      <w:start w:val="0"/>
      <w:numFmt w:val="bullet"/>
      <w:lvlText w:val="•"/>
      <w:lvlJc w:val="left"/>
      <w:pPr>
        <w:ind w:left="3954" w:hanging="632"/>
      </w:pPr>
      <w:rPr>
        <w:rFonts w:hint="default"/>
      </w:rPr>
    </w:lvl>
    <w:lvl w:ilvl="4" w:tentative="0">
      <w:start w:val="0"/>
      <w:numFmt w:val="bullet"/>
      <w:lvlText w:val="•"/>
      <w:lvlJc w:val="left"/>
      <w:pPr>
        <w:ind w:left="4982" w:hanging="632"/>
      </w:pPr>
      <w:rPr>
        <w:rFonts w:hint="default"/>
      </w:rPr>
    </w:lvl>
    <w:lvl w:ilvl="5" w:tentative="0">
      <w:start w:val="0"/>
      <w:numFmt w:val="bullet"/>
      <w:lvlText w:val="•"/>
      <w:lvlJc w:val="left"/>
      <w:pPr>
        <w:ind w:left="6009" w:hanging="632"/>
      </w:pPr>
      <w:rPr>
        <w:rFonts w:hint="default"/>
      </w:rPr>
    </w:lvl>
    <w:lvl w:ilvl="6" w:tentative="0">
      <w:start w:val="0"/>
      <w:numFmt w:val="bullet"/>
      <w:lvlText w:val="•"/>
      <w:lvlJc w:val="left"/>
      <w:pPr>
        <w:ind w:left="7036" w:hanging="632"/>
      </w:pPr>
      <w:rPr>
        <w:rFonts w:hint="default"/>
      </w:rPr>
    </w:lvl>
    <w:lvl w:ilvl="7" w:tentative="0">
      <w:start w:val="0"/>
      <w:numFmt w:val="bullet"/>
      <w:lvlText w:val="•"/>
      <w:lvlJc w:val="left"/>
      <w:pPr>
        <w:ind w:left="8064" w:hanging="632"/>
      </w:pPr>
      <w:rPr>
        <w:rFonts w:hint="default"/>
      </w:rPr>
    </w:lvl>
    <w:lvl w:ilvl="8" w:tentative="0">
      <w:start w:val="0"/>
      <w:numFmt w:val="bullet"/>
      <w:lvlText w:val="•"/>
      <w:lvlJc w:val="left"/>
      <w:pPr>
        <w:ind w:left="9091" w:hanging="632"/>
      </w:pPr>
      <w:rPr>
        <w:rFonts w:hint="default"/>
      </w:rPr>
    </w:lvl>
  </w:abstractNum>
  <w:abstractNum w:abstractNumId="6">
    <w:nsid w:val="FEBAB90F"/>
    <w:multiLevelType w:val="singleLevel"/>
    <w:tmpl w:val="FEBAB90F"/>
    <w:lvl w:ilvl="0" w:tentative="0">
      <w:start w:val="1"/>
      <w:numFmt w:val="decimal"/>
      <w:suff w:val="nothing"/>
      <w:lvlText w:val="%1、"/>
      <w:lvlJc w:val="left"/>
    </w:lvl>
  </w:abstractNum>
  <w:abstractNum w:abstractNumId="7">
    <w:nsid w:val="00000002"/>
    <w:multiLevelType w:val="singleLevel"/>
    <w:tmpl w:val="00000002"/>
    <w:lvl w:ilvl="0" w:tentative="0">
      <w:start w:val="2"/>
      <w:numFmt w:val="decimal"/>
      <w:suff w:val="nothing"/>
      <w:lvlText w:val="%1、"/>
      <w:lvlJc w:val="left"/>
    </w:lvl>
  </w:abstractNum>
  <w:abstractNum w:abstractNumId="8">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9">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0">
    <w:nsid w:val="243FCF68"/>
    <w:multiLevelType w:val="multilevel"/>
    <w:tmpl w:val="243FCF68"/>
    <w:lvl w:ilvl="0" w:tentative="0">
      <w:start w:val="1"/>
      <w:numFmt w:val="decimal"/>
      <w:lvlText w:val="%1"/>
      <w:lvlJc w:val="left"/>
      <w:pPr>
        <w:ind w:left="1896" w:hanging="423"/>
        <w:jc w:val="left"/>
      </w:pPr>
      <w:rPr>
        <w:rFonts w:hint="default"/>
      </w:rPr>
    </w:lvl>
    <w:lvl w:ilvl="1" w:tentative="0">
      <w:start w:val="5"/>
      <w:numFmt w:val="decimal"/>
      <w:lvlText w:val="%1.%2"/>
      <w:lvlJc w:val="left"/>
      <w:pPr>
        <w:ind w:left="1896" w:hanging="423"/>
        <w:jc w:val="left"/>
      </w:pPr>
      <w:rPr>
        <w:rFonts w:hint="default" w:ascii="宋体" w:hAnsi="宋体" w:eastAsia="宋体" w:cs="宋体"/>
        <w:b/>
        <w:bCs/>
        <w:spacing w:val="0"/>
        <w:w w:val="98"/>
        <w:sz w:val="21"/>
        <w:szCs w:val="21"/>
      </w:rPr>
    </w:lvl>
    <w:lvl w:ilvl="2" w:tentative="0">
      <w:start w:val="1"/>
      <w:numFmt w:val="decimal"/>
      <w:lvlText w:val="%1.%2.%3"/>
      <w:lvlJc w:val="left"/>
      <w:pPr>
        <w:ind w:left="2103" w:hanging="629"/>
        <w:jc w:val="left"/>
      </w:pPr>
      <w:rPr>
        <w:rFonts w:hint="default" w:ascii="宋体" w:hAnsi="宋体" w:eastAsia="宋体" w:cs="宋体"/>
        <w:spacing w:val="-2"/>
        <w:w w:val="99"/>
        <w:sz w:val="21"/>
        <w:szCs w:val="21"/>
      </w:rPr>
    </w:lvl>
    <w:lvl w:ilvl="3" w:tentative="0">
      <w:start w:val="0"/>
      <w:numFmt w:val="bullet"/>
      <w:lvlText w:val="•"/>
      <w:lvlJc w:val="left"/>
      <w:pPr>
        <w:ind w:left="4110" w:hanging="629"/>
      </w:pPr>
      <w:rPr>
        <w:rFonts w:hint="default"/>
      </w:rPr>
    </w:lvl>
    <w:lvl w:ilvl="4" w:tentative="0">
      <w:start w:val="0"/>
      <w:numFmt w:val="bullet"/>
      <w:lvlText w:val="•"/>
      <w:lvlJc w:val="left"/>
      <w:pPr>
        <w:ind w:left="5115" w:hanging="629"/>
      </w:pPr>
      <w:rPr>
        <w:rFonts w:hint="default"/>
      </w:rPr>
    </w:lvl>
    <w:lvl w:ilvl="5" w:tentative="0">
      <w:start w:val="0"/>
      <w:numFmt w:val="bullet"/>
      <w:lvlText w:val="•"/>
      <w:lvlJc w:val="left"/>
      <w:pPr>
        <w:ind w:left="6120" w:hanging="629"/>
      </w:pPr>
      <w:rPr>
        <w:rFonts w:hint="default"/>
      </w:rPr>
    </w:lvl>
    <w:lvl w:ilvl="6" w:tentative="0">
      <w:start w:val="0"/>
      <w:numFmt w:val="bullet"/>
      <w:lvlText w:val="•"/>
      <w:lvlJc w:val="left"/>
      <w:pPr>
        <w:ind w:left="7125" w:hanging="629"/>
      </w:pPr>
      <w:rPr>
        <w:rFonts w:hint="default"/>
      </w:rPr>
    </w:lvl>
    <w:lvl w:ilvl="7" w:tentative="0">
      <w:start w:val="0"/>
      <w:numFmt w:val="bullet"/>
      <w:lvlText w:val="•"/>
      <w:lvlJc w:val="left"/>
      <w:pPr>
        <w:ind w:left="8130" w:hanging="629"/>
      </w:pPr>
      <w:rPr>
        <w:rFonts w:hint="default"/>
      </w:rPr>
    </w:lvl>
    <w:lvl w:ilvl="8" w:tentative="0">
      <w:start w:val="0"/>
      <w:numFmt w:val="bullet"/>
      <w:lvlText w:val="•"/>
      <w:lvlJc w:val="left"/>
      <w:pPr>
        <w:ind w:left="9135" w:hanging="629"/>
      </w:pPr>
      <w:rPr>
        <w:rFonts w:hint="default"/>
      </w:rPr>
    </w:lvl>
  </w:abstractNum>
  <w:abstractNum w:abstractNumId="11">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FC5B15"/>
    <w:multiLevelType w:val="multilevel"/>
    <w:tmpl w:val="30FC5B15"/>
    <w:lvl w:ilvl="0" w:tentative="0">
      <w:start w:val="2"/>
      <w:numFmt w:val="decimal"/>
      <w:lvlText w:val="%1"/>
      <w:lvlJc w:val="left"/>
      <w:pPr>
        <w:ind w:left="1896" w:hanging="423"/>
        <w:jc w:val="left"/>
      </w:pPr>
      <w:rPr>
        <w:rFonts w:hint="default"/>
      </w:rPr>
    </w:lvl>
    <w:lvl w:ilvl="1" w:tentative="0">
      <w:start w:val="8"/>
      <w:numFmt w:val="decimal"/>
      <w:lvlText w:val="%1.%2"/>
      <w:lvlJc w:val="left"/>
      <w:pPr>
        <w:ind w:left="1896" w:hanging="423"/>
        <w:jc w:val="left"/>
      </w:pPr>
      <w:rPr>
        <w:rFonts w:hint="default" w:ascii="宋体" w:hAnsi="宋体" w:eastAsia="宋体" w:cs="宋体"/>
        <w:b/>
        <w:bCs/>
        <w:spacing w:val="0"/>
        <w:w w:val="98"/>
        <w:sz w:val="21"/>
        <w:szCs w:val="21"/>
      </w:rPr>
    </w:lvl>
    <w:lvl w:ilvl="2" w:tentative="0">
      <w:start w:val="1"/>
      <w:numFmt w:val="decimal"/>
      <w:lvlText w:val="%1.%2.%3"/>
      <w:lvlJc w:val="left"/>
      <w:pPr>
        <w:ind w:left="1054" w:hanging="632"/>
        <w:jc w:val="left"/>
      </w:pPr>
      <w:rPr>
        <w:rFonts w:hint="default" w:ascii="宋体" w:hAnsi="宋体" w:eastAsia="宋体" w:cs="宋体"/>
        <w:spacing w:val="-2"/>
        <w:w w:val="99"/>
        <w:sz w:val="21"/>
        <w:szCs w:val="21"/>
      </w:rPr>
    </w:lvl>
    <w:lvl w:ilvl="3" w:tentative="0">
      <w:start w:val="0"/>
      <w:numFmt w:val="bullet"/>
      <w:lvlText w:val="•"/>
      <w:lvlJc w:val="left"/>
      <w:pPr>
        <w:ind w:left="3954" w:hanging="632"/>
      </w:pPr>
      <w:rPr>
        <w:rFonts w:hint="default"/>
      </w:rPr>
    </w:lvl>
    <w:lvl w:ilvl="4" w:tentative="0">
      <w:start w:val="0"/>
      <w:numFmt w:val="bullet"/>
      <w:lvlText w:val="•"/>
      <w:lvlJc w:val="left"/>
      <w:pPr>
        <w:ind w:left="4982" w:hanging="632"/>
      </w:pPr>
      <w:rPr>
        <w:rFonts w:hint="default"/>
      </w:rPr>
    </w:lvl>
    <w:lvl w:ilvl="5" w:tentative="0">
      <w:start w:val="0"/>
      <w:numFmt w:val="bullet"/>
      <w:lvlText w:val="•"/>
      <w:lvlJc w:val="left"/>
      <w:pPr>
        <w:ind w:left="6009" w:hanging="632"/>
      </w:pPr>
      <w:rPr>
        <w:rFonts w:hint="default"/>
      </w:rPr>
    </w:lvl>
    <w:lvl w:ilvl="6" w:tentative="0">
      <w:start w:val="0"/>
      <w:numFmt w:val="bullet"/>
      <w:lvlText w:val="•"/>
      <w:lvlJc w:val="left"/>
      <w:pPr>
        <w:ind w:left="7036" w:hanging="632"/>
      </w:pPr>
      <w:rPr>
        <w:rFonts w:hint="default"/>
      </w:rPr>
    </w:lvl>
    <w:lvl w:ilvl="7" w:tentative="0">
      <w:start w:val="0"/>
      <w:numFmt w:val="bullet"/>
      <w:lvlText w:val="•"/>
      <w:lvlJc w:val="left"/>
      <w:pPr>
        <w:ind w:left="8064" w:hanging="632"/>
      </w:pPr>
      <w:rPr>
        <w:rFonts w:hint="default"/>
      </w:rPr>
    </w:lvl>
    <w:lvl w:ilvl="8" w:tentative="0">
      <w:start w:val="0"/>
      <w:numFmt w:val="bullet"/>
      <w:lvlText w:val="•"/>
      <w:lvlJc w:val="left"/>
      <w:pPr>
        <w:ind w:left="9091" w:hanging="632"/>
      </w:pPr>
      <w:rPr>
        <w:rFonts w:hint="default"/>
      </w:rPr>
    </w:lvl>
  </w:abstractNum>
  <w:abstractNum w:abstractNumId="13">
    <w:nsid w:val="377D9FDF"/>
    <w:multiLevelType w:val="singleLevel"/>
    <w:tmpl w:val="377D9FDF"/>
    <w:lvl w:ilvl="0" w:tentative="0">
      <w:start w:val="1"/>
      <w:numFmt w:val="decimal"/>
      <w:suff w:val="nothing"/>
      <w:lvlText w:val="（%1）"/>
      <w:lvlJc w:val="left"/>
    </w:lvl>
  </w:abstractNum>
  <w:abstractNum w:abstractNumId="14">
    <w:nsid w:val="3D8AA0E4"/>
    <w:multiLevelType w:val="singleLevel"/>
    <w:tmpl w:val="3D8AA0E4"/>
    <w:lvl w:ilvl="0" w:tentative="0">
      <w:start w:val="5"/>
      <w:numFmt w:val="decimal"/>
      <w:suff w:val="space"/>
      <w:lvlText w:val="第%1章"/>
      <w:lvlJc w:val="left"/>
    </w:lvl>
  </w:abstractNum>
  <w:abstractNum w:abstractNumId="15">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8"/>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16">
    <w:nsid w:val="48BFA080"/>
    <w:multiLevelType w:val="singleLevel"/>
    <w:tmpl w:val="48BFA080"/>
    <w:lvl w:ilvl="0" w:tentative="0">
      <w:start w:val="1"/>
      <w:numFmt w:val="decimal"/>
      <w:suff w:val="nothing"/>
      <w:lvlText w:val="（%1）"/>
      <w:lvlJc w:val="left"/>
    </w:lvl>
  </w:abstractNum>
  <w:abstractNum w:abstractNumId="17">
    <w:nsid w:val="4D94DA66"/>
    <w:multiLevelType w:val="multilevel"/>
    <w:tmpl w:val="4D94DA66"/>
    <w:lvl w:ilvl="0" w:tentative="0">
      <w:start w:val="1"/>
      <w:numFmt w:val="decimal"/>
      <w:lvlText w:val="%1"/>
      <w:lvlJc w:val="left"/>
      <w:pPr>
        <w:ind w:left="1896" w:hanging="423"/>
        <w:jc w:val="left"/>
      </w:pPr>
      <w:rPr>
        <w:rFonts w:hint="default"/>
      </w:rPr>
    </w:lvl>
    <w:lvl w:ilvl="1" w:tentative="0">
      <w:start w:val="6"/>
      <w:numFmt w:val="decimal"/>
      <w:lvlText w:val="%1.%2"/>
      <w:lvlJc w:val="left"/>
      <w:pPr>
        <w:ind w:left="1896" w:hanging="423"/>
        <w:jc w:val="left"/>
      </w:pPr>
      <w:rPr>
        <w:rFonts w:hint="default" w:ascii="宋体" w:hAnsi="宋体" w:eastAsia="宋体" w:cs="宋体"/>
        <w:b/>
        <w:bCs/>
        <w:spacing w:val="0"/>
        <w:w w:val="98"/>
        <w:sz w:val="21"/>
        <w:szCs w:val="21"/>
      </w:rPr>
    </w:lvl>
    <w:lvl w:ilvl="2" w:tentative="0">
      <w:start w:val="1"/>
      <w:numFmt w:val="decimal"/>
      <w:lvlText w:val="%1.%2.%3"/>
      <w:lvlJc w:val="left"/>
      <w:pPr>
        <w:ind w:left="1054" w:hanging="632"/>
        <w:jc w:val="left"/>
      </w:pPr>
      <w:rPr>
        <w:rFonts w:hint="default" w:ascii="宋体" w:hAnsi="宋体" w:eastAsia="宋体" w:cs="宋体"/>
        <w:spacing w:val="-2"/>
        <w:w w:val="99"/>
        <w:sz w:val="21"/>
        <w:szCs w:val="21"/>
      </w:rPr>
    </w:lvl>
    <w:lvl w:ilvl="3" w:tentative="0">
      <w:start w:val="0"/>
      <w:numFmt w:val="bullet"/>
      <w:lvlText w:val="•"/>
      <w:lvlJc w:val="left"/>
      <w:pPr>
        <w:ind w:left="3230" w:hanging="632"/>
      </w:pPr>
      <w:rPr>
        <w:rFonts w:hint="default"/>
      </w:rPr>
    </w:lvl>
    <w:lvl w:ilvl="4" w:tentative="0">
      <w:start w:val="0"/>
      <w:numFmt w:val="bullet"/>
      <w:lvlText w:val="•"/>
      <w:lvlJc w:val="left"/>
      <w:pPr>
        <w:ind w:left="4361" w:hanging="632"/>
      </w:pPr>
      <w:rPr>
        <w:rFonts w:hint="default"/>
      </w:rPr>
    </w:lvl>
    <w:lvl w:ilvl="5" w:tentative="0">
      <w:start w:val="0"/>
      <w:numFmt w:val="bullet"/>
      <w:lvlText w:val="•"/>
      <w:lvlJc w:val="left"/>
      <w:pPr>
        <w:ind w:left="5492" w:hanging="632"/>
      </w:pPr>
      <w:rPr>
        <w:rFonts w:hint="default"/>
      </w:rPr>
    </w:lvl>
    <w:lvl w:ilvl="6" w:tentative="0">
      <w:start w:val="0"/>
      <w:numFmt w:val="bullet"/>
      <w:lvlText w:val="•"/>
      <w:lvlJc w:val="left"/>
      <w:pPr>
        <w:ind w:left="6623" w:hanging="632"/>
      </w:pPr>
      <w:rPr>
        <w:rFonts w:hint="default"/>
      </w:rPr>
    </w:lvl>
    <w:lvl w:ilvl="7" w:tentative="0">
      <w:start w:val="0"/>
      <w:numFmt w:val="bullet"/>
      <w:lvlText w:val="•"/>
      <w:lvlJc w:val="left"/>
      <w:pPr>
        <w:ind w:left="7753" w:hanging="632"/>
      </w:pPr>
      <w:rPr>
        <w:rFonts w:hint="default"/>
      </w:rPr>
    </w:lvl>
    <w:lvl w:ilvl="8" w:tentative="0">
      <w:start w:val="0"/>
      <w:numFmt w:val="bullet"/>
      <w:lvlText w:val="•"/>
      <w:lvlJc w:val="left"/>
      <w:pPr>
        <w:ind w:left="8884" w:hanging="632"/>
      </w:pPr>
      <w:rPr>
        <w:rFonts w:hint="default"/>
      </w:rPr>
    </w:lvl>
  </w:abstractNum>
  <w:abstractNum w:abstractNumId="18">
    <w:nsid w:val="58765686"/>
    <w:multiLevelType w:val="multilevel"/>
    <w:tmpl w:val="58765686"/>
    <w:lvl w:ilvl="0" w:tentative="0">
      <w:start w:val="1"/>
      <w:numFmt w:val="decimal"/>
      <w:lvlText w:val="%1"/>
      <w:lvlJc w:val="left"/>
      <w:pPr>
        <w:ind w:left="1896" w:hanging="423"/>
        <w:jc w:val="left"/>
      </w:pPr>
      <w:rPr>
        <w:rFonts w:hint="default"/>
      </w:rPr>
    </w:lvl>
    <w:lvl w:ilvl="1" w:tentative="0">
      <w:start w:val="1"/>
      <w:numFmt w:val="decimal"/>
      <w:lvlText w:val="%1.%2"/>
      <w:lvlJc w:val="left"/>
      <w:pPr>
        <w:ind w:left="1896" w:hanging="423"/>
        <w:jc w:val="left"/>
      </w:pPr>
      <w:rPr>
        <w:rFonts w:hint="default" w:ascii="宋体" w:hAnsi="宋体" w:eastAsia="宋体" w:cs="宋体"/>
        <w:b/>
        <w:bCs/>
        <w:spacing w:val="0"/>
        <w:w w:val="98"/>
        <w:sz w:val="21"/>
        <w:szCs w:val="21"/>
      </w:rPr>
    </w:lvl>
    <w:lvl w:ilvl="2" w:tentative="0">
      <w:start w:val="1"/>
      <w:numFmt w:val="decimal"/>
      <w:lvlText w:val="%1.%2.%3"/>
      <w:lvlJc w:val="left"/>
      <w:pPr>
        <w:ind w:left="2103" w:hanging="629"/>
        <w:jc w:val="left"/>
      </w:pPr>
      <w:rPr>
        <w:rFonts w:hint="default" w:ascii="宋体" w:hAnsi="宋体" w:eastAsia="宋体" w:cs="宋体"/>
        <w:spacing w:val="-2"/>
        <w:w w:val="99"/>
        <w:sz w:val="21"/>
        <w:szCs w:val="21"/>
      </w:rPr>
    </w:lvl>
    <w:lvl w:ilvl="3" w:tentative="0">
      <w:start w:val="0"/>
      <w:numFmt w:val="bullet"/>
      <w:lvlText w:val="•"/>
      <w:lvlJc w:val="left"/>
      <w:pPr>
        <w:ind w:left="4110" w:hanging="629"/>
      </w:pPr>
      <w:rPr>
        <w:rFonts w:hint="default"/>
      </w:rPr>
    </w:lvl>
    <w:lvl w:ilvl="4" w:tentative="0">
      <w:start w:val="0"/>
      <w:numFmt w:val="bullet"/>
      <w:lvlText w:val="•"/>
      <w:lvlJc w:val="left"/>
      <w:pPr>
        <w:ind w:left="5115" w:hanging="629"/>
      </w:pPr>
      <w:rPr>
        <w:rFonts w:hint="default"/>
      </w:rPr>
    </w:lvl>
    <w:lvl w:ilvl="5" w:tentative="0">
      <w:start w:val="0"/>
      <w:numFmt w:val="bullet"/>
      <w:lvlText w:val="•"/>
      <w:lvlJc w:val="left"/>
      <w:pPr>
        <w:ind w:left="6120" w:hanging="629"/>
      </w:pPr>
      <w:rPr>
        <w:rFonts w:hint="default"/>
      </w:rPr>
    </w:lvl>
    <w:lvl w:ilvl="6" w:tentative="0">
      <w:start w:val="0"/>
      <w:numFmt w:val="bullet"/>
      <w:lvlText w:val="•"/>
      <w:lvlJc w:val="left"/>
      <w:pPr>
        <w:ind w:left="7125" w:hanging="629"/>
      </w:pPr>
      <w:rPr>
        <w:rFonts w:hint="default"/>
      </w:rPr>
    </w:lvl>
    <w:lvl w:ilvl="7" w:tentative="0">
      <w:start w:val="0"/>
      <w:numFmt w:val="bullet"/>
      <w:lvlText w:val="•"/>
      <w:lvlJc w:val="left"/>
      <w:pPr>
        <w:ind w:left="8130" w:hanging="629"/>
      </w:pPr>
      <w:rPr>
        <w:rFonts w:hint="default"/>
      </w:rPr>
    </w:lvl>
    <w:lvl w:ilvl="8" w:tentative="0">
      <w:start w:val="0"/>
      <w:numFmt w:val="bullet"/>
      <w:lvlText w:val="•"/>
      <w:lvlJc w:val="left"/>
      <w:pPr>
        <w:ind w:left="9135" w:hanging="629"/>
      </w:pPr>
      <w:rPr>
        <w:rFonts w:hint="default"/>
      </w:rPr>
    </w:lvl>
  </w:abstractNum>
  <w:abstractNum w:abstractNumId="19">
    <w:nsid w:val="66713201"/>
    <w:multiLevelType w:val="singleLevel"/>
    <w:tmpl w:val="66713201"/>
    <w:lvl w:ilvl="0" w:tentative="0">
      <w:start w:val="5"/>
      <w:numFmt w:val="chineseCounting"/>
      <w:suff w:val="nothing"/>
      <w:lvlText w:val="%1、"/>
      <w:lvlJc w:val="left"/>
      <w:rPr>
        <w:rFonts w:hint="eastAsia"/>
      </w:rPr>
    </w:lvl>
  </w:abstractNum>
  <w:abstractNum w:abstractNumId="20">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1">
    <w:nsid w:val="6D7D3D15"/>
    <w:multiLevelType w:val="singleLevel"/>
    <w:tmpl w:val="6D7D3D15"/>
    <w:lvl w:ilvl="0" w:tentative="0">
      <w:start w:val="1"/>
      <w:numFmt w:val="decimal"/>
      <w:suff w:val="nothing"/>
      <w:lvlText w:val="%1、"/>
      <w:lvlJc w:val="left"/>
    </w:lvl>
  </w:abstractNum>
  <w:abstractNum w:abstractNumId="22">
    <w:nsid w:val="79AA4FA4"/>
    <w:multiLevelType w:val="multilevel"/>
    <w:tmpl w:val="79AA4FA4"/>
    <w:lvl w:ilvl="0" w:tentative="0">
      <w:start w:val="2"/>
      <w:numFmt w:val="decimal"/>
      <w:lvlText w:val="%1"/>
      <w:lvlJc w:val="left"/>
      <w:pPr>
        <w:ind w:left="2002" w:hanging="528"/>
        <w:jc w:val="left"/>
      </w:pPr>
      <w:rPr>
        <w:rFonts w:hint="default"/>
      </w:rPr>
    </w:lvl>
    <w:lvl w:ilvl="1" w:tentative="0">
      <w:start w:val="14"/>
      <w:numFmt w:val="decimal"/>
      <w:lvlText w:val="%1.%2"/>
      <w:lvlJc w:val="left"/>
      <w:pPr>
        <w:ind w:left="2002" w:hanging="528"/>
        <w:jc w:val="left"/>
      </w:pPr>
      <w:rPr>
        <w:rFonts w:hint="default" w:ascii="宋体" w:hAnsi="宋体" w:eastAsia="宋体" w:cs="宋体"/>
        <w:b/>
        <w:bCs/>
        <w:spacing w:val="0"/>
        <w:w w:val="98"/>
        <w:sz w:val="21"/>
        <w:szCs w:val="21"/>
      </w:rPr>
    </w:lvl>
    <w:lvl w:ilvl="2" w:tentative="0">
      <w:start w:val="1"/>
      <w:numFmt w:val="decimal"/>
      <w:lvlText w:val="%1.%2.%3"/>
      <w:lvlJc w:val="left"/>
      <w:pPr>
        <w:ind w:left="2208" w:hanging="735"/>
        <w:jc w:val="left"/>
      </w:pPr>
      <w:rPr>
        <w:rFonts w:hint="default" w:ascii="宋体" w:hAnsi="宋体" w:eastAsia="宋体" w:cs="宋体"/>
        <w:spacing w:val="-2"/>
        <w:w w:val="99"/>
        <w:sz w:val="21"/>
        <w:szCs w:val="21"/>
      </w:rPr>
    </w:lvl>
    <w:lvl w:ilvl="3" w:tentative="0">
      <w:start w:val="0"/>
      <w:numFmt w:val="bullet"/>
      <w:lvlText w:val="•"/>
      <w:lvlJc w:val="left"/>
      <w:pPr>
        <w:ind w:left="3318" w:hanging="735"/>
      </w:pPr>
      <w:rPr>
        <w:rFonts w:hint="default"/>
      </w:rPr>
    </w:lvl>
    <w:lvl w:ilvl="4" w:tentative="0">
      <w:start w:val="0"/>
      <w:numFmt w:val="bullet"/>
      <w:lvlText w:val="•"/>
      <w:lvlJc w:val="left"/>
      <w:pPr>
        <w:ind w:left="4436" w:hanging="735"/>
      </w:pPr>
      <w:rPr>
        <w:rFonts w:hint="default"/>
      </w:rPr>
    </w:lvl>
    <w:lvl w:ilvl="5" w:tentative="0">
      <w:start w:val="0"/>
      <w:numFmt w:val="bullet"/>
      <w:lvlText w:val="•"/>
      <w:lvlJc w:val="left"/>
      <w:pPr>
        <w:ind w:left="5554" w:hanging="735"/>
      </w:pPr>
      <w:rPr>
        <w:rFonts w:hint="default"/>
      </w:rPr>
    </w:lvl>
    <w:lvl w:ilvl="6" w:tentative="0">
      <w:start w:val="0"/>
      <w:numFmt w:val="bullet"/>
      <w:lvlText w:val="•"/>
      <w:lvlJc w:val="left"/>
      <w:pPr>
        <w:ind w:left="6673" w:hanging="735"/>
      </w:pPr>
      <w:rPr>
        <w:rFonts w:hint="default"/>
      </w:rPr>
    </w:lvl>
    <w:lvl w:ilvl="7" w:tentative="0">
      <w:start w:val="0"/>
      <w:numFmt w:val="bullet"/>
      <w:lvlText w:val="•"/>
      <w:lvlJc w:val="left"/>
      <w:pPr>
        <w:ind w:left="7791" w:hanging="735"/>
      </w:pPr>
      <w:rPr>
        <w:rFonts w:hint="default"/>
      </w:rPr>
    </w:lvl>
    <w:lvl w:ilvl="8" w:tentative="0">
      <w:start w:val="0"/>
      <w:numFmt w:val="bullet"/>
      <w:lvlText w:val="•"/>
      <w:lvlJc w:val="left"/>
      <w:pPr>
        <w:ind w:left="8909" w:hanging="735"/>
      </w:pPr>
      <w:rPr>
        <w:rFonts w:hint="default"/>
      </w:rPr>
    </w:lvl>
  </w:abstractNum>
  <w:abstractNum w:abstractNumId="23">
    <w:nsid w:val="7DEC2089"/>
    <w:multiLevelType w:val="multilevel"/>
    <w:tmpl w:val="7DEC2089"/>
    <w:lvl w:ilvl="0" w:tentative="0">
      <w:start w:val="1"/>
      <w:numFmt w:val="decimal"/>
      <w:lvlText w:val="%1"/>
      <w:lvlJc w:val="left"/>
      <w:pPr>
        <w:ind w:left="1896" w:hanging="423"/>
        <w:jc w:val="left"/>
      </w:pPr>
      <w:rPr>
        <w:rFonts w:hint="default"/>
      </w:rPr>
    </w:lvl>
    <w:lvl w:ilvl="1" w:tentative="0">
      <w:start w:val="2"/>
      <w:numFmt w:val="decimal"/>
      <w:lvlText w:val="%1.%2"/>
      <w:lvlJc w:val="left"/>
      <w:pPr>
        <w:ind w:left="1896" w:hanging="423"/>
        <w:jc w:val="left"/>
      </w:pPr>
      <w:rPr>
        <w:rFonts w:hint="default" w:ascii="宋体" w:hAnsi="宋体" w:eastAsia="宋体" w:cs="宋体"/>
        <w:b/>
        <w:bCs/>
        <w:spacing w:val="0"/>
        <w:w w:val="98"/>
        <w:sz w:val="21"/>
        <w:szCs w:val="21"/>
      </w:rPr>
    </w:lvl>
    <w:lvl w:ilvl="2" w:tentative="0">
      <w:start w:val="1"/>
      <w:numFmt w:val="decimal"/>
      <w:lvlText w:val="%1.%2.%3"/>
      <w:lvlJc w:val="left"/>
      <w:pPr>
        <w:ind w:left="2103" w:hanging="629"/>
        <w:jc w:val="left"/>
      </w:pPr>
      <w:rPr>
        <w:rFonts w:hint="default" w:ascii="宋体" w:hAnsi="宋体" w:eastAsia="宋体" w:cs="宋体"/>
        <w:spacing w:val="-2"/>
        <w:w w:val="99"/>
        <w:sz w:val="21"/>
        <w:szCs w:val="21"/>
      </w:rPr>
    </w:lvl>
    <w:lvl w:ilvl="3" w:tentative="0">
      <w:start w:val="0"/>
      <w:numFmt w:val="bullet"/>
      <w:lvlText w:val="•"/>
      <w:lvlJc w:val="left"/>
      <w:pPr>
        <w:ind w:left="4110" w:hanging="629"/>
      </w:pPr>
      <w:rPr>
        <w:rFonts w:hint="default"/>
      </w:rPr>
    </w:lvl>
    <w:lvl w:ilvl="4" w:tentative="0">
      <w:start w:val="0"/>
      <w:numFmt w:val="bullet"/>
      <w:lvlText w:val="•"/>
      <w:lvlJc w:val="left"/>
      <w:pPr>
        <w:ind w:left="5115" w:hanging="629"/>
      </w:pPr>
      <w:rPr>
        <w:rFonts w:hint="default"/>
      </w:rPr>
    </w:lvl>
    <w:lvl w:ilvl="5" w:tentative="0">
      <w:start w:val="0"/>
      <w:numFmt w:val="bullet"/>
      <w:lvlText w:val="•"/>
      <w:lvlJc w:val="left"/>
      <w:pPr>
        <w:ind w:left="6120" w:hanging="629"/>
      </w:pPr>
      <w:rPr>
        <w:rFonts w:hint="default"/>
      </w:rPr>
    </w:lvl>
    <w:lvl w:ilvl="6" w:tentative="0">
      <w:start w:val="0"/>
      <w:numFmt w:val="bullet"/>
      <w:lvlText w:val="•"/>
      <w:lvlJc w:val="left"/>
      <w:pPr>
        <w:ind w:left="7125" w:hanging="629"/>
      </w:pPr>
      <w:rPr>
        <w:rFonts w:hint="default"/>
      </w:rPr>
    </w:lvl>
    <w:lvl w:ilvl="7" w:tentative="0">
      <w:start w:val="0"/>
      <w:numFmt w:val="bullet"/>
      <w:lvlText w:val="•"/>
      <w:lvlJc w:val="left"/>
      <w:pPr>
        <w:ind w:left="8130" w:hanging="629"/>
      </w:pPr>
      <w:rPr>
        <w:rFonts w:hint="default"/>
      </w:rPr>
    </w:lvl>
    <w:lvl w:ilvl="8" w:tentative="0">
      <w:start w:val="0"/>
      <w:numFmt w:val="bullet"/>
      <w:lvlText w:val="•"/>
      <w:lvlJc w:val="left"/>
      <w:pPr>
        <w:ind w:left="9135" w:hanging="629"/>
      </w:pPr>
      <w:rPr>
        <w:rFonts w:hint="default"/>
      </w:rPr>
    </w:lvl>
  </w:abstractNum>
  <w:num w:numId="1">
    <w:abstractNumId w:val="15"/>
  </w:num>
  <w:num w:numId="2">
    <w:abstractNumId w:val="8"/>
  </w:num>
  <w:num w:numId="3">
    <w:abstractNumId w:val="11"/>
  </w:num>
  <w:num w:numId="4">
    <w:abstractNumId w:val="20"/>
  </w:num>
  <w:num w:numId="5">
    <w:abstractNumId w:val="3"/>
  </w:num>
  <w:num w:numId="6">
    <w:abstractNumId w:val="9"/>
  </w:num>
  <w:num w:numId="7">
    <w:abstractNumId w:val="7"/>
  </w:num>
  <w:num w:numId="8">
    <w:abstractNumId w:val="13"/>
  </w:num>
  <w:num w:numId="9">
    <w:abstractNumId w:val="16"/>
  </w:num>
  <w:num w:numId="10">
    <w:abstractNumId w:val="14"/>
  </w:num>
  <w:num w:numId="11">
    <w:abstractNumId w:val="1"/>
  </w:num>
  <w:num w:numId="12">
    <w:abstractNumId w:val="19"/>
  </w:num>
  <w:num w:numId="13">
    <w:abstractNumId w:val="6"/>
  </w:num>
  <w:num w:numId="14">
    <w:abstractNumId w:val="21"/>
  </w:num>
  <w:num w:numId="15">
    <w:abstractNumId w:val="18"/>
  </w:num>
  <w:num w:numId="16">
    <w:abstractNumId w:val="23"/>
  </w:num>
  <w:num w:numId="17">
    <w:abstractNumId w:val="0"/>
  </w:num>
  <w:num w:numId="18">
    <w:abstractNumId w:val="10"/>
  </w:num>
  <w:num w:numId="19">
    <w:abstractNumId w:val="17"/>
  </w:num>
  <w:num w:numId="20">
    <w:abstractNumId w:val="5"/>
  </w:num>
  <w:num w:numId="21">
    <w:abstractNumId w:val="4"/>
  </w:num>
  <w:num w:numId="22">
    <w:abstractNumId w:val="12"/>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4A1E"/>
    <w:rsid w:val="00044A20"/>
    <w:rsid w:val="00045D67"/>
    <w:rsid w:val="0004677C"/>
    <w:rsid w:val="00047BB6"/>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852"/>
    <w:rsid w:val="00076670"/>
    <w:rsid w:val="00080B56"/>
    <w:rsid w:val="00080FC7"/>
    <w:rsid w:val="00081858"/>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3652"/>
    <w:rsid w:val="0014627C"/>
    <w:rsid w:val="0015142E"/>
    <w:rsid w:val="001541BE"/>
    <w:rsid w:val="00157C74"/>
    <w:rsid w:val="00157D8E"/>
    <w:rsid w:val="00161678"/>
    <w:rsid w:val="00161D71"/>
    <w:rsid w:val="00162805"/>
    <w:rsid w:val="00165014"/>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365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C7B8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266"/>
    <w:rsid w:val="002266B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4170"/>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766C"/>
    <w:rsid w:val="002E7C1C"/>
    <w:rsid w:val="002F02C8"/>
    <w:rsid w:val="002F0A07"/>
    <w:rsid w:val="002F179F"/>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73C"/>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5451"/>
    <w:rsid w:val="003D6961"/>
    <w:rsid w:val="003E2C77"/>
    <w:rsid w:val="003E2C89"/>
    <w:rsid w:val="003E3C14"/>
    <w:rsid w:val="003E406B"/>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2F90"/>
    <w:rsid w:val="00425FB2"/>
    <w:rsid w:val="004261AF"/>
    <w:rsid w:val="00426BB0"/>
    <w:rsid w:val="00427182"/>
    <w:rsid w:val="00433EEA"/>
    <w:rsid w:val="004408B0"/>
    <w:rsid w:val="004408EE"/>
    <w:rsid w:val="00441C7F"/>
    <w:rsid w:val="00441E5E"/>
    <w:rsid w:val="0044524F"/>
    <w:rsid w:val="00446103"/>
    <w:rsid w:val="0044654E"/>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4641"/>
    <w:rsid w:val="004846F8"/>
    <w:rsid w:val="00484E93"/>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6E5"/>
    <w:rsid w:val="004B6542"/>
    <w:rsid w:val="004B72A3"/>
    <w:rsid w:val="004C1E33"/>
    <w:rsid w:val="004C6870"/>
    <w:rsid w:val="004D29A3"/>
    <w:rsid w:val="004D4D48"/>
    <w:rsid w:val="004D5250"/>
    <w:rsid w:val="004D6AD9"/>
    <w:rsid w:val="004D702C"/>
    <w:rsid w:val="004E0517"/>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4836"/>
    <w:rsid w:val="0054508F"/>
    <w:rsid w:val="00546F3A"/>
    <w:rsid w:val="005475C6"/>
    <w:rsid w:val="00550C61"/>
    <w:rsid w:val="00552FBA"/>
    <w:rsid w:val="00554D9D"/>
    <w:rsid w:val="00555A82"/>
    <w:rsid w:val="00556C52"/>
    <w:rsid w:val="0056008C"/>
    <w:rsid w:val="00564394"/>
    <w:rsid w:val="00570A8A"/>
    <w:rsid w:val="00571BE1"/>
    <w:rsid w:val="0057268E"/>
    <w:rsid w:val="00573C95"/>
    <w:rsid w:val="005750B7"/>
    <w:rsid w:val="005806C7"/>
    <w:rsid w:val="00582CA5"/>
    <w:rsid w:val="00582FE9"/>
    <w:rsid w:val="0058511B"/>
    <w:rsid w:val="005852AF"/>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C52"/>
    <w:rsid w:val="006054AE"/>
    <w:rsid w:val="00606661"/>
    <w:rsid w:val="00612A91"/>
    <w:rsid w:val="00612B93"/>
    <w:rsid w:val="00615BD4"/>
    <w:rsid w:val="006176D9"/>
    <w:rsid w:val="0062063C"/>
    <w:rsid w:val="00621EEA"/>
    <w:rsid w:val="00622049"/>
    <w:rsid w:val="006267AC"/>
    <w:rsid w:val="00626B7B"/>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3024"/>
    <w:rsid w:val="00713EA1"/>
    <w:rsid w:val="00715D6B"/>
    <w:rsid w:val="00717F6B"/>
    <w:rsid w:val="007212F0"/>
    <w:rsid w:val="00722EC6"/>
    <w:rsid w:val="00723FF6"/>
    <w:rsid w:val="0072460B"/>
    <w:rsid w:val="00725ADF"/>
    <w:rsid w:val="00726876"/>
    <w:rsid w:val="007269B1"/>
    <w:rsid w:val="00730DF7"/>
    <w:rsid w:val="0073123A"/>
    <w:rsid w:val="007331F6"/>
    <w:rsid w:val="0073362F"/>
    <w:rsid w:val="00733A3E"/>
    <w:rsid w:val="00736B54"/>
    <w:rsid w:val="007371F3"/>
    <w:rsid w:val="00740605"/>
    <w:rsid w:val="00740FA5"/>
    <w:rsid w:val="007440A8"/>
    <w:rsid w:val="00747B97"/>
    <w:rsid w:val="00747DD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71F7"/>
    <w:rsid w:val="007E024C"/>
    <w:rsid w:val="007E160E"/>
    <w:rsid w:val="007E1BDD"/>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DF6"/>
    <w:rsid w:val="00823CCC"/>
    <w:rsid w:val="00827179"/>
    <w:rsid w:val="0083029A"/>
    <w:rsid w:val="00830426"/>
    <w:rsid w:val="00830E02"/>
    <w:rsid w:val="00831C83"/>
    <w:rsid w:val="00831E0A"/>
    <w:rsid w:val="008343C4"/>
    <w:rsid w:val="00835847"/>
    <w:rsid w:val="00835C6F"/>
    <w:rsid w:val="00837429"/>
    <w:rsid w:val="0083745B"/>
    <w:rsid w:val="008375D4"/>
    <w:rsid w:val="00840252"/>
    <w:rsid w:val="00840420"/>
    <w:rsid w:val="00842DE3"/>
    <w:rsid w:val="0084474F"/>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EE4"/>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4DF"/>
    <w:rsid w:val="00927EF6"/>
    <w:rsid w:val="009303ED"/>
    <w:rsid w:val="00930D45"/>
    <w:rsid w:val="00930E14"/>
    <w:rsid w:val="00933885"/>
    <w:rsid w:val="009338DA"/>
    <w:rsid w:val="00936E93"/>
    <w:rsid w:val="009376D6"/>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06F87"/>
    <w:rsid w:val="00A12892"/>
    <w:rsid w:val="00A149DF"/>
    <w:rsid w:val="00A1634D"/>
    <w:rsid w:val="00A1707B"/>
    <w:rsid w:val="00A235DC"/>
    <w:rsid w:val="00A32694"/>
    <w:rsid w:val="00A33A18"/>
    <w:rsid w:val="00A350BE"/>
    <w:rsid w:val="00A35C8A"/>
    <w:rsid w:val="00A36343"/>
    <w:rsid w:val="00A36638"/>
    <w:rsid w:val="00A36B9A"/>
    <w:rsid w:val="00A4149B"/>
    <w:rsid w:val="00A4476C"/>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4C1D"/>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DB"/>
    <w:rsid w:val="00C8527E"/>
    <w:rsid w:val="00C855D2"/>
    <w:rsid w:val="00C85E96"/>
    <w:rsid w:val="00C86FBD"/>
    <w:rsid w:val="00C9128F"/>
    <w:rsid w:val="00C91666"/>
    <w:rsid w:val="00C9219D"/>
    <w:rsid w:val="00C923D5"/>
    <w:rsid w:val="00C94E84"/>
    <w:rsid w:val="00CA0D9F"/>
    <w:rsid w:val="00CA18FB"/>
    <w:rsid w:val="00CA1BD1"/>
    <w:rsid w:val="00CA1CEF"/>
    <w:rsid w:val="00CA71C7"/>
    <w:rsid w:val="00CB030A"/>
    <w:rsid w:val="00CB125C"/>
    <w:rsid w:val="00CB455B"/>
    <w:rsid w:val="00CB4D87"/>
    <w:rsid w:val="00CB6FEB"/>
    <w:rsid w:val="00CC4E6E"/>
    <w:rsid w:val="00CC6E0A"/>
    <w:rsid w:val="00CC7617"/>
    <w:rsid w:val="00CC7935"/>
    <w:rsid w:val="00CD17D1"/>
    <w:rsid w:val="00CD20F9"/>
    <w:rsid w:val="00CD66FB"/>
    <w:rsid w:val="00CD67D5"/>
    <w:rsid w:val="00CE696A"/>
    <w:rsid w:val="00CE6D2A"/>
    <w:rsid w:val="00CE70E4"/>
    <w:rsid w:val="00CE7AF6"/>
    <w:rsid w:val="00CF0889"/>
    <w:rsid w:val="00CF2156"/>
    <w:rsid w:val="00CF2938"/>
    <w:rsid w:val="00CF30F6"/>
    <w:rsid w:val="00CF3AF9"/>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0000"/>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0F16"/>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462E"/>
    <w:rsid w:val="00E62AD0"/>
    <w:rsid w:val="00E65605"/>
    <w:rsid w:val="00E65AFF"/>
    <w:rsid w:val="00E66F2C"/>
    <w:rsid w:val="00E6767D"/>
    <w:rsid w:val="00E71BF0"/>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4568"/>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67F18"/>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646D9"/>
    <w:rsid w:val="015015EB"/>
    <w:rsid w:val="01592D24"/>
    <w:rsid w:val="01775986"/>
    <w:rsid w:val="018E7ABF"/>
    <w:rsid w:val="0198796C"/>
    <w:rsid w:val="01C133B8"/>
    <w:rsid w:val="020F2171"/>
    <w:rsid w:val="023072BC"/>
    <w:rsid w:val="024B596E"/>
    <w:rsid w:val="02600B79"/>
    <w:rsid w:val="02780976"/>
    <w:rsid w:val="02A3645B"/>
    <w:rsid w:val="02F778BD"/>
    <w:rsid w:val="02FE7248"/>
    <w:rsid w:val="030D3849"/>
    <w:rsid w:val="03121468"/>
    <w:rsid w:val="035A4AA7"/>
    <w:rsid w:val="03822C68"/>
    <w:rsid w:val="039F2BBC"/>
    <w:rsid w:val="03A82537"/>
    <w:rsid w:val="03D96AC5"/>
    <w:rsid w:val="03EA4660"/>
    <w:rsid w:val="04304A50"/>
    <w:rsid w:val="045453F1"/>
    <w:rsid w:val="045F5C2E"/>
    <w:rsid w:val="04857E10"/>
    <w:rsid w:val="0496655E"/>
    <w:rsid w:val="04BA546C"/>
    <w:rsid w:val="05071955"/>
    <w:rsid w:val="050B36B6"/>
    <w:rsid w:val="05186DA8"/>
    <w:rsid w:val="051E3875"/>
    <w:rsid w:val="0533125B"/>
    <w:rsid w:val="05457F33"/>
    <w:rsid w:val="054C5900"/>
    <w:rsid w:val="054F4EE9"/>
    <w:rsid w:val="055222CD"/>
    <w:rsid w:val="059B176D"/>
    <w:rsid w:val="05A4721B"/>
    <w:rsid w:val="06353354"/>
    <w:rsid w:val="0647513E"/>
    <w:rsid w:val="06AB5586"/>
    <w:rsid w:val="06BB3727"/>
    <w:rsid w:val="06BF4752"/>
    <w:rsid w:val="06CB44B7"/>
    <w:rsid w:val="06D216D3"/>
    <w:rsid w:val="06E94152"/>
    <w:rsid w:val="06EE20B1"/>
    <w:rsid w:val="06F977D9"/>
    <w:rsid w:val="071A0D80"/>
    <w:rsid w:val="072F661B"/>
    <w:rsid w:val="073678E7"/>
    <w:rsid w:val="075B63E2"/>
    <w:rsid w:val="079426EA"/>
    <w:rsid w:val="079E0D1A"/>
    <w:rsid w:val="07B1625B"/>
    <w:rsid w:val="07D96E9C"/>
    <w:rsid w:val="07EF339A"/>
    <w:rsid w:val="082B45BE"/>
    <w:rsid w:val="08534B88"/>
    <w:rsid w:val="086A5080"/>
    <w:rsid w:val="086E5A46"/>
    <w:rsid w:val="08A3495F"/>
    <w:rsid w:val="08C3297E"/>
    <w:rsid w:val="08CF313D"/>
    <w:rsid w:val="08DD7BA2"/>
    <w:rsid w:val="08F062C2"/>
    <w:rsid w:val="08F526B1"/>
    <w:rsid w:val="090B19E1"/>
    <w:rsid w:val="0910646C"/>
    <w:rsid w:val="094B3B3B"/>
    <w:rsid w:val="09915912"/>
    <w:rsid w:val="099245AB"/>
    <w:rsid w:val="09A35C82"/>
    <w:rsid w:val="09AC6517"/>
    <w:rsid w:val="09B6127A"/>
    <w:rsid w:val="09C64FBB"/>
    <w:rsid w:val="09E15530"/>
    <w:rsid w:val="09F22C0C"/>
    <w:rsid w:val="0A1B58FF"/>
    <w:rsid w:val="0A407C6F"/>
    <w:rsid w:val="0A6A0544"/>
    <w:rsid w:val="0A6D7B49"/>
    <w:rsid w:val="0A6E4701"/>
    <w:rsid w:val="0ABB55F8"/>
    <w:rsid w:val="0AD11D45"/>
    <w:rsid w:val="0ADF109F"/>
    <w:rsid w:val="0AE903B8"/>
    <w:rsid w:val="0AFF33D5"/>
    <w:rsid w:val="0B0C1C85"/>
    <w:rsid w:val="0B1873A5"/>
    <w:rsid w:val="0B2F7131"/>
    <w:rsid w:val="0B483B84"/>
    <w:rsid w:val="0B7462A1"/>
    <w:rsid w:val="0BA14B06"/>
    <w:rsid w:val="0BA16641"/>
    <w:rsid w:val="0BF90959"/>
    <w:rsid w:val="0C0759AC"/>
    <w:rsid w:val="0C2825BF"/>
    <w:rsid w:val="0C3472AC"/>
    <w:rsid w:val="0C7E6D79"/>
    <w:rsid w:val="0CAC6BB6"/>
    <w:rsid w:val="0CC34F37"/>
    <w:rsid w:val="0CE23077"/>
    <w:rsid w:val="0CE35A81"/>
    <w:rsid w:val="0CE65557"/>
    <w:rsid w:val="0CEA1C84"/>
    <w:rsid w:val="0D021AE7"/>
    <w:rsid w:val="0D0C585B"/>
    <w:rsid w:val="0D3419BA"/>
    <w:rsid w:val="0D541695"/>
    <w:rsid w:val="0D671166"/>
    <w:rsid w:val="0D802352"/>
    <w:rsid w:val="0D864353"/>
    <w:rsid w:val="0D9902D2"/>
    <w:rsid w:val="0D9D6002"/>
    <w:rsid w:val="0DB30A6D"/>
    <w:rsid w:val="0DD4291F"/>
    <w:rsid w:val="0DD505F0"/>
    <w:rsid w:val="0DEA5E6A"/>
    <w:rsid w:val="0DFC36FB"/>
    <w:rsid w:val="0E013467"/>
    <w:rsid w:val="0E194089"/>
    <w:rsid w:val="0E320FAE"/>
    <w:rsid w:val="0E60500F"/>
    <w:rsid w:val="0E8A0AC8"/>
    <w:rsid w:val="0EB37705"/>
    <w:rsid w:val="0ECE0F6B"/>
    <w:rsid w:val="0ED31185"/>
    <w:rsid w:val="0F0D26CC"/>
    <w:rsid w:val="0F184ADA"/>
    <w:rsid w:val="0F20177B"/>
    <w:rsid w:val="0F4F7698"/>
    <w:rsid w:val="0F71660E"/>
    <w:rsid w:val="0FA1669B"/>
    <w:rsid w:val="0FA20312"/>
    <w:rsid w:val="0FB83EE1"/>
    <w:rsid w:val="0FC409C2"/>
    <w:rsid w:val="0FC70686"/>
    <w:rsid w:val="0FDE3A7F"/>
    <w:rsid w:val="10050318"/>
    <w:rsid w:val="10165BCE"/>
    <w:rsid w:val="10207F51"/>
    <w:rsid w:val="10742924"/>
    <w:rsid w:val="108718E6"/>
    <w:rsid w:val="10D572EF"/>
    <w:rsid w:val="10EF538B"/>
    <w:rsid w:val="10F50B31"/>
    <w:rsid w:val="11235326"/>
    <w:rsid w:val="11312DC0"/>
    <w:rsid w:val="114701EB"/>
    <w:rsid w:val="115E3801"/>
    <w:rsid w:val="117261ED"/>
    <w:rsid w:val="118848CF"/>
    <w:rsid w:val="119913B2"/>
    <w:rsid w:val="11A82C72"/>
    <w:rsid w:val="11C11380"/>
    <w:rsid w:val="11C27CB8"/>
    <w:rsid w:val="12092462"/>
    <w:rsid w:val="120F2891"/>
    <w:rsid w:val="121D403F"/>
    <w:rsid w:val="121E5620"/>
    <w:rsid w:val="1236431D"/>
    <w:rsid w:val="124B6941"/>
    <w:rsid w:val="129F7C67"/>
    <w:rsid w:val="12E52A72"/>
    <w:rsid w:val="12F01DCD"/>
    <w:rsid w:val="12F76EF5"/>
    <w:rsid w:val="131416EA"/>
    <w:rsid w:val="13367AFF"/>
    <w:rsid w:val="13380DD8"/>
    <w:rsid w:val="1344521A"/>
    <w:rsid w:val="13645ACB"/>
    <w:rsid w:val="13655E59"/>
    <w:rsid w:val="13AA2455"/>
    <w:rsid w:val="13BF6C59"/>
    <w:rsid w:val="13E957B5"/>
    <w:rsid w:val="13F54664"/>
    <w:rsid w:val="141637CB"/>
    <w:rsid w:val="14180BF0"/>
    <w:rsid w:val="14276A18"/>
    <w:rsid w:val="14412BB2"/>
    <w:rsid w:val="146F0E3A"/>
    <w:rsid w:val="146F2D0E"/>
    <w:rsid w:val="14997AB4"/>
    <w:rsid w:val="14A13B2B"/>
    <w:rsid w:val="14CE0CF1"/>
    <w:rsid w:val="14D12EC0"/>
    <w:rsid w:val="14D31E97"/>
    <w:rsid w:val="14E84975"/>
    <w:rsid w:val="14EC58DC"/>
    <w:rsid w:val="1512467A"/>
    <w:rsid w:val="15666A49"/>
    <w:rsid w:val="15A078BC"/>
    <w:rsid w:val="15A56745"/>
    <w:rsid w:val="15AE733A"/>
    <w:rsid w:val="15BF5201"/>
    <w:rsid w:val="15C240E3"/>
    <w:rsid w:val="15FB195D"/>
    <w:rsid w:val="165017C7"/>
    <w:rsid w:val="16E00741"/>
    <w:rsid w:val="16EB2EC2"/>
    <w:rsid w:val="16F93153"/>
    <w:rsid w:val="170A538D"/>
    <w:rsid w:val="17116D90"/>
    <w:rsid w:val="172A1253"/>
    <w:rsid w:val="17CA0FA3"/>
    <w:rsid w:val="17DA7214"/>
    <w:rsid w:val="17E43A9D"/>
    <w:rsid w:val="17EF4D31"/>
    <w:rsid w:val="185429A1"/>
    <w:rsid w:val="185F0F31"/>
    <w:rsid w:val="18904498"/>
    <w:rsid w:val="18930B18"/>
    <w:rsid w:val="18950A76"/>
    <w:rsid w:val="18A3471E"/>
    <w:rsid w:val="18B069FC"/>
    <w:rsid w:val="18BA7627"/>
    <w:rsid w:val="18C03F47"/>
    <w:rsid w:val="18C714C8"/>
    <w:rsid w:val="18EC3461"/>
    <w:rsid w:val="18F017F6"/>
    <w:rsid w:val="19216C1C"/>
    <w:rsid w:val="192B4DF7"/>
    <w:rsid w:val="19867CE7"/>
    <w:rsid w:val="198E1D87"/>
    <w:rsid w:val="19BA6371"/>
    <w:rsid w:val="19C95FF1"/>
    <w:rsid w:val="19D90060"/>
    <w:rsid w:val="19DC0589"/>
    <w:rsid w:val="19F90D7B"/>
    <w:rsid w:val="1A187B61"/>
    <w:rsid w:val="1A300E92"/>
    <w:rsid w:val="1A3E69C8"/>
    <w:rsid w:val="1A4964D8"/>
    <w:rsid w:val="1A532F89"/>
    <w:rsid w:val="1A584433"/>
    <w:rsid w:val="1A5A1905"/>
    <w:rsid w:val="1A8D584D"/>
    <w:rsid w:val="1A9775C8"/>
    <w:rsid w:val="1AD63B04"/>
    <w:rsid w:val="1AF6583C"/>
    <w:rsid w:val="1B063D5C"/>
    <w:rsid w:val="1B625E6A"/>
    <w:rsid w:val="1B702CEB"/>
    <w:rsid w:val="1B7B66B5"/>
    <w:rsid w:val="1BB56CF6"/>
    <w:rsid w:val="1BC24B4B"/>
    <w:rsid w:val="1BDC39D9"/>
    <w:rsid w:val="1C225F98"/>
    <w:rsid w:val="1C270894"/>
    <w:rsid w:val="1C272EF4"/>
    <w:rsid w:val="1C356B51"/>
    <w:rsid w:val="1C4B17F6"/>
    <w:rsid w:val="1C5606E1"/>
    <w:rsid w:val="1C5E2675"/>
    <w:rsid w:val="1C6F6E3D"/>
    <w:rsid w:val="1C885C11"/>
    <w:rsid w:val="1CAB7BDB"/>
    <w:rsid w:val="1CAE425A"/>
    <w:rsid w:val="1CCF1BDB"/>
    <w:rsid w:val="1CF96C89"/>
    <w:rsid w:val="1CFB5503"/>
    <w:rsid w:val="1D320A97"/>
    <w:rsid w:val="1D3541D9"/>
    <w:rsid w:val="1D3E6FE0"/>
    <w:rsid w:val="1D4F2685"/>
    <w:rsid w:val="1D6753D3"/>
    <w:rsid w:val="1D6A1093"/>
    <w:rsid w:val="1D71209B"/>
    <w:rsid w:val="1DA10F7B"/>
    <w:rsid w:val="1E081FC4"/>
    <w:rsid w:val="1E2B499E"/>
    <w:rsid w:val="1E36116F"/>
    <w:rsid w:val="1E3E2D25"/>
    <w:rsid w:val="1E4507E4"/>
    <w:rsid w:val="1E4A2E19"/>
    <w:rsid w:val="1E6070EC"/>
    <w:rsid w:val="1E6210B8"/>
    <w:rsid w:val="1E683F82"/>
    <w:rsid w:val="1EC014EF"/>
    <w:rsid w:val="1EC664F8"/>
    <w:rsid w:val="1ECE0012"/>
    <w:rsid w:val="1EDA6951"/>
    <w:rsid w:val="1F167AF3"/>
    <w:rsid w:val="1F2A040A"/>
    <w:rsid w:val="1F5B65EB"/>
    <w:rsid w:val="1F6D524C"/>
    <w:rsid w:val="1FA84CE9"/>
    <w:rsid w:val="1FBA528A"/>
    <w:rsid w:val="1FC20717"/>
    <w:rsid w:val="1FE6001A"/>
    <w:rsid w:val="1FF91559"/>
    <w:rsid w:val="202E2201"/>
    <w:rsid w:val="202F2315"/>
    <w:rsid w:val="203732E5"/>
    <w:rsid w:val="20465798"/>
    <w:rsid w:val="20555606"/>
    <w:rsid w:val="207302C3"/>
    <w:rsid w:val="207F61E1"/>
    <w:rsid w:val="208A7C12"/>
    <w:rsid w:val="209F4849"/>
    <w:rsid w:val="20BA336C"/>
    <w:rsid w:val="20C917B4"/>
    <w:rsid w:val="20FD33CA"/>
    <w:rsid w:val="211D24F8"/>
    <w:rsid w:val="212E224E"/>
    <w:rsid w:val="216B09F7"/>
    <w:rsid w:val="219B1CD9"/>
    <w:rsid w:val="21A3266E"/>
    <w:rsid w:val="21C85D8A"/>
    <w:rsid w:val="21D71101"/>
    <w:rsid w:val="22155EFF"/>
    <w:rsid w:val="223070D4"/>
    <w:rsid w:val="22345C7D"/>
    <w:rsid w:val="22427AC0"/>
    <w:rsid w:val="224A1B49"/>
    <w:rsid w:val="22543FBB"/>
    <w:rsid w:val="226006F6"/>
    <w:rsid w:val="2265131A"/>
    <w:rsid w:val="228B52E3"/>
    <w:rsid w:val="22B42BC9"/>
    <w:rsid w:val="22F33FCF"/>
    <w:rsid w:val="22F447B1"/>
    <w:rsid w:val="23207452"/>
    <w:rsid w:val="23263544"/>
    <w:rsid w:val="234B5E1C"/>
    <w:rsid w:val="23532FD6"/>
    <w:rsid w:val="23632C30"/>
    <w:rsid w:val="2364528E"/>
    <w:rsid w:val="2395665B"/>
    <w:rsid w:val="23A2667D"/>
    <w:rsid w:val="23B3240B"/>
    <w:rsid w:val="23F56B46"/>
    <w:rsid w:val="240C64D5"/>
    <w:rsid w:val="24363828"/>
    <w:rsid w:val="24461526"/>
    <w:rsid w:val="24B73377"/>
    <w:rsid w:val="24F36825"/>
    <w:rsid w:val="24F605BE"/>
    <w:rsid w:val="250D7E56"/>
    <w:rsid w:val="251206CC"/>
    <w:rsid w:val="251B0AA1"/>
    <w:rsid w:val="25445D9E"/>
    <w:rsid w:val="254E0830"/>
    <w:rsid w:val="2556786A"/>
    <w:rsid w:val="25AE54C0"/>
    <w:rsid w:val="25BE29FC"/>
    <w:rsid w:val="263D4A6F"/>
    <w:rsid w:val="2641044F"/>
    <w:rsid w:val="2670408F"/>
    <w:rsid w:val="26737A8D"/>
    <w:rsid w:val="269A19B7"/>
    <w:rsid w:val="26BB1747"/>
    <w:rsid w:val="26C90A2D"/>
    <w:rsid w:val="26CF57CC"/>
    <w:rsid w:val="26DF0F0C"/>
    <w:rsid w:val="27022042"/>
    <w:rsid w:val="2715510C"/>
    <w:rsid w:val="275A73E3"/>
    <w:rsid w:val="275E5DA9"/>
    <w:rsid w:val="27636F98"/>
    <w:rsid w:val="276C29FF"/>
    <w:rsid w:val="276D397D"/>
    <w:rsid w:val="277D2A21"/>
    <w:rsid w:val="27AA26F1"/>
    <w:rsid w:val="27B13177"/>
    <w:rsid w:val="27B764B0"/>
    <w:rsid w:val="27BF1FB7"/>
    <w:rsid w:val="27FA0C6E"/>
    <w:rsid w:val="28045572"/>
    <w:rsid w:val="280B2AE2"/>
    <w:rsid w:val="281B6DE1"/>
    <w:rsid w:val="284C0B74"/>
    <w:rsid w:val="28702E17"/>
    <w:rsid w:val="28801D31"/>
    <w:rsid w:val="28855A7D"/>
    <w:rsid w:val="28A47EE5"/>
    <w:rsid w:val="28B830C8"/>
    <w:rsid w:val="28BD1A1E"/>
    <w:rsid w:val="28C26710"/>
    <w:rsid w:val="28FE0055"/>
    <w:rsid w:val="293B62A8"/>
    <w:rsid w:val="29411B73"/>
    <w:rsid w:val="2964077F"/>
    <w:rsid w:val="297448C0"/>
    <w:rsid w:val="29DB16DF"/>
    <w:rsid w:val="29EB624B"/>
    <w:rsid w:val="2A31569E"/>
    <w:rsid w:val="2A43500D"/>
    <w:rsid w:val="2A472991"/>
    <w:rsid w:val="2A517FAE"/>
    <w:rsid w:val="2A6642B5"/>
    <w:rsid w:val="2A8A01D6"/>
    <w:rsid w:val="2A8C7079"/>
    <w:rsid w:val="2A8D54B7"/>
    <w:rsid w:val="2AB4174C"/>
    <w:rsid w:val="2ABF25ED"/>
    <w:rsid w:val="2AC73417"/>
    <w:rsid w:val="2AC869C9"/>
    <w:rsid w:val="2B167DDF"/>
    <w:rsid w:val="2B22427B"/>
    <w:rsid w:val="2B2A3917"/>
    <w:rsid w:val="2B347F25"/>
    <w:rsid w:val="2B7330C5"/>
    <w:rsid w:val="2B8A086B"/>
    <w:rsid w:val="2B9E1E90"/>
    <w:rsid w:val="2BE95450"/>
    <w:rsid w:val="2C0440A1"/>
    <w:rsid w:val="2C0B6889"/>
    <w:rsid w:val="2C0D31A9"/>
    <w:rsid w:val="2C2643AF"/>
    <w:rsid w:val="2C273BFF"/>
    <w:rsid w:val="2C417662"/>
    <w:rsid w:val="2C4C599A"/>
    <w:rsid w:val="2C4E1464"/>
    <w:rsid w:val="2C5A5369"/>
    <w:rsid w:val="2C7D1B4B"/>
    <w:rsid w:val="2C837261"/>
    <w:rsid w:val="2CB019CA"/>
    <w:rsid w:val="2CC76232"/>
    <w:rsid w:val="2CF271A5"/>
    <w:rsid w:val="2D0000CF"/>
    <w:rsid w:val="2D0844A8"/>
    <w:rsid w:val="2D395076"/>
    <w:rsid w:val="2D426A09"/>
    <w:rsid w:val="2D69305E"/>
    <w:rsid w:val="2D7B65FD"/>
    <w:rsid w:val="2D8400D7"/>
    <w:rsid w:val="2D851D9A"/>
    <w:rsid w:val="2D8D35D0"/>
    <w:rsid w:val="2D995BC6"/>
    <w:rsid w:val="2DA15049"/>
    <w:rsid w:val="2E1072D0"/>
    <w:rsid w:val="2E5F6B11"/>
    <w:rsid w:val="2E6518E6"/>
    <w:rsid w:val="2EA35766"/>
    <w:rsid w:val="2EAA5A98"/>
    <w:rsid w:val="2EAC5FB8"/>
    <w:rsid w:val="2EAE2419"/>
    <w:rsid w:val="2EBF4EB1"/>
    <w:rsid w:val="2EDE0726"/>
    <w:rsid w:val="2EF7146D"/>
    <w:rsid w:val="2F254788"/>
    <w:rsid w:val="2F60088A"/>
    <w:rsid w:val="2F7B10A8"/>
    <w:rsid w:val="2FA24B2C"/>
    <w:rsid w:val="2FA80522"/>
    <w:rsid w:val="2FB41354"/>
    <w:rsid w:val="2FBA7536"/>
    <w:rsid w:val="2FCD7ABF"/>
    <w:rsid w:val="2FE7396B"/>
    <w:rsid w:val="300A1BE5"/>
    <w:rsid w:val="300D7D4A"/>
    <w:rsid w:val="301B7F96"/>
    <w:rsid w:val="30691267"/>
    <w:rsid w:val="30836B34"/>
    <w:rsid w:val="30A947A7"/>
    <w:rsid w:val="30C24CD7"/>
    <w:rsid w:val="310476A5"/>
    <w:rsid w:val="31151DF1"/>
    <w:rsid w:val="312E4579"/>
    <w:rsid w:val="314F26BF"/>
    <w:rsid w:val="315138CA"/>
    <w:rsid w:val="315D3A23"/>
    <w:rsid w:val="315E491C"/>
    <w:rsid w:val="319477C7"/>
    <w:rsid w:val="31BF587D"/>
    <w:rsid w:val="31FE7C49"/>
    <w:rsid w:val="324222E4"/>
    <w:rsid w:val="324463DD"/>
    <w:rsid w:val="3272133F"/>
    <w:rsid w:val="327B4F2F"/>
    <w:rsid w:val="32AF789D"/>
    <w:rsid w:val="32BA6D64"/>
    <w:rsid w:val="32D31265"/>
    <w:rsid w:val="332566C6"/>
    <w:rsid w:val="334F2891"/>
    <w:rsid w:val="339F3C53"/>
    <w:rsid w:val="33F05A9A"/>
    <w:rsid w:val="344F4A69"/>
    <w:rsid w:val="345475A0"/>
    <w:rsid w:val="346644D8"/>
    <w:rsid w:val="346C5D96"/>
    <w:rsid w:val="346F6EED"/>
    <w:rsid w:val="34706BC9"/>
    <w:rsid w:val="34782B79"/>
    <w:rsid w:val="34815D00"/>
    <w:rsid w:val="34906EBC"/>
    <w:rsid w:val="3494191B"/>
    <w:rsid w:val="34BE5ABB"/>
    <w:rsid w:val="34C658FC"/>
    <w:rsid w:val="34C6696F"/>
    <w:rsid w:val="34CC2C4C"/>
    <w:rsid w:val="34D53DB4"/>
    <w:rsid w:val="34D84DA0"/>
    <w:rsid w:val="34EC12FA"/>
    <w:rsid w:val="34ED3B35"/>
    <w:rsid w:val="34ED3C88"/>
    <w:rsid w:val="34ED6AC9"/>
    <w:rsid w:val="34FE1204"/>
    <w:rsid w:val="35325B86"/>
    <w:rsid w:val="35373B80"/>
    <w:rsid w:val="356976B5"/>
    <w:rsid w:val="35A17D69"/>
    <w:rsid w:val="35B6520A"/>
    <w:rsid w:val="35DF78D2"/>
    <w:rsid w:val="360607D9"/>
    <w:rsid w:val="36190C5C"/>
    <w:rsid w:val="361A5E43"/>
    <w:rsid w:val="363D616D"/>
    <w:rsid w:val="364B309E"/>
    <w:rsid w:val="365A02DB"/>
    <w:rsid w:val="36772D31"/>
    <w:rsid w:val="3680580C"/>
    <w:rsid w:val="36BF1CB1"/>
    <w:rsid w:val="36C43AD6"/>
    <w:rsid w:val="36C47EB2"/>
    <w:rsid w:val="36C774C5"/>
    <w:rsid w:val="36CD19E7"/>
    <w:rsid w:val="36CE6BDA"/>
    <w:rsid w:val="36D40252"/>
    <w:rsid w:val="36F5556E"/>
    <w:rsid w:val="373055FC"/>
    <w:rsid w:val="37341B43"/>
    <w:rsid w:val="37407194"/>
    <w:rsid w:val="374E40B8"/>
    <w:rsid w:val="37A159D8"/>
    <w:rsid w:val="37E352AA"/>
    <w:rsid w:val="381769D2"/>
    <w:rsid w:val="382615A3"/>
    <w:rsid w:val="382F4131"/>
    <w:rsid w:val="38371E86"/>
    <w:rsid w:val="385054B4"/>
    <w:rsid w:val="385A07E5"/>
    <w:rsid w:val="386A4F97"/>
    <w:rsid w:val="387577CE"/>
    <w:rsid w:val="388F1FEF"/>
    <w:rsid w:val="38974E77"/>
    <w:rsid w:val="389E008F"/>
    <w:rsid w:val="38A94C99"/>
    <w:rsid w:val="38D6246F"/>
    <w:rsid w:val="38F00189"/>
    <w:rsid w:val="38F5276B"/>
    <w:rsid w:val="391B35CB"/>
    <w:rsid w:val="393F3129"/>
    <w:rsid w:val="396F2E38"/>
    <w:rsid w:val="39D30D2A"/>
    <w:rsid w:val="39E5694D"/>
    <w:rsid w:val="3A024BCD"/>
    <w:rsid w:val="3A163C3F"/>
    <w:rsid w:val="3A264483"/>
    <w:rsid w:val="3A330942"/>
    <w:rsid w:val="3A3C70DA"/>
    <w:rsid w:val="3A557C10"/>
    <w:rsid w:val="3A7618AF"/>
    <w:rsid w:val="3A77322B"/>
    <w:rsid w:val="3A8E5D10"/>
    <w:rsid w:val="3A9A2363"/>
    <w:rsid w:val="3AE11A4E"/>
    <w:rsid w:val="3B10495E"/>
    <w:rsid w:val="3B2A4FB6"/>
    <w:rsid w:val="3B4474CF"/>
    <w:rsid w:val="3B55695D"/>
    <w:rsid w:val="3B635702"/>
    <w:rsid w:val="3B932D9C"/>
    <w:rsid w:val="3BA816A5"/>
    <w:rsid w:val="3BBD6D16"/>
    <w:rsid w:val="3BCF4EDF"/>
    <w:rsid w:val="3BD26834"/>
    <w:rsid w:val="3C030AB7"/>
    <w:rsid w:val="3C086EA2"/>
    <w:rsid w:val="3C19288C"/>
    <w:rsid w:val="3C452D6E"/>
    <w:rsid w:val="3C5830E2"/>
    <w:rsid w:val="3C7660DA"/>
    <w:rsid w:val="3CAA2E00"/>
    <w:rsid w:val="3CBA43FC"/>
    <w:rsid w:val="3CCE5FE8"/>
    <w:rsid w:val="3D567052"/>
    <w:rsid w:val="3D573AAE"/>
    <w:rsid w:val="3D96052C"/>
    <w:rsid w:val="3D9C5A50"/>
    <w:rsid w:val="3DC9207F"/>
    <w:rsid w:val="3DCA08FE"/>
    <w:rsid w:val="3DCF3F1B"/>
    <w:rsid w:val="3DDC6AF7"/>
    <w:rsid w:val="3E503369"/>
    <w:rsid w:val="3E5F1E94"/>
    <w:rsid w:val="3E6709FD"/>
    <w:rsid w:val="3E677DEB"/>
    <w:rsid w:val="3E7C4BCD"/>
    <w:rsid w:val="3EC965E6"/>
    <w:rsid w:val="3EF9248F"/>
    <w:rsid w:val="3EFE0737"/>
    <w:rsid w:val="3F022944"/>
    <w:rsid w:val="3F0C3C2E"/>
    <w:rsid w:val="3F125943"/>
    <w:rsid w:val="3F1B2335"/>
    <w:rsid w:val="3F1E56A2"/>
    <w:rsid w:val="3F732FFB"/>
    <w:rsid w:val="3F763756"/>
    <w:rsid w:val="3F781FB5"/>
    <w:rsid w:val="3F817D6A"/>
    <w:rsid w:val="3F975BBF"/>
    <w:rsid w:val="3FA32394"/>
    <w:rsid w:val="3FAF4912"/>
    <w:rsid w:val="3FBC2A73"/>
    <w:rsid w:val="3FBE0741"/>
    <w:rsid w:val="3FFC10E2"/>
    <w:rsid w:val="40426DB9"/>
    <w:rsid w:val="40611F9D"/>
    <w:rsid w:val="40690B5F"/>
    <w:rsid w:val="406A72FF"/>
    <w:rsid w:val="408E4E41"/>
    <w:rsid w:val="40B16172"/>
    <w:rsid w:val="40CB1477"/>
    <w:rsid w:val="40CD787E"/>
    <w:rsid w:val="40D66DCB"/>
    <w:rsid w:val="40F05E24"/>
    <w:rsid w:val="41007DB1"/>
    <w:rsid w:val="41191BC7"/>
    <w:rsid w:val="412617D0"/>
    <w:rsid w:val="41480495"/>
    <w:rsid w:val="41574574"/>
    <w:rsid w:val="4173422C"/>
    <w:rsid w:val="41E02558"/>
    <w:rsid w:val="42033B56"/>
    <w:rsid w:val="421B7832"/>
    <w:rsid w:val="421E0D71"/>
    <w:rsid w:val="42244E05"/>
    <w:rsid w:val="42254A34"/>
    <w:rsid w:val="42621333"/>
    <w:rsid w:val="429462ED"/>
    <w:rsid w:val="42A25714"/>
    <w:rsid w:val="42BC7DDF"/>
    <w:rsid w:val="42C0449D"/>
    <w:rsid w:val="42CB6E04"/>
    <w:rsid w:val="43055B5C"/>
    <w:rsid w:val="43076C51"/>
    <w:rsid w:val="430F4029"/>
    <w:rsid w:val="43396F08"/>
    <w:rsid w:val="4353208A"/>
    <w:rsid w:val="437E2698"/>
    <w:rsid w:val="43930EDD"/>
    <w:rsid w:val="43AD43B9"/>
    <w:rsid w:val="43E45E4E"/>
    <w:rsid w:val="440426EB"/>
    <w:rsid w:val="44075B70"/>
    <w:rsid w:val="44140268"/>
    <w:rsid w:val="44201AAB"/>
    <w:rsid w:val="442A1686"/>
    <w:rsid w:val="44345DAC"/>
    <w:rsid w:val="44353837"/>
    <w:rsid w:val="443B46C4"/>
    <w:rsid w:val="444863D8"/>
    <w:rsid w:val="444C7E81"/>
    <w:rsid w:val="446B5E0D"/>
    <w:rsid w:val="448A72D9"/>
    <w:rsid w:val="449F32AB"/>
    <w:rsid w:val="44A66B56"/>
    <w:rsid w:val="44A739E1"/>
    <w:rsid w:val="44BB2959"/>
    <w:rsid w:val="44C36B1C"/>
    <w:rsid w:val="44E501E1"/>
    <w:rsid w:val="44EF1B82"/>
    <w:rsid w:val="4506059B"/>
    <w:rsid w:val="4514163A"/>
    <w:rsid w:val="453B6C2D"/>
    <w:rsid w:val="45617A2D"/>
    <w:rsid w:val="45797C51"/>
    <w:rsid w:val="45841395"/>
    <w:rsid w:val="45A168B6"/>
    <w:rsid w:val="45AB5674"/>
    <w:rsid w:val="45BA0292"/>
    <w:rsid w:val="45E23D3B"/>
    <w:rsid w:val="45EE4E64"/>
    <w:rsid w:val="461B2714"/>
    <w:rsid w:val="461B535F"/>
    <w:rsid w:val="46242B43"/>
    <w:rsid w:val="4630503A"/>
    <w:rsid w:val="4641069E"/>
    <w:rsid w:val="46480AC4"/>
    <w:rsid w:val="465C0A70"/>
    <w:rsid w:val="466F0A86"/>
    <w:rsid w:val="46A75F6F"/>
    <w:rsid w:val="46AB5C21"/>
    <w:rsid w:val="46AF11EF"/>
    <w:rsid w:val="46C51531"/>
    <w:rsid w:val="46D078B4"/>
    <w:rsid w:val="46F41301"/>
    <w:rsid w:val="46FC6C97"/>
    <w:rsid w:val="470F49B5"/>
    <w:rsid w:val="47332A56"/>
    <w:rsid w:val="473B1E18"/>
    <w:rsid w:val="473D2DF8"/>
    <w:rsid w:val="474A6941"/>
    <w:rsid w:val="47551D86"/>
    <w:rsid w:val="477632D2"/>
    <w:rsid w:val="47A32B59"/>
    <w:rsid w:val="47E94783"/>
    <w:rsid w:val="47F66832"/>
    <w:rsid w:val="48027FD5"/>
    <w:rsid w:val="4812105C"/>
    <w:rsid w:val="48161DCD"/>
    <w:rsid w:val="481B6936"/>
    <w:rsid w:val="482D71A4"/>
    <w:rsid w:val="48304776"/>
    <w:rsid w:val="48347639"/>
    <w:rsid w:val="48576527"/>
    <w:rsid w:val="48805F6C"/>
    <w:rsid w:val="48992473"/>
    <w:rsid w:val="48B540F8"/>
    <w:rsid w:val="48C41A98"/>
    <w:rsid w:val="48EB229A"/>
    <w:rsid w:val="49294530"/>
    <w:rsid w:val="49324094"/>
    <w:rsid w:val="494A2A5D"/>
    <w:rsid w:val="49852D39"/>
    <w:rsid w:val="499C6261"/>
    <w:rsid w:val="499D4260"/>
    <w:rsid w:val="49B451D1"/>
    <w:rsid w:val="49BE18E5"/>
    <w:rsid w:val="49C64EE4"/>
    <w:rsid w:val="49DE6C06"/>
    <w:rsid w:val="4AA746F4"/>
    <w:rsid w:val="4ABC4E32"/>
    <w:rsid w:val="4AE92B7B"/>
    <w:rsid w:val="4B150642"/>
    <w:rsid w:val="4B2414BC"/>
    <w:rsid w:val="4B3333A4"/>
    <w:rsid w:val="4B4115F6"/>
    <w:rsid w:val="4B4B1BBB"/>
    <w:rsid w:val="4B6C56B6"/>
    <w:rsid w:val="4B807D59"/>
    <w:rsid w:val="4BA72EF2"/>
    <w:rsid w:val="4BC930A1"/>
    <w:rsid w:val="4C1C2AE1"/>
    <w:rsid w:val="4C2C143E"/>
    <w:rsid w:val="4C3E203F"/>
    <w:rsid w:val="4C4623ED"/>
    <w:rsid w:val="4C4A2448"/>
    <w:rsid w:val="4C515D8C"/>
    <w:rsid w:val="4C6E66B9"/>
    <w:rsid w:val="4C9A7A0B"/>
    <w:rsid w:val="4CBE6A7F"/>
    <w:rsid w:val="4CF6285E"/>
    <w:rsid w:val="4D2B7746"/>
    <w:rsid w:val="4D5E790C"/>
    <w:rsid w:val="4D68697E"/>
    <w:rsid w:val="4D7918C2"/>
    <w:rsid w:val="4DB11D90"/>
    <w:rsid w:val="4DC0350C"/>
    <w:rsid w:val="4DE42AB7"/>
    <w:rsid w:val="4DED52D5"/>
    <w:rsid w:val="4E2B456A"/>
    <w:rsid w:val="4E3B2540"/>
    <w:rsid w:val="4E7611CD"/>
    <w:rsid w:val="4ECF17A1"/>
    <w:rsid w:val="4F0D4D7F"/>
    <w:rsid w:val="4F610DF7"/>
    <w:rsid w:val="4F73779A"/>
    <w:rsid w:val="4F795D2F"/>
    <w:rsid w:val="4F813FBC"/>
    <w:rsid w:val="4FA520C6"/>
    <w:rsid w:val="4FAC7581"/>
    <w:rsid w:val="4FB97DFA"/>
    <w:rsid w:val="4FF86CE4"/>
    <w:rsid w:val="500B00E9"/>
    <w:rsid w:val="502409CF"/>
    <w:rsid w:val="50441ABC"/>
    <w:rsid w:val="50457E94"/>
    <w:rsid w:val="505C2484"/>
    <w:rsid w:val="508B330A"/>
    <w:rsid w:val="50902684"/>
    <w:rsid w:val="50DF56DA"/>
    <w:rsid w:val="510500B3"/>
    <w:rsid w:val="510B6A40"/>
    <w:rsid w:val="51101C66"/>
    <w:rsid w:val="51352735"/>
    <w:rsid w:val="513E6E57"/>
    <w:rsid w:val="51590631"/>
    <w:rsid w:val="516A1F01"/>
    <w:rsid w:val="519E0C3C"/>
    <w:rsid w:val="51CA5022"/>
    <w:rsid w:val="51D47608"/>
    <w:rsid w:val="51DC7471"/>
    <w:rsid w:val="51E45838"/>
    <w:rsid w:val="51E80C3A"/>
    <w:rsid w:val="51EC34F8"/>
    <w:rsid w:val="52272456"/>
    <w:rsid w:val="52432980"/>
    <w:rsid w:val="525275D6"/>
    <w:rsid w:val="525B7138"/>
    <w:rsid w:val="52693681"/>
    <w:rsid w:val="527103FC"/>
    <w:rsid w:val="529A792F"/>
    <w:rsid w:val="52A4759B"/>
    <w:rsid w:val="52B35629"/>
    <w:rsid w:val="52D32AFD"/>
    <w:rsid w:val="52F10AB6"/>
    <w:rsid w:val="53481136"/>
    <w:rsid w:val="53690390"/>
    <w:rsid w:val="53784748"/>
    <w:rsid w:val="537B518E"/>
    <w:rsid w:val="537D24E5"/>
    <w:rsid w:val="539F3171"/>
    <w:rsid w:val="53AB2D20"/>
    <w:rsid w:val="53F543EE"/>
    <w:rsid w:val="53FD01B2"/>
    <w:rsid w:val="54332D5C"/>
    <w:rsid w:val="543376F2"/>
    <w:rsid w:val="5466258B"/>
    <w:rsid w:val="546F5F53"/>
    <w:rsid w:val="54AB37FC"/>
    <w:rsid w:val="54B558D2"/>
    <w:rsid w:val="54D06B85"/>
    <w:rsid w:val="54D32021"/>
    <w:rsid w:val="551D2604"/>
    <w:rsid w:val="5533466F"/>
    <w:rsid w:val="554C347C"/>
    <w:rsid w:val="554E1E48"/>
    <w:rsid w:val="558161E2"/>
    <w:rsid w:val="558C5407"/>
    <w:rsid w:val="55992337"/>
    <w:rsid w:val="55AD1EB5"/>
    <w:rsid w:val="55B15129"/>
    <w:rsid w:val="55D002DE"/>
    <w:rsid w:val="55D90460"/>
    <w:rsid w:val="56024C66"/>
    <w:rsid w:val="561F1F50"/>
    <w:rsid w:val="56262AA1"/>
    <w:rsid w:val="562E2336"/>
    <w:rsid w:val="564730C1"/>
    <w:rsid w:val="56571DD2"/>
    <w:rsid w:val="565A6C07"/>
    <w:rsid w:val="565B3D7C"/>
    <w:rsid w:val="565F1615"/>
    <w:rsid w:val="56604D7E"/>
    <w:rsid w:val="567A725D"/>
    <w:rsid w:val="56871B43"/>
    <w:rsid w:val="56914AB3"/>
    <w:rsid w:val="56A8141C"/>
    <w:rsid w:val="56B24AC3"/>
    <w:rsid w:val="56E32C07"/>
    <w:rsid w:val="56F66169"/>
    <w:rsid w:val="57363FAA"/>
    <w:rsid w:val="57472060"/>
    <w:rsid w:val="5779429D"/>
    <w:rsid w:val="578C595A"/>
    <w:rsid w:val="57985263"/>
    <w:rsid w:val="57A62B27"/>
    <w:rsid w:val="57BD5297"/>
    <w:rsid w:val="57E74100"/>
    <w:rsid w:val="58266C10"/>
    <w:rsid w:val="584C0BBF"/>
    <w:rsid w:val="58710F37"/>
    <w:rsid w:val="58A97E5B"/>
    <w:rsid w:val="58DF6CF4"/>
    <w:rsid w:val="5904132B"/>
    <w:rsid w:val="59140D7B"/>
    <w:rsid w:val="59157827"/>
    <w:rsid w:val="593F6D91"/>
    <w:rsid w:val="594400A5"/>
    <w:rsid w:val="59460EC7"/>
    <w:rsid w:val="59607984"/>
    <w:rsid w:val="596F1BFE"/>
    <w:rsid w:val="59C90F05"/>
    <w:rsid w:val="59FB2AF1"/>
    <w:rsid w:val="5A12550A"/>
    <w:rsid w:val="5A1F37DA"/>
    <w:rsid w:val="5A373203"/>
    <w:rsid w:val="5A3742AD"/>
    <w:rsid w:val="5A5067F1"/>
    <w:rsid w:val="5A5C51DF"/>
    <w:rsid w:val="5A9410D3"/>
    <w:rsid w:val="5AA32F7D"/>
    <w:rsid w:val="5AAC59A4"/>
    <w:rsid w:val="5AB23A35"/>
    <w:rsid w:val="5ACB0186"/>
    <w:rsid w:val="5ADC2306"/>
    <w:rsid w:val="5AE376F2"/>
    <w:rsid w:val="5AF413B3"/>
    <w:rsid w:val="5AFF31B5"/>
    <w:rsid w:val="5B213508"/>
    <w:rsid w:val="5B4F7AA0"/>
    <w:rsid w:val="5B754DCF"/>
    <w:rsid w:val="5B951966"/>
    <w:rsid w:val="5BFE0C9C"/>
    <w:rsid w:val="5C0344A0"/>
    <w:rsid w:val="5C0A42B8"/>
    <w:rsid w:val="5C2A1A4D"/>
    <w:rsid w:val="5C3914B8"/>
    <w:rsid w:val="5C6D68F5"/>
    <w:rsid w:val="5C745D60"/>
    <w:rsid w:val="5C85755D"/>
    <w:rsid w:val="5CC10888"/>
    <w:rsid w:val="5D29601C"/>
    <w:rsid w:val="5D734B5D"/>
    <w:rsid w:val="5D7647EC"/>
    <w:rsid w:val="5D8B40D2"/>
    <w:rsid w:val="5DBA1FF8"/>
    <w:rsid w:val="5DC65315"/>
    <w:rsid w:val="5DF82171"/>
    <w:rsid w:val="5DF86BCD"/>
    <w:rsid w:val="5E10717F"/>
    <w:rsid w:val="5E1C171E"/>
    <w:rsid w:val="5E1D3725"/>
    <w:rsid w:val="5E2D0220"/>
    <w:rsid w:val="5E37668B"/>
    <w:rsid w:val="5E687824"/>
    <w:rsid w:val="5E8A597E"/>
    <w:rsid w:val="5E934598"/>
    <w:rsid w:val="5E9C51FA"/>
    <w:rsid w:val="5EAD2CA1"/>
    <w:rsid w:val="5EB05373"/>
    <w:rsid w:val="5EB41003"/>
    <w:rsid w:val="5EB41721"/>
    <w:rsid w:val="5EC42D73"/>
    <w:rsid w:val="5EC872CF"/>
    <w:rsid w:val="5ED54C52"/>
    <w:rsid w:val="5EEB67F5"/>
    <w:rsid w:val="5F0B3196"/>
    <w:rsid w:val="5F1A0E03"/>
    <w:rsid w:val="5F5A0393"/>
    <w:rsid w:val="5F92436A"/>
    <w:rsid w:val="5FB67E26"/>
    <w:rsid w:val="5FEB1697"/>
    <w:rsid w:val="601F72DD"/>
    <w:rsid w:val="605B7944"/>
    <w:rsid w:val="608B7F4C"/>
    <w:rsid w:val="60AA7134"/>
    <w:rsid w:val="60B53C44"/>
    <w:rsid w:val="60C346C6"/>
    <w:rsid w:val="60C73328"/>
    <w:rsid w:val="60DD5E59"/>
    <w:rsid w:val="60F266A6"/>
    <w:rsid w:val="60FE2281"/>
    <w:rsid w:val="6114072B"/>
    <w:rsid w:val="61141727"/>
    <w:rsid w:val="611B34F2"/>
    <w:rsid w:val="61772D97"/>
    <w:rsid w:val="61A07D42"/>
    <w:rsid w:val="61CA25E5"/>
    <w:rsid w:val="61D41829"/>
    <w:rsid w:val="61F05001"/>
    <w:rsid w:val="621252F9"/>
    <w:rsid w:val="62135B16"/>
    <w:rsid w:val="621B07EB"/>
    <w:rsid w:val="621D344A"/>
    <w:rsid w:val="622E7D37"/>
    <w:rsid w:val="62456B57"/>
    <w:rsid w:val="625B71AC"/>
    <w:rsid w:val="625E1FC6"/>
    <w:rsid w:val="62974767"/>
    <w:rsid w:val="62E321F7"/>
    <w:rsid w:val="62EE09F7"/>
    <w:rsid w:val="630048F7"/>
    <w:rsid w:val="63073F31"/>
    <w:rsid w:val="63215DB8"/>
    <w:rsid w:val="632757F0"/>
    <w:rsid w:val="63B463E2"/>
    <w:rsid w:val="63B77B8E"/>
    <w:rsid w:val="63CE5514"/>
    <w:rsid w:val="641801ED"/>
    <w:rsid w:val="64295B3A"/>
    <w:rsid w:val="643F33B0"/>
    <w:rsid w:val="645079A9"/>
    <w:rsid w:val="645C0825"/>
    <w:rsid w:val="646B3905"/>
    <w:rsid w:val="648E77F2"/>
    <w:rsid w:val="649E1709"/>
    <w:rsid w:val="64AC27F4"/>
    <w:rsid w:val="64B23D5B"/>
    <w:rsid w:val="64BD2100"/>
    <w:rsid w:val="64BE130D"/>
    <w:rsid w:val="64C85F6E"/>
    <w:rsid w:val="64D7639E"/>
    <w:rsid w:val="64F53F29"/>
    <w:rsid w:val="650A4AEB"/>
    <w:rsid w:val="655468AC"/>
    <w:rsid w:val="657E2848"/>
    <w:rsid w:val="65A951A6"/>
    <w:rsid w:val="65B253BE"/>
    <w:rsid w:val="65CA4FC0"/>
    <w:rsid w:val="65ED698D"/>
    <w:rsid w:val="66337F02"/>
    <w:rsid w:val="66356A69"/>
    <w:rsid w:val="664F313B"/>
    <w:rsid w:val="666E595E"/>
    <w:rsid w:val="668F7750"/>
    <w:rsid w:val="669E173D"/>
    <w:rsid w:val="66F70374"/>
    <w:rsid w:val="66F75D4B"/>
    <w:rsid w:val="672F18BD"/>
    <w:rsid w:val="67321963"/>
    <w:rsid w:val="67372FC6"/>
    <w:rsid w:val="674003AF"/>
    <w:rsid w:val="67524CAD"/>
    <w:rsid w:val="67860244"/>
    <w:rsid w:val="679E4E5F"/>
    <w:rsid w:val="67C174B1"/>
    <w:rsid w:val="67C96E71"/>
    <w:rsid w:val="67FA2386"/>
    <w:rsid w:val="67FE0233"/>
    <w:rsid w:val="68000823"/>
    <w:rsid w:val="682A3453"/>
    <w:rsid w:val="682E2549"/>
    <w:rsid w:val="682F61EE"/>
    <w:rsid w:val="68375D1F"/>
    <w:rsid w:val="683B79AA"/>
    <w:rsid w:val="68562FF8"/>
    <w:rsid w:val="6878082B"/>
    <w:rsid w:val="687A7A7D"/>
    <w:rsid w:val="68846E47"/>
    <w:rsid w:val="689D4346"/>
    <w:rsid w:val="68A02F82"/>
    <w:rsid w:val="68E66D01"/>
    <w:rsid w:val="68F10571"/>
    <w:rsid w:val="690F5C3B"/>
    <w:rsid w:val="6915393E"/>
    <w:rsid w:val="692B0CE1"/>
    <w:rsid w:val="693772D0"/>
    <w:rsid w:val="693C1BAD"/>
    <w:rsid w:val="694E6A8C"/>
    <w:rsid w:val="694F1C50"/>
    <w:rsid w:val="696939E7"/>
    <w:rsid w:val="6976424E"/>
    <w:rsid w:val="697A5CDE"/>
    <w:rsid w:val="69D01D88"/>
    <w:rsid w:val="69D6003B"/>
    <w:rsid w:val="69D81DB5"/>
    <w:rsid w:val="69DC3A6D"/>
    <w:rsid w:val="69F355B0"/>
    <w:rsid w:val="69F8671F"/>
    <w:rsid w:val="6A1560B0"/>
    <w:rsid w:val="6A160FCF"/>
    <w:rsid w:val="6A296146"/>
    <w:rsid w:val="6A7F3887"/>
    <w:rsid w:val="6A8709BB"/>
    <w:rsid w:val="6A8F72B9"/>
    <w:rsid w:val="6AAB7F50"/>
    <w:rsid w:val="6AF20FCD"/>
    <w:rsid w:val="6B2B6D43"/>
    <w:rsid w:val="6B34336F"/>
    <w:rsid w:val="6B564ACF"/>
    <w:rsid w:val="6B616392"/>
    <w:rsid w:val="6B8543AA"/>
    <w:rsid w:val="6BB46349"/>
    <w:rsid w:val="6BBE7237"/>
    <w:rsid w:val="6BCB23F3"/>
    <w:rsid w:val="6BEA2F62"/>
    <w:rsid w:val="6BF2618E"/>
    <w:rsid w:val="6C310293"/>
    <w:rsid w:val="6C5D7FE5"/>
    <w:rsid w:val="6CC90D79"/>
    <w:rsid w:val="6CFB1EF1"/>
    <w:rsid w:val="6D3933F2"/>
    <w:rsid w:val="6D476E8B"/>
    <w:rsid w:val="6D4A12E5"/>
    <w:rsid w:val="6D6C728C"/>
    <w:rsid w:val="6D8B1741"/>
    <w:rsid w:val="6D987456"/>
    <w:rsid w:val="6D9956BA"/>
    <w:rsid w:val="6DF06D12"/>
    <w:rsid w:val="6DFC351E"/>
    <w:rsid w:val="6E5E52A7"/>
    <w:rsid w:val="6E625129"/>
    <w:rsid w:val="6E673517"/>
    <w:rsid w:val="6E9D7076"/>
    <w:rsid w:val="6EA16987"/>
    <w:rsid w:val="6EB46F69"/>
    <w:rsid w:val="6ED8510E"/>
    <w:rsid w:val="6F0B1DCA"/>
    <w:rsid w:val="6F484143"/>
    <w:rsid w:val="6F574271"/>
    <w:rsid w:val="6F646EB9"/>
    <w:rsid w:val="6F750F26"/>
    <w:rsid w:val="6F770228"/>
    <w:rsid w:val="6F7B72E9"/>
    <w:rsid w:val="6F8445D4"/>
    <w:rsid w:val="6F8D5C1A"/>
    <w:rsid w:val="6F8E342E"/>
    <w:rsid w:val="6F9F7B1B"/>
    <w:rsid w:val="6FA77CDB"/>
    <w:rsid w:val="6FA8133A"/>
    <w:rsid w:val="6FAE4177"/>
    <w:rsid w:val="6FD27139"/>
    <w:rsid w:val="70134CBF"/>
    <w:rsid w:val="70452F15"/>
    <w:rsid w:val="70777359"/>
    <w:rsid w:val="70AF6013"/>
    <w:rsid w:val="70CD2B48"/>
    <w:rsid w:val="70CF41BD"/>
    <w:rsid w:val="70E90B8E"/>
    <w:rsid w:val="71126EE7"/>
    <w:rsid w:val="711F429D"/>
    <w:rsid w:val="71231950"/>
    <w:rsid w:val="715C67EB"/>
    <w:rsid w:val="715F49B2"/>
    <w:rsid w:val="71654E27"/>
    <w:rsid w:val="71810CC4"/>
    <w:rsid w:val="71951921"/>
    <w:rsid w:val="719E73CE"/>
    <w:rsid w:val="71EC411C"/>
    <w:rsid w:val="71F6500C"/>
    <w:rsid w:val="71F73574"/>
    <w:rsid w:val="72AB1549"/>
    <w:rsid w:val="72BB70AC"/>
    <w:rsid w:val="72D4750A"/>
    <w:rsid w:val="734642F2"/>
    <w:rsid w:val="73554661"/>
    <w:rsid w:val="737E24ED"/>
    <w:rsid w:val="738E0060"/>
    <w:rsid w:val="73934390"/>
    <w:rsid w:val="73A033BC"/>
    <w:rsid w:val="73A86E9D"/>
    <w:rsid w:val="73BC6E43"/>
    <w:rsid w:val="73F91DCB"/>
    <w:rsid w:val="740404D7"/>
    <w:rsid w:val="74064BCC"/>
    <w:rsid w:val="740C644E"/>
    <w:rsid w:val="74203020"/>
    <w:rsid w:val="74482B45"/>
    <w:rsid w:val="74840DEB"/>
    <w:rsid w:val="7498670A"/>
    <w:rsid w:val="74E22636"/>
    <w:rsid w:val="74EE3F86"/>
    <w:rsid w:val="75086032"/>
    <w:rsid w:val="75117886"/>
    <w:rsid w:val="75186B03"/>
    <w:rsid w:val="751A65F8"/>
    <w:rsid w:val="75323B0D"/>
    <w:rsid w:val="757C043C"/>
    <w:rsid w:val="758B70E7"/>
    <w:rsid w:val="758E41A2"/>
    <w:rsid w:val="75A61BD2"/>
    <w:rsid w:val="75B3517B"/>
    <w:rsid w:val="75C8724A"/>
    <w:rsid w:val="75DF0E81"/>
    <w:rsid w:val="76134845"/>
    <w:rsid w:val="763079A3"/>
    <w:rsid w:val="763922F4"/>
    <w:rsid w:val="764D494C"/>
    <w:rsid w:val="766822E8"/>
    <w:rsid w:val="76AB4A51"/>
    <w:rsid w:val="76B45A88"/>
    <w:rsid w:val="76BA2BE6"/>
    <w:rsid w:val="76EB171D"/>
    <w:rsid w:val="76F43565"/>
    <w:rsid w:val="76F611C4"/>
    <w:rsid w:val="76F8399D"/>
    <w:rsid w:val="77022A79"/>
    <w:rsid w:val="77434316"/>
    <w:rsid w:val="77456278"/>
    <w:rsid w:val="77464D68"/>
    <w:rsid w:val="774B075C"/>
    <w:rsid w:val="77502698"/>
    <w:rsid w:val="77896DD2"/>
    <w:rsid w:val="77DBFCAF"/>
    <w:rsid w:val="77FB03E0"/>
    <w:rsid w:val="782A7F03"/>
    <w:rsid w:val="78864E9F"/>
    <w:rsid w:val="78A64665"/>
    <w:rsid w:val="78CA3530"/>
    <w:rsid w:val="7915488B"/>
    <w:rsid w:val="795B5726"/>
    <w:rsid w:val="79616DC4"/>
    <w:rsid w:val="798966D8"/>
    <w:rsid w:val="79E820BE"/>
    <w:rsid w:val="79E86ADE"/>
    <w:rsid w:val="7A004430"/>
    <w:rsid w:val="7A350CD5"/>
    <w:rsid w:val="7A862644"/>
    <w:rsid w:val="7A9A3EDF"/>
    <w:rsid w:val="7AAD78BF"/>
    <w:rsid w:val="7AC20E3A"/>
    <w:rsid w:val="7AD63356"/>
    <w:rsid w:val="7AEA4D87"/>
    <w:rsid w:val="7B312E12"/>
    <w:rsid w:val="7B331A90"/>
    <w:rsid w:val="7B4128F5"/>
    <w:rsid w:val="7B465735"/>
    <w:rsid w:val="7B4A732B"/>
    <w:rsid w:val="7B58415C"/>
    <w:rsid w:val="7B681A01"/>
    <w:rsid w:val="7B683BE4"/>
    <w:rsid w:val="7B86410F"/>
    <w:rsid w:val="7BD3539E"/>
    <w:rsid w:val="7BED32DA"/>
    <w:rsid w:val="7C47478B"/>
    <w:rsid w:val="7C4C31AD"/>
    <w:rsid w:val="7C532B1C"/>
    <w:rsid w:val="7C6068A9"/>
    <w:rsid w:val="7CAB2C74"/>
    <w:rsid w:val="7CB36FC9"/>
    <w:rsid w:val="7CB42860"/>
    <w:rsid w:val="7CFF2387"/>
    <w:rsid w:val="7D021F92"/>
    <w:rsid w:val="7D212F91"/>
    <w:rsid w:val="7D37215D"/>
    <w:rsid w:val="7D535E3E"/>
    <w:rsid w:val="7D5C0643"/>
    <w:rsid w:val="7DB01CD8"/>
    <w:rsid w:val="7DC364D5"/>
    <w:rsid w:val="7E6E2E4D"/>
    <w:rsid w:val="7E756B53"/>
    <w:rsid w:val="7EAB03F1"/>
    <w:rsid w:val="7EBA4C74"/>
    <w:rsid w:val="7EBE6F11"/>
    <w:rsid w:val="7EC40A46"/>
    <w:rsid w:val="7EC85D6B"/>
    <w:rsid w:val="7ED42BA3"/>
    <w:rsid w:val="7ED45701"/>
    <w:rsid w:val="7ED91D73"/>
    <w:rsid w:val="7EE30DF1"/>
    <w:rsid w:val="7EE44B00"/>
    <w:rsid w:val="7EFB6855"/>
    <w:rsid w:val="7F052087"/>
    <w:rsid w:val="7F0F3D01"/>
    <w:rsid w:val="7F222798"/>
    <w:rsid w:val="7F340A37"/>
    <w:rsid w:val="7F833D8D"/>
    <w:rsid w:val="7FD05443"/>
    <w:rsid w:val="7FE3208B"/>
    <w:rsid w:val="7FF630DA"/>
    <w:rsid w:val="DEDDE68C"/>
    <w:rsid w:val="FEFF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6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8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paragraph" w:styleId="9">
    <w:name w:val="heading 5"/>
    <w:basedOn w:val="1"/>
    <w:next w:val="1"/>
    <w:qFormat/>
    <w:uiPriority w:val="1"/>
    <w:pPr>
      <w:ind w:left="1354"/>
      <w:outlineLvl w:val="5"/>
    </w:pPr>
    <w:rPr>
      <w:rFonts w:ascii="宋体" w:hAnsi="宋体" w:eastAsia="宋体" w:cs="宋体"/>
      <w:b/>
      <w:b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style>
  <w:style w:type="paragraph" w:styleId="3">
    <w:name w:val="Body Text"/>
    <w:basedOn w:val="1"/>
    <w:next w:val="4"/>
    <w:link w:val="77"/>
    <w:qFormat/>
    <w:uiPriority w:val="0"/>
    <w:pPr>
      <w:tabs>
        <w:tab w:val="left" w:pos="567"/>
      </w:tabs>
      <w:spacing w:before="120" w:line="22" w:lineRule="atLeast"/>
    </w:pPr>
    <w:rPr>
      <w:rFonts w:ascii="宋体" w:hAnsi="宋体"/>
      <w:sz w:val="24"/>
    </w:rPr>
  </w:style>
  <w:style w:type="paragraph" w:customStyle="1" w:styleId="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10">
    <w:name w:val="toc 7"/>
    <w:basedOn w:val="1"/>
    <w:next w:val="1"/>
    <w:qFormat/>
    <w:uiPriority w:val="39"/>
    <w:pPr>
      <w:ind w:left="2520" w:leftChars="1200"/>
    </w:pPr>
  </w:style>
  <w:style w:type="paragraph" w:styleId="11">
    <w:name w:val="Normal Indent"/>
    <w:basedOn w:val="1"/>
    <w:next w:val="12"/>
    <w:qFormat/>
    <w:uiPriority w:val="0"/>
    <w:pPr>
      <w:autoSpaceDE w:val="0"/>
      <w:autoSpaceDN w:val="0"/>
      <w:adjustRightInd w:val="0"/>
      <w:ind w:firstLine="420"/>
      <w:jc w:val="left"/>
    </w:pPr>
    <w:rPr>
      <w:rFonts w:ascii="宋体"/>
      <w:kern w:val="0"/>
      <w:sz w:val="24"/>
      <w:szCs w:val="20"/>
    </w:rPr>
  </w:style>
  <w:style w:type="paragraph" w:styleId="12">
    <w:name w:val="toa heading"/>
    <w:basedOn w:val="1"/>
    <w:next w:val="1"/>
    <w:qFormat/>
    <w:uiPriority w:val="0"/>
    <w:pPr>
      <w:spacing w:before="120"/>
    </w:pPr>
    <w:rPr>
      <w:rFonts w:ascii="Cambria" w:hAnsi="Cambria"/>
      <w:sz w:val="24"/>
    </w:rPr>
  </w:style>
  <w:style w:type="paragraph" w:styleId="13">
    <w:name w:val="Document Map"/>
    <w:basedOn w:val="1"/>
    <w:link w:val="72"/>
    <w:qFormat/>
    <w:uiPriority w:val="0"/>
    <w:rPr>
      <w:rFonts w:ascii="宋体"/>
      <w:sz w:val="18"/>
      <w:szCs w:val="18"/>
    </w:rPr>
  </w:style>
  <w:style w:type="paragraph" w:styleId="14">
    <w:name w:val="annotation text"/>
    <w:basedOn w:val="1"/>
    <w:link w:val="78"/>
    <w:qFormat/>
    <w:uiPriority w:val="99"/>
    <w:pPr>
      <w:jc w:val="left"/>
    </w:pPr>
  </w:style>
  <w:style w:type="paragraph" w:styleId="15">
    <w:name w:val="Body Text Indent"/>
    <w:basedOn w:val="1"/>
    <w:qFormat/>
    <w:uiPriority w:val="0"/>
    <w:pPr>
      <w:spacing w:line="360" w:lineRule="auto"/>
      <w:ind w:firstLine="570"/>
    </w:pPr>
    <w:rPr>
      <w:sz w:val="24"/>
    </w:rPr>
  </w:style>
  <w:style w:type="paragraph" w:styleId="16">
    <w:name w:val="Block Text"/>
    <w:basedOn w:val="1"/>
    <w:qFormat/>
    <w:uiPriority w:val="99"/>
    <w:pPr>
      <w:spacing w:after="120"/>
      <w:ind w:left="1440" w:leftChars="700" w:right="1440" w:rightChars="700"/>
    </w:pPr>
  </w:style>
  <w:style w:type="paragraph" w:styleId="17">
    <w:name w:val="toc 5"/>
    <w:basedOn w:val="1"/>
    <w:next w:val="1"/>
    <w:qFormat/>
    <w:uiPriority w:val="39"/>
    <w:pPr>
      <w:ind w:left="1680" w:leftChars="800"/>
    </w:pPr>
  </w:style>
  <w:style w:type="paragraph" w:styleId="18">
    <w:name w:val="toc 3"/>
    <w:basedOn w:val="1"/>
    <w:next w:val="1"/>
    <w:qFormat/>
    <w:uiPriority w:val="39"/>
    <w:pPr>
      <w:tabs>
        <w:tab w:val="left" w:pos="1260"/>
        <w:tab w:val="right" w:leader="dot" w:pos="8630"/>
      </w:tabs>
      <w:ind w:left="840" w:leftChars="400"/>
    </w:pPr>
  </w:style>
  <w:style w:type="paragraph" w:styleId="19">
    <w:name w:val="Plain Text"/>
    <w:basedOn w:val="1"/>
    <w:link w:val="76"/>
    <w:qFormat/>
    <w:uiPriority w:val="0"/>
    <w:rPr>
      <w:rFonts w:ascii="宋体" w:hAnsi="Courier New"/>
      <w:szCs w:val="20"/>
    </w:rPr>
  </w:style>
  <w:style w:type="paragraph" w:styleId="20">
    <w:name w:val="toc 8"/>
    <w:basedOn w:val="1"/>
    <w:next w:val="1"/>
    <w:qFormat/>
    <w:uiPriority w:val="39"/>
    <w:pPr>
      <w:ind w:left="2940" w:leftChars="1400"/>
    </w:pPr>
  </w:style>
  <w:style w:type="paragraph" w:styleId="21">
    <w:name w:val="Date"/>
    <w:basedOn w:val="1"/>
    <w:next w:val="1"/>
    <w:link w:val="73"/>
    <w:qFormat/>
    <w:uiPriority w:val="0"/>
    <w:pPr>
      <w:ind w:left="100" w:leftChars="2500"/>
    </w:pPr>
    <w:rPr>
      <w:rFonts w:ascii="仿宋_GB2312" w:hAnsi="宋体" w:eastAsia="仿宋_GB2312"/>
      <w:color w:val="000000"/>
      <w:sz w:val="24"/>
    </w:rPr>
  </w:style>
  <w:style w:type="paragraph" w:styleId="22">
    <w:name w:val="Body Text Indent 2"/>
    <w:basedOn w:val="1"/>
    <w:qFormat/>
    <w:uiPriority w:val="0"/>
    <w:pPr>
      <w:ind w:firstLine="480" w:firstLineChars="200"/>
    </w:pPr>
    <w:rPr>
      <w:rFonts w:ascii="仿宋_GB2312" w:eastAsia="仿宋_GB2312"/>
      <w:sz w:val="24"/>
    </w:rPr>
  </w:style>
  <w:style w:type="paragraph" w:styleId="23">
    <w:name w:val="Balloon Text"/>
    <w:basedOn w:val="1"/>
    <w:link w:val="69"/>
    <w:qFormat/>
    <w:uiPriority w:val="0"/>
    <w:rPr>
      <w:sz w:val="18"/>
      <w:szCs w:val="18"/>
    </w:rPr>
  </w:style>
  <w:style w:type="paragraph" w:styleId="24">
    <w:name w:val="footer"/>
    <w:basedOn w:val="1"/>
    <w:link w:val="6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39"/>
    <w:pPr>
      <w:ind w:left="1260" w:leftChars="600"/>
    </w:pPr>
  </w:style>
  <w:style w:type="paragraph" w:styleId="28">
    <w:name w:val="footnote text"/>
    <w:basedOn w:val="1"/>
    <w:qFormat/>
    <w:uiPriority w:val="0"/>
    <w:pPr>
      <w:snapToGrid w:val="0"/>
      <w:jc w:val="left"/>
    </w:pPr>
    <w:rPr>
      <w:sz w:val="18"/>
    </w:rPr>
  </w:style>
  <w:style w:type="paragraph" w:styleId="29">
    <w:name w:val="toc 6"/>
    <w:basedOn w:val="1"/>
    <w:next w:val="1"/>
    <w:qFormat/>
    <w:uiPriority w:val="39"/>
    <w:pPr>
      <w:ind w:left="2100" w:leftChars="1000"/>
    </w:pPr>
  </w:style>
  <w:style w:type="paragraph" w:styleId="30">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Normal (Web)"/>
    <w:basedOn w:val="1"/>
    <w:unhideWhenUsed/>
    <w:qFormat/>
    <w:uiPriority w:val="99"/>
    <w:rPr>
      <w:sz w:val="24"/>
    </w:rPr>
  </w:style>
  <w:style w:type="paragraph" w:styleId="34">
    <w:name w:val="index 1"/>
    <w:basedOn w:val="1"/>
    <w:next w:val="1"/>
    <w:semiHidden/>
    <w:qFormat/>
    <w:uiPriority w:val="0"/>
    <w:rPr>
      <w:szCs w:val="20"/>
    </w:rPr>
  </w:style>
  <w:style w:type="paragraph" w:styleId="35">
    <w:name w:val="annotation subject"/>
    <w:basedOn w:val="14"/>
    <w:next w:val="14"/>
    <w:link w:val="79"/>
    <w:qFormat/>
    <w:uiPriority w:val="0"/>
    <w:rPr>
      <w:b/>
      <w:bCs/>
    </w:rPr>
  </w:style>
  <w:style w:type="paragraph" w:styleId="36">
    <w:name w:val="Body Text First Indent 2"/>
    <w:basedOn w:val="15"/>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styleId="44">
    <w:name w:val="HTML Sample"/>
    <w:basedOn w:val="39"/>
    <w:qFormat/>
    <w:uiPriority w:val="0"/>
    <w:rPr>
      <w:rFonts w:ascii="Courier New" w:hAnsi="Courier New"/>
    </w:rPr>
  </w:style>
  <w:style w:type="paragraph" w:customStyle="1" w:styleId="45">
    <w:name w:val="索引 11"/>
    <w:basedOn w:val="1"/>
    <w:next w:val="1"/>
    <w:qFormat/>
    <w:uiPriority w:val="0"/>
    <w:pPr>
      <w:spacing w:line="360" w:lineRule="auto"/>
    </w:pPr>
    <w:rPr>
      <w:rFonts w:ascii="仿宋_GB2312" w:eastAsia="仿宋_GB2312"/>
      <w:sz w:val="24"/>
      <w:szCs w:val="20"/>
    </w:rPr>
  </w:style>
  <w:style w:type="paragraph" w:customStyle="1" w:styleId="46">
    <w:name w:val="列出段落1"/>
    <w:basedOn w:val="1"/>
    <w:qFormat/>
    <w:uiPriority w:val="34"/>
    <w:pPr>
      <w:widowControl/>
      <w:ind w:firstLine="420" w:firstLineChars="200"/>
      <w:jc w:val="left"/>
    </w:pPr>
    <w:rPr>
      <w:kern w:val="0"/>
      <w:sz w:val="24"/>
    </w:rPr>
  </w:style>
  <w:style w:type="paragraph" w:customStyle="1" w:styleId="47">
    <w:name w:val="列出段落11"/>
    <w:basedOn w:val="1"/>
    <w:next w:val="46"/>
    <w:qFormat/>
    <w:uiPriority w:val="34"/>
    <w:pPr>
      <w:widowControl/>
      <w:ind w:firstLine="420" w:firstLineChars="200"/>
      <w:jc w:val="left"/>
    </w:pPr>
    <w:rPr>
      <w:rFonts w:ascii="宋体" w:hAnsi="宋体" w:cs="宋体"/>
      <w:kern w:val="0"/>
      <w:sz w:val="24"/>
    </w:rPr>
  </w:style>
  <w:style w:type="paragraph" w:customStyle="1" w:styleId="48">
    <w:name w:val="List Paragraph1"/>
    <w:basedOn w:val="1"/>
    <w:qFormat/>
    <w:uiPriority w:val="34"/>
    <w:pPr>
      <w:ind w:firstLine="420" w:firstLineChars="200"/>
    </w:pPr>
  </w:style>
  <w:style w:type="paragraph" w:customStyle="1" w:styleId="49">
    <w:name w:val="Table Paragraph"/>
    <w:basedOn w:val="1"/>
    <w:qFormat/>
    <w:uiPriority w:val="1"/>
    <w:pPr>
      <w:widowControl/>
      <w:jc w:val="left"/>
    </w:pPr>
    <w:rPr>
      <w:rFonts w:ascii="宋体" w:hAnsi="宋体" w:cs="宋体"/>
      <w:kern w:val="0"/>
      <w:szCs w:val="20"/>
      <w:lang w:val="zh-CN" w:bidi="zh-CN"/>
    </w:rPr>
  </w:style>
  <w:style w:type="paragraph" w:customStyle="1" w:styleId="50">
    <w:name w:val="p0"/>
    <w:basedOn w:val="1"/>
    <w:qFormat/>
    <w:uiPriority w:val="0"/>
    <w:pPr>
      <w:widowControl/>
    </w:pPr>
    <w:rPr>
      <w:kern w:val="0"/>
      <w:szCs w:val="21"/>
    </w:rPr>
  </w:style>
  <w:style w:type="paragraph" w:customStyle="1" w:styleId="51">
    <w:name w:val="图例"/>
    <w:basedOn w:val="1"/>
    <w:qFormat/>
    <w:uiPriority w:val="0"/>
    <w:pPr>
      <w:spacing w:before="120" w:after="120" w:line="360" w:lineRule="auto"/>
      <w:jc w:val="center"/>
    </w:pPr>
    <w:rPr>
      <w:rFonts w:eastAsia="仿宋_GB2312"/>
      <w:b/>
      <w:sz w:val="24"/>
    </w:rPr>
  </w:style>
  <w:style w:type="paragraph" w:customStyle="1" w:styleId="52">
    <w:name w:val="正文段"/>
    <w:basedOn w:val="1"/>
    <w:qFormat/>
    <w:uiPriority w:val="0"/>
    <w:pPr>
      <w:widowControl/>
      <w:snapToGrid w:val="0"/>
      <w:spacing w:afterLines="50"/>
      <w:ind w:firstLine="200" w:firstLineChars="200"/>
    </w:pPr>
    <w:rPr>
      <w:kern w:val="0"/>
      <w:sz w:val="24"/>
    </w:rPr>
  </w:style>
  <w:style w:type="paragraph" w:customStyle="1" w:styleId="53">
    <w:name w:val="首行缩进"/>
    <w:basedOn w:val="1"/>
    <w:qFormat/>
    <w:uiPriority w:val="0"/>
    <w:pPr>
      <w:ind w:firstLine="480" w:firstLineChars="200"/>
    </w:pPr>
    <w:rPr>
      <w:lang w:val="zh-CN"/>
    </w:rPr>
  </w:style>
  <w:style w:type="paragraph" w:customStyle="1" w:styleId="54">
    <w:name w:val="纯文本1"/>
    <w:basedOn w:val="1"/>
    <w:link w:val="70"/>
    <w:qFormat/>
    <w:uiPriority w:val="0"/>
    <w:rPr>
      <w:rFonts w:ascii="宋体" w:hAnsi="Courier New"/>
      <w:kern w:val="0"/>
      <w:sz w:val="20"/>
      <w:szCs w:val="20"/>
    </w:rPr>
  </w:style>
  <w:style w:type="paragraph" w:customStyle="1" w:styleId="55">
    <w:name w:val="Char"/>
    <w:basedOn w:val="1"/>
    <w:qFormat/>
    <w:uiPriority w:val="0"/>
    <w:pPr>
      <w:tabs>
        <w:tab w:val="left" w:pos="360"/>
      </w:tabs>
    </w:pPr>
    <w:rPr>
      <w:sz w:val="24"/>
    </w:rPr>
  </w:style>
  <w:style w:type="paragraph" w:customStyle="1" w:styleId="56">
    <w:name w:val="正文缩进1"/>
    <w:basedOn w:val="1"/>
    <w:link w:val="59"/>
    <w:qFormat/>
    <w:uiPriority w:val="0"/>
    <w:pPr>
      <w:autoSpaceDE w:val="0"/>
      <w:autoSpaceDN w:val="0"/>
      <w:adjustRightInd w:val="0"/>
      <w:ind w:firstLine="420"/>
      <w:jc w:val="left"/>
    </w:pPr>
    <w:rPr>
      <w:rFonts w:ascii="宋体"/>
      <w:kern w:val="0"/>
      <w:sz w:val="24"/>
      <w:szCs w:val="20"/>
    </w:rPr>
  </w:style>
  <w:style w:type="paragraph" w:customStyle="1" w:styleId="5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8">
    <w:name w:val="font91"/>
    <w:basedOn w:val="39"/>
    <w:qFormat/>
    <w:uiPriority w:val="0"/>
    <w:rPr>
      <w:rFonts w:hint="eastAsia" w:ascii="宋体" w:hAnsi="宋体" w:eastAsia="宋体" w:cs="宋体"/>
      <w:color w:val="000000"/>
      <w:sz w:val="20"/>
      <w:szCs w:val="20"/>
      <w:u w:val="none"/>
      <w:vertAlign w:val="subscript"/>
    </w:rPr>
  </w:style>
  <w:style w:type="character" w:customStyle="1" w:styleId="59">
    <w:name w:val="正文缩进 Char1"/>
    <w:link w:val="56"/>
    <w:qFormat/>
    <w:uiPriority w:val="0"/>
    <w:rPr>
      <w:rFonts w:ascii="宋体"/>
      <w:sz w:val="24"/>
    </w:rPr>
  </w:style>
  <w:style w:type="character" w:customStyle="1" w:styleId="60">
    <w:name w:val="批注主题 Char1"/>
    <w:semiHidden/>
    <w:qFormat/>
    <w:uiPriority w:val="99"/>
    <w:rPr>
      <w:b/>
      <w:bCs/>
      <w:kern w:val="2"/>
      <w:sz w:val="21"/>
      <w:szCs w:val="24"/>
    </w:rPr>
  </w:style>
  <w:style w:type="character" w:customStyle="1" w:styleId="61">
    <w:name w:val="font31"/>
    <w:basedOn w:val="39"/>
    <w:qFormat/>
    <w:uiPriority w:val="0"/>
    <w:rPr>
      <w:rFonts w:hint="eastAsia" w:ascii="宋体" w:hAnsi="宋体" w:eastAsia="宋体" w:cs="宋体"/>
      <w:color w:val="404040"/>
      <w:sz w:val="20"/>
      <w:szCs w:val="20"/>
      <w:u w:val="none"/>
    </w:rPr>
  </w:style>
  <w:style w:type="character" w:customStyle="1" w:styleId="62">
    <w:name w:val="font61"/>
    <w:basedOn w:val="39"/>
    <w:qFormat/>
    <w:uiPriority w:val="0"/>
    <w:rPr>
      <w:rFonts w:hint="eastAsia" w:ascii="宋体" w:hAnsi="宋体" w:eastAsia="宋体" w:cs="宋体"/>
      <w:color w:val="333333"/>
      <w:sz w:val="20"/>
      <w:szCs w:val="20"/>
      <w:u w:val="none"/>
    </w:rPr>
  </w:style>
  <w:style w:type="character" w:customStyle="1" w:styleId="63">
    <w:name w:val="页眉 Char"/>
    <w:link w:val="25"/>
    <w:qFormat/>
    <w:uiPriority w:val="99"/>
    <w:rPr>
      <w:kern w:val="2"/>
      <w:sz w:val="18"/>
      <w:szCs w:val="18"/>
    </w:rPr>
  </w:style>
  <w:style w:type="character" w:customStyle="1" w:styleId="64">
    <w:name w:val="批注文字 Char1"/>
    <w:semiHidden/>
    <w:qFormat/>
    <w:uiPriority w:val="99"/>
    <w:rPr>
      <w:kern w:val="2"/>
      <w:sz w:val="21"/>
      <w:szCs w:val="24"/>
    </w:rPr>
  </w:style>
  <w:style w:type="character" w:customStyle="1" w:styleId="65">
    <w:name w:val="font41"/>
    <w:basedOn w:val="39"/>
    <w:qFormat/>
    <w:uiPriority w:val="0"/>
    <w:rPr>
      <w:rFonts w:hint="eastAsia" w:ascii="宋体" w:hAnsi="宋体" w:eastAsia="宋体" w:cs="宋体"/>
      <w:color w:val="000000"/>
      <w:sz w:val="20"/>
      <w:szCs w:val="20"/>
      <w:u w:val="none"/>
    </w:rPr>
  </w:style>
  <w:style w:type="character" w:customStyle="1" w:styleId="66">
    <w:name w:val="页脚 Char"/>
    <w:link w:val="24"/>
    <w:qFormat/>
    <w:uiPriority w:val="99"/>
    <w:rPr>
      <w:rFonts w:ascii="宋体"/>
      <w:sz w:val="18"/>
    </w:rPr>
  </w:style>
  <w:style w:type="character" w:customStyle="1" w:styleId="67">
    <w:name w:val="font101"/>
    <w:basedOn w:val="39"/>
    <w:qFormat/>
    <w:uiPriority w:val="0"/>
    <w:rPr>
      <w:rFonts w:hint="eastAsia" w:ascii="宋体" w:hAnsi="宋体" w:eastAsia="宋体" w:cs="宋体"/>
      <w:color w:val="000000"/>
      <w:sz w:val="20"/>
      <w:szCs w:val="20"/>
      <w:u w:val="none"/>
    </w:rPr>
  </w:style>
  <w:style w:type="character" w:customStyle="1" w:styleId="68">
    <w:name w:val="标题 2 Char"/>
    <w:link w:val="6"/>
    <w:qFormat/>
    <w:uiPriority w:val="0"/>
    <w:rPr>
      <w:rFonts w:ascii="Arial" w:hAnsi="Arial" w:eastAsia="黑体"/>
      <w:b/>
      <w:sz w:val="30"/>
    </w:rPr>
  </w:style>
  <w:style w:type="character" w:customStyle="1" w:styleId="69">
    <w:name w:val="批注框文本 Char"/>
    <w:link w:val="23"/>
    <w:qFormat/>
    <w:uiPriority w:val="0"/>
    <w:rPr>
      <w:kern w:val="2"/>
      <w:sz w:val="18"/>
      <w:szCs w:val="18"/>
    </w:rPr>
  </w:style>
  <w:style w:type="character" w:customStyle="1" w:styleId="70">
    <w:name w:val="纯文本 Char1"/>
    <w:link w:val="54"/>
    <w:qFormat/>
    <w:uiPriority w:val="0"/>
    <w:rPr>
      <w:rFonts w:ascii="宋体" w:hAnsi="Courier New"/>
    </w:rPr>
  </w:style>
  <w:style w:type="character" w:customStyle="1" w:styleId="71">
    <w:name w:val="font81"/>
    <w:basedOn w:val="39"/>
    <w:qFormat/>
    <w:uiPriority w:val="0"/>
    <w:rPr>
      <w:rFonts w:hint="eastAsia" w:ascii="宋体" w:hAnsi="宋体" w:eastAsia="宋体" w:cs="宋体"/>
      <w:color w:val="404040"/>
      <w:sz w:val="20"/>
      <w:szCs w:val="20"/>
      <w:u w:val="none"/>
    </w:rPr>
  </w:style>
  <w:style w:type="character" w:customStyle="1" w:styleId="72">
    <w:name w:val="文档结构图 Char"/>
    <w:basedOn w:val="39"/>
    <w:link w:val="13"/>
    <w:qFormat/>
    <w:uiPriority w:val="0"/>
    <w:rPr>
      <w:rFonts w:ascii="宋体"/>
      <w:kern w:val="2"/>
      <w:sz w:val="18"/>
      <w:szCs w:val="18"/>
    </w:rPr>
  </w:style>
  <w:style w:type="character" w:customStyle="1" w:styleId="73">
    <w:name w:val="日期 Char"/>
    <w:link w:val="21"/>
    <w:qFormat/>
    <w:uiPriority w:val="0"/>
    <w:rPr>
      <w:rFonts w:ascii="仿宋_GB2312" w:hAnsi="宋体" w:eastAsia="仿宋_GB2312"/>
      <w:color w:val="000000"/>
      <w:kern w:val="2"/>
      <w:sz w:val="24"/>
      <w:szCs w:val="24"/>
    </w:rPr>
  </w:style>
  <w:style w:type="character" w:customStyle="1" w:styleId="74">
    <w:name w:val="页眉 Char1"/>
    <w:semiHidden/>
    <w:qFormat/>
    <w:uiPriority w:val="99"/>
    <w:rPr>
      <w:kern w:val="2"/>
      <w:sz w:val="18"/>
      <w:szCs w:val="18"/>
    </w:rPr>
  </w:style>
  <w:style w:type="character" w:customStyle="1" w:styleId="75">
    <w:name w:val="批注框文本 Char1"/>
    <w:semiHidden/>
    <w:qFormat/>
    <w:uiPriority w:val="99"/>
    <w:rPr>
      <w:kern w:val="2"/>
      <w:sz w:val="18"/>
      <w:szCs w:val="18"/>
    </w:rPr>
  </w:style>
  <w:style w:type="character" w:customStyle="1" w:styleId="76">
    <w:name w:val="纯文本 Char"/>
    <w:link w:val="19"/>
    <w:qFormat/>
    <w:uiPriority w:val="0"/>
    <w:rPr>
      <w:rFonts w:ascii="宋体" w:hAnsi="Courier New"/>
      <w:kern w:val="2"/>
      <w:sz w:val="21"/>
    </w:rPr>
  </w:style>
  <w:style w:type="character" w:customStyle="1" w:styleId="77">
    <w:name w:val="正文文本 Char"/>
    <w:link w:val="3"/>
    <w:qFormat/>
    <w:uiPriority w:val="0"/>
    <w:rPr>
      <w:rFonts w:ascii="宋体" w:hAnsi="宋体"/>
      <w:kern w:val="2"/>
      <w:sz w:val="24"/>
      <w:szCs w:val="24"/>
    </w:rPr>
  </w:style>
  <w:style w:type="character" w:customStyle="1" w:styleId="78">
    <w:name w:val="批注文字 Char"/>
    <w:link w:val="14"/>
    <w:qFormat/>
    <w:uiPriority w:val="99"/>
    <w:rPr>
      <w:kern w:val="2"/>
      <w:sz w:val="21"/>
      <w:szCs w:val="24"/>
    </w:rPr>
  </w:style>
  <w:style w:type="character" w:customStyle="1" w:styleId="79">
    <w:name w:val="批注主题 Char"/>
    <w:link w:val="35"/>
    <w:qFormat/>
    <w:uiPriority w:val="0"/>
    <w:rPr>
      <w:b/>
      <w:bCs/>
      <w:kern w:val="2"/>
      <w:sz w:val="21"/>
      <w:szCs w:val="24"/>
    </w:rPr>
  </w:style>
  <w:style w:type="character" w:customStyle="1" w:styleId="80">
    <w:name w:val="标题 3 Char"/>
    <w:link w:val="7"/>
    <w:qFormat/>
    <w:uiPriority w:val="0"/>
    <w:rPr>
      <w:rFonts w:ascii="宋体"/>
      <w:b/>
      <w:sz w:val="24"/>
      <w:u w:val="single"/>
    </w:rPr>
  </w:style>
  <w:style w:type="character" w:customStyle="1" w:styleId="81">
    <w:name w:val="标题 1 Char"/>
    <w:link w:val="5"/>
    <w:qFormat/>
    <w:uiPriority w:val="0"/>
    <w:rPr>
      <w:rFonts w:ascii="宋体"/>
      <w:b/>
      <w:kern w:val="44"/>
      <w:sz w:val="32"/>
    </w:rPr>
  </w:style>
  <w:style w:type="paragraph" w:customStyle="1" w:styleId="82">
    <w:name w:val="首行缩进:  0.85 厘米"/>
    <w:basedOn w:val="1"/>
    <w:qFormat/>
    <w:uiPriority w:val="0"/>
    <w:pPr>
      <w:adjustRightInd w:val="0"/>
      <w:snapToGrid w:val="0"/>
      <w:ind w:firstLine="482"/>
      <w:jc w:val="left"/>
    </w:pPr>
    <w:rPr>
      <w:rFonts w:ascii="Times New Roman" w:hAnsi="Times New Roman" w:eastAsia="仿宋_GB2312" w:cs="宋体"/>
      <w:kern w:val="0"/>
      <w:sz w:val="28"/>
      <w:szCs w:val="28"/>
    </w:rPr>
  </w:style>
  <w:style w:type="paragraph" w:customStyle="1" w:styleId="83">
    <w:name w:val="Normal"/>
    <w:qFormat/>
    <w:uiPriority w:val="0"/>
    <w:pPr>
      <w:jc w:val="both"/>
    </w:pPr>
    <w:rPr>
      <w:rFonts w:ascii="等线" w:hAnsi="等线" w:eastAsia="宋体" w:cs="宋体"/>
      <w:kern w:val="2"/>
      <w:sz w:val="21"/>
      <w:szCs w:val="21"/>
      <w:lang w:val="en-US" w:eastAsia="zh-CN" w:bidi="ar-SA"/>
    </w:rPr>
  </w:style>
  <w:style w:type="paragraph" w:styleId="84">
    <w:name w:val="List Paragraph"/>
    <w:basedOn w:val="1"/>
    <w:qFormat/>
    <w:uiPriority w:val="1"/>
    <w:pPr>
      <w:ind w:left="1824" w:hanging="787"/>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6623</Words>
  <Characters>37752</Characters>
  <Lines>314</Lines>
  <Paragraphs>88</Paragraphs>
  <TotalTime>9</TotalTime>
  <ScaleCrop>false</ScaleCrop>
  <LinksUpToDate>false</LinksUpToDate>
  <CharactersWithSpaces>44287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2018-11-17T10:05:00Z</dcterms:created>
  <dc:creator>USER-</dc:creator>
  <cp:lastModifiedBy>ASUS</cp:lastModifiedBy>
  <cp:lastPrinted>2021-11-13T06:43:00Z</cp:lastPrinted>
  <dcterms:modified xsi:type="dcterms:W3CDTF">2021-11-13T10:51:30Z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