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cstheme="minorEastAsia"/>
          <w:b/>
          <w:sz w:val="44"/>
          <w:szCs w:val="44"/>
          <w:lang w:eastAsia="zh-CN"/>
        </w:rPr>
      </w:pPr>
      <w:r>
        <w:rPr>
          <w:rFonts w:hint="eastAsia" w:asciiTheme="minorEastAsia" w:hAnsiTheme="minorEastAsia" w:eastAsiaTheme="minorEastAsia" w:cstheme="minorEastAsia"/>
          <w:b/>
          <w:sz w:val="44"/>
          <w:szCs w:val="44"/>
          <w:lang w:eastAsia="zh-CN"/>
        </w:rPr>
        <w:t>喀什地区康宁医院检验辅助设备采购项目</w:t>
      </w:r>
    </w:p>
    <w:p>
      <w:pPr>
        <w:spacing w:line="240" w:lineRule="atLeast"/>
        <w:jc w:val="center"/>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XJWSH(JZXCS)2021-15号</w:t>
      </w:r>
    </w:p>
    <w:p>
      <w:pPr>
        <w:spacing w:line="240" w:lineRule="atLeast"/>
        <w:outlineLvl w:val="1"/>
        <w:rPr>
          <w:rFonts w:hint="eastAsia" w:asciiTheme="minorEastAsia" w:hAnsiTheme="minorEastAsia" w:eastAsiaTheme="minorEastAsia" w:cstheme="minorEastAsia"/>
          <w:bCs/>
          <w:sz w:val="32"/>
          <w:szCs w:val="32"/>
        </w:rPr>
      </w:pPr>
    </w:p>
    <w:p>
      <w:pPr>
        <w:pStyle w:val="23"/>
        <w:rPr>
          <w:rFonts w:hint="eastAsia" w:asciiTheme="minorEastAsia" w:hAnsiTheme="minorEastAsia" w:eastAsiaTheme="minorEastAsia" w:cstheme="minorEastAsia"/>
          <w:bCs/>
          <w:sz w:val="28"/>
        </w:rPr>
      </w:pPr>
    </w:p>
    <w:p>
      <w:pPr>
        <w:autoSpaceDE w:val="0"/>
        <w:autoSpaceDN w:val="0"/>
        <w:spacing w:line="360" w:lineRule="auto"/>
        <w:jc w:val="center"/>
        <w:outlineLvl w:val="1"/>
        <w:rPr>
          <w:rFonts w:hint="eastAsia" w:asciiTheme="minorEastAsia" w:hAnsiTheme="minorEastAsia" w:eastAsiaTheme="minorEastAsia" w:cstheme="minorEastAsia"/>
          <w:bCs/>
          <w:sz w:val="56"/>
          <w:szCs w:val="56"/>
        </w:rPr>
      </w:pPr>
      <w:r>
        <w:rPr>
          <w:rFonts w:hint="eastAsia" w:asciiTheme="minorEastAsia" w:hAnsiTheme="minorEastAsia" w:eastAsiaTheme="minorEastAsia" w:cstheme="minorEastAsia"/>
          <w:bCs/>
          <w:sz w:val="72"/>
          <w:szCs w:val="72"/>
        </w:rPr>
        <w:t xml:space="preserve"> </w:t>
      </w:r>
      <w:r>
        <w:rPr>
          <w:rFonts w:hint="eastAsia" w:asciiTheme="minorEastAsia" w:hAnsiTheme="minorEastAsia" w:eastAsiaTheme="minorEastAsia" w:cstheme="minorEastAsia"/>
          <w:bCs/>
          <w:sz w:val="56"/>
          <w:szCs w:val="56"/>
        </w:rPr>
        <w:t>竞争性磋商文件</w:t>
      </w:r>
    </w:p>
    <w:p>
      <w:pPr>
        <w:autoSpaceDE w:val="0"/>
        <w:autoSpaceDN w:val="0"/>
        <w:spacing w:line="360" w:lineRule="auto"/>
        <w:rPr>
          <w:rFonts w:hint="eastAsia" w:asciiTheme="minorEastAsia" w:hAnsiTheme="minorEastAsia" w:eastAsiaTheme="minorEastAsia" w:cstheme="minorEastAsia"/>
          <w:b/>
          <w:bCs/>
          <w:color w:val="000000"/>
          <w:kern w:val="0"/>
          <w:sz w:val="24"/>
          <w:lang w:bidi="ar"/>
        </w:rPr>
      </w:pPr>
    </w:p>
    <w:p>
      <w:pPr>
        <w:autoSpaceDE w:val="0"/>
        <w:autoSpaceDN w:val="0"/>
        <w:spacing w:line="360" w:lineRule="auto"/>
        <w:rPr>
          <w:rFonts w:hint="eastAsia" w:asciiTheme="minorEastAsia" w:hAnsiTheme="minorEastAsia" w:eastAsiaTheme="minorEastAsia" w:cstheme="minorEastAsia"/>
          <w:b/>
          <w:bCs/>
          <w:color w:val="000000"/>
          <w:kern w:val="0"/>
          <w:sz w:val="24"/>
          <w:lang w:bidi="ar"/>
        </w:rPr>
      </w:pPr>
    </w:p>
    <w:p>
      <w:pPr>
        <w:spacing w:line="240" w:lineRule="atLeast"/>
        <w:ind w:left="1079" w:leftChars="257" w:hanging="540"/>
        <w:jc w:val="center"/>
        <w:outlineLvl w:val="0"/>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eastAsia="zh-CN"/>
        </w:rPr>
        <w:t>一</w:t>
      </w:r>
      <w:r>
        <w:rPr>
          <w:rFonts w:hint="eastAsia" w:asciiTheme="minorEastAsia" w:hAnsiTheme="minorEastAsia" w:eastAsiaTheme="minorEastAsia" w:cstheme="minorEastAsia"/>
          <w:b/>
          <w:sz w:val="48"/>
          <w:szCs w:val="48"/>
        </w:rPr>
        <w:t>册</w:t>
      </w:r>
    </w:p>
    <w:p>
      <w:pPr>
        <w:autoSpaceDE w:val="0"/>
        <w:autoSpaceDN w:val="0"/>
        <w:spacing w:line="600" w:lineRule="exact"/>
        <w:ind w:firstLine="840" w:firstLineChars="300"/>
        <w:rPr>
          <w:rFonts w:hint="eastAsia" w:asciiTheme="minorEastAsia" w:hAnsiTheme="minorEastAsia" w:eastAsiaTheme="minorEastAsia" w:cstheme="minorEastAsia"/>
          <w:b/>
          <w:bCs/>
          <w:color w:val="000000"/>
          <w:kern w:val="0"/>
          <w:sz w:val="28"/>
          <w:szCs w:val="28"/>
          <w:lang w:bidi="ar"/>
        </w:rPr>
      </w:pPr>
    </w:p>
    <w:p>
      <w:pPr>
        <w:autoSpaceDE w:val="0"/>
        <w:autoSpaceDN w:val="0"/>
        <w:spacing w:line="600" w:lineRule="exact"/>
        <w:ind w:firstLine="840" w:firstLineChars="300"/>
        <w:rPr>
          <w:rFonts w:hint="eastAsia" w:asciiTheme="minorEastAsia" w:hAnsiTheme="minorEastAsia" w:eastAsiaTheme="minorEastAsia" w:cstheme="minorEastAsia"/>
          <w:b/>
          <w:bCs/>
          <w:color w:val="000000"/>
          <w:kern w:val="0"/>
          <w:sz w:val="28"/>
          <w:szCs w:val="28"/>
          <w:lang w:bidi="ar"/>
        </w:rPr>
      </w:pPr>
    </w:p>
    <w:p>
      <w:pPr>
        <w:autoSpaceDE w:val="0"/>
        <w:autoSpaceDN w:val="0"/>
        <w:spacing w:line="600" w:lineRule="exact"/>
        <w:ind w:left="6997" w:leftChars="399" w:hanging="6160" w:hangingChars="2200"/>
        <w:outlineLvl w:val="1"/>
        <w:rPr>
          <w:rFonts w:hint="eastAsia"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color w:val="000000"/>
          <w:kern w:val="0"/>
          <w:sz w:val="28"/>
          <w:szCs w:val="28"/>
          <w:lang w:bidi="ar"/>
        </w:rPr>
        <w:t>采购单位：</w:t>
      </w:r>
      <w:r>
        <w:rPr>
          <w:rFonts w:hint="eastAsia" w:asciiTheme="minorEastAsia" w:hAnsiTheme="minorEastAsia" w:eastAsiaTheme="minorEastAsia" w:cstheme="minorEastAsia"/>
          <w:b/>
          <w:bCs/>
          <w:color w:val="000000"/>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eastAsia="zh-CN" w:bidi="ar"/>
        </w:rPr>
        <w:t>喀什地区康宁医院</w:t>
      </w:r>
      <w:r>
        <w:rPr>
          <w:rFonts w:hint="eastAsia" w:asciiTheme="minorEastAsia" w:hAnsiTheme="minorEastAsia" w:eastAsiaTheme="minorEastAsia" w:cstheme="minorEastAsia"/>
          <w:b/>
          <w:bCs/>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kern w:val="0"/>
          <w:sz w:val="28"/>
          <w:szCs w:val="28"/>
          <w:lang w:bidi="ar"/>
        </w:rPr>
        <w:t>（公章）</w:t>
      </w:r>
    </w:p>
    <w:p>
      <w:pPr>
        <w:autoSpaceDE w:val="0"/>
        <w:autoSpaceDN w:val="0"/>
        <w:spacing w:line="600" w:lineRule="exact"/>
        <w:ind w:firstLine="840" w:firstLineChars="300"/>
        <w:outlineLvl w:val="1"/>
        <w:rPr>
          <w:rFonts w:hint="eastAsia" w:asciiTheme="minorEastAsia" w:hAnsiTheme="minorEastAsia" w:eastAsiaTheme="minorEastAsia" w:cstheme="minorEastAsia"/>
          <w:b/>
          <w:bCs/>
          <w:kern w:val="0"/>
          <w:sz w:val="28"/>
          <w:szCs w:val="28"/>
          <w:u w:val="single"/>
          <w:lang w:bidi="ar"/>
        </w:rPr>
      </w:pPr>
      <w:r>
        <w:rPr>
          <w:rFonts w:hint="eastAsia" w:asciiTheme="minorEastAsia" w:hAnsiTheme="minorEastAsia" w:eastAsiaTheme="minorEastAsia" w:cstheme="minorEastAsia"/>
          <w:b/>
          <w:bCs/>
          <w:color w:val="000000"/>
          <w:kern w:val="0"/>
          <w:sz w:val="28"/>
          <w:szCs w:val="28"/>
          <w:lang w:bidi="ar"/>
        </w:rPr>
        <w:t>联 系 人：</w:t>
      </w:r>
      <w:r>
        <w:rPr>
          <w:rFonts w:hint="eastAsia" w:asciiTheme="minorEastAsia" w:hAnsiTheme="minorEastAsia" w:eastAsiaTheme="minorEastAsia" w:cstheme="minorEastAsia"/>
          <w:b/>
          <w:bCs/>
          <w:color w:val="000000"/>
          <w:kern w:val="0"/>
          <w:sz w:val="28"/>
          <w:szCs w:val="28"/>
          <w:u w:val="single"/>
          <w:lang w:bidi="ar"/>
        </w:rPr>
        <w:t xml:space="preserve">         </w:t>
      </w:r>
      <w:r>
        <w:rPr>
          <w:rFonts w:hint="eastAsia" w:asciiTheme="minorEastAsia" w:hAnsiTheme="minorEastAsia" w:eastAsiaTheme="minorEastAsia" w:cstheme="minorEastAsia"/>
          <w:b/>
          <w:bCs/>
          <w:color w:val="000000"/>
          <w:kern w:val="0"/>
          <w:sz w:val="28"/>
          <w:szCs w:val="28"/>
          <w:u w:val="single"/>
          <w:lang w:eastAsia="zh-CN" w:bidi="ar"/>
        </w:rPr>
        <w:t>阿孜古丽</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bidi="ar"/>
        </w:rPr>
        <w:t xml:space="preserve">      </w:t>
      </w:r>
    </w:p>
    <w:p>
      <w:pPr>
        <w:autoSpaceDE w:val="0"/>
        <w:autoSpaceDN w:val="0"/>
        <w:spacing w:line="600" w:lineRule="exact"/>
        <w:ind w:firstLine="840" w:firstLineChars="300"/>
        <w:outlineLvl w:val="1"/>
        <w:rPr>
          <w:rFonts w:hint="eastAsia" w:asciiTheme="minorEastAsia" w:hAnsiTheme="minorEastAsia" w:eastAsiaTheme="minorEastAsia" w:cstheme="minorEastAsia"/>
          <w:b/>
          <w:bCs/>
          <w:kern w:val="0"/>
          <w:sz w:val="28"/>
          <w:szCs w:val="28"/>
          <w:u w:val="single"/>
          <w:lang w:bidi="ar"/>
        </w:rPr>
      </w:pPr>
      <w:r>
        <w:rPr>
          <w:rFonts w:hint="eastAsia" w:asciiTheme="minorEastAsia" w:hAnsiTheme="minorEastAsia" w:eastAsiaTheme="minorEastAsia" w:cstheme="minorEastAsia"/>
          <w:b/>
          <w:bCs/>
          <w:kern w:val="0"/>
          <w:sz w:val="28"/>
          <w:szCs w:val="28"/>
          <w:lang w:bidi="ar"/>
        </w:rPr>
        <w:t>联系电话：</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sz w:val="28"/>
          <w:szCs w:val="28"/>
          <w:u w:val="single"/>
          <w:lang w:eastAsia="zh-CN"/>
        </w:rPr>
        <w:t xml:space="preserve">13579319331 </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bidi="ar"/>
        </w:rPr>
        <w:t xml:space="preserve"> </w:t>
      </w:r>
    </w:p>
    <w:p>
      <w:pPr>
        <w:autoSpaceDE w:val="0"/>
        <w:autoSpaceDN w:val="0"/>
        <w:spacing w:line="60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kern w:val="0"/>
          <w:sz w:val="28"/>
          <w:szCs w:val="28"/>
          <w:lang w:bidi="ar"/>
        </w:rPr>
        <w:t xml:space="preserve">       </w:t>
      </w:r>
      <w:r>
        <w:rPr>
          <w:rFonts w:hint="eastAsia" w:asciiTheme="minorEastAsia" w:hAnsiTheme="minorEastAsia" w:eastAsiaTheme="minorEastAsia" w:cstheme="minorEastAsia"/>
          <w:b/>
          <w:bCs/>
          <w:sz w:val="28"/>
          <w:szCs w:val="28"/>
        </w:rPr>
        <w:t xml:space="preserve">         </w:t>
      </w:r>
    </w:p>
    <w:p>
      <w:pPr>
        <w:autoSpaceDE w:val="0"/>
        <w:autoSpaceDN w:val="0"/>
        <w:spacing w:line="600" w:lineRule="exact"/>
        <w:ind w:firstLine="1680" w:firstLineChars="600"/>
        <w:rPr>
          <w:rFonts w:hint="eastAsia" w:asciiTheme="minorEastAsia" w:hAnsiTheme="minorEastAsia" w:eastAsiaTheme="minorEastAsia" w:cstheme="minorEastAsia"/>
          <w:b/>
          <w:bCs/>
          <w:color w:val="000000"/>
          <w:kern w:val="0"/>
          <w:sz w:val="28"/>
          <w:szCs w:val="28"/>
          <w:lang w:bidi="ar"/>
        </w:rPr>
      </w:pPr>
    </w:p>
    <w:p>
      <w:pPr>
        <w:autoSpaceDE w:val="0"/>
        <w:autoSpaceDN w:val="0"/>
        <w:spacing w:line="600" w:lineRule="exact"/>
        <w:ind w:firstLine="840" w:firstLineChars="300"/>
        <w:outlineLvl w:val="1"/>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kern w:val="0"/>
          <w:sz w:val="28"/>
          <w:szCs w:val="28"/>
          <w:lang w:bidi="ar"/>
        </w:rPr>
        <w:t>代理机构：</w:t>
      </w:r>
      <w:r>
        <w:rPr>
          <w:rFonts w:hint="eastAsia" w:asciiTheme="minorEastAsia" w:hAnsiTheme="minorEastAsia" w:eastAsiaTheme="minorEastAsia" w:cstheme="minorEastAsia"/>
          <w:b/>
          <w:bCs/>
          <w:kern w:val="0"/>
          <w:sz w:val="28"/>
          <w:szCs w:val="28"/>
          <w:u w:val="single"/>
          <w:lang w:eastAsia="zh-CN" w:bidi="ar"/>
        </w:rPr>
        <w:t>新疆万士和项目管理有限公司</w:t>
      </w:r>
      <w:r>
        <w:rPr>
          <w:rFonts w:hint="eastAsia" w:asciiTheme="minorEastAsia" w:hAnsiTheme="minorEastAsia" w:eastAsiaTheme="minorEastAsia" w:cstheme="minorEastAsia"/>
          <w:b/>
          <w:bCs/>
          <w:kern w:val="0"/>
          <w:sz w:val="28"/>
          <w:szCs w:val="28"/>
          <w:u w:val="single"/>
          <w:lang w:val="en-US" w:eastAsia="zh-CN" w:bidi="ar"/>
        </w:rPr>
        <w:t xml:space="preserve"> </w:t>
      </w:r>
      <w:r>
        <w:rPr>
          <w:rFonts w:hint="eastAsia" w:asciiTheme="minorEastAsia" w:hAnsiTheme="minorEastAsia" w:eastAsiaTheme="minorEastAsia" w:cstheme="minorEastAsia"/>
          <w:b/>
          <w:bCs/>
          <w:kern w:val="0"/>
          <w:sz w:val="28"/>
          <w:szCs w:val="28"/>
          <w:u w:val="single"/>
          <w:lang w:bidi="ar"/>
        </w:rPr>
        <w:t xml:space="preserve"> </w:t>
      </w:r>
      <w:r>
        <w:rPr>
          <w:rFonts w:hint="eastAsia" w:asciiTheme="minorEastAsia" w:hAnsiTheme="minorEastAsia" w:eastAsiaTheme="minorEastAsia" w:cstheme="minorEastAsia"/>
          <w:b/>
          <w:bCs/>
          <w:color w:val="000000"/>
          <w:kern w:val="0"/>
          <w:sz w:val="28"/>
          <w:szCs w:val="28"/>
          <w:lang w:bidi="ar"/>
        </w:rPr>
        <w:t>（公章）</w:t>
      </w:r>
    </w:p>
    <w:p>
      <w:pPr>
        <w:autoSpaceDE w:val="0"/>
        <w:autoSpaceDN w:val="0"/>
        <w:spacing w:line="600" w:lineRule="exact"/>
        <w:ind w:firstLine="840" w:firstLineChars="300"/>
        <w:outlineLvl w:val="1"/>
        <w:rPr>
          <w:rFonts w:hint="eastAsia" w:asciiTheme="minorEastAsia" w:hAnsiTheme="minorEastAsia" w:eastAsiaTheme="minorEastAsia" w:cstheme="minorEastAsia"/>
          <w:b/>
          <w:bCs/>
          <w:color w:val="000000"/>
          <w:kern w:val="0"/>
          <w:sz w:val="28"/>
          <w:szCs w:val="28"/>
          <w:u w:val="single"/>
          <w:lang w:bidi="ar"/>
        </w:rPr>
      </w:pPr>
      <w:r>
        <w:rPr>
          <w:rFonts w:hint="eastAsia" w:asciiTheme="minorEastAsia" w:hAnsiTheme="minorEastAsia" w:eastAsiaTheme="minorEastAsia" w:cstheme="minorEastAsia"/>
          <w:b/>
          <w:bCs/>
          <w:color w:val="000000"/>
          <w:kern w:val="0"/>
          <w:sz w:val="28"/>
          <w:szCs w:val="28"/>
          <w:lang w:bidi="ar"/>
        </w:rPr>
        <w:t>联 系 人：</w:t>
      </w:r>
      <w:r>
        <w:rPr>
          <w:rFonts w:hint="eastAsia" w:asciiTheme="minorEastAsia" w:hAnsiTheme="minorEastAsia" w:eastAsiaTheme="minorEastAsia" w:cstheme="minorEastAsia"/>
          <w:b/>
          <w:bCs/>
          <w:color w:val="000000"/>
          <w:kern w:val="0"/>
          <w:sz w:val="28"/>
          <w:szCs w:val="28"/>
          <w:u w:val="single"/>
          <w:lang w:bidi="ar"/>
        </w:rPr>
        <w:t xml:space="preserve">         </w:t>
      </w:r>
      <w:r>
        <w:rPr>
          <w:rFonts w:hint="eastAsia" w:asciiTheme="minorEastAsia" w:hAnsiTheme="minorEastAsia" w:eastAsiaTheme="minorEastAsia" w:cstheme="minorEastAsia"/>
          <w:b/>
          <w:bCs/>
          <w:kern w:val="0"/>
          <w:sz w:val="28"/>
          <w:szCs w:val="28"/>
          <w:u w:val="single"/>
          <w:lang w:eastAsia="zh-CN" w:bidi="ar"/>
        </w:rPr>
        <w:t>雷宏发</w:t>
      </w:r>
      <w:r>
        <w:rPr>
          <w:rFonts w:hint="eastAsia" w:asciiTheme="minorEastAsia" w:hAnsiTheme="minorEastAsia" w:eastAsiaTheme="minorEastAsia" w:cstheme="minorEastAsia"/>
          <w:b/>
          <w:bCs/>
          <w:color w:val="000000"/>
          <w:kern w:val="0"/>
          <w:sz w:val="28"/>
          <w:szCs w:val="28"/>
          <w:u w:val="single"/>
          <w:lang w:bidi="ar"/>
        </w:rPr>
        <w:t xml:space="preserve">     </w:t>
      </w:r>
      <w:r>
        <w:rPr>
          <w:rFonts w:hint="eastAsia" w:asciiTheme="minorEastAsia" w:hAnsiTheme="minorEastAsia" w:eastAsiaTheme="minorEastAsia" w:cstheme="minorEastAsia"/>
          <w:b/>
          <w:bCs/>
          <w:color w:val="000000"/>
          <w:kern w:val="0"/>
          <w:sz w:val="28"/>
          <w:szCs w:val="28"/>
          <w:u w:val="single"/>
          <w:lang w:val="en-US" w:eastAsia="zh-CN" w:bidi="ar"/>
        </w:rPr>
        <w:t xml:space="preserve">   </w:t>
      </w:r>
      <w:r>
        <w:rPr>
          <w:rFonts w:hint="eastAsia" w:asciiTheme="minorEastAsia" w:hAnsiTheme="minorEastAsia" w:eastAsiaTheme="minorEastAsia" w:cstheme="minorEastAsia"/>
          <w:b/>
          <w:bCs/>
          <w:color w:val="000000"/>
          <w:kern w:val="0"/>
          <w:sz w:val="28"/>
          <w:szCs w:val="28"/>
          <w:u w:val="single"/>
          <w:lang w:bidi="ar"/>
        </w:rPr>
        <w:t xml:space="preserve">     </w:t>
      </w:r>
    </w:p>
    <w:p>
      <w:pPr>
        <w:autoSpaceDE w:val="0"/>
        <w:autoSpaceDN w:val="0"/>
        <w:spacing w:line="600" w:lineRule="exact"/>
        <w:ind w:firstLine="840" w:firstLineChars="300"/>
        <w:outlineLvl w:val="1"/>
        <w:rPr>
          <w:rFonts w:hint="eastAsia"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color w:val="000000"/>
          <w:kern w:val="0"/>
          <w:sz w:val="28"/>
          <w:szCs w:val="28"/>
          <w:lang w:bidi="ar"/>
        </w:rPr>
        <w:t>联系电话：</w:t>
      </w:r>
      <w:r>
        <w:rPr>
          <w:rFonts w:hint="eastAsia" w:asciiTheme="minorEastAsia" w:hAnsiTheme="minorEastAsia" w:eastAsiaTheme="minorEastAsia" w:cstheme="minorEastAsia"/>
          <w:b/>
          <w:bCs/>
          <w:color w:val="000000"/>
          <w:kern w:val="0"/>
          <w:sz w:val="28"/>
          <w:szCs w:val="28"/>
          <w:u w:val="single"/>
          <w:lang w:bidi="ar"/>
        </w:rPr>
        <w:t xml:space="preserve">        </w:t>
      </w:r>
      <w:r>
        <w:rPr>
          <w:rFonts w:hint="eastAsia" w:asciiTheme="minorEastAsia" w:hAnsiTheme="minorEastAsia" w:eastAsiaTheme="minorEastAsia" w:cstheme="minorEastAsia"/>
          <w:b/>
          <w:bCs/>
          <w:sz w:val="24"/>
          <w:u w:val="single"/>
          <w:lang w:val="en-US" w:eastAsia="zh-CN"/>
        </w:rPr>
        <w:t>19399479296</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p>
    <w:p>
      <w:pPr>
        <w:pStyle w:val="23"/>
        <w:spacing w:line="600" w:lineRule="exact"/>
        <w:rPr>
          <w:rFonts w:hint="eastAsia" w:asciiTheme="minorEastAsia" w:hAnsiTheme="minorEastAsia" w:eastAsiaTheme="minorEastAsia" w:cstheme="minorEastAsia"/>
          <w:b/>
          <w:bCs/>
          <w:sz w:val="28"/>
          <w:szCs w:val="28"/>
          <w:u w:val="single"/>
        </w:rPr>
      </w:pPr>
    </w:p>
    <w:p>
      <w:pPr>
        <w:pStyle w:val="23"/>
        <w:spacing w:line="600" w:lineRule="exact"/>
        <w:ind w:firstLine="3080" w:firstLineChars="1100"/>
        <w:outlineLvl w:val="1"/>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kern w:val="0"/>
          <w:sz w:val="28"/>
          <w:szCs w:val="28"/>
          <w:lang w:eastAsia="zh-CN" w:bidi="ar"/>
        </w:rPr>
        <w:t>2021年</w:t>
      </w:r>
      <w:r>
        <w:rPr>
          <w:rFonts w:hint="eastAsia" w:asciiTheme="minorEastAsia" w:hAnsiTheme="minorEastAsia" w:eastAsiaTheme="minorEastAsia" w:cstheme="minorEastAsia"/>
          <w:b/>
          <w:bCs/>
          <w:color w:val="000000"/>
          <w:kern w:val="0"/>
          <w:sz w:val="28"/>
          <w:szCs w:val="28"/>
          <w:lang w:val="en-US" w:eastAsia="zh-CN" w:bidi="ar"/>
        </w:rPr>
        <w:t>11</w:t>
      </w:r>
      <w:r>
        <w:rPr>
          <w:rFonts w:hint="eastAsia" w:asciiTheme="minorEastAsia" w:hAnsiTheme="minorEastAsia" w:eastAsiaTheme="minorEastAsia" w:cstheme="minorEastAsia"/>
          <w:b/>
          <w:bCs/>
          <w:color w:val="000000"/>
          <w:kern w:val="0"/>
          <w:sz w:val="28"/>
          <w:szCs w:val="28"/>
          <w:lang w:eastAsia="zh-CN" w:bidi="ar"/>
        </w:rPr>
        <w:t>月</w:t>
      </w:r>
      <w:r>
        <w:rPr>
          <w:rFonts w:hint="eastAsia" w:asciiTheme="minorEastAsia" w:hAnsiTheme="minorEastAsia" w:eastAsiaTheme="minorEastAsia" w:cstheme="minorEastAsia"/>
          <w:b/>
          <w:bCs/>
          <w:color w:val="000000"/>
          <w:kern w:val="0"/>
          <w:sz w:val="28"/>
          <w:szCs w:val="28"/>
          <w:lang w:bidi="ar"/>
        </w:rPr>
        <w:t xml:space="preserve">  </w:t>
      </w:r>
    </w:p>
    <w:p>
      <w:pPr>
        <w:pStyle w:val="23"/>
        <w:spacing w:line="600" w:lineRule="exact"/>
        <w:ind w:firstLine="3080" w:firstLineChars="1100"/>
        <w:outlineLvl w:val="1"/>
        <w:rPr>
          <w:rFonts w:hint="eastAsia" w:asciiTheme="minorEastAsia" w:hAnsiTheme="minorEastAsia" w:eastAsiaTheme="minorEastAsia" w:cstheme="minorEastAsia"/>
          <w:b/>
          <w:bCs/>
          <w:color w:val="000000"/>
          <w:kern w:val="0"/>
          <w:sz w:val="28"/>
          <w:szCs w:val="28"/>
          <w:lang w:bidi="ar"/>
        </w:rPr>
      </w:pPr>
    </w:p>
    <w:p>
      <w:pPr>
        <w:pStyle w:val="23"/>
        <w:spacing w:line="600" w:lineRule="exact"/>
        <w:ind w:firstLine="3080" w:firstLineChars="1100"/>
        <w:outlineLvl w:val="1"/>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color w:val="000000"/>
          <w:kern w:val="0"/>
          <w:sz w:val="28"/>
          <w:szCs w:val="28"/>
          <w:lang w:bidi="ar"/>
        </w:rPr>
        <w:t xml:space="preserve">              </w:t>
      </w:r>
    </w:p>
    <w:p>
      <w:pPr>
        <w:pStyle w:val="21"/>
        <w:tabs>
          <w:tab w:val="right" w:leader="dot" w:pos="8312"/>
        </w:tabs>
        <w:spacing w:line="300" w:lineRule="exact"/>
        <w:rPr>
          <w:rFonts w:hint="eastAsia" w:asciiTheme="minorEastAsia" w:hAnsiTheme="minorEastAsia" w:eastAsiaTheme="minorEastAsia" w:cstheme="minorEastAsia"/>
          <w:kern w:val="0"/>
          <w:szCs w:val="21"/>
        </w:rPr>
        <w:sectPr>
          <w:headerReference r:id="rId3" w:type="default"/>
          <w:footerReference r:id="rId4" w:type="default"/>
          <w:pgSz w:w="11906" w:h="16838"/>
          <w:pgMar w:top="1440" w:right="1797" w:bottom="1440" w:left="1797" w:header="454" w:footer="992" w:gutter="0"/>
          <w:pgNumType w:start="1"/>
          <w:cols w:space="720" w:num="1"/>
          <w:docGrid w:type="linesAndChars" w:linePitch="312" w:charSpace="0"/>
        </w:sectPr>
      </w:pPr>
    </w:p>
    <w:p>
      <w:pPr>
        <w:pStyle w:val="21"/>
        <w:tabs>
          <w:tab w:val="right" w:leader="dot" w:pos="8312"/>
        </w:tabs>
        <w:spacing w:line="400" w:lineRule="exact"/>
        <w:rPr>
          <w:rFonts w:hint="eastAsia" w:asciiTheme="minorEastAsia" w:hAnsiTheme="minorEastAsia" w:eastAsiaTheme="minorEastAsia" w:cstheme="minorEastAsia"/>
          <w:sz w:val="24"/>
        </w:rPr>
      </w:pPr>
      <w:bookmarkStart w:id="0" w:name="_Toc9228"/>
      <w:bookmarkStart w:id="1" w:name="_Toc216582804"/>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4"/>
        <w:rPr>
          <w:rFonts w:hint="eastAsia"/>
        </w:rPr>
        <w:sectPr>
          <w:footerReference r:id="rId7" w:type="first"/>
          <w:footerReference r:id="rId5" w:type="default"/>
          <w:footerReference r:id="rId6" w:type="even"/>
          <w:pgSz w:w="11906" w:h="16838"/>
          <w:pgMar w:top="1440" w:right="1797" w:bottom="1440" w:left="1797" w:header="851" w:footer="992" w:gutter="0"/>
          <w:pgNumType w:fmt="decimal" w:start="1"/>
          <w:cols w:space="720" w:num="1"/>
          <w:docGrid w:type="linesAndChars" w:linePitch="312" w:charSpace="0"/>
        </w:sectPr>
      </w:pPr>
    </w:p>
    <w:p>
      <w:pPr>
        <w:rPr>
          <w:rFonts w:hint="eastAsia"/>
        </w:rPr>
      </w:pPr>
    </w:p>
    <w:p>
      <w:pPr>
        <w:jc w:val="center"/>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目录</w:t>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TOC \o "1-2" \h \u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"_Toc16197"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第1章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_Toc16197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"_Toc29867"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一   总  则</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_Toc29867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"_Toc23787"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二   磋商文件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"_Toc26563"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三   响应文件的编制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_Toc26563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"_Toc9633"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四   响应文件的递交</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_Toc9633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"_Toc5445"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五   磋商开启及评审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_Toc5445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"_Toc15697"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六   确定成交</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_Toc15697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"_Toc21808"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第2章 响应文件格式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_Toc21808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"_Toc30069"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第一部分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一览表及资格证明文件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_Toc30069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 xml:space="preserve"> </w:t>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"_Toc11138"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格式一）</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_Toc11138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"_Toc16184"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2  法人或者非法人组织的营业执照等证明文件或自然人的身份证明</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_Toc16184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"_Toc13107"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3  法定代表人授权委托书(</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格式二，自然人投标的无需提供)</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_Toc13107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"_Toc6113"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5  参加政府采购活动前3年内在经营活动中没有重大违法记录的书面声明</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_Toc6113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"_Toc32295"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6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须知资料表要求的其他资格证明文件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_Toc32295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"_Toc19412"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7  进口产品制造厂家的授权书　本项目不适用（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格式四）</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_Toc19412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"_Toc10181"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8  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_Toc10181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"_Toc28097"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eastAsia="zh-CN"/>
        </w:rPr>
        <w:t>磋商响应</w:t>
      </w:r>
      <w:r>
        <w:rPr>
          <w:rFonts w:hint="eastAsia" w:asciiTheme="minorEastAsia" w:hAnsiTheme="minorEastAsia" w:eastAsiaTheme="minorEastAsia" w:cstheme="minorEastAsia"/>
          <w:sz w:val="24"/>
        </w:rPr>
        <w:t>函（</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格式五）</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4   技术规格偏离表（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格式九）</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32</w:t>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"_Toc28674"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5  商务条款偏离表（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格式十）</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"_Toc3916"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6-1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企业（单位）类型声明函（</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格式十一）</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"_Toc30941"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6-2   制造商企业（单位）类型声明函（</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格式十二）</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"_Toc31054"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6-3   残疾人福利性单位声明函（本项目不适用）（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格式十三）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"_Toc17980"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7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关联单位的说明（本项目不适用）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"_Toc9124"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8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还应包括</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须知第10条的所有技术文件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6"/>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"_Toc29188"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9  其他有利于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的技术条件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fldChar w:fldCharType="end"/>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"_Toc31119"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第3章  磋商邀请</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_Toc31119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45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"_Toc22427"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第4章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3</w:t>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"_Toc21132"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第5章  服务需求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_Toc21132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"_Toc29954"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第6章  评审方法和标准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8</w:t>
      </w:r>
    </w:p>
    <w:p>
      <w:pPr>
        <w:pStyle w:val="21"/>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"_Toc1882"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第7章  政府采购合同</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54</w:t>
      </w:r>
    </w:p>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end"/>
      </w:r>
    </w:p>
    <w:p>
      <w:pPr>
        <w:spacing w:line="400" w:lineRule="exact"/>
        <w:jc w:val="center"/>
        <w:rPr>
          <w:rFonts w:hint="eastAsia" w:asciiTheme="minorEastAsia" w:hAnsiTheme="minorEastAsia" w:eastAsiaTheme="minorEastAsia" w:cstheme="minorEastAsia"/>
          <w:sz w:val="24"/>
        </w:rPr>
      </w:pPr>
    </w:p>
    <w:p>
      <w:pPr>
        <w:spacing w:line="40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 xml:space="preserve">第一章  </w:t>
      </w:r>
      <w:bookmarkStart w:id="2" w:name="_Toc16197"/>
      <w:bookmarkStart w:id="3" w:name="_Toc518923059"/>
      <w:r>
        <w:rPr>
          <w:rFonts w:hint="eastAsia" w:asciiTheme="minorEastAsia" w:hAnsiTheme="minorEastAsia" w:eastAsiaTheme="minorEastAsia" w:cstheme="minorEastAsia"/>
          <w:b/>
          <w:sz w:val="30"/>
          <w:szCs w:val="30"/>
          <w:lang w:eastAsia="zh-CN"/>
        </w:rPr>
        <w:t>供应商</w:t>
      </w:r>
      <w:r>
        <w:rPr>
          <w:rFonts w:hint="eastAsia" w:asciiTheme="minorEastAsia" w:hAnsiTheme="minorEastAsia" w:eastAsiaTheme="minorEastAsia" w:cstheme="minorEastAsia"/>
          <w:b/>
          <w:sz w:val="30"/>
          <w:szCs w:val="30"/>
        </w:rPr>
        <w:t>须知</w:t>
      </w:r>
      <w:bookmarkEnd w:id="0"/>
      <w:bookmarkEnd w:id="1"/>
      <w:bookmarkEnd w:id="2"/>
      <w:bookmarkEnd w:id="3"/>
    </w:p>
    <w:p>
      <w:pPr>
        <w:pStyle w:val="4"/>
        <w:spacing w:before="0" w:line="240" w:lineRule="auto"/>
        <w:ind w:left="1079" w:leftChars="257" w:hanging="540"/>
        <w:rPr>
          <w:rFonts w:hint="eastAsia" w:asciiTheme="minorEastAsia" w:hAnsiTheme="minorEastAsia" w:eastAsiaTheme="minorEastAsia" w:cstheme="minorEastAsia"/>
        </w:rPr>
      </w:pPr>
      <w:bookmarkStart w:id="4" w:name="_Toc520356143"/>
      <w:bookmarkStart w:id="5" w:name="_Toc216582805"/>
      <w:bookmarkStart w:id="6" w:name="_Toc9485"/>
      <w:bookmarkStart w:id="7" w:name="_Toc25430_WPSOffice_Level1"/>
      <w:bookmarkStart w:id="8" w:name="_Toc29867"/>
      <w:bookmarkStart w:id="9" w:name="_Toc518923060"/>
      <w:r>
        <w:rPr>
          <w:rFonts w:hint="eastAsia" w:asciiTheme="minorEastAsia" w:hAnsiTheme="minorEastAsia" w:eastAsiaTheme="minorEastAsia" w:cstheme="minorEastAsia"/>
          <w:sz w:val="28"/>
        </w:rPr>
        <w:t xml:space="preserve">一   </w:t>
      </w:r>
      <w:bookmarkEnd w:id="4"/>
      <w:bookmarkEnd w:id="5"/>
      <w:r>
        <w:rPr>
          <w:rFonts w:hint="eastAsia" w:asciiTheme="minorEastAsia" w:hAnsiTheme="minorEastAsia" w:eastAsiaTheme="minorEastAsia" w:cstheme="minorEastAsia"/>
          <w:sz w:val="28"/>
        </w:rPr>
        <w:t>总  则</w:t>
      </w:r>
      <w:bookmarkEnd w:id="6"/>
      <w:bookmarkEnd w:id="7"/>
      <w:bookmarkEnd w:id="8"/>
      <w:bookmarkEnd w:id="9"/>
    </w:p>
    <w:p>
      <w:pPr>
        <w:pStyle w:val="5"/>
        <w:spacing w:before="0" w:after="0" w:line="400" w:lineRule="exact"/>
        <w:rPr>
          <w:rFonts w:hint="eastAsia" w:asciiTheme="minorEastAsia" w:hAnsiTheme="minorEastAsia" w:eastAsiaTheme="minorEastAsia" w:cstheme="minorEastAsia"/>
          <w:u w:val="none"/>
          <w:lang w:eastAsia="zh-CN"/>
        </w:rPr>
      </w:pPr>
      <w:bookmarkStart w:id="10" w:name="_Toc520356144"/>
      <w:bookmarkStart w:id="11" w:name="_Toc12013"/>
      <w:bookmarkStart w:id="12" w:name="_Toc4676_WPSOffice_Level2"/>
      <w:bookmarkStart w:id="13" w:name="_Toc16905_WPSOffice_Level2"/>
      <w:bookmarkStart w:id="14" w:name="_Toc518923061"/>
      <w:r>
        <w:rPr>
          <w:rFonts w:hint="eastAsia" w:asciiTheme="minorEastAsia" w:hAnsiTheme="minorEastAsia" w:eastAsiaTheme="minorEastAsia" w:cstheme="minorEastAsia"/>
          <w:u w:val="none"/>
        </w:rPr>
        <w:t>1.采购人、采购代理机构及</w:t>
      </w:r>
      <w:bookmarkEnd w:id="10"/>
      <w:bookmarkEnd w:id="11"/>
      <w:bookmarkEnd w:id="12"/>
      <w:bookmarkEnd w:id="13"/>
      <w:bookmarkEnd w:id="14"/>
      <w:r>
        <w:rPr>
          <w:rFonts w:hint="eastAsia" w:asciiTheme="minorEastAsia" w:hAnsiTheme="minorEastAsia" w:eastAsiaTheme="minorEastAsia" w:cstheme="minorEastAsia"/>
          <w:u w:val="none"/>
          <w:lang w:eastAsia="zh-CN"/>
        </w:rPr>
        <w:t>供应商</w:t>
      </w:r>
    </w:p>
    <w:p>
      <w:pPr>
        <w:numPr>
          <w:ilvl w:val="1"/>
          <w:numId w:val="2"/>
        </w:numPr>
        <w:tabs>
          <w:tab w:val="left" w:pos="0"/>
          <w:tab w:val="clear" w:pos="900"/>
        </w:tabs>
        <w:spacing w:line="400" w:lineRule="exact"/>
        <w:ind w:hanging="89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采购人：是指依法开展政府采购活动的国家机关、事业单位、团体组织。</w:t>
      </w:r>
    </w:p>
    <w:p>
      <w:pPr>
        <w:tabs>
          <w:tab w:val="left" w:pos="0"/>
        </w:tabs>
        <w:spacing w:line="400" w:lineRule="exact"/>
        <w:ind w:left="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本项目的采购人见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numPr>
          <w:ilvl w:val="1"/>
          <w:numId w:val="2"/>
        </w:numPr>
        <w:tabs>
          <w:tab w:val="left" w:pos="0"/>
          <w:tab w:val="clear" w:pos="900"/>
        </w:tabs>
        <w:spacing w:line="400" w:lineRule="exact"/>
        <w:ind w:hanging="89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采购代理机构：是指集中采购机构或从事采购代理业务的社会中介机构。本项目的采购代理机构见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numPr>
          <w:ilvl w:val="1"/>
          <w:numId w:val="2"/>
        </w:numPr>
        <w:spacing w:line="400" w:lineRule="exact"/>
        <w:ind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：是指向采购人提供货物、工程或者服务的法人、非法人组织或者自然人。本项目的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须满足以下条件：</w:t>
      </w:r>
    </w:p>
    <w:p>
      <w:pPr>
        <w:spacing w:line="4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在中华人民共和国境内注册，能够独立承担民事责任，有生产或供应能力的本国</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1.3.2  具备《中华人民共和国政府采购法》第二十二条关于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条件的规定，遵守本项目采购人本级和上级财政部门政府采购的有关规定。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1.3.3   以采购代理机构认可的方式获得了本项目的磋商文件。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1.3.4   符合</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中规定的其他要求。</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1.3.5   若</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中写明专门面向中小企业采购的，如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为非中小企业，其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     如</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中允许联合体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，对联合体规定如下：</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   两个以上</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可以组成一个联合体，以一个</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的身份</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1.4.2   联合体各方均应符合《中华人民共和国政府采购法》第二十二条规定的条件。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1.4.3   采购人根据采购项目对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的特殊要求，联合体中至少应当有一方符合相关规定。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1.4.4   联合体各方应签订共同</w:t>
      </w:r>
      <w:r>
        <w:rPr>
          <w:rFonts w:hint="eastAsia" w:asciiTheme="minorEastAsia" w:hAnsiTheme="minorEastAsia" w:eastAsiaTheme="minorEastAsia" w:cstheme="minorEastAsia"/>
          <w:sz w:val="24"/>
          <w:lang w:eastAsia="zh-CN"/>
        </w:rPr>
        <w:t>响应本磋商文件</w:t>
      </w:r>
      <w:r>
        <w:rPr>
          <w:rFonts w:hint="eastAsia" w:asciiTheme="minorEastAsia" w:hAnsiTheme="minorEastAsia" w:eastAsiaTheme="minorEastAsia" w:cstheme="minorEastAsia"/>
          <w:sz w:val="24"/>
        </w:rPr>
        <w:t>协议，明确约定联合体各方承担的工作和相应的责任，并将共同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协议连同响应文件一并提交采购单位。</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1.4.5   大中型企业、其他自然人、法人或者非法人组织与小型、微型企业组成联合体共同参加</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协议中应写明小型、微型企业的协议合同金额占到共同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总金额的比例。</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1.4.6  联合体中有同类资质的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按照联合体分工承担相同工作的，按照资质等级较低的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确定资质等级。</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1.4.7  以联合体形式参加政府采购活动的，联合体各方不得再单独参加或者与其他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另外组成联合体参加本项目</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，否则相关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1.4.8   对联合体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的其他资格要求见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    单位负责人为同一人或者存在直接控股、管理关系的不同</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，其相关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    为本项目提供过整体设计、规范编制或者项目管理、监理、检测等服务的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，不得再参加本项目上述服务以外的其他采购活动。否则其</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eastAsia="zh-CN"/>
        </w:rPr>
        <w:t>磋商响应</w:t>
      </w:r>
      <w:r>
        <w:rPr>
          <w:rFonts w:hint="eastAsia" w:asciiTheme="minorEastAsia" w:hAnsiTheme="minorEastAsia" w:eastAsiaTheme="minorEastAsia" w:cstheme="minorEastAsia"/>
          <w:sz w:val="24"/>
        </w:rPr>
        <w:t>过程中不得向采购人提供或给予影响其正常决策行为的任何有价值物品或服务。一经发现，其</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5"/>
        <w:spacing w:before="0" w:after="0" w:line="400" w:lineRule="exact"/>
        <w:rPr>
          <w:rFonts w:hint="eastAsia" w:asciiTheme="minorEastAsia" w:hAnsiTheme="minorEastAsia" w:eastAsiaTheme="minorEastAsia" w:cstheme="minorEastAsia"/>
          <w:u w:val="none"/>
        </w:rPr>
      </w:pPr>
      <w:bookmarkStart w:id="15" w:name="_Toc11813_WPSOffice_Level2"/>
      <w:bookmarkStart w:id="16" w:name="_Toc11482_WPSOffice_Level2"/>
      <w:bookmarkStart w:id="17" w:name="_Toc2643"/>
      <w:bookmarkStart w:id="18" w:name="_Toc518923062"/>
      <w:r>
        <w:rPr>
          <w:rFonts w:hint="eastAsia" w:asciiTheme="minorEastAsia" w:hAnsiTheme="minorEastAsia" w:eastAsiaTheme="minorEastAsia" w:cstheme="minorEastAsia"/>
          <w:u w:val="none"/>
        </w:rPr>
        <w:t>2.资金来源</w:t>
      </w:r>
      <w:bookmarkEnd w:id="15"/>
      <w:bookmarkEnd w:id="16"/>
      <w:bookmarkEnd w:id="17"/>
      <w:bookmarkEnd w:id="1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本项目的采购人已获得足以支付本次</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后所签订的合同项下的资金（包括财政性资金和本项目采购中无法与财政性资金分割的非财政性资金）。</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项目预算金额和分项或分包最高限价</w:t>
      </w:r>
      <w:r>
        <w:rPr>
          <w:rFonts w:hint="eastAsia" w:asciiTheme="minorEastAsia" w:hAnsiTheme="minorEastAsia" w:eastAsiaTheme="minorEastAsia" w:cstheme="minorEastAsia"/>
          <w:sz w:val="24"/>
          <w:u w:val="single"/>
        </w:rPr>
        <w:t>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报价超过磋商文件规定的预算金额或者分项、分包最高限价的，其报价将被认定为无效。</w:t>
      </w:r>
    </w:p>
    <w:p>
      <w:pPr>
        <w:pStyle w:val="5"/>
        <w:spacing w:before="0" w:after="0" w:line="400" w:lineRule="exact"/>
        <w:rPr>
          <w:rFonts w:hint="eastAsia" w:asciiTheme="minorEastAsia" w:hAnsiTheme="minorEastAsia" w:eastAsiaTheme="minorEastAsia" w:cstheme="minorEastAsia"/>
          <w:u w:val="none"/>
        </w:rPr>
      </w:pPr>
      <w:bookmarkStart w:id="19" w:name="_Toc518923063"/>
      <w:bookmarkStart w:id="20" w:name="_Toc8601_WPSOffice_Level2"/>
      <w:bookmarkStart w:id="21" w:name="_Toc28166"/>
      <w:bookmarkStart w:id="22" w:name="_Toc520356145"/>
      <w:bookmarkStart w:id="23" w:name="_Toc8946_WPSOffice_Level2"/>
      <w:r>
        <w:rPr>
          <w:rFonts w:hint="eastAsia" w:asciiTheme="minorEastAsia" w:hAnsiTheme="minorEastAsia" w:eastAsiaTheme="minorEastAsia" w:cstheme="minorEastAsia"/>
          <w:u w:val="none"/>
        </w:rPr>
        <w:t>3.磋商费用</w:t>
      </w:r>
      <w:bookmarkEnd w:id="19"/>
      <w:bookmarkEnd w:id="20"/>
      <w:bookmarkEnd w:id="21"/>
      <w:bookmarkEnd w:id="22"/>
      <w:bookmarkEnd w:id="2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不论磋商的结果如何，</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应承担所有与准备和参加磋商有关的费用。</w:t>
      </w:r>
    </w:p>
    <w:p>
      <w:pPr>
        <w:pStyle w:val="5"/>
        <w:spacing w:before="0" w:after="0" w:line="400" w:lineRule="exact"/>
        <w:rPr>
          <w:rFonts w:hint="eastAsia" w:asciiTheme="minorEastAsia" w:hAnsiTheme="minorEastAsia" w:eastAsiaTheme="minorEastAsia" w:cstheme="minorEastAsia"/>
          <w:u w:val="none"/>
        </w:rPr>
      </w:pPr>
      <w:bookmarkStart w:id="24" w:name="_Toc8368_WPSOffice_Level2"/>
      <w:bookmarkStart w:id="25" w:name="_Toc1523_WPSOffice_Level2"/>
      <w:bookmarkStart w:id="26" w:name="_Toc32365"/>
      <w:bookmarkStart w:id="27" w:name="_Toc518923064"/>
      <w:r>
        <w:rPr>
          <w:rFonts w:hint="eastAsia" w:asciiTheme="minorEastAsia" w:hAnsiTheme="minorEastAsia" w:eastAsiaTheme="minorEastAsia" w:cstheme="minorEastAsia"/>
          <w:u w:val="none"/>
        </w:rPr>
        <w:t>4.适用法律</w:t>
      </w:r>
      <w:bookmarkEnd w:id="24"/>
      <w:bookmarkEnd w:id="25"/>
      <w:bookmarkEnd w:id="26"/>
      <w:bookmarkEnd w:id="27"/>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本项目采购人、采购代理机构、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、评审委员会的相关行为均受《中华人民共和国政府采购法》、《中华人民共和国政府采购法实施条例》</w:t>
      </w:r>
      <w:r>
        <w:rPr>
          <w:rFonts w:hint="eastAsia" w:asciiTheme="minorEastAsia" w:hAnsiTheme="minorEastAsia" w:eastAsiaTheme="minorEastAsia" w:cstheme="minorEastAsia"/>
          <w:sz w:val="24"/>
          <w:lang w:eastAsia="zh-CN"/>
        </w:rPr>
        <w:t>、《政府采购竞争性磋商采购方式管理暂行办法》</w:t>
      </w:r>
      <w:r>
        <w:rPr>
          <w:rFonts w:hint="eastAsia" w:asciiTheme="minorEastAsia" w:hAnsiTheme="minorEastAsia" w:eastAsiaTheme="minorEastAsia" w:cstheme="minorEastAsia"/>
          <w:sz w:val="24"/>
        </w:rPr>
        <w:t>及本项目本级和上级财政部门政府采购有关规定的约束，其权利受到上述法律法规的保护。</w:t>
      </w:r>
    </w:p>
    <w:p>
      <w:pPr>
        <w:pStyle w:val="4"/>
        <w:spacing w:before="0" w:line="400" w:lineRule="exact"/>
        <w:ind w:left="1079" w:leftChars="257" w:hanging="540"/>
        <w:rPr>
          <w:rFonts w:hint="eastAsia" w:asciiTheme="minorEastAsia" w:hAnsiTheme="minorEastAsia" w:eastAsiaTheme="minorEastAsia" w:cstheme="minorEastAsia"/>
          <w:sz w:val="28"/>
        </w:rPr>
      </w:pPr>
      <w:bookmarkStart w:id="28" w:name="_Toc520356146"/>
      <w:bookmarkStart w:id="29" w:name="_Toc518923065"/>
      <w:bookmarkStart w:id="30" w:name="_Toc216582806"/>
      <w:bookmarkStart w:id="31" w:name="_Toc809"/>
      <w:bookmarkStart w:id="32" w:name="_Toc10894_WPSOffice_Level1"/>
      <w:bookmarkStart w:id="33" w:name="_Toc23787"/>
    </w:p>
    <w:p>
      <w:pPr>
        <w:pStyle w:val="4"/>
        <w:spacing w:before="0" w:line="400" w:lineRule="exact"/>
        <w:ind w:left="1079" w:leftChars="257" w:hanging="540"/>
        <w:rPr>
          <w:rFonts w:hint="eastAsia" w:asciiTheme="minorEastAsia" w:hAnsiTheme="minorEastAsia" w:eastAsiaTheme="minorEastAsia" w:cstheme="minorEastAsia"/>
          <w:sz w:val="28"/>
        </w:rPr>
      </w:pPr>
    </w:p>
    <w:p>
      <w:pPr>
        <w:pStyle w:val="4"/>
        <w:spacing w:before="0" w:line="400" w:lineRule="exact"/>
        <w:ind w:left="1079" w:leftChars="257" w:hanging="540"/>
        <w:rPr>
          <w:rFonts w:hint="eastAsia" w:asciiTheme="minorEastAsia" w:hAnsiTheme="minorEastAsia" w:eastAsiaTheme="minorEastAsia" w:cstheme="minorEastAsia"/>
          <w:sz w:val="28"/>
        </w:rPr>
      </w:pPr>
    </w:p>
    <w:p>
      <w:pPr>
        <w:pStyle w:val="4"/>
        <w:spacing w:before="0" w:line="400" w:lineRule="exact"/>
        <w:ind w:left="1079" w:leftChars="257" w:hanging="54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xml:space="preserve">二   </w:t>
      </w:r>
      <w:bookmarkEnd w:id="28"/>
      <w:bookmarkEnd w:id="29"/>
      <w:bookmarkEnd w:id="30"/>
      <w:bookmarkEnd w:id="31"/>
      <w:r>
        <w:rPr>
          <w:rFonts w:hint="eastAsia" w:asciiTheme="minorEastAsia" w:hAnsiTheme="minorEastAsia" w:eastAsiaTheme="minorEastAsia" w:cstheme="minorEastAsia"/>
          <w:sz w:val="28"/>
        </w:rPr>
        <w:t>磋商文件</w:t>
      </w:r>
      <w:bookmarkEnd w:id="32"/>
      <w:bookmarkEnd w:id="33"/>
    </w:p>
    <w:p>
      <w:pPr>
        <w:pStyle w:val="5"/>
        <w:spacing w:before="0" w:after="0" w:line="400" w:lineRule="exact"/>
        <w:rPr>
          <w:rFonts w:hint="eastAsia" w:asciiTheme="minorEastAsia" w:hAnsiTheme="minorEastAsia" w:eastAsiaTheme="minorEastAsia" w:cstheme="minorEastAsia"/>
          <w:u w:val="none"/>
        </w:rPr>
      </w:pPr>
      <w:bookmarkStart w:id="34" w:name="_Toc15303_WPSOffice_Level2"/>
      <w:bookmarkStart w:id="35" w:name="_Toc15218_WPSOffice_Level2"/>
      <w:bookmarkStart w:id="36" w:name="_Toc518923066"/>
      <w:bookmarkStart w:id="37" w:name="_Toc22990"/>
      <w:bookmarkStart w:id="38" w:name="_Toc520356147"/>
      <w:r>
        <w:rPr>
          <w:rFonts w:hint="eastAsia" w:asciiTheme="minorEastAsia" w:hAnsiTheme="minorEastAsia" w:eastAsiaTheme="minorEastAsia" w:cstheme="minorEastAsia"/>
          <w:u w:val="none"/>
        </w:rPr>
        <w:t>5.磋商文件构成</w:t>
      </w:r>
      <w:bookmarkEnd w:id="34"/>
      <w:bookmarkEnd w:id="35"/>
      <w:bookmarkEnd w:id="36"/>
      <w:bookmarkEnd w:id="37"/>
      <w:bookmarkEnd w:id="3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磋商文件分为三册共7章，内容如下：</w:t>
      </w:r>
    </w:p>
    <w:p>
      <w:pPr>
        <w:spacing w:line="400" w:lineRule="exact"/>
        <w:ind w:left="1078" w:leftChars="428" w:hanging="180" w:hangingChars="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第一册</w:t>
      </w:r>
    </w:p>
    <w:p>
      <w:pPr>
        <w:numPr>
          <w:ilvl w:val="0"/>
          <w:numId w:val="3"/>
        </w:numPr>
        <w:tabs>
          <w:tab w:val="left" w:pos="0"/>
        </w:tabs>
        <w:spacing w:line="400" w:lineRule="exact"/>
        <w:ind w:left="993"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w:t>
      </w:r>
    </w:p>
    <w:p>
      <w:p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第二册</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磋商邀请 </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项目需求</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评审方法和标准</w:t>
      </w:r>
    </w:p>
    <w:p>
      <w:pPr>
        <w:spacing w:line="400" w:lineRule="exact"/>
        <w:ind w:left="90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第三册</w:t>
      </w:r>
    </w:p>
    <w:p>
      <w:pPr>
        <w:numPr>
          <w:ilvl w:val="0"/>
          <w:numId w:val="3"/>
        </w:num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政府采购合同格式</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如本文件的前后内容不一致，以最后描述为准。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5.3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应认真阅读磋商文件所有的事项、格式、条款和技术规范等。如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没有按照磋商文件要求提交全部资料，或者响应文件没有对磋商文件在各方面都做出实质性响应，可能导致其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5"/>
        <w:spacing w:before="0" w:after="0" w:line="400" w:lineRule="exact"/>
        <w:rPr>
          <w:rFonts w:hint="eastAsia" w:asciiTheme="minorEastAsia" w:hAnsiTheme="minorEastAsia" w:eastAsiaTheme="minorEastAsia" w:cstheme="minorEastAsia"/>
          <w:b w:val="0"/>
          <w:u w:val="none"/>
        </w:rPr>
      </w:pPr>
      <w:bookmarkStart w:id="39" w:name="_Toc520356148"/>
      <w:bookmarkStart w:id="40" w:name="_Toc21314"/>
      <w:bookmarkStart w:id="41" w:name="_Toc29081_WPSOffice_Level2"/>
      <w:bookmarkStart w:id="42" w:name="_Toc518923067"/>
      <w:bookmarkStart w:id="43" w:name="_Toc90_WPSOffice_Level2"/>
      <w:r>
        <w:rPr>
          <w:rFonts w:hint="eastAsia" w:asciiTheme="minorEastAsia" w:hAnsiTheme="minorEastAsia" w:eastAsiaTheme="minorEastAsia" w:cstheme="minorEastAsia"/>
          <w:u w:val="none"/>
        </w:rPr>
        <w:t>6.磋商文件的澄清</w:t>
      </w:r>
      <w:bookmarkEnd w:id="39"/>
      <w:r>
        <w:rPr>
          <w:rFonts w:hint="eastAsia" w:asciiTheme="minorEastAsia" w:hAnsiTheme="minorEastAsia" w:eastAsiaTheme="minorEastAsia" w:cstheme="minorEastAsia"/>
          <w:u w:val="none"/>
        </w:rPr>
        <w:t>与修改</w:t>
      </w:r>
      <w:bookmarkEnd w:id="40"/>
      <w:bookmarkEnd w:id="41"/>
      <w:bookmarkEnd w:id="42"/>
      <w:bookmarkEnd w:id="43"/>
    </w:p>
    <w:p>
      <w:pPr>
        <w:pStyle w:val="9"/>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6.1    为了保证对磋商文件的澄清和修改满足法律的时限要求，</w:t>
      </w:r>
      <w:bookmarkStart w:id="44" w:name="_Toc520356149"/>
      <w:bookmarkStart w:id="45" w:name="_Ref467378678"/>
      <w:r>
        <w:rPr>
          <w:rFonts w:hint="eastAsia" w:asciiTheme="minorEastAsia" w:hAnsiTheme="minorEastAsia" w:eastAsiaTheme="minorEastAsia" w:cs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；不足5日的，采购人、采购代理机构应当顺延提交首次响应文件截止时间。</w:t>
      </w:r>
    </w:p>
    <w:p>
      <w:pPr>
        <w:pStyle w:val="9"/>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6.2</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采购人可主动地或在解答</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提出的澄清问题时对磋商文件澄清或修改。采购代理机构将以发布澄清（更正）公告的方式，澄清或修改磋商文件，澄清或修改内容作为磋商文件的组成部分。</w:t>
      </w:r>
    </w:p>
    <w:p>
      <w:pPr>
        <w:pStyle w:val="9"/>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6.3</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澄清或者修改的内容可能影响响应文件编制的，采购代理机构将以书面形式通知所有购买磋商文件的潜在</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，并对其具有约束力。</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在收到上述通知后，应及时向采购代理机构回函确认。</w:t>
      </w:r>
    </w:p>
    <w:p>
      <w:pPr>
        <w:pStyle w:val="5"/>
        <w:tabs>
          <w:tab w:val="left" w:pos="900"/>
        </w:tabs>
        <w:spacing w:before="0" w:after="0" w:line="400" w:lineRule="exact"/>
        <w:rPr>
          <w:rFonts w:hint="eastAsia" w:asciiTheme="minorEastAsia" w:hAnsiTheme="minorEastAsia" w:eastAsiaTheme="minorEastAsia" w:cstheme="minorEastAsia"/>
          <w:u w:val="none"/>
        </w:rPr>
      </w:pPr>
      <w:bookmarkStart w:id="46" w:name="_Toc518923068"/>
      <w:bookmarkStart w:id="47" w:name="_Toc10994"/>
      <w:bookmarkStart w:id="48" w:name="_Toc31699_WPSOffice_Level2"/>
      <w:bookmarkStart w:id="49" w:name="_Toc9694_WPSOffice_Level2"/>
      <w:r>
        <w:rPr>
          <w:rFonts w:hint="eastAsia" w:asciiTheme="minorEastAsia" w:hAnsiTheme="minorEastAsia" w:eastAsiaTheme="minorEastAsia" w:cstheme="minorEastAsia"/>
          <w:u w:val="none"/>
        </w:rPr>
        <w:t>7</w:t>
      </w:r>
      <w:bookmarkEnd w:id="44"/>
      <w:bookmarkEnd w:id="45"/>
      <w:r>
        <w:rPr>
          <w:rFonts w:hint="eastAsia" w:asciiTheme="minorEastAsia" w:hAnsiTheme="minorEastAsia" w:eastAsiaTheme="minorEastAsia" w:cstheme="minorEastAsia"/>
          <w:u w:val="none"/>
        </w:rPr>
        <w:t>.响应文件递交截止时间的顺延</w:t>
      </w:r>
      <w:bookmarkEnd w:id="46"/>
      <w:bookmarkEnd w:id="47"/>
      <w:bookmarkEnd w:id="48"/>
      <w:bookmarkEnd w:id="49"/>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为使</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准备</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hint="eastAsia" w:asciiTheme="minorEastAsia" w:hAnsiTheme="minorEastAsia" w:eastAsiaTheme="minorEastAsia" w:cstheme="minorEastAsia"/>
        </w:rPr>
      </w:pPr>
      <w:bookmarkStart w:id="50" w:name="_Toc516367020"/>
      <w:bookmarkStart w:id="51" w:name="_Toc520356150"/>
      <w:bookmarkStart w:id="52" w:name="_Toc4436_WPSOffice_Level1"/>
      <w:bookmarkStart w:id="53" w:name="_Toc518923069"/>
      <w:bookmarkStart w:id="54" w:name="_Toc216582807"/>
      <w:bookmarkStart w:id="55" w:name="_Toc26563"/>
      <w:bookmarkStart w:id="56" w:name="_Toc25389"/>
      <w:r>
        <w:rPr>
          <w:rFonts w:hint="eastAsia" w:asciiTheme="minorEastAsia" w:hAnsiTheme="minorEastAsia" w:eastAsiaTheme="minorEastAsia" w:cstheme="minorEastAsia"/>
          <w:sz w:val="28"/>
        </w:rPr>
        <w:t xml:space="preserve">三   </w:t>
      </w:r>
      <w:bookmarkEnd w:id="50"/>
      <w:r>
        <w:rPr>
          <w:rFonts w:hint="eastAsia" w:asciiTheme="minorEastAsia" w:hAnsiTheme="minorEastAsia" w:eastAsiaTheme="minorEastAsia" w:cstheme="minorEastAsia"/>
          <w:sz w:val="28"/>
        </w:rPr>
        <w:t>响应文件的编制</w:t>
      </w:r>
      <w:bookmarkEnd w:id="51"/>
      <w:bookmarkEnd w:id="52"/>
      <w:bookmarkEnd w:id="53"/>
      <w:bookmarkEnd w:id="54"/>
      <w:bookmarkEnd w:id="55"/>
      <w:bookmarkEnd w:id="56"/>
    </w:p>
    <w:p>
      <w:pPr>
        <w:pStyle w:val="5"/>
        <w:tabs>
          <w:tab w:val="left" w:pos="900"/>
        </w:tabs>
        <w:spacing w:before="0" w:after="0" w:line="400" w:lineRule="exact"/>
        <w:rPr>
          <w:rFonts w:hint="eastAsia" w:asciiTheme="minorEastAsia" w:hAnsiTheme="minorEastAsia" w:eastAsiaTheme="minorEastAsia" w:cstheme="minorEastAsia"/>
          <w:u w:val="none"/>
        </w:rPr>
      </w:pPr>
      <w:bookmarkStart w:id="57" w:name="_Toc13590_WPSOffice_Level2"/>
      <w:bookmarkStart w:id="58" w:name="_Toc6728"/>
      <w:bookmarkStart w:id="59" w:name="_Toc516367021"/>
      <w:bookmarkStart w:id="60" w:name="_Toc20686_WPSOffice_Level2"/>
      <w:bookmarkStart w:id="61" w:name="_Toc518923070"/>
      <w:bookmarkStart w:id="62" w:name="_Toc520356151"/>
      <w:r>
        <w:rPr>
          <w:rFonts w:hint="eastAsia" w:asciiTheme="minorEastAsia" w:hAnsiTheme="minorEastAsia" w:eastAsiaTheme="minorEastAsia" w:cstheme="minorEastAsia"/>
          <w:u w:val="none"/>
        </w:rPr>
        <w:t>8.</w:t>
      </w:r>
      <w:r>
        <w:rPr>
          <w:rFonts w:hint="eastAsia" w:asciiTheme="minorEastAsia" w:hAnsiTheme="minorEastAsia" w:eastAsiaTheme="minorEastAsia" w:cstheme="minorEastAsia"/>
          <w:u w:val="none"/>
        </w:rPr>
        <w:tab/>
      </w:r>
      <w:r>
        <w:rPr>
          <w:rFonts w:hint="eastAsia" w:asciiTheme="minorEastAsia" w:hAnsiTheme="minorEastAsia" w:eastAsiaTheme="minorEastAsia" w:cs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项目有分包的，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可对磋商文件其中一个或几个分包进行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，除非在</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中另有规定。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8.2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应当对所投分包磋商文件中“项目需求”所列的所有服务内容进行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，如仅响应分包中的部分内容，其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     无论磋商文件第5章项目需求中是否要求，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所投服务均应符合国家强制性标准。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     除磋商文件中有特殊要求外，响应文件中所使用的计量单位，应采用中华人民共和国法定计量单位。</w:t>
      </w:r>
    </w:p>
    <w:p>
      <w:pPr>
        <w:pStyle w:val="5"/>
        <w:tabs>
          <w:tab w:val="left" w:pos="900"/>
        </w:tabs>
        <w:spacing w:before="0" w:after="0" w:line="400" w:lineRule="exact"/>
        <w:rPr>
          <w:rFonts w:hint="eastAsia" w:asciiTheme="minorEastAsia" w:hAnsiTheme="minorEastAsia" w:eastAsiaTheme="minorEastAsia" w:cstheme="minorEastAsia"/>
          <w:u w:val="none"/>
        </w:rPr>
      </w:pPr>
      <w:bookmarkStart w:id="63" w:name="_Ref467306676"/>
      <w:bookmarkStart w:id="64" w:name="_Toc516367022"/>
      <w:bookmarkStart w:id="65" w:name="_Ref467306195"/>
      <w:bookmarkStart w:id="66" w:name="_Toc28579_WPSOffice_Level2"/>
      <w:bookmarkStart w:id="67" w:name="_Toc520356152"/>
      <w:bookmarkStart w:id="68" w:name="_Toc518923071"/>
      <w:bookmarkStart w:id="69" w:name="_Toc31935_WPSOffice_Level2"/>
      <w:bookmarkStart w:id="70" w:name="_Toc15487"/>
      <w:r>
        <w:rPr>
          <w:rFonts w:hint="eastAsia" w:asciiTheme="minorEastAsia" w:hAnsiTheme="minorEastAsia" w:eastAsiaTheme="minorEastAsia" w:cstheme="minorEastAsia"/>
          <w:u w:val="none"/>
        </w:rPr>
        <w:t>9.</w:t>
      </w:r>
      <w:bookmarkEnd w:id="63"/>
      <w:bookmarkEnd w:id="64"/>
      <w:bookmarkEnd w:id="65"/>
      <w:r>
        <w:rPr>
          <w:rFonts w:hint="eastAsia" w:asciiTheme="minorEastAsia" w:hAnsiTheme="minorEastAsia" w:eastAsiaTheme="minorEastAsia" w:cs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hint="eastAsia" w:asciiTheme="minorEastAsia" w:hAnsiTheme="minorEastAsia" w:eastAsiaTheme="minorEastAsia" w:cstheme="minorEastAsia"/>
          <w:b/>
          <w:kern w:val="0"/>
          <w:sz w:val="24"/>
          <w:szCs w:val="20"/>
          <w:u w:val="single"/>
        </w:rPr>
      </w:pPr>
      <w:bookmarkStart w:id="71" w:name="_Ref467052588"/>
      <w:r>
        <w:rPr>
          <w:rFonts w:hint="eastAsia" w:asciiTheme="minorEastAsia" w:hAnsiTheme="minorEastAsia" w:eastAsiaTheme="minorEastAsia" w:cstheme="minorEastAsia"/>
          <w:sz w:val="24"/>
        </w:rPr>
        <w:t xml:space="preserve">9.1    </w:t>
      </w:r>
      <w:bookmarkEnd w:id="71"/>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应完整地按磋商文件提供的</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格式及要求</w:t>
      </w:r>
      <w:r>
        <w:rPr>
          <w:rFonts w:hint="eastAsia" w:asciiTheme="minorEastAsia" w:hAnsiTheme="minorEastAsia" w:eastAsiaTheme="minorEastAsia" w:cstheme="minorEastAsia"/>
          <w:sz w:val="24"/>
          <w:u w:val="single"/>
          <w:lang w:val="en-US" w:eastAsia="zh-CN"/>
        </w:rPr>
        <w:t>编</w:t>
      </w:r>
      <w:r>
        <w:rPr>
          <w:rFonts w:hint="eastAsia" w:asciiTheme="minorEastAsia" w:hAnsiTheme="minorEastAsia" w:eastAsiaTheme="minorEastAsia" w:cstheme="minorEastAsia"/>
          <w:sz w:val="24"/>
          <w:u w:val="single"/>
        </w:rPr>
        <w:t>写</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应包括“</w:t>
      </w:r>
      <w:r>
        <w:rPr>
          <w:rFonts w:hint="eastAsia" w:asciiTheme="minorEastAsia" w:hAnsiTheme="minorEastAsia" w:eastAsiaTheme="minorEastAsia" w:cstheme="minorEastAsia"/>
          <w:sz w:val="24"/>
          <w:u w:val="single"/>
          <w:lang w:eastAsia="zh-CN"/>
        </w:rPr>
        <w:t>报价</w:t>
      </w:r>
      <w:r>
        <w:rPr>
          <w:rFonts w:hint="eastAsia" w:asciiTheme="minorEastAsia" w:hAnsiTheme="minorEastAsia" w:eastAsiaTheme="minorEastAsia" w:cstheme="minorEastAsia"/>
          <w:sz w:val="24"/>
          <w:u w:val="single"/>
        </w:rPr>
        <w:t>一览表及资格证明文件”和“商务及技术文件”两部分，两部分合订成一册，密封递交。</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应承担封装失误产生的任何后果。</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    上述文件应按照磋商文件规定的格式填写、签署和盖章。</w:t>
      </w:r>
    </w:p>
    <w:p>
      <w:pPr>
        <w:pStyle w:val="5"/>
        <w:tabs>
          <w:tab w:val="left" w:pos="900"/>
        </w:tabs>
        <w:spacing w:before="0" w:after="0" w:line="400" w:lineRule="exact"/>
        <w:rPr>
          <w:rFonts w:hint="eastAsia" w:asciiTheme="minorEastAsia" w:hAnsiTheme="minorEastAsia" w:eastAsiaTheme="minorEastAsia" w:cstheme="minorEastAsia"/>
          <w:u w:val="none"/>
        </w:rPr>
      </w:pPr>
      <w:bookmarkStart w:id="72" w:name="_Toc520356153"/>
      <w:bookmarkStart w:id="73" w:name="_Toc10751_WPSOffice_Level2"/>
      <w:bookmarkStart w:id="74" w:name="_Toc516367023"/>
      <w:bookmarkStart w:id="75" w:name="_Toc2671"/>
      <w:bookmarkStart w:id="76" w:name="_Toc5768_WPSOffice_Level2"/>
      <w:bookmarkStart w:id="77" w:name="_Toc518923072"/>
      <w:bookmarkStart w:id="78" w:name="_Toc508185920"/>
      <w:bookmarkStart w:id="79" w:name="_Toc520356155"/>
      <w:r>
        <w:rPr>
          <w:rFonts w:hint="eastAsia" w:asciiTheme="minorEastAsia" w:hAnsiTheme="minorEastAsia" w:eastAsiaTheme="minorEastAsia" w:cstheme="minorEastAsia"/>
          <w:u w:val="none"/>
        </w:rPr>
        <w:t>10.</w:t>
      </w:r>
      <w:r>
        <w:rPr>
          <w:rFonts w:hint="eastAsia" w:asciiTheme="minorEastAsia" w:hAnsiTheme="minorEastAsia" w:eastAsiaTheme="minorEastAsia" w:cstheme="minorEastAsia"/>
          <w:u w:val="none"/>
        </w:rPr>
        <w:tab/>
      </w:r>
      <w:bookmarkEnd w:id="72"/>
      <w:bookmarkEnd w:id="73"/>
      <w:bookmarkEnd w:id="74"/>
      <w:bookmarkEnd w:id="75"/>
      <w:bookmarkEnd w:id="76"/>
      <w:bookmarkEnd w:id="77"/>
      <w:bookmarkEnd w:id="78"/>
      <w:r>
        <w:rPr>
          <w:rFonts w:hint="eastAsia" w:asciiTheme="minorEastAsia" w:hAnsiTheme="minorEastAsia" w:eastAsiaTheme="minorEastAsia" w:cstheme="minorEastAsia"/>
          <w:u w:val="none"/>
        </w:rPr>
        <w:t>证明投标标的的合格性和符合</w:t>
      </w:r>
      <w:r>
        <w:rPr>
          <w:rFonts w:hint="eastAsia" w:asciiTheme="minorEastAsia" w:hAnsiTheme="minorEastAsia" w:eastAsiaTheme="minorEastAsia" w:cstheme="minorEastAsia"/>
          <w:u w:val="none"/>
          <w:lang w:val="en-US" w:eastAsia="zh-CN"/>
        </w:rPr>
        <w:t>磋商</w:t>
      </w:r>
      <w:r>
        <w:rPr>
          <w:rFonts w:hint="eastAsia" w:asciiTheme="minorEastAsia" w:hAnsiTheme="minorEastAsia" w:eastAsiaTheme="minorEastAsia" w:cstheme="minorEastAsia"/>
          <w:u w:val="none"/>
        </w:rPr>
        <w:t>文件规定的技术文件</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bookmarkStart w:id="80" w:name="_Toc8529"/>
      <w:bookmarkStart w:id="81" w:name="_Toc518923073"/>
      <w:bookmarkStart w:id="82" w:name="_Toc32368_WPSOffice_Level2"/>
      <w:bookmarkStart w:id="83" w:name="_Toc15335_WPSOffice_Level2"/>
      <w:r>
        <w:rPr>
          <w:rFonts w:hint="eastAsia" w:asciiTheme="minorEastAsia" w:hAnsiTheme="minorEastAsia" w:eastAsiaTheme="minorEastAsia" w:cstheme="minorEastAsia"/>
          <w:b w:val="0"/>
          <w:kern w:val="2"/>
          <w:sz w:val="24"/>
          <w:szCs w:val="24"/>
          <w:u w:val="none"/>
          <w:lang w:val="en-US" w:eastAsia="zh-CN" w:bidi="ar-SA"/>
        </w:rPr>
        <w:t>10.1</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投标人应提交证明文件，证明其投标内容符合磋商文件规定。该证明文件是响应文件的一部分。</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bookmarkStart w:id="84" w:name="_Ref467306244"/>
      <w:r>
        <w:rPr>
          <w:rFonts w:hint="eastAsia" w:asciiTheme="minorEastAsia" w:hAnsiTheme="minorEastAsia" w:eastAsiaTheme="minorEastAsia" w:cstheme="minorEastAsia"/>
          <w:b w:val="0"/>
          <w:kern w:val="2"/>
          <w:sz w:val="24"/>
          <w:szCs w:val="24"/>
          <w:u w:val="none"/>
          <w:lang w:val="en-US" w:eastAsia="zh-CN" w:bidi="ar-SA"/>
        </w:rPr>
        <w:t>10.2</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上款所述的证明文件，可以是文字资料、图纸和数据，</w:t>
      </w:r>
      <w:bookmarkEnd w:id="84"/>
      <w:r>
        <w:rPr>
          <w:rFonts w:hint="eastAsia" w:asciiTheme="minorEastAsia" w:hAnsiTheme="minorEastAsia" w:eastAsiaTheme="minorEastAsia" w:cstheme="minorEastAsia"/>
          <w:b w:val="0"/>
          <w:kern w:val="2"/>
          <w:sz w:val="24"/>
          <w:szCs w:val="24"/>
          <w:u w:val="none"/>
          <w:lang w:val="en-US" w:eastAsia="zh-CN" w:bidi="ar-SA"/>
        </w:rPr>
        <w:t>它包括：</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10.2.1</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货物主要技术指标和性能的详细说明；</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10.2.2</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货物从买方开始使用至招标文件规定的保质期内正常、连续地使用所必须的备件和专用工具清单，包括备件和专用工具的货源及现行价格；</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10.2.3</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对照招标文件技术规格，逐条说明所提供货物及伴随的工程和服务已对招标文件的技术规格做出了实质性的响应，或申明与技术规格条文的偏差和例外。</w:t>
      </w:r>
    </w:p>
    <w:p>
      <w:pPr>
        <w:pStyle w:val="5"/>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10.3</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400" w:lineRule="exact"/>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11.</w:t>
      </w:r>
      <w:bookmarkEnd w:id="79"/>
      <w:bookmarkEnd w:id="80"/>
      <w:bookmarkEnd w:id="81"/>
      <w:r>
        <w:rPr>
          <w:rFonts w:hint="eastAsia" w:asciiTheme="minorEastAsia" w:hAnsiTheme="minorEastAsia" w:eastAsiaTheme="minorEastAsia" w:cstheme="minorEastAsia"/>
          <w:u w:val="none"/>
        </w:rPr>
        <w:t>磋商报价</w:t>
      </w:r>
      <w:bookmarkEnd w:id="82"/>
      <w:bookmarkEnd w:id="8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所有响应文件均以人民币报价。</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的磋商报价应遵守《中华人民共和国价格法》。同时，根据《中华人民共和国政府采购法》第二条的规定，为保证公平竞争，如有主体</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标的的赠与行为，其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应在标的分项报价表上标明分项服务的价格（如适用）和总价，并由法定代表人或其委托代理人签署。</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11.3</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采购人不接受具有附加条件的报价。</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所报的各分项磋商报价在合同履行过程中是固定不变的，不得以任何理由予以变更。任何包含价格调整要求的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23"/>
        <w:spacing w:line="400" w:lineRule="exact"/>
        <w:ind w:left="720" w:hanging="720" w:hangingChars="3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sz w:val="24"/>
        </w:rPr>
        <w:t xml:space="preserve">11.5   </w:t>
      </w:r>
      <w:r>
        <w:rPr>
          <w:rFonts w:hint="eastAsia" w:asciiTheme="minorEastAsia" w:hAnsiTheme="minorEastAsia" w:eastAsiaTheme="minorEastAsia" w:cstheme="minorEastAsia"/>
          <w:b/>
          <w:bCs/>
          <w:sz w:val="24"/>
          <w:u w:val="single"/>
        </w:rPr>
        <w:t>竞争性磋商共有两次报价，二次报价为最终报价，磋商小组所有成员集中与单一</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分别进行磋商，并给予所有参加磋商的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平等的磋商机会， 磋商小组要求所有实质性响应的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在规定时间内提交最后报价，最后报价是</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响应文件的有效组成部分，经磋商确定最终采购需求和提交最后报价的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后，由磋商小组采用综合评分法对提交最后报价的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的响应文件和最后报价进行综合评分。磋商小组应当从质量和服务均能满足采购文件实质性响应要求的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中，按照综合评分由高到低的顺序提出成交候选人，并编写评审报告，将结果通知所有参加磋商的未成交的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w:t>
      </w:r>
    </w:p>
    <w:p>
      <w:pPr>
        <w:pStyle w:val="5"/>
        <w:spacing w:before="0" w:after="0" w:line="400" w:lineRule="exact"/>
        <w:rPr>
          <w:rFonts w:hint="eastAsia" w:asciiTheme="minorEastAsia" w:hAnsiTheme="minorEastAsia" w:eastAsiaTheme="minorEastAsia" w:cstheme="minorEastAsia"/>
          <w:u w:val="none"/>
        </w:rPr>
      </w:pPr>
      <w:bookmarkStart w:id="85" w:name="_Toc16199"/>
      <w:bookmarkStart w:id="86" w:name="_Toc520356156"/>
      <w:bookmarkStart w:id="87" w:name="_Ref467306513"/>
      <w:bookmarkStart w:id="88" w:name="_Toc518923074"/>
      <w:bookmarkStart w:id="89" w:name="_Toc25748_WPSOffice_Level2"/>
      <w:bookmarkStart w:id="90" w:name="_Toc24125_WPSOffice_Level2"/>
      <w:r>
        <w:rPr>
          <w:rFonts w:hint="eastAsia" w:asciiTheme="minorEastAsia" w:hAnsiTheme="minorEastAsia" w:eastAsiaTheme="minorEastAsia" w:cstheme="minorEastAsia"/>
          <w:u w:val="none"/>
        </w:rPr>
        <w:t>12.</w:t>
      </w:r>
      <w:bookmarkEnd w:id="85"/>
      <w:bookmarkEnd w:id="86"/>
      <w:bookmarkEnd w:id="87"/>
      <w:bookmarkEnd w:id="88"/>
      <w:r>
        <w:rPr>
          <w:rFonts w:hint="eastAsia" w:asciiTheme="minorEastAsia" w:hAnsiTheme="minorEastAsia" w:eastAsiaTheme="minorEastAsia" w:cstheme="minorEastAsia"/>
          <w:u w:val="none"/>
        </w:rPr>
        <w:t>磋商保证金</w:t>
      </w:r>
      <w:bookmarkEnd w:id="89"/>
      <w:bookmarkEnd w:id="90"/>
    </w:p>
    <w:p>
      <w:pPr>
        <w:spacing w:line="400" w:lineRule="exact"/>
        <w:ind w:left="900" w:hanging="900" w:hangingChars="375"/>
        <w:rPr>
          <w:rFonts w:hint="eastAsia" w:asciiTheme="minorEastAsia" w:hAnsiTheme="minorEastAsia" w:eastAsiaTheme="minorEastAsia" w:cstheme="minorEastAsia"/>
          <w:sz w:val="24"/>
        </w:rPr>
      </w:pPr>
      <w:bookmarkStart w:id="91" w:name="_Ref467306302"/>
      <w:r>
        <w:rPr>
          <w:rFonts w:hint="eastAsia" w:asciiTheme="minorEastAsia" w:hAnsiTheme="minorEastAsia" w:eastAsiaTheme="minorEastAsia" w:cstheme="minorEastAsia"/>
          <w:sz w:val="24"/>
        </w:rPr>
        <w:t>12.1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应提交</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w:t>
      </w:r>
      <w:bookmarkEnd w:id="91"/>
      <w:r>
        <w:rPr>
          <w:rFonts w:hint="eastAsia" w:asciiTheme="minorEastAsia" w:hAnsiTheme="minorEastAsia" w:eastAsiaTheme="minorEastAsia" w:cstheme="minorEastAsia"/>
          <w:sz w:val="24"/>
        </w:rPr>
        <w:t>磋商保证金，并作为其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的一部分。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存在下列情形的，磋商保证金不予退还：</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（1）在磋商有效期内，撤销</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w:t>
      </w:r>
    </w:p>
    <w:p>
      <w:pPr>
        <w:pStyle w:val="14"/>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（2）成交后不按本须知第30条的规定与采购人签订合同的；</w:t>
      </w:r>
    </w:p>
    <w:p>
      <w:pPr>
        <w:pStyle w:val="14"/>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（3）成交后不按本须知第31条的规定提交履约保证金的；</w:t>
      </w:r>
    </w:p>
    <w:p>
      <w:pPr>
        <w:pStyle w:val="14"/>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（4）成交后不按本须知第32条的规定缴纳成交服务费的；</w:t>
      </w:r>
    </w:p>
    <w:p>
      <w:pPr>
        <w:pStyle w:val="14"/>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（5）存在其他违法违规行为的。</w:t>
      </w:r>
    </w:p>
    <w:p>
      <w:pPr>
        <w:spacing w:line="400" w:lineRule="exact"/>
        <w:ind w:left="900" w:hanging="900" w:hangingChars="375"/>
        <w:rPr>
          <w:rFonts w:hint="eastAsia" w:asciiTheme="minorEastAsia" w:hAnsiTheme="minorEastAsia" w:eastAsiaTheme="minorEastAsia" w:cstheme="minorEastAsia"/>
          <w:sz w:val="24"/>
        </w:rPr>
      </w:pPr>
      <w:bookmarkStart w:id="92" w:name="_Ref467306336"/>
      <w:r>
        <w:rPr>
          <w:rFonts w:hint="eastAsia" w:asciiTheme="minorEastAsia" w:hAnsiTheme="minorEastAsia" w:eastAsiaTheme="minorEastAsia" w:cstheme="minorEastAsia"/>
          <w:sz w:val="24"/>
        </w:rPr>
        <w:t>12.3</w:t>
      </w:r>
      <w:r>
        <w:rPr>
          <w:rFonts w:hint="eastAsia" w:asciiTheme="minorEastAsia" w:hAnsiTheme="minorEastAsia" w:eastAsiaTheme="minorEastAsia" w:cstheme="minorEastAsia"/>
          <w:sz w:val="24"/>
        </w:rPr>
        <w:tab/>
      </w:r>
      <w:bookmarkEnd w:id="92"/>
      <w:r>
        <w:rPr>
          <w:rFonts w:hint="eastAsia" w:asciiTheme="minorEastAsia" w:hAnsiTheme="minorEastAsia" w:eastAsiaTheme="minorEastAsia" w:cstheme="minorEastAsia"/>
          <w:sz w:val="24"/>
        </w:rPr>
        <w:t>政府采购信用担保试点范围内的项目，接受符合财政部门规定的政府采购</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担保函原件。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未按本须知第12.1和12.3条规定提交磋商保证金的，其磋商资格将被认定为</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w:t>
      </w:r>
    </w:p>
    <w:p>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12.4.1  采用电汇形式的，一般可以实时入账；</w:t>
      </w:r>
    </w:p>
    <w:p>
      <w:pPr>
        <w:spacing w:line="400" w:lineRule="exact"/>
        <w:ind w:left="960" w:hanging="960" w:hanging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12.4.2  采用支票形式的，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则应充分考虑支票入账时间，以确保磋商保证金能按时进入指定账户。根据银行信息交换和付款时间，支票从递交至实际入账一般需要4-5个工作日。如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12.5    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的，可以由联合体中的一方或者共同提交磋商保证金。以一方名义提交磋商保证金的，对联合体各方均具有约束力。</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磋商保证金的退还</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12.6.2  未成交</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的磋商保证金将在成交通知书发出之日暨成交结果公告公布之日起5个工作日内无息退还。</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及时联系保证金收受机构办理退还磋商保证金手续。</w:t>
      </w:r>
      <w:bookmarkStart w:id="93" w:name="_Toc518923075"/>
    </w:p>
    <w:p>
      <w:pPr>
        <w:spacing w:line="400" w:lineRule="exact"/>
        <w:ind w:left="893" w:hanging="892" w:hangingChars="425"/>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 xml:space="preserve">12.6.3  </w:t>
      </w:r>
      <w:r>
        <w:rPr>
          <w:rFonts w:hint="eastAsia" w:asciiTheme="minorEastAsia" w:hAnsiTheme="minorEastAsia" w:eastAsiaTheme="minorEastAsia" w:cstheme="minorEastAsia"/>
          <w:sz w:val="24"/>
        </w:rPr>
        <w:t>政府采购</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担保函不予退回。</w:t>
      </w:r>
      <w:bookmarkEnd w:id="93"/>
    </w:p>
    <w:p>
      <w:pPr>
        <w:spacing w:line="400" w:lineRule="exact"/>
        <w:ind w:left="960" w:hanging="960" w:hanging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12.7   因</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自身原因导致无法及时退还的，采购人或采购代理机构将不承担相应责任。</w:t>
      </w:r>
    </w:p>
    <w:p>
      <w:pPr>
        <w:pStyle w:val="5"/>
        <w:spacing w:before="0" w:after="0" w:line="400" w:lineRule="exact"/>
        <w:rPr>
          <w:rFonts w:hint="eastAsia" w:asciiTheme="minorEastAsia" w:hAnsiTheme="minorEastAsia" w:eastAsiaTheme="minorEastAsia" w:cstheme="minorEastAsia"/>
          <w:u w:val="none"/>
        </w:rPr>
      </w:pPr>
      <w:bookmarkStart w:id="94" w:name="_Toc520356157"/>
      <w:bookmarkStart w:id="95" w:name="_Toc20355"/>
      <w:bookmarkStart w:id="96" w:name="_Toc518923076"/>
      <w:bookmarkStart w:id="97" w:name="_Toc11106_WPSOffice_Level2"/>
      <w:bookmarkStart w:id="98" w:name="_Toc4716_WPSOffice_Level2"/>
      <w:r>
        <w:rPr>
          <w:rFonts w:hint="eastAsia" w:asciiTheme="minorEastAsia" w:hAnsiTheme="minorEastAsia" w:eastAsiaTheme="minorEastAsia" w:cstheme="minorEastAsia"/>
          <w:u w:val="none"/>
        </w:rPr>
        <w:t>13.</w:t>
      </w:r>
      <w:bookmarkEnd w:id="94"/>
      <w:bookmarkEnd w:id="95"/>
      <w:bookmarkEnd w:id="96"/>
      <w:r>
        <w:rPr>
          <w:rFonts w:hint="eastAsia" w:asciiTheme="minorEastAsia" w:hAnsiTheme="minorEastAsia" w:eastAsiaTheme="minorEastAsia" w:cstheme="minorEastAsia"/>
          <w:u w:val="none"/>
        </w:rPr>
        <w:t>磋商有效期</w:t>
      </w:r>
      <w:bookmarkEnd w:id="97"/>
      <w:bookmarkEnd w:id="9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磋商应在</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中规定时间内保持有效。磋商有效期不满足要求的响应，其磋商资格将被认定为</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为保证有充分时间签订合同，采购人或采购代理机构可根据实际情况，在原磋商有效期截止之前，要求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延长响应文件的有效期。接受该要求的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将不会被要求和允许修正其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，且本须知中有关磋商保证金的要求须在延长的有效期内继续有效。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可以拒绝延长磋商有效期的要求，其磋商保证金将及时按规定无息退还。上述要求和答复都应以书面形式提交。</w:t>
      </w:r>
    </w:p>
    <w:p>
      <w:pPr>
        <w:pStyle w:val="5"/>
        <w:spacing w:before="0" w:after="0" w:line="400" w:lineRule="exact"/>
        <w:rPr>
          <w:rFonts w:hint="eastAsia" w:asciiTheme="minorEastAsia" w:hAnsiTheme="minorEastAsia" w:eastAsiaTheme="minorEastAsia" w:cstheme="minorEastAsia"/>
          <w:u w:val="none"/>
        </w:rPr>
      </w:pPr>
      <w:bookmarkStart w:id="99" w:name="_Toc520356158"/>
      <w:bookmarkStart w:id="100" w:name="_Toc27303"/>
      <w:bookmarkStart w:id="101" w:name="_Toc31308_WPSOffice_Level2"/>
      <w:bookmarkStart w:id="102" w:name="_Toc13034_WPSOffice_Level2"/>
      <w:bookmarkStart w:id="103" w:name="_Toc518923077"/>
      <w:r>
        <w:rPr>
          <w:rFonts w:hint="eastAsia" w:asciiTheme="minorEastAsia" w:hAnsiTheme="minorEastAsia" w:eastAsiaTheme="minorEastAsia" w:cstheme="minorEastAsia"/>
          <w:u w:val="none"/>
        </w:rPr>
        <w:t>14.响应文件的签署</w:t>
      </w:r>
      <w:bookmarkEnd w:id="99"/>
      <w:r>
        <w:rPr>
          <w:rFonts w:hint="eastAsia" w:asciiTheme="minorEastAsia" w:hAnsiTheme="minorEastAsia" w:eastAsiaTheme="minorEastAsia" w:cstheme="minorEastAsia"/>
          <w:u w:val="none"/>
        </w:rPr>
        <w:t>及规定</w:t>
      </w:r>
      <w:bookmarkEnd w:id="100"/>
      <w:bookmarkEnd w:id="101"/>
      <w:bookmarkEnd w:id="102"/>
      <w:bookmarkEnd w:id="10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的正本需打印或用不褪色墨水书写，并由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的法定代表人或其委托代理人在</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上</w:t>
      </w:r>
      <w:r>
        <w:rPr>
          <w:rFonts w:hint="eastAsia" w:asciiTheme="minorEastAsia" w:hAnsiTheme="minorEastAsia" w:eastAsiaTheme="minorEastAsia" w:cstheme="minorEastAsia"/>
          <w:color w:val="000000"/>
          <w:sz w:val="24"/>
          <w:lang w:val="en-US" w:eastAsia="zh-CN"/>
        </w:rPr>
        <w:t>签署处</w:t>
      </w:r>
      <w:r>
        <w:rPr>
          <w:rFonts w:hint="eastAsia" w:asciiTheme="minorEastAsia" w:hAnsiTheme="minorEastAsia" w:eastAsiaTheme="minorEastAsia" w:cstheme="minorEastAsia"/>
          <w:color w:val="000000"/>
          <w:sz w:val="24"/>
        </w:rPr>
        <w:t>签字并加盖单位印章。委托代理人须持有书面的“法定代表人授权委托书”（</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格式二），并将其附在</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中。如对</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进行了修改，则应由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的法定代表人或其委托代理人在每一修改处签字。</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的副本可采用正本的复印件。</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14.3    所有响应文件采用不可拆装的胶订方式装订，否则将被认定为</w:t>
      </w:r>
      <w:r>
        <w:rPr>
          <w:rFonts w:hint="eastAsia" w:asciiTheme="minorEastAsia" w:hAnsiTheme="minorEastAsia" w:eastAsiaTheme="minorEastAsia" w:cstheme="minorEastAsia"/>
          <w:color w:val="000000"/>
          <w:sz w:val="24"/>
          <w:lang w:eastAsia="zh-CN"/>
        </w:rPr>
        <w:t>响应</w:t>
      </w:r>
      <w:r>
        <w:rPr>
          <w:rFonts w:hint="eastAsia" w:asciiTheme="minorEastAsia" w:hAnsiTheme="minorEastAsia" w:eastAsiaTheme="minorEastAsia" w:cstheme="minorEastAsia"/>
          <w:color w:val="000000"/>
          <w:sz w:val="24"/>
        </w:rPr>
        <w:t>无效。</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14.4</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响应文件因字迹潦草、表达不清或装订不当所引起的后果由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负责。</w:t>
      </w:r>
    </w:p>
    <w:p>
      <w:pPr>
        <w:pStyle w:val="4"/>
        <w:spacing w:before="0" w:line="400" w:lineRule="exact"/>
        <w:ind w:left="1079" w:leftChars="257" w:hanging="540"/>
        <w:rPr>
          <w:rFonts w:hint="eastAsia" w:asciiTheme="minorEastAsia" w:hAnsiTheme="minorEastAsia" w:eastAsiaTheme="minorEastAsia" w:cstheme="minorEastAsia"/>
          <w:color w:val="000000"/>
        </w:rPr>
      </w:pPr>
      <w:bookmarkStart w:id="104" w:name="_Toc22303"/>
      <w:bookmarkStart w:id="105" w:name="_Toc9633"/>
      <w:bookmarkStart w:id="106" w:name="_Toc30674_WPSOffice_Level1"/>
      <w:bookmarkStart w:id="107" w:name="_Toc216582808"/>
      <w:bookmarkStart w:id="108" w:name="_Toc518923078"/>
      <w:bookmarkStart w:id="109" w:name="_Toc520356159"/>
      <w:r>
        <w:rPr>
          <w:rFonts w:hint="eastAsia" w:asciiTheme="minorEastAsia" w:hAnsiTheme="minorEastAsia" w:eastAsiaTheme="minorEastAsia" w:cstheme="minorEastAsia"/>
          <w:color w:val="000000"/>
          <w:sz w:val="24"/>
        </w:rPr>
        <w:t>四   响应文件的递交</w:t>
      </w:r>
      <w:bookmarkEnd w:id="104"/>
      <w:bookmarkEnd w:id="105"/>
      <w:bookmarkEnd w:id="106"/>
      <w:bookmarkEnd w:id="107"/>
      <w:bookmarkEnd w:id="108"/>
      <w:bookmarkEnd w:id="109"/>
    </w:p>
    <w:p>
      <w:pPr>
        <w:pStyle w:val="5"/>
        <w:spacing w:before="0" w:after="0" w:line="400" w:lineRule="exact"/>
        <w:rPr>
          <w:rFonts w:hint="eastAsia" w:asciiTheme="minorEastAsia" w:hAnsiTheme="minorEastAsia" w:eastAsiaTheme="minorEastAsia" w:cstheme="minorEastAsia"/>
          <w:color w:val="000000"/>
          <w:u w:val="none"/>
        </w:rPr>
      </w:pPr>
      <w:bookmarkStart w:id="110" w:name="_Toc520356160"/>
      <w:bookmarkStart w:id="111" w:name="_Toc22654_WPSOffice_Level2"/>
      <w:bookmarkStart w:id="112" w:name="_Toc24004_WPSOffice_Level2"/>
      <w:bookmarkStart w:id="113" w:name="_Toc518923079"/>
      <w:bookmarkStart w:id="114" w:name="_Toc13247"/>
      <w:r>
        <w:rPr>
          <w:rFonts w:hint="eastAsia" w:asciiTheme="minorEastAsia" w:hAnsiTheme="minorEastAsia" w:eastAsiaTheme="minorEastAsia" w:cs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15.1   </w:t>
      </w:r>
      <w:r>
        <w:rPr>
          <w:rFonts w:hint="eastAsia" w:asciiTheme="minorEastAsia" w:hAnsiTheme="minorEastAsia" w:eastAsiaTheme="minorEastAsia" w:cstheme="minorEastAsia"/>
          <w:sz w:val="24"/>
        </w:rPr>
        <w:t>为方便磋商开启及进行资格审查，</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应将响应文件第一部分和第二部分合订成册密封提交，并在封皮正面标明“响应文件”字样，正副本分开密封提交。</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15.2   所有包装封皮和信封上均应：</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注明采购公告或</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邀请书中指明的项目名称、采购编号、</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名称和“在（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开启时间）之前不得启封”的字样。</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在封口处加盖投标人单位章，</w:t>
      </w:r>
      <w:r>
        <w:rPr>
          <w:rFonts w:hint="eastAsia" w:asciiTheme="minorEastAsia" w:hAnsiTheme="minorEastAsia" w:eastAsiaTheme="minorEastAsia" w:cstheme="minorEastAsia"/>
          <w:sz w:val="24"/>
          <w:lang w:eastAsia="zh-CN"/>
        </w:rPr>
        <w:t>并</w:t>
      </w:r>
      <w:r>
        <w:rPr>
          <w:rFonts w:hint="eastAsia" w:asciiTheme="minorEastAsia" w:hAnsiTheme="minorEastAsia" w:eastAsiaTheme="minorEastAsia" w:cstheme="minorEastAsia"/>
          <w:sz w:val="24"/>
        </w:rPr>
        <w:t>由法定代表人（或其委托代理人）签字。</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15.3    如果</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未按上述要求密封，其响应文件将被拒绝接收。</w:t>
      </w:r>
    </w:p>
    <w:p>
      <w:pPr>
        <w:pStyle w:val="5"/>
        <w:spacing w:before="0" w:after="0" w:line="400" w:lineRule="exact"/>
        <w:rPr>
          <w:rFonts w:hint="eastAsia" w:asciiTheme="minorEastAsia" w:hAnsiTheme="minorEastAsia" w:eastAsiaTheme="minorEastAsia" w:cstheme="minorEastAsia"/>
          <w:u w:val="none"/>
        </w:rPr>
      </w:pPr>
      <w:bookmarkStart w:id="115" w:name="_Toc520356161"/>
      <w:bookmarkStart w:id="116" w:name="_Toc178_WPSOffice_Level2"/>
      <w:bookmarkStart w:id="117" w:name="_Toc518923080"/>
      <w:bookmarkStart w:id="118" w:name="_Toc25787"/>
      <w:bookmarkStart w:id="119" w:name="_Toc14358_WPSOffice_Level2"/>
      <w:r>
        <w:rPr>
          <w:rFonts w:hint="eastAsia" w:asciiTheme="minorEastAsia" w:hAnsiTheme="minorEastAsia" w:eastAsiaTheme="minorEastAsia" w:cstheme="minorEastAsia"/>
          <w:u w:val="none"/>
        </w:rPr>
        <w:t>16.磋商截止</w:t>
      </w:r>
      <w:bookmarkEnd w:id="115"/>
      <w:bookmarkEnd w:id="116"/>
      <w:bookmarkEnd w:id="117"/>
      <w:bookmarkEnd w:id="118"/>
      <w:bookmarkEnd w:id="119"/>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应在磋商邀请书中规定的截止时间前，将响应文件递交到磋商邀请书中规定的地点。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采购人和采购代理机构有权按本须知的规定，延迟响应文件递交截止时间。在此情况下，采购人、采购代理机构和</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受响应文件递交截止时间制约的所有权利和义务均应延长至新的截止时间。</w:t>
      </w:r>
    </w:p>
    <w:p>
      <w:pPr>
        <w:pStyle w:val="5"/>
        <w:spacing w:before="0" w:after="0" w:line="400" w:lineRule="exact"/>
        <w:rPr>
          <w:rFonts w:hint="eastAsia" w:asciiTheme="minorEastAsia" w:hAnsiTheme="minorEastAsia" w:eastAsiaTheme="minorEastAsia" w:cstheme="minorEastAsia"/>
          <w:u w:val="none"/>
        </w:rPr>
      </w:pPr>
      <w:bookmarkStart w:id="120" w:name="_Toc17985_WPSOffice_Level2"/>
      <w:bookmarkStart w:id="121" w:name="_Toc520356162"/>
      <w:bookmarkStart w:id="122" w:name="_Toc13921"/>
      <w:bookmarkStart w:id="123" w:name="_Toc518923081"/>
      <w:bookmarkStart w:id="124" w:name="_Toc26522_WPSOffice_Level2"/>
      <w:r>
        <w:rPr>
          <w:rFonts w:hint="eastAsia" w:asciiTheme="minorEastAsia" w:hAnsiTheme="minorEastAsia" w:eastAsiaTheme="minorEastAsia" w:cs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hint="eastAsia" w:asciiTheme="minorEastAsia" w:hAnsiTheme="minorEastAsia" w:eastAsiaTheme="minorEastAsia" w:cstheme="minorEastAsia"/>
          <w:b/>
        </w:rPr>
      </w:pPr>
      <w:r>
        <w:rPr>
          <w:rFonts w:hint="eastAsia" w:asciiTheme="minorEastAsia" w:hAnsiTheme="minorEastAsia" w:eastAsiaTheme="minorEastAsia" w:cstheme="minorEastAsia"/>
          <w:sz w:val="24"/>
        </w:rPr>
        <w:t>17.1   在响应文件递交截止时间后送达响应文件的，采购人和采购代理机构将拒绝接收。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采购人或者采购代理机构收到响应文件后，应当如实记载响应文件的送达时间和密封情况，并向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出具以下签收回执。</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17.3   递交响应文件以后，如果</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要进行修改或撤回</w:t>
      </w:r>
      <w:r>
        <w:rPr>
          <w:rFonts w:hint="eastAsia" w:asciiTheme="minorEastAsia" w:hAnsiTheme="minorEastAsia" w:eastAsiaTheme="minorEastAsia" w:cstheme="minorEastAsia"/>
          <w:sz w:val="24"/>
          <w:lang w:eastAsia="zh-CN"/>
        </w:rPr>
        <w:t>响应文</w:t>
      </w:r>
      <w:r>
        <w:rPr>
          <w:rFonts w:hint="eastAsia" w:asciiTheme="minorEastAsia" w:hAnsiTheme="minorEastAsia" w:eastAsiaTheme="minorEastAsia" w:cstheme="minorEastAsia"/>
          <w:sz w:val="24"/>
        </w:rPr>
        <w:t>，须提出书面申请并在响应文件递交截止时间前送达磋商开启地点，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对响应文件的修改或撤回通知应按本须知规定编制、密封、标记。</w:t>
      </w:r>
    </w:p>
    <w:p>
      <w:pPr>
        <w:spacing w:line="400" w:lineRule="exact"/>
        <w:ind w:left="735" w:leftChars="350" w:firstLine="120" w:firstLineChars="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采购人和采购代理机构将予以接收，并视为响应文件的组成部分。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在响应文件递交截止期之后，采购人和采购代理机构不接受</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主动对其响应文件做任何修改。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17.5</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采购人和采购代理机构对所接收响应文件概不退回。</w:t>
      </w:r>
      <w:bookmarkStart w:id="125" w:name="_Toc518923082"/>
      <w:bookmarkStart w:id="126" w:name="_Toc520356163"/>
      <w:bookmarkStart w:id="127" w:name="_Toc10257"/>
      <w:bookmarkStart w:id="128" w:name="_Toc216582809"/>
    </w:p>
    <w:p>
      <w:pPr>
        <w:pStyle w:val="4"/>
        <w:spacing w:before="0" w:line="400" w:lineRule="exact"/>
        <w:ind w:left="1079" w:leftChars="257" w:hanging="540"/>
        <w:rPr>
          <w:rFonts w:hint="eastAsia" w:asciiTheme="minorEastAsia" w:hAnsiTheme="minorEastAsia" w:eastAsiaTheme="minorEastAsia" w:cstheme="minorEastAsia"/>
        </w:rPr>
      </w:pPr>
      <w:bookmarkStart w:id="129" w:name="_Toc5445"/>
      <w:bookmarkStart w:id="130" w:name="_Toc6601_WPSOffice_Level1"/>
      <w:r>
        <w:rPr>
          <w:rFonts w:hint="eastAsia" w:asciiTheme="minorEastAsia" w:hAnsiTheme="minorEastAsia" w:eastAsiaTheme="minorEastAsia" w:cstheme="minorEastAsia"/>
          <w:sz w:val="24"/>
        </w:rPr>
        <w:t>五   磋商开启及</w:t>
      </w:r>
      <w:bookmarkEnd w:id="125"/>
      <w:bookmarkEnd w:id="126"/>
      <w:bookmarkEnd w:id="127"/>
      <w:bookmarkEnd w:id="128"/>
      <w:r>
        <w:rPr>
          <w:rFonts w:hint="eastAsia" w:asciiTheme="minorEastAsia" w:hAnsiTheme="minorEastAsia" w:eastAsiaTheme="minorEastAsia" w:cstheme="minorEastAsia"/>
          <w:sz w:val="24"/>
        </w:rPr>
        <w:t>评审</w:t>
      </w:r>
      <w:bookmarkEnd w:id="129"/>
      <w:bookmarkEnd w:id="130"/>
    </w:p>
    <w:p>
      <w:pPr>
        <w:pStyle w:val="5"/>
        <w:spacing w:before="0" w:after="0" w:line="400" w:lineRule="exact"/>
        <w:rPr>
          <w:rFonts w:hint="eastAsia" w:asciiTheme="minorEastAsia" w:hAnsiTheme="minorEastAsia" w:eastAsiaTheme="minorEastAsia" w:cstheme="minorEastAsia"/>
          <w:u w:val="none"/>
        </w:rPr>
      </w:pPr>
      <w:bookmarkStart w:id="131" w:name="_Toc518923083"/>
      <w:bookmarkStart w:id="132" w:name="_Toc8653"/>
      <w:bookmarkStart w:id="133" w:name="_Toc520356164"/>
      <w:bookmarkStart w:id="134" w:name="_Toc13011_WPSOffice_Level2"/>
      <w:bookmarkStart w:id="135" w:name="_Toc32308_WPSOffice_Level2"/>
      <w:r>
        <w:rPr>
          <w:rFonts w:hint="eastAsia" w:asciiTheme="minorEastAsia" w:hAnsiTheme="minorEastAsia" w:eastAsiaTheme="minorEastAsia" w:cstheme="minorEastAsia"/>
          <w:u w:val="none"/>
        </w:rPr>
        <w:t>18.</w:t>
      </w:r>
      <w:bookmarkEnd w:id="131"/>
      <w:bookmarkEnd w:id="132"/>
      <w:bookmarkEnd w:id="133"/>
      <w:r>
        <w:rPr>
          <w:rFonts w:hint="eastAsia" w:asciiTheme="minorEastAsia" w:hAnsiTheme="minorEastAsia" w:eastAsiaTheme="minorEastAsia" w:cstheme="minorEastAsia"/>
          <w:u w:val="none"/>
        </w:rPr>
        <w:t>磋商开启</w:t>
      </w:r>
      <w:bookmarkEnd w:id="134"/>
      <w:bookmarkEnd w:id="135"/>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采购人和采购代理机构将按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中规定的磋商开启时间和地点组织公开磋商开启并邀请所有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 xml:space="preserve">代表参加。  </w:t>
      </w:r>
    </w:p>
    <w:p>
      <w:pPr>
        <w:spacing w:line="400" w:lineRule="exact"/>
        <w:ind w:firstLine="960" w:firstLine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不足3家的，不得磋商开启。</w:t>
      </w:r>
    </w:p>
    <w:p>
      <w:pPr>
        <w:spacing w:line="400" w:lineRule="exact"/>
        <w:ind w:left="960" w:hanging="960" w:hanging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磋商开启时，由</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或其推选的代表检查自己或所代表的响应文件的密封情况，经记录后，由采购人或采购代理机构当众拆封响应文件第一部分，宣读</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价格及磋商文件规定的内容。对于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在响应文件递交截止期前递交的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声明，在磋商开启时当众宣读，评审时有效。</w:t>
      </w:r>
    </w:p>
    <w:p>
      <w:pPr>
        <w:spacing w:line="400" w:lineRule="exact"/>
        <w:ind w:left="1078" w:leftChars="428" w:hanging="180" w:hangingChars="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未宣读</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价格、价格折扣等实质内容，评审时不予承认。</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18.3    采购人或采购代理机构将对磋商开启过程进行记录</w:t>
      </w:r>
      <w:bookmarkStart w:id="136" w:name="_Toc520356165"/>
      <w:r>
        <w:rPr>
          <w:rFonts w:hint="eastAsia" w:asciiTheme="minorEastAsia" w:hAnsiTheme="minorEastAsia" w:eastAsiaTheme="minorEastAsia" w:cstheme="minorEastAsia"/>
          <w:sz w:val="24"/>
        </w:rPr>
        <w:t>，由参加磋商开启的各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代表和相关工作人员签字确认，并存档备查。</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18.4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代表对磋商开启过程和磋商开启记录有疑义，以及认为采购人、采购代理机构相关工作人员有需要回避的情形的，应当场提出询问或者回避申请。</w:t>
      </w:r>
    </w:p>
    <w:p>
      <w:pPr>
        <w:pStyle w:val="5"/>
        <w:spacing w:before="0" w:after="0" w:line="400" w:lineRule="exact"/>
        <w:rPr>
          <w:rFonts w:hint="eastAsia" w:asciiTheme="minorEastAsia" w:hAnsiTheme="minorEastAsia" w:eastAsiaTheme="minorEastAsia" w:cstheme="minorEastAsia"/>
          <w:u w:val="none"/>
        </w:rPr>
      </w:pPr>
      <w:bookmarkStart w:id="137" w:name="_Toc34"/>
      <w:bookmarkStart w:id="138" w:name="_Toc518923084"/>
      <w:bookmarkStart w:id="139" w:name="_Toc21320_WPSOffice_Level2"/>
      <w:bookmarkStart w:id="140" w:name="_Toc4350_WPSOffice_Level2"/>
      <w:r>
        <w:rPr>
          <w:rFonts w:hint="eastAsia" w:asciiTheme="minorEastAsia" w:hAnsiTheme="minorEastAsia" w:eastAsiaTheme="minorEastAsia" w:cstheme="minorEastAsia"/>
          <w:u w:val="none"/>
        </w:rPr>
        <w:t>19</w:t>
      </w:r>
      <w:bookmarkEnd w:id="136"/>
      <w:r>
        <w:rPr>
          <w:rFonts w:hint="eastAsia" w:asciiTheme="minorEastAsia" w:hAnsiTheme="minorEastAsia" w:eastAsiaTheme="minorEastAsia" w:cstheme="minorEastAsia"/>
          <w:u w:val="none"/>
        </w:rPr>
        <w:t>.资格审查及组建评审委员会</w:t>
      </w:r>
      <w:bookmarkEnd w:id="137"/>
      <w:bookmarkEnd w:id="138"/>
      <w:bookmarkEnd w:id="139"/>
      <w:bookmarkEnd w:id="140"/>
    </w:p>
    <w:p>
      <w:pPr>
        <w:spacing w:line="400" w:lineRule="exact"/>
        <w:ind w:left="638" w:leftChars="0" w:hanging="638" w:hangingChars="266"/>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19.1    采购人或采购代理机构依据法律法规和磋商文件中规定的内容，对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的资格进行审查。未通过资格审查的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不进入评审；进入评审的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不足3家的，不得评审。</w:t>
      </w:r>
    </w:p>
    <w:p>
      <w:pPr>
        <w:widowControl/>
        <w:spacing w:line="400" w:lineRule="exact"/>
        <w:ind w:firstLine="480"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本项目现场磋商开启须提供</w:t>
      </w:r>
      <w:r>
        <w:rPr>
          <w:rFonts w:hint="eastAsia" w:asciiTheme="minorEastAsia" w:hAnsiTheme="minorEastAsia" w:eastAsiaTheme="minorEastAsia" w:cstheme="minorEastAsia"/>
          <w:b/>
          <w:bCs/>
          <w:sz w:val="24"/>
          <w:lang w:val="en-US" w:eastAsia="zh-CN"/>
        </w:rPr>
        <w:t>以下</w:t>
      </w:r>
      <w:r>
        <w:rPr>
          <w:rFonts w:hint="eastAsia" w:asciiTheme="minorEastAsia" w:hAnsiTheme="minorEastAsia" w:eastAsiaTheme="minorEastAsia" w:cstheme="minorEastAsia"/>
          <w:b/>
          <w:bCs/>
          <w:sz w:val="24"/>
        </w:rPr>
        <w:t>证件：</w:t>
      </w:r>
    </w:p>
    <w:p>
      <w:pPr>
        <w:spacing w:line="400" w:lineRule="exact"/>
        <w:ind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参加本次</w:t>
      </w:r>
      <w:r>
        <w:rPr>
          <w:rFonts w:hint="eastAsia" w:asciiTheme="minorEastAsia" w:hAnsiTheme="minorEastAsia" w:eastAsiaTheme="minorEastAsia" w:cstheme="minorEastAsia"/>
          <w:b/>
          <w:bCs/>
          <w:color w:val="auto"/>
          <w:sz w:val="24"/>
          <w:lang w:eastAsia="zh-CN"/>
        </w:rPr>
        <w:t>磋商</w:t>
      </w:r>
      <w:r>
        <w:rPr>
          <w:rFonts w:hint="eastAsia" w:asciiTheme="minorEastAsia" w:hAnsiTheme="minorEastAsia" w:eastAsiaTheme="minorEastAsia" w:cstheme="minorEastAsia"/>
          <w:b/>
          <w:bCs/>
          <w:color w:val="auto"/>
          <w:sz w:val="24"/>
        </w:rPr>
        <w:t>的供应商除符合《中华人民共和国政府采购法》第二十二条规定的条件外，还需满足下列要求：</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（1）企业法人营业执照、组织机构代码证、税务登记证（国税及地税）或三证合一企业法人营业执照；</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（2）提供法定代表人身份证明及身份证或法人授权委托书、授权委托人身份证；</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依据《企业经营异常名录管理暂行办法》，供应商有以下四种行为将被行政部门列入经营异常名录：①未按照《企业信息公示暂行条例》第八条规定的期限公示年度报告的；②未在工商行政管理部门依照《企业信息公示暂行条例》第十条规定责令的期限内公示有关企业信息的；③公示企业信息隐瞒真实情况、弄虚作假的；④通过登记的住所或者经营场所无法联系的。</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（4）依法缴纳近6个月社会保险的凭据；</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（5）提供税务部门出具的近6个月的完税证明（新成立公司除外）；</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（6）2020年度经审计的财务审计报告（新成立公司提供有效的银行资信证明）；</w:t>
      </w:r>
    </w:p>
    <w:p>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（7）</w:t>
      </w:r>
      <w:r>
        <w:rPr>
          <w:rFonts w:hint="eastAsia" w:ascii="宋体" w:hAnsi="宋体" w:cs="宋体"/>
          <w:b/>
          <w:bCs/>
          <w:kern w:val="0"/>
          <w:sz w:val="24"/>
          <w:szCs w:val="24"/>
          <w:lang w:val="en-US" w:eastAsia="zh-CN" w:bidi="ar-SA"/>
        </w:rPr>
        <w:t>供应商</w:t>
      </w:r>
      <w:r>
        <w:rPr>
          <w:rFonts w:hint="eastAsia" w:ascii="宋体" w:hAnsi="宋体" w:eastAsia="宋体" w:cs="宋体"/>
          <w:b/>
          <w:bCs/>
          <w:kern w:val="0"/>
          <w:sz w:val="24"/>
          <w:szCs w:val="24"/>
          <w:lang w:val="en-US" w:eastAsia="zh-CN" w:bidi="ar-SA"/>
        </w:rPr>
        <w:t>具有《医疗器械生产企业许可证》或《医疗器械经营企业许可证》（所投产品为二类医疗医疗器械的须提供二类医疗器械备案凭证）</w:t>
      </w:r>
      <w:r>
        <w:rPr>
          <w:rFonts w:hint="eastAsia" w:ascii="宋体" w:hAnsi="宋体" w:cs="宋体"/>
          <w:b/>
          <w:bCs/>
          <w:kern w:val="0"/>
          <w:sz w:val="24"/>
          <w:szCs w:val="24"/>
          <w:lang w:val="en-US" w:eastAsia="zh-CN" w:bidi="ar-SA"/>
        </w:rPr>
        <w:t>。</w:t>
      </w:r>
    </w:p>
    <w:p>
      <w:pPr>
        <w:pStyle w:val="9"/>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w:t>
      </w:r>
      <w:r>
        <w:rPr>
          <w:rFonts w:hint="eastAsia" w:hAnsi="宋体" w:cs="宋体"/>
          <w:b/>
          <w:bCs/>
          <w:kern w:val="0"/>
          <w:sz w:val="24"/>
          <w:szCs w:val="24"/>
          <w:lang w:val="en-US" w:eastAsia="zh-CN" w:bidi="ar-SA"/>
        </w:rPr>
        <w:t>8</w:t>
      </w:r>
      <w:r>
        <w:rPr>
          <w:rFonts w:hint="eastAsia" w:ascii="宋体" w:hAnsi="宋体" w:eastAsia="宋体" w:cs="宋体"/>
          <w:b/>
          <w:bCs/>
          <w:kern w:val="0"/>
          <w:sz w:val="24"/>
          <w:szCs w:val="24"/>
          <w:lang w:val="en-US" w:eastAsia="zh-CN" w:bidi="ar-SA"/>
        </w:rPr>
        <w:t>）投标单位（供应商）提供针对本次项目的《反商业贿赂承诺书》；</w:t>
      </w:r>
    </w:p>
    <w:p>
      <w:pPr>
        <w:spacing w:line="400" w:lineRule="exact"/>
        <w:ind w:left="960" w:hanging="960" w:hangingChars="400"/>
        <w:rPr>
          <w:rFonts w:hint="eastAsia" w:asciiTheme="minorEastAsia" w:hAnsiTheme="minorEastAsia" w:eastAsiaTheme="minorEastAsia" w:cstheme="minorEastAsia"/>
          <w:b/>
          <w:bCs/>
          <w:sz w:val="24"/>
          <w:lang w:val="en-US" w:eastAsia="zh-CN"/>
        </w:rPr>
      </w:pPr>
      <w:r>
        <w:rPr>
          <w:rFonts w:hint="eastAsia" w:ascii="宋体" w:hAnsi="宋体" w:eastAsia="宋体" w:cs="宋体"/>
          <w:b/>
          <w:bCs/>
          <w:kern w:val="0"/>
          <w:sz w:val="24"/>
          <w:szCs w:val="24"/>
          <w:lang w:val="en-US" w:eastAsia="zh-CN" w:bidi="ar-SA"/>
        </w:rPr>
        <w:t>（</w:t>
      </w:r>
      <w:r>
        <w:rPr>
          <w:rFonts w:hint="eastAsia" w:hAnsi="宋体" w:cs="宋体"/>
          <w:b/>
          <w:bCs/>
          <w:kern w:val="0"/>
          <w:sz w:val="24"/>
          <w:szCs w:val="24"/>
          <w:lang w:val="en-US" w:eastAsia="zh-CN" w:bidi="ar-SA"/>
        </w:rPr>
        <w:t>9</w:t>
      </w:r>
      <w:r>
        <w:rPr>
          <w:rFonts w:hint="eastAsia" w:ascii="宋体" w:hAnsi="宋体" w:eastAsia="宋体" w:cs="宋体"/>
          <w:b/>
          <w:bCs/>
          <w:kern w:val="0"/>
          <w:sz w:val="24"/>
          <w:szCs w:val="24"/>
          <w:lang w:val="en-US" w:eastAsia="zh-CN" w:bidi="ar-SA"/>
        </w:rPr>
        <w:t>）参加政府采购活动前三年内在经营活动中没有重大违法记录的书面声明。</w:t>
      </w:r>
    </w:p>
    <w:p>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（10）磋商保证金缴纳凭证。</w:t>
      </w:r>
    </w:p>
    <w:p>
      <w:pPr>
        <w:spacing w:line="400" w:lineRule="exac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val="en-US" w:eastAsia="zh-CN"/>
        </w:rPr>
        <w:t>以上资格条件需提供原件或可扫描二维码的复印件或提供电子证照的网上查询有效网址以备现场查询。</w:t>
      </w:r>
    </w:p>
    <w:p>
      <w:pPr>
        <w:pStyle w:val="23"/>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本项目不接受联合体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    采购人或采购代理机构将在磋商开启前1个工作日至</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截止后1小时的期间内查询</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的信用记录。</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存在不良信用记录的，其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857" w:leftChars="2" w:hanging="8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19.2.1  不良信用记录指：</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ind w:left="850" w:leftChars="40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的，联合体任何成员存在以上不良信用记录的，联合体</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9"/>
        <w:spacing w:line="400" w:lineRule="exact"/>
        <w:ind w:left="850" w:hanging="849" w:hangingChars="35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19.2.2 查询及记录方式：采购人或采购代理机构经办人将查询网页打印、签字并存档备查。</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不良信用记录以采购人或采购代理机构查询结果为准。</w:t>
      </w:r>
    </w:p>
    <w:p>
      <w:pPr>
        <w:pStyle w:val="9"/>
        <w:spacing w:line="400" w:lineRule="exact"/>
        <w:ind w:left="850" w:leftChars="405" w:firstLine="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在本磋商文件规定的查询时间之后，网站信息发生的任何变更均不再作为评审依据。</w:t>
      </w:r>
    </w:p>
    <w:p>
      <w:pPr>
        <w:pStyle w:val="9"/>
        <w:spacing w:line="400" w:lineRule="exact"/>
        <w:ind w:left="850" w:leftChars="405" w:firstLine="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自行提供的与网站信息不一致的其他证明材料亦不作为资格审查的依据。</w:t>
      </w:r>
    </w:p>
    <w:p>
      <w:pPr>
        <w:spacing w:line="4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spacing w:line="400" w:lineRule="exact"/>
        <w:ind w:left="957" w:leftChars="456" w:firstLine="117" w:firstLineChars="49"/>
        <w:rPr>
          <w:rFonts w:hint="eastAsia"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b/>
          <w:bCs/>
          <w:color w:val="auto"/>
          <w:sz w:val="24"/>
          <w:u w:val="single"/>
        </w:rPr>
        <w:t>本项目磋商小组</w:t>
      </w:r>
      <w:r>
        <w:rPr>
          <w:rFonts w:hint="eastAsia" w:asciiTheme="minorEastAsia" w:hAnsiTheme="minorEastAsia" w:eastAsiaTheme="minorEastAsia" w:cstheme="minorEastAsia"/>
          <w:b/>
          <w:bCs/>
          <w:color w:val="auto"/>
          <w:sz w:val="24"/>
          <w:u w:val="single"/>
          <w:lang w:eastAsia="zh-CN"/>
        </w:rPr>
        <w:t>由</w:t>
      </w:r>
      <w:r>
        <w:rPr>
          <w:rFonts w:hint="eastAsia" w:asciiTheme="minorEastAsia" w:hAnsiTheme="minorEastAsia" w:eastAsiaTheme="minorEastAsia" w:cstheme="minorEastAsia"/>
          <w:b/>
          <w:bCs/>
          <w:color w:val="auto"/>
          <w:sz w:val="24"/>
          <w:u w:val="single"/>
        </w:rPr>
        <w:t>从新疆政府采购</w:t>
      </w:r>
      <w:r>
        <w:rPr>
          <w:rFonts w:hint="eastAsia" w:asciiTheme="minorEastAsia" w:hAnsiTheme="minorEastAsia" w:eastAsiaTheme="minorEastAsia" w:cstheme="minorEastAsia"/>
          <w:b/>
          <w:bCs/>
          <w:color w:val="auto"/>
          <w:sz w:val="24"/>
          <w:u w:val="single"/>
          <w:lang w:val="en-US" w:eastAsia="zh-CN"/>
        </w:rPr>
        <w:t>网</w:t>
      </w:r>
      <w:r>
        <w:rPr>
          <w:rFonts w:hint="eastAsia" w:asciiTheme="minorEastAsia" w:hAnsiTheme="minorEastAsia" w:eastAsiaTheme="minorEastAsia" w:cstheme="minorEastAsia"/>
          <w:b/>
          <w:bCs/>
          <w:color w:val="auto"/>
          <w:sz w:val="24"/>
          <w:u w:val="single"/>
        </w:rPr>
        <w:t>专家库中随机抽取</w:t>
      </w:r>
      <w:r>
        <w:rPr>
          <w:rFonts w:hint="eastAsia" w:asciiTheme="minorEastAsia" w:hAnsiTheme="minorEastAsia" w:eastAsiaTheme="minorEastAsia" w:cstheme="minorEastAsia"/>
          <w:b/>
          <w:bCs/>
          <w:color w:val="auto"/>
          <w:sz w:val="24"/>
          <w:u w:val="single"/>
          <w:lang w:eastAsia="zh-CN"/>
        </w:rPr>
        <w:t>的评审</w:t>
      </w:r>
      <w:r>
        <w:rPr>
          <w:rFonts w:hint="eastAsia" w:asciiTheme="minorEastAsia" w:hAnsiTheme="minorEastAsia" w:eastAsiaTheme="minorEastAsia" w:cstheme="minorEastAsia"/>
          <w:b/>
          <w:bCs/>
          <w:color w:val="auto"/>
          <w:sz w:val="24"/>
          <w:u w:val="single"/>
        </w:rPr>
        <w:t>专家</w:t>
      </w:r>
      <w:r>
        <w:rPr>
          <w:rFonts w:hint="eastAsia" w:asciiTheme="minorEastAsia" w:hAnsiTheme="minorEastAsia" w:eastAsiaTheme="minorEastAsia" w:cstheme="minorEastAsia"/>
          <w:b/>
          <w:bCs/>
          <w:color w:val="auto"/>
          <w:sz w:val="24"/>
          <w:u w:val="single"/>
          <w:lang w:eastAsia="zh-CN"/>
        </w:rPr>
        <w:t>和采购人代表共</w:t>
      </w:r>
      <w:r>
        <w:rPr>
          <w:rFonts w:hint="eastAsia" w:asciiTheme="minorEastAsia" w:hAnsiTheme="minorEastAsia" w:eastAsiaTheme="minorEastAsia" w:cstheme="minorEastAsia"/>
          <w:b/>
          <w:bCs/>
          <w:color w:val="auto"/>
          <w:sz w:val="24"/>
          <w:u w:val="single"/>
          <w:lang w:val="en-US" w:eastAsia="zh-CN"/>
        </w:rPr>
        <w:t>3人组成</w:t>
      </w:r>
      <w:r>
        <w:rPr>
          <w:rFonts w:hint="eastAsia" w:asciiTheme="minorEastAsia" w:hAnsiTheme="minorEastAsia" w:eastAsiaTheme="minorEastAsia" w:cstheme="minorEastAsia"/>
          <w:b/>
          <w:bCs/>
          <w:color w:val="auto"/>
          <w:sz w:val="24"/>
          <w:u w:val="single"/>
        </w:rPr>
        <w:t>。</w:t>
      </w:r>
    </w:p>
    <w:p>
      <w:pPr>
        <w:pStyle w:val="5"/>
        <w:spacing w:before="0" w:after="0" w:line="400" w:lineRule="exact"/>
        <w:rPr>
          <w:rFonts w:hint="eastAsia" w:asciiTheme="minorEastAsia" w:hAnsiTheme="minorEastAsia" w:eastAsiaTheme="minorEastAsia" w:cstheme="minorEastAsia"/>
          <w:b w:val="0"/>
          <w:bCs/>
          <w:bdr w:val="single" w:color="auto" w:sz="4" w:space="0"/>
        </w:rPr>
      </w:pPr>
      <w:bookmarkStart w:id="142" w:name="_Toc6842"/>
      <w:bookmarkStart w:id="143" w:name="_Toc17843_WPSOffice_Level2"/>
      <w:bookmarkStart w:id="144" w:name="_Toc518923085"/>
      <w:bookmarkStart w:id="145" w:name="_Toc31689_WPSOffice_Level2"/>
      <w:r>
        <w:rPr>
          <w:rFonts w:hint="eastAsia" w:asciiTheme="minorEastAsia" w:hAnsiTheme="minorEastAsia" w:eastAsiaTheme="minorEastAsia" w:cstheme="minorEastAsia"/>
          <w:u w:val="none"/>
        </w:rPr>
        <w:t>20.响应文件的</w:t>
      </w:r>
      <w:bookmarkEnd w:id="141"/>
      <w:r>
        <w:rPr>
          <w:rFonts w:hint="eastAsia" w:asciiTheme="minorEastAsia" w:hAnsiTheme="minorEastAsia" w:eastAsiaTheme="minorEastAsia" w:cstheme="minorEastAsia"/>
          <w:u w:val="none"/>
        </w:rPr>
        <w:t>符合性审查与澄清</w:t>
      </w:r>
      <w:bookmarkEnd w:id="142"/>
      <w:bookmarkEnd w:id="143"/>
      <w:bookmarkEnd w:id="144"/>
      <w:bookmarkEnd w:id="145"/>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响应文件的澄清</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  在评审期间，评审委员会将以书面方式要求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对其响应文件中含义不明确、对同类问题表述不一致或者有明显文字和计算错误的内容，以及评审委员会认为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的报价明显低于其他通过符合性检查</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的报价，有可能影响履约的情况作必要的澄清、说明或补正。</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澄清、说明或补正。应在评审委员会规定的时间内以书面方式进行，并不得超出响应文件范围或者改变响应文件的实质性内容。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20.2.2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的澄清、说明或补正将作为响应文件的一部分。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20.3   响应文件报价出现前后不一致的，按照下列规定修正：</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（一）响应文件中</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（报价表）内容与响应文件中相应内容不一致的，以</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（报价表）为准；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（二）大写金额和小写金额不一致的，以大写金额为准；</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（三）单价金额小数点或者百分比有明显错位的，以</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的总价为准，并修改单价；</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（四）总价金额与按单价汇总金额不一致的，以单价金额计算结果为准。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同时出现两种以上不一致的，按照前款规定的顺序修正。修正后的报价按照第20.2条的规定经</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确认后产生约束力，</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不确认的，将被认定为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735" w:leftChars="350" w:firstLine="120" w:firstLineChars="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对不同文字文本响应文件的解释发生异议的，以中文文本为准。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20.4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为提供服务所伴随</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的产品如被列入财政部与国家主管部门颁发的节能产品目录或环境标志产品目录或无线局域网产品目录，应提供相关证明，在评审时予以优先采购，具体优先采购办法见第6章评审方法和标准。</w:t>
      </w:r>
    </w:p>
    <w:p>
      <w:pPr>
        <w:pStyle w:val="5"/>
        <w:spacing w:before="0" w:after="0" w:line="400" w:lineRule="exact"/>
        <w:rPr>
          <w:rFonts w:hint="eastAsia" w:asciiTheme="minorEastAsia" w:hAnsiTheme="minorEastAsia" w:eastAsiaTheme="minorEastAsia" w:cstheme="minorEastAsia"/>
          <w:u w:val="none"/>
        </w:rPr>
      </w:pPr>
      <w:bookmarkStart w:id="148" w:name="_Toc26452_WPSOffice_Level2"/>
      <w:bookmarkStart w:id="149" w:name="_Toc6346_WPSOffice_Level2"/>
      <w:bookmarkStart w:id="150" w:name="_Toc8603"/>
      <w:bookmarkStart w:id="151" w:name="_Toc518923086"/>
      <w:r>
        <w:rPr>
          <w:rFonts w:hint="eastAsia" w:asciiTheme="minorEastAsia" w:hAnsiTheme="minorEastAsia" w:eastAsiaTheme="minorEastAsia" w:cstheme="minorEastAsia"/>
          <w:u w:val="none"/>
        </w:rPr>
        <w:t>21.响应偏离</w:t>
      </w:r>
      <w:bookmarkEnd w:id="148"/>
      <w:bookmarkEnd w:id="149"/>
      <w:bookmarkEnd w:id="150"/>
      <w:bookmarkEnd w:id="151"/>
    </w:p>
    <w:p>
      <w:pPr>
        <w:spacing w:line="400" w:lineRule="exact"/>
        <w:ind w:left="847" w:leftChars="99" w:hanging="640" w:hangingChars="2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auto"/>
          <w:sz w:val="24"/>
        </w:rPr>
        <w:t>评审委员会可以接受响应文件中不构成实质性偏离的不正规或不一致</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但技术参数除外，即技术参数均不允许有负偏离现象，否则按无效投标处理</w:t>
      </w:r>
      <w:r>
        <w:rPr>
          <w:rFonts w:hint="eastAsia" w:asciiTheme="minorEastAsia" w:hAnsiTheme="minorEastAsia" w:eastAsiaTheme="minorEastAsia" w:cstheme="minorEastAsia"/>
          <w:color w:val="auto"/>
          <w:sz w:val="24"/>
        </w:rPr>
        <w:t>。</w:t>
      </w:r>
    </w:p>
    <w:p>
      <w:pPr>
        <w:pStyle w:val="5"/>
        <w:spacing w:before="0" w:after="0" w:line="400" w:lineRule="exact"/>
        <w:rPr>
          <w:rFonts w:hint="eastAsia" w:asciiTheme="minorEastAsia" w:hAnsiTheme="minorEastAsia" w:eastAsiaTheme="minorEastAsia" w:cstheme="minorEastAsia"/>
          <w:u w:val="none"/>
        </w:rPr>
      </w:pPr>
      <w:bookmarkStart w:id="152" w:name="_Toc25236_WPSOffice_Level2"/>
      <w:bookmarkStart w:id="153" w:name="_Toc11645_WPSOffice_Level2"/>
      <w:bookmarkStart w:id="154" w:name="_Toc25255"/>
      <w:bookmarkStart w:id="155" w:name="_Toc518923087"/>
      <w:r>
        <w:rPr>
          <w:rFonts w:hint="eastAsia" w:asciiTheme="minorEastAsia" w:hAnsiTheme="minorEastAsia" w:eastAsiaTheme="minorEastAsia" w:cstheme="minorEastAsia"/>
          <w:u w:val="none"/>
        </w:rPr>
        <w:t>22.响应无效</w:t>
      </w:r>
      <w:bookmarkEnd w:id="152"/>
      <w:bookmarkEnd w:id="153"/>
      <w:bookmarkEnd w:id="154"/>
      <w:bookmarkEnd w:id="155"/>
    </w:p>
    <w:p>
      <w:pPr>
        <w:spacing w:line="400" w:lineRule="exact"/>
        <w:ind w:left="852" w:leftChars="-23"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不得通过修正或撤销不符合要求的偏离从而使其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成为实质上响应。</w:t>
      </w:r>
    </w:p>
    <w:p>
      <w:pPr>
        <w:spacing w:line="400" w:lineRule="exact"/>
        <w:ind w:left="791" w:leftChars="3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磋商小组决定磋商的响应性只根据磋商文件要求、响应文件内容及财政主管部门指定相关信息发布媒体。</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如发现下列情况之一的，其磋商将被认定为无效：（</w:t>
      </w:r>
      <w:r>
        <w:rPr>
          <w:rFonts w:hint="eastAsia" w:asciiTheme="minorEastAsia" w:hAnsiTheme="minorEastAsia" w:eastAsiaTheme="minorEastAsia" w:cstheme="minorEastAsia"/>
          <w:b/>
          <w:sz w:val="24"/>
        </w:rPr>
        <w:t>以下情形应当在磋商文件中规定，并以醒目的方式标明</w:t>
      </w:r>
      <w:r>
        <w:rPr>
          <w:rFonts w:hint="eastAsia" w:asciiTheme="minorEastAsia" w:hAnsiTheme="minorEastAsia" w:eastAsiaTheme="minorEastAsia" w:cstheme="minorEastAsia"/>
          <w:sz w:val="24"/>
        </w:rPr>
        <w:t>）</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未按磋商文件规定的形式和金额提交磋商保证金的；</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未按照磋商文件规定要求签署、盖章的；</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未满足磋商文件中技术条款的实质性要求；</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与其他</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串通参加磋商，或者与采购人串通参加磋商；</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属于磋商文件规定的其他</w:t>
      </w:r>
      <w:r>
        <w:rPr>
          <w:rFonts w:hint="eastAsia" w:asciiTheme="minorEastAsia" w:hAnsiTheme="minorEastAsia" w:eastAsiaTheme="minorEastAsia" w:cstheme="minorEastAsia"/>
          <w:b/>
          <w:bCs/>
          <w:sz w:val="24"/>
          <w:lang w:eastAsia="zh-CN"/>
        </w:rPr>
        <w:t>响应</w:t>
      </w:r>
      <w:r>
        <w:rPr>
          <w:rFonts w:hint="eastAsia" w:asciiTheme="minorEastAsia" w:hAnsiTheme="minorEastAsia" w:eastAsiaTheme="minorEastAsia" w:cstheme="minorEastAsia"/>
          <w:b/>
          <w:bCs/>
          <w:sz w:val="24"/>
        </w:rPr>
        <w:t>无效情形；</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评审委员会认为</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的报价明显低于其他通过符合性检查供</w:t>
      </w:r>
    </w:p>
    <w:p>
      <w:pPr>
        <w:spacing w:line="400" w:lineRule="exact"/>
        <w:ind w:left="957" w:leftChars="456"/>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应商的报价，有可能影响履约的，且</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未按照规定证明其报价合理性的；</w:t>
      </w:r>
    </w:p>
    <w:p>
      <w:pPr>
        <w:numPr>
          <w:ilvl w:val="0"/>
          <w:numId w:val="4"/>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响应文件含有采购人不能接受的附加条件的；</w:t>
      </w:r>
    </w:p>
    <w:p>
      <w:pPr>
        <w:numPr>
          <w:ilvl w:val="0"/>
          <w:numId w:val="4"/>
        </w:numPr>
        <w:tabs>
          <w:tab w:val="left" w:pos="0"/>
        </w:tabs>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不符合法规和磋商文件中规定的其他实质性要求的。</w:t>
      </w:r>
    </w:p>
    <w:p>
      <w:pPr>
        <w:spacing w:line="400" w:lineRule="exact"/>
        <w:outlineLvl w:val="2"/>
        <w:rPr>
          <w:rFonts w:hint="eastAsia" w:asciiTheme="minorEastAsia" w:hAnsiTheme="minorEastAsia" w:eastAsiaTheme="minorEastAsia" w:cstheme="minorEastAsia"/>
          <w:b/>
          <w:bCs/>
          <w:sz w:val="24"/>
        </w:rPr>
      </w:pPr>
      <w:bookmarkStart w:id="156" w:name="_Toc14330_WPSOffice_Level2"/>
      <w:bookmarkStart w:id="157" w:name="_Toc518923088"/>
      <w:bookmarkStart w:id="158" w:name="_Toc20835"/>
      <w:bookmarkStart w:id="159" w:name="_Toc22743_WPSOffice_Level2"/>
      <w:r>
        <w:rPr>
          <w:rFonts w:hint="eastAsia" w:asciiTheme="minorEastAsia" w:hAnsiTheme="minorEastAsia" w:eastAsiaTheme="minorEastAsia" w:cstheme="minorEastAsia"/>
          <w:b/>
          <w:bCs/>
          <w:sz w:val="24"/>
        </w:rPr>
        <w:t>23</w:t>
      </w:r>
      <w:bookmarkEnd w:id="147"/>
      <w:r>
        <w:rPr>
          <w:rFonts w:hint="eastAsia" w:asciiTheme="minorEastAsia" w:hAnsiTheme="minorEastAsia" w:eastAsiaTheme="minorEastAsia" w:cstheme="minorEastAsia"/>
          <w:b/>
          <w:bCs/>
          <w:sz w:val="24"/>
        </w:rPr>
        <w:t>.比较与评价</w:t>
      </w:r>
      <w:bookmarkEnd w:id="156"/>
      <w:bookmarkEnd w:id="157"/>
      <w:bookmarkEnd w:id="158"/>
      <w:bookmarkEnd w:id="159"/>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color w:val="000000"/>
          <w:sz w:val="24"/>
        </w:rPr>
        <w:t>经符合性审查合格的响应文件，评审委员会将根据磋商文件确定的评审方法和标准，对其技术部分和商务部分作进一步的比较和评价。</w:t>
      </w:r>
    </w:p>
    <w:p>
      <w:pPr>
        <w:pStyle w:val="23"/>
        <w:ind w:left="718" w:leftChars="342" w:firstLine="240" w:firstLineChars="100"/>
        <w:rPr>
          <w:rFonts w:hint="eastAsia" w:asciiTheme="minorEastAsia" w:hAnsiTheme="minorEastAsia" w:eastAsiaTheme="minorEastAsia" w:cstheme="minorEastAsia"/>
          <w:b/>
          <w:bCs/>
          <w:color w:val="000000"/>
          <w:sz w:val="24"/>
          <w:u w:val="single"/>
        </w:rPr>
      </w:pPr>
      <w:r>
        <w:rPr>
          <w:rFonts w:hint="eastAsia" w:asciiTheme="minorEastAsia" w:hAnsiTheme="minorEastAsia" w:eastAsiaTheme="minorEastAsia" w:cstheme="minorEastAsia"/>
          <w:b/>
          <w:bCs/>
          <w:color w:val="000000"/>
          <w:sz w:val="24"/>
          <w:u w:val="single"/>
        </w:rPr>
        <w:t>竞争性磋商共有两次报价，二次报价为最终报价 ，磋商小组所有成员集中与单一</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分别进行磋商，并给予所有参加磋商的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平等的磋商机会， 磋商小组要求所有实质性响应的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在规定时间内提交最后报价，最后报价是</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响应文件的有效组成部分，经磋商确定最终采购需求和提交最后报价的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后，由磋商小组采用综合评分法对提交最后报价的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的响应文件和最后报价进行综合评分。磋商小组各成员应当独立对每个有效响应的文件进行评价、打分，汇总每个</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每项评分因素的得分。磋商小组应当从质量和服务均能满足采购文件实质性响应要求的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中，按照综合评分由高到低的顺序提出成交候选人，并编写评审报告，将结果通知所有参加磋商的未成交的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w:t>
      </w:r>
    </w:p>
    <w:p>
      <w:pPr>
        <w:spacing w:line="400" w:lineRule="exact"/>
        <w:ind w:left="900" w:hanging="900" w:hangingChars="375"/>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 xml:space="preserve">23.2  </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评审严格按照磋商文件的要求和条件进行。根据实际情况，在</w:t>
      </w:r>
      <w:r>
        <w:rPr>
          <w:rFonts w:hint="eastAsia" w:asciiTheme="minorEastAsia" w:hAnsiTheme="minorEastAsia" w:eastAsiaTheme="minorEastAsia" w:cstheme="minorEastAsia"/>
          <w:color w:val="000000"/>
          <w:sz w:val="24"/>
          <w:u w:val="single"/>
          <w:lang w:eastAsia="zh-CN"/>
        </w:rPr>
        <w:t>供应商</w:t>
      </w:r>
      <w:r>
        <w:rPr>
          <w:rFonts w:hint="eastAsia" w:asciiTheme="minorEastAsia" w:hAnsiTheme="minorEastAsia" w:eastAsiaTheme="minorEastAsia" w:cstheme="minorEastAsia"/>
          <w:color w:val="000000"/>
          <w:sz w:val="24"/>
          <w:u w:val="single"/>
        </w:rPr>
        <w:t>须知资料表</w:t>
      </w:r>
      <w:r>
        <w:rPr>
          <w:rFonts w:hint="eastAsia" w:asciiTheme="minorEastAsia" w:hAnsiTheme="minorEastAsia" w:eastAsiaTheme="minorEastAsia" w:cstheme="minorEastAsia"/>
          <w:color w:val="000000"/>
          <w:sz w:val="24"/>
        </w:rPr>
        <w:t>中规定采用下列一种评审方法，详细评审标准见磋商文件第六章</w:t>
      </w:r>
      <w:r>
        <w:rPr>
          <w:rFonts w:hint="eastAsia" w:asciiTheme="minorEastAsia" w:hAnsiTheme="minorEastAsia" w:eastAsiaTheme="minorEastAsia" w:cstheme="minorEastAsia"/>
          <w:color w:val="000000"/>
          <w:sz w:val="24"/>
          <w:lang w:eastAsia="zh-CN"/>
        </w:rPr>
        <w:t>。</w:t>
      </w:r>
    </w:p>
    <w:p>
      <w:pPr>
        <w:pStyle w:val="14"/>
        <w:spacing w:line="400" w:lineRule="exact"/>
        <w:ind w:left="957" w:leftChars="456" w:firstLine="33" w:firstLineChars="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综合评分法，是指响应文件满足磋商文件全部实质性要求，且按照评审因素的量化指标评审得分最高的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为成交候选人的评审方法。</w:t>
      </w:r>
    </w:p>
    <w:p>
      <w:pPr>
        <w:pStyle w:val="14"/>
        <w:spacing w:line="400" w:lineRule="exact"/>
        <w:ind w:left="957" w:leftChars="456" w:firstLine="33" w:firstLineChars="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本项目采用采购方式：竞争性磋商，评分方法：综合评分法</w:t>
      </w:r>
    </w:p>
    <w:p>
      <w:pPr>
        <w:spacing w:line="400" w:lineRule="exact"/>
        <w:ind w:left="958" w:leftChars="342" w:hanging="240" w:hangingChars="100"/>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1、价格因素：</w:t>
      </w:r>
      <w:r>
        <w:rPr>
          <w:rFonts w:hint="eastAsia" w:asciiTheme="minorEastAsia" w:hAnsiTheme="minorEastAsia" w:eastAsiaTheme="minorEastAsia" w:cstheme="minorEastAsia"/>
          <w:color w:val="FF0000"/>
          <w:sz w:val="24"/>
          <w:lang w:val="en-US" w:eastAsia="zh-CN"/>
        </w:rPr>
        <w:t>30</w:t>
      </w:r>
      <w:r>
        <w:rPr>
          <w:rFonts w:hint="eastAsia" w:asciiTheme="minorEastAsia" w:hAnsiTheme="minorEastAsia" w:eastAsiaTheme="minorEastAsia" w:cstheme="minorEastAsia"/>
          <w:color w:val="FF0000"/>
          <w:sz w:val="24"/>
        </w:rPr>
        <w:t>分（磋商报价得分=(磋商基准价/</w:t>
      </w:r>
      <w:r>
        <w:rPr>
          <w:rFonts w:hint="eastAsia" w:asciiTheme="minorEastAsia" w:hAnsiTheme="minorEastAsia" w:eastAsiaTheme="minorEastAsia" w:cstheme="minorEastAsia"/>
          <w:color w:val="FF0000"/>
          <w:sz w:val="24"/>
          <w:lang w:eastAsia="zh-CN"/>
        </w:rPr>
        <w:t>供应商</w:t>
      </w:r>
      <w:r>
        <w:rPr>
          <w:rFonts w:hint="eastAsia" w:asciiTheme="minorEastAsia" w:hAnsiTheme="minorEastAsia" w:eastAsiaTheme="minorEastAsia" w:cstheme="minorEastAsia"/>
          <w:color w:val="FF0000"/>
          <w:sz w:val="24"/>
        </w:rPr>
        <w:t>最终磋商报价）</w:t>
      </w:r>
      <w:r>
        <w:rPr>
          <w:rFonts w:hint="default" w:ascii="Arial" w:hAnsi="Arial" w:cs="Arial" w:eastAsiaTheme="minorEastAsia"/>
          <w:color w:val="FF0000"/>
          <w:sz w:val="24"/>
        </w:rPr>
        <w:t>×</w:t>
      </w:r>
      <w:r>
        <w:rPr>
          <w:rFonts w:hint="eastAsia" w:asciiTheme="minorEastAsia" w:hAnsiTheme="minorEastAsia" w:eastAsiaTheme="minorEastAsia" w:cstheme="minorEastAsia"/>
          <w:color w:val="FF0000"/>
          <w:sz w:val="24"/>
        </w:rPr>
        <w:t>价格权值</w:t>
      </w:r>
      <w:r>
        <w:rPr>
          <w:rFonts w:hint="default" w:ascii="Arial" w:hAnsi="Arial" w:cs="Arial" w:eastAsiaTheme="minorEastAsia"/>
          <w:color w:val="FF0000"/>
          <w:sz w:val="24"/>
        </w:rPr>
        <w:t>×</w:t>
      </w:r>
      <w:r>
        <w:rPr>
          <w:rFonts w:hint="eastAsia" w:asciiTheme="minorEastAsia" w:hAnsiTheme="minorEastAsia" w:eastAsiaTheme="minorEastAsia" w:cstheme="minorEastAsia"/>
          <w:color w:val="FF0000"/>
          <w:sz w:val="24"/>
        </w:rPr>
        <w:t>100）</w:t>
      </w:r>
    </w:p>
    <w:p>
      <w:pPr>
        <w:pStyle w:val="14"/>
        <w:spacing w:line="400" w:lineRule="exact"/>
        <w:ind w:firstLine="720" w:firstLineChars="3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2、商务及技术因素：</w:t>
      </w:r>
      <w:r>
        <w:rPr>
          <w:rFonts w:hint="eastAsia" w:asciiTheme="minorEastAsia" w:hAnsiTheme="minorEastAsia" w:eastAsiaTheme="minorEastAsia" w:cstheme="minorEastAsia"/>
          <w:color w:val="FF0000"/>
          <w:sz w:val="24"/>
          <w:szCs w:val="24"/>
          <w:lang w:val="en-US" w:eastAsia="zh-CN"/>
        </w:rPr>
        <w:t>70</w:t>
      </w:r>
      <w:r>
        <w:rPr>
          <w:rFonts w:hint="eastAsia" w:asciiTheme="minorEastAsia" w:hAnsiTheme="minorEastAsia" w:eastAsiaTheme="minorEastAsia" w:cstheme="minorEastAsia"/>
          <w:color w:val="FF0000"/>
          <w:sz w:val="24"/>
          <w:szCs w:val="24"/>
        </w:rPr>
        <w:t>分</w:t>
      </w:r>
    </w:p>
    <w:p>
      <w:pPr>
        <w:pStyle w:val="14"/>
        <w:spacing w:line="400" w:lineRule="exact"/>
        <w:ind w:left="900" w:hanging="900" w:hangingChars="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根据</w:t>
      </w:r>
      <w:r>
        <w:rPr>
          <w:rFonts w:hint="eastAsia" w:asciiTheme="minorEastAsia" w:hAnsiTheme="minorEastAsia" w:eastAsiaTheme="minorEastAsia" w:cstheme="minorEastAsia"/>
          <w:sz w:val="24"/>
          <w:szCs w:val="24"/>
          <w:lang w:eastAsia="zh-CN"/>
        </w:rPr>
        <w:t>《政府采购促进中小企业发展管理办法》（财库〔2020〕46号）</w:t>
      </w:r>
      <w:r>
        <w:rPr>
          <w:rFonts w:hint="eastAsia" w:asciiTheme="minorEastAsia" w:hAnsiTheme="minorEastAsia" w:eastAsiaTheme="minorEastAsia" w:cstheme="minorEastAsia"/>
          <w:sz w:val="24"/>
          <w:szCs w:val="24"/>
        </w:rPr>
        <w:t>、《财政部 司法部关于政府采购支持监狱企业发展有关问题的通知》（财库〔2014〕68号）和《三部门联合发布关于促进残疾人就业政府采购政策的通知》（</w:t>
      </w:r>
      <w:bookmarkStart w:id="160" w:name="sendNo"/>
      <w:r>
        <w:rPr>
          <w:rFonts w:hint="eastAsia" w:asciiTheme="minorEastAsia" w:hAnsiTheme="minorEastAsia" w:eastAsiaTheme="minorEastAsia" w:cstheme="minorEastAsia"/>
          <w:sz w:val="24"/>
          <w:szCs w:val="24"/>
        </w:rPr>
        <w:t>财库〔</w:t>
      </w:r>
      <w:bookmarkEnd w:id="160"/>
      <w:r>
        <w:rPr>
          <w:rFonts w:hint="eastAsia" w:asciiTheme="minorEastAsia" w:hAnsiTheme="minorEastAsia" w:eastAsiaTheme="minorEastAsia" w:cstheme="minorEastAsia"/>
          <w:sz w:val="24"/>
          <w:szCs w:val="24"/>
        </w:rPr>
        <w:t>2017〕141号）的规定，对满足价格扣除条件且在响应文件中提交了《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企业类型声明函》或省级以上监狱管理局、戒毒管理局（含新疆生产建设兵团）出具的属于监狱企业的证明文件的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，其磋商报价扣除6-10%后参与评审。具体办法详见磋商文件第6章。</w:t>
      </w:r>
    </w:p>
    <w:p>
      <w:pPr>
        <w:pStyle w:val="14"/>
        <w:spacing w:line="400" w:lineRule="exact"/>
        <w:ind w:left="900" w:hanging="900" w:hangingChars="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23.4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所投产品如被列入财政部与国家主管部门颁发的节能产品目录或环境标志产品目录或无线局域网产品目录，应提供相关证明，在评审时予以优先采购，具体优惠措施为：</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 xml:space="preserve">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  </w:t>
      </w:r>
    </w:p>
    <w:p>
      <w:pPr>
        <w:pStyle w:val="5"/>
        <w:spacing w:before="0" w:after="0" w:line="300" w:lineRule="exact"/>
        <w:rPr>
          <w:rFonts w:hint="eastAsia" w:asciiTheme="minorEastAsia" w:hAnsiTheme="minorEastAsia" w:eastAsiaTheme="minorEastAsia" w:cstheme="minorEastAsia"/>
          <w:kern w:val="2"/>
          <w:szCs w:val="24"/>
          <w:u w:val="none"/>
        </w:rPr>
      </w:pPr>
      <w:bookmarkStart w:id="161" w:name="_Toc520356168"/>
      <w:bookmarkStart w:id="162" w:name="_Toc27560_WPSOffice_Level2"/>
      <w:bookmarkStart w:id="163" w:name="_Toc5823"/>
      <w:bookmarkStart w:id="164" w:name="_Toc21686_WPSOffice_Level2"/>
      <w:bookmarkStart w:id="165" w:name="_Toc518923089"/>
      <w:r>
        <w:rPr>
          <w:rFonts w:hint="eastAsia" w:asciiTheme="minorEastAsia" w:hAnsiTheme="minorEastAsia" w:eastAsiaTheme="minorEastAsia" w:cstheme="minorEastAsia"/>
          <w:kern w:val="2"/>
          <w:szCs w:val="24"/>
          <w:u w:val="none"/>
        </w:rPr>
        <w:t>24</w:t>
      </w:r>
      <w:bookmarkEnd w:id="161"/>
      <w:r>
        <w:rPr>
          <w:rFonts w:hint="eastAsia" w:asciiTheme="minorEastAsia" w:hAnsiTheme="minorEastAsia" w:eastAsiaTheme="minorEastAsia" w:cstheme="minorEastAsia"/>
          <w:kern w:val="2"/>
          <w:szCs w:val="24"/>
          <w:u w:val="none"/>
        </w:rPr>
        <w:t>.废标</w:t>
      </w:r>
      <w:bookmarkEnd w:id="162"/>
      <w:bookmarkEnd w:id="163"/>
      <w:bookmarkEnd w:id="164"/>
      <w:bookmarkEnd w:id="165"/>
    </w:p>
    <w:p>
      <w:pPr>
        <w:spacing w:line="300" w:lineRule="exact"/>
        <w:ind w:left="897" w:leftChars="399" w:hanging="60" w:hangingChars="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出现下列情形之一，将导致项目废标： </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（1）符合专业条件的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或者对磋商文件做实质性响应的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不足三家；</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（2）出现影响采购公正的违法、违规行为的；</w:t>
      </w:r>
    </w:p>
    <w:p>
      <w:pPr>
        <w:spacing w:line="300" w:lineRule="exact"/>
        <w:ind w:firstLine="840" w:firstLineChars="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的报价均超过了采购预算，采购人不能支付的；</w:t>
      </w:r>
    </w:p>
    <w:p>
      <w:pPr>
        <w:spacing w:line="300" w:lineRule="exact"/>
        <w:ind w:firstLine="840" w:firstLineChars="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（4）因重大变故，采购任务取消的。   </w:t>
      </w:r>
    </w:p>
    <w:p>
      <w:pPr>
        <w:pStyle w:val="5"/>
        <w:spacing w:before="0" w:after="0" w:line="300" w:lineRule="exact"/>
        <w:rPr>
          <w:rFonts w:hint="eastAsia" w:asciiTheme="minorEastAsia" w:hAnsiTheme="minorEastAsia" w:eastAsiaTheme="minorEastAsia" w:cstheme="minorEastAsia"/>
          <w:u w:val="none"/>
        </w:rPr>
      </w:pPr>
      <w:bookmarkStart w:id="166" w:name="_Toc518923090"/>
      <w:bookmarkStart w:id="167" w:name="_Toc4205_WPSOffice_Level2"/>
      <w:bookmarkStart w:id="168" w:name="_Toc16649_WPSOffice_Level2"/>
      <w:bookmarkStart w:id="169" w:name="_Toc23660"/>
      <w:bookmarkStart w:id="170" w:name="_Toc520356169"/>
      <w:r>
        <w:rPr>
          <w:rFonts w:hint="eastAsia" w:asciiTheme="minorEastAsia" w:hAnsiTheme="minorEastAsia" w:eastAsiaTheme="minorEastAsia" w:cstheme="minorEastAsia"/>
          <w:u w:val="none"/>
        </w:rPr>
        <w:t>25.保密原则</w:t>
      </w:r>
      <w:bookmarkEnd w:id="166"/>
      <w:bookmarkEnd w:id="167"/>
      <w:bookmarkEnd w:id="168"/>
      <w:bookmarkEnd w:id="169"/>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评审将在严格保密的情况下进行。</w:t>
      </w:r>
    </w:p>
    <w:p>
      <w:pPr>
        <w:spacing w:line="300" w:lineRule="exact"/>
        <w:ind w:left="900" w:hanging="900" w:hangingChars="37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25.2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政府采购评审专家应当遵守评审工作纪律，不得泄露评审文件、评审情况和评审中获悉的商业秘密。</w:t>
      </w:r>
      <w:bookmarkStart w:id="171" w:name="_Toc10964"/>
      <w:bookmarkStart w:id="172" w:name="_Toc216582810"/>
      <w:bookmarkStart w:id="173" w:name="_Toc518923091"/>
      <w:bookmarkStart w:id="174" w:name="_Toc4193_WPSOffice_Level1"/>
      <w:bookmarkStart w:id="175" w:name="_Toc15697"/>
    </w:p>
    <w:p>
      <w:pPr>
        <w:pStyle w:val="23"/>
        <w:rPr>
          <w:rFonts w:hint="eastAsia" w:asciiTheme="minorEastAsia" w:hAnsiTheme="minorEastAsia" w:eastAsiaTheme="minorEastAsia" w:cstheme="minorEastAsia"/>
        </w:rPr>
      </w:pPr>
    </w:p>
    <w:p>
      <w:pPr>
        <w:pStyle w:val="4"/>
        <w:spacing w:before="0" w:line="30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六   </w:t>
      </w:r>
      <w:bookmarkEnd w:id="170"/>
      <w:r>
        <w:rPr>
          <w:rFonts w:hint="eastAsia" w:asciiTheme="minorEastAsia" w:hAnsiTheme="minorEastAsia" w:eastAsiaTheme="minorEastAsia" w:cstheme="minorEastAsia"/>
          <w:sz w:val="24"/>
        </w:rPr>
        <w:t>确定</w:t>
      </w:r>
      <w:bookmarkEnd w:id="171"/>
      <w:bookmarkEnd w:id="172"/>
      <w:bookmarkEnd w:id="173"/>
      <w:r>
        <w:rPr>
          <w:rFonts w:hint="eastAsia" w:asciiTheme="minorEastAsia" w:hAnsiTheme="minorEastAsia" w:eastAsiaTheme="minorEastAsia" w:cstheme="minorEastAsia"/>
          <w:sz w:val="24"/>
        </w:rPr>
        <w:t>成交</w:t>
      </w:r>
      <w:bookmarkEnd w:id="174"/>
      <w:bookmarkEnd w:id="175"/>
    </w:p>
    <w:p>
      <w:pPr>
        <w:pStyle w:val="9"/>
        <w:spacing w:line="300" w:lineRule="exact"/>
        <w:rPr>
          <w:rFonts w:hint="eastAsia" w:asciiTheme="minorEastAsia" w:hAnsiTheme="minorEastAsia" w:eastAsiaTheme="minorEastAsia" w:cstheme="minorEastAsia"/>
        </w:rPr>
      </w:pPr>
    </w:p>
    <w:p>
      <w:pPr>
        <w:pStyle w:val="5"/>
        <w:spacing w:before="0" w:after="0" w:line="300" w:lineRule="exact"/>
        <w:rPr>
          <w:rFonts w:hint="eastAsia" w:asciiTheme="minorEastAsia" w:hAnsiTheme="minorEastAsia" w:eastAsiaTheme="minorEastAsia" w:cstheme="minorEastAsia"/>
          <w:color w:val="000000"/>
          <w:u w:val="none"/>
        </w:rPr>
      </w:pPr>
      <w:bookmarkStart w:id="176" w:name="_Toc4749_WPSOffice_Level2"/>
      <w:bookmarkStart w:id="177" w:name="_Toc31921_WPSOffice_Level2"/>
      <w:bookmarkStart w:id="178" w:name="_Toc518923092"/>
      <w:bookmarkStart w:id="179" w:name="_Toc520356170"/>
      <w:bookmarkStart w:id="180" w:name="_Toc32578"/>
      <w:bookmarkStart w:id="181" w:name="_Ref467307010"/>
      <w:r>
        <w:rPr>
          <w:rFonts w:hint="eastAsia" w:asciiTheme="minorEastAsia" w:hAnsiTheme="minorEastAsia" w:eastAsiaTheme="minorEastAsia" w:cs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除第28条规定外，对实质上响应磋商文件的</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按下列方法进行排序，确定成交候选人：</w:t>
      </w:r>
    </w:p>
    <w:p>
      <w:pPr>
        <w:spacing w:line="300" w:lineRule="exact"/>
        <w:ind w:left="901"/>
        <w:rPr>
          <w:rFonts w:hint="eastAsia" w:asciiTheme="minorEastAsia" w:hAnsiTheme="minorEastAsia" w:eastAsiaTheme="minorEastAsia" w:cstheme="minorEastAsia"/>
          <w:b/>
          <w:bCs/>
          <w:color w:val="000000"/>
          <w:sz w:val="24"/>
          <w:u w:val="single"/>
        </w:rPr>
      </w:pPr>
      <w:r>
        <w:rPr>
          <w:rFonts w:hint="eastAsia" w:asciiTheme="minorEastAsia" w:hAnsiTheme="minorEastAsia" w:eastAsiaTheme="minorEastAsia" w:cstheme="minorEastAsia"/>
          <w:b/>
          <w:bCs/>
          <w:color w:val="000000"/>
          <w:sz w:val="24"/>
          <w:u w:val="single"/>
        </w:rPr>
        <w:t>采用综合评分法，评审结果按评审后得分由高到低顺序排列。得分相同的，按修正和扣除后的磋商报价由低到高顺序排列。得分与磋商报价均相同的处理方式详见磋商文件第6章。</w:t>
      </w:r>
    </w:p>
    <w:p>
      <w:pPr>
        <w:pStyle w:val="5"/>
        <w:spacing w:before="0" w:after="0" w:line="300" w:lineRule="exact"/>
        <w:rPr>
          <w:rFonts w:hint="eastAsia" w:asciiTheme="minorEastAsia" w:hAnsiTheme="minorEastAsia" w:eastAsiaTheme="minorEastAsia" w:cstheme="minorEastAsia"/>
          <w:color w:val="000000"/>
          <w:u w:val="none"/>
        </w:rPr>
      </w:pPr>
      <w:bookmarkStart w:id="182" w:name="_Toc520356171"/>
      <w:bookmarkStart w:id="183" w:name="_Toc518923093"/>
      <w:bookmarkStart w:id="184" w:name="_Toc3689_WPSOffice_Level2"/>
      <w:bookmarkStart w:id="185" w:name="_Toc2420_WPSOffice_Level2"/>
      <w:bookmarkStart w:id="186" w:name="_Toc10555"/>
      <w:r>
        <w:rPr>
          <w:rFonts w:hint="eastAsia" w:asciiTheme="minorEastAsia" w:hAnsiTheme="minorEastAsia" w:eastAsiaTheme="minorEastAsia" w:cstheme="minorEastAsia"/>
          <w:color w:val="000000"/>
          <w:u w:val="none"/>
        </w:rPr>
        <w:t>27</w:t>
      </w:r>
      <w:bookmarkEnd w:id="182"/>
      <w:r>
        <w:rPr>
          <w:rFonts w:hint="eastAsia" w:asciiTheme="minorEastAsia" w:hAnsiTheme="minorEastAsia" w:eastAsiaTheme="minorEastAsia" w:cstheme="minorEastAsia"/>
          <w:color w:val="000000"/>
          <w:u w:val="none"/>
        </w:rPr>
        <w:t>.确定成交候选人和成交人</w:t>
      </w:r>
      <w:bookmarkEnd w:id="183"/>
      <w:bookmarkEnd w:id="184"/>
      <w:bookmarkEnd w:id="185"/>
      <w:bookmarkEnd w:id="186"/>
    </w:p>
    <w:p>
      <w:pPr>
        <w:spacing w:line="3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评审委员会将根据评审标准，按</w:t>
      </w:r>
      <w:r>
        <w:rPr>
          <w:rFonts w:hint="eastAsia" w:asciiTheme="minorEastAsia" w:hAnsiTheme="minorEastAsia" w:eastAsiaTheme="minorEastAsia" w:cstheme="minorEastAsia"/>
          <w:color w:val="000000"/>
          <w:sz w:val="24"/>
          <w:u w:val="single"/>
          <w:lang w:eastAsia="zh-CN"/>
        </w:rPr>
        <w:t>供应商</w:t>
      </w:r>
      <w:r>
        <w:rPr>
          <w:rFonts w:hint="eastAsia" w:asciiTheme="minorEastAsia" w:hAnsiTheme="minorEastAsia" w:eastAsiaTheme="minorEastAsia" w:cstheme="minorEastAsia"/>
          <w:color w:val="000000"/>
          <w:sz w:val="24"/>
          <w:u w:val="single"/>
        </w:rPr>
        <w:t>须知资料表中</w:t>
      </w:r>
      <w:r>
        <w:rPr>
          <w:rFonts w:hint="eastAsia" w:asciiTheme="minorEastAsia" w:hAnsiTheme="minorEastAsia" w:eastAsiaTheme="minorEastAsia" w:cstheme="minorEastAsia"/>
          <w:color w:val="000000"/>
          <w:sz w:val="24"/>
        </w:rPr>
        <w:t>规定数量推荐成交候选人；</w:t>
      </w:r>
      <w:r>
        <w:rPr>
          <w:rFonts w:hint="eastAsia" w:asciiTheme="minorEastAsia" w:hAnsiTheme="minorEastAsia" w:eastAsiaTheme="minorEastAsia" w:cstheme="minorEastAsia"/>
          <w:b/>
          <w:bCs/>
          <w:color w:val="000000"/>
          <w:sz w:val="24"/>
          <w:u w:val="single"/>
        </w:rPr>
        <w:t>磋商小组应当根据综合评分情况，按照评审得分由高到低顺序推荐3名以上成交候选</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color w:val="000000"/>
          <w:sz w:val="24"/>
        </w:rPr>
        <w:t>或根据采购人的委托，直接确定成交人。</w:t>
      </w:r>
    </w:p>
    <w:p>
      <w:pPr>
        <w:pStyle w:val="5"/>
        <w:tabs>
          <w:tab w:val="left" w:pos="900"/>
        </w:tabs>
        <w:spacing w:before="0" w:after="0" w:line="300" w:lineRule="exact"/>
        <w:rPr>
          <w:rFonts w:hint="eastAsia" w:asciiTheme="minorEastAsia" w:hAnsiTheme="minorEastAsia" w:eastAsiaTheme="minorEastAsia" w:cstheme="minorEastAsia"/>
          <w:color w:val="000000"/>
          <w:u w:val="none"/>
        </w:rPr>
      </w:pPr>
      <w:bookmarkStart w:id="187" w:name="_Toc520356173"/>
      <w:bookmarkStart w:id="188" w:name="_Ref467306874"/>
      <w:bookmarkStart w:id="189" w:name="_Toc620_WPSOffice_Level2"/>
      <w:bookmarkStart w:id="190" w:name="_Toc17336_WPSOffice_Level2"/>
      <w:bookmarkStart w:id="191" w:name="_Toc17138"/>
      <w:bookmarkStart w:id="192" w:name="_Toc518923094"/>
      <w:r>
        <w:rPr>
          <w:rFonts w:hint="eastAsia" w:asciiTheme="minorEastAsia" w:hAnsiTheme="minorEastAsia" w:eastAsiaTheme="minorEastAsia" w:cstheme="minorEastAsia"/>
          <w:color w:val="000000"/>
          <w:u w:val="none"/>
        </w:rPr>
        <w:t>28</w:t>
      </w:r>
      <w:bookmarkEnd w:id="187"/>
      <w:bookmarkEnd w:id="188"/>
      <w:r>
        <w:rPr>
          <w:rFonts w:hint="eastAsia" w:asciiTheme="minorEastAsia" w:hAnsiTheme="minorEastAsia" w:eastAsiaTheme="minorEastAsia" w:cstheme="minorEastAsia"/>
          <w:color w:val="000000"/>
          <w:u w:val="none"/>
        </w:rPr>
        <w:t>.采购任务取消</w:t>
      </w:r>
      <w:bookmarkEnd w:id="189"/>
      <w:bookmarkEnd w:id="190"/>
      <w:bookmarkEnd w:id="191"/>
      <w:bookmarkEnd w:id="192"/>
    </w:p>
    <w:p>
      <w:pPr>
        <w:spacing w:line="3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因重大变故采购任务取消时，采购人有权拒绝任何</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成交，且对受影响的</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不承担任何责任。</w:t>
      </w:r>
      <w:bookmarkStart w:id="193" w:name="_Toc520356174"/>
    </w:p>
    <w:p>
      <w:pPr>
        <w:pStyle w:val="5"/>
        <w:spacing w:before="0" w:after="0" w:line="300" w:lineRule="exact"/>
        <w:rPr>
          <w:rFonts w:hint="eastAsia" w:asciiTheme="minorEastAsia" w:hAnsiTheme="minorEastAsia" w:eastAsiaTheme="minorEastAsia" w:cstheme="minorEastAsia"/>
          <w:color w:val="000000"/>
          <w:u w:val="none"/>
        </w:rPr>
      </w:pPr>
      <w:bookmarkStart w:id="194" w:name="_Toc22810_WPSOffice_Level2"/>
      <w:bookmarkStart w:id="195" w:name="_Toc518923095"/>
      <w:bookmarkStart w:id="196" w:name="_Toc18072"/>
      <w:bookmarkStart w:id="197" w:name="_Toc7273_WPSOffice_Level2"/>
      <w:r>
        <w:rPr>
          <w:rFonts w:hint="eastAsia" w:asciiTheme="minorEastAsia" w:hAnsiTheme="minorEastAsia" w:eastAsiaTheme="minorEastAsia" w:cstheme="minorEastAsia"/>
          <w:color w:val="000000"/>
          <w:u w:val="none"/>
        </w:rPr>
        <w:t>29.成交通知书</w:t>
      </w:r>
      <w:bookmarkEnd w:id="193"/>
      <w:r>
        <w:rPr>
          <w:rFonts w:hint="eastAsia" w:asciiTheme="minorEastAsia" w:hAnsiTheme="minorEastAsia" w:eastAsiaTheme="minorEastAsia" w:cstheme="minorEastAsia"/>
          <w:color w:val="000000"/>
          <w:u w:val="none"/>
        </w:rPr>
        <w:t>和采购结果通知书</w:t>
      </w:r>
      <w:bookmarkEnd w:id="194"/>
      <w:bookmarkEnd w:id="195"/>
      <w:bookmarkEnd w:id="196"/>
      <w:bookmarkEnd w:id="197"/>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29.1</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在磋商有效期内，成交人确定后，采购人或者采购代理机构发布成交</w:t>
      </w:r>
      <w:r>
        <w:rPr>
          <w:rFonts w:hint="eastAsia" w:asciiTheme="minorEastAsia" w:hAnsiTheme="minorEastAsia" w:eastAsiaTheme="minorEastAsia" w:cstheme="minorEastAsia"/>
          <w:sz w:val="24"/>
        </w:rPr>
        <w:t>公告，同时以书面形式向成交人发出成交通知书；</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成交通知书是合同的组成部分；</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29.3    采购结果通知书和成交通知书同时发出。采购结果通知书中将告知未通过资格审查的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未通过的原因；采用综合评分法评审的，还将告知未成交人本人的评审得分和排序。</w:t>
      </w:r>
    </w:p>
    <w:p>
      <w:pPr>
        <w:pStyle w:val="5"/>
        <w:spacing w:before="0" w:after="0" w:line="300" w:lineRule="exact"/>
        <w:rPr>
          <w:rFonts w:hint="eastAsia" w:asciiTheme="minorEastAsia" w:hAnsiTheme="minorEastAsia" w:eastAsiaTheme="minorEastAsia" w:cstheme="minorEastAsia"/>
          <w:u w:val="none"/>
        </w:rPr>
      </w:pPr>
      <w:bookmarkStart w:id="198" w:name="_Toc520356175"/>
      <w:bookmarkStart w:id="199" w:name="_Toc9717_WPSOffice_Level2"/>
      <w:bookmarkStart w:id="200" w:name="_Toc518923096"/>
      <w:bookmarkStart w:id="201" w:name="_Ref467307062"/>
      <w:bookmarkStart w:id="202" w:name="_Ref467306978"/>
      <w:bookmarkStart w:id="203" w:name="_Toc16952"/>
      <w:bookmarkStart w:id="204" w:name="_Ref467306377"/>
      <w:bookmarkStart w:id="205" w:name="_Toc23285_WPSOffice_Level2"/>
      <w:bookmarkStart w:id="206" w:name="_Ref467307204"/>
      <w:r>
        <w:rPr>
          <w:rFonts w:hint="eastAsia" w:asciiTheme="minorEastAsia" w:hAnsiTheme="minorEastAsia" w:eastAsiaTheme="minorEastAsia" w:cs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成交人应当自发出成交通知书之日起30日内，与采购人签订合同。</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30.2</w:t>
      </w:r>
      <w:r>
        <w:rPr>
          <w:rFonts w:hint="eastAsia" w:asciiTheme="minorEastAsia" w:hAnsiTheme="minorEastAsia" w:eastAsiaTheme="minorEastAsia" w:cstheme="minorEastAsia"/>
          <w:sz w:val="24"/>
        </w:rPr>
        <w:tab/>
      </w:r>
      <w:bookmarkStart w:id="207" w:name="_Ref467306425"/>
      <w:bookmarkStart w:id="208" w:name="_Ref467307090"/>
      <w:bookmarkStart w:id="209" w:name="_Toc520356176"/>
      <w:r>
        <w:rPr>
          <w:rFonts w:hint="eastAsia" w:asciiTheme="minorEastAsia" w:hAnsiTheme="minorEastAsia" w:eastAsiaTheme="minorEastAsia" w:cstheme="minorEastAsia"/>
          <w:sz w:val="24"/>
        </w:rPr>
        <w:t>磋商文件、成交人的响应文件及其澄清文件等，均为签订合同的依据。</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30.4   当出现法规规定的</w:t>
      </w:r>
      <w:r>
        <w:rPr>
          <w:rFonts w:hint="eastAsia" w:asciiTheme="minorEastAsia" w:hAnsiTheme="minorEastAsia" w:eastAsiaTheme="minorEastAsia" w:cstheme="minorEastAsia"/>
          <w:b/>
          <w:sz w:val="24"/>
        </w:rPr>
        <w:t>成交无效或成交结果无效</w:t>
      </w:r>
      <w:r>
        <w:rPr>
          <w:rFonts w:hint="eastAsia" w:asciiTheme="minorEastAsia" w:hAnsiTheme="minorEastAsia" w:eastAsiaTheme="minorEastAsia" w:cstheme="minorEastAsia"/>
          <w:sz w:val="24"/>
        </w:rPr>
        <w:t>情形时，采购人可与排名下一位的成交候选人另行签订合同，或依法重新开展采购活动。</w:t>
      </w:r>
    </w:p>
    <w:p>
      <w:pPr>
        <w:pStyle w:val="5"/>
        <w:spacing w:before="0" w:after="0" w:line="300" w:lineRule="exact"/>
        <w:rPr>
          <w:rFonts w:hint="eastAsia" w:asciiTheme="minorEastAsia" w:hAnsiTheme="minorEastAsia" w:eastAsiaTheme="minorEastAsia" w:cstheme="minorEastAsia"/>
          <w:u w:val="none"/>
        </w:rPr>
      </w:pPr>
      <w:bookmarkStart w:id="210" w:name="_Toc518923097"/>
      <w:bookmarkStart w:id="211" w:name="_Toc4147_WPSOffice_Level2"/>
      <w:bookmarkStart w:id="212" w:name="_Toc10642_WPSOffice_Level2"/>
      <w:bookmarkStart w:id="213" w:name="_Toc4302"/>
      <w:r>
        <w:rPr>
          <w:rFonts w:hint="eastAsia" w:asciiTheme="minorEastAsia" w:hAnsiTheme="minorEastAsia" w:eastAsiaTheme="minorEastAsia" w:cs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成交人应按照</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规定向采购人缴纳履约保证金（如采用保函形式，格式见本章附件1）。</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hint="eastAsia" w:asciiTheme="minorEastAsia" w:hAnsiTheme="minorEastAsia" w:eastAsiaTheme="minorEastAsia" w:cstheme="minorEastAsia"/>
          <w:u w:val="none"/>
        </w:rPr>
      </w:pPr>
      <w:bookmarkStart w:id="214" w:name="_Toc518923098"/>
      <w:bookmarkStart w:id="215" w:name="_Toc12960_WPSOffice_Level2"/>
      <w:bookmarkStart w:id="216" w:name="_Toc8476"/>
      <w:bookmarkStart w:id="217" w:name="_Toc21635_WPSOffice_Level2"/>
      <w:r>
        <w:rPr>
          <w:rFonts w:hint="eastAsia" w:asciiTheme="minorEastAsia" w:hAnsiTheme="minorEastAsia" w:eastAsiaTheme="minorEastAsia" w:cstheme="minorEastAsia"/>
          <w:u w:val="none"/>
        </w:rPr>
        <w:t>32.成交服务费</w:t>
      </w:r>
      <w:bookmarkEnd w:id="214"/>
      <w:bookmarkEnd w:id="215"/>
      <w:bookmarkEnd w:id="216"/>
      <w:bookmarkEnd w:id="217"/>
    </w:p>
    <w:p>
      <w:pPr>
        <w:spacing w:line="300" w:lineRule="exact"/>
        <w:ind w:left="840" w:leftChars="200" w:hanging="420" w:hanging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成交人须按照</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规定，向采购代理机构支付成交服务费。</w:t>
      </w:r>
    </w:p>
    <w:p>
      <w:pPr>
        <w:pStyle w:val="5"/>
        <w:spacing w:before="0" w:after="0" w:line="300" w:lineRule="exact"/>
        <w:rPr>
          <w:rFonts w:hint="eastAsia" w:asciiTheme="minorEastAsia" w:hAnsiTheme="minorEastAsia" w:eastAsiaTheme="minorEastAsia" w:cstheme="minorEastAsia"/>
          <w:u w:val="none"/>
        </w:rPr>
      </w:pPr>
      <w:bookmarkStart w:id="218" w:name="_Toc30567_WPSOffice_Level2"/>
      <w:bookmarkStart w:id="219" w:name="_Toc518923099"/>
      <w:bookmarkStart w:id="220" w:name="_Toc9330_WPSOffice_Level2"/>
      <w:bookmarkStart w:id="221" w:name="_Toc31411"/>
      <w:r>
        <w:rPr>
          <w:rFonts w:hint="eastAsia" w:asciiTheme="minorEastAsia" w:hAnsiTheme="minorEastAsia" w:eastAsiaTheme="minorEastAsia" w:cstheme="minorEastAsia"/>
          <w:u w:val="none"/>
        </w:rPr>
        <w:t>33.政府采购信用担保</w:t>
      </w:r>
      <w:bookmarkEnd w:id="218"/>
      <w:bookmarkEnd w:id="219"/>
      <w:bookmarkEnd w:id="220"/>
      <w:bookmarkEnd w:id="221"/>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33.1   本项目是否属于信用担保试点范围见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3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   如属于政府采购信用担保试点范围内，中小型企业</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可以自由按照财政部门的规定，采用</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担保、履约担保和融资担保。</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33.2.1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递交的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担保函和履约担保函应符合本磋商文件的规定。</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33.2.2 成交人可以采取融资担保的形式为政府采购项目履约进行融资。</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33.2.3 合格的政府采购专业信用担保机构见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pStyle w:val="5"/>
        <w:spacing w:before="0" w:after="0" w:line="300" w:lineRule="exact"/>
        <w:rPr>
          <w:rFonts w:hint="eastAsia" w:asciiTheme="minorEastAsia" w:hAnsiTheme="minorEastAsia" w:eastAsiaTheme="minorEastAsia" w:cstheme="minorEastAsia"/>
          <w:u w:val="none"/>
        </w:rPr>
      </w:pPr>
      <w:bookmarkStart w:id="222" w:name="_Toc518923100"/>
      <w:bookmarkStart w:id="223" w:name="_Toc4701"/>
      <w:bookmarkStart w:id="224" w:name="_Toc5233_WPSOffice_Level2"/>
      <w:bookmarkStart w:id="225" w:name="_Toc9469_WPSOffice_Level2"/>
      <w:r>
        <w:rPr>
          <w:rFonts w:hint="eastAsia" w:asciiTheme="minorEastAsia" w:hAnsiTheme="minorEastAsia" w:eastAsiaTheme="minorEastAsia" w:cstheme="minorEastAsia"/>
          <w:u w:val="none"/>
        </w:rPr>
        <w:t>34.廉洁自律规定</w:t>
      </w:r>
      <w:bookmarkEnd w:id="222"/>
      <w:bookmarkEnd w:id="223"/>
      <w:bookmarkEnd w:id="224"/>
      <w:bookmarkEnd w:id="225"/>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34.1   采购代理机构工作人员不得以不正当手段获取政府采购代理业务，不得与采购人、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恶意串通操纵政府采购活动。</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34.2   采购代理机构工作人员不得接受采购人或者</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组织的宴请、旅游、娱乐，不得收受礼品、现金、有价证券等，不得向采购人或者</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报销应当由个人承担的费用。</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34.3   为强化采购代理机构内部监督机制，</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须知资料表中的</w:t>
      </w:r>
      <w:r>
        <w:rPr>
          <w:rFonts w:hint="eastAsia" w:asciiTheme="minorEastAsia" w:hAnsiTheme="minorEastAsia" w:eastAsiaTheme="minorEastAsia" w:cstheme="minorEastAsia"/>
          <w:sz w:val="24"/>
        </w:rPr>
        <w:t>监督电话和信箱，反映采购代理机构的廉洁自律等问题。</w:t>
      </w:r>
    </w:p>
    <w:p>
      <w:pPr>
        <w:pStyle w:val="5"/>
        <w:spacing w:before="0" w:after="0" w:line="300" w:lineRule="exact"/>
        <w:rPr>
          <w:rFonts w:hint="eastAsia" w:asciiTheme="minorEastAsia" w:hAnsiTheme="minorEastAsia" w:eastAsiaTheme="minorEastAsia" w:cstheme="minorEastAsia"/>
          <w:u w:val="none"/>
        </w:rPr>
      </w:pPr>
      <w:bookmarkStart w:id="226" w:name="_Toc27811_WPSOffice_Level2"/>
      <w:bookmarkStart w:id="227" w:name="_Toc21055"/>
      <w:bookmarkStart w:id="228" w:name="_Toc518923101"/>
      <w:bookmarkStart w:id="229" w:name="_Toc27272_WPSOffice_Level2"/>
      <w:r>
        <w:rPr>
          <w:rFonts w:hint="eastAsia" w:asciiTheme="minorEastAsia" w:hAnsiTheme="minorEastAsia" w:eastAsiaTheme="minorEastAsia" w:cstheme="minorEastAsia"/>
          <w:u w:val="none"/>
        </w:rPr>
        <w:t>35.人员回避</w:t>
      </w:r>
      <w:bookmarkEnd w:id="226"/>
      <w:bookmarkEnd w:id="227"/>
      <w:bookmarkEnd w:id="228"/>
      <w:bookmarkEnd w:id="229"/>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认为采购人员及其相关人员有法律法规所列与其他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有利害关系的，可以向采购人或采购代理机构书面提出回避申请，并说明理由。</w:t>
      </w:r>
    </w:p>
    <w:p>
      <w:pPr>
        <w:ind w:left="904" w:hanging="900" w:hangingChars="375"/>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36.质疑与接收</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36.1    </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认为磋商文件、</w:t>
      </w:r>
      <w:r>
        <w:rPr>
          <w:rFonts w:hint="eastAsia" w:asciiTheme="minorEastAsia" w:hAnsiTheme="minorEastAsia" w:eastAsiaTheme="minorEastAsia" w:cstheme="minorEastAsia"/>
          <w:color w:val="000000"/>
          <w:sz w:val="24"/>
          <w:lang w:eastAsia="zh-CN"/>
        </w:rPr>
        <w:t>磋商</w:t>
      </w:r>
      <w:r>
        <w:rPr>
          <w:rFonts w:hint="eastAsia" w:asciiTheme="minorEastAsia" w:hAnsiTheme="minorEastAsia" w:eastAsiaTheme="minorEastAsia" w:cstheme="minorEastAsia"/>
          <w:color w:val="000000"/>
          <w:sz w:val="24"/>
        </w:rPr>
        <w:t>过程和</w:t>
      </w:r>
      <w:r>
        <w:rPr>
          <w:rFonts w:hint="eastAsia" w:asciiTheme="minorEastAsia" w:hAnsiTheme="minorEastAsia" w:eastAsiaTheme="minorEastAsia" w:cstheme="minorEastAsia"/>
          <w:color w:val="000000"/>
          <w:sz w:val="24"/>
          <w:lang w:eastAsia="zh-CN"/>
        </w:rPr>
        <w:t>成交</w:t>
      </w:r>
      <w:r>
        <w:rPr>
          <w:rFonts w:hint="eastAsia" w:asciiTheme="minorEastAsia" w:hAnsiTheme="minorEastAsia" w:eastAsiaTheme="minorEastAsia" w:cstheme="minorEastAsia"/>
          <w:color w:val="000000"/>
          <w:sz w:val="24"/>
        </w:rPr>
        <w:t>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36.2    质疑</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超出法定质疑期的、重复提出的、分次提出的或内容、形式不符合《政府采购质疑和投诉办法》的，质疑</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将依法承担不利后果。</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36.3    采购代理机构质疑函接收部门、联系电话和通讯地址, 见</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须知资料表。</w:t>
      </w:r>
    </w:p>
    <w:p>
      <w:pPr>
        <w:ind w:left="900" w:hanging="900" w:hangingChars="375"/>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color w:val="000000"/>
          <w:sz w:val="24"/>
        </w:rPr>
        <w:t>36.4、</w:t>
      </w:r>
      <w:r>
        <w:rPr>
          <w:rFonts w:hint="eastAsia" w:asciiTheme="minorEastAsia" w:hAnsiTheme="minorEastAsia" w:eastAsiaTheme="minorEastAsia" w:cstheme="minorEastAsia"/>
          <w:b/>
          <w:bCs/>
          <w:color w:val="000000"/>
          <w:sz w:val="24"/>
        </w:rPr>
        <w:t>质疑的提出</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36.5   本采购文</w:t>
      </w:r>
      <w:r>
        <w:rPr>
          <w:rFonts w:hint="eastAsia" w:asciiTheme="minorEastAsia" w:hAnsiTheme="minorEastAsia" w:eastAsiaTheme="minorEastAsia" w:cstheme="minorEastAsia"/>
          <w:sz w:val="24"/>
        </w:rPr>
        <w:t>件中所称质疑及答复，是指参加本次采购活动的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对政府采购活动中的采购文件、采购过程和成交结果向采购方提出质疑，采购方答复质疑的行为。</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36.6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认为采购文件、采购过程和成交结果使自己的权益受到损害的，可以在知道或者应知其权益受到损害之日起7个工作日内，以书面形式向采购方提出质疑。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应知其权益受到损害之日，是指：</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（一）对可以质疑的采购文件提出质疑的，为收到采购文件之日或者采购文件公告期限届满之日；</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（二）对采购过程提出质疑的，为各采购程序环节结束之日；</w:t>
      </w:r>
    </w:p>
    <w:p>
      <w:pPr>
        <w:ind w:firstLine="720" w:firstLine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（三）对成交结果提出质疑的，为成交结果公告期限届满之日。</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36.9   提出质疑应当符合下列条件：</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（一）质疑主体应当符合有关规定；</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（二）在质疑法定期限内提出；</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（三）属于可以提出质疑的政府采购事项受理范围和本项目采购人的管辖权范围；</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（四）政府采购法律、法规、规章规定的其他条件。</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 xml:space="preserve">40.1  </w:t>
      </w:r>
      <w:r>
        <w:rPr>
          <w:rFonts w:hint="eastAsia" w:asciiTheme="minorEastAsia" w:hAnsiTheme="minorEastAsia" w:eastAsiaTheme="minorEastAsia" w:cstheme="minorEastAsia"/>
          <w:color w:val="000000"/>
          <w:sz w:val="24"/>
        </w:rPr>
        <w:t xml:space="preserve"> 质疑人所提供的证明材料应当具有真实性、合法性以及与质疑事项的关联性和证明力，否则不能作为认定该质疑事项成立的依据。</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40.2   质疑人提出质疑时应当提交质疑函。质疑函包括下列内容：</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（一）提出质疑的质疑人的名称、地址、邮编、联系人及联系电话等；</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（二）质疑项目的名称、编号；</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（四）事实依据和证明材料；</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（五）法律依据；</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（六）提出质疑的日期。</w:t>
      </w:r>
    </w:p>
    <w:p>
      <w:pPr>
        <w:ind w:left="957" w:leftChars="456" w:firstLine="60" w:firstLineChars="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40.4、  质疑的审查和受理</w:t>
      </w:r>
    </w:p>
    <w:p>
      <w:pPr>
        <w:ind w:left="957" w:leftChars="456" w:firstLine="60" w:firstLineChars="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采购方在收到质疑函后应当及时审查是否符合质疑受理条件，对符合质疑受理条件的，及时予以受理。</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40.5    对不符合质疑受理条件的，分别按照下列不同情形予以处理：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（二）质疑主体不符合有关规定的，告知质疑人不予受理；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（三）超过质疑法定期限提出质疑的，告知质疑人不予受理；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（四）对不属于可以提出质疑的政府采购事项提出质疑的，告知质疑人不予受理；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（五）质疑不属于本项目采购方管辖的，告知质疑人向有管辖权的采购人提出质疑；</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（六）质疑不符合其他条件的，告知质疑人不予受理。</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40.6、</w:t>
      </w:r>
      <w:r>
        <w:rPr>
          <w:rFonts w:hint="eastAsia" w:asciiTheme="minorEastAsia" w:hAnsiTheme="minorEastAsia" w:eastAsiaTheme="minorEastAsia" w:cstheme="minorEastAsia"/>
          <w:color w:val="000000"/>
          <w:sz w:val="24"/>
        </w:rPr>
        <w:t xml:space="preserve"> 质疑的处理和答复</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40.9    对评审过程、成交结果提出质疑的，采购方可以组织原评审委员会协助答复质疑。</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    质疑处理过程中，质疑人书面申请撤回质疑的，将终止质疑处理程序。</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41.1   质疑人拒绝配合采购方依法对质疑进</w:t>
      </w:r>
      <w:r>
        <w:rPr>
          <w:rFonts w:hint="eastAsia" w:asciiTheme="minorEastAsia" w:hAnsiTheme="minorEastAsia" w:eastAsiaTheme="minorEastAsia" w:cs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41.2   采购方将在正式受理质疑后7个工作日内作出答复。</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41.3   质疑答复应当包括下列内容：</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（一）质疑人的姓名或者名称；</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（二）收到质疑函的日期、质疑项目名称及编号；</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（三）质疑事项、质疑答复的具体内容、事实依据和法律依据；</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（四）告知质疑</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依法投诉的权利；</w:t>
      </w:r>
    </w:p>
    <w:p>
      <w:pPr>
        <w:pStyle w:val="47"/>
        <w:ind w:firstLine="96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（五）质疑答复人名称；</w:t>
      </w:r>
    </w:p>
    <w:p>
      <w:pPr>
        <w:ind w:left="718" w:leftChars="342" w:firstLine="240"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（六）答复质疑的日期。</w:t>
      </w:r>
    </w:p>
    <w:p>
      <w:pPr>
        <w:jc w:val="center"/>
        <w:outlineLvl w:val="1"/>
        <w:rPr>
          <w:rFonts w:hint="eastAsia" w:asciiTheme="minorEastAsia" w:hAnsiTheme="minorEastAsia" w:eastAsiaTheme="minorEastAsia" w:cstheme="minorEastAsia"/>
          <w:b/>
          <w:bCs/>
          <w:sz w:val="24"/>
        </w:rPr>
      </w:pPr>
    </w:p>
    <w:p>
      <w:pPr>
        <w:jc w:val="both"/>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质疑函范本</w:t>
      </w:r>
    </w:p>
    <w:p>
      <w:pPr>
        <w:adjustRightInd w:val="0"/>
        <w:snapToGrid w:val="0"/>
        <w:spacing w:before="312" w:beforeLines="100"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一、质疑</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基本信息</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二、质疑项目基本情况</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三、质疑事项具体内容</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四、与质疑事项相关的质疑请求</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adjustRightInd w:val="0"/>
        <w:snapToGrid w:val="0"/>
        <w:spacing w:line="360" w:lineRule="auto"/>
        <w:rPr>
          <w:rFonts w:hint="eastAsia" w:asciiTheme="minorEastAsia" w:hAnsiTheme="minorEastAsia" w:eastAsiaTheme="minorEastAsia" w:cstheme="minorEastAsia"/>
          <w:sz w:val="24"/>
        </w:rPr>
      </w:pPr>
    </w:p>
    <w:p>
      <w:pPr>
        <w:adjustRightInd w:val="0"/>
        <w:snapToGrid w:val="0"/>
        <w:spacing w:line="360" w:lineRule="auto"/>
        <w:rPr>
          <w:rFonts w:hint="eastAsia" w:asciiTheme="minorEastAsia" w:hAnsiTheme="minorEastAsia" w:eastAsiaTheme="minorEastAsia" w:cstheme="minorEastAsia"/>
          <w:sz w:val="24"/>
        </w:rPr>
      </w:pPr>
    </w:p>
    <w:p>
      <w:pPr>
        <w:pStyle w:val="9"/>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9"/>
        <w:rPr>
          <w:rFonts w:hint="eastAsia" w:asciiTheme="minorEastAsia" w:hAnsiTheme="minorEastAsia" w:eastAsiaTheme="minorEastAsia" w:cstheme="minorEastAsia"/>
          <w:sz w:val="24"/>
        </w:rPr>
      </w:pPr>
    </w:p>
    <w:p>
      <w:pPr>
        <w:rPr>
          <w:rFonts w:hint="eastAsia"/>
        </w:rPr>
      </w:pPr>
    </w:p>
    <w:p>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提出质疑时，应提交质疑函和必要的证明材料。</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若委托代理人进行质疑的，质疑函应按要求列明“授权代表”的有关内容，并在附件中提交由质疑</w:t>
      </w:r>
      <w:r>
        <w:rPr>
          <w:rFonts w:hint="eastAsia" w:asciiTheme="minorEastAsia" w:hAnsiTheme="minorEastAsia" w:eastAsiaTheme="minorEastAsia" w:cstheme="minorEastAsia"/>
          <w:kern w:val="0"/>
          <w:sz w:val="24"/>
          <w:lang w:eastAsia="zh-CN"/>
        </w:rPr>
        <w:t>供应商</w:t>
      </w:r>
      <w:r>
        <w:rPr>
          <w:rFonts w:hint="eastAsia" w:asciiTheme="minorEastAsia" w:hAnsiTheme="minorEastAsia" w:eastAsiaTheme="minorEastAsia" w:cstheme="minorEastAsia"/>
          <w:kern w:val="0"/>
          <w:sz w:val="24"/>
        </w:rPr>
        <w:t>签署的授权委托书。授权委托书应载明代理人的姓名或者名称、代理事项、具体权限、期限和相关事项。</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若对项目的某一分包进行质疑，质疑函中应列明具体分包号。</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为自然人的，质疑函应由本人签字；质疑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为法人或者其他组织的，质疑函应由法定代表人、主要负责人，或者其授权代表签字或者盖章，并加盖公章。</w:t>
      </w:r>
    </w:p>
    <w:p>
      <w:pPr>
        <w:pStyle w:val="4"/>
        <w:spacing w:before="0" w:line="240" w:lineRule="atLeas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rPr>
        <w:br w:type="page"/>
      </w:r>
      <w:bookmarkStart w:id="230" w:name="_Toc18483"/>
      <w:bookmarkStart w:id="231" w:name="_Toc518923103"/>
      <w:bookmarkStart w:id="232" w:name="_Toc23883"/>
      <w:bookmarkStart w:id="233" w:name="_Toc3584_WPSOffice_Level1"/>
      <w:bookmarkStart w:id="234" w:name="_Toc21504_WPSOffice_Level1"/>
      <w:bookmarkStart w:id="235" w:name="_Toc22084_WPSOffice_Level1"/>
      <w:r>
        <w:rPr>
          <w:rFonts w:hint="eastAsia" w:asciiTheme="minorEastAsia" w:hAnsiTheme="minorEastAsia" w:eastAsiaTheme="minorEastAsia" w:cstheme="minorEastAsia"/>
          <w:szCs w:val="24"/>
        </w:rPr>
        <w:t>附件1：履约保证金保函（格式）</w:t>
      </w:r>
      <w:bookmarkEnd w:id="230"/>
      <w:bookmarkEnd w:id="231"/>
      <w:bookmarkEnd w:id="232"/>
      <w:bookmarkEnd w:id="233"/>
      <w:bookmarkEnd w:id="234"/>
      <w:bookmarkEnd w:id="235"/>
    </w:p>
    <w:p>
      <w:pPr>
        <w:pStyle w:val="14"/>
        <w:spacing w:line="240" w:lineRule="atLeast"/>
        <w:ind w:left="1079" w:leftChars="257" w:hanging="54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（成交后开具）</w:t>
      </w:r>
    </w:p>
    <w:p>
      <w:pPr>
        <w:pStyle w:val="14"/>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 (</w:t>
      </w:r>
      <w:r>
        <w:rPr>
          <w:rFonts w:hint="eastAsia" w:asciiTheme="minorEastAsia" w:hAnsiTheme="minorEastAsia" w:eastAsiaTheme="minorEastAsia" w:cstheme="minorEastAsia"/>
          <w:sz w:val="24"/>
          <w:u w:val="single"/>
        </w:rPr>
        <w:t>买方名称</w:t>
      </w:r>
      <w:r>
        <w:rPr>
          <w:rFonts w:hint="eastAsia" w:asciiTheme="minorEastAsia" w:hAnsiTheme="minorEastAsia" w:eastAsiaTheme="minorEastAsia" w:cstheme="minorEastAsia"/>
          <w:sz w:val="24"/>
        </w:rPr>
        <w:t>)</w:t>
      </w:r>
    </w:p>
    <w:p>
      <w:pPr>
        <w:pStyle w:val="14"/>
        <w:spacing w:line="240" w:lineRule="atLeast"/>
        <w:ind w:left="1079" w:leftChars="257" w:hanging="54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号合同履约保函</w:t>
      </w:r>
    </w:p>
    <w:p>
      <w:pPr>
        <w:pStyle w:val="14"/>
        <w:spacing w:line="240" w:lineRule="atLeas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本保函作为贵方与(</w:t>
      </w:r>
      <w:r>
        <w:rPr>
          <w:rFonts w:hint="eastAsia" w:asciiTheme="minorEastAsia" w:hAnsiTheme="minorEastAsia" w:eastAsiaTheme="minorEastAsia" w:cstheme="minorEastAsia"/>
          <w:sz w:val="24"/>
          <w:u w:val="single"/>
        </w:rPr>
        <w:t>卖方名称</w:t>
      </w:r>
      <w:r>
        <w:rPr>
          <w:rFonts w:hint="eastAsia" w:asciiTheme="minorEastAsia" w:hAnsiTheme="minorEastAsia" w:eastAsiaTheme="minorEastAsia" w:cstheme="minorEastAsia"/>
          <w:sz w:val="24"/>
        </w:rPr>
        <w:t>)(以下简称卖方)于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项目(以下简称项目)项下提供(</w:t>
      </w:r>
      <w:r>
        <w:rPr>
          <w:rFonts w:hint="eastAsia" w:asciiTheme="minorEastAsia" w:hAnsiTheme="minorEastAsia" w:eastAsiaTheme="minorEastAsia" w:cstheme="minorEastAsia"/>
          <w:sz w:val="24"/>
          <w:u w:val="single"/>
        </w:rPr>
        <w:t>服务名称</w:t>
      </w:r>
      <w:r>
        <w:rPr>
          <w:rFonts w:hint="eastAsia" w:asciiTheme="minorEastAsia" w:hAnsiTheme="minorEastAsia" w:eastAsiaTheme="minorEastAsia" w:cstheme="minorEastAsia"/>
          <w:sz w:val="24"/>
        </w:rPr>
        <w:t>)(以下简称服务)签订的(</w:t>
      </w:r>
      <w:r>
        <w:rPr>
          <w:rFonts w:hint="eastAsia" w:asciiTheme="minorEastAsia" w:hAnsiTheme="minorEastAsia" w:eastAsiaTheme="minorEastAsia" w:cstheme="minorEastAsia"/>
          <w:sz w:val="24"/>
          <w:u w:val="single"/>
        </w:rPr>
        <w:t>合同号</w:t>
      </w:r>
      <w:r>
        <w:rPr>
          <w:rFonts w:hint="eastAsia" w:asciiTheme="minorEastAsia" w:hAnsiTheme="minorEastAsia" w:eastAsiaTheme="minorEastAsia" w:cstheme="minorEastAsia"/>
          <w:sz w:val="24"/>
        </w:rPr>
        <w:t>)号合同的履约保函。</w:t>
      </w:r>
    </w:p>
    <w:p>
      <w:pPr>
        <w:pStyle w:val="14"/>
        <w:spacing w:line="240" w:lineRule="atLeast"/>
        <w:ind w:firstLine="540" w:firstLineChars="2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出具保函的银行名称</w:t>
      </w:r>
      <w:r>
        <w:rPr>
          <w:rFonts w:hint="eastAsia" w:asciiTheme="minorEastAsia" w:hAnsiTheme="minorEastAsia" w:eastAsiaTheme="minorEastAsia" w:cstheme="minorEastAsia"/>
          <w:sz w:val="24"/>
        </w:rPr>
        <w:t>)(以下简称银行)无条件地、不可撤销地具结保证本行、其继承人和受让人无追索地向贵方以(</w:t>
      </w:r>
      <w:r>
        <w:rPr>
          <w:rFonts w:hint="eastAsia" w:asciiTheme="minorEastAsia" w:hAnsiTheme="minorEastAsia" w:eastAsiaTheme="minorEastAsia" w:cstheme="minorEastAsia"/>
          <w:sz w:val="24"/>
          <w:u w:val="single"/>
        </w:rPr>
        <w:t>货币名称</w:t>
      </w:r>
      <w:r>
        <w:rPr>
          <w:rFonts w:hint="eastAsia" w:asciiTheme="minorEastAsia" w:hAnsiTheme="minorEastAsia" w:eastAsiaTheme="minorEastAsia" w:cstheme="minorEastAsia"/>
          <w:sz w:val="24"/>
        </w:rPr>
        <w:t>)支付总额不超过(</w:t>
      </w:r>
      <w:r>
        <w:rPr>
          <w:rFonts w:hint="eastAsia" w:asciiTheme="minorEastAsia" w:hAnsiTheme="minorEastAsia" w:eastAsiaTheme="minorEastAsia" w:cstheme="minorEastAsia"/>
          <w:sz w:val="24"/>
          <w:u w:val="single"/>
        </w:rPr>
        <w:t>货币数量</w:t>
      </w:r>
      <w:r>
        <w:rPr>
          <w:rFonts w:hint="eastAsia" w:asciiTheme="minorEastAsia" w:hAnsiTheme="minorEastAsia" w:eastAsiaTheme="minorEastAsia" w:cstheme="minorEastAsia"/>
          <w:sz w:val="24"/>
        </w:rPr>
        <w:t>),即相当于合同价格的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%,并以此约定如下:</w:t>
      </w:r>
    </w:p>
    <w:p>
      <w:pPr>
        <w:pStyle w:val="14"/>
        <w:ind w:left="539" w:leftChars="25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4.本保函在本合同规定的保证期期满前完全有效。</w:t>
      </w:r>
    </w:p>
    <w:p>
      <w:pPr>
        <w:pStyle w:val="14"/>
        <w:spacing w:line="240" w:lineRule="atLeast"/>
        <w:ind w:left="1079" w:leftChars="257" w:hanging="540"/>
        <w:rPr>
          <w:rFonts w:hint="eastAsia" w:asciiTheme="minorEastAsia" w:hAnsiTheme="minorEastAsia" w:eastAsiaTheme="minorEastAsia" w:cstheme="minorEastAsia"/>
          <w:sz w:val="24"/>
        </w:rPr>
      </w:pPr>
    </w:p>
    <w:p>
      <w:pPr>
        <w:pStyle w:val="14"/>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谨启</w:t>
      </w:r>
    </w:p>
    <w:p>
      <w:pPr>
        <w:pStyle w:val="14"/>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出具保函银行名称：</w:t>
      </w:r>
      <w:r>
        <w:rPr>
          <w:rFonts w:hint="eastAsia" w:asciiTheme="minorEastAsia" w:hAnsiTheme="minorEastAsia" w:eastAsiaTheme="minorEastAsia" w:cstheme="minorEastAsia"/>
          <w:sz w:val="24"/>
          <w:u w:val="single"/>
        </w:rPr>
        <w:t xml:space="preserve">                             </w:t>
      </w:r>
    </w:p>
    <w:p>
      <w:pPr>
        <w:pStyle w:val="14"/>
        <w:spacing w:line="240" w:lineRule="atLeast"/>
        <w:ind w:left="1079" w:leftChars="257" w:hanging="54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签字人姓名和职务：</w:t>
      </w:r>
      <w:r>
        <w:rPr>
          <w:rFonts w:hint="eastAsia" w:asciiTheme="minorEastAsia" w:hAnsiTheme="minorEastAsia" w:eastAsiaTheme="minorEastAsia" w:cstheme="minorEastAsia"/>
          <w:sz w:val="24"/>
          <w:u w:val="single"/>
        </w:rPr>
        <w:t xml:space="preserve">                             </w:t>
      </w:r>
    </w:p>
    <w:p>
      <w:pPr>
        <w:pStyle w:val="14"/>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签字人签名：</w:t>
      </w:r>
      <w:r>
        <w:rPr>
          <w:rFonts w:hint="eastAsia" w:asciiTheme="minorEastAsia" w:hAnsiTheme="minorEastAsia" w:eastAsiaTheme="minorEastAsia" w:cstheme="minorEastAsia"/>
          <w:sz w:val="24"/>
          <w:u w:val="single"/>
        </w:rPr>
        <w:t xml:space="preserve">                                   </w:t>
      </w:r>
    </w:p>
    <w:p>
      <w:pPr>
        <w:pStyle w:val="14"/>
        <w:spacing w:line="240" w:lineRule="atLeast"/>
        <w:ind w:left="1079" w:leftChars="257" w:hanging="54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pPr>
        <w:pStyle w:val="4"/>
        <w:spacing w:before="0" w:line="240" w:lineRule="atLeast"/>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rPr>
        <w:br w:type="page"/>
      </w:r>
      <w:bookmarkStart w:id="236" w:name="_Toc518923104"/>
      <w:bookmarkStart w:id="237" w:name="_Toc9904"/>
      <w:bookmarkStart w:id="238" w:name="_Toc25500_WPSOffice_Level1"/>
      <w:bookmarkStart w:id="239" w:name="_Toc10323_WPSOffice_Level1"/>
      <w:bookmarkStart w:id="240" w:name="_Toc27788"/>
      <w:bookmarkStart w:id="241" w:name="_Toc391_WPSOffice_Level1"/>
      <w:r>
        <w:rPr>
          <w:rFonts w:hint="eastAsia" w:asciiTheme="minorEastAsia" w:hAnsiTheme="minorEastAsia" w:eastAsiaTheme="minorEastAsia" w:cs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hint="eastAsia" w:asciiTheme="minorEastAsia" w:hAnsiTheme="minorEastAsia" w:eastAsiaTheme="minorEastAsia" w:cstheme="minorEastAsia"/>
          <w:b w:val="0"/>
        </w:rPr>
      </w:pPr>
      <w:bookmarkStart w:id="242" w:name="_Toc515904842"/>
      <w:bookmarkStart w:id="243" w:name="_Toc13630"/>
      <w:bookmarkStart w:id="244" w:name="_Toc30995"/>
      <w:bookmarkStart w:id="245" w:name="_Toc27405_WPSOffice_Level1"/>
      <w:bookmarkStart w:id="246" w:name="_Toc11516_WPSOffice_Level1"/>
      <w:bookmarkStart w:id="247" w:name="_Toc518923105"/>
      <w:bookmarkStart w:id="248" w:name="_Toc20933_WPSOffice_Level1"/>
      <w:r>
        <w:rPr>
          <w:rFonts w:hint="eastAsia" w:asciiTheme="minorEastAsia" w:hAnsiTheme="minorEastAsia" w:eastAsiaTheme="minorEastAsia" w:cs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政府采购履约担保函（项目用）</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编号：</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鉴于你方与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日签定编号为   的《</w:t>
      </w:r>
      <w:r>
        <w:rPr>
          <w:rFonts w:hint="eastAsia" w:asciiTheme="minorEastAsia" w:hAnsiTheme="minorEastAsia" w:eastAsiaTheme="minorEastAsia" w:cstheme="minorEastAsia"/>
          <w:sz w:val="24"/>
          <w:u w:val="single"/>
        </w:rPr>
        <w:t>政府采购合同</w:t>
      </w:r>
      <w:r>
        <w:rPr>
          <w:rFonts w:hint="eastAsia" w:asciiTheme="minorEastAsia" w:hAnsiTheme="minorEastAsia" w:eastAsiaTheme="minorEastAsia" w:cstheme="minorEastAsia"/>
          <w:sz w:val="24"/>
        </w:rPr>
        <w:t>》（以下简称主合同），且依据该合同的约定，</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日前向你方交纳履约保证金，且可以履约担保函的形式交纳履约保证金。应</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的申请，我方以保证的方式向你方提供如下履约保证金担保：</w:t>
      </w:r>
    </w:p>
    <w:p>
      <w:pPr>
        <w:spacing w:line="360" w:lineRule="auto"/>
        <w:ind w:firstLine="480" w:firstLineChars="200"/>
        <w:outlineLvl w:val="1"/>
        <w:rPr>
          <w:rFonts w:hint="eastAsia" w:asciiTheme="minorEastAsia" w:hAnsiTheme="minorEastAsia" w:eastAsiaTheme="minorEastAsia" w:cstheme="minorEastAsia"/>
          <w:sz w:val="24"/>
        </w:rPr>
      </w:pPr>
      <w:bookmarkStart w:id="249" w:name="_Toc10654_WPSOffice_Level1"/>
      <w:bookmarkStart w:id="250" w:name="_Toc11823_WPSOffice_Level1"/>
      <w:r>
        <w:rPr>
          <w:rFonts w:hint="eastAsia" w:asciiTheme="minorEastAsia" w:hAnsiTheme="minorEastAsia" w:eastAsiaTheme="minorEastAsia" w:cstheme="minorEastAsia"/>
          <w:sz w:val="24"/>
        </w:rPr>
        <w:t>一、保证责任的情形及保证金额</w:t>
      </w:r>
      <w:bookmarkEnd w:id="249"/>
      <w:bookmarkEnd w:id="250"/>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出现下列情形之一时，我方承担保证责任：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1．将成交项目转让给他人，或者在响应文件中未说明，且未经采购招标机构人同意，将成交项目分包给他人的；</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2．主合同约定的应当缴纳履约保证金的情形: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（1）未按主合同约定的质量、数量和期限供应货物/提供服务/完成工程的；</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（二）我方的保证范围是主合同约定的合同价款总额的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%数额为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），币种为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。（即主合同履约保证金金额）</w:t>
      </w:r>
    </w:p>
    <w:p>
      <w:pPr>
        <w:ind w:firstLine="480" w:firstLineChars="200"/>
        <w:outlineLvl w:val="1"/>
        <w:rPr>
          <w:rFonts w:hint="eastAsia" w:asciiTheme="minorEastAsia" w:hAnsiTheme="minorEastAsia" w:eastAsiaTheme="minorEastAsia" w:cstheme="minorEastAsia"/>
          <w:sz w:val="24"/>
        </w:rPr>
      </w:pPr>
      <w:bookmarkStart w:id="251" w:name="_Toc7886_WPSOffice_Level1"/>
      <w:bookmarkStart w:id="252" w:name="_Toc3896_WPSOffice_Level1"/>
      <w:r>
        <w:rPr>
          <w:rFonts w:hint="eastAsia" w:asciiTheme="minorEastAsia" w:hAnsiTheme="minorEastAsia" w:eastAsiaTheme="minorEastAsia" w:cstheme="minorEastAsia"/>
          <w:sz w:val="24"/>
        </w:rPr>
        <w:t>二、保证的方式及保证期间</w:t>
      </w:r>
      <w:bookmarkEnd w:id="251"/>
      <w:bookmarkEnd w:id="252"/>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我方保证的方式为：连带责任保证。</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我方保证的期间为：自本合同生效之日起至</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按照主合同约定的供货/完工期限届满后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日内。</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未按主合同约定向贵方供应货物/提供服务/完成工程的，由我方在保证金额内向你方支付上述款项。</w:t>
      </w:r>
    </w:p>
    <w:p>
      <w:pPr>
        <w:ind w:firstLine="480" w:firstLineChars="200"/>
        <w:outlineLvl w:val="1"/>
        <w:rPr>
          <w:rFonts w:hint="eastAsia" w:asciiTheme="minorEastAsia" w:hAnsiTheme="minorEastAsia" w:eastAsiaTheme="minorEastAsia" w:cstheme="minorEastAsia"/>
          <w:sz w:val="24"/>
        </w:rPr>
      </w:pPr>
      <w:bookmarkStart w:id="253" w:name="_Toc6638_WPSOffice_Level1"/>
      <w:bookmarkStart w:id="254" w:name="_Toc13180_WPSOffice_Level1"/>
      <w:r>
        <w:rPr>
          <w:rFonts w:hint="eastAsia" w:asciiTheme="minorEastAsia" w:hAnsiTheme="minorEastAsia" w:eastAsiaTheme="minorEastAsia" w:cstheme="minorEastAsia"/>
          <w:sz w:val="24"/>
        </w:rPr>
        <w:t>三、承担保证责任的程序</w:t>
      </w:r>
      <w:bookmarkEnd w:id="253"/>
      <w:bookmarkEnd w:id="254"/>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1．你方要求我方承担保证责任的，应在本保函保证期间内向我方发出书面索赔通知。索赔通知应写明要求索赔的金额，支付款项应到达的帐号。并附有证明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违约事实的证明材料。</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如果你方与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因货物质量问题产生争议，你方还需同时提供</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部门出具的质量检测报告，或经诉讼（仲裁）程序裁决后的裁决书、调解书，本保证人即按照检测结果或裁决书、调解书决定是否承担保证责任。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我方收到你方的书面索赔通知及相应证明材料，在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工作日内进行核定后按照本保函的承诺承担保证责任。</w:t>
      </w:r>
    </w:p>
    <w:p>
      <w:pPr>
        <w:ind w:firstLine="480" w:firstLineChars="200"/>
        <w:outlineLvl w:val="1"/>
        <w:rPr>
          <w:rFonts w:hint="eastAsia" w:asciiTheme="minorEastAsia" w:hAnsiTheme="minorEastAsia" w:eastAsiaTheme="minorEastAsia" w:cstheme="minorEastAsia"/>
          <w:sz w:val="24"/>
        </w:rPr>
      </w:pPr>
      <w:bookmarkStart w:id="255" w:name="_Toc14402_WPSOffice_Level1"/>
      <w:bookmarkStart w:id="256" w:name="_Toc32368_WPSOffice_Level1"/>
      <w:r>
        <w:rPr>
          <w:rFonts w:hint="eastAsia" w:asciiTheme="minorEastAsia" w:hAnsiTheme="minorEastAsia" w:eastAsiaTheme="minorEastAsia" w:cstheme="minorEastAsia"/>
          <w:sz w:val="24"/>
        </w:rPr>
        <w:t>四、保证责任的终止</w:t>
      </w:r>
      <w:bookmarkEnd w:id="255"/>
      <w:bookmarkEnd w:id="256"/>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2．我方按照本保函向你方履行了保证责任后，自我方向你方支付款项（支付款项从我方账户划出）之日起，保证责任即终止。</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3．按照法律法规的规定或出现应终止我方保证责任的其它情形的，我方在本保函项下的保证责任亦终止。</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4．你方与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修改主合同，加重我方保证责任的，我方对加重部分不承担保证责任，但该等修改事先经我方书面同意的除外；你方与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修改主合同履行期限，我方保证期间仍依修改前的履行期限计算，但该等修改事先经我方书面同意的除外。</w:t>
      </w:r>
    </w:p>
    <w:p>
      <w:pPr>
        <w:ind w:firstLine="480" w:firstLineChars="200"/>
        <w:outlineLvl w:val="1"/>
        <w:rPr>
          <w:rFonts w:hint="eastAsia" w:asciiTheme="minorEastAsia" w:hAnsiTheme="minorEastAsia" w:eastAsiaTheme="minorEastAsia" w:cstheme="minorEastAsia"/>
          <w:sz w:val="24"/>
        </w:rPr>
      </w:pPr>
      <w:bookmarkStart w:id="257" w:name="_Toc23917_WPSOffice_Level1"/>
      <w:bookmarkStart w:id="258" w:name="_Toc15921_WPSOffice_Level1"/>
      <w:r>
        <w:rPr>
          <w:rFonts w:hint="eastAsia" w:asciiTheme="minorEastAsia" w:hAnsiTheme="minorEastAsia" w:eastAsiaTheme="minorEastAsia" w:cstheme="minorEastAsia"/>
          <w:sz w:val="24"/>
        </w:rPr>
        <w:t>五、免责条款</w:t>
      </w:r>
      <w:bookmarkEnd w:id="257"/>
      <w:bookmarkEnd w:id="258"/>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1．因你方违反主合同约定致使</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不能履行义务的，我方不承担保证责任。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2．依照法律法规的规定或你方与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的另行约定，全部或者部分免除</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应缴纳的保证金义务的，我方亦免除相应的保证责任。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3．因不可抗力造成</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不能履行供货义务的，我方不承担保证责任。</w:t>
      </w:r>
    </w:p>
    <w:p>
      <w:pPr>
        <w:ind w:firstLine="480" w:firstLineChars="200"/>
        <w:outlineLvl w:val="1"/>
        <w:rPr>
          <w:rFonts w:hint="eastAsia" w:asciiTheme="minorEastAsia" w:hAnsiTheme="minorEastAsia" w:eastAsiaTheme="minorEastAsia" w:cstheme="minorEastAsia"/>
          <w:sz w:val="24"/>
        </w:rPr>
      </w:pPr>
      <w:bookmarkStart w:id="259" w:name="_Toc6543_WPSOffice_Level1"/>
      <w:bookmarkStart w:id="260" w:name="_Toc2970_WPSOffice_Level1"/>
      <w:r>
        <w:rPr>
          <w:rFonts w:hint="eastAsia" w:asciiTheme="minorEastAsia" w:hAnsiTheme="minorEastAsia" w:eastAsiaTheme="minorEastAsia" w:cstheme="minorEastAsia"/>
          <w:sz w:val="24"/>
        </w:rPr>
        <w:t>六、争议的解决</w:t>
      </w:r>
      <w:bookmarkEnd w:id="259"/>
      <w:bookmarkEnd w:id="260"/>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因本保函发生的纠纷，由你我双方协商解决，协商不成的，通过诉讼程序解决，诉讼管辖地法院为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法院。</w:t>
      </w:r>
    </w:p>
    <w:p>
      <w:pPr>
        <w:ind w:firstLine="480" w:firstLineChars="200"/>
        <w:outlineLvl w:val="1"/>
        <w:rPr>
          <w:rFonts w:hint="eastAsia" w:asciiTheme="minorEastAsia" w:hAnsiTheme="minorEastAsia" w:eastAsiaTheme="minorEastAsia" w:cstheme="minorEastAsia"/>
          <w:sz w:val="24"/>
        </w:rPr>
      </w:pPr>
      <w:bookmarkStart w:id="261" w:name="_Toc548_WPSOffice_Level1"/>
      <w:bookmarkStart w:id="262" w:name="_Toc3482_WPSOffice_Level1"/>
      <w:r>
        <w:rPr>
          <w:rFonts w:hint="eastAsia" w:asciiTheme="minorEastAsia" w:hAnsiTheme="minorEastAsia" w:eastAsiaTheme="minorEastAsia" w:cstheme="minorEastAsia"/>
          <w:sz w:val="24"/>
        </w:rPr>
        <w:t>七、保函的生效</w:t>
      </w:r>
      <w:bookmarkEnd w:id="261"/>
      <w:bookmarkEnd w:id="262"/>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本保函自我方加盖公章之日起生效。    </w:t>
      </w:r>
    </w:p>
    <w:p>
      <w:pPr>
        <w:ind w:firstLine="5400" w:firstLineChars="2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保证人：（公章）</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pPr>
        <w:pStyle w:val="9"/>
        <w:spacing w:line="240" w:lineRule="atLeast"/>
        <w:ind w:firstLine="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b/>
        </w:rPr>
        <w:br w:type="page"/>
      </w:r>
    </w:p>
    <w:p>
      <w:pPr>
        <w:pStyle w:val="3"/>
        <w:spacing w:before="0" w:after="0" w:line="240" w:lineRule="atLeast"/>
        <w:rPr>
          <w:rFonts w:hint="eastAsia" w:asciiTheme="minorEastAsia" w:hAnsiTheme="minorEastAsia" w:eastAsiaTheme="minorEastAsia" w:cstheme="minorEastAsia"/>
        </w:rPr>
      </w:pPr>
      <w:bookmarkStart w:id="263" w:name="_Toc22577_WPSOffice_Level1"/>
      <w:bookmarkStart w:id="264" w:name="_Toc216582812"/>
      <w:bookmarkStart w:id="265" w:name="_Toc518923106"/>
      <w:bookmarkStart w:id="266" w:name="_Toc6923"/>
      <w:bookmarkStart w:id="267" w:name="_Toc21808"/>
      <w:r>
        <w:rPr>
          <w:rFonts w:hint="eastAsia" w:asciiTheme="minorEastAsia" w:hAnsiTheme="minorEastAsia" w:eastAsiaTheme="minorEastAsia" w:cstheme="minorEastAsia"/>
        </w:rPr>
        <w:t>第二章 响应文件格式</w:t>
      </w:r>
      <w:bookmarkEnd w:id="263"/>
      <w:bookmarkEnd w:id="264"/>
      <w:bookmarkEnd w:id="265"/>
      <w:bookmarkEnd w:id="266"/>
      <w:bookmarkEnd w:id="267"/>
    </w:p>
    <w:p>
      <w:pPr>
        <w:spacing w:line="240" w:lineRule="atLeast"/>
        <w:ind w:left="735" w:leftChars="350" w:firstLine="120" w:firstLineChars="50"/>
        <w:rPr>
          <w:rFonts w:hint="eastAsia" w:asciiTheme="minorEastAsia" w:hAnsiTheme="minorEastAsia" w:eastAsiaTheme="minorEastAsia" w:cstheme="minorEastAsia"/>
          <w:sz w:val="24"/>
        </w:rPr>
      </w:pPr>
    </w:p>
    <w:p>
      <w:pPr>
        <w:pStyle w:val="4"/>
        <w:spacing w:before="0" w:line="360" w:lineRule="exact"/>
        <w:ind w:left="1079" w:leftChars="257" w:hanging="540"/>
        <w:rPr>
          <w:rFonts w:hint="eastAsia" w:asciiTheme="minorEastAsia" w:hAnsiTheme="minorEastAsia" w:eastAsiaTheme="minorEastAsia" w:cstheme="minorEastAsia"/>
          <w:sz w:val="24"/>
        </w:rPr>
      </w:pPr>
      <w:bookmarkStart w:id="268" w:name="_Toc18694"/>
      <w:bookmarkStart w:id="269" w:name="_Toc515647803"/>
      <w:bookmarkStart w:id="270" w:name="_Toc25620_WPSOffice_Level2"/>
      <w:bookmarkStart w:id="271" w:name="_Toc18974"/>
      <w:bookmarkStart w:id="272" w:name="_Toc30069"/>
      <w:bookmarkStart w:id="273" w:name="_Toc975"/>
      <w:bookmarkStart w:id="274" w:name="_Toc6762_WPSOffice_Level2"/>
      <w:bookmarkStart w:id="275" w:name="_Toc27612"/>
      <w:r>
        <w:rPr>
          <w:rFonts w:hint="eastAsia" w:asciiTheme="minorEastAsia" w:hAnsiTheme="minorEastAsia" w:eastAsiaTheme="minorEastAsia" w:cstheme="minorEastAsia"/>
          <w:sz w:val="24"/>
        </w:rPr>
        <w:t xml:space="preserve">第一部分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hint="eastAsia" w:asciiTheme="minorEastAsia" w:hAnsiTheme="minorEastAsia" w:eastAsiaTheme="minorEastAsia" w:cstheme="minorEastAsia"/>
          <w:sz w:val="24"/>
        </w:rPr>
      </w:pPr>
    </w:p>
    <w:p>
      <w:pPr>
        <w:tabs>
          <w:tab w:val="left" w:pos="5580"/>
        </w:tabs>
        <w:spacing w:line="360" w:lineRule="exact"/>
        <w:ind w:firstLine="424" w:firstLineChars="177"/>
        <w:rPr>
          <w:rFonts w:hint="eastAsia" w:asciiTheme="minorEastAsia" w:hAnsiTheme="minorEastAsia" w:eastAsiaTheme="minorEastAsia" w:cstheme="minorEastAsia"/>
          <w:sz w:val="24"/>
          <w:lang w:eastAsia="zh-CN"/>
        </w:rPr>
      </w:pPr>
      <w:bookmarkStart w:id="276" w:name="_Toc11180"/>
      <w:bookmarkStart w:id="277" w:name="_Toc515647816"/>
      <w:bookmarkStart w:id="278" w:name="_Toc520356217"/>
      <w:bookmarkStart w:id="279" w:name="_Toc216582813"/>
      <w:bookmarkStart w:id="280" w:name="_Toc480942349"/>
      <w:bookmarkStart w:id="281" w:name="_Ref467988698"/>
      <w:r>
        <w:rPr>
          <w:rFonts w:hint="eastAsia" w:asciiTheme="minorEastAsia" w:hAnsiTheme="minorEastAsia" w:eastAsiaTheme="minorEastAsia" w:cstheme="minorEastAsia"/>
          <w:sz w:val="24"/>
        </w:rPr>
        <w:t xml:space="preserve"> 1</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一览表（见</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格式一）</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2、法人或者非法人组织的营业执照等证明文件复印件（须加盖本单位章）或自然人的身份证明复印件</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3、法定代表人授权书（见</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格式二，自然人</w:t>
      </w:r>
      <w:r>
        <w:rPr>
          <w:rFonts w:hint="eastAsia" w:asciiTheme="minorEastAsia" w:hAnsiTheme="minorEastAsia" w:eastAsiaTheme="minorEastAsia" w:cstheme="minorEastAsia"/>
          <w:sz w:val="24"/>
          <w:lang w:eastAsia="zh-CN"/>
        </w:rPr>
        <w:t>磋商响应</w:t>
      </w:r>
      <w:r>
        <w:rPr>
          <w:rFonts w:hint="eastAsia" w:asciiTheme="minorEastAsia" w:hAnsiTheme="minorEastAsia" w:eastAsiaTheme="minorEastAsia" w:cstheme="minorEastAsia"/>
          <w:sz w:val="24"/>
        </w:rPr>
        <w:t>的无需提供）;</w:t>
      </w:r>
    </w:p>
    <w:p>
      <w:pPr>
        <w:tabs>
          <w:tab w:val="left" w:pos="5580"/>
        </w:tabs>
        <w:spacing w:line="360" w:lineRule="exact"/>
        <w:ind w:left="1" w:firstLine="564" w:firstLineChars="2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保证金收据；</w:t>
      </w:r>
    </w:p>
    <w:p>
      <w:pPr>
        <w:tabs>
          <w:tab w:val="left" w:pos="5580"/>
        </w:tabs>
        <w:spacing w:line="360" w:lineRule="exact"/>
        <w:ind w:left="1" w:firstLine="564" w:firstLineChars="2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5、参加政府采购活动前3年内在经营活动中没有重大违法记录的书面声明;</w:t>
      </w:r>
    </w:p>
    <w:p>
      <w:pPr>
        <w:tabs>
          <w:tab w:val="left" w:pos="5580"/>
        </w:tabs>
        <w:spacing w:line="360" w:lineRule="exact"/>
        <w:ind w:left="1" w:firstLine="564" w:firstLineChars="23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须知资料表要求的其他资格证明文件</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所投产品为进口产品按照</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须知资料表中规定提供制造厂家的授权书见</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格式四</w:t>
      </w:r>
      <w:r>
        <w:rPr>
          <w:rFonts w:hint="eastAsia" w:asciiTheme="minorEastAsia" w:hAnsiTheme="minorEastAsia" w:eastAsiaTheme="minorEastAsia" w:cstheme="minorEastAsia"/>
          <w:color w:val="0000FF"/>
          <w:sz w:val="24"/>
        </w:rPr>
        <w:t>（本项目不需要）</w:t>
      </w:r>
      <w:r>
        <w:rPr>
          <w:rFonts w:hint="eastAsia" w:asciiTheme="minorEastAsia" w:hAnsiTheme="minorEastAsia" w:eastAsiaTheme="minorEastAsia" w:cstheme="minorEastAsia"/>
          <w:sz w:val="24"/>
          <w:lang w:eastAsia="zh-CN"/>
        </w:rPr>
        <w:t>；</w:t>
      </w:r>
    </w:p>
    <w:p>
      <w:pPr>
        <w:spacing w:line="36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8、提供有利于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pStyle w:val="9"/>
        <w:ind w:firstLine="0"/>
        <w:rPr>
          <w:rFonts w:hint="eastAsia" w:asciiTheme="minorEastAsia" w:hAnsiTheme="minorEastAsia" w:eastAsiaTheme="minorEastAsia" w:cstheme="minorEastAsia"/>
        </w:rPr>
      </w:pPr>
    </w:p>
    <w:p>
      <w:pPr>
        <w:pStyle w:val="9"/>
        <w:rPr>
          <w:rFonts w:hint="eastAsia" w:asciiTheme="minorEastAsia" w:hAnsiTheme="minorEastAsia" w:eastAsiaTheme="minorEastAsia" w:cstheme="minorEastAsia"/>
        </w:rPr>
      </w:pPr>
    </w:p>
    <w:p>
      <w:pPr>
        <w:pStyle w:val="9"/>
        <w:ind w:firstLine="0"/>
        <w:rPr>
          <w:rFonts w:hint="eastAsia" w:asciiTheme="minorEastAsia" w:hAnsiTheme="minorEastAsia" w:eastAsiaTheme="minorEastAsia" w:cstheme="minorEastAsia"/>
        </w:rPr>
      </w:pPr>
    </w:p>
    <w:p>
      <w:pPr>
        <w:pStyle w:val="4"/>
        <w:spacing w:before="0" w:line="240" w:lineRule="atLeast"/>
        <w:ind w:left="1079" w:leftChars="257" w:hanging="540"/>
        <w:rPr>
          <w:rFonts w:hint="eastAsia" w:asciiTheme="minorEastAsia" w:hAnsiTheme="minorEastAsia" w:eastAsiaTheme="minorEastAsia" w:cstheme="minorEastAsia"/>
          <w:sz w:val="24"/>
        </w:rPr>
      </w:pPr>
      <w:bookmarkStart w:id="282" w:name="_Toc3620"/>
      <w:bookmarkStart w:id="283" w:name="_Toc30630"/>
      <w:bookmarkStart w:id="284" w:name="_Toc30524"/>
      <w:bookmarkStart w:id="285" w:name="_Toc16750"/>
      <w:bookmarkStart w:id="286" w:name="_Toc16568"/>
      <w:bookmarkStart w:id="287" w:name="_Toc11138"/>
      <w:bookmarkStart w:id="288" w:name="_Toc14118"/>
      <w:bookmarkStart w:id="289" w:name="_Toc21614"/>
      <w:bookmarkStart w:id="290" w:name="_Toc515647804"/>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p>
    <w:p>
      <w:pPr>
        <w:rPr>
          <w:rFonts w:hint="eastAsia"/>
        </w:rPr>
      </w:pPr>
    </w:p>
    <w:p>
      <w:pPr>
        <w:pStyle w:val="4"/>
        <w:spacing w:before="0" w:line="240" w:lineRule="atLeast"/>
        <w:ind w:left="1079" w:leftChars="257" w:hanging="540"/>
        <w:rPr>
          <w:rFonts w:hint="eastAsia" w:asciiTheme="minorEastAsia" w:hAnsiTheme="minorEastAsia" w:eastAsiaTheme="minorEastAsia" w:cs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格式一）</w:t>
      </w:r>
    </w:p>
    <w:p>
      <w:pPr>
        <w:pStyle w:val="14"/>
        <w:tabs>
          <w:tab w:val="left" w:pos="5580"/>
        </w:tabs>
        <w:spacing w:line="240" w:lineRule="atLeast"/>
        <w:rPr>
          <w:rFonts w:hint="eastAsia" w:asciiTheme="minorEastAsia" w:hAnsiTheme="minorEastAsia" w:eastAsiaTheme="minorEastAsia" w:cstheme="minorEastAsia"/>
          <w:sz w:val="24"/>
          <w:szCs w:val="24"/>
        </w:rPr>
      </w:pPr>
    </w:p>
    <w:p>
      <w:pPr>
        <w:pStyle w:val="9"/>
        <w:tabs>
          <w:tab w:val="left" w:pos="5580"/>
        </w:tabs>
        <w:spacing w:line="240" w:lineRule="atLeast"/>
        <w:ind w:left="1079" w:leftChars="257" w:hanging="540"/>
        <w:jc w:val="center"/>
        <w:outlineLvl w:val="1"/>
        <w:rPr>
          <w:rFonts w:hint="eastAsia" w:asciiTheme="minorEastAsia" w:hAnsiTheme="minorEastAsia" w:eastAsiaTheme="minorEastAsia" w:cstheme="minorEastAsia"/>
        </w:rPr>
      </w:pPr>
      <w:bookmarkStart w:id="291" w:name="_Hlt520356241"/>
      <w:bookmarkEnd w:id="291"/>
      <w:bookmarkStart w:id="292" w:name="_Toc494296984"/>
      <w:r>
        <w:rPr>
          <w:rFonts w:hint="eastAsia" w:asciiTheme="minorEastAsia" w:hAnsiTheme="minorEastAsia" w:eastAsiaTheme="minorEastAsia" w:cstheme="minorEastAsia"/>
          <w:b/>
          <w:lang w:eastAsia="zh-CN"/>
        </w:rPr>
        <w:t>报价</w:t>
      </w:r>
      <w:r>
        <w:rPr>
          <w:rFonts w:hint="eastAsia" w:asciiTheme="minorEastAsia" w:hAnsiTheme="minorEastAsia" w:eastAsiaTheme="minorEastAsia" w:cstheme="minorEastAsia"/>
          <w:b/>
        </w:rPr>
        <w:t>一览表</w:t>
      </w:r>
      <w:bookmarkEnd w:id="292"/>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 xml:space="preserve">编号：                 包号：         </w:t>
      </w:r>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报价单位：人民币    </w:t>
      </w:r>
      <w:r>
        <w:rPr>
          <w:rFonts w:hint="eastAsia" w:asciiTheme="minorEastAsia" w:hAnsiTheme="minorEastAsia" w:eastAsiaTheme="minorEastAsia" w:cstheme="minorEastAsia"/>
          <w:b/>
          <w:sz w:val="24"/>
        </w:rPr>
        <w:t>元</w:t>
      </w:r>
    </w:p>
    <w:tbl>
      <w:tblPr>
        <w:tblStyle w:val="34"/>
        <w:tblW w:w="0" w:type="auto"/>
        <w:tblInd w:w="-56" w:type="dxa"/>
        <w:tblLayout w:type="fixed"/>
        <w:tblCellMar>
          <w:top w:w="0" w:type="dxa"/>
          <w:left w:w="0" w:type="dxa"/>
          <w:bottom w:w="0" w:type="dxa"/>
          <w:right w:w="0" w:type="dxa"/>
        </w:tblCellMar>
      </w:tblPr>
      <w:tblGrid>
        <w:gridCol w:w="1420"/>
        <w:gridCol w:w="2340"/>
        <w:gridCol w:w="1805"/>
        <w:gridCol w:w="1627"/>
        <w:gridCol w:w="1305"/>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w:t>
            </w:r>
          </w:p>
        </w:tc>
        <w:tc>
          <w:tcPr>
            <w:tcW w:w="16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供货期</w:t>
            </w:r>
          </w:p>
        </w:tc>
        <w:tc>
          <w:tcPr>
            <w:tcW w:w="130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p>
          <w:p>
            <w:pPr>
              <w:tabs>
                <w:tab w:val="left" w:pos="5580"/>
              </w:tabs>
              <w:spacing w:line="24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c>
          <w:tcPr>
            <w:tcW w:w="1627"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c>
          <w:tcPr>
            <w:tcW w:w="1305"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r>
    </w:tbl>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u w:val="single"/>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名称（单位盖章）：</w:t>
      </w:r>
      <w:r>
        <w:rPr>
          <w:rFonts w:hint="eastAsia" w:asciiTheme="minorEastAsia" w:hAnsiTheme="minorEastAsia" w:eastAsiaTheme="minorEastAsia" w:cstheme="minorEastAsia"/>
          <w:sz w:val="24"/>
          <w:u w:val="single"/>
        </w:rPr>
        <w:t xml:space="preserve">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法定代表人或委托代理(签字):</w:t>
      </w:r>
      <w:r>
        <w:rPr>
          <w:rFonts w:hint="eastAsia" w:asciiTheme="minorEastAsia" w:hAnsiTheme="minorEastAsia" w:eastAsiaTheme="minorEastAsia" w:cstheme="minorEastAsia"/>
          <w:sz w:val="24"/>
          <w:u w:val="single"/>
        </w:rPr>
        <w:tab/>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注:1、此表应按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须知的规定装订密封。</w:t>
      </w:r>
    </w:p>
    <w:p>
      <w:pPr>
        <w:pStyle w:val="14"/>
        <w:numPr>
          <w:ilvl w:val="0"/>
          <w:numId w:val="5"/>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此表中，</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总价应和</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分项报价表的总价相一致。</w:t>
      </w:r>
    </w:p>
    <w:p>
      <w:pPr>
        <w:pStyle w:val="14"/>
        <w:numPr>
          <w:ilvl w:val="0"/>
          <w:numId w:val="5"/>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w:t>
      </w:r>
      <w:r>
        <w:rPr>
          <w:rFonts w:hint="eastAsia" w:asciiTheme="minorEastAsia" w:hAnsiTheme="minorEastAsia" w:eastAsiaTheme="minorEastAsia" w:cstheme="minorEastAsia"/>
          <w:sz w:val="24"/>
        </w:rPr>
        <w:t>商报价时包含税费等一切与本次项目相关的费用。</w:t>
      </w:r>
    </w:p>
    <w:p>
      <w:pPr>
        <w:pStyle w:val="14"/>
        <w:tabs>
          <w:tab w:val="left" w:pos="5580"/>
        </w:tabs>
        <w:spacing w:line="240" w:lineRule="atLeast"/>
        <w:rPr>
          <w:rFonts w:hint="eastAsia" w:asciiTheme="minorEastAsia" w:hAnsiTheme="minorEastAsia" w:eastAsiaTheme="minorEastAsia" w:cstheme="minorEastAsia"/>
          <w:b/>
          <w:sz w:val="24"/>
        </w:rPr>
      </w:pPr>
    </w:p>
    <w:p>
      <w:pPr>
        <w:pStyle w:val="14"/>
        <w:tabs>
          <w:tab w:val="left" w:pos="5580"/>
        </w:tabs>
        <w:spacing w:line="240" w:lineRule="atLeast"/>
        <w:rPr>
          <w:rFonts w:hint="eastAsia" w:asciiTheme="minorEastAsia" w:hAnsiTheme="minorEastAsia" w:eastAsiaTheme="minorEastAsia" w:cstheme="minorEastAsia"/>
          <w:b/>
          <w:sz w:val="24"/>
        </w:rPr>
      </w:pPr>
    </w:p>
    <w:p>
      <w:pPr>
        <w:pStyle w:val="4"/>
        <w:spacing w:before="0" w:line="240" w:lineRule="atLeast"/>
        <w:ind w:left="1079" w:leftChars="257" w:hanging="540"/>
        <w:jc w:val="left"/>
        <w:rPr>
          <w:rFonts w:hint="eastAsia" w:asciiTheme="minorEastAsia" w:hAnsiTheme="minorEastAsia" w:eastAsiaTheme="minorEastAsia" w:cstheme="minorEastAsia"/>
          <w:sz w:val="24"/>
        </w:rPr>
      </w:pPr>
    </w:p>
    <w:p>
      <w:pPr>
        <w:pStyle w:val="4"/>
        <w:spacing w:before="0" w:line="240" w:lineRule="atLeast"/>
        <w:ind w:left="1079" w:leftChars="257" w:hanging="540"/>
        <w:jc w:val="left"/>
        <w:rPr>
          <w:rFonts w:hint="eastAsia" w:asciiTheme="minorEastAsia" w:hAnsiTheme="minorEastAsia" w:eastAsiaTheme="minorEastAsia" w:cstheme="minorEastAsia"/>
          <w:sz w:val="24"/>
        </w:rPr>
      </w:pPr>
    </w:p>
    <w:p>
      <w:pPr>
        <w:pStyle w:val="4"/>
        <w:spacing w:before="0" w:line="240" w:lineRule="atLeast"/>
        <w:ind w:left="1079" w:leftChars="257" w:hanging="5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企业法人营业执照副本、</w:t>
      </w:r>
      <w:r>
        <w:rPr>
          <w:rFonts w:hint="eastAsia" w:asciiTheme="minorEastAsia" w:hAnsiTheme="minorEastAsia" w:eastAsiaTheme="minorEastAsia" w:cstheme="minorEastAsia"/>
          <w:sz w:val="24"/>
          <w:lang w:val="en-US" w:eastAsia="zh-CN"/>
        </w:rPr>
        <w:t>组织机构代码证、</w:t>
      </w:r>
      <w:r>
        <w:rPr>
          <w:rFonts w:hint="eastAsia" w:asciiTheme="minorEastAsia" w:hAnsiTheme="minorEastAsia" w:eastAsiaTheme="minorEastAsia" w:cstheme="minorEastAsia"/>
          <w:sz w:val="24"/>
        </w:rPr>
        <w:t>税务登记证（国税及地税）、或三合一企业法人营业执照副本、</w:t>
      </w:r>
    </w:p>
    <w:p>
      <w:pPr>
        <w:pStyle w:val="14"/>
        <w:tabs>
          <w:tab w:val="left" w:pos="5580"/>
        </w:tabs>
        <w:spacing w:line="240" w:lineRule="atLeast"/>
        <w:rPr>
          <w:rFonts w:hint="eastAsia" w:asciiTheme="minorEastAsia" w:hAnsiTheme="minorEastAsia" w:eastAsiaTheme="minorEastAsia" w:cstheme="minorEastAsia"/>
          <w:b/>
          <w:sz w:val="24"/>
        </w:rPr>
      </w:pP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0"/>
        </w:rPr>
        <w:t xml:space="preserve">             </w:t>
      </w: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pStyle w:val="4"/>
        <w:spacing w:before="0" w:line="240" w:lineRule="atLeast"/>
        <w:rPr>
          <w:rFonts w:hint="eastAsia" w:asciiTheme="minorEastAsia" w:hAnsiTheme="minorEastAsia" w:eastAsiaTheme="minorEastAsia" w:cstheme="minorEastAsia"/>
          <w:sz w:val="24"/>
        </w:rPr>
      </w:pPr>
      <w:bookmarkStart w:id="293" w:name="_Toc515647805"/>
      <w:bookmarkStart w:id="294" w:name="_Toc6475"/>
      <w:bookmarkStart w:id="295" w:name="_Toc16184"/>
      <w:bookmarkStart w:id="296" w:name="_Toc28979"/>
      <w:bookmarkStart w:id="297" w:name="_Toc1957"/>
      <w:bookmarkStart w:id="298" w:name="_Toc17577"/>
      <w:bookmarkStart w:id="299" w:name="_Toc3087"/>
      <w:bookmarkStart w:id="300" w:name="_Toc29899"/>
      <w:bookmarkStart w:id="301" w:name="_Toc32302"/>
      <w:r>
        <w:rPr>
          <w:rFonts w:hint="eastAsia" w:asciiTheme="minorEastAsia" w:hAnsiTheme="minorEastAsia" w:eastAsiaTheme="minorEastAsia" w:cstheme="minorEastAsia"/>
          <w:sz w:val="24"/>
        </w:rPr>
        <w:t>3  法人或者非法人组织的营业执照等证明文件</w:t>
      </w:r>
      <w:bookmarkEnd w:id="293"/>
      <w:bookmarkStart w:id="302" w:name="_Toc515647806"/>
      <w:r>
        <w:rPr>
          <w:rFonts w:hint="eastAsia" w:asciiTheme="minorEastAsia" w:hAnsiTheme="minorEastAsia" w:eastAsiaTheme="minorEastAsia" w:cstheme="minorEastAsia"/>
          <w:sz w:val="24"/>
        </w:rPr>
        <w:t>或自然人的身份证明</w:t>
      </w:r>
      <w:bookmarkEnd w:id="294"/>
      <w:bookmarkEnd w:id="295"/>
      <w:bookmarkEnd w:id="296"/>
      <w:bookmarkEnd w:id="297"/>
      <w:bookmarkEnd w:id="298"/>
      <w:bookmarkEnd w:id="299"/>
      <w:bookmarkEnd w:id="300"/>
      <w:bookmarkEnd w:id="301"/>
      <w:bookmarkEnd w:id="302"/>
    </w:p>
    <w:p>
      <w:pPr>
        <w:adjustRightInd w:val="0"/>
        <w:snapToGrid w:val="0"/>
        <w:spacing w:before="312" w:beforeLines="100" w:after="312" w:afterLines="100"/>
        <w:jc w:val="center"/>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法定代表人身份证明</w:t>
      </w: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 同志，现任我单位          职务，为法定代表人，特此证明。</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签发日期：                  单位：           （盖章）</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附：代表人性别：            年龄：           身份证号码：</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联系电话：</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营业执照号码：              经济性质：</w:t>
      </w: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说明：</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1、法定代表人为企业事业单位、国家机关、社会团体的主要行政负责人。</w:t>
      </w: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  2、内容必须填写真实、清楚、涂改无效，不得转让。</w:t>
      </w:r>
    </w:p>
    <w:p>
      <w:pPr>
        <w:ind w:firstLine="240" w:firstLineChars="1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3、将此证明书原件提交采购代理机构作为</w:t>
      </w:r>
      <w:r>
        <w:rPr>
          <w:rFonts w:hint="eastAsia" w:asciiTheme="minorEastAsia" w:hAnsiTheme="minorEastAsia" w:eastAsiaTheme="minorEastAsia" w:cstheme="minorEastAsia"/>
          <w:sz w:val="24"/>
          <w:szCs w:val="20"/>
          <w:lang w:eastAsia="zh-CN"/>
        </w:rPr>
        <w:t>磋商</w:t>
      </w:r>
      <w:r>
        <w:rPr>
          <w:rFonts w:hint="eastAsia" w:asciiTheme="minorEastAsia" w:hAnsiTheme="minorEastAsia" w:eastAsiaTheme="minorEastAsia" w:cstheme="minorEastAsia"/>
          <w:sz w:val="24"/>
          <w:szCs w:val="20"/>
        </w:rPr>
        <w:t>响应文件附件。</w:t>
      </w: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  (为避免废标，请</w:t>
      </w:r>
      <w:r>
        <w:rPr>
          <w:rFonts w:hint="eastAsia" w:asciiTheme="minorEastAsia" w:hAnsiTheme="minorEastAsia" w:eastAsiaTheme="minorEastAsia" w:cstheme="minorEastAsia"/>
          <w:sz w:val="24"/>
          <w:szCs w:val="20"/>
          <w:lang w:eastAsia="zh-CN"/>
        </w:rPr>
        <w:t>供应商</w:t>
      </w:r>
      <w:r>
        <w:rPr>
          <w:rFonts w:hint="eastAsia" w:asciiTheme="minorEastAsia" w:hAnsiTheme="minorEastAsia" w:eastAsiaTheme="minorEastAsia" w:cstheme="minorEastAsia"/>
          <w:sz w:val="24"/>
          <w:szCs w:val="20"/>
        </w:rPr>
        <w:t>务必提供本附件)</w:t>
      </w: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0" t="0" r="18415" b="2540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9"/>
                            </w:pPr>
                          </w:p>
                          <w:p>
                            <w:pPr>
                              <w:pStyle w:val="9"/>
                            </w:pPr>
                          </w:p>
                          <w:p>
                            <w:pPr>
                              <w:pStyle w:val="9"/>
                            </w:pPr>
                          </w:p>
                          <w:p>
                            <w:pPr>
                              <w:pStyle w:val="9"/>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9"/>
                      </w:pPr>
                    </w:p>
                    <w:p>
                      <w:pPr>
                        <w:pStyle w:val="9"/>
                      </w:pPr>
                    </w:p>
                    <w:p>
                      <w:pPr>
                        <w:pStyle w:val="9"/>
                      </w:pPr>
                    </w:p>
                    <w:p>
                      <w:pPr>
                        <w:pStyle w:val="9"/>
                      </w:pPr>
                    </w:p>
                  </w:txbxContent>
                </v:textbox>
              </v:roundrect>
            </w:pict>
          </mc:Fallback>
        </mc:AlternateContent>
      </w:r>
      <w:r>
        <w:rPr>
          <w:rFonts w:hint="eastAsia" w:asciiTheme="minorEastAsia" w:hAnsiTheme="minorEastAsia" w:eastAsiaTheme="minorEastAsia" w:cs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0" t="0" r="19050" b="11430"/>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eastAsia="zh-CN"/>
                              </w:rPr>
                            </w:pPr>
                            <w:r>
                              <w:rPr>
                                <w:rFonts w:hint="eastAsia" w:hAnsi="宋体"/>
                                <w:szCs w:val="21"/>
                              </w:rPr>
                              <w:t>法人身份证复印件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eastAsia="zh-CN"/>
                        </w:rPr>
                      </w:pPr>
                      <w:r>
                        <w:rPr>
                          <w:rFonts w:hint="eastAsia" w:hAnsi="宋体"/>
                          <w:szCs w:val="21"/>
                        </w:rPr>
                        <w:t>法人身份证复印件</w:t>
                      </w:r>
                      <w:r>
                        <w:rPr>
                          <w:rFonts w:hint="eastAsia" w:hAnsi="宋体"/>
                          <w:szCs w:val="21"/>
                          <w:lang w:eastAsia="zh-CN"/>
                        </w:rPr>
                        <w:t>正面</w:t>
                      </w:r>
                    </w:p>
                  </w:txbxContent>
                </v:textbox>
              </v:shape>
            </w:pict>
          </mc:Fallback>
        </mc:AlternateContent>
      </w:r>
    </w:p>
    <w:p>
      <w:pPr>
        <w:rPr>
          <w:rFonts w:hint="eastAsia" w:asciiTheme="minorEastAsia" w:hAnsiTheme="minorEastAsia" w:eastAsiaTheme="minorEastAsia" w:cstheme="minorEastAsia"/>
          <w:sz w:val="24"/>
          <w:szCs w:val="20"/>
        </w:rPr>
      </w:pPr>
    </w:p>
    <w:p>
      <w:pPr>
        <w:autoSpaceDE w:val="0"/>
        <w:autoSpaceDN w:val="0"/>
        <w:adjustRightInd w:val="0"/>
        <w:ind w:right="246"/>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p>
    <w:p>
      <w:pPr>
        <w:autoSpaceDE w:val="0"/>
        <w:autoSpaceDN w:val="0"/>
        <w:adjustRightInd w:val="0"/>
        <w:ind w:right="246" w:firstLine="784" w:firstLineChars="327"/>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eastAsia="zh-CN"/>
        </w:rPr>
        <w:t>供应商</w:t>
      </w:r>
      <w:r>
        <w:rPr>
          <w:rFonts w:hint="eastAsia" w:asciiTheme="minorEastAsia" w:hAnsiTheme="minorEastAsia" w:eastAsiaTheme="minorEastAsia" w:cstheme="minorEastAsia"/>
          <w:sz w:val="24"/>
          <w:szCs w:val="20"/>
        </w:rPr>
        <w:t xml:space="preserve">（盖章）：                              </w:t>
      </w:r>
    </w:p>
    <w:p>
      <w:pPr>
        <w:adjustRightInd w:val="0"/>
        <w:snapToGrid w:val="0"/>
        <w:ind w:firstLine="784" w:firstLineChars="327"/>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法定代表人签字或盖章：                    </w:t>
      </w:r>
    </w:p>
    <w:p>
      <w:pPr>
        <w:adjustRightInd w:val="0"/>
        <w:snapToGrid w:val="0"/>
        <w:ind w:firstLine="784" w:firstLineChars="327"/>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日期：                                       </w:t>
      </w:r>
    </w:p>
    <w:p>
      <w:pPr>
        <w:pStyle w:val="14"/>
        <w:tabs>
          <w:tab w:val="left" w:pos="5580"/>
        </w:tabs>
        <w:rPr>
          <w:rFonts w:hint="eastAsia" w:asciiTheme="minorEastAsia" w:hAnsiTheme="minorEastAsia" w:eastAsiaTheme="minorEastAsia" w:cstheme="minorEastAsia"/>
          <w:sz w:val="24"/>
        </w:rPr>
      </w:pPr>
    </w:p>
    <w:p>
      <w:pPr>
        <w:pStyle w:val="14"/>
        <w:tabs>
          <w:tab w:val="left" w:pos="5580"/>
        </w:tabs>
        <w:rPr>
          <w:rFonts w:hint="eastAsia" w:asciiTheme="minorEastAsia" w:hAnsiTheme="minorEastAsia" w:eastAsiaTheme="minorEastAsia" w:cstheme="minorEastAsia"/>
          <w:sz w:val="24"/>
        </w:rPr>
      </w:pPr>
    </w:p>
    <w:p>
      <w:pPr>
        <w:pStyle w:val="14"/>
        <w:tabs>
          <w:tab w:val="left" w:pos="558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说明：1.提供有效的营业执照等证明文件复印件，复印件上应加盖本单位章。</w:t>
      </w:r>
    </w:p>
    <w:p>
      <w:pPr>
        <w:pStyle w:val="14"/>
        <w:tabs>
          <w:tab w:val="left" w:pos="5580"/>
        </w:tabs>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为自然人的，应提供身份证明的复印件。</w:t>
      </w:r>
    </w:p>
    <w:p>
      <w:pPr>
        <w:pStyle w:val="14"/>
        <w:tabs>
          <w:tab w:val="left" w:pos="5580"/>
        </w:tabs>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应提供联合体各方满足以上要求的证明文件。</w:t>
      </w:r>
    </w:p>
    <w:p>
      <w:pPr>
        <w:pStyle w:val="14"/>
        <w:tabs>
          <w:tab w:val="left" w:pos="5580"/>
        </w:tabs>
        <w:spacing w:line="240" w:lineRule="atLeast"/>
        <w:rPr>
          <w:rFonts w:hint="eastAsia" w:asciiTheme="minorEastAsia" w:hAnsiTheme="minorEastAsia" w:eastAsiaTheme="minorEastAsia" w:cstheme="minorEastAsia"/>
          <w:sz w:val="24"/>
        </w:rPr>
      </w:pPr>
      <w:bookmarkStart w:id="303" w:name="_Toc7039"/>
      <w:bookmarkStart w:id="304" w:name="_Toc32520"/>
      <w:bookmarkStart w:id="305" w:name="_Toc515647808"/>
      <w:r>
        <w:rPr>
          <w:rFonts w:hint="eastAsia" w:asciiTheme="minorEastAsia" w:hAnsiTheme="minorEastAsia" w:eastAsiaTheme="minorEastAsia" w:cstheme="minorEastAsia"/>
          <w:sz w:val="24"/>
        </w:rPr>
        <w:t xml:space="preserve">   </w:t>
      </w: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Theme="minorEastAsia" w:hAnsiTheme="minorEastAsia" w:eastAsiaTheme="minorEastAsia" w:cstheme="minorEastAsia"/>
          <w:b w:val="0"/>
          <w:sz w:val="24"/>
          <w:u w:val="single"/>
        </w:rPr>
      </w:pPr>
      <w:bookmarkStart w:id="306" w:name="_Toc22472"/>
      <w:bookmarkStart w:id="307" w:name="_Toc6829"/>
      <w:bookmarkStart w:id="308" w:name="_Toc16640"/>
      <w:bookmarkStart w:id="309" w:name="_Toc21867"/>
      <w:bookmarkStart w:id="310" w:name="_Toc5436"/>
      <w:bookmarkStart w:id="311" w:name="_Toc13107"/>
      <w:bookmarkStart w:id="312" w:name="_Toc1083"/>
      <w:bookmarkStart w:id="313" w:name="_Toc515647807"/>
      <w:r>
        <w:rPr>
          <w:rFonts w:hint="eastAsia" w:asciiTheme="minorEastAsia" w:hAnsiTheme="minorEastAsia" w:eastAsiaTheme="minorEastAsia" w:cstheme="minorEastAsia"/>
          <w:sz w:val="24"/>
        </w:rPr>
        <w:t>3 .1 法定代表人授权委托书(</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格式二，自然人投标的无需提供)</w:t>
      </w:r>
      <w:bookmarkEnd w:id="306"/>
      <w:bookmarkEnd w:id="307"/>
      <w:bookmarkEnd w:id="308"/>
      <w:bookmarkEnd w:id="309"/>
      <w:bookmarkEnd w:id="310"/>
      <w:bookmarkEnd w:id="311"/>
      <w:bookmarkEnd w:id="312"/>
      <w:bookmarkEnd w:id="313"/>
    </w:p>
    <w:p>
      <w:pPr>
        <w:pStyle w:val="14"/>
        <w:tabs>
          <w:tab w:val="left" w:pos="5580"/>
        </w:tabs>
        <w:spacing w:line="24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本授权书声明：注册于（国家或地区的名称）的（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）的在下面签字的（法人代表姓名、职务）代表我单位授权（单位名称）的在下面签字的（被授权人的姓名、职务）为我单位的合法代理人，就（项目名称）的（合同名称）</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，以我单位名义处理一切与之有关的事务。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           年      月      日签字生效,特此声明。</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0" t="0" r="17145" b="2730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GVxyuCQCAABZ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gTCrgsWTJiv22&#10;H+q4tewAHbBzXjYtSD/OhJMTdFxWdLgdqaXvzzPo3R9hd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rNzv2wAAAAoBAAAPAAAAAAAAAAEAIAAAACIAAABkcnMvZG93bnJldi54bWxQSwECFAAUAAAA&#10;CACHTuJAGVxyuCQCAABZBAAADgAAAAAAAAABACAAAAAqAQAAZHJzL2Uyb0RvYy54bWxQSwUGAAAA&#10;AAYABgBZAQAAwAUAAAAA&#10;">
                <v:fill on="t" focussize="0,0"/>
                <v:stroke weight="1.25pt" color="#808080" joinstyle="round"/>
                <v:imagedata o:title=""/>
                <o:lock v:ext="edit" aspectratio="f"/>
                <v:textbox>
                  <w:txbxContent>
                    <w:p>
                      <w:pPr>
                        <w:rPr>
                          <w:rFonts w:hint="eastAsia" w:hAnsi="宋体"/>
                        </w:rPr>
                      </w:pPr>
                    </w:p>
                    <w:p>
                      <w:pPr>
                        <w:rPr>
                          <w:rFonts w:hint="eastAsia" w:hAnsi="宋体"/>
                        </w:rPr>
                      </w:pPr>
                    </w:p>
                    <w:p>
                      <w:r>
                        <w:rPr>
                          <w:rFonts w:hint="eastAsia" w:hAnsi="宋体"/>
                        </w:rPr>
                        <w:t>授权委托人身份证复印件</w:t>
                      </w:r>
                    </w:p>
                    <w:p/>
                  </w:txbxContent>
                </v:textbox>
              </v:roundrect>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0" t="0" r="26035" b="12065"/>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pdrPVAAAACAEAAA8AAAAAAAAAAQAgAAAAIgAAAGRycy9kb3ducmV2LnhtbFBLAQIUABQAAAAI&#10;AIdO4kDGi61DKQIAAFEEAAAOAAAAAAAAAAEAIAAAACQBAABkcnMvZTJvRG9jLnhtbFBLBQYAAAAA&#10;BgAGAFkBAAC/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v:textbox>
              </v:shape>
            </w:pict>
          </mc:Fallback>
        </mc:AlternateContent>
      </w: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0" t="0" r="16510" b="2476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L7EhtyUCAABa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gNSpgseaJSv2234o&#10;5NayA7TAznnZtCD9JBNOTtByuUbD9Ug9fX+eQe9+C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b2CC9gAAAAJAQAADwAAAAAAAAABACAAAAAiAAAAZHJzL2Rvd25yZXYueG1sUEsBAhQAFAAAAAgA&#10;h07iQC+xIbclAgAAWgQAAA4AAAAAAAAAAQAgAAAAJwEAAGRycy9lMm9Eb2MueG1sUEsFBgAAAAAG&#10;AAYAWQEAAL4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0" t="0" r="17145" b="1206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SuxH7SUCAABa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gDUqcKHmuWrNhv&#10;+6GQW8sO0AI752XTgvTjTDg5QcvlGg3XI/X0/XkGvfsl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qpqdNsAAAAJAQAADwAAAAAAAAABACAAAAAiAAAAZHJzL2Rvd25yZXYueG1sUEsBAhQAFAAA&#10;AAgAh07iQErsR+0lAgAAWgQAAA4AAAAAAAAAAQAgAAAAKgEAAGRycy9lMm9Eb2MueG1sUEsFBgAA&#10;AAAGAAYAWQEAAME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 xml:space="preserve">（盖单位章）;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法定代表人（签字或签章）：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身份证号码：__________________________________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身份证号码：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详细通讯地址：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邮 政 编 码 ：                                 </w:t>
      </w:r>
    </w:p>
    <w:p>
      <w:pPr>
        <w:pStyle w:val="14"/>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传　　　　真：                                 </w:t>
      </w:r>
    </w:p>
    <w:p>
      <w:pPr>
        <w:spacing w:line="460" w:lineRule="exact"/>
        <w:ind w:firstLine="480" w:firstLineChars="200"/>
        <w:rPr>
          <w:rFonts w:hint="eastAsia" w:asciiTheme="minorEastAsia" w:hAnsiTheme="minorEastAsia" w:eastAsiaTheme="minorEastAsia" w:cstheme="minorEastAsia"/>
          <w:b/>
          <w:kern w:val="0"/>
          <w:sz w:val="24"/>
          <w:szCs w:val="20"/>
        </w:rPr>
      </w:pPr>
      <w:r>
        <w:rPr>
          <w:rFonts w:hint="eastAsia" w:asciiTheme="minorEastAsia" w:hAnsiTheme="minorEastAsia" w:eastAsiaTheme="minorEastAsia" w:cstheme="minorEastAsia"/>
          <w:sz w:val="24"/>
          <w:szCs w:val="20"/>
        </w:rPr>
        <w:t xml:space="preserve">电　　　　话：                                 </w:t>
      </w:r>
      <w:bookmarkEnd w:id="303"/>
      <w:bookmarkEnd w:id="304"/>
      <w:bookmarkEnd w:id="305"/>
      <w:bookmarkStart w:id="314" w:name="_Toc22138"/>
      <w:bookmarkStart w:id="315" w:name="_Toc4923"/>
      <w:bookmarkStart w:id="316" w:name="_Toc10290"/>
      <w:bookmarkStart w:id="317" w:name="_Toc515647809"/>
      <w:bookmarkStart w:id="318" w:name="_Toc8410"/>
      <w:bookmarkStart w:id="319" w:name="_Toc15480"/>
      <w:bookmarkStart w:id="320" w:name="_Toc11047"/>
      <w:bookmarkStart w:id="321" w:name="_Toc28445"/>
    </w:p>
    <w:p>
      <w:pPr>
        <w:spacing w:line="460" w:lineRule="exact"/>
        <w:ind w:firstLine="480" w:firstLineChars="200"/>
        <w:rPr>
          <w:rFonts w:hint="eastAsia" w:asciiTheme="minorEastAsia" w:hAnsiTheme="minorEastAsia" w:eastAsiaTheme="minorEastAsia" w:cstheme="minorEastAsia"/>
          <w:b/>
          <w:kern w:val="0"/>
          <w:sz w:val="24"/>
          <w:szCs w:val="20"/>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4"/>
        <w:tabs>
          <w:tab w:val="left" w:pos="5580"/>
        </w:tabs>
        <w:spacing w:line="240" w:lineRule="atLeast"/>
        <w:ind w:left="539" w:leftChars="257"/>
        <w:rPr>
          <w:rFonts w:hint="eastAsia" w:asciiTheme="minorEastAsia" w:hAnsiTheme="minorEastAsia" w:eastAsiaTheme="minorEastAsia" w:cstheme="minorEastAsia"/>
          <w:b/>
          <w:kern w:val="0"/>
          <w:sz w:val="24"/>
        </w:rPr>
      </w:pPr>
    </w:p>
    <w:bookmarkEnd w:id="314"/>
    <w:bookmarkEnd w:id="315"/>
    <w:bookmarkEnd w:id="316"/>
    <w:bookmarkEnd w:id="317"/>
    <w:bookmarkEnd w:id="318"/>
    <w:bookmarkEnd w:id="319"/>
    <w:bookmarkEnd w:id="320"/>
    <w:bookmarkEnd w:id="321"/>
    <w:p>
      <w:pPr>
        <w:spacing w:line="360" w:lineRule="exact"/>
        <w:outlineLvl w:val="1"/>
        <w:rPr>
          <w:rFonts w:hint="eastAsia" w:asciiTheme="minorEastAsia" w:hAnsiTheme="minorEastAsia" w:eastAsiaTheme="minorEastAsia" w:cstheme="minorEastAsia"/>
          <w:sz w:val="28"/>
          <w:szCs w:val="28"/>
        </w:rPr>
      </w:pPr>
    </w:p>
    <w:p>
      <w:pPr>
        <w:pStyle w:val="4"/>
        <w:numPr>
          <w:ilvl w:val="0"/>
          <w:numId w:val="5"/>
        </w:numPr>
        <w:spacing w:before="0" w:line="240" w:lineRule="atLeast"/>
        <w:ind w:left="1078" w:leftChars="428" w:hanging="180" w:hangingChars="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保证金收据</w:t>
      </w:r>
    </w:p>
    <w:p>
      <w:pPr>
        <w:rPr>
          <w:rFonts w:hint="eastAsia" w:asciiTheme="minorEastAsia" w:hAnsiTheme="minorEastAsia" w:eastAsiaTheme="minorEastAsia" w:cstheme="minorEastAsia"/>
        </w:rPr>
      </w:pPr>
    </w:p>
    <w:p>
      <w:pPr>
        <w:spacing w:line="360" w:lineRule="exact"/>
        <w:jc w:val="center"/>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政府采购</w:t>
      </w:r>
      <w:r>
        <w:rPr>
          <w:rFonts w:hint="eastAsia" w:asciiTheme="minorEastAsia" w:hAnsiTheme="minorEastAsia" w:eastAsiaTheme="minorEastAsia" w:cstheme="minorEastAsia"/>
          <w:sz w:val="28"/>
          <w:szCs w:val="28"/>
          <w:lang w:eastAsia="zh-CN"/>
        </w:rPr>
        <w:t>磋商</w:t>
      </w:r>
      <w:r>
        <w:rPr>
          <w:rFonts w:hint="eastAsia" w:asciiTheme="minorEastAsia" w:hAnsiTheme="minorEastAsia" w:eastAsiaTheme="minorEastAsia" w:cstheme="minorEastAsia"/>
          <w:sz w:val="28"/>
          <w:szCs w:val="28"/>
        </w:rPr>
        <w:t>担保函 （本项目不适用）（</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格式三）</w:t>
      </w:r>
    </w:p>
    <w:p>
      <w:pPr>
        <w:spacing w:line="360" w:lineRule="exact"/>
        <w:ind w:firstLine="6720" w:firstLineChars="3200"/>
        <w:rPr>
          <w:rFonts w:hint="eastAsia" w:asciiTheme="minorEastAsia" w:hAnsiTheme="minorEastAsia" w:eastAsiaTheme="minorEastAsia" w:cstheme="minorEastAsia"/>
        </w:rPr>
      </w:pPr>
      <w:r>
        <w:rPr>
          <w:rFonts w:hint="eastAsia" w:asciiTheme="minorEastAsia" w:hAnsiTheme="minorEastAsia" w:eastAsiaTheme="minorEastAsia" w:cstheme="minorEastAsia"/>
        </w:rPr>
        <w:t>编号：</w:t>
      </w:r>
    </w:p>
    <w:p>
      <w:pPr>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（采购人）：</w:t>
      </w:r>
    </w:p>
    <w:p>
      <w:pPr>
        <w:spacing w:line="360" w:lineRule="exact"/>
        <w:rPr>
          <w:rFonts w:hint="eastAsia" w:asciiTheme="minorEastAsia" w:hAnsiTheme="minorEastAsia" w:eastAsiaTheme="minorEastAsia" w:cstheme="minorEastAsia"/>
          <w:sz w:val="24"/>
        </w:rPr>
      </w:pP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鉴于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”）拟参加编号为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项目（以下简称“本项目”）</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，根据本项目磋商文件，</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参加</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时应向你方交纳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保证金，且可以</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担保函的形式交纳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保证金。应</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的申请，我方以保证的方式向你方提供如下</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保证金担保：</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一、保证责任的情形及保证金额</w:t>
      </w:r>
    </w:p>
    <w:p>
      <w:pPr>
        <w:spacing w:line="36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出现下列情形之一时，我方承担保证责任：</w:t>
      </w:r>
    </w:p>
    <w:p>
      <w:pPr>
        <w:spacing w:line="360" w:lineRule="exact"/>
        <w:ind w:firstLine="480" w:firstLineChars="200"/>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成交</w:t>
      </w:r>
      <w:r>
        <w:rPr>
          <w:rFonts w:hint="eastAsia" w:asciiTheme="minorEastAsia" w:hAnsiTheme="minorEastAsia" w:eastAsiaTheme="minorEastAsia" w:cstheme="minorEastAsia"/>
          <w:sz w:val="24"/>
        </w:rPr>
        <w:t>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无正当理由不与采购人或者采购代理机构签订《政府采购合同》；</w:t>
      </w:r>
    </w:p>
    <w:p>
      <w:pPr>
        <w:spacing w:line="360" w:lineRule="exact"/>
        <w:ind w:firstLine="480" w:firstLineChars="200"/>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2．磋商文件规定的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应当缴纳保证金的其他情形。</w:t>
      </w:r>
    </w:p>
    <w:p>
      <w:pPr>
        <w:spacing w:line="36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（二）我方承担保证责任的最高金额为人民币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），即本项目的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保证金金额。</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二、保证的方式及保证期间</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我方保证的方式为：连带责任保证。</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我方的保证期间为：自本保函生效之日起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个月止。</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三、承担保证责任的程序</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1．你方要求我方承担保证责任的，应在本保函保证期间内向我方发出书面索赔通知。索赔通知应写明要求索赔的金额，支付款项应到达的账号，并附有证明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发生我方应承担保证责任情形的事实材料。</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2．我方在收到索赔通知及相关证明材料后，在</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个工作日内进行审查，符合应承担保证责任情形的，我方应按照你方的要求代</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向你方支付</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四、保证责任的终止</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1．保证期间届满你方未向我方书面主张保证责任的，自保证期间届满次日起，我方保证责任自动终止。</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五、免责条款</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1．依照法律规定或你方与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的另行约定，全部或者部分免除</w:t>
      </w:r>
      <w:r>
        <w:rPr>
          <w:rFonts w:hint="eastAsia" w:asciiTheme="minorEastAsia" w:hAnsiTheme="minorEastAsia" w:eastAsiaTheme="minorEastAsia" w:cstheme="minorEastAsia"/>
          <w:sz w:val="24"/>
          <w:lang w:eastAsia="zh-CN"/>
        </w:rPr>
        <w:t>供应商磋商</w:t>
      </w:r>
      <w:r>
        <w:rPr>
          <w:rFonts w:hint="eastAsia" w:asciiTheme="minorEastAsia" w:hAnsiTheme="minorEastAsia" w:eastAsiaTheme="minorEastAsia" w:cstheme="minorEastAsia"/>
          <w:sz w:val="24"/>
        </w:rPr>
        <w:t>保证金义务时，我方亦免除相应的保证责任。</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2．因你方原因致使</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发生本保函第一条第（一）款约定情形的，我方不承担保证责任。</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3．因不可抗力造成</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发生本保函第一条约定情形的，我方不承担保证责任。</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六、争议的解决</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因本保函发生的纠纷，由你我双方协商解决，协商不成的，通过诉讼程序解决，诉讼管辖地法院为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法院。</w:t>
      </w:r>
    </w:p>
    <w:p>
      <w:pPr>
        <w:spacing w:line="360" w:lineRule="exac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七、保函的生效</w:t>
      </w:r>
    </w:p>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本保函自我方加盖公章之日起生效。</w:t>
      </w:r>
    </w:p>
    <w:p>
      <w:pPr>
        <w:spacing w:line="360" w:lineRule="exact"/>
        <w:ind w:firstLine="6360" w:firstLineChars="26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保证人：（公章）</w:t>
      </w:r>
    </w:p>
    <w:p>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pacing w:line="360" w:lineRule="exact"/>
        <w:ind w:firstLine="6600" w:firstLineChars="27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60" w:lineRule="exact"/>
        <w:rPr>
          <w:rFonts w:hint="eastAsia" w:asciiTheme="minorEastAsia" w:hAnsiTheme="minorEastAsia" w:eastAsiaTheme="minorEastAsia" w:cstheme="minorEastAsia"/>
          <w:sz w:val="24"/>
        </w:rPr>
      </w:pPr>
    </w:p>
    <w:p>
      <w:pPr>
        <w:spacing w:line="360" w:lineRule="exact"/>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pStyle w:val="47"/>
        <w:rPr>
          <w:rFonts w:hint="eastAsia" w:asciiTheme="minorEastAsia" w:hAnsiTheme="minorEastAsia" w:eastAsiaTheme="minorEastAsia" w:cstheme="minorEastAsia"/>
          <w:b/>
          <w:bCs/>
          <w:sz w:val="28"/>
          <w:szCs w:val="28"/>
        </w:rPr>
      </w:pPr>
    </w:p>
    <w:p>
      <w:pPr>
        <w:spacing w:line="360" w:lineRule="exact"/>
        <w:rPr>
          <w:rFonts w:hint="eastAsia" w:asciiTheme="minorEastAsia" w:hAnsiTheme="minorEastAsia" w:eastAsiaTheme="minorEastAsia" w:cstheme="minorEastAsia"/>
          <w:sz w:val="28"/>
          <w:szCs w:val="28"/>
        </w:rPr>
      </w:pPr>
    </w:p>
    <w:p>
      <w:pPr>
        <w:pStyle w:val="4"/>
        <w:spacing w:before="0" w:line="360" w:lineRule="exact"/>
        <w:rPr>
          <w:rFonts w:hint="eastAsia" w:asciiTheme="minorEastAsia" w:hAnsiTheme="minorEastAsia" w:eastAsiaTheme="minorEastAsia" w:cstheme="minorEastAsia"/>
          <w:sz w:val="24"/>
        </w:rPr>
      </w:pPr>
      <w:bookmarkStart w:id="322" w:name="_Toc8873"/>
      <w:bookmarkStart w:id="323" w:name="_Toc15031"/>
      <w:bookmarkStart w:id="324" w:name="_Toc6113"/>
      <w:bookmarkStart w:id="325" w:name="_Toc31179"/>
      <w:bookmarkStart w:id="326" w:name="_Toc5167"/>
      <w:bookmarkStart w:id="327" w:name="_Toc22500"/>
      <w:bookmarkStart w:id="328" w:name="_Toc23044"/>
      <w:bookmarkStart w:id="329" w:name="_Toc2502"/>
      <w:bookmarkStart w:id="330" w:name="_Toc515647814"/>
      <w:r>
        <w:rPr>
          <w:rFonts w:hint="eastAsia" w:asciiTheme="minorEastAsia" w:hAnsiTheme="minorEastAsia" w:eastAsiaTheme="minorEastAsia" w:cstheme="minorEastAsia"/>
          <w:sz w:val="24"/>
        </w:rPr>
        <w:t>5、参加政府采购活动前3年内</w:t>
      </w:r>
      <w:bookmarkStart w:id="331" w:name="_Toc515647812"/>
      <w:bookmarkStart w:id="332" w:name="_Toc1137"/>
      <w:bookmarkStart w:id="333" w:name="_Toc6008"/>
      <w:r>
        <w:rPr>
          <w:rFonts w:hint="eastAsia" w:asciiTheme="minorEastAsia" w:hAnsiTheme="minorEastAsia" w:eastAsiaTheme="minorEastAsia" w:cstheme="minorEastAsia"/>
          <w:sz w:val="24"/>
        </w:rPr>
        <w:t>在经营活动中没有重大违法记录的书面声明</w:t>
      </w:r>
      <w:bookmarkEnd w:id="322"/>
      <w:bookmarkEnd w:id="323"/>
      <w:bookmarkEnd w:id="324"/>
      <w:bookmarkEnd w:id="325"/>
      <w:bookmarkEnd w:id="326"/>
      <w:bookmarkEnd w:id="327"/>
      <w:bookmarkEnd w:id="331"/>
      <w:bookmarkEnd w:id="332"/>
      <w:bookmarkEnd w:id="333"/>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应按照相关法规规定如实作出说明。</w:t>
      </w:r>
    </w:p>
    <w:p>
      <w:pPr>
        <w:pStyle w:val="14"/>
        <w:tabs>
          <w:tab w:val="left" w:pos="5580"/>
        </w:tabs>
        <w:spacing w:line="360" w:lineRule="exact"/>
        <w:ind w:left="644" w:leftChars="307"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2．按照磋商文件的规定加盖单位章（自然人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的无需盖章，需要签字）。</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3.如果是联合体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，联合体各方均需提供上述证明。</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4"/>
        <w:spacing w:before="0" w:line="360" w:lineRule="exact"/>
        <w:ind w:firstLine="240" w:firstLineChars="100"/>
        <w:jc w:val="both"/>
        <w:rPr>
          <w:rFonts w:hint="eastAsia" w:asciiTheme="minorEastAsia" w:hAnsiTheme="minorEastAsia" w:eastAsiaTheme="minorEastAsia" w:cstheme="minorEastAsia"/>
          <w:sz w:val="24"/>
        </w:rPr>
      </w:pPr>
      <w:bookmarkStart w:id="334" w:name="_Toc29703"/>
      <w:bookmarkStart w:id="335" w:name="_Toc515647813"/>
      <w:bookmarkStart w:id="336" w:name="_Toc12185"/>
      <w:bookmarkStart w:id="337" w:name="_Toc24488"/>
      <w:bookmarkStart w:id="338" w:name="_Toc11862"/>
      <w:bookmarkStart w:id="339" w:name="_Toc15456"/>
      <w:bookmarkStart w:id="340" w:name="_Toc11163"/>
      <w:bookmarkStart w:id="341" w:name="_Toc17207"/>
      <w:bookmarkStart w:id="342" w:name="_Toc32295"/>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须知资料表要求的其他资格证明文件</w:t>
      </w:r>
      <w:bookmarkEnd w:id="334"/>
      <w:bookmarkEnd w:id="335"/>
      <w:bookmarkEnd w:id="336"/>
      <w:bookmarkEnd w:id="337"/>
      <w:bookmarkEnd w:id="338"/>
      <w:bookmarkEnd w:id="339"/>
      <w:bookmarkEnd w:id="340"/>
      <w:bookmarkEnd w:id="341"/>
      <w:bookmarkEnd w:id="342"/>
    </w:p>
    <w:p>
      <w:pPr>
        <w:spacing w:line="360" w:lineRule="exact"/>
        <w:ind w:left="1079" w:leftChars="257" w:hanging="540"/>
        <w:jc w:val="center"/>
        <w:rPr>
          <w:rFonts w:hint="eastAsia" w:asciiTheme="minorEastAsia" w:hAnsiTheme="minorEastAsia" w:eastAsiaTheme="minorEastAsia" w:cstheme="minorEastAsia"/>
          <w:b/>
          <w:bCs/>
          <w:sz w:val="24"/>
        </w:rPr>
      </w:pPr>
    </w:p>
    <w:p>
      <w:pPr>
        <w:spacing w:line="360" w:lineRule="exact"/>
        <w:rPr>
          <w:rFonts w:hint="eastAsia" w:asciiTheme="minorEastAsia" w:hAnsiTheme="minorEastAsia" w:eastAsiaTheme="minorEastAsia" w:cstheme="minorEastAsia"/>
          <w:b/>
          <w:bCs/>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说明：1.应提供</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要求的其他资格证明文件。</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2.复印件上应加盖本单位章（自然人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的无需盖章，需要签字）。</w:t>
      </w: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 如果是联合体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，联合体各方需提供的满足磋商文件要求的其他资格证明文件。</w:t>
      </w: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4"/>
        <w:tabs>
          <w:tab w:val="left" w:pos="5580"/>
        </w:tabs>
        <w:spacing w:line="360" w:lineRule="exact"/>
        <w:ind w:left="1260" w:leftChars="344" w:hanging="538"/>
        <w:rPr>
          <w:rFonts w:hint="eastAsia" w:asciiTheme="minorEastAsia" w:hAnsiTheme="minorEastAsia" w:eastAsiaTheme="minorEastAsia" w:cstheme="minorEastAsia"/>
          <w:sz w:val="24"/>
        </w:rPr>
      </w:pPr>
    </w:p>
    <w:p>
      <w:pPr>
        <w:spacing w:line="360" w:lineRule="exact"/>
        <w:rPr>
          <w:rFonts w:hint="eastAsia" w:asciiTheme="minorEastAsia" w:hAnsiTheme="minorEastAsia" w:eastAsiaTheme="minorEastAsia" w:cstheme="minorEastAsia"/>
          <w:sz w:val="24"/>
        </w:rPr>
      </w:pPr>
    </w:p>
    <w:p>
      <w:pPr>
        <w:pStyle w:val="4"/>
        <w:numPr>
          <w:ilvl w:val="0"/>
          <w:numId w:val="6"/>
        </w:numPr>
        <w:spacing w:before="0" w:line="360" w:lineRule="exact"/>
        <w:rPr>
          <w:rFonts w:hint="eastAsia" w:asciiTheme="minorEastAsia" w:hAnsiTheme="minorEastAsia" w:eastAsiaTheme="minorEastAsia" w:cstheme="minorEastAsia"/>
          <w:sz w:val="24"/>
        </w:rPr>
      </w:pPr>
      <w:bookmarkStart w:id="343" w:name="_Toc31220"/>
      <w:bookmarkStart w:id="344" w:name="_Toc14006"/>
      <w:bookmarkStart w:id="345" w:name="_Toc17319"/>
      <w:bookmarkStart w:id="346" w:name="_Toc19412"/>
      <w:bookmarkStart w:id="347" w:name="_Toc30603"/>
      <w:bookmarkStart w:id="348" w:name="_Toc11966"/>
      <w:r>
        <w:rPr>
          <w:rFonts w:hint="eastAsia" w:asciiTheme="minorEastAsia" w:hAnsiTheme="minorEastAsia" w:eastAsiaTheme="minorEastAsia" w:cstheme="minorEastAsia"/>
          <w:sz w:val="24"/>
        </w:rPr>
        <w:t>进口产品制造厂家的授权书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格式四）</w:t>
      </w:r>
      <w:bookmarkEnd w:id="328"/>
      <w:bookmarkEnd w:id="329"/>
      <w:bookmarkEnd w:id="330"/>
      <w:bookmarkEnd w:id="343"/>
      <w:bookmarkEnd w:id="344"/>
      <w:bookmarkEnd w:id="345"/>
      <w:bookmarkEnd w:id="346"/>
      <w:bookmarkEnd w:id="347"/>
      <w:bookmarkEnd w:id="348"/>
    </w:p>
    <w:p>
      <w:pPr>
        <w:tabs>
          <w:tab w:val="left" w:pos="5580"/>
        </w:tabs>
        <w:spacing w:line="360" w:lineRule="exact"/>
        <w:ind w:left="1079" w:leftChars="257" w:hanging="540"/>
        <w:rPr>
          <w:rFonts w:hint="eastAsia" w:asciiTheme="minorEastAsia" w:hAnsiTheme="minorEastAsia" w:eastAsiaTheme="minorEastAsia" w:cstheme="minorEastAsia"/>
          <w:sz w:val="24"/>
        </w:rPr>
      </w:pPr>
    </w:p>
    <w:p>
      <w:pPr>
        <w:tabs>
          <w:tab w:val="left" w:pos="5580"/>
        </w:tabs>
        <w:spacing w:line="36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致：采购方</w:t>
      </w:r>
    </w:p>
    <w:p>
      <w:pPr>
        <w:pStyle w:val="14"/>
        <w:tabs>
          <w:tab w:val="left" w:pos="5580"/>
        </w:tabs>
        <w:spacing w:line="360" w:lineRule="exact"/>
        <w:ind w:firstLine="540" w:firstLineChars="2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我们（</w:t>
      </w:r>
      <w:r>
        <w:rPr>
          <w:rFonts w:hint="eastAsia" w:asciiTheme="minorEastAsia" w:hAnsiTheme="minorEastAsia" w:eastAsiaTheme="minorEastAsia" w:cstheme="minorEastAsia"/>
          <w:sz w:val="24"/>
          <w:u w:val="single"/>
        </w:rPr>
        <w:t>制造商名称</w:t>
      </w:r>
      <w:r>
        <w:rPr>
          <w:rFonts w:hint="eastAsia" w:asciiTheme="minorEastAsia" w:hAnsiTheme="minorEastAsia" w:eastAsiaTheme="minorEastAsia" w:cstheme="minorEastAsia"/>
          <w:sz w:val="24"/>
        </w:rPr>
        <w:t>）是按（</w:t>
      </w:r>
      <w:r>
        <w:rPr>
          <w:rFonts w:hint="eastAsia" w:asciiTheme="minorEastAsia" w:hAnsiTheme="minorEastAsia" w:eastAsiaTheme="minorEastAsia" w:cstheme="minorEastAsia"/>
          <w:sz w:val="24"/>
          <w:u w:val="single"/>
        </w:rPr>
        <w:t>国家名称</w:t>
      </w:r>
      <w:r>
        <w:rPr>
          <w:rFonts w:hint="eastAsia" w:asciiTheme="minorEastAsia" w:hAnsiTheme="minorEastAsia" w:eastAsiaTheme="minorEastAsia" w:cstheme="minorEastAsia"/>
          <w:sz w:val="24"/>
        </w:rPr>
        <w:t>）法律成立的一家制造商，主要营业地点设在（</w:t>
      </w:r>
      <w:r>
        <w:rPr>
          <w:rFonts w:hint="eastAsia" w:asciiTheme="minorEastAsia" w:hAnsiTheme="minorEastAsia" w:eastAsiaTheme="minorEastAsia" w:cstheme="minorEastAsia"/>
          <w:sz w:val="24"/>
          <w:u w:val="single"/>
        </w:rPr>
        <w:t>制造商地址</w:t>
      </w:r>
      <w:r>
        <w:rPr>
          <w:rFonts w:hint="eastAsia" w:asciiTheme="minorEastAsia" w:hAnsiTheme="minorEastAsia" w:eastAsiaTheme="minorEastAsia" w:cstheme="minorEastAsia"/>
          <w:sz w:val="24"/>
        </w:rPr>
        <w:t>）。兹指派按（</w:t>
      </w:r>
      <w:r>
        <w:rPr>
          <w:rFonts w:hint="eastAsia" w:asciiTheme="minorEastAsia" w:hAnsiTheme="minorEastAsia" w:eastAsiaTheme="minorEastAsia" w:cstheme="minorEastAsia"/>
          <w:sz w:val="24"/>
          <w:u w:val="single"/>
        </w:rPr>
        <w:t>国家名称</w:t>
      </w:r>
      <w:r>
        <w:rPr>
          <w:rFonts w:hint="eastAsia" w:asciiTheme="minorEastAsia" w:hAnsiTheme="minorEastAsia" w:eastAsiaTheme="minorEastAsia" w:cstheme="minorEastAsia"/>
          <w:sz w:val="24"/>
        </w:rPr>
        <w:t>）的法律正式成立的，主要营业地点设在（</w:t>
      </w:r>
      <w:r>
        <w:rPr>
          <w:rFonts w:hint="eastAsia" w:asciiTheme="minorEastAsia" w:hAnsiTheme="minorEastAsia" w:eastAsiaTheme="minorEastAsia" w:cstheme="minorEastAsia"/>
          <w:sz w:val="24"/>
          <w:u w:val="single"/>
        </w:rPr>
        <w:t>经销商地址</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经销商名称</w:t>
      </w:r>
      <w:r>
        <w:rPr>
          <w:rFonts w:hint="eastAsia" w:asciiTheme="minorEastAsia" w:hAnsiTheme="minorEastAsia" w:eastAsiaTheme="minorEastAsia" w:cstheme="minorEastAsia"/>
          <w:sz w:val="24"/>
        </w:rPr>
        <w:t>）作为我方真正的合法的代理人进行下列有效的活动：</w:t>
      </w:r>
    </w:p>
    <w:p>
      <w:pPr>
        <w:pStyle w:val="14"/>
        <w:tabs>
          <w:tab w:val="left" w:pos="5580"/>
        </w:tabs>
        <w:spacing w:line="360" w:lineRule="exact"/>
        <w:ind w:firstLine="540" w:firstLineChars="225"/>
        <w:rPr>
          <w:rFonts w:hint="eastAsia" w:asciiTheme="minorEastAsia" w:hAnsiTheme="minorEastAsia" w:eastAsiaTheme="minorEastAsia" w:cstheme="minorEastAsia"/>
          <w:sz w:val="24"/>
        </w:rPr>
      </w:pPr>
    </w:p>
    <w:p>
      <w:pPr>
        <w:pStyle w:val="14"/>
        <w:numPr>
          <w:ilvl w:val="0"/>
          <w:numId w:val="7"/>
        </w:numPr>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代表我方办理贵方</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u w:val="single"/>
          <w:lang w:eastAsia="zh-CN"/>
        </w:rPr>
        <w:t>磋商文件</w:t>
      </w:r>
      <w:r>
        <w:rPr>
          <w:rFonts w:hint="eastAsia" w:asciiTheme="minorEastAsia" w:hAnsiTheme="minorEastAsia" w:eastAsiaTheme="minorEastAsia" w:cstheme="minorEastAsia"/>
          <w:sz w:val="24"/>
          <w:u w:val="single"/>
        </w:rPr>
        <w:t>编号）　</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邀请要求提供的由我方制造的货物的有关事宜，并对我方具有约束力。</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（2）作为制造商，我方保证以</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合作者来约束自己，并对该</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共同和分别承担磋商文件中所规定的义务。</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（3）我方兹授予</w:t>
      </w:r>
      <w:r>
        <w:rPr>
          <w:rFonts w:hint="eastAsia" w:asciiTheme="minorEastAsia" w:hAnsiTheme="minorEastAsia" w:eastAsiaTheme="minorEastAsia" w:cstheme="minorEastAsia"/>
          <w:sz w:val="24"/>
          <w:u w:val="single"/>
        </w:rPr>
        <w:t>　　（经销商名称）　　</w:t>
      </w:r>
      <w:r>
        <w:rPr>
          <w:rFonts w:hint="eastAsia" w:asciiTheme="minorEastAsia" w:hAnsiTheme="minorEastAsia" w:eastAsiaTheme="minorEastAsia" w:cstheme="minorEastAsia"/>
          <w:sz w:val="24"/>
        </w:rPr>
        <w:t>全权办理和履行上述我方为完成上述各点所必须的事宜，具有替换或撤销的全权。兹确认</w:t>
      </w:r>
      <w:r>
        <w:rPr>
          <w:rFonts w:hint="eastAsia" w:asciiTheme="minorEastAsia" w:hAnsiTheme="minorEastAsia" w:eastAsiaTheme="minorEastAsia" w:cstheme="minorEastAsia"/>
          <w:sz w:val="24"/>
          <w:u w:val="single"/>
        </w:rPr>
        <w:t>　　（经销商名称）　　</w:t>
      </w:r>
      <w:r>
        <w:rPr>
          <w:rFonts w:hint="eastAsia" w:asciiTheme="minorEastAsia" w:hAnsiTheme="minorEastAsia" w:eastAsiaTheme="minorEastAsia" w:cstheme="minorEastAsia"/>
          <w:sz w:val="24"/>
        </w:rPr>
        <w:t>或其正式授权代表依此合法地办理一切事宜。</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（4）我方于</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日签署本文件，</w:t>
      </w:r>
      <w:r>
        <w:rPr>
          <w:rFonts w:hint="eastAsia" w:asciiTheme="minorEastAsia" w:hAnsiTheme="minorEastAsia" w:eastAsiaTheme="minorEastAsia" w:cstheme="minorEastAsia"/>
          <w:sz w:val="24"/>
          <w:u w:val="single"/>
        </w:rPr>
        <w:t>　　（经销商名称）　　</w:t>
      </w:r>
      <w:r>
        <w:rPr>
          <w:rFonts w:hint="eastAsia" w:asciiTheme="minorEastAsia" w:hAnsiTheme="minorEastAsia" w:eastAsiaTheme="minorEastAsia" w:cstheme="minorEastAsia"/>
          <w:sz w:val="24"/>
        </w:rPr>
        <w:t>于</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日接受此件，以此为证。</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制造商名称：（盖章）</w:t>
      </w:r>
      <w:r>
        <w:rPr>
          <w:rFonts w:hint="eastAsia" w:asciiTheme="minorEastAsia" w:hAnsiTheme="minorEastAsia" w:eastAsiaTheme="minorEastAsia" w:cstheme="minorEastAsia"/>
          <w:sz w:val="24"/>
          <w:u w:val="single"/>
        </w:rPr>
        <w:t xml:space="preserve">                           </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签字人职务和部门：</w:t>
      </w:r>
      <w:r>
        <w:rPr>
          <w:rFonts w:hint="eastAsia" w:asciiTheme="minorEastAsia" w:hAnsiTheme="minorEastAsia" w:eastAsiaTheme="minorEastAsia" w:cstheme="minorEastAsia"/>
          <w:sz w:val="24"/>
          <w:u w:val="single"/>
        </w:rPr>
        <w:t xml:space="preserve">                            </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签字人姓名：</w:t>
      </w:r>
      <w:r>
        <w:rPr>
          <w:rFonts w:hint="eastAsia" w:asciiTheme="minorEastAsia" w:hAnsiTheme="minorEastAsia" w:eastAsiaTheme="minorEastAsia" w:cstheme="minorEastAsia"/>
          <w:sz w:val="24"/>
          <w:u w:val="single"/>
        </w:rPr>
        <w:t xml:space="preserve">                                  </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u w:val="single"/>
        </w:rPr>
      </w:pPr>
      <w:bookmarkStart w:id="349" w:name="_Toc494296666"/>
      <w:bookmarkStart w:id="350" w:name="_Toc494296997"/>
      <w:r>
        <w:rPr>
          <w:rFonts w:hint="eastAsia" w:asciiTheme="minorEastAsia" w:hAnsiTheme="minorEastAsia" w:eastAsiaTheme="minorEastAsia" w:cstheme="minorEastAsia"/>
          <w:sz w:val="24"/>
        </w:rPr>
        <w:t>签字人签名：</w:t>
      </w:r>
      <w:bookmarkEnd w:id="349"/>
      <w:bookmarkEnd w:id="350"/>
      <w:r>
        <w:rPr>
          <w:rFonts w:hint="eastAsia" w:asciiTheme="minorEastAsia" w:hAnsiTheme="minorEastAsia" w:eastAsiaTheme="minorEastAsia" w:cstheme="minorEastAsia"/>
          <w:sz w:val="24"/>
          <w:u w:val="single"/>
        </w:rPr>
        <w:t xml:space="preserve">                                  </w:t>
      </w:r>
    </w:p>
    <w:p>
      <w:pPr>
        <w:pStyle w:val="14"/>
        <w:tabs>
          <w:tab w:val="left" w:pos="5580"/>
        </w:tabs>
        <w:spacing w:line="360" w:lineRule="exact"/>
        <w:ind w:left="1079" w:leftChars="257" w:hanging="540"/>
        <w:rPr>
          <w:rFonts w:hint="eastAsia" w:asciiTheme="minorEastAsia" w:hAnsiTheme="minorEastAsia" w:eastAsiaTheme="minorEastAsia" w:cstheme="minorEastAsia"/>
          <w:sz w:val="24"/>
          <w:u w:val="single"/>
        </w:rPr>
      </w:pPr>
    </w:p>
    <w:p>
      <w:pPr>
        <w:pStyle w:val="4"/>
        <w:spacing w:before="0" w:line="360" w:lineRule="exact"/>
        <w:jc w:val="both"/>
        <w:rPr>
          <w:rFonts w:hint="eastAsia" w:asciiTheme="minorEastAsia" w:hAnsiTheme="minorEastAsia" w:eastAsiaTheme="minorEastAsia" w:cstheme="minorEastAsia"/>
          <w:sz w:val="24"/>
        </w:rPr>
      </w:pPr>
      <w:bookmarkStart w:id="351" w:name="_Toc14251"/>
      <w:bookmarkStart w:id="352" w:name="_Toc11668"/>
      <w:bookmarkStart w:id="353" w:name="_Toc16724"/>
      <w:bookmarkStart w:id="354" w:name="_Toc10181"/>
      <w:bookmarkStart w:id="355" w:name="_Toc27251"/>
      <w:bookmarkStart w:id="356" w:name="_Toc26673"/>
      <w:bookmarkStart w:id="357" w:name="_Toc30691"/>
      <w:bookmarkStart w:id="358" w:name="_Toc16476"/>
      <w:r>
        <w:rPr>
          <w:rFonts w:hint="eastAsia" w:asciiTheme="minorEastAsia" w:hAnsiTheme="minorEastAsia" w:eastAsiaTheme="minorEastAsia" w:cstheme="minorEastAsia"/>
          <w:sz w:val="24"/>
        </w:rPr>
        <w:t>8、  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bookmarkEnd w:id="351"/>
      <w:bookmarkEnd w:id="352"/>
      <w:bookmarkEnd w:id="353"/>
      <w:bookmarkEnd w:id="354"/>
      <w:bookmarkEnd w:id="355"/>
      <w:bookmarkEnd w:id="356"/>
      <w:bookmarkEnd w:id="357"/>
      <w:bookmarkEnd w:id="358"/>
    </w:p>
    <w:p>
      <w:pPr>
        <w:pStyle w:val="14"/>
        <w:tabs>
          <w:tab w:val="left" w:pos="5580"/>
        </w:tabs>
        <w:spacing w:line="360" w:lineRule="exact"/>
        <w:ind w:left="1079" w:leftChars="257" w:hanging="540"/>
        <w:rPr>
          <w:rFonts w:hint="eastAsia" w:asciiTheme="minorEastAsia" w:hAnsiTheme="minorEastAsia" w:eastAsiaTheme="minorEastAsia" w:cstheme="minorEastAsia"/>
          <w:sz w:val="24"/>
          <w:u w:val="single"/>
        </w:rPr>
      </w:pPr>
    </w:p>
    <w:bookmarkEnd w:id="276"/>
    <w:bookmarkEnd w:id="277"/>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bookmarkStart w:id="359" w:name="_Toc6295"/>
      <w:bookmarkStart w:id="360" w:name="_Toc24267_WPSOffice_Level2"/>
      <w:bookmarkStart w:id="361" w:name="_Toc9513_WPSOffice_Level2"/>
      <w:bookmarkStart w:id="362" w:name="_Toc23485"/>
      <w:bookmarkStart w:id="363" w:name="_Toc5279"/>
      <w:bookmarkStart w:id="364" w:name="_Toc14915"/>
      <w:bookmarkStart w:id="365" w:name="_Toc2041"/>
      <w:bookmarkStart w:id="366" w:name="_Toc23960"/>
      <w:bookmarkStart w:id="367" w:name="_Toc515647817"/>
      <w:bookmarkStart w:id="368" w:name="_Toc5068"/>
      <w:bookmarkStart w:id="369" w:name="_Toc26170"/>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4"/>
        <w:tabs>
          <w:tab w:val="left" w:pos="5580"/>
        </w:tabs>
        <w:spacing w:line="360" w:lineRule="exact"/>
        <w:rPr>
          <w:rFonts w:hint="eastAsia" w:asciiTheme="minorEastAsia" w:hAnsiTheme="minorEastAsia" w:eastAsiaTheme="minorEastAsia" w:cstheme="minorEastAsia"/>
          <w:b/>
          <w:kern w:val="0"/>
          <w:sz w:val="24"/>
        </w:rPr>
      </w:pPr>
    </w:p>
    <w:p>
      <w:pPr>
        <w:pStyle w:val="14"/>
        <w:tabs>
          <w:tab w:val="left" w:pos="5580"/>
        </w:tabs>
        <w:spacing w:line="360" w:lineRule="exact"/>
        <w:ind w:left="1079" w:leftChars="257" w:hanging="540"/>
        <w:jc w:val="center"/>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kern w:val="0"/>
          <w:sz w:val="24"/>
        </w:rPr>
        <w:t>第二部分  商务及技术文件</w:t>
      </w:r>
      <w:bookmarkEnd w:id="359"/>
      <w:bookmarkEnd w:id="360"/>
      <w:bookmarkEnd w:id="361"/>
      <w:bookmarkEnd w:id="362"/>
      <w:bookmarkEnd w:id="363"/>
    </w:p>
    <w:p>
      <w:pPr>
        <w:pStyle w:val="14"/>
        <w:ind w:left="1079" w:leftChars="257" w:hanging="540"/>
        <w:rPr>
          <w:rFonts w:hint="eastAsia" w:hAnsi="宋体" w:cs="宋体"/>
          <w:sz w:val="24"/>
          <w:szCs w:val="24"/>
        </w:rPr>
      </w:pPr>
    </w:p>
    <w:p>
      <w:pPr>
        <w:pStyle w:val="14"/>
        <w:ind w:left="1079" w:leftChars="257" w:hanging="54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磋商响应函</w:t>
      </w:r>
      <w:r>
        <w:rPr>
          <w:rFonts w:hint="eastAsia" w:hAnsi="宋体" w:cs="宋体"/>
          <w:sz w:val="24"/>
          <w:szCs w:val="24"/>
        </w:rPr>
        <w:t>（</w:t>
      </w:r>
      <w:r>
        <w:rPr>
          <w:rFonts w:hint="eastAsia" w:hAnsi="宋体" w:cs="宋体"/>
          <w:sz w:val="24"/>
          <w:szCs w:val="24"/>
          <w:lang w:eastAsia="zh-CN"/>
        </w:rPr>
        <w:t>响应文件</w:t>
      </w:r>
      <w:r>
        <w:rPr>
          <w:rFonts w:hint="eastAsia" w:hAnsi="宋体" w:cs="宋体"/>
          <w:sz w:val="24"/>
          <w:szCs w:val="24"/>
        </w:rPr>
        <w:t>格式五）</w:t>
      </w:r>
    </w:p>
    <w:p>
      <w:pPr>
        <w:tabs>
          <w:tab w:val="left" w:pos="5580"/>
        </w:tabs>
        <w:spacing w:line="240" w:lineRule="atLeast"/>
        <w:ind w:left="1" w:firstLine="564" w:firstLineChars="235"/>
        <w:rPr>
          <w:rFonts w:hint="eastAsia" w:ascii="宋体" w:hAnsi="宋体" w:cs="宋体"/>
          <w:sz w:val="24"/>
        </w:rPr>
      </w:pPr>
      <w:r>
        <w:rPr>
          <w:rFonts w:hint="eastAsia" w:ascii="宋体" w:hAnsi="宋体" w:cs="宋体"/>
          <w:sz w:val="24"/>
        </w:rPr>
        <w:t>2、投标保证金缴纳凭证复印件或投标担保函（见</w:t>
      </w:r>
      <w:r>
        <w:rPr>
          <w:rFonts w:hint="eastAsia" w:ascii="宋体" w:hAnsi="宋体" w:cs="宋体"/>
          <w:sz w:val="24"/>
          <w:lang w:eastAsia="zh-CN"/>
        </w:rPr>
        <w:t>响应文件</w:t>
      </w:r>
      <w:r>
        <w:rPr>
          <w:rFonts w:hint="eastAsia" w:ascii="宋体" w:hAnsi="宋体" w:cs="宋体"/>
          <w:sz w:val="24"/>
        </w:rPr>
        <w:t>格式六）</w:t>
      </w:r>
    </w:p>
    <w:p>
      <w:pPr>
        <w:pStyle w:val="14"/>
        <w:ind w:left="1079" w:leftChars="257" w:hanging="540"/>
        <w:rPr>
          <w:rFonts w:hint="eastAsia" w:hAnsi="宋体" w:cs="宋体"/>
          <w:sz w:val="24"/>
          <w:szCs w:val="24"/>
        </w:rPr>
      </w:pPr>
      <w:r>
        <w:rPr>
          <w:rFonts w:hint="eastAsia" w:hAnsi="宋体" w:cs="宋体"/>
          <w:sz w:val="24"/>
          <w:szCs w:val="24"/>
        </w:rPr>
        <w:t>3、投标分项报价表（</w:t>
      </w:r>
      <w:r>
        <w:rPr>
          <w:rFonts w:hint="eastAsia" w:hAnsi="宋体" w:cs="宋体"/>
          <w:sz w:val="24"/>
          <w:szCs w:val="24"/>
          <w:lang w:eastAsia="zh-CN"/>
        </w:rPr>
        <w:t>响应文件</w:t>
      </w:r>
      <w:r>
        <w:rPr>
          <w:rFonts w:hint="eastAsia" w:hAnsi="宋体" w:cs="宋体"/>
          <w:sz w:val="24"/>
          <w:szCs w:val="24"/>
        </w:rPr>
        <w:t>格式七）</w:t>
      </w:r>
    </w:p>
    <w:p>
      <w:pPr>
        <w:pStyle w:val="14"/>
        <w:ind w:left="1079" w:leftChars="257" w:hanging="540"/>
        <w:rPr>
          <w:rFonts w:hint="eastAsia" w:hAnsi="宋体" w:cs="宋体"/>
          <w:sz w:val="24"/>
          <w:szCs w:val="24"/>
        </w:rPr>
      </w:pPr>
      <w:r>
        <w:rPr>
          <w:rFonts w:hint="eastAsia" w:hAnsi="宋体" w:cs="宋体"/>
          <w:sz w:val="24"/>
          <w:szCs w:val="24"/>
        </w:rPr>
        <w:t>4、货物说明一览表（</w:t>
      </w:r>
      <w:r>
        <w:rPr>
          <w:rFonts w:hint="eastAsia" w:hAnsi="宋体" w:cs="宋体"/>
          <w:sz w:val="24"/>
          <w:szCs w:val="24"/>
          <w:lang w:eastAsia="zh-CN"/>
        </w:rPr>
        <w:t>响应文件</w:t>
      </w:r>
      <w:r>
        <w:rPr>
          <w:rFonts w:hint="eastAsia" w:hAnsi="宋体" w:cs="宋体"/>
          <w:sz w:val="24"/>
          <w:szCs w:val="24"/>
        </w:rPr>
        <w:t>格式八）</w:t>
      </w:r>
    </w:p>
    <w:p>
      <w:pPr>
        <w:pStyle w:val="14"/>
        <w:ind w:left="1079" w:leftChars="257" w:hanging="540"/>
        <w:rPr>
          <w:rFonts w:hint="eastAsia" w:hAnsi="宋体" w:cs="宋体"/>
          <w:sz w:val="24"/>
          <w:szCs w:val="24"/>
        </w:rPr>
      </w:pPr>
      <w:r>
        <w:rPr>
          <w:rFonts w:hint="eastAsia" w:hAnsi="宋体" w:cs="宋体"/>
          <w:sz w:val="24"/>
          <w:szCs w:val="24"/>
        </w:rPr>
        <w:t>5、技术规格偏离表（</w:t>
      </w:r>
      <w:r>
        <w:rPr>
          <w:rFonts w:hint="eastAsia" w:hAnsi="宋体" w:cs="宋体"/>
          <w:sz w:val="24"/>
          <w:szCs w:val="24"/>
          <w:lang w:eastAsia="zh-CN"/>
        </w:rPr>
        <w:t>响应文件</w:t>
      </w:r>
      <w:r>
        <w:rPr>
          <w:rFonts w:hint="eastAsia" w:hAnsi="宋体" w:cs="宋体"/>
          <w:sz w:val="24"/>
          <w:szCs w:val="24"/>
        </w:rPr>
        <w:t>格式九）</w:t>
      </w:r>
    </w:p>
    <w:p>
      <w:pPr>
        <w:pStyle w:val="14"/>
        <w:ind w:left="1079" w:leftChars="257" w:hanging="540"/>
        <w:rPr>
          <w:rFonts w:hint="eastAsia" w:hAnsi="宋体" w:cs="宋体"/>
          <w:sz w:val="24"/>
          <w:szCs w:val="24"/>
        </w:rPr>
      </w:pPr>
      <w:r>
        <w:rPr>
          <w:rFonts w:hint="eastAsia" w:hAnsi="宋体" w:cs="宋体"/>
          <w:sz w:val="24"/>
          <w:szCs w:val="24"/>
        </w:rPr>
        <w:t>6、商务条款偏离表（</w:t>
      </w:r>
      <w:r>
        <w:rPr>
          <w:rFonts w:hint="eastAsia" w:hAnsi="宋体" w:cs="宋体"/>
          <w:sz w:val="24"/>
          <w:szCs w:val="24"/>
          <w:lang w:eastAsia="zh-CN"/>
        </w:rPr>
        <w:t>响应文件</w:t>
      </w:r>
      <w:r>
        <w:rPr>
          <w:rFonts w:hint="eastAsia" w:hAnsi="宋体" w:cs="宋体"/>
          <w:sz w:val="24"/>
          <w:szCs w:val="24"/>
        </w:rPr>
        <w:t>格式十）</w:t>
      </w:r>
    </w:p>
    <w:p>
      <w:pPr>
        <w:pStyle w:val="14"/>
        <w:ind w:left="1079" w:leftChars="257" w:hanging="540"/>
        <w:rPr>
          <w:rFonts w:hint="eastAsia" w:hAnsi="宋体" w:cs="宋体"/>
          <w:sz w:val="24"/>
          <w:szCs w:val="24"/>
        </w:rPr>
      </w:pPr>
      <w:r>
        <w:rPr>
          <w:rFonts w:hint="eastAsia" w:hAnsi="宋体" w:cs="宋体"/>
          <w:sz w:val="24"/>
          <w:szCs w:val="24"/>
        </w:rPr>
        <w:t>7、符合《政府采购促进中小企业发展暂行办法》、《关于政府采购支持监狱企业发展有关问题的通知》和《三部门联合发布关于促进残疾人就业政府采购政策的通知》价格扣减条件的投标人须提交）</w:t>
      </w:r>
    </w:p>
    <w:p>
      <w:pPr>
        <w:pStyle w:val="14"/>
        <w:ind w:left="310" w:leftChars="148" w:firstLine="228"/>
        <w:rPr>
          <w:rFonts w:hint="eastAsia" w:hAnsi="宋体" w:cs="宋体"/>
          <w:sz w:val="24"/>
          <w:szCs w:val="24"/>
        </w:rPr>
      </w:pPr>
      <w:r>
        <w:rPr>
          <w:rFonts w:hint="eastAsia" w:hAnsi="宋体" w:cs="宋体"/>
          <w:sz w:val="24"/>
          <w:szCs w:val="24"/>
        </w:rPr>
        <w:t>7-1《投标人企业（单位）类型声明函》（</w:t>
      </w:r>
      <w:r>
        <w:rPr>
          <w:rFonts w:hint="eastAsia" w:hAnsi="宋体" w:cs="宋体"/>
          <w:sz w:val="24"/>
          <w:szCs w:val="24"/>
          <w:lang w:eastAsia="zh-CN"/>
        </w:rPr>
        <w:t>响应文件</w:t>
      </w:r>
      <w:r>
        <w:rPr>
          <w:rFonts w:hint="eastAsia" w:hAnsi="宋体" w:cs="宋体"/>
          <w:sz w:val="24"/>
          <w:szCs w:val="24"/>
        </w:rPr>
        <w:t>格式十一）</w:t>
      </w:r>
    </w:p>
    <w:p>
      <w:pPr>
        <w:pStyle w:val="14"/>
        <w:ind w:left="310" w:leftChars="148" w:firstLine="228"/>
        <w:rPr>
          <w:rFonts w:hint="eastAsia" w:hAnsi="宋体" w:cs="宋体"/>
          <w:sz w:val="24"/>
          <w:szCs w:val="24"/>
        </w:rPr>
      </w:pPr>
      <w:r>
        <w:rPr>
          <w:rFonts w:hint="eastAsia" w:hAnsi="宋体" w:cs="宋体"/>
          <w:sz w:val="24"/>
          <w:szCs w:val="24"/>
        </w:rPr>
        <w:t>7-2《制造商投标人企业（单位）类型声明函》（</w:t>
      </w:r>
      <w:r>
        <w:rPr>
          <w:rFonts w:hint="eastAsia" w:hAnsi="宋体" w:cs="宋体"/>
          <w:sz w:val="24"/>
          <w:szCs w:val="24"/>
          <w:lang w:eastAsia="zh-CN"/>
        </w:rPr>
        <w:t>响应文件</w:t>
      </w:r>
      <w:r>
        <w:rPr>
          <w:rFonts w:hint="eastAsia" w:hAnsi="宋体" w:cs="宋体"/>
          <w:sz w:val="24"/>
          <w:szCs w:val="24"/>
        </w:rPr>
        <w:t>格式十二）</w:t>
      </w:r>
    </w:p>
    <w:p>
      <w:pPr>
        <w:pStyle w:val="14"/>
        <w:ind w:left="310" w:leftChars="148" w:firstLine="228"/>
        <w:rPr>
          <w:rFonts w:hint="eastAsia" w:hAnsi="宋体" w:cs="宋体"/>
          <w:sz w:val="24"/>
          <w:szCs w:val="24"/>
        </w:rPr>
      </w:pPr>
      <w:r>
        <w:rPr>
          <w:rFonts w:hint="eastAsia" w:hAnsi="宋体" w:cs="宋体"/>
          <w:sz w:val="24"/>
          <w:szCs w:val="24"/>
        </w:rPr>
        <w:t>7-3《残疾人福利性单位声明函》（</w:t>
      </w:r>
      <w:r>
        <w:rPr>
          <w:rFonts w:hint="eastAsia" w:hAnsi="宋体" w:cs="宋体"/>
          <w:sz w:val="24"/>
          <w:szCs w:val="24"/>
          <w:lang w:eastAsia="zh-CN"/>
        </w:rPr>
        <w:t>响应文件</w:t>
      </w:r>
      <w:r>
        <w:rPr>
          <w:rFonts w:hint="eastAsia" w:hAnsi="宋体" w:cs="宋体"/>
          <w:sz w:val="24"/>
          <w:szCs w:val="24"/>
        </w:rPr>
        <w:t>格式十三）</w:t>
      </w:r>
    </w:p>
    <w:p>
      <w:pPr>
        <w:pStyle w:val="14"/>
        <w:ind w:left="310" w:leftChars="148" w:firstLine="228"/>
        <w:rPr>
          <w:rFonts w:hint="eastAsia" w:hAnsi="宋体" w:cs="宋体"/>
          <w:sz w:val="24"/>
          <w:szCs w:val="24"/>
        </w:rPr>
      </w:pPr>
      <w:r>
        <w:rPr>
          <w:rFonts w:hint="eastAsia" w:hAnsi="宋体" w:cs="宋体"/>
          <w:sz w:val="24"/>
          <w:szCs w:val="24"/>
        </w:rPr>
        <w:t>8、投标人关联单位的说明（格式自拟）</w:t>
      </w:r>
    </w:p>
    <w:p>
      <w:pPr>
        <w:pStyle w:val="14"/>
        <w:ind w:left="1079" w:leftChars="257" w:hanging="540"/>
        <w:rPr>
          <w:rFonts w:hint="eastAsia" w:hAnsi="宋体" w:cs="宋体"/>
          <w:sz w:val="24"/>
          <w:szCs w:val="24"/>
        </w:rPr>
      </w:pPr>
      <w:r>
        <w:rPr>
          <w:rFonts w:hint="eastAsia" w:hAnsi="宋体" w:cs="宋体"/>
          <w:sz w:val="24"/>
          <w:szCs w:val="24"/>
        </w:rPr>
        <w:t>9、</w:t>
      </w:r>
      <w:r>
        <w:rPr>
          <w:rFonts w:hint="eastAsia" w:hAnsi="宋体" w:cs="宋体"/>
          <w:sz w:val="24"/>
          <w:szCs w:val="24"/>
          <w:lang w:eastAsia="zh-CN"/>
        </w:rPr>
        <w:t>响应文件</w:t>
      </w:r>
      <w:r>
        <w:rPr>
          <w:rFonts w:hint="eastAsia" w:hAnsi="宋体" w:cs="宋体"/>
          <w:sz w:val="24"/>
          <w:szCs w:val="24"/>
        </w:rPr>
        <w:t>还应包括投标人须知第10条的所有技术文件</w:t>
      </w:r>
    </w:p>
    <w:p>
      <w:pPr>
        <w:pStyle w:val="9"/>
        <w:rPr>
          <w:rFonts w:hint="eastAsia" w:hAnsi="宋体" w:cs="宋体"/>
          <w:sz w:val="24"/>
          <w:szCs w:val="24"/>
        </w:rPr>
      </w:pPr>
    </w:p>
    <w:p>
      <w:pPr>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2"/>
        <w:rPr>
          <w:rFonts w:hint="eastAsia" w:hAnsi="宋体" w:cs="宋体"/>
          <w:sz w:val="24"/>
          <w:szCs w:val="24"/>
        </w:rPr>
      </w:pPr>
    </w:p>
    <w:p>
      <w:pPr>
        <w:pStyle w:val="14"/>
        <w:tabs>
          <w:tab w:val="left" w:pos="5580"/>
        </w:tabs>
        <w:spacing w:line="360" w:lineRule="exact"/>
        <w:rPr>
          <w:rFonts w:hint="eastAsia" w:asciiTheme="minorEastAsia" w:hAnsiTheme="minorEastAsia" w:eastAsiaTheme="minorEastAsia" w:cstheme="minorEastAsia"/>
          <w:sz w:val="24"/>
        </w:rPr>
      </w:pPr>
    </w:p>
    <w:p>
      <w:pPr>
        <w:pStyle w:val="4"/>
        <w:spacing w:before="0" w:line="240" w:lineRule="atLeast"/>
        <w:ind w:left="1079" w:leftChars="257" w:hanging="540"/>
        <w:rPr>
          <w:rFonts w:hint="eastAsia" w:ascii="宋体" w:hAnsi="宋体" w:eastAsia="宋体" w:cs="宋体"/>
          <w:sz w:val="24"/>
          <w:szCs w:val="24"/>
        </w:rPr>
      </w:pPr>
      <w:bookmarkStart w:id="370" w:name="_Toc8525"/>
      <w:r>
        <w:rPr>
          <w:rFonts w:hint="eastAsia" w:ascii="宋体" w:hAnsi="宋体" w:eastAsia="宋体" w:cs="宋体"/>
          <w:sz w:val="24"/>
          <w:szCs w:val="24"/>
        </w:rPr>
        <w:t xml:space="preserve">1   </w:t>
      </w:r>
      <w:bookmarkStart w:id="371" w:name="_Hlt520355504"/>
      <w:bookmarkEnd w:id="371"/>
      <w:r>
        <w:rPr>
          <w:rFonts w:hint="eastAsia" w:ascii="宋体" w:hAnsi="宋体" w:eastAsia="宋体" w:cs="宋体"/>
          <w:sz w:val="24"/>
          <w:szCs w:val="24"/>
          <w:lang w:val="en-US" w:eastAsia="zh-CN"/>
        </w:rPr>
        <w:t>磋商响应函</w:t>
      </w:r>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格式五）</w:t>
      </w:r>
      <w:bookmarkEnd w:id="370"/>
    </w:p>
    <w:p>
      <w:pPr>
        <w:tabs>
          <w:tab w:val="left" w:pos="5580"/>
        </w:tabs>
        <w:spacing w:line="240" w:lineRule="atLeast"/>
        <w:ind w:left="1079" w:leftChars="257" w:hanging="540"/>
        <w:rPr>
          <w:rFonts w:hint="eastAsia" w:ascii="宋体" w:hAnsi="宋体" w:cs="宋体"/>
          <w:sz w:val="24"/>
        </w:rPr>
      </w:pPr>
    </w:p>
    <w:p>
      <w:pPr>
        <w:tabs>
          <w:tab w:val="left" w:pos="5580"/>
        </w:tabs>
        <w:spacing w:line="240" w:lineRule="atLeast"/>
        <w:ind w:left="1080" w:hanging="1080"/>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4"/>
        <w:tabs>
          <w:tab w:val="left" w:pos="5580"/>
        </w:tabs>
        <w:spacing w:line="240" w:lineRule="atLeast"/>
        <w:ind w:left="1079" w:leftChars="257" w:hanging="540"/>
        <w:rPr>
          <w:rFonts w:hint="eastAsia" w:hAnsi="宋体" w:cs="宋体"/>
          <w:sz w:val="24"/>
          <w:szCs w:val="24"/>
        </w:rPr>
      </w:pPr>
    </w:p>
    <w:p>
      <w:pPr>
        <w:pStyle w:val="14"/>
        <w:tabs>
          <w:tab w:val="left" w:pos="5580"/>
        </w:tabs>
        <w:spacing w:line="240" w:lineRule="atLeast"/>
        <w:ind w:left="2" w:leftChars="1" w:firstLine="480" w:firstLineChars="200"/>
        <w:rPr>
          <w:rFonts w:hint="eastAsia" w:hAnsi="宋体" w:cs="宋体"/>
          <w:sz w:val="24"/>
          <w:szCs w:val="24"/>
        </w:rPr>
      </w:pPr>
      <w:r>
        <w:rPr>
          <w:rFonts w:hint="eastAsia" w:hAnsi="宋体" w:cs="宋体"/>
          <w:sz w:val="24"/>
          <w:szCs w:val="24"/>
        </w:rPr>
        <w:t>根据贵方(</w:t>
      </w:r>
      <w:r>
        <w:rPr>
          <w:rFonts w:hint="eastAsia" w:hAnsi="宋体" w:cs="宋体"/>
          <w:i/>
          <w:sz w:val="24"/>
          <w:szCs w:val="24"/>
          <w:u w:val="single"/>
        </w:rPr>
        <w:t>项目名称</w:t>
      </w:r>
      <w:r>
        <w:rPr>
          <w:rFonts w:hint="eastAsia" w:hAnsi="宋体" w:cs="宋体"/>
          <w:sz w:val="24"/>
          <w:szCs w:val="24"/>
        </w:rPr>
        <w:t>)项目的投标邀请(</w:t>
      </w:r>
      <w:r>
        <w:rPr>
          <w:rFonts w:hint="eastAsia" w:hAnsi="宋体" w:cs="宋体"/>
          <w:i/>
          <w:sz w:val="24"/>
          <w:szCs w:val="24"/>
          <w:u w:val="single"/>
        </w:rPr>
        <w:t>招标编号</w:t>
      </w:r>
      <w:r>
        <w:rPr>
          <w:rFonts w:hint="eastAsia" w:hAnsi="宋体" w:cs="宋体"/>
          <w:sz w:val="24"/>
          <w:szCs w:val="24"/>
        </w:rPr>
        <w:t>),签字代表(</w:t>
      </w:r>
      <w:r>
        <w:rPr>
          <w:rFonts w:hint="eastAsia" w:hAnsi="宋体" w:cs="宋体"/>
          <w:i/>
          <w:sz w:val="24"/>
          <w:szCs w:val="24"/>
          <w:u w:val="single"/>
        </w:rPr>
        <w:t>姓名、职务</w:t>
      </w:r>
      <w:r>
        <w:rPr>
          <w:rFonts w:hint="eastAsia" w:hAnsi="宋体" w:cs="宋体"/>
          <w:sz w:val="24"/>
          <w:szCs w:val="24"/>
        </w:rPr>
        <w:t>)经正式授权并代表投标人（</w:t>
      </w:r>
      <w:r>
        <w:rPr>
          <w:rFonts w:hint="eastAsia" w:hAnsi="宋体" w:cs="宋体"/>
          <w:i/>
          <w:sz w:val="24"/>
          <w:szCs w:val="24"/>
          <w:u w:val="single"/>
        </w:rPr>
        <w:t>名称、地址</w:t>
      </w:r>
      <w:r>
        <w:rPr>
          <w:rFonts w:hint="eastAsia" w:hAnsi="宋体" w:cs="宋体"/>
          <w:sz w:val="24"/>
          <w:szCs w:val="24"/>
        </w:rPr>
        <w:t>）提交下述文件正本</w:t>
      </w:r>
      <w:r>
        <w:rPr>
          <w:rFonts w:hint="eastAsia" w:hAnsi="宋体" w:cs="宋体"/>
          <w:sz w:val="24"/>
          <w:szCs w:val="24"/>
          <w:u w:val="single"/>
        </w:rPr>
        <w:t xml:space="preserve">   </w:t>
      </w:r>
      <w:r>
        <w:rPr>
          <w:rFonts w:hint="eastAsia" w:hAnsi="宋体" w:cs="宋体"/>
          <w:sz w:val="24"/>
          <w:szCs w:val="24"/>
        </w:rPr>
        <w:t>份、副本</w:t>
      </w:r>
      <w:r>
        <w:rPr>
          <w:rFonts w:hint="eastAsia" w:hAnsi="宋体" w:cs="宋体"/>
          <w:sz w:val="24"/>
          <w:szCs w:val="24"/>
          <w:u w:val="single"/>
        </w:rPr>
        <w:t xml:space="preserve">     </w:t>
      </w:r>
      <w:r>
        <w:rPr>
          <w:rFonts w:hint="eastAsia" w:hAnsi="宋体" w:cs="宋体"/>
          <w:sz w:val="24"/>
          <w:szCs w:val="24"/>
        </w:rPr>
        <w:t>份及电子文档</w:t>
      </w:r>
      <w:r>
        <w:rPr>
          <w:rFonts w:hint="eastAsia" w:hAnsi="宋体" w:cs="宋体"/>
          <w:sz w:val="24"/>
          <w:szCs w:val="24"/>
          <w:u w:val="single"/>
        </w:rPr>
        <w:t xml:space="preserve">     </w:t>
      </w:r>
      <w:r>
        <w:rPr>
          <w:rFonts w:hint="eastAsia" w:hAnsi="宋体" w:cs="宋体"/>
          <w:sz w:val="24"/>
          <w:szCs w:val="24"/>
        </w:rPr>
        <w:t>份，并以</w:t>
      </w:r>
      <w:r>
        <w:rPr>
          <w:rFonts w:hint="eastAsia" w:hAnsi="宋体" w:cs="宋体"/>
          <w:sz w:val="24"/>
          <w:szCs w:val="24"/>
          <w:u w:val="single"/>
        </w:rPr>
        <w:t xml:space="preserve">         </w:t>
      </w:r>
      <w:r>
        <w:rPr>
          <w:rFonts w:hint="eastAsia" w:hAnsi="宋体" w:cs="宋体"/>
          <w:sz w:val="24"/>
          <w:szCs w:val="24"/>
        </w:rPr>
        <w:t>形式出具的金额为人民币</w:t>
      </w:r>
      <w:r>
        <w:rPr>
          <w:rFonts w:hint="eastAsia" w:hAnsi="宋体" w:cs="宋体"/>
          <w:sz w:val="24"/>
          <w:szCs w:val="24"/>
          <w:u w:val="single"/>
        </w:rPr>
        <w:t>　　　　</w:t>
      </w:r>
      <w:r>
        <w:rPr>
          <w:rFonts w:hint="eastAsia" w:hAnsi="宋体" w:cs="宋体"/>
          <w:sz w:val="24"/>
          <w:szCs w:val="24"/>
        </w:rPr>
        <w:t>元的投标保证金。</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据此，签字代表宣布同意如下：</w:t>
      </w:r>
    </w:p>
    <w:p>
      <w:pPr>
        <w:pStyle w:val="14"/>
        <w:tabs>
          <w:tab w:val="left" w:pos="720"/>
          <w:tab w:val="left" w:pos="900"/>
        </w:tabs>
        <w:spacing w:line="240" w:lineRule="atLeast"/>
        <w:ind w:left="768" w:leftChars="257" w:hanging="229"/>
        <w:rPr>
          <w:rFonts w:hint="eastAsia" w:hAnsi="宋体" w:cs="宋体"/>
          <w:sz w:val="24"/>
          <w:szCs w:val="24"/>
          <w:u w:val="single"/>
        </w:rPr>
      </w:pPr>
      <w:r>
        <w:rPr>
          <w:rFonts w:hint="eastAsia" w:hAnsi="宋体" w:cs="宋体"/>
          <w:sz w:val="24"/>
          <w:szCs w:val="24"/>
        </w:rPr>
        <w:t>（1）附投标价格表中规定的应提供货物的投标总价详见开标一览表，</w:t>
      </w:r>
      <w:r>
        <w:rPr>
          <w:rFonts w:hint="eastAsia" w:hAnsi="宋体" w:cs="宋体"/>
          <w:sz w:val="24"/>
          <w:szCs w:val="24"/>
          <w:u w:val="single"/>
        </w:rPr>
        <w:t>其中由小型和</w:t>
      </w:r>
      <w:r>
        <w:rPr>
          <w:rFonts w:hint="eastAsia" w:hAnsi="宋体" w:cs="宋体"/>
          <w:sz w:val="24"/>
          <w:szCs w:val="24"/>
        </w:rPr>
        <w:t>微型企业制造产品的价格为</w:t>
      </w:r>
      <w:r>
        <w:rPr>
          <w:rFonts w:hint="eastAsia" w:hAnsi="宋体" w:cs="宋体"/>
          <w:sz w:val="24"/>
          <w:szCs w:val="24"/>
          <w:u w:val="single"/>
        </w:rPr>
        <w:t>　　  （用文字和数字表示），占投标总价   %</w:t>
      </w:r>
      <w:r>
        <w:rPr>
          <w:rFonts w:hint="eastAsia" w:hAnsi="宋体" w:cs="宋体"/>
          <w:sz w:val="24"/>
          <w:szCs w:val="24"/>
        </w:rPr>
        <w:t>。</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（2）本投标有效期为自投标截止之日起</w:t>
      </w:r>
      <w:r>
        <w:rPr>
          <w:rFonts w:hint="eastAsia" w:hAnsi="宋体" w:cs="宋体"/>
          <w:sz w:val="24"/>
          <w:szCs w:val="24"/>
          <w:u w:val="single"/>
        </w:rPr>
        <w:t xml:space="preserve">          </w:t>
      </w:r>
      <w:r>
        <w:rPr>
          <w:rFonts w:hint="eastAsia" w:hAnsi="宋体" w:cs="宋体"/>
          <w:sz w:val="24"/>
          <w:szCs w:val="24"/>
        </w:rPr>
        <w:t>个日历日。</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（3）联合体中的大中型企业和其他自然人、法人或者非法人组织，与联合体中的小型、微型企业之间</w:t>
      </w:r>
      <w:r>
        <w:rPr>
          <w:rFonts w:hint="eastAsia" w:hAnsi="宋体" w:cs="宋体"/>
          <w:sz w:val="24"/>
          <w:szCs w:val="24"/>
          <w:u w:val="single"/>
        </w:rPr>
        <w:t xml:space="preserve">     （</w:t>
      </w:r>
      <w:r>
        <w:rPr>
          <w:rFonts w:hint="eastAsia" w:hAnsi="宋体" w:cs="宋体"/>
          <w:sz w:val="24"/>
          <w:szCs w:val="24"/>
        </w:rPr>
        <w:t>存在、不存在）投资关系（如果是联合体的话）。</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（5）在规定的开标时间后，遵守招标文件中有关保证金的规定。</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（6）我方不是为本项目提供整体设计、规范编制或者项目管理、监理、检测等服务的</w:t>
      </w:r>
      <w:r>
        <w:rPr>
          <w:rFonts w:hint="eastAsia" w:hAnsi="宋体" w:cs="宋体"/>
          <w:sz w:val="24"/>
          <w:szCs w:val="24"/>
          <w:lang w:eastAsia="zh-CN"/>
        </w:rPr>
        <w:t>投标人</w:t>
      </w:r>
      <w:r>
        <w:rPr>
          <w:rFonts w:hint="eastAsia" w:hAnsi="宋体" w:cs="宋体"/>
          <w:sz w:val="24"/>
          <w:szCs w:val="24"/>
        </w:rPr>
        <w:t>，我方不是采购代理机构的附属机构。</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（7）在领取中标通知书的同时按招标文件规定的形式，向贵方一次性支付中标服务费。</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（9）按照招标文件的规定履行合同责任和义务。</w:t>
      </w:r>
    </w:p>
    <w:p>
      <w:pPr>
        <w:pStyle w:val="14"/>
        <w:tabs>
          <w:tab w:val="left" w:pos="5580"/>
        </w:tabs>
        <w:spacing w:line="240" w:lineRule="atLeast"/>
        <w:ind w:left="358" w:leftChars="68" w:hanging="216" w:hangingChars="90"/>
        <w:rPr>
          <w:rFonts w:hint="eastAsia" w:hAnsi="宋体" w:cs="宋体"/>
          <w:sz w:val="24"/>
          <w:szCs w:val="24"/>
        </w:rPr>
      </w:pPr>
      <w:r>
        <w:rPr>
          <w:rFonts w:hint="eastAsia" w:hAnsi="宋体" w:cs="宋体"/>
          <w:sz w:val="24"/>
          <w:szCs w:val="24"/>
        </w:rPr>
        <w:t xml:space="preserve">  与本投标有关的一切正式往来信函请寄：</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传真</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b/>
          <w:sz w:val="24"/>
          <w:szCs w:val="24"/>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sz w:val="24"/>
          <w:szCs w:val="24"/>
        </w:rPr>
      </w:pP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法定代表人或其委托代理人签字-----------------</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投标人名称（全称）-----------------</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投标人开户银行（全称）</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投标人银行帐号</w:t>
      </w:r>
      <w:r>
        <w:rPr>
          <w:rFonts w:hint="eastAsia" w:hAnsi="宋体" w:cs="宋体"/>
          <w:sz w:val="24"/>
          <w:szCs w:val="24"/>
          <w:u w:val="single"/>
        </w:rPr>
        <w:t>　　　　　　　　 　　</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投标人单位章-------------------------</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日期-------------------------------</w:t>
      </w:r>
    </w:p>
    <w:p>
      <w:pPr>
        <w:pStyle w:val="4"/>
        <w:spacing w:before="0" w:line="240" w:lineRule="atLeast"/>
        <w:rPr>
          <w:rFonts w:hint="eastAsia" w:ascii="宋体" w:hAnsi="宋体" w:eastAsia="宋体" w:cs="宋体"/>
          <w:sz w:val="24"/>
          <w:szCs w:val="24"/>
        </w:rPr>
      </w:pPr>
      <w:r>
        <w:rPr>
          <w:rFonts w:hint="eastAsia" w:ascii="宋体" w:hAnsi="宋体" w:eastAsia="宋体" w:cs="宋体"/>
          <w:sz w:val="24"/>
          <w:szCs w:val="24"/>
        </w:rPr>
        <w:br w:type="page"/>
      </w:r>
      <w:bookmarkStart w:id="372" w:name="_Toc1266"/>
      <w:bookmarkStart w:id="373" w:name="_Toc19943"/>
      <w:bookmarkStart w:id="374" w:name="_Toc23473"/>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保证金缴纳凭证复印件或投标担保函</w:t>
      </w:r>
      <w:bookmarkEnd w:id="372"/>
      <w:bookmarkEnd w:id="373"/>
      <w:bookmarkEnd w:id="374"/>
    </w:p>
    <w:p>
      <w:pPr>
        <w:ind w:firstLine="480" w:firstLineChars="200"/>
        <w:rPr>
          <w:rFonts w:hint="eastAsia" w:ascii="宋体" w:hAnsi="宋体" w:cs="宋体"/>
          <w:sz w:val="24"/>
        </w:rPr>
      </w:pPr>
      <w:r>
        <w:rPr>
          <w:rFonts w:hint="eastAsia" w:ascii="宋体" w:hAnsi="宋体" w:cs="宋体"/>
          <w:sz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w:t>
      </w:r>
      <w:r>
        <w:rPr>
          <w:rFonts w:hint="eastAsia" w:ascii="宋体" w:hAnsi="宋体" w:cs="宋体"/>
          <w:sz w:val="24"/>
          <w:lang w:eastAsia="zh-CN"/>
        </w:rPr>
        <w:t>响应文件</w:t>
      </w:r>
      <w:r>
        <w:rPr>
          <w:rFonts w:hint="eastAsia" w:ascii="宋体" w:hAnsi="宋体" w:cs="宋体"/>
          <w:sz w:val="24"/>
        </w:rPr>
        <w:t>格式六）,将原件装订在本部分正本中。</w:t>
      </w:r>
    </w:p>
    <w:p>
      <w:pPr>
        <w:jc w:val="center"/>
        <w:rPr>
          <w:rFonts w:hint="eastAsia" w:ascii="宋体" w:hAnsi="宋体" w:cs="宋体"/>
          <w:sz w:val="24"/>
        </w:rPr>
      </w:pPr>
      <w:r>
        <w:rPr>
          <w:rFonts w:hint="eastAsia" w:ascii="宋体" w:hAnsi="宋体" w:cs="宋体"/>
          <w:sz w:val="24"/>
        </w:rPr>
        <w:t>政府采购投标担保函 （项目用）（</w:t>
      </w:r>
      <w:r>
        <w:rPr>
          <w:rFonts w:hint="eastAsia" w:ascii="宋体" w:hAnsi="宋体" w:cs="宋体"/>
          <w:sz w:val="24"/>
          <w:lang w:eastAsia="zh-CN"/>
        </w:rPr>
        <w:t>响应文件</w:t>
      </w:r>
      <w:r>
        <w:rPr>
          <w:rFonts w:hint="eastAsia" w:ascii="宋体" w:hAnsi="宋体" w:cs="宋体"/>
          <w:sz w:val="24"/>
        </w:rPr>
        <w:t>格式六）</w:t>
      </w:r>
    </w:p>
    <w:p>
      <w:pPr>
        <w:rPr>
          <w:rFonts w:hint="eastAsia" w:ascii="宋体" w:hAnsi="宋体" w:cs="宋体"/>
          <w:sz w:val="24"/>
        </w:rPr>
      </w:pPr>
      <w:r>
        <w:rPr>
          <w:rFonts w:hint="eastAsia" w:ascii="宋体" w:hAnsi="宋体" w:cs="宋体"/>
          <w:sz w:val="24"/>
        </w:rPr>
        <w:t>编号：</w:t>
      </w: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（采购人或采购代理机构）：</w:t>
      </w:r>
    </w:p>
    <w:p>
      <w:pPr>
        <w:ind w:firstLine="480" w:firstLineChars="200"/>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（以下简称“投标人”）拟参加编号为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项目（以下简称“本项目”）投标，根据本项目招标文件，</w:t>
      </w:r>
      <w:r>
        <w:rPr>
          <w:rFonts w:hint="eastAsia" w:ascii="宋体" w:hAnsi="宋体" w:cs="宋体"/>
          <w:sz w:val="24"/>
          <w:lang w:eastAsia="zh-CN"/>
        </w:rPr>
        <w:t>投标人</w:t>
      </w:r>
      <w:r>
        <w:rPr>
          <w:rFonts w:hint="eastAsia" w:ascii="宋体" w:hAnsi="宋体" w:cs="宋体"/>
          <w:sz w:val="24"/>
        </w:rPr>
        <w:t>参加投标时应向你方交纳投标保证金，且可以投标担保函的形式交纳投标保证金。应</w:t>
      </w:r>
      <w:r>
        <w:rPr>
          <w:rFonts w:hint="eastAsia" w:ascii="宋体" w:hAnsi="宋体" w:cs="宋体"/>
          <w:sz w:val="24"/>
          <w:lang w:eastAsia="zh-CN"/>
        </w:rPr>
        <w:t>投标人</w:t>
      </w:r>
      <w:r>
        <w:rPr>
          <w:rFonts w:hint="eastAsia" w:ascii="宋体" w:hAnsi="宋体" w:cs="宋体"/>
          <w:sz w:val="24"/>
        </w:rPr>
        <w:t>的申请，我方以保证的方式向你方提供如下投标保证金担保：</w:t>
      </w:r>
    </w:p>
    <w:p>
      <w:pPr>
        <w:ind w:firstLine="480" w:firstLineChars="200"/>
        <w:rPr>
          <w:rFonts w:hint="eastAsia" w:ascii="宋体" w:hAnsi="宋体" w:cs="宋体"/>
          <w:sz w:val="24"/>
        </w:rPr>
      </w:pPr>
      <w:r>
        <w:rPr>
          <w:rFonts w:hint="eastAsia" w:ascii="宋体" w:hAnsi="宋体" w:cs="宋体"/>
          <w:sz w:val="24"/>
        </w:rPr>
        <w:t>一、保证责任的情形及保证金额</w:t>
      </w:r>
    </w:p>
    <w:p>
      <w:pPr>
        <w:ind w:firstLine="240" w:firstLineChars="100"/>
        <w:rPr>
          <w:rFonts w:hint="eastAsia" w:ascii="宋体" w:hAnsi="宋体" w:cs="宋体"/>
          <w:sz w:val="24"/>
        </w:rPr>
      </w:pPr>
      <w:r>
        <w:rPr>
          <w:rFonts w:hint="eastAsia" w:ascii="宋体" w:hAnsi="宋体" w:cs="宋体"/>
          <w:sz w:val="24"/>
        </w:rPr>
        <w:t>（一）在投标人出现下列情形之一时，我方承担保证责任：</w:t>
      </w:r>
    </w:p>
    <w:p>
      <w:pPr>
        <w:ind w:firstLine="480" w:firstLineChars="200"/>
        <w:rPr>
          <w:rFonts w:hint="eastAsia" w:ascii="宋体" w:hAnsi="宋体" w:cs="宋体"/>
          <w:sz w:val="24"/>
        </w:rPr>
      </w:pPr>
      <w:r>
        <w:rPr>
          <w:rFonts w:hint="eastAsia" w:ascii="宋体" w:hAnsi="宋体" w:cs="宋体"/>
          <w:sz w:val="24"/>
        </w:rPr>
        <w:t>1．中标后投标人无正当理由不与采购人或者采购代理机构签订《政府采购合同》；</w:t>
      </w:r>
    </w:p>
    <w:p>
      <w:pPr>
        <w:ind w:firstLine="480" w:firstLineChars="200"/>
        <w:rPr>
          <w:rFonts w:hint="eastAsia" w:ascii="宋体" w:hAnsi="宋体" w:cs="宋体"/>
          <w:sz w:val="24"/>
        </w:rPr>
      </w:pPr>
      <w:r>
        <w:rPr>
          <w:rFonts w:hint="eastAsia" w:ascii="宋体" w:hAnsi="宋体" w:cs="宋体"/>
          <w:sz w:val="24"/>
        </w:rPr>
        <w:t>2．招标文件规定的投标人应当缴纳保证金的其他情形。</w:t>
      </w:r>
    </w:p>
    <w:p>
      <w:pPr>
        <w:ind w:firstLine="240" w:firstLineChars="100"/>
        <w:rPr>
          <w:rFonts w:hint="eastAsia" w:ascii="宋体" w:hAnsi="宋体" w:cs="宋体"/>
          <w:sz w:val="24"/>
        </w:rPr>
      </w:pPr>
      <w:r>
        <w:rPr>
          <w:rFonts w:hint="eastAsia" w:ascii="宋体" w:hAnsi="宋体" w:cs="宋体"/>
          <w:sz w:val="24"/>
        </w:rPr>
        <w:t>（二）我方承担保证责任的最高金额为人民币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），即本项目的投标保证金金额。</w:t>
      </w:r>
    </w:p>
    <w:p>
      <w:pPr>
        <w:ind w:firstLine="480" w:firstLineChars="200"/>
        <w:rPr>
          <w:rFonts w:hint="eastAsia" w:ascii="宋体" w:hAnsi="宋体" w:cs="宋体"/>
          <w:sz w:val="24"/>
        </w:rPr>
      </w:pPr>
      <w:r>
        <w:rPr>
          <w:rFonts w:hint="eastAsia" w:ascii="宋体" w:hAnsi="宋体" w:cs="宋体"/>
          <w:sz w:val="24"/>
        </w:rPr>
        <w:t>二、保证的方式及保证期间</w:t>
      </w:r>
    </w:p>
    <w:p>
      <w:pPr>
        <w:ind w:firstLine="480" w:firstLineChars="200"/>
        <w:rPr>
          <w:rFonts w:hint="eastAsia" w:ascii="宋体" w:hAnsi="宋体" w:cs="宋体"/>
          <w:sz w:val="24"/>
        </w:rPr>
      </w:pPr>
      <w:r>
        <w:rPr>
          <w:rFonts w:hint="eastAsia" w:ascii="宋体" w:hAnsi="宋体" w:cs="宋体"/>
          <w:sz w:val="24"/>
        </w:rPr>
        <w:t>我方保证的方式为：连带责任保证。</w:t>
      </w:r>
    </w:p>
    <w:p>
      <w:pPr>
        <w:ind w:firstLine="480" w:firstLineChars="200"/>
        <w:rPr>
          <w:rFonts w:hint="eastAsia" w:ascii="宋体" w:hAnsi="宋体" w:cs="宋体"/>
          <w:sz w:val="24"/>
        </w:rPr>
      </w:pPr>
      <w:r>
        <w:rPr>
          <w:rFonts w:hint="eastAsia" w:ascii="宋体" w:hAnsi="宋体" w:cs="宋体"/>
          <w:sz w:val="24"/>
        </w:rPr>
        <w:t>我方的保证期间为：自本保函生效之日起</w:t>
      </w:r>
      <w:r>
        <w:rPr>
          <w:rFonts w:hint="eastAsia" w:ascii="宋体" w:hAnsi="宋体" w:cs="宋体"/>
          <w:sz w:val="24"/>
          <w:u w:val="single"/>
        </w:rPr>
        <w:t xml:space="preserve">    </w:t>
      </w:r>
      <w:r>
        <w:rPr>
          <w:rFonts w:hint="eastAsia" w:ascii="宋体" w:hAnsi="宋体" w:cs="宋体"/>
          <w:sz w:val="24"/>
        </w:rPr>
        <w:t>个月止。</w:t>
      </w:r>
    </w:p>
    <w:p>
      <w:pPr>
        <w:ind w:firstLine="480" w:firstLineChars="200"/>
        <w:rPr>
          <w:rFonts w:hint="eastAsia" w:ascii="宋体" w:hAnsi="宋体" w:cs="宋体"/>
          <w:sz w:val="24"/>
        </w:rPr>
      </w:pPr>
      <w:r>
        <w:rPr>
          <w:rFonts w:hint="eastAsia" w:ascii="宋体" w:hAnsi="宋体" w:cs="宋体"/>
          <w:sz w:val="24"/>
        </w:rPr>
        <w:t>三、承担保证责任的程序</w:t>
      </w:r>
    </w:p>
    <w:p>
      <w:pPr>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cs="宋体"/>
          <w:sz w:val="24"/>
        </w:rPr>
      </w:pPr>
      <w:r>
        <w:rPr>
          <w:rFonts w:hint="eastAsia" w:ascii="宋体" w:hAnsi="宋体" w:cs="宋体"/>
          <w:sz w:val="24"/>
        </w:rPr>
        <w:t>2．我方在收到索赔通知及相关证明材料后，在</w:t>
      </w:r>
      <w:r>
        <w:rPr>
          <w:rFonts w:hint="eastAsia" w:ascii="宋体" w:hAnsi="宋体" w:cs="宋体"/>
          <w:sz w:val="24"/>
          <w:u w:val="single"/>
        </w:rPr>
        <w:t>　　　</w:t>
      </w:r>
      <w:r>
        <w:rPr>
          <w:rFonts w:hint="eastAsia" w:ascii="宋体" w:hAnsi="宋体" w:cs="宋体"/>
          <w:sz w:val="24"/>
        </w:rPr>
        <w:t>个工作日内进行审查，符合应承担保证责任情形的，我方应按照你方的要求代投标人向你方支付投标保证金。</w:t>
      </w:r>
    </w:p>
    <w:p>
      <w:pPr>
        <w:ind w:firstLine="480" w:firstLineChars="200"/>
        <w:rPr>
          <w:rFonts w:hint="eastAsia" w:ascii="宋体" w:hAnsi="宋体" w:cs="宋体"/>
          <w:sz w:val="24"/>
        </w:rPr>
      </w:pPr>
      <w:r>
        <w:rPr>
          <w:rFonts w:hint="eastAsia" w:ascii="宋体" w:hAnsi="宋体" w:cs="宋体"/>
          <w:sz w:val="24"/>
        </w:rPr>
        <w:t>四、保证责任的终止</w:t>
      </w:r>
    </w:p>
    <w:p>
      <w:pPr>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w:t>
      </w:r>
    </w:p>
    <w:p>
      <w:pPr>
        <w:ind w:firstLine="480" w:firstLineChars="200"/>
        <w:rPr>
          <w:rFonts w:hint="eastAsia" w:ascii="宋体" w:hAnsi="宋体" w:cs="宋体"/>
          <w:sz w:val="24"/>
        </w:rPr>
      </w:pPr>
      <w:r>
        <w:rPr>
          <w:rFonts w:hint="eastAsia" w:ascii="宋体" w:hAnsi="宋体" w:cs="宋体"/>
          <w:sz w:val="24"/>
        </w:rPr>
        <w:t>2．我方按照本保函向你贵方履行了保证责任后，自我方向你贵方支付款项（支付款项从我方账户划出）之日起，保证责任终止。</w:t>
      </w:r>
    </w:p>
    <w:p>
      <w:pPr>
        <w:ind w:firstLine="480" w:firstLineChars="200"/>
        <w:rPr>
          <w:rFonts w:hint="eastAsia" w:ascii="宋体" w:hAnsi="宋体" w:cs="宋体"/>
          <w:sz w:val="24"/>
        </w:rPr>
      </w:pPr>
      <w:r>
        <w:rPr>
          <w:rFonts w:hint="eastAsia" w:ascii="宋体" w:hAnsi="宋体" w:cs="宋体"/>
          <w:sz w:val="24"/>
        </w:rPr>
        <w:t>3．按照法律法规的规定或出现我方保证责任终止的其它情形的，我方在本保函项下的保证责任亦终止。</w:t>
      </w:r>
    </w:p>
    <w:p>
      <w:pPr>
        <w:ind w:firstLine="480" w:firstLineChars="200"/>
        <w:rPr>
          <w:rFonts w:hint="eastAsia" w:ascii="宋体" w:hAnsi="宋体" w:cs="宋体"/>
          <w:sz w:val="24"/>
        </w:rPr>
      </w:pPr>
      <w:r>
        <w:rPr>
          <w:rFonts w:hint="eastAsia" w:ascii="宋体" w:hAnsi="宋体" w:cs="宋体"/>
          <w:sz w:val="24"/>
        </w:rPr>
        <w:t>五、免责条款</w:t>
      </w:r>
    </w:p>
    <w:p>
      <w:pPr>
        <w:ind w:firstLine="480" w:firstLineChars="200"/>
        <w:rPr>
          <w:rFonts w:hint="eastAsia" w:ascii="宋体" w:hAnsi="宋体" w:cs="宋体"/>
          <w:sz w:val="24"/>
        </w:rPr>
      </w:pPr>
      <w:r>
        <w:rPr>
          <w:rFonts w:hint="eastAsia" w:ascii="宋体" w:hAnsi="宋体" w:cs="宋体"/>
          <w:sz w:val="24"/>
        </w:rPr>
        <w:t>1．依照法律规定或你方与投标人的另行约定，全部或者部分免除投标人投标保证金义务时，我方亦免除相应的保证责任。</w:t>
      </w:r>
    </w:p>
    <w:p>
      <w:pPr>
        <w:ind w:firstLine="480" w:firstLineChars="200"/>
        <w:rPr>
          <w:rFonts w:hint="eastAsia" w:ascii="宋体" w:hAnsi="宋体" w:cs="宋体"/>
          <w:sz w:val="24"/>
        </w:rPr>
      </w:pPr>
      <w:r>
        <w:rPr>
          <w:rFonts w:hint="eastAsia" w:ascii="宋体" w:hAnsi="宋体" w:cs="宋体"/>
          <w:sz w:val="24"/>
        </w:rPr>
        <w:t>2．因你方原因致使投标人发生本保函第一条第（一）款约定情形的，我方不承担保证责任。</w:t>
      </w:r>
    </w:p>
    <w:p>
      <w:pPr>
        <w:ind w:firstLine="480" w:firstLineChars="200"/>
        <w:rPr>
          <w:rFonts w:hint="eastAsia" w:ascii="宋体" w:hAnsi="宋体" w:cs="宋体"/>
          <w:sz w:val="24"/>
        </w:rPr>
      </w:pPr>
      <w:r>
        <w:rPr>
          <w:rFonts w:hint="eastAsia" w:ascii="宋体" w:hAnsi="宋体" w:cs="宋体"/>
          <w:sz w:val="24"/>
        </w:rPr>
        <w:t>3．因不可抗力造成投标人发生本保函第一条约定情形的，我方不承担保证责任。</w:t>
      </w:r>
    </w:p>
    <w:p>
      <w:pPr>
        <w:ind w:firstLine="480" w:firstLineChars="200"/>
        <w:rPr>
          <w:rFonts w:hint="eastAsia" w:ascii="宋体" w:hAnsi="宋体" w:cs="宋体"/>
          <w:sz w:val="24"/>
        </w:rPr>
      </w:pPr>
      <w:r>
        <w:rPr>
          <w:rFonts w:hint="eastAsia" w:ascii="宋体" w:hAnsi="宋体" w:cs="宋体"/>
          <w:sz w:val="24"/>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cs="宋体"/>
          <w:sz w:val="24"/>
        </w:rPr>
      </w:pPr>
      <w:r>
        <w:rPr>
          <w:rFonts w:hint="eastAsia" w:ascii="宋体" w:hAnsi="宋体" w:cs="宋体"/>
          <w:sz w:val="24"/>
        </w:rPr>
        <w:t>六、争议的解决</w:t>
      </w:r>
    </w:p>
    <w:p>
      <w:pPr>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ind w:firstLine="480" w:firstLineChars="200"/>
        <w:rPr>
          <w:rFonts w:hint="eastAsia" w:ascii="宋体" w:hAnsi="宋体" w:cs="宋体"/>
          <w:sz w:val="24"/>
        </w:rPr>
      </w:pPr>
      <w:r>
        <w:rPr>
          <w:rFonts w:hint="eastAsia" w:ascii="宋体" w:hAnsi="宋体" w:cs="宋体"/>
          <w:sz w:val="24"/>
        </w:rPr>
        <w:t>七、保函的生效</w:t>
      </w:r>
    </w:p>
    <w:p>
      <w:pPr>
        <w:ind w:firstLine="480" w:firstLineChars="200"/>
        <w:rPr>
          <w:rFonts w:hint="eastAsia" w:ascii="宋体" w:hAnsi="宋体" w:cs="宋体"/>
          <w:sz w:val="24"/>
        </w:rPr>
      </w:pPr>
      <w:r>
        <w:rPr>
          <w:rFonts w:hint="eastAsia" w:ascii="宋体" w:hAnsi="宋体" w:cs="宋体"/>
          <w:sz w:val="24"/>
        </w:rPr>
        <w:t>本保函自我方加盖公章之日起生效。</w:t>
      </w:r>
    </w:p>
    <w:p>
      <w:pPr>
        <w:rPr>
          <w:rFonts w:hint="eastAsia" w:ascii="宋体" w:hAnsi="宋体" w:cs="宋体"/>
          <w:sz w:val="24"/>
        </w:rPr>
      </w:pPr>
      <w:r>
        <w:rPr>
          <w:rFonts w:hint="eastAsia" w:ascii="宋体" w:hAnsi="宋体" w:cs="宋体"/>
          <w:sz w:val="24"/>
        </w:rPr>
        <w:t>保证人：（公章）</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sectPr>
          <w:footerReference r:id="rId8"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 月   日</w:t>
      </w:r>
    </w:p>
    <w:p>
      <w:pPr>
        <w:pStyle w:val="4"/>
        <w:spacing w:before="0" w:line="240" w:lineRule="atLeast"/>
        <w:ind w:left="1080" w:leftChars="257" w:hanging="540"/>
        <w:rPr>
          <w:rFonts w:hint="eastAsia" w:ascii="宋体" w:hAnsi="宋体" w:eastAsia="宋体" w:cs="宋体"/>
          <w:sz w:val="24"/>
          <w:szCs w:val="24"/>
        </w:rPr>
      </w:pPr>
      <w:bookmarkStart w:id="375" w:name="_Hlt520355938"/>
      <w:bookmarkEnd w:id="375"/>
      <w:bookmarkStart w:id="376" w:name="_Hlt520356243"/>
      <w:bookmarkEnd w:id="376"/>
      <w:bookmarkStart w:id="377" w:name="_Toc216582815"/>
      <w:bookmarkStart w:id="378" w:name="_Toc515647818"/>
      <w:bookmarkStart w:id="379" w:name="_Toc10388"/>
      <w:bookmarkStart w:id="380" w:name="_Toc20897"/>
      <w:bookmarkStart w:id="381" w:name="_Toc1881"/>
      <w:r>
        <w:rPr>
          <w:rFonts w:hint="eastAsia" w:ascii="宋体" w:hAnsi="宋体" w:eastAsia="宋体" w:cs="宋体"/>
          <w:sz w:val="24"/>
          <w:szCs w:val="24"/>
        </w:rPr>
        <w:t>3   投标分项报价表</w:t>
      </w:r>
      <w:bookmarkEnd w:id="377"/>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格式七）</w:t>
      </w:r>
      <w:bookmarkEnd w:id="378"/>
      <w:bookmarkEnd w:id="379"/>
      <w:bookmarkEnd w:id="380"/>
      <w:bookmarkEnd w:id="381"/>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项目名称:                      招标编号:                         包号: 　 　报价单位：人民币元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序号</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名称</w:t>
            </w:r>
          </w:p>
        </w:tc>
        <w:tc>
          <w:tcPr>
            <w:tcW w:w="1984"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型号和规格</w:t>
            </w:r>
          </w:p>
        </w:tc>
        <w:tc>
          <w:tcPr>
            <w:tcW w:w="1418"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数量</w:t>
            </w:r>
          </w:p>
        </w:tc>
        <w:tc>
          <w:tcPr>
            <w:tcW w:w="1215"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原产地</w:t>
            </w:r>
          </w:p>
        </w:tc>
        <w:tc>
          <w:tcPr>
            <w:tcW w:w="1152"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制造商名称</w:t>
            </w:r>
          </w:p>
        </w:tc>
        <w:tc>
          <w:tcPr>
            <w:tcW w:w="1177"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单价</w:t>
            </w:r>
          </w:p>
        </w:tc>
        <w:tc>
          <w:tcPr>
            <w:tcW w:w="1717"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总价</w:t>
            </w:r>
          </w:p>
        </w:tc>
        <w:tc>
          <w:tcPr>
            <w:tcW w:w="976"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1.</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货物名称</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2.</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备品备件</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3.</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专用工具</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4.</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安装、调试、检验</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5.</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培训</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6.</w:t>
            </w:r>
          </w:p>
        </w:tc>
        <w:tc>
          <w:tcPr>
            <w:tcW w:w="251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技术服务</w:t>
            </w:r>
          </w:p>
        </w:tc>
        <w:tc>
          <w:tcPr>
            <w:tcW w:w="1984" w:type="dxa"/>
            <w:noWrap w:val="0"/>
            <w:vAlign w:val="center"/>
          </w:tcPr>
          <w:p>
            <w:pPr>
              <w:pStyle w:val="14"/>
              <w:spacing w:line="240" w:lineRule="atLeast"/>
              <w:ind w:left="1080" w:leftChars="257" w:hanging="540"/>
              <w:jc w:val="center"/>
              <w:rPr>
                <w:rFonts w:hint="eastAsia" w:hAnsi="宋体" w:cs="宋体"/>
                <w:sz w:val="24"/>
                <w:szCs w:val="24"/>
              </w:rPr>
            </w:pPr>
          </w:p>
        </w:tc>
        <w:tc>
          <w:tcPr>
            <w:tcW w:w="1418" w:type="dxa"/>
            <w:noWrap w:val="0"/>
            <w:vAlign w:val="center"/>
          </w:tcPr>
          <w:p>
            <w:pPr>
              <w:pStyle w:val="14"/>
              <w:spacing w:line="240" w:lineRule="atLeast"/>
              <w:ind w:left="1080" w:leftChars="257" w:hanging="540"/>
              <w:jc w:val="center"/>
              <w:rPr>
                <w:rFonts w:hint="eastAsia" w:hAnsi="宋体" w:cs="宋体"/>
                <w:sz w:val="24"/>
                <w:szCs w:val="24"/>
              </w:rPr>
            </w:pPr>
          </w:p>
        </w:tc>
        <w:tc>
          <w:tcPr>
            <w:tcW w:w="1215" w:type="dxa"/>
            <w:noWrap w:val="0"/>
            <w:vAlign w:val="center"/>
          </w:tcPr>
          <w:p>
            <w:pPr>
              <w:pStyle w:val="14"/>
              <w:spacing w:line="240" w:lineRule="atLeast"/>
              <w:ind w:left="1080" w:leftChars="257" w:hanging="540"/>
              <w:jc w:val="center"/>
              <w:rPr>
                <w:rFonts w:hint="eastAsia" w:hAnsi="宋体" w:cs="宋体"/>
                <w:sz w:val="24"/>
                <w:szCs w:val="24"/>
              </w:rPr>
            </w:pPr>
          </w:p>
        </w:tc>
        <w:tc>
          <w:tcPr>
            <w:tcW w:w="1152" w:type="dxa"/>
            <w:noWrap w:val="0"/>
            <w:vAlign w:val="center"/>
          </w:tcPr>
          <w:p>
            <w:pPr>
              <w:pStyle w:val="14"/>
              <w:spacing w:line="240" w:lineRule="atLeast"/>
              <w:ind w:left="1080" w:leftChars="257" w:hanging="540"/>
              <w:jc w:val="center"/>
              <w:rPr>
                <w:rFonts w:hint="eastAsia" w:hAnsi="宋体" w:cs="宋体"/>
                <w:sz w:val="24"/>
                <w:szCs w:val="24"/>
              </w:rPr>
            </w:pPr>
          </w:p>
        </w:tc>
        <w:tc>
          <w:tcPr>
            <w:tcW w:w="1177" w:type="dxa"/>
            <w:noWrap w:val="0"/>
            <w:vAlign w:val="center"/>
          </w:tcPr>
          <w:p>
            <w:pPr>
              <w:pStyle w:val="14"/>
              <w:spacing w:line="240" w:lineRule="atLeast"/>
              <w:ind w:left="1080" w:leftChars="257" w:hanging="540"/>
              <w:jc w:val="center"/>
              <w:rPr>
                <w:rFonts w:hint="eastAsia" w:hAnsi="宋体" w:cs="宋体"/>
                <w:sz w:val="24"/>
                <w:szCs w:val="24"/>
              </w:rPr>
            </w:pPr>
          </w:p>
        </w:tc>
        <w:tc>
          <w:tcPr>
            <w:tcW w:w="1717" w:type="dxa"/>
            <w:noWrap w:val="0"/>
            <w:vAlign w:val="center"/>
          </w:tcPr>
          <w:p>
            <w:pPr>
              <w:pStyle w:val="14"/>
              <w:spacing w:line="240" w:lineRule="atLeast"/>
              <w:ind w:left="1080" w:leftChars="257" w:hanging="540"/>
              <w:jc w:val="center"/>
              <w:rPr>
                <w:rFonts w:hint="eastAsia" w:hAnsi="宋体" w:cs="宋体"/>
                <w:sz w:val="24"/>
                <w:szCs w:val="24"/>
              </w:rPr>
            </w:pPr>
          </w:p>
        </w:tc>
        <w:tc>
          <w:tcPr>
            <w:tcW w:w="976" w:type="dxa"/>
            <w:noWrap w:val="0"/>
            <w:vAlign w:val="center"/>
          </w:tcPr>
          <w:p>
            <w:pPr>
              <w:pStyle w:val="14"/>
              <w:spacing w:line="240" w:lineRule="atLeast"/>
              <w:ind w:left="1080" w:leftChars="257" w:hanging="54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14"/>
              <w:spacing w:line="240" w:lineRule="atLeast"/>
              <w:ind w:left="1080" w:leftChars="257" w:hanging="540"/>
              <w:rPr>
                <w:rFonts w:hint="eastAsia" w:hAnsi="宋体" w:cs="宋体"/>
                <w:sz w:val="24"/>
                <w:szCs w:val="24"/>
              </w:rPr>
            </w:pPr>
            <w:r>
              <w:rPr>
                <w:rFonts w:hint="eastAsia" w:hAnsi="宋体" w:cs="宋体"/>
                <w:sz w:val="24"/>
                <w:szCs w:val="24"/>
              </w:rPr>
              <w:t>总价：</w:t>
            </w:r>
          </w:p>
        </w:tc>
        <w:tc>
          <w:tcPr>
            <w:tcW w:w="2693" w:type="dxa"/>
            <w:gridSpan w:val="2"/>
            <w:noWrap w:val="0"/>
            <w:vAlign w:val="center"/>
          </w:tcPr>
          <w:p>
            <w:pPr>
              <w:pStyle w:val="14"/>
              <w:spacing w:line="240" w:lineRule="atLeast"/>
              <w:ind w:left="1080" w:leftChars="257" w:hanging="540"/>
              <w:jc w:val="center"/>
              <w:rPr>
                <w:rFonts w:hint="eastAsia" w:hAnsi="宋体" w:cs="宋体"/>
                <w:sz w:val="24"/>
                <w:szCs w:val="24"/>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注:1.如果投标人认为需要，每种货物填写一份该表。</w:t>
      </w:r>
    </w:p>
    <w:p>
      <w:pPr>
        <w:pStyle w:val="14"/>
        <w:spacing w:line="240" w:lineRule="atLeast"/>
        <w:ind w:left="1079" w:leftChars="428" w:hanging="180" w:hangingChars="75"/>
        <w:rPr>
          <w:rFonts w:hint="eastAsia" w:hAnsi="宋体" w:cs="宋体"/>
          <w:sz w:val="24"/>
          <w:szCs w:val="24"/>
        </w:rPr>
      </w:pPr>
      <w:r>
        <w:rPr>
          <w:rFonts w:hint="eastAsia" w:hAnsi="宋体" w:cs="宋体"/>
          <w:sz w:val="24"/>
          <w:szCs w:val="24"/>
        </w:rPr>
        <w:t>2.如果按单价计算的结果与总价不一致,以单价为准修正总价。</w:t>
      </w:r>
    </w:p>
    <w:p>
      <w:pPr>
        <w:pStyle w:val="14"/>
        <w:spacing w:line="240" w:lineRule="atLeast"/>
        <w:ind w:left="1080" w:leftChars="257" w:hanging="540"/>
        <w:rPr>
          <w:rFonts w:hint="eastAsia" w:hAnsi="宋体" w:cs="宋体"/>
          <w:sz w:val="24"/>
          <w:szCs w:val="24"/>
        </w:rPr>
      </w:pPr>
      <w:r>
        <w:rPr>
          <w:rFonts w:hint="eastAsia" w:hAnsi="宋体" w:cs="宋体"/>
          <w:sz w:val="24"/>
          <w:szCs w:val="24"/>
        </w:rPr>
        <w:t xml:space="preserve">   3.如果不提供详细分项报价将视为没有实质性响应招标文件。</w:t>
      </w:r>
    </w:p>
    <w:p>
      <w:pPr>
        <w:pStyle w:val="14"/>
        <w:spacing w:line="240" w:lineRule="atLeast"/>
        <w:ind w:left="1080" w:leftChars="257" w:hanging="540"/>
        <w:rPr>
          <w:rFonts w:hint="eastAsia" w:hAnsi="宋体" w:cs="宋体"/>
          <w:sz w:val="24"/>
          <w:szCs w:val="24"/>
        </w:rPr>
      </w:pPr>
      <w:r>
        <w:rPr>
          <w:rFonts w:hint="eastAsia" w:hAnsi="宋体" w:cs="宋体"/>
          <w:sz w:val="24"/>
          <w:szCs w:val="24"/>
        </w:rPr>
        <w:t xml:space="preserve">   4.上述各项的详细分项报价，应另页描述。</w:t>
      </w:r>
    </w:p>
    <w:p>
      <w:pPr>
        <w:pStyle w:val="14"/>
        <w:spacing w:line="240" w:lineRule="atLeast"/>
        <w:ind w:left="1080" w:leftChars="257" w:hanging="540"/>
        <w:rPr>
          <w:rFonts w:hint="eastAsia" w:hAnsi="宋体" w:cs="宋体"/>
          <w:sz w:val="24"/>
          <w:szCs w:val="24"/>
        </w:rPr>
      </w:pPr>
      <w:r>
        <w:rPr>
          <w:rFonts w:hint="eastAsia" w:hAnsi="宋体" w:cs="宋体"/>
          <w:sz w:val="24"/>
          <w:szCs w:val="24"/>
        </w:rPr>
        <w:t xml:space="preserve">   5.如果开标一览表（报价表）内容与</w:t>
      </w:r>
      <w:r>
        <w:rPr>
          <w:rFonts w:hint="eastAsia" w:hAnsi="宋体" w:cs="宋体"/>
          <w:sz w:val="24"/>
          <w:szCs w:val="24"/>
          <w:lang w:eastAsia="zh-CN"/>
        </w:rPr>
        <w:t>响应文件</w:t>
      </w:r>
      <w:r>
        <w:rPr>
          <w:rFonts w:hint="eastAsia" w:hAnsi="宋体" w:cs="宋体"/>
          <w:sz w:val="24"/>
          <w:szCs w:val="24"/>
        </w:rPr>
        <w:t>中明细表内容不一致的，以开标一览表（报价表）内容为准。</w:t>
      </w:r>
    </w:p>
    <w:p>
      <w:pPr>
        <w:pStyle w:val="14"/>
        <w:spacing w:line="240" w:lineRule="atLeast"/>
        <w:ind w:left="1080" w:leftChars="257" w:hanging="540"/>
        <w:rPr>
          <w:rFonts w:hint="eastAsia" w:hAnsi="宋体" w:cs="宋体"/>
          <w:sz w:val="24"/>
          <w:szCs w:val="24"/>
        </w:rPr>
      </w:pPr>
      <w:r>
        <w:rPr>
          <w:rFonts w:hint="eastAsia" w:hAnsi="宋体" w:cs="宋体"/>
          <w:sz w:val="24"/>
          <w:szCs w:val="24"/>
        </w:rPr>
        <w:br w:type="page"/>
      </w:r>
    </w:p>
    <w:p>
      <w:pPr>
        <w:pStyle w:val="4"/>
        <w:spacing w:before="0" w:line="240" w:lineRule="atLeast"/>
        <w:ind w:left="1080" w:leftChars="257" w:hanging="540"/>
        <w:rPr>
          <w:rFonts w:hint="eastAsia" w:ascii="宋体" w:hAnsi="宋体" w:eastAsia="宋体" w:cs="宋体"/>
          <w:sz w:val="24"/>
          <w:szCs w:val="24"/>
        </w:rPr>
      </w:pPr>
      <w:bookmarkStart w:id="382" w:name="_Toc216582816"/>
      <w:bookmarkStart w:id="383" w:name="_Toc18267"/>
      <w:bookmarkStart w:id="384" w:name="_Toc14037"/>
      <w:bookmarkStart w:id="385" w:name="_Toc32398"/>
      <w:bookmarkStart w:id="386" w:name="_Toc515647819"/>
      <w:r>
        <w:rPr>
          <w:rFonts w:hint="eastAsia" w:ascii="宋体" w:hAnsi="宋体" w:eastAsia="宋体" w:cs="宋体"/>
          <w:sz w:val="24"/>
          <w:szCs w:val="24"/>
        </w:rPr>
        <w:t>4   货物说明一览表</w:t>
      </w:r>
      <w:bookmarkEnd w:id="382"/>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格式八）</w:t>
      </w:r>
      <w:bookmarkEnd w:id="383"/>
      <w:bookmarkEnd w:id="384"/>
      <w:bookmarkEnd w:id="385"/>
      <w:bookmarkEnd w:id="386"/>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 xml:space="preserve">项目名称:                                    招标编号:                       包号:                      </w:t>
      </w:r>
    </w:p>
    <w:p>
      <w:pPr>
        <w:pStyle w:val="14"/>
        <w:spacing w:line="240" w:lineRule="atLeast"/>
        <w:ind w:left="1080" w:leftChars="257" w:hanging="540"/>
        <w:rPr>
          <w:rFonts w:hint="eastAsia" w:hAnsi="宋体" w:cs="宋体"/>
          <w:sz w:val="24"/>
          <w:szCs w:val="24"/>
        </w:rPr>
      </w:pP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序号</w:t>
            </w:r>
          </w:p>
        </w:tc>
        <w:tc>
          <w:tcPr>
            <w:tcW w:w="198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货物名称</w:t>
            </w:r>
          </w:p>
        </w:tc>
        <w:tc>
          <w:tcPr>
            <w:tcW w:w="180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主要规格</w:t>
            </w:r>
          </w:p>
        </w:tc>
        <w:tc>
          <w:tcPr>
            <w:tcW w:w="162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数量</w:t>
            </w:r>
          </w:p>
        </w:tc>
        <w:tc>
          <w:tcPr>
            <w:tcW w:w="198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交货期</w:t>
            </w:r>
          </w:p>
        </w:tc>
        <w:tc>
          <w:tcPr>
            <w:tcW w:w="216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交货地点</w:t>
            </w:r>
          </w:p>
        </w:tc>
        <w:tc>
          <w:tcPr>
            <w:tcW w:w="1980" w:type="dxa"/>
            <w:noWrap w:val="0"/>
            <w:vAlign w:val="top"/>
          </w:tcPr>
          <w:p>
            <w:pPr>
              <w:pStyle w:val="14"/>
              <w:spacing w:line="240" w:lineRule="atLeast"/>
              <w:ind w:left="1080" w:leftChars="257" w:hanging="540"/>
              <w:rPr>
                <w:rFonts w:hint="eastAsia" w:hAnsi="宋体" w:cs="宋体"/>
                <w:sz w:val="24"/>
                <w:szCs w:val="24"/>
              </w:rPr>
            </w:pPr>
            <w:r>
              <w:rPr>
                <w:rFonts w:hint="eastAsia" w:hAnsi="宋体" w:cs="宋体"/>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1800" w:type="dxa"/>
            <w:noWrap w:val="0"/>
            <w:vAlign w:val="top"/>
          </w:tcPr>
          <w:p>
            <w:pPr>
              <w:pStyle w:val="14"/>
              <w:spacing w:line="240" w:lineRule="atLeast"/>
              <w:ind w:left="1080" w:leftChars="257" w:hanging="540"/>
              <w:rPr>
                <w:rFonts w:hint="eastAsia" w:hAnsi="宋体" w:cs="宋体"/>
                <w:sz w:val="24"/>
                <w:szCs w:val="24"/>
              </w:rPr>
            </w:pPr>
          </w:p>
        </w:tc>
        <w:tc>
          <w:tcPr>
            <w:tcW w:w="162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c>
          <w:tcPr>
            <w:tcW w:w="2160" w:type="dxa"/>
            <w:noWrap w:val="0"/>
            <w:vAlign w:val="top"/>
          </w:tcPr>
          <w:p>
            <w:pPr>
              <w:pStyle w:val="14"/>
              <w:spacing w:line="240" w:lineRule="atLeast"/>
              <w:ind w:left="1080" w:leftChars="257" w:hanging="540"/>
              <w:rPr>
                <w:rFonts w:hint="eastAsia" w:hAnsi="宋体" w:cs="宋体"/>
                <w:sz w:val="24"/>
                <w:szCs w:val="24"/>
              </w:rPr>
            </w:pPr>
          </w:p>
        </w:tc>
        <w:tc>
          <w:tcPr>
            <w:tcW w:w="1980" w:type="dxa"/>
            <w:noWrap w:val="0"/>
            <w:vAlign w:val="top"/>
          </w:tcPr>
          <w:p>
            <w:pPr>
              <w:pStyle w:val="14"/>
              <w:spacing w:line="240" w:lineRule="atLeast"/>
              <w:ind w:left="1080" w:leftChars="257" w:hanging="540"/>
              <w:rPr>
                <w:rFonts w:hint="eastAsia" w:hAnsi="宋体" w:cs="宋体"/>
                <w:sz w:val="24"/>
                <w:szCs w:val="24"/>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注: 各项货物详细技术性能应另页描述。</w:t>
      </w:r>
    </w:p>
    <w:p>
      <w:pPr>
        <w:pStyle w:val="14"/>
        <w:spacing w:line="240" w:lineRule="atLeast"/>
        <w:ind w:left="1080" w:leftChars="257" w:hanging="540"/>
        <w:jc w:val="center"/>
        <w:rPr>
          <w:rFonts w:hint="eastAsia" w:hAnsi="宋体" w:cs="宋体"/>
          <w:sz w:val="24"/>
          <w:szCs w:val="24"/>
        </w:rPr>
      </w:pPr>
    </w:p>
    <w:p>
      <w:pPr>
        <w:pStyle w:val="14"/>
        <w:spacing w:line="240" w:lineRule="atLeast"/>
        <w:ind w:left="1080" w:leftChars="257" w:hanging="540"/>
        <w:jc w:val="center"/>
        <w:rPr>
          <w:rFonts w:hint="eastAsia" w:hAnsi="宋体" w:cs="宋体"/>
          <w:sz w:val="24"/>
          <w:szCs w:val="24"/>
        </w:rPr>
        <w:sectPr>
          <w:footerReference r:id="rId9" w:type="default"/>
          <w:pgSz w:w="16838" w:h="11906" w:orient="landscape"/>
          <w:pgMar w:top="1797" w:right="1440" w:bottom="1797" w:left="1440" w:header="851" w:footer="992" w:gutter="0"/>
          <w:pgNumType w:fmt="decimal"/>
          <w:cols w:space="720" w:num="1"/>
          <w:docGrid w:linePitch="312" w:charSpace="0"/>
        </w:sectPr>
      </w:pPr>
    </w:p>
    <w:p>
      <w:pPr>
        <w:pStyle w:val="4"/>
        <w:spacing w:before="0" w:line="240" w:lineRule="atLeast"/>
        <w:ind w:left="1080" w:leftChars="257" w:hanging="540"/>
        <w:rPr>
          <w:rFonts w:hint="eastAsia" w:ascii="宋体" w:hAnsi="宋体" w:eastAsia="宋体" w:cs="宋体"/>
          <w:sz w:val="24"/>
          <w:szCs w:val="24"/>
        </w:rPr>
      </w:pPr>
      <w:bookmarkStart w:id="387" w:name="_Toc216582817"/>
      <w:bookmarkStart w:id="388" w:name="_Toc28959"/>
      <w:bookmarkStart w:id="389" w:name="_Toc22563"/>
      <w:bookmarkStart w:id="390" w:name="_Toc29780"/>
      <w:bookmarkStart w:id="391" w:name="_Toc515647820"/>
      <w:r>
        <w:rPr>
          <w:rFonts w:hint="eastAsia" w:ascii="宋体" w:hAnsi="宋体" w:eastAsia="宋体" w:cs="宋体"/>
          <w:sz w:val="24"/>
          <w:szCs w:val="24"/>
        </w:rPr>
        <w:t>5   技术规格偏离表</w:t>
      </w:r>
      <w:bookmarkEnd w:id="387"/>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格式九）</w:t>
      </w:r>
      <w:bookmarkEnd w:id="388"/>
      <w:bookmarkEnd w:id="389"/>
      <w:bookmarkEnd w:id="390"/>
      <w:bookmarkEnd w:id="391"/>
    </w:p>
    <w:p>
      <w:pPr>
        <w:pStyle w:val="14"/>
        <w:spacing w:line="240" w:lineRule="atLeast"/>
        <w:ind w:left="1080" w:leftChars="257" w:hanging="540"/>
        <w:rPr>
          <w:rFonts w:hint="eastAsia" w:hAnsi="宋体" w:cs="宋体"/>
          <w:sz w:val="24"/>
          <w:szCs w:val="24"/>
        </w:rPr>
      </w:pPr>
    </w:p>
    <w:p>
      <w:pPr>
        <w:pStyle w:val="14"/>
        <w:spacing w:line="240" w:lineRule="atLeast"/>
        <w:rPr>
          <w:rFonts w:hint="eastAsia" w:hAnsi="宋体" w:cs="宋体"/>
          <w:sz w:val="24"/>
          <w:szCs w:val="24"/>
        </w:rPr>
      </w:pPr>
      <w:r>
        <w:rPr>
          <w:rFonts w:hint="eastAsia" w:hAnsi="宋体" w:cs="宋体"/>
          <w:sz w:val="24"/>
          <w:szCs w:val="24"/>
        </w:rPr>
        <w:t>项目名称:                       招标编号:                 包号:</w:t>
      </w:r>
    </w:p>
    <w:p>
      <w:pPr>
        <w:pStyle w:val="14"/>
        <w:spacing w:line="240" w:lineRule="atLeast"/>
        <w:ind w:left="1080" w:leftChars="257" w:hanging="540"/>
        <w:rPr>
          <w:rFonts w:hint="eastAsia" w:hAnsi="宋体" w:cs="宋体"/>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序号</w:t>
            </w:r>
          </w:p>
        </w:tc>
        <w:tc>
          <w:tcPr>
            <w:tcW w:w="126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货物名称</w:t>
            </w:r>
          </w:p>
        </w:tc>
        <w:tc>
          <w:tcPr>
            <w:tcW w:w="2340" w:type="dxa"/>
            <w:noWrap w:val="0"/>
            <w:vAlign w:val="center"/>
          </w:tcPr>
          <w:p>
            <w:pPr>
              <w:pStyle w:val="14"/>
              <w:spacing w:line="240" w:lineRule="atLeast"/>
              <w:ind w:left="269" w:leftChars="128"/>
              <w:jc w:val="center"/>
              <w:rPr>
                <w:rFonts w:hint="eastAsia" w:hAnsi="宋体" w:cs="宋体"/>
                <w:sz w:val="24"/>
                <w:szCs w:val="24"/>
              </w:rPr>
            </w:pPr>
            <w:r>
              <w:rPr>
                <w:rFonts w:hint="eastAsia" w:hAnsi="宋体" w:cs="宋体"/>
                <w:sz w:val="24"/>
                <w:szCs w:val="24"/>
              </w:rPr>
              <w:t>招标文件条款号</w:t>
            </w:r>
          </w:p>
        </w:tc>
        <w:tc>
          <w:tcPr>
            <w:tcW w:w="126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招标规格</w:t>
            </w:r>
          </w:p>
        </w:tc>
        <w:tc>
          <w:tcPr>
            <w:tcW w:w="126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投标规格</w:t>
            </w:r>
          </w:p>
        </w:tc>
        <w:tc>
          <w:tcPr>
            <w:tcW w:w="90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偏离</w:t>
            </w:r>
          </w:p>
        </w:tc>
        <w:tc>
          <w:tcPr>
            <w:tcW w:w="900" w:type="dxa"/>
            <w:noWrap w:val="0"/>
            <w:vAlign w:val="center"/>
          </w:tcPr>
          <w:p>
            <w:pPr>
              <w:pStyle w:val="14"/>
              <w:spacing w:line="240" w:lineRule="atLeast"/>
              <w:jc w:val="center"/>
              <w:rPr>
                <w:rFonts w:hint="eastAsia"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234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126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4"/>
        <w:tabs>
          <w:tab w:val="left" w:pos="5580"/>
        </w:tabs>
        <w:spacing w:line="240" w:lineRule="atLeast"/>
        <w:ind w:left="1080" w:leftChars="257" w:hanging="540"/>
        <w:rPr>
          <w:rFonts w:hint="eastAsia" w:hAnsi="宋体" w:cs="宋体"/>
          <w:sz w:val="24"/>
          <w:szCs w:val="24"/>
        </w:rPr>
      </w:pPr>
      <w:r>
        <w:rPr>
          <w:rFonts w:hint="eastAsia" w:hAnsi="宋体" w:cs="宋体"/>
          <w:sz w:val="24"/>
          <w:szCs w:val="24"/>
          <w:u w:val="single"/>
        </w:rPr>
        <w:br w:type="page"/>
      </w:r>
    </w:p>
    <w:p>
      <w:pPr>
        <w:pStyle w:val="4"/>
        <w:spacing w:before="0" w:line="240" w:lineRule="atLeast"/>
        <w:ind w:left="1080" w:leftChars="257" w:hanging="540"/>
        <w:rPr>
          <w:rFonts w:hint="eastAsia" w:ascii="宋体" w:hAnsi="宋体" w:eastAsia="宋体" w:cs="宋体"/>
          <w:sz w:val="24"/>
          <w:szCs w:val="24"/>
        </w:rPr>
      </w:pPr>
      <w:bookmarkStart w:id="392" w:name="_Toc216582818"/>
      <w:bookmarkStart w:id="393" w:name="_Toc515647821"/>
      <w:bookmarkStart w:id="394" w:name="_Toc23"/>
      <w:bookmarkStart w:id="395" w:name="_Toc1980"/>
      <w:bookmarkStart w:id="396" w:name="_Toc28374"/>
      <w:r>
        <w:rPr>
          <w:rFonts w:hint="eastAsia" w:ascii="宋体" w:hAnsi="宋体" w:eastAsia="宋体" w:cs="宋体"/>
          <w:sz w:val="24"/>
          <w:szCs w:val="24"/>
        </w:rPr>
        <w:t>6   商务条款偏离表</w:t>
      </w:r>
      <w:bookmarkEnd w:id="392"/>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格式十）</w:t>
      </w:r>
      <w:bookmarkEnd w:id="393"/>
      <w:bookmarkEnd w:id="394"/>
      <w:bookmarkEnd w:id="395"/>
      <w:bookmarkEnd w:id="396"/>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项目名称:                      招标编号:             包号:</w:t>
      </w:r>
    </w:p>
    <w:p>
      <w:pPr>
        <w:pStyle w:val="14"/>
        <w:spacing w:line="240" w:lineRule="atLeast"/>
        <w:ind w:left="1080" w:leftChars="257" w:hanging="540"/>
        <w:rPr>
          <w:rFonts w:hint="eastAsia" w:hAnsi="宋体" w:cs="宋体"/>
          <w:sz w:val="24"/>
          <w:szCs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hAnsi="宋体" w:cs="宋体"/>
                <w:sz w:val="24"/>
                <w:szCs w:val="24"/>
              </w:rPr>
            </w:pPr>
            <w:r>
              <w:rPr>
                <w:rFonts w:hint="eastAsia" w:hAnsi="宋体" w:cs="宋体"/>
                <w:sz w:val="24"/>
                <w:szCs w:val="24"/>
              </w:rPr>
              <w:t>序号</w:t>
            </w:r>
          </w:p>
        </w:tc>
        <w:tc>
          <w:tcPr>
            <w:tcW w:w="2040" w:type="dxa"/>
            <w:noWrap w:val="0"/>
            <w:vAlign w:val="top"/>
          </w:tcPr>
          <w:p>
            <w:pPr>
              <w:pStyle w:val="14"/>
              <w:spacing w:line="240" w:lineRule="atLeast"/>
              <w:jc w:val="center"/>
              <w:rPr>
                <w:rFonts w:hint="eastAsia" w:hAnsi="宋体" w:cs="宋体"/>
                <w:sz w:val="24"/>
                <w:szCs w:val="24"/>
              </w:rPr>
            </w:pPr>
            <w:r>
              <w:rPr>
                <w:rFonts w:hint="eastAsia" w:hAnsi="宋体" w:cs="宋体"/>
                <w:sz w:val="24"/>
                <w:szCs w:val="24"/>
              </w:rPr>
              <w:t>招标文件条款号</w:t>
            </w:r>
          </w:p>
        </w:tc>
        <w:tc>
          <w:tcPr>
            <w:tcW w:w="2520" w:type="dxa"/>
            <w:noWrap w:val="0"/>
            <w:vAlign w:val="top"/>
          </w:tcPr>
          <w:p>
            <w:pPr>
              <w:pStyle w:val="14"/>
              <w:spacing w:line="240" w:lineRule="atLeast"/>
              <w:jc w:val="center"/>
              <w:rPr>
                <w:rFonts w:hint="eastAsia" w:hAnsi="宋体" w:cs="宋体"/>
                <w:sz w:val="24"/>
                <w:szCs w:val="24"/>
              </w:rPr>
            </w:pPr>
            <w:r>
              <w:rPr>
                <w:rFonts w:hint="eastAsia" w:hAnsi="宋体" w:cs="宋体"/>
                <w:sz w:val="24"/>
                <w:szCs w:val="24"/>
              </w:rPr>
              <w:t>招标文件的商务条款</w:t>
            </w:r>
          </w:p>
        </w:tc>
        <w:tc>
          <w:tcPr>
            <w:tcW w:w="2520" w:type="dxa"/>
            <w:noWrap w:val="0"/>
            <w:vAlign w:val="top"/>
          </w:tcPr>
          <w:p>
            <w:pPr>
              <w:pStyle w:val="14"/>
              <w:spacing w:line="240" w:lineRule="atLeast"/>
              <w:jc w:val="center"/>
              <w:rPr>
                <w:rFonts w:hint="eastAsia" w:hAnsi="宋体" w:cs="宋体"/>
                <w:sz w:val="24"/>
                <w:szCs w:val="24"/>
              </w:rPr>
            </w:pPr>
            <w:r>
              <w:rPr>
                <w:rFonts w:hint="eastAsia" w:hAnsi="宋体" w:cs="宋体"/>
                <w:sz w:val="24"/>
                <w:szCs w:val="24"/>
                <w:lang w:eastAsia="zh-CN"/>
              </w:rPr>
              <w:t>响应文件</w:t>
            </w:r>
            <w:r>
              <w:rPr>
                <w:rFonts w:hint="eastAsia" w:hAnsi="宋体" w:cs="宋体"/>
                <w:sz w:val="24"/>
                <w:szCs w:val="24"/>
              </w:rPr>
              <w:t>的商务条款</w:t>
            </w:r>
          </w:p>
        </w:tc>
        <w:tc>
          <w:tcPr>
            <w:tcW w:w="900" w:type="dxa"/>
            <w:noWrap w:val="0"/>
            <w:vAlign w:val="top"/>
          </w:tcPr>
          <w:p>
            <w:pPr>
              <w:pStyle w:val="14"/>
              <w:spacing w:line="240" w:lineRule="atLeast"/>
              <w:jc w:val="center"/>
              <w:rPr>
                <w:rFonts w:hint="eastAsia"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jc w:val="center"/>
              <w:rPr>
                <w:rFonts w:hint="eastAsia" w:hAnsi="宋体" w:cs="宋体"/>
                <w:sz w:val="24"/>
                <w:szCs w:val="24"/>
              </w:rPr>
            </w:pPr>
          </w:p>
        </w:tc>
        <w:tc>
          <w:tcPr>
            <w:tcW w:w="2520" w:type="dxa"/>
            <w:noWrap w:val="0"/>
            <w:vAlign w:val="top"/>
          </w:tcPr>
          <w:p>
            <w:pPr>
              <w:pStyle w:val="14"/>
              <w:spacing w:line="240" w:lineRule="atLeast"/>
              <w:ind w:left="1080" w:leftChars="257" w:hanging="540"/>
              <w:jc w:val="center"/>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rPr>
            </w:pPr>
          </w:p>
        </w:tc>
        <w:tc>
          <w:tcPr>
            <w:tcW w:w="204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2520" w:type="dxa"/>
            <w:noWrap w:val="0"/>
            <w:vAlign w:val="top"/>
          </w:tcPr>
          <w:p>
            <w:pPr>
              <w:pStyle w:val="14"/>
              <w:spacing w:line="240" w:lineRule="atLeast"/>
              <w:ind w:left="1080" w:leftChars="257" w:hanging="540"/>
              <w:rPr>
                <w:rFonts w:hint="eastAsia" w:hAnsi="宋体" w:cs="宋体"/>
                <w:sz w:val="24"/>
                <w:szCs w:val="24"/>
              </w:rPr>
            </w:pPr>
          </w:p>
        </w:tc>
        <w:tc>
          <w:tcPr>
            <w:tcW w:w="900" w:type="dxa"/>
            <w:noWrap w:val="0"/>
            <w:vAlign w:val="top"/>
          </w:tcPr>
          <w:p>
            <w:pPr>
              <w:pStyle w:val="14"/>
              <w:spacing w:line="240" w:lineRule="atLeast"/>
              <w:ind w:left="1080" w:leftChars="257" w:hanging="540"/>
              <w:rPr>
                <w:rFonts w:hint="eastAsia" w:hAnsi="宋体" w:cs="宋体"/>
                <w:sz w:val="24"/>
                <w:szCs w:val="24"/>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4"/>
        <w:spacing w:line="240" w:lineRule="atLeast"/>
        <w:ind w:left="1080" w:leftChars="257" w:hanging="540"/>
        <w:rPr>
          <w:rFonts w:hint="eastAsia" w:hAnsi="宋体" w:cs="宋体"/>
          <w:sz w:val="24"/>
          <w:szCs w:val="24"/>
        </w:rPr>
      </w:pPr>
      <w:r>
        <w:rPr>
          <w:rFonts w:hint="eastAsia" w:hAnsi="宋体" w:cs="宋体"/>
          <w:sz w:val="24"/>
          <w:szCs w:val="24"/>
          <w:u w:val="single"/>
        </w:rPr>
        <w:br w:type="page"/>
      </w:r>
    </w:p>
    <w:p>
      <w:pPr>
        <w:pStyle w:val="4"/>
        <w:spacing w:before="0" w:line="240" w:lineRule="atLeast"/>
        <w:ind w:firstLine="482" w:firstLineChars="200"/>
        <w:jc w:val="both"/>
        <w:rPr>
          <w:rFonts w:hint="eastAsia" w:ascii="宋体" w:hAnsi="宋体" w:eastAsia="宋体" w:cs="宋体"/>
          <w:b w:val="0"/>
          <w:sz w:val="24"/>
          <w:szCs w:val="24"/>
        </w:rPr>
      </w:pPr>
      <w:bookmarkStart w:id="397" w:name="_Hlt520273973"/>
      <w:bookmarkEnd w:id="397"/>
      <w:bookmarkStart w:id="398" w:name="_Hlt520343000"/>
      <w:bookmarkEnd w:id="398"/>
      <w:bookmarkStart w:id="399" w:name="_Hlt520274393"/>
      <w:bookmarkEnd w:id="399"/>
      <w:bookmarkStart w:id="400" w:name="_Hlt520274407"/>
      <w:bookmarkEnd w:id="400"/>
      <w:bookmarkStart w:id="401" w:name="_Hlt520271212"/>
      <w:bookmarkEnd w:id="401"/>
      <w:bookmarkStart w:id="402" w:name="_Hlt520350918"/>
      <w:bookmarkEnd w:id="402"/>
      <w:bookmarkStart w:id="403" w:name="_Hlt520343392"/>
      <w:bookmarkEnd w:id="403"/>
      <w:bookmarkStart w:id="404" w:name="_Hlt520274065"/>
      <w:bookmarkEnd w:id="404"/>
      <w:bookmarkStart w:id="405" w:name="_Hlt520274911"/>
      <w:bookmarkEnd w:id="405"/>
      <w:bookmarkStart w:id="406" w:name="_Hlt520273711"/>
      <w:bookmarkEnd w:id="406"/>
      <w:bookmarkStart w:id="407" w:name="_Hlt520350957"/>
      <w:bookmarkEnd w:id="407"/>
      <w:bookmarkStart w:id="408" w:name="_Toc515647823"/>
      <w:bookmarkStart w:id="409" w:name="_Toc21312"/>
      <w:bookmarkStart w:id="410" w:name="_Toc10725"/>
      <w:bookmarkStart w:id="411" w:name="_Toc25347"/>
      <w:r>
        <w:rPr>
          <w:rFonts w:hint="eastAsia" w:ascii="宋体" w:hAnsi="宋体" w:eastAsia="宋体" w:cs="宋体"/>
          <w:sz w:val="24"/>
          <w:szCs w:val="24"/>
        </w:rPr>
        <w:t xml:space="preserve">7-1 </w:t>
      </w:r>
      <w:r>
        <w:rPr>
          <w:rFonts w:hint="eastAsia" w:ascii="宋体" w:hAnsi="宋体" w:eastAsia="宋体" w:cs="宋体"/>
          <w:b w:val="0"/>
          <w:sz w:val="24"/>
          <w:szCs w:val="24"/>
        </w:rPr>
        <w:t xml:space="preserve"> </w:t>
      </w:r>
      <w:r>
        <w:rPr>
          <w:rFonts w:hint="eastAsia" w:ascii="宋体" w:hAnsi="宋体" w:eastAsia="宋体" w:cs="宋体"/>
          <w:sz w:val="24"/>
          <w:szCs w:val="24"/>
        </w:rPr>
        <w:t>投标人企业（单位）类型声明函（</w:t>
      </w:r>
      <w:r>
        <w:rPr>
          <w:rFonts w:hint="eastAsia" w:ascii="宋体" w:hAnsi="宋体" w:eastAsia="宋体" w:cs="宋体"/>
          <w:sz w:val="24"/>
          <w:szCs w:val="24"/>
          <w:lang w:eastAsia="zh-CN"/>
        </w:rPr>
        <w:t>响应文件</w:t>
      </w:r>
      <w:r>
        <w:rPr>
          <w:rFonts w:hint="eastAsia" w:ascii="宋体" w:hAnsi="宋体" w:eastAsia="宋体" w:cs="宋体"/>
          <w:sz w:val="24"/>
          <w:szCs w:val="24"/>
        </w:rPr>
        <w:t>格式十一）</w:t>
      </w:r>
      <w:bookmarkEnd w:id="408"/>
      <w:bookmarkEnd w:id="409"/>
      <w:bookmarkEnd w:id="410"/>
      <w:bookmarkEnd w:id="411"/>
    </w:p>
    <w:p>
      <w:pPr>
        <w:spacing w:line="240" w:lineRule="atLeast"/>
        <w:ind w:left="1080" w:leftChars="257" w:hanging="540"/>
        <w:jc w:val="center"/>
        <w:rPr>
          <w:rFonts w:hint="eastAsia" w:ascii="宋体" w:hAnsi="宋体" w:cs="宋体"/>
          <w:b/>
          <w:kern w:val="0"/>
          <w:sz w:val="24"/>
        </w:rPr>
      </w:pPr>
    </w:p>
    <w:p>
      <w:pPr>
        <w:widowControl/>
        <w:spacing w:before="100" w:beforeAutospacing="1" w:after="100" w:afterAutospacing="1" w:line="330" w:lineRule="atLeast"/>
        <w:ind w:firstLine="480" w:firstLineChars="200"/>
        <w:jc w:val="left"/>
        <w:rPr>
          <w:rFonts w:hint="eastAsia"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1、□本企业（单位）为直接投标人提供本企业（单位）制造的货物。</w:t>
      </w:r>
    </w:p>
    <w:p>
      <w:pPr>
        <w:widowControl/>
        <w:numPr>
          <w:ilvl w:val="0"/>
          <w:numId w:val="8"/>
        </w:numPr>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（2） 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 xml:space="preserve"> </w:t>
      </w:r>
      <w:r>
        <w:rPr>
          <w:rFonts w:hint="eastAsia" w:ascii="宋体" w:hAnsi="宋体" w:cs="宋体"/>
          <w:kern w:val="0"/>
          <w:sz w:val="24"/>
        </w:rPr>
        <w:t>根据《关于促进残疾人就业政府采购政策的通知》（财库〔2017〕141号）。本单位</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hint="eastAsia"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kern w:val="0"/>
          <w:sz w:val="24"/>
          <w:u w:val="single"/>
        </w:rPr>
      </w:pPr>
      <w:r>
        <w:rPr>
          <w:rFonts w:hint="eastAsia" w:ascii="宋体" w:hAnsi="宋体" w:cs="宋体"/>
          <w:kern w:val="0"/>
          <w:sz w:val="24"/>
        </w:rPr>
        <w:t>投标人名称（盖单位章）：</w:t>
      </w:r>
      <w:r>
        <w:rPr>
          <w:rFonts w:hint="eastAsia" w:ascii="宋体" w:hAnsi="宋体" w:cs="宋体"/>
          <w:kern w:val="0"/>
          <w:sz w:val="24"/>
          <w:u w:val="single"/>
        </w:rPr>
        <w:t xml:space="preserve">                   </w:t>
      </w: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hint="eastAsia" w:ascii="宋体" w:hAnsi="宋体" w:cs="宋体"/>
          <w:kern w:val="0"/>
          <w:sz w:val="24"/>
        </w:rPr>
      </w:pPr>
    </w:p>
    <w:p>
      <w:pPr>
        <w:spacing w:line="240" w:lineRule="atLeast"/>
        <w:ind w:left="1080" w:leftChars="257" w:hanging="540"/>
        <w:jc w:val="center"/>
        <w:rPr>
          <w:rFonts w:hint="eastAsia" w:ascii="宋体" w:hAnsi="宋体" w:cs="宋体"/>
          <w:b/>
          <w:kern w:val="0"/>
          <w:sz w:val="24"/>
        </w:rPr>
      </w:pPr>
      <w:r>
        <w:rPr>
          <w:rFonts w:hint="eastAsia" w:ascii="宋体" w:hAnsi="宋体" w:cs="宋体"/>
          <w:b/>
          <w:kern w:val="0"/>
          <w:sz w:val="24"/>
        </w:rPr>
        <w:t>　</w:t>
      </w:r>
    </w:p>
    <w:p>
      <w:pPr>
        <w:pStyle w:val="4"/>
        <w:spacing w:before="0" w:line="240" w:lineRule="atLeast"/>
        <w:jc w:val="both"/>
        <w:rPr>
          <w:rFonts w:hint="eastAsia" w:ascii="宋体" w:hAnsi="宋体" w:eastAsia="宋体" w:cs="宋体"/>
          <w:b w:val="0"/>
          <w:sz w:val="24"/>
          <w:szCs w:val="24"/>
        </w:rPr>
      </w:pPr>
      <w:r>
        <w:rPr>
          <w:rFonts w:hint="eastAsia" w:ascii="宋体" w:hAnsi="宋体" w:eastAsia="宋体" w:cs="宋体"/>
          <w:b w:val="0"/>
          <w:sz w:val="24"/>
          <w:szCs w:val="24"/>
        </w:rPr>
        <w:br w:type="page"/>
      </w:r>
      <w:bookmarkStart w:id="412" w:name="_Toc10977"/>
      <w:bookmarkStart w:id="413" w:name="_Toc515647824"/>
      <w:bookmarkStart w:id="414" w:name="_Toc13776"/>
      <w:bookmarkStart w:id="415" w:name="_Toc11803"/>
      <w:r>
        <w:rPr>
          <w:rFonts w:hint="eastAsia" w:ascii="宋体" w:hAnsi="宋体" w:eastAsia="宋体" w:cs="宋体"/>
          <w:b w:val="0"/>
          <w:sz w:val="24"/>
          <w:szCs w:val="24"/>
        </w:rPr>
        <w:t xml:space="preserve">       </w:t>
      </w:r>
      <w:r>
        <w:rPr>
          <w:rFonts w:hint="eastAsia" w:ascii="宋体" w:hAnsi="宋体" w:eastAsia="宋体" w:cs="宋体"/>
          <w:sz w:val="24"/>
          <w:szCs w:val="24"/>
        </w:rPr>
        <w:t>7-2   制造商企业（单位）类型声明函（</w:t>
      </w:r>
      <w:r>
        <w:rPr>
          <w:rFonts w:hint="eastAsia" w:ascii="宋体" w:hAnsi="宋体" w:eastAsia="宋体" w:cs="宋体"/>
          <w:sz w:val="24"/>
          <w:szCs w:val="24"/>
          <w:lang w:eastAsia="zh-CN"/>
        </w:rPr>
        <w:t>响应文件</w:t>
      </w:r>
      <w:r>
        <w:rPr>
          <w:rFonts w:hint="eastAsia" w:ascii="宋体" w:hAnsi="宋体" w:eastAsia="宋体" w:cs="宋体"/>
          <w:sz w:val="24"/>
          <w:szCs w:val="24"/>
        </w:rPr>
        <w:t>格式十二）</w:t>
      </w:r>
      <w:bookmarkEnd w:id="412"/>
      <w:bookmarkEnd w:id="413"/>
      <w:bookmarkEnd w:id="414"/>
      <w:bookmarkEnd w:id="415"/>
    </w:p>
    <w:p>
      <w:pPr>
        <w:spacing w:line="240" w:lineRule="atLeast"/>
        <w:ind w:left="1080" w:leftChars="257" w:hanging="540"/>
        <w:jc w:val="center"/>
        <w:rPr>
          <w:rFonts w:hint="eastAsia" w:ascii="宋体" w:hAnsi="宋体" w:cs="宋体"/>
          <w:b/>
          <w:kern w:val="0"/>
          <w:sz w:val="24"/>
        </w:rPr>
      </w:pP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本企业（单位）作为______单位的______ 项目的设备制造商，参加政府采购活动。根据</w:t>
      </w:r>
      <w:r>
        <w:rPr>
          <w:rFonts w:hint="eastAsia" w:ascii="宋体" w:hAnsi="宋体" w:cs="宋体"/>
          <w:kern w:val="0"/>
          <w:sz w:val="24"/>
          <w:lang w:eastAsia="zh-CN"/>
        </w:rPr>
        <w:t>《政府采购促进中小企业发展管理办法》（财库〔2020〕46号）</w:t>
      </w:r>
      <w:r>
        <w:rPr>
          <w:rFonts w:hint="eastAsia" w:ascii="宋体" w:hAnsi="宋体" w:cs="宋体"/>
          <w:kern w:val="0"/>
          <w:sz w:val="24"/>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本单位为</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 xml:space="preserve">：                 </w:t>
      </w: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sz w:val="24"/>
        </w:rPr>
      </w:pPr>
    </w:p>
    <w:p>
      <w:pPr>
        <w:widowControl/>
        <w:spacing w:before="100" w:beforeAutospacing="1" w:after="100" w:afterAutospacing="1" w:line="330" w:lineRule="atLeast"/>
        <w:ind w:firstLine="720" w:firstLineChars="300"/>
        <w:jc w:val="left"/>
        <w:rPr>
          <w:rFonts w:hint="eastAsia" w:ascii="宋体" w:hAnsi="宋体" w:cs="宋体"/>
          <w:sz w:val="24"/>
        </w:rPr>
      </w:pPr>
    </w:p>
    <w:p>
      <w:pPr>
        <w:pStyle w:val="4"/>
        <w:spacing w:before="0" w:line="240" w:lineRule="atLeast"/>
        <w:ind w:firstLine="964" w:firstLineChars="400"/>
        <w:jc w:val="both"/>
        <w:rPr>
          <w:rFonts w:hint="eastAsia" w:ascii="宋体" w:hAnsi="宋体" w:eastAsia="宋体" w:cs="宋体"/>
          <w:sz w:val="24"/>
          <w:szCs w:val="24"/>
        </w:rPr>
      </w:pPr>
      <w:bookmarkStart w:id="416" w:name="_Toc24603"/>
      <w:bookmarkStart w:id="417" w:name="_Toc23068"/>
      <w:bookmarkStart w:id="418" w:name="_Toc19284"/>
      <w:bookmarkStart w:id="419" w:name="_Toc515647825"/>
      <w:bookmarkStart w:id="420" w:name="OLE_LINK13"/>
      <w:bookmarkStart w:id="421" w:name="OLE_LINK14"/>
      <w:r>
        <w:rPr>
          <w:rFonts w:hint="eastAsia" w:ascii="宋体" w:hAnsi="宋体" w:eastAsia="宋体" w:cs="宋体"/>
          <w:sz w:val="24"/>
          <w:szCs w:val="24"/>
        </w:rPr>
        <w:t>7-3   残疾人福利性单位声明函（</w:t>
      </w:r>
      <w:r>
        <w:rPr>
          <w:rFonts w:hint="eastAsia" w:ascii="宋体" w:hAnsi="宋体" w:eastAsia="宋体" w:cs="宋体"/>
          <w:sz w:val="24"/>
          <w:szCs w:val="24"/>
          <w:lang w:eastAsia="zh-CN"/>
        </w:rPr>
        <w:t>响应文件</w:t>
      </w:r>
      <w:r>
        <w:rPr>
          <w:rFonts w:hint="eastAsia" w:ascii="宋体" w:hAnsi="宋体" w:eastAsia="宋体" w:cs="宋体"/>
          <w:sz w:val="24"/>
          <w:szCs w:val="24"/>
        </w:rPr>
        <w:t>格式十三）</w:t>
      </w:r>
      <w:bookmarkEnd w:id="416"/>
      <w:bookmarkEnd w:id="417"/>
      <w:bookmarkEnd w:id="418"/>
      <w:bookmarkEnd w:id="419"/>
    </w:p>
    <w:bookmarkEnd w:id="420"/>
    <w:bookmarkEnd w:id="421"/>
    <w:p>
      <w:pPr>
        <w:spacing w:line="240" w:lineRule="atLeast"/>
        <w:ind w:left="1080" w:leftChars="257" w:hanging="540"/>
        <w:jc w:val="center"/>
        <w:rPr>
          <w:rFonts w:hint="eastAsia" w:ascii="宋体" w:hAnsi="宋体" w:cs="宋体"/>
          <w:kern w:val="0"/>
          <w:sz w:val="24"/>
        </w:rPr>
      </w:pPr>
    </w:p>
    <w:p>
      <w:pPr>
        <w:spacing w:line="240" w:lineRule="atLeast"/>
        <w:ind w:firstLine="567"/>
        <w:rPr>
          <w:rFonts w:hint="eastAsia"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kern w:val="0"/>
          <w:sz w:val="24"/>
        </w:rPr>
      </w:pPr>
      <w:r>
        <w:rPr>
          <w:rFonts w:hint="eastAsia" w:ascii="宋体" w:hAnsi="宋体" w:cs="宋体"/>
          <w:kern w:val="0"/>
          <w:sz w:val="24"/>
        </w:rPr>
        <w:t>本单位对上述声明的真实性负责。如有虚假，将依法承担相应责任。</w:t>
      </w:r>
    </w:p>
    <w:p>
      <w:pPr>
        <w:spacing w:line="240" w:lineRule="atLeast"/>
        <w:ind w:left="1080" w:leftChars="257" w:hanging="540"/>
        <w:jc w:val="center"/>
        <w:rPr>
          <w:rFonts w:hint="eastAsia" w:ascii="宋体" w:hAnsi="宋体" w:cs="宋体"/>
          <w:kern w:val="0"/>
          <w:sz w:val="24"/>
        </w:rPr>
      </w:pPr>
    </w:p>
    <w:p>
      <w:pPr>
        <w:spacing w:line="240" w:lineRule="atLeast"/>
        <w:ind w:left="1080" w:leftChars="257" w:hanging="540"/>
        <w:jc w:val="center"/>
        <w:rPr>
          <w:rFonts w:hint="eastAsia" w:ascii="宋体" w:hAnsi="宋体" w:cs="宋体"/>
          <w:kern w:val="0"/>
          <w:sz w:val="24"/>
        </w:rPr>
      </w:pPr>
    </w:p>
    <w:p>
      <w:pPr>
        <w:spacing w:line="240" w:lineRule="atLeast"/>
        <w:ind w:left="1080" w:leftChars="257" w:hanging="540"/>
        <w:jc w:val="center"/>
        <w:rPr>
          <w:rFonts w:hint="eastAsia" w:ascii="宋体" w:hAnsi="宋体" w:cs="宋体"/>
          <w:kern w:val="0"/>
          <w:sz w:val="24"/>
        </w:rPr>
      </w:pPr>
      <w:r>
        <w:rPr>
          <w:rFonts w:hint="eastAsia" w:ascii="宋体" w:hAnsi="宋体" w:cs="宋体"/>
          <w:kern w:val="0"/>
          <w:sz w:val="24"/>
        </w:rPr>
        <w:t xml:space="preserve">              残疾人福利性单位名称（盖单位章）：______________</w:t>
      </w:r>
    </w:p>
    <w:p>
      <w:pPr>
        <w:spacing w:line="240" w:lineRule="atLeast"/>
        <w:ind w:left="1080" w:leftChars="257" w:hanging="540"/>
        <w:jc w:val="cente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color="FFFFFF"/>
        </w:rPr>
        <w:t xml:space="preserve">       </w:t>
      </w:r>
      <w:r>
        <w:rPr>
          <w:rFonts w:hint="eastAsia" w:ascii="宋体" w:hAnsi="宋体" w:cs="宋体"/>
          <w:kern w:val="0"/>
          <w:sz w:val="24"/>
        </w:rPr>
        <w:t>日  期：_____________________________________________</w:t>
      </w: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spacing w:line="240" w:lineRule="atLeast"/>
        <w:ind w:left="1080" w:leftChars="257" w:hanging="540"/>
        <w:jc w:val="center"/>
        <w:rPr>
          <w:rFonts w:hint="eastAsia" w:ascii="宋体" w:hAnsi="宋体" w:cs="宋体"/>
          <w:b/>
          <w:kern w:val="0"/>
          <w:sz w:val="24"/>
        </w:rPr>
      </w:pPr>
    </w:p>
    <w:p>
      <w:pPr>
        <w:pStyle w:val="9"/>
        <w:rPr>
          <w:rFonts w:hint="eastAsia" w:hAnsi="宋体" w:cs="宋体"/>
          <w:szCs w:val="24"/>
        </w:rPr>
      </w:pPr>
    </w:p>
    <w:p>
      <w:pPr>
        <w:pStyle w:val="4"/>
        <w:spacing w:before="0" w:line="240" w:lineRule="atLeast"/>
        <w:ind w:left="1080" w:leftChars="257" w:hanging="540"/>
        <w:rPr>
          <w:rFonts w:hint="eastAsia" w:ascii="宋体" w:hAnsi="宋体" w:eastAsia="宋体" w:cs="宋体"/>
          <w:sz w:val="24"/>
          <w:szCs w:val="24"/>
        </w:rPr>
      </w:pPr>
      <w:bookmarkStart w:id="422" w:name="_Toc28099"/>
      <w:bookmarkStart w:id="423" w:name="_Toc10002"/>
      <w:bookmarkStart w:id="424" w:name="_Toc515647827"/>
      <w:bookmarkStart w:id="425" w:name="_Toc30795"/>
      <w:r>
        <w:rPr>
          <w:rFonts w:hint="eastAsia" w:ascii="宋体" w:hAnsi="宋体" w:eastAsia="宋体" w:cs="宋体"/>
          <w:sz w:val="24"/>
          <w:szCs w:val="24"/>
        </w:rPr>
        <w:t>8   投标人关联单位的说明</w:t>
      </w:r>
      <w:bookmarkEnd w:id="422"/>
      <w:bookmarkEnd w:id="423"/>
      <w:bookmarkEnd w:id="424"/>
      <w:bookmarkEnd w:id="425"/>
    </w:p>
    <w:p>
      <w:pPr>
        <w:pStyle w:val="9"/>
        <w:jc w:val="center"/>
        <w:rPr>
          <w:rFonts w:hint="eastAsia" w:hAnsi="宋体" w:cs="宋体"/>
          <w:szCs w:val="24"/>
        </w:rPr>
      </w:pPr>
    </w:p>
    <w:p>
      <w:pPr>
        <w:pStyle w:val="9"/>
        <w:ind w:firstLine="480" w:firstLineChars="200"/>
        <w:rPr>
          <w:rFonts w:hint="eastAsia" w:hAnsi="宋体" w:cs="宋体"/>
          <w:szCs w:val="24"/>
        </w:rPr>
      </w:pPr>
      <w:r>
        <w:rPr>
          <w:rFonts w:hint="eastAsia" w:hAnsi="宋体" w:cs="宋体"/>
          <w:szCs w:val="24"/>
        </w:rPr>
        <w:t>说明：投标人应当如实披露与本单位存在下列关联关系的单位名称：</w:t>
      </w:r>
    </w:p>
    <w:p>
      <w:pPr>
        <w:pStyle w:val="9"/>
        <w:ind w:firstLine="480" w:firstLineChars="200"/>
        <w:rPr>
          <w:rFonts w:hint="eastAsia" w:hAnsi="宋体" w:eastAsia="宋体" w:cs="宋体"/>
          <w:szCs w:val="24"/>
          <w:lang w:eastAsia="zh-CN"/>
        </w:rPr>
      </w:pPr>
      <w:r>
        <w:rPr>
          <w:rFonts w:hint="eastAsia" w:hAnsi="宋体" w:cs="宋体"/>
          <w:szCs w:val="24"/>
        </w:rPr>
        <w:t>（1）与投标人单位负责人为同一人的其他单位；</w:t>
      </w:r>
    </w:p>
    <w:p>
      <w:pPr>
        <w:pStyle w:val="9"/>
        <w:ind w:firstLine="480" w:firstLineChars="200"/>
        <w:rPr>
          <w:rFonts w:hint="eastAsia" w:hAnsi="宋体" w:cs="宋体"/>
          <w:szCs w:val="24"/>
        </w:rPr>
      </w:pPr>
      <w:r>
        <w:rPr>
          <w:rFonts w:hint="eastAsia" w:hAnsi="宋体" w:cs="宋体"/>
          <w:szCs w:val="24"/>
        </w:rPr>
        <w:t xml:space="preserve">    （2）与投标人存在直接控股、管理关系的其他单位。</w:t>
      </w:r>
    </w:p>
    <w:p>
      <w:pPr>
        <w:pStyle w:val="9"/>
        <w:ind w:firstLine="0"/>
        <w:rPr>
          <w:rFonts w:hint="eastAsia" w:hAnsi="宋体" w:cs="宋体"/>
          <w:szCs w:val="24"/>
        </w:rPr>
      </w:pPr>
    </w:p>
    <w:p>
      <w:pPr>
        <w:spacing w:line="240" w:lineRule="atLeast"/>
        <w:ind w:left="1080" w:leftChars="257" w:hanging="540"/>
        <w:jc w:val="center"/>
        <w:rPr>
          <w:rFonts w:hint="eastAsia" w:ascii="宋体" w:hAnsi="宋体" w:cs="宋体"/>
          <w:b/>
          <w:kern w:val="0"/>
          <w:sz w:val="24"/>
        </w:rPr>
      </w:pPr>
    </w:p>
    <w:p>
      <w:pPr>
        <w:pStyle w:val="4"/>
        <w:spacing w:before="0" w:line="240" w:lineRule="atLeast"/>
        <w:ind w:left="1080" w:leftChars="257" w:hanging="540"/>
        <w:rPr>
          <w:rFonts w:hint="eastAsia" w:ascii="宋体" w:hAnsi="宋体" w:eastAsia="宋体" w:cs="宋体"/>
          <w:sz w:val="24"/>
          <w:szCs w:val="24"/>
        </w:rPr>
      </w:pPr>
      <w:bookmarkStart w:id="426" w:name="_Toc515647828"/>
      <w:bookmarkStart w:id="427" w:name="_Toc17333"/>
      <w:bookmarkStart w:id="428" w:name="_Toc7414"/>
      <w:bookmarkStart w:id="429" w:name="_Toc14039"/>
      <w:r>
        <w:rPr>
          <w:rFonts w:hint="eastAsia" w:ascii="宋体" w:hAnsi="宋体" w:eastAsia="宋体" w:cs="宋体"/>
          <w:sz w:val="24"/>
          <w:szCs w:val="24"/>
        </w:rPr>
        <w:t xml:space="preserve">9   </w:t>
      </w:r>
      <w:r>
        <w:rPr>
          <w:rFonts w:hint="eastAsia" w:ascii="宋体" w:hAnsi="宋体" w:eastAsia="宋体" w:cs="宋体"/>
          <w:sz w:val="24"/>
          <w:szCs w:val="24"/>
          <w:lang w:eastAsia="zh-CN"/>
        </w:rPr>
        <w:t>响应文件</w:t>
      </w:r>
      <w:r>
        <w:rPr>
          <w:rFonts w:hint="eastAsia" w:ascii="宋体" w:hAnsi="宋体" w:eastAsia="宋体" w:cs="宋体"/>
          <w:sz w:val="24"/>
          <w:szCs w:val="24"/>
        </w:rPr>
        <w:t>还应包括投标人须知第10条的所有技术文件</w:t>
      </w:r>
      <w:bookmarkEnd w:id="426"/>
      <w:bookmarkEnd w:id="427"/>
      <w:bookmarkEnd w:id="428"/>
      <w:bookmarkEnd w:id="429"/>
    </w:p>
    <w:p>
      <w:pPr>
        <w:pStyle w:val="14"/>
        <w:tabs>
          <w:tab w:val="left" w:pos="5580"/>
        </w:tabs>
        <w:spacing w:line="360" w:lineRule="exact"/>
        <w:rPr>
          <w:rFonts w:hint="eastAsia" w:asciiTheme="minorEastAsia" w:hAnsiTheme="minorEastAsia" w:eastAsiaTheme="minorEastAsia" w:cstheme="minorEastAsia"/>
          <w:b/>
          <w:sz w:val="32"/>
        </w:rPr>
      </w:pPr>
      <w:r>
        <w:rPr>
          <w:rFonts w:hint="eastAsia" w:ascii="宋体" w:hAnsi="宋体" w:cs="宋体"/>
          <w:sz w:val="24"/>
        </w:rPr>
        <w:br w:type="page"/>
      </w:r>
      <w:bookmarkEnd w:id="278"/>
      <w:bookmarkEnd w:id="279"/>
      <w:bookmarkEnd w:id="280"/>
      <w:bookmarkEnd w:id="281"/>
      <w:bookmarkEnd w:id="364"/>
      <w:bookmarkEnd w:id="365"/>
      <w:bookmarkEnd w:id="366"/>
      <w:bookmarkEnd w:id="367"/>
      <w:bookmarkEnd w:id="368"/>
      <w:bookmarkEnd w:id="369"/>
    </w:p>
    <w:p>
      <w:pPr>
        <w:spacing w:line="240" w:lineRule="atLeast"/>
        <w:jc w:val="left"/>
        <w:outlineLvl w:val="2"/>
        <w:rPr>
          <w:rFonts w:hint="eastAsia" w:asciiTheme="minorEastAsia" w:hAnsiTheme="minorEastAsia" w:eastAsiaTheme="minorEastAsia" w:cstheme="minorEastAsia"/>
          <w:b/>
          <w:kern w:val="0"/>
          <w:sz w:val="24"/>
          <w:szCs w:val="20"/>
        </w:rPr>
      </w:pPr>
      <w:bookmarkStart w:id="430" w:name="_Toc23729"/>
      <w:bookmarkStart w:id="431" w:name="_Toc30798"/>
      <w:bookmarkStart w:id="432" w:name="_Toc28994"/>
      <w:bookmarkStart w:id="433" w:name="_Toc18887"/>
      <w:bookmarkStart w:id="434" w:name="_Toc13771"/>
    </w:p>
    <w:p>
      <w:pPr>
        <w:spacing w:line="240" w:lineRule="atLeast"/>
        <w:jc w:val="center"/>
        <w:outlineLvl w:val="2"/>
        <w:rPr>
          <w:rFonts w:hint="eastAsia" w:asciiTheme="minorEastAsia" w:hAnsiTheme="minorEastAsia" w:eastAsiaTheme="minorEastAsia" w:cstheme="minorEastAsia"/>
          <w:b/>
          <w:kern w:val="0"/>
          <w:sz w:val="24"/>
          <w:szCs w:val="20"/>
        </w:rPr>
      </w:pPr>
    </w:p>
    <w:p>
      <w:pPr>
        <w:spacing w:line="240" w:lineRule="atLeast"/>
        <w:jc w:val="center"/>
        <w:outlineLvl w:val="2"/>
        <w:rPr>
          <w:rFonts w:hint="eastAsia" w:asciiTheme="minorEastAsia" w:hAnsiTheme="minorEastAsia" w:eastAsiaTheme="minorEastAsia" w:cstheme="minorEastAsia"/>
          <w:b/>
          <w:kern w:val="0"/>
          <w:sz w:val="24"/>
          <w:szCs w:val="20"/>
        </w:rPr>
      </w:pPr>
      <w:r>
        <w:rPr>
          <w:rFonts w:hint="eastAsia" w:asciiTheme="minorEastAsia" w:hAnsiTheme="minorEastAsia" w:eastAsiaTheme="minorEastAsia" w:cstheme="minorEastAsia"/>
          <w:b/>
          <w:kern w:val="0"/>
          <w:sz w:val="24"/>
          <w:szCs w:val="20"/>
          <w:lang w:val="en-US" w:eastAsia="zh-CN"/>
        </w:rPr>
        <w:t>10</w:t>
      </w:r>
      <w:r>
        <w:rPr>
          <w:rFonts w:hint="eastAsia" w:asciiTheme="minorEastAsia" w:hAnsiTheme="minorEastAsia" w:eastAsiaTheme="minorEastAsia" w:cstheme="minorEastAsia"/>
          <w:b/>
          <w:kern w:val="0"/>
          <w:sz w:val="24"/>
          <w:szCs w:val="20"/>
        </w:rPr>
        <w:t xml:space="preserve"> </w:t>
      </w:r>
      <w:r>
        <w:rPr>
          <w:rFonts w:hint="eastAsia" w:asciiTheme="minorEastAsia" w:hAnsiTheme="minorEastAsia" w:eastAsiaTheme="minorEastAsia" w:cstheme="minorEastAsia"/>
          <w:b/>
          <w:kern w:val="0"/>
          <w:sz w:val="24"/>
          <w:szCs w:val="20"/>
          <w:lang w:eastAsia="zh-CN"/>
        </w:rPr>
        <w:t>响应文件</w:t>
      </w:r>
      <w:r>
        <w:rPr>
          <w:rFonts w:hint="eastAsia" w:asciiTheme="minorEastAsia" w:hAnsiTheme="minorEastAsia" w:eastAsiaTheme="minorEastAsia" w:cstheme="minorEastAsia"/>
          <w:b/>
          <w:kern w:val="0"/>
          <w:sz w:val="24"/>
          <w:szCs w:val="20"/>
        </w:rPr>
        <w:t>格式范本</w:t>
      </w:r>
      <w:bookmarkEnd w:id="430"/>
      <w:bookmarkEnd w:id="431"/>
      <w:bookmarkEnd w:id="432"/>
      <w:bookmarkEnd w:id="433"/>
      <w:bookmarkEnd w:id="434"/>
    </w:p>
    <w:tbl>
      <w:tblPr>
        <w:tblStyle w:val="3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2335" w:hRule="atLeast"/>
        </w:trPr>
        <w:tc>
          <w:tcPr>
            <w:tcW w:w="9520" w:type="dxa"/>
            <w:shd w:val="clear" w:color="auto" w:fill="FCFEEA"/>
          </w:tcPr>
          <w:p>
            <w:pPr>
              <w:pStyle w:val="2"/>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（正本/副本）</w:t>
            </w:r>
          </w:p>
          <w:p>
            <w:pPr>
              <w:pStyle w:val="2"/>
              <w:ind w:firstLine="4216" w:firstLineChars="1500"/>
              <w:rPr>
                <w:rFonts w:hint="eastAsia" w:asciiTheme="minorEastAsia" w:hAnsiTheme="minorEastAsia" w:eastAsiaTheme="minorEastAsia" w:cstheme="minorEastAsia"/>
                <w:b/>
                <w:bCs/>
                <w:sz w:val="28"/>
                <w:szCs w:val="28"/>
              </w:rPr>
            </w:pPr>
          </w:p>
          <w:p>
            <w:pPr>
              <w:pStyle w:val="2"/>
              <w:ind w:firstLine="4216" w:firstLineChars="1500"/>
              <w:rPr>
                <w:rFonts w:hint="eastAsia" w:asciiTheme="minorEastAsia" w:hAnsiTheme="minorEastAsia" w:eastAsiaTheme="minorEastAsia" w:cstheme="minorEastAsia"/>
                <w:b/>
                <w:bCs/>
                <w:sz w:val="28"/>
                <w:szCs w:val="28"/>
              </w:rPr>
            </w:pPr>
          </w:p>
          <w:p>
            <w:pPr>
              <w:pStyle w:val="2"/>
              <w:rPr>
                <w:rFonts w:hint="eastAsia" w:asciiTheme="minorEastAsia" w:hAnsiTheme="minorEastAsia" w:eastAsiaTheme="minorEastAsia" w:cstheme="minorEastAsia"/>
                <w:b/>
                <w:bCs/>
                <w:sz w:val="28"/>
                <w:szCs w:val="28"/>
              </w:rPr>
            </w:pPr>
          </w:p>
          <w:p>
            <w:pPr>
              <w:pStyle w:val="2"/>
              <w:ind w:firstLine="2530" w:firstLineChars="9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 *** *** ***   项目</w:t>
            </w:r>
          </w:p>
          <w:p>
            <w:pPr>
              <w:pStyle w:val="2"/>
              <w:jc w:val="center"/>
              <w:rPr>
                <w:rFonts w:hint="eastAsia" w:asciiTheme="minorEastAsia" w:hAnsiTheme="minorEastAsia" w:eastAsiaTheme="minorEastAsia" w:cstheme="minorEastAsia"/>
                <w:b/>
                <w:bCs/>
                <w:sz w:val="21"/>
                <w:szCs w:val="21"/>
              </w:rPr>
            </w:pPr>
          </w:p>
          <w:p>
            <w:pPr>
              <w:pStyle w:val="2"/>
              <w:ind w:firstLine="3162" w:firstLineChars="15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编号＊＊＊＊＊＊</w:t>
            </w:r>
          </w:p>
          <w:p>
            <w:pPr>
              <w:pStyle w:val="2"/>
              <w:jc w:val="center"/>
              <w:rPr>
                <w:rFonts w:hint="eastAsia" w:asciiTheme="minorEastAsia" w:hAnsiTheme="minorEastAsia" w:eastAsiaTheme="minorEastAsia" w:cstheme="minorEastAsia"/>
                <w:b/>
                <w:bCs/>
                <w:sz w:val="48"/>
              </w:rPr>
            </w:pPr>
          </w:p>
          <w:p>
            <w:pPr>
              <w:pStyle w:val="2"/>
              <w:jc w:val="center"/>
              <w:rPr>
                <w:rFonts w:hint="eastAsia" w:asciiTheme="minorEastAsia" w:hAnsiTheme="minorEastAsia" w:eastAsiaTheme="minorEastAsia" w:cstheme="minorEastAsia"/>
                <w:b/>
                <w:bCs/>
                <w:sz w:val="48"/>
              </w:rPr>
            </w:pPr>
            <w:r>
              <w:rPr>
                <w:rFonts w:hint="eastAsia" w:asciiTheme="minorEastAsia" w:hAnsiTheme="minorEastAsia" w:eastAsiaTheme="minorEastAsia" w:cstheme="minorEastAsia"/>
                <w:b/>
                <w:bCs/>
                <w:sz w:val="48"/>
              </w:rPr>
              <w:t>响 应 文 件</w:t>
            </w:r>
          </w:p>
          <w:p>
            <w:pPr>
              <w:jc w:val="center"/>
              <w:rPr>
                <w:rFonts w:hint="eastAsia" w:asciiTheme="minorEastAsia" w:hAnsiTheme="minorEastAsia" w:eastAsiaTheme="minorEastAsia" w:cstheme="minorEastAsia"/>
                <w:b/>
                <w:sz w:val="32"/>
              </w:rPr>
            </w:pPr>
          </w:p>
          <w:p>
            <w:pPr>
              <w:pStyle w:val="9"/>
              <w:rPr>
                <w:rFonts w:hint="eastAsia" w:asciiTheme="minorEastAsia" w:hAnsiTheme="minorEastAsia" w:eastAsiaTheme="minorEastAsia" w:cstheme="minorEastAsia"/>
                <w:b/>
                <w:sz w:val="32"/>
              </w:rPr>
            </w:pPr>
          </w:p>
          <w:p>
            <w:pPr>
              <w:pStyle w:val="9"/>
              <w:rPr>
                <w:rFonts w:hint="eastAsia" w:asciiTheme="minorEastAsia" w:hAnsiTheme="minorEastAsia" w:eastAsiaTheme="minorEastAsia" w:cstheme="minorEastAsia"/>
                <w:b/>
                <w:sz w:val="32"/>
              </w:rPr>
            </w:pPr>
          </w:p>
          <w:p>
            <w:pPr>
              <w:spacing w:line="360" w:lineRule="auto"/>
              <w:ind w:left="176" w:leftChars="84"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地    址  ：  </w:t>
            </w:r>
            <w:r>
              <w:rPr>
                <w:rFonts w:hint="eastAsia" w:asciiTheme="minorEastAsia" w:hAnsiTheme="minorEastAsia" w:eastAsiaTheme="minorEastAsia" w:cstheme="minorEastAsia"/>
                <w:szCs w:val="21"/>
                <w:u w:val="single"/>
              </w:rPr>
              <w:t xml:space="preserve">                                    </w:t>
            </w:r>
          </w:p>
          <w:p>
            <w:pPr>
              <w:spacing w:line="360" w:lineRule="auto"/>
              <w:ind w:left="176" w:leftChars="84" w:firstLine="960" w:firstLineChars="400"/>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b/>
                <w:bCs/>
              </w:rPr>
            </w:pPr>
          </w:p>
          <w:p>
            <w:pPr>
              <w:jc w:val="center"/>
              <w:rPr>
                <w:rFonts w:hint="eastAsia" w:asciiTheme="minorEastAsia" w:hAnsiTheme="minorEastAsia" w:eastAsiaTheme="minorEastAsia" w:cstheme="minorEastAsia"/>
                <w:b/>
                <w:bCs/>
              </w:rPr>
            </w:pPr>
          </w:p>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注：   在202</w:t>
            </w: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 xml:space="preserve">年   月 </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 xml:space="preserve"> 日     之前不得启封</w:t>
            </w:r>
          </w:p>
        </w:tc>
      </w:tr>
    </w:tbl>
    <w:p>
      <w:pPr>
        <w:spacing w:line="240" w:lineRule="atLeast"/>
        <w:jc w:val="left"/>
        <w:rPr>
          <w:rFonts w:hint="eastAsia" w:asciiTheme="minorEastAsia" w:hAnsiTheme="minorEastAsia" w:eastAsiaTheme="minorEastAsia" w:cs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pgNumType w:fmt="decimal"/>
          <w:cols w:space="720" w:num="1"/>
          <w:docGrid w:linePitch="312" w:charSpace="0"/>
        </w:sectPr>
      </w:pPr>
    </w:p>
    <w:p>
      <w:pPr>
        <w:pStyle w:val="9"/>
        <w:ind w:left="0" w:leftChars="0" w:firstLine="0" w:firstLineChars="0"/>
        <w:jc w:val="center"/>
        <w:rPr>
          <w:rFonts w:hint="eastAsia" w:asciiTheme="minorEastAsia" w:hAnsiTheme="minorEastAsia" w:eastAsiaTheme="minorEastAsia" w:cstheme="minorEastAsia"/>
          <w:bCs/>
          <w:sz w:val="48"/>
          <w:szCs w:val="48"/>
          <w:lang w:eastAsia="zh-CN"/>
        </w:rPr>
      </w:pPr>
      <w:bookmarkStart w:id="435" w:name="_Toc216582822"/>
      <w:bookmarkStart w:id="436" w:name="_Toc219175634"/>
      <w:bookmarkStart w:id="437" w:name="_Toc218935350"/>
      <w:bookmarkStart w:id="438" w:name="_Toc518923124"/>
      <w:bookmarkStart w:id="439" w:name="_Toc9913"/>
      <w:bookmarkStart w:id="440" w:name="_Toc507399902"/>
      <w:bookmarkStart w:id="441" w:name="_Toc21156_WPSOffice_Level1"/>
      <w:bookmarkStart w:id="442" w:name="_Toc31119"/>
    </w:p>
    <w:p>
      <w:pPr>
        <w:pStyle w:val="9"/>
        <w:ind w:left="0" w:leftChars="0" w:firstLine="0" w:firstLineChars="0"/>
        <w:jc w:val="center"/>
        <w:rPr>
          <w:rFonts w:hint="eastAsia" w:asciiTheme="minorEastAsia" w:hAnsiTheme="minorEastAsia" w:eastAsiaTheme="minorEastAsia" w:cstheme="minorEastAsia"/>
          <w:bCs/>
          <w:sz w:val="48"/>
          <w:szCs w:val="48"/>
          <w:lang w:eastAsia="zh-CN"/>
        </w:rPr>
      </w:pPr>
    </w:p>
    <w:p>
      <w:pPr>
        <w:pStyle w:val="9"/>
        <w:ind w:left="0" w:leftChars="0" w:firstLine="0" w:firstLineChars="0"/>
        <w:jc w:val="center"/>
        <w:rPr>
          <w:rFonts w:hint="eastAsia" w:asciiTheme="minorEastAsia" w:hAnsiTheme="minorEastAsia" w:eastAsiaTheme="minorEastAsia" w:cstheme="minorEastAsia"/>
          <w:bCs/>
          <w:sz w:val="48"/>
          <w:szCs w:val="48"/>
          <w:lang w:eastAsia="zh-CN"/>
        </w:rPr>
      </w:pPr>
      <w:r>
        <w:rPr>
          <w:rFonts w:hint="eastAsia" w:asciiTheme="minorEastAsia" w:hAnsiTheme="minorEastAsia" w:eastAsiaTheme="minorEastAsia" w:cstheme="minorEastAsia"/>
          <w:bCs/>
          <w:sz w:val="48"/>
          <w:szCs w:val="48"/>
          <w:lang w:eastAsia="zh-CN"/>
        </w:rPr>
        <w:t>喀什地区康宁医院检验辅助设备采购项目</w:t>
      </w:r>
    </w:p>
    <w:p>
      <w:pPr>
        <w:pStyle w:val="9"/>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XJWSH(JZXCS)2021-15号</w:t>
      </w:r>
    </w:p>
    <w:p>
      <w:pPr>
        <w:spacing w:line="240" w:lineRule="atLeast"/>
        <w:ind w:left="1080" w:leftChars="257" w:hanging="540"/>
        <w:jc w:val="center"/>
        <w:outlineLvl w:val="0"/>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 xml:space="preserve"> </w:t>
      </w: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9"/>
        <w:ind w:left="0" w:leftChars="0" w:firstLine="0" w:firstLineChars="0"/>
        <w:rPr>
          <w:rFonts w:hint="eastAsia" w:asciiTheme="minorEastAsia" w:hAnsiTheme="minorEastAsia" w:eastAsiaTheme="minorEastAsia" w:cstheme="minorEastAsia"/>
          <w:bCs/>
          <w:sz w:val="48"/>
          <w:szCs w:val="48"/>
        </w:rPr>
      </w:pP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4"/>
        <w:rPr>
          <w:rFonts w:hint="eastAsia" w:asciiTheme="minorEastAsia" w:hAnsiTheme="minorEastAsia" w:eastAsiaTheme="minorEastAsia" w:cstheme="minorEastAsia"/>
        </w:rPr>
      </w:pPr>
    </w:p>
    <w:p>
      <w:pPr>
        <w:spacing w:line="240" w:lineRule="atLeast"/>
        <w:ind w:left="1080" w:leftChars="257" w:hanging="540"/>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48"/>
          <w:szCs w:val="48"/>
        </w:rPr>
        <w:t>竞争性磋商文件</w:t>
      </w:r>
      <w:r>
        <w:rPr>
          <w:rFonts w:hint="eastAsia" w:asciiTheme="minorEastAsia" w:hAnsiTheme="minorEastAsia" w:eastAsiaTheme="minorEastAsia" w:cstheme="minorEastAsia"/>
          <w:bCs/>
          <w:sz w:val="52"/>
          <w:szCs w:val="5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pStyle w:val="4"/>
        <w:rPr>
          <w:rFonts w:hint="eastAsia" w:asciiTheme="minorEastAsia" w:hAnsiTheme="minorEastAsia" w:eastAsiaTheme="minorEastAsia" w:cstheme="minorEastAsia"/>
          <w:b/>
          <w:sz w:val="32"/>
          <w:szCs w:val="32"/>
        </w:rPr>
      </w:pPr>
    </w:p>
    <w:p>
      <w:pPr>
        <w:spacing w:line="240" w:lineRule="atLeast"/>
        <w:rPr>
          <w:rFonts w:hint="eastAsia" w:asciiTheme="minorEastAsia" w:hAnsiTheme="minorEastAsia" w:eastAsiaTheme="minorEastAsia" w:cstheme="minorEastAsia"/>
          <w:b/>
          <w:sz w:val="28"/>
        </w:rPr>
      </w:pPr>
    </w:p>
    <w:p>
      <w:pPr>
        <w:spacing w:line="240" w:lineRule="atLeast"/>
        <w:ind w:left="1080" w:leftChars="257" w:hanging="540"/>
        <w:jc w:val="center"/>
        <w:outlineLvl w:val="0"/>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eastAsia="zh-CN"/>
        </w:rPr>
        <w:t>二</w:t>
      </w:r>
      <w:r>
        <w:rPr>
          <w:rFonts w:hint="eastAsia" w:asciiTheme="minorEastAsia" w:hAnsiTheme="minorEastAsia" w:eastAsiaTheme="minorEastAsia" w:cstheme="minorEastAsia"/>
          <w:b/>
          <w:sz w:val="48"/>
          <w:szCs w:val="48"/>
        </w:rPr>
        <w:t>册</w:t>
      </w:r>
    </w:p>
    <w:p>
      <w:pPr>
        <w:spacing w:line="240" w:lineRule="atLeast"/>
        <w:ind w:left="1080" w:leftChars="257" w:hanging="540"/>
        <w:jc w:val="center"/>
        <w:rPr>
          <w:rFonts w:hint="eastAsia" w:asciiTheme="minorEastAsia" w:hAnsiTheme="minorEastAsia" w:eastAsiaTheme="minorEastAsia" w:cstheme="minorEastAsia"/>
          <w:b/>
          <w:sz w:val="52"/>
        </w:rPr>
      </w:pPr>
    </w:p>
    <w:p>
      <w:pPr>
        <w:spacing w:line="240" w:lineRule="atLeast"/>
        <w:ind w:left="1080" w:leftChars="257" w:hanging="540"/>
        <w:jc w:val="center"/>
        <w:rPr>
          <w:rFonts w:hint="eastAsia" w:asciiTheme="minorEastAsia" w:hAnsiTheme="minorEastAsia" w:eastAsiaTheme="minorEastAsia" w:cstheme="minorEastAsia"/>
          <w:b/>
          <w:sz w:val="52"/>
        </w:rPr>
      </w:pPr>
    </w:p>
    <w:p>
      <w:pPr>
        <w:pStyle w:val="33"/>
        <w:ind w:firstLine="1044"/>
        <w:rPr>
          <w:rFonts w:hint="eastAsia" w:asciiTheme="minorEastAsia" w:hAnsiTheme="minorEastAsia" w:eastAsiaTheme="minorEastAsia" w:cstheme="minorEastAsia"/>
          <w:b/>
          <w:sz w:val="52"/>
        </w:rPr>
      </w:pPr>
    </w:p>
    <w:p>
      <w:pPr>
        <w:pStyle w:val="33"/>
        <w:ind w:firstLine="1044"/>
        <w:rPr>
          <w:rFonts w:hint="eastAsia" w:asciiTheme="minorEastAsia" w:hAnsiTheme="minorEastAsia" w:eastAsiaTheme="minorEastAsia" w:cstheme="minorEastAsia"/>
          <w:b/>
          <w:sz w:val="52"/>
        </w:rPr>
      </w:pPr>
    </w:p>
    <w:p>
      <w:pPr>
        <w:pStyle w:val="33"/>
        <w:ind w:firstLine="1044"/>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p>
      <w:pPr>
        <w:pStyle w:val="3"/>
        <w:tabs>
          <w:tab w:val="left" w:pos="0"/>
        </w:tabs>
        <w:spacing w:before="0" w:after="0" w:line="240" w:lineRule="atLeas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第3章  </w:t>
      </w:r>
      <w:bookmarkEnd w:id="435"/>
      <w:bookmarkEnd w:id="436"/>
      <w:bookmarkEnd w:id="437"/>
      <w:bookmarkEnd w:id="438"/>
      <w:bookmarkEnd w:id="439"/>
      <w:bookmarkEnd w:id="440"/>
      <w:r>
        <w:rPr>
          <w:rFonts w:hint="eastAsia" w:asciiTheme="minorEastAsia" w:hAnsiTheme="minorEastAsia" w:eastAsiaTheme="minorEastAsia" w:cstheme="minorEastAsia"/>
          <w:color w:val="000000"/>
        </w:rPr>
        <w:t>磋商邀请</w:t>
      </w:r>
      <w:bookmarkEnd w:id="441"/>
      <w:bookmarkEnd w:id="442"/>
    </w:p>
    <w:p>
      <w:pPr>
        <w:rPr>
          <w:rFonts w:hint="eastAsia" w:asciiTheme="minorEastAsia" w:hAnsiTheme="minorEastAsia" w:eastAsiaTheme="minorEastAsia" w:cstheme="minorEastAsia"/>
        </w:rPr>
      </w:pPr>
    </w:p>
    <w:p>
      <w:pPr>
        <w:pBdr>
          <w:top w:val="single" w:color="auto" w:sz="4" w:space="1"/>
          <w:left w:val="single" w:color="auto" w:sz="4" w:space="4"/>
          <w:bottom w:val="single" w:color="auto" w:sz="4" w:space="1"/>
          <w:right w:val="single" w:color="auto" w:sz="4" w:space="4"/>
        </w:pBdr>
        <w:spacing w:line="360" w:lineRule="auto"/>
        <w:rPr>
          <w:rFonts w:hint="eastAsia" w:ascii="Times New Roman" w:hAnsi="宋体" w:eastAsia="宋体" w:cs="宋体"/>
          <w:color w:val="000000"/>
          <w:lang w:val="en-US" w:eastAsia="zh-CN"/>
        </w:rPr>
      </w:pPr>
      <w:r>
        <w:rPr>
          <w:rFonts w:hint="eastAsia" w:ascii="Times New Roman" w:hAnsi="宋体" w:eastAsia="宋体" w:cs="宋体"/>
          <w:color w:val="000000"/>
          <w:lang w:val="en-US" w:eastAsia="zh-CN"/>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b w:val="0"/>
          <w:bCs w:val="0"/>
          <w:sz w:val="24"/>
          <w:szCs w:val="24"/>
          <w:lang w:eastAsia="zh-CN"/>
        </w:rPr>
      </w:pPr>
      <w:bookmarkStart w:id="443" w:name="_Toc28359002"/>
      <w:bookmarkStart w:id="444" w:name="_Toc35393790"/>
      <w:bookmarkStart w:id="445" w:name="_Toc28359079"/>
      <w:bookmarkStart w:id="446" w:name="_Toc35393621"/>
      <w:bookmarkStart w:id="447" w:name="_Hlk24379207"/>
      <w:r>
        <w:rPr>
          <w:rFonts w:hint="eastAsia" w:hAnsi="宋体" w:cs="宋体"/>
          <w:color w:val="000000"/>
          <w:lang w:val="en-US" w:eastAsia="zh-CN"/>
        </w:rPr>
        <w:t>喀什地区康宁医院检验辅助设备采购项目</w:t>
      </w:r>
      <w:r>
        <w:rPr>
          <w:rFonts w:hint="eastAsia" w:ascii="宋体" w:hAnsi="宋体" w:eastAsia="宋体" w:cs="宋体"/>
          <w:color w:val="000000"/>
        </w:rPr>
        <w:t>的潜在供应商应在</w:t>
      </w:r>
      <w:r>
        <w:rPr>
          <w:rFonts w:hint="eastAsia" w:ascii="宋体" w:hAnsi="宋体" w:eastAsia="宋体" w:cs="宋体"/>
          <w:color w:val="000000"/>
          <w:lang w:eastAsia="zh-CN"/>
        </w:rPr>
        <w:t>政采云平台（https://www.zcygov.cn）</w:t>
      </w:r>
      <w:r>
        <w:rPr>
          <w:rFonts w:hint="eastAsia" w:ascii="宋体" w:hAnsi="宋体" w:eastAsia="宋体" w:cs="宋体"/>
          <w:color w:val="000000"/>
        </w:rPr>
        <w:t>获取采购文件，并于</w:t>
      </w:r>
      <w:r>
        <w:rPr>
          <w:rFonts w:hint="eastAsia" w:ascii="宋体" w:hAnsi="宋体" w:eastAsia="宋体" w:cs="宋体"/>
          <w:color w:val="000000"/>
          <w:lang w:val="en-US" w:eastAsia="zh-CN"/>
        </w:rPr>
        <w:t>2021</w:t>
      </w:r>
      <w:r>
        <w:rPr>
          <w:rFonts w:hint="eastAsia" w:hAnsi="宋体" w:eastAsia="宋体" w:cs="宋体"/>
          <w:color w:val="000000"/>
          <w:lang w:val="en-US" w:eastAsia="zh-CN"/>
        </w:rPr>
        <w:t xml:space="preserve"> </w:t>
      </w:r>
      <w:r>
        <w:rPr>
          <w:rFonts w:hint="eastAsia" w:ascii="宋体" w:hAnsi="宋体" w:eastAsia="宋体" w:cs="宋体"/>
          <w:color w:val="000000"/>
        </w:rPr>
        <w:t>年</w:t>
      </w:r>
      <w:r>
        <w:rPr>
          <w:rFonts w:hint="eastAsia" w:hAnsi="宋体" w:eastAsia="宋体" w:cs="宋体"/>
          <w:color w:val="000000"/>
          <w:lang w:val="en-US" w:eastAsia="zh-CN"/>
        </w:rPr>
        <w:t xml:space="preserve"> </w:t>
      </w:r>
      <w:r>
        <w:rPr>
          <w:rFonts w:hint="eastAsia" w:hAnsi="宋体" w:cs="宋体"/>
          <w:color w:val="000000"/>
          <w:lang w:val="en-US" w:eastAsia="zh-CN"/>
        </w:rPr>
        <w:t>11</w:t>
      </w:r>
      <w:r>
        <w:rPr>
          <w:rFonts w:hint="eastAsia" w:hAnsi="宋体" w:eastAsia="宋体" w:cs="宋体"/>
          <w:color w:val="000000"/>
          <w:lang w:val="en-US" w:eastAsia="zh-CN"/>
        </w:rPr>
        <w:t xml:space="preserve"> </w:t>
      </w:r>
      <w:r>
        <w:rPr>
          <w:rFonts w:hint="eastAsia" w:ascii="宋体" w:hAnsi="宋体" w:eastAsia="宋体" w:cs="宋体"/>
          <w:color w:val="000000"/>
        </w:rPr>
        <w:t xml:space="preserve">月 </w:t>
      </w:r>
      <w:r>
        <w:rPr>
          <w:rFonts w:hint="eastAsia" w:hAnsi="宋体" w:cs="宋体"/>
          <w:color w:val="000000"/>
          <w:lang w:val="en-US" w:eastAsia="zh-CN"/>
        </w:rPr>
        <w:t xml:space="preserve">26 </w:t>
      </w:r>
      <w:r>
        <w:rPr>
          <w:rFonts w:hint="eastAsia" w:ascii="宋体" w:hAnsi="宋体" w:eastAsia="宋体" w:cs="宋体"/>
          <w:color w:val="000000"/>
        </w:rPr>
        <w:t xml:space="preserve">日 </w:t>
      </w:r>
      <w:r>
        <w:rPr>
          <w:rFonts w:hint="eastAsia" w:ascii="宋体" w:hAnsi="宋体" w:eastAsia="宋体" w:cs="宋体"/>
          <w:color w:val="000000"/>
          <w:lang w:val="en-US" w:eastAsia="zh-CN"/>
        </w:rPr>
        <w:t>1</w:t>
      </w:r>
      <w:r>
        <w:rPr>
          <w:rFonts w:hint="eastAsia" w:hAnsi="宋体" w:cs="宋体"/>
          <w:color w:val="000000"/>
          <w:lang w:val="en-US" w:eastAsia="zh-CN"/>
        </w:rPr>
        <w:t>1</w:t>
      </w:r>
      <w:r>
        <w:rPr>
          <w:rFonts w:hint="eastAsia" w:ascii="宋体" w:hAnsi="宋体" w:eastAsia="宋体" w:cs="宋体"/>
          <w:color w:val="000000"/>
        </w:rPr>
        <w:t xml:space="preserve"> </w:t>
      </w:r>
      <w:r>
        <w:rPr>
          <w:rFonts w:hint="eastAsia" w:hAnsi="宋体" w:cs="宋体"/>
          <w:color w:val="000000"/>
          <w:lang w:val="en-US" w:eastAsia="zh-CN"/>
        </w:rPr>
        <w:t>点</w:t>
      </w:r>
      <w:r>
        <w:rPr>
          <w:rFonts w:hint="eastAsia" w:ascii="宋体" w:hAnsi="宋体" w:eastAsia="宋体" w:cs="宋体"/>
          <w:color w:val="000000"/>
        </w:rPr>
        <w:t xml:space="preserve"> </w:t>
      </w:r>
      <w:r>
        <w:rPr>
          <w:rFonts w:hint="eastAsia" w:hAnsi="宋体" w:cs="宋体"/>
          <w:color w:val="000000"/>
          <w:lang w:val="en-US" w:eastAsia="zh-CN"/>
        </w:rPr>
        <w:t>0</w:t>
      </w:r>
      <w:r>
        <w:rPr>
          <w:rFonts w:hint="eastAsia" w:ascii="宋体" w:hAnsi="宋体" w:eastAsia="宋体" w:cs="宋体"/>
          <w:color w:val="000000"/>
          <w:lang w:val="en-US" w:eastAsia="zh-CN"/>
        </w:rPr>
        <w:t>0</w:t>
      </w:r>
      <w:r>
        <w:rPr>
          <w:rFonts w:hint="eastAsia" w:ascii="宋体" w:hAnsi="宋体" w:eastAsia="宋体" w:cs="宋体"/>
          <w:color w:val="000000"/>
        </w:rPr>
        <w:t xml:space="preserve"> 分（北京时间）前提交响应文件</w:t>
      </w:r>
      <w:r>
        <w:rPr>
          <w:rFonts w:hint="eastAsia" w:ascii="宋体" w:hAnsi="宋体" w:eastAsia="宋体" w:cs="宋体"/>
          <w:color w:val="000000"/>
          <w:lang w:eastAsia="zh-CN"/>
        </w:rPr>
        <w:t>。</w:t>
      </w:r>
    </w:p>
    <w:bookmarkEnd w:id="443"/>
    <w:bookmarkEnd w:id="444"/>
    <w:bookmarkEnd w:id="445"/>
    <w:bookmarkEnd w:id="446"/>
    <w:bookmarkEnd w:id="447"/>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一、项目基本情况</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 xml:space="preserve">项目编号：XJWSH(JZXCS)2021-15号   </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项目名称： 喀什地区康宁医院检验辅助设备采购项目</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采购方式：□竞争性谈判 ☑竞争性磋商 □询价</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预算金额：75.68万元</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最高限价：75.68万元</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采购需求：采购临床医用检验辅助设备一批（具体详见</w:t>
      </w:r>
      <w:r>
        <w:rPr>
          <w:rFonts w:hint="eastAsia" w:hAnsi="宋体" w:cs="宋体"/>
          <w:color w:val="auto"/>
          <w:sz w:val="20"/>
          <w:szCs w:val="22"/>
          <w:lang w:val="en-US" w:eastAsia="zh-CN"/>
        </w:rPr>
        <w:t>磋商</w:t>
      </w:r>
      <w:r>
        <w:rPr>
          <w:rFonts w:hint="eastAsia" w:ascii="宋体" w:hAnsi="宋体" w:eastAsia="宋体" w:cs="宋体"/>
          <w:color w:val="auto"/>
          <w:sz w:val="20"/>
          <w:szCs w:val="22"/>
          <w:lang w:val="en-US" w:eastAsia="zh-CN"/>
        </w:rPr>
        <w:t>文件）</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合同履行期限：自合同签订之日起15日内</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本项目不接受联合体。</w:t>
      </w:r>
    </w:p>
    <w:p>
      <w:pPr>
        <w:pStyle w:val="9"/>
        <w:spacing w:line="360" w:lineRule="auto"/>
        <w:rPr>
          <w:rFonts w:hint="eastAsia" w:ascii="宋体" w:hAnsi="宋体" w:eastAsia="宋体" w:cs="宋体"/>
          <w:color w:val="auto"/>
          <w:sz w:val="20"/>
          <w:szCs w:val="22"/>
          <w:lang w:val="en-US" w:eastAsia="zh-CN"/>
        </w:rPr>
      </w:pPr>
      <w:bookmarkStart w:id="448" w:name="_Toc35393799"/>
      <w:bookmarkStart w:id="449" w:name="_Toc35393630"/>
      <w:bookmarkStart w:id="450" w:name="_Toc28359013"/>
      <w:bookmarkStart w:id="451" w:name="_Toc28359090"/>
      <w:r>
        <w:rPr>
          <w:rFonts w:hint="eastAsia" w:ascii="宋体" w:hAnsi="宋体" w:eastAsia="宋体" w:cs="宋体"/>
          <w:color w:val="auto"/>
          <w:sz w:val="20"/>
          <w:szCs w:val="22"/>
          <w:lang w:val="en-US" w:eastAsia="zh-CN"/>
        </w:rPr>
        <w:t>二、申请人的资格要求：</w:t>
      </w:r>
      <w:bookmarkEnd w:id="448"/>
      <w:bookmarkEnd w:id="449"/>
      <w:bookmarkEnd w:id="450"/>
      <w:bookmarkEnd w:id="451"/>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1、满足《中华人民共和国政府采购法》第二十二条规定；</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2、落实政府采购政策需满足的资格要求：无</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3、本项目的特定资格要求：</w:t>
      </w:r>
    </w:p>
    <w:p>
      <w:pPr>
        <w:pStyle w:val="9"/>
        <w:spacing w:line="360" w:lineRule="auto"/>
        <w:rPr>
          <w:rFonts w:hint="eastAsia" w:ascii="宋体" w:hAnsi="宋体" w:eastAsia="宋体" w:cs="宋体"/>
          <w:color w:val="auto"/>
          <w:sz w:val="20"/>
          <w:szCs w:val="22"/>
          <w:lang w:val="en-US" w:eastAsia="zh-CN"/>
        </w:rPr>
      </w:pPr>
      <w:bookmarkStart w:id="452" w:name="_Toc28359091"/>
      <w:bookmarkStart w:id="453" w:name="_Toc35393631"/>
      <w:bookmarkStart w:id="454" w:name="_Toc35393800"/>
      <w:bookmarkStart w:id="455" w:name="_Toc28359014"/>
      <w:r>
        <w:rPr>
          <w:rFonts w:hint="eastAsia" w:ascii="宋体" w:hAnsi="宋体" w:eastAsia="宋体" w:cs="宋体"/>
          <w:color w:val="auto"/>
          <w:sz w:val="20"/>
          <w:szCs w:val="22"/>
          <w:lang w:val="en-US" w:eastAsia="zh-CN"/>
        </w:rPr>
        <w:t>（1）企业法人营业执照、组织机构代码证、税务登记证（国税及地税）或三证合一企业法人营业执照；</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（2）提供法定代表人身份证明及身份证或法人授权委托书、授权委托人身份证；</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（4）依法缴纳近6个月社会保险的凭据；</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（5）提供税务部门出具的近6个月的完税证明（新成立公司除外）；</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（6）2020年度经审计的财务审计报告（新成立公司提供有效的银行资信证明）；</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（7）供应商需具有《医疗器械生产企业许可证》或《医疗器械经营企业许可证》（所投产品为二类医疗医疗器械的须提供二类医疗器械备案凭证）。</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（8）投标单位（供应商）提供针对本次项目的《反商业贿赂承诺书》；</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（9）参加政府采购活动前三年内在经营活动中没有重大违法记录的书面声明。</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三、获取采购文件</w:t>
      </w:r>
      <w:bookmarkEnd w:id="452"/>
      <w:bookmarkEnd w:id="453"/>
      <w:bookmarkEnd w:id="454"/>
      <w:bookmarkEnd w:id="455"/>
    </w:p>
    <w:p>
      <w:pPr>
        <w:pStyle w:val="9"/>
        <w:spacing w:line="360" w:lineRule="auto"/>
        <w:rPr>
          <w:rFonts w:hint="eastAsia" w:ascii="宋体" w:hAnsi="宋体" w:eastAsia="宋体" w:cs="宋体"/>
          <w:color w:val="auto"/>
          <w:sz w:val="20"/>
          <w:szCs w:val="22"/>
          <w:lang w:val="en-US" w:eastAsia="zh-CN"/>
        </w:rPr>
      </w:pPr>
      <w:bookmarkStart w:id="456" w:name="_Toc28359015"/>
      <w:bookmarkStart w:id="457" w:name="_Toc35393632"/>
      <w:bookmarkStart w:id="458" w:name="_Toc35393801"/>
      <w:bookmarkStart w:id="459" w:name="_Toc28359092"/>
      <w:r>
        <w:rPr>
          <w:rFonts w:hint="eastAsia" w:ascii="宋体" w:hAnsi="宋体" w:eastAsia="宋体" w:cs="宋体"/>
          <w:color w:val="auto"/>
          <w:sz w:val="20"/>
          <w:szCs w:val="22"/>
          <w:lang w:val="en-US" w:eastAsia="zh-CN"/>
        </w:rPr>
        <w:t>时 间： 2021年11月1</w:t>
      </w:r>
      <w:r>
        <w:rPr>
          <w:rFonts w:hint="eastAsia" w:hAnsi="宋体" w:cs="宋体"/>
          <w:color w:val="auto"/>
          <w:sz w:val="20"/>
          <w:szCs w:val="22"/>
          <w:lang w:val="en-US" w:eastAsia="zh-CN"/>
        </w:rPr>
        <w:t>5</w:t>
      </w:r>
      <w:r>
        <w:rPr>
          <w:rFonts w:hint="eastAsia" w:ascii="宋体" w:hAnsi="宋体" w:eastAsia="宋体" w:cs="宋体"/>
          <w:color w:val="auto"/>
          <w:sz w:val="20"/>
          <w:szCs w:val="22"/>
          <w:lang w:val="en-US" w:eastAsia="zh-CN"/>
        </w:rPr>
        <w:t>日至 2021年11月</w:t>
      </w:r>
      <w:r>
        <w:rPr>
          <w:rFonts w:hint="eastAsia" w:hAnsi="宋体" w:cs="宋体"/>
          <w:color w:val="auto"/>
          <w:sz w:val="20"/>
          <w:szCs w:val="22"/>
          <w:lang w:val="en-US" w:eastAsia="zh-CN"/>
        </w:rPr>
        <w:t>22</w:t>
      </w:r>
      <w:r>
        <w:rPr>
          <w:rFonts w:hint="eastAsia" w:ascii="宋体" w:hAnsi="宋体" w:eastAsia="宋体" w:cs="宋体"/>
          <w:color w:val="auto"/>
          <w:sz w:val="20"/>
          <w:szCs w:val="22"/>
          <w:lang w:val="en-US" w:eastAsia="zh-CN"/>
        </w:rPr>
        <w:t>日，每天上午10:00 至 14:00，下午15:30至 19:30（北京时间，法定节假日除外）</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地 点：政采云平台（https://www.zcygov.cn）</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方 式：网上自行下载</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售 价：0元</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四、响应文件提交</w:t>
      </w:r>
      <w:bookmarkEnd w:id="456"/>
      <w:bookmarkEnd w:id="457"/>
      <w:bookmarkEnd w:id="458"/>
      <w:bookmarkEnd w:id="459"/>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截止时间：2021 年 11 月 2</w:t>
      </w:r>
      <w:r>
        <w:rPr>
          <w:rFonts w:hint="eastAsia" w:hAnsi="宋体" w:cs="宋体"/>
          <w:color w:val="auto"/>
          <w:sz w:val="20"/>
          <w:szCs w:val="22"/>
          <w:lang w:val="en-US" w:eastAsia="zh-CN"/>
        </w:rPr>
        <w:t xml:space="preserve">6 </w:t>
      </w:r>
      <w:r>
        <w:rPr>
          <w:rFonts w:hint="eastAsia" w:ascii="宋体" w:hAnsi="宋体" w:eastAsia="宋体" w:cs="宋体"/>
          <w:color w:val="auto"/>
          <w:sz w:val="20"/>
          <w:szCs w:val="22"/>
          <w:lang w:val="en-US" w:eastAsia="zh-CN"/>
        </w:rPr>
        <w:t>日 11 点 00 分（北京时间）</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地    点：新疆喀什市帕依纳普路251号1幢5层5003室</w:t>
      </w:r>
    </w:p>
    <w:p>
      <w:pPr>
        <w:pStyle w:val="9"/>
        <w:spacing w:line="360" w:lineRule="auto"/>
        <w:rPr>
          <w:rFonts w:hint="eastAsia" w:ascii="宋体" w:hAnsi="宋体" w:eastAsia="宋体" w:cs="宋体"/>
          <w:color w:val="auto"/>
          <w:sz w:val="20"/>
          <w:szCs w:val="22"/>
          <w:lang w:val="en-US" w:eastAsia="zh-CN"/>
        </w:rPr>
      </w:pPr>
      <w:bookmarkStart w:id="460" w:name="_Toc35393802"/>
      <w:bookmarkStart w:id="461" w:name="_Toc35393633"/>
      <w:bookmarkStart w:id="462" w:name="_Toc28359016"/>
      <w:bookmarkStart w:id="463" w:name="_Toc28359093"/>
      <w:r>
        <w:rPr>
          <w:rFonts w:hint="eastAsia" w:ascii="宋体" w:hAnsi="宋体" w:eastAsia="宋体" w:cs="宋体"/>
          <w:color w:val="auto"/>
          <w:sz w:val="20"/>
          <w:szCs w:val="22"/>
          <w:lang w:val="en-US" w:eastAsia="zh-CN"/>
        </w:rPr>
        <w:t>五、开启</w:t>
      </w:r>
      <w:bookmarkEnd w:id="460"/>
      <w:bookmarkEnd w:id="461"/>
      <w:bookmarkEnd w:id="462"/>
      <w:bookmarkEnd w:id="463"/>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时    间：2021 年 11 月 2</w:t>
      </w:r>
      <w:r>
        <w:rPr>
          <w:rFonts w:hint="eastAsia" w:hAnsi="宋体" w:cs="宋体"/>
          <w:color w:val="auto"/>
          <w:sz w:val="20"/>
          <w:szCs w:val="22"/>
          <w:lang w:val="en-US" w:eastAsia="zh-CN"/>
        </w:rPr>
        <w:t>6</w:t>
      </w:r>
      <w:r>
        <w:rPr>
          <w:rFonts w:hint="eastAsia" w:ascii="宋体" w:hAnsi="宋体" w:eastAsia="宋体" w:cs="宋体"/>
          <w:color w:val="auto"/>
          <w:sz w:val="20"/>
          <w:szCs w:val="22"/>
          <w:lang w:val="en-US" w:eastAsia="zh-CN"/>
        </w:rPr>
        <w:t xml:space="preserve"> 日 11 点 00 分（北京时间）</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地    点：新疆喀什市帕依纳普路251号1幢5层5003室</w:t>
      </w:r>
    </w:p>
    <w:p>
      <w:pPr>
        <w:pStyle w:val="9"/>
        <w:spacing w:line="360" w:lineRule="auto"/>
        <w:rPr>
          <w:rFonts w:hint="eastAsia" w:ascii="宋体" w:hAnsi="宋体" w:eastAsia="宋体" w:cs="宋体"/>
          <w:color w:val="auto"/>
          <w:sz w:val="20"/>
          <w:szCs w:val="22"/>
          <w:lang w:val="en-US" w:eastAsia="zh-CN"/>
        </w:rPr>
      </w:pPr>
      <w:bookmarkStart w:id="464" w:name="_Toc28359094"/>
      <w:bookmarkStart w:id="465" w:name="_Toc35393803"/>
      <w:bookmarkStart w:id="466" w:name="_Toc28359017"/>
      <w:bookmarkStart w:id="467" w:name="_Toc35393634"/>
      <w:r>
        <w:rPr>
          <w:rFonts w:hint="eastAsia" w:ascii="宋体" w:hAnsi="宋体" w:eastAsia="宋体" w:cs="宋体"/>
          <w:color w:val="auto"/>
          <w:sz w:val="20"/>
          <w:szCs w:val="22"/>
          <w:lang w:val="en-US" w:eastAsia="zh-CN"/>
        </w:rPr>
        <w:t>六、公告期限</w:t>
      </w:r>
      <w:bookmarkEnd w:id="464"/>
      <w:bookmarkEnd w:id="465"/>
      <w:bookmarkEnd w:id="466"/>
      <w:bookmarkEnd w:id="467"/>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自本公告发布之日起3个工作日。</w:t>
      </w:r>
    </w:p>
    <w:p>
      <w:pPr>
        <w:pStyle w:val="9"/>
        <w:spacing w:line="360" w:lineRule="auto"/>
        <w:rPr>
          <w:rFonts w:hint="eastAsia" w:ascii="宋体" w:hAnsi="宋体" w:eastAsia="宋体" w:cs="宋体"/>
          <w:color w:val="auto"/>
          <w:sz w:val="20"/>
          <w:szCs w:val="22"/>
          <w:lang w:val="en-US" w:eastAsia="zh-CN"/>
        </w:rPr>
      </w:pPr>
      <w:bookmarkStart w:id="468" w:name="_Toc35393635"/>
      <w:bookmarkStart w:id="469" w:name="_Toc35393804"/>
      <w:r>
        <w:rPr>
          <w:rFonts w:hint="eastAsia" w:ascii="宋体" w:hAnsi="宋体" w:eastAsia="宋体" w:cs="宋体"/>
          <w:color w:val="auto"/>
          <w:sz w:val="20"/>
          <w:szCs w:val="22"/>
          <w:lang w:val="en-US" w:eastAsia="zh-CN"/>
        </w:rPr>
        <w:t>七、其他补充事宜</w:t>
      </w:r>
      <w:bookmarkEnd w:id="468"/>
      <w:bookmarkEnd w:id="469"/>
    </w:p>
    <w:p>
      <w:pPr>
        <w:pStyle w:val="9"/>
        <w:spacing w:line="360" w:lineRule="auto"/>
        <w:rPr>
          <w:rFonts w:hint="eastAsia" w:ascii="宋体" w:hAnsi="宋体" w:eastAsia="宋体" w:cs="宋体"/>
          <w:color w:val="auto"/>
          <w:sz w:val="20"/>
          <w:szCs w:val="22"/>
          <w:lang w:val="en-US" w:eastAsia="zh-CN"/>
        </w:rPr>
      </w:pPr>
      <w:bookmarkStart w:id="470" w:name="_Toc35393636"/>
      <w:bookmarkStart w:id="471" w:name="_Toc28359018"/>
      <w:bookmarkStart w:id="472" w:name="_Toc35393805"/>
      <w:bookmarkStart w:id="473" w:name="_Toc28359095"/>
      <w:r>
        <w:rPr>
          <w:rFonts w:hint="eastAsia" w:ascii="宋体" w:hAnsi="宋体" w:eastAsia="宋体" w:cs="宋体"/>
          <w:color w:val="auto"/>
          <w:sz w:val="20"/>
          <w:szCs w:val="22"/>
          <w:lang w:val="en-US" w:eastAsia="zh-CN"/>
        </w:rPr>
        <w:t>政采云线上获取磋商文件方法：供应商登陆政采云平台（https://www.zcygov.cn），在线申请获取采购文件（登录政府采购云平台 → 项目采购 → 获取采购文件 → 申请，审核通过后可下载磋商文件，如有操作性问题，可与政采云在线客服进行咨询，咨询电话：400-881-7190）。</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八、凡对本次采购提出询问，请按以下方式联系。</w:t>
      </w:r>
      <w:bookmarkEnd w:id="470"/>
      <w:bookmarkEnd w:id="471"/>
      <w:bookmarkEnd w:id="472"/>
      <w:bookmarkEnd w:id="473"/>
      <w:bookmarkStart w:id="474" w:name="_Toc28359096"/>
      <w:bookmarkStart w:id="475" w:name="_Toc28359019"/>
      <w:bookmarkStart w:id="476" w:name="_Toc35393637"/>
      <w:bookmarkStart w:id="477" w:name="_Toc35393806"/>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1.采购人信息</w:t>
      </w:r>
      <w:bookmarkEnd w:id="474"/>
      <w:bookmarkEnd w:id="475"/>
      <w:bookmarkEnd w:id="476"/>
      <w:bookmarkEnd w:id="477"/>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名    称：喀什地区康宁医院</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地    址：新疆莎车县红旗路30号  　      　　</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 xml:space="preserve">联系方式：13579319331      　　 </w:t>
      </w:r>
    </w:p>
    <w:p>
      <w:pPr>
        <w:pStyle w:val="9"/>
        <w:spacing w:line="360" w:lineRule="auto"/>
        <w:rPr>
          <w:rFonts w:hint="eastAsia" w:ascii="宋体" w:hAnsi="宋体" w:eastAsia="宋体" w:cs="宋体"/>
          <w:color w:val="auto"/>
          <w:sz w:val="20"/>
          <w:szCs w:val="22"/>
          <w:lang w:val="en-US" w:eastAsia="zh-CN"/>
        </w:rPr>
      </w:pPr>
      <w:bookmarkStart w:id="478" w:name="_Toc35393807"/>
      <w:bookmarkStart w:id="479" w:name="_Toc28359097"/>
      <w:bookmarkStart w:id="480" w:name="_Toc35393638"/>
      <w:bookmarkStart w:id="481" w:name="_Toc28359020"/>
      <w:r>
        <w:rPr>
          <w:rFonts w:hint="eastAsia" w:ascii="宋体" w:hAnsi="宋体" w:eastAsia="宋体" w:cs="宋体"/>
          <w:color w:val="auto"/>
          <w:sz w:val="20"/>
          <w:szCs w:val="22"/>
          <w:lang w:val="en-US" w:eastAsia="zh-CN"/>
        </w:rPr>
        <w:t>2.采购代理机构信息</w:t>
      </w:r>
      <w:bookmarkEnd w:id="478"/>
      <w:bookmarkEnd w:id="479"/>
      <w:bookmarkEnd w:id="480"/>
      <w:bookmarkEnd w:id="481"/>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名    称：新疆万士和项目管理有限公司</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地　　址：新疆喀什市帕依纳普路251号1幢5层5003室</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联系方式：0998-2516291　　　　　</w:t>
      </w:r>
    </w:p>
    <w:p>
      <w:pPr>
        <w:pStyle w:val="9"/>
        <w:spacing w:line="360" w:lineRule="auto"/>
        <w:rPr>
          <w:rFonts w:hint="eastAsia" w:ascii="宋体" w:hAnsi="宋体" w:eastAsia="宋体" w:cs="宋体"/>
          <w:color w:val="auto"/>
          <w:sz w:val="20"/>
          <w:szCs w:val="22"/>
          <w:lang w:val="en-US" w:eastAsia="zh-CN"/>
        </w:rPr>
      </w:pPr>
      <w:bookmarkStart w:id="482" w:name="_Toc28359021"/>
      <w:bookmarkStart w:id="483" w:name="_Toc35393808"/>
      <w:bookmarkStart w:id="484" w:name="_Toc28359098"/>
      <w:bookmarkStart w:id="485" w:name="_Toc35393639"/>
      <w:r>
        <w:rPr>
          <w:rFonts w:hint="eastAsia" w:ascii="宋体" w:hAnsi="宋体" w:eastAsia="宋体" w:cs="宋体"/>
          <w:color w:val="auto"/>
          <w:sz w:val="20"/>
          <w:szCs w:val="22"/>
          <w:lang w:val="en-US" w:eastAsia="zh-CN"/>
        </w:rPr>
        <w:t>3.项目联系方式</w:t>
      </w:r>
      <w:bookmarkEnd w:id="482"/>
      <w:bookmarkEnd w:id="483"/>
      <w:bookmarkEnd w:id="484"/>
      <w:bookmarkEnd w:id="485"/>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 xml:space="preserve">项目联系人：雷宏发            </w:t>
      </w:r>
    </w:p>
    <w:p>
      <w:pPr>
        <w:pStyle w:val="9"/>
        <w:spacing w:line="360" w:lineRule="auto"/>
        <w:rPr>
          <w:rFonts w:hint="eastAsia" w:ascii="宋体" w:hAnsi="宋体" w:eastAsia="宋体" w:cs="宋体"/>
          <w:color w:val="auto"/>
          <w:sz w:val="20"/>
          <w:szCs w:val="22"/>
          <w:lang w:val="en-US" w:eastAsia="zh-CN"/>
        </w:rPr>
      </w:pPr>
      <w:r>
        <w:rPr>
          <w:rFonts w:hint="eastAsia" w:ascii="宋体" w:hAnsi="宋体" w:eastAsia="宋体" w:cs="宋体"/>
          <w:color w:val="auto"/>
          <w:sz w:val="20"/>
          <w:szCs w:val="22"/>
          <w:lang w:val="en-US" w:eastAsia="zh-CN"/>
        </w:rPr>
        <w:t>电　　  话：19399479296   　　　</w:t>
      </w:r>
    </w:p>
    <w:p>
      <w:pPr>
        <w:pStyle w:val="9"/>
        <w:spacing w:line="360" w:lineRule="auto"/>
        <w:rPr>
          <w:rFonts w:hint="eastAsia" w:ascii="宋体" w:hAnsi="宋体" w:eastAsia="宋体" w:cs="宋体"/>
          <w:color w:val="auto"/>
          <w:sz w:val="20"/>
          <w:szCs w:val="22"/>
        </w:rPr>
      </w:pPr>
    </w:p>
    <w:p>
      <w:pPr>
        <w:spacing w:line="360" w:lineRule="auto"/>
        <w:rPr>
          <w:rFonts w:hint="eastAsia" w:ascii="宋体" w:hAnsi="宋体" w:eastAsia="宋体" w:cs="宋体"/>
          <w:color w:val="auto"/>
          <w:sz w:val="20"/>
          <w:szCs w:val="22"/>
        </w:rPr>
      </w:pPr>
    </w:p>
    <w:p>
      <w:pPr>
        <w:pStyle w:val="4"/>
        <w:rPr>
          <w:rFonts w:hint="eastAsia" w:ascii="宋体" w:hAnsi="宋体" w:eastAsia="宋体" w:cs="宋体"/>
          <w:color w:val="auto"/>
          <w:sz w:val="20"/>
          <w:szCs w:val="22"/>
        </w:rPr>
      </w:pPr>
    </w:p>
    <w:p>
      <w:pPr>
        <w:rPr>
          <w:rFonts w:hint="eastAsia" w:ascii="宋体" w:hAnsi="宋体" w:eastAsia="宋体" w:cs="宋体"/>
          <w:color w:val="auto"/>
          <w:sz w:val="20"/>
          <w:szCs w:val="22"/>
        </w:rPr>
      </w:pPr>
    </w:p>
    <w:p>
      <w:pPr>
        <w:pStyle w:val="4"/>
        <w:rPr>
          <w:rFonts w:hint="eastAsia" w:ascii="宋体" w:hAnsi="宋体" w:eastAsia="宋体" w:cs="宋体"/>
          <w:color w:val="auto"/>
          <w:sz w:val="20"/>
          <w:szCs w:val="22"/>
        </w:rPr>
      </w:pPr>
    </w:p>
    <w:p>
      <w:pPr>
        <w:pStyle w:val="2"/>
        <w:rPr>
          <w:rFonts w:hint="eastAsia"/>
        </w:rPr>
      </w:pPr>
    </w:p>
    <w:p>
      <w:pPr>
        <w:rPr>
          <w:rFonts w:hint="eastAsia"/>
        </w:rPr>
      </w:pPr>
    </w:p>
    <w:p>
      <w:pPr>
        <w:pStyle w:val="32"/>
        <w:rPr>
          <w:rFonts w:hint="eastAsia"/>
        </w:rPr>
      </w:pPr>
    </w:p>
    <w:p>
      <w:pPr>
        <w:spacing w:line="240" w:lineRule="atLeast"/>
        <w:jc w:val="center"/>
        <w:outlineLvl w:val="0"/>
        <w:rPr>
          <w:rFonts w:hint="eastAsia" w:asciiTheme="minorEastAsia" w:hAnsiTheme="minorEastAsia" w:eastAsiaTheme="minorEastAsia" w:cstheme="minorEastAsia"/>
          <w:b/>
          <w:bCs/>
          <w:sz w:val="30"/>
          <w:szCs w:val="30"/>
        </w:rPr>
      </w:pPr>
    </w:p>
    <w:p>
      <w:pPr>
        <w:spacing w:line="240" w:lineRule="atLeast"/>
        <w:jc w:val="center"/>
        <w:outlineLvl w:val="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第三章 </w:t>
      </w:r>
      <w:r>
        <w:rPr>
          <w:rFonts w:hint="eastAsia" w:asciiTheme="minorEastAsia" w:hAnsiTheme="minorEastAsia" w:eastAsiaTheme="minorEastAsia" w:cstheme="minorEastAsia"/>
          <w:b/>
          <w:bCs/>
          <w:sz w:val="30"/>
          <w:szCs w:val="30"/>
          <w:lang w:eastAsia="zh-CN"/>
        </w:rPr>
        <w:t>供应商</w:t>
      </w:r>
      <w:r>
        <w:rPr>
          <w:rFonts w:hint="eastAsia" w:asciiTheme="minorEastAsia" w:hAnsiTheme="minorEastAsia" w:eastAsiaTheme="minorEastAsia" w:cstheme="minorEastAsia"/>
          <w:b/>
          <w:bCs/>
          <w:sz w:val="30"/>
          <w:szCs w:val="30"/>
        </w:rPr>
        <w:t>须知资料表</w:t>
      </w:r>
    </w:p>
    <w:p>
      <w:pPr>
        <w:spacing w:line="240" w:lineRule="atLeas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本表是本项目的具体资料，是对</w:t>
      </w:r>
      <w:r>
        <w:rPr>
          <w:rFonts w:hint="eastAsia" w:asciiTheme="minorEastAsia" w:hAnsiTheme="minorEastAsia" w:eastAsiaTheme="minorEastAsia" w:cstheme="minorEastAsia"/>
          <w:b/>
          <w:sz w:val="24"/>
          <w:lang w:eastAsia="zh-CN"/>
        </w:rPr>
        <w:t>供应商</w:t>
      </w:r>
      <w:r>
        <w:rPr>
          <w:rFonts w:hint="eastAsia" w:asciiTheme="minorEastAsia" w:hAnsiTheme="minorEastAsia" w:eastAsiaTheme="minorEastAsia" w:cstheme="minorEastAsia"/>
          <w:b/>
          <w:sz w:val="24"/>
        </w:rPr>
        <w:t>须知的具体补充和修改，如有矛盾，应以本资料表为准</w:t>
      </w:r>
      <w:r>
        <w:rPr>
          <w:rFonts w:hint="eastAsia" w:asciiTheme="minorEastAsia" w:hAnsiTheme="minorEastAsia" w:eastAsiaTheme="minorEastAsia" w:cstheme="minorEastAsia"/>
          <w:sz w:val="24"/>
        </w:rPr>
        <w:t>。</w:t>
      </w:r>
    </w:p>
    <w:tbl>
      <w:tblPr>
        <w:tblStyle w:val="34"/>
        <w:tblW w:w="0" w:type="auto"/>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5"/>
        <w:gridCol w:w="83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条款号</w:t>
            </w:r>
          </w:p>
        </w:tc>
        <w:tc>
          <w:tcPr>
            <w:tcW w:w="8385" w:type="dxa"/>
            <w:vAlign w:val="center"/>
          </w:tcPr>
          <w:p>
            <w:pPr>
              <w:spacing w:line="240" w:lineRule="atLeas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5" w:type="dxa"/>
            <w:vAlign w:val="center"/>
          </w:tcPr>
          <w:p>
            <w:pPr>
              <w:spacing w:line="24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385" w:type="dxa"/>
            <w:vAlign w:val="center"/>
          </w:tcPr>
          <w:p>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采</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购</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人：</w:t>
            </w:r>
            <w:r>
              <w:rPr>
                <w:rFonts w:hint="eastAsia" w:asciiTheme="minorEastAsia" w:hAnsiTheme="minorEastAsia" w:eastAsiaTheme="minorEastAsia" w:cstheme="minorEastAsia"/>
                <w:sz w:val="24"/>
                <w:lang w:val="en-US" w:eastAsia="zh-CN"/>
              </w:rPr>
              <w:t>喀什地区康宁医院</w:t>
            </w:r>
          </w:p>
          <w:p>
            <w:pPr>
              <w:pStyle w:val="4"/>
              <w:jc w:val="left"/>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 xml:space="preserve">地    址：新疆莎车县红旗路30号 </w:t>
            </w:r>
          </w:p>
          <w:p>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val="en-US" w:eastAsia="zh-CN"/>
              </w:rPr>
              <w:t>阿孜古丽</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话：</w:t>
            </w:r>
            <w:r>
              <w:rPr>
                <w:rFonts w:hint="eastAsia" w:ascii="宋体" w:hAnsi="宋体" w:cs="宋体"/>
                <w:sz w:val="24"/>
                <w:szCs w:val="24"/>
                <w:lang w:val="en-US" w:eastAsia="zh-CN"/>
              </w:rPr>
              <w:t>13579319331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8385" w:type="dxa"/>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w:t>
            </w:r>
            <w:r>
              <w:rPr>
                <w:rFonts w:hint="eastAsia" w:asciiTheme="minorEastAsia" w:hAnsiTheme="minorEastAsia" w:eastAsiaTheme="minorEastAsia" w:cstheme="minorEastAsia"/>
                <w:sz w:val="24"/>
                <w:lang w:eastAsia="zh-CN"/>
              </w:rPr>
              <w:t>新疆万士和项目管理有限公司</w:t>
            </w:r>
            <w:r>
              <w:rPr>
                <w:rFonts w:hint="eastAsia" w:asciiTheme="minorEastAsia" w:hAnsiTheme="minorEastAsia" w:eastAsiaTheme="minorEastAsia" w:cstheme="minorEastAsia"/>
                <w:sz w:val="24"/>
              </w:rPr>
              <w:t xml:space="preserve"> </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址：</w:t>
            </w:r>
            <w:r>
              <w:rPr>
                <w:rFonts w:hint="eastAsia" w:asciiTheme="minorEastAsia" w:hAnsiTheme="minorEastAsia" w:eastAsiaTheme="minorEastAsia" w:cstheme="minorEastAsia"/>
                <w:sz w:val="24"/>
                <w:lang w:val="en-US" w:eastAsia="zh-CN"/>
              </w:rPr>
              <w:t>新疆喀什市帕依纳普路251号1幢5层5003室</w:t>
            </w:r>
            <w:r>
              <w:rPr>
                <w:rFonts w:hint="eastAsia" w:asciiTheme="minorEastAsia" w:hAnsiTheme="minorEastAsia" w:eastAsiaTheme="minorEastAsia" w:cstheme="minorEastAsia"/>
                <w:sz w:val="24"/>
              </w:rPr>
              <w:t xml:space="preserve">  </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eastAsia="zh-CN"/>
              </w:rPr>
              <w:t>雷宏发</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话：</w:t>
            </w:r>
            <w:r>
              <w:rPr>
                <w:rFonts w:hint="eastAsia" w:asciiTheme="minorEastAsia" w:hAnsiTheme="minorEastAsia" w:eastAsiaTheme="minorEastAsia" w:cstheme="minorEastAsia"/>
                <w:sz w:val="24"/>
                <w:lang w:val="en-US" w:eastAsia="zh-CN"/>
              </w:rPr>
              <w:t>19399479296</w:t>
            </w:r>
            <w:r>
              <w:rPr>
                <w:rFonts w:hint="eastAsia" w:asciiTheme="minorEastAsia" w:hAnsiTheme="minorEastAsia" w:eastAsiaTheme="minorEastAsia" w:cs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widowControl/>
              <w:spacing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1.3.4</w:t>
            </w:r>
          </w:p>
        </w:tc>
        <w:tc>
          <w:tcPr>
            <w:tcW w:w="8385" w:type="dxa"/>
            <w:vAlign w:val="center"/>
          </w:tcPr>
          <w:p>
            <w:pPr>
              <w:widowControl/>
              <w:spacing w:line="340" w:lineRule="exact"/>
              <w:jc w:val="left"/>
              <w:rPr>
                <w:rFonts w:hint="eastAsia"/>
                <w:sz w:val="24"/>
                <w:szCs w:val="32"/>
              </w:rPr>
            </w:pPr>
            <w:r>
              <w:rPr>
                <w:rFonts w:hint="eastAsia"/>
                <w:sz w:val="24"/>
                <w:szCs w:val="32"/>
              </w:rPr>
              <w:t>合格</w:t>
            </w:r>
            <w:r>
              <w:rPr>
                <w:rFonts w:hint="eastAsia"/>
                <w:sz w:val="24"/>
                <w:szCs w:val="32"/>
                <w:lang w:eastAsia="zh-CN"/>
              </w:rPr>
              <w:t>供应商</w:t>
            </w:r>
            <w:r>
              <w:rPr>
                <w:rFonts w:hint="eastAsia"/>
                <w:sz w:val="24"/>
                <w:szCs w:val="32"/>
              </w:rPr>
              <w:t>的其他资格要求：</w:t>
            </w:r>
          </w:p>
          <w:p>
            <w:pPr>
              <w:ind w:firstLine="480" w:firstLineChars="200"/>
              <w:rPr>
                <w:rFonts w:hint="eastAsia"/>
                <w:sz w:val="24"/>
                <w:szCs w:val="32"/>
              </w:rPr>
            </w:pPr>
            <w:r>
              <w:rPr>
                <w:rFonts w:hint="eastAsia"/>
                <w:sz w:val="24"/>
                <w:szCs w:val="32"/>
              </w:rPr>
              <w:t>参加本次</w:t>
            </w:r>
            <w:r>
              <w:rPr>
                <w:rFonts w:hint="eastAsia"/>
                <w:sz w:val="24"/>
                <w:szCs w:val="32"/>
                <w:lang w:eastAsia="zh-CN"/>
              </w:rPr>
              <w:t>竞争性磋商</w:t>
            </w:r>
            <w:r>
              <w:rPr>
                <w:rFonts w:hint="eastAsia"/>
                <w:sz w:val="24"/>
                <w:szCs w:val="32"/>
              </w:rPr>
              <w:t>的供应商除符合《中华人民共和国政府采购法》第二十二条规定的条件外，还需满足下列要求：</w:t>
            </w:r>
          </w:p>
          <w:p>
            <w:pPr>
              <w:pStyle w:val="9"/>
              <w:rPr>
                <w:rFonts w:hint="eastAsia"/>
                <w:lang w:val="en-US" w:eastAsia="zh-CN"/>
              </w:rPr>
            </w:pPr>
            <w:r>
              <w:rPr>
                <w:rFonts w:hint="eastAsia"/>
                <w:lang w:val="en-US" w:eastAsia="zh-CN"/>
              </w:rPr>
              <w:t>（1）企业法人营业执照、组织机构代码证、税务登记证（国税及地税）或三证合一企业法人营业执照；</w:t>
            </w:r>
          </w:p>
          <w:p>
            <w:pPr>
              <w:pStyle w:val="9"/>
              <w:rPr>
                <w:rFonts w:hint="eastAsia"/>
                <w:lang w:val="en-US" w:eastAsia="zh-CN"/>
              </w:rPr>
            </w:pPr>
            <w:r>
              <w:rPr>
                <w:rFonts w:hint="eastAsia"/>
                <w:lang w:val="en-US" w:eastAsia="zh-CN"/>
              </w:rPr>
              <w:t>（2）提供法定代表人身份证明及身份证或法人授权委托书、授权委托人身份证；</w:t>
            </w:r>
          </w:p>
          <w:p>
            <w:pPr>
              <w:pStyle w:val="9"/>
              <w:rPr>
                <w:rFonts w:hint="eastAsia"/>
                <w:lang w:val="en-US" w:eastAsia="zh-CN"/>
              </w:rPr>
            </w:pPr>
            <w:r>
              <w:rPr>
                <w:rFonts w:hint="eastAsia"/>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pStyle w:val="9"/>
              <w:rPr>
                <w:rFonts w:hint="eastAsia"/>
                <w:lang w:val="en-US" w:eastAsia="zh-CN"/>
              </w:rPr>
            </w:pPr>
            <w:r>
              <w:rPr>
                <w:rFonts w:hint="eastAsia"/>
                <w:lang w:val="en-US" w:eastAsia="zh-CN"/>
              </w:rPr>
              <w:t>（4）依法缴纳近6个月社会保险的凭据；</w:t>
            </w:r>
          </w:p>
          <w:p>
            <w:pPr>
              <w:pStyle w:val="9"/>
              <w:rPr>
                <w:rFonts w:hint="eastAsia"/>
                <w:lang w:val="en-US" w:eastAsia="zh-CN"/>
              </w:rPr>
            </w:pPr>
            <w:r>
              <w:rPr>
                <w:rFonts w:hint="eastAsia"/>
                <w:lang w:val="en-US" w:eastAsia="zh-CN"/>
              </w:rPr>
              <w:t>（5）提供税务部门出具的近6个月的完税证明（新成立公司除外）；</w:t>
            </w:r>
          </w:p>
          <w:p>
            <w:pPr>
              <w:pStyle w:val="9"/>
              <w:rPr>
                <w:rFonts w:hint="eastAsia"/>
                <w:lang w:val="en-US" w:eastAsia="zh-CN"/>
              </w:rPr>
            </w:pPr>
            <w:r>
              <w:rPr>
                <w:rFonts w:hint="eastAsia"/>
                <w:lang w:val="en-US" w:eastAsia="zh-CN"/>
              </w:rPr>
              <w:t>（6）2020年度经审计的财务审计报告（新成立公司提供有效的银行资信证明）；</w:t>
            </w:r>
          </w:p>
          <w:p>
            <w:pPr>
              <w:pStyle w:val="9"/>
              <w:rPr>
                <w:rFonts w:hint="eastAsia"/>
                <w:lang w:val="en-US" w:eastAsia="zh-CN"/>
              </w:rPr>
            </w:pPr>
            <w:r>
              <w:rPr>
                <w:rFonts w:hint="eastAsia"/>
                <w:lang w:val="en-US" w:eastAsia="zh-CN"/>
              </w:rPr>
              <w:t>（7）供应商需具有《医疗器械生产企业许可证》或《医疗器械经营企业许可证》（所投产品为二类医疗医疗器械的须提供二类医疗器械备案凭证）。</w:t>
            </w:r>
          </w:p>
          <w:p>
            <w:pPr>
              <w:pStyle w:val="9"/>
              <w:rPr>
                <w:rFonts w:hint="eastAsia"/>
                <w:lang w:val="en-US" w:eastAsia="zh-CN"/>
              </w:rPr>
            </w:pPr>
            <w:r>
              <w:rPr>
                <w:rFonts w:hint="eastAsia"/>
                <w:lang w:val="en-US" w:eastAsia="zh-CN"/>
              </w:rPr>
              <w:t>（8）投标单位（供应商）提供针对本次项目的《反商业贿赂承诺书》；</w:t>
            </w:r>
          </w:p>
          <w:p>
            <w:pPr>
              <w:pStyle w:val="9"/>
              <w:rPr>
                <w:rFonts w:hint="eastAsia"/>
                <w:lang w:val="en-US" w:eastAsia="zh-CN"/>
              </w:rPr>
            </w:pPr>
            <w:r>
              <w:rPr>
                <w:rFonts w:hint="eastAsia"/>
                <w:lang w:val="en-US" w:eastAsia="zh-CN"/>
              </w:rPr>
              <w:t>（9）参加政府采购活动前三年内在经营活动中没有重大违法记录的书面声明。</w:t>
            </w:r>
          </w:p>
          <w:p>
            <w:pPr>
              <w:pStyle w:val="9"/>
              <w:rPr>
                <w:rFonts w:hint="default"/>
                <w:lang w:val="en-US" w:eastAsia="zh-CN"/>
              </w:rPr>
            </w:pPr>
            <w:r>
              <w:rPr>
                <w:rFonts w:hint="eastAsia"/>
                <w:lang w:val="en-US" w:eastAsia="zh-CN"/>
              </w:rPr>
              <w:t>（10）磋商保证金缴纳凭证。</w:t>
            </w:r>
          </w:p>
          <w:p>
            <w:pPr>
              <w:pStyle w:val="9"/>
              <w:ind w:left="0" w:leftChars="0" w:firstLine="0" w:firstLineChars="0"/>
              <w:rPr>
                <w:rFonts w:hint="eastAsia"/>
              </w:rPr>
            </w:pPr>
            <w:r>
              <w:rPr>
                <w:rFonts w:hint="eastAsia"/>
              </w:rPr>
              <w:t>本项目不接受联合体</w:t>
            </w:r>
            <w:r>
              <w:rPr>
                <w:rFonts w:hint="eastAsia"/>
                <w:lang w:eastAsia="zh-CN"/>
              </w:rPr>
              <w:t>递交响应文件</w:t>
            </w:r>
            <w:r>
              <w:rPr>
                <w:rFonts w:hint="eastAsia"/>
              </w:rPr>
              <w:t>。</w:t>
            </w:r>
          </w:p>
          <w:p>
            <w:pPr>
              <w:pStyle w:val="9"/>
              <w:ind w:left="0" w:leftChars="0" w:firstLine="0" w:firstLineChars="0"/>
              <w:rPr>
                <w:rFonts w:hint="eastAsia"/>
              </w:rPr>
            </w:pPr>
            <w:r>
              <w:rPr>
                <w:rFonts w:hint="eastAsia"/>
                <w:b/>
                <w:bCs/>
              </w:rPr>
              <w:t>注：以上资格条件需提供原件或可扫描二维码的复印件或提供电子证照的网上查询有效网址以备现场查询。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1.3.5</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是否允许采购进口产品：</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35" w:type="dxa"/>
            <w:vAlign w:val="center"/>
          </w:tcPr>
          <w:p>
            <w:pPr>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1.3.6</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宋体" w:hAnsi="宋体" w:cs="宋体"/>
                <w:color w:val="auto"/>
                <w:sz w:val="24"/>
              </w:rPr>
              <w:t>是否为面向中小企业采购：</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是</w:t>
            </w:r>
            <w:r>
              <w:rPr>
                <w:rFonts w:hint="eastAsia" w:ascii="宋体" w:hAnsi="宋体" w:cs="宋体"/>
                <w:color w:val="auto"/>
                <w:sz w:val="24"/>
                <w:u w:val="single"/>
              </w:rPr>
              <w:t xml:space="preserve">  </w:t>
            </w:r>
            <w:r>
              <w:rPr>
                <w:rFonts w:hint="eastAsia" w:ascii="宋体" w:hAnsi="宋体" w:cs="宋体"/>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1.4.8</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是否允许联合体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项目预算金额：</w:t>
            </w:r>
            <w:r>
              <w:rPr>
                <w:rFonts w:hint="eastAsia" w:hAnsi="宋体" w:cs="宋体"/>
                <w:kern w:val="0"/>
                <w:sz w:val="24"/>
                <w:szCs w:val="24"/>
                <w:lang w:val="en-US" w:eastAsia="zh-CN" w:bidi="ar-SA"/>
              </w:rPr>
              <w:t>75.68万元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8385" w:type="dxa"/>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 xml:space="preserve">保证金形式：☑保函  ☑电汇  □支票 ☑网银 （本项目允许的其他形式） </w:t>
            </w:r>
          </w:p>
          <w:p>
            <w:pPr>
              <w:rPr>
                <w:rFonts w:hint="default" w:eastAsiaTheme="minorEastAsia"/>
                <w:lang w:val="en-US" w:eastAsia="zh-CN"/>
              </w:rPr>
            </w:pPr>
            <w:r>
              <w:rPr>
                <w:rFonts w:hint="eastAsia" w:asciiTheme="minorEastAsia" w:hAnsiTheme="minorEastAsia" w:eastAsiaTheme="minorEastAsia" w:cstheme="minorEastAsia"/>
                <w:b/>
                <w:bCs/>
                <w:sz w:val="24"/>
              </w:rPr>
              <w:t>磋商保证金数额：</w:t>
            </w:r>
            <w:r>
              <w:rPr>
                <w:rFonts w:hint="eastAsia" w:asciiTheme="minorEastAsia" w:hAnsiTheme="minorEastAsia" w:eastAsiaTheme="minorEastAsia" w:cstheme="minorEastAsia"/>
                <w:b/>
                <w:bCs/>
                <w:sz w:val="24"/>
                <w:lang w:val="en-US" w:eastAsia="zh-CN"/>
              </w:rPr>
              <w:t>15000.00元</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val="en-US" w:eastAsia="zh-CN"/>
              </w:rPr>
              <w:t>大写：壹万伍仟元整</w:t>
            </w:r>
            <w:r>
              <w:rPr>
                <w:rFonts w:hint="eastAsia" w:asciiTheme="minorEastAsia" w:hAnsiTheme="minorEastAsia" w:eastAsiaTheme="minorEastAsia" w:cstheme="minorEastAsia"/>
                <w:sz w:val="24"/>
                <w:lang w:val="en-US" w:eastAsia="zh-CN"/>
              </w:rPr>
              <w:t>）</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lang w:eastAsia="zh-CN"/>
              </w:rPr>
              <w:t>磋商</w:t>
            </w:r>
            <w:r>
              <w:rPr>
                <w:rFonts w:hint="eastAsia" w:asciiTheme="minorEastAsia" w:hAnsiTheme="minorEastAsia" w:eastAsiaTheme="minorEastAsia" w:cstheme="minorEastAsia"/>
                <w:b/>
                <w:bCs/>
                <w:sz w:val="24"/>
              </w:rPr>
              <w:t>保证金以公对公形式</w:t>
            </w:r>
            <w:r>
              <w:rPr>
                <w:rFonts w:hint="eastAsia" w:asciiTheme="minorEastAsia" w:hAnsiTheme="minorEastAsia" w:eastAsiaTheme="minorEastAsia" w:cstheme="minorEastAsia"/>
                <w:b/>
                <w:bCs/>
                <w:sz w:val="24"/>
                <w:lang w:val="en-US" w:eastAsia="zh-CN"/>
              </w:rPr>
              <w:t>从供应商</w:t>
            </w:r>
            <w:r>
              <w:rPr>
                <w:rFonts w:hint="eastAsia" w:asciiTheme="minorEastAsia" w:hAnsiTheme="minorEastAsia" w:eastAsiaTheme="minorEastAsia" w:cstheme="minorEastAsia"/>
                <w:b/>
                <w:bCs/>
                <w:sz w:val="24"/>
              </w:rPr>
              <w:t>基本账户转入</w:t>
            </w:r>
            <w:r>
              <w:rPr>
                <w:rFonts w:hint="eastAsia" w:asciiTheme="minorEastAsia" w:hAnsiTheme="minorEastAsia" w:eastAsiaTheme="minorEastAsia" w:cstheme="minorEastAsia"/>
                <w:sz w:val="24"/>
              </w:rPr>
              <w:t>（按照各分包控制金额2%以内的整数计算）</w:t>
            </w:r>
          </w:p>
          <w:p>
            <w:pPr>
              <w:spacing w:line="35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保证金收款人：</w:t>
            </w:r>
            <w:r>
              <w:rPr>
                <w:rFonts w:hint="eastAsia" w:asciiTheme="minorEastAsia" w:hAnsiTheme="minorEastAsia" w:eastAsiaTheme="minorEastAsia" w:cstheme="minorEastAsia"/>
                <w:color w:val="auto"/>
                <w:sz w:val="24"/>
                <w:lang w:eastAsia="zh-CN"/>
              </w:rPr>
              <w:t>新疆万士和项目管理有限公司</w:t>
            </w:r>
          </w:p>
          <w:p>
            <w:pPr>
              <w:spacing w:line="240" w:lineRule="atLeast"/>
              <w:rPr>
                <w:rFonts w:hint="eastAsia" w:eastAsia="宋体"/>
                <w:sz w:val="24"/>
                <w:szCs w:val="24"/>
                <w:lang w:val="en-US" w:eastAsia="zh-CN"/>
              </w:rPr>
            </w:pPr>
            <w:r>
              <w:rPr>
                <w:rFonts w:hint="eastAsia"/>
                <w:sz w:val="24"/>
                <w:szCs w:val="24"/>
              </w:rPr>
              <w:t>账</w:t>
            </w:r>
            <w:r>
              <w:rPr>
                <w:rFonts w:hint="eastAsia"/>
                <w:sz w:val="24"/>
                <w:szCs w:val="24"/>
                <w:lang w:val="en-US" w:eastAsia="zh-CN"/>
              </w:rPr>
              <w:t>户名称：</w:t>
            </w:r>
            <w:r>
              <w:rPr>
                <w:rFonts w:hint="eastAsia" w:ascii="宋体" w:hAnsi="宋体" w:eastAsia="宋体" w:cs="宋体"/>
                <w:sz w:val="24"/>
                <w:lang w:eastAsia="zh-CN"/>
              </w:rPr>
              <w:t>新疆万士和项目管理有限公司</w:t>
            </w:r>
          </w:p>
          <w:p>
            <w:pPr>
              <w:spacing w:line="240" w:lineRule="atLeast"/>
              <w:rPr>
                <w:rFonts w:hint="eastAsia"/>
                <w:sz w:val="24"/>
                <w:szCs w:val="24"/>
              </w:rPr>
            </w:pPr>
            <w:r>
              <w:rPr>
                <w:rFonts w:hint="eastAsia"/>
                <w:sz w:val="24"/>
                <w:szCs w:val="24"/>
              </w:rPr>
              <w:t>开户行名称：广发银行股份有限公司喀什分行营业部</w:t>
            </w:r>
          </w:p>
          <w:p>
            <w:pPr>
              <w:spacing w:line="240" w:lineRule="atLeast"/>
              <w:rPr>
                <w:rFonts w:hint="eastAsia" w:ascii="宋体" w:hAnsi="宋体" w:eastAsia="宋体" w:cs="宋体"/>
                <w:sz w:val="24"/>
                <w:szCs w:val="24"/>
              </w:rPr>
            </w:pPr>
            <w:r>
              <w:rPr>
                <w:rFonts w:hint="eastAsia"/>
                <w:sz w:val="24"/>
                <w:szCs w:val="24"/>
              </w:rPr>
              <w:t>账</w:t>
            </w:r>
            <w:r>
              <w:rPr>
                <w:rFonts w:hint="eastAsia"/>
                <w:sz w:val="24"/>
                <w:szCs w:val="24"/>
                <w:lang w:val="en-US" w:eastAsia="zh-CN"/>
              </w:rPr>
              <w:t xml:space="preserve">   </w:t>
            </w:r>
            <w:r>
              <w:rPr>
                <w:rFonts w:hint="eastAsia"/>
                <w:sz w:val="24"/>
                <w:szCs w:val="24"/>
              </w:rPr>
              <w:t>号：</w:t>
            </w:r>
            <w:r>
              <w:rPr>
                <w:rFonts w:hint="eastAsia" w:ascii="宋体" w:hAnsi="宋体" w:eastAsia="宋体" w:cs="宋体"/>
                <w:sz w:val="24"/>
                <w:szCs w:val="24"/>
              </w:rPr>
              <w:t>9550880225469100122</w:t>
            </w:r>
          </w:p>
          <w:p>
            <w:pPr>
              <w:spacing w:line="240" w:lineRule="atLeast"/>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址：喀什市帕依纳普路251号一幢5层5003号</w:t>
            </w:r>
          </w:p>
          <w:p>
            <w:pPr>
              <w:spacing w:line="240" w:lineRule="atLeast"/>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系人：</w:t>
            </w:r>
            <w:r>
              <w:rPr>
                <w:rFonts w:hint="eastAsia" w:ascii="宋体" w:hAnsi="宋体" w:cs="宋体"/>
                <w:sz w:val="24"/>
                <w:szCs w:val="24"/>
                <w:lang w:eastAsia="zh-CN"/>
              </w:rPr>
              <w:t>雷宏发</w:t>
            </w:r>
            <w:r>
              <w:rPr>
                <w:rFonts w:hint="eastAsia" w:ascii="宋体" w:hAnsi="宋体" w:eastAsia="宋体" w:cs="宋体"/>
                <w:sz w:val="24"/>
                <w:szCs w:val="24"/>
              </w:rPr>
              <w:t xml:space="preserve">   </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lang w:eastAsia="zh-CN"/>
              </w:rPr>
              <w:t>19399479296</w:t>
            </w:r>
          </w:p>
          <w:p>
            <w:pPr>
              <w:spacing w:line="35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其它信息：打款时注明</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保证金项目名称及项目编号。</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保证金转入</w:t>
            </w:r>
            <w:r>
              <w:rPr>
                <w:rFonts w:hint="eastAsia" w:asciiTheme="minorEastAsia" w:hAnsiTheme="minorEastAsia" w:eastAsiaTheme="minorEastAsia" w:cstheme="minorEastAsia"/>
                <w:sz w:val="24"/>
                <w:lang w:eastAsia="zh-CN"/>
              </w:rPr>
              <w:t>新疆万士和项目管理有限公司</w:t>
            </w:r>
            <w:r>
              <w:rPr>
                <w:rFonts w:hint="eastAsia" w:asciiTheme="minorEastAsia" w:hAnsiTheme="minorEastAsia" w:eastAsiaTheme="minorEastAsia" w:cstheme="minorEastAsia"/>
                <w:sz w:val="24"/>
              </w:rPr>
              <w:t>账户后，到</w:t>
            </w:r>
            <w:r>
              <w:rPr>
                <w:rFonts w:hint="eastAsia" w:asciiTheme="minorEastAsia" w:hAnsiTheme="minorEastAsia" w:eastAsiaTheme="minorEastAsia" w:cstheme="minorEastAsia"/>
                <w:sz w:val="24"/>
                <w:lang w:eastAsia="zh-CN"/>
              </w:rPr>
              <w:t>新疆万士和项目管理有限公司</w:t>
            </w:r>
            <w:r>
              <w:rPr>
                <w:rFonts w:hint="eastAsia" w:asciiTheme="minorEastAsia" w:hAnsiTheme="minorEastAsia" w:eastAsiaTheme="minorEastAsia" w:cstheme="minorEastAsia"/>
                <w:sz w:val="24"/>
              </w:rPr>
              <w:t>取得保证金收款凭证，将保证金收款凭证复印件胶装至</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中（原件单独放置，资格审</w:t>
            </w:r>
            <w:r>
              <w:rPr>
                <w:rFonts w:hint="eastAsia" w:asciiTheme="minorEastAsia" w:hAnsiTheme="minorEastAsia" w:eastAsiaTheme="minorEastAsia" w:cstheme="minorEastAsia"/>
                <w:sz w:val="24"/>
                <w:lang w:val="en-US" w:eastAsia="zh-CN"/>
              </w:rPr>
              <w:t>查</w:t>
            </w:r>
            <w:r>
              <w:rPr>
                <w:rFonts w:hint="eastAsia" w:asciiTheme="minorEastAsia" w:hAnsiTheme="minorEastAsia" w:eastAsiaTheme="minorEastAsia" w:cstheme="minorEastAsia"/>
                <w:sz w:val="24"/>
              </w:rPr>
              <w:t>时一并提交）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保证金到账截止时间</w:t>
            </w:r>
            <w:r>
              <w:rPr>
                <w:rFonts w:hint="eastAsia" w:asciiTheme="minorEastAsia" w:hAnsiTheme="minorEastAsia" w:eastAsiaTheme="minorEastAsia" w:cstheme="minorEastAsia"/>
                <w:sz w:val="24"/>
                <w:lang w:val="en-US" w:eastAsia="zh-CN"/>
              </w:rPr>
              <w:t>至</w:t>
            </w:r>
            <w:r>
              <w:rPr>
                <w:rFonts w:hint="eastAsia" w:asciiTheme="minorEastAsia" w:hAnsiTheme="minorEastAsia" w:eastAsiaTheme="minorEastAsia" w:cstheme="minorEastAsia"/>
                <w:color w:val="FF0000"/>
                <w:sz w:val="24"/>
                <w:lang w:val="en-US" w:eastAsia="zh-CN"/>
              </w:rPr>
              <w:t>2021年11月25日18:30分前（北京时间）</w:t>
            </w:r>
            <w:r>
              <w:rPr>
                <w:rFonts w:hint="eastAsia" w:asciiTheme="minorEastAsia" w:hAnsiTheme="minorEastAsia" w:eastAsiaTheme="minorEastAsia" w:cstheme="minorEastAsia"/>
                <w:color w:val="auto"/>
                <w:sz w:val="24"/>
                <w:lang w:val="en-US" w:eastAsia="zh-CN"/>
              </w:rPr>
              <w:t>。</w:t>
            </w:r>
          </w:p>
          <w:p>
            <w:pPr>
              <w:pStyle w:val="4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磋商</w:t>
            </w:r>
            <w:r>
              <w:rPr>
                <w:rFonts w:hint="eastAsia" w:asciiTheme="minorEastAsia" w:hAnsiTheme="minorEastAsia" w:eastAsiaTheme="minorEastAsia" w:cstheme="minorEastAsia"/>
                <w:color w:val="auto"/>
              </w:rPr>
              <w:t>保证金的退还：</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w:t>
            </w:r>
            <w:r>
              <w:rPr>
                <w:rFonts w:hint="eastAsia" w:asciiTheme="minorEastAsia" w:hAnsiTheme="minorEastAsia" w:eastAsiaTheme="minorEastAsia" w:cstheme="minorEastAsia"/>
                <w:sz w:val="24"/>
                <w:lang w:eastAsia="zh-CN"/>
              </w:rPr>
              <w:t>成交</w:t>
            </w:r>
            <w:r>
              <w:rPr>
                <w:rFonts w:hint="eastAsia" w:asciiTheme="minorEastAsia" w:hAnsiTheme="minorEastAsia" w:eastAsiaTheme="minorEastAsia" w:cstheme="minorEastAsia"/>
                <w:sz w:val="24"/>
              </w:rPr>
              <w:t>通知书发出之日起5个工作日内退还未</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的保证金，自采购合同签订之日起5个工作日内退还</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的保证金或者转为</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w:t>
            </w:r>
          </w:p>
        </w:tc>
        <w:tc>
          <w:tcPr>
            <w:tcW w:w="8385" w:type="dxa"/>
            <w:vAlign w:val="center"/>
          </w:tcPr>
          <w:p>
            <w:pPr>
              <w:spacing w:line="240" w:lineRule="atLeas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p>
        </w:tc>
        <w:tc>
          <w:tcPr>
            <w:tcW w:w="8385" w:type="dxa"/>
            <w:vAlign w:val="center"/>
          </w:tcPr>
          <w:p>
            <w:pPr>
              <w:spacing w:line="35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响应文件包括“</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一览表及资格证明文件”和“商务及技术文件”两部分，两部分合订成一册密封递交。（采用正反面打印，左侧胶装）</w:t>
            </w:r>
          </w:p>
          <w:p>
            <w:pPr>
              <w:spacing w:line="35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响应文件：正本：壹份、副本：</w:t>
            </w:r>
            <w:r>
              <w:rPr>
                <w:rFonts w:hint="eastAsia" w:asciiTheme="minorEastAsia" w:hAnsiTheme="minorEastAsia" w:eastAsiaTheme="minorEastAsia" w:cstheme="minorEastAsia"/>
                <w:sz w:val="24"/>
                <w:lang w:val="en-US" w:eastAsia="zh-CN"/>
              </w:rPr>
              <w:t>叁</w:t>
            </w:r>
            <w:r>
              <w:rPr>
                <w:rFonts w:hint="eastAsia" w:asciiTheme="minorEastAsia" w:hAnsiTheme="minorEastAsia" w:eastAsiaTheme="minorEastAsia" w:cstheme="minorEastAsia"/>
                <w:sz w:val="24"/>
              </w:rPr>
              <w:t>份；（正、副本分别单独密封提交，密封袋封面右上角标明“正本”和“副本”字样）</w:t>
            </w:r>
          </w:p>
          <w:p>
            <w:pPr>
              <w:spacing w:line="35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必须制作“</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一览表”并单独密封提交，并在密封袋上标明“</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一览表”的字样。不按要求标注或不单独提交</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将被拒绝。</w:t>
            </w:r>
          </w:p>
          <w:p>
            <w:pPr>
              <w:spacing w:line="35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除上述文件外，还须密封递交</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电子文档1份。</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必须制作“电子版U盘”并单独密封提交。不按要求提交电子版U盘，其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w:t>
            </w:r>
          </w:p>
        </w:tc>
        <w:tc>
          <w:tcPr>
            <w:tcW w:w="8385" w:type="dxa"/>
            <w:vAlign w:val="center"/>
          </w:tcPr>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响应文件递交截止时间：</w:t>
            </w:r>
            <w:r>
              <w:rPr>
                <w:rFonts w:hint="eastAsia" w:asciiTheme="minorEastAsia" w:hAnsiTheme="minorEastAsia" w:eastAsiaTheme="minorEastAsia" w:cstheme="minorEastAsia"/>
                <w:color w:val="FF0000"/>
                <w:sz w:val="24"/>
                <w:lang w:eastAsia="zh-CN"/>
              </w:rPr>
              <w:t>2021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11</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26</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11</w:t>
            </w:r>
            <w:r>
              <w:rPr>
                <w:rFonts w:hint="eastAsia" w:asciiTheme="minorEastAsia" w:hAnsiTheme="minorEastAsia" w:eastAsiaTheme="minorEastAsia" w:cstheme="minorEastAsia"/>
                <w:color w:val="FF0000"/>
                <w:sz w:val="24"/>
              </w:rPr>
              <w:t>时</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w:t>
            </w:r>
          </w:p>
        </w:tc>
        <w:tc>
          <w:tcPr>
            <w:tcW w:w="8385" w:type="dxa"/>
            <w:vAlign w:val="center"/>
          </w:tcPr>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磋商开启时间：</w:t>
            </w:r>
            <w:r>
              <w:rPr>
                <w:rFonts w:hint="eastAsia" w:asciiTheme="minorEastAsia" w:hAnsiTheme="minorEastAsia" w:eastAsiaTheme="minorEastAsia" w:cstheme="minorEastAsia"/>
                <w:color w:val="FF0000"/>
                <w:sz w:val="24"/>
                <w:lang w:eastAsia="zh-CN"/>
              </w:rPr>
              <w:t>2021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11</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26</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11</w:t>
            </w:r>
            <w:r>
              <w:rPr>
                <w:rFonts w:hint="eastAsia" w:asciiTheme="minorEastAsia" w:hAnsiTheme="minorEastAsia" w:eastAsiaTheme="minorEastAsia" w:cstheme="minorEastAsia"/>
                <w:color w:val="FF0000"/>
                <w:sz w:val="24"/>
              </w:rPr>
              <w:t>时</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0分(北京时间)</w:t>
            </w:r>
          </w:p>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磋商开启地点：</w:t>
            </w:r>
            <w:r>
              <w:rPr>
                <w:rFonts w:hint="eastAsia" w:asciiTheme="minorEastAsia" w:hAnsiTheme="minorEastAsia" w:eastAsiaTheme="minorEastAsia" w:cstheme="minorEastAsia"/>
                <w:color w:val="auto"/>
                <w:sz w:val="24"/>
                <w:lang w:val="en-US" w:eastAsia="zh-CN"/>
              </w:rPr>
              <w:t>新疆喀什市帕依纳普路251号1幢5层5003室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评审方法：综合评分法，响应文件满足磋商文件全部实质性要求且按评审因素的量化指标评审得分最高的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为成交候选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的评审方法。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推荐成交候选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的数量：</w:t>
            </w:r>
            <w:r>
              <w:rPr>
                <w:rFonts w:hint="eastAsia" w:asciiTheme="minorEastAsia" w:hAnsiTheme="minorEastAsia" w:eastAsiaTheme="minorEastAsia" w:cstheme="minorEastAsia"/>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27.1</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是否委托评审委员会直接确定成交人：</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w:t>
            </w:r>
          </w:p>
        </w:tc>
        <w:tc>
          <w:tcPr>
            <w:tcW w:w="8385" w:type="dxa"/>
            <w:vAlign w:val="center"/>
          </w:tcPr>
          <w:p>
            <w:pPr>
              <w:pStyle w:val="47"/>
              <w:rPr>
                <w:rFonts w:hint="eastAsia"/>
              </w:rPr>
            </w:pPr>
            <w:r>
              <w:rPr>
                <w:rFonts w:hint="eastAsia"/>
              </w:rPr>
              <w:t>履约保证金金额：合同总价的5%（不得超过政府采购合同金额的10%）</w:t>
            </w:r>
          </w:p>
          <w:p>
            <w:pPr>
              <w:pStyle w:val="47"/>
              <w:rPr>
                <w:rFonts w:hint="eastAsia"/>
              </w:rPr>
            </w:pPr>
            <w:r>
              <w:rPr>
                <w:rFonts w:hint="eastAsia"/>
              </w:rPr>
              <w:t>履约保证金形式：对公转账 、电汇、网银</w:t>
            </w:r>
            <w:r>
              <w:rPr>
                <w:rFonts w:hint="eastAsia"/>
                <w:lang w:eastAsia="zh-CN"/>
              </w:rPr>
              <w:t>、保函</w:t>
            </w:r>
            <w:r>
              <w:rPr>
                <w:rFonts w:hint="eastAsia"/>
              </w:rPr>
              <w:t xml:space="preserve">；    </w:t>
            </w:r>
          </w:p>
          <w:p>
            <w:pPr>
              <w:pStyle w:val="47"/>
              <w:rPr>
                <w:rFonts w:hint="eastAsia"/>
              </w:rPr>
            </w:pPr>
            <w:r>
              <w:rPr>
                <w:rFonts w:hint="eastAsia"/>
              </w:rPr>
              <w:t>提交履约保证金的时间：签订合同前 5 日历日</w:t>
            </w:r>
          </w:p>
          <w:p>
            <w:pPr>
              <w:pStyle w:val="47"/>
              <w:rPr>
                <w:rFonts w:hint="eastAsia" w:hAnsi="宋体" w:eastAsia="宋体" w:cs="宋体"/>
                <w:color w:val="000000"/>
                <w:lang w:val="en-US" w:eastAsia="zh-CN"/>
              </w:rPr>
            </w:pPr>
            <w:r>
              <w:rPr>
                <w:rFonts w:hint="eastAsia"/>
              </w:rPr>
              <w:t>履约保证金</w:t>
            </w:r>
            <w:r>
              <w:rPr>
                <w:rFonts w:hint="eastAsia"/>
                <w:lang w:val="en-US" w:eastAsia="zh-CN"/>
              </w:rPr>
              <w:t>收取单位：</w:t>
            </w:r>
            <w:r>
              <w:rPr>
                <w:rFonts w:hint="eastAsia" w:hAnsi="宋体" w:eastAsia="宋体" w:cs="宋体"/>
                <w:color w:val="000000"/>
                <w:lang w:val="en-US" w:eastAsia="zh-CN"/>
              </w:rPr>
              <w:t>喀什地区康宁医院</w:t>
            </w:r>
          </w:p>
          <w:p>
            <w:pPr>
              <w:pStyle w:val="47"/>
              <w:rPr>
                <w:rFonts w:hint="eastAsia" w:ascii="宋体" w:hAnsi="Times New Roman" w:eastAsia="宋体" w:cs="宋体"/>
                <w:lang w:val="en-US" w:eastAsia="zh-CN"/>
              </w:rPr>
            </w:pPr>
            <w:r>
              <w:rPr>
                <w:rFonts w:hint="eastAsia" w:hAnsi="宋体" w:eastAsia="宋体" w:cs="宋体"/>
                <w:color w:val="000000"/>
                <w:lang w:val="en-US" w:eastAsia="zh-CN"/>
              </w:rPr>
              <w:t>开户行：中国</w:t>
            </w:r>
            <w:r>
              <w:rPr>
                <w:rFonts w:hint="eastAsia" w:ascii="宋体" w:hAnsi="Times New Roman" w:eastAsia="宋体" w:cs="宋体"/>
                <w:lang w:val="en-US" w:eastAsia="zh-CN"/>
              </w:rPr>
              <w:t>工商银行莎车新城路支行</w:t>
            </w:r>
          </w:p>
          <w:p>
            <w:pPr>
              <w:pStyle w:val="47"/>
              <w:rPr>
                <w:rFonts w:hint="default" w:ascii="宋体" w:hAnsi="Times New Roman" w:eastAsia="宋体" w:cs="宋体"/>
                <w:lang w:val="en-US" w:eastAsia="zh-CN"/>
              </w:rPr>
            </w:pPr>
            <w:r>
              <w:rPr>
                <w:rFonts w:hint="eastAsia" w:ascii="宋体" w:hAnsi="Times New Roman" w:eastAsia="宋体" w:cs="宋体"/>
                <w:lang w:val="en-US" w:eastAsia="zh-CN"/>
              </w:rPr>
              <w:t>帐号：3012372109026407761</w:t>
            </w:r>
          </w:p>
          <w:p>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val="en-US" w:eastAsia="zh-CN"/>
              </w:rPr>
              <w:t>阿孜古丽</w:t>
            </w:r>
          </w:p>
          <w:p>
            <w:pPr>
              <w:rPr>
                <w:rFonts w:hint="default" w:eastAsia="宋体"/>
                <w:lang w:val="en-US" w:eastAsia="zh-CN"/>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话：</w:t>
            </w:r>
            <w:r>
              <w:rPr>
                <w:rFonts w:hint="eastAsia" w:ascii="宋体" w:hAnsi="宋体" w:cs="宋体"/>
                <w:sz w:val="24"/>
                <w:szCs w:val="24"/>
                <w:lang w:val="en-US" w:eastAsia="zh-CN"/>
              </w:rPr>
              <w:t>13579319331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8385" w:type="dxa"/>
            <w:vAlign w:val="center"/>
          </w:tcPr>
          <w:p>
            <w:pPr>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成交服务费：</w:t>
            </w:r>
          </w:p>
          <w:p>
            <w:pPr>
              <w:spacing w:line="240" w:lineRule="atLeast"/>
              <w:rPr>
                <w:rFonts w:hint="eastAsia" w:ascii="宋体" w:hAnsi="宋体" w:eastAsia="宋体" w:cs="宋体"/>
                <w:color w:val="000000"/>
                <w:sz w:val="24"/>
                <w:lang w:val="en-US" w:eastAsia="zh-CN"/>
              </w:rPr>
            </w:pPr>
            <w:r>
              <w:rPr>
                <w:rFonts w:hint="eastAsia" w:asciiTheme="minorEastAsia" w:hAnsiTheme="minorEastAsia" w:eastAsiaTheme="minorEastAsia" w:cstheme="minorEastAsia"/>
                <w:color w:val="000000"/>
                <w:sz w:val="24"/>
              </w:rPr>
              <w:t>☑</w:t>
            </w:r>
            <w:r>
              <w:rPr>
                <w:rFonts w:hint="eastAsia" w:ascii="宋体" w:hAnsi="宋体" w:eastAsia="宋体" w:cs="宋体"/>
                <w:color w:val="000000"/>
                <w:sz w:val="24"/>
                <w:lang w:val="en-US" w:eastAsia="zh-CN"/>
              </w:rPr>
              <w:t>参照发改价格[2015]299号文收取，经采购单位与招标代理公司协商确定，代理服务费按照成交价的1.5%向成交单位收取。</w:t>
            </w:r>
          </w:p>
          <w:p>
            <w:pPr>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支付方：由</w:t>
            </w:r>
            <w:r>
              <w:rPr>
                <w:rFonts w:hint="eastAsia" w:asciiTheme="minorEastAsia" w:hAnsiTheme="minorEastAsia" w:eastAsiaTheme="minorEastAsia" w:cstheme="minorEastAsia"/>
                <w:color w:val="000000"/>
                <w:sz w:val="24"/>
                <w:lang w:eastAsia="zh-CN"/>
              </w:rPr>
              <w:t>成交供应商</w:t>
            </w:r>
            <w:r>
              <w:rPr>
                <w:rFonts w:hint="eastAsia" w:asciiTheme="minorEastAsia" w:hAnsiTheme="minorEastAsia" w:eastAsiaTheme="minorEastAsia" w:cstheme="minorEastAsia"/>
                <w:color w:val="000000"/>
                <w:sz w:val="24"/>
              </w:rPr>
              <w:t>支付；</w:t>
            </w:r>
          </w:p>
          <w:p>
            <w:pPr>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支付形式：对公转账 、电汇、网银；</w:t>
            </w:r>
          </w:p>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支付时间：领取</w:t>
            </w:r>
            <w:r>
              <w:rPr>
                <w:rFonts w:hint="eastAsia" w:asciiTheme="minorEastAsia" w:hAnsiTheme="minorEastAsia" w:eastAsiaTheme="minorEastAsia" w:cstheme="minorEastAsia"/>
                <w:color w:val="000000"/>
                <w:sz w:val="24"/>
                <w:lang w:eastAsia="zh-CN"/>
              </w:rPr>
              <w:t>成交</w:t>
            </w:r>
            <w:r>
              <w:rPr>
                <w:rFonts w:hint="eastAsia" w:asciiTheme="minorEastAsia" w:hAnsiTheme="minorEastAsia" w:eastAsiaTheme="minorEastAsia" w:cstheme="minorEastAsia"/>
                <w:color w:val="000000"/>
                <w:sz w:val="24"/>
              </w:rPr>
              <w:t>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83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本项目是否属于信用担保试点范围：</w:t>
            </w:r>
            <w:r>
              <w:rPr>
                <w:rFonts w:hint="eastAsia" w:asciiTheme="minorEastAsia" w:hAnsiTheme="minorEastAsia" w:eastAsiaTheme="minorEastAsia" w:cstheme="minorEastAsia"/>
                <w:sz w:val="24"/>
                <w:u w:val="single"/>
              </w:rPr>
              <w:t>否</w:t>
            </w:r>
          </w:p>
        </w:tc>
      </w:tr>
    </w:tbl>
    <w:p>
      <w:pPr>
        <w:spacing w:line="240" w:lineRule="atLeast"/>
        <w:ind w:left="1080" w:leftChars="257" w:hanging="540"/>
        <w:rPr>
          <w:rFonts w:hint="eastAsia" w:asciiTheme="minorEastAsia" w:hAnsiTheme="minorEastAsia" w:eastAsiaTheme="minorEastAsia" w:cstheme="minorEastAsia"/>
          <w:color w:val="FF0000"/>
          <w:sz w:val="24"/>
        </w:rPr>
        <w:sectPr>
          <w:headerReference r:id="rId14" w:type="default"/>
          <w:footerReference r:id="rId16" w:type="default"/>
          <w:headerReference r:id="rId15" w:type="even"/>
          <w:footerReference r:id="rId17" w:type="even"/>
          <w:pgSz w:w="11906" w:h="16838"/>
          <w:pgMar w:top="1440" w:right="1080" w:bottom="1440" w:left="1080" w:header="510" w:footer="992" w:gutter="0"/>
          <w:pgNumType w:fmt="decimal"/>
          <w:cols w:space="720" w:num="1"/>
          <w:docGrid w:linePitch="312" w:charSpace="0"/>
        </w:sectPr>
      </w:pPr>
    </w:p>
    <w:p>
      <w:pPr>
        <w:widowControl/>
        <w:jc w:val="center"/>
        <w:outlineLvl w:val="0"/>
        <w:rPr>
          <w:rFonts w:hint="eastAsia" w:asciiTheme="minorEastAsia" w:hAnsiTheme="minorEastAsia" w:eastAsiaTheme="minorEastAsia" w:cstheme="minorEastAsia"/>
          <w:b/>
          <w:kern w:val="0"/>
          <w:sz w:val="32"/>
          <w:szCs w:val="32"/>
        </w:rPr>
      </w:pPr>
      <w:bookmarkStart w:id="486" w:name="_Toc17977_WPSOffice_Level2"/>
      <w:bookmarkStart w:id="487" w:name="_Toc29797_WPSOffice_Level2"/>
      <w:bookmarkStart w:id="488" w:name="_Toc218935351"/>
      <w:bookmarkStart w:id="489" w:name="_Toc216582811"/>
      <w:bookmarkStart w:id="490" w:name="_Toc219175635"/>
      <w:bookmarkStart w:id="491" w:name="_Toc216513787"/>
      <w:r>
        <w:rPr>
          <w:rFonts w:hint="eastAsia" w:asciiTheme="minorEastAsia" w:hAnsiTheme="minorEastAsia" w:eastAsiaTheme="minorEastAsia" w:cstheme="minorEastAsia"/>
          <w:b/>
          <w:kern w:val="0"/>
          <w:sz w:val="32"/>
          <w:szCs w:val="32"/>
        </w:rPr>
        <w:t>资格审查表</w:t>
      </w:r>
      <w:bookmarkEnd w:id="486"/>
      <w:bookmarkEnd w:id="487"/>
    </w:p>
    <w:p>
      <w:pPr>
        <w:rPr>
          <w:rFonts w:hint="eastAsia" w:asciiTheme="minorEastAsia" w:hAnsiTheme="minorEastAsia" w:eastAsiaTheme="minorEastAsia" w:cstheme="minorEastAsia"/>
        </w:rPr>
      </w:pPr>
    </w:p>
    <w:tbl>
      <w:tblPr>
        <w:tblStyle w:val="34"/>
        <w:tblW w:w="13078" w:type="dxa"/>
        <w:tblInd w:w="153" w:type="dxa"/>
        <w:tblLayout w:type="fixed"/>
        <w:tblCellMar>
          <w:top w:w="0" w:type="dxa"/>
          <w:left w:w="108" w:type="dxa"/>
          <w:bottom w:w="0" w:type="dxa"/>
          <w:right w:w="108" w:type="dxa"/>
        </w:tblCellMar>
      </w:tblPr>
      <w:tblGrid>
        <w:gridCol w:w="747"/>
        <w:gridCol w:w="960"/>
        <w:gridCol w:w="792"/>
        <w:gridCol w:w="2780"/>
        <w:gridCol w:w="1000"/>
        <w:gridCol w:w="1000"/>
        <w:gridCol w:w="1030"/>
        <w:gridCol w:w="1010"/>
        <w:gridCol w:w="790"/>
        <w:gridCol w:w="1020"/>
        <w:gridCol w:w="650"/>
        <w:gridCol w:w="538"/>
        <w:gridCol w:w="761"/>
      </w:tblGrid>
      <w:tr>
        <w:tblPrEx>
          <w:tblCellMar>
            <w:top w:w="0" w:type="dxa"/>
            <w:left w:w="108" w:type="dxa"/>
            <w:bottom w:w="0" w:type="dxa"/>
            <w:right w:w="108" w:type="dxa"/>
          </w:tblCellMar>
        </w:tblPrEx>
        <w:trPr>
          <w:trHeight w:val="843" w:hRule="atLeast"/>
        </w:trPr>
        <w:tc>
          <w:tcPr>
            <w:tcW w:w="747" w:type="dxa"/>
            <w:vMerge w:val="restart"/>
            <w:tcBorders>
              <w:top w:val="single" w:color="auto" w:sz="4" w:space="0"/>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供应商名称</w:t>
            </w:r>
          </w:p>
        </w:tc>
        <w:tc>
          <w:tcPr>
            <w:tcW w:w="12331"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3"/>
                <w:szCs w:val="13"/>
                <w:lang w:eastAsia="zh-CN"/>
              </w:rPr>
            </w:pPr>
            <w:r>
              <w:rPr>
                <w:rFonts w:hint="eastAsia" w:asciiTheme="minorEastAsia" w:hAnsiTheme="minorEastAsia" w:eastAsiaTheme="minorEastAsia" w:cstheme="minorEastAsia"/>
                <w:b w:val="0"/>
                <w:bCs/>
                <w:kern w:val="0"/>
                <w:sz w:val="24"/>
                <w:szCs w:val="24"/>
                <w:lang w:eastAsia="zh-CN"/>
              </w:rPr>
              <w:t>审查项目</w:t>
            </w:r>
          </w:p>
        </w:tc>
      </w:tr>
      <w:tr>
        <w:tblPrEx>
          <w:tblCellMar>
            <w:top w:w="0" w:type="dxa"/>
            <w:left w:w="108" w:type="dxa"/>
            <w:bottom w:w="0" w:type="dxa"/>
            <w:right w:w="108" w:type="dxa"/>
          </w:tblCellMar>
        </w:tblPrEx>
        <w:trPr>
          <w:trHeight w:val="2398" w:hRule="atLeast"/>
        </w:trPr>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96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企业法人营业执照副本、组织机构代码证、税务登记证（国税及地税）或三证合一企业法人营业执照；</w:t>
            </w:r>
          </w:p>
          <w:p>
            <w:pPr>
              <w:widowControl/>
              <w:jc w:val="center"/>
              <w:rPr>
                <w:rFonts w:hint="eastAsia" w:asciiTheme="minorEastAsia" w:hAnsiTheme="minorEastAsia" w:eastAsiaTheme="minorEastAsia" w:cstheme="minorEastAsia"/>
                <w:b w:val="0"/>
                <w:bCs/>
                <w:kern w:val="0"/>
                <w:sz w:val="18"/>
                <w:szCs w:val="18"/>
              </w:rPr>
            </w:pPr>
          </w:p>
        </w:tc>
        <w:tc>
          <w:tcPr>
            <w:tcW w:w="792"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提供法定代表人身份证明及身份证或法人授权委托书、授权委托人身份证；</w:t>
            </w:r>
          </w:p>
          <w:p>
            <w:pPr>
              <w:widowControl/>
              <w:jc w:val="center"/>
              <w:rPr>
                <w:rFonts w:hint="eastAsia" w:asciiTheme="minorEastAsia" w:hAnsiTheme="minorEastAsia" w:eastAsiaTheme="minorEastAsia" w:cstheme="minorEastAsia"/>
                <w:b w:val="0"/>
                <w:bCs/>
                <w:kern w:val="0"/>
                <w:sz w:val="18"/>
                <w:szCs w:val="18"/>
              </w:rPr>
            </w:pPr>
          </w:p>
        </w:tc>
        <w:tc>
          <w:tcPr>
            <w:tcW w:w="278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eastAsia="zh-CN"/>
              </w:rPr>
            </w:pPr>
            <w:r>
              <w:rPr>
                <w:rFonts w:hint="eastAsia" w:asciiTheme="minorEastAsia" w:hAnsiTheme="minorEastAsia" w:eastAsiaTheme="minorEastAsia" w:cstheme="minorEastAsia"/>
                <w:b w:val="0"/>
                <w:bCs/>
                <w:kern w:val="0"/>
                <w:sz w:val="18"/>
                <w:szCs w:val="18"/>
                <w:lang w:val="en-US" w:eastAsia="zh-CN"/>
              </w:rPr>
              <w:t>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w:t>
            </w:r>
            <w:r>
              <w:rPr>
                <w:rFonts w:hint="eastAsia" w:ascii="宋体" w:hAnsi="宋体" w:eastAsia="宋体" w:cs="宋体"/>
                <w:b w:val="0"/>
                <w:bCs/>
                <w:kern w:val="0"/>
                <w:sz w:val="18"/>
                <w:szCs w:val="18"/>
                <w:lang w:val="en-US" w:eastAsia="zh-CN"/>
              </w:rPr>
              <w:t>③“国家企业信用信息公示系统（http://www.gsxt.gov.cn）”列入经营异常名录信息、列入严重违法失信企业名单（黑名单）信息及企业信用信息公示报告</w:t>
            </w:r>
            <w:r>
              <w:rPr>
                <w:rFonts w:hint="eastAsia" w:ascii="宋体" w:hAnsi="宋体" w:cs="宋体"/>
                <w:b w:val="0"/>
                <w:bCs/>
                <w:kern w:val="0"/>
                <w:sz w:val="18"/>
                <w:szCs w:val="18"/>
                <w:lang w:val="en-US" w:eastAsia="zh-CN"/>
              </w:rPr>
              <w:t>；</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val="en-US" w:eastAsia="zh-CN"/>
              </w:rPr>
              <w:t>提供由投标人所在地税务部门出具的近6个月的完税证明</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val="en-US" w:eastAsia="zh-CN"/>
              </w:rPr>
              <w:t>被授权委托人在本单位缴纳的近6个月的社保证明（单位社保缴费证明和个人明细表）</w:t>
            </w:r>
          </w:p>
        </w:tc>
        <w:tc>
          <w:tcPr>
            <w:tcW w:w="103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提供2020年度财务审计报告（新成立公司提供有效期内银行出具的资信证明）；</w:t>
            </w:r>
          </w:p>
          <w:p>
            <w:pPr>
              <w:widowControl/>
              <w:jc w:val="center"/>
              <w:rPr>
                <w:rFonts w:hint="eastAsia" w:asciiTheme="minorEastAsia" w:hAnsiTheme="minorEastAsia" w:eastAsiaTheme="minorEastAsia" w:cstheme="minorEastAsia"/>
                <w:b w:val="0"/>
                <w:bCs/>
                <w:kern w:val="0"/>
                <w:sz w:val="18"/>
                <w:szCs w:val="18"/>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val="en-US" w:eastAsia="zh-CN"/>
              </w:rPr>
              <w:t>供应商提供针对本次项目《反商业贿赂承诺书》；</w:t>
            </w:r>
          </w:p>
        </w:tc>
        <w:tc>
          <w:tcPr>
            <w:tcW w:w="79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医疗器械生产企业许可证或医疗器械经营企业许可证；</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eastAsia="zh-CN"/>
              </w:rPr>
            </w:pPr>
            <w:r>
              <w:rPr>
                <w:rFonts w:hint="eastAsia" w:asciiTheme="minorEastAsia" w:hAnsiTheme="minorEastAsia" w:eastAsiaTheme="minorEastAsia" w:cstheme="minorEastAsia"/>
                <w:b w:val="0"/>
                <w:bCs/>
                <w:kern w:val="0"/>
                <w:sz w:val="18"/>
                <w:szCs w:val="18"/>
              </w:rPr>
              <w:t>提供本单位在参加政府采购活动中前三年内无重大违法记录的承声明函</w:t>
            </w:r>
            <w:r>
              <w:rPr>
                <w:rFonts w:hint="eastAsia" w:asciiTheme="minorEastAsia" w:hAnsiTheme="minorEastAsia" w:eastAsiaTheme="minorEastAsia" w:cstheme="minorEastAsia"/>
                <w:b w:val="0"/>
                <w:bCs/>
                <w:kern w:val="0"/>
                <w:sz w:val="18"/>
                <w:szCs w:val="18"/>
                <w:lang w:eastAsia="zh-CN"/>
              </w:rPr>
              <w:t>；</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eastAsia="zh-CN"/>
              </w:rPr>
              <w:t>磋商</w:t>
            </w:r>
            <w:r>
              <w:rPr>
                <w:rFonts w:hint="eastAsia" w:asciiTheme="minorEastAsia" w:hAnsiTheme="minorEastAsia" w:eastAsiaTheme="minorEastAsia" w:cstheme="minorEastAsia"/>
                <w:b w:val="0"/>
                <w:bCs/>
                <w:kern w:val="0"/>
                <w:sz w:val="18"/>
                <w:szCs w:val="18"/>
              </w:rPr>
              <w:t>保证</w:t>
            </w:r>
          </w:p>
          <w:p>
            <w:pPr>
              <w:widowControl/>
              <w:jc w:val="center"/>
              <w:rPr>
                <w:rFonts w:hint="default"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金缴纳凭证</w:t>
            </w:r>
          </w:p>
          <w:p>
            <w:pPr>
              <w:widowControl/>
              <w:jc w:val="center"/>
              <w:rPr>
                <w:rFonts w:hint="eastAsia" w:asciiTheme="minorEastAsia" w:hAnsiTheme="minorEastAsia" w:eastAsiaTheme="minorEastAsia" w:cstheme="minorEastAsia"/>
                <w:b w:val="0"/>
                <w:bCs/>
                <w:kern w:val="0"/>
                <w:sz w:val="18"/>
                <w:szCs w:val="18"/>
                <w:lang w:val="en-US" w:eastAsia="zh-CN"/>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rPr>
              <w:t>结论（合格或不合格）</w:t>
            </w:r>
          </w:p>
        </w:tc>
        <w:tc>
          <w:tcPr>
            <w:tcW w:w="76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eastAsia="zh-CN"/>
              </w:rPr>
              <w:t>供应商</w:t>
            </w:r>
            <w:r>
              <w:rPr>
                <w:rFonts w:hint="eastAsia" w:asciiTheme="minorEastAsia" w:hAnsiTheme="minorEastAsia" w:eastAsiaTheme="minorEastAsia" w:cstheme="minorEastAsia"/>
                <w:b w:val="0"/>
                <w:bCs/>
                <w:kern w:val="0"/>
                <w:sz w:val="18"/>
                <w:szCs w:val="18"/>
              </w:rPr>
              <w:t>签字确认</w:t>
            </w:r>
          </w:p>
        </w:tc>
      </w:tr>
      <w:tr>
        <w:tblPrEx>
          <w:tblCellMar>
            <w:top w:w="0" w:type="dxa"/>
            <w:left w:w="108" w:type="dxa"/>
            <w:bottom w:w="0" w:type="dxa"/>
            <w:right w:w="108" w:type="dxa"/>
          </w:tblCellMar>
        </w:tblPrEx>
        <w:trPr>
          <w:trHeight w:val="806" w:hRule="atLeast"/>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79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278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03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01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79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2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650"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38"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76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704" w:hRule="atLeast"/>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6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79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278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30"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kern w:val="0"/>
                <w:sz w:val="22"/>
                <w:szCs w:val="22"/>
              </w:rPr>
            </w:pPr>
          </w:p>
        </w:tc>
        <w:tc>
          <w:tcPr>
            <w:tcW w:w="101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79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2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650"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38"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76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704" w:hRule="atLeast"/>
        </w:trPr>
        <w:tc>
          <w:tcPr>
            <w:tcW w:w="13078" w:type="dxa"/>
            <w:gridSpan w:val="13"/>
            <w:tcBorders>
              <w:top w:val="single" w:color="auto" w:sz="4" w:space="0"/>
              <w:left w:val="single" w:color="auto" w:sz="4" w:space="0"/>
              <w:bottom w:val="single" w:color="auto" w:sz="4" w:space="0"/>
              <w:right w:val="single" w:color="auto" w:sz="4" w:space="0"/>
            </w:tcBorders>
            <w:vAlign w:val="center"/>
          </w:tcPr>
          <w:p>
            <w:pPr>
              <w:widowControl/>
              <w:tabs>
                <w:tab w:val="left" w:pos="4406"/>
              </w:tabs>
              <w:jc w:val="left"/>
              <w:rPr>
                <w:rFonts w:hint="eastAsia" w:asciiTheme="minorEastAsia" w:hAnsiTheme="minorEastAsia" w:eastAsiaTheme="minorEastAsia" w:cstheme="minorEastAsia"/>
                <w:kern w:val="0"/>
                <w:sz w:val="22"/>
                <w:szCs w:val="22"/>
                <w:lang w:eastAsia="zh-CN"/>
              </w:rPr>
            </w:pPr>
            <w:r>
              <w:rPr>
                <w:rFonts w:hint="eastAsia"/>
                <w:b/>
                <w:bCs/>
              </w:rPr>
              <w:t>注：以上资格条件需提供原件或可扫描二维码的复印件或提供电子证照的网上查询有效网址以备现场查询。</w:t>
            </w:r>
          </w:p>
        </w:tc>
      </w:tr>
    </w:tbl>
    <w:p>
      <w:pPr>
        <w:pStyle w:val="3"/>
        <w:numPr>
          <w:ilvl w:val="0"/>
          <w:numId w:val="0"/>
        </w:numPr>
        <w:spacing w:before="0" w:after="0" w:line="240" w:lineRule="atLeast"/>
        <w:ind w:left="1844" w:leftChars="0"/>
        <w:jc w:val="center"/>
        <w:rPr>
          <w:rFonts w:hint="eastAsia" w:asciiTheme="minorEastAsia" w:hAnsiTheme="minorEastAsia" w:eastAsiaTheme="minorEastAsia" w:cstheme="minorEastAsia"/>
        </w:rPr>
        <w:sectPr>
          <w:pgSz w:w="16838" w:h="11906" w:orient="landscape"/>
          <w:pgMar w:top="1797" w:right="1440" w:bottom="1797" w:left="1440" w:header="851" w:footer="992" w:gutter="0"/>
          <w:pgNumType w:fmt="decimal"/>
          <w:cols w:space="720" w:num="1"/>
          <w:docGrid w:linePitch="312" w:charSpace="0"/>
        </w:sectPr>
      </w:pPr>
    </w:p>
    <w:bookmarkEnd w:id="488"/>
    <w:bookmarkEnd w:id="489"/>
    <w:bookmarkEnd w:id="490"/>
    <w:bookmarkEnd w:id="491"/>
    <w:p>
      <w:pPr>
        <w:pStyle w:val="3"/>
        <w:numPr>
          <w:ilvl w:val="0"/>
          <w:numId w:val="9"/>
        </w:numPr>
        <w:tabs>
          <w:tab w:val="left" w:pos="0"/>
        </w:tabs>
        <w:spacing w:before="0" w:after="0" w:line="240" w:lineRule="atLeast"/>
        <w:jc w:val="center"/>
        <w:rPr>
          <w:rFonts w:hint="eastAsia"/>
          <w:lang w:val="en-US" w:eastAsia="zh-CN"/>
        </w:rPr>
      </w:pPr>
      <w:bookmarkStart w:id="492" w:name="_Toc21132"/>
      <w:bookmarkStart w:id="493" w:name="_Toc218935354"/>
      <w:bookmarkStart w:id="494" w:name="_Toc219175638"/>
      <w:bookmarkStart w:id="495" w:name="_Toc216582825"/>
      <w:bookmarkStart w:id="496" w:name="_Toc29079_WPSOffice_Level1"/>
      <w:bookmarkStart w:id="497" w:name="_Toc507399906"/>
      <w:bookmarkStart w:id="498" w:name="_Toc7112"/>
      <w:bookmarkStart w:id="499" w:name="_Toc518923126"/>
      <w:bookmarkStart w:id="500" w:name="_Toc512937852"/>
      <w:r>
        <w:rPr>
          <w:rFonts w:hint="eastAsia" w:asciiTheme="minorEastAsia" w:hAnsiTheme="minorEastAsia" w:eastAsiaTheme="minorEastAsia" w:cstheme="minorEastAsia"/>
          <w:highlight w:val="none"/>
          <w:lang w:val="en-US" w:eastAsia="zh-CN"/>
        </w:rPr>
        <w:t xml:space="preserve">  采购</w:t>
      </w:r>
      <w:r>
        <w:rPr>
          <w:rFonts w:hint="eastAsia" w:asciiTheme="minorEastAsia" w:hAnsiTheme="minorEastAsia" w:eastAsiaTheme="minorEastAsia" w:cstheme="minorEastAsia"/>
          <w:highlight w:val="none"/>
        </w:rPr>
        <w:t>需求</w:t>
      </w:r>
      <w:bookmarkEnd w:id="492"/>
      <w:bookmarkEnd w:id="493"/>
      <w:bookmarkEnd w:id="494"/>
      <w:bookmarkEnd w:id="495"/>
      <w:bookmarkEnd w:id="496"/>
      <w:bookmarkEnd w:id="497"/>
      <w:bookmarkEnd w:id="498"/>
      <w:bookmarkEnd w:id="499"/>
      <w:r>
        <w:rPr>
          <w:rFonts w:hint="eastAsia" w:asciiTheme="minorEastAsia" w:hAnsiTheme="minorEastAsia" w:eastAsiaTheme="minorEastAsia" w:cstheme="minorEastAsia"/>
          <w:highlight w:val="none"/>
        </w:rPr>
        <w:t>及技术规</w:t>
      </w:r>
      <w:bookmarkEnd w:id="500"/>
      <w:r>
        <w:rPr>
          <w:rFonts w:hint="eastAsia" w:asciiTheme="minorEastAsia" w:hAnsiTheme="minorEastAsia" w:eastAsiaTheme="minorEastAsia" w:cstheme="minorEastAsia"/>
          <w:highlight w:val="none"/>
          <w:lang w:val="en-US" w:eastAsia="zh-CN"/>
        </w:rPr>
        <w:t>格</w:t>
      </w:r>
    </w:p>
    <w:p>
      <w:pPr>
        <w:numPr>
          <w:ilvl w:val="0"/>
          <w:numId w:val="0"/>
        </w:numPr>
        <w:rPr>
          <w:rFonts w:hint="eastAsia"/>
          <w:b/>
          <w:bCs/>
          <w:lang w:val="en-US" w:eastAsia="zh-CN"/>
        </w:rPr>
      </w:pPr>
    </w:p>
    <w:p>
      <w:pPr>
        <w:numPr>
          <w:ilvl w:val="0"/>
          <w:numId w:val="0"/>
        </w:numPr>
        <w:jc w:val="both"/>
        <w:rPr>
          <w:rFonts w:hint="default"/>
          <w:b/>
          <w:bCs/>
          <w:sz w:val="20"/>
          <w:szCs w:val="22"/>
          <w:lang w:val="en-US" w:eastAsia="zh-CN"/>
        </w:rPr>
      </w:pPr>
      <w:r>
        <w:rPr>
          <w:rFonts w:hint="eastAsia" w:cs="宋体"/>
          <w:b/>
          <w:color w:val="000000"/>
          <w:sz w:val="28"/>
          <w:szCs w:val="28"/>
          <w:lang w:val="en-US" w:eastAsia="zh-CN"/>
        </w:rPr>
        <w:t>一、喀什地区康宁医院检验辅助设备采购目录</w:t>
      </w:r>
    </w:p>
    <w:tbl>
      <w:tblPr>
        <w:tblStyle w:val="35"/>
        <w:tblpPr w:leftFromText="180" w:rightFromText="180" w:vertAnchor="text" w:horzAnchor="page" w:tblpX="1813"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250"/>
        <w:gridCol w:w="820"/>
        <w:gridCol w:w="810"/>
        <w:gridCol w:w="179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设备名称</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81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79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规格及参数</w:t>
            </w:r>
          </w:p>
        </w:tc>
        <w:tc>
          <w:tcPr>
            <w:tcW w:w="103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USP</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1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5" w:type="dxa"/>
          </w:tcPr>
          <w:p>
            <w:pPr>
              <w:numPr>
                <w:ilvl w:val="0"/>
                <w:numId w:val="0"/>
              </w:numPr>
              <w:ind w:firstLine="240" w:firstLineChars="100"/>
              <w:jc w:val="both"/>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250" w:type="dxa"/>
          </w:tcPr>
          <w:p>
            <w:pPr>
              <w:numPr>
                <w:ilvl w:val="0"/>
                <w:numId w:val="0"/>
              </w:numPr>
              <w:jc w:val="both"/>
              <w:rPr>
                <w:rFonts w:hint="eastAsia" w:ascii="仿宋" w:hAnsi="仿宋" w:eastAsia="仿宋" w:cs="仿宋"/>
                <w:i w:val="0"/>
                <w:iCs w:val="0"/>
                <w:color w:val="00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落地式生化仪配套型实验室专用超纯水机</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生物安全柜</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自动粪便分析仪</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恒温箱</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混匀器</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25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加样枪</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加样支架</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color w:val="auto"/>
              </w:rPr>
              <w:t>★</w:t>
            </w:r>
            <w:r>
              <w:rPr>
                <w:rFonts w:hint="default" w:ascii="仿宋" w:hAnsi="仿宋" w:eastAsia="仿宋" w:cs="仿宋"/>
                <w:i w:val="0"/>
                <w:iCs w:val="0"/>
                <w:color w:val="FF0000"/>
                <w:kern w:val="0"/>
                <w:sz w:val="24"/>
                <w:szCs w:val="24"/>
                <w:u w:val="none"/>
                <w:lang w:val="en-US" w:eastAsia="zh-CN" w:bidi="ar"/>
              </w:rPr>
              <w:t>酶标分析仪</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color w:val="auto"/>
              </w:rPr>
              <w:t>★</w:t>
            </w:r>
            <w:r>
              <w:rPr>
                <w:rFonts w:hint="default" w:ascii="仿宋" w:hAnsi="仿宋" w:eastAsia="仿宋" w:cs="仿宋"/>
                <w:i w:val="0"/>
                <w:iCs w:val="0"/>
                <w:color w:val="FF0000"/>
                <w:kern w:val="0"/>
                <w:sz w:val="24"/>
                <w:szCs w:val="24"/>
                <w:u w:val="none"/>
                <w:lang w:val="en-US" w:eastAsia="zh-CN" w:bidi="ar"/>
              </w:rPr>
              <w:t>触摸屏二氧化碳培养箱</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污水处理设备</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250" w:type="dxa"/>
          </w:tcPr>
          <w:p>
            <w:pPr>
              <w:numPr>
                <w:ilvl w:val="0"/>
                <w:numId w:val="0"/>
              </w:numPr>
              <w:jc w:val="center"/>
              <w:rPr>
                <w:rFonts w:hint="default" w:ascii="仿宋" w:hAnsi="仿宋" w:eastAsia="仿宋" w:cs="仿宋"/>
                <w:i w:val="0"/>
                <w:iCs w:val="0"/>
                <w:color w:val="FF0000"/>
                <w:kern w:val="0"/>
                <w:sz w:val="24"/>
                <w:szCs w:val="24"/>
                <w:u w:val="none"/>
                <w:lang w:val="en-US" w:eastAsia="zh-CN" w:bidi="ar"/>
              </w:rPr>
            </w:pPr>
          </w:p>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color w:val="auto"/>
              </w:rPr>
              <w:t>★</w:t>
            </w:r>
            <w:r>
              <w:rPr>
                <w:rFonts w:hint="default" w:ascii="仿宋" w:hAnsi="仿宋" w:eastAsia="仿宋" w:cs="仿宋"/>
                <w:i w:val="0"/>
                <w:iCs w:val="0"/>
                <w:color w:val="FF0000"/>
                <w:kern w:val="0"/>
                <w:sz w:val="24"/>
                <w:szCs w:val="24"/>
                <w:u w:val="none"/>
                <w:lang w:val="en-US" w:eastAsia="zh-CN" w:bidi="ar"/>
              </w:rPr>
              <w:t>全自动洗板机</w:t>
            </w:r>
          </w:p>
        </w:tc>
        <w:tc>
          <w:tcPr>
            <w:tcW w:w="82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b/>
                <w:bCs/>
                <w:i w:val="0"/>
                <w:iCs w:val="0"/>
                <w:color w:val="000000"/>
                <w:kern w:val="0"/>
                <w:sz w:val="22"/>
                <w:szCs w:val="22"/>
                <w:u w:val="none"/>
                <w:lang w:val="en-US" w:eastAsia="zh-CN" w:bidi="ar"/>
              </w:rPr>
              <w:t>必须与酶标仪同品牌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洗澡洗眼器</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250" w:type="dxa"/>
          </w:tcPr>
          <w:p>
            <w:pPr>
              <w:numPr>
                <w:ilvl w:val="0"/>
                <w:numId w:val="0"/>
              </w:numPr>
              <w:jc w:val="center"/>
              <w:rPr>
                <w:rFonts w:hint="default" w:ascii="仿宋" w:hAnsi="仿宋" w:eastAsia="仿宋" w:cs="仿宋"/>
                <w:i w:val="0"/>
                <w:iCs w:val="0"/>
                <w:color w:val="FF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血糖管理系统服务器</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250" w:type="dxa"/>
          </w:tcPr>
          <w:p>
            <w:pPr>
              <w:numPr>
                <w:ilvl w:val="0"/>
                <w:numId w:val="0"/>
              </w:numPr>
              <w:jc w:val="center"/>
              <w:rPr>
                <w:rFonts w:hint="default" w:ascii="仿宋" w:hAnsi="仿宋" w:eastAsia="仿宋" w:cs="仿宋"/>
                <w:i w:val="0"/>
                <w:iCs w:val="0"/>
                <w:color w:val="FF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血糖信息管理系统</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color w:val="auto"/>
              </w:rPr>
              <w:t>★</w:t>
            </w:r>
            <w:r>
              <w:rPr>
                <w:rFonts w:hint="eastAsia" w:ascii="仿宋" w:hAnsi="仿宋" w:eastAsia="仿宋" w:cs="仿宋"/>
                <w:i w:val="0"/>
                <w:iCs w:val="0"/>
                <w:color w:val="FF0000"/>
                <w:kern w:val="0"/>
                <w:sz w:val="24"/>
                <w:szCs w:val="24"/>
                <w:u w:val="none"/>
                <w:lang w:val="en-US" w:eastAsia="zh-CN" w:bidi="ar"/>
              </w:rPr>
              <w:t>血药浓度分析仪</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790" w:type="dxa"/>
            <w:vAlign w:val="top"/>
          </w:tcPr>
          <w:p>
            <w:pPr>
              <w:numPr>
                <w:ilvl w:val="0"/>
                <w:numId w:val="0"/>
              </w:numPr>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25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医用冷藏箱</w:t>
            </w:r>
          </w:p>
        </w:tc>
        <w:tc>
          <w:tcPr>
            <w:tcW w:w="82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0" w:type="dxa"/>
          </w:tcPr>
          <w:p>
            <w:pPr>
              <w:numPr>
                <w:ilvl w:val="0"/>
                <w:numId w:val="0"/>
              </w:num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79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见附件</w:t>
            </w:r>
          </w:p>
        </w:tc>
        <w:tc>
          <w:tcPr>
            <w:tcW w:w="1030" w:type="dxa"/>
          </w:tcPr>
          <w:p>
            <w:pPr>
              <w:numPr>
                <w:ilvl w:val="0"/>
                <w:numId w:val="0"/>
              </w:numPr>
              <w:jc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6"/>
          </w:tcPr>
          <w:p>
            <w:pPr>
              <w:numPr>
                <w:ilvl w:val="0"/>
                <w:numId w:val="0"/>
              </w:numPr>
              <w:jc w:val="left"/>
              <w:rPr>
                <w:rFonts w:hint="default" w:ascii="仿宋" w:hAnsi="仿宋" w:eastAsia="宋体" w:cs="仿宋"/>
                <w:i w:val="0"/>
                <w:iCs w:val="0"/>
                <w:color w:val="000000"/>
                <w:kern w:val="0"/>
                <w:sz w:val="24"/>
                <w:szCs w:val="24"/>
                <w:u w:val="none"/>
                <w:lang w:val="en-US" w:eastAsia="zh-CN" w:bidi="ar"/>
              </w:rPr>
            </w:pPr>
            <w:r>
              <w:rPr>
                <w:rFonts w:hint="eastAsia" w:ascii="宋体" w:hAnsi="宋体" w:cs="宋体"/>
                <w:b/>
                <w:bCs/>
                <w:color w:val="auto"/>
                <w:kern w:val="0"/>
                <w:sz w:val="20"/>
                <w:szCs w:val="20"/>
                <w:lang w:val="en-US" w:eastAsia="zh-CN" w:bidi="ar-SA"/>
              </w:rPr>
              <w:t>注：需求表</w:t>
            </w:r>
            <w:r>
              <w:rPr>
                <w:rFonts w:hint="eastAsia" w:ascii="宋体" w:hAnsi="宋体" w:eastAsia="宋体" w:cs="宋体"/>
                <w:b/>
                <w:bCs/>
                <w:color w:val="auto"/>
                <w:kern w:val="0"/>
                <w:sz w:val="20"/>
                <w:szCs w:val="20"/>
                <w:lang w:val="en-US" w:eastAsia="zh-CN" w:bidi="ar-SA"/>
              </w:rPr>
              <w:t>中带★标注的为核心</w:t>
            </w:r>
            <w:r>
              <w:rPr>
                <w:rFonts w:hint="eastAsia" w:ascii="宋体" w:hAnsi="宋体" w:cs="宋体"/>
                <w:b/>
                <w:bCs/>
                <w:color w:val="auto"/>
                <w:kern w:val="0"/>
                <w:sz w:val="20"/>
                <w:szCs w:val="20"/>
                <w:lang w:val="en-US" w:eastAsia="zh-CN" w:bidi="ar-SA"/>
              </w:rPr>
              <w:t>产品，针对核心产品供应商所投产品应满足或优于磋商文件产品技术参数要求，不允许出现负偏离，否则做无效投标处理；磋商</w:t>
            </w:r>
            <w:r>
              <w:rPr>
                <w:rFonts w:hint="eastAsia" w:ascii="宋体" w:hAnsi="宋体" w:eastAsia="宋体" w:cs="宋体"/>
                <w:b/>
                <w:bCs/>
                <w:color w:val="auto"/>
                <w:kern w:val="0"/>
                <w:sz w:val="20"/>
                <w:szCs w:val="20"/>
                <w:lang w:val="en-US" w:eastAsia="zh-CN" w:bidi="ar-SA"/>
              </w:rPr>
              <w:t>现场需提供</w:t>
            </w:r>
            <w:r>
              <w:rPr>
                <w:rFonts w:hint="eastAsia" w:ascii="宋体" w:hAnsi="宋体" w:cs="宋体"/>
                <w:b/>
                <w:bCs/>
                <w:color w:val="auto"/>
                <w:kern w:val="0"/>
                <w:sz w:val="20"/>
                <w:szCs w:val="20"/>
                <w:lang w:val="en-US" w:eastAsia="zh-CN" w:bidi="ar-SA"/>
              </w:rPr>
              <w:t>由</w:t>
            </w:r>
            <w:r>
              <w:rPr>
                <w:rFonts w:hint="eastAsia" w:ascii="宋体" w:hAnsi="宋体" w:eastAsia="宋体" w:cs="宋体"/>
                <w:b/>
                <w:bCs/>
                <w:color w:val="auto"/>
                <w:kern w:val="0"/>
                <w:sz w:val="20"/>
                <w:szCs w:val="20"/>
                <w:lang w:val="en-US" w:eastAsia="zh-CN" w:bidi="ar-SA"/>
              </w:rPr>
              <w:t>国家认可</w:t>
            </w:r>
            <w:r>
              <w:rPr>
                <w:rFonts w:hint="eastAsia" w:ascii="宋体" w:hAnsi="宋体" w:cs="宋体"/>
                <w:b/>
                <w:bCs/>
                <w:color w:val="auto"/>
                <w:kern w:val="0"/>
                <w:sz w:val="20"/>
                <w:szCs w:val="20"/>
                <w:lang w:val="en-US" w:eastAsia="zh-CN" w:bidi="ar-SA"/>
              </w:rPr>
              <w:t>的</w:t>
            </w:r>
            <w:r>
              <w:rPr>
                <w:rFonts w:hint="eastAsia" w:ascii="宋体" w:hAnsi="宋体" w:eastAsia="宋体" w:cs="宋体"/>
                <w:b/>
                <w:bCs/>
                <w:color w:val="auto"/>
                <w:kern w:val="0"/>
                <w:sz w:val="20"/>
                <w:szCs w:val="20"/>
                <w:lang w:val="en-US" w:eastAsia="zh-CN" w:bidi="ar-SA"/>
              </w:rPr>
              <w:t>检测机构出具</w:t>
            </w:r>
            <w:r>
              <w:rPr>
                <w:rFonts w:hint="eastAsia" w:ascii="宋体" w:hAnsi="宋体" w:cs="宋体"/>
                <w:b/>
                <w:bCs/>
                <w:color w:val="auto"/>
                <w:kern w:val="0"/>
                <w:sz w:val="20"/>
                <w:szCs w:val="20"/>
                <w:lang w:val="en-US" w:eastAsia="zh-CN" w:bidi="ar-SA"/>
              </w:rPr>
              <w:t>对核心产品</w:t>
            </w:r>
            <w:r>
              <w:rPr>
                <w:rFonts w:hint="eastAsia" w:ascii="宋体" w:hAnsi="宋体" w:eastAsia="宋体" w:cs="宋体"/>
                <w:b/>
                <w:bCs/>
                <w:color w:val="auto"/>
                <w:kern w:val="0"/>
                <w:sz w:val="20"/>
                <w:szCs w:val="20"/>
                <w:lang w:val="en-US" w:eastAsia="zh-CN" w:bidi="ar-SA"/>
              </w:rPr>
              <w:t>的质量检测报告</w:t>
            </w:r>
            <w:r>
              <w:rPr>
                <w:rFonts w:hint="eastAsia" w:ascii="宋体" w:hAnsi="宋体" w:cs="宋体"/>
                <w:b/>
                <w:bCs/>
                <w:color w:val="auto"/>
                <w:kern w:val="0"/>
                <w:sz w:val="20"/>
                <w:szCs w:val="20"/>
                <w:lang w:val="en-US" w:eastAsia="zh-CN" w:bidi="ar-SA"/>
              </w:rPr>
              <w:t>原件或其他有效证明资料</w:t>
            </w:r>
            <w:r>
              <w:rPr>
                <w:rFonts w:hint="eastAsia" w:ascii="宋体" w:hAnsi="宋体" w:eastAsia="宋体" w:cs="宋体"/>
                <w:b/>
                <w:bCs/>
                <w:color w:val="auto"/>
                <w:kern w:val="0"/>
                <w:sz w:val="20"/>
                <w:szCs w:val="20"/>
                <w:lang w:val="en-US" w:eastAsia="zh-CN" w:bidi="ar-SA"/>
              </w:rPr>
              <w:t>，</w:t>
            </w:r>
            <w:r>
              <w:rPr>
                <w:rFonts w:hint="eastAsia" w:ascii="宋体" w:hAnsi="宋体" w:cs="宋体"/>
                <w:b/>
                <w:bCs/>
                <w:color w:val="auto"/>
                <w:kern w:val="0"/>
                <w:sz w:val="20"/>
                <w:szCs w:val="20"/>
                <w:lang w:val="en-US" w:eastAsia="zh-CN" w:bidi="ar-SA"/>
              </w:rPr>
              <w:t>无</w:t>
            </w:r>
            <w:r>
              <w:rPr>
                <w:rFonts w:hint="eastAsia" w:ascii="宋体" w:hAnsi="宋体" w:eastAsia="宋体" w:cs="宋体"/>
                <w:b/>
                <w:bCs/>
                <w:color w:val="auto"/>
                <w:kern w:val="0"/>
                <w:sz w:val="20"/>
                <w:szCs w:val="20"/>
                <w:lang w:val="en-US" w:eastAsia="zh-CN" w:bidi="ar-SA"/>
              </w:rPr>
              <w:t>检测报告做无效投标处理。</w:t>
            </w:r>
          </w:p>
        </w:tc>
      </w:tr>
    </w:tbl>
    <w:p>
      <w:pPr>
        <w:numPr>
          <w:ilvl w:val="0"/>
          <w:numId w:val="0"/>
        </w:numPr>
        <w:rPr>
          <w:rFonts w:hint="eastAsia"/>
          <w:b/>
          <w:bCs/>
          <w:lang w:val="en-US" w:eastAsia="zh-CN"/>
        </w:rPr>
      </w:pPr>
    </w:p>
    <w:p>
      <w:pPr>
        <w:numPr>
          <w:ilvl w:val="0"/>
          <w:numId w:val="0"/>
        </w:numPr>
        <w:jc w:val="both"/>
        <w:rPr>
          <w:rFonts w:hint="eastAsia" w:ascii="Times New Roman" w:hAnsi="Times New Roman" w:cs="宋体"/>
          <w:b/>
          <w:color w:val="000000"/>
          <w:sz w:val="28"/>
          <w:szCs w:val="28"/>
          <w:lang w:val="en-US" w:eastAsia="zh-CN"/>
        </w:rPr>
      </w:pPr>
    </w:p>
    <w:p>
      <w:pPr>
        <w:pStyle w:val="2"/>
        <w:rPr>
          <w:rFonts w:hint="eastAsia" w:ascii="Times New Roman" w:hAnsi="Times New Roman" w:cs="宋体"/>
          <w:b/>
          <w:color w:val="000000"/>
          <w:sz w:val="28"/>
          <w:szCs w:val="28"/>
          <w:lang w:val="en-US" w:eastAsia="zh-CN"/>
        </w:rPr>
      </w:pPr>
    </w:p>
    <w:p>
      <w:pPr>
        <w:rPr>
          <w:rFonts w:hint="eastAsia" w:ascii="Times New Roman" w:hAnsi="Times New Roman" w:cs="宋体"/>
          <w:b/>
          <w:color w:val="000000"/>
          <w:sz w:val="28"/>
          <w:szCs w:val="28"/>
          <w:lang w:val="en-US" w:eastAsia="zh-CN"/>
        </w:rPr>
      </w:pPr>
    </w:p>
    <w:p>
      <w:pPr>
        <w:pStyle w:val="2"/>
        <w:rPr>
          <w:rFonts w:hint="eastAsia"/>
          <w:lang w:val="en-US" w:eastAsia="zh-CN"/>
        </w:rPr>
      </w:pPr>
    </w:p>
    <w:p>
      <w:pPr>
        <w:numPr>
          <w:ilvl w:val="0"/>
          <w:numId w:val="0"/>
        </w:numPr>
        <w:jc w:val="both"/>
        <w:rPr>
          <w:rFonts w:hint="eastAsia" w:ascii="Times New Roman" w:hAnsi="Times New Roman" w:cs="宋体"/>
          <w:b/>
          <w:color w:val="000000"/>
          <w:sz w:val="28"/>
          <w:szCs w:val="28"/>
          <w:lang w:val="en-US" w:eastAsia="zh-CN"/>
        </w:rPr>
      </w:pPr>
    </w:p>
    <w:p>
      <w:pPr>
        <w:numPr>
          <w:ilvl w:val="0"/>
          <w:numId w:val="0"/>
        </w:numPr>
        <w:jc w:val="both"/>
        <w:rPr>
          <w:rFonts w:hint="default" w:ascii="Times New Roman" w:hAnsi="Times New Roman" w:cs="宋体"/>
          <w:b/>
          <w:color w:val="000000"/>
          <w:sz w:val="28"/>
          <w:szCs w:val="28"/>
          <w:lang w:val="en-US" w:eastAsia="zh-CN"/>
        </w:rPr>
      </w:pPr>
      <w:r>
        <w:rPr>
          <w:rFonts w:hint="eastAsia" w:ascii="Times New Roman" w:hAnsi="Times New Roman" w:cs="宋体"/>
          <w:b/>
          <w:color w:val="000000"/>
          <w:sz w:val="28"/>
          <w:szCs w:val="28"/>
          <w:lang w:val="en-US" w:eastAsia="zh-CN"/>
        </w:rPr>
        <w:t>二、附件：采购设备技术参数及要求</w:t>
      </w:r>
    </w:p>
    <w:p>
      <w:pPr>
        <w:numPr>
          <w:ilvl w:val="0"/>
          <w:numId w:val="0"/>
        </w:numPr>
        <w:rPr>
          <w:rFonts w:hint="eastAsia"/>
          <w:b/>
          <w:bCs/>
          <w:lang w:val="en-US" w:eastAsia="zh-CN"/>
        </w:rPr>
      </w:pPr>
    </w:p>
    <w:p>
      <w:pPr>
        <w:pStyle w:val="32"/>
        <w:widowControl w:val="0"/>
        <w:numPr>
          <w:ilvl w:val="0"/>
          <w:numId w:val="0"/>
        </w:numPr>
        <w:spacing w:before="120" w:line="360" w:lineRule="auto"/>
        <w:jc w:val="center"/>
        <w:rPr>
          <w:rFonts w:hint="eastAsia" w:ascii="Times New Roman" w:hAnsi="Times New Roman" w:eastAsia="宋体" w:cs="Times New Roman"/>
          <w:b/>
          <w:bCs/>
          <w:color w:val="auto"/>
          <w:kern w:val="2"/>
          <w:sz w:val="24"/>
          <w:szCs w:val="32"/>
          <w:lang w:val="en-US" w:eastAsia="zh-CN" w:bidi="ar-SA"/>
        </w:rPr>
      </w:pPr>
      <w:r>
        <w:rPr>
          <w:rFonts w:hint="eastAsia" w:ascii="Times New Roman" w:hAnsi="Times New Roman" w:cs="Times New Roman"/>
          <w:b/>
          <w:bCs/>
          <w:sz w:val="22"/>
          <w:szCs w:val="22"/>
          <w:lang w:val="en-US" w:eastAsia="zh-CN"/>
        </w:rPr>
        <w:t>（一）</w:t>
      </w:r>
      <w:r>
        <w:rPr>
          <w:rFonts w:hint="eastAsia" w:ascii="Times New Roman" w:hAnsi="Times New Roman" w:eastAsia="宋体" w:cs="Times New Roman"/>
          <w:b/>
          <w:bCs/>
          <w:sz w:val="22"/>
          <w:szCs w:val="22"/>
          <w:lang w:val="en-US" w:eastAsia="zh-CN"/>
        </w:rPr>
        <w:t>USP</w:t>
      </w:r>
    </w:p>
    <w:p>
      <w:pPr>
        <w:numPr>
          <w:ilvl w:val="0"/>
          <w:numId w:val="0"/>
        </w:num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2KVA/1600W  塔式  220V/230/240Vac,5OHz/6OHz兼容</w:t>
      </w:r>
      <w:r>
        <w:rPr>
          <w:rFonts w:hint="eastAsia" w:cs="Times New Roman"/>
          <w:lang w:val="en-US" w:eastAsia="zh-CN"/>
        </w:rPr>
        <w:t xml:space="preserve">  </w:t>
      </w:r>
      <w:r>
        <w:rPr>
          <w:rFonts w:hint="eastAsia" w:ascii="Times New Roman" w:hAnsi="Times New Roman" w:eastAsia="宋体" w:cs="Times New Roman"/>
          <w:lang w:val="en-US" w:eastAsia="zh-CN"/>
        </w:rPr>
        <w:t>无电池</w:t>
      </w:r>
      <w:r>
        <w:rPr>
          <w:rFonts w:hint="eastAsia" w:cs="Times New Roman"/>
          <w:lang w:val="en-US" w:eastAsia="zh-CN"/>
        </w:rPr>
        <w:t xml:space="preserve"> </w:t>
      </w:r>
      <w:r>
        <w:rPr>
          <w:rFonts w:hint="eastAsia" w:ascii="Times New Roman" w:hAnsi="Times New Roman" w:eastAsia="宋体" w:cs="Times New Roman"/>
          <w:lang w:val="en-US" w:eastAsia="zh-CN"/>
        </w:rPr>
        <w:t>156mmWX15OmmH×466mmD</w:t>
      </w:r>
      <w:r>
        <w:rPr>
          <w:rFonts w:hint="eastAsia" w:cs="Times New Roman"/>
          <w:lang w:val="en-US" w:eastAsia="zh-CN"/>
        </w:rPr>
        <w:t>，</w:t>
      </w:r>
      <w:r>
        <w:rPr>
          <w:rFonts w:hint="eastAsia" w:ascii="Times New Roman" w:hAnsi="Times New Roman" w:eastAsia="宋体" w:cs="Times New Roman"/>
          <w:lang w:val="en-US" w:eastAsia="zh-CN"/>
        </w:rPr>
        <w:t>7Kg</w:t>
      </w:r>
      <w:r>
        <w:rPr>
          <w:rFonts w:hint="eastAsia" w:cs="Times New Roman"/>
          <w:lang w:val="en-US" w:eastAsia="zh-CN"/>
        </w:rPr>
        <w:t>；</w:t>
      </w:r>
      <w:r>
        <w:rPr>
          <w:rFonts w:hint="eastAsia" w:ascii="Times New Roman" w:hAnsi="Times New Roman" w:eastAsia="宋体" w:cs="Times New Roman"/>
          <w:lang w:val="en-US" w:eastAsia="zh-CN"/>
        </w:rPr>
        <w:t>输入接口16A国标插头、输出为10A国标插座3个、10A输出线缆端子座1个</w:t>
      </w:r>
      <w:r>
        <w:rPr>
          <w:rFonts w:hint="eastAsia" w:cs="Times New Roman"/>
          <w:lang w:val="en-US" w:eastAsia="zh-CN"/>
        </w:rPr>
        <w:t>；</w:t>
      </w:r>
      <w:r>
        <w:rPr>
          <w:rFonts w:hint="eastAsia" w:ascii="Times New Roman" w:hAnsi="Times New Roman" w:eastAsia="宋体" w:cs="Times New Roman"/>
          <w:lang w:val="en-US" w:eastAsia="zh-CN"/>
        </w:rPr>
        <w:t>内置8A充电器</w:t>
      </w:r>
      <w:r>
        <w:rPr>
          <w:rFonts w:hint="eastAsia" w:cs="Times New Roman"/>
          <w:lang w:val="en-US" w:eastAsia="zh-CN"/>
        </w:rPr>
        <w:t>；</w:t>
      </w:r>
      <w:r>
        <w:rPr>
          <w:rFonts w:hint="eastAsia" w:ascii="Times New Roman" w:hAnsi="Times New Roman" w:eastAsia="宋体" w:cs="Times New Roman"/>
          <w:lang w:val="en-US" w:eastAsia="zh-CN"/>
        </w:rPr>
        <w:t>大屏幕 LCD 显示</w:t>
      </w:r>
      <w:r>
        <w:rPr>
          <w:rFonts w:hint="eastAsia" w:cs="Times New Roman"/>
          <w:lang w:val="en-US" w:eastAsia="zh-CN"/>
        </w:rPr>
        <w:t>，</w:t>
      </w:r>
      <w:r>
        <w:rPr>
          <w:rFonts w:hint="eastAsia" w:ascii="Times New Roman" w:hAnsi="Times New Roman" w:eastAsia="宋体" w:cs="Times New Roman"/>
          <w:lang w:val="en-US" w:eastAsia="zh-CN"/>
        </w:rPr>
        <w:t>通讯包括 B 型 USB 、 DB -9 RS -232  接口</w:t>
      </w:r>
      <w:r>
        <w:rPr>
          <w:rFonts w:hint="eastAsia" w:cs="Times New Roman"/>
          <w:lang w:val="en-US" w:eastAsia="zh-CN"/>
        </w:rPr>
        <w:t>；</w:t>
      </w:r>
      <w:r>
        <w:rPr>
          <w:rFonts w:hint="eastAsia" w:ascii="Times New Roman" w:hAnsi="Times New Roman" w:eastAsia="宋体" w:cs="Times New Roman"/>
          <w:lang w:val="en-US" w:eastAsia="zh-CN"/>
        </w:rPr>
        <w:t>纯正弦输出在线式</w:t>
      </w:r>
      <w:r>
        <w:rPr>
          <w:rFonts w:hint="eastAsia" w:cs="Times New Roman"/>
          <w:lang w:val="en-US" w:eastAsia="zh-CN"/>
        </w:rPr>
        <w:t>。</w:t>
      </w:r>
    </w:p>
    <w:p>
      <w:pPr>
        <w:jc w:val="both"/>
        <w:rPr>
          <w:rFonts w:hint="eastAsia" w:ascii="Times New Roman" w:hAnsi="Times New Roman" w:eastAsia="宋体" w:cs="Times New Roman"/>
          <w:kern w:val="2"/>
          <w:sz w:val="24"/>
          <w:szCs w:val="24"/>
          <w:lang w:val="en-US" w:eastAsia="zh-CN" w:bidi="ar-SA"/>
        </w:rPr>
      </w:pPr>
    </w:p>
    <w:p>
      <w:pPr>
        <w:pStyle w:val="32"/>
        <w:widowControl w:val="0"/>
        <w:numPr>
          <w:ilvl w:val="0"/>
          <w:numId w:val="0"/>
        </w:numPr>
        <w:spacing w:before="120" w:line="360" w:lineRule="auto"/>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（二）落地式生化仪配套型实验室专用超纯水机</w:t>
      </w:r>
    </w:p>
    <w:p>
      <w:pPr>
        <w:spacing w:line="360" w:lineRule="auto"/>
        <w:jc w:val="both"/>
        <w:rPr>
          <w:rFonts w:hint="eastAsia" w:ascii="Times New Roman" w:hAnsi="Times New Roman" w:eastAsia="宋体" w:cs="Times New Roman"/>
        </w:rPr>
      </w:pPr>
      <w:r>
        <w:rPr>
          <w:rFonts w:hint="eastAsia" w:cs="Times New Roman"/>
          <w:lang w:eastAsia="zh-CN"/>
        </w:rPr>
        <w:t>（</w:t>
      </w:r>
      <w:r>
        <w:rPr>
          <w:rFonts w:hint="eastAsia" w:cs="Times New Roman"/>
          <w:lang w:val="en-US" w:eastAsia="zh-CN"/>
        </w:rPr>
        <w:t>一</w:t>
      </w:r>
      <w:r>
        <w:rPr>
          <w:rFonts w:hint="eastAsia" w:cs="Times New Roman"/>
          <w:lang w:eastAsia="zh-CN"/>
        </w:rPr>
        <w:t>）</w:t>
      </w:r>
      <w:r>
        <w:rPr>
          <w:rFonts w:hint="eastAsia" w:ascii="Times New Roman" w:hAnsi="Times New Roman" w:eastAsia="宋体" w:cs="Times New Roman"/>
        </w:rPr>
        <w:t>适用范围：本设备专用于与东芝/贝克曼/奥林巴斯/日立/罗氏/德灵/迈瑞/迪瑞/科华/雷杜/博科等国内外各型全自动生化分析仪配套的生化检测项目用超纯水，用于微生物检查、血液检测、原子吸收、液相色谱等。</w:t>
      </w:r>
    </w:p>
    <w:p>
      <w:pPr>
        <w:spacing w:line="360" w:lineRule="auto"/>
        <w:jc w:val="both"/>
        <w:rPr>
          <w:rFonts w:hint="eastAsia" w:ascii="Times New Roman" w:hAnsi="Times New Roman" w:eastAsia="宋体" w:cs="Times New Roman"/>
        </w:rPr>
      </w:pPr>
      <w:r>
        <w:rPr>
          <w:rFonts w:hint="eastAsia" w:cs="Times New Roman"/>
          <w:lang w:eastAsia="zh-CN"/>
        </w:rPr>
        <w:t>（</w:t>
      </w:r>
      <w:r>
        <w:rPr>
          <w:rFonts w:hint="eastAsia" w:cs="Times New Roman"/>
          <w:lang w:val="en-US" w:eastAsia="zh-CN"/>
        </w:rPr>
        <w:t>二</w:t>
      </w:r>
      <w:r>
        <w:rPr>
          <w:rFonts w:hint="eastAsia" w:cs="Times New Roman"/>
          <w:lang w:eastAsia="zh-CN"/>
        </w:rPr>
        <w:t>）</w:t>
      </w:r>
      <w:r>
        <w:rPr>
          <w:rFonts w:hint="eastAsia" w:ascii="Times New Roman" w:hAnsi="Times New Roman" w:eastAsia="宋体" w:cs="Times New Roman"/>
        </w:rPr>
        <w:t>功能特点：</w:t>
      </w:r>
    </w:p>
    <w:p>
      <w:pPr>
        <w:spacing w:line="360" w:lineRule="auto"/>
        <w:jc w:val="left"/>
      </w:pPr>
      <w:r>
        <w:rPr>
          <w:rFonts w:hint="eastAsia"/>
          <w:lang w:eastAsia="zh-CN"/>
        </w:rPr>
        <w:t>（</w:t>
      </w:r>
      <w:r>
        <w:rPr>
          <w:rFonts w:hint="eastAsia"/>
          <w:lang w:val="en-US" w:eastAsia="zh-CN"/>
        </w:rPr>
        <w:t>1</w:t>
      </w:r>
      <w:r>
        <w:rPr>
          <w:rFonts w:hint="eastAsia"/>
          <w:lang w:eastAsia="zh-CN"/>
        </w:rPr>
        <w:t>）</w:t>
      </w:r>
      <w:r>
        <w:rPr>
          <w:rFonts w:hint="eastAsia"/>
        </w:rPr>
        <w:t>采用多兼容性接口技术，能够轻松与各类型全自动生化分析仪完全对接；</w:t>
      </w:r>
    </w:p>
    <w:p>
      <w:pPr>
        <w:spacing w:line="360" w:lineRule="auto"/>
        <w:jc w:val="left"/>
      </w:pPr>
      <w:r>
        <w:rPr>
          <w:rFonts w:hint="eastAsia"/>
          <w:lang w:eastAsia="zh-CN"/>
        </w:rPr>
        <w:t>（</w:t>
      </w:r>
      <w:r>
        <w:rPr>
          <w:rFonts w:hint="eastAsia"/>
          <w:lang w:val="en-US" w:eastAsia="zh-CN"/>
        </w:rPr>
        <w:t>2</w:t>
      </w:r>
      <w:r>
        <w:rPr>
          <w:rFonts w:hint="eastAsia"/>
          <w:lang w:eastAsia="zh-CN"/>
        </w:rPr>
        <w:t>）</w:t>
      </w:r>
      <w:r>
        <w:rPr>
          <w:rFonts w:hint="eastAsia"/>
          <w:lang w:val="en-US" w:eastAsia="zh-CN"/>
        </w:rPr>
        <w:t xml:space="preserve"> </w:t>
      </w:r>
      <w:r>
        <w:rPr>
          <w:rFonts w:hint="eastAsia"/>
        </w:rPr>
        <w:t>0.5″LCD背光液晶水质监测仪，具备自动温度补偿功能，基数25℃，补偿范围0-50℃；</w:t>
      </w:r>
    </w:p>
    <w:p>
      <w:pPr>
        <w:spacing w:line="360" w:lineRule="auto"/>
        <w:jc w:val="left"/>
      </w:pPr>
      <w:r>
        <w:rPr>
          <w:rFonts w:hint="eastAsia"/>
          <w:lang w:eastAsia="zh-CN"/>
        </w:rPr>
        <w:t>（</w:t>
      </w:r>
      <w:r>
        <w:rPr>
          <w:rFonts w:hint="eastAsia"/>
          <w:lang w:val="en-US" w:eastAsia="zh-CN"/>
        </w:rPr>
        <w:t>3</w:t>
      </w:r>
      <w:r>
        <w:rPr>
          <w:rFonts w:hint="eastAsia"/>
          <w:lang w:eastAsia="zh-CN"/>
        </w:rPr>
        <w:t>）</w:t>
      </w:r>
      <w:r>
        <w:rPr>
          <w:rFonts w:hint="eastAsia"/>
        </w:rPr>
        <w:t>系统配备开放式PE水箱，出水压力2.0-3.0Kg；完全满足全自动生化仪的进水流量及压力要求；</w:t>
      </w:r>
    </w:p>
    <w:p>
      <w:pPr>
        <w:spacing w:line="360" w:lineRule="auto"/>
        <w:jc w:val="left"/>
      </w:pPr>
      <w:r>
        <w:rPr>
          <w:rFonts w:hint="eastAsia"/>
          <w:lang w:eastAsia="zh-CN"/>
        </w:rPr>
        <w:t>（</w:t>
      </w:r>
      <w:r>
        <w:rPr>
          <w:rFonts w:hint="eastAsia"/>
          <w:lang w:val="en-US" w:eastAsia="zh-CN"/>
        </w:rPr>
        <w:t>4</w:t>
      </w:r>
      <w:r>
        <w:rPr>
          <w:rFonts w:hint="eastAsia"/>
          <w:lang w:eastAsia="zh-CN"/>
        </w:rPr>
        <w:t>）</w:t>
      </w:r>
      <w:r>
        <w:rPr>
          <w:rFonts w:hint="eastAsia"/>
        </w:rPr>
        <w:t>采用内置可调压RO静音增压本泵，可连续运转10000小时以上；</w:t>
      </w:r>
    </w:p>
    <w:p>
      <w:pPr>
        <w:spacing w:line="360" w:lineRule="auto"/>
        <w:jc w:val="left"/>
      </w:pPr>
      <w:r>
        <w:rPr>
          <w:rFonts w:hint="eastAsia"/>
          <w:lang w:eastAsia="zh-CN"/>
        </w:rPr>
        <w:t>（</w:t>
      </w:r>
      <w:r>
        <w:rPr>
          <w:rFonts w:hint="eastAsia"/>
          <w:lang w:val="en-US" w:eastAsia="zh-CN"/>
        </w:rPr>
        <w:t>5</w:t>
      </w:r>
      <w:r>
        <w:rPr>
          <w:rFonts w:hint="eastAsia"/>
          <w:lang w:eastAsia="zh-CN"/>
        </w:rPr>
        <w:t>）</w:t>
      </w:r>
      <w:r>
        <w:rPr>
          <w:rFonts w:hint="eastAsia"/>
        </w:rPr>
        <w:t>微电脑全自动控制，人性化操作显示系统；设备</w:t>
      </w:r>
      <w:r>
        <w:rPr>
          <w:rFonts w:hint="eastAsia" w:ascii="宋体" w:hAnsi="宋体" w:cs="宋体"/>
          <w:color w:val="000000"/>
        </w:rPr>
        <w:t>底部有活动，固定支脚，安装移动更方便</w:t>
      </w:r>
      <w:r>
        <w:rPr>
          <w:rFonts w:hint="eastAsia"/>
        </w:rPr>
        <w:t>；</w:t>
      </w:r>
    </w:p>
    <w:p>
      <w:pPr>
        <w:spacing w:line="360" w:lineRule="auto"/>
        <w:jc w:val="left"/>
      </w:pPr>
      <w:r>
        <w:rPr>
          <w:rFonts w:hint="eastAsia"/>
          <w:lang w:eastAsia="zh-CN"/>
        </w:rPr>
        <w:t>（</w:t>
      </w:r>
      <w:r>
        <w:rPr>
          <w:rFonts w:hint="eastAsia"/>
          <w:lang w:val="en-US" w:eastAsia="zh-CN"/>
        </w:rPr>
        <w:t>6</w:t>
      </w:r>
      <w:r>
        <w:rPr>
          <w:rFonts w:hint="eastAsia"/>
          <w:lang w:eastAsia="zh-CN"/>
        </w:rPr>
        <w:t>）</w:t>
      </w:r>
      <w:r>
        <w:rPr>
          <w:rFonts w:hint="eastAsia"/>
        </w:rPr>
        <w:t>轻触按键式触摸控制设计，PLC全自动控制，具有人机对话功能，人性化操作显示系统；</w:t>
      </w:r>
    </w:p>
    <w:p>
      <w:pPr>
        <w:spacing w:line="360" w:lineRule="auto"/>
        <w:jc w:val="left"/>
      </w:pPr>
      <w:r>
        <w:rPr>
          <w:rFonts w:hint="eastAsia"/>
          <w:lang w:eastAsia="zh-CN"/>
        </w:rPr>
        <w:t>（</w:t>
      </w:r>
      <w:r>
        <w:rPr>
          <w:rFonts w:hint="eastAsia"/>
          <w:lang w:val="en-US" w:eastAsia="zh-CN"/>
        </w:rPr>
        <w:t>7</w:t>
      </w:r>
      <w:r>
        <w:rPr>
          <w:rFonts w:hint="eastAsia"/>
          <w:lang w:eastAsia="zh-CN"/>
        </w:rPr>
        <w:t>）</w:t>
      </w:r>
      <w:r>
        <w:rPr>
          <w:rFonts w:hint="eastAsia"/>
        </w:rPr>
        <w:t>全自动化无人值守设计、开机自动检测检、缺水显示报警、运行显示、满水备用显示等功能；</w:t>
      </w:r>
    </w:p>
    <w:p>
      <w:pPr>
        <w:spacing w:line="360" w:lineRule="auto"/>
        <w:jc w:val="left"/>
      </w:pPr>
      <w:r>
        <w:rPr>
          <w:rFonts w:hint="eastAsia"/>
          <w:lang w:eastAsia="zh-CN"/>
        </w:rPr>
        <w:t>（</w:t>
      </w:r>
      <w:r>
        <w:rPr>
          <w:rFonts w:hint="eastAsia"/>
          <w:lang w:val="en-US" w:eastAsia="zh-CN"/>
        </w:rPr>
        <w:t>8</w:t>
      </w:r>
      <w:r>
        <w:rPr>
          <w:rFonts w:hint="eastAsia"/>
          <w:lang w:eastAsia="zh-CN"/>
        </w:rPr>
        <w:t>）</w:t>
      </w:r>
      <w:r>
        <w:rPr>
          <w:rFonts w:hint="eastAsia"/>
        </w:rPr>
        <w:t>系统具备进水压力表，对源水水压在线检测，</w:t>
      </w:r>
    </w:p>
    <w:p>
      <w:pPr>
        <w:spacing w:line="360" w:lineRule="auto"/>
        <w:jc w:val="left"/>
      </w:pPr>
      <w:r>
        <w:rPr>
          <w:rFonts w:hint="eastAsia"/>
          <w:lang w:eastAsia="zh-CN"/>
        </w:rPr>
        <w:t>（</w:t>
      </w:r>
      <w:r>
        <w:rPr>
          <w:rFonts w:hint="eastAsia"/>
          <w:lang w:val="en-US" w:eastAsia="zh-CN"/>
        </w:rPr>
        <w:t>9</w:t>
      </w:r>
      <w:r>
        <w:rPr>
          <w:rFonts w:hint="eastAsia"/>
          <w:lang w:eastAsia="zh-CN"/>
        </w:rPr>
        <w:t>）</w:t>
      </w:r>
      <w:r>
        <w:rPr>
          <w:rFonts w:hint="eastAsia"/>
        </w:rPr>
        <w:t>系统采用加强型精混，精密超纯化柱多层过滤设计，有效确保用水水质稳定；</w:t>
      </w:r>
    </w:p>
    <w:p>
      <w:pPr>
        <w:spacing w:line="360" w:lineRule="auto"/>
        <w:jc w:val="left"/>
      </w:pPr>
      <w:r>
        <w:rPr>
          <w:rFonts w:hint="eastAsia"/>
          <w:lang w:eastAsia="zh-CN"/>
        </w:rPr>
        <w:t>（</w:t>
      </w:r>
      <w:r>
        <w:rPr>
          <w:rFonts w:hint="eastAsia"/>
          <w:lang w:val="en-US" w:eastAsia="zh-CN"/>
        </w:rPr>
        <w:t>10</w:t>
      </w:r>
      <w:r>
        <w:rPr>
          <w:rFonts w:hint="eastAsia"/>
          <w:lang w:eastAsia="zh-CN"/>
        </w:rPr>
        <w:t>）</w:t>
      </w:r>
      <w:r>
        <w:rPr>
          <w:rFonts w:hint="eastAsia"/>
        </w:rPr>
        <w:t>采用模块式、快接式设计，维护、保养更方便、快捷，</w:t>
      </w:r>
    </w:p>
    <w:p>
      <w:pPr>
        <w:spacing w:line="360" w:lineRule="auto"/>
        <w:rPr>
          <w:rFonts w:ascii="宋体" w:hAnsi="宋体"/>
        </w:rPr>
      </w:pPr>
      <w:r>
        <w:rPr>
          <w:rFonts w:hint="eastAsia" w:ascii="宋体" w:hAnsi="宋体"/>
          <w:lang w:eastAsia="zh-CN"/>
        </w:rPr>
        <w:t>（</w:t>
      </w:r>
      <w:r>
        <w:rPr>
          <w:rFonts w:hint="eastAsia" w:ascii="宋体" w:hAnsi="宋体"/>
          <w:lang w:val="en-US" w:eastAsia="zh-CN"/>
        </w:rPr>
        <w:t>11</w:t>
      </w:r>
      <w:r>
        <w:rPr>
          <w:rFonts w:hint="eastAsia" w:ascii="宋体" w:hAnsi="宋体"/>
          <w:lang w:eastAsia="zh-CN"/>
        </w:rPr>
        <w:t>）</w:t>
      </w:r>
      <w:r>
        <w:rPr>
          <w:rFonts w:hint="eastAsia" w:ascii="宋体" w:hAnsi="宋体"/>
        </w:rPr>
        <w:t>具备前置系统过滤自动手动反压式清洗功能，</w:t>
      </w:r>
      <w:r>
        <w:rPr>
          <w:rFonts w:hint="eastAsia" w:ascii="新宋体" w:hAnsi="新宋体" w:eastAsia="新宋体"/>
          <w:color w:val="000000"/>
          <w:szCs w:val="21"/>
        </w:rPr>
        <w:t>预防泥沙和残渣堵塞，</w:t>
      </w:r>
      <w:r>
        <w:rPr>
          <w:rFonts w:hint="eastAsia" w:ascii="宋体" w:hAnsi="宋体"/>
        </w:rPr>
        <w:t>无需人工定期才、拆卸清洗；</w:t>
      </w:r>
    </w:p>
    <w:p>
      <w:pPr>
        <w:spacing w:line="360" w:lineRule="auto"/>
      </w:pPr>
      <w:r>
        <w:rPr>
          <w:rFonts w:hint="eastAsia" w:ascii="新宋体" w:hAnsi="新宋体" w:eastAsia="新宋体"/>
          <w:color w:val="000000"/>
          <w:szCs w:val="21"/>
          <w:lang w:eastAsia="zh-CN"/>
        </w:rPr>
        <w:t>（</w:t>
      </w:r>
      <w:r>
        <w:rPr>
          <w:rFonts w:hint="eastAsia" w:ascii="新宋体" w:hAnsi="新宋体" w:eastAsia="新宋体"/>
          <w:color w:val="000000"/>
          <w:szCs w:val="21"/>
          <w:lang w:val="en-US" w:eastAsia="zh-CN"/>
        </w:rPr>
        <w:t>12</w:t>
      </w:r>
      <w:r>
        <w:rPr>
          <w:rFonts w:hint="eastAsia" w:ascii="新宋体" w:hAnsi="新宋体" w:eastAsia="新宋体"/>
          <w:color w:val="000000"/>
          <w:szCs w:val="21"/>
          <w:lang w:eastAsia="zh-CN"/>
        </w:rPr>
        <w:t>）</w:t>
      </w:r>
      <w:r>
        <w:rPr>
          <w:rFonts w:hint="eastAsia" w:ascii="新宋体" w:hAnsi="新宋体" w:eastAsia="新宋体"/>
          <w:color w:val="000000"/>
          <w:szCs w:val="21"/>
        </w:rPr>
        <w:t>系统具备RO膜自动冲洗、自动定期加药清洗，预防防垢，</w:t>
      </w:r>
      <w:r>
        <w:rPr>
          <w:rFonts w:hint="eastAsia" w:ascii="新宋体" w:hAnsi="新宋体" w:eastAsia="新宋体" w:cs="宋体"/>
          <w:color w:val="000000"/>
          <w:szCs w:val="21"/>
        </w:rPr>
        <w:t>有效延长RO膜使用寿命及产水水质</w:t>
      </w:r>
      <w:r>
        <w:t>；</w:t>
      </w:r>
    </w:p>
    <w:p>
      <w:pPr>
        <w:spacing w:line="360" w:lineRule="auto"/>
        <w:rPr>
          <w:rFonts w:hint="eastAsia" w:ascii="新宋体" w:hAnsi="新宋体" w:eastAsia="新宋体" w:cs="宋体"/>
          <w:color w:val="000000"/>
          <w:szCs w:val="21"/>
        </w:rPr>
      </w:pP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三</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rPr>
        <w:t>技术参数：</w:t>
      </w:r>
    </w:p>
    <w:tbl>
      <w:tblPr>
        <w:tblStyle w:val="34"/>
        <w:tblpPr w:leftFromText="180" w:rightFromText="180" w:vertAnchor="text" w:horzAnchor="page" w:tblpX="1803" w:tblpY="235"/>
        <w:tblOverlap w:val="never"/>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920"/>
        <w:gridCol w:w="1340"/>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5" w:type="dxa"/>
          </w:tcPr>
          <w:p>
            <w:pPr>
              <w:rPr>
                <w:rFonts w:ascii="宋体" w:hAnsi="宋体"/>
              </w:rPr>
            </w:pPr>
            <w:r>
              <w:rPr>
                <w:rFonts w:hint="eastAsia" w:ascii="宋体" w:hAnsi="宋体"/>
              </w:rPr>
              <w:t>进水水源</w:t>
            </w:r>
          </w:p>
        </w:tc>
        <w:tc>
          <w:tcPr>
            <w:tcW w:w="8000" w:type="dxa"/>
            <w:gridSpan w:val="3"/>
          </w:tcPr>
          <w:p>
            <w:pPr>
              <w:rPr>
                <w:rFonts w:ascii="宋体" w:hAnsi="宋体"/>
              </w:rPr>
            </w:pPr>
            <w:r>
              <w:rPr>
                <w:rFonts w:hint="eastAsia" w:ascii="宋体" w:hAnsi="宋体"/>
              </w:rPr>
              <w:t>城市自来水  水温1-45℃  水压1-5㎏  TDS＜200pp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425" w:type="dxa"/>
          </w:tcPr>
          <w:p>
            <w:pPr>
              <w:rPr>
                <w:rFonts w:ascii="宋体" w:hAnsi="宋体"/>
              </w:rPr>
            </w:pPr>
            <w:r>
              <w:rPr>
                <w:rFonts w:hint="eastAsia" w:ascii="宋体" w:hAnsi="宋体"/>
              </w:rPr>
              <w:t>出水水质</w:t>
            </w:r>
          </w:p>
        </w:tc>
        <w:tc>
          <w:tcPr>
            <w:tcW w:w="8000" w:type="dxa"/>
            <w:gridSpan w:val="3"/>
          </w:tcPr>
          <w:p>
            <w:pPr>
              <w:jc w:val="left"/>
            </w:pPr>
            <w:r>
              <w:rPr>
                <w:rFonts w:hint="eastAsia"/>
              </w:rPr>
              <w:t>RO水电导率≤1μs/cm@25℃，电阻率≥1MΩ. Cm@25℃；</w:t>
            </w:r>
          </w:p>
          <w:p>
            <w:pPr>
              <w:jc w:val="left"/>
            </w:pPr>
            <w:r>
              <w:rPr>
                <w:rFonts w:hint="eastAsia"/>
              </w:rPr>
              <w:t>水质标准达到中国国家分析实验室用水（GB/T 6682-2008）二级水标准</w:t>
            </w:r>
          </w:p>
          <w:p>
            <w:pPr>
              <w:jc w:val="left"/>
            </w:pPr>
            <w:r>
              <w:rPr>
                <w:rFonts w:hint="eastAsia"/>
              </w:rPr>
              <w:t>UP超纯化水电导率≤0.2μs/cm@25℃；电阻率：5-18MΩ. cm@25℃</w:t>
            </w:r>
          </w:p>
          <w:p>
            <w:pPr>
              <w:jc w:val="left"/>
            </w:pPr>
            <w:r>
              <w:rPr>
                <w:rFonts w:hint="eastAsia"/>
              </w:rPr>
              <w:t>水质优于中国国家分析实验室用水（GB/T6682－2008）一级水标准；优于多次蒸馏水</w:t>
            </w:r>
          </w:p>
          <w:p>
            <w:pPr>
              <w:jc w:val="left"/>
            </w:pPr>
            <w:r>
              <w:rPr>
                <w:rFonts w:hint="eastAsia"/>
              </w:rPr>
              <w:t>微粒子/颗粒物（大于0.05μm）含量：＜1/ml  微生物/菌落数含量：＜1cfu/ml</w:t>
            </w:r>
          </w:p>
          <w:p>
            <w:pPr>
              <w:jc w:val="left"/>
              <w:rPr>
                <w:rFonts w:ascii="宋体" w:hAnsi="宋体"/>
              </w:rPr>
            </w:pPr>
            <w:r>
              <w:rPr>
                <w:rFonts w:hint="eastAsia"/>
              </w:rPr>
              <w:t xml:space="preserve">热源含量：＜0.01Eu/ml    总有机碳量TOC：＜10ppb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5" w:type="dxa"/>
          </w:tcPr>
          <w:p>
            <w:pPr>
              <w:rPr>
                <w:rFonts w:ascii="宋体" w:hAnsi="宋体"/>
              </w:rPr>
            </w:pPr>
            <w:r>
              <w:rPr>
                <w:rFonts w:hint="eastAsia" w:ascii="宋体" w:hAnsi="宋体"/>
              </w:rPr>
              <w:t>瞬间取水量</w:t>
            </w:r>
          </w:p>
        </w:tc>
        <w:tc>
          <w:tcPr>
            <w:tcW w:w="2920" w:type="dxa"/>
          </w:tcPr>
          <w:p>
            <w:pPr>
              <w:rPr>
                <w:rFonts w:ascii="宋体" w:hAnsi="宋体"/>
              </w:rPr>
            </w:pPr>
            <w:r>
              <w:rPr>
                <w:rFonts w:hint="eastAsia" w:ascii="宋体" w:hAnsi="宋体"/>
              </w:rPr>
              <w:t>2-3L/min</w:t>
            </w:r>
          </w:p>
        </w:tc>
        <w:tc>
          <w:tcPr>
            <w:tcW w:w="1340" w:type="dxa"/>
          </w:tcPr>
          <w:p>
            <w:pPr>
              <w:rPr>
                <w:rFonts w:ascii="宋体" w:hAnsi="宋体"/>
              </w:rPr>
            </w:pPr>
            <w:r>
              <w:rPr>
                <w:rFonts w:hint="eastAsia" w:ascii="宋体" w:hAnsi="宋体"/>
              </w:rPr>
              <w:t>在线监测</w:t>
            </w:r>
          </w:p>
        </w:tc>
        <w:tc>
          <w:tcPr>
            <w:tcW w:w="3740" w:type="dxa"/>
          </w:tcPr>
          <w:p>
            <w:pPr>
              <w:rPr>
                <w:rFonts w:ascii="宋体" w:hAnsi="宋体"/>
              </w:rPr>
            </w:pPr>
            <w:r>
              <w:rPr>
                <w:rFonts w:hint="eastAsia" w:ascii="宋体" w:hAnsi="宋体"/>
              </w:rPr>
              <w:t>在线电导率监测仪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5" w:type="dxa"/>
          </w:tcPr>
          <w:p>
            <w:pPr>
              <w:rPr>
                <w:rFonts w:ascii="宋体" w:hAnsi="宋体"/>
              </w:rPr>
            </w:pPr>
            <w:r>
              <w:rPr>
                <w:rFonts w:hint="eastAsia" w:ascii="宋体" w:hAnsi="宋体"/>
              </w:rPr>
              <w:t>制水量</w:t>
            </w:r>
          </w:p>
        </w:tc>
        <w:tc>
          <w:tcPr>
            <w:tcW w:w="2920" w:type="dxa"/>
          </w:tcPr>
          <w:p>
            <w:pPr>
              <w:rPr>
                <w:rFonts w:ascii="宋体" w:hAnsi="宋体"/>
              </w:rPr>
            </w:pPr>
            <w:r>
              <w:rPr>
                <w:rFonts w:hint="eastAsia" w:ascii="宋体" w:hAnsi="宋体"/>
              </w:rPr>
              <w:t xml:space="preserve">80L/H  </w:t>
            </w:r>
          </w:p>
        </w:tc>
        <w:tc>
          <w:tcPr>
            <w:tcW w:w="1340" w:type="dxa"/>
          </w:tcPr>
          <w:p>
            <w:pPr>
              <w:rPr>
                <w:rFonts w:ascii="宋体" w:hAnsi="宋体"/>
              </w:rPr>
            </w:pPr>
            <w:r>
              <w:rPr>
                <w:rFonts w:hint="eastAsia" w:ascii="宋体" w:hAnsi="宋体"/>
              </w:rPr>
              <w:t>功率</w:t>
            </w:r>
          </w:p>
        </w:tc>
        <w:tc>
          <w:tcPr>
            <w:tcW w:w="3740" w:type="dxa"/>
          </w:tcPr>
          <w:p>
            <w:pPr>
              <w:rPr>
                <w:rFonts w:ascii="宋体" w:hAnsi="宋体"/>
              </w:rPr>
            </w:pPr>
            <w:r>
              <w:rPr>
                <w:rFonts w:hint="eastAsia" w:ascii="宋体" w:hAnsi="宋体"/>
              </w:rPr>
              <w:t>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5" w:type="dxa"/>
          </w:tcPr>
          <w:p>
            <w:pPr>
              <w:rPr>
                <w:rFonts w:ascii="宋体" w:hAnsi="宋体"/>
              </w:rPr>
            </w:pPr>
            <w:r>
              <w:rPr>
                <w:rFonts w:hint="eastAsia" w:ascii="宋体" w:hAnsi="宋体"/>
              </w:rPr>
              <w:t>电源</w:t>
            </w:r>
          </w:p>
        </w:tc>
        <w:tc>
          <w:tcPr>
            <w:tcW w:w="2920" w:type="dxa"/>
          </w:tcPr>
          <w:p>
            <w:pPr>
              <w:rPr>
                <w:rFonts w:ascii="宋体" w:hAnsi="宋体"/>
              </w:rPr>
            </w:pPr>
            <w:r>
              <w:rPr>
                <w:rFonts w:hint="eastAsia" w:ascii="宋体" w:hAnsi="宋体"/>
              </w:rPr>
              <w:t>220V/50HZ</w:t>
            </w:r>
          </w:p>
        </w:tc>
        <w:tc>
          <w:tcPr>
            <w:tcW w:w="1340" w:type="dxa"/>
          </w:tcPr>
          <w:p>
            <w:pPr>
              <w:rPr>
                <w:rFonts w:ascii="宋体" w:hAnsi="宋体"/>
              </w:rPr>
            </w:pPr>
            <w:r>
              <w:rPr>
                <w:rFonts w:hint="eastAsia" w:ascii="宋体" w:hAnsi="宋体"/>
              </w:rPr>
              <w:t>储水桶配置</w:t>
            </w:r>
          </w:p>
        </w:tc>
        <w:tc>
          <w:tcPr>
            <w:tcW w:w="3740" w:type="dxa"/>
          </w:tcPr>
          <w:p>
            <w:pPr>
              <w:rPr>
                <w:rFonts w:ascii="宋体" w:hAnsi="宋体"/>
              </w:rPr>
            </w:pPr>
            <w:r>
              <w:rPr>
                <w:rFonts w:hint="eastAsia" w:ascii="宋体" w:hAnsi="宋体"/>
              </w:rPr>
              <w:t>开放式水箱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25" w:type="dxa"/>
          </w:tcPr>
          <w:p>
            <w:pPr>
              <w:rPr>
                <w:rFonts w:ascii="宋体" w:hAnsi="宋体"/>
              </w:rPr>
            </w:pPr>
            <w:r>
              <w:rPr>
                <w:rFonts w:hint="eastAsia" w:ascii="宋体" w:hAnsi="宋体"/>
              </w:rPr>
              <w:t>主机体积</w:t>
            </w:r>
          </w:p>
        </w:tc>
        <w:tc>
          <w:tcPr>
            <w:tcW w:w="2920" w:type="dxa"/>
          </w:tcPr>
          <w:p>
            <w:pPr>
              <w:rPr>
                <w:rFonts w:ascii="宋体" w:hAnsi="宋体"/>
              </w:rPr>
            </w:pPr>
            <w:r>
              <w:rPr>
                <w:rFonts w:hint="eastAsia" w:ascii="宋体" w:hAnsi="宋体"/>
              </w:rPr>
              <w:t>长448mm</w:t>
            </w:r>
            <w:r>
              <w:rPr>
                <w:rFonts w:ascii="Arial" w:hAnsi="Arial" w:cs="Arial"/>
              </w:rPr>
              <w:t>×</w:t>
            </w:r>
            <w:r>
              <w:rPr>
                <w:rFonts w:hint="eastAsia" w:ascii="Arial" w:hAnsi="Arial" w:cs="Arial"/>
              </w:rPr>
              <w:t>宽</w:t>
            </w:r>
            <w:r>
              <w:rPr>
                <w:rFonts w:hint="eastAsia" w:ascii="宋体" w:hAnsi="宋体" w:eastAsia="宋体" w:cs="Times New Roman"/>
              </w:rPr>
              <w:t>416mm×高818mm</w:t>
            </w:r>
          </w:p>
        </w:tc>
        <w:tc>
          <w:tcPr>
            <w:tcW w:w="1340" w:type="dxa"/>
          </w:tcPr>
          <w:p>
            <w:pPr>
              <w:rPr>
                <w:rFonts w:ascii="宋体" w:hAnsi="宋体"/>
              </w:rPr>
            </w:pPr>
            <w:r>
              <w:rPr>
                <w:rFonts w:hint="eastAsia" w:ascii="宋体" w:hAnsi="宋体"/>
              </w:rPr>
              <w:t>重量</w:t>
            </w:r>
          </w:p>
        </w:tc>
        <w:tc>
          <w:tcPr>
            <w:tcW w:w="3740" w:type="dxa"/>
          </w:tcPr>
          <w:p>
            <w:pPr>
              <w:rPr>
                <w:rFonts w:ascii="宋体" w:hAnsi="宋体"/>
              </w:rPr>
            </w:pPr>
            <w:r>
              <w:rPr>
                <w:rFonts w:hint="eastAsia" w:ascii="宋体" w:hAnsi="宋体"/>
              </w:rPr>
              <w:t>75㎏</w:t>
            </w:r>
          </w:p>
        </w:tc>
      </w:tr>
    </w:tbl>
    <w:p/>
    <w:p>
      <w:pPr>
        <w:pStyle w:val="32"/>
        <w:widowControl w:val="0"/>
        <w:numPr>
          <w:ilvl w:val="0"/>
          <w:numId w:val="0"/>
        </w:numPr>
        <w:spacing w:before="120" w:line="22" w:lineRule="atLeast"/>
        <w:jc w:val="both"/>
        <w:rPr>
          <w:rFonts w:hint="default"/>
          <w:lang w:val="en-US" w:eastAsia="zh-CN"/>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（三）</w:t>
      </w:r>
      <w:r>
        <w:rPr>
          <w:rFonts w:hint="default" w:ascii="Times New Roman" w:hAnsi="Times New Roman" w:cs="Times New Roman"/>
          <w:b/>
          <w:bCs/>
          <w:sz w:val="22"/>
          <w:szCs w:val="22"/>
          <w:lang w:val="en-US" w:eastAsia="zh-CN"/>
        </w:rPr>
        <w:t>生物安全柜</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一</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技术参数</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（1）分类：A2型，30%外排，70%循环</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（2）外部尺寸≥（L×D×H）1100mm×750mm×2250mm；</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（3）内部尺寸≥（L×D×H）940mm ×600mm×660mm。</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（4）台面距离地面高度：750mm</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（5）风速： 平均下降风速：0.33±0.025m/s； 平均吸入口风速0.53±0.025m/s</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（6）系统排风总量：360 m3/h</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（7）额定功率：1100W（包含操作区插座负载500W）</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（8）噪音等级：≤67dB（A）</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（9）照明：≥1000lx</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（10）过滤效率:对0.12μm颗粒过滤效率≥99.9995%</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（12）使用人数：单人</w:t>
      </w:r>
    </w:p>
    <w:p>
      <w:pPr>
        <w:pStyle w:val="32"/>
        <w:widowControl w:val="0"/>
        <w:numPr>
          <w:ilvl w:val="0"/>
          <w:numId w:val="0"/>
        </w:numPr>
        <w:spacing w:before="120" w:line="22" w:lineRule="atLeas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二</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结构功能特点：</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kern w:val="2"/>
          <w:sz w:val="21"/>
          <w:szCs w:val="24"/>
          <w:lang w:val="en-US" w:eastAsia="zh-CN" w:bidi="ar-SA"/>
        </w:rPr>
        <w:t>1、前</w:t>
      </w:r>
      <w:r>
        <w:rPr>
          <w:rFonts w:hint="default" w:ascii="Times New Roman" w:hAnsi="Times New Roman" w:eastAsia="宋体" w:cs="Times New Roman"/>
          <w:color w:val="auto"/>
          <w:kern w:val="2"/>
          <w:sz w:val="21"/>
          <w:szCs w:val="24"/>
          <w:lang w:val="en-US" w:eastAsia="zh-CN" w:bidi="ar-SA"/>
        </w:rPr>
        <w:t xml:space="preserve">窗气流隔断设计； </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2、柜体采用10°倾斜角设计；</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3、安全柜裸露工作区三侧壁板采用优质304#不锈钢一体化结构；</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4、工作区采用四面（左右二侧、后部、底部）负压环绕设计工作区内； </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5、福马脚轮设计：脚轮与支架一体化设计；</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6、 前窗玻璃采用双层夹胶防爆安全玻璃； </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7、超大4.7寸LCD液晶显示屏，全参数显示；</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8、脚踏电动、手动按键、遥控电动三种方式灵活控制玻璃门升降；</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9、遥控控制：安全柜的所有按键操作，都可通过遥控控制实现；</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10、具有预约定时功能，能自动设定安全柜定时开机、关机及紫外灯消毒时间；</w:t>
      </w:r>
    </w:p>
    <w:p>
      <w:pPr>
        <w:pStyle w:val="32"/>
        <w:widowControl w:val="0"/>
        <w:numPr>
          <w:ilvl w:val="0"/>
          <w:numId w:val="0"/>
        </w:numPr>
        <w:spacing w:before="120" w:line="360" w:lineRule="auto"/>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11、完善的报警系统：（1）玻璃门不在安全高度报警：（2）过滤器压力超高报警：（3）过滤器失效更换报警：（4）气流波动报警：</w:t>
      </w:r>
    </w:p>
    <w:p>
      <w:pPr>
        <w:pStyle w:val="32"/>
        <w:widowControl w:val="0"/>
        <w:numPr>
          <w:ilvl w:val="0"/>
          <w:numId w:val="0"/>
        </w:numPr>
        <w:spacing w:before="120" w:line="360" w:lineRule="auto"/>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12、安全的连锁保护设计：（1）安全柜风机与玻璃门</w:t>
      </w:r>
      <w:r>
        <w:rPr>
          <w:rFonts w:hint="default" w:ascii="Times New Roman" w:hAnsi="Times New Roman" w:eastAsia="宋体" w:cs="Times New Roman"/>
          <w:kern w:val="2"/>
          <w:sz w:val="21"/>
          <w:szCs w:val="24"/>
          <w:lang w:val="en-US" w:eastAsia="zh-CN" w:bidi="ar-SA"/>
        </w:rPr>
        <w:t>互锁：（2）紫外灯与安全柜玻璃门、风机及照明灯互锁：</w:t>
      </w:r>
    </w:p>
    <w:p>
      <w:pPr>
        <w:pStyle w:val="32"/>
        <w:widowControl w:val="0"/>
        <w:numPr>
          <w:ilvl w:val="0"/>
          <w:numId w:val="0"/>
        </w:numPr>
        <w:spacing w:before="120" w:line="360" w:lineRule="auto"/>
        <w:jc w:val="both"/>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13.具有产品注册证；</w:t>
      </w:r>
    </w:p>
    <w:p>
      <w:pPr>
        <w:pStyle w:val="32"/>
        <w:widowControl w:val="0"/>
        <w:numPr>
          <w:ilvl w:val="0"/>
          <w:numId w:val="0"/>
        </w:numPr>
        <w:spacing w:before="120" w:line="360" w:lineRule="auto"/>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（四）自动粪便分析仪</w:t>
      </w:r>
    </w:p>
    <w:p>
      <w:pPr>
        <w:numPr>
          <w:ilvl w:val="0"/>
          <w:numId w:val="0"/>
        </w:numPr>
        <w:spacing w:line="360" w:lineRule="auto"/>
        <w:ind w:left="150" w:leftChars="0"/>
        <w:rPr>
          <w:rFonts w:hint="eastAsia"/>
          <w:szCs w:val="21"/>
          <w:lang w:val="en-US" w:eastAsia="zh-CN"/>
        </w:rPr>
      </w:pPr>
      <w:r>
        <w:rPr>
          <w:rFonts w:hint="eastAsia"/>
          <w:szCs w:val="21"/>
          <w:lang w:val="en-US" w:eastAsia="zh-CN"/>
        </w:rPr>
        <w:t>1、本仪器适用于粪便常规的物理检查、镜检和部分粪便生化或免疫项目的检测试验。</w:t>
      </w:r>
    </w:p>
    <w:p>
      <w:pPr>
        <w:numPr>
          <w:ilvl w:val="0"/>
          <w:numId w:val="0"/>
        </w:numPr>
        <w:spacing w:line="360" w:lineRule="auto"/>
        <w:ind w:left="150" w:leftChars="0"/>
        <w:rPr>
          <w:rFonts w:hint="eastAsia"/>
          <w:color w:val="FF0000"/>
          <w:szCs w:val="21"/>
          <w:lang w:val="en-US" w:eastAsia="zh-CN"/>
        </w:rPr>
      </w:pPr>
      <w:r>
        <w:rPr>
          <w:rFonts w:hint="eastAsia"/>
          <w:szCs w:val="21"/>
          <w:lang w:val="en-US" w:eastAsia="zh-CN"/>
        </w:rPr>
        <w:t>2、三通道计数池，快速准确图像清晰。</w:t>
      </w:r>
    </w:p>
    <w:p>
      <w:pPr>
        <w:numPr>
          <w:ilvl w:val="0"/>
          <w:numId w:val="0"/>
        </w:numPr>
        <w:spacing w:line="360" w:lineRule="auto"/>
        <w:ind w:left="150" w:leftChars="0"/>
        <w:rPr>
          <w:rFonts w:hint="eastAsia"/>
          <w:szCs w:val="21"/>
          <w:lang w:val="en-US" w:eastAsia="zh-CN"/>
        </w:rPr>
      </w:pPr>
      <w:r>
        <w:rPr>
          <w:rFonts w:hint="eastAsia"/>
          <w:szCs w:val="21"/>
          <w:lang w:val="en-US" w:eastAsia="zh-CN"/>
        </w:rPr>
        <w:t>3、显微成像技术，抓图更准确，图像更清晰。</w:t>
      </w:r>
    </w:p>
    <w:p>
      <w:pPr>
        <w:numPr>
          <w:ilvl w:val="0"/>
          <w:numId w:val="0"/>
        </w:numPr>
        <w:spacing w:line="360" w:lineRule="auto"/>
        <w:ind w:left="150" w:leftChars="0"/>
        <w:rPr>
          <w:rFonts w:hint="eastAsia"/>
          <w:szCs w:val="21"/>
          <w:lang w:val="en-US" w:eastAsia="zh-CN"/>
        </w:rPr>
      </w:pPr>
      <w:r>
        <w:rPr>
          <w:rFonts w:hint="eastAsia"/>
          <w:szCs w:val="21"/>
          <w:lang w:val="en-US" w:eastAsia="zh-CN"/>
        </w:rPr>
        <w:t>4、系统合理:设计充分考虑临床需要、预防院内感染，检测过程全程封闭，检验人员不直接接触标本及废液，干净无污染；</w:t>
      </w:r>
    </w:p>
    <w:p>
      <w:pPr>
        <w:numPr>
          <w:ilvl w:val="0"/>
          <w:numId w:val="0"/>
        </w:numPr>
        <w:spacing w:line="360" w:lineRule="auto"/>
        <w:ind w:left="150" w:leftChars="0"/>
        <w:rPr>
          <w:rFonts w:hint="eastAsia"/>
          <w:szCs w:val="21"/>
          <w:lang w:val="en-US" w:eastAsia="zh-CN"/>
        </w:rPr>
      </w:pPr>
      <w:r>
        <w:rPr>
          <w:rFonts w:hint="eastAsia"/>
          <w:szCs w:val="21"/>
          <w:lang w:val="en-US" w:eastAsia="zh-CN"/>
        </w:rPr>
        <w:t xml:space="preserve">5、标本盒内置两种规格滤网，能自动分离标本，过滤粪便，进行集卵； </w:t>
      </w:r>
    </w:p>
    <w:p>
      <w:pPr>
        <w:numPr>
          <w:ilvl w:val="0"/>
          <w:numId w:val="0"/>
        </w:numPr>
        <w:spacing w:line="360" w:lineRule="auto"/>
        <w:ind w:left="150" w:leftChars="0"/>
        <w:rPr>
          <w:rFonts w:hint="eastAsia"/>
          <w:szCs w:val="21"/>
          <w:lang w:val="en-US" w:eastAsia="zh-CN"/>
        </w:rPr>
      </w:pPr>
      <w:r>
        <w:rPr>
          <w:rFonts w:hint="eastAsia"/>
          <w:szCs w:val="21"/>
          <w:lang w:val="en-US" w:eastAsia="zh-CN"/>
        </w:rPr>
        <w:t>6、取样准确，采用标准采样勺进行定量分析，批量进样或单个进样， 检测速率达120个/小时(连续检测)；</w:t>
      </w:r>
    </w:p>
    <w:p>
      <w:pPr>
        <w:numPr>
          <w:ilvl w:val="0"/>
          <w:numId w:val="0"/>
        </w:numPr>
        <w:spacing w:line="360" w:lineRule="auto"/>
        <w:ind w:left="150" w:leftChars="0"/>
        <w:rPr>
          <w:rFonts w:hint="eastAsia"/>
          <w:szCs w:val="21"/>
          <w:lang w:val="en-US" w:eastAsia="zh-CN"/>
        </w:rPr>
      </w:pPr>
      <w:r>
        <w:rPr>
          <w:rFonts w:hint="eastAsia"/>
          <w:szCs w:val="21"/>
          <w:lang w:val="en-US" w:eastAsia="zh-CN"/>
        </w:rPr>
        <w:t>7、自动、定量稀释，对标本进行高速机械搅拌、有效混匀；</w:t>
      </w:r>
    </w:p>
    <w:p>
      <w:pPr>
        <w:numPr>
          <w:ilvl w:val="0"/>
          <w:numId w:val="0"/>
        </w:numPr>
        <w:spacing w:line="360" w:lineRule="auto"/>
        <w:ind w:left="150" w:leftChars="0"/>
        <w:rPr>
          <w:rFonts w:hint="eastAsia"/>
          <w:szCs w:val="21"/>
          <w:lang w:val="en-US" w:eastAsia="zh-CN"/>
        </w:rPr>
      </w:pPr>
      <w:r>
        <w:rPr>
          <w:rFonts w:hint="eastAsia"/>
          <w:szCs w:val="21"/>
          <w:lang w:val="en-US" w:eastAsia="zh-CN"/>
        </w:rPr>
        <w:t>8、采取正立搅拌及吸样技术，不易漏液，不堵针；</w:t>
      </w:r>
    </w:p>
    <w:p>
      <w:pPr>
        <w:numPr>
          <w:ilvl w:val="0"/>
          <w:numId w:val="0"/>
        </w:numPr>
        <w:spacing w:line="360" w:lineRule="auto"/>
        <w:ind w:left="150" w:leftChars="0"/>
        <w:rPr>
          <w:rFonts w:hint="eastAsia"/>
          <w:szCs w:val="21"/>
          <w:lang w:val="en-US" w:eastAsia="zh-CN"/>
        </w:rPr>
      </w:pPr>
      <w:r>
        <w:rPr>
          <w:rFonts w:hint="eastAsia"/>
          <w:szCs w:val="21"/>
          <w:lang w:val="en-US" w:eastAsia="zh-CN"/>
        </w:rPr>
        <w:t>9、工作软件基于Windows7平台，采用高清晰度成像系统，提供最佳的视野范围和清晰图像，所有过程都自动化进行，自动视野转换，焦距调整方便，提供的图像直观清晰，极大的减轻了操作人员的劳动强度，提高了工作效率；</w:t>
      </w:r>
    </w:p>
    <w:p>
      <w:pPr>
        <w:numPr>
          <w:ilvl w:val="0"/>
          <w:numId w:val="0"/>
        </w:numPr>
        <w:spacing w:line="360" w:lineRule="auto"/>
        <w:ind w:left="150" w:leftChars="0"/>
        <w:rPr>
          <w:rFonts w:hint="eastAsia"/>
          <w:szCs w:val="21"/>
          <w:lang w:val="en-US" w:eastAsia="zh-CN"/>
        </w:rPr>
      </w:pPr>
      <w:r>
        <w:rPr>
          <w:rFonts w:hint="eastAsia"/>
          <w:szCs w:val="21"/>
          <w:lang w:val="en-US" w:eastAsia="zh-CN"/>
        </w:rPr>
        <w:t>10、双屏显示功能，可在不影响观测前提下进行报告的整理（可选）；</w:t>
      </w:r>
    </w:p>
    <w:p>
      <w:pPr>
        <w:numPr>
          <w:ilvl w:val="0"/>
          <w:numId w:val="0"/>
        </w:numPr>
        <w:spacing w:line="360" w:lineRule="auto"/>
        <w:ind w:left="150" w:leftChars="0"/>
        <w:rPr>
          <w:rFonts w:hint="eastAsia"/>
          <w:szCs w:val="21"/>
          <w:lang w:val="en-US" w:eastAsia="zh-CN"/>
        </w:rPr>
      </w:pPr>
      <w:r>
        <w:rPr>
          <w:rFonts w:hint="eastAsia"/>
          <w:szCs w:val="21"/>
          <w:lang w:val="en-US" w:eastAsia="zh-CN"/>
        </w:rPr>
        <w:t>11、自动自检：仪器在运行过程中如遇故障会自动报警，便于快速排除故障。</w:t>
      </w:r>
    </w:p>
    <w:p>
      <w:pPr>
        <w:numPr>
          <w:ilvl w:val="0"/>
          <w:numId w:val="0"/>
        </w:numPr>
        <w:spacing w:line="360" w:lineRule="auto"/>
        <w:ind w:left="150" w:leftChars="0"/>
        <w:rPr>
          <w:rFonts w:hint="eastAsia"/>
          <w:bCs/>
          <w:sz w:val="24"/>
          <w:szCs w:val="24"/>
          <w:lang w:val="en-US" w:eastAsia="zh-CN"/>
        </w:rPr>
      </w:pPr>
      <w:r>
        <w:rPr>
          <w:rFonts w:hint="eastAsia"/>
          <w:szCs w:val="21"/>
          <w:lang w:val="en-US" w:eastAsia="zh-CN"/>
        </w:rPr>
        <w:t>12、具有空位检测功能，对于没有放置样本的位置机器自动跳过。</w:t>
      </w:r>
    </w:p>
    <w:p>
      <w:pPr>
        <w:numPr>
          <w:ilvl w:val="0"/>
          <w:numId w:val="0"/>
        </w:numPr>
        <w:spacing w:line="360" w:lineRule="auto"/>
        <w:ind w:left="150" w:leftChars="0"/>
        <w:rPr>
          <w:rFonts w:hint="eastAsia"/>
          <w:szCs w:val="21"/>
          <w:lang w:val="en-US" w:eastAsia="zh-CN"/>
        </w:rPr>
      </w:pPr>
      <w:r>
        <w:rPr>
          <w:rFonts w:hint="eastAsia"/>
          <w:szCs w:val="21"/>
          <w:lang w:val="en-US" w:eastAsia="zh-CN"/>
        </w:rPr>
        <w:t>13、标本盘：转盘式，24个标本位，自动清洗；</w:t>
      </w:r>
    </w:p>
    <w:p>
      <w:pPr>
        <w:numPr>
          <w:ilvl w:val="0"/>
          <w:numId w:val="0"/>
        </w:numPr>
        <w:spacing w:line="360" w:lineRule="auto"/>
        <w:ind w:left="150" w:leftChars="0"/>
        <w:rPr>
          <w:rFonts w:hint="eastAsia"/>
          <w:szCs w:val="21"/>
          <w:lang w:val="en-US" w:eastAsia="zh-CN"/>
        </w:rPr>
      </w:pPr>
      <w:r>
        <w:rPr>
          <w:rFonts w:hint="eastAsia"/>
          <w:szCs w:val="21"/>
          <w:lang w:val="en-US" w:eastAsia="zh-CN"/>
        </w:rPr>
        <w:t>14、计数池清洗：6秒大水流爆破冲洗；</w:t>
      </w:r>
    </w:p>
    <w:p>
      <w:pPr>
        <w:numPr>
          <w:ilvl w:val="0"/>
          <w:numId w:val="0"/>
        </w:numPr>
        <w:spacing w:line="360" w:lineRule="auto"/>
        <w:ind w:left="150" w:leftChars="0"/>
        <w:rPr>
          <w:rFonts w:hint="eastAsia"/>
          <w:szCs w:val="21"/>
          <w:lang w:val="en-US" w:eastAsia="zh-CN"/>
        </w:rPr>
      </w:pPr>
      <w:r>
        <w:rPr>
          <w:rFonts w:hint="eastAsia"/>
          <w:szCs w:val="21"/>
          <w:lang w:val="en-US" w:eastAsia="zh-CN"/>
        </w:rPr>
        <w:t>15、针清洗：吸样针采用特氟龙涂层技术，内壁爆破冲洗，外壁涌</w:t>
      </w:r>
    </w:p>
    <w:p>
      <w:pPr>
        <w:numPr>
          <w:ilvl w:val="0"/>
          <w:numId w:val="0"/>
        </w:numPr>
        <w:spacing w:line="360" w:lineRule="auto"/>
        <w:ind w:left="150" w:leftChars="0"/>
        <w:rPr>
          <w:rFonts w:hint="eastAsia"/>
          <w:szCs w:val="21"/>
          <w:lang w:val="en-US" w:eastAsia="zh-CN"/>
        </w:rPr>
      </w:pPr>
      <w:r>
        <w:rPr>
          <w:rFonts w:hint="eastAsia"/>
          <w:szCs w:val="21"/>
          <w:lang w:val="en-US" w:eastAsia="zh-CN"/>
        </w:rPr>
        <w:t>泉冲洗，降低交叉污染；</w:t>
      </w:r>
    </w:p>
    <w:p>
      <w:pPr>
        <w:numPr>
          <w:ilvl w:val="0"/>
          <w:numId w:val="0"/>
        </w:numPr>
        <w:spacing w:line="360" w:lineRule="auto"/>
        <w:ind w:left="150" w:leftChars="0"/>
        <w:rPr>
          <w:rFonts w:hint="eastAsia"/>
          <w:szCs w:val="21"/>
          <w:lang w:val="en-US" w:eastAsia="zh-CN"/>
        </w:rPr>
      </w:pPr>
      <w:r>
        <w:rPr>
          <w:rFonts w:hint="eastAsia"/>
          <w:szCs w:val="21"/>
          <w:lang w:val="en-US" w:eastAsia="zh-CN"/>
        </w:rPr>
        <w:t>16、20倍物镜显微镜系统及300万像素CMOS的成像系统使获取的照片更加清晰；</w:t>
      </w:r>
    </w:p>
    <w:p>
      <w:pPr>
        <w:numPr>
          <w:ilvl w:val="0"/>
          <w:numId w:val="0"/>
        </w:numPr>
        <w:spacing w:line="360" w:lineRule="auto"/>
        <w:ind w:left="150" w:leftChars="0"/>
        <w:rPr>
          <w:rFonts w:hint="eastAsia"/>
          <w:szCs w:val="21"/>
          <w:lang w:val="en-US" w:eastAsia="zh-CN"/>
        </w:rPr>
      </w:pPr>
      <w:r>
        <w:rPr>
          <w:rFonts w:hint="eastAsia"/>
          <w:szCs w:val="21"/>
          <w:lang w:val="en-US" w:eastAsia="zh-CN"/>
        </w:rPr>
        <w:t>17、电脑采用原装机，500G硬盘，最少储存35万例样本数据，20寸液晶显示器;</w:t>
      </w:r>
    </w:p>
    <w:p>
      <w:pPr>
        <w:numPr>
          <w:ilvl w:val="0"/>
          <w:numId w:val="0"/>
        </w:numPr>
        <w:spacing w:line="360" w:lineRule="auto"/>
        <w:ind w:left="150" w:leftChars="0"/>
        <w:rPr>
          <w:rFonts w:hint="eastAsia"/>
          <w:szCs w:val="21"/>
          <w:lang w:val="en-US" w:eastAsia="zh-CN"/>
        </w:rPr>
      </w:pPr>
      <w:r>
        <w:rPr>
          <w:rFonts w:hint="eastAsia"/>
          <w:szCs w:val="21"/>
          <w:lang w:val="en-US" w:eastAsia="zh-CN"/>
        </w:rPr>
        <w:t>18、中文软件系统，中文输入、显示，人机界面简捷，操作直观。</w:t>
      </w:r>
    </w:p>
    <w:p>
      <w:pPr>
        <w:numPr>
          <w:ilvl w:val="0"/>
          <w:numId w:val="0"/>
        </w:numPr>
        <w:spacing w:line="360" w:lineRule="auto"/>
        <w:ind w:left="150" w:leftChars="0"/>
        <w:rPr>
          <w:rFonts w:hint="eastAsia"/>
          <w:szCs w:val="21"/>
          <w:lang w:val="en-US" w:eastAsia="zh-CN"/>
        </w:rPr>
      </w:pPr>
      <w:r>
        <w:rPr>
          <w:rFonts w:hint="eastAsia"/>
          <w:szCs w:val="21"/>
          <w:lang w:val="en-US" w:eastAsia="zh-CN"/>
        </w:rPr>
        <w:t>19、提供符合相关法规的报告界面，采用特有的有色背景技术,使得图像更清晰.尤其是红细胞对比度增大，使得细胞边沿、轮廓、形状更容易辨认，图文齐全，供用户选择；</w:t>
      </w:r>
    </w:p>
    <w:p>
      <w:pPr>
        <w:numPr>
          <w:ilvl w:val="0"/>
          <w:numId w:val="0"/>
        </w:numPr>
        <w:spacing w:line="360" w:lineRule="auto"/>
        <w:ind w:left="150" w:leftChars="0"/>
        <w:rPr>
          <w:rFonts w:hint="eastAsia"/>
          <w:szCs w:val="21"/>
          <w:lang w:val="en-US" w:eastAsia="zh-CN"/>
        </w:rPr>
      </w:pPr>
      <w:r>
        <w:rPr>
          <w:rFonts w:hint="eastAsia"/>
          <w:szCs w:val="21"/>
          <w:lang w:val="en-US" w:eastAsia="zh-CN"/>
        </w:rPr>
        <w:t>20、可连接医院网络、支持远程数据交换，与LIS系统进行对接。</w:t>
      </w:r>
    </w:p>
    <w:p>
      <w:pPr>
        <w:pStyle w:val="32"/>
        <w:widowControl w:val="0"/>
        <w:numPr>
          <w:ilvl w:val="0"/>
          <w:numId w:val="0"/>
        </w:numPr>
        <w:spacing w:before="120" w:line="22" w:lineRule="atLeast"/>
        <w:jc w:val="center"/>
        <w:rPr>
          <w:rFonts w:hint="eastAsia" w:ascii="Times New Roman" w:hAnsi="Times New Roman" w:eastAsia="宋体" w:cs="Times New Roman"/>
          <w:b/>
          <w:bCs/>
          <w:color w:val="auto"/>
          <w:kern w:val="2"/>
          <w:sz w:val="21"/>
          <w:szCs w:val="24"/>
          <w:lang w:val="en-US" w:eastAsia="zh-CN" w:bidi="ar-SA"/>
        </w:rPr>
      </w:pP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（五）恒温箱</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一</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技术参数</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类型：带透视窗触摸屏</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公称容积（L）：200</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额定功率（W）：645</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温度控制方式：PT100</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温度控制范围：Rt+5--85℃</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温度波动（℃）：±0.5（@37）</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温度均匀性（℃）： ±1（@37）</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工作室尺寸（mm）：598*548*638</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外形尺寸（mm）：725*809*830</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隔板：标配2块，数量可增加</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电源电压：AC220/110V</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显示界面：3.5寸触摸屏</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二</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产品特点</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1、结构设计：一体化结构设计，防滑脱隔板设计。</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2、温度控制：内腔各面采用铝箔包裹。</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3、无菌性：内胆均为优质拉丝不锈钢制成，半圆式四角设计。</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4、安全保护</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对人员的保护——配置漏电流、过电压保护器。</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对样品的保护——具有超温报警，箱内温度超出设置温度1℃将启动报警。</w:t>
      </w:r>
    </w:p>
    <w:p>
      <w:pPr>
        <w:pStyle w:val="32"/>
        <w:widowControl w:val="0"/>
        <w:numPr>
          <w:ilvl w:val="0"/>
          <w:numId w:val="0"/>
        </w:numPr>
        <w:spacing w:before="120" w:line="22" w:lineRule="atLeast"/>
        <w:jc w:val="both"/>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对仪器的保护——增加温控开关，当温度过高时，开关断开，防止温度过高对仪器产生损害。</w:t>
      </w: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（六）混匀器</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外形尺寸：136×130×170mm</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圆周直径：3mm</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运行方式：点动，连续，调速</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操作方式：旋钮+开关</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转速提示：刻度＋数字</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最高转速：2800rpm</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转动控制：无极调速</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工作台：碗型、平板型，酶标板插板，60孔微量管插板等随意切换</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功率：40w</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电源：220v/50Hz</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电机类型：罩极电机</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允许环境温度：5-40℃</w:t>
      </w:r>
    </w:p>
    <w:p>
      <w:pPr>
        <w:pStyle w:val="32"/>
        <w:widowControl w:val="0"/>
        <w:numPr>
          <w:ilvl w:val="0"/>
          <w:numId w:val="0"/>
        </w:numPr>
        <w:spacing w:before="120" w:line="22" w:lineRule="atLeast"/>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允许环境湿度：80%</w:t>
      </w:r>
    </w:p>
    <w:p>
      <w:pPr>
        <w:pStyle w:val="32"/>
        <w:widowControl w:val="0"/>
        <w:numPr>
          <w:ilvl w:val="0"/>
          <w:numId w:val="0"/>
        </w:numPr>
        <w:spacing w:before="120" w:line="22" w:lineRule="atLeast"/>
        <w:jc w:val="center"/>
        <w:rPr>
          <w:rFonts w:hint="eastAsia" w:ascii="Times New Roman" w:hAnsi="Times New Roman" w:cs="Times New Roman"/>
          <w:b/>
          <w:bCs/>
          <w:color w:val="auto"/>
          <w:kern w:val="2"/>
          <w:sz w:val="28"/>
          <w:szCs w:val="36"/>
          <w:lang w:val="en-US" w:eastAsia="zh-CN" w:bidi="ar-SA"/>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（七）</w:t>
      </w:r>
      <w:r>
        <w:rPr>
          <w:rFonts w:hint="default" w:ascii="Times New Roman" w:hAnsi="Times New Roman" w:cs="Times New Roman"/>
          <w:b/>
          <w:bCs/>
          <w:sz w:val="22"/>
          <w:szCs w:val="22"/>
          <w:lang w:val="en-US" w:eastAsia="zh-CN"/>
        </w:rPr>
        <w:t>加样枪</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1、轻松地旋转活塞按钮选择分液量</w:t>
      </w:r>
      <w:r>
        <w:rPr>
          <w:rFonts w:hint="eastAsia"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2、整个枪体在色彩搭配上，灰白色、蓝色相间，符合色彩美学设</w:t>
      </w:r>
      <w:r>
        <w:rPr>
          <w:rFonts w:hint="eastAsia"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3、人机工效学设计的指掌，便于全手轻松控制，可减少手部疲劳</w:t>
      </w:r>
      <w:r>
        <w:rPr>
          <w:rFonts w:hint="eastAsia" w:ascii="Times New Roman" w:hAnsi="Times New Roman"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4、使用附件工具，能方便快捷地进行校准和维修</w:t>
      </w:r>
      <w:r>
        <w:rPr>
          <w:rFonts w:hint="eastAsia" w:ascii="Times New Roman" w:hAnsi="Times New Roman"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5、快捷轻便的管嘴推出器</w:t>
      </w:r>
      <w:r>
        <w:rPr>
          <w:rFonts w:hint="eastAsia" w:ascii="Times New Roman" w:hAnsi="Times New Roman"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6、替换型管嘴连件过滤芯，可防止污染和管嘴损坏</w:t>
      </w:r>
      <w:r>
        <w:rPr>
          <w:rFonts w:hint="eastAsia" w:ascii="Times New Roman" w:hAnsi="Times New Roman" w:cs="Times New Roman"/>
          <w:color w:val="auto"/>
          <w:kern w:val="2"/>
          <w:sz w:val="21"/>
          <w:szCs w:val="24"/>
          <w:lang w:val="en-US" w:eastAsia="zh-CN" w:bidi="ar-SA"/>
        </w:rPr>
        <w:t>。</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7、可拆卸式管嘴连件，具有化学防腐性，且可以高温高压消毒 </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 xml:space="preserve">   </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8、产品类型 手动可调 </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9、灭菌方式 半支灭菌 </w:t>
      </w: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（八）加样支架</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产品参数：线性 </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产品描述：</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线性移液器支架可同时放置最多6支单道或多道移液器。</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线性移液器支架，TopPette/MicroPette/MicroPette Plus通用，可最多悬挂6支</w:t>
      </w:r>
    </w:p>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（九）</w:t>
      </w:r>
      <w:r>
        <w:rPr>
          <w:rFonts w:hint="default" w:ascii="Times New Roman" w:hAnsi="Times New Roman" w:cs="Times New Roman"/>
          <w:b/>
          <w:bCs/>
          <w:sz w:val="22"/>
          <w:szCs w:val="22"/>
          <w:lang w:val="en-US" w:eastAsia="zh-CN"/>
        </w:rPr>
        <w:t>酶标分析仪</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操作方式：外接电脑全面控制，鼠标、键盘操作。</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测试方法：速率法、两点法、终点法</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测量范围： 0-4.000Abs。</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en-US" w:eastAsia="zh-CN" w:bidi="ar-SA"/>
        </w:rPr>
        <w:t>准 确 度：</w:t>
      </w:r>
      <w:r>
        <w:rPr>
          <w:rFonts w:hint="eastAsia"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±0.5%或±0.005A。</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en-US" w:eastAsia="zh-CN" w:bidi="ar-SA"/>
        </w:rPr>
        <w:t>吸光度稳定性：在10min内+0.001。</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6、</w:t>
      </w:r>
      <w:r>
        <w:rPr>
          <w:rFonts w:hint="eastAsia" w:ascii="Times New Roman" w:hAnsi="Times New Roman" w:eastAsia="宋体" w:cs="Times New Roman"/>
          <w:color w:val="auto"/>
          <w:kern w:val="2"/>
          <w:sz w:val="21"/>
          <w:szCs w:val="24"/>
          <w:lang w:val="en-US" w:eastAsia="zh-CN" w:bidi="ar-SA"/>
        </w:rPr>
        <w:t>8通道光纤测量系统，一个光源通道光纤分成8路。</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7、</w:t>
      </w:r>
      <w:r>
        <w:rPr>
          <w:rFonts w:hint="eastAsia" w:ascii="Times New Roman" w:hAnsi="Times New Roman" w:eastAsia="宋体" w:cs="Times New Roman"/>
          <w:color w:val="auto"/>
          <w:kern w:val="2"/>
          <w:sz w:val="21"/>
          <w:szCs w:val="24"/>
          <w:lang w:val="en-US" w:eastAsia="zh-CN" w:bidi="ar-SA"/>
        </w:rPr>
        <w:t>滤光片</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标准配置405、450、492和630nm四片，最多可装载8片。</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8、</w:t>
      </w:r>
      <w:r>
        <w:rPr>
          <w:rFonts w:hint="eastAsia" w:ascii="Times New Roman" w:hAnsi="Times New Roman" w:eastAsia="宋体" w:cs="Times New Roman"/>
          <w:color w:val="auto"/>
          <w:kern w:val="2"/>
          <w:sz w:val="21"/>
          <w:szCs w:val="24"/>
          <w:lang w:val="en-US" w:eastAsia="zh-CN" w:bidi="ar-SA"/>
        </w:rPr>
        <w:t>波长精度：</w:t>
      </w:r>
      <w:r>
        <w:rPr>
          <w:rFonts w:hint="eastAsia"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±1nm 。</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9、</w:t>
      </w:r>
      <w:r>
        <w:rPr>
          <w:rFonts w:hint="eastAsia" w:ascii="Times New Roman" w:hAnsi="Times New Roman" w:eastAsia="宋体" w:cs="Times New Roman"/>
          <w:color w:val="auto"/>
          <w:kern w:val="2"/>
          <w:sz w:val="21"/>
          <w:szCs w:val="24"/>
          <w:lang w:val="en-US" w:eastAsia="zh-CN" w:bidi="ar-SA"/>
        </w:rPr>
        <w:t>检测速度：</w:t>
      </w:r>
      <w:r>
        <w:rPr>
          <w:rFonts w:hint="eastAsia"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单波长﹤5秒/96孔。</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振板功能</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 xml:space="preserve">具备速度和时间可调。 </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11</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项目设置：在同一块板上可同时设置12个以上不同的检测项目。</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对照设置：可在任意位置设置5对以上的阴阳性对照。</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存储</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可存储500组以上程序，10万个以上测试结果。</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14</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质控：可做Westguard多规则质控和即刻法质控，可存储不少于3年的质控图。</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15</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权限管理：具有多种权限分级保护，防止未经授权使用。</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16</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打 印</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外接打印机，可打印中文报告。</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17</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计算方法：软件支持多种计算方式，至少包括吸光度模式、Cut-Off定性计算、单点定标、折线回归、多点百分比、线性回归、指数回归、对数回归、幂回归、百分比对数回归、四参数回归。</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18、</w:t>
      </w:r>
      <w:r>
        <w:rPr>
          <w:rFonts w:hint="eastAsia" w:ascii="Times New Roman" w:hAnsi="Times New Roman" w:eastAsia="宋体" w:cs="Times New Roman"/>
          <w:color w:val="auto"/>
          <w:kern w:val="2"/>
          <w:sz w:val="21"/>
          <w:szCs w:val="24"/>
          <w:lang w:val="en-US" w:eastAsia="zh-CN" w:bidi="ar-SA"/>
        </w:rPr>
        <w:t>具备单波长法、双波长法、多孔空白法、行空白法、列空白法等测试方法。</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en-US" w:eastAsia="zh-CN" w:bidi="ar-SA"/>
        </w:rPr>
        <w:t>9、</w:t>
      </w:r>
      <w:r>
        <w:rPr>
          <w:rFonts w:hint="eastAsia" w:ascii="Times New Roman" w:hAnsi="Times New Roman" w:eastAsia="宋体" w:cs="Times New Roman"/>
          <w:color w:val="auto"/>
          <w:kern w:val="2"/>
          <w:sz w:val="21"/>
          <w:szCs w:val="24"/>
          <w:lang w:val="en-US" w:eastAsia="zh-CN" w:bidi="ar-SA"/>
        </w:rPr>
        <w:t>软件辅助管理功能：内置科室数据库、医生数据库、系统日志、试剂管理、工作量统计等功能。</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en-US" w:eastAsia="zh-CN" w:bidi="ar-SA"/>
        </w:rPr>
        <w:t>0、</w:t>
      </w:r>
      <w:r>
        <w:rPr>
          <w:rFonts w:hint="eastAsia" w:ascii="Times New Roman" w:hAnsi="Times New Roman" w:eastAsia="宋体" w:cs="Times New Roman"/>
          <w:color w:val="auto"/>
          <w:kern w:val="2"/>
          <w:sz w:val="21"/>
          <w:szCs w:val="24"/>
          <w:lang w:val="en-US" w:eastAsia="zh-CN" w:bidi="ar-SA"/>
        </w:rPr>
        <w:t>软件支持多种格式的综合中文报告输出。</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具备完善的质控功能，可做三水平质控。包含Westguard多规则质控、即刻法质控等多种质控方法，具有质控报警功能。</w:t>
      </w:r>
    </w:p>
    <w:p>
      <w:pPr>
        <w:pStyle w:val="3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软件支持临界对照品的检测，也可以通过阴性对照和阳性对照的结果计算临界值。</w:t>
      </w:r>
    </w:p>
    <w:p>
      <w:pPr>
        <w:pStyle w:val="32"/>
        <w:jc w:val="left"/>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可利用双阈值法判断样本的结果，尤其对临界样本的检测更准确。</w:t>
      </w:r>
    </w:p>
    <w:p>
      <w:pPr>
        <w:pStyle w:val="32"/>
        <w:ind w:left="0" w:leftChars="0" w:firstLine="0" w:firstLineChars="0"/>
        <w:jc w:val="center"/>
        <w:rPr>
          <w:rFonts w:hint="eastAsia" w:ascii="Times New Roman" w:hAnsi="Times New Roman" w:eastAsia="宋体" w:cs="Times New Roman"/>
          <w:b/>
          <w:bCs/>
          <w:color w:val="auto"/>
          <w:kern w:val="2"/>
          <w:sz w:val="28"/>
          <w:szCs w:val="36"/>
          <w:lang w:val="en-US" w:eastAsia="zh-CN" w:bidi="ar-SA"/>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w:t>
      </w:r>
      <w:r>
        <w:rPr>
          <w:rFonts w:hint="default" w:ascii="Times New Roman" w:hAnsi="Times New Roman" w:cs="Times New Roman"/>
          <w:b/>
          <w:bCs/>
          <w:sz w:val="22"/>
          <w:szCs w:val="22"/>
          <w:lang w:val="en-US" w:eastAsia="zh-CN"/>
        </w:rPr>
        <w:t>触摸屏二氧化碳培养箱</w:t>
      </w:r>
    </w:p>
    <w:p>
      <w:pPr>
        <w:pStyle w:val="32"/>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（一）</w:t>
      </w:r>
      <w:r>
        <w:rPr>
          <w:rFonts w:hint="default" w:ascii="Times New Roman" w:hAnsi="Times New Roman" w:eastAsia="宋体" w:cs="Times New Roman"/>
          <w:b w:val="0"/>
          <w:bCs w:val="0"/>
          <w:color w:val="auto"/>
          <w:kern w:val="2"/>
          <w:sz w:val="21"/>
          <w:szCs w:val="24"/>
          <w:lang w:val="en-US" w:eastAsia="zh-CN" w:bidi="ar-SA"/>
        </w:rPr>
        <w:t>技术参数</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类型：气套式触摸屏</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外形尺寸≧（L×D×H）：500mm×527mm×821mm</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工作室尺寸≧（L×D×H）：368mm×387mm×408mm</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公称容积：50L</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额定功率：350W</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控温方式：PT100</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控温范围：Rt+5--60℃</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温度波动：±0.2（@37）℃</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温度均匀性：±0.3（@37）℃</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CO2控制方式：IR红外线传感器（VAISALA）,具有NIST校准证书  </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浓度控制范围：0--20（vol%）</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浓度控制误差：±0.1（vol%）</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浓度均匀性：±0.2（vol%）</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相对湿度：≥90%（RH%），该参数不显示</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环境温度：5—30℃，建议25±2℃</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过滤器种类：直径大于等于0.3μm的颗粒，过滤效率达99.5%，</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隔板：标配两块，数量可增加</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电源电压：AC220/110V</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数据存储 :USB接口  </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界面显示：7.0寸触摸屏</w:t>
      </w:r>
    </w:p>
    <w:p>
      <w:pPr>
        <w:pStyle w:val="32"/>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灭菌方式：UV灭菌</w:t>
      </w:r>
    </w:p>
    <w:p>
      <w:pPr>
        <w:pStyle w:val="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二</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产品特点</w:t>
      </w:r>
    </w:p>
    <w:p>
      <w:pPr>
        <w:pStyle w:val="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hint="default" w:ascii="Times New Roman" w:hAnsi="Times New Roman" w:eastAsia="宋体" w:cs="Times New Roman"/>
          <w:color w:val="auto"/>
          <w:kern w:val="2"/>
          <w:sz w:val="21"/>
          <w:szCs w:val="24"/>
          <w:lang w:val="en-US" w:eastAsia="zh-CN" w:bidi="ar-SA"/>
        </w:rPr>
        <w:t>结构设计：一体化结构设计，内腔可使用容积均大于公称容积。</w:t>
      </w:r>
    </w:p>
    <w:p>
      <w:pPr>
        <w:pStyle w:val="32"/>
        <w:spacing w:line="360"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default" w:ascii="Times New Roman" w:hAnsi="Times New Roman" w:eastAsia="宋体" w:cs="Times New Roman"/>
          <w:color w:val="auto"/>
          <w:kern w:val="2"/>
          <w:sz w:val="21"/>
          <w:szCs w:val="24"/>
          <w:lang w:val="en-US" w:eastAsia="zh-CN" w:bidi="ar-SA"/>
        </w:rPr>
        <w:t>温度控制</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内腔各面采用铝箔包裹的硅橡胶电热丝加热器</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温度传感器，采用专用的温度采集技术。</w:t>
      </w:r>
    </w:p>
    <w:p>
      <w:pPr>
        <w:pStyle w:val="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w:t>
      </w:r>
      <w:r>
        <w:rPr>
          <w:rFonts w:hint="default" w:ascii="Times New Roman" w:hAnsi="Times New Roman" w:eastAsia="宋体" w:cs="Times New Roman"/>
          <w:color w:val="auto"/>
          <w:kern w:val="2"/>
          <w:sz w:val="21"/>
          <w:szCs w:val="24"/>
          <w:lang w:val="en-US" w:eastAsia="zh-CN" w:bidi="ar-SA"/>
        </w:rPr>
        <w:t>二氧化碳控制：控制采用稳压阀、流量阀控制系统，电磁阀能够灵敏感应CO2气体。</w:t>
      </w:r>
    </w:p>
    <w:p>
      <w:pPr>
        <w:pStyle w:val="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防止冷凝水技术</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对外门全方位的加热、保温技术。U型硅胶密封条采用环保硅胶材质。</w:t>
      </w:r>
    </w:p>
    <w:p>
      <w:pPr>
        <w:pStyle w:val="32"/>
        <w:spacing w:line="360"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r>
        <w:rPr>
          <w:rFonts w:hint="default" w:ascii="Times New Roman" w:hAnsi="Times New Roman" w:eastAsia="宋体" w:cs="Times New Roman"/>
          <w:color w:val="auto"/>
          <w:kern w:val="2"/>
          <w:sz w:val="21"/>
          <w:szCs w:val="24"/>
          <w:lang w:val="en-US" w:eastAsia="zh-CN" w:bidi="ar-SA"/>
        </w:rPr>
        <w:t>无菌性：内胆均为优质304镜面不锈钢制成，半圆式四角设计。进气口标配微生物蝶形过滤器，针对直径大于等于0.3μm的颗粒，过滤效率达99.5%，有效过滤CO2 气体中细菌及灰尘颗粒。</w:t>
      </w:r>
    </w:p>
    <w:p>
      <w:pPr>
        <w:pStyle w:val="32"/>
        <w:spacing w:line="360"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w:t>
      </w:r>
      <w:r>
        <w:rPr>
          <w:rFonts w:hint="default" w:ascii="Times New Roman" w:hAnsi="Times New Roman" w:eastAsia="宋体" w:cs="Times New Roman"/>
          <w:color w:val="auto"/>
          <w:kern w:val="2"/>
          <w:sz w:val="21"/>
          <w:szCs w:val="24"/>
          <w:lang w:val="en-US" w:eastAsia="zh-CN" w:bidi="ar-SA"/>
        </w:rPr>
        <w:t>数据存储：触摸屏产品标配USB接口，可实现数据实时存储，具有实时温度曲线显示界面，可直观的查看温度波动性与温度控制性能；</w:t>
      </w:r>
    </w:p>
    <w:p>
      <w:pPr>
        <w:pStyle w:val="32"/>
        <w:spacing w:line="360"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（7）</w:t>
      </w:r>
      <w:r>
        <w:rPr>
          <w:rFonts w:hint="default" w:ascii="Times New Roman" w:hAnsi="Times New Roman" w:eastAsia="宋体" w:cs="Times New Roman"/>
          <w:color w:val="auto"/>
          <w:kern w:val="2"/>
          <w:sz w:val="21"/>
          <w:szCs w:val="24"/>
          <w:lang w:val="en-US" w:eastAsia="zh-CN" w:bidi="ar-SA"/>
        </w:rPr>
        <w:t>安全保护：对人员的保护，对样品的保护，浓度超高报警。</w:t>
      </w:r>
    </w:p>
    <w:p>
      <w:pPr>
        <w:pStyle w:val="32"/>
        <w:jc w:val="center"/>
        <w:rPr>
          <w:rFonts w:hint="eastAsia" w:ascii="Times New Roman" w:hAnsi="Times New Roman" w:eastAsia="宋体" w:cs="Times New Roman"/>
          <w:b/>
          <w:bCs/>
          <w:color w:val="auto"/>
          <w:kern w:val="2"/>
          <w:sz w:val="28"/>
          <w:szCs w:val="36"/>
          <w:lang w:val="en-US" w:eastAsia="zh-CN" w:bidi="ar-SA"/>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（十一）污水处理设备</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二氧化氯投加器 HY-1000 1 台</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溶药系统 YTH-0245型 1 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控制面板 KI-A 1 台</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计量泵Wf-09-03 1 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背压阀 1-1.5bar 1套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安全阀 系统配套 1 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液位计 系统配套 1 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加药口 系统配套 1 套</w:t>
      </w:r>
    </w:p>
    <w:p>
      <w:pPr>
        <w:pStyle w:val="3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管件阀门  DN20 1 套</w:t>
      </w:r>
    </w:p>
    <w:p>
      <w:pPr>
        <w:pStyle w:val="32"/>
        <w:jc w:val="center"/>
        <w:rPr>
          <w:rFonts w:hint="eastAsia" w:ascii="Times New Roman" w:hAnsi="Times New Roman" w:eastAsia="宋体" w:cs="Times New Roman"/>
          <w:b/>
          <w:bCs/>
          <w:color w:val="auto"/>
          <w:kern w:val="2"/>
          <w:sz w:val="28"/>
          <w:szCs w:val="36"/>
          <w:lang w:val="en-US" w:eastAsia="zh-CN" w:bidi="ar-SA"/>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（十二）</w:t>
      </w:r>
      <w:r>
        <w:rPr>
          <w:rFonts w:hint="default" w:ascii="Times New Roman" w:hAnsi="Times New Roman" w:cs="Times New Roman"/>
          <w:b/>
          <w:bCs/>
          <w:sz w:val="22"/>
          <w:szCs w:val="22"/>
          <w:lang w:val="en-US" w:eastAsia="zh-CN"/>
        </w:rPr>
        <w:t>全自动洗板机</w:t>
      </w:r>
      <w:r>
        <w:rPr>
          <w:rFonts w:hint="eastAsia" w:ascii="Times New Roman" w:hAnsi="Times New Roman" w:cs="Times New Roman"/>
          <w:b/>
          <w:bCs/>
          <w:sz w:val="22"/>
          <w:szCs w:val="22"/>
          <w:lang w:val="en-US" w:eastAsia="zh-CN"/>
        </w:rPr>
        <w:t>技术</w:t>
      </w:r>
      <w:r>
        <w:rPr>
          <w:rFonts w:hint="default" w:ascii="Times New Roman" w:hAnsi="Times New Roman" w:cs="Times New Roman"/>
          <w:b/>
          <w:bCs/>
          <w:sz w:val="22"/>
          <w:szCs w:val="22"/>
          <w:lang w:val="en-US" w:eastAsia="zh-CN"/>
        </w:rPr>
        <w:t>参数</w:t>
      </w:r>
    </w:p>
    <w:p>
      <w:pPr>
        <w:pStyle w:val="32"/>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w:t>
      </w:r>
      <w:r>
        <w:rPr>
          <w:rFonts w:hint="default" w:ascii="Times New Roman" w:hAnsi="Times New Roman" w:eastAsia="宋体" w:cs="Times New Roman"/>
          <w:color w:val="auto"/>
          <w:kern w:val="2"/>
          <w:sz w:val="21"/>
          <w:szCs w:val="24"/>
          <w:lang w:val="en-US" w:eastAsia="zh-CN" w:bidi="ar-SA"/>
        </w:rPr>
        <w:t>显示屏幕：4英寸以上液晶显示屏</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（2）</w:t>
      </w:r>
      <w:r>
        <w:rPr>
          <w:rFonts w:hint="default" w:ascii="Times New Roman" w:hAnsi="Times New Roman" w:eastAsia="宋体" w:cs="Times New Roman"/>
          <w:color w:val="auto"/>
          <w:kern w:val="2"/>
          <w:sz w:val="21"/>
          <w:szCs w:val="24"/>
          <w:lang w:val="en-US" w:eastAsia="zh-CN" w:bidi="ar-SA"/>
        </w:rPr>
        <w:t>可洗板条：适用于平底、U和V型底酶标板或条。</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（3）</w:t>
      </w:r>
      <w:r>
        <w:rPr>
          <w:rFonts w:hint="default" w:ascii="Times New Roman" w:hAnsi="Times New Roman" w:eastAsia="宋体" w:cs="Times New Roman"/>
          <w:color w:val="auto"/>
          <w:kern w:val="2"/>
          <w:sz w:val="21"/>
          <w:szCs w:val="24"/>
          <w:lang w:val="en-US" w:eastAsia="zh-CN" w:bidi="ar-SA"/>
        </w:rPr>
        <w:t xml:space="preserve">冲 洗 头： 8或12针冲洗头，分配针和抽吸针独立。 </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4</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残 液 量： ﹤1ul/孔。</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5</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注液精度： ≤1%</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6</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清洗液量：10-3000ul/孔，1ul递增。</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7</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清洗次数：  0-99次可调。</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8</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清洗条数：  1-12排可调。</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9</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浸泡时间：  0-24小时可调。</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10</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振板时间：0-24小时可调。</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（11）</w:t>
      </w:r>
      <w:r>
        <w:rPr>
          <w:rFonts w:hint="default" w:ascii="Times New Roman" w:hAnsi="Times New Roman" w:eastAsia="宋体" w:cs="Times New Roman"/>
          <w:color w:val="auto"/>
          <w:kern w:val="2"/>
          <w:sz w:val="21"/>
          <w:szCs w:val="24"/>
          <w:lang w:val="en-US" w:eastAsia="zh-CN" w:bidi="ar-SA"/>
        </w:rPr>
        <w:t>洗液通道： ≥3个</w:t>
      </w:r>
    </w:p>
    <w:p>
      <w:pPr>
        <w:pStyle w:val="32"/>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（12）</w:t>
      </w:r>
      <w:r>
        <w:rPr>
          <w:rFonts w:hint="default" w:ascii="Times New Roman" w:hAnsi="Times New Roman" w:eastAsia="宋体" w:cs="Times New Roman"/>
          <w:color w:val="auto"/>
          <w:kern w:val="2"/>
          <w:sz w:val="21"/>
          <w:szCs w:val="24"/>
          <w:lang w:val="en-US" w:eastAsia="zh-CN" w:bidi="ar-SA"/>
        </w:rPr>
        <w:t>存储：100组以上程序。</w:t>
      </w:r>
    </w:p>
    <w:p>
      <w:pPr>
        <w:pStyle w:val="32"/>
        <w:numPr>
          <w:ilvl w:val="0"/>
          <w:numId w:val="0"/>
        </w:numPr>
        <w:rPr>
          <w:rFonts w:hint="eastAsia" w:ascii="Times New Roman" w:hAnsi="Times New Roman" w:eastAsia="宋体" w:cs="Times New Roman"/>
          <w:b/>
          <w:bCs/>
          <w:color w:val="auto"/>
          <w:kern w:val="2"/>
          <w:sz w:val="28"/>
          <w:szCs w:val="36"/>
          <w:lang w:val="en-US" w:eastAsia="zh-CN" w:bidi="ar-SA"/>
        </w:rPr>
      </w:pP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13</w:t>
      </w:r>
      <w:r>
        <w:rPr>
          <w:rFonts w:hint="eastAsia" w:ascii="Times New Roman" w:hAnsi="Times New Roman"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孵育：可选配酶标板孵育功能。</w:t>
      </w:r>
    </w:p>
    <w:p>
      <w:pPr>
        <w:pStyle w:val="32"/>
        <w:ind w:left="0" w:leftChars="0" w:firstLine="0" w:firstLineChars="0"/>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cs="Times New Roman"/>
          <w:b/>
          <w:bCs/>
          <w:color w:val="auto"/>
          <w:kern w:val="2"/>
          <w:sz w:val="21"/>
          <w:szCs w:val="24"/>
          <w:lang w:val="en-US" w:eastAsia="zh-CN" w:bidi="ar-SA"/>
        </w:rPr>
        <w:t>注：</w:t>
      </w:r>
      <w:r>
        <w:rPr>
          <w:rFonts w:hint="default" w:ascii="Times New Roman" w:hAnsi="Times New Roman" w:eastAsia="宋体" w:cs="Times New Roman"/>
          <w:b/>
          <w:bCs/>
          <w:color w:val="auto"/>
          <w:kern w:val="2"/>
          <w:sz w:val="21"/>
          <w:szCs w:val="24"/>
          <w:lang w:val="en-US" w:eastAsia="zh-CN" w:bidi="ar-SA"/>
        </w:rPr>
        <w:t>必须与酶标仪同品牌</w:t>
      </w:r>
    </w:p>
    <w:p>
      <w:pPr>
        <w:pStyle w:val="32"/>
        <w:jc w:val="center"/>
        <w:rPr>
          <w:rFonts w:hint="eastAsia" w:ascii="Times New Roman" w:hAnsi="Times New Roman" w:eastAsia="宋体" w:cs="Times New Roman"/>
          <w:b/>
          <w:bCs/>
          <w:color w:val="auto"/>
          <w:kern w:val="2"/>
          <w:sz w:val="28"/>
          <w:szCs w:val="36"/>
          <w:lang w:val="en-US" w:eastAsia="zh-CN" w:bidi="ar-SA"/>
        </w:rPr>
      </w:pPr>
    </w:p>
    <w:p>
      <w:pPr>
        <w:pStyle w:val="32"/>
        <w:widowControl w:val="0"/>
        <w:numPr>
          <w:ilvl w:val="0"/>
          <w:numId w:val="0"/>
        </w:numPr>
        <w:spacing w:before="120" w:line="22" w:lineRule="atLeast"/>
        <w:jc w:val="center"/>
        <w:rPr>
          <w:rFonts w:hint="default"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（十三）洗澡洗眼器</w:t>
      </w:r>
    </w:p>
    <w:p>
      <w:pPr>
        <w:spacing w:line="360" w:lineRule="auto"/>
        <w:ind w:firstLine="210" w:firstLineChars="100"/>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304不锈钢带双头洗眼器。冲淋器：SUS304不锈钢入水管、不锈钢球阀开关、不锈钢拉杆和不锈钢冲淋头，用于冲淋全身，冲淋开关球阀能在1秒内快 速启动。标准水压下，15分钟内，冲淋头流量均可达到75.7升/分钟。</w:t>
      </w:r>
    </w:p>
    <w:p>
      <w:pPr>
        <w:rPr>
          <w:rFonts w:hint="eastAsia" w:cs="Times New Roman"/>
          <w:color w:val="auto"/>
          <w:kern w:val="2"/>
          <w:sz w:val="21"/>
          <w:szCs w:val="24"/>
          <w:lang w:val="en-US" w:eastAsia="zh-CN" w:bidi="ar-SA"/>
        </w:rPr>
      </w:pP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（十四）血糖管理系统服务器</w:t>
      </w:r>
    </w:p>
    <w:p>
      <w:pPr>
        <w:pStyle w:val="32"/>
        <w:numPr>
          <w:ilvl w:val="0"/>
          <w:numId w:val="0"/>
        </w:numPr>
        <w:ind w:left="210" w:left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主板:X10DRL-I</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CPU:E5-2680V4</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内存条:16GRECC</w:t>
      </w:r>
    </w:p>
    <w:p>
      <w:pPr>
        <w:pStyle w:val="32"/>
        <w:numPr>
          <w:ilvl w:val="0"/>
          <w:numId w:val="0"/>
        </w:numPr>
        <w:ind w:left="210" w:left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固态硬盘:128SSD</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机械硬盘:1000G*2</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机箱:工控机箱</w:t>
      </w:r>
    </w:p>
    <w:p>
      <w:pPr>
        <w:pStyle w:val="32"/>
        <w:numPr>
          <w:ilvl w:val="0"/>
          <w:numId w:val="0"/>
        </w:numPr>
        <w:ind w:left="210" w:left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电源:600W额定电源</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键盘鼠标:套件</w:t>
      </w:r>
    </w:p>
    <w:p>
      <w:pPr>
        <w:pStyle w:val="32"/>
        <w:numPr>
          <w:ilvl w:val="0"/>
          <w:numId w:val="0"/>
        </w:numPr>
        <w:ind w:left="210" w:leftChars="0"/>
        <w:rPr>
          <w:rFonts w:hint="eastAsia" w:ascii="Times New Roman" w:hAnsi="Times New Roman" w:cs="Times New Roman"/>
          <w:b/>
          <w:bCs/>
          <w:color w:val="auto"/>
          <w:kern w:val="2"/>
          <w:sz w:val="21"/>
          <w:szCs w:val="24"/>
          <w:lang w:val="en-US" w:eastAsia="zh-CN" w:bidi="ar-SA"/>
        </w:rPr>
      </w:pP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（十五）血糖信息管理系统</w:t>
      </w:r>
    </w:p>
    <w:p>
      <w:pPr>
        <w:spacing w:line="360" w:lineRule="auto"/>
        <w:rPr>
          <w:rFonts w:hint="eastAsia" w:ascii="Times New Roman" w:hAnsi="Times New Roman" w:cs="Times New Roman"/>
          <w:szCs w:val="24"/>
        </w:rPr>
      </w:pPr>
      <w:r>
        <w:rPr>
          <w:rFonts w:hint="eastAsia" w:ascii="Times New Roman" w:hAnsi="Times New Roman" w:cs="Times New Roman"/>
          <w:szCs w:val="24"/>
          <w:lang w:eastAsia="zh-CN"/>
        </w:rPr>
        <w:t>（</w:t>
      </w:r>
      <w:r>
        <w:rPr>
          <w:rFonts w:hint="eastAsia" w:ascii="Times New Roman" w:hAnsi="Times New Roman" w:cs="Times New Roman"/>
          <w:szCs w:val="24"/>
        </w:rPr>
        <w:t>一</w:t>
      </w:r>
      <w:r>
        <w:rPr>
          <w:rFonts w:hint="eastAsia" w:ascii="Times New Roman" w:hAnsi="Times New Roman" w:cs="Times New Roman"/>
          <w:szCs w:val="24"/>
          <w:lang w:eastAsia="zh-CN"/>
        </w:rPr>
        <w:t>）</w:t>
      </w:r>
      <w:r>
        <w:rPr>
          <w:rFonts w:hint="eastAsia" w:ascii="Times New Roman" w:hAnsi="Times New Roman" w:cs="Times New Roman"/>
          <w:szCs w:val="24"/>
        </w:rPr>
        <w:t>血糖信息管理系统技术要求</w:t>
      </w:r>
    </w:p>
    <w:p>
      <w:pPr>
        <w:spacing w:line="360" w:lineRule="auto"/>
        <w:rPr>
          <w:szCs w:val="24"/>
        </w:rPr>
      </w:pPr>
      <w:r>
        <w:rPr>
          <w:rFonts w:hint="eastAsia"/>
          <w:szCs w:val="24"/>
        </w:rPr>
        <w:t>1</w:t>
      </w:r>
      <w:r>
        <w:rPr>
          <w:rFonts w:hint="eastAsia"/>
          <w:szCs w:val="24"/>
          <w:lang w:eastAsia="zh-CN"/>
        </w:rPr>
        <w:t>、</w:t>
      </w:r>
      <w:r>
        <w:rPr>
          <w:rFonts w:hint="eastAsia"/>
          <w:szCs w:val="24"/>
        </w:rPr>
        <w:t>血糖管理系统按院方要求接入</w:t>
      </w:r>
      <w:r>
        <w:rPr>
          <w:rFonts w:hint="eastAsia"/>
          <w:szCs w:val="24"/>
          <w:lang w:val="en-US" w:eastAsia="zh-CN"/>
        </w:rPr>
        <w:t>康宁</w:t>
      </w:r>
      <w:r>
        <w:rPr>
          <w:rFonts w:hint="eastAsia"/>
          <w:szCs w:val="24"/>
        </w:rPr>
        <w:t>医院HIS系统、电子病历系统、LIS系统等医疗系统，实现医院信息传输的互联互通；</w:t>
      </w:r>
    </w:p>
    <w:p>
      <w:pPr>
        <w:spacing w:line="360" w:lineRule="auto"/>
        <w:rPr>
          <w:szCs w:val="24"/>
        </w:rPr>
      </w:pPr>
      <w:r>
        <w:rPr>
          <w:rFonts w:hint="eastAsia"/>
          <w:szCs w:val="24"/>
          <w:lang w:val="en-US" w:eastAsia="zh-CN"/>
        </w:rPr>
        <w:t>2、</w:t>
      </w:r>
      <w:r>
        <w:rPr>
          <w:rFonts w:hint="eastAsia"/>
          <w:szCs w:val="24"/>
        </w:rPr>
        <w:t>血糖信息化管理系统具有</w:t>
      </w:r>
      <w:r>
        <w:rPr>
          <w:rFonts w:hint="eastAsia" w:ascii="Times New Roman" w:hAnsi="Times New Roman" w:cs="Times New Roman"/>
          <w:szCs w:val="24"/>
        </w:rPr>
        <w:t>软件著作权及</w:t>
      </w:r>
      <w:r>
        <w:rPr>
          <w:rFonts w:hint="eastAsia"/>
          <w:szCs w:val="24"/>
        </w:rPr>
        <w:t>具有国家药监局的检验报告文件，系统采用正版数据库，数据储存的服务器采用院内网对接，由院内信息科统一管控，严禁使用云端服务器</w:t>
      </w:r>
      <w:r>
        <w:rPr>
          <w:rFonts w:hint="eastAsia"/>
          <w:szCs w:val="24"/>
          <w:lang w:eastAsia="zh-CN"/>
        </w:rPr>
        <w:t>，</w:t>
      </w:r>
      <w:r>
        <w:rPr>
          <w:rFonts w:hint="eastAsia"/>
          <w:szCs w:val="24"/>
        </w:rPr>
        <w:t>确保系统的网络安全；</w:t>
      </w:r>
    </w:p>
    <w:p>
      <w:pPr>
        <w:spacing w:line="360" w:lineRule="auto"/>
        <w:rPr>
          <w:szCs w:val="24"/>
        </w:rPr>
      </w:pPr>
      <w:r>
        <w:rPr>
          <w:rFonts w:hint="eastAsia"/>
          <w:szCs w:val="24"/>
          <w:lang w:val="en-US" w:eastAsia="zh-CN"/>
        </w:rPr>
        <w:t>3、</w:t>
      </w:r>
      <w:r>
        <w:rPr>
          <w:rFonts w:hint="eastAsia"/>
          <w:szCs w:val="24"/>
        </w:rPr>
        <w:t>系统支持高低血糖管理和危急值报警功能，当血糖危急值出现时，系统可弹窗提醒，可以通过软件进行病人/病区血糖管理、高低血糖风险提示，能根据医院不同病人，不同病种，不同病区个性化或批量设置高低血糖范围，帮助提高诊疗效率；</w:t>
      </w:r>
    </w:p>
    <w:p>
      <w:pPr>
        <w:spacing w:line="360" w:lineRule="auto"/>
        <w:rPr>
          <w:szCs w:val="24"/>
        </w:rPr>
      </w:pPr>
      <w:r>
        <w:rPr>
          <w:rFonts w:hint="eastAsia"/>
          <w:szCs w:val="24"/>
          <w:lang w:val="en-US" w:eastAsia="zh-CN"/>
        </w:rPr>
        <w:t>4、</w:t>
      </w:r>
      <w:r>
        <w:rPr>
          <w:rFonts w:hint="eastAsia"/>
          <w:szCs w:val="24"/>
        </w:rPr>
        <w:t>具备全院血糖仪室内质控监控功能，可显示多台设备的在控与失控状态，自动接收仪器的质控结果，结果包含操作人、操作时间、质控结果、仪器编号、试纸批号等情况，并生成相应的图表；</w:t>
      </w:r>
    </w:p>
    <w:p>
      <w:pPr>
        <w:spacing w:line="360" w:lineRule="auto"/>
        <w:rPr>
          <w:szCs w:val="24"/>
        </w:rPr>
      </w:pPr>
      <w:r>
        <w:rPr>
          <w:rFonts w:hint="eastAsia"/>
          <w:szCs w:val="24"/>
          <w:lang w:val="en-US" w:eastAsia="zh-CN"/>
        </w:rPr>
        <w:t>5、</w:t>
      </w:r>
      <w:r>
        <w:rPr>
          <w:rFonts w:hint="eastAsia"/>
          <w:szCs w:val="24"/>
        </w:rPr>
        <w:t>具备多维度数据分析功能，包括但不限于支持高低血糖发生率统计、血糖达标率分析、出入院血糖平均值分析等，并满足针对不同的操作人群，具有特定统计定制功能；</w:t>
      </w:r>
    </w:p>
    <w:p>
      <w:pPr>
        <w:spacing w:line="360" w:lineRule="auto"/>
        <w:rPr>
          <w:szCs w:val="24"/>
        </w:rPr>
      </w:pPr>
      <w:r>
        <w:rPr>
          <w:rFonts w:hint="eastAsia"/>
          <w:szCs w:val="24"/>
          <w:lang w:val="en-US" w:eastAsia="zh-CN"/>
        </w:rPr>
        <w:t>6、</w:t>
      </w:r>
      <w:r>
        <w:rPr>
          <w:rFonts w:hint="eastAsia"/>
          <w:szCs w:val="24"/>
        </w:rPr>
        <w:t>系统支持医生工作站、查房PDA、患者自助查询机等多终端的血糖数据实时同步，方便医生随时随地查看患者血糖数据及患者的自我查询；</w:t>
      </w:r>
    </w:p>
    <w:p>
      <w:pPr>
        <w:spacing w:line="360" w:lineRule="auto"/>
        <w:rPr>
          <w:rFonts w:hint="eastAsia"/>
          <w:szCs w:val="24"/>
        </w:rPr>
      </w:pPr>
      <w:r>
        <w:rPr>
          <w:rFonts w:hint="eastAsia"/>
          <w:szCs w:val="24"/>
          <w:lang w:val="en-US" w:eastAsia="zh-CN"/>
        </w:rPr>
        <w:t>7、</w:t>
      </w:r>
      <w:r>
        <w:rPr>
          <w:rFonts w:hint="eastAsia"/>
          <w:szCs w:val="24"/>
        </w:rPr>
        <w:t>全院会诊功能，系统可随时查看到申请科室的的会诊申请，以及该患者的详细的血糖数据和相关情况，给予指导意见， 也可根据权限主动查看患者血糖信息，给予指导意见；</w:t>
      </w:r>
    </w:p>
    <w:p>
      <w:pPr>
        <w:spacing w:line="360" w:lineRule="auto"/>
        <w:rPr>
          <w:rFonts w:hint="eastAsia"/>
          <w:szCs w:val="24"/>
        </w:rPr>
      </w:pPr>
      <w:r>
        <w:rPr>
          <w:rFonts w:hint="eastAsia"/>
          <w:szCs w:val="24"/>
        </w:rPr>
        <w:t>8</w:t>
      </w:r>
      <w:r>
        <w:rPr>
          <w:rFonts w:hint="eastAsia"/>
          <w:szCs w:val="24"/>
          <w:lang w:eastAsia="zh-CN"/>
        </w:rPr>
        <w:t>、</w:t>
      </w:r>
      <w:r>
        <w:rPr>
          <w:rFonts w:hint="eastAsia"/>
          <w:szCs w:val="24"/>
        </w:rPr>
        <w:t>科研/典型病例收集管理功能，系统有患者全病程周期报告、患者随访报告、随访病历/结构化病历查询、科研数据查询，以上报表需有可视化展示与数据查询导出的功能；</w:t>
      </w:r>
    </w:p>
    <w:p>
      <w:pPr>
        <w:spacing w:line="360" w:lineRule="auto"/>
        <w:rPr>
          <w:rFonts w:hint="eastAsia"/>
          <w:szCs w:val="24"/>
        </w:rPr>
      </w:pPr>
      <w:r>
        <w:rPr>
          <w:rFonts w:hint="eastAsia"/>
          <w:szCs w:val="24"/>
          <w:lang w:val="en-US" w:eastAsia="zh-CN"/>
        </w:rPr>
        <w:t>9</w:t>
      </w:r>
      <w:r>
        <w:rPr>
          <w:rFonts w:hint="eastAsia"/>
          <w:szCs w:val="24"/>
          <w:lang w:eastAsia="zh-CN"/>
        </w:rPr>
        <w:t>、</w:t>
      </w:r>
      <w:r>
        <w:rPr>
          <w:rFonts w:hint="eastAsia"/>
          <w:szCs w:val="24"/>
        </w:rPr>
        <w:t>血压、体温等慢病数据管理功能，支持慢病数据自动上传、从HIS/LIS抓取、手动录入等多种采集方式；</w:t>
      </w:r>
    </w:p>
    <w:p>
      <w:pPr>
        <w:spacing w:line="360" w:lineRule="auto"/>
        <w:rPr>
          <w:rFonts w:hint="eastAsia"/>
          <w:szCs w:val="24"/>
        </w:rPr>
      </w:pPr>
      <w:r>
        <w:rPr>
          <w:rFonts w:hint="eastAsia"/>
          <w:szCs w:val="24"/>
        </w:rPr>
        <w:t>1</w:t>
      </w:r>
      <w:r>
        <w:rPr>
          <w:rFonts w:hint="eastAsia"/>
          <w:szCs w:val="24"/>
          <w:lang w:val="en-US" w:eastAsia="zh-CN"/>
        </w:rPr>
        <w:t>0、</w:t>
      </w:r>
      <w:r>
        <w:rPr>
          <w:rFonts w:hint="eastAsia"/>
          <w:szCs w:val="24"/>
        </w:rPr>
        <w:t>支持全院血糖数据查询功能，提供全院患者查询列表，根据病区科室、患者信息、患者分组、入组状态、住院日期进行筛选。包括患者详细的血糖方案、血糖监测、检验结果、医嘱、胰岛素治疗等多个功能；</w:t>
      </w:r>
    </w:p>
    <w:p>
      <w:pPr>
        <w:spacing w:line="360" w:lineRule="auto"/>
        <w:rPr>
          <w:szCs w:val="24"/>
        </w:rPr>
      </w:pPr>
      <w:r>
        <w:rPr>
          <w:rFonts w:hint="eastAsia"/>
          <w:szCs w:val="24"/>
        </w:rPr>
        <w:t>11</w:t>
      </w:r>
      <w:r>
        <w:rPr>
          <w:rFonts w:hint="eastAsia"/>
          <w:szCs w:val="24"/>
          <w:lang w:eastAsia="zh-CN"/>
        </w:rPr>
        <w:t>、</w:t>
      </w:r>
      <w:r>
        <w:rPr>
          <w:rFonts w:hint="eastAsia"/>
          <w:szCs w:val="24"/>
        </w:rPr>
        <w:t>可实现糖尿病医共体内血糖数据互联互通，实现患者全病程跟踪，并提供实际成功案例发表的文献或第三方报道等证明材料；</w:t>
      </w:r>
    </w:p>
    <w:p>
      <w:pPr>
        <w:spacing w:line="360" w:lineRule="auto"/>
        <w:rPr>
          <w:szCs w:val="24"/>
        </w:rPr>
      </w:pPr>
      <w:r>
        <w:rPr>
          <w:rFonts w:hint="eastAsia"/>
          <w:szCs w:val="24"/>
        </w:rPr>
        <w:t>12</w:t>
      </w:r>
      <w:r>
        <w:rPr>
          <w:rFonts w:hint="eastAsia"/>
          <w:szCs w:val="24"/>
          <w:lang w:eastAsia="zh-CN"/>
        </w:rPr>
        <w:t>、</w:t>
      </w:r>
      <w:r>
        <w:rPr>
          <w:rFonts w:hint="eastAsia"/>
          <w:szCs w:val="24"/>
        </w:rPr>
        <w:t>管理系统和配套硬件、耗材为同一公司提供售后服务，保证产品的兼容性及配套升级。</w:t>
      </w:r>
    </w:p>
    <w:p>
      <w:pPr>
        <w:spacing w:line="360" w:lineRule="auto"/>
        <w:rPr>
          <w:rFonts w:hint="eastAsia" w:ascii="Times New Roman" w:hAnsi="Times New Roman" w:cs="Times New Roman"/>
          <w:szCs w:val="24"/>
          <w:lang w:eastAsia="zh-CN"/>
        </w:rPr>
      </w:pPr>
      <w:r>
        <w:rPr>
          <w:rFonts w:hint="eastAsia" w:ascii="Times New Roman" w:hAnsi="Times New Roman" w:cs="Times New Roman"/>
          <w:szCs w:val="24"/>
          <w:lang w:eastAsia="zh-CN"/>
        </w:rPr>
        <w:t>（二）配套智能血糖仪技术要求</w:t>
      </w:r>
    </w:p>
    <w:p>
      <w:pPr>
        <w:spacing w:line="360" w:lineRule="auto"/>
        <w:rPr>
          <w:szCs w:val="24"/>
        </w:rPr>
      </w:pPr>
      <w:r>
        <w:rPr>
          <w:rFonts w:hint="eastAsia"/>
          <w:szCs w:val="24"/>
        </w:rPr>
        <w:t>1</w:t>
      </w:r>
      <w:r>
        <w:rPr>
          <w:rFonts w:hint="eastAsia"/>
          <w:szCs w:val="24"/>
          <w:lang w:eastAsia="zh-CN"/>
        </w:rPr>
        <w:t>、</w:t>
      </w:r>
      <w:r>
        <w:rPr>
          <w:rFonts w:hint="eastAsia"/>
          <w:szCs w:val="24"/>
        </w:rPr>
        <w:t>临床智能血糖仪本身至少支持4G、wifi（5G可用）等多种数据接口方式</w:t>
      </w:r>
    </w:p>
    <w:p>
      <w:pPr>
        <w:spacing w:line="360" w:lineRule="auto"/>
        <w:rPr>
          <w:szCs w:val="24"/>
        </w:rPr>
      </w:pPr>
      <w:r>
        <w:rPr>
          <w:rFonts w:hint="eastAsia"/>
          <w:szCs w:val="24"/>
        </w:rPr>
        <w:t>2</w:t>
      </w:r>
      <w:r>
        <w:rPr>
          <w:rFonts w:hint="eastAsia"/>
          <w:szCs w:val="24"/>
          <w:lang w:eastAsia="zh-CN"/>
        </w:rPr>
        <w:t>、</w:t>
      </w:r>
      <w:r>
        <w:rPr>
          <w:rFonts w:hint="eastAsia"/>
          <w:szCs w:val="24"/>
        </w:rPr>
        <w:t>临床智能血糖仪记忆容量＞4G，满足临床大数据存储需求医疗器械管理办法</w:t>
      </w:r>
    </w:p>
    <w:p>
      <w:pPr>
        <w:spacing w:line="360" w:lineRule="auto"/>
        <w:rPr>
          <w:szCs w:val="24"/>
        </w:rPr>
      </w:pPr>
      <w:r>
        <w:rPr>
          <w:rFonts w:hint="eastAsia"/>
          <w:szCs w:val="24"/>
        </w:rPr>
        <w:t>3</w:t>
      </w:r>
      <w:r>
        <w:rPr>
          <w:rFonts w:hint="eastAsia"/>
          <w:szCs w:val="24"/>
          <w:lang w:eastAsia="zh-CN"/>
        </w:rPr>
        <w:t>、</w:t>
      </w:r>
      <w:r>
        <w:rPr>
          <w:rFonts w:hint="eastAsia"/>
          <w:szCs w:val="24"/>
        </w:rPr>
        <w:t>临床智能血糖仪具有医嘱识别功能，能提示血糖医嘱次数及已监测次数、以及胰岛素对接功能，实现胰岛素的执行及结果回传；</w:t>
      </w:r>
    </w:p>
    <w:p>
      <w:pPr>
        <w:spacing w:line="360" w:lineRule="auto"/>
        <w:rPr>
          <w:szCs w:val="24"/>
        </w:rPr>
      </w:pPr>
      <w:r>
        <w:rPr>
          <w:rFonts w:hint="eastAsia"/>
          <w:szCs w:val="24"/>
          <w:lang w:val="en-US" w:eastAsia="zh-CN"/>
        </w:rPr>
        <w:t>4、</w:t>
      </w:r>
      <w:r>
        <w:rPr>
          <w:rFonts w:hint="eastAsia"/>
          <w:szCs w:val="24"/>
        </w:rPr>
        <w:t>临床智能血糖仪具有国家药监局医疗器械网络安全注册审批，保证数据安全，确保数据传输不借助第三方设备，避免第三方设备带来的数据泄露风险；</w:t>
      </w:r>
    </w:p>
    <w:p>
      <w:pPr>
        <w:spacing w:line="360" w:lineRule="auto"/>
        <w:rPr>
          <w:szCs w:val="24"/>
        </w:rPr>
      </w:pPr>
      <w:r>
        <w:rPr>
          <w:szCs w:val="24"/>
        </w:rPr>
        <w:t>5</w:t>
      </w:r>
      <w:r>
        <w:rPr>
          <w:rFonts w:hint="eastAsia"/>
          <w:szCs w:val="24"/>
          <w:lang w:eastAsia="zh-CN"/>
        </w:rPr>
        <w:t>、</w:t>
      </w:r>
      <w:r>
        <w:rPr>
          <w:rFonts w:hint="eastAsia"/>
          <w:szCs w:val="24"/>
        </w:rPr>
        <w:t>临床智能血糖仪是一体机，操作界面可定制化开发，可根据临床需求定制功能且符合药监局对医疗器械注册原则的相关管理规定。</w:t>
      </w:r>
    </w:p>
    <w:p>
      <w:pPr>
        <w:spacing w:line="360" w:lineRule="auto"/>
        <w:rPr>
          <w:rFonts w:hint="eastAsia" w:ascii="Times New Roman" w:hAnsi="Times New Roman" w:cs="Times New Roman"/>
          <w:szCs w:val="24"/>
        </w:rPr>
      </w:pP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三</w:t>
      </w:r>
      <w:r>
        <w:rPr>
          <w:rFonts w:hint="eastAsia" w:ascii="Times New Roman" w:hAnsi="Times New Roman" w:cs="Times New Roman"/>
          <w:szCs w:val="24"/>
          <w:lang w:eastAsia="zh-CN"/>
        </w:rPr>
        <w:t>）</w:t>
      </w:r>
      <w:r>
        <w:rPr>
          <w:rFonts w:hint="eastAsia" w:ascii="Times New Roman" w:hAnsi="Times New Roman" w:cs="Times New Roman"/>
          <w:szCs w:val="24"/>
        </w:rPr>
        <w:t>临床血糖试纸技术要求</w:t>
      </w:r>
    </w:p>
    <w:p>
      <w:pPr>
        <w:spacing w:line="360" w:lineRule="auto"/>
        <w:rPr>
          <w:rFonts w:hint="eastAsia"/>
          <w:szCs w:val="24"/>
        </w:rPr>
      </w:pPr>
      <w:r>
        <w:rPr>
          <w:rFonts w:hint="eastAsia"/>
          <w:szCs w:val="24"/>
        </w:rPr>
        <w:t>1</w:t>
      </w:r>
      <w:r>
        <w:rPr>
          <w:rFonts w:hint="eastAsia"/>
          <w:szCs w:val="24"/>
          <w:lang w:eastAsia="zh-CN"/>
        </w:rPr>
        <w:t>、</w:t>
      </w:r>
      <w:r>
        <w:rPr>
          <w:rFonts w:hint="eastAsia"/>
          <w:szCs w:val="24"/>
        </w:rPr>
        <w:t>准确度：满足（GB/T19634-2005）和ISO151972013的标准</w:t>
      </w:r>
    </w:p>
    <w:p>
      <w:pPr>
        <w:spacing w:line="360" w:lineRule="auto"/>
        <w:rPr>
          <w:rFonts w:hint="eastAsia"/>
          <w:szCs w:val="24"/>
        </w:rPr>
      </w:pPr>
      <w:r>
        <w:rPr>
          <w:rFonts w:hint="eastAsia"/>
          <w:szCs w:val="24"/>
        </w:rPr>
        <w:t>2</w:t>
      </w:r>
      <w:r>
        <w:rPr>
          <w:rFonts w:hint="eastAsia"/>
          <w:szCs w:val="24"/>
          <w:lang w:eastAsia="zh-CN"/>
        </w:rPr>
        <w:t>、</w:t>
      </w:r>
      <w:r>
        <w:rPr>
          <w:rFonts w:hint="eastAsia"/>
          <w:szCs w:val="24"/>
        </w:rPr>
        <w:t>测试时间：小于等于6s出结果</w:t>
      </w:r>
    </w:p>
    <w:p>
      <w:pPr>
        <w:spacing w:line="360" w:lineRule="auto"/>
        <w:rPr>
          <w:rFonts w:hint="eastAsia"/>
          <w:szCs w:val="24"/>
        </w:rPr>
      </w:pPr>
      <w:r>
        <w:rPr>
          <w:rFonts w:hint="eastAsia"/>
          <w:szCs w:val="24"/>
        </w:rPr>
        <w:t>3</w:t>
      </w:r>
      <w:r>
        <w:rPr>
          <w:rFonts w:hint="eastAsia"/>
          <w:szCs w:val="24"/>
          <w:lang w:eastAsia="zh-CN"/>
        </w:rPr>
        <w:t>、</w:t>
      </w:r>
      <w:r>
        <w:rPr>
          <w:rFonts w:hint="eastAsia"/>
          <w:szCs w:val="24"/>
        </w:rPr>
        <w:t>退条方式：具有退条键可自动退条</w:t>
      </w:r>
    </w:p>
    <w:p>
      <w:pPr>
        <w:spacing w:line="360" w:lineRule="auto"/>
        <w:rPr>
          <w:rFonts w:hint="eastAsia"/>
          <w:szCs w:val="24"/>
        </w:rPr>
      </w:pPr>
      <w:r>
        <w:rPr>
          <w:rFonts w:hint="eastAsia"/>
          <w:szCs w:val="24"/>
        </w:rPr>
        <w:t>4</w:t>
      </w:r>
      <w:r>
        <w:rPr>
          <w:rFonts w:hint="eastAsia"/>
          <w:szCs w:val="24"/>
          <w:lang w:eastAsia="zh-CN"/>
        </w:rPr>
        <w:t>、</w:t>
      </w:r>
      <w:r>
        <w:rPr>
          <w:rFonts w:hint="eastAsia"/>
          <w:szCs w:val="24"/>
        </w:rPr>
        <w:t>质控方式：标准品质控，自动记录质控数据</w:t>
      </w:r>
    </w:p>
    <w:p>
      <w:pPr>
        <w:spacing w:line="360" w:lineRule="auto"/>
        <w:rPr>
          <w:rFonts w:hint="eastAsia"/>
          <w:szCs w:val="24"/>
        </w:rPr>
      </w:pPr>
      <w:r>
        <w:rPr>
          <w:rFonts w:hint="eastAsia"/>
          <w:szCs w:val="24"/>
        </w:rPr>
        <w:t>5</w:t>
      </w:r>
      <w:r>
        <w:rPr>
          <w:rFonts w:hint="eastAsia"/>
          <w:szCs w:val="24"/>
          <w:lang w:eastAsia="zh-CN"/>
        </w:rPr>
        <w:t>、</w:t>
      </w:r>
      <w:r>
        <w:rPr>
          <w:rFonts w:hint="eastAsia"/>
          <w:szCs w:val="24"/>
        </w:rPr>
        <w:t>试纸技术具有国家专利证书</w:t>
      </w:r>
    </w:p>
    <w:p>
      <w:pPr>
        <w:spacing w:line="360" w:lineRule="auto"/>
        <w:rPr>
          <w:rFonts w:hint="eastAsia"/>
          <w:szCs w:val="24"/>
        </w:rPr>
      </w:pPr>
      <w:r>
        <w:rPr>
          <w:rFonts w:hint="eastAsia"/>
          <w:szCs w:val="24"/>
        </w:rPr>
        <w:t>6</w:t>
      </w:r>
      <w:r>
        <w:rPr>
          <w:rFonts w:hint="eastAsia"/>
          <w:szCs w:val="24"/>
          <w:lang w:eastAsia="zh-CN"/>
        </w:rPr>
        <w:t>、</w:t>
      </w:r>
      <w:r>
        <w:rPr>
          <w:rFonts w:hint="eastAsia"/>
          <w:szCs w:val="24"/>
        </w:rPr>
        <w:t>红细胞压积范围：30-60-%</w:t>
      </w:r>
    </w:p>
    <w:p>
      <w:pPr>
        <w:spacing w:line="360" w:lineRule="auto"/>
        <w:rPr>
          <w:rFonts w:hint="eastAsia"/>
          <w:szCs w:val="24"/>
        </w:rPr>
      </w:pPr>
      <w:r>
        <w:rPr>
          <w:rFonts w:hint="eastAsia"/>
          <w:szCs w:val="24"/>
        </w:rPr>
        <w:t>7</w:t>
      </w:r>
      <w:r>
        <w:rPr>
          <w:rFonts w:hint="eastAsia"/>
          <w:szCs w:val="24"/>
          <w:lang w:eastAsia="zh-CN"/>
        </w:rPr>
        <w:t>、</w:t>
      </w:r>
      <w:r>
        <w:rPr>
          <w:rFonts w:hint="eastAsia"/>
          <w:szCs w:val="24"/>
        </w:rPr>
        <w:t>血标本类型：新鲜毛细血管血、静脉血</w:t>
      </w:r>
    </w:p>
    <w:p>
      <w:pPr>
        <w:spacing w:line="360" w:lineRule="auto"/>
        <w:rPr>
          <w:rFonts w:hint="eastAsia"/>
          <w:szCs w:val="24"/>
        </w:rPr>
      </w:pPr>
      <w:r>
        <w:rPr>
          <w:rFonts w:hint="eastAsia"/>
          <w:szCs w:val="24"/>
        </w:rPr>
        <w:t>8</w:t>
      </w:r>
      <w:r>
        <w:rPr>
          <w:rFonts w:hint="eastAsia"/>
          <w:szCs w:val="24"/>
          <w:lang w:eastAsia="zh-CN"/>
        </w:rPr>
        <w:t>、</w:t>
      </w:r>
      <w:r>
        <w:rPr>
          <w:rFonts w:hint="eastAsia"/>
          <w:szCs w:val="24"/>
        </w:rPr>
        <w:t>样本体积：≤1.0ul</w:t>
      </w:r>
    </w:p>
    <w:p>
      <w:pPr>
        <w:spacing w:line="360" w:lineRule="auto"/>
        <w:rPr>
          <w:rFonts w:hint="eastAsia"/>
          <w:szCs w:val="24"/>
        </w:rPr>
      </w:pPr>
      <w:r>
        <w:rPr>
          <w:rFonts w:hint="eastAsia"/>
          <w:szCs w:val="24"/>
        </w:rPr>
        <w:t>9</w:t>
      </w:r>
      <w:r>
        <w:rPr>
          <w:rFonts w:hint="eastAsia"/>
          <w:szCs w:val="24"/>
          <w:lang w:eastAsia="zh-CN"/>
        </w:rPr>
        <w:t>、</w:t>
      </w:r>
      <w:r>
        <w:rPr>
          <w:rFonts w:hint="eastAsia"/>
          <w:szCs w:val="24"/>
        </w:rPr>
        <w:t>测试范围：1.1-33.3mmol/L</w:t>
      </w: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（十六）血药浓度分析仪</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（1）采用高压注射泵定量，流动相过注射泵和进样针，无需清洗针内壁。</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（2）可通过电脑随时改变进样量大小，无需更换定量环。</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（3）进样前，进样后均可对进样针外壁进行清洗，减少样品交叉污染</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（4）样品残留小于0.005%</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（5）分析型：样品瓶位数80个以上，可兼容2个96孔板</w:t>
      </w:r>
    </w:p>
    <w:p>
      <w:pPr>
        <w:pStyle w:val="32"/>
        <w:numPr>
          <w:ilvl w:val="0"/>
          <w:numId w:val="0"/>
        </w:numPr>
        <w:spacing w:line="240" w:lineRule="auto"/>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（6）软件能对系统进行全反控操作控制、自动数据采集、谱图处理等；使用了具有完全自主知识产权的液相色谱仪控制与数据采样系统软件。可针对用户的实际情况，能更加满足其具体要求。</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（7）软件含权限管理、审计追踪功能，满足国家GMP认证要求，满足制药行业要求。</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 xml:space="preserve">（8）使用的方法文件能对色谱仪的分析参数、谱图数据、分析报告进行长久存储与统一管理； </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（9）全中文操作菜单, 直观方便的人性化操作界面；</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（10）工作站具有多形式的谱图比较功能，有利于色谱研究；</w:t>
      </w:r>
    </w:p>
    <w:p>
      <w:pPr>
        <w:pStyle w:val="32"/>
        <w:numPr>
          <w:ilvl w:val="0"/>
          <w:numId w:val="0"/>
        </w:numPr>
        <w:rPr>
          <w:rFonts w:hint="eastAsia" w:ascii="Times New Roman" w:hAnsi="Times New Roman"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（11）控制方式:具有电脑反控功能，符合国家GLP要求；</w:t>
      </w:r>
    </w:p>
    <w:p>
      <w:pPr>
        <w:pStyle w:val="32"/>
        <w:numPr>
          <w:ilvl w:val="0"/>
          <w:numId w:val="0"/>
        </w:numP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cs="Times New Roman"/>
          <w:b w:val="0"/>
          <w:bCs w:val="0"/>
          <w:color w:val="auto"/>
          <w:kern w:val="2"/>
          <w:sz w:val="21"/>
          <w:szCs w:val="24"/>
          <w:lang w:val="en-US" w:eastAsia="zh-CN" w:bidi="ar-SA"/>
        </w:rPr>
        <w:t>（12）工作方式:前后台实现数据采集、计算、整理、储存和打印；</w:t>
      </w: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p>
    <w:p>
      <w:pPr>
        <w:pStyle w:val="32"/>
        <w:widowControl w:val="0"/>
        <w:numPr>
          <w:ilvl w:val="0"/>
          <w:numId w:val="0"/>
        </w:numPr>
        <w:spacing w:before="120" w:line="22" w:lineRule="atLeast"/>
        <w:jc w:val="center"/>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（十七） 医用冷藏箱</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（一）结构设计：</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1、箱体整体采用优质冷轧钢板，表面经环保陶化、喷涂工艺处理。</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（二）温度控制：</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1、采用微电脑控制系统，温度数字显示；</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2、精准的电子温度控制，精度达到0.1℃；</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3、标配USB存储模块，可以滚动存储8000条温度数据；</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4、箱内温度稳定在2℃~8℃范围内；</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5、不受环境温度影响的可靠温度控制，提供试剂、药品、样本所需的存储环境。</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（三）制冷系统：</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1、</w:t>
      </w:r>
      <w:r>
        <w:rPr>
          <w:rFonts w:hint="eastAsia" w:ascii="Times New Roman" w:hAnsi="Times New Roman" w:cs="Times New Roman"/>
          <w:b w:val="0"/>
          <w:bCs/>
          <w:kern w:val="2"/>
          <w:sz w:val="21"/>
          <w:szCs w:val="24"/>
          <w:lang w:val="en-US" w:eastAsia="zh-CN" w:bidi="ar-SA"/>
        </w:rPr>
        <w:t>压缩机采用</w:t>
      </w:r>
      <w:r>
        <w:rPr>
          <w:rFonts w:hint="eastAsia" w:ascii="Times New Roman" w:hAnsi="Times New Roman" w:eastAsia="宋体" w:cs="Times New Roman"/>
          <w:b w:val="0"/>
          <w:bCs/>
          <w:kern w:val="2"/>
          <w:sz w:val="21"/>
          <w:szCs w:val="24"/>
          <w:lang w:val="en-US" w:eastAsia="zh-CN" w:bidi="ar-SA"/>
        </w:rPr>
        <w:t>无氟环保高效制冷剂，制冷速度快，制冷效率高，耗电量低；</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2、风冷翅片式蒸发器配合独特的循环风冷系统设计，确保冷藏箱内部温度恒定；</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3、高密度保温发泡层采用环保环戊烷发泡剂，保温效果好。</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（四）安全保障：</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1、具备箱内高低温报警、传感器故障报警、断电报警（支持8小时）、开关门异常报警功能；</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2、具备声音蜂鸣和灯光闪烁双重报警方式；</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3、传感器故障安全运行模式（显示传感器和控制传感器互为备份）；</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4、温控器键盘锁定、密码保护功能，防止随意调整运行参数；</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5、断电保护：冷藏箱延时启动功能，避免电网恢复供电时多台设备同时导致断路器保护。</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（五）人性化设计：</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1、宽电压带，适合187~242V电压下使用；</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2、静音设计，适合安静环境；</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3、安全门锁设计，确保存放物品安全；</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4、大屏幕数字显示便于观察；</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5、标配测试孔，方便用户监测或实验采集数据；</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6、高度可调节搁架设计，根据物品的不同调节高度，提高空间利用率；</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7、万向可刹车脚轮设计，方便用户移动设备；</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8、双层中空电加热膜玻璃门，设备运行时无凝露；</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9、内置LED节能照明灯，开关门自动点亮或熄灭，方便观察箱内物品。</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（六）技术参数</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层数：5</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制冷方式（风冷/直冷）：风冷</w:t>
      </w:r>
    </w:p>
    <w:p>
      <w:pPr>
        <w:pStyle w:val="32"/>
        <w:numPr>
          <w:ilvl w:val="0"/>
          <w:numId w:val="0"/>
        </w:numPr>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除霜方式（自动/手动）：自动</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制冷剂/g：R134a/310g</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噪音级别：50dB(A)</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环温：10~32℃</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温度范围：5±3℃</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蒸发器材料：铜管铝翅片</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显示方式（LCD/LED)：LED数码管</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电压/频率（V/Hz)：220/50、220/60、110/60</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功率（W)：560</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电流（A)：3.2</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内部材料：喷涂钢板</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外部材料：喷涂钢板</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隔热层：聚氨酯环戊烷发泡</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有效容积（L)：1000</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净重（kg)：212/280</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外部尺寸（宽*深*高)(mm)：1220×860×1885</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内部尺寸（宽*深*高)(mm)：1100×684×1325</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高低温报警：标配</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断电报警：标配</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温控器故障报警：标配</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门开关报警：标配</w:t>
      </w:r>
    </w:p>
    <w:p>
      <w:pPr>
        <w:pStyle w:val="4"/>
        <w:jc w:val="left"/>
        <w:rPr>
          <w:rFonts w:hint="eastAsia" w:ascii="Times New Roman" w:hAnsi="Times New Roman" w:eastAsia="宋体" w:cs="Times New Roman"/>
          <w:b w:val="0"/>
          <w:bCs/>
          <w:kern w:val="2"/>
          <w:sz w:val="21"/>
          <w:szCs w:val="24"/>
          <w:lang w:val="en-US" w:eastAsia="zh-CN" w:bidi="ar-SA"/>
        </w:rPr>
      </w:pPr>
      <w:r>
        <w:rPr>
          <w:rFonts w:hint="eastAsia" w:ascii="Times New Roman" w:hAnsi="Times New Roman" w:eastAsia="宋体" w:cs="Times New Roman"/>
          <w:b w:val="0"/>
          <w:bCs/>
          <w:kern w:val="2"/>
          <w:sz w:val="21"/>
          <w:szCs w:val="24"/>
          <w:lang w:val="en-US" w:eastAsia="zh-CN" w:bidi="ar-SA"/>
        </w:rPr>
        <w:t>断电报警时长（h）：8</w:t>
      </w:r>
    </w:p>
    <w:p>
      <w:pPr>
        <w:pStyle w:val="4"/>
        <w:jc w:val="left"/>
        <w:rPr>
          <w:rFonts w:hint="eastAsia" w:ascii="Times New Roman" w:hAnsi="Times New Roman" w:eastAsia="宋体" w:cs="Times New Roman"/>
          <w:kern w:val="2"/>
          <w:sz w:val="21"/>
          <w:szCs w:val="24"/>
          <w:lang w:val="en-US" w:eastAsia="zh-CN" w:bidi="ar-SA"/>
        </w:rPr>
      </w:pPr>
    </w:p>
    <w:p>
      <w:pPr>
        <w:pStyle w:val="4"/>
        <w:jc w:val="left"/>
        <w:rPr>
          <w:rFonts w:hint="default" w:ascii="Times New Roman" w:hAnsi="Times New Roman" w:eastAsia="宋体" w:cs="Times New Roman"/>
          <w:kern w:val="2"/>
          <w:sz w:val="21"/>
          <w:szCs w:val="24"/>
          <w:lang w:val="en-US" w:eastAsia="zh-CN" w:bidi="ar-SA"/>
        </w:rPr>
        <w:sectPr>
          <w:headerReference r:id="rId18" w:type="default"/>
          <w:footerReference r:id="rId19" w:type="default"/>
          <w:pgSz w:w="11907" w:h="16840"/>
          <w:pgMar w:top="1474" w:right="1814" w:bottom="1474" w:left="1814" w:header="851" w:footer="851" w:gutter="0"/>
          <w:pgNumType w:fmt="decimal"/>
          <w:cols w:space="720" w:num="1"/>
          <w:docGrid w:linePitch="462" w:charSpace="0"/>
        </w:sectPr>
      </w:pPr>
      <w:r>
        <w:rPr>
          <w:rFonts w:hint="eastAsia" w:ascii="Times New Roman" w:hAnsi="Times New Roman" w:eastAsia="宋体" w:cs="Times New Roman"/>
          <w:kern w:val="2"/>
          <w:sz w:val="21"/>
          <w:szCs w:val="24"/>
          <w:lang w:val="en-US" w:eastAsia="zh-CN" w:bidi="ar-SA"/>
        </w:rPr>
        <w:t>备注：本项目所有产品技术参数及要求均无任何指向性，供应商可自行选择投标产品。</w:t>
      </w:r>
    </w:p>
    <w:p>
      <w:pP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主要商务要求如下</w:t>
      </w:r>
      <w:r>
        <w:rPr>
          <w:rFonts w:hint="eastAsia" w:ascii="Times New Roman" w:hAnsi="Times New Roman" w:eastAsia="宋体" w:cs="Times New Roman"/>
          <w:b w:val="0"/>
          <w:bCs w:val="0"/>
          <w:color w:val="auto"/>
          <w:kern w:val="2"/>
          <w:sz w:val="21"/>
          <w:szCs w:val="24"/>
          <w:lang w:val="en-US" w:eastAsia="zh-CN" w:bidi="ar-SA"/>
        </w:rPr>
        <w:t>：</w:t>
      </w:r>
    </w:p>
    <w:p>
      <w:pPr>
        <w:numPr>
          <w:ilvl w:val="0"/>
          <w:numId w:val="10"/>
        </w:numPr>
        <w:spacing w:line="240" w:lineRule="auto"/>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合同履行期限：签订合同之日起15日</w:t>
      </w:r>
      <w:r>
        <w:rPr>
          <w:rFonts w:hint="eastAsia" w:cs="Times New Roman"/>
          <w:b w:val="0"/>
          <w:bCs w:val="0"/>
          <w:color w:val="auto"/>
          <w:kern w:val="2"/>
          <w:sz w:val="21"/>
          <w:szCs w:val="24"/>
          <w:lang w:val="en-US" w:eastAsia="zh-CN" w:bidi="ar-SA"/>
        </w:rPr>
        <w:t>。</w:t>
      </w:r>
    </w:p>
    <w:p>
      <w:pPr>
        <w:pStyle w:val="47"/>
        <w:spacing w:line="240" w:lineRule="auto"/>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2、付款方式：安装完成验收并试运行后合格</w:t>
      </w:r>
      <w:r>
        <w:rPr>
          <w:rFonts w:hint="eastAsia" w:ascii="Times New Roman" w:cs="Times New Roman"/>
          <w:b w:val="0"/>
          <w:bCs w:val="0"/>
          <w:color w:val="auto"/>
          <w:kern w:val="2"/>
          <w:sz w:val="21"/>
          <w:szCs w:val="24"/>
          <w:lang w:val="en-US" w:eastAsia="zh-CN" w:bidi="ar-SA"/>
        </w:rPr>
        <w:t>后</w:t>
      </w:r>
      <w:r>
        <w:rPr>
          <w:rFonts w:hint="eastAsia" w:ascii="Times New Roman" w:hAnsi="Times New Roman" w:eastAsia="宋体" w:cs="Times New Roman"/>
          <w:b w:val="0"/>
          <w:bCs w:val="0"/>
          <w:color w:val="auto"/>
          <w:kern w:val="2"/>
          <w:sz w:val="21"/>
          <w:szCs w:val="24"/>
          <w:lang w:val="en-US" w:eastAsia="zh-CN" w:bidi="ar-SA"/>
        </w:rPr>
        <w:t>一次性付款，签订合同前成交供应商先缴纳5%履约保证金，质保金5%</w:t>
      </w:r>
      <w:r>
        <w:rPr>
          <w:rFonts w:hint="eastAsia" w:ascii="Times New Roman" w:cs="Times New Roman"/>
          <w:b w:val="0"/>
          <w:bCs w:val="0"/>
          <w:color w:val="auto"/>
          <w:kern w:val="2"/>
          <w:sz w:val="21"/>
          <w:szCs w:val="24"/>
          <w:lang w:val="en-US" w:eastAsia="zh-CN" w:bidi="ar-SA"/>
        </w:rPr>
        <w:t>，质保期满无任何质量问题后退清</w:t>
      </w:r>
      <w:r>
        <w:rPr>
          <w:rFonts w:hint="eastAsia" w:ascii="Times New Roman" w:hAnsi="Times New Roman" w:eastAsia="宋体" w:cs="Times New Roman"/>
          <w:b w:val="0"/>
          <w:bCs w:val="0"/>
          <w:color w:val="auto"/>
          <w:kern w:val="2"/>
          <w:sz w:val="21"/>
          <w:szCs w:val="24"/>
          <w:lang w:val="en-US" w:eastAsia="zh-CN" w:bidi="ar-SA"/>
        </w:rPr>
        <w:t>。</w:t>
      </w:r>
    </w:p>
    <w:p>
      <w:pPr>
        <w:pStyle w:val="23"/>
        <w:spacing w:line="240" w:lineRule="auto"/>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3、质保期：2年</w:t>
      </w:r>
    </w:p>
    <w:p>
      <w:pPr>
        <w:pStyle w:val="32"/>
        <w:spacing w:line="240" w:lineRule="auto"/>
        <w:ind w:firstLine="0" w:firstLineChars="0"/>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4、验收依据：按国家相关标准规定、招标文件的质量要求和技术指标、中标人的投标文件及承诺以及合同约定标准进行验收。验收合格后出具验收报告书。验收过程中如需国家技术监督部门等相关部门进行检测，检测费用由成交供应商承担。</w:t>
      </w:r>
    </w:p>
    <w:p>
      <w:pPr>
        <w:pStyle w:val="32"/>
        <w:ind w:firstLine="0" w:firstLineChars="0"/>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5、验收方式：分初步验收和最终验收，货物进场后，验收人员对货物包装、外观等进行初步验收，主要检查是否有碰撞损坏、产品合格证及检测报告是否齐全等。安装完成后进行最终验收，主要检查安装是否整洁规范，资料收集是否齐全，图形效果是否清晰完整，是否签署质量保修书，是否做到人走场清等。</w:t>
      </w:r>
    </w:p>
    <w:p>
      <w:pPr>
        <w:pStyle w:val="23"/>
        <w:spacing w:line="380" w:lineRule="exact"/>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5、验收单位：喀什地区康宁医院及相关单位</w:t>
      </w:r>
    </w:p>
    <w:p>
      <w:pPr>
        <w:pStyle w:val="23"/>
        <w:spacing w:line="380" w:lineRule="exac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6、售后服务要求：</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（1）供应商需提供的技术服务包括但</w:t>
      </w:r>
      <w:r>
        <w:rPr>
          <w:rFonts w:hint="eastAsia" w:cs="Times New Roman"/>
          <w:b w:val="0"/>
          <w:bCs w:val="0"/>
          <w:color w:val="auto"/>
          <w:kern w:val="2"/>
          <w:sz w:val="21"/>
          <w:szCs w:val="24"/>
          <w:lang w:val="en-US" w:eastAsia="zh-CN" w:bidi="ar-SA"/>
        </w:rPr>
        <w:t>不</w:t>
      </w:r>
      <w:r>
        <w:rPr>
          <w:rFonts w:hint="eastAsia" w:ascii="Times New Roman" w:hAnsi="Times New Roman" w:eastAsia="宋体" w:cs="Times New Roman"/>
          <w:b w:val="0"/>
          <w:bCs w:val="0"/>
          <w:color w:val="auto"/>
          <w:kern w:val="2"/>
          <w:sz w:val="21"/>
          <w:szCs w:val="24"/>
          <w:lang w:val="en-US" w:eastAsia="zh-CN" w:bidi="ar-SA"/>
        </w:rPr>
        <w:t>限于备品备件价格、售后服务</w:t>
      </w:r>
      <w:r>
        <w:rPr>
          <w:rFonts w:hint="eastAsia" w:cs="Times New Roman"/>
          <w:b w:val="0"/>
          <w:bCs w:val="0"/>
          <w:color w:val="auto"/>
          <w:kern w:val="2"/>
          <w:sz w:val="21"/>
          <w:szCs w:val="24"/>
          <w:lang w:val="en-US" w:eastAsia="zh-CN" w:bidi="ar-SA"/>
        </w:rPr>
        <w:t>地址</w:t>
      </w:r>
      <w:r>
        <w:rPr>
          <w:rFonts w:hint="eastAsia" w:ascii="Times New Roman" w:hAnsi="Times New Roman" w:eastAsia="宋体" w:cs="Times New Roman"/>
          <w:b w:val="0"/>
          <w:bCs w:val="0"/>
          <w:color w:val="auto"/>
          <w:kern w:val="2"/>
          <w:sz w:val="21"/>
          <w:szCs w:val="24"/>
          <w:lang w:val="en-US" w:eastAsia="zh-CN" w:bidi="ar-SA"/>
        </w:rPr>
        <w:t>、联系人及方式等；装机时使用培训和日常维护培训各不少于一周时间，并确保现场不限次培训，包教包会，并提供使用和维修教程的电子版资料。</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（2）成交人在质保期内需至少到场免费检查维护不少于三次。</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（3）在保修期内</w:t>
      </w:r>
      <w:r>
        <w:rPr>
          <w:rFonts w:hint="eastAsia" w:cs="Times New Roman"/>
          <w:b w:val="0"/>
          <w:bCs w:val="0"/>
          <w:color w:val="auto"/>
          <w:kern w:val="2"/>
          <w:sz w:val="21"/>
          <w:szCs w:val="24"/>
          <w:lang w:val="en-US" w:eastAsia="zh-CN" w:bidi="ar-SA"/>
        </w:rPr>
        <w:t>，</w:t>
      </w:r>
      <w:r>
        <w:rPr>
          <w:rFonts w:hint="eastAsia" w:ascii="Times New Roman" w:hAnsi="Times New Roman" w:eastAsia="宋体" w:cs="Times New Roman"/>
          <w:b w:val="0"/>
          <w:bCs w:val="0"/>
          <w:color w:val="auto"/>
          <w:kern w:val="2"/>
          <w:sz w:val="21"/>
          <w:szCs w:val="24"/>
          <w:lang w:val="en-US" w:eastAsia="zh-CN" w:bidi="ar-SA"/>
        </w:rPr>
        <w:t>对所有产品实行“三包”服务，设备运行中因产品质量出现问题导致设备无法正常使用，成交单位应在1个小时内响应、8个小时内到达设备现场，并自行承担与维修和更换相关材料、运输、安装、调试、保险等全部所产生的费用。</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4）保修期后，因产品质量出现问题导致设备无法正常使用，成交方负责设备使用寿命内维修或更换，采购人负责材料购置及相关费用（仅限成本费用）。对超出保修条件的维修，成交方可收取适当的维修成本，并将继续积极地为用户提供支持。</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（5）开机率≥98%（按工作日计算），累计故障不超过6天，每超过一天，按康宁医院该设备上月日均全部收费为标准计算直接损失，收费标准按照新疆维吾尔自治区发改委相关物价标准执行。</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7、交货地点：采购单位指定地点</w:t>
      </w:r>
    </w:p>
    <w:p>
      <w:pPr>
        <w:pStyle w:val="23"/>
        <w:spacing w:line="380" w:lineRule="exact"/>
        <w:ind w:firstLine="420" w:firstLineChars="200"/>
        <w:rPr>
          <w:rFonts w:hint="eastAsia"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8、投标供应商必须提供由投标产品制造商出具的有关产品的技术支持文件（如彩页、技术白皮书、光盘等），提供产品合格证书、检测证书</w:t>
      </w:r>
      <w:r>
        <w:rPr>
          <w:rFonts w:hint="eastAsia" w:cs="Times New Roman"/>
          <w:b w:val="0"/>
          <w:bCs w:val="0"/>
          <w:color w:val="auto"/>
          <w:kern w:val="2"/>
          <w:sz w:val="21"/>
          <w:szCs w:val="24"/>
          <w:lang w:val="en-US" w:eastAsia="zh-CN" w:bidi="ar-SA"/>
        </w:rPr>
        <w:t>等证明资料。</w:t>
      </w:r>
    </w:p>
    <w:p>
      <w:pPr>
        <w:pStyle w:val="23"/>
        <w:spacing w:line="380" w:lineRule="exact"/>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9、实施方案：</w:t>
      </w:r>
      <w:bookmarkStart w:id="501" w:name="_Toc23613_WPSOffice_Level2"/>
      <w:bookmarkStart w:id="502" w:name="_Toc31997_WPSOffice_Level2"/>
      <w:r>
        <w:rPr>
          <w:rFonts w:hint="eastAsia" w:ascii="Times New Roman" w:hAnsi="Times New Roman" w:eastAsia="宋体" w:cs="Times New Roman"/>
          <w:b w:val="0"/>
          <w:bCs w:val="0"/>
          <w:color w:val="auto"/>
          <w:kern w:val="2"/>
          <w:sz w:val="21"/>
          <w:szCs w:val="24"/>
          <w:lang w:val="en-US" w:eastAsia="zh-CN" w:bidi="ar-SA"/>
        </w:rPr>
        <w:t>为了高质量地完成项目采购工作，供应商应针对本项目制定切实可行的实施方案。实施方案主要包括拟投入的专业人员、供货方案、实施过程中的质量及进度控制方案、安全保证措施、安装调试和试运行、人员培训方案、售后服务方案等。</w:t>
      </w:r>
    </w:p>
    <w:p>
      <w:pPr>
        <w:pStyle w:val="23"/>
        <w:spacing w:line="380" w:lineRule="exact"/>
        <w:ind w:firstLine="420" w:firstLineChars="200"/>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10.投标方须保证提供的货物是由原厂生产的、全新的、未使用过的设备，所采用的技术和软件是全新的、并符合规定的质量、规格和性能</w:t>
      </w:r>
      <w:r>
        <w:rPr>
          <w:rFonts w:hint="eastAsia" w:cs="Times New Roman"/>
          <w:b w:val="0"/>
          <w:bCs w:val="0"/>
          <w:color w:val="auto"/>
          <w:kern w:val="2"/>
          <w:sz w:val="21"/>
          <w:szCs w:val="24"/>
          <w:lang w:val="en-US" w:eastAsia="zh-CN" w:bidi="ar-SA"/>
        </w:rPr>
        <w:t>（</w:t>
      </w:r>
      <w:r>
        <w:rPr>
          <w:rFonts w:hint="eastAsia" w:cs="Times New Roman"/>
          <w:b/>
          <w:bCs/>
          <w:color w:val="auto"/>
          <w:kern w:val="2"/>
          <w:sz w:val="21"/>
          <w:szCs w:val="24"/>
          <w:lang w:val="en-US" w:eastAsia="zh-CN" w:bidi="ar-SA"/>
        </w:rPr>
        <w:t>供应商需在响应文件中做出承诺</w:t>
      </w:r>
      <w:r>
        <w:rPr>
          <w:rFonts w:hint="eastAsia" w:cs="Times New Roman"/>
          <w:b w:val="0"/>
          <w:bCs w:val="0"/>
          <w:color w:val="auto"/>
          <w:kern w:val="2"/>
          <w:sz w:val="21"/>
          <w:szCs w:val="24"/>
          <w:lang w:val="en-US" w:eastAsia="zh-CN" w:bidi="ar-SA"/>
        </w:rPr>
        <w:t>）</w:t>
      </w:r>
      <w:r>
        <w:rPr>
          <w:rFonts w:hint="eastAsia" w:ascii="Times New Roman" w:hAnsi="Times New Roman" w:eastAsia="宋体" w:cs="Times New Roman"/>
          <w:b w:val="0"/>
          <w:bCs w:val="0"/>
          <w:color w:val="auto"/>
          <w:kern w:val="2"/>
          <w:sz w:val="21"/>
          <w:szCs w:val="24"/>
          <w:lang w:val="en-US" w:eastAsia="zh-CN" w:bidi="ar-SA"/>
        </w:rPr>
        <w:t>。</w:t>
      </w:r>
    </w:p>
    <w:p>
      <w:pPr>
        <w:widowControl/>
        <w:adjustRightInd w:val="0"/>
        <w:snapToGrid w:val="0"/>
        <w:spacing w:line="440" w:lineRule="exact"/>
        <w:jc w:val="left"/>
        <w:rPr>
          <w:rFonts w:hint="eastAsia"/>
        </w:rPr>
      </w:pPr>
      <w:r>
        <w:rPr>
          <w:rFonts w:hint="eastAsia" w:ascii="Times New Roman" w:hAnsi="Times New Roman" w:eastAsia="宋体" w:cs="Times New Roman"/>
          <w:b/>
          <w:bCs/>
          <w:color w:val="auto"/>
          <w:kern w:val="2"/>
          <w:sz w:val="21"/>
          <w:szCs w:val="24"/>
          <w:lang w:val="en-US" w:eastAsia="zh-CN" w:bidi="ar-SA"/>
        </w:rPr>
        <w:t>注：投标人报价应包括设备费（含设备原价、运杂费和采保费）、安装费（含安装人工费、设施费）、调试费、检验</w:t>
      </w:r>
      <w:r>
        <w:rPr>
          <w:rFonts w:hint="eastAsia" w:cs="Times New Roman"/>
          <w:b/>
          <w:bCs/>
          <w:color w:val="auto"/>
          <w:kern w:val="2"/>
          <w:sz w:val="21"/>
          <w:szCs w:val="24"/>
          <w:lang w:val="en-US" w:eastAsia="zh-CN" w:bidi="ar-SA"/>
        </w:rPr>
        <w:t>检测</w:t>
      </w:r>
      <w:r>
        <w:rPr>
          <w:rFonts w:hint="eastAsia" w:ascii="Times New Roman" w:hAnsi="Times New Roman" w:eastAsia="宋体" w:cs="Times New Roman"/>
          <w:b/>
          <w:bCs/>
          <w:color w:val="auto"/>
          <w:kern w:val="2"/>
          <w:sz w:val="21"/>
          <w:szCs w:val="24"/>
          <w:lang w:val="en-US" w:eastAsia="zh-CN" w:bidi="ar-SA"/>
        </w:rPr>
        <w:t>费、技术服务费、售后服务费、利润、税费等与本项目相关的一切费用。</w:t>
      </w:r>
    </w:p>
    <w:p>
      <w:pPr>
        <w:rPr>
          <w:rFonts w:hint="eastAsia"/>
        </w:rPr>
      </w:pPr>
    </w:p>
    <w:p>
      <w:pPr>
        <w:pStyle w:val="3"/>
        <w:tabs>
          <w:tab w:val="left" w:pos="0"/>
        </w:tabs>
        <w:spacing w:before="0" w:after="0" w:line="34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第6章  </w:t>
      </w:r>
      <w:bookmarkStart w:id="503" w:name="_Toc32647"/>
      <w:bookmarkStart w:id="504" w:name="_Toc23331"/>
      <w:bookmarkStart w:id="505" w:name="_Toc515647832"/>
      <w:bookmarkStart w:id="506" w:name="_Toc7971"/>
      <w:r>
        <w:rPr>
          <w:rFonts w:hint="eastAsia" w:asciiTheme="minorEastAsia" w:hAnsiTheme="minorEastAsia" w:eastAsiaTheme="minorEastAsia" w:cstheme="minorEastAsia"/>
          <w:color w:val="000000"/>
        </w:rPr>
        <w:t>评</w:t>
      </w:r>
      <w:r>
        <w:rPr>
          <w:rFonts w:hint="eastAsia" w:asciiTheme="minorEastAsia" w:hAnsiTheme="minorEastAsia" w:eastAsiaTheme="minorEastAsia" w:cstheme="minorEastAsia"/>
          <w:color w:val="000000"/>
          <w:lang w:eastAsia="zh-CN"/>
        </w:rPr>
        <w:t>审</w:t>
      </w:r>
      <w:r>
        <w:rPr>
          <w:rFonts w:hint="eastAsia" w:asciiTheme="minorEastAsia" w:hAnsiTheme="minorEastAsia" w:eastAsiaTheme="minorEastAsia" w:cstheme="minorEastAsia"/>
          <w:color w:val="000000"/>
        </w:rPr>
        <w:t>方法和标准</w:t>
      </w:r>
      <w:bookmarkEnd w:id="503"/>
      <w:bookmarkEnd w:id="504"/>
      <w:bookmarkEnd w:id="505"/>
      <w:bookmarkEnd w:id="506"/>
    </w:p>
    <w:p>
      <w:pPr>
        <w:spacing w:line="400" w:lineRule="atLeast"/>
        <w:jc w:val="both"/>
        <w:rPr>
          <w:rFonts w:hint="eastAsia" w:ascii="宋体" w:hAnsi="宋体" w:cs="宋体"/>
          <w:b/>
          <w:sz w:val="28"/>
          <w:szCs w:val="28"/>
        </w:rPr>
      </w:pPr>
      <w:bookmarkStart w:id="507" w:name="_Toc4158"/>
      <w:bookmarkStart w:id="508" w:name="_Toc6035"/>
      <w:bookmarkStart w:id="509" w:name="_Toc476758950"/>
    </w:p>
    <w:p>
      <w:pPr>
        <w:spacing w:line="400" w:lineRule="atLeast"/>
        <w:ind w:firstLine="482" w:firstLineChars="200"/>
        <w:jc w:val="center"/>
        <w:rPr>
          <w:rFonts w:hint="eastAsia" w:ascii="宋体" w:hAnsi="宋体" w:cs="宋体"/>
          <w:b/>
          <w:bCs/>
          <w:sz w:val="24"/>
        </w:rPr>
      </w:pPr>
      <w:r>
        <w:rPr>
          <w:rFonts w:hint="eastAsia" w:ascii="宋体" w:hAnsi="宋体" w:cs="宋体"/>
          <w:b/>
          <w:bCs/>
          <w:sz w:val="24"/>
        </w:rPr>
        <w:t>开标</w:t>
      </w:r>
    </w:p>
    <w:p>
      <w:pPr>
        <w:spacing w:line="400" w:lineRule="atLeast"/>
        <w:ind w:firstLine="480" w:firstLineChars="200"/>
        <w:rPr>
          <w:rFonts w:hint="eastAsia" w:ascii="宋体" w:hAnsi="宋体" w:cs="宋体"/>
          <w:sz w:val="24"/>
        </w:rPr>
      </w:pPr>
      <w:r>
        <w:rPr>
          <w:rFonts w:hint="eastAsia" w:ascii="宋体" w:hAnsi="宋体" w:cs="宋体"/>
          <w:sz w:val="24"/>
        </w:rPr>
        <w:t>1、本次招标按</w:t>
      </w:r>
      <w:r>
        <w:rPr>
          <w:rFonts w:hint="eastAsia" w:ascii="宋体" w:hAnsi="宋体" w:cs="宋体"/>
          <w:sz w:val="24"/>
          <w:lang w:val="en-US" w:eastAsia="zh-CN"/>
        </w:rPr>
        <w:t>磋商</w:t>
      </w:r>
      <w:r>
        <w:rPr>
          <w:rFonts w:hint="eastAsia" w:ascii="宋体" w:hAnsi="宋体" w:cs="宋体"/>
          <w:sz w:val="24"/>
        </w:rPr>
        <w:t>文件中规定的时间地点进行，将邀请</w:t>
      </w:r>
      <w:r>
        <w:rPr>
          <w:rFonts w:hint="eastAsia" w:ascii="宋体" w:hAnsi="宋体" w:cs="宋体"/>
          <w:sz w:val="24"/>
          <w:lang w:val="en-US" w:eastAsia="zh-CN"/>
        </w:rPr>
        <w:t>所有供应商</w:t>
      </w:r>
      <w:r>
        <w:rPr>
          <w:rFonts w:hint="eastAsia" w:ascii="宋体" w:hAnsi="宋体" w:cs="宋体"/>
          <w:sz w:val="24"/>
        </w:rPr>
        <w:t>的法定代表人或其授权委托人参加开标会；</w:t>
      </w:r>
    </w:p>
    <w:p>
      <w:pPr>
        <w:spacing w:line="400" w:lineRule="atLeast"/>
        <w:rPr>
          <w:rFonts w:hint="eastAsia" w:ascii="宋体" w:hAnsi="宋体" w:cs="宋体"/>
          <w:sz w:val="24"/>
        </w:rPr>
      </w:pPr>
      <w:r>
        <w:rPr>
          <w:rFonts w:hint="eastAsia" w:ascii="宋体" w:hAnsi="宋体" w:cs="宋体"/>
          <w:sz w:val="24"/>
        </w:rPr>
        <w:t xml:space="preserve">    2、开标时</w:t>
      </w:r>
      <w:r>
        <w:rPr>
          <w:rFonts w:hint="eastAsia" w:ascii="宋体" w:hAnsi="宋体" w:cs="宋体"/>
          <w:sz w:val="24"/>
          <w:lang w:val="en-US" w:eastAsia="zh-CN"/>
        </w:rPr>
        <w:t>首先由招标人对各供应商的资格情况进行审查，通过资格审核的供应商将进入下一环节评审。</w:t>
      </w:r>
      <w:r>
        <w:rPr>
          <w:rFonts w:hint="eastAsia" w:ascii="宋体" w:hAnsi="宋体" w:cs="宋体"/>
          <w:sz w:val="24"/>
        </w:rPr>
        <w:t>由</w:t>
      </w:r>
      <w:r>
        <w:rPr>
          <w:rFonts w:hint="eastAsia" w:ascii="宋体" w:hAnsi="宋体" w:cs="宋体"/>
          <w:sz w:val="24"/>
          <w:lang w:val="en-US" w:eastAsia="zh-CN"/>
        </w:rPr>
        <w:t>供应商</w:t>
      </w:r>
      <w:r>
        <w:rPr>
          <w:rFonts w:hint="eastAsia" w:ascii="宋体" w:hAnsi="宋体" w:cs="宋体"/>
          <w:sz w:val="24"/>
        </w:rPr>
        <w:t>或者其推选的代表检查投标文件密封情况</w:t>
      </w:r>
      <w:r>
        <w:rPr>
          <w:rFonts w:hint="eastAsia" w:ascii="宋体" w:hAnsi="宋体" w:cs="宋体"/>
          <w:sz w:val="24"/>
          <w:lang w:eastAsia="zh-CN"/>
        </w:rPr>
        <w:t>，</w:t>
      </w:r>
      <w:r>
        <w:rPr>
          <w:rFonts w:hint="eastAsia" w:ascii="宋体" w:hAnsi="宋体" w:cs="宋体"/>
          <w:sz w:val="24"/>
          <w:lang w:val="en-US" w:eastAsia="zh-CN"/>
        </w:rPr>
        <w:t>招标代理机构将开标过程详细记录</w:t>
      </w:r>
      <w:r>
        <w:rPr>
          <w:rFonts w:hint="eastAsia" w:ascii="宋体" w:hAnsi="宋体" w:cs="宋体"/>
          <w:sz w:val="24"/>
        </w:rPr>
        <w:t>；</w:t>
      </w:r>
    </w:p>
    <w:p>
      <w:pPr>
        <w:spacing w:line="400" w:lineRule="atLeast"/>
        <w:rPr>
          <w:rFonts w:hint="eastAsia" w:ascii="宋体" w:hAnsi="宋体" w:cs="宋体"/>
          <w:sz w:val="24"/>
        </w:rPr>
      </w:pPr>
      <w:r>
        <w:rPr>
          <w:rFonts w:hint="eastAsia" w:ascii="宋体" w:hAnsi="宋体" w:cs="宋体"/>
          <w:sz w:val="24"/>
        </w:rPr>
        <w:t xml:space="preserve">    3、</w:t>
      </w:r>
      <w:r>
        <w:rPr>
          <w:rFonts w:hint="eastAsia" w:ascii="宋体" w:hAnsi="宋体" w:cs="宋体"/>
          <w:sz w:val="24"/>
          <w:lang w:val="en-US" w:eastAsia="zh-CN"/>
        </w:rPr>
        <w:t>开标</w:t>
      </w:r>
      <w:r>
        <w:rPr>
          <w:rFonts w:hint="eastAsia" w:ascii="宋体" w:hAnsi="宋体" w:cs="宋体"/>
          <w:sz w:val="24"/>
        </w:rPr>
        <w:t>程序、评标原则在</w:t>
      </w:r>
      <w:r>
        <w:rPr>
          <w:rFonts w:hint="eastAsia" w:ascii="宋体" w:hAnsi="宋体" w:cs="宋体"/>
          <w:sz w:val="24"/>
          <w:lang w:val="en-US" w:eastAsia="zh-CN"/>
        </w:rPr>
        <w:t>开标</w:t>
      </w:r>
      <w:r>
        <w:rPr>
          <w:rFonts w:hint="eastAsia" w:ascii="宋体" w:hAnsi="宋体" w:cs="宋体"/>
          <w:sz w:val="24"/>
        </w:rPr>
        <w:t>会议上宣布。</w:t>
      </w:r>
    </w:p>
    <w:p>
      <w:pPr>
        <w:spacing w:line="400" w:lineRule="atLeast"/>
        <w:jc w:val="center"/>
        <w:rPr>
          <w:rFonts w:hint="eastAsia" w:ascii="宋体" w:hAnsi="宋体" w:cs="宋体"/>
          <w:b/>
          <w:sz w:val="24"/>
        </w:rPr>
      </w:pPr>
    </w:p>
    <w:p>
      <w:pPr>
        <w:spacing w:line="400" w:lineRule="atLeast"/>
        <w:jc w:val="center"/>
        <w:rPr>
          <w:rFonts w:hint="eastAsia" w:ascii="宋体" w:hAnsi="宋体" w:cs="宋体"/>
          <w:b/>
          <w:sz w:val="24"/>
        </w:rPr>
      </w:pPr>
    </w:p>
    <w:p>
      <w:pPr>
        <w:spacing w:line="400" w:lineRule="atLeast"/>
        <w:jc w:val="center"/>
        <w:rPr>
          <w:rFonts w:hint="eastAsia" w:ascii="宋体" w:hAnsi="宋体" w:cs="宋体"/>
          <w:b/>
          <w:sz w:val="24"/>
        </w:rPr>
      </w:pPr>
      <w:r>
        <w:rPr>
          <w:rFonts w:hint="eastAsia" w:ascii="宋体" w:hAnsi="宋体" w:cs="宋体"/>
          <w:b/>
          <w:sz w:val="24"/>
        </w:rPr>
        <w:t>评标办法</w:t>
      </w:r>
    </w:p>
    <w:p>
      <w:pPr>
        <w:spacing w:line="400" w:lineRule="atLeast"/>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b/>
          <w:bCs/>
          <w:sz w:val="24"/>
          <w:lang w:val="en-US" w:eastAsia="zh-CN"/>
        </w:rPr>
        <w:t>磋商小</w:t>
      </w:r>
      <w:r>
        <w:rPr>
          <w:rFonts w:hint="eastAsia" w:ascii="宋体" w:hAnsi="宋体" w:eastAsia="宋体" w:cs="宋体"/>
          <w:b/>
          <w:bCs/>
          <w:sz w:val="24"/>
          <w:lang w:val="en-US" w:eastAsia="zh-CN"/>
        </w:rPr>
        <w:t>组</w:t>
      </w:r>
    </w:p>
    <w:p>
      <w:pPr>
        <w:spacing w:line="400" w:lineRule="atLeast"/>
        <w:ind w:firstLine="472" w:firstLineChars="200"/>
        <w:jc w:val="left"/>
        <w:rPr>
          <w:rFonts w:hint="eastAsia" w:ascii="宋体" w:hAnsi="宋体" w:cs="宋体"/>
          <w:spacing w:val="-2"/>
          <w:sz w:val="24"/>
          <w:lang w:val="en-US" w:eastAsia="zh-CN"/>
        </w:rPr>
      </w:pPr>
      <w:r>
        <w:rPr>
          <w:rFonts w:hint="eastAsia" w:ascii="宋体" w:hAnsi="宋体" w:cs="宋体"/>
          <w:spacing w:val="-2"/>
          <w:sz w:val="24"/>
        </w:rPr>
        <w:t>1、招标</w:t>
      </w:r>
      <w:r>
        <w:rPr>
          <w:rFonts w:hint="eastAsia" w:ascii="宋体" w:hAnsi="宋体" w:cs="宋体"/>
          <w:spacing w:val="-2"/>
          <w:sz w:val="24"/>
          <w:lang w:val="en-US" w:eastAsia="zh-CN"/>
        </w:rPr>
        <w:t>人</w:t>
      </w:r>
      <w:r>
        <w:rPr>
          <w:rFonts w:hint="eastAsia" w:ascii="宋体" w:hAnsi="宋体" w:cs="宋体"/>
          <w:spacing w:val="-2"/>
          <w:sz w:val="24"/>
        </w:rPr>
        <w:t>将根据《中华人民共和国政府采购法》的规定，依法组建本次招标的</w:t>
      </w:r>
      <w:r>
        <w:rPr>
          <w:rFonts w:hint="eastAsia" w:ascii="宋体" w:hAnsi="宋体" w:cs="宋体"/>
          <w:spacing w:val="-2"/>
          <w:sz w:val="24"/>
          <w:lang w:val="en-US" w:eastAsia="zh-CN"/>
        </w:rPr>
        <w:t>磋商小组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w:t>
      </w:r>
      <w:r>
        <w:rPr>
          <w:rFonts w:hint="eastAsia" w:ascii="宋体" w:hAnsi="宋体" w:cs="宋体"/>
          <w:spacing w:val="-2"/>
          <w:sz w:val="24"/>
          <w:lang w:val="en-US" w:eastAsia="zh-CN"/>
        </w:rPr>
        <w:t>磋商小组</w:t>
      </w:r>
      <w:r>
        <w:rPr>
          <w:rFonts w:hint="eastAsia" w:ascii="宋体" w:hAnsi="宋体" w:cs="宋体"/>
          <w:spacing w:val="-2"/>
          <w:sz w:val="24"/>
        </w:rPr>
        <w:t>负责本次招标的评标活动，并负责向招标方推荐</w:t>
      </w:r>
      <w:r>
        <w:rPr>
          <w:rFonts w:hint="eastAsia" w:ascii="宋体" w:hAnsi="宋体" w:cs="宋体"/>
          <w:spacing w:val="-2"/>
          <w:sz w:val="24"/>
          <w:lang w:val="en-US" w:eastAsia="zh-CN"/>
        </w:rPr>
        <w:t>成交</w:t>
      </w:r>
      <w:r>
        <w:rPr>
          <w:rFonts w:hint="eastAsia" w:ascii="宋体" w:hAnsi="宋体" w:cs="宋体"/>
          <w:spacing w:val="-2"/>
          <w:sz w:val="24"/>
        </w:rPr>
        <w:t>候选人。</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lang w:val="en-US" w:eastAsia="zh-CN"/>
        </w:rPr>
        <w:t>磋商小组</w:t>
      </w:r>
      <w:r>
        <w:rPr>
          <w:rFonts w:hint="eastAsia" w:ascii="宋体" w:hAnsi="宋体" w:cs="宋体"/>
          <w:spacing w:val="-2"/>
          <w:sz w:val="24"/>
        </w:rPr>
        <w:t>人选于开标前确定。</w:t>
      </w:r>
      <w:r>
        <w:rPr>
          <w:rFonts w:hint="eastAsia" w:ascii="宋体" w:hAnsi="宋体" w:cs="宋体"/>
          <w:spacing w:val="-2"/>
          <w:sz w:val="24"/>
          <w:lang w:val="en-US" w:eastAsia="zh-CN"/>
        </w:rPr>
        <w:t>磋商小组</w:t>
      </w:r>
      <w:r>
        <w:rPr>
          <w:rFonts w:hint="eastAsia" w:ascii="宋体" w:hAnsi="宋体" w:cs="宋体"/>
          <w:spacing w:val="-2"/>
          <w:sz w:val="24"/>
        </w:rPr>
        <w:t>名单在中标结果确定前保密。</w:t>
      </w:r>
    </w:p>
    <w:p>
      <w:pPr>
        <w:spacing w:line="400" w:lineRule="atLeast"/>
        <w:ind w:firstLine="472" w:firstLineChars="200"/>
        <w:jc w:val="left"/>
        <w:rPr>
          <w:rFonts w:hint="eastAsia" w:ascii="宋体" w:hAnsi="宋体" w:cs="宋体"/>
          <w:color w:val="1F497D"/>
          <w:sz w:val="24"/>
          <w:highlight w:val="blue"/>
        </w:rPr>
      </w:pPr>
      <w:r>
        <w:rPr>
          <w:rFonts w:hint="eastAsia" w:ascii="宋体" w:hAnsi="宋体" w:cs="宋体"/>
          <w:spacing w:val="-2"/>
          <w:sz w:val="24"/>
        </w:rPr>
        <w:t>3、</w:t>
      </w:r>
      <w:r>
        <w:rPr>
          <w:rFonts w:hint="eastAsia" w:ascii="宋体" w:hAnsi="宋体" w:cs="宋体"/>
          <w:spacing w:val="-2"/>
          <w:sz w:val="24"/>
          <w:lang w:val="en-US" w:eastAsia="zh-CN"/>
        </w:rPr>
        <w:t>磋商小组</w:t>
      </w:r>
      <w:r>
        <w:rPr>
          <w:rFonts w:hint="eastAsia" w:ascii="宋体" w:hAnsi="宋体" w:cs="宋体"/>
          <w:color w:val="auto"/>
          <w:spacing w:val="-2"/>
          <w:sz w:val="24"/>
        </w:rPr>
        <w:t>由新疆政府采购网专家库中随机抽取和采购单位熟悉相关业务的代表人员组成，</w:t>
      </w:r>
      <w:r>
        <w:rPr>
          <w:rFonts w:hint="eastAsia" w:ascii="宋体" w:hAnsi="宋体" w:cs="宋体"/>
          <w:b/>
          <w:bCs/>
          <w:color w:val="auto"/>
          <w:spacing w:val="-2"/>
          <w:sz w:val="24"/>
        </w:rPr>
        <w:t>成员为</w:t>
      </w:r>
      <w:r>
        <w:rPr>
          <w:rFonts w:hint="eastAsia" w:ascii="宋体" w:hAnsi="宋体" w:cs="宋体"/>
          <w:b/>
          <w:bCs/>
          <w:color w:val="auto"/>
          <w:spacing w:val="-2"/>
          <w:sz w:val="24"/>
          <w:lang w:val="en-US" w:eastAsia="zh-CN"/>
        </w:rPr>
        <w:t>3</w:t>
      </w:r>
      <w:r>
        <w:rPr>
          <w:rFonts w:hint="eastAsia" w:ascii="宋体" w:hAnsi="宋体" w:cs="宋体"/>
          <w:b/>
          <w:bCs/>
          <w:color w:val="auto"/>
          <w:spacing w:val="-2"/>
          <w:sz w:val="24"/>
        </w:rPr>
        <w:t>人；</w:t>
      </w:r>
    </w:p>
    <w:p>
      <w:pPr>
        <w:spacing w:line="400" w:lineRule="atLeast"/>
        <w:ind w:firstLine="472" w:firstLineChars="200"/>
        <w:jc w:val="left"/>
        <w:rPr>
          <w:rFonts w:hint="eastAsia" w:ascii="宋体" w:hAnsi="宋体" w:cs="宋体"/>
          <w:b w:val="0"/>
          <w:bCs w:val="0"/>
          <w:color w:val="auto"/>
          <w:spacing w:val="-2"/>
          <w:sz w:val="24"/>
        </w:rPr>
      </w:pPr>
      <w:r>
        <w:rPr>
          <w:rFonts w:hint="eastAsia" w:ascii="宋体" w:hAnsi="宋体" w:cs="宋体"/>
          <w:spacing w:val="-2"/>
          <w:sz w:val="24"/>
        </w:rPr>
        <w:t>4、</w:t>
      </w:r>
      <w:r>
        <w:rPr>
          <w:rFonts w:hint="eastAsia" w:ascii="宋体" w:hAnsi="宋体" w:cs="宋体"/>
          <w:b w:val="0"/>
          <w:bCs w:val="0"/>
          <w:color w:val="auto"/>
          <w:spacing w:val="-2"/>
          <w:sz w:val="24"/>
        </w:rPr>
        <w:t>按前款规定，</w:t>
      </w:r>
      <w:r>
        <w:rPr>
          <w:rFonts w:hint="eastAsia" w:ascii="宋体" w:hAnsi="宋体" w:cs="宋体"/>
          <w:spacing w:val="-2"/>
          <w:sz w:val="24"/>
          <w:lang w:val="en-US" w:eastAsia="zh-CN"/>
        </w:rPr>
        <w:t>磋商小组</w:t>
      </w:r>
      <w:r>
        <w:rPr>
          <w:rFonts w:hint="eastAsia" w:ascii="宋体" w:hAnsi="宋体" w:cs="宋体"/>
          <w:b w:val="0"/>
          <w:bCs w:val="0"/>
          <w:color w:val="auto"/>
          <w:spacing w:val="-2"/>
          <w:sz w:val="24"/>
        </w:rPr>
        <w:t>由招标方</w:t>
      </w:r>
      <w:r>
        <w:rPr>
          <w:rFonts w:hint="eastAsia" w:ascii="宋体" w:hAnsi="宋体" w:cs="宋体"/>
          <w:b w:val="0"/>
          <w:bCs w:val="0"/>
          <w:color w:val="auto"/>
          <w:spacing w:val="-2"/>
          <w:sz w:val="24"/>
          <w:lang w:eastAsia="zh-CN"/>
        </w:rPr>
        <w:t>委托代理机构</w:t>
      </w:r>
      <w:r>
        <w:rPr>
          <w:rFonts w:hint="eastAsia" w:ascii="宋体" w:hAnsi="宋体" w:cs="宋体"/>
          <w:b w:val="0"/>
          <w:bCs w:val="0"/>
          <w:color w:val="auto"/>
          <w:spacing w:val="-2"/>
          <w:sz w:val="24"/>
        </w:rPr>
        <w:t>从</w:t>
      </w:r>
      <w:r>
        <w:rPr>
          <w:rFonts w:hint="eastAsia" w:ascii="宋体" w:hAnsi="宋体" w:cs="宋体"/>
          <w:b w:val="0"/>
          <w:bCs w:val="0"/>
          <w:color w:val="auto"/>
          <w:spacing w:val="-2"/>
          <w:sz w:val="24"/>
          <w:lang w:eastAsia="zh-CN"/>
        </w:rPr>
        <w:t>新疆政府采购网</w:t>
      </w:r>
      <w:r>
        <w:rPr>
          <w:rFonts w:hint="eastAsia" w:ascii="宋体" w:hAnsi="宋体" w:cs="宋体"/>
          <w:b w:val="0"/>
          <w:bCs w:val="0"/>
          <w:color w:val="auto"/>
          <w:spacing w:val="-2"/>
          <w:sz w:val="24"/>
        </w:rPr>
        <w:t>专家库中采取随机抽取的方式确定。</w:t>
      </w:r>
    </w:p>
    <w:p>
      <w:pPr>
        <w:spacing w:line="400" w:lineRule="atLeast"/>
        <w:ind w:firstLine="472" w:firstLineChars="200"/>
        <w:jc w:val="left"/>
        <w:rPr>
          <w:rFonts w:hint="eastAsia" w:ascii="宋体" w:hAnsi="宋体" w:eastAsia="宋体" w:cs="宋体"/>
          <w:spacing w:val="-2"/>
          <w:sz w:val="24"/>
          <w:lang w:eastAsia="zh-CN"/>
        </w:rPr>
      </w:pPr>
      <w:r>
        <w:rPr>
          <w:rFonts w:hint="eastAsia" w:ascii="宋体" w:hAnsi="宋体" w:cs="宋体"/>
          <w:spacing w:val="-2"/>
          <w:sz w:val="24"/>
        </w:rPr>
        <w:t>5、</w:t>
      </w:r>
      <w:r>
        <w:rPr>
          <w:rFonts w:hint="eastAsia" w:ascii="宋体" w:hAnsi="宋体" w:cs="宋体"/>
          <w:spacing w:val="-2"/>
          <w:sz w:val="24"/>
          <w:lang w:val="en-US" w:eastAsia="zh-CN"/>
        </w:rPr>
        <w:t>磋商小组</w:t>
      </w:r>
      <w:r>
        <w:rPr>
          <w:rFonts w:hint="eastAsia" w:ascii="宋体" w:hAnsi="宋体" w:cs="宋体"/>
          <w:spacing w:val="-2"/>
          <w:sz w:val="24"/>
        </w:rPr>
        <w:t>的回避规定</w:t>
      </w:r>
      <w:r>
        <w:rPr>
          <w:rFonts w:hint="eastAsia" w:ascii="宋体" w:hAnsi="宋体" w:cs="宋体"/>
          <w:spacing w:val="-2"/>
          <w:sz w:val="24"/>
          <w:lang w:eastAsia="zh-CN"/>
        </w:rPr>
        <w:t>：</w:t>
      </w:r>
    </w:p>
    <w:p>
      <w:pPr>
        <w:spacing w:line="400" w:lineRule="atLeast"/>
        <w:ind w:firstLine="472" w:firstLineChars="200"/>
        <w:jc w:val="left"/>
        <w:rPr>
          <w:rFonts w:hint="eastAsia" w:ascii="宋体" w:hAnsi="宋体" w:eastAsia="宋体" w:cs="宋体"/>
          <w:spacing w:val="-2"/>
          <w:sz w:val="24"/>
          <w:lang w:eastAsia="zh-CN"/>
        </w:rPr>
      </w:pPr>
      <w:r>
        <w:rPr>
          <w:rFonts w:hint="eastAsia" w:ascii="宋体" w:hAnsi="宋体" w:cs="宋体"/>
          <w:spacing w:val="-2"/>
          <w:sz w:val="24"/>
        </w:rPr>
        <w:t>有下列情形之一的，不得担任</w:t>
      </w:r>
      <w:r>
        <w:rPr>
          <w:rFonts w:hint="eastAsia" w:ascii="宋体" w:hAnsi="宋体" w:cs="宋体"/>
          <w:spacing w:val="-2"/>
          <w:sz w:val="24"/>
          <w:lang w:val="en-US" w:eastAsia="zh-CN"/>
        </w:rPr>
        <w:t>磋商小组</w:t>
      </w:r>
      <w:r>
        <w:rPr>
          <w:rFonts w:hint="eastAsia" w:ascii="宋体" w:hAnsi="宋体" w:cs="宋体"/>
          <w:spacing w:val="-2"/>
          <w:sz w:val="24"/>
        </w:rPr>
        <w:t>成员</w:t>
      </w:r>
      <w:r>
        <w:rPr>
          <w:rFonts w:hint="eastAsia" w:ascii="宋体" w:hAnsi="宋体" w:cs="宋体"/>
          <w:spacing w:val="-2"/>
          <w:sz w:val="24"/>
          <w:lang w:eastAsia="zh-CN"/>
        </w:rPr>
        <w:t>：</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1）与投标方或者投标方主要负责人有近亲关系的；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2）与项目主管部门或者行政监督部门的人员有近亲关系的；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 xml:space="preserve">3）与投标方有经济利益关系，可能影响对投标公正评审的； </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4）曾因在招标、评标以及其他与招标投标有关活动中从事违法行为而受过行政处罚或刑事处罚的。</w:t>
      </w:r>
    </w:p>
    <w:p>
      <w:pPr>
        <w:spacing w:line="400" w:lineRule="atLeast"/>
        <w:ind w:firstLine="480" w:firstLineChars="200"/>
        <w:jc w:val="left"/>
        <w:rPr>
          <w:rFonts w:hint="eastAsia" w:ascii="宋体" w:hAnsi="宋体" w:cs="宋体"/>
          <w:spacing w:val="-2"/>
          <w:sz w:val="24"/>
        </w:rPr>
      </w:pPr>
      <w:r>
        <w:rPr>
          <w:rFonts w:hint="eastAsia" w:ascii="宋体" w:hAnsi="宋体" w:cs="宋体"/>
          <w:sz w:val="24"/>
        </w:rPr>
        <w:t>6、</w:t>
      </w:r>
      <w:r>
        <w:rPr>
          <w:rFonts w:hint="eastAsia" w:ascii="宋体" w:hAnsi="宋体" w:cs="宋体"/>
          <w:spacing w:val="-2"/>
          <w:sz w:val="24"/>
          <w:lang w:val="en-US" w:eastAsia="zh-CN"/>
        </w:rPr>
        <w:t>磋商小组</w:t>
      </w:r>
      <w:r>
        <w:rPr>
          <w:rFonts w:hint="eastAsia" w:ascii="宋体" w:hAnsi="宋体" w:cs="宋体"/>
          <w:spacing w:val="-2"/>
          <w:sz w:val="24"/>
        </w:rPr>
        <w:t>成员应当熟悉并认真研究本文件，至少应了解和熟悉以下内容：</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1）招标目的；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2）招标项目的范围、性质；</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3）本文件中规定的主要技术要求、标准和商务条款；</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4）本文件规定的评标标准、评标方法和在评标过程中应考虑的相关因素。</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7、招标人应当向</w:t>
      </w:r>
      <w:r>
        <w:rPr>
          <w:rFonts w:hint="eastAsia" w:ascii="宋体" w:hAnsi="宋体" w:cs="宋体"/>
          <w:spacing w:val="-2"/>
          <w:sz w:val="24"/>
          <w:lang w:val="en-US" w:eastAsia="zh-CN"/>
        </w:rPr>
        <w:t>磋商小组</w:t>
      </w:r>
      <w:r>
        <w:rPr>
          <w:rFonts w:hint="eastAsia" w:ascii="宋体" w:hAnsi="宋体" w:cs="宋体"/>
          <w:spacing w:val="-2"/>
          <w:sz w:val="24"/>
        </w:rPr>
        <w:t>提供本文件。</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8、</w:t>
      </w:r>
      <w:r>
        <w:rPr>
          <w:rFonts w:hint="eastAsia" w:ascii="宋体" w:hAnsi="宋体" w:cs="宋体"/>
          <w:spacing w:val="-2"/>
          <w:sz w:val="24"/>
          <w:lang w:val="en-US" w:eastAsia="zh-CN"/>
        </w:rPr>
        <w:t>磋商小组</w:t>
      </w:r>
      <w:r>
        <w:rPr>
          <w:rFonts w:hint="eastAsia" w:ascii="宋体" w:hAnsi="宋体" w:cs="宋体"/>
          <w:spacing w:val="-2"/>
          <w:sz w:val="24"/>
        </w:rPr>
        <w:t>应当根据本文件规定的评标标准和方法，对</w:t>
      </w:r>
      <w:r>
        <w:rPr>
          <w:rFonts w:hint="eastAsia" w:ascii="宋体" w:hAnsi="宋体" w:cs="宋体"/>
          <w:spacing w:val="-2"/>
          <w:sz w:val="24"/>
          <w:lang w:val="en-US" w:eastAsia="zh-CN"/>
        </w:rPr>
        <w:t>响应</w:t>
      </w:r>
      <w:r>
        <w:rPr>
          <w:rFonts w:hint="eastAsia" w:ascii="宋体" w:hAnsi="宋体" w:cs="宋体"/>
          <w:spacing w:val="-2"/>
          <w:sz w:val="24"/>
        </w:rPr>
        <w:t>文件进行系统地评审和比较。本文件中没有规定的标准和方法不得作为评标的依据。</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9、</w:t>
      </w:r>
      <w:r>
        <w:rPr>
          <w:rFonts w:hint="eastAsia" w:ascii="宋体" w:hAnsi="宋体" w:cs="宋体"/>
          <w:spacing w:val="-2"/>
          <w:sz w:val="24"/>
          <w:lang w:val="en-US" w:eastAsia="zh-CN"/>
        </w:rPr>
        <w:t>磋商小组</w:t>
      </w:r>
      <w:r>
        <w:rPr>
          <w:rFonts w:hint="eastAsia" w:ascii="宋体" w:hAnsi="宋体" w:cs="宋体"/>
          <w:spacing w:val="-2"/>
          <w:sz w:val="24"/>
        </w:rPr>
        <w:t>成员应当客观、公正地履行职责，遵守职业道德，并对所提出的评审意见承担个人责任。</w:t>
      </w:r>
      <w:r>
        <w:rPr>
          <w:rFonts w:hint="eastAsia" w:ascii="宋体" w:hAnsi="宋体" w:cs="宋体"/>
          <w:spacing w:val="-2"/>
          <w:sz w:val="24"/>
          <w:lang w:val="en-US" w:eastAsia="zh-CN"/>
        </w:rPr>
        <w:t>磋商小组</w:t>
      </w:r>
      <w:r>
        <w:rPr>
          <w:rFonts w:hint="eastAsia" w:ascii="宋体" w:hAnsi="宋体" w:cs="宋体"/>
          <w:spacing w:val="-2"/>
          <w:sz w:val="24"/>
        </w:rPr>
        <w:t>成员不得与任何投标方或者与招标结果有利害关系的人员进行私下接触，不得收受投标方、中介人或其他有利害关系人的财物或好处。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10、</w:t>
      </w:r>
      <w:r>
        <w:rPr>
          <w:rFonts w:hint="eastAsia" w:ascii="宋体" w:hAnsi="宋体" w:cs="宋体"/>
          <w:spacing w:val="-2"/>
          <w:sz w:val="24"/>
          <w:lang w:val="en-US" w:eastAsia="zh-CN"/>
        </w:rPr>
        <w:t>磋商小组</w:t>
      </w:r>
      <w:r>
        <w:rPr>
          <w:rFonts w:hint="eastAsia" w:ascii="宋体" w:hAnsi="宋体" w:cs="宋体"/>
          <w:spacing w:val="-2"/>
          <w:sz w:val="24"/>
        </w:rPr>
        <w:t>成员和与本次评标活动有关的工作人员，不得透露对投标文件的评审和比较、</w:t>
      </w:r>
      <w:r>
        <w:rPr>
          <w:rFonts w:hint="eastAsia" w:ascii="宋体" w:hAnsi="宋体" w:cs="宋体"/>
          <w:spacing w:val="-2"/>
          <w:sz w:val="24"/>
          <w:lang w:val="en-US" w:eastAsia="zh-CN"/>
        </w:rPr>
        <w:t>成交</w:t>
      </w:r>
      <w:r>
        <w:rPr>
          <w:rFonts w:hint="eastAsia" w:ascii="宋体" w:hAnsi="宋体" w:cs="宋体"/>
          <w:spacing w:val="-2"/>
          <w:sz w:val="24"/>
        </w:rPr>
        <w:t>候选人的推荐情况以及与评标有关的其他情况。</w:t>
      </w:r>
    </w:p>
    <w:p>
      <w:pPr>
        <w:spacing w:line="400" w:lineRule="atLeast"/>
        <w:ind w:firstLine="482" w:firstLineChars="200"/>
        <w:jc w:val="left"/>
        <w:rPr>
          <w:rFonts w:hint="eastAsia" w:ascii="宋体" w:hAnsi="宋体" w:cs="宋体"/>
          <w:sz w:val="24"/>
        </w:rPr>
      </w:pPr>
      <w:r>
        <w:rPr>
          <w:rFonts w:hint="eastAsia" w:ascii="宋体" w:hAnsi="宋体" w:cs="宋体"/>
          <w:b/>
          <w:bCs/>
          <w:sz w:val="24"/>
        </w:rPr>
        <w:t>评标</w:t>
      </w:r>
    </w:p>
    <w:p>
      <w:pPr>
        <w:numPr>
          <w:ilvl w:val="0"/>
          <w:numId w:val="11"/>
        </w:numPr>
        <w:spacing w:line="400" w:lineRule="atLeast"/>
        <w:ind w:firstLine="480" w:firstLineChars="200"/>
        <w:jc w:val="left"/>
        <w:rPr>
          <w:rFonts w:hint="eastAsia" w:ascii="宋体" w:hAnsi="宋体" w:cs="宋体"/>
          <w:sz w:val="24"/>
        </w:rPr>
      </w:pPr>
      <w:r>
        <w:rPr>
          <w:rFonts w:hint="eastAsia" w:ascii="宋体" w:hAnsi="宋体" w:cs="宋体"/>
          <w:sz w:val="24"/>
        </w:rPr>
        <w:t>评标的依据为</w:t>
      </w:r>
      <w:r>
        <w:rPr>
          <w:rFonts w:hint="eastAsia" w:ascii="宋体" w:hAnsi="宋体" w:cs="宋体"/>
          <w:sz w:val="24"/>
          <w:lang w:val="en-US" w:eastAsia="zh-CN"/>
        </w:rPr>
        <w:t>磋商</w:t>
      </w:r>
      <w:r>
        <w:rPr>
          <w:rFonts w:hint="eastAsia" w:ascii="宋体" w:hAnsi="宋体" w:cs="宋体"/>
          <w:sz w:val="24"/>
        </w:rPr>
        <w:t>文件和</w:t>
      </w:r>
      <w:r>
        <w:rPr>
          <w:rFonts w:hint="eastAsia" w:ascii="宋体" w:hAnsi="宋体" w:cs="宋体"/>
          <w:sz w:val="24"/>
          <w:lang w:val="en-US" w:eastAsia="zh-CN"/>
        </w:rPr>
        <w:t>响应</w:t>
      </w:r>
      <w:r>
        <w:rPr>
          <w:rFonts w:hint="eastAsia" w:ascii="宋体" w:hAnsi="宋体" w:cs="宋体"/>
          <w:sz w:val="24"/>
        </w:rPr>
        <w:t>文件；</w:t>
      </w:r>
    </w:p>
    <w:p>
      <w:pPr>
        <w:pStyle w:val="2"/>
        <w:numPr>
          <w:ilvl w:val="0"/>
          <w:numId w:val="0"/>
        </w:numPr>
        <w:ind w:firstLine="480" w:firstLineChars="200"/>
        <w:rPr>
          <w:rFonts w:hint="default"/>
          <w:lang w:val="en-US"/>
        </w:rPr>
      </w:pPr>
      <w:r>
        <w:rPr>
          <w:rFonts w:hint="eastAsia"/>
          <w:lang w:val="en-US" w:eastAsia="zh-CN"/>
        </w:rPr>
        <w:t>2、本项目采用综合评分法：总分100分，其中报价分值30分，技术分值63分，商务分7分。</w:t>
      </w:r>
    </w:p>
    <w:p>
      <w:pPr>
        <w:spacing w:line="400" w:lineRule="atLeas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、审查</w:t>
      </w:r>
      <w:r>
        <w:rPr>
          <w:rFonts w:hint="eastAsia" w:ascii="宋体" w:hAnsi="宋体" w:cs="宋体"/>
          <w:sz w:val="24"/>
          <w:lang w:val="en-US" w:eastAsia="zh-CN"/>
        </w:rPr>
        <w:t>响应</w:t>
      </w:r>
      <w:r>
        <w:rPr>
          <w:rFonts w:hint="eastAsia" w:ascii="宋体" w:hAnsi="宋体" w:cs="宋体"/>
          <w:sz w:val="24"/>
        </w:rPr>
        <w:t>文件是否完整，是否有计算错误，要求的</w:t>
      </w:r>
      <w:r>
        <w:rPr>
          <w:rFonts w:hint="eastAsia" w:ascii="宋体" w:hAnsi="宋体" w:cs="宋体"/>
          <w:sz w:val="24"/>
          <w:lang w:val="en-US" w:eastAsia="zh-CN"/>
        </w:rPr>
        <w:t>磋商</w:t>
      </w:r>
      <w:r>
        <w:rPr>
          <w:rFonts w:hint="eastAsia" w:ascii="宋体" w:hAnsi="宋体" w:cs="宋体"/>
          <w:sz w:val="24"/>
        </w:rPr>
        <w:t>保证金是否提供，文件是否恰当地签署；</w:t>
      </w:r>
    </w:p>
    <w:p>
      <w:pPr>
        <w:spacing w:line="400" w:lineRule="atLeast"/>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、在对投标文件进行详细评估前，依据投标方提供的资格证明文件审查投标方的财务、技术和供货能力。如果确定投标方无资格履行合同，其投标将被拒绝；</w:t>
      </w:r>
    </w:p>
    <w:p>
      <w:pPr>
        <w:spacing w:line="400" w:lineRule="atLeast"/>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磋商小组</w:t>
      </w:r>
      <w:r>
        <w:rPr>
          <w:rFonts w:hint="eastAsia" w:ascii="宋体" w:hAnsi="宋体" w:cs="宋体"/>
          <w:sz w:val="24"/>
        </w:rPr>
        <w:t>将确定每一</w:t>
      </w:r>
      <w:r>
        <w:rPr>
          <w:rFonts w:hint="eastAsia" w:ascii="宋体" w:hAnsi="宋体" w:cs="宋体"/>
          <w:sz w:val="24"/>
          <w:lang w:val="en-US" w:eastAsia="zh-CN"/>
        </w:rPr>
        <w:t>供应商</w:t>
      </w:r>
      <w:r>
        <w:rPr>
          <w:rFonts w:hint="eastAsia" w:ascii="宋体" w:hAnsi="宋体" w:cs="宋体"/>
          <w:sz w:val="24"/>
        </w:rPr>
        <w:t>是否对</w:t>
      </w:r>
      <w:r>
        <w:rPr>
          <w:rFonts w:hint="eastAsia" w:ascii="宋体" w:hAnsi="宋体" w:cs="宋体"/>
          <w:sz w:val="24"/>
          <w:lang w:val="en-US" w:eastAsia="zh-CN"/>
        </w:rPr>
        <w:t>磋商</w:t>
      </w:r>
      <w:r>
        <w:rPr>
          <w:rFonts w:hint="eastAsia" w:ascii="宋体" w:hAnsi="宋体" w:cs="宋体"/>
          <w:sz w:val="24"/>
        </w:rPr>
        <w:t>文件的要求做出了实质性的响应，而没有重大偏离。实质性响应的</w:t>
      </w:r>
      <w:r>
        <w:rPr>
          <w:rFonts w:hint="eastAsia" w:ascii="宋体" w:hAnsi="宋体" w:cs="宋体"/>
          <w:sz w:val="24"/>
          <w:lang w:val="en-US" w:eastAsia="zh-CN"/>
        </w:rPr>
        <w:t>响应</w:t>
      </w:r>
      <w:r>
        <w:rPr>
          <w:rFonts w:hint="eastAsia" w:ascii="宋体" w:hAnsi="宋体" w:cs="宋体"/>
          <w:sz w:val="24"/>
        </w:rPr>
        <w:t>是指投标符合</w:t>
      </w:r>
      <w:r>
        <w:rPr>
          <w:rFonts w:hint="eastAsia" w:ascii="宋体" w:hAnsi="宋体" w:cs="宋体"/>
          <w:sz w:val="24"/>
          <w:lang w:val="en-US" w:eastAsia="zh-CN"/>
        </w:rPr>
        <w:t>磋商</w:t>
      </w:r>
      <w:r>
        <w:rPr>
          <w:rFonts w:hint="eastAsia" w:ascii="宋体" w:hAnsi="宋体" w:cs="宋体"/>
          <w:sz w:val="24"/>
        </w:rPr>
        <w:t>文件的所有条款、条件和规定且没有重大偏离或保留。重大偏离或保留系指影响到</w:t>
      </w:r>
      <w:r>
        <w:rPr>
          <w:rFonts w:hint="eastAsia" w:ascii="宋体" w:hAnsi="宋体" w:cs="宋体"/>
          <w:sz w:val="24"/>
          <w:lang w:val="en-US" w:eastAsia="zh-CN"/>
        </w:rPr>
        <w:t>磋商</w:t>
      </w:r>
      <w:r>
        <w:rPr>
          <w:rFonts w:hint="eastAsia" w:ascii="宋体" w:hAnsi="宋体" w:cs="宋体"/>
          <w:sz w:val="24"/>
        </w:rPr>
        <w:t>文件规定的供货范围、服务和性能，或限制了买方的权利和投标方的义务的规定，而纠正这些偏离将影响到其他提交实质性投标的投标方的公平竞争地位。</w:t>
      </w:r>
    </w:p>
    <w:p>
      <w:pPr>
        <w:spacing w:line="400" w:lineRule="atLeast"/>
        <w:ind w:firstLine="482" w:firstLineChars="200"/>
        <w:jc w:val="left"/>
        <w:rPr>
          <w:rFonts w:hint="eastAsia" w:ascii="宋体" w:hAnsi="宋体" w:cs="宋体"/>
          <w:sz w:val="24"/>
        </w:rPr>
      </w:pPr>
      <w:r>
        <w:rPr>
          <w:rFonts w:hint="eastAsia" w:ascii="宋体" w:hAnsi="宋体" w:cs="宋体"/>
          <w:b/>
          <w:bCs/>
          <w:sz w:val="24"/>
          <w:lang w:val="en-US" w:eastAsia="zh-CN"/>
        </w:rPr>
        <w:t>响应</w:t>
      </w:r>
      <w:r>
        <w:rPr>
          <w:rFonts w:hint="eastAsia" w:ascii="宋体" w:hAnsi="宋体" w:cs="宋体"/>
          <w:b/>
          <w:bCs/>
          <w:sz w:val="24"/>
        </w:rPr>
        <w:t>文件的澄清</w:t>
      </w:r>
    </w:p>
    <w:p>
      <w:pPr>
        <w:spacing w:line="400" w:lineRule="atLeast"/>
        <w:ind w:firstLine="480" w:firstLineChars="200"/>
        <w:jc w:val="left"/>
        <w:rPr>
          <w:rFonts w:hint="eastAsia" w:ascii="宋体" w:hAnsi="宋体" w:cs="宋体"/>
          <w:sz w:val="24"/>
        </w:rPr>
      </w:pPr>
      <w:r>
        <w:rPr>
          <w:rFonts w:hint="eastAsia" w:ascii="宋体" w:hAnsi="宋体" w:cs="宋体"/>
          <w:sz w:val="24"/>
        </w:rPr>
        <w:t>1、为有助于对</w:t>
      </w:r>
      <w:r>
        <w:rPr>
          <w:rFonts w:hint="eastAsia" w:ascii="宋体" w:hAnsi="宋体" w:cs="宋体"/>
          <w:sz w:val="24"/>
          <w:lang w:val="en-US" w:eastAsia="zh-CN"/>
        </w:rPr>
        <w:t>响应</w:t>
      </w:r>
      <w:r>
        <w:rPr>
          <w:rFonts w:hint="eastAsia" w:ascii="宋体" w:hAnsi="宋体" w:cs="宋体"/>
          <w:sz w:val="24"/>
        </w:rPr>
        <w:t>文件进行审查、评估和比较，</w:t>
      </w:r>
      <w:r>
        <w:rPr>
          <w:rFonts w:hint="eastAsia" w:ascii="宋体" w:hAnsi="宋体" w:cs="宋体"/>
          <w:spacing w:val="-2"/>
          <w:sz w:val="24"/>
          <w:lang w:val="en-US" w:eastAsia="zh-CN"/>
        </w:rPr>
        <w:t>磋商小组</w:t>
      </w:r>
      <w:r>
        <w:rPr>
          <w:rFonts w:hint="eastAsia" w:ascii="宋体" w:hAnsi="宋体" w:cs="宋体"/>
          <w:sz w:val="24"/>
        </w:rPr>
        <w:t>将对认为需要询标（不是每一个）的投标商进行询标，请投标商澄清其投标内容，投标商有责任按照招标机构通知的时间、地点指派专人进行答疑和澄清。询标时投标商代表应作书面记录，并对重要内容作出书面答复。</w:t>
      </w:r>
    </w:p>
    <w:p>
      <w:pPr>
        <w:spacing w:line="400" w:lineRule="atLeast"/>
        <w:ind w:firstLine="480" w:firstLineChars="200"/>
        <w:jc w:val="left"/>
        <w:rPr>
          <w:rFonts w:hint="eastAsia" w:ascii="宋体" w:hAnsi="宋体" w:cs="宋体"/>
          <w:sz w:val="24"/>
        </w:rPr>
      </w:pPr>
      <w:r>
        <w:rPr>
          <w:rFonts w:hint="eastAsia" w:ascii="宋体" w:hAnsi="宋体" w:cs="宋体"/>
          <w:sz w:val="24"/>
        </w:rPr>
        <w:t>2、重要澄清的答复应是书面的，但不是对投标内容进行实质性修改。澄清文件须由投标商法人代表或法人代表授权人签字和/或加盖公章并作为投标文件的组成部分。</w:t>
      </w:r>
    </w:p>
    <w:p>
      <w:pPr>
        <w:spacing w:line="400" w:lineRule="atLeast"/>
        <w:ind w:firstLine="482" w:firstLineChars="200"/>
        <w:jc w:val="left"/>
        <w:rPr>
          <w:rFonts w:hint="eastAsia" w:ascii="宋体" w:hAnsi="宋体" w:cs="宋体"/>
          <w:sz w:val="24"/>
        </w:rPr>
      </w:pPr>
      <w:r>
        <w:rPr>
          <w:rFonts w:hint="eastAsia" w:ascii="宋体" w:hAnsi="宋体" w:cs="宋体"/>
          <w:b/>
          <w:bCs/>
          <w:sz w:val="24"/>
        </w:rPr>
        <w:t>对</w:t>
      </w:r>
      <w:r>
        <w:rPr>
          <w:rFonts w:hint="eastAsia" w:ascii="宋体" w:hAnsi="宋体" w:cs="宋体"/>
          <w:b/>
          <w:bCs/>
          <w:sz w:val="24"/>
          <w:lang w:val="en-US" w:eastAsia="zh-CN"/>
        </w:rPr>
        <w:t>响应</w:t>
      </w:r>
      <w:r>
        <w:rPr>
          <w:rFonts w:hint="eastAsia" w:ascii="宋体" w:hAnsi="宋体" w:cs="宋体"/>
          <w:b/>
          <w:bCs/>
          <w:sz w:val="24"/>
        </w:rPr>
        <w:t>文件的评估和比较</w:t>
      </w:r>
    </w:p>
    <w:p>
      <w:pPr>
        <w:spacing w:line="400" w:lineRule="atLeast"/>
        <w:ind w:firstLine="480" w:firstLineChars="200"/>
        <w:jc w:val="left"/>
        <w:rPr>
          <w:rFonts w:hint="eastAsia" w:ascii="宋体" w:hAnsi="宋体" w:cs="宋体"/>
          <w:sz w:val="24"/>
        </w:rPr>
      </w:pPr>
      <w:r>
        <w:rPr>
          <w:rFonts w:hint="eastAsia" w:ascii="宋体" w:hAnsi="宋体" w:cs="宋体"/>
          <w:sz w:val="24"/>
        </w:rPr>
        <w:t>对</w:t>
      </w:r>
      <w:r>
        <w:rPr>
          <w:rFonts w:hint="eastAsia" w:ascii="宋体" w:hAnsi="宋体" w:eastAsia="宋体" w:cs="宋体"/>
          <w:sz w:val="24"/>
          <w:lang w:val="en-US" w:eastAsia="zh-CN"/>
        </w:rPr>
        <w:t>响应</w:t>
      </w:r>
      <w:r>
        <w:rPr>
          <w:rFonts w:hint="eastAsia" w:ascii="宋体" w:hAnsi="宋体" w:cs="宋体"/>
          <w:sz w:val="24"/>
        </w:rPr>
        <w:t>文件的评估和比较分为两步进行，</w:t>
      </w:r>
      <w:r>
        <w:rPr>
          <w:rFonts w:hint="eastAsia" w:ascii="宋体" w:hAnsi="宋体" w:cs="宋体"/>
          <w:sz w:val="24"/>
          <w:lang w:val="en-US" w:eastAsia="zh-CN"/>
        </w:rPr>
        <w:t>磋商小组</w:t>
      </w:r>
      <w:r>
        <w:rPr>
          <w:rFonts w:hint="eastAsia" w:ascii="宋体" w:hAnsi="宋体" w:cs="宋体"/>
          <w:sz w:val="24"/>
        </w:rPr>
        <w:t>首先按照</w:t>
      </w:r>
      <w:r>
        <w:rPr>
          <w:rFonts w:hint="eastAsia" w:ascii="宋体" w:hAnsi="宋体" w:cs="宋体"/>
          <w:sz w:val="24"/>
          <w:lang w:val="en-US" w:eastAsia="zh-CN"/>
        </w:rPr>
        <w:t>磋商</w:t>
      </w:r>
      <w:r>
        <w:rPr>
          <w:rFonts w:hint="eastAsia" w:ascii="宋体" w:hAnsi="宋体" w:cs="宋体"/>
          <w:sz w:val="24"/>
        </w:rPr>
        <w:t>文件要求对</w:t>
      </w:r>
      <w:r>
        <w:rPr>
          <w:rFonts w:hint="eastAsia" w:ascii="宋体" w:hAnsi="宋体" w:cs="宋体"/>
          <w:sz w:val="24"/>
          <w:lang w:val="en-US" w:eastAsia="zh-CN"/>
        </w:rPr>
        <w:t>响应</w:t>
      </w:r>
      <w:r>
        <w:rPr>
          <w:rFonts w:hint="eastAsia" w:ascii="宋体" w:hAnsi="宋体" w:cs="宋体"/>
          <w:sz w:val="24"/>
        </w:rPr>
        <w:t>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r>
        <w:rPr>
          <w:rFonts w:hint="eastAsia" w:ascii="宋体" w:hAnsi="宋体" w:cs="宋体"/>
          <w:sz w:val="24"/>
          <w:lang w:val="en-US" w:eastAsia="zh-CN"/>
        </w:rPr>
        <w:t>磋商</w:t>
      </w:r>
      <w:r>
        <w:rPr>
          <w:rFonts w:hint="eastAsia" w:ascii="宋体" w:hAnsi="宋体" w:cs="宋体"/>
          <w:sz w:val="24"/>
        </w:rPr>
        <w:t>文件中所要求的有关服务费用；发货到最终目的地的内陆运输、保险及其他费用；其他特殊要求因素（如节能、安全和环保等）。</w:t>
      </w:r>
    </w:p>
    <w:p>
      <w:pPr>
        <w:spacing w:line="400" w:lineRule="atLeast"/>
        <w:jc w:val="left"/>
        <w:rPr>
          <w:rFonts w:hint="eastAsia" w:ascii="宋体" w:hAnsi="宋体" w:cs="宋体"/>
          <w:b/>
          <w:bCs/>
          <w:sz w:val="24"/>
        </w:rPr>
      </w:pPr>
      <w:r>
        <w:rPr>
          <w:rFonts w:hint="eastAsia" w:ascii="宋体" w:hAnsi="宋体" w:cs="宋体"/>
          <w:b/>
          <w:bCs/>
          <w:sz w:val="24"/>
        </w:rPr>
        <w:t xml:space="preserve">    初步评审</w:t>
      </w:r>
    </w:p>
    <w:p>
      <w:pPr>
        <w:widowControl/>
        <w:adjustRightInd w:val="0"/>
        <w:snapToGrid w:val="0"/>
        <w:spacing w:line="240" w:lineRule="auto"/>
        <w:jc w:val="left"/>
        <w:rPr>
          <w:rFonts w:hint="eastAsia" w:ascii="宋体" w:hAnsi="宋体" w:cs="宋体"/>
          <w:kern w:val="0"/>
          <w:sz w:val="24"/>
        </w:rPr>
      </w:pPr>
      <w:r>
        <w:rPr>
          <w:rFonts w:hint="eastAsia" w:ascii="宋体" w:hAnsi="宋体" w:cs="宋体"/>
          <w:sz w:val="24"/>
        </w:rPr>
        <w:t xml:space="preserve">    </w:t>
      </w:r>
      <w:r>
        <w:rPr>
          <w:rFonts w:hint="eastAsia" w:ascii="宋体" w:hAnsi="宋体" w:cs="宋体"/>
          <w:kern w:val="0"/>
          <w:sz w:val="24"/>
        </w:rPr>
        <w:t>评标委员会应当对</w:t>
      </w:r>
      <w:r>
        <w:rPr>
          <w:rFonts w:hint="eastAsia" w:ascii="宋体" w:hAnsi="宋体" w:cs="宋体"/>
          <w:kern w:val="0"/>
          <w:sz w:val="24"/>
          <w:lang w:eastAsia="zh-CN"/>
        </w:rPr>
        <w:t>投标人</w:t>
      </w:r>
      <w:r>
        <w:rPr>
          <w:rFonts w:hint="eastAsia" w:ascii="宋体" w:hAnsi="宋体" w:cs="宋体"/>
          <w:kern w:val="0"/>
          <w:sz w:val="24"/>
        </w:rPr>
        <w:t>提交的</w:t>
      </w:r>
      <w:r>
        <w:rPr>
          <w:rFonts w:hint="eastAsia" w:ascii="宋体" w:hAnsi="宋体" w:cs="宋体"/>
          <w:kern w:val="0"/>
          <w:sz w:val="24"/>
          <w:lang w:val="en-US" w:eastAsia="zh-CN"/>
        </w:rPr>
        <w:t>响应</w:t>
      </w:r>
      <w:r>
        <w:rPr>
          <w:rFonts w:hint="eastAsia" w:ascii="宋体" w:hAnsi="宋体" w:cs="宋体"/>
          <w:kern w:val="0"/>
          <w:sz w:val="24"/>
        </w:rPr>
        <w:t>文件进行初步审查。初审分为资格性检查和符合性检查</w:t>
      </w:r>
    </w:p>
    <w:p>
      <w:pPr>
        <w:adjustRightInd w:val="0"/>
        <w:snapToGrid w:val="0"/>
        <w:spacing w:line="240" w:lineRule="auto"/>
        <w:ind w:firstLine="480" w:firstLineChars="200"/>
        <w:jc w:val="left"/>
        <w:rPr>
          <w:rFonts w:hint="eastAsia" w:ascii="宋体" w:hAnsi="宋体" w:cs="宋体"/>
          <w:sz w:val="24"/>
        </w:rPr>
      </w:pPr>
      <w:r>
        <w:rPr>
          <w:rFonts w:hint="eastAsia" w:ascii="宋体" w:hAnsi="宋体" w:cs="宋体"/>
          <w:sz w:val="24"/>
        </w:rPr>
        <w:t>资格性检查。依据法律法规和招标文件的规定，对</w:t>
      </w:r>
      <w:r>
        <w:rPr>
          <w:rFonts w:hint="eastAsia" w:ascii="宋体" w:hAnsi="宋体" w:cs="宋体"/>
          <w:sz w:val="24"/>
          <w:lang w:val="en-US" w:eastAsia="zh-CN"/>
        </w:rPr>
        <w:t>响应</w:t>
      </w:r>
      <w:r>
        <w:rPr>
          <w:rFonts w:hint="eastAsia" w:ascii="宋体" w:hAnsi="宋体" w:cs="宋体"/>
          <w:sz w:val="24"/>
        </w:rPr>
        <w:t>文件中的资格证明进行审查，以确定</w:t>
      </w:r>
      <w:r>
        <w:rPr>
          <w:rFonts w:hint="eastAsia" w:ascii="宋体" w:hAnsi="宋体" w:cs="宋体"/>
          <w:sz w:val="24"/>
          <w:lang w:eastAsia="zh-CN"/>
        </w:rPr>
        <w:t>投标人</w:t>
      </w:r>
      <w:r>
        <w:rPr>
          <w:rFonts w:hint="eastAsia" w:ascii="宋体" w:hAnsi="宋体" w:cs="宋体"/>
          <w:sz w:val="24"/>
        </w:rPr>
        <w:t>是否具备投标资格。</w:t>
      </w:r>
    </w:p>
    <w:p>
      <w:pPr>
        <w:spacing w:line="24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资格性审查</w:t>
      </w:r>
    </w:p>
    <w:p>
      <w:pPr>
        <w:pStyle w:val="28"/>
        <w:keepNext w:val="0"/>
        <w:keepLines w:val="0"/>
        <w:pageBreakBefore w:val="0"/>
        <w:widowControl/>
        <w:kinsoku/>
        <w:overflowPunct/>
        <w:topLinePunct w:val="0"/>
        <w:autoSpaceDN/>
        <w:bidi w:val="0"/>
        <w:adjustRightInd/>
        <w:snapToGrid/>
        <w:spacing w:beforeAutospacing="0" w:afterAutospacing="0" w:line="240" w:lineRule="auto"/>
        <w:textAlignment w:val="auto"/>
        <w:rPr>
          <w:rFonts w:hint="eastAsia"/>
          <w:color w:val="000000"/>
        </w:rPr>
      </w:pPr>
      <w:r>
        <w:rPr>
          <w:rFonts w:hint="eastAsia"/>
          <w:color w:val="000000"/>
        </w:rPr>
        <w:t>投标人必须符合《中华人民共和国政府采购法》第二十二条的相关规定</w:t>
      </w:r>
      <w:r>
        <w:rPr>
          <w:rFonts w:hint="eastAsia"/>
          <w:color w:val="000000"/>
          <w:lang w:eastAsia="zh-CN"/>
        </w:rPr>
        <w:t>，</w:t>
      </w:r>
      <w:r>
        <w:rPr>
          <w:rFonts w:hint="eastAsia"/>
          <w:color w:val="000000"/>
          <w:lang w:val="en-US" w:eastAsia="zh-CN"/>
        </w:rPr>
        <w:t>还需满足下列条件</w:t>
      </w:r>
      <w:r>
        <w:rPr>
          <w:rFonts w:hint="eastAsia"/>
          <w:color w:val="000000"/>
        </w:rPr>
        <w:t>；</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（1）企业法人营业执照、组织机构代码证、税务登记证（国税及地税）或三证合一企业法人营业执照；</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（2）提供法定代表人身份证明及身份证或法人授权委托书、授权委托人身份证；</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w:t>
      </w:r>
      <w:r>
        <w:rPr>
          <w:rFonts w:hint="eastAsia" w:ascii="宋体" w:hAnsi="宋体" w:eastAsia="宋体" w:cs="宋体"/>
          <w:sz w:val="24"/>
          <w:szCs w:val="24"/>
          <w:lang w:val="en-US" w:eastAsia="zh-CN"/>
        </w:rPr>
        <w:t>“国家企业信用信息公示系统（http://www.gsxt.gov.cn）”列入经营异常名录信息、列入严重违法失信企业名单（黑名单）信息及企业信用信息公示报告</w:t>
      </w:r>
      <w:r>
        <w:rPr>
          <w:rFonts w:hint="eastAsia" w:hAnsi="宋体" w:cs="宋体"/>
          <w:b w:val="0"/>
          <w:bCs w:val="0"/>
          <w:color w:val="auto"/>
          <w:sz w:val="24"/>
          <w:lang w:val="en-US" w:eastAsia="zh-CN"/>
        </w:rPr>
        <w:t>；（依据《企业经营异常名录管理暂行办法》，供应商有以下四种行为将被行政部门列入经营异常名录：①未按照《企业信息公示暂行条例》第八条规定的期限公示年度报告的；②未在工商行政管理部门依照《企业信息公示暂行条例》第十条规定责令的期限内公示有关企业信息的；③公示企业信息隐瞒真实情况、弄虚作假的；④通过登记的住所或者经营场所无法联系的。</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（4）依法缴纳近6个月社会保险的凭据；</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（5）提供税务部门出具的近6个月的完税证明（新成立公司除外）；</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（6）2020年度经审计的财务审计报告（新成立公司提供有效的银行资信证明）；</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（7）供应商需具有《医疗器械生产企业许可证》或《医疗器械经营企业许可证》（所投产品为二类医疗医疗器械的须提供二类医疗器械备案凭证）。</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（8）投标单位（供应商）提供针对本次项目的《反商业贿赂承诺书》；</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（9）参加政府采购活动前三年内在经营活动中没有重大违法记录的书面声明。</w:t>
      </w:r>
    </w:p>
    <w:p>
      <w:pPr>
        <w:spacing w:line="240" w:lineRule="auto"/>
        <w:rPr>
          <w:rFonts w:hint="eastAsia" w:hAnsi="宋体" w:cs="宋体"/>
          <w:b w:val="0"/>
          <w:bCs w:val="0"/>
          <w:color w:val="auto"/>
          <w:sz w:val="24"/>
          <w:lang w:val="en-US" w:eastAsia="zh-CN"/>
        </w:rPr>
      </w:pPr>
      <w:r>
        <w:rPr>
          <w:rFonts w:hint="eastAsia" w:hAnsi="宋体" w:cs="宋体"/>
          <w:b w:val="0"/>
          <w:bCs w:val="0"/>
          <w:color w:val="auto"/>
          <w:sz w:val="24"/>
          <w:lang w:val="en-US" w:eastAsia="zh-CN"/>
        </w:rPr>
        <w:t>（10）磋商保证金缴纳凭证；</w:t>
      </w:r>
    </w:p>
    <w:p>
      <w:pPr>
        <w:spacing w:line="240" w:lineRule="auto"/>
        <w:rPr>
          <w:rFonts w:hint="eastAsia"/>
          <w:b/>
          <w:bCs/>
          <w:color w:val="auto"/>
        </w:rPr>
      </w:pPr>
      <w:r>
        <w:rPr>
          <w:rFonts w:hint="eastAsia" w:hAnsi="宋体" w:cs="宋体"/>
          <w:b w:val="0"/>
          <w:bCs w:val="0"/>
          <w:color w:val="auto"/>
          <w:sz w:val="24"/>
        </w:rPr>
        <w:t>本项目不接受联合体投标</w:t>
      </w:r>
      <w:r>
        <w:rPr>
          <w:rFonts w:hint="eastAsia" w:ascii="宋体" w:hAnsi="宋体" w:cs="宋体"/>
          <w:b w:val="0"/>
          <w:bCs w:val="0"/>
          <w:color w:val="auto"/>
          <w:sz w:val="24"/>
        </w:rPr>
        <w:t>；</w:t>
      </w:r>
    </w:p>
    <w:p>
      <w:pPr>
        <w:tabs>
          <w:tab w:val="left" w:pos="0"/>
          <w:tab w:val="left" w:pos="7560"/>
          <w:tab w:val="left" w:pos="7740"/>
          <w:tab w:val="left" w:pos="7920"/>
        </w:tabs>
        <w:adjustRightInd w:val="0"/>
        <w:snapToGrid w:val="0"/>
        <w:spacing w:line="400" w:lineRule="atLeast"/>
        <w:ind w:right="23" w:rightChars="11" w:firstLine="482" w:firstLineChars="200"/>
        <w:jc w:val="left"/>
        <w:rPr>
          <w:rFonts w:hint="eastAsia" w:ascii="宋体" w:hAnsi="宋体" w:cs="宋体"/>
          <w:b/>
          <w:bCs/>
          <w:sz w:val="24"/>
        </w:rPr>
      </w:pPr>
      <w:r>
        <w:rPr>
          <w:rFonts w:hint="eastAsia" w:ascii="宋体" w:hAnsi="宋体" w:cs="宋体"/>
          <w:b/>
          <w:bCs/>
          <w:sz w:val="24"/>
        </w:rPr>
        <w:t>投标文件的符合性审查</w:t>
      </w:r>
    </w:p>
    <w:p>
      <w:pPr>
        <w:tabs>
          <w:tab w:val="left" w:pos="0"/>
          <w:tab w:val="left" w:pos="7560"/>
          <w:tab w:val="left" w:pos="7740"/>
          <w:tab w:val="left" w:pos="7920"/>
        </w:tabs>
        <w:adjustRightInd w:val="0"/>
        <w:snapToGrid w:val="0"/>
        <w:spacing w:line="400" w:lineRule="atLeast"/>
        <w:ind w:right="23" w:rightChars="11"/>
        <w:jc w:val="left"/>
        <w:rPr>
          <w:rFonts w:hint="eastAsia" w:ascii="宋体" w:hAnsi="宋体" w:cs="宋体"/>
          <w:sz w:val="24"/>
        </w:rPr>
      </w:pPr>
      <w:r>
        <w:rPr>
          <w:rFonts w:hint="eastAsia" w:ascii="宋体" w:hAnsi="宋体" w:cs="宋体"/>
          <w:sz w:val="24"/>
        </w:rPr>
        <w:t xml:space="preserve">    响应文件是否实质性响应</w:t>
      </w:r>
      <w:r>
        <w:rPr>
          <w:rFonts w:hint="eastAsia" w:ascii="宋体" w:hAnsi="宋体" w:cs="宋体"/>
          <w:sz w:val="24"/>
          <w:lang w:val="en-US" w:eastAsia="zh-CN"/>
        </w:rPr>
        <w:t>磋商</w:t>
      </w:r>
      <w:r>
        <w:rPr>
          <w:rFonts w:hint="eastAsia" w:ascii="宋体" w:hAnsi="宋体" w:cs="宋体"/>
          <w:sz w:val="24"/>
        </w:rPr>
        <w:t>文件要求由</w:t>
      </w:r>
      <w:r>
        <w:rPr>
          <w:rFonts w:hint="eastAsia" w:ascii="宋体" w:hAnsi="宋体" w:cs="宋体"/>
          <w:sz w:val="24"/>
          <w:lang w:val="en-US" w:eastAsia="zh-CN"/>
        </w:rPr>
        <w:t>磋商小组</w:t>
      </w:r>
      <w:r>
        <w:rPr>
          <w:rFonts w:hint="eastAsia" w:ascii="宋体" w:hAnsi="宋体" w:cs="宋体"/>
          <w:sz w:val="24"/>
        </w:rPr>
        <w:t>依据</w:t>
      </w:r>
      <w:r>
        <w:rPr>
          <w:rFonts w:hint="eastAsia" w:ascii="宋体" w:hAnsi="宋体" w:cs="宋体"/>
          <w:sz w:val="24"/>
          <w:lang w:val="en-US" w:eastAsia="zh-CN"/>
        </w:rPr>
        <w:t>磋商</w:t>
      </w:r>
      <w:r>
        <w:rPr>
          <w:rFonts w:hint="eastAsia" w:ascii="宋体" w:hAnsi="宋体" w:cs="宋体"/>
          <w:sz w:val="24"/>
        </w:rPr>
        <w:t>文件规定认定。</w:t>
      </w:r>
      <w:r>
        <w:rPr>
          <w:rFonts w:hint="eastAsia" w:ascii="宋体" w:hAnsi="宋体" w:cs="宋体"/>
          <w:sz w:val="24"/>
          <w:lang w:val="en-US" w:eastAsia="zh-CN"/>
        </w:rPr>
        <w:t>磋商小组</w:t>
      </w:r>
      <w:r>
        <w:rPr>
          <w:rFonts w:hint="eastAsia" w:ascii="宋体" w:hAnsi="宋体" w:cs="宋体"/>
          <w:sz w:val="24"/>
        </w:rPr>
        <w:t>决定投标文件的实质性只根据投标文件本身的真实无误的内容，而不依据外部的证据。依据</w:t>
      </w:r>
      <w:r>
        <w:rPr>
          <w:rFonts w:hint="eastAsia" w:ascii="宋体" w:hAnsi="宋体" w:cs="宋体"/>
          <w:sz w:val="24"/>
          <w:lang w:val="en-US" w:eastAsia="zh-CN"/>
        </w:rPr>
        <w:t>磋商</w:t>
      </w:r>
      <w:r>
        <w:rPr>
          <w:rFonts w:hint="eastAsia" w:ascii="宋体" w:hAnsi="宋体" w:cs="宋体"/>
          <w:sz w:val="24"/>
        </w:rPr>
        <w:t>文件的规定，从响应文件的有效性、完整性和对</w:t>
      </w:r>
      <w:r>
        <w:rPr>
          <w:rFonts w:hint="eastAsia" w:ascii="宋体" w:hAnsi="宋体" w:cs="宋体"/>
          <w:sz w:val="24"/>
          <w:lang w:val="en-US" w:eastAsia="zh-CN"/>
        </w:rPr>
        <w:t>磋商</w:t>
      </w:r>
      <w:r>
        <w:rPr>
          <w:rFonts w:hint="eastAsia" w:ascii="宋体" w:hAnsi="宋体" w:cs="宋体"/>
          <w:sz w:val="24"/>
        </w:rPr>
        <w:t>文件的响应程度进行审查，以确定是否对</w:t>
      </w:r>
      <w:r>
        <w:rPr>
          <w:rFonts w:hint="eastAsia" w:ascii="宋体" w:hAnsi="宋体" w:cs="宋体"/>
          <w:sz w:val="24"/>
          <w:lang w:val="en-US" w:eastAsia="zh-CN"/>
        </w:rPr>
        <w:t>磋商</w:t>
      </w:r>
      <w:r>
        <w:rPr>
          <w:rFonts w:hint="eastAsia" w:ascii="宋体" w:hAnsi="宋体" w:cs="宋体"/>
          <w:sz w:val="24"/>
        </w:rPr>
        <w:t>文件的实质性要求作出响应。</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（1）未按规定由</w:t>
      </w:r>
      <w:r>
        <w:rPr>
          <w:rFonts w:hint="eastAsia" w:ascii="宋体" w:hAnsi="宋体" w:cs="宋体"/>
          <w:sz w:val="24"/>
          <w:lang w:eastAsia="zh-CN"/>
        </w:rPr>
        <w:t>投标人</w:t>
      </w:r>
      <w:r>
        <w:rPr>
          <w:rFonts w:hint="eastAsia" w:ascii="宋体" w:hAnsi="宋体" w:cs="宋体"/>
          <w:sz w:val="24"/>
        </w:rPr>
        <w:t>的法定代表人或投标</w:t>
      </w:r>
      <w:r>
        <w:rPr>
          <w:rFonts w:hint="eastAsia" w:ascii="宋体" w:hAnsi="宋体" w:cs="宋体"/>
          <w:sz w:val="24"/>
          <w:lang w:eastAsia="zh-CN"/>
        </w:rPr>
        <w:t>投标人</w:t>
      </w:r>
      <w:r>
        <w:rPr>
          <w:rFonts w:hint="eastAsia" w:ascii="宋体" w:hAnsi="宋体" w:cs="宋体"/>
          <w:sz w:val="24"/>
        </w:rPr>
        <w:t>代表签字，或未加盖投标</w:t>
      </w:r>
      <w:r>
        <w:rPr>
          <w:rFonts w:hint="eastAsia" w:ascii="宋体" w:hAnsi="宋体" w:cs="宋体"/>
          <w:sz w:val="24"/>
          <w:lang w:eastAsia="zh-CN"/>
        </w:rPr>
        <w:t>投标人</w:t>
      </w:r>
      <w:r>
        <w:rPr>
          <w:rFonts w:hint="eastAsia" w:ascii="宋体" w:hAnsi="宋体" w:cs="宋体"/>
          <w:sz w:val="24"/>
        </w:rPr>
        <w:t>公章的，或签字人未经法定代表人有效授权委托的。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（2）投标有效期不满足</w:t>
      </w:r>
      <w:r>
        <w:rPr>
          <w:rFonts w:hint="eastAsia" w:ascii="宋体" w:hAnsi="宋体" w:cs="宋体"/>
          <w:sz w:val="24"/>
          <w:lang w:val="en-US" w:eastAsia="zh-CN"/>
        </w:rPr>
        <w:t>磋商</w:t>
      </w:r>
      <w:r>
        <w:rPr>
          <w:rFonts w:hint="eastAsia" w:ascii="宋体" w:hAnsi="宋体" w:cs="宋体"/>
          <w:sz w:val="24"/>
        </w:rPr>
        <w:t>文件要求的；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投标人</w:t>
      </w:r>
      <w:r>
        <w:rPr>
          <w:rFonts w:hint="eastAsia" w:ascii="宋体" w:hAnsi="宋体" w:cs="宋体"/>
          <w:sz w:val="24"/>
        </w:rPr>
        <w:t xml:space="preserve">提交的投标报价高于最高投标限价的； </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响应</w:t>
      </w:r>
      <w:r>
        <w:rPr>
          <w:rFonts w:hint="eastAsia" w:ascii="宋体" w:hAnsi="宋体" w:cs="宋体"/>
          <w:sz w:val="24"/>
        </w:rPr>
        <w:t>文件付款方式不能满足</w:t>
      </w:r>
      <w:r>
        <w:rPr>
          <w:rFonts w:hint="eastAsia" w:ascii="宋体" w:hAnsi="宋体" w:cs="宋体"/>
          <w:sz w:val="24"/>
          <w:lang w:val="en-US" w:eastAsia="zh-CN"/>
        </w:rPr>
        <w:t>磋商</w:t>
      </w:r>
      <w:r>
        <w:rPr>
          <w:rFonts w:hint="eastAsia" w:ascii="宋体" w:hAnsi="宋体" w:cs="宋体"/>
          <w:sz w:val="24"/>
        </w:rPr>
        <w:t>文件要求的；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（5）投标文件的关键内容字迹模糊、无法辨认的,或者投标文件中经修正的内容字迹模糊难以辩认或者修改处未按规定签名盖章的；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（6）投标有效期、交货期、供货范围等商务条款不能满足</w:t>
      </w:r>
      <w:r>
        <w:rPr>
          <w:rFonts w:hint="eastAsia" w:ascii="宋体" w:hAnsi="宋体" w:cs="宋体"/>
          <w:sz w:val="24"/>
          <w:lang w:val="en-US" w:eastAsia="zh-CN"/>
        </w:rPr>
        <w:t>磋商</w:t>
      </w:r>
      <w:r>
        <w:rPr>
          <w:rFonts w:hint="eastAsia" w:ascii="宋体" w:hAnsi="宋体" w:cs="宋体"/>
          <w:sz w:val="24"/>
        </w:rPr>
        <w:t>文件要求的；</w:t>
      </w:r>
    </w:p>
    <w:p>
      <w:pPr>
        <w:spacing w:line="400" w:lineRule="atLeast"/>
        <w:ind w:firstLine="480" w:firstLineChars="200"/>
        <w:rPr>
          <w:rFonts w:hint="eastAsia" w:ascii="宋体" w:hAnsi="宋体" w:cs="宋体"/>
          <w:sz w:val="24"/>
        </w:rPr>
      </w:pPr>
      <w:r>
        <w:rPr>
          <w:rFonts w:hint="eastAsia" w:ascii="宋体" w:hAnsi="宋体" w:cs="宋体"/>
          <w:sz w:val="24"/>
        </w:rPr>
        <w:t>（7）投标人递交两份或多份内容不同的</w:t>
      </w:r>
      <w:r>
        <w:rPr>
          <w:rFonts w:hint="eastAsia" w:ascii="宋体" w:hAnsi="宋体" w:cs="宋体"/>
          <w:sz w:val="24"/>
          <w:lang w:val="en-US" w:eastAsia="zh-CN"/>
        </w:rPr>
        <w:t>响应</w:t>
      </w:r>
      <w:r>
        <w:rPr>
          <w:rFonts w:hint="eastAsia" w:ascii="宋体" w:hAnsi="宋体" w:cs="宋体"/>
          <w:sz w:val="24"/>
        </w:rPr>
        <w:t>文件，或在一份投标文件中对同一招标项目出现两个或多个报价。</w:t>
      </w:r>
    </w:p>
    <w:p>
      <w:pPr>
        <w:spacing w:line="400" w:lineRule="atLeast"/>
        <w:ind w:firstLine="480" w:firstLineChars="200"/>
        <w:rPr>
          <w:rFonts w:hint="eastAsia" w:ascii="宋体" w:hAnsi="宋体" w:cs="宋体"/>
          <w:b/>
          <w:sz w:val="24"/>
        </w:rPr>
      </w:pPr>
      <w:r>
        <w:rPr>
          <w:rFonts w:hint="eastAsia" w:ascii="宋体" w:hAnsi="宋体" w:cs="宋体"/>
          <w:sz w:val="24"/>
        </w:rPr>
        <w:t>（8）未实质性响应或者擅自改变招标文件要求或者</w:t>
      </w:r>
      <w:r>
        <w:rPr>
          <w:rFonts w:hint="eastAsia" w:ascii="宋体" w:hAnsi="宋体" w:cs="宋体"/>
          <w:sz w:val="24"/>
          <w:lang w:val="en-US" w:eastAsia="zh-CN"/>
        </w:rPr>
        <w:t>响应</w:t>
      </w:r>
      <w:r>
        <w:rPr>
          <w:rFonts w:hint="eastAsia" w:ascii="宋体" w:hAnsi="宋体" w:cs="宋体"/>
          <w:sz w:val="24"/>
        </w:rPr>
        <w:t>文件有招标方不能接受的附加条件的。</w:t>
      </w:r>
    </w:p>
    <w:p>
      <w:pPr>
        <w:spacing w:line="400" w:lineRule="atLeast"/>
        <w:ind w:firstLine="482" w:firstLineChars="200"/>
        <w:rPr>
          <w:rFonts w:hint="eastAsia" w:ascii="宋体" w:hAnsi="宋体" w:cs="宋体"/>
          <w:b/>
          <w:sz w:val="24"/>
        </w:rPr>
      </w:pPr>
      <w:r>
        <w:rPr>
          <w:rFonts w:hint="eastAsia" w:ascii="宋体" w:hAnsi="宋体" w:cs="宋体"/>
          <w:b/>
          <w:sz w:val="24"/>
        </w:rPr>
        <w:t>详细评审</w:t>
      </w:r>
    </w:p>
    <w:p>
      <w:pPr>
        <w:numPr>
          <w:ilvl w:val="0"/>
          <w:numId w:val="12"/>
        </w:numPr>
        <w:spacing w:line="400" w:lineRule="atLeast"/>
        <w:ind w:firstLine="590" w:firstLineChars="250"/>
        <w:rPr>
          <w:rFonts w:hint="eastAsia"/>
        </w:rPr>
      </w:pPr>
      <w:r>
        <w:rPr>
          <w:rFonts w:hint="eastAsia" w:ascii="宋体" w:hAnsi="宋体" w:cs="宋体"/>
          <w:spacing w:val="-2"/>
          <w:sz w:val="24"/>
        </w:rPr>
        <w:t>经初步评审合格的</w:t>
      </w:r>
      <w:r>
        <w:rPr>
          <w:rFonts w:hint="eastAsia" w:ascii="宋体" w:hAnsi="宋体" w:cs="宋体"/>
          <w:sz w:val="24"/>
          <w:lang w:val="en-US" w:eastAsia="zh-CN"/>
        </w:rPr>
        <w:t>响应</w:t>
      </w:r>
      <w:r>
        <w:rPr>
          <w:rFonts w:hint="eastAsia" w:ascii="宋体" w:hAnsi="宋体" w:cs="宋体"/>
          <w:spacing w:val="-2"/>
          <w:sz w:val="24"/>
        </w:rPr>
        <w:t>文件，</w:t>
      </w:r>
      <w:r>
        <w:rPr>
          <w:rFonts w:hint="eastAsia" w:ascii="宋体" w:hAnsi="宋体" w:cs="宋体"/>
          <w:sz w:val="24"/>
          <w:lang w:val="en-US" w:eastAsia="zh-CN"/>
        </w:rPr>
        <w:t>磋商小组</w:t>
      </w:r>
      <w:r>
        <w:rPr>
          <w:rFonts w:hint="eastAsia" w:ascii="宋体" w:hAnsi="宋体" w:cs="宋体"/>
          <w:spacing w:val="-2"/>
          <w:sz w:val="24"/>
        </w:rPr>
        <w:t>应当根据本文件确定的评标标准和方法，对其技术和商务部分作进一步的评审和比较。</w:t>
      </w:r>
      <w:r>
        <w:rPr>
          <w:rFonts w:hint="eastAsia" w:ascii="宋体" w:hAnsi="宋体" w:eastAsia="宋体" w:cs="宋体"/>
          <w:spacing w:val="-2"/>
          <w:sz w:val="24"/>
        </w:rPr>
        <w:t>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numPr>
          <w:ilvl w:val="0"/>
          <w:numId w:val="12"/>
        </w:numPr>
        <w:spacing w:line="400" w:lineRule="atLeast"/>
        <w:ind w:firstLine="590" w:firstLineChars="250"/>
        <w:rPr>
          <w:rFonts w:hint="eastAsia" w:ascii="宋体" w:hAnsi="宋体" w:cs="宋体"/>
          <w:sz w:val="24"/>
        </w:rPr>
      </w:pPr>
      <w:r>
        <w:rPr>
          <w:rFonts w:hint="eastAsia" w:ascii="宋体" w:hAnsi="宋体" w:eastAsia="宋体" w:cs="宋体"/>
          <w:spacing w:val="-2"/>
          <w:sz w:val="24"/>
        </w:rPr>
        <w:t>磋商结束后，磋商小组应当要求所有实质性响应的供应商在规定时间内提交</w:t>
      </w:r>
      <w:r>
        <w:rPr>
          <w:rFonts w:hint="eastAsia" w:ascii="宋体" w:hAnsi="宋体" w:eastAsia="宋体" w:cs="宋体"/>
          <w:spacing w:val="-2"/>
          <w:sz w:val="24"/>
          <w:lang w:val="en-US" w:eastAsia="zh-CN"/>
        </w:rPr>
        <w:t>二次</w:t>
      </w:r>
      <w:r>
        <w:rPr>
          <w:rFonts w:hint="eastAsia" w:ascii="宋体" w:hAnsi="宋体" w:eastAsia="宋体" w:cs="宋体"/>
          <w:spacing w:val="-2"/>
          <w:sz w:val="24"/>
        </w:rPr>
        <w:t>报价，经磋商确定最终采购需求和提交最后报价的供应商后，由磋商小组采用综合评分法对提交最后报价的供应商的响应文件和最后报价进行综合评分。</w:t>
      </w:r>
    </w:p>
    <w:p>
      <w:pPr>
        <w:numPr>
          <w:ilvl w:val="0"/>
          <w:numId w:val="12"/>
        </w:numPr>
        <w:spacing w:line="400" w:lineRule="atLeast"/>
        <w:ind w:firstLine="600" w:firstLineChars="250"/>
        <w:rPr>
          <w:rFonts w:hint="eastAsia" w:ascii="宋体" w:hAnsi="宋体" w:cs="宋体"/>
          <w:sz w:val="24"/>
        </w:rPr>
      </w:pPr>
      <w:r>
        <w:rPr>
          <w:rFonts w:hint="eastAsia" w:ascii="宋体" w:hAnsi="宋体" w:cs="宋体"/>
          <w:sz w:val="24"/>
        </w:rPr>
        <w:t>采用综合评分法，即投标文件满足招标文件全部实质性要求，且按照评审因素的量化指标评审得分最高的投标人为</w:t>
      </w:r>
      <w:r>
        <w:rPr>
          <w:rFonts w:hint="eastAsia" w:ascii="宋体" w:hAnsi="宋体" w:cs="宋体"/>
          <w:sz w:val="24"/>
          <w:lang w:val="en-US" w:eastAsia="zh-CN"/>
        </w:rPr>
        <w:t>成交</w:t>
      </w:r>
      <w:r>
        <w:rPr>
          <w:rFonts w:hint="eastAsia" w:ascii="宋体" w:hAnsi="宋体" w:cs="宋体"/>
          <w:sz w:val="24"/>
        </w:rPr>
        <w:t>候选人。</w:t>
      </w:r>
    </w:p>
    <w:p>
      <w:pPr>
        <w:spacing w:line="400" w:lineRule="atLeast"/>
        <w:ind w:firstLine="482" w:firstLineChars="200"/>
        <w:jc w:val="left"/>
        <w:rPr>
          <w:rFonts w:hint="eastAsia" w:ascii="宋体" w:hAnsi="宋体" w:cs="宋体"/>
          <w:sz w:val="24"/>
        </w:rPr>
      </w:pPr>
      <w:r>
        <w:rPr>
          <w:rFonts w:hint="eastAsia" w:ascii="宋体" w:hAnsi="宋体" w:cs="宋体"/>
          <w:b/>
          <w:bCs/>
          <w:sz w:val="24"/>
        </w:rPr>
        <w:t>评标的保密性</w:t>
      </w:r>
    </w:p>
    <w:p>
      <w:pPr>
        <w:spacing w:line="400" w:lineRule="atLeast"/>
        <w:ind w:firstLine="480" w:firstLineChars="200"/>
        <w:jc w:val="left"/>
        <w:rPr>
          <w:rFonts w:hint="eastAsia" w:ascii="宋体" w:hAnsi="宋体" w:cs="宋体"/>
          <w:sz w:val="24"/>
        </w:rPr>
      </w:pPr>
      <w:r>
        <w:rPr>
          <w:rFonts w:hint="eastAsia" w:ascii="宋体" w:hAnsi="宋体" w:cs="宋体"/>
          <w:sz w:val="24"/>
        </w:rPr>
        <w:t>1、开标后，直到授予投标商合同为止，凡属于审查、澄清、评价和比较的有关资料以及授标建议等</w:t>
      </w:r>
      <w:r>
        <w:rPr>
          <w:rFonts w:hint="eastAsia" w:ascii="宋体" w:hAnsi="宋体" w:cs="宋体"/>
          <w:sz w:val="24"/>
          <w:lang w:val="en-US" w:eastAsia="zh-CN"/>
        </w:rPr>
        <w:t>磋商小组</w:t>
      </w:r>
      <w:r>
        <w:rPr>
          <w:rFonts w:hint="eastAsia" w:ascii="宋体" w:hAnsi="宋体" w:cs="宋体"/>
          <w:sz w:val="24"/>
        </w:rPr>
        <w:t>成员或参与评标的有关工作人员均不得向投标商或其他无关人员透露，违者给予警告、取消担任</w:t>
      </w:r>
      <w:r>
        <w:rPr>
          <w:rFonts w:hint="eastAsia" w:ascii="宋体" w:hAnsi="宋体" w:cs="宋体"/>
          <w:sz w:val="24"/>
          <w:lang w:val="en-US" w:eastAsia="zh-CN"/>
        </w:rPr>
        <w:t>磋商小组</w:t>
      </w:r>
      <w:r>
        <w:rPr>
          <w:rFonts w:hint="eastAsia" w:ascii="宋体" w:hAnsi="宋体" w:cs="宋体"/>
          <w:sz w:val="24"/>
        </w:rPr>
        <w:t>成员的资格，不得再参加任何项目的评标。</w:t>
      </w:r>
    </w:p>
    <w:p>
      <w:pPr>
        <w:spacing w:line="400" w:lineRule="atLeast"/>
        <w:jc w:val="left"/>
        <w:rPr>
          <w:rFonts w:hint="eastAsia" w:ascii="宋体" w:hAnsi="宋体" w:cs="宋体"/>
          <w:sz w:val="24"/>
        </w:rPr>
      </w:pPr>
      <w:r>
        <w:rPr>
          <w:rFonts w:hint="eastAsia" w:ascii="宋体" w:hAnsi="宋体" w:cs="宋体"/>
          <w:sz w:val="24"/>
        </w:rPr>
        <w:t xml:space="preserve">    2、投标商在评标过程中，所进行的力图影响评标结果的不符合《政府采购法》、《</w:t>
      </w:r>
      <w:bookmarkStart w:id="510" w:name="OLE_LINK1"/>
      <w:r>
        <w:rPr>
          <w:rFonts w:hint="eastAsia" w:ascii="宋体" w:hAnsi="宋体" w:cs="宋体"/>
          <w:sz w:val="24"/>
        </w:rPr>
        <w:t>政府采购竞争性磋商采购方式管理暂行办法</w:t>
      </w:r>
      <w:bookmarkEnd w:id="510"/>
      <w:r>
        <w:rPr>
          <w:rFonts w:hint="eastAsia" w:ascii="宋体" w:hAnsi="宋体" w:cs="宋体"/>
          <w:sz w:val="24"/>
        </w:rPr>
        <w:t>》及本次项目中有关规定的活动，将被取消中标资格。</w:t>
      </w:r>
    </w:p>
    <w:p>
      <w:pPr>
        <w:pStyle w:val="2"/>
        <w:rPr>
          <w:rFonts w:hint="eastAsia"/>
        </w:rPr>
      </w:pPr>
    </w:p>
    <w:p>
      <w:pPr>
        <w:pStyle w:val="2"/>
        <w:rPr>
          <w:rFonts w:hint="eastAsia"/>
        </w:rPr>
      </w:pPr>
    </w:p>
    <w:p>
      <w:pPr>
        <w:spacing w:line="360" w:lineRule="auto"/>
        <w:jc w:val="center"/>
        <w:rPr>
          <w:rFonts w:hint="eastAsia" w:ascii="宋体" w:hAnsi="宋体" w:cs="宋体"/>
          <w:b/>
          <w:sz w:val="24"/>
        </w:rPr>
      </w:pPr>
      <w:r>
        <w:rPr>
          <w:rFonts w:hint="eastAsia" w:ascii="宋体" w:hAnsi="宋体" w:cs="宋体"/>
          <w:b/>
          <w:sz w:val="24"/>
        </w:rPr>
        <w:t>定标</w:t>
      </w:r>
    </w:p>
    <w:p>
      <w:pPr>
        <w:spacing w:line="400" w:lineRule="atLeast"/>
        <w:ind w:firstLine="474" w:firstLineChars="200"/>
        <w:rPr>
          <w:rFonts w:hint="eastAsia" w:ascii="宋体" w:hAnsi="宋体" w:cs="宋体"/>
          <w:b/>
          <w:bCs/>
          <w:spacing w:val="-2"/>
          <w:sz w:val="24"/>
        </w:rPr>
      </w:pPr>
    </w:p>
    <w:p>
      <w:pPr>
        <w:spacing w:line="400" w:lineRule="atLeast"/>
        <w:ind w:firstLine="480" w:firstLineChars="200"/>
        <w:rPr>
          <w:rFonts w:hint="eastAsia" w:ascii="宋体" w:hAnsi="宋体" w:cs="宋体"/>
          <w:b w:val="0"/>
          <w:bCs/>
          <w:sz w:val="24"/>
        </w:rPr>
      </w:pPr>
      <w:r>
        <w:rPr>
          <w:rFonts w:hint="eastAsia" w:ascii="宋体" w:hAnsi="宋体" w:cs="宋体"/>
          <w:b w:val="0"/>
          <w:bCs/>
          <w:sz w:val="24"/>
        </w:rPr>
        <w:t>1.定标标准</w:t>
      </w:r>
    </w:p>
    <w:p>
      <w:pPr>
        <w:spacing w:line="400" w:lineRule="atLeast"/>
        <w:ind w:firstLine="472" w:firstLineChars="200"/>
        <w:rPr>
          <w:rFonts w:hint="eastAsia" w:ascii="宋体" w:hAnsi="宋体" w:cs="宋体"/>
          <w:spacing w:val="-2"/>
          <w:sz w:val="24"/>
        </w:rPr>
      </w:pPr>
      <w:r>
        <w:rPr>
          <w:rFonts w:hint="eastAsia" w:ascii="宋体" w:hAnsi="宋体" w:cs="宋体"/>
          <w:spacing w:val="-2"/>
          <w:sz w:val="24"/>
        </w:rPr>
        <w:t>（一）原则：</w:t>
      </w:r>
      <w:r>
        <w:rPr>
          <w:rFonts w:hint="eastAsia" w:ascii="宋体" w:hAnsi="宋体" w:cs="宋体"/>
          <w:spacing w:val="-2"/>
          <w:sz w:val="24"/>
          <w:lang w:val="en-US" w:eastAsia="zh-CN"/>
        </w:rPr>
        <w:t>招标人将依据</w:t>
      </w:r>
      <w:r>
        <w:rPr>
          <w:rFonts w:hint="eastAsia" w:ascii="宋体" w:hAnsi="宋体" w:cs="宋体"/>
          <w:spacing w:val="-2"/>
          <w:sz w:val="24"/>
        </w:rPr>
        <w:t>本项目根据</w:t>
      </w:r>
      <w:r>
        <w:rPr>
          <w:rFonts w:hint="eastAsia" w:ascii="宋体" w:hAnsi="宋体" w:cs="宋体"/>
          <w:spacing w:val="-2"/>
          <w:sz w:val="24"/>
          <w:lang w:val="en-US" w:eastAsia="zh-CN"/>
        </w:rPr>
        <w:t>磋商小组</w:t>
      </w:r>
      <w:r>
        <w:rPr>
          <w:rFonts w:hint="eastAsia" w:ascii="宋体" w:hAnsi="宋体" w:cs="宋体"/>
          <w:spacing w:val="-2"/>
          <w:sz w:val="24"/>
        </w:rPr>
        <w:t>推荐的</w:t>
      </w:r>
      <w:r>
        <w:rPr>
          <w:rFonts w:hint="eastAsia" w:ascii="宋体" w:hAnsi="宋体" w:cs="宋体"/>
          <w:spacing w:val="-2"/>
          <w:sz w:val="24"/>
          <w:lang w:val="en-US" w:eastAsia="zh-CN"/>
        </w:rPr>
        <w:t>成交</w:t>
      </w:r>
      <w:r>
        <w:rPr>
          <w:rFonts w:hint="eastAsia" w:ascii="宋体" w:hAnsi="宋体" w:cs="宋体"/>
          <w:spacing w:val="-2"/>
          <w:sz w:val="24"/>
        </w:rPr>
        <w:t>候选人名单，按顺序确定中标人。</w:t>
      </w:r>
    </w:p>
    <w:p>
      <w:pPr>
        <w:spacing w:line="400" w:lineRule="atLeast"/>
        <w:ind w:firstLine="480" w:firstLineChars="200"/>
        <w:rPr>
          <w:rFonts w:hint="eastAsia" w:ascii="宋体" w:hAnsi="宋体" w:eastAsia="宋体" w:cs="宋体"/>
          <w:b w:val="0"/>
          <w:bCs/>
          <w:sz w:val="24"/>
          <w:lang w:eastAsia="zh-CN"/>
        </w:rPr>
      </w:pPr>
      <w:bookmarkStart w:id="511" w:name="_Toc217446062"/>
      <w:r>
        <w:rPr>
          <w:rFonts w:hint="eastAsia" w:ascii="宋体" w:hAnsi="宋体" w:cs="宋体"/>
          <w:b w:val="0"/>
          <w:bCs/>
          <w:sz w:val="24"/>
        </w:rPr>
        <w:t>（二）程序</w:t>
      </w:r>
      <w:bookmarkEnd w:id="511"/>
      <w:r>
        <w:rPr>
          <w:rFonts w:hint="eastAsia" w:ascii="宋体" w:hAnsi="宋体" w:cs="宋体"/>
          <w:b w:val="0"/>
          <w:bCs/>
          <w:sz w:val="24"/>
          <w:lang w:eastAsia="zh-CN"/>
        </w:rPr>
        <w:t>：</w:t>
      </w:r>
    </w:p>
    <w:p>
      <w:pPr>
        <w:spacing w:line="400" w:lineRule="atLeast"/>
        <w:ind w:firstLine="472" w:firstLineChars="200"/>
        <w:rPr>
          <w:rFonts w:hint="eastAsia" w:ascii="宋体" w:hAnsi="宋体" w:cs="宋体"/>
          <w:spacing w:val="-2"/>
          <w:sz w:val="24"/>
        </w:rPr>
      </w:pPr>
      <w:r>
        <w:rPr>
          <w:rFonts w:hint="eastAsia" w:ascii="宋体" w:hAnsi="宋体" w:cs="宋体"/>
          <w:spacing w:val="-2"/>
          <w:sz w:val="24"/>
        </w:rPr>
        <w:t>1、采购代理机构在评审结束后2个工作日内将评审报告送采购人。</w:t>
      </w:r>
    </w:p>
    <w:p>
      <w:pPr>
        <w:spacing w:line="400" w:lineRule="atLeast"/>
        <w:ind w:firstLine="472" w:firstLineChars="200"/>
        <w:rPr>
          <w:rFonts w:hint="eastAsia" w:ascii="宋体" w:hAnsi="宋体" w:cs="宋体"/>
          <w:spacing w:val="-2"/>
          <w:sz w:val="24"/>
        </w:rPr>
      </w:pPr>
      <w:r>
        <w:rPr>
          <w:rFonts w:hint="eastAsia" w:ascii="宋体" w:hAnsi="宋体" w:cs="宋体"/>
          <w:spacing w:val="-2"/>
          <w:sz w:val="24"/>
        </w:rPr>
        <w:t>2、采购人在收到评审报告后5个工作日内，按照评审报告中推荐的中标候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3个工作日内向中标人发出中标通知书</w:t>
      </w:r>
      <w:r>
        <w:rPr>
          <w:rFonts w:hint="eastAsia" w:ascii="宋体" w:hAnsi="宋体" w:cs="宋体"/>
          <w:color w:val="auto"/>
          <w:spacing w:val="-2"/>
          <w:sz w:val="24"/>
        </w:rPr>
        <w:t>。中标人自收到中标通知书之日起3</w:t>
      </w:r>
      <w:r>
        <w:rPr>
          <w:rFonts w:hint="eastAsia" w:ascii="宋体" w:hAnsi="宋体" w:cs="宋体"/>
          <w:color w:val="auto"/>
          <w:spacing w:val="-2"/>
          <w:sz w:val="24"/>
          <w:lang w:val="en-US" w:eastAsia="zh-CN"/>
        </w:rPr>
        <w:t>0</w:t>
      </w:r>
      <w:r>
        <w:rPr>
          <w:rFonts w:hint="eastAsia" w:ascii="宋体" w:hAnsi="宋体" w:cs="宋体"/>
          <w:color w:val="auto"/>
          <w:spacing w:val="-2"/>
          <w:sz w:val="24"/>
        </w:rPr>
        <w:t>日内应与采购人签订合同书。</w:t>
      </w:r>
    </w:p>
    <w:p>
      <w:pPr>
        <w:spacing w:line="400" w:lineRule="atLeast"/>
        <w:ind w:firstLine="472" w:firstLineChars="200"/>
        <w:rPr>
          <w:rFonts w:hint="eastAsia" w:ascii="宋体" w:hAnsi="宋体" w:eastAsia="宋体" w:cs="宋体"/>
          <w:b/>
          <w:sz w:val="24"/>
          <w:lang w:val="en-US" w:eastAsia="zh-CN"/>
        </w:rPr>
      </w:pPr>
      <w:r>
        <w:rPr>
          <w:rFonts w:hint="eastAsia" w:ascii="宋体" w:hAnsi="宋体" w:cs="宋体"/>
          <w:spacing w:val="-2"/>
          <w:sz w:val="24"/>
          <w:lang w:val="en-US" w:eastAsia="zh-CN"/>
        </w:rPr>
        <w:t>3</w:t>
      </w:r>
      <w:r>
        <w:rPr>
          <w:rFonts w:hint="eastAsia" w:ascii="宋体" w:hAnsi="宋体" w:cs="宋体"/>
          <w:spacing w:val="-2"/>
          <w:sz w:val="24"/>
        </w:rPr>
        <w:t>、采购单位不退回</w:t>
      </w:r>
      <w:r>
        <w:rPr>
          <w:rFonts w:hint="eastAsia" w:ascii="宋体" w:hAnsi="宋体" w:cs="宋体"/>
          <w:spacing w:val="-2"/>
          <w:sz w:val="24"/>
          <w:lang w:eastAsia="zh-CN"/>
        </w:rPr>
        <w:t>投标人</w:t>
      </w:r>
      <w:r>
        <w:rPr>
          <w:rFonts w:hint="eastAsia" w:ascii="宋体" w:hAnsi="宋体" w:cs="宋体"/>
          <w:spacing w:val="-2"/>
          <w:sz w:val="24"/>
          <w:lang w:val="en-US" w:eastAsia="zh-CN"/>
        </w:rPr>
        <w:t>响应</w:t>
      </w:r>
      <w:r>
        <w:rPr>
          <w:rFonts w:hint="eastAsia" w:ascii="宋体" w:hAnsi="宋体" w:cs="宋体"/>
          <w:spacing w:val="-2"/>
          <w:sz w:val="24"/>
        </w:rPr>
        <w:t>文件和其他资料。</w:t>
      </w:r>
    </w:p>
    <w:p>
      <w:pPr>
        <w:spacing w:line="400" w:lineRule="atLeast"/>
        <w:ind w:firstLine="482" w:firstLineChars="200"/>
        <w:jc w:val="center"/>
        <w:rPr>
          <w:rFonts w:hint="eastAsia" w:ascii="宋体" w:hAnsi="宋体" w:eastAsia="宋体" w:cs="宋体"/>
          <w:spacing w:val="-2"/>
          <w:sz w:val="24"/>
          <w:lang w:val="en-US" w:eastAsia="zh-CN"/>
        </w:rPr>
      </w:pPr>
      <w:r>
        <w:rPr>
          <w:rFonts w:hint="eastAsia" w:ascii="宋体" w:hAnsi="宋体" w:eastAsia="宋体" w:cs="宋体"/>
          <w:b/>
          <w:sz w:val="24"/>
          <w:lang w:val="en-US" w:eastAsia="zh-CN"/>
        </w:rPr>
        <w:t>纪律和监督</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1．对采购人的纪律要求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采购人不得泄漏招标投标活动中应当保密的情况和资料，不得与供应商串通损害国家利益、社会公共利益或者他人合法权益。</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下列行为视为采购人与供应商串通投标：</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(1）采购人在开标前开启磋商响应文件，并将投标情况告知其它供应商，或者协助供应商撤换磋商响应文件，更改报价；</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(2）采购人向供应商泄露标底；</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(3）采购人与供应商商定，投标时压低或抬高标价，中标后再给供应商或采购人额外补偿；</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(4）采购人预先内定中标供应商；</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(5）其它串通投标行为。</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2.对供应商的纪律要求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下列情况视为投标人之间串通投标，其投标无效：</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（1）不同供应商响应文件由同一单位或个人编制；</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（2）不同供应商委托同一单位或个人办理投标事宜的；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（3）不同供应商的响应文件载明的联系人员为同一个人的；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（4）不同供应商的响应文件异常一致或报价呈规律性差异；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（5）不同供应商的磋商响应文件相互混装的；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（6）不同供应商磋商保证金从同一单位或个人的帐户转出；</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3.对磋商小组成员的纪律要求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磋商小组成员不得收受他人的财物或者其他好处，不得向他人透漏对磋商响应文件的评审和比较、中标候选人的推荐情况以及评标有关的其他情况。在评标活动中，磋商小组成员不得擅离职守，影响评标程序正常进行，不得使用“评标办法”没有规定的评审因素和标准进行评标。</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4.对参与评标活动有关的工作人员的纪律要求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bookmarkStart w:id="512" w:name="_Toc217446072"/>
    </w:p>
    <w:p>
      <w:pPr>
        <w:spacing w:line="400" w:lineRule="atLeast"/>
        <w:ind w:firstLine="474" w:firstLineChars="200"/>
        <w:rPr>
          <w:rFonts w:hint="eastAsia" w:ascii="宋体" w:hAnsi="宋体" w:eastAsia="宋体" w:cs="宋体"/>
          <w:b w:val="0"/>
          <w:spacing w:val="-2"/>
          <w:kern w:val="2"/>
          <w:sz w:val="24"/>
          <w:szCs w:val="24"/>
          <w:lang w:val="en-US" w:eastAsia="zh-CN" w:bidi="ar-SA"/>
        </w:rPr>
      </w:pPr>
      <w:r>
        <w:rPr>
          <w:rFonts w:hint="eastAsia" w:ascii="宋体" w:hAnsi="宋体" w:eastAsia="宋体" w:cs="宋体"/>
          <w:b/>
          <w:bCs/>
          <w:spacing w:val="-2"/>
          <w:kern w:val="2"/>
          <w:sz w:val="24"/>
          <w:szCs w:val="24"/>
          <w:lang w:val="en-US" w:eastAsia="zh-CN" w:bidi="ar-SA"/>
        </w:rPr>
        <w:t>响应无效的界定</w:t>
      </w:r>
      <w:bookmarkEnd w:id="512"/>
      <w:r>
        <w:rPr>
          <w:rFonts w:hint="eastAsia" w:ascii="宋体" w:hAnsi="宋体" w:eastAsia="宋体" w:cs="宋体"/>
          <w:b/>
          <w:bCs/>
          <w:spacing w:val="-2"/>
          <w:kern w:val="2"/>
          <w:sz w:val="24"/>
          <w:szCs w:val="24"/>
          <w:lang w:val="en-US" w:eastAsia="zh-CN" w:bidi="ar-SA"/>
        </w:rPr>
        <w:t>：</w:t>
      </w:r>
      <w:r>
        <w:rPr>
          <w:rFonts w:hint="eastAsia" w:ascii="宋体" w:hAnsi="宋体" w:eastAsia="宋体" w:cs="宋体"/>
          <w:b w:val="0"/>
          <w:spacing w:val="-2"/>
          <w:kern w:val="2"/>
          <w:sz w:val="24"/>
          <w:szCs w:val="24"/>
          <w:lang w:val="en-US" w:eastAsia="zh-CN" w:bidi="ar-SA"/>
        </w:rPr>
        <w:t>招标采购中，出现下列情形之一的，响应无效：1.未按磋商文件规定的形式和金额提交磋商保证金的；2.未按照磋商文件规定要求签署、盖章的；3.不具备磋商文件中规定的资格要求的。4.报价超过磋商文件中规定的预算金额或者最高限价的；5.响应文件含有采购人不能接受的附加条件的；6.法律、法规和招标文件规定的其他无效情形。</w:t>
      </w:r>
    </w:p>
    <w:p>
      <w:pPr>
        <w:spacing w:line="400" w:lineRule="atLeast"/>
        <w:ind w:firstLine="472" w:firstLineChars="200"/>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 6 %后参与评审。对于同时属于小微企业、监狱企业或残疾人福利性单位的，不重复进行报价扣除。</w:t>
      </w:r>
    </w:p>
    <w:p>
      <w:pPr>
        <w:spacing w:line="400" w:lineRule="atLeast"/>
        <w:ind w:firstLine="472" w:firstLineChars="200"/>
        <w:rPr>
          <w:rFonts w:hint="default"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2.联合协议中约定，小型、微型企业和监狱企业的协议合同金额占到联合体协议合同总金额30%以上的，可给予联合体</w:t>
      </w:r>
      <w:r>
        <w:rPr>
          <w:rFonts w:hint="eastAsia" w:ascii="宋体" w:hAnsi="宋体" w:eastAsia="宋体" w:cs="宋体"/>
          <w:b w:val="0"/>
          <w:spacing w:val="-2"/>
          <w:kern w:val="2"/>
          <w:sz w:val="24"/>
          <w:szCs w:val="24"/>
          <w:u w:val="single"/>
          <w:lang w:val="en-US" w:eastAsia="zh-CN" w:bidi="ar-SA"/>
        </w:rPr>
        <w:t xml:space="preserve">    /   </w:t>
      </w:r>
      <w:r>
        <w:rPr>
          <w:rFonts w:hint="eastAsia" w:ascii="宋体" w:hAnsi="宋体" w:eastAsia="宋体" w:cs="宋体"/>
          <w:b w:val="0"/>
          <w:spacing w:val="-2"/>
          <w:kern w:val="2"/>
          <w:sz w:val="24"/>
          <w:szCs w:val="24"/>
          <w:lang w:val="en-US" w:eastAsia="zh-CN" w:bidi="ar-SA"/>
        </w:rPr>
        <w:t xml:space="preserve"> %的价格扣除。联合体各方均为小型、微型企业和监狱企业的，联合体视同为小型、微型企业和监狱企业。</w:t>
      </w:r>
    </w:p>
    <w:p>
      <w:pPr>
        <w:pStyle w:val="4"/>
        <w:spacing w:line="240" w:lineRule="auto"/>
        <w:ind w:firstLine="472" w:firstLineChars="200"/>
        <w:jc w:val="left"/>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3.供应商所投产品如被列入财政部与国家主管部门颁发的节能产品目录或环境标志产品目录或无线局域网产品目录，应提供相关证明，在评审时予以优先采购，具体优惠措施为： 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ind w:firstLine="472" w:firstLineChars="200"/>
        <w:rPr>
          <w:rFonts w:hint="default" w:ascii="宋体" w:hAnsi="宋体" w:eastAsia="宋体" w:cs="宋体"/>
          <w:b w:val="0"/>
          <w:spacing w:val="-2"/>
          <w:kern w:val="2"/>
          <w:sz w:val="24"/>
          <w:szCs w:val="24"/>
          <w:lang w:val="en-US" w:eastAsia="zh-CN" w:bidi="ar-SA"/>
        </w:rPr>
      </w:pPr>
      <w:r>
        <w:rPr>
          <w:rFonts w:hint="default" w:ascii="宋体" w:hAnsi="宋体" w:eastAsia="宋体" w:cs="宋体"/>
          <w:b w:val="0"/>
          <w:spacing w:val="-2"/>
          <w:kern w:val="2"/>
          <w:sz w:val="24"/>
          <w:szCs w:val="24"/>
          <w:lang w:val="en-US" w:eastAsia="zh-CN" w:bidi="ar-SA"/>
        </w:rPr>
        <w:t>4.如采购人所采购产品为政府强制采购的节能产品，供应商所投产品的品牌及型号必须为清单中有效期内产品并提供证明文件，否则其响应将被认定为响应无效。</w:t>
      </w:r>
    </w:p>
    <w:p>
      <w:pPr>
        <w:ind w:firstLine="472" w:firstLineChars="200"/>
        <w:rPr>
          <w:rFonts w:hint="default" w:ascii="宋体" w:hAnsi="宋体" w:eastAsia="宋体" w:cs="宋体"/>
          <w:b w:val="0"/>
          <w:spacing w:val="-2"/>
          <w:kern w:val="2"/>
          <w:sz w:val="24"/>
          <w:szCs w:val="24"/>
          <w:lang w:val="en-US" w:eastAsia="zh-CN" w:bidi="ar-SA"/>
        </w:rPr>
      </w:pPr>
      <w:r>
        <w:rPr>
          <w:rFonts w:hint="default" w:ascii="宋体" w:hAnsi="宋体" w:eastAsia="宋体" w:cs="宋体"/>
          <w:b w:val="0"/>
          <w:spacing w:val="-2"/>
          <w:kern w:val="2"/>
          <w:sz w:val="24"/>
          <w:szCs w:val="24"/>
          <w:lang w:val="en-US" w:eastAsia="zh-CN" w:bidi="ar-SA"/>
        </w:rPr>
        <w:t xml:space="preserve">5.对创新产品或创新性企业的优惠措施为：    /       </w:t>
      </w:r>
    </w:p>
    <w:p>
      <w:pPr>
        <w:ind w:firstLine="472" w:firstLineChars="200"/>
        <w:rPr>
          <w:rFonts w:hint="default" w:ascii="宋体" w:hAnsi="宋体" w:eastAsia="宋体" w:cs="宋体"/>
          <w:b w:val="0"/>
          <w:spacing w:val="-2"/>
          <w:kern w:val="2"/>
          <w:sz w:val="24"/>
          <w:szCs w:val="24"/>
          <w:lang w:val="en-US" w:eastAsia="zh-CN" w:bidi="ar-SA"/>
        </w:rPr>
      </w:pPr>
      <w:r>
        <w:rPr>
          <w:rFonts w:hint="default" w:ascii="宋体" w:hAnsi="宋体" w:eastAsia="宋体" w:cs="宋体"/>
          <w:b w:val="0"/>
          <w:spacing w:val="-2"/>
          <w:kern w:val="2"/>
          <w:sz w:val="24"/>
          <w:szCs w:val="24"/>
          <w:lang w:val="en-US" w:eastAsia="zh-CN" w:bidi="ar-SA"/>
        </w:rPr>
        <w:t>6.同品牌处理办法：参照《政府采购货物和服务招标投标管理办法》第三十一条规定。</w:t>
      </w:r>
    </w:p>
    <w:p>
      <w:pPr>
        <w:rPr>
          <w:rFonts w:hint="default" w:ascii="宋体" w:hAnsi="宋体" w:eastAsia="宋体" w:cs="宋体"/>
          <w:b w:val="0"/>
          <w:spacing w:val="-2"/>
          <w:kern w:val="2"/>
          <w:sz w:val="24"/>
          <w:szCs w:val="24"/>
          <w:lang w:val="en-US" w:eastAsia="zh-CN" w:bidi="ar-SA"/>
        </w:rPr>
      </w:pPr>
      <w:r>
        <w:rPr>
          <w:rFonts w:hint="default" w:ascii="宋体" w:hAnsi="宋体" w:eastAsia="宋体" w:cs="宋体"/>
          <w:b w:val="0"/>
          <w:spacing w:val="-2"/>
          <w:kern w:val="2"/>
          <w:sz w:val="24"/>
          <w:szCs w:val="24"/>
          <w:lang w:val="en-US" w:eastAsia="zh-CN" w:bidi="ar-SA"/>
        </w:rPr>
        <w:t xml:space="preserve">如采用综合评分法，则提供相同品牌产品且通过资格审查、符合性审查的不同供应商参加同一合同项下投标的，按一家供应商计算，评审后得分最高的同品牌供应商获得成交人推荐资格;评审得分相同的，由采购人或者采购人委托评审委员会按照磋商文件规定的方式确定一个供应商获得成交人推荐资格，磋商文件未规定的采取随机抽取方式确定，其他同品牌供应商不作为成交候选人。 </w:t>
      </w:r>
    </w:p>
    <w:p>
      <w:pPr>
        <w:ind w:firstLine="472" w:firstLineChars="200"/>
        <w:rPr>
          <w:rFonts w:hint="default" w:ascii="宋体" w:hAnsi="宋体" w:eastAsia="宋体" w:cs="宋体"/>
          <w:b w:val="0"/>
          <w:spacing w:val="-2"/>
          <w:kern w:val="2"/>
          <w:sz w:val="24"/>
          <w:szCs w:val="24"/>
          <w:lang w:val="en-US" w:eastAsia="zh-CN" w:bidi="ar-SA"/>
        </w:rPr>
        <w:sectPr>
          <w:pgSz w:w="11906" w:h="16838"/>
          <w:pgMar w:top="907" w:right="1134" w:bottom="0" w:left="1185" w:header="851" w:footer="992" w:gutter="0"/>
          <w:cols w:space="720" w:num="1"/>
          <w:docGrid w:type="lines" w:linePitch="376" w:charSpace="0"/>
        </w:sectPr>
      </w:pPr>
      <w:r>
        <w:rPr>
          <w:rFonts w:hint="default" w:ascii="宋体" w:hAnsi="宋体" w:eastAsia="宋体" w:cs="宋体"/>
          <w:b w:val="0"/>
          <w:spacing w:val="-2"/>
          <w:kern w:val="2"/>
          <w:sz w:val="24"/>
          <w:szCs w:val="24"/>
          <w:lang w:val="en-US" w:eastAsia="zh-CN" w:bidi="ar-SA"/>
        </w:rPr>
        <w:t xml:space="preserve">7.成交候选人并列式时的处理方式：本次评标采用综合评估法，评审完毕评标委员会根据汇总各投标单位投标报价、商务及技术得分总和，按照得分高低取前三名作为中标候选人推荐给招标人。如果两投标人的得分相同的，按价格低的推荐。得分且投标报价相同的，按技术指标优劣顺序排列。  </w:t>
      </w:r>
    </w:p>
    <w:bookmarkEnd w:id="507"/>
    <w:bookmarkEnd w:id="508"/>
    <w:bookmarkEnd w:id="509"/>
    <w:p>
      <w:pPr>
        <w:spacing w:line="300" w:lineRule="auto"/>
        <w:jc w:val="center"/>
        <w:outlineLvl w:val="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spacing w:val="-2"/>
          <w:sz w:val="24"/>
        </w:rPr>
        <w:t xml:space="preserve">附表一     </w:t>
      </w:r>
      <w:r>
        <w:rPr>
          <w:rFonts w:hint="eastAsia" w:asciiTheme="minorEastAsia" w:hAnsiTheme="minorEastAsia" w:eastAsiaTheme="minorEastAsia" w:cstheme="minorEastAsia"/>
          <w:b/>
          <w:sz w:val="28"/>
          <w:szCs w:val="32"/>
        </w:rPr>
        <w:t>响应文件—资格性审查表</w:t>
      </w:r>
      <w:bookmarkEnd w:id="501"/>
      <w:bookmarkEnd w:id="502"/>
    </w:p>
    <w:tbl>
      <w:tblPr>
        <w:tblStyle w:val="34"/>
        <w:tblpPr w:leftFromText="180" w:rightFromText="180" w:vertAnchor="text" w:horzAnchor="page" w:tblpXSpec="center" w:tblpY="116"/>
        <w:tblOverlap w:val="never"/>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032"/>
        <w:gridCol w:w="1630"/>
        <w:gridCol w:w="120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4032" w:type="dxa"/>
            <w:vMerge w:val="restart"/>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c>
          <w:tcPr>
            <w:tcW w:w="4111" w:type="dxa"/>
            <w:gridSpan w:val="3"/>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00" w:lineRule="auto"/>
              <w:jc w:val="center"/>
              <w:rPr>
                <w:rFonts w:hint="eastAsia" w:asciiTheme="minorEastAsia" w:hAnsiTheme="minorEastAsia" w:eastAsiaTheme="minorEastAsia" w:cstheme="minorEastAsia"/>
                <w:szCs w:val="21"/>
              </w:rPr>
            </w:pPr>
          </w:p>
        </w:tc>
        <w:tc>
          <w:tcPr>
            <w:tcW w:w="4032" w:type="dxa"/>
            <w:vMerge w:val="continue"/>
            <w:vAlign w:val="center"/>
          </w:tcPr>
          <w:p>
            <w:pPr>
              <w:spacing w:line="300" w:lineRule="auto"/>
              <w:jc w:val="center"/>
              <w:rPr>
                <w:rFonts w:hint="eastAsia" w:asciiTheme="minorEastAsia" w:hAnsiTheme="minorEastAsia" w:eastAsiaTheme="minorEastAsia" w:cstheme="minorEastAsia"/>
                <w:szCs w:val="21"/>
              </w:rPr>
            </w:pPr>
          </w:p>
        </w:tc>
        <w:tc>
          <w:tcPr>
            <w:tcW w:w="1630" w:type="dxa"/>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是否合格</w:t>
            </w:r>
          </w:p>
        </w:tc>
        <w:tc>
          <w:tcPr>
            <w:tcW w:w="1205" w:type="dxa"/>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是否合格</w:t>
            </w:r>
          </w:p>
        </w:tc>
        <w:tc>
          <w:tcPr>
            <w:tcW w:w="1276" w:type="dxa"/>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企业法人营业执照副本、组织机构代码证、税务登记证（国税及地税）或三证合一企业法人营业执照；</w:t>
            </w:r>
          </w:p>
        </w:tc>
        <w:tc>
          <w:tcPr>
            <w:tcW w:w="1630" w:type="dxa"/>
          </w:tcPr>
          <w:p>
            <w:pPr>
              <w:spacing w:line="300" w:lineRule="auto"/>
              <w:rPr>
                <w:rFonts w:hint="eastAsia" w:asciiTheme="minorEastAsia" w:hAnsiTheme="minorEastAsia" w:eastAsiaTheme="minorEastAsia" w:cstheme="minorEastAsia"/>
                <w:szCs w:val="21"/>
              </w:rPr>
            </w:pPr>
          </w:p>
        </w:tc>
        <w:tc>
          <w:tcPr>
            <w:tcW w:w="1205" w:type="dxa"/>
          </w:tcPr>
          <w:p>
            <w:pPr>
              <w:spacing w:line="300" w:lineRule="auto"/>
              <w:rPr>
                <w:rFonts w:hint="eastAsia" w:asciiTheme="minorEastAsia" w:hAnsiTheme="minorEastAsia" w:eastAsiaTheme="minorEastAsia" w:cstheme="minorEastAsia"/>
                <w:szCs w:val="21"/>
              </w:rPr>
            </w:pPr>
          </w:p>
        </w:tc>
        <w:tc>
          <w:tcPr>
            <w:tcW w:w="1276" w:type="dxa"/>
          </w:tcPr>
          <w:p>
            <w:pPr>
              <w:spacing w:line="30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提供法定代表人身份证明及身份证或法人授权委托书、授权委托人身份证；</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国家企业信用信息公示系统（http://www.gsxt.gov.cn）”列入经营异常名录信息、列入严重违法失信企业名单（黑名单）信息及企业信用信息公示报告；</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提供由投标人所在地税务部门出具的近6个月的完税证明；</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被授权委托人在本单位缴纳的近6个月的社保证明（单位社保缴费证明和个人明细表）；</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提供2020年度财务审计报告（新成立公司提供有效期内银行出具的资信证明）；</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提供针对本次项目的《反商业贿赂承诺书》；</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医疗器械生产企业许可证或医疗器械经营企业许可证</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2" w:type="dxa"/>
            <w:vAlign w:val="center"/>
          </w:tcPr>
          <w:p>
            <w:pPr>
              <w:spacing w:line="30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4032" w:type="dxa"/>
            <w:vAlign w:val="center"/>
          </w:tcPr>
          <w:p>
            <w:pPr>
              <w:spacing w:line="300" w:lineRule="auto"/>
              <w:jc w:val="left"/>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参加政府采购活动前三年内在经营活动中没有重大违法记录的书面声明；</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2" w:type="dxa"/>
            <w:vAlign w:val="center"/>
          </w:tcPr>
          <w:p>
            <w:pPr>
              <w:spacing w:line="30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4032" w:type="dxa"/>
            <w:vAlign w:val="center"/>
          </w:tcPr>
          <w:p>
            <w:pPr>
              <w:widowControl/>
              <w:jc w:val="lef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eastAsia="zh-CN"/>
              </w:rPr>
              <w:t>磋商</w:t>
            </w:r>
            <w:r>
              <w:rPr>
                <w:rFonts w:hint="eastAsia" w:asciiTheme="minorEastAsia" w:hAnsiTheme="minorEastAsia" w:eastAsiaTheme="minorEastAsia" w:cstheme="minorEastAsia"/>
                <w:color w:val="000000"/>
                <w:kern w:val="0"/>
                <w:sz w:val="18"/>
                <w:szCs w:val="18"/>
              </w:rPr>
              <w:t>保证金</w:t>
            </w:r>
            <w:r>
              <w:rPr>
                <w:rFonts w:hint="eastAsia" w:asciiTheme="minorEastAsia" w:hAnsiTheme="minorEastAsia" w:eastAsiaTheme="minorEastAsia" w:cstheme="minorEastAsia"/>
                <w:color w:val="000000"/>
                <w:kern w:val="0"/>
                <w:sz w:val="18"/>
                <w:szCs w:val="18"/>
                <w:lang w:val="en-US" w:eastAsia="zh-CN"/>
              </w:rPr>
              <w:t>缴纳凭证；</w:t>
            </w:r>
          </w:p>
        </w:tc>
        <w:tc>
          <w:tcPr>
            <w:tcW w:w="1630" w:type="dxa"/>
          </w:tcPr>
          <w:p>
            <w:pPr>
              <w:spacing w:line="300" w:lineRule="auto"/>
              <w:rPr>
                <w:rFonts w:hint="eastAsia" w:asciiTheme="minorEastAsia" w:hAnsiTheme="minorEastAsia" w:eastAsiaTheme="minorEastAsia" w:cstheme="minorEastAsia"/>
                <w:sz w:val="24"/>
              </w:rPr>
            </w:pPr>
          </w:p>
        </w:tc>
        <w:tc>
          <w:tcPr>
            <w:tcW w:w="1205" w:type="dxa"/>
          </w:tcPr>
          <w:p>
            <w:pPr>
              <w:spacing w:line="300" w:lineRule="auto"/>
              <w:rPr>
                <w:rFonts w:hint="eastAsia" w:asciiTheme="minorEastAsia" w:hAnsiTheme="minorEastAsia" w:eastAsiaTheme="minorEastAsia" w:cstheme="minorEastAsia"/>
                <w:sz w:val="24"/>
              </w:rPr>
            </w:pPr>
          </w:p>
        </w:tc>
        <w:tc>
          <w:tcPr>
            <w:tcW w:w="1276" w:type="dxa"/>
          </w:tcPr>
          <w:p>
            <w:pPr>
              <w:spacing w:line="30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44" w:type="dxa"/>
            <w:gridSpan w:val="2"/>
            <w:vAlign w:val="center"/>
          </w:tcPr>
          <w:p>
            <w:pPr>
              <w:spacing w:line="30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结论（</w:t>
            </w:r>
            <w:r>
              <w:rPr>
                <w:rFonts w:hint="eastAsia" w:asciiTheme="minorEastAsia" w:hAnsiTheme="minorEastAsia" w:eastAsiaTheme="minorEastAsia" w:cstheme="minorEastAsia"/>
                <w:spacing w:val="-2"/>
                <w:szCs w:val="21"/>
              </w:rPr>
              <w:t>通过评审写“通过”，未通过评审写“不通过”）</w:t>
            </w:r>
          </w:p>
        </w:tc>
        <w:tc>
          <w:tcPr>
            <w:tcW w:w="1630" w:type="dxa"/>
          </w:tcPr>
          <w:p>
            <w:pPr>
              <w:spacing w:line="300" w:lineRule="auto"/>
              <w:rPr>
                <w:rFonts w:hint="eastAsia" w:asciiTheme="minorEastAsia" w:hAnsiTheme="minorEastAsia" w:eastAsiaTheme="minorEastAsia" w:cstheme="minorEastAsia"/>
                <w:szCs w:val="21"/>
              </w:rPr>
            </w:pPr>
          </w:p>
        </w:tc>
        <w:tc>
          <w:tcPr>
            <w:tcW w:w="1205" w:type="dxa"/>
          </w:tcPr>
          <w:p>
            <w:pPr>
              <w:spacing w:line="300" w:lineRule="auto"/>
              <w:rPr>
                <w:rFonts w:hint="eastAsia" w:asciiTheme="minorEastAsia" w:hAnsiTheme="minorEastAsia" w:eastAsiaTheme="minorEastAsia" w:cstheme="minorEastAsia"/>
                <w:szCs w:val="21"/>
              </w:rPr>
            </w:pPr>
          </w:p>
        </w:tc>
        <w:tc>
          <w:tcPr>
            <w:tcW w:w="1276" w:type="dxa"/>
          </w:tcPr>
          <w:p>
            <w:pPr>
              <w:spacing w:line="300" w:lineRule="auto"/>
              <w:rPr>
                <w:rFonts w:hint="eastAsia" w:asciiTheme="minorEastAsia" w:hAnsiTheme="minorEastAsia" w:eastAsiaTheme="minorEastAsia" w:cstheme="minorEastAsia"/>
                <w:szCs w:val="21"/>
              </w:rPr>
            </w:pPr>
          </w:p>
        </w:tc>
      </w:tr>
    </w:tbl>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说明：（1）上述各项中用“√”表示通过，“×”表示不通过；</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（2）上述各项中如有一项为“×”，则结论为“×”，表示该响应文件中存在重大偏差，不能通过初步评审；评委对某一分项评审认为不合格时，必须要写明原因。</w:t>
      </w:r>
    </w:p>
    <w:p>
      <w:pPr>
        <w:ind w:left="6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szCs w:val="21"/>
        </w:rPr>
        <w:t>（3）响应文件最终合格与否，以所有评委的评审意见中少数服从多数为原则定论。</w:t>
      </w:r>
    </w:p>
    <w:p>
      <w:pPr>
        <w:spacing w:line="240" w:lineRule="atLeast"/>
        <w:rPr>
          <w:rFonts w:hint="eastAsia" w:asciiTheme="minorEastAsia" w:hAnsiTheme="minorEastAsia" w:eastAsiaTheme="minorEastAsia" w:cstheme="minorEastAsia"/>
          <w:b/>
          <w:spacing w:val="-2"/>
          <w:sz w:val="24"/>
        </w:rPr>
      </w:pPr>
      <w:r>
        <w:rPr>
          <w:rFonts w:hint="eastAsia" w:asciiTheme="minorEastAsia" w:hAnsiTheme="minorEastAsia" w:eastAsiaTheme="minorEastAsia" w:cstheme="minorEastAsia"/>
          <w:b/>
          <w:bCs/>
          <w:szCs w:val="21"/>
        </w:rPr>
        <w:t>未通过资格审查的</w:t>
      </w:r>
      <w:r>
        <w:rPr>
          <w:rFonts w:hint="eastAsia" w:asciiTheme="minorEastAsia" w:hAnsiTheme="minorEastAsia" w:eastAsiaTheme="minorEastAsia" w:cstheme="minorEastAsia"/>
          <w:b/>
          <w:bCs/>
          <w:szCs w:val="21"/>
          <w:lang w:eastAsia="zh-CN"/>
        </w:rPr>
        <w:t>供应商</w:t>
      </w:r>
      <w:r>
        <w:rPr>
          <w:rFonts w:hint="eastAsia" w:asciiTheme="minorEastAsia" w:hAnsiTheme="minorEastAsia" w:eastAsiaTheme="minorEastAsia" w:cstheme="minorEastAsia"/>
          <w:b/>
          <w:bCs/>
          <w:szCs w:val="21"/>
        </w:rPr>
        <w:t>不进入评审；通过资格审查的</w:t>
      </w:r>
      <w:r>
        <w:rPr>
          <w:rFonts w:hint="eastAsia" w:asciiTheme="minorEastAsia" w:hAnsiTheme="minorEastAsia" w:eastAsiaTheme="minorEastAsia" w:cstheme="minorEastAsia"/>
          <w:b/>
          <w:bCs/>
          <w:szCs w:val="21"/>
          <w:lang w:eastAsia="zh-CN"/>
        </w:rPr>
        <w:t>供应商</w:t>
      </w:r>
      <w:r>
        <w:rPr>
          <w:rFonts w:hint="eastAsia" w:asciiTheme="minorEastAsia" w:hAnsiTheme="minorEastAsia" w:eastAsiaTheme="minorEastAsia" w:cstheme="minorEastAsia"/>
          <w:b/>
          <w:bCs/>
          <w:szCs w:val="21"/>
        </w:rPr>
        <w:t>不足三家的，不得评审。</w:t>
      </w:r>
    </w:p>
    <w:p>
      <w:pPr>
        <w:pStyle w:val="2"/>
        <w:rPr>
          <w:rFonts w:hint="eastAsia"/>
        </w:rPr>
      </w:pPr>
    </w:p>
    <w:p>
      <w:pPr>
        <w:pStyle w:val="9"/>
        <w:spacing w:line="300" w:lineRule="auto"/>
        <w:ind w:firstLine="0"/>
        <w:jc w:val="center"/>
        <w:outlineLvl w:val="1"/>
        <w:rPr>
          <w:rFonts w:hint="eastAsia" w:asciiTheme="minorEastAsia" w:hAnsiTheme="minorEastAsia" w:eastAsiaTheme="minorEastAsia" w:cstheme="minorEastAsia"/>
          <w:b/>
          <w:bCs/>
          <w:sz w:val="28"/>
          <w:szCs w:val="28"/>
        </w:rPr>
      </w:pPr>
    </w:p>
    <w:p>
      <w:pPr>
        <w:pStyle w:val="9"/>
        <w:spacing w:line="300" w:lineRule="auto"/>
        <w:ind w:firstLine="0"/>
        <w:jc w:val="both"/>
        <w:outlineLvl w:val="1"/>
        <w:rPr>
          <w:rFonts w:hint="eastAsia" w:asciiTheme="minorEastAsia" w:hAnsiTheme="minorEastAsia" w:eastAsiaTheme="minorEastAsia" w:cstheme="minorEastAsia"/>
          <w:b/>
          <w:bCs/>
          <w:sz w:val="28"/>
          <w:szCs w:val="28"/>
        </w:rPr>
      </w:pPr>
    </w:p>
    <w:p>
      <w:pPr>
        <w:pStyle w:val="9"/>
        <w:spacing w:line="300" w:lineRule="auto"/>
        <w:ind w:firstLine="0"/>
        <w:jc w:val="center"/>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附表</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 xml:space="preserve">   初步评审—符合性审查表</w:t>
      </w:r>
    </w:p>
    <w:tbl>
      <w:tblPr>
        <w:tblStyle w:val="34"/>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评审内容</w:t>
            </w:r>
          </w:p>
        </w:tc>
        <w:tc>
          <w:tcPr>
            <w:tcW w:w="1637" w:type="dxa"/>
            <w:vAlign w:val="center"/>
          </w:tcPr>
          <w:p>
            <w:pPr>
              <w:spacing w:line="300" w:lineRule="auto"/>
              <w:jc w:val="center"/>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6755" w:type="dxa"/>
            <w:vAlign w:val="center"/>
          </w:tcPr>
          <w:p>
            <w:pPr>
              <w:spacing w:line="300" w:lineRule="auto"/>
              <w:rPr>
                <w:rFonts w:hint="eastAsia" w:asciiTheme="minorEastAsia" w:hAnsiTheme="minorEastAsia" w:eastAsiaTheme="minorEastAsia" w:cstheme="minorEastAsia"/>
                <w:spacing w:val="-2"/>
                <w:szCs w:val="21"/>
              </w:rPr>
            </w:pPr>
          </w:p>
        </w:tc>
        <w:tc>
          <w:tcPr>
            <w:tcW w:w="1637" w:type="dxa"/>
            <w:vAlign w:val="center"/>
          </w:tcPr>
          <w:p>
            <w:pPr>
              <w:spacing w:line="300" w:lineRule="auto"/>
              <w:jc w:val="center"/>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6755" w:type="dxa"/>
            <w:vAlign w:val="bottom"/>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各</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报价未高于最高限价；</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磋商小组</w:t>
            </w:r>
            <w:r>
              <w:rPr>
                <w:rFonts w:hint="eastAsia" w:asciiTheme="minorEastAsia" w:hAnsiTheme="minorEastAsia" w:eastAsiaTheme="minorEastAsia" w:cstheme="minorEastAsia"/>
                <w:szCs w:val="21"/>
              </w:rPr>
              <w:t>认为</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的报价无明显低于其他通过符合性审查</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的报价的，</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的报价不存在异常一致并成规律性的，其报价合理</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按磋商文件规定提交</w:t>
            </w: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份数，正本1份；副本</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份；电子版1份</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6755" w:type="dxa"/>
            <w:vAlign w:val="bottom"/>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按照磋商文件的归定编制、标记及签署盖章的，法定代表人或其授权代表签字（章）和加盖</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单位公章的（</w:t>
            </w: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正本的印章和签字不能为复印件）；</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实质性条款与磋商文件要求的条款相符、且没有重大偏离的</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载明的技术标准、技术指标等，符合磋商文件要求的（可参考技术偏离表）</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按磋商文件规定的格式填写，内容全或关键字迹清晰、数量等齐全，所有原件的复印件清晰可辨</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没有采购人不能接受的附加条件的</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6755" w:type="dxa"/>
            <w:vAlign w:val="bottom"/>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符合磋商文件中规定的其他实质性要求；</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不同</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没有错漏一致的情况</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6755" w:type="dxa"/>
            <w:vAlign w:val="bottom"/>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附有详细地址、联系人、电话标明的</w:t>
            </w:r>
            <w:r>
              <w:rPr>
                <w:rFonts w:hint="eastAsia" w:asciiTheme="minorEastAsia" w:hAnsiTheme="minorEastAsia" w:eastAsiaTheme="minorEastAsia" w:cstheme="minorEastAsia"/>
                <w:szCs w:val="21"/>
                <w:lang w:eastAsia="zh-CN"/>
              </w:rPr>
              <w:t>；</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6755" w:type="dxa"/>
            <w:vAlign w:val="bottom"/>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没有散页、活页、未胶装的。</w:t>
            </w:r>
          </w:p>
        </w:tc>
        <w:tc>
          <w:tcPr>
            <w:tcW w:w="1637" w:type="dxa"/>
            <w:vAlign w:val="center"/>
          </w:tcPr>
          <w:p>
            <w:pPr>
              <w:spacing w:line="300" w:lineRule="auto"/>
              <w:rPr>
                <w:rFonts w:hint="eastAsia" w:asciiTheme="minorEastAsia" w:hAnsiTheme="minorEastAsia" w:eastAsiaTheme="minorEastAsia" w:cstheme="minor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70" w:firstLineChars="18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结论：通过评审打“√”，未通过评审打“×”</w:t>
            </w:r>
          </w:p>
        </w:tc>
        <w:tc>
          <w:tcPr>
            <w:tcW w:w="1637" w:type="dxa"/>
            <w:vAlign w:val="center"/>
          </w:tcPr>
          <w:p>
            <w:pPr>
              <w:spacing w:line="300" w:lineRule="auto"/>
              <w:ind w:firstLine="370" w:firstLineChars="180"/>
              <w:rPr>
                <w:rFonts w:hint="eastAsia" w:asciiTheme="minorEastAsia" w:hAnsiTheme="minorEastAsia" w:eastAsiaTheme="minorEastAsia" w:cstheme="minorEastAsia"/>
                <w:spacing w:val="-2"/>
                <w:szCs w:val="21"/>
              </w:rPr>
            </w:pPr>
          </w:p>
        </w:tc>
      </w:tr>
    </w:tbl>
    <w:p>
      <w:pPr>
        <w:spacing w:line="300" w:lineRule="auto"/>
        <w:ind w:left="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pPr>
        <w:spacing w:line="300" w:lineRule="auto"/>
        <w:ind w:left="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（1）上述各项中用“√”表示合格，“×”表示不合格；</w:t>
      </w:r>
    </w:p>
    <w:p>
      <w:pPr>
        <w:spacing w:line="300" w:lineRule="auto"/>
        <w:ind w:left="689" w:leftChars="28"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（2）上述各项中如有一项为“×”，则结论为“×”，表示该</w:t>
      </w:r>
      <w:r>
        <w:rPr>
          <w:rFonts w:hint="eastAsia" w:asciiTheme="minorEastAsia" w:hAnsiTheme="minorEastAsia" w:eastAsiaTheme="minorEastAsia" w:cstheme="minorEastAsia"/>
          <w:szCs w:val="21"/>
          <w:lang w:eastAsia="zh-CN"/>
        </w:rPr>
        <w:t>响应文件</w:t>
      </w:r>
      <w:r>
        <w:rPr>
          <w:rFonts w:hint="eastAsia" w:asciiTheme="minorEastAsia" w:hAnsiTheme="minorEastAsia" w:eastAsiaTheme="minorEastAsia" w:cstheme="minorEastAsia"/>
          <w:szCs w:val="21"/>
        </w:rPr>
        <w:t>中存在重大偏差，不能通过初步评审；</w:t>
      </w:r>
      <w:r>
        <w:rPr>
          <w:rFonts w:hint="eastAsia" w:asciiTheme="minorEastAsia" w:hAnsiTheme="minorEastAsia" w:eastAsiaTheme="minorEastAsia" w:cstheme="minorEastAsia"/>
          <w:szCs w:val="21"/>
          <w:lang w:eastAsia="zh-CN"/>
        </w:rPr>
        <w:t>磋商小组</w:t>
      </w:r>
      <w:r>
        <w:rPr>
          <w:rFonts w:hint="eastAsia" w:asciiTheme="minorEastAsia" w:hAnsiTheme="minorEastAsia" w:eastAsiaTheme="minorEastAsia" w:cstheme="minorEastAsia"/>
          <w:szCs w:val="21"/>
        </w:rPr>
        <w:t>对某一分项评审认为不合格时，必须要写明原因。</w:t>
      </w:r>
    </w:p>
    <w:p>
      <w:pPr>
        <w:pStyle w:val="9"/>
        <w:spacing w:line="300" w:lineRule="auto"/>
        <w:ind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最终合格与否，以所有</w:t>
      </w:r>
      <w:r>
        <w:rPr>
          <w:rFonts w:hint="eastAsia" w:asciiTheme="minorEastAsia" w:hAnsiTheme="minorEastAsia" w:eastAsiaTheme="minorEastAsia" w:cstheme="minorEastAsia"/>
          <w:sz w:val="21"/>
          <w:szCs w:val="21"/>
          <w:lang w:eastAsia="zh-CN"/>
        </w:rPr>
        <w:t>磋商小组</w:t>
      </w:r>
      <w:r>
        <w:rPr>
          <w:rFonts w:hint="eastAsia" w:asciiTheme="minorEastAsia" w:hAnsiTheme="minorEastAsia" w:eastAsiaTheme="minorEastAsia" w:cstheme="minorEastAsia"/>
          <w:sz w:val="21"/>
          <w:szCs w:val="21"/>
        </w:rPr>
        <w:t>的评审意见中少数服从多数为原则定论。</w:t>
      </w:r>
    </w:p>
    <w:p>
      <w:pPr>
        <w:spacing w:line="240" w:lineRule="atLeas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未通过资格审查的供应商不进入评审；通过资格审查的供应商少于不足三家的，不得评审。</w:t>
      </w:r>
    </w:p>
    <w:p>
      <w:pPr>
        <w:pStyle w:val="23"/>
        <w:rPr>
          <w:rFonts w:hint="eastAsia" w:asciiTheme="minorEastAsia" w:hAnsiTheme="minorEastAsia" w:eastAsiaTheme="minorEastAsia" w:cstheme="minorEastAsia"/>
          <w:kern w:val="0"/>
          <w:sz w:val="21"/>
          <w:szCs w:val="21"/>
          <w:lang w:val="en-US" w:eastAsia="zh-CN" w:bidi="ar-S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tbl>
      <w:tblPr>
        <w:tblStyle w:val="34"/>
        <w:tblpPr w:leftFromText="180" w:rightFromText="180" w:vertAnchor="text" w:horzAnchor="page" w:tblpX="1702" w:tblpY="215"/>
        <w:tblOverlap w:val="never"/>
        <w:tblW w:w="0" w:type="auto"/>
        <w:tblInd w:w="0" w:type="dxa"/>
        <w:tblLayout w:type="fixed"/>
        <w:tblCellMar>
          <w:top w:w="0" w:type="dxa"/>
          <w:left w:w="108" w:type="dxa"/>
          <w:bottom w:w="0" w:type="dxa"/>
          <w:right w:w="108" w:type="dxa"/>
        </w:tblCellMar>
      </w:tblPr>
      <w:tblGrid>
        <w:gridCol w:w="2437"/>
        <w:gridCol w:w="5163"/>
        <w:gridCol w:w="525"/>
        <w:gridCol w:w="500"/>
        <w:gridCol w:w="441"/>
      </w:tblGrid>
      <w:tr>
        <w:tblPrEx>
          <w:tblCellMar>
            <w:top w:w="0" w:type="dxa"/>
            <w:left w:w="108" w:type="dxa"/>
            <w:bottom w:w="0" w:type="dxa"/>
            <w:right w:w="108" w:type="dxa"/>
          </w:tblCellMar>
        </w:tblPrEx>
        <w:trPr>
          <w:trHeight w:val="381" w:hRule="atLeast"/>
        </w:trPr>
        <w:tc>
          <w:tcPr>
            <w:tcW w:w="9066" w:type="dxa"/>
            <w:gridSpan w:val="5"/>
            <w:tcBorders>
              <w:top w:val="nil"/>
              <w:left w:val="nil"/>
              <w:bottom w:val="single" w:color="auto" w:sz="4" w:space="0"/>
              <w:right w:val="nil"/>
            </w:tcBorders>
            <w:vAlign w:val="center"/>
          </w:tcPr>
          <w:p>
            <w:pPr>
              <w:widowControl/>
              <w:jc w:val="center"/>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spacing w:val="-2"/>
                <w:sz w:val="24"/>
              </w:rPr>
              <w:t>附表三、商务符合性审查表</w:t>
            </w:r>
          </w:p>
        </w:tc>
      </w:tr>
      <w:tr>
        <w:tblPrEx>
          <w:tblCellMar>
            <w:top w:w="0" w:type="dxa"/>
            <w:left w:w="108" w:type="dxa"/>
            <w:bottom w:w="0" w:type="dxa"/>
            <w:right w:w="108" w:type="dxa"/>
          </w:tblCellMar>
        </w:tblPrEx>
        <w:trPr>
          <w:trHeight w:val="645"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审查事项</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lang w:eastAsia="zh-CN"/>
              </w:rPr>
              <w:t>供应商</w:t>
            </w:r>
            <w:r>
              <w:rPr>
                <w:rFonts w:hint="eastAsia" w:asciiTheme="minorEastAsia" w:hAnsiTheme="minorEastAsia" w:eastAsiaTheme="minorEastAsia" w:cstheme="minorEastAsia"/>
                <w:b/>
                <w:kern w:val="0"/>
                <w:szCs w:val="21"/>
              </w:rPr>
              <w:t>名称及审查情况</w:t>
            </w:r>
          </w:p>
        </w:tc>
      </w:tr>
      <w:tr>
        <w:tblPrEx>
          <w:tblCellMar>
            <w:top w:w="0" w:type="dxa"/>
            <w:left w:w="108" w:type="dxa"/>
            <w:bottom w:w="0" w:type="dxa"/>
            <w:right w:w="108" w:type="dxa"/>
          </w:tblCellMar>
        </w:tblPrEx>
        <w:trPr>
          <w:trHeight w:val="633"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磋商文件条款（</w:t>
            </w:r>
            <w:r>
              <w:rPr>
                <w:rFonts w:hint="eastAsia" w:asciiTheme="minorEastAsia" w:hAnsiTheme="minorEastAsia" w:eastAsiaTheme="minorEastAsia" w:cstheme="minorEastAsia"/>
                <w:b/>
                <w:kern w:val="0"/>
                <w:szCs w:val="21"/>
                <w:lang w:eastAsia="zh-CN"/>
              </w:rPr>
              <w:t>供应商</w:t>
            </w:r>
            <w:r>
              <w:rPr>
                <w:rFonts w:hint="eastAsia" w:asciiTheme="minorEastAsia" w:hAnsiTheme="minorEastAsia" w:eastAsiaTheme="minorEastAsia" w:cstheme="minorEastAsia"/>
                <w:b/>
                <w:kern w:val="0"/>
                <w:szCs w:val="21"/>
              </w:rPr>
              <w:t>须知条款号）</w:t>
            </w:r>
          </w:p>
        </w:tc>
        <w:tc>
          <w:tcPr>
            <w:tcW w:w="51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本项目要求</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中小企业</w:t>
            </w:r>
            <w:r>
              <w:rPr>
                <w:rFonts w:hint="eastAsia" w:asciiTheme="minorEastAsia" w:hAnsiTheme="minorEastAsia" w:eastAsiaTheme="minorEastAsia" w:cstheme="minorEastAsia"/>
                <w:kern w:val="0"/>
                <w:szCs w:val="21"/>
                <w:lang w:eastAsia="zh-CN"/>
              </w:rPr>
              <w:t>磋商</w:t>
            </w:r>
            <w:r>
              <w:rPr>
                <w:rFonts w:hint="eastAsia" w:asciiTheme="minorEastAsia" w:hAnsiTheme="minorEastAsia" w:eastAsiaTheme="minorEastAsia" w:cstheme="minorEastAsia"/>
                <w:kern w:val="0"/>
                <w:szCs w:val="21"/>
              </w:rPr>
              <w:t>要求（1.3.5）</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本项目</w:t>
            </w:r>
            <w:r>
              <w:rPr>
                <w:rFonts w:hint="eastAsia" w:asciiTheme="minorEastAsia" w:hAnsiTheme="minorEastAsia" w:eastAsiaTheme="minorEastAsia" w:cstheme="minorEastAsia"/>
                <w:kern w:val="0"/>
                <w:szCs w:val="21"/>
                <w:u w:val="single"/>
              </w:rPr>
              <w:t>适用</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联合体</w:t>
            </w:r>
            <w:r>
              <w:rPr>
                <w:rFonts w:hint="eastAsia" w:asciiTheme="minorEastAsia" w:hAnsiTheme="minorEastAsia" w:eastAsiaTheme="minorEastAsia" w:cstheme="minorEastAsia"/>
                <w:kern w:val="0"/>
                <w:szCs w:val="21"/>
                <w:lang w:eastAsia="zh-CN"/>
              </w:rPr>
              <w:t>响应</w:t>
            </w:r>
            <w:r>
              <w:rPr>
                <w:rFonts w:hint="eastAsia" w:asciiTheme="minorEastAsia" w:hAnsiTheme="minorEastAsia" w:eastAsiaTheme="minorEastAsia" w:cstheme="minorEastAsia"/>
                <w:kern w:val="0"/>
                <w:szCs w:val="21"/>
              </w:rPr>
              <w:t>规定（1.4）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本项目</w:t>
            </w:r>
            <w:r>
              <w:rPr>
                <w:rFonts w:hint="eastAsia" w:asciiTheme="minorEastAsia" w:hAnsiTheme="minorEastAsia" w:eastAsiaTheme="minorEastAsia" w:cstheme="minorEastAsia"/>
                <w:kern w:val="0"/>
                <w:szCs w:val="21"/>
                <w:u w:val="single"/>
              </w:rPr>
              <w:t>不接受</w:t>
            </w:r>
            <w:r>
              <w:rPr>
                <w:rFonts w:hint="eastAsia" w:asciiTheme="minorEastAsia" w:hAnsiTheme="minorEastAsia" w:eastAsiaTheme="minorEastAsia" w:cstheme="minorEastAsia"/>
                <w:kern w:val="0"/>
                <w:szCs w:val="21"/>
                <w:u w:val="none"/>
              </w:rPr>
              <w:t>联合体</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供应商</w:t>
            </w:r>
            <w:r>
              <w:rPr>
                <w:rFonts w:hint="eastAsia" w:asciiTheme="minorEastAsia" w:hAnsiTheme="minorEastAsia" w:eastAsiaTheme="minorEastAsia" w:cstheme="minorEastAsia"/>
                <w:kern w:val="0"/>
                <w:szCs w:val="21"/>
              </w:rPr>
              <w:t>的关联性（1.5）</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在同一包内，单位负责人非同一人或者不存在直接控股、管理关系的不同</w:t>
            </w:r>
            <w:r>
              <w:rPr>
                <w:rFonts w:hint="eastAsia" w:asciiTheme="minorEastAsia" w:hAnsiTheme="minorEastAsia" w:eastAsiaTheme="minorEastAsia" w:cstheme="minorEastAsia"/>
                <w:kern w:val="0"/>
                <w:szCs w:val="21"/>
                <w:lang w:eastAsia="zh-CN"/>
              </w:rPr>
              <w:t>供应商</w:t>
            </w:r>
            <w:r>
              <w:rPr>
                <w:rFonts w:hint="eastAsia" w:asciiTheme="minorEastAsia" w:hAnsiTheme="minorEastAsia" w:eastAsiaTheme="minorEastAsia" w:cstheme="minorEastAsia"/>
                <w:kern w:val="0"/>
                <w:szCs w:val="21"/>
              </w:rPr>
              <w:t xml:space="preserve">。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未参与其他服务（1.6）</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未为本项目提供整体设计、规范编制或者项目管理、监理、检测等服务。</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未发现影响采购人决策行为（1.7）</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在磋商过程中未向采购人提供、给予任何有价值的物品，影响其正常决策行为。</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满足磋商范围的完整性要求（8.1）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 xml:space="preserve">对所投分包磋商文件中所列的所有服务内容进行磋商及报价。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228"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未包含价格调整要求</w:t>
            </w:r>
          </w:p>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所报的各分项磋商报价在合同履行过程中是固定不变的，不得以任何理由予以变更。</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磋商保证金（12.1）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符合磋商文件要求</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磋商有效期满足要求</w:t>
            </w:r>
          </w:p>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自提交响应文件截止之日起</w:t>
            </w:r>
            <w:r>
              <w:rPr>
                <w:rFonts w:hint="eastAsia" w:asciiTheme="minorEastAsia" w:hAnsiTheme="minorEastAsia" w:eastAsiaTheme="minorEastAsia" w:cstheme="minorEastAsia"/>
                <w:szCs w:val="21"/>
                <w:u w:val="single"/>
              </w:rPr>
              <w:t>60 日</w:t>
            </w:r>
            <w:r>
              <w:rPr>
                <w:rFonts w:hint="eastAsia" w:asciiTheme="minorEastAsia" w:hAnsiTheme="minorEastAsia" w:eastAsiaTheme="minorEastAsia" w:cstheme="minorEastAsia"/>
                <w:szCs w:val="21"/>
              </w:rPr>
              <w:t>历日内</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响应文件的签署和盖章符合要求（14.2、14.4）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按照磋商文件规定要求签署、盖章。</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7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响应文件的装订方式</w:t>
            </w:r>
          </w:p>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（14.3）</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所有响应文件采用不可拆装的胶订方式装订</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接受价格的算术修正</w:t>
            </w:r>
          </w:p>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响应文件报价出现前后不一致的，应按照磋商文件规定的顺序修正。</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符合强制采购节能产品要求（20.3）</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本项目</w:t>
            </w:r>
            <w:r>
              <w:rPr>
                <w:rFonts w:hint="eastAsia" w:asciiTheme="minorEastAsia" w:hAnsiTheme="minorEastAsia" w:eastAsiaTheme="minorEastAsia" w:cstheme="minorEastAsia"/>
                <w:kern w:val="0"/>
                <w:szCs w:val="21"/>
                <w:u w:val="single"/>
              </w:rPr>
              <w:t>适用</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未发现串通投标（22.2）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未与其他</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串通参加磋商，或者与采购人串通参加磋商。</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报价说明可以接受（22.2）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的报价明显低于其他通过符合性审查</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的报价，有可能影响履约的，</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能按照规定证明其报价合理性。</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无采购人不能接受的附加条件（22.2）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 xml:space="preserve">响应文件未含有采购人不能接受的附加条件。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519"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 w:val="22"/>
                <w:szCs w:val="22"/>
              </w:rPr>
              <w:t>结论</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p>
        </w:tc>
        <w:tc>
          <w:tcPr>
            <w:tcW w:w="50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p>
        </w:tc>
        <w:tc>
          <w:tcPr>
            <w:tcW w:w="44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p>
        </w:tc>
      </w:tr>
    </w:tbl>
    <w:p>
      <w:pPr>
        <w:pStyle w:val="2"/>
        <w:tabs>
          <w:tab w:val="clear" w:pos="567"/>
        </w:tabs>
        <w:spacing w:before="0" w:line="360" w:lineRule="auto"/>
        <w:ind w:left="-181" w:leftChars="-86" w:firstLine="577" w:firstLineChars="275"/>
        <w:rPr>
          <w:rFonts w:hint="eastAsia" w:asciiTheme="minorEastAsia" w:hAnsiTheme="minorEastAsia" w:eastAsiaTheme="minorEastAsia" w:cstheme="minorEastAsia"/>
          <w:sz w:val="21"/>
          <w:szCs w:val="21"/>
        </w:rPr>
      </w:pPr>
    </w:p>
    <w:p>
      <w:pPr>
        <w:pStyle w:val="2"/>
        <w:tabs>
          <w:tab w:val="clear" w:pos="567"/>
        </w:tabs>
        <w:spacing w:before="0" w:line="360" w:lineRule="auto"/>
        <w:ind w:left="-181" w:leftChars="-86" w:firstLine="577" w:firstLineChars="275"/>
        <w:rPr>
          <w:rFonts w:hint="eastAsia" w:asciiTheme="minorEastAsia" w:hAnsiTheme="minorEastAsia" w:eastAsiaTheme="minorEastAsia" w:cstheme="minorEastAsia"/>
          <w:sz w:val="21"/>
          <w:szCs w:val="21"/>
        </w:rPr>
      </w:pPr>
    </w:p>
    <w:p>
      <w:pPr>
        <w:pStyle w:val="2"/>
        <w:tabs>
          <w:tab w:val="clear" w:pos="567"/>
        </w:tabs>
        <w:spacing w:before="0" w:line="360" w:lineRule="auto"/>
        <w:ind w:left="-181" w:leftChars="-86" w:firstLine="577" w:firstLineChars="275"/>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32"/>
        <w:rPr>
          <w:rFonts w:hint="eastAsia"/>
        </w:rPr>
      </w:pPr>
    </w:p>
    <w:p>
      <w:pPr>
        <w:rPr>
          <w:rFonts w:hint="eastAsia" w:asciiTheme="minorEastAsia" w:hAnsiTheme="minorEastAsia" w:eastAsiaTheme="minorEastAsia" w:cstheme="minorEastAsia"/>
          <w:sz w:val="21"/>
          <w:szCs w:val="21"/>
        </w:rPr>
      </w:pPr>
    </w:p>
    <w:p>
      <w:pPr>
        <w:rPr>
          <w:rFonts w:hint="eastAsia"/>
        </w:rPr>
      </w:pPr>
    </w:p>
    <w:p>
      <w:pPr>
        <w:spacing w:line="360" w:lineRule="auto"/>
        <w:jc w:val="center"/>
        <w:outlineLvl w:val="0"/>
        <w:rPr>
          <w:rFonts w:hint="eastAsia" w:asciiTheme="minorEastAsia" w:hAnsiTheme="minorEastAsia" w:eastAsiaTheme="minorEastAsia" w:cstheme="minorEastAsia"/>
          <w:sz w:val="28"/>
          <w:szCs w:val="28"/>
          <w:highlight w:val="none"/>
        </w:rPr>
      </w:pPr>
      <w:bookmarkStart w:id="513" w:name="_Toc507399904"/>
      <w:r>
        <w:rPr>
          <w:rFonts w:hint="eastAsia" w:asciiTheme="minorEastAsia" w:hAnsiTheme="minorEastAsia" w:eastAsiaTheme="minorEastAsia" w:cstheme="minorEastAsia"/>
          <w:b/>
          <w:sz w:val="28"/>
          <w:szCs w:val="28"/>
          <w:highlight w:val="none"/>
        </w:rPr>
        <w:t>综合评分法评分标准</w:t>
      </w:r>
    </w:p>
    <w:p>
      <w:pPr>
        <w:pStyle w:val="23"/>
        <w:rPr>
          <w:rFonts w:hint="eastAsia" w:asciiTheme="minorEastAsia" w:hAnsiTheme="minorEastAsia" w:eastAsiaTheme="minorEastAsia" w:cstheme="minorEastAsia"/>
          <w:bCs/>
          <w:sz w:val="24"/>
          <w:szCs w:val="24"/>
        </w:rPr>
      </w:pPr>
    </w:p>
    <w:tbl>
      <w:tblPr>
        <w:tblStyle w:val="34"/>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854"/>
        <w:gridCol w:w="72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30" w:type="dxa"/>
            <w:noWrap w:val="0"/>
            <w:vAlign w:val="center"/>
          </w:tcPr>
          <w:p>
            <w:pPr>
              <w:pStyle w:val="33"/>
              <w:ind w:firstLine="360"/>
              <w:rPr>
                <w:rFonts w:hint="eastAsia" w:ascii="宋体" w:hAnsi="宋体" w:eastAsia="宋体" w:cs="宋体"/>
                <w:color w:val="auto"/>
                <w:sz w:val="21"/>
                <w:szCs w:val="21"/>
              </w:rPr>
            </w:pPr>
          </w:p>
          <w:p>
            <w:pPr>
              <w:pStyle w:val="33"/>
              <w:ind w:firstLine="360"/>
              <w:rPr>
                <w:rFonts w:hint="eastAsia" w:ascii="宋体" w:hAnsi="宋体" w:eastAsia="宋体" w:cs="宋体"/>
                <w:color w:val="auto"/>
                <w:sz w:val="21"/>
                <w:szCs w:val="21"/>
              </w:rPr>
            </w:pPr>
          </w:p>
        </w:tc>
        <w:tc>
          <w:tcPr>
            <w:tcW w:w="854" w:type="dxa"/>
            <w:noWrap w:val="0"/>
            <w:vAlign w:val="center"/>
          </w:tcPr>
          <w:p>
            <w:pPr>
              <w:jc w:val="center"/>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评审内容</w:t>
            </w:r>
          </w:p>
        </w:tc>
        <w:tc>
          <w:tcPr>
            <w:tcW w:w="720" w:type="dxa"/>
            <w:noWrap w:val="0"/>
            <w:vAlign w:val="center"/>
          </w:tcPr>
          <w:p>
            <w:pPr>
              <w:jc w:val="center"/>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分值</w:t>
            </w:r>
          </w:p>
        </w:tc>
        <w:tc>
          <w:tcPr>
            <w:tcW w:w="7233" w:type="dxa"/>
            <w:noWrap w:val="0"/>
            <w:vAlign w:val="center"/>
          </w:tcPr>
          <w:p>
            <w:pPr>
              <w:jc w:val="center"/>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43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价格部分</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（30分）</w:t>
            </w:r>
          </w:p>
          <w:p>
            <w:pPr>
              <w:jc w:val="center"/>
              <w:rPr>
                <w:rFonts w:hint="eastAsia" w:ascii="宋体" w:hAnsi="宋体" w:eastAsia="宋体" w:cs="宋体"/>
                <w:color w:val="auto"/>
                <w:kern w:val="0"/>
                <w:sz w:val="20"/>
                <w:szCs w:val="20"/>
                <w:lang w:val="en-US" w:eastAsia="zh-CN" w:bidi="ar-SA"/>
              </w:rPr>
            </w:pPr>
          </w:p>
        </w:tc>
        <w:tc>
          <w:tcPr>
            <w:tcW w:w="854"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投标</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价格</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30分</w:t>
            </w:r>
          </w:p>
        </w:tc>
        <w:tc>
          <w:tcPr>
            <w:tcW w:w="7233" w:type="dxa"/>
            <w:noWrap w:val="0"/>
            <w:vAlign w:val="center"/>
          </w:tcPr>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各供应商的价格得分的计算公式：采用低价优先法计算，即满足招标文件要求且投标价格最低的投标报价为评标基准价，其价格分为满分。其他投标人的价格分统一按照下列公式计算：</w:t>
            </w:r>
          </w:p>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投标报价得分=(评标基准价／投标报价)×价格权值×100。计算分数时四舍五入取小数点后两位,分数最高不超过30分。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430" w:type="dxa"/>
            <w:vMerge w:val="restart"/>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技术部分</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w:t>
            </w:r>
            <w:r>
              <w:rPr>
                <w:rFonts w:hint="eastAsia" w:ascii="宋体" w:hAnsi="宋体" w:cs="宋体"/>
                <w:color w:val="auto"/>
                <w:kern w:val="0"/>
                <w:sz w:val="20"/>
                <w:szCs w:val="20"/>
                <w:lang w:val="en-US" w:eastAsia="zh-CN" w:bidi="ar-SA"/>
              </w:rPr>
              <w:t>64</w:t>
            </w:r>
            <w:r>
              <w:rPr>
                <w:rFonts w:hint="eastAsia" w:ascii="宋体" w:hAnsi="宋体" w:eastAsia="宋体" w:cs="宋体"/>
                <w:color w:val="auto"/>
                <w:kern w:val="0"/>
                <w:sz w:val="20"/>
                <w:szCs w:val="20"/>
                <w:lang w:val="en-US" w:eastAsia="zh-CN" w:bidi="ar-SA"/>
              </w:rPr>
              <w:t>分）</w:t>
            </w:r>
          </w:p>
          <w:p>
            <w:pPr>
              <w:rPr>
                <w:rFonts w:hint="eastAsia" w:ascii="宋体" w:hAnsi="宋体" w:eastAsia="宋体" w:cs="宋体"/>
                <w:color w:val="auto"/>
                <w:kern w:val="0"/>
                <w:sz w:val="20"/>
                <w:szCs w:val="20"/>
                <w:lang w:val="en-US" w:eastAsia="zh-CN" w:bidi="ar-SA"/>
              </w:rPr>
            </w:pPr>
          </w:p>
        </w:tc>
        <w:tc>
          <w:tcPr>
            <w:tcW w:w="854"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技术</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参数</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40</w:t>
            </w:r>
            <w:r>
              <w:rPr>
                <w:rFonts w:hint="eastAsia" w:ascii="宋体" w:hAnsi="宋体" w:eastAsia="宋体" w:cs="宋体"/>
                <w:color w:val="auto"/>
                <w:kern w:val="0"/>
                <w:sz w:val="20"/>
                <w:szCs w:val="20"/>
                <w:lang w:val="en-US" w:eastAsia="zh-CN" w:bidi="ar-SA"/>
              </w:rPr>
              <w:t>分</w:t>
            </w:r>
          </w:p>
        </w:tc>
        <w:tc>
          <w:tcPr>
            <w:tcW w:w="7233" w:type="dxa"/>
            <w:noWrap w:val="0"/>
            <w:vAlign w:val="center"/>
          </w:tcPr>
          <w:p>
            <w:pPr>
              <w:numPr>
                <w:ilvl w:val="0"/>
                <w:numId w:val="0"/>
              </w:num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1.有效投标人的货物技术参数完全满足招标文件的得</w:t>
            </w:r>
            <w:r>
              <w:rPr>
                <w:rFonts w:hint="eastAsia" w:ascii="宋体" w:hAnsi="宋体" w:cs="宋体"/>
                <w:color w:val="auto"/>
                <w:kern w:val="0"/>
                <w:sz w:val="20"/>
                <w:szCs w:val="20"/>
                <w:lang w:val="en-US" w:eastAsia="zh-CN" w:bidi="ar-SA"/>
              </w:rPr>
              <w:t>35</w:t>
            </w:r>
            <w:r>
              <w:rPr>
                <w:rFonts w:hint="eastAsia" w:ascii="宋体" w:hAnsi="宋体" w:eastAsia="宋体" w:cs="宋体"/>
                <w:color w:val="auto"/>
                <w:kern w:val="0"/>
                <w:sz w:val="20"/>
                <w:szCs w:val="20"/>
                <w:lang w:val="en-US" w:eastAsia="zh-CN" w:bidi="ar-SA"/>
              </w:rPr>
              <w:t>分；</w:t>
            </w:r>
          </w:p>
          <w:p>
            <w:pPr>
              <w:numPr>
                <w:ilvl w:val="0"/>
                <w:numId w:val="0"/>
              </w:numPr>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2.投标货物相应技术参数高于招标货物实质性技术参数要求的每项加1分，最高加5分</w:t>
            </w:r>
            <w:r>
              <w:rPr>
                <w:rFonts w:hint="eastAsia" w:ascii="宋体" w:hAnsi="宋体" w:cs="宋体"/>
                <w:color w:val="auto"/>
                <w:kern w:val="0"/>
                <w:sz w:val="20"/>
                <w:szCs w:val="20"/>
                <w:lang w:val="en-US" w:eastAsia="zh-CN" w:bidi="ar-SA"/>
              </w:rPr>
              <w:t>（需提供有效合格的证明资料）</w:t>
            </w:r>
            <w:r>
              <w:rPr>
                <w:rFonts w:hint="eastAsia" w:ascii="宋体" w:hAnsi="宋体" w:eastAsia="宋体" w:cs="宋体"/>
                <w:color w:val="auto"/>
                <w:kern w:val="0"/>
                <w:sz w:val="20"/>
                <w:szCs w:val="20"/>
                <w:lang w:val="en-US" w:eastAsia="zh-CN" w:bidi="ar-SA"/>
              </w:rPr>
              <w:t>。</w:t>
            </w:r>
            <w:r>
              <w:rPr>
                <w:rFonts w:hint="eastAsia" w:ascii="宋体" w:hAnsi="宋体" w:cs="宋体"/>
                <w:color w:val="auto"/>
                <w:kern w:val="0"/>
                <w:sz w:val="20"/>
                <w:szCs w:val="20"/>
                <w:lang w:val="en-US" w:eastAsia="zh-CN" w:bidi="ar-SA"/>
              </w:rPr>
              <w:t>非核心产品技术参数中有一项负偏离的扣3分，扣完为止。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30" w:type="dxa"/>
            <w:vMerge w:val="continue"/>
            <w:noWrap w:val="0"/>
            <w:vAlign w:val="center"/>
          </w:tcPr>
          <w:p>
            <w:pPr>
              <w:rPr>
                <w:rFonts w:hint="eastAsia" w:ascii="宋体" w:hAnsi="宋体" w:eastAsia="宋体" w:cs="宋体"/>
                <w:color w:val="auto"/>
                <w:kern w:val="0"/>
                <w:sz w:val="20"/>
                <w:szCs w:val="20"/>
                <w:lang w:val="en-US" w:eastAsia="zh-CN" w:bidi="ar-SA"/>
              </w:rPr>
            </w:pPr>
          </w:p>
        </w:tc>
        <w:tc>
          <w:tcPr>
            <w:tcW w:w="854"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实施</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方案</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10</w:t>
            </w:r>
            <w:r>
              <w:rPr>
                <w:rFonts w:hint="eastAsia" w:ascii="宋体" w:hAnsi="宋体" w:eastAsia="宋体" w:cs="宋体"/>
                <w:color w:val="auto"/>
                <w:kern w:val="0"/>
                <w:sz w:val="20"/>
                <w:szCs w:val="20"/>
                <w:lang w:val="en-US" w:eastAsia="zh-CN" w:bidi="ar-SA"/>
              </w:rPr>
              <w:t>分</w:t>
            </w:r>
          </w:p>
        </w:tc>
        <w:tc>
          <w:tcPr>
            <w:tcW w:w="7233" w:type="dxa"/>
            <w:noWrap w:val="0"/>
            <w:vAlign w:val="center"/>
          </w:tcPr>
          <w:p>
            <w:pPr>
              <w:rPr>
                <w:rFonts w:hint="default"/>
                <w:lang w:val="en-US" w:eastAsia="zh-CN"/>
              </w:rPr>
            </w:pPr>
            <w:r>
              <w:rPr>
                <w:rFonts w:hint="eastAsia" w:ascii="宋体" w:hAnsi="宋体" w:eastAsia="宋体" w:cs="宋体"/>
                <w:color w:val="auto"/>
                <w:kern w:val="0"/>
                <w:sz w:val="20"/>
                <w:szCs w:val="20"/>
                <w:lang w:val="en-US" w:eastAsia="zh-CN" w:bidi="ar-SA"/>
              </w:rPr>
              <w:t>实施方案主要包括拟投入的专业人员、供货方案、实施过程中的质量及进度控制方案、安全保证措施、安装调试和试运行、人员培训方案</w:t>
            </w:r>
            <w:r>
              <w:rPr>
                <w:rFonts w:hint="default" w:ascii="宋体" w:hAnsi="宋体" w:eastAsia="宋体" w:cs="宋体"/>
                <w:color w:val="auto"/>
                <w:kern w:val="0"/>
                <w:sz w:val="20"/>
                <w:szCs w:val="20"/>
                <w:lang w:val="en-US" w:eastAsia="zh-CN" w:bidi="ar-SA"/>
              </w:rPr>
              <w:t>等</w:t>
            </w:r>
            <w:r>
              <w:rPr>
                <w:rFonts w:hint="eastAsia" w:ascii="宋体" w:hAnsi="宋体" w:eastAsia="宋体" w:cs="宋体"/>
                <w:color w:val="auto"/>
                <w:kern w:val="0"/>
                <w:sz w:val="20"/>
                <w:szCs w:val="20"/>
                <w:lang w:val="en-US" w:eastAsia="zh-CN" w:bidi="ar-SA"/>
              </w:rPr>
              <w:t>进行综合评审。方案可行全面得</w:t>
            </w:r>
            <w:r>
              <w:rPr>
                <w:rFonts w:hint="eastAsia" w:ascii="宋体" w:hAnsi="宋体" w:cs="宋体"/>
                <w:color w:val="auto"/>
                <w:kern w:val="0"/>
                <w:sz w:val="20"/>
                <w:szCs w:val="20"/>
                <w:lang w:val="en-US" w:eastAsia="zh-CN" w:bidi="ar-SA"/>
              </w:rPr>
              <w:t>10</w:t>
            </w:r>
            <w:r>
              <w:rPr>
                <w:rFonts w:hint="eastAsia" w:ascii="宋体" w:hAnsi="宋体" w:eastAsia="宋体" w:cs="宋体"/>
                <w:color w:val="auto"/>
                <w:kern w:val="0"/>
                <w:sz w:val="20"/>
                <w:szCs w:val="20"/>
                <w:lang w:val="en-US" w:eastAsia="zh-CN" w:bidi="ar-SA"/>
              </w:rPr>
              <w:t>分，良7分，一般得</w:t>
            </w:r>
            <w:r>
              <w:rPr>
                <w:rFonts w:hint="eastAsia" w:ascii="宋体" w:hAnsi="宋体" w:cs="宋体"/>
                <w:color w:val="auto"/>
                <w:kern w:val="0"/>
                <w:sz w:val="20"/>
                <w:szCs w:val="20"/>
                <w:lang w:val="en-US" w:eastAsia="zh-CN" w:bidi="ar-SA"/>
              </w:rPr>
              <w:t>4</w:t>
            </w:r>
            <w:r>
              <w:rPr>
                <w:rFonts w:hint="eastAsia" w:ascii="宋体" w:hAnsi="宋体" w:eastAsia="宋体" w:cs="宋体"/>
                <w:color w:val="auto"/>
                <w:kern w:val="0"/>
                <w:sz w:val="20"/>
                <w:szCs w:val="20"/>
                <w:lang w:val="en-US" w:eastAsia="zh-CN" w:bidi="ar-SA"/>
              </w:rPr>
              <w:t>分。没有方案得0分。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30" w:type="dxa"/>
            <w:vMerge w:val="continue"/>
            <w:noWrap w:val="0"/>
            <w:vAlign w:val="center"/>
          </w:tcPr>
          <w:p>
            <w:pPr>
              <w:rPr>
                <w:rFonts w:hint="eastAsia" w:ascii="宋体" w:hAnsi="宋体" w:eastAsia="宋体" w:cs="宋体"/>
                <w:color w:val="auto"/>
                <w:kern w:val="0"/>
                <w:sz w:val="20"/>
                <w:szCs w:val="20"/>
                <w:lang w:val="en-US" w:eastAsia="zh-CN" w:bidi="ar-SA"/>
              </w:rPr>
            </w:pPr>
          </w:p>
        </w:tc>
        <w:tc>
          <w:tcPr>
            <w:tcW w:w="854" w:type="dxa"/>
            <w:vMerge w:val="restart"/>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服务</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体系</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6分</w:t>
            </w:r>
          </w:p>
        </w:tc>
        <w:tc>
          <w:tcPr>
            <w:tcW w:w="7233" w:type="dxa"/>
            <w:noWrap w:val="0"/>
            <w:vAlign w:val="center"/>
          </w:tcPr>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项目售后服务、应急处置、维修维护、故障响应与处置方案；对各供应商进行横向比较，方案内容切合实际、可操作性强、全面充分得4分，方案内容切合实际一般、可操作性较强、内容较全面得2分，没有售后服务方案得0分；在莎车县城有售后服务网点的（需提供证明文件原件）加2分，未提供证明文件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30" w:type="dxa"/>
            <w:vMerge w:val="continue"/>
            <w:noWrap w:val="0"/>
            <w:vAlign w:val="center"/>
          </w:tcPr>
          <w:p>
            <w:pPr>
              <w:rPr>
                <w:rFonts w:hint="eastAsia" w:ascii="宋体" w:hAnsi="宋体" w:eastAsia="宋体" w:cs="宋体"/>
                <w:color w:val="auto"/>
                <w:kern w:val="0"/>
                <w:sz w:val="20"/>
                <w:szCs w:val="20"/>
                <w:lang w:val="en-US" w:eastAsia="zh-CN" w:bidi="ar-SA"/>
              </w:rPr>
            </w:pPr>
          </w:p>
        </w:tc>
        <w:tc>
          <w:tcPr>
            <w:tcW w:w="854" w:type="dxa"/>
            <w:vMerge w:val="continue"/>
            <w:noWrap w:val="0"/>
            <w:vAlign w:val="center"/>
          </w:tcPr>
          <w:p>
            <w:pPr>
              <w:jc w:val="center"/>
              <w:rPr>
                <w:rFonts w:hint="eastAsia" w:ascii="宋体" w:hAnsi="宋体" w:eastAsia="宋体" w:cs="宋体"/>
                <w:color w:val="auto"/>
                <w:kern w:val="0"/>
                <w:sz w:val="20"/>
                <w:szCs w:val="20"/>
                <w:lang w:val="en-US" w:eastAsia="zh-CN" w:bidi="ar-SA"/>
              </w:rPr>
            </w:pPr>
          </w:p>
        </w:tc>
        <w:tc>
          <w:tcPr>
            <w:tcW w:w="720" w:type="dxa"/>
            <w:noWrap w:val="0"/>
            <w:vAlign w:val="center"/>
          </w:tcPr>
          <w:p>
            <w:pPr>
              <w:jc w:val="center"/>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3分</w:t>
            </w:r>
          </w:p>
        </w:tc>
        <w:tc>
          <w:tcPr>
            <w:tcW w:w="7233" w:type="dxa"/>
            <w:noWrap w:val="0"/>
            <w:vAlign w:val="center"/>
          </w:tcPr>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供货期满足</w:t>
            </w:r>
            <w:r>
              <w:rPr>
                <w:rFonts w:hint="eastAsia" w:ascii="宋体" w:hAnsi="宋体" w:cs="宋体"/>
                <w:color w:val="auto"/>
                <w:kern w:val="0"/>
                <w:sz w:val="20"/>
                <w:szCs w:val="20"/>
                <w:lang w:val="en-US" w:eastAsia="zh-CN" w:bidi="ar-SA"/>
              </w:rPr>
              <w:t>磋商</w:t>
            </w:r>
            <w:r>
              <w:rPr>
                <w:rFonts w:hint="eastAsia" w:ascii="宋体" w:hAnsi="宋体" w:eastAsia="宋体" w:cs="宋体"/>
                <w:color w:val="auto"/>
                <w:kern w:val="0"/>
                <w:sz w:val="20"/>
                <w:szCs w:val="20"/>
                <w:lang w:val="en-US" w:eastAsia="zh-CN" w:bidi="ar-SA"/>
              </w:rPr>
              <w:t>文件要求得1分，供货每提前1天加1分，最多加2分；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30" w:type="dxa"/>
            <w:vMerge w:val="continue"/>
            <w:noWrap w:val="0"/>
            <w:vAlign w:val="center"/>
          </w:tcPr>
          <w:p>
            <w:pPr>
              <w:rPr>
                <w:rFonts w:hint="eastAsia" w:ascii="宋体" w:hAnsi="宋体" w:eastAsia="宋体" w:cs="宋体"/>
                <w:color w:val="auto"/>
                <w:kern w:val="0"/>
                <w:sz w:val="20"/>
                <w:szCs w:val="20"/>
                <w:lang w:val="en-US" w:eastAsia="zh-CN" w:bidi="ar-SA"/>
              </w:rPr>
            </w:pPr>
          </w:p>
        </w:tc>
        <w:tc>
          <w:tcPr>
            <w:tcW w:w="854" w:type="dxa"/>
            <w:vMerge w:val="continue"/>
            <w:noWrap w:val="0"/>
            <w:vAlign w:val="center"/>
          </w:tcPr>
          <w:p>
            <w:pPr>
              <w:jc w:val="center"/>
              <w:rPr>
                <w:rFonts w:hint="eastAsia" w:ascii="宋体" w:hAnsi="宋体" w:eastAsia="宋体" w:cs="宋体"/>
                <w:color w:val="auto"/>
                <w:kern w:val="0"/>
                <w:sz w:val="20"/>
                <w:szCs w:val="20"/>
                <w:lang w:val="en-US" w:eastAsia="zh-CN" w:bidi="ar-SA"/>
              </w:rPr>
            </w:pP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3分</w:t>
            </w:r>
          </w:p>
        </w:tc>
        <w:tc>
          <w:tcPr>
            <w:tcW w:w="7233" w:type="dxa"/>
            <w:noWrap w:val="0"/>
            <w:vAlign w:val="center"/>
          </w:tcPr>
          <w:p>
            <w:pPr>
              <w:rPr>
                <w:rFonts w:hint="default" w:ascii="宋体" w:hAnsi="宋体" w:eastAsia="宋体" w:cs="宋体"/>
                <w:color w:val="auto"/>
                <w:kern w:val="0"/>
                <w:sz w:val="20"/>
                <w:szCs w:val="20"/>
                <w:lang w:val="en-US" w:eastAsia="zh-CN" w:bidi="ar-SA"/>
              </w:rPr>
            </w:pPr>
            <w:r>
              <w:rPr>
                <w:rFonts w:hint="default" w:ascii="宋体" w:hAnsi="宋体" w:eastAsia="宋体" w:cs="宋体"/>
                <w:color w:val="auto"/>
                <w:kern w:val="0"/>
                <w:sz w:val="20"/>
                <w:szCs w:val="20"/>
                <w:lang w:val="en-US" w:eastAsia="zh-CN" w:bidi="ar-SA"/>
              </w:rPr>
              <w:t>保修期内对所有产品实行“三包”服务，1个小时内响应、</w:t>
            </w:r>
            <w:r>
              <w:rPr>
                <w:rFonts w:hint="eastAsia" w:ascii="宋体" w:hAnsi="宋体" w:cs="宋体"/>
                <w:color w:val="auto"/>
                <w:kern w:val="0"/>
                <w:sz w:val="20"/>
                <w:szCs w:val="20"/>
                <w:lang w:val="en-US" w:eastAsia="zh-CN" w:bidi="ar-SA"/>
              </w:rPr>
              <w:t>8</w:t>
            </w:r>
            <w:r>
              <w:rPr>
                <w:rFonts w:hint="default" w:ascii="宋体" w:hAnsi="宋体" w:eastAsia="宋体" w:cs="宋体"/>
                <w:color w:val="auto"/>
                <w:kern w:val="0"/>
                <w:sz w:val="20"/>
                <w:szCs w:val="20"/>
                <w:lang w:val="en-US" w:eastAsia="zh-CN" w:bidi="ar-SA"/>
              </w:rPr>
              <w:t>个小时内到达设备现场，作出承诺的得1分，承诺每少</w:t>
            </w:r>
            <w:r>
              <w:rPr>
                <w:rFonts w:hint="eastAsia" w:ascii="宋体" w:hAnsi="宋体" w:eastAsia="宋体" w:cs="宋体"/>
                <w:color w:val="auto"/>
                <w:kern w:val="0"/>
                <w:sz w:val="20"/>
                <w:szCs w:val="20"/>
                <w:lang w:val="en-US" w:eastAsia="zh-CN" w:bidi="ar-SA"/>
              </w:rPr>
              <w:t>2</w:t>
            </w:r>
            <w:r>
              <w:rPr>
                <w:rFonts w:hint="default" w:ascii="宋体" w:hAnsi="宋体" w:eastAsia="宋体" w:cs="宋体"/>
                <w:color w:val="auto"/>
                <w:kern w:val="0"/>
                <w:sz w:val="20"/>
                <w:szCs w:val="20"/>
                <w:lang w:val="en-US" w:eastAsia="zh-CN" w:bidi="ar-SA"/>
              </w:rPr>
              <w:t>小时到现场加</w:t>
            </w:r>
            <w:r>
              <w:rPr>
                <w:rFonts w:hint="eastAsia" w:ascii="宋体" w:hAnsi="宋体" w:eastAsia="宋体" w:cs="宋体"/>
                <w:color w:val="auto"/>
                <w:kern w:val="0"/>
                <w:sz w:val="20"/>
                <w:szCs w:val="20"/>
                <w:lang w:val="en-US" w:eastAsia="zh-CN" w:bidi="ar-SA"/>
              </w:rPr>
              <w:t>1</w:t>
            </w:r>
            <w:r>
              <w:rPr>
                <w:rFonts w:hint="default" w:ascii="宋体" w:hAnsi="宋体" w:eastAsia="宋体" w:cs="宋体"/>
                <w:color w:val="auto"/>
                <w:kern w:val="0"/>
                <w:sz w:val="20"/>
                <w:szCs w:val="20"/>
                <w:lang w:val="en-US" w:eastAsia="zh-CN" w:bidi="ar-SA"/>
              </w:rPr>
              <w:t>分，最多加</w:t>
            </w:r>
            <w:r>
              <w:rPr>
                <w:rFonts w:hint="eastAsia" w:ascii="宋体" w:hAnsi="宋体" w:eastAsia="宋体" w:cs="宋体"/>
                <w:color w:val="auto"/>
                <w:kern w:val="0"/>
                <w:sz w:val="20"/>
                <w:szCs w:val="20"/>
                <w:lang w:val="en-US" w:eastAsia="zh-CN" w:bidi="ar-SA"/>
              </w:rPr>
              <w:t>2</w:t>
            </w:r>
            <w:r>
              <w:rPr>
                <w:rFonts w:hint="default" w:ascii="宋体" w:hAnsi="宋体" w:eastAsia="宋体" w:cs="宋体"/>
                <w:color w:val="auto"/>
                <w:kern w:val="0"/>
                <w:sz w:val="20"/>
                <w:szCs w:val="20"/>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30" w:type="dxa"/>
            <w:vMerge w:val="continue"/>
            <w:noWrap w:val="0"/>
            <w:vAlign w:val="center"/>
          </w:tcPr>
          <w:p>
            <w:pPr>
              <w:rPr>
                <w:rFonts w:hint="eastAsia" w:ascii="宋体" w:hAnsi="宋体" w:eastAsia="宋体" w:cs="宋体"/>
                <w:color w:val="auto"/>
                <w:kern w:val="0"/>
                <w:sz w:val="20"/>
                <w:szCs w:val="20"/>
                <w:lang w:val="en-US" w:eastAsia="zh-CN" w:bidi="ar-SA"/>
              </w:rPr>
            </w:pPr>
          </w:p>
        </w:tc>
        <w:tc>
          <w:tcPr>
            <w:tcW w:w="854"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质保期</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2</w:t>
            </w:r>
            <w:r>
              <w:rPr>
                <w:rFonts w:hint="eastAsia" w:ascii="宋体" w:hAnsi="宋体" w:eastAsia="宋体" w:cs="宋体"/>
                <w:color w:val="auto"/>
                <w:kern w:val="0"/>
                <w:sz w:val="20"/>
                <w:szCs w:val="20"/>
                <w:lang w:val="en-US" w:eastAsia="zh-CN" w:bidi="ar-SA"/>
              </w:rPr>
              <w:t>分</w:t>
            </w:r>
          </w:p>
        </w:tc>
        <w:tc>
          <w:tcPr>
            <w:tcW w:w="7233" w:type="dxa"/>
            <w:noWrap w:val="0"/>
            <w:vAlign w:val="center"/>
          </w:tcPr>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质保期满足</w:t>
            </w:r>
            <w:r>
              <w:rPr>
                <w:rFonts w:hint="eastAsia" w:ascii="宋体" w:hAnsi="宋体" w:cs="宋体"/>
                <w:color w:val="auto"/>
                <w:kern w:val="0"/>
                <w:sz w:val="20"/>
                <w:szCs w:val="20"/>
                <w:lang w:val="en-US" w:eastAsia="zh-CN" w:bidi="ar-SA"/>
              </w:rPr>
              <w:t>磋商</w:t>
            </w:r>
            <w:r>
              <w:rPr>
                <w:rFonts w:hint="eastAsia" w:ascii="宋体" w:hAnsi="宋体" w:eastAsia="宋体" w:cs="宋体"/>
                <w:color w:val="auto"/>
                <w:kern w:val="0"/>
                <w:sz w:val="20"/>
                <w:szCs w:val="20"/>
                <w:lang w:val="en-US" w:eastAsia="zh-CN" w:bidi="ar-SA"/>
              </w:rPr>
              <w:t>文件要求得1分，承诺每多1年加1分，最多加</w:t>
            </w:r>
            <w:r>
              <w:rPr>
                <w:rFonts w:hint="eastAsia" w:ascii="宋体" w:hAnsi="宋体" w:cs="宋体"/>
                <w:color w:val="auto"/>
                <w:kern w:val="0"/>
                <w:sz w:val="20"/>
                <w:szCs w:val="20"/>
                <w:lang w:val="en-US" w:eastAsia="zh-CN" w:bidi="ar-SA"/>
              </w:rPr>
              <w:t>1</w:t>
            </w:r>
            <w:r>
              <w:rPr>
                <w:rFonts w:hint="eastAsia" w:ascii="宋体" w:hAnsi="宋体" w:eastAsia="宋体" w:cs="宋体"/>
                <w:color w:val="auto"/>
                <w:kern w:val="0"/>
                <w:sz w:val="20"/>
                <w:szCs w:val="20"/>
                <w:lang w:val="en-US" w:eastAsia="zh-CN" w:bidi="ar-SA"/>
              </w:rPr>
              <w:t>分</w:t>
            </w:r>
            <w:r>
              <w:rPr>
                <w:rFonts w:hint="eastAsia" w:ascii="宋体" w:hAnsi="宋体" w:cs="宋体"/>
                <w:color w:val="auto"/>
                <w:kern w:val="0"/>
                <w:sz w:val="20"/>
                <w:szCs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30" w:type="dxa"/>
            <w:vMerge w:val="restart"/>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商务部分</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w:t>
            </w:r>
            <w:r>
              <w:rPr>
                <w:rFonts w:hint="eastAsia" w:ascii="宋体" w:hAnsi="宋体" w:cs="宋体"/>
                <w:color w:val="auto"/>
                <w:kern w:val="0"/>
                <w:sz w:val="20"/>
                <w:szCs w:val="20"/>
                <w:lang w:val="en-US" w:eastAsia="zh-CN" w:bidi="ar-SA"/>
              </w:rPr>
              <w:t>6</w:t>
            </w:r>
            <w:r>
              <w:rPr>
                <w:rFonts w:hint="eastAsia" w:ascii="宋体" w:hAnsi="宋体" w:eastAsia="宋体" w:cs="宋体"/>
                <w:color w:val="auto"/>
                <w:kern w:val="0"/>
                <w:sz w:val="20"/>
                <w:szCs w:val="20"/>
                <w:lang w:val="en-US" w:eastAsia="zh-CN" w:bidi="ar-SA"/>
              </w:rPr>
              <w:t>分）</w:t>
            </w:r>
          </w:p>
        </w:tc>
        <w:tc>
          <w:tcPr>
            <w:tcW w:w="854"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类似</w:t>
            </w:r>
          </w:p>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业绩</w:t>
            </w:r>
          </w:p>
        </w:tc>
        <w:tc>
          <w:tcPr>
            <w:tcW w:w="720" w:type="dxa"/>
            <w:noWrap w:val="0"/>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2分</w:t>
            </w:r>
          </w:p>
        </w:tc>
        <w:tc>
          <w:tcPr>
            <w:tcW w:w="7233" w:type="dxa"/>
            <w:noWrap w:val="0"/>
            <w:vAlign w:val="center"/>
          </w:tcPr>
          <w:p>
            <w:pP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投标人近三年类似项目业绩证明</w:t>
            </w:r>
            <w:r>
              <w:rPr>
                <w:rFonts w:hint="eastAsia" w:ascii="宋体" w:hAnsi="宋体" w:cs="宋体"/>
                <w:color w:val="auto"/>
                <w:kern w:val="0"/>
                <w:sz w:val="20"/>
                <w:szCs w:val="20"/>
                <w:lang w:val="en-US" w:eastAsia="zh-CN" w:bidi="ar-SA"/>
              </w:rPr>
              <w:t>，</w:t>
            </w:r>
            <w:r>
              <w:rPr>
                <w:rFonts w:hint="eastAsia" w:ascii="宋体" w:hAnsi="宋体" w:eastAsia="宋体" w:cs="宋体"/>
                <w:color w:val="auto"/>
                <w:kern w:val="0"/>
                <w:sz w:val="20"/>
                <w:szCs w:val="20"/>
                <w:lang w:val="en-US" w:eastAsia="zh-CN" w:bidi="ar-SA"/>
              </w:rPr>
              <w:t>以</w:t>
            </w:r>
            <w:r>
              <w:rPr>
                <w:rFonts w:hint="eastAsia" w:ascii="宋体" w:hAnsi="宋体" w:cs="宋体"/>
                <w:color w:val="auto"/>
                <w:kern w:val="0"/>
                <w:sz w:val="20"/>
                <w:szCs w:val="20"/>
                <w:lang w:val="en-US" w:eastAsia="zh-CN" w:bidi="ar-SA"/>
              </w:rPr>
              <w:t>中标</w:t>
            </w:r>
            <w:bookmarkStart w:id="703" w:name="_GoBack"/>
            <w:bookmarkEnd w:id="703"/>
            <w:r>
              <w:rPr>
                <w:rFonts w:hint="eastAsia" w:ascii="宋体" w:hAnsi="宋体" w:eastAsia="宋体" w:cs="宋体"/>
                <w:color w:val="auto"/>
                <w:kern w:val="0"/>
                <w:sz w:val="20"/>
                <w:szCs w:val="20"/>
                <w:lang w:val="en-US" w:eastAsia="zh-CN" w:bidi="ar-SA"/>
              </w:rPr>
              <w:t>通知书或合同协议书</w:t>
            </w:r>
            <w:r>
              <w:rPr>
                <w:rFonts w:hint="eastAsia" w:ascii="宋体" w:hAnsi="宋体" w:cs="宋体"/>
                <w:color w:val="auto"/>
                <w:kern w:val="0"/>
                <w:sz w:val="20"/>
                <w:szCs w:val="20"/>
                <w:lang w:val="en-US" w:eastAsia="zh-CN" w:bidi="ar-SA"/>
              </w:rPr>
              <w:t>（原件或复印件加盖鲜章）</w:t>
            </w:r>
            <w:r>
              <w:rPr>
                <w:rFonts w:hint="eastAsia" w:ascii="宋体" w:hAnsi="宋体" w:eastAsia="宋体" w:cs="宋体"/>
                <w:color w:val="auto"/>
                <w:kern w:val="0"/>
                <w:sz w:val="20"/>
                <w:szCs w:val="20"/>
                <w:lang w:val="en-US" w:eastAsia="zh-CN" w:bidi="ar-SA"/>
              </w:rPr>
              <w:t>为准</w:t>
            </w:r>
            <w:r>
              <w:rPr>
                <w:rFonts w:hint="eastAsia" w:ascii="宋体" w:hAnsi="宋体" w:cs="宋体"/>
                <w:color w:val="auto"/>
                <w:kern w:val="0"/>
                <w:sz w:val="20"/>
                <w:szCs w:val="20"/>
                <w:lang w:val="en-US" w:eastAsia="zh-CN" w:bidi="ar-SA"/>
              </w:rPr>
              <w:t>。</w:t>
            </w:r>
            <w:r>
              <w:rPr>
                <w:rFonts w:hint="eastAsia" w:ascii="宋体" w:hAnsi="宋体" w:eastAsia="宋体" w:cs="宋体"/>
                <w:color w:val="auto"/>
                <w:kern w:val="0"/>
                <w:sz w:val="20"/>
                <w:szCs w:val="20"/>
                <w:lang w:val="en-US" w:eastAsia="zh-CN" w:bidi="ar-SA"/>
              </w:rPr>
              <w:t>每提供一个得1分，最多得2分。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430" w:type="dxa"/>
            <w:vMerge w:val="continue"/>
            <w:noWrap w:val="0"/>
            <w:vAlign w:val="center"/>
          </w:tcPr>
          <w:p>
            <w:pPr>
              <w:jc w:val="center"/>
              <w:rPr>
                <w:rFonts w:hint="eastAsia" w:ascii="宋体" w:hAnsi="宋体" w:eastAsia="宋体" w:cs="宋体"/>
                <w:color w:val="auto"/>
                <w:kern w:val="0"/>
                <w:sz w:val="20"/>
                <w:szCs w:val="20"/>
                <w:lang w:val="en-US" w:eastAsia="zh-CN" w:bidi="ar-SA"/>
              </w:rPr>
            </w:pPr>
          </w:p>
        </w:tc>
        <w:tc>
          <w:tcPr>
            <w:tcW w:w="854" w:type="dxa"/>
            <w:noWrap w:val="0"/>
            <w:vAlign w:val="center"/>
          </w:tcPr>
          <w:p>
            <w:pPr>
              <w:jc w:val="center"/>
              <w:rPr>
                <w:rFonts w:hint="eastAsia" w:ascii="宋体" w:hAnsi="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企业</w:t>
            </w:r>
          </w:p>
          <w:p>
            <w:pPr>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信誉</w:t>
            </w:r>
          </w:p>
        </w:tc>
        <w:tc>
          <w:tcPr>
            <w:tcW w:w="720" w:type="dxa"/>
            <w:noWrap w:val="0"/>
            <w:vAlign w:val="center"/>
          </w:tcPr>
          <w:p>
            <w:pPr>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4分</w:t>
            </w:r>
          </w:p>
        </w:tc>
        <w:tc>
          <w:tcPr>
            <w:tcW w:w="7233" w:type="dxa"/>
            <w:noWrap w:val="0"/>
            <w:vAlign w:val="center"/>
          </w:tcPr>
          <w:p>
            <w:pPr>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①ISO14001环境管理体系认证</w:t>
            </w:r>
            <w:r>
              <w:rPr>
                <w:rFonts w:hint="eastAsia" w:ascii="宋体" w:hAnsi="宋体" w:cs="宋体"/>
                <w:color w:val="auto"/>
                <w:kern w:val="0"/>
                <w:sz w:val="20"/>
                <w:szCs w:val="20"/>
                <w:lang w:val="en-US" w:eastAsia="zh-CN" w:bidi="ar-SA"/>
              </w:rPr>
              <w:t>；</w:t>
            </w:r>
            <w:r>
              <w:rPr>
                <w:rFonts w:hint="eastAsia" w:ascii="宋体" w:hAnsi="宋体" w:eastAsia="宋体" w:cs="宋体"/>
                <w:color w:val="auto"/>
                <w:kern w:val="0"/>
                <w:sz w:val="20"/>
                <w:szCs w:val="20"/>
                <w:lang w:val="en-US" w:eastAsia="zh-CN" w:bidi="ar-SA"/>
              </w:rPr>
              <w:t>②</w:t>
            </w:r>
            <w:r>
              <w:rPr>
                <w:rFonts w:hint="eastAsia" w:ascii="宋体" w:hAnsi="宋体" w:cs="宋体"/>
                <w:color w:val="auto"/>
                <w:kern w:val="0"/>
                <w:sz w:val="20"/>
                <w:szCs w:val="20"/>
                <w:lang w:val="en-US" w:eastAsia="zh-CN" w:bidi="ar-SA"/>
              </w:rPr>
              <w:t>ISO13485医疗器械质量管理体系认证；</w:t>
            </w:r>
            <w:r>
              <w:rPr>
                <w:rFonts w:hint="eastAsia" w:ascii="宋体" w:hAnsi="宋体" w:eastAsia="宋体" w:cs="宋体"/>
                <w:color w:val="auto"/>
                <w:kern w:val="0"/>
                <w:sz w:val="20"/>
                <w:szCs w:val="20"/>
                <w:lang w:val="en-US" w:eastAsia="zh-CN" w:bidi="ar-SA"/>
              </w:rPr>
              <w:t>③ISO9001质量管理体系认证；④ISO45001职业健康安全管理体系认证；</w:t>
            </w:r>
            <w:r>
              <w:rPr>
                <w:rFonts w:hint="eastAsia" w:ascii="宋体" w:hAnsi="宋体" w:cs="宋体"/>
                <w:color w:val="auto"/>
                <w:kern w:val="0"/>
                <w:sz w:val="20"/>
                <w:szCs w:val="20"/>
                <w:lang w:val="en-US" w:eastAsia="zh-CN" w:bidi="ar-SA"/>
              </w:rPr>
              <w:t>每</w:t>
            </w:r>
            <w:r>
              <w:rPr>
                <w:rFonts w:hint="eastAsia" w:ascii="宋体" w:hAnsi="宋体" w:eastAsia="宋体" w:cs="宋体"/>
                <w:color w:val="auto"/>
                <w:kern w:val="0"/>
                <w:sz w:val="20"/>
                <w:szCs w:val="20"/>
                <w:lang w:val="en-US" w:eastAsia="zh-CN" w:bidi="ar-SA"/>
              </w:rPr>
              <w:t>提供一项证书得</w:t>
            </w:r>
            <w:r>
              <w:rPr>
                <w:rFonts w:hint="eastAsia" w:ascii="宋体" w:hAnsi="宋体" w:cs="宋体"/>
                <w:color w:val="auto"/>
                <w:kern w:val="0"/>
                <w:sz w:val="20"/>
                <w:szCs w:val="20"/>
                <w:lang w:val="en-US" w:eastAsia="zh-CN" w:bidi="ar-SA"/>
              </w:rPr>
              <w:t>1</w:t>
            </w:r>
            <w:r>
              <w:rPr>
                <w:rFonts w:hint="eastAsia" w:ascii="宋体" w:hAnsi="宋体" w:eastAsia="宋体" w:cs="宋体"/>
                <w:color w:val="auto"/>
                <w:kern w:val="0"/>
                <w:sz w:val="20"/>
                <w:szCs w:val="20"/>
                <w:lang w:val="en-US" w:eastAsia="zh-CN" w:bidi="ar-SA"/>
              </w:rPr>
              <w:t>分，满分</w:t>
            </w:r>
            <w:r>
              <w:rPr>
                <w:rFonts w:hint="eastAsia" w:ascii="宋体" w:hAnsi="宋体" w:cs="宋体"/>
                <w:color w:val="auto"/>
                <w:kern w:val="0"/>
                <w:sz w:val="20"/>
                <w:szCs w:val="20"/>
                <w:lang w:val="en-US" w:eastAsia="zh-CN" w:bidi="ar-SA"/>
              </w:rPr>
              <w:t>4</w:t>
            </w:r>
            <w:r>
              <w:rPr>
                <w:rFonts w:hint="eastAsia" w:ascii="宋体" w:hAnsi="宋体" w:eastAsia="宋体" w:cs="宋体"/>
                <w:color w:val="auto"/>
                <w:kern w:val="0"/>
                <w:sz w:val="20"/>
                <w:szCs w:val="20"/>
                <w:lang w:val="en-US" w:eastAsia="zh-CN" w:bidi="ar-SA"/>
              </w:rPr>
              <w:t>分。</w:t>
            </w:r>
          </w:p>
        </w:tc>
      </w:tr>
    </w:tbl>
    <w:p>
      <w:pPr>
        <w:spacing w:line="240" w:lineRule="auto"/>
        <w:ind w:left="-619" w:leftChars="-295" w:firstLine="0" w:firstLineChars="0"/>
        <w:jc w:val="both"/>
        <w:rPr>
          <w:vanish/>
          <w:color w:val="auto"/>
          <w:sz w:val="16"/>
          <w:szCs w:val="20"/>
        </w:rPr>
      </w:pPr>
      <w:r>
        <w:rPr>
          <w:rFonts w:hint="eastAsia" w:ascii="宋体" w:hAnsi="宋体" w:cs="宋体"/>
          <w:b/>
          <w:bCs/>
          <w:color w:val="auto"/>
          <w:kern w:val="0"/>
          <w:sz w:val="20"/>
          <w:szCs w:val="20"/>
          <w:lang w:bidi="ar"/>
        </w:rPr>
        <w:t>详细评分表（满分100分</w:t>
      </w:r>
      <w:r>
        <w:rPr>
          <w:rFonts w:hint="eastAsia" w:ascii="宋体" w:hAnsi="宋体" w:cs="宋体"/>
          <w:color w:val="auto"/>
          <w:kern w:val="0"/>
          <w:sz w:val="18"/>
          <w:szCs w:val="18"/>
          <w:lang w:bidi="ar"/>
        </w:rPr>
        <w:t>）</w:t>
      </w:r>
    </w:p>
    <w:p>
      <w:pPr>
        <w:spacing w:line="240" w:lineRule="auto"/>
        <w:jc w:val="center"/>
        <w:rPr>
          <w:vanish/>
          <w:color w:val="auto"/>
          <w:sz w:val="16"/>
          <w:szCs w:val="20"/>
        </w:rPr>
      </w:pPr>
    </w:p>
    <w:p>
      <w:pPr>
        <w:autoSpaceDE w:val="0"/>
        <w:autoSpaceDN w:val="0"/>
        <w:spacing w:line="240" w:lineRule="auto"/>
        <w:ind w:right="-1039" w:rightChars="-495"/>
        <w:jc w:val="left"/>
        <w:rPr>
          <w:rFonts w:hint="eastAsia"/>
          <w:lang w:eastAsia="zh-CN"/>
        </w:rPr>
      </w:pPr>
      <w:r>
        <w:rPr>
          <w:rFonts w:hint="eastAsia" w:ascii="宋体" w:hAnsi="宋体" w:cs="宋体"/>
          <w:b/>
          <w:bCs/>
          <w:sz w:val="20"/>
          <w:szCs w:val="20"/>
        </w:rPr>
        <w:t>注</w:t>
      </w:r>
      <w:r>
        <w:rPr>
          <w:rFonts w:hint="eastAsia" w:ascii="宋体" w:hAnsi="宋体" w:cs="宋体"/>
          <w:b/>
          <w:bCs/>
          <w:sz w:val="20"/>
          <w:szCs w:val="20"/>
          <w:lang w:eastAsia="zh-CN"/>
        </w:rPr>
        <w:t>：</w:t>
      </w:r>
      <w:r>
        <w:rPr>
          <w:rFonts w:hint="eastAsia" w:ascii="宋体" w:hAnsi="宋体" w:cs="宋体"/>
          <w:b/>
          <w:bCs/>
          <w:sz w:val="20"/>
          <w:szCs w:val="20"/>
        </w:rPr>
        <w:t>评审完毕，评标委员会根据汇总各投标企业的综合得分，按照得分高低序，取前三名作为中标候选人推荐给招标人。如果投标人的得分相同，投标价格低者排在前。</w:t>
      </w: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9"/>
        <w:ind w:left="0" w:leftChars="0" w:firstLine="0" w:firstLineChars="0"/>
        <w:jc w:val="center"/>
        <w:rPr>
          <w:rFonts w:hint="eastAsia" w:asciiTheme="minorEastAsia" w:hAnsiTheme="minorEastAsia" w:eastAsiaTheme="minorEastAsia" w:cstheme="minorEastAsia"/>
          <w:bCs/>
          <w:sz w:val="44"/>
          <w:szCs w:val="44"/>
          <w:lang w:eastAsia="zh-CN"/>
        </w:rPr>
      </w:pPr>
      <w:r>
        <w:rPr>
          <w:rFonts w:hint="eastAsia" w:asciiTheme="minorEastAsia" w:hAnsiTheme="minorEastAsia" w:eastAsiaTheme="minorEastAsia" w:cstheme="minorEastAsia"/>
          <w:bCs/>
          <w:sz w:val="44"/>
          <w:szCs w:val="44"/>
          <w:lang w:eastAsia="zh-CN"/>
        </w:rPr>
        <w:t>喀什地区康宁医院检验辅助设备采购项目</w:t>
      </w:r>
    </w:p>
    <w:p>
      <w:pPr>
        <w:pStyle w:val="9"/>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bookmarkStart w:id="514" w:name="_Toc13153_WPSOffice_Level2"/>
      <w:bookmarkStart w:id="515" w:name="_Toc2107_WPSOffice_Level2"/>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XJWSH(JZXCS)2021-15号</w:t>
      </w: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9"/>
        <w:ind w:left="0" w:leftChars="0" w:firstLine="0" w:firstLineChars="0"/>
        <w:rPr>
          <w:rFonts w:hint="eastAsia" w:asciiTheme="minorEastAsia" w:hAnsiTheme="minorEastAsia" w:eastAsiaTheme="minorEastAsia" w:cstheme="minorEastAsia"/>
          <w:bCs/>
          <w:sz w:val="48"/>
          <w:szCs w:val="48"/>
        </w:rPr>
      </w:pP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4"/>
        <w:rPr>
          <w:rFonts w:hint="eastAsia" w:asciiTheme="minorEastAsia" w:hAnsiTheme="minorEastAsia" w:eastAsiaTheme="minorEastAsia" w:cstheme="minorEastAsia"/>
        </w:rPr>
      </w:pPr>
    </w:p>
    <w:p>
      <w:pPr>
        <w:spacing w:line="240" w:lineRule="atLeast"/>
        <w:ind w:left="1080" w:leftChars="257" w:hanging="540"/>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48"/>
          <w:szCs w:val="48"/>
        </w:rPr>
        <w:t>竞争性磋商文件</w:t>
      </w:r>
      <w:bookmarkEnd w:id="514"/>
      <w:bookmarkEnd w:id="515"/>
      <w:r>
        <w:rPr>
          <w:rFonts w:hint="eastAsia" w:asciiTheme="minorEastAsia" w:hAnsiTheme="minorEastAsia" w:eastAsiaTheme="minorEastAsia" w:cstheme="minorEastAsia"/>
          <w:bCs/>
          <w:sz w:val="52"/>
          <w:szCs w:val="5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pStyle w:val="4"/>
        <w:rPr>
          <w:rFonts w:hint="eastAsia" w:asciiTheme="minorEastAsia" w:hAnsiTheme="minorEastAsia" w:eastAsiaTheme="minorEastAsia" w:cstheme="minorEastAsia"/>
          <w:b/>
          <w:sz w:val="32"/>
          <w:szCs w:val="32"/>
        </w:rPr>
      </w:pPr>
    </w:p>
    <w:p>
      <w:pPr>
        <w:spacing w:line="240" w:lineRule="atLeast"/>
        <w:rPr>
          <w:rFonts w:hint="eastAsia" w:asciiTheme="minorEastAsia" w:hAnsiTheme="minorEastAsia" w:eastAsiaTheme="minorEastAsia" w:cstheme="minorEastAsia"/>
          <w:b/>
          <w:sz w:val="28"/>
        </w:rPr>
      </w:pPr>
    </w:p>
    <w:p>
      <w:pPr>
        <w:spacing w:line="240" w:lineRule="atLeast"/>
        <w:ind w:left="1080" w:leftChars="257" w:hanging="540"/>
        <w:jc w:val="center"/>
        <w:outlineLvl w:val="0"/>
        <w:rPr>
          <w:rFonts w:hint="eastAsia" w:asciiTheme="minorEastAsia" w:hAnsiTheme="minorEastAsia" w:eastAsiaTheme="minorEastAsia" w:cstheme="minorEastAsia"/>
          <w:b/>
          <w:sz w:val="48"/>
          <w:szCs w:val="48"/>
        </w:rPr>
      </w:pPr>
      <w:bookmarkStart w:id="516" w:name="_Toc15795_WPSOffice_Level2"/>
      <w:bookmarkStart w:id="517" w:name="_Toc26108_WPSOffice_Level2"/>
      <w:r>
        <w:rPr>
          <w:rFonts w:hint="eastAsia" w:asciiTheme="minorEastAsia" w:hAnsiTheme="minorEastAsia" w:eastAsiaTheme="minorEastAsia" w:cstheme="minorEastAsia"/>
          <w:b/>
          <w:sz w:val="48"/>
          <w:szCs w:val="48"/>
        </w:rPr>
        <w:t>第三册</w:t>
      </w:r>
      <w:bookmarkEnd w:id="516"/>
      <w:bookmarkEnd w:id="517"/>
    </w:p>
    <w:p>
      <w:pPr>
        <w:pStyle w:val="33"/>
        <w:ind w:left="0" w:leftChars="0" w:firstLine="0" w:firstLineChars="0"/>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p>
      <w:pPr>
        <w:pStyle w:val="33"/>
        <w:ind w:left="0" w:leftChars="0" w:firstLine="0" w:firstLineChars="0"/>
        <w:rPr>
          <w:rFonts w:hint="eastAsia" w:asciiTheme="minorEastAsia" w:hAnsiTheme="minorEastAsia" w:eastAsiaTheme="minorEastAsia" w:cstheme="minorEastAsia"/>
          <w:b/>
          <w:sz w:val="52"/>
        </w:rPr>
      </w:pPr>
    </w:p>
    <w:bookmarkEnd w:id="513"/>
    <w:p>
      <w:pPr>
        <w:pStyle w:val="3"/>
        <w:tabs>
          <w:tab w:val="left" w:pos="0"/>
        </w:tabs>
        <w:spacing w:before="0" w:after="0" w:line="240" w:lineRule="atLeast"/>
        <w:rPr>
          <w:rFonts w:hint="eastAsia" w:asciiTheme="minorEastAsia" w:hAnsiTheme="minorEastAsia" w:eastAsiaTheme="minorEastAsia" w:cstheme="minorEastAsia"/>
        </w:rPr>
      </w:pPr>
      <w:bookmarkStart w:id="518" w:name="_Toc21888_WPSOffice_Level1"/>
      <w:bookmarkStart w:id="519" w:name="_Toc12949_WPSOffice_Level1"/>
      <w:bookmarkStart w:id="520" w:name="_Toc32428_WPSOffice_Level1"/>
      <w:r>
        <w:rPr>
          <w:rFonts w:hint="eastAsia" w:asciiTheme="minorEastAsia" w:hAnsiTheme="minorEastAsia" w:eastAsiaTheme="minorEastAsia" w:cstheme="minorEastAsia"/>
        </w:rPr>
        <w:t>第7章  政府采购合同</w:t>
      </w:r>
      <w:bookmarkStart w:id="521" w:name="_Hlt487972895"/>
      <w:bookmarkEnd w:id="521"/>
      <w:bookmarkStart w:id="522" w:name="_Toc216513788"/>
      <w:bookmarkStart w:id="523" w:name="_Toc487900382"/>
    </w:p>
    <w:bookmarkEnd w:id="518"/>
    <w:bookmarkEnd w:id="519"/>
    <w:bookmarkEnd w:id="520"/>
    <w:bookmarkEnd w:id="522"/>
    <w:bookmarkEnd w:id="523"/>
    <w:p>
      <w:pPr>
        <w:spacing w:line="480" w:lineRule="auto"/>
        <w:ind w:firstLine="2209" w:firstLineChars="500"/>
        <w:rPr>
          <w:rFonts w:hint="eastAsia" w:asciiTheme="minorEastAsia" w:hAnsiTheme="minorEastAsia" w:eastAsiaTheme="minorEastAsia" w:cstheme="minorEastAsia"/>
          <w:b/>
          <w:sz w:val="44"/>
          <w:szCs w:val="44"/>
        </w:rPr>
      </w:pP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合同编号：</w:t>
      </w:r>
      <w:r>
        <w:rPr>
          <w:rFonts w:hint="eastAsia" w:asciiTheme="minorEastAsia" w:hAnsiTheme="minorEastAsia" w:eastAsiaTheme="minorEastAsia" w:cstheme="minorEastAsia"/>
          <w:sz w:val="24"/>
          <w:u w:val="single"/>
        </w:rPr>
        <w:t xml:space="preserve">           </w:t>
      </w:r>
    </w:p>
    <w:p>
      <w:pPr>
        <w:spacing w:line="480" w:lineRule="auto"/>
        <w:jc w:val="center"/>
        <w:rPr>
          <w:rFonts w:hint="eastAsia" w:asciiTheme="minorEastAsia" w:hAnsiTheme="minorEastAsia" w:eastAsiaTheme="minorEastAsia" w:cstheme="minorEastAsia"/>
          <w:b/>
          <w:sz w:val="28"/>
          <w:szCs w:val="28"/>
        </w:rPr>
      </w:pPr>
    </w:p>
    <w:p>
      <w:pPr>
        <w:spacing w:line="480" w:lineRule="auto"/>
        <w:jc w:val="center"/>
        <w:rPr>
          <w:rFonts w:hint="eastAsia" w:asciiTheme="minorEastAsia" w:hAnsiTheme="minorEastAsia" w:eastAsiaTheme="minorEastAsia" w:cstheme="minorEastAsia"/>
          <w:b/>
          <w:sz w:val="28"/>
          <w:szCs w:val="28"/>
        </w:rPr>
      </w:pPr>
    </w:p>
    <w:p>
      <w:pPr>
        <w:spacing w:line="480" w:lineRule="auto"/>
        <w:jc w:val="center"/>
        <w:rPr>
          <w:rFonts w:hint="eastAsia" w:asciiTheme="minorEastAsia" w:hAnsiTheme="minorEastAsia" w:eastAsiaTheme="minorEastAsia" w:cstheme="minorEastAsia"/>
          <w:b/>
          <w:sz w:val="28"/>
          <w:szCs w:val="28"/>
        </w:rPr>
      </w:pPr>
    </w:p>
    <w:p>
      <w:pPr>
        <w:spacing w:line="480" w:lineRule="auto"/>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政府采购合同参考范本</w:t>
      </w:r>
    </w:p>
    <w:p>
      <w:pPr>
        <w:spacing w:line="48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hint="eastAsia" w:asciiTheme="minorEastAsia" w:hAnsiTheme="minorEastAsia" w:eastAsiaTheme="minorEastAsia" w:cstheme="minorEastAsia"/>
          <w:szCs w:val="24"/>
        </w:rPr>
      </w:pPr>
    </w:p>
    <w:p>
      <w:pPr>
        <w:pStyle w:val="59"/>
        <w:ind w:firstLine="0"/>
        <w:rPr>
          <w:rFonts w:hint="eastAsia" w:asciiTheme="minorEastAsia" w:hAnsiTheme="minorEastAsia" w:eastAsiaTheme="minorEastAsia" w:cstheme="minorEastAsia"/>
          <w:szCs w:val="24"/>
        </w:rPr>
      </w:pPr>
    </w:p>
    <w:p>
      <w:pPr>
        <w:pStyle w:val="59"/>
        <w:ind w:firstLine="0"/>
        <w:rPr>
          <w:rFonts w:hint="eastAsia" w:asciiTheme="minorEastAsia" w:hAnsiTheme="minorEastAsia" w:eastAsiaTheme="minorEastAsia" w:cstheme="minorEastAsia"/>
          <w:szCs w:val="24"/>
        </w:rPr>
      </w:pPr>
    </w:p>
    <w:p>
      <w:pPr>
        <w:pStyle w:val="59"/>
        <w:ind w:firstLine="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 合同书</w:t>
      </w:r>
    </w:p>
    <w:p>
      <w:pPr>
        <w:pStyle w:val="59"/>
        <w:ind w:firstLine="0"/>
        <w:rPr>
          <w:rFonts w:hint="eastAsia" w:asciiTheme="minorEastAsia" w:hAnsiTheme="minorEastAsia" w:eastAsiaTheme="minorEastAsia" w:cstheme="minorEastAsia"/>
          <w:szCs w:val="24"/>
        </w:rPr>
      </w:pPr>
    </w:p>
    <w:p>
      <w:pPr>
        <w:pStyle w:val="59"/>
        <w:ind w:firstLine="0"/>
        <w:rPr>
          <w:rFonts w:hint="eastAsia" w:asciiTheme="minorEastAsia" w:hAnsiTheme="minorEastAsia" w:eastAsiaTheme="minorEastAsia" w:cstheme="minorEastAsia"/>
          <w:szCs w:val="24"/>
        </w:rPr>
      </w:pPr>
    </w:p>
    <w:p>
      <w:pPr>
        <w:spacing w:before="120" w:line="22" w:lineRule="atLeast"/>
        <w:rPr>
          <w:rFonts w:hint="eastAsia" w:asciiTheme="minorEastAsia" w:hAnsiTheme="minorEastAsia" w:eastAsiaTheme="minorEastAsia" w:cstheme="minorEastAsia"/>
          <w:sz w:val="24"/>
        </w:rPr>
      </w:pPr>
    </w:p>
    <w:p>
      <w:pPr>
        <w:spacing w:before="120" w:line="22" w:lineRule="atLeast"/>
        <w:ind w:left="9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pStyle w:val="89"/>
        <w:spacing w:before="120" w:line="22" w:lineRule="atLeast"/>
        <w:rPr>
          <w:rFonts w:hint="eastAsia" w:asciiTheme="minorEastAsia" w:hAnsiTheme="minorEastAsia" w:eastAsiaTheme="minorEastAsia" w:cstheme="minorEastAsia"/>
          <w:szCs w:val="24"/>
        </w:rPr>
      </w:pPr>
    </w:p>
    <w:p>
      <w:pPr>
        <w:pStyle w:val="89"/>
        <w:spacing w:before="120" w:line="22" w:lineRule="atLeast"/>
        <w:rPr>
          <w:rFonts w:hint="eastAsia" w:asciiTheme="minorEastAsia" w:hAnsiTheme="minorEastAsia" w:eastAsiaTheme="minorEastAsia" w:cstheme="minorEastAsia"/>
          <w:szCs w:val="24"/>
        </w:rPr>
      </w:pPr>
    </w:p>
    <w:p>
      <w:pPr>
        <w:rPr>
          <w:rFonts w:hint="eastAsia" w:asciiTheme="minorEastAsia" w:hAnsiTheme="minorEastAsia" w:eastAsiaTheme="minorEastAsia" w:cstheme="minorEastAsia"/>
        </w:rPr>
      </w:pPr>
    </w:p>
    <w:p>
      <w:pPr>
        <w:spacing w:before="120" w:line="22" w:lineRule="atLeast"/>
        <w:ind w:left="96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u w:val="single"/>
        </w:rPr>
        <w:t xml:space="preserve">                                       </w:t>
      </w:r>
    </w:p>
    <w:p>
      <w:pPr>
        <w:spacing w:before="120" w:line="22" w:lineRule="atLeast"/>
        <w:rPr>
          <w:rFonts w:hint="eastAsia" w:asciiTheme="minorEastAsia" w:hAnsiTheme="minorEastAsia" w:eastAsiaTheme="minorEastAsia" w:cstheme="minorEastAsia"/>
          <w:sz w:val="24"/>
        </w:rPr>
      </w:pPr>
    </w:p>
    <w:p>
      <w:pPr>
        <w:spacing w:before="120" w:line="22" w:lineRule="atLeast"/>
        <w:ind w:left="96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u w:val="single"/>
        </w:rPr>
        <w:t xml:space="preserve">                                       </w:t>
      </w:r>
    </w:p>
    <w:p>
      <w:pPr>
        <w:spacing w:before="120" w:line="22" w:lineRule="atLeast"/>
        <w:rPr>
          <w:rFonts w:hint="eastAsia" w:asciiTheme="minorEastAsia" w:hAnsiTheme="minorEastAsia" w:eastAsiaTheme="minorEastAsia" w:cstheme="minorEastAsia"/>
          <w:sz w:val="24"/>
        </w:rPr>
      </w:pPr>
    </w:p>
    <w:p>
      <w:pPr>
        <w:spacing w:before="120" w:line="22" w:lineRule="atLeast"/>
        <w:ind w:firstLine="960" w:firstLineChars="4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r>
        <w:rPr>
          <w:rFonts w:hint="eastAsia" w:asciiTheme="minorEastAsia" w:hAnsiTheme="minorEastAsia" w:eastAsiaTheme="minorEastAsia" w:cstheme="minorEastAsia"/>
          <w:sz w:val="24"/>
          <w:u w:val="single"/>
        </w:rPr>
        <w:t xml:space="preserve">                                     </w:t>
      </w:r>
    </w:p>
    <w:p>
      <w:pPr>
        <w:spacing w:before="120" w:line="22" w:lineRule="atLeast"/>
        <w:rPr>
          <w:rFonts w:hint="eastAsia" w:asciiTheme="minorEastAsia" w:hAnsiTheme="minorEastAsia" w:eastAsiaTheme="minorEastAsia" w:cstheme="minorEastAsia"/>
          <w:sz w:val="24"/>
        </w:rPr>
      </w:pPr>
    </w:p>
    <w:p>
      <w:pPr>
        <w:spacing w:before="120" w:line="22" w:lineRule="atLeast"/>
        <w:ind w:firstLine="960" w:firstLineChars="4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autoSpaceDE w:val="0"/>
        <w:autoSpaceDN w:val="0"/>
        <w:adjustRightInd w:val="0"/>
        <w:spacing w:line="600" w:lineRule="exact"/>
        <w:ind w:firstLine="640"/>
        <w:jc w:val="center"/>
        <w:rPr>
          <w:rFonts w:hint="eastAsia" w:asciiTheme="minorEastAsia" w:hAnsiTheme="minorEastAsia" w:eastAsiaTheme="minorEastAsia" w:cstheme="minorEastAsia"/>
          <w:sz w:val="24"/>
        </w:rPr>
        <w:sectPr>
          <w:pgSz w:w="11907" w:h="16840"/>
          <w:pgMar w:top="1474" w:right="1473" w:bottom="1474" w:left="1814" w:header="851" w:footer="851" w:gutter="0"/>
          <w:pgNumType w:fmt="decimal"/>
          <w:cols w:space="720" w:num="1"/>
          <w:docGrid w:linePitch="462" w:charSpace="0"/>
        </w:sectPr>
      </w:pP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（政府采购方式）  </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 xml:space="preserve">   （同前页项目名称）   </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 xml:space="preserve">   （相关评定主体名称）   </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hint="eastAsia" w:asciiTheme="minorEastAsia" w:hAnsiTheme="minorEastAsia" w:eastAsiaTheme="minorEastAsia" w:cstheme="minorEastAsia"/>
          <w:sz w:val="24"/>
        </w:rPr>
      </w:pPr>
      <w:bookmarkStart w:id="524" w:name="_Toc19273"/>
      <w:bookmarkStart w:id="525" w:name="_Toc15367"/>
      <w:bookmarkStart w:id="526" w:name="_Toc28855"/>
      <w:bookmarkStart w:id="527" w:name="_Toc22967"/>
      <w:bookmarkStart w:id="528" w:name="_Toc20421"/>
      <w:r>
        <w:rPr>
          <w:rFonts w:hint="eastAsia" w:asciiTheme="minorEastAsia" w:hAnsiTheme="minorEastAsia" w:eastAsiaTheme="minorEastAsia" w:cstheme="minorEastAsia"/>
          <w:b/>
          <w:sz w:val="24"/>
        </w:rPr>
        <w:t>1.1 合同组成部分</w:t>
      </w:r>
      <w:bookmarkEnd w:id="524"/>
      <w:bookmarkEnd w:id="525"/>
      <w:bookmarkEnd w:id="526"/>
      <w:bookmarkEnd w:id="527"/>
      <w:bookmarkEnd w:id="528"/>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1.1.3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（含澄清或者说明文件）；</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hint="eastAsia" w:asciiTheme="minorEastAsia" w:hAnsiTheme="minorEastAsia" w:eastAsiaTheme="minorEastAsia" w:cstheme="minorEastAsia"/>
          <w:b/>
          <w:sz w:val="24"/>
        </w:rPr>
      </w:pPr>
      <w:bookmarkStart w:id="529" w:name="_Toc6311"/>
      <w:bookmarkStart w:id="530" w:name="_Toc22185"/>
      <w:bookmarkStart w:id="531" w:name="_Toc6773"/>
      <w:bookmarkStart w:id="532" w:name="_Toc2918"/>
      <w:bookmarkStart w:id="533" w:name="_Toc18585"/>
      <w:r>
        <w:rPr>
          <w:rFonts w:hint="eastAsia" w:asciiTheme="minorEastAsia" w:hAnsiTheme="minorEastAsia" w:eastAsiaTheme="minorEastAsia" w:cstheme="minorEastAsia"/>
          <w:b/>
          <w:sz w:val="24"/>
        </w:rPr>
        <w:t>1.2 标的</w:t>
      </w:r>
      <w:bookmarkEnd w:id="529"/>
      <w:bookmarkEnd w:id="530"/>
      <w:bookmarkEnd w:id="531"/>
      <w:bookmarkEnd w:id="532"/>
      <w:bookmarkEnd w:id="533"/>
    </w:p>
    <w:p>
      <w:pPr>
        <w:spacing w:line="56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hint="eastAsia" w:asciiTheme="minorEastAsia" w:hAnsiTheme="minorEastAsia" w:eastAsiaTheme="minorEastAsia" w:cstheme="minorEastAsia"/>
          <w:b/>
          <w:sz w:val="24"/>
        </w:rPr>
      </w:pPr>
      <w:bookmarkStart w:id="534" w:name="_Toc1386"/>
      <w:bookmarkStart w:id="535" w:name="_Toc5635"/>
      <w:bookmarkStart w:id="536" w:name="_Toc13918"/>
      <w:bookmarkStart w:id="537" w:name="_Toc4929"/>
      <w:bookmarkStart w:id="538" w:name="_Toc21124"/>
      <w:r>
        <w:rPr>
          <w:rFonts w:hint="eastAsia" w:asciiTheme="minorEastAsia" w:hAnsiTheme="minorEastAsia" w:eastAsiaTheme="minorEastAsia" w:cstheme="minorEastAsia"/>
          <w:b/>
          <w:sz w:val="24"/>
        </w:rPr>
        <w:t>1.3 价款</w:t>
      </w:r>
      <w:bookmarkEnd w:id="534"/>
      <w:bookmarkEnd w:id="535"/>
      <w:bookmarkEnd w:id="536"/>
      <w:bookmarkEnd w:id="537"/>
      <w:bookmarkEnd w:id="538"/>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w:t>
      </w:r>
    </w:p>
    <w:p>
      <w:pPr>
        <w:spacing w:line="56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序号</w:t>
            </w:r>
          </w:p>
        </w:tc>
        <w:tc>
          <w:tcPr>
            <w:tcW w:w="340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分项名称</w:t>
            </w:r>
          </w:p>
        </w:tc>
        <w:tc>
          <w:tcPr>
            <w:tcW w:w="2552" w:type="dxa"/>
            <w:vAlign w:val="center"/>
          </w:tcPr>
          <w:p>
            <w:pPr>
              <w:pStyle w:val="67"/>
              <w:spacing w:line="560" w:lineRule="exact"/>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340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255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340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255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340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255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340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c>
          <w:tcPr>
            <w:tcW w:w="255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总价</w:t>
            </w:r>
          </w:p>
        </w:tc>
        <w:tc>
          <w:tcPr>
            <w:tcW w:w="2552" w:type="dxa"/>
            <w:vAlign w:val="center"/>
          </w:tcPr>
          <w:p>
            <w:pPr>
              <w:pStyle w:val="67"/>
              <w:spacing w:line="560" w:lineRule="exact"/>
              <w:ind w:firstLine="200"/>
              <w:jc w:val="center"/>
              <w:rPr>
                <w:rFonts w:hint="eastAsia" w:asciiTheme="minorEastAsia" w:hAnsiTheme="minorEastAsia" w:eastAsiaTheme="minorEastAsia" w:cstheme="minorEastAsia"/>
                <w:color w:val="000000"/>
                <w:kern w:val="2"/>
                <w:sz w:val="24"/>
                <w:szCs w:val="24"/>
              </w:rPr>
            </w:pPr>
          </w:p>
        </w:tc>
      </w:tr>
    </w:tbl>
    <w:p>
      <w:pPr>
        <w:spacing w:line="560" w:lineRule="exact"/>
        <w:ind w:firstLine="482" w:firstLineChars="200"/>
        <w:outlineLvl w:val="0"/>
        <w:rPr>
          <w:rFonts w:hint="eastAsia" w:asciiTheme="minorEastAsia" w:hAnsiTheme="minorEastAsia" w:eastAsiaTheme="minorEastAsia" w:cstheme="minorEastAsia"/>
          <w:b/>
          <w:sz w:val="24"/>
        </w:rPr>
      </w:pPr>
      <w:bookmarkStart w:id="539" w:name="_Toc30158"/>
      <w:bookmarkStart w:id="540" w:name="_Toc30506"/>
      <w:bookmarkStart w:id="541" w:name="_Toc14993"/>
      <w:bookmarkStart w:id="542" w:name="_Toc26916"/>
      <w:bookmarkStart w:id="543" w:name="_Toc3654"/>
      <w:r>
        <w:rPr>
          <w:rFonts w:hint="eastAsia" w:asciiTheme="minorEastAsia" w:hAnsiTheme="minorEastAsia" w:eastAsiaTheme="minorEastAsia" w:cstheme="minorEastAsia"/>
          <w:b/>
          <w:sz w:val="24"/>
        </w:rPr>
        <w:t>1.4 付款方式和发票开具方式</w:t>
      </w:r>
      <w:bookmarkEnd w:id="539"/>
      <w:bookmarkEnd w:id="540"/>
      <w:bookmarkEnd w:id="541"/>
      <w:bookmarkEnd w:id="542"/>
      <w:bookmarkEnd w:id="543"/>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1.4.2 发票开具方式：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hint="eastAsia" w:asciiTheme="minorEastAsia" w:hAnsiTheme="minorEastAsia" w:eastAsiaTheme="minorEastAsia" w:cstheme="minorEastAsia"/>
          <w:b/>
          <w:sz w:val="24"/>
        </w:rPr>
      </w:pPr>
      <w:bookmarkStart w:id="544" w:name="_Toc8772"/>
      <w:bookmarkStart w:id="545" w:name="_Toc31421"/>
      <w:bookmarkStart w:id="546" w:name="_Toc4760"/>
      <w:bookmarkStart w:id="547" w:name="_Toc3625"/>
      <w:bookmarkStart w:id="548" w:name="_Toc11108"/>
      <w:r>
        <w:rPr>
          <w:rFonts w:hint="eastAsia" w:asciiTheme="minorEastAsia" w:hAnsiTheme="minorEastAsia" w:eastAsiaTheme="minorEastAsia" w:cstheme="minorEastAsia"/>
          <w:b/>
          <w:sz w:val="24"/>
        </w:rPr>
        <w:t>1.5 履行期限、地点和方式</w:t>
      </w:r>
      <w:bookmarkEnd w:id="544"/>
      <w:bookmarkEnd w:id="545"/>
      <w:bookmarkEnd w:id="546"/>
      <w:bookmarkEnd w:id="547"/>
      <w:bookmarkEnd w:id="548"/>
    </w:p>
    <w:p>
      <w:pPr>
        <w:spacing w:line="56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hint="eastAsia" w:asciiTheme="minorEastAsia" w:hAnsiTheme="minorEastAsia" w:eastAsiaTheme="minorEastAsia" w:cstheme="minorEastAsia"/>
          <w:sz w:val="24"/>
          <w:u w:val="single"/>
        </w:rPr>
      </w:pPr>
      <w:bookmarkStart w:id="549" w:name="_Toc5698"/>
      <w:bookmarkStart w:id="550" w:name="_Toc24662"/>
      <w:bookmarkStart w:id="551" w:name="_Toc8586"/>
      <w:bookmarkStart w:id="552" w:name="_Toc2375"/>
      <w:bookmarkStart w:id="553" w:name="_Toc3079"/>
      <w:r>
        <w:rPr>
          <w:rFonts w:hint="eastAsia" w:asciiTheme="minorEastAsia" w:hAnsiTheme="minorEastAsia" w:eastAsiaTheme="minorEastAsia" w:cstheme="minorEastAsia"/>
          <w:b/>
          <w:sz w:val="24"/>
        </w:rPr>
        <w:t>1.6 违约责任</w:t>
      </w:r>
      <w:bookmarkEnd w:id="549"/>
      <w:bookmarkEnd w:id="550"/>
      <w:bookmarkEnd w:id="551"/>
      <w:bookmarkEnd w:id="552"/>
      <w:bookmarkEnd w:id="553"/>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Theme="minorEastAsia" w:hAnsiTheme="minorEastAsia" w:eastAsiaTheme="minorEastAsia" w:cstheme="minorEastAsia"/>
          <w:b/>
          <w:sz w:val="24"/>
        </w:rPr>
      </w:pPr>
      <w:bookmarkStart w:id="554" w:name="_Toc18683"/>
      <w:bookmarkStart w:id="555" w:name="_Toc9497"/>
      <w:bookmarkStart w:id="556" w:name="_Toc32454"/>
      <w:bookmarkStart w:id="557" w:name="_Toc30329"/>
      <w:bookmarkStart w:id="558" w:name="_Toc26807"/>
      <w:r>
        <w:rPr>
          <w:rFonts w:hint="eastAsia" w:asciiTheme="minorEastAsia" w:hAnsiTheme="minorEastAsia" w:eastAsiaTheme="minorEastAsia" w:cstheme="minorEastAsia"/>
          <w:b/>
          <w:sz w:val="24"/>
        </w:rPr>
        <w:t>1.7 合同争议的解决</w:t>
      </w:r>
      <w:bookmarkEnd w:id="554"/>
      <w:bookmarkEnd w:id="555"/>
      <w:bookmarkEnd w:id="556"/>
      <w:bookmarkEnd w:id="557"/>
      <w:bookmarkEnd w:id="558"/>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种方式解决：</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hint="eastAsia" w:asciiTheme="minorEastAsia" w:hAnsiTheme="minorEastAsia" w:eastAsiaTheme="minorEastAsia" w:cstheme="minorEastAsia"/>
          <w:b/>
          <w:sz w:val="24"/>
        </w:rPr>
      </w:pPr>
      <w:bookmarkStart w:id="559" w:name="_Toc12273"/>
      <w:bookmarkStart w:id="560" w:name="_Toc15827"/>
      <w:bookmarkStart w:id="561" w:name="_Toc26227"/>
      <w:bookmarkStart w:id="562" w:name="_Toc16417"/>
      <w:bookmarkStart w:id="563" w:name="_Toc23784"/>
      <w:r>
        <w:rPr>
          <w:rFonts w:hint="eastAsia" w:asciiTheme="minorEastAsia" w:hAnsiTheme="minorEastAsia" w:eastAsiaTheme="minorEastAsia" w:cstheme="minorEastAsia"/>
          <w:b/>
          <w:sz w:val="24"/>
        </w:rPr>
        <w:t>1.8 合同生效</w:t>
      </w:r>
      <w:bookmarkEnd w:id="559"/>
      <w:bookmarkEnd w:id="560"/>
      <w:bookmarkEnd w:id="561"/>
      <w:bookmarkEnd w:id="562"/>
      <w:bookmarkEnd w:id="563"/>
    </w:p>
    <w:p>
      <w:pPr>
        <w:spacing w:line="56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hint="eastAsia" w:asciiTheme="minorEastAsia" w:hAnsiTheme="minorEastAsia" w:eastAsiaTheme="minorEastAsia" w:cstheme="minorEastAsia"/>
          <w:sz w:val="24"/>
          <w:lang w:val="zh-CN"/>
        </w:rPr>
      </w:pP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b/>
          <w:sz w:val="24"/>
          <w:lang w:val="zh-CN"/>
        </w:rPr>
        <w:t xml:space="preserve">      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                        统一社会信用代码或身份证号码：</w:t>
      </w:r>
    </w:p>
    <w:p>
      <w:pPr>
        <w:autoSpaceDE w:val="0"/>
        <w:autoSpaceDN w:val="0"/>
        <w:adjustRightInd w:val="0"/>
        <w:spacing w:line="560" w:lineRule="exact"/>
        <w:rPr>
          <w:rFonts w:hint="eastAsia" w:asciiTheme="minorEastAsia" w:hAnsiTheme="minorEastAsia" w:eastAsiaTheme="minorEastAsia" w:cstheme="minorEastAsia"/>
          <w:sz w:val="24"/>
          <w:lang w:val="zh-CN"/>
        </w:rPr>
      </w:pP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                                   住所：</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                             法定代表人</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                        或授权代表（签字）: </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                                 联系人：</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                           约定送达地址：</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                               邮政编码：</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                               电子邮箱：</w:t>
      </w:r>
    </w:p>
    <w:p>
      <w:pPr>
        <w:autoSpaceDE w:val="0"/>
        <w:autoSpaceDN w:val="0"/>
        <w:adjustRightInd w:val="0"/>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autoSpaceDE w:val="0"/>
        <w:autoSpaceDN w:val="0"/>
        <w:adjustRightInd w:val="0"/>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autoSpaceDE w:val="0"/>
        <w:autoSpaceDN w:val="0"/>
        <w:adjustRightInd w:val="0"/>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开户账号：</w:t>
      </w:r>
    </w:p>
    <w:p>
      <w:pPr>
        <w:widowControl/>
        <w:spacing w:line="560" w:lineRule="exact"/>
        <w:jc w:val="left"/>
        <w:rPr>
          <w:rFonts w:hint="eastAsia" w:asciiTheme="minorEastAsia" w:hAnsiTheme="minorEastAsia" w:eastAsiaTheme="minorEastAsia" w:cstheme="minorEastAsia"/>
          <w:b/>
        </w:rPr>
      </w:pPr>
      <w:bookmarkStart w:id="564" w:name="_Toc331685783"/>
    </w:p>
    <w:p>
      <w:pPr>
        <w:widowControl/>
        <w:spacing w:line="560" w:lineRule="exact"/>
        <w:jc w:val="left"/>
        <w:rPr>
          <w:rFonts w:hint="eastAsia" w:asciiTheme="minorEastAsia" w:hAnsiTheme="minorEastAsia" w:eastAsiaTheme="minorEastAsia" w:cstheme="minorEastAsia"/>
          <w:b/>
          <w:kern w:val="0"/>
          <w:sz w:val="24"/>
        </w:rPr>
      </w:pPr>
    </w:p>
    <w:p>
      <w:pPr>
        <w:pStyle w:val="59"/>
        <w:spacing w:line="560" w:lineRule="exact"/>
        <w:ind w:firstLine="20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 合同一般条款</w:t>
      </w:r>
      <w:bookmarkEnd w:id="564"/>
    </w:p>
    <w:p>
      <w:pPr>
        <w:spacing w:line="560" w:lineRule="exact"/>
        <w:ind w:firstLine="482" w:firstLineChars="200"/>
        <w:outlineLvl w:val="0"/>
        <w:rPr>
          <w:rFonts w:hint="eastAsia" w:asciiTheme="minorEastAsia" w:hAnsiTheme="minorEastAsia" w:eastAsiaTheme="minorEastAsia" w:cstheme="minorEastAsia"/>
          <w:b/>
          <w:sz w:val="24"/>
        </w:rPr>
      </w:pPr>
      <w:bookmarkStart w:id="565" w:name="_Ref467379195"/>
      <w:bookmarkStart w:id="566" w:name="_Toc14021"/>
      <w:bookmarkStart w:id="567" w:name="_Ref467379205"/>
      <w:bookmarkStart w:id="568" w:name="_Toc279701240"/>
      <w:bookmarkStart w:id="569" w:name="_Ref467379214"/>
      <w:bookmarkStart w:id="570" w:name="_Toc31297"/>
      <w:bookmarkStart w:id="571" w:name="_Toc487900349"/>
      <w:bookmarkStart w:id="572" w:name="_Ref467378463"/>
      <w:bookmarkStart w:id="573" w:name="_Ref467378499"/>
      <w:bookmarkStart w:id="574" w:name="_Toc259093669"/>
      <w:bookmarkStart w:id="575" w:name="_Ref467379109"/>
      <w:bookmarkStart w:id="576" w:name="_Toc5228"/>
      <w:bookmarkStart w:id="577" w:name="_Toc19680"/>
      <w:bookmarkStart w:id="578" w:name="_Ref467379094"/>
      <w:bookmarkStart w:id="579" w:name="_Ref467379101"/>
      <w:bookmarkStart w:id="580" w:name="_Toc25079"/>
      <w:bookmarkStart w:id="581" w:name="_Ref467379225"/>
      <w:bookmarkStart w:id="582" w:name="_Ref467378404"/>
      <w:r>
        <w:rPr>
          <w:rFonts w:hint="eastAsia" w:asciiTheme="minorEastAsia" w:hAnsiTheme="minorEastAsia" w:eastAsiaTheme="minorEastAsia" w:cstheme="minorEastAsia"/>
          <w:b/>
          <w:sz w:val="24"/>
        </w:rPr>
        <w:t>2.1 定义</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Theme="minorEastAsia" w:hAnsiTheme="minorEastAsia" w:eastAsiaTheme="minorEastAsia" w:cstheme="minorEastAsia"/>
          <w:sz w:val="24"/>
        </w:rPr>
      </w:pPr>
      <w:bookmarkStart w:id="583" w:name="_Ref467378840"/>
      <w:r>
        <w:rPr>
          <w:rFonts w:hint="eastAsia" w:asciiTheme="minorEastAsia" w:hAnsiTheme="minorEastAsia" w:eastAsiaTheme="minorEastAsia" w:cstheme="minorEastAsia"/>
          <w:sz w:val="24"/>
        </w:rPr>
        <w:t>2.1.4 “甲方”系指与中标供应商签署合同的采购人</w:t>
      </w:r>
      <w:bookmarkEnd w:id="583"/>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hint="eastAsia" w:asciiTheme="minorEastAsia" w:hAnsiTheme="minorEastAsia" w:eastAsiaTheme="minorEastAsia" w:cstheme="minorEastAsia"/>
          <w:sz w:val="24"/>
        </w:rPr>
      </w:pPr>
      <w:bookmarkStart w:id="584" w:name="_Ref467379400"/>
      <w:r>
        <w:rPr>
          <w:rFonts w:hint="eastAsia" w:asciiTheme="minorEastAsia" w:hAnsiTheme="minorEastAsia" w:eastAsiaTheme="minorEastAsia" w:cstheme="minorEastAsia"/>
          <w:sz w:val="24"/>
        </w:rPr>
        <w:t>2.1.5 “乙方”系指根据合同约定提供服务的中标供应商</w:t>
      </w:r>
      <w:bookmarkEnd w:id="584"/>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Theme="minorEastAsia" w:hAnsiTheme="minorEastAsia" w:eastAsiaTheme="minorEastAsia" w:cstheme="minorEastAsia"/>
          <w:sz w:val="24"/>
        </w:rPr>
      </w:pPr>
      <w:bookmarkStart w:id="585" w:name="_Ref467379436"/>
      <w:r>
        <w:rPr>
          <w:rFonts w:hint="eastAsia" w:asciiTheme="minorEastAsia" w:hAnsiTheme="minorEastAsia" w:eastAsiaTheme="minorEastAsia" w:cstheme="minorEastAsia"/>
          <w:sz w:val="24"/>
        </w:rPr>
        <w:t>2.1.6 “现场”系指合同约定提供服务的地点。</w:t>
      </w:r>
      <w:bookmarkEnd w:id="585"/>
    </w:p>
    <w:p>
      <w:pPr>
        <w:spacing w:line="560" w:lineRule="exact"/>
        <w:ind w:firstLine="482" w:firstLineChars="200"/>
        <w:outlineLvl w:val="0"/>
        <w:rPr>
          <w:rFonts w:hint="eastAsia" w:asciiTheme="minorEastAsia" w:hAnsiTheme="minorEastAsia" w:eastAsiaTheme="minorEastAsia" w:cstheme="minorEastAsia"/>
          <w:b/>
          <w:sz w:val="24"/>
        </w:rPr>
      </w:pPr>
      <w:bookmarkStart w:id="586" w:name="_Toc31402"/>
      <w:bookmarkStart w:id="587" w:name="_Toc487900350"/>
      <w:bookmarkStart w:id="588" w:name="_Toc23289"/>
      <w:bookmarkStart w:id="589" w:name="_Toc279701241"/>
      <w:bookmarkStart w:id="590" w:name="_Toc3769"/>
      <w:bookmarkStart w:id="591" w:name="_Toc19539"/>
      <w:bookmarkStart w:id="592" w:name="_Toc16752"/>
      <w:bookmarkStart w:id="593" w:name="_Toc259093670"/>
      <w:r>
        <w:rPr>
          <w:rFonts w:hint="eastAsia" w:asciiTheme="minorEastAsia" w:hAnsiTheme="minorEastAsia" w:eastAsiaTheme="minorEastAsia" w:cstheme="minorEastAsia"/>
          <w:b/>
          <w:sz w:val="24"/>
        </w:rPr>
        <w:t>2.2 技术规范</w:t>
      </w:r>
      <w:bookmarkEnd w:id="586"/>
      <w:bookmarkEnd w:id="587"/>
      <w:bookmarkEnd w:id="588"/>
      <w:bookmarkEnd w:id="589"/>
      <w:bookmarkEnd w:id="590"/>
      <w:bookmarkEnd w:id="591"/>
      <w:bookmarkEnd w:id="592"/>
      <w:bookmarkEnd w:id="593"/>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Theme="minorEastAsia" w:hAnsiTheme="minorEastAsia" w:eastAsiaTheme="minorEastAsia" w:cstheme="minorEastAsia"/>
          <w:b/>
          <w:sz w:val="24"/>
        </w:rPr>
      </w:pPr>
      <w:bookmarkStart w:id="594" w:name="_Toc9161"/>
      <w:bookmarkStart w:id="595" w:name="_Toc12412"/>
      <w:bookmarkStart w:id="596" w:name="_Toc259093671"/>
      <w:bookmarkStart w:id="597" w:name="_Toc279701242"/>
      <w:bookmarkStart w:id="598" w:name="_Toc13673"/>
      <w:bookmarkStart w:id="599" w:name="_Toc27945"/>
      <w:bookmarkStart w:id="600" w:name="_Toc487900351"/>
      <w:bookmarkStart w:id="601" w:name="_Toc4133"/>
      <w:r>
        <w:rPr>
          <w:rFonts w:hint="eastAsia" w:asciiTheme="minorEastAsia" w:hAnsiTheme="minorEastAsia" w:eastAsiaTheme="minorEastAsia" w:cstheme="minorEastAsia"/>
          <w:b/>
          <w:sz w:val="24"/>
        </w:rPr>
        <w:t>2.3 知识产权</w:t>
      </w:r>
      <w:bookmarkEnd w:id="594"/>
      <w:bookmarkEnd w:id="595"/>
      <w:bookmarkEnd w:id="596"/>
      <w:bookmarkEnd w:id="597"/>
      <w:bookmarkEnd w:id="598"/>
      <w:bookmarkEnd w:id="599"/>
      <w:bookmarkEnd w:id="600"/>
      <w:bookmarkEnd w:id="601"/>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hint="eastAsia" w:asciiTheme="minorEastAsia" w:hAnsiTheme="minorEastAsia" w:eastAsiaTheme="minorEastAsia" w:cstheme="minorEastAsia"/>
          <w:sz w:val="24"/>
        </w:rPr>
      </w:pPr>
      <w:bookmarkStart w:id="602" w:name="_Ref467379657"/>
      <w:r>
        <w:rPr>
          <w:rFonts w:hint="eastAsia" w:asciiTheme="minorEastAsia" w:hAnsiTheme="minorEastAsia" w:eastAsiaTheme="minorEastAsia" w:cstheme="minorEastAsia"/>
          <w:sz w:val="24"/>
        </w:rPr>
        <w:t>2.4.1</w:t>
      </w:r>
      <w:bookmarkEnd w:id="602"/>
      <w:bookmarkStart w:id="603" w:name="_Toc186431854"/>
      <w:bookmarkStart w:id="604" w:name="_Ref467379793"/>
      <w:bookmarkStart w:id="605" w:name="_Toc487900357"/>
      <w:bookmarkStart w:id="606" w:name="_Toc259093676"/>
      <w:bookmarkStart w:id="607" w:name="_Ref467379807"/>
      <w:bookmarkStart w:id="608" w:name="_Toc27970124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2.4.2 合同履行期间，甲方有权将履行过程中出现的问题反馈给乙方，双方当事人应以书面形式约定需要完善和改进的内容</w:t>
      </w:r>
      <w:bookmarkEnd w:id="603"/>
      <w:bookmarkStart w:id="609" w:name="_Toc186431855"/>
      <w:r>
        <w:rPr>
          <w:rFonts w:hint="eastAsia" w:asciiTheme="minorEastAsia" w:hAnsiTheme="minorEastAsia" w:eastAsiaTheme="minorEastAsia" w:cstheme="minorEastAsia"/>
          <w:sz w:val="24"/>
        </w:rPr>
        <w:t>。</w:t>
      </w:r>
    </w:p>
    <w:bookmarkEnd w:id="609"/>
    <w:p>
      <w:pPr>
        <w:spacing w:line="560" w:lineRule="exact"/>
        <w:ind w:firstLine="482" w:firstLineChars="200"/>
        <w:outlineLvl w:val="0"/>
        <w:rPr>
          <w:rFonts w:hint="eastAsia" w:asciiTheme="minorEastAsia" w:hAnsiTheme="minorEastAsia" w:eastAsiaTheme="minorEastAsia" w:cstheme="minorEastAsia"/>
          <w:b/>
          <w:sz w:val="24"/>
        </w:rPr>
      </w:pPr>
      <w:bookmarkStart w:id="610" w:name="_Toc32670"/>
      <w:bookmarkStart w:id="611" w:name="_Toc22011"/>
      <w:bookmarkStart w:id="612" w:name="_Toc31233"/>
      <w:bookmarkStart w:id="613" w:name="_Toc15447"/>
      <w:bookmarkStart w:id="614" w:name="_Toc26555"/>
      <w:r>
        <w:rPr>
          <w:rFonts w:hint="eastAsia" w:asciiTheme="minorEastAsia" w:hAnsiTheme="minorEastAsia" w:eastAsiaTheme="minorEastAsia" w:cstheme="minorEastAsia"/>
          <w:b/>
          <w:sz w:val="24"/>
        </w:rPr>
        <w:t>2.5 结算方式和付款条件</w:t>
      </w:r>
      <w:bookmarkEnd w:id="604"/>
      <w:bookmarkEnd w:id="605"/>
      <w:bookmarkEnd w:id="606"/>
      <w:bookmarkEnd w:id="607"/>
      <w:bookmarkEnd w:id="608"/>
      <w:bookmarkEnd w:id="610"/>
      <w:bookmarkEnd w:id="611"/>
      <w:bookmarkEnd w:id="612"/>
      <w:bookmarkEnd w:id="613"/>
      <w:bookmarkEnd w:id="614"/>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hint="eastAsia" w:asciiTheme="minorEastAsia" w:hAnsiTheme="minorEastAsia" w:eastAsiaTheme="minorEastAsia" w:cstheme="minorEastAsia"/>
          <w:b/>
          <w:sz w:val="24"/>
        </w:rPr>
      </w:pPr>
      <w:bookmarkStart w:id="615" w:name="_Toc487900358"/>
      <w:bookmarkStart w:id="616" w:name="_Toc259093677"/>
      <w:bookmarkStart w:id="617" w:name="_Toc279701248"/>
      <w:bookmarkStart w:id="618" w:name="_Ref467379923"/>
      <w:bookmarkStart w:id="619" w:name="_Ref467379852"/>
      <w:bookmarkStart w:id="620" w:name="_Ref467379863"/>
      <w:bookmarkStart w:id="621" w:name="_Toc13467"/>
      <w:bookmarkStart w:id="622" w:name="_Toc16163"/>
      <w:bookmarkStart w:id="623" w:name="_Toc13154"/>
      <w:bookmarkStart w:id="624" w:name="_Toc18990"/>
      <w:bookmarkStart w:id="625" w:name="_Toc30507"/>
      <w:r>
        <w:rPr>
          <w:rFonts w:hint="eastAsia" w:asciiTheme="minorEastAsia" w:hAnsiTheme="minorEastAsia" w:eastAsiaTheme="minorEastAsia" w:cstheme="minorEastAsia"/>
          <w:b/>
          <w:sz w:val="24"/>
        </w:rPr>
        <w:t>2.6 技术资料</w:t>
      </w:r>
      <w:bookmarkEnd w:id="615"/>
      <w:bookmarkEnd w:id="616"/>
      <w:bookmarkEnd w:id="617"/>
      <w:bookmarkEnd w:id="618"/>
      <w:bookmarkEnd w:id="619"/>
      <w:bookmarkEnd w:id="620"/>
      <w:r>
        <w:rPr>
          <w:rFonts w:hint="eastAsia" w:asciiTheme="minorEastAsia" w:hAnsiTheme="minorEastAsia" w:eastAsiaTheme="minorEastAsia" w:cstheme="minorEastAsia"/>
          <w:b/>
          <w:sz w:val="24"/>
        </w:rPr>
        <w:t>和保密义务</w:t>
      </w:r>
      <w:bookmarkEnd w:id="621"/>
      <w:bookmarkEnd w:id="622"/>
      <w:bookmarkEnd w:id="623"/>
      <w:bookmarkEnd w:id="624"/>
      <w:bookmarkEnd w:id="625"/>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Theme="minorEastAsia" w:hAnsiTheme="minorEastAsia" w:eastAsiaTheme="minorEastAsia" w:cstheme="minorEastAsia"/>
          <w:b/>
          <w:sz w:val="24"/>
        </w:rPr>
      </w:pPr>
      <w:bookmarkStart w:id="626" w:name="_Toc19069"/>
      <w:bookmarkStart w:id="627" w:name="_Toc279701252"/>
      <w:bookmarkStart w:id="628" w:name="_Toc259093681"/>
      <w:bookmarkStart w:id="629" w:name="_Toc487900362"/>
      <w:r>
        <w:rPr>
          <w:rFonts w:hint="eastAsia" w:asciiTheme="minorEastAsia" w:hAnsiTheme="minorEastAsia" w:eastAsiaTheme="minorEastAsia" w:cstheme="minorEastAsia"/>
          <w:b/>
          <w:sz w:val="24"/>
        </w:rPr>
        <w:t>2.7 质量保证</w:t>
      </w:r>
      <w:bookmarkEnd w:id="626"/>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Theme="minorEastAsia" w:hAnsiTheme="minorEastAsia" w:eastAsiaTheme="minorEastAsia" w:cstheme="minorEastAsia"/>
          <w:b/>
          <w:sz w:val="24"/>
        </w:rPr>
      </w:pPr>
      <w:bookmarkStart w:id="630" w:name="_Toc22267"/>
      <w:r>
        <w:rPr>
          <w:rFonts w:hint="eastAsia" w:asciiTheme="minorEastAsia" w:hAnsiTheme="minorEastAsia" w:eastAsiaTheme="minorEastAsia" w:cstheme="minorEastAsia"/>
          <w:b/>
          <w:sz w:val="24"/>
        </w:rPr>
        <w:t>2.8 延迟</w:t>
      </w:r>
      <w:bookmarkEnd w:id="627"/>
      <w:bookmarkEnd w:id="628"/>
      <w:bookmarkEnd w:id="629"/>
      <w:r>
        <w:rPr>
          <w:rFonts w:hint="eastAsia" w:asciiTheme="minorEastAsia" w:hAnsiTheme="minorEastAsia" w:eastAsiaTheme="minorEastAsia" w:cstheme="minorEastAsia"/>
          <w:b/>
          <w:sz w:val="24"/>
        </w:rPr>
        <w:t>履行</w:t>
      </w:r>
      <w:bookmarkEnd w:id="630"/>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Theme="minorEastAsia" w:hAnsiTheme="minorEastAsia" w:eastAsiaTheme="minorEastAsia" w:cstheme="minorEastAsia"/>
          <w:b/>
          <w:sz w:val="24"/>
        </w:rPr>
      </w:pPr>
      <w:bookmarkStart w:id="631" w:name="_Toc10611"/>
      <w:bookmarkStart w:id="632" w:name="_Toc279701254"/>
      <w:bookmarkStart w:id="633" w:name="_Toc487900364"/>
      <w:bookmarkStart w:id="634" w:name="_Ref467378121"/>
      <w:bookmarkStart w:id="635" w:name="_Toc259093683"/>
      <w:r>
        <w:rPr>
          <w:rFonts w:hint="eastAsia" w:asciiTheme="minorEastAsia" w:hAnsiTheme="minorEastAsia" w:eastAsiaTheme="minorEastAsia" w:cstheme="minorEastAsia"/>
          <w:b/>
          <w:sz w:val="24"/>
        </w:rPr>
        <w:t>2.9 合同变更</w:t>
      </w:r>
      <w:bookmarkEnd w:id="631"/>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36" w:name="_Toc259093688"/>
      <w:bookmarkStart w:id="637" w:name="_Toc279701259"/>
      <w:bookmarkStart w:id="638" w:name="_Toc487900369"/>
    </w:p>
    <w:p>
      <w:pPr>
        <w:spacing w:line="560" w:lineRule="exact"/>
        <w:ind w:firstLine="482" w:firstLineChars="200"/>
        <w:outlineLvl w:val="0"/>
        <w:rPr>
          <w:rFonts w:hint="eastAsia" w:asciiTheme="minorEastAsia" w:hAnsiTheme="minorEastAsia" w:eastAsiaTheme="minorEastAsia" w:cstheme="minorEastAsia"/>
          <w:b/>
          <w:sz w:val="24"/>
        </w:rPr>
      </w:pPr>
      <w:bookmarkStart w:id="639" w:name="_Toc10663"/>
      <w:bookmarkStart w:id="640" w:name="_Toc21830"/>
      <w:bookmarkStart w:id="641" w:name="_Toc23368"/>
      <w:bookmarkStart w:id="642" w:name="_Toc42"/>
      <w:bookmarkStart w:id="643" w:name="_Toc26689"/>
      <w:r>
        <w:rPr>
          <w:rFonts w:hint="eastAsia" w:asciiTheme="minorEastAsia" w:hAnsiTheme="minorEastAsia" w:eastAsiaTheme="minorEastAsia" w:cstheme="minorEastAsia"/>
          <w:b/>
          <w:sz w:val="24"/>
        </w:rPr>
        <w:t>2.10 合同转让</w:t>
      </w:r>
      <w:bookmarkEnd w:id="636"/>
      <w:bookmarkEnd w:id="637"/>
      <w:bookmarkEnd w:id="638"/>
      <w:r>
        <w:rPr>
          <w:rFonts w:hint="eastAsia" w:asciiTheme="minorEastAsia" w:hAnsiTheme="minorEastAsia" w:eastAsiaTheme="minorEastAsia" w:cstheme="minorEastAsia"/>
          <w:b/>
          <w:sz w:val="24"/>
        </w:rPr>
        <w:t>和分包</w:t>
      </w:r>
      <w:bookmarkEnd w:id="639"/>
      <w:bookmarkEnd w:id="640"/>
      <w:bookmarkEnd w:id="641"/>
      <w:bookmarkEnd w:id="642"/>
      <w:bookmarkEnd w:id="643"/>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Theme="minorEastAsia" w:hAnsiTheme="minorEastAsia" w:eastAsiaTheme="minorEastAsia" w:cstheme="minorEastAsia"/>
          <w:b/>
          <w:sz w:val="24"/>
        </w:rPr>
      </w:pPr>
      <w:bookmarkStart w:id="644" w:name="_Toc32494"/>
      <w:bookmarkStart w:id="645" w:name="_Toc14371"/>
      <w:bookmarkStart w:id="646" w:name="_Toc25571"/>
      <w:bookmarkStart w:id="647" w:name="_Toc4720"/>
      <w:bookmarkStart w:id="648" w:name="_Toc26633"/>
      <w:r>
        <w:rPr>
          <w:rFonts w:hint="eastAsia" w:asciiTheme="minorEastAsia" w:hAnsiTheme="minorEastAsia" w:eastAsiaTheme="minorEastAsia" w:cstheme="minorEastAsia"/>
          <w:b/>
          <w:sz w:val="24"/>
        </w:rPr>
        <w:t>2.11 不可抗力</w:t>
      </w:r>
      <w:bookmarkEnd w:id="644"/>
      <w:bookmarkEnd w:id="645"/>
      <w:bookmarkEnd w:id="646"/>
      <w:bookmarkEnd w:id="647"/>
      <w:bookmarkEnd w:id="648"/>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hint="eastAsia" w:asciiTheme="minorEastAsia" w:hAnsiTheme="minorEastAsia" w:eastAsiaTheme="minorEastAsia" w:cstheme="minorEastAsia"/>
          <w:b/>
          <w:sz w:val="24"/>
        </w:rPr>
      </w:pPr>
      <w:bookmarkStart w:id="649" w:name="_Toc3638"/>
      <w:bookmarkStart w:id="650" w:name="_Toc487900365"/>
      <w:bookmarkStart w:id="651" w:name="_Toc279701255"/>
      <w:bookmarkStart w:id="652" w:name="_Toc259093684"/>
      <w:bookmarkStart w:id="653" w:name="_Toc25783"/>
      <w:bookmarkStart w:id="654" w:name="_Toc24465"/>
      <w:bookmarkStart w:id="655" w:name="_Toc14115"/>
      <w:bookmarkStart w:id="656" w:name="_Toc23854"/>
      <w:r>
        <w:rPr>
          <w:rFonts w:hint="eastAsia" w:asciiTheme="minorEastAsia" w:hAnsiTheme="minorEastAsia" w:eastAsiaTheme="minorEastAsia" w:cstheme="minorEastAsia"/>
          <w:b/>
          <w:sz w:val="24"/>
        </w:rPr>
        <w:t>2.12 税费</w:t>
      </w:r>
      <w:bookmarkEnd w:id="649"/>
      <w:bookmarkEnd w:id="650"/>
      <w:bookmarkEnd w:id="651"/>
      <w:bookmarkEnd w:id="652"/>
      <w:bookmarkEnd w:id="653"/>
      <w:bookmarkEnd w:id="654"/>
      <w:bookmarkEnd w:id="655"/>
      <w:bookmarkEnd w:id="656"/>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hint="eastAsia" w:asciiTheme="minorEastAsia" w:hAnsiTheme="minorEastAsia" w:eastAsiaTheme="minorEastAsia" w:cstheme="minorEastAsia"/>
          <w:b/>
          <w:sz w:val="24"/>
        </w:rPr>
      </w:pPr>
      <w:bookmarkStart w:id="657" w:name="_Toc14814"/>
      <w:bookmarkStart w:id="658" w:name="_Toc259093687"/>
      <w:bookmarkStart w:id="659" w:name="_Toc7315"/>
      <w:bookmarkStart w:id="660" w:name="_Toc279701258"/>
      <w:bookmarkStart w:id="661" w:name="_Toc26883"/>
      <w:bookmarkStart w:id="662" w:name="_Toc25525"/>
      <w:bookmarkStart w:id="663" w:name="_Toc30105"/>
      <w:bookmarkStart w:id="664" w:name="_Toc487900368"/>
      <w:r>
        <w:rPr>
          <w:rFonts w:hint="eastAsia" w:asciiTheme="minorEastAsia" w:hAnsiTheme="minorEastAsia" w:eastAsiaTheme="minorEastAsia" w:cstheme="minorEastAsia"/>
          <w:b/>
          <w:sz w:val="24"/>
        </w:rPr>
        <w:t>2.13 乙方破产</w:t>
      </w:r>
      <w:bookmarkEnd w:id="657"/>
      <w:bookmarkEnd w:id="658"/>
      <w:bookmarkEnd w:id="659"/>
      <w:bookmarkEnd w:id="660"/>
      <w:bookmarkEnd w:id="661"/>
      <w:bookmarkEnd w:id="662"/>
      <w:bookmarkEnd w:id="663"/>
      <w:bookmarkEnd w:id="664"/>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Theme="minorEastAsia" w:hAnsiTheme="minorEastAsia" w:eastAsiaTheme="minorEastAsia" w:cstheme="minorEastAsia"/>
          <w:b/>
          <w:sz w:val="24"/>
        </w:rPr>
      </w:pPr>
      <w:bookmarkStart w:id="665" w:name="_Toc2016"/>
      <w:bookmarkStart w:id="666" w:name="_Toc23323"/>
      <w:bookmarkStart w:id="667" w:name="_Toc1123"/>
      <w:r>
        <w:rPr>
          <w:rFonts w:hint="eastAsia" w:asciiTheme="minorEastAsia" w:hAnsiTheme="minorEastAsia" w:eastAsiaTheme="minorEastAsia" w:cstheme="minorEastAsia"/>
          <w:b/>
          <w:sz w:val="24"/>
        </w:rPr>
        <w:t>2.14 合同中止、终止</w:t>
      </w:r>
      <w:bookmarkEnd w:id="665"/>
      <w:bookmarkEnd w:id="666"/>
      <w:bookmarkEnd w:id="667"/>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Theme="minorEastAsia" w:hAnsiTheme="minorEastAsia" w:eastAsiaTheme="minorEastAsia" w:cstheme="minorEastAsia"/>
          <w:b/>
          <w:sz w:val="24"/>
        </w:rPr>
      </w:pPr>
      <w:bookmarkStart w:id="668" w:name="_Toc1969"/>
      <w:bookmarkStart w:id="669" w:name="_Toc14525"/>
      <w:bookmarkStart w:id="670" w:name="_Toc17363"/>
      <w:r>
        <w:rPr>
          <w:rFonts w:hint="eastAsia" w:asciiTheme="minorEastAsia" w:hAnsiTheme="minorEastAsia" w:eastAsiaTheme="minorEastAsia" w:cstheme="minorEastAsia"/>
          <w:b/>
          <w:sz w:val="24"/>
        </w:rPr>
        <w:t>2.15 检验和验收</w:t>
      </w:r>
      <w:bookmarkEnd w:id="668"/>
      <w:bookmarkEnd w:id="669"/>
      <w:bookmarkEnd w:id="670"/>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32"/>
    <w:bookmarkEnd w:id="633"/>
    <w:bookmarkEnd w:id="634"/>
    <w:bookmarkEnd w:id="635"/>
    <w:p>
      <w:pPr>
        <w:spacing w:line="560" w:lineRule="exact"/>
        <w:ind w:firstLine="482" w:firstLineChars="200"/>
        <w:outlineLvl w:val="0"/>
        <w:rPr>
          <w:rFonts w:hint="eastAsia" w:asciiTheme="minorEastAsia" w:hAnsiTheme="minorEastAsia" w:eastAsiaTheme="minorEastAsia" w:cstheme="minorEastAsia"/>
          <w:b/>
          <w:sz w:val="24"/>
        </w:rPr>
      </w:pPr>
      <w:bookmarkStart w:id="671" w:name="_Toc259093690"/>
      <w:bookmarkStart w:id="672" w:name="_Toc279701261"/>
      <w:bookmarkStart w:id="673" w:name="_Toc487900371"/>
      <w:bookmarkStart w:id="674" w:name="_Toc9808"/>
      <w:bookmarkStart w:id="675" w:name="_Toc12666"/>
      <w:bookmarkStart w:id="676" w:name="_Toc25198"/>
      <w:bookmarkStart w:id="677" w:name="_Toc2308"/>
      <w:bookmarkStart w:id="678" w:name="_Toc31892"/>
      <w:r>
        <w:rPr>
          <w:rFonts w:hint="eastAsia" w:asciiTheme="minorEastAsia" w:hAnsiTheme="minorEastAsia" w:eastAsiaTheme="minorEastAsia" w:cstheme="minorEastAsia"/>
          <w:b/>
          <w:sz w:val="24"/>
        </w:rPr>
        <w:t>2.16 通知</w:t>
      </w:r>
      <w:bookmarkEnd w:id="671"/>
      <w:bookmarkEnd w:id="672"/>
      <w:bookmarkEnd w:id="673"/>
      <w:r>
        <w:rPr>
          <w:rFonts w:hint="eastAsia" w:asciiTheme="minorEastAsia" w:hAnsiTheme="minorEastAsia" w:eastAsiaTheme="minorEastAsia" w:cstheme="minorEastAsia"/>
          <w:b/>
          <w:sz w:val="24"/>
        </w:rPr>
        <w:t>和送达</w:t>
      </w:r>
      <w:bookmarkEnd w:id="674"/>
      <w:bookmarkEnd w:id="675"/>
      <w:bookmarkEnd w:id="676"/>
      <w:bookmarkEnd w:id="677"/>
      <w:bookmarkEnd w:id="678"/>
    </w:p>
    <w:p>
      <w:pPr>
        <w:spacing w:line="560" w:lineRule="exact"/>
        <w:ind w:firstLine="480" w:firstLineChars="200"/>
        <w:rPr>
          <w:rFonts w:hint="eastAsia" w:asciiTheme="minorEastAsia" w:hAnsiTheme="minorEastAsia" w:eastAsiaTheme="minorEastAsia" w:cstheme="minorEastAsia"/>
          <w:sz w:val="24"/>
        </w:rPr>
      </w:pPr>
      <w:bookmarkStart w:id="679" w:name="_Toc7073"/>
      <w:bookmarkStart w:id="680" w:name="_Toc29220"/>
      <w:bookmarkStart w:id="681" w:name="_Toc259093691"/>
      <w:bookmarkStart w:id="682" w:name="_Toc279701262"/>
      <w:bookmarkStart w:id="683" w:name="_Toc487900372"/>
      <w:r>
        <w:rPr>
          <w:rFonts w:hint="eastAsia" w:asciiTheme="minorEastAsia" w:hAnsiTheme="minorEastAsia" w:eastAsiaTheme="minorEastAsia" w:cstheme="minorEastAsia"/>
          <w:sz w:val="24"/>
        </w:rPr>
        <w:t>2.16.1 任何一方因履行合同而以合同第一部分尾部所列明的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bookmarkEnd w:id="679"/>
      <w:bookmarkEnd w:id="680"/>
    </w:p>
    <w:p>
      <w:pPr>
        <w:spacing w:line="560" w:lineRule="exact"/>
        <w:ind w:firstLine="480" w:firstLineChars="200"/>
        <w:rPr>
          <w:rFonts w:hint="eastAsia" w:asciiTheme="minorEastAsia" w:hAnsiTheme="minorEastAsia" w:eastAsiaTheme="minorEastAsia" w:cstheme="minorEastAsia"/>
          <w:sz w:val="24"/>
        </w:rPr>
      </w:pPr>
      <w:bookmarkStart w:id="684" w:name="_Toc18401"/>
      <w:bookmarkStart w:id="685"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84"/>
      <w:bookmarkEnd w:id="685"/>
    </w:p>
    <w:bookmarkEnd w:id="681"/>
    <w:bookmarkEnd w:id="682"/>
    <w:bookmarkEnd w:id="683"/>
    <w:p>
      <w:pPr>
        <w:spacing w:line="560" w:lineRule="exact"/>
        <w:ind w:firstLine="482" w:firstLineChars="200"/>
        <w:outlineLvl w:val="0"/>
        <w:rPr>
          <w:rFonts w:hint="eastAsia" w:asciiTheme="minorEastAsia" w:hAnsiTheme="minorEastAsia" w:eastAsiaTheme="minorEastAsia" w:cstheme="minorEastAsia"/>
          <w:b/>
          <w:sz w:val="24"/>
        </w:rPr>
      </w:pPr>
      <w:bookmarkStart w:id="686" w:name="_Toc487900373"/>
      <w:bookmarkStart w:id="687" w:name="_Toc12254"/>
      <w:bookmarkStart w:id="688" w:name="_Toc5063"/>
      <w:bookmarkStart w:id="689" w:name="_Toc279701263"/>
      <w:bookmarkStart w:id="690" w:name="_Toc20808"/>
      <w:bookmarkStart w:id="691" w:name="_Toc27644"/>
      <w:bookmarkStart w:id="692" w:name="_Toc28906"/>
      <w:bookmarkStart w:id="693" w:name="_Toc259093692"/>
      <w:r>
        <w:rPr>
          <w:rFonts w:hint="eastAsia" w:asciiTheme="minorEastAsia" w:hAnsiTheme="minorEastAsia" w:eastAsiaTheme="minorEastAsia" w:cstheme="minorEastAsia"/>
          <w:b/>
          <w:sz w:val="24"/>
        </w:rPr>
        <w:t>2.17 合同使用的文字和适用的法律</w:t>
      </w:r>
      <w:bookmarkEnd w:id="686"/>
      <w:bookmarkEnd w:id="687"/>
      <w:bookmarkEnd w:id="688"/>
      <w:bookmarkEnd w:id="689"/>
      <w:bookmarkEnd w:id="690"/>
      <w:bookmarkEnd w:id="691"/>
      <w:bookmarkEnd w:id="692"/>
      <w:bookmarkEnd w:id="693"/>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2.17.2 合同适用中华人民共和国法律。</w:t>
      </w:r>
    </w:p>
    <w:p>
      <w:pPr>
        <w:spacing w:line="560" w:lineRule="exact"/>
        <w:ind w:firstLine="482" w:firstLineChars="200"/>
        <w:outlineLvl w:val="0"/>
        <w:rPr>
          <w:rFonts w:hint="eastAsia" w:asciiTheme="minorEastAsia" w:hAnsiTheme="minorEastAsia" w:eastAsiaTheme="minorEastAsia" w:cstheme="minorEastAsia"/>
          <w:b/>
          <w:sz w:val="24"/>
        </w:rPr>
      </w:pPr>
      <w:bookmarkStart w:id="694" w:name="_Toc30096"/>
      <w:bookmarkStart w:id="695" w:name="_Toc22266"/>
      <w:bookmarkStart w:id="696" w:name="_Toc1492"/>
      <w:bookmarkStart w:id="697" w:name="_Toc27127"/>
      <w:bookmarkStart w:id="698" w:name="_Toc27403"/>
      <w:bookmarkStart w:id="699" w:name="_Toc259093693"/>
      <w:bookmarkStart w:id="700" w:name="_Toc279701264"/>
      <w:bookmarkStart w:id="701" w:name="_Toc487900374"/>
      <w:r>
        <w:rPr>
          <w:rFonts w:hint="eastAsia" w:asciiTheme="minorEastAsia" w:hAnsiTheme="minorEastAsia" w:eastAsiaTheme="minorEastAsia" w:cstheme="minorEastAsia"/>
          <w:b/>
          <w:sz w:val="24"/>
        </w:rPr>
        <w:t>2.18 履约保证金</w:t>
      </w:r>
      <w:bookmarkEnd w:id="694"/>
      <w:bookmarkEnd w:id="695"/>
      <w:bookmarkEnd w:id="696"/>
      <w:bookmarkEnd w:id="697"/>
      <w:bookmarkEnd w:id="698"/>
      <w:bookmarkEnd w:id="699"/>
      <w:bookmarkEnd w:id="700"/>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01"/>
    <w:p>
      <w:pPr>
        <w:spacing w:line="56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02" w:name="_Toc331685784"/>
      <w:r>
        <w:rPr>
          <w:rFonts w:hint="eastAsia" w:asciiTheme="minorEastAsia" w:hAnsiTheme="minorEastAsia" w:eastAsiaTheme="minorEastAsia" w:cstheme="minorEastAsia"/>
          <w:b/>
          <w:szCs w:val="24"/>
        </w:rPr>
        <w:t>第三部分  合同专用条款</w:t>
      </w:r>
      <w:bookmarkEnd w:id="702"/>
    </w:p>
    <w:p>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sz w:val="24"/>
              </w:rPr>
            </w:pPr>
          </w:p>
        </w:tc>
        <w:tc>
          <w:tcPr>
            <w:tcW w:w="7633" w:type="dxa"/>
            <w:vAlign w:val="center"/>
          </w:tcPr>
          <w:p>
            <w:pPr>
              <w:spacing w:line="560" w:lineRule="exact"/>
              <w:rPr>
                <w:rFonts w:hint="eastAsia" w:asciiTheme="minorEastAsia" w:hAnsiTheme="minorEastAsia" w:eastAsiaTheme="minorEastAsia" w:cstheme="minorEastAsia"/>
                <w:sz w:val="24"/>
              </w:rPr>
            </w:pPr>
          </w:p>
        </w:tc>
      </w:tr>
    </w:tbl>
    <w:p>
      <w:pPr>
        <w:spacing w:after="156" w:line="560" w:lineRule="exact"/>
        <w:ind w:firstLine="480"/>
        <w:rPr>
          <w:rFonts w:hint="eastAsia" w:asciiTheme="minorEastAsia" w:hAnsiTheme="minorEastAsia" w:eastAsiaTheme="minorEastAsia" w:cstheme="minorEastAsia"/>
        </w:rPr>
      </w:pPr>
    </w:p>
    <w:p>
      <w:pPr>
        <w:pStyle w:val="4"/>
        <w:spacing w:before="0" w:line="240" w:lineRule="atLeast"/>
        <w:ind w:left="1080" w:leftChars="257" w:hanging="540"/>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rPr>
      </w:pPr>
    </w:p>
    <w:p>
      <w:pPr>
        <w:spacing w:line="600" w:lineRule="exact"/>
        <w:rPr>
          <w:rFonts w:hint="eastAsia" w:asciiTheme="minorEastAsia" w:hAnsiTheme="minorEastAsia" w:eastAsiaTheme="minorEastAsia" w:cstheme="minorEastAsia"/>
          <w:sz w:val="24"/>
          <w:lang w:val="zh-CN"/>
        </w:rPr>
      </w:pPr>
    </w:p>
    <w:p>
      <w:pPr>
        <w:pStyle w:val="4"/>
        <w:spacing w:before="0" w:line="240" w:lineRule="atLeast"/>
        <w:ind w:left="1080" w:leftChars="257" w:hanging="540"/>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rPr>
      </w:pPr>
    </w:p>
    <w:p>
      <w:pPr>
        <w:pStyle w:val="4"/>
        <w:spacing w:before="0" w:line="240" w:lineRule="atLeast"/>
        <w:ind w:left="1080" w:leftChars="257" w:hanging="540"/>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pStyle w:val="23"/>
        <w:rPr>
          <w:rFonts w:hint="eastAsia" w:asciiTheme="minorEastAsia" w:hAnsiTheme="minorEastAsia" w:eastAsiaTheme="minorEastAsia" w:cstheme="minorEastAsia"/>
        </w:rPr>
      </w:pPr>
    </w:p>
    <w:p>
      <w:pPr>
        <w:spacing w:line="360" w:lineRule="auto"/>
        <w:ind w:left="4337" w:hanging="4337" w:hangingChars="1800"/>
        <w:jc w:val="center"/>
        <w:rPr>
          <w:rFonts w:hint="eastAsia"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投诉人应当满足《政府采购法》、《政府采购法实施条例》和《政府采购供应商投诉处理办法》的相关规定。    </w:t>
      </w:r>
    </w:p>
    <w:p>
      <w:pPr>
        <w:numPr>
          <w:ilvl w:val="0"/>
          <w:numId w:val="13"/>
        </w:numPr>
        <w:spacing w:line="360" w:lineRule="auto"/>
        <w:ind w:left="4011" w:leftChars="304" w:hanging="3373" w:hangingChars="16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hint="eastAsia"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 xml:space="preserve"> 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hint="eastAsia"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hint="eastAsia"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hint="eastAsia"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5"/>
        <w:spacing w:line="360" w:lineRule="auto"/>
        <w:rPr>
          <w:rFonts w:hint="eastAsia" w:asciiTheme="minorEastAsia" w:hAnsiTheme="minorEastAsia" w:eastAsiaTheme="minorEastAsia" w:cstheme="minorEastAsia"/>
          <w:szCs w:val="21"/>
        </w:rPr>
      </w:pPr>
    </w:p>
    <w:p>
      <w:pPr>
        <w:spacing w:line="360" w:lineRule="auto"/>
        <w:ind w:left="3780" w:hanging="3780" w:hangingChars="18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二、书面方式</w:t>
      </w:r>
    </w:p>
    <w:p>
      <w:pPr>
        <w:spacing w:line="360" w:lineRule="auto"/>
        <w:ind w:left="3780" w:hanging="3780" w:hangingChars="18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《政府采购供应商投诉处理办法》第八条：投诉人投诉时，应当提交投诉书，并按照</w:t>
      </w:r>
    </w:p>
    <w:p>
      <w:pPr>
        <w:spacing w:line="360" w:lineRule="auto"/>
        <w:ind w:left="3780" w:hanging="3780" w:hangingChars="18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投诉书应当包括下列主要内容：</w:t>
      </w:r>
    </w:p>
    <w:p>
      <w:pPr>
        <w:numPr>
          <w:ilvl w:val="0"/>
          <w:numId w:val="14"/>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4"/>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4"/>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4"/>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5"/>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80" w:hanging="3780" w:hangingChars="18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三、虚假、恶意投诉法律责任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（一）1年内3次以上投诉均查无实据的；</w:t>
      </w:r>
    </w:p>
    <w:p>
      <w:pPr>
        <w:spacing w:line="360" w:lineRule="auto"/>
        <w:ind w:left="3780" w:hanging="3780" w:hangingChars="18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（二）捏造事实或者提供虚假投诉材料的。</w:t>
      </w:r>
    </w:p>
    <w:p>
      <w:pPr>
        <w:spacing w:line="360" w:lineRule="auto"/>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b/>
          <w:bCs/>
          <w:szCs w:val="21"/>
        </w:rPr>
      </w:pPr>
    </w:p>
    <w:p>
      <w:pPr>
        <w:pStyle w:val="95"/>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b/>
          <w:bCs/>
          <w:szCs w:val="21"/>
        </w:rPr>
      </w:pPr>
    </w:p>
    <w:p>
      <w:pPr>
        <w:spacing w:line="36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240" w:beforeLines="100"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邮编：</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地址： </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邮编：</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包号：</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hint="eastAsia"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r>
        <w:rPr>
          <w:rFonts w:hint="eastAsia" w:asciiTheme="minorEastAsia" w:hAnsiTheme="minorEastAsia" w:eastAsiaTheme="minorEastAsia" w:cstheme="minorEastAsia"/>
          <w:szCs w:val="21"/>
          <w:u w:val="dotted"/>
        </w:rPr>
        <w:t xml:space="preserve">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签字(签章)：                   公章：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w:t>
      </w:r>
    </w:p>
    <w:p>
      <w:pPr>
        <w:spacing w:line="360" w:lineRule="auto"/>
        <w:rPr>
          <w:rFonts w:hint="eastAsia" w:asciiTheme="minorEastAsia" w:hAnsiTheme="minorEastAsia" w:eastAsiaTheme="minorEastAsia" w:cstheme="minorEastAsia"/>
          <w:b/>
          <w:szCs w:val="21"/>
        </w:rPr>
      </w:pPr>
    </w:p>
    <w:p>
      <w:p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43"/>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3"/>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sectPr>
      <w:headerReference r:id="rId20" w:type="default"/>
      <w:footerReference r:id="rId2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color w:val="FF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end"/>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19"/>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6W/D9EAAAADAQAADwAAAAAAAAABACAAAAAiAAAAZHJzL2Rv&#10;d25yZXYueG1sUEsBAhQAFAAAAAgAh07iQARK+0UIAgAAAgQAAA4AAAAAAAAAAQAgAAAAIAEAAGRy&#10;cy9lMm9Eb2MueG1sUEsFBgAAAAAGAAYAWQEAAJo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separate"/>
    </w:r>
    <w:r>
      <w:rPr>
        <w:rStyle w:val="44"/>
      </w:rPr>
      <w:t>21</w:t>
    </w:r>
    <w:r>
      <w:fldChar w:fldCharType="end"/>
    </w:r>
  </w:p>
  <w:p>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44"/>
      </w:rPr>
    </w:pPr>
  </w:p>
  <w:p>
    <w:pPr>
      <w:pStyle w:val="19"/>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p>
    <w:pPr>
      <w:pStyle w:val="19"/>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127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pb8P0QAAAAMBAAAPAAAAAAAAAAEAIAAAACIAAABkcnMv&#10;ZG93bnJldi54bWxQSwECFAAUAAAACACHTuJA3Sz31goCAAACBAAADgAAAAAAAAABACAAAAAgAQAA&#10;ZHJzL2Uyb0RvYy54bWxQSwUGAAAAAAYABgBZAQAAnAU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3175" t="1270" r="0" b="31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W/D9EAAAADAQAADwAAAAAAAAABACAAAAAiAAAAZHJz&#10;L2Rvd25yZXYueG1sUEsBAhQAFAAAAAgAh07iQPQgnMALAgAAAgQAAA4AAAAAAAAAAQAgAAAAIAEA&#10;AGRycy9lMm9Eb2MueG1sUEsFBgAAAAAGAAYAWQEAAJ0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1794"/>
        <w:tab w:val="clear" w:pos="4153"/>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0"/>
      </w:pBdr>
      <w:tabs>
        <w:tab w:val="left" w:pos="1959"/>
        <w:tab w:val="clear" w:pos="4153"/>
      </w:tabs>
      <w:jc w:val="both"/>
      <w:rPr>
        <w:rFonts w:hint="eastAsia"/>
      </w:rPr>
    </w:pPr>
    <w:r>
      <w:rPr>
        <w:rFonts w:hint="eastAsia"/>
      </w:rPr>
      <w:tab/>
    </w:r>
  </w:p>
  <w:p>
    <w:pPr>
      <w:pStyle w:val="20"/>
      <w:pBdr>
        <w:bottom w:val="thinThickSmallGap" w:color="auto" w:sz="12" w:space="0"/>
      </w:pBdr>
      <w:tabs>
        <w:tab w:val="left" w:pos="1959"/>
        <w:tab w:val="clear" w:pos="4153"/>
      </w:tabs>
      <w:jc w:val="both"/>
      <w:rPr>
        <w:rFonts w:hint="eastAsia"/>
      </w:rPr>
    </w:pPr>
  </w:p>
  <w:p>
    <w:pPr>
      <w:pStyle w:val="20"/>
      <w:pBdr>
        <w:bottom w:val="thinThickSmallGap" w:color="auto" w:sz="12" w:space="0"/>
      </w:pBdr>
      <w:tabs>
        <w:tab w:val="left" w:pos="1959"/>
        <w:tab w:val="clear" w:pos="4153"/>
      </w:tabs>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E0EAD"/>
    <w:multiLevelType w:val="singleLevel"/>
    <w:tmpl w:val="83CE0EAD"/>
    <w:lvl w:ilvl="0" w:tentative="0">
      <w:start w:val="1"/>
      <w:numFmt w:val="decimal"/>
      <w:suff w:val="nothing"/>
      <w:lvlText w:val="%1、"/>
      <w:lvlJc w:val="left"/>
    </w:lvl>
  </w:abstractNum>
  <w:abstractNum w:abstractNumId="1">
    <w:nsid w:val="A1FDA66A"/>
    <w:multiLevelType w:val="multilevel"/>
    <w:tmpl w:val="A1FDA66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61FFB4C"/>
    <w:multiLevelType w:val="singleLevel"/>
    <w:tmpl w:val="E61FFB4C"/>
    <w:lvl w:ilvl="0" w:tentative="0">
      <w:start w:val="1"/>
      <w:numFmt w:val="decimal"/>
      <w:suff w:val="nothing"/>
      <w:lvlText w:val="%1、"/>
      <w:lvlJc w:val="left"/>
    </w:lvl>
  </w:abstractNum>
  <w:abstractNum w:abstractNumId="3">
    <w:nsid w:val="ED5AE459"/>
    <w:multiLevelType w:val="singleLevel"/>
    <w:tmpl w:val="ED5AE459"/>
    <w:lvl w:ilvl="0" w:tentative="0">
      <w:start w:val="5"/>
      <w:numFmt w:val="chineseCounting"/>
      <w:suff w:val="space"/>
      <w:lvlText w:val="第%1章"/>
      <w:lvlJc w:val="left"/>
      <w:rPr>
        <w:rFonts w:hint="eastAsia"/>
      </w:rPr>
    </w:lvl>
  </w:abstractNum>
  <w:abstractNum w:abstractNumId="4">
    <w:nsid w:val="00000002"/>
    <w:multiLevelType w:val="singleLevel"/>
    <w:tmpl w:val="00000002"/>
    <w:lvl w:ilvl="0" w:tentative="0">
      <w:start w:val="2"/>
      <w:numFmt w:val="decimal"/>
      <w:suff w:val="nothing"/>
      <w:lvlText w:val="%1、"/>
      <w:lvlJc w:val="left"/>
    </w:lvl>
  </w:abstractNum>
  <w:abstractNum w:abstractNumId="5">
    <w:nsid w:val="00000003"/>
    <w:multiLevelType w:val="multilevel"/>
    <w:tmpl w:val="00000003"/>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9">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377D9FDF"/>
    <w:multiLevelType w:val="singleLevel"/>
    <w:tmpl w:val="377D9FDF"/>
    <w:lvl w:ilvl="0" w:tentative="0">
      <w:start w:val="1"/>
      <w:numFmt w:val="decimal"/>
      <w:suff w:val="nothing"/>
      <w:lvlText w:val="（%1）"/>
      <w:lvlJc w:val="left"/>
    </w:lvl>
  </w:abstractNum>
  <w:abstractNum w:abstractNumId="11">
    <w:nsid w:val="43B08FAD"/>
    <w:multiLevelType w:val="singleLevel"/>
    <w:tmpl w:val="43B08FAD"/>
    <w:lvl w:ilvl="0" w:tentative="0">
      <w:start w:val="1"/>
      <w:numFmt w:val="decimal"/>
      <w:suff w:val="nothing"/>
      <w:lvlText w:val="%1、"/>
      <w:lvlJc w:val="left"/>
    </w:lvl>
  </w:abstractNum>
  <w:abstractNum w:abstractNumId="12">
    <w:nsid w:val="55CD4C99"/>
    <w:multiLevelType w:val="singleLevel"/>
    <w:tmpl w:val="55CD4C99"/>
    <w:lvl w:ilvl="0" w:tentative="0">
      <w:start w:val="1"/>
      <w:numFmt w:val="chineseCounting"/>
      <w:suff w:val="nothing"/>
      <w:lvlText w:val="%1、"/>
      <w:lvlJc w:val="left"/>
    </w:lvl>
  </w:abstractNum>
  <w:abstractNum w:abstractNumId="13">
    <w:nsid w:val="7676F75C"/>
    <w:multiLevelType w:val="singleLevel"/>
    <w:tmpl w:val="7676F75C"/>
    <w:lvl w:ilvl="0" w:tentative="0">
      <w:start w:val="7"/>
      <w:numFmt w:val="decimal"/>
      <w:suff w:val="space"/>
      <w:lvlText w:val="%1、"/>
      <w:lvlJc w:val="left"/>
    </w:lvl>
  </w:abstractNum>
  <w:abstractNum w:abstractNumId="1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7"/>
  </w:num>
  <w:num w:numId="3">
    <w:abstractNumId w:val="8"/>
  </w:num>
  <w:num w:numId="4">
    <w:abstractNumId w:val="6"/>
  </w:num>
  <w:num w:numId="5">
    <w:abstractNumId w:val="4"/>
  </w:num>
  <w:num w:numId="6">
    <w:abstractNumId w:val="13"/>
  </w:num>
  <w:num w:numId="7">
    <w:abstractNumId w:val="5"/>
  </w:num>
  <w:num w:numId="8">
    <w:abstractNumId w:val="10"/>
  </w:num>
  <w:num w:numId="9">
    <w:abstractNumId w:val="3"/>
  </w:num>
  <w:num w:numId="10">
    <w:abstractNumId w:val="0"/>
  </w:num>
  <w:num w:numId="11">
    <w:abstractNumId w:val="2"/>
  </w:num>
  <w:num w:numId="12">
    <w:abstractNumId w:val="11"/>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E4482"/>
    <w:rsid w:val="002C49F3"/>
    <w:rsid w:val="00410152"/>
    <w:rsid w:val="00411E09"/>
    <w:rsid w:val="00433A1F"/>
    <w:rsid w:val="004C7B52"/>
    <w:rsid w:val="00996275"/>
    <w:rsid w:val="00A010BF"/>
    <w:rsid w:val="00A5025E"/>
    <w:rsid w:val="00B51D48"/>
    <w:rsid w:val="00E057EF"/>
    <w:rsid w:val="00E871B7"/>
    <w:rsid w:val="01352A01"/>
    <w:rsid w:val="01454723"/>
    <w:rsid w:val="015461DE"/>
    <w:rsid w:val="01617883"/>
    <w:rsid w:val="016C3255"/>
    <w:rsid w:val="01961F0B"/>
    <w:rsid w:val="01A95263"/>
    <w:rsid w:val="01BF0B46"/>
    <w:rsid w:val="01DA024B"/>
    <w:rsid w:val="0227335D"/>
    <w:rsid w:val="022C2872"/>
    <w:rsid w:val="025246BE"/>
    <w:rsid w:val="025D057A"/>
    <w:rsid w:val="026F2E2E"/>
    <w:rsid w:val="02B32419"/>
    <w:rsid w:val="030071F2"/>
    <w:rsid w:val="031D2DA9"/>
    <w:rsid w:val="03200295"/>
    <w:rsid w:val="03216B0C"/>
    <w:rsid w:val="032A1344"/>
    <w:rsid w:val="033E64FA"/>
    <w:rsid w:val="03413436"/>
    <w:rsid w:val="035E129F"/>
    <w:rsid w:val="036E122F"/>
    <w:rsid w:val="039962F1"/>
    <w:rsid w:val="03B10EED"/>
    <w:rsid w:val="03BF257C"/>
    <w:rsid w:val="03E96875"/>
    <w:rsid w:val="03EF1A15"/>
    <w:rsid w:val="03F253A2"/>
    <w:rsid w:val="040354C1"/>
    <w:rsid w:val="04104D25"/>
    <w:rsid w:val="04747431"/>
    <w:rsid w:val="048C0696"/>
    <w:rsid w:val="04DE4423"/>
    <w:rsid w:val="04DF323A"/>
    <w:rsid w:val="052213CB"/>
    <w:rsid w:val="053E79FB"/>
    <w:rsid w:val="053F1942"/>
    <w:rsid w:val="055200FB"/>
    <w:rsid w:val="055A01D8"/>
    <w:rsid w:val="057B51E1"/>
    <w:rsid w:val="05813759"/>
    <w:rsid w:val="05B74A72"/>
    <w:rsid w:val="05EB6EF4"/>
    <w:rsid w:val="06377C85"/>
    <w:rsid w:val="06475AB4"/>
    <w:rsid w:val="065A3328"/>
    <w:rsid w:val="06763CC4"/>
    <w:rsid w:val="068663E5"/>
    <w:rsid w:val="069A3EBB"/>
    <w:rsid w:val="069D6E7F"/>
    <w:rsid w:val="069F716E"/>
    <w:rsid w:val="06A72A7B"/>
    <w:rsid w:val="06C263EF"/>
    <w:rsid w:val="06F261AF"/>
    <w:rsid w:val="07117C62"/>
    <w:rsid w:val="07380D52"/>
    <w:rsid w:val="0742579C"/>
    <w:rsid w:val="07463D1F"/>
    <w:rsid w:val="07972A1D"/>
    <w:rsid w:val="07A33243"/>
    <w:rsid w:val="07CE681E"/>
    <w:rsid w:val="07D334D0"/>
    <w:rsid w:val="07E52D2F"/>
    <w:rsid w:val="07EB3837"/>
    <w:rsid w:val="07F13FAE"/>
    <w:rsid w:val="0805286A"/>
    <w:rsid w:val="082B7863"/>
    <w:rsid w:val="08742190"/>
    <w:rsid w:val="08B61143"/>
    <w:rsid w:val="08CE3B5E"/>
    <w:rsid w:val="08D824DF"/>
    <w:rsid w:val="08E375DA"/>
    <w:rsid w:val="08E73603"/>
    <w:rsid w:val="08F06BF4"/>
    <w:rsid w:val="08F2186C"/>
    <w:rsid w:val="09806D23"/>
    <w:rsid w:val="09CF47C3"/>
    <w:rsid w:val="09DF1E42"/>
    <w:rsid w:val="09E13402"/>
    <w:rsid w:val="09F00295"/>
    <w:rsid w:val="0A2E4453"/>
    <w:rsid w:val="0A3665F0"/>
    <w:rsid w:val="0A477B21"/>
    <w:rsid w:val="0A4F339C"/>
    <w:rsid w:val="0A5955BA"/>
    <w:rsid w:val="0A6C10CA"/>
    <w:rsid w:val="0AFA373C"/>
    <w:rsid w:val="0B23369E"/>
    <w:rsid w:val="0B2B1A64"/>
    <w:rsid w:val="0B302817"/>
    <w:rsid w:val="0B341128"/>
    <w:rsid w:val="0B3461BA"/>
    <w:rsid w:val="0B494F05"/>
    <w:rsid w:val="0B7006D8"/>
    <w:rsid w:val="0BA341BF"/>
    <w:rsid w:val="0BAE0864"/>
    <w:rsid w:val="0BBD42A6"/>
    <w:rsid w:val="0BE95866"/>
    <w:rsid w:val="0C476893"/>
    <w:rsid w:val="0C541046"/>
    <w:rsid w:val="0C685AB4"/>
    <w:rsid w:val="0CCB0162"/>
    <w:rsid w:val="0CCC7B78"/>
    <w:rsid w:val="0CE16AB2"/>
    <w:rsid w:val="0D105505"/>
    <w:rsid w:val="0D152B5D"/>
    <w:rsid w:val="0D6F0E9D"/>
    <w:rsid w:val="0EB275A2"/>
    <w:rsid w:val="0EF2691D"/>
    <w:rsid w:val="0F071923"/>
    <w:rsid w:val="0F1179FE"/>
    <w:rsid w:val="0F1C170B"/>
    <w:rsid w:val="0F2560F7"/>
    <w:rsid w:val="0F257751"/>
    <w:rsid w:val="0F386A25"/>
    <w:rsid w:val="0FA60756"/>
    <w:rsid w:val="0FB33040"/>
    <w:rsid w:val="0FB774E5"/>
    <w:rsid w:val="0FF67013"/>
    <w:rsid w:val="1016743D"/>
    <w:rsid w:val="103E0C89"/>
    <w:rsid w:val="1048764B"/>
    <w:rsid w:val="105F7FA2"/>
    <w:rsid w:val="108614E3"/>
    <w:rsid w:val="1088019F"/>
    <w:rsid w:val="10D443EA"/>
    <w:rsid w:val="10D4568C"/>
    <w:rsid w:val="112444A4"/>
    <w:rsid w:val="112B6CBA"/>
    <w:rsid w:val="11882AE6"/>
    <w:rsid w:val="118A7776"/>
    <w:rsid w:val="11A06B39"/>
    <w:rsid w:val="11C91C80"/>
    <w:rsid w:val="11CF7A69"/>
    <w:rsid w:val="11D87F8D"/>
    <w:rsid w:val="11F73503"/>
    <w:rsid w:val="120A1261"/>
    <w:rsid w:val="12100393"/>
    <w:rsid w:val="12412884"/>
    <w:rsid w:val="12496B57"/>
    <w:rsid w:val="124A5988"/>
    <w:rsid w:val="129B7074"/>
    <w:rsid w:val="12D5450B"/>
    <w:rsid w:val="12FA0EB2"/>
    <w:rsid w:val="12FD414F"/>
    <w:rsid w:val="13064C62"/>
    <w:rsid w:val="134B45F5"/>
    <w:rsid w:val="1356765C"/>
    <w:rsid w:val="137A2ACA"/>
    <w:rsid w:val="13EC4D37"/>
    <w:rsid w:val="144E46F9"/>
    <w:rsid w:val="148C4FD2"/>
    <w:rsid w:val="14D23751"/>
    <w:rsid w:val="14F926F4"/>
    <w:rsid w:val="15036D6B"/>
    <w:rsid w:val="150C0679"/>
    <w:rsid w:val="15131432"/>
    <w:rsid w:val="153547D4"/>
    <w:rsid w:val="153A744A"/>
    <w:rsid w:val="153D1C95"/>
    <w:rsid w:val="15836462"/>
    <w:rsid w:val="158B5094"/>
    <w:rsid w:val="15A72849"/>
    <w:rsid w:val="15B47A25"/>
    <w:rsid w:val="15D001C2"/>
    <w:rsid w:val="15D05B4B"/>
    <w:rsid w:val="15DC771F"/>
    <w:rsid w:val="16030A25"/>
    <w:rsid w:val="16040EAC"/>
    <w:rsid w:val="164F335B"/>
    <w:rsid w:val="16692289"/>
    <w:rsid w:val="166B1B54"/>
    <w:rsid w:val="16780592"/>
    <w:rsid w:val="168262A5"/>
    <w:rsid w:val="16B840F6"/>
    <w:rsid w:val="16BC1C2B"/>
    <w:rsid w:val="16C71A0C"/>
    <w:rsid w:val="16DC417F"/>
    <w:rsid w:val="16E66CA8"/>
    <w:rsid w:val="16F05D79"/>
    <w:rsid w:val="17457EDB"/>
    <w:rsid w:val="175E1956"/>
    <w:rsid w:val="178E66CD"/>
    <w:rsid w:val="17982698"/>
    <w:rsid w:val="1799728D"/>
    <w:rsid w:val="17C4179B"/>
    <w:rsid w:val="17C56B16"/>
    <w:rsid w:val="17C7360F"/>
    <w:rsid w:val="17E87B57"/>
    <w:rsid w:val="17FC05C3"/>
    <w:rsid w:val="18040539"/>
    <w:rsid w:val="18441CAA"/>
    <w:rsid w:val="185F7323"/>
    <w:rsid w:val="1865223F"/>
    <w:rsid w:val="18833402"/>
    <w:rsid w:val="18846C47"/>
    <w:rsid w:val="189866C8"/>
    <w:rsid w:val="189B0FB3"/>
    <w:rsid w:val="18D117D2"/>
    <w:rsid w:val="18E8663C"/>
    <w:rsid w:val="18EF213D"/>
    <w:rsid w:val="194E6270"/>
    <w:rsid w:val="19706A69"/>
    <w:rsid w:val="19BC671E"/>
    <w:rsid w:val="19C846FD"/>
    <w:rsid w:val="1A167CE7"/>
    <w:rsid w:val="1A3018B6"/>
    <w:rsid w:val="1A562B71"/>
    <w:rsid w:val="1A5669EA"/>
    <w:rsid w:val="1A650ADA"/>
    <w:rsid w:val="1AAC3ACB"/>
    <w:rsid w:val="1AD340FD"/>
    <w:rsid w:val="1AE849BA"/>
    <w:rsid w:val="1AF4544B"/>
    <w:rsid w:val="1AF6702A"/>
    <w:rsid w:val="1B013BA7"/>
    <w:rsid w:val="1B027E29"/>
    <w:rsid w:val="1B06607E"/>
    <w:rsid w:val="1B310782"/>
    <w:rsid w:val="1B3F2E2B"/>
    <w:rsid w:val="1B4A4FB8"/>
    <w:rsid w:val="1B6247CE"/>
    <w:rsid w:val="1B7F1ECD"/>
    <w:rsid w:val="1B8D3B96"/>
    <w:rsid w:val="1B945485"/>
    <w:rsid w:val="1BE25AC8"/>
    <w:rsid w:val="1C575850"/>
    <w:rsid w:val="1C816E0C"/>
    <w:rsid w:val="1C936B9B"/>
    <w:rsid w:val="1CBA3EAA"/>
    <w:rsid w:val="1CE02276"/>
    <w:rsid w:val="1CEA6564"/>
    <w:rsid w:val="1D2A0CBF"/>
    <w:rsid w:val="1D47167B"/>
    <w:rsid w:val="1D504332"/>
    <w:rsid w:val="1D534248"/>
    <w:rsid w:val="1D62382E"/>
    <w:rsid w:val="1D73656D"/>
    <w:rsid w:val="1D74514B"/>
    <w:rsid w:val="1D824E99"/>
    <w:rsid w:val="1D943C66"/>
    <w:rsid w:val="1D960934"/>
    <w:rsid w:val="1DAB27B4"/>
    <w:rsid w:val="1DE53BD0"/>
    <w:rsid w:val="1DF76FC3"/>
    <w:rsid w:val="1E546BED"/>
    <w:rsid w:val="1E730704"/>
    <w:rsid w:val="1E7E43A7"/>
    <w:rsid w:val="1E982792"/>
    <w:rsid w:val="1EBA1973"/>
    <w:rsid w:val="1F0D5B45"/>
    <w:rsid w:val="1F1A213A"/>
    <w:rsid w:val="1F31530D"/>
    <w:rsid w:val="1F3F670E"/>
    <w:rsid w:val="1F4A3FC8"/>
    <w:rsid w:val="1F7E297A"/>
    <w:rsid w:val="1F8416A5"/>
    <w:rsid w:val="1F896F13"/>
    <w:rsid w:val="1F94245B"/>
    <w:rsid w:val="1FA06536"/>
    <w:rsid w:val="200C5EF7"/>
    <w:rsid w:val="20254B96"/>
    <w:rsid w:val="204130D4"/>
    <w:rsid w:val="20494B3B"/>
    <w:rsid w:val="207D68CF"/>
    <w:rsid w:val="20832C3C"/>
    <w:rsid w:val="209F4559"/>
    <w:rsid w:val="20E65407"/>
    <w:rsid w:val="20E82CD1"/>
    <w:rsid w:val="20F85F56"/>
    <w:rsid w:val="212964E1"/>
    <w:rsid w:val="216C4715"/>
    <w:rsid w:val="21B25047"/>
    <w:rsid w:val="21BE3625"/>
    <w:rsid w:val="21D46092"/>
    <w:rsid w:val="225F4599"/>
    <w:rsid w:val="228C7D9D"/>
    <w:rsid w:val="22A22B78"/>
    <w:rsid w:val="22A652CA"/>
    <w:rsid w:val="22C41E66"/>
    <w:rsid w:val="22DE117B"/>
    <w:rsid w:val="22E24C9F"/>
    <w:rsid w:val="23205D86"/>
    <w:rsid w:val="232F02B2"/>
    <w:rsid w:val="23497FE2"/>
    <w:rsid w:val="237101D1"/>
    <w:rsid w:val="2391160F"/>
    <w:rsid w:val="2415047B"/>
    <w:rsid w:val="24402A32"/>
    <w:rsid w:val="24551647"/>
    <w:rsid w:val="24BA4F94"/>
    <w:rsid w:val="24E210C0"/>
    <w:rsid w:val="24EA02AB"/>
    <w:rsid w:val="24F84EB5"/>
    <w:rsid w:val="250065F7"/>
    <w:rsid w:val="251832D1"/>
    <w:rsid w:val="25193A37"/>
    <w:rsid w:val="251A12BE"/>
    <w:rsid w:val="255E0C3D"/>
    <w:rsid w:val="2578726D"/>
    <w:rsid w:val="2585504B"/>
    <w:rsid w:val="258B68FB"/>
    <w:rsid w:val="25945113"/>
    <w:rsid w:val="25A82557"/>
    <w:rsid w:val="25EC679D"/>
    <w:rsid w:val="260B7B36"/>
    <w:rsid w:val="261D2D79"/>
    <w:rsid w:val="262E5F76"/>
    <w:rsid w:val="263746A4"/>
    <w:rsid w:val="264A07E1"/>
    <w:rsid w:val="2673757D"/>
    <w:rsid w:val="26750750"/>
    <w:rsid w:val="267730D5"/>
    <w:rsid w:val="267E4F6E"/>
    <w:rsid w:val="26812549"/>
    <w:rsid w:val="268673BB"/>
    <w:rsid w:val="26876723"/>
    <w:rsid w:val="2691785B"/>
    <w:rsid w:val="269A5092"/>
    <w:rsid w:val="26A83D2C"/>
    <w:rsid w:val="26F47545"/>
    <w:rsid w:val="26FB7F9A"/>
    <w:rsid w:val="27097162"/>
    <w:rsid w:val="272B5813"/>
    <w:rsid w:val="272E05ED"/>
    <w:rsid w:val="2739568C"/>
    <w:rsid w:val="276D1BF0"/>
    <w:rsid w:val="2794321C"/>
    <w:rsid w:val="27B8496C"/>
    <w:rsid w:val="27C52AAC"/>
    <w:rsid w:val="28194FC4"/>
    <w:rsid w:val="285534A0"/>
    <w:rsid w:val="285576FD"/>
    <w:rsid w:val="28604969"/>
    <w:rsid w:val="286D310E"/>
    <w:rsid w:val="289710C6"/>
    <w:rsid w:val="289E5D1B"/>
    <w:rsid w:val="28C64B8B"/>
    <w:rsid w:val="28CF7770"/>
    <w:rsid w:val="28D73648"/>
    <w:rsid w:val="28EE3903"/>
    <w:rsid w:val="294E4CA1"/>
    <w:rsid w:val="296D4B09"/>
    <w:rsid w:val="29FB7ABE"/>
    <w:rsid w:val="2A264078"/>
    <w:rsid w:val="2A664DE6"/>
    <w:rsid w:val="2A980AE0"/>
    <w:rsid w:val="2AB00DE1"/>
    <w:rsid w:val="2AB316EB"/>
    <w:rsid w:val="2ABA5686"/>
    <w:rsid w:val="2B025CFE"/>
    <w:rsid w:val="2B210C49"/>
    <w:rsid w:val="2B263271"/>
    <w:rsid w:val="2B2F1324"/>
    <w:rsid w:val="2B4A26CA"/>
    <w:rsid w:val="2B4D3C2F"/>
    <w:rsid w:val="2B672A8E"/>
    <w:rsid w:val="2B792C16"/>
    <w:rsid w:val="2BA246D3"/>
    <w:rsid w:val="2BAB174C"/>
    <w:rsid w:val="2BBA2B57"/>
    <w:rsid w:val="2BDD490B"/>
    <w:rsid w:val="2BDF4558"/>
    <w:rsid w:val="2BE1026B"/>
    <w:rsid w:val="2C22129E"/>
    <w:rsid w:val="2C7A5DE4"/>
    <w:rsid w:val="2CA867A2"/>
    <w:rsid w:val="2CAC741C"/>
    <w:rsid w:val="2CB216AE"/>
    <w:rsid w:val="2CD557C5"/>
    <w:rsid w:val="2CD878DD"/>
    <w:rsid w:val="2CEE4410"/>
    <w:rsid w:val="2D3D4BA4"/>
    <w:rsid w:val="2D3D7EDB"/>
    <w:rsid w:val="2D644D1B"/>
    <w:rsid w:val="2D741DE9"/>
    <w:rsid w:val="2DA203C1"/>
    <w:rsid w:val="2DA83014"/>
    <w:rsid w:val="2DAC2E33"/>
    <w:rsid w:val="2DAC53BA"/>
    <w:rsid w:val="2DB94CBF"/>
    <w:rsid w:val="2DBF7CBB"/>
    <w:rsid w:val="2DEA7DC1"/>
    <w:rsid w:val="2E061566"/>
    <w:rsid w:val="2E163860"/>
    <w:rsid w:val="2E337C72"/>
    <w:rsid w:val="2E4F30CC"/>
    <w:rsid w:val="2E67471B"/>
    <w:rsid w:val="2E6B3BD1"/>
    <w:rsid w:val="2E714505"/>
    <w:rsid w:val="2E7B1F74"/>
    <w:rsid w:val="2EB86E9F"/>
    <w:rsid w:val="2EDD4BD5"/>
    <w:rsid w:val="2EDD6B85"/>
    <w:rsid w:val="2EE15BD5"/>
    <w:rsid w:val="2F146650"/>
    <w:rsid w:val="2F307202"/>
    <w:rsid w:val="2F3D58B4"/>
    <w:rsid w:val="2F43746D"/>
    <w:rsid w:val="2F550F81"/>
    <w:rsid w:val="2F6A2DDB"/>
    <w:rsid w:val="2F7A262F"/>
    <w:rsid w:val="2F815C0A"/>
    <w:rsid w:val="2F83649B"/>
    <w:rsid w:val="2F8635D0"/>
    <w:rsid w:val="2F936343"/>
    <w:rsid w:val="2FA80C51"/>
    <w:rsid w:val="2FAC2CB7"/>
    <w:rsid w:val="2FE54B3C"/>
    <w:rsid w:val="2FEA4E52"/>
    <w:rsid w:val="2FEC4291"/>
    <w:rsid w:val="2FF57398"/>
    <w:rsid w:val="2FFC10C5"/>
    <w:rsid w:val="3057255B"/>
    <w:rsid w:val="30581E01"/>
    <w:rsid w:val="305E59C6"/>
    <w:rsid w:val="308172AC"/>
    <w:rsid w:val="30D055DA"/>
    <w:rsid w:val="30D31682"/>
    <w:rsid w:val="30D760F0"/>
    <w:rsid w:val="30FE1366"/>
    <w:rsid w:val="311074C5"/>
    <w:rsid w:val="316244E8"/>
    <w:rsid w:val="31B50ECC"/>
    <w:rsid w:val="31BC76F1"/>
    <w:rsid w:val="31C0279C"/>
    <w:rsid w:val="31F805DF"/>
    <w:rsid w:val="31F93244"/>
    <w:rsid w:val="32153476"/>
    <w:rsid w:val="322609F5"/>
    <w:rsid w:val="322C7E9A"/>
    <w:rsid w:val="32362F63"/>
    <w:rsid w:val="323C78AD"/>
    <w:rsid w:val="327C612F"/>
    <w:rsid w:val="32A51D47"/>
    <w:rsid w:val="32AD6739"/>
    <w:rsid w:val="32B649B5"/>
    <w:rsid w:val="32ED4148"/>
    <w:rsid w:val="32FC4CAE"/>
    <w:rsid w:val="331E342F"/>
    <w:rsid w:val="3344327C"/>
    <w:rsid w:val="335F2138"/>
    <w:rsid w:val="339D229B"/>
    <w:rsid w:val="339F04B3"/>
    <w:rsid w:val="33A53DEB"/>
    <w:rsid w:val="33A95A9E"/>
    <w:rsid w:val="33DD73D0"/>
    <w:rsid w:val="33F967A9"/>
    <w:rsid w:val="341112F7"/>
    <w:rsid w:val="34261ACE"/>
    <w:rsid w:val="3438129A"/>
    <w:rsid w:val="347C5E38"/>
    <w:rsid w:val="34A82CE0"/>
    <w:rsid w:val="34B564CB"/>
    <w:rsid w:val="351A7159"/>
    <w:rsid w:val="353E35F3"/>
    <w:rsid w:val="35471EBC"/>
    <w:rsid w:val="357A44A3"/>
    <w:rsid w:val="359C4C5A"/>
    <w:rsid w:val="35CC47EE"/>
    <w:rsid w:val="35E27DC6"/>
    <w:rsid w:val="35F05598"/>
    <w:rsid w:val="35F1059F"/>
    <w:rsid w:val="35F408C2"/>
    <w:rsid w:val="36186944"/>
    <w:rsid w:val="36302304"/>
    <w:rsid w:val="36403262"/>
    <w:rsid w:val="367A38F8"/>
    <w:rsid w:val="36832BC5"/>
    <w:rsid w:val="368C0EED"/>
    <w:rsid w:val="36952011"/>
    <w:rsid w:val="36C601DD"/>
    <w:rsid w:val="37092453"/>
    <w:rsid w:val="37181D47"/>
    <w:rsid w:val="37221266"/>
    <w:rsid w:val="37305D6C"/>
    <w:rsid w:val="37466584"/>
    <w:rsid w:val="37796E03"/>
    <w:rsid w:val="377D1977"/>
    <w:rsid w:val="37CC2D77"/>
    <w:rsid w:val="37CF0810"/>
    <w:rsid w:val="37E57ACF"/>
    <w:rsid w:val="37EA619F"/>
    <w:rsid w:val="380E20F3"/>
    <w:rsid w:val="38291122"/>
    <w:rsid w:val="382C24E9"/>
    <w:rsid w:val="383060FB"/>
    <w:rsid w:val="383371DE"/>
    <w:rsid w:val="38396761"/>
    <w:rsid w:val="383F6C78"/>
    <w:rsid w:val="384640AF"/>
    <w:rsid w:val="38562C4E"/>
    <w:rsid w:val="38CF5590"/>
    <w:rsid w:val="38D03095"/>
    <w:rsid w:val="38D27A21"/>
    <w:rsid w:val="38DB7EA0"/>
    <w:rsid w:val="39004832"/>
    <w:rsid w:val="39132BC2"/>
    <w:rsid w:val="39445D3B"/>
    <w:rsid w:val="394A408C"/>
    <w:rsid w:val="394A6B08"/>
    <w:rsid w:val="39525507"/>
    <w:rsid w:val="399B197F"/>
    <w:rsid w:val="399B3F70"/>
    <w:rsid w:val="39A9208B"/>
    <w:rsid w:val="39AF186F"/>
    <w:rsid w:val="39D15A37"/>
    <w:rsid w:val="39DF4E9C"/>
    <w:rsid w:val="39F1799A"/>
    <w:rsid w:val="39F62050"/>
    <w:rsid w:val="3A085004"/>
    <w:rsid w:val="3A1C3B56"/>
    <w:rsid w:val="3A305784"/>
    <w:rsid w:val="3A34347C"/>
    <w:rsid w:val="3A4A73BA"/>
    <w:rsid w:val="3A4F6E02"/>
    <w:rsid w:val="3A5029E0"/>
    <w:rsid w:val="3A644361"/>
    <w:rsid w:val="3A8F19C2"/>
    <w:rsid w:val="3A8F3032"/>
    <w:rsid w:val="3ACE298D"/>
    <w:rsid w:val="3AE875FD"/>
    <w:rsid w:val="3AFB116A"/>
    <w:rsid w:val="3B047888"/>
    <w:rsid w:val="3B1C530E"/>
    <w:rsid w:val="3B5312E1"/>
    <w:rsid w:val="3B5528EE"/>
    <w:rsid w:val="3BCE6E72"/>
    <w:rsid w:val="3BD7112A"/>
    <w:rsid w:val="3BE21C16"/>
    <w:rsid w:val="3C0A467F"/>
    <w:rsid w:val="3C15056D"/>
    <w:rsid w:val="3C2E5B77"/>
    <w:rsid w:val="3CA127CD"/>
    <w:rsid w:val="3CBF4A0D"/>
    <w:rsid w:val="3CC35933"/>
    <w:rsid w:val="3CD4743B"/>
    <w:rsid w:val="3CF47AC1"/>
    <w:rsid w:val="3D197528"/>
    <w:rsid w:val="3D1B6429"/>
    <w:rsid w:val="3D3140FB"/>
    <w:rsid w:val="3D413B21"/>
    <w:rsid w:val="3D7A6218"/>
    <w:rsid w:val="3DAC32C6"/>
    <w:rsid w:val="3DBC33A0"/>
    <w:rsid w:val="3DC261DF"/>
    <w:rsid w:val="3DD2237F"/>
    <w:rsid w:val="3E115421"/>
    <w:rsid w:val="3E603179"/>
    <w:rsid w:val="3E7932E4"/>
    <w:rsid w:val="3E7E7AE2"/>
    <w:rsid w:val="3E830E87"/>
    <w:rsid w:val="3EA36997"/>
    <w:rsid w:val="3EA60A10"/>
    <w:rsid w:val="3ED35EFF"/>
    <w:rsid w:val="3ED51881"/>
    <w:rsid w:val="3EDE0C35"/>
    <w:rsid w:val="3EDE228D"/>
    <w:rsid w:val="3F217FA7"/>
    <w:rsid w:val="3F3026F0"/>
    <w:rsid w:val="3F7A215C"/>
    <w:rsid w:val="3F7D7AEA"/>
    <w:rsid w:val="3FBE0E8C"/>
    <w:rsid w:val="3FE43E1D"/>
    <w:rsid w:val="3FEC2687"/>
    <w:rsid w:val="40291830"/>
    <w:rsid w:val="403A3A56"/>
    <w:rsid w:val="403C48D3"/>
    <w:rsid w:val="40783199"/>
    <w:rsid w:val="40D156B3"/>
    <w:rsid w:val="40D81A9A"/>
    <w:rsid w:val="40E7153F"/>
    <w:rsid w:val="410660A9"/>
    <w:rsid w:val="41160359"/>
    <w:rsid w:val="41511BE0"/>
    <w:rsid w:val="41670F6D"/>
    <w:rsid w:val="41AA1130"/>
    <w:rsid w:val="41EB39C1"/>
    <w:rsid w:val="41FF0A9A"/>
    <w:rsid w:val="41FF1169"/>
    <w:rsid w:val="421F4809"/>
    <w:rsid w:val="42334D0F"/>
    <w:rsid w:val="4234154C"/>
    <w:rsid w:val="4256053C"/>
    <w:rsid w:val="42C32E12"/>
    <w:rsid w:val="42F92708"/>
    <w:rsid w:val="43051884"/>
    <w:rsid w:val="43107B42"/>
    <w:rsid w:val="43135873"/>
    <w:rsid w:val="43733C93"/>
    <w:rsid w:val="437C5E8D"/>
    <w:rsid w:val="43821D0C"/>
    <w:rsid w:val="43963680"/>
    <w:rsid w:val="43CB1323"/>
    <w:rsid w:val="43DC279B"/>
    <w:rsid w:val="43DE6563"/>
    <w:rsid w:val="43E146C9"/>
    <w:rsid w:val="4418046D"/>
    <w:rsid w:val="442040C5"/>
    <w:rsid w:val="4436451B"/>
    <w:rsid w:val="443B1BA5"/>
    <w:rsid w:val="443C196B"/>
    <w:rsid w:val="445D2CFE"/>
    <w:rsid w:val="445E48BB"/>
    <w:rsid w:val="44635844"/>
    <w:rsid w:val="44BB6985"/>
    <w:rsid w:val="44BF21AC"/>
    <w:rsid w:val="44C63AF1"/>
    <w:rsid w:val="44D160BB"/>
    <w:rsid w:val="44DA134B"/>
    <w:rsid w:val="44DB0693"/>
    <w:rsid w:val="452A7324"/>
    <w:rsid w:val="455E635F"/>
    <w:rsid w:val="45C06AEB"/>
    <w:rsid w:val="45D01D8F"/>
    <w:rsid w:val="462A36B6"/>
    <w:rsid w:val="46823724"/>
    <w:rsid w:val="468C18CD"/>
    <w:rsid w:val="46C10423"/>
    <w:rsid w:val="46CC7AD8"/>
    <w:rsid w:val="46DC1FBC"/>
    <w:rsid w:val="46E95792"/>
    <w:rsid w:val="474D3526"/>
    <w:rsid w:val="47517316"/>
    <w:rsid w:val="476E271F"/>
    <w:rsid w:val="47A04091"/>
    <w:rsid w:val="47A667CB"/>
    <w:rsid w:val="47C06E5A"/>
    <w:rsid w:val="47C971D5"/>
    <w:rsid w:val="47EE10F5"/>
    <w:rsid w:val="47FB2E17"/>
    <w:rsid w:val="483671E0"/>
    <w:rsid w:val="48661A4C"/>
    <w:rsid w:val="487C2D69"/>
    <w:rsid w:val="487C7098"/>
    <w:rsid w:val="48867B01"/>
    <w:rsid w:val="48BC6DC4"/>
    <w:rsid w:val="48E94252"/>
    <w:rsid w:val="48FA63D5"/>
    <w:rsid w:val="493125AB"/>
    <w:rsid w:val="493524DD"/>
    <w:rsid w:val="495C67D2"/>
    <w:rsid w:val="499323AD"/>
    <w:rsid w:val="49A670C7"/>
    <w:rsid w:val="49A67A22"/>
    <w:rsid w:val="49AB57DD"/>
    <w:rsid w:val="49B70628"/>
    <w:rsid w:val="49FF640B"/>
    <w:rsid w:val="4A0649B9"/>
    <w:rsid w:val="4A206289"/>
    <w:rsid w:val="4A3B27D2"/>
    <w:rsid w:val="4A3C0D37"/>
    <w:rsid w:val="4A9C6CB8"/>
    <w:rsid w:val="4AA74182"/>
    <w:rsid w:val="4B00156B"/>
    <w:rsid w:val="4B0D2360"/>
    <w:rsid w:val="4B4B11F4"/>
    <w:rsid w:val="4B587455"/>
    <w:rsid w:val="4B8A6748"/>
    <w:rsid w:val="4B961FC8"/>
    <w:rsid w:val="4BB70638"/>
    <w:rsid w:val="4BD64D3E"/>
    <w:rsid w:val="4BDC4B21"/>
    <w:rsid w:val="4C0D3F5E"/>
    <w:rsid w:val="4C0E00B7"/>
    <w:rsid w:val="4C1A24A8"/>
    <w:rsid w:val="4C6B4FDD"/>
    <w:rsid w:val="4C817E10"/>
    <w:rsid w:val="4C9438DA"/>
    <w:rsid w:val="4CA26436"/>
    <w:rsid w:val="4CA51A3A"/>
    <w:rsid w:val="4CE258DD"/>
    <w:rsid w:val="4CF3280B"/>
    <w:rsid w:val="4D201780"/>
    <w:rsid w:val="4DA61F88"/>
    <w:rsid w:val="4DC17EF8"/>
    <w:rsid w:val="4DE42FC2"/>
    <w:rsid w:val="4DEB45C9"/>
    <w:rsid w:val="4E037EBD"/>
    <w:rsid w:val="4E0B1E23"/>
    <w:rsid w:val="4E274A1B"/>
    <w:rsid w:val="4E921E5D"/>
    <w:rsid w:val="4EBC1C70"/>
    <w:rsid w:val="4EBD0706"/>
    <w:rsid w:val="4EBD73E8"/>
    <w:rsid w:val="4EC132A9"/>
    <w:rsid w:val="4EEB2B76"/>
    <w:rsid w:val="4F002F32"/>
    <w:rsid w:val="4F3E09E7"/>
    <w:rsid w:val="4F603245"/>
    <w:rsid w:val="4F9130F5"/>
    <w:rsid w:val="4FC94691"/>
    <w:rsid w:val="4FE30142"/>
    <w:rsid w:val="4FEB4D65"/>
    <w:rsid w:val="500E1CA9"/>
    <w:rsid w:val="50413516"/>
    <w:rsid w:val="50585DCF"/>
    <w:rsid w:val="50753639"/>
    <w:rsid w:val="509739F1"/>
    <w:rsid w:val="509A76B5"/>
    <w:rsid w:val="50AD59A2"/>
    <w:rsid w:val="50D00177"/>
    <w:rsid w:val="513A4C55"/>
    <w:rsid w:val="5154207D"/>
    <w:rsid w:val="5159573F"/>
    <w:rsid w:val="516C5916"/>
    <w:rsid w:val="51D0473A"/>
    <w:rsid w:val="51D556F8"/>
    <w:rsid w:val="52335131"/>
    <w:rsid w:val="524F2BB4"/>
    <w:rsid w:val="52606C48"/>
    <w:rsid w:val="5278001F"/>
    <w:rsid w:val="528A0BA1"/>
    <w:rsid w:val="52BA7F92"/>
    <w:rsid w:val="52BB35DC"/>
    <w:rsid w:val="52C235D0"/>
    <w:rsid w:val="52D64BC8"/>
    <w:rsid w:val="52E03F65"/>
    <w:rsid w:val="52EA38D1"/>
    <w:rsid w:val="53683555"/>
    <w:rsid w:val="537938ED"/>
    <w:rsid w:val="53C32668"/>
    <w:rsid w:val="53C54A08"/>
    <w:rsid w:val="53D61264"/>
    <w:rsid w:val="53DF103E"/>
    <w:rsid w:val="53FE2E25"/>
    <w:rsid w:val="54086242"/>
    <w:rsid w:val="54131FCB"/>
    <w:rsid w:val="5417555B"/>
    <w:rsid w:val="54402BFA"/>
    <w:rsid w:val="544D7D8B"/>
    <w:rsid w:val="545657BD"/>
    <w:rsid w:val="54667539"/>
    <w:rsid w:val="551864CC"/>
    <w:rsid w:val="552774CE"/>
    <w:rsid w:val="553D2107"/>
    <w:rsid w:val="55692572"/>
    <w:rsid w:val="5592342B"/>
    <w:rsid w:val="55AC0589"/>
    <w:rsid w:val="55E5165E"/>
    <w:rsid w:val="56265249"/>
    <w:rsid w:val="5636241D"/>
    <w:rsid w:val="563630F9"/>
    <w:rsid w:val="56392D6C"/>
    <w:rsid w:val="56403669"/>
    <w:rsid w:val="56802899"/>
    <w:rsid w:val="56841BD7"/>
    <w:rsid w:val="56873363"/>
    <w:rsid w:val="56AB164B"/>
    <w:rsid w:val="56AE795E"/>
    <w:rsid w:val="56B54D14"/>
    <w:rsid w:val="56C35EA7"/>
    <w:rsid w:val="56E94AE9"/>
    <w:rsid w:val="56EA0A7F"/>
    <w:rsid w:val="56EF6E93"/>
    <w:rsid w:val="576378C6"/>
    <w:rsid w:val="576923C5"/>
    <w:rsid w:val="578F2469"/>
    <w:rsid w:val="57EA0764"/>
    <w:rsid w:val="580E21B5"/>
    <w:rsid w:val="58644AF2"/>
    <w:rsid w:val="58A67F17"/>
    <w:rsid w:val="58B101BD"/>
    <w:rsid w:val="58B14A34"/>
    <w:rsid w:val="58DE50A6"/>
    <w:rsid w:val="58DF2FE5"/>
    <w:rsid w:val="58E22385"/>
    <w:rsid w:val="58ED0BBE"/>
    <w:rsid w:val="58FA5862"/>
    <w:rsid w:val="58FD0E74"/>
    <w:rsid w:val="590F6436"/>
    <w:rsid w:val="5975213F"/>
    <w:rsid w:val="59883613"/>
    <w:rsid w:val="59C90598"/>
    <w:rsid w:val="59E35F48"/>
    <w:rsid w:val="5A001186"/>
    <w:rsid w:val="5A1B4BD1"/>
    <w:rsid w:val="5A325E29"/>
    <w:rsid w:val="5A6D095E"/>
    <w:rsid w:val="5A983D7A"/>
    <w:rsid w:val="5AED3A61"/>
    <w:rsid w:val="5AF76A47"/>
    <w:rsid w:val="5B2F4184"/>
    <w:rsid w:val="5B522930"/>
    <w:rsid w:val="5B640474"/>
    <w:rsid w:val="5B9B27D2"/>
    <w:rsid w:val="5BCF72D8"/>
    <w:rsid w:val="5C051017"/>
    <w:rsid w:val="5C3373B3"/>
    <w:rsid w:val="5C530A90"/>
    <w:rsid w:val="5C601985"/>
    <w:rsid w:val="5C7B2441"/>
    <w:rsid w:val="5C9522CF"/>
    <w:rsid w:val="5CAC0B09"/>
    <w:rsid w:val="5CD74A1D"/>
    <w:rsid w:val="5CDD5A24"/>
    <w:rsid w:val="5CE45B17"/>
    <w:rsid w:val="5CE80424"/>
    <w:rsid w:val="5CE96F65"/>
    <w:rsid w:val="5D192F00"/>
    <w:rsid w:val="5D1D5979"/>
    <w:rsid w:val="5D3F34A3"/>
    <w:rsid w:val="5D430194"/>
    <w:rsid w:val="5D4934B7"/>
    <w:rsid w:val="5D7C7845"/>
    <w:rsid w:val="5D7F7DDA"/>
    <w:rsid w:val="5DBC2649"/>
    <w:rsid w:val="5DC13A25"/>
    <w:rsid w:val="5DDC53CE"/>
    <w:rsid w:val="5DF11DF8"/>
    <w:rsid w:val="5E0D0611"/>
    <w:rsid w:val="5E232E30"/>
    <w:rsid w:val="5E2F24AC"/>
    <w:rsid w:val="5E4D221E"/>
    <w:rsid w:val="5E520D48"/>
    <w:rsid w:val="5E6115B7"/>
    <w:rsid w:val="5EC30B8B"/>
    <w:rsid w:val="5EF23E04"/>
    <w:rsid w:val="5F0C53C6"/>
    <w:rsid w:val="5F29259D"/>
    <w:rsid w:val="5F4E641B"/>
    <w:rsid w:val="5F5C30E6"/>
    <w:rsid w:val="5F6F0DBF"/>
    <w:rsid w:val="5F7D44DA"/>
    <w:rsid w:val="5F8C48C8"/>
    <w:rsid w:val="5FA36662"/>
    <w:rsid w:val="601C30D6"/>
    <w:rsid w:val="601E25EE"/>
    <w:rsid w:val="6039799E"/>
    <w:rsid w:val="60573893"/>
    <w:rsid w:val="607320BB"/>
    <w:rsid w:val="608845BF"/>
    <w:rsid w:val="60B306CE"/>
    <w:rsid w:val="60BB1D24"/>
    <w:rsid w:val="60D56D05"/>
    <w:rsid w:val="60D95974"/>
    <w:rsid w:val="60DD2D37"/>
    <w:rsid w:val="60E4332B"/>
    <w:rsid w:val="60F831EF"/>
    <w:rsid w:val="61184007"/>
    <w:rsid w:val="611F7591"/>
    <w:rsid w:val="61284891"/>
    <w:rsid w:val="612B47F8"/>
    <w:rsid w:val="613A01C3"/>
    <w:rsid w:val="61713194"/>
    <w:rsid w:val="61A7469D"/>
    <w:rsid w:val="61BB6726"/>
    <w:rsid w:val="61F5046E"/>
    <w:rsid w:val="620E29D3"/>
    <w:rsid w:val="622F3D0E"/>
    <w:rsid w:val="624A3A07"/>
    <w:rsid w:val="626425D0"/>
    <w:rsid w:val="62840D7A"/>
    <w:rsid w:val="62856567"/>
    <w:rsid w:val="62B56103"/>
    <w:rsid w:val="633A6AF4"/>
    <w:rsid w:val="6361683D"/>
    <w:rsid w:val="636440F4"/>
    <w:rsid w:val="636B344F"/>
    <w:rsid w:val="6376714D"/>
    <w:rsid w:val="63B875EE"/>
    <w:rsid w:val="63E71F50"/>
    <w:rsid w:val="6435673D"/>
    <w:rsid w:val="643A083F"/>
    <w:rsid w:val="643A33F0"/>
    <w:rsid w:val="6453469B"/>
    <w:rsid w:val="64583531"/>
    <w:rsid w:val="646B2DDB"/>
    <w:rsid w:val="647E2A40"/>
    <w:rsid w:val="64A66B3B"/>
    <w:rsid w:val="64B10406"/>
    <w:rsid w:val="64B17EC2"/>
    <w:rsid w:val="64E01D20"/>
    <w:rsid w:val="64F30A07"/>
    <w:rsid w:val="651D6396"/>
    <w:rsid w:val="6535464F"/>
    <w:rsid w:val="654A1FEB"/>
    <w:rsid w:val="65562338"/>
    <w:rsid w:val="655B40E6"/>
    <w:rsid w:val="655C29B9"/>
    <w:rsid w:val="65737F9E"/>
    <w:rsid w:val="65885B0D"/>
    <w:rsid w:val="65904317"/>
    <w:rsid w:val="65B75702"/>
    <w:rsid w:val="65B85DC7"/>
    <w:rsid w:val="66152911"/>
    <w:rsid w:val="661E1587"/>
    <w:rsid w:val="662F4DB5"/>
    <w:rsid w:val="667176D7"/>
    <w:rsid w:val="6686712D"/>
    <w:rsid w:val="66A56021"/>
    <w:rsid w:val="66BC45A4"/>
    <w:rsid w:val="66CF1A78"/>
    <w:rsid w:val="66FB0CD8"/>
    <w:rsid w:val="672C768A"/>
    <w:rsid w:val="67692442"/>
    <w:rsid w:val="677671A1"/>
    <w:rsid w:val="67864251"/>
    <w:rsid w:val="679553C9"/>
    <w:rsid w:val="67991C6E"/>
    <w:rsid w:val="67FB0669"/>
    <w:rsid w:val="6829768C"/>
    <w:rsid w:val="68581BB4"/>
    <w:rsid w:val="686B315F"/>
    <w:rsid w:val="68780948"/>
    <w:rsid w:val="689B1AB8"/>
    <w:rsid w:val="690F605C"/>
    <w:rsid w:val="69305B3D"/>
    <w:rsid w:val="69500D77"/>
    <w:rsid w:val="695C0D52"/>
    <w:rsid w:val="695C1052"/>
    <w:rsid w:val="696D0B5D"/>
    <w:rsid w:val="697A5BAD"/>
    <w:rsid w:val="698652CC"/>
    <w:rsid w:val="69875FB7"/>
    <w:rsid w:val="69F50851"/>
    <w:rsid w:val="6A0042F5"/>
    <w:rsid w:val="6A070843"/>
    <w:rsid w:val="6A211A11"/>
    <w:rsid w:val="6A2164AA"/>
    <w:rsid w:val="6A2C4AA3"/>
    <w:rsid w:val="6A367106"/>
    <w:rsid w:val="6A62713F"/>
    <w:rsid w:val="6A6C66BD"/>
    <w:rsid w:val="6AA313D0"/>
    <w:rsid w:val="6ABB3747"/>
    <w:rsid w:val="6ACB27CD"/>
    <w:rsid w:val="6AFD6181"/>
    <w:rsid w:val="6B631F73"/>
    <w:rsid w:val="6B7E2492"/>
    <w:rsid w:val="6BAE4E87"/>
    <w:rsid w:val="6BB4692C"/>
    <w:rsid w:val="6BC26055"/>
    <w:rsid w:val="6BCD7C89"/>
    <w:rsid w:val="6BD111A8"/>
    <w:rsid w:val="6C0905E4"/>
    <w:rsid w:val="6C1B45C4"/>
    <w:rsid w:val="6C1C1795"/>
    <w:rsid w:val="6C296E86"/>
    <w:rsid w:val="6C703274"/>
    <w:rsid w:val="6CC12C2C"/>
    <w:rsid w:val="6CC14D9F"/>
    <w:rsid w:val="6CD2167A"/>
    <w:rsid w:val="6D014896"/>
    <w:rsid w:val="6D1F6511"/>
    <w:rsid w:val="6D1F6C74"/>
    <w:rsid w:val="6D5C4743"/>
    <w:rsid w:val="6D647B33"/>
    <w:rsid w:val="6D6601E7"/>
    <w:rsid w:val="6D6A7C2B"/>
    <w:rsid w:val="6D7E4409"/>
    <w:rsid w:val="6DFF6A7F"/>
    <w:rsid w:val="6E0539CA"/>
    <w:rsid w:val="6E1030B4"/>
    <w:rsid w:val="6E264F3A"/>
    <w:rsid w:val="6E3322F3"/>
    <w:rsid w:val="6E496F01"/>
    <w:rsid w:val="6E813FCE"/>
    <w:rsid w:val="6E9F5D73"/>
    <w:rsid w:val="6EA52E3A"/>
    <w:rsid w:val="6EC44FEF"/>
    <w:rsid w:val="6EFF182A"/>
    <w:rsid w:val="6F144E56"/>
    <w:rsid w:val="6FA47F4A"/>
    <w:rsid w:val="6FC95185"/>
    <w:rsid w:val="6FF3138F"/>
    <w:rsid w:val="6FFD2050"/>
    <w:rsid w:val="70021F43"/>
    <w:rsid w:val="700659FC"/>
    <w:rsid w:val="70365B5E"/>
    <w:rsid w:val="70553766"/>
    <w:rsid w:val="70836408"/>
    <w:rsid w:val="70B812AB"/>
    <w:rsid w:val="70B92CE2"/>
    <w:rsid w:val="70CB5B52"/>
    <w:rsid w:val="70CD09CE"/>
    <w:rsid w:val="70E069E7"/>
    <w:rsid w:val="71300A15"/>
    <w:rsid w:val="715F2808"/>
    <w:rsid w:val="716465CF"/>
    <w:rsid w:val="71813B02"/>
    <w:rsid w:val="71BD0EC0"/>
    <w:rsid w:val="71C240B4"/>
    <w:rsid w:val="71E16A3E"/>
    <w:rsid w:val="71ED1E0E"/>
    <w:rsid w:val="71ED57A2"/>
    <w:rsid w:val="72783C6C"/>
    <w:rsid w:val="72964C89"/>
    <w:rsid w:val="72AB6AE0"/>
    <w:rsid w:val="72B050A2"/>
    <w:rsid w:val="72F2392E"/>
    <w:rsid w:val="73192E66"/>
    <w:rsid w:val="73411315"/>
    <w:rsid w:val="734F24FC"/>
    <w:rsid w:val="735C2E4B"/>
    <w:rsid w:val="737907EB"/>
    <w:rsid w:val="73AB0669"/>
    <w:rsid w:val="73AF7856"/>
    <w:rsid w:val="73C90A9B"/>
    <w:rsid w:val="73DC7820"/>
    <w:rsid w:val="73F27AF3"/>
    <w:rsid w:val="741663D7"/>
    <w:rsid w:val="74591B65"/>
    <w:rsid w:val="746552FB"/>
    <w:rsid w:val="74741C6B"/>
    <w:rsid w:val="74871362"/>
    <w:rsid w:val="748F6378"/>
    <w:rsid w:val="7499002B"/>
    <w:rsid w:val="74DB6E01"/>
    <w:rsid w:val="74EF75AF"/>
    <w:rsid w:val="7500666B"/>
    <w:rsid w:val="75342884"/>
    <w:rsid w:val="75476CC6"/>
    <w:rsid w:val="75700620"/>
    <w:rsid w:val="75891890"/>
    <w:rsid w:val="759E6526"/>
    <w:rsid w:val="75B84ADD"/>
    <w:rsid w:val="75D54A40"/>
    <w:rsid w:val="76061509"/>
    <w:rsid w:val="763B62F9"/>
    <w:rsid w:val="76861A5E"/>
    <w:rsid w:val="76A8406F"/>
    <w:rsid w:val="76C90347"/>
    <w:rsid w:val="76C97CF9"/>
    <w:rsid w:val="76DE616F"/>
    <w:rsid w:val="76F20812"/>
    <w:rsid w:val="774B472E"/>
    <w:rsid w:val="777F7F72"/>
    <w:rsid w:val="77843BC2"/>
    <w:rsid w:val="77A01E88"/>
    <w:rsid w:val="77BB3AE4"/>
    <w:rsid w:val="77BD2F6B"/>
    <w:rsid w:val="77C05AA3"/>
    <w:rsid w:val="77C646D6"/>
    <w:rsid w:val="77E51BF1"/>
    <w:rsid w:val="77E93077"/>
    <w:rsid w:val="77FA7697"/>
    <w:rsid w:val="786716C2"/>
    <w:rsid w:val="786D3B04"/>
    <w:rsid w:val="7883171E"/>
    <w:rsid w:val="788415B7"/>
    <w:rsid w:val="78A9314B"/>
    <w:rsid w:val="78B657E9"/>
    <w:rsid w:val="78B673FD"/>
    <w:rsid w:val="78C57641"/>
    <w:rsid w:val="78CB1796"/>
    <w:rsid w:val="78CD67FB"/>
    <w:rsid w:val="78D75840"/>
    <w:rsid w:val="78E11678"/>
    <w:rsid w:val="78E95EAE"/>
    <w:rsid w:val="78EC53D5"/>
    <w:rsid w:val="790A6F7D"/>
    <w:rsid w:val="79102B4C"/>
    <w:rsid w:val="79185AE4"/>
    <w:rsid w:val="79191BBC"/>
    <w:rsid w:val="792C1504"/>
    <w:rsid w:val="792F6877"/>
    <w:rsid w:val="79435153"/>
    <w:rsid w:val="79535359"/>
    <w:rsid w:val="795C61F7"/>
    <w:rsid w:val="795E4334"/>
    <w:rsid w:val="796A3A14"/>
    <w:rsid w:val="79722304"/>
    <w:rsid w:val="79B86AC2"/>
    <w:rsid w:val="79BA1D94"/>
    <w:rsid w:val="7A1717BB"/>
    <w:rsid w:val="7A9509DA"/>
    <w:rsid w:val="7AC438D9"/>
    <w:rsid w:val="7AD00401"/>
    <w:rsid w:val="7ADD00EE"/>
    <w:rsid w:val="7AF44F42"/>
    <w:rsid w:val="7B031D9A"/>
    <w:rsid w:val="7B04779B"/>
    <w:rsid w:val="7B2157BD"/>
    <w:rsid w:val="7B531EA8"/>
    <w:rsid w:val="7B5E3EEB"/>
    <w:rsid w:val="7B9661CA"/>
    <w:rsid w:val="7BAE439A"/>
    <w:rsid w:val="7BCE1B90"/>
    <w:rsid w:val="7BE90326"/>
    <w:rsid w:val="7BFF10BB"/>
    <w:rsid w:val="7C1F350C"/>
    <w:rsid w:val="7C3109D7"/>
    <w:rsid w:val="7C5755CE"/>
    <w:rsid w:val="7C5C3558"/>
    <w:rsid w:val="7C987ACC"/>
    <w:rsid w:val="7CA928B5"/>
    <w:rsid w:val="7CC11FFB"/>
    <w:rsid w:val="7CF33EA9"/>
    <w:rsid w:val="7CF60F14"/>
    <w:rsid w:val="7D1312C2"/>
    <w:rsid w:val="7D147FD3"/>
    <w:rsid w:val="7D2F20BB"/>
    <w:rsid w:val="7D794B33"/>
    <w:rsid w:val="7D80594D"/>
    <w:rsid w:val="7D8772AF"/>
    <w:rsid w:val="7D8B45B0"/>
    <w:rsid w:val="7D950C85"/>
    <w:rsid w:val="7D9F5D43"/>
    <w:rsid w:val="7DBB0105"/>
    <w:rsid w:val="7DBB6EE5"/>
    <w:rsid w:val="7DC15C5C"/>
    <w:rsid w:val="7DD46260"/>
    <w:rsid w:val="7DDC75A2"/>
    <w:rsid w:val="7DEE638C"/>
    <w:rsid w:val="7DFA7F06"/>
    <w:rsid w:val="7DFE21EB"/>
    <w:rsid w:val="7E09686E"/>
    <w:rsid w:val="7E8051DC"/>
    <w:rsid w:val="7E9D3653"/>
    <w:rsid w:val="7EAD6933"/>
    <w:rsid w:val="7ED95BF4"/>
    <w:rsid w:val="7F054C3B"/>
    <w:rsid w:val="7F2A46F7"/>
    <w:rsid w:val="7F5D4C05"/>
    <w:rsid w:val="7F6B2854"/>
    <w:rsid w:val="7F6D1951"/>
    <w:rsid w:val="7F761D2F"/>
    <w:rsid w:val="7F851FDA"/>
    <w:rsid w:val="7F987E78"/>
    <w:rsid w:val="7FD9339F"/>
    <w:rsid w:val="7FDE50A4"/>
    <w:rsid w:val="7FFC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unhideWhenUsed/>
    <w:qFormat/>
    <w:uiPriority w:val="0"/>
    <w:pPr>
      <w:keepNext/>
      <w:keepLines/>
      <w:numPr>
        <w:ilvl w:val="3"/>
        <w:numId w:val="1"/>
      </w:numPr>
      <w:tabs>
        <w:tab w:val="left" w:pos="0"/>
        <w:tab w:val="left" w:pos="840"/>
        <w:tab w:val="left" w:pos="1800"/>
      </w:tabs>
      <w:spacing w:line="360" w:lineRule="auto"/>
      <w:ind w:left="0" w:firstLine="0" w:firstLineChars="0"/>
      <w:outlineLvl w:val="3"/>
    </w:pPr>
    <w:rPr>
      <w:rFonts w:ascii="Arial" w:hAnsi="Arial" w:eastAsia="宋体"/>
      <w:b/>
      <w:sz w:val="28"/>
      <w:szCs w:val="20"/>
    </w:rPr>
  </w:style>
  <w:style w:type="paragraph" w:styleId="7">
    <w:name w:val="heading 5"/>
    <w:basedOn w:val="1"/>
    <w:next w:val="1"/>
    <w:unhideWhenUsed/>
    <w:qFormat/>
    <w:uiPriority w:val="0"/>
    <w:pPr>
      <w:keepNext/>
      <w:keepLines/>
      <w:numPr>
        <w:ilvl w:val="4"/>
        <w:numId w:val="1"/>
      </w:numPr>
      <w:tabs>
        <w:tab w:val="left" w:pos="1440"/>
      </w:tabs>
      <w:spacing w:line="372" w:lineRule="auto"/>
      <w:ind w:left="1008" w:hanging="1008" w:firstLineChars="0"/>
      <w:outlineLvl w:val="4"/>
    </w:pPr>
    <w:rPr>
      <w:rFonts w:eastAsia="仿宋"/>
      <w:b/>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qFormat/>
    <w:uiPriority w:val="0"/>
    <w:pPr>
      <w:tabs>
        <w:tab w:val="left" w:pos="567"/>
      </w:tabs>
      <w:spacing w:before="120" w:line="22" w:lineRule="atLeast"/>
    </w:pPr>
    <w:rPr>
      <w:rFonts w:ascii="宋体" w:hAnsi="宋体"/>
      <w:sz w:val="24"/>
    </w:rPr>
  </w:style>
  <w:style w:type="paragraph" w:styleId="8">
    <w:name w:val="toc 7"/>
    <w:basedOn w:val="1"/>
    <w:next w:val="1"/>
    <w:qFormat/>
    <w:uiPriority w:val="0"/>
    <w:pPr>
      <w:ind w:left="2520" w:leftChars="1200"/>
    </w:p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annotation text"/>
    <w:basedOn w:val="1"/>
    <w:link w:val="70"/>
    <w:unhideWhenUsed/>
    <w:qFormat/>
    <w:uiPriority w:val="0"/>
    <w:pPr>
      <w:jc w:val="left"/>
    </w:pPr>
  </w:style>
  <w:style w:type="paragraph" w:styleId="11">
    <w:name w:val="Body Text Indent"/>
    <w:basedOn w:val="1"/>
    <w:link w:val="75"/>
    <w:qFormat/>
    <w:uiPriority w:val="0"/>
    <w:pPr>
      <w:spacing w:line="360" w:lineRule="auto"/>
      <w:ind w:firstLine="570"/>
    </w:pPr>
    <w:rPr>
      <w:sz w:val="24"/>
    </w:rPr>
  </w:style>
  <w:style w:type="paragraph" w:styleId="12">
    <w:name w:val="toc 5"/>
    <w:basedOn w:val="1"/>
    <w:next w:val="1"/>
    <w:qFormat/>
    <w:uiPriority w:val="0"/>
    <w:pPr>
      <w:ind w:left="1680" w:leftChars="800"/>
    </w:pPr>
  </w:style>
  <w:style w:type="paragraph" w:styleId="13">
    <w:name w:val="toc 3"/>
    <w:basedOn w:val="1"/>
    <w:next w:val="1"/>
    <w:qFormat/>
    <w:uiPriority w:val="0"/>
    <w:pPr>
      <w:tabs>
        <w:tab w:val="left" w:pos="1260"/>
        <w:tab w:val="right" w:leader="dot" w:pos="8630"/>
      </w:tabs>
      <w:ind w:left="840" w:leftChars="400"/>
    </w:pPr>
  </w:style>
  <w:style w:type="paragraph" w:styleId="14">
    <w:name w:val="Plain Text"/>
    <w:basedOn w:val="1"/>
    <w:next w:val="9"/>
    <w:link w:val="69"/>
    <w:qFormat/>
    <w:uiPriority w:val="0"/>
    <w:rPr>
      <w:rFonts w:ascii="宋体" w:hAnsi="Courier New"/>
      <w:szCs w:val="22"/>
    </w:rPr>
  </w:style>
  <w:style w:type="paragraph" w:styleId="15">
    <w:name w:val="toc 8"/>
    <w:basedOn w:val="1"/>
    <w:next w:val="1"/>
    <w:qFormat/>
    <w:uiPriority w:val="0"/>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link w:val="76"/>
    <w:qFormat/>
    <w:uiPriority w:val="0"/>
    <w:pPr>
      <w:ind w:firstLine="480" w:firstLineChars="200"/>
    </w:pPr>
    <w:rPr>
      <w:rFonts w:ascii="仿宋_GB2312" w:eastAsia="仿宋_GB2312"/>
      <w:sz w:val="24"/>
    </w:rPr>
  </w:style>
  <w:style w:type="paragraph" w:styleId="18">
    <w:name w:val="Balloon Text"/>
    <w:basedOn w:val="1"/>
    <w:link w:val="55"/>
    <w:qFormat/>
    <w:uiPriority w:val="0"/>
    <w:rPr>
      <w:sz w:val="18"/>
      <w:szCs w:val="18"/>
    </w:rPr>
  </w:style>
  <w:style w:type="paragraph" w:styleId="19">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0">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footnote text"/>
    <w:basedOn w:val="1"/>
    <w:link w:val="73"/>
    <w:qFormat/>
    <w:uiPriority w:val="0"/>
    <w:pPr>
      <w:snapToGrid w:val="0"/>
      <w:jc w:val="left"/>
    </w:pPr>
    <w:rPr>
      <w:sz w:val="18"/>
    </w:rPr>
  </w:style>
  <w:style w:type="paragraph" w:styleId="24">
    <w:name w:val="toc 6"/>
    <w:basedOn w:val="1"/>
    <w:next w:val="1"/>
    <w:qFormat/>
    <w:uiPriority w:val="0"/>
    <w:pPr>
      <w:ind w:left="2100" w:leftChars="1000"/>
    </w:pPr>
  </w:style>
  <w:style w:type="paragraph" w:styleId="2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Normal (Web)"/>
    <w:basedOn w:val="1"/>
    <w:next w:val="29"/>
    <w:qFormat/>
    <w:uiPriority w:val="0"/>
    <w:pPr>
      <w:widowControl/>
      <w:spacing w:before="100" w:beforeAutospacing="1" w:after="100" w:afterAutospacing="1"/>
      <w:jc w:val="left"/>
    </w:pPr>
    <w:rPr>
      <w:rFonts w:ascii="宋体" w:hAnsi="宋体" w:cs="宋体"/>
      <w:kern w:val="0"/>
      <w:sz w:val="24"/>
    </w:rPr>
  </w:style>
  <w:style w:type="paragraph" w:customStyle="1" w:styleId="29">
    <w:name w:val="目录 41"/>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styleId="30">
    <w:name w:val="index 1"/>
    <w:basedOn w:val="1"/>
    <w:next w:val="1"/>
    <w:qFormat/>
    <w:uiPriority w:val="0"/>
    <w:rPr>
      <w:szCs w:val="20"/>
    </w:rPr>
  </w:style>
  <w:style w:type="paragraph" w:styleId="31">
    <w:name w:val="annotation subject"/>
    <w:basedOn w:val="10"/>
    <w:next w:val="10"/>
    <w:link w:val="65"/>
    <w:qFormat/>
    <w:uiPriority w:val="0"/>
    <w:rPr>
      <w:b/>
      <w:bCs/>
    </w:rPr>
  </w:style>
  <w:style w:type="paragraph" w:styleId="32">
    <w:name w:val="Body Text First Indent"/>
    <w:basedOn w:val="2"/>
    <w:unhideWhenUsed/>
    <w:qFormat/>
    <w:uiPriority w:val="99"/>
    <w:pPr>
      <w:ind w:firstLine="420" w:firstLineChars="100"/>
    </w:pPr>
  </w:style>
  <w:style w:type="paragraph" w:styleId="33">
    <w:name w:val="Body Text First Indent 2"/>
    <w:basedOn w:val="11"/>
    <w:link w:val="84"/>
    <w:qFormat/>
    <w:uiPriority w:val="0"/>
    <w:pPr>
      <w:ind w:firstLine="420" w:firstLineChars="200"/>
    </w:pPr>
  </w:style>
  <w:style w:type="table" w:styleId="35">
    <w:name w:val="Table Grid"/>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basedOn w:val="42"/>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Default"/>
    <w:next w:val="1"/>
    <w:qFormat/>
    <w:uiPriority w:val="0"/>
    <w:pPr>
      <w:widowControl w:val="0"/>
      <w:autoSpaceDE w:val="0"/>
      <w:autoSpaceDN w:val="0"/>
    </w:pPr>
    <w:rPr>
      <w:rFonts w:ascii="宋体" w:hAnsi="Times New Roman" w:eastAsia="宋体" w:cs="宋体"/>
      <w:color w:val="000000"/>
      <w:kern w:val="0"/>
      <w:sz w:val="24"/>
      <w:szCs w:val="24"/>
      <w:lang w:val="en-US" w:eastAsia="zh-CN" w:bidi="ar-SA"/>
    </w:rPr>
  </w:style>
  <w:style w:type="character" w:customStyle="1" w:styleId="48">
    <w:name w:val="标题 3 Char"/>
    <w:basedOn w:val="42"/>
    <w:link w:val="5"/>
    <w:qFormat/>
    <w:uiPriority w:val="0"/>
    <w:rPr>
      <w:rFonts w:ascii="宋体" w:hAnsi="Times New Roman" w:eastAsia="宋体" w:cs="Times New Roman"/>
      <w:b/>
      <w:kern w:val="0"/>
      <w:sz w:val="24"/>
      <w:szCs w:val="20"/>
      <w:u w:val="single"/>
    </w:rPr>
  </w:style>
  <w:style w:type="character" w:customStyle="1" w:styleId="49">
    <w:name w:val="标题 1 Char"/>
    <w:basedOn w:val="42"/>
    <w:link w:val="3"/>
    <w:qFormat/>
    <w:uiPriority w:val="0"/>
    <w:rPr>
      <w:rFonts w:ascii="宋体" w:hAnsi="Times New Roman" w:eastAsia="宋体" w:cs="Times New Roman"/>
      <w:b/>
      <w:kern w:val="44"/>
      <w:sz w:val="32"/>
      <w:szCs w:val="20"/>
    </w:rPr>
  </w:style>
  <w:style w:type="character" w:customStyle="1" w:styleId="50">
    <w:name w:val="标题 2 Char"/>
    <w:basedOn w:val="42"/>
    <w:link w:val="4"/>
    <w:qFormat/>
    <w:uiPriority w:val="0"/>
    <w:rPr>
      <w:rFonts w:ascii="Arial" w:hAnsi="Arial" w:eastAsia="黑体" w:cs="Times New Roman"/>
      <w:b/>
      <w:kern w:val="0"/>
      <w:sz w:val="30"/>
      <w:szCs w:val="20"/>
    </w:rPr>
  </w:style>
  <w:style w:type="character" w:customStyle="1" w:styleId="51">
    <w:name w:val="font01"/>
    <w:basedOn w:val="42"/>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6"/>
    <w:qFormat/>
    <w:uiPriority w:val="0"/>
    <w:rPr>
      <w:rFonts w:ascii="仿宋_GB2312" w:hAnsi="宋体" w:eastAsia="仿宋_GB2312" w:cs="Times New Roman"/>
      <w:color w:val="000000"/>
      <w:sz w:val="24"/>
      <w:szCs w:val="24"/>
    </w:rPr>
  </w:style>
  <w:style w:type="character" w:customStyle="1" w:styleId="54">
    <w:name w:val="font31"/>
    <w:basedOn w:val="42"/>
    <w:qFormat/>
    <w:uiPriority w:val="0"/>
    <w:rPr>
      <w:rFonts w:hint="default" w:ascii="Times New Roman" w:hAnsi="Times New Roman" w:cs="Times New Roman"/>
      <w:color w:val="000000"/>
      <w:sz w:val="20"/>
      <w:szCs w:val="20"/>
      <w:u w:val="none"/>
    </w:rPr>
  </w:style>
  <w:style w:type="character" w:customStyle="1" w:styleId="55">
    <w:name w:val="批注框文本 Char"/>
    <w:link w:val="18"/>
    <w:qFormat/>
    <w:uiPriority w:val="0"/>
    <w:rPr>
      <w:rFonts w:ascii="Times New Roman" w:hAnsi="Times New Roman" w:eastAsia="宋体" w:cs="Times New Roman"/>
      <w:sz w:val="18"/>
      <w:szCs w:val="18"/>
    </w:rPr>
  </w:style>
  <w:style w:type="character" w:customStyle="1" w:styleId="56">
    <w:name w:val="页脚 Char"/>
    <w:link w:val="19"/>
    <w:qFormat/>
    <w:uiPriority w:val="0"/>
    <w:rPr>
      <w:rFonts w:ascii="宋体" w:hAnsi="Times New Roman" w:eastAsia="宋体" w:cs="Times New Roman"/>
      <w:sz w:val="18"/>
    </w:rPr>
  </w:style>
  <w:style w:type="character" w:customStyle="1" w:styleId="57">
    <w:name w:val="正文文本 Char"/>
    <w:link w:val="2"/>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0"/>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1"/>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4"/>
    <w:qFormat/>
    <w:uiPriority w:val="0"/>
    <w:rPr>
      <w:rFonts w:ascii="宋体" w:hAnsi="Courier New" w:eastAsia="宋体" w:cs="Times New Roman"/>
    </w:rPr>
  </w:style>
  <w:style w:type="character" w:customStyle="1" w:styleId="70">
    <w:name w:val="批注文字 Char2"/>
    <w:basedOn w:val="42"/>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3"/>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1"/>
    <w:qFormat/>
    <w:uiPriority w:val="0"/>
    <w:rPr>
      <w:rFonts w:ascii="Times New Roman" w:hAnsi="Times New Roman" w:eastAsia="宋体" w:cs="Times New Roman"/>
      <w:sz w:val="24"/>
      <w:szCs w:val="24"/>
    </w:rPr>
  </w:style>
  <w:style w:type="character" w:customStyle="1" w:styleId="76">
    <w:name w:val="正文文本缩进 2 Char"/>
    <w:basedOn w:val="42"/>
    <w:link w:val="17"/>
    <w:qFormat/>
    <w:uiPriority w:val="0"/>
    <w:rPr>
      <w:rFonts w:ascii="仿宋_GB2312" w:hAnsi="Times New Roman" w:eastAsia="仿宋_GB2312" w:cs="Times New Roman"/>
      <w:sz w:val="24"/>
      <w:szCs w:val="24"/>
    </w:rPr>
  </w:style>
  <w:style w:type="character" w:customStyle="1" w:styleId="77">
    <w:name w:val="正文文本缩进 3 Char"/>
    <w:basedOn w:val="42"/>
    <w:link w:val="25"/>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156"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Chars="200"/>
    </w:pPr>
    <w:rPr>
      <w:rFonts w:ascii="Times New Roman" w:hAnsi="Times New Roman" w:eastAsia="宋体" w:cs="Times New Roman"/>
      <w:kern w:val="0"/>
      <w:sz w:val="20"/>
      <w:szCs w:val="20"/>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89">
    <w:name w:val="索引 11"/>
    <w:basedOn w:val="1"/>
    <w:next w:val="1"/>
    <w:qFormat/>
    <w:uiPriority w:val="0"/>
    <w:pPr>
      <w:spacing w:line="360" w:lineRule="auto"/>
    </w:pPr>
    <w:rPr>
      <w:rFonts w:ascii="仿宋_GB2312" w:eastAsia="仿宋_GB2312"/>
      <w:sz w:val="24"/>
      <w:szCs w:val="20"/>
    </w:rPr>
  </w:style>
  <w:style w:type="paragraph" w:customStyle="1" w:styleId="90">
    <w:name w:val=" Char Char Char Char"/>
    <w:basedOn w:val="1"/>
    <w:qFormat/>
    <w:uiPriority w:val="0"/>
    <w:pPr>
      <w:tabs>
        <w:tab w:val="left" w:pos="360"/>
      </w:tabs>
      <w:ind w:firstLine="420" w:firstLineChars="150"/>
    </w:pPr>
  </w:style>
  <w:style w:type="paragraph" w:styleId="91">
    <w:name w:val="List Paragraph"/>
    <w:basedOn w:val="1"/>
    <w:qFormat/>
    <w:uiPriority w:val="0"/>
    <w:pPr>
      <w:widowControl/>
      <w:ind w:firstLine="420" w:firstLineChars="200"/>
      <w:jc w:val="left"/>
    </w:pPr>
    <w:rPr>
      <w:kern w:val="0"/>
      <w:sz w:val="24"/>
    </w:rPr>
  </w:style>
  <w:style w:type="paragraph" w:customStyle="1" w:styleId="92">
    <w:name w:val="Char"/>
    <w:basedOn w:val="1"/>
    <w:qFormat/>
    <w:uiPriority w:val="0"/>
    <w:pPr>
      <w:tabs>
        <w:tab w:val="left" w:pos="360"/>
      </w:tabs>
    </w:pPr>
    <w:rPr>
      <w:sz w:val="24"/>
    </w:rPr>
  </w:style>
  <w:style w:type="paragraph" w:customStyle="1" w:styleId="93">
    <w:name w:val="列出段落1"/>
    <w:basedOn w:val="1"/>
    <w:qFormat/>
    <w:uiPriority w:val="0"/>
    <w:pPr>
      <w:ind w:firstLine="420" w:firstLineChars="200"/>
    </w:pPr>
    <w:rPr>
      <w:rFonts w:ascii="Calibri" w:hAnsi="Calibri"/>
      <w:szCs w:val="22"/>
    </w:rPr>
  </w:style>
  <w:style w:type="table" w:customStyle="1" w:styleId="94">
    <w:name w:val="中等深浅网格 31"/>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5">
    <w:name w:val="段"/>
    <w:next w:val="1"/>
    <w:qFormat/>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paragraph" w:customStyle="1" w:styleId="9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7">
    <w:name w:val="表格内容"/>
    <w:basedOn w:val="1"/>
    <w:next w:val="1"/>
    <w:qFormat/>
    <w:uiPriority w:val="0"/>
    <w:pPr>
      <w:spacing w:line="240" w:lineRule="auto"/>
    </w:pPr>
    <w:rPr>
      <w:rFonts w:ascii="Times New Roman" w:hAnsi="Times New Roman" w:eastAsia="仿宋" w:cs="Times New Roman"/>
      <w:kern w:val="0"/>
      <w:sz w:val="21"/>
      <w:szCs w:val="20"/>
    </w:rPr>
  </w:style>
  <w:style w:type="character" w:customStyle="1" w:styleId="98">
    <w:name w:val="font11"/>
    <w:basedOn w:val="42"/>
    <w:qFormat/>
    <w:uiPriority w:val="0"/>
    <w:rPr>
      <w:rFonts w:hint="eastAsia" w:ascii="仿宋" w:hAnsi="仿宋" w:eastAsia="仿宋" w:cs="仿宋"/>
      <w:color w:val="000000"/>
      <w:sz w:val="21"/>
      <w:szCs w:val="21"/>
      <w:u w:val="none"/>
    </w:rPr>
  </w:style>
  <w:style w:type="character" w:customStyle="1" w:styleId="99">
    <w:name w:val="font21"/>
    <w:basedOn w:val="42"/>
    <w:qFormat/>
    <w:uiPriority w:val="0"/>
    <w:rPr>
      <w:rFonts w:hint="default" w:ascii="Wingdings 2" w:hAnsi="Wingdings 2" w:eastAsia="Wingdings 2" w:cs="Wingdings 2"/>
      <w:color w:val="000000"/>
      <w:sz w:val="21"/>
      <w:szCs w:val="21"/>
      <w:u w:val="none"/>
    </w:rPr>
  </w:style>
  <w:style w:type="character" w:customStyle="1" w:styleId="100">
    <w:name w:val="font81"/>
    <w:basedOn w:val="42"/>
    <w:qFormat/>
    <w:uiPriority w:val="0"/>
    <w:rPr>
      <w:rFonts w:hint="eastAsia" w:ascii="宋体" w:hAnsi="宋体" w:eastAsia="宋体" w:cs="宋体"/>
      <w:color w:val="000000"/>
      <w:sz w:val="21"/>
      <w:szCs w:val="21"/>
      <w:u w:val="none"/>
    </w:rPr>
  </w:style>
  <w:style w:type="character" w:customStyle="1" w:styleId="101">
    <w:name w:val="font91"/>
    <w:basedOn w:val="42"/>
    <w:qFormat/>
    <w:uiPriority w:val="0"/>
    <w:rPr>
      <w:rFonts w:hint="default" w:ascii="Times New Roman" w:hAnsi="Times New Roman" w:cs="Times New Roman"/>
      <w:color w:val="000000"/>
      <w:sz w:val="22"/>
      <w:szCs w:val="22"/>
      <w:u w:val="none"/>
    </w:rPr>
  </w:style>
  <w:style w:type="character" w:customStyle="1" w:styleId="102">
    <w:name w:val="font112"/>
    <w:basedOn w:val="42"/>
    <w:qFormat/>
    <w:uiPriority w:val="0"/>
    <w:rPr>
      <w:rFonts w:hint="default" w:ascii="Times New Roman" w:hAnsi="Times New Roman" w:cs="Times New Roman"/>
      <w:color w:val="000000"/>
      <w:sz w:val="24"/>
      <w:szCs w:val="24"/>
      <w:u w:val="none"/>
    </w:rPr>
  </w:style>
  <w:style w:type="character" w:customStyle="1" w:styleId="103">
    <w:name w:val="font121"/>
    <w:basedOn w:val="42"/>
    <w:qFormat/>
    <w:uiPriority w:val="0"/>
    <w:rPr>
      <w:rFonts w:hint="eastAsia" w:ascii="宋体" w:hAnsi="宋体" w:eastAsia="宋体" w:cs="宋体"/>
      <w:color w:val="000000"/>
      <w:sz w:val="24"/>
      <w:szCs w:val="24"/>
      <w:u w:val="none"/>
    </w:rPr>
  </w:style>
  <w:style w:type="paragraph" w:customStyle="1" w:styleId="104">
    <w:name w:val="Normal"/>
    <w:basedOn w:val="1"/>
    <w:qFormat/>
    <w:uiPriority w:val="0"/>
    <w:pPr>
      <w:widowControl/>
      <w:spacing w:before="0" w:beforeAutospacing="0" w:after="0" w:afterAutospacing="0"/>
      <w:ind w:left="0" w:right="0"/>
      <w:jc w:val="left"/>
    </w:pPr>
    <w:rPr>
      <w:rFonts w:hint="default" w:ascii="Times New Roman" w:hAnsi="Times New Roman" w:cs="Times New Roman"/>
      <w:kern w:val="0"/>
      <w:sz w:val="24"/>
      <w:szCs w:val="24"/>
      <w:lang w:val="en-US" w:eastAsia="zh-CN" w:bidi="ar"/>
    </w:rPr>
  </w:style>
  <w:style w:type="paragraph" w:customStyle="1" w:styleId="105">
    <w:name w:val="正文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06">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107">
    <w:name w:val="font61"/>
    <w:basedOn w:val="42"/>
    <w:qFormat/>
    <w:uiPriority w:val="0"/>
    <w:rPr>
      <w:rFonts w:hint="default" w:ascii="Calibri" w:hAnsi="Calibri" w:cs="Calibri"/>
      <w:color w:val="FF0000"/>
      <w:sz w:val="20"/>
      <w:szCs w:val="20"/>
      <w:u w:val="none"/>
    </w:rPr>
  </w:style>
  <w:style w:type="character" w:customStyle="1" w:styleId="108">
    <w:name w:val="font51"/>
    <w:basedOn w:val="42"/>
    <w:qFormat/>
    <w:uiPriority w:val="0"/>
    <w:rPr>
      <w:rFonts w:hint="default" w:ascii="Calibri" w:hAnsi="Calibri" w:cs="Calibri"/>
      <w:color w:val="000000"/>
      <w:sz w:val="20"/>
      <w:szCs w:val="20"/>
      <w:u w:val="none"/>
    </w:rPr>
  </w:style>
  <w:style w:type="character" w:customStyle="1" w:styleId="109">
    <w:name w:val="font71"/>
    <w:basedOn w:val="42"/>
    <w:qFormat/>
    <w:uiPriority w:val="0"/>
    <w:rPr>
      <w:rFonts w:hint="eastAsia" w:ascii="宋体" w:hAnsi="宋体" w:eastAsia="宋体" w:cs="宋体"/>
      <w:color w:val="000000"/>
      <w:sz w:val="18"/>
      <w:szCs w:val="18"/>
      <w:u w:val="none"/>
    </w:rPr>
  </w:style>
  <w:style w:type="character" w:customStyle="1" w:styleId="110">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35389</Words>
  <Characters>37582</Characters>
  <Lines>448</Lines>
  <Paragraphs>126</Paragraphs>
  <TotalTime>28</TotalTime>
  <ScaleCrop>false</ScaleCrop>
  <LinksUpToDate>false</LinksUpToDate>
  <CharactersWithSpaces>44046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2020-05-12T03:25:00Z</dcterms:created>
  <dc:creator>JuneW</dc:creator>
  <cp:lastModifiedBy>;</cp:lastModifiedBy>
  <cp:lastPrinted>2021-11-07T03:34:00Z</cp:lastPrinted>
  <dcterms:modified xsi:type="dcterms:W3CDTF">2021-11-15T10:15:26Z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7EAEA0C4AD0B486C8957367008A55FC9</vt:lpwstr>
  </property>
</Properties>
</file>