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spacing w:line="276" w:lineRule="auto"/>
        <w:jc w:val="right"/>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30"/>
          <w:szCs w:val="30"/>
          <w:highlight w:val="none"/>
        </w:rPr>
        <w:t>项目编码：</w:t>
      </w:r>
      <w:r>
        <w:rPr>
          <w:rFonts w:hint="eastAsia" w:ascii="仿宋" w:hAnsi="仿宋" w:eastAsia="仿宋" w:cs="仿宋"/>
          <w:b/>
          <w:color w:val="auto"/>
          <w:sz w:val="30"/>
          <w:szCs w:val="30"/>
          <w:highlight w:val="none"/>
          <w:lang w:eastAsia="zh-CN"/>
        </w:rPr>
        <w:t>HMFYZFCGCS-2021-033</w:t>
      </w:r>
    </w:p>
    <w:p>
      <w:pPr>
        <w:shd w:val="clear"/>
        <w:spacing w:line="276" w:lineRule="auto"/>
        <w:jc w:val="both"/>
        <w:rPr>
          <w:rFonts w:hint="eastAsia" w:ascii="仿宋" w:hAnsi="仿宋" w:eastAsia="仿宋" w:cs="仿宋"/>
          <w:b/>
          <w:color w:val="auto"/>
          <w:sz w:val="44"/>
          <w:highlight w:val="none"/>
        </w:rPr>
      </w:pPr>
    </w:p>
    <w:p>
      <w:pPr>
        <w:shd w:val="clear"/>
        <w:jc w:val="center"/>
        <w:rPr>
          <w:rFonts w:hint="eastAsia" w:ascii="仿宋" w:hAnsi="仿宋" w:eastAsia="仿宋" w:cs="仿宋"/>
          <w:b/>
          <w:color w:val="auto"/>
          <w:sz w:val="72"/>
          <w:szCs w:val="52"/>
          <w:highlight w:val="none"/>
          <w:lang w:eastAsia="zh-CN"/>
        </w:rPr>
      </w:pPr>
      <w:r>
        <w:rPr>
          <w:rFonts w:hint="eastAsia" w:ascii="仿宋" w:hAnsi="仿宋" w:eastAsia="仿宋" w:cs="仿宋"/>
          <w:b/>
          <w:color w:val="auto"/>
          <w:sz w:val="72"/>
          <w:szCs w:val="72"/>
          <w:highlight w:val="none"/>
          <w:lang w:eastAsia="zh-CN"/>
        </w:rPr>
        <w:t>伊吾县吐葫芦乡伊河苑社区排水改造项目</w:t>
      </w:r>
    </w:p>
    <w:p>
      <w:pPr>
        <w:pStyle w:val="16"/>
        <w:shd w:val="clear"/>
        <w:rPr>
          <w:rFonts w:hint="eastAsia" w:ascii="仿宋" w:hAnsi="仿宋" w:eastAsia="仿宋" w:cs="仿宋"/>
          <w:b/>
          <w:color w:val="auto"/>
          <w:sz w:val="44"/>
          <w:szCs w:val="44"/>
          <w:highlight w:val="none"/>
        </w:rPr>
      </w:pPr>
    </w:p>
    <w:p>
      <w:pPr>
        <w:shd w:val="clear"/>
        <w:jc w:val="center"/>
        <w:rPr>
          <w:rFonts w:hint="eastAsia" w:ascii="仿宋" w:hAnsi="仿宋" w:eastAsia="仿宋" w:cs="仿宋"/>
          <w:b/>
          <w:color w:val="auto"/>
          <w:sz w:val="72"/>
          <w:szCs w:val="52"/>
          <w:highlight w:val="none"/>
        </w:rPr>
      </w:pPr>
      <w:r>
        <w:rPr>
          <w:rFonts w:hint="eastAsia" w:ascii="仿宋" w:hAnsi="仿宋" w:eastAsia="仿宋" w:cs="仿宋"/>
          <w:b/>
          <w:color w:val="auto"/>
          <w:sz w:val="72"/>
          <w:szCs w:val="52"/>
          <w:highlight w:val="none"/>
        </w:rPr>
        <w:t>竞争性磋商文件</w:t>
      </w:r>
    </w:p>
    <w:p>
      <w:pPr>
        <w:shd w:val="clear"/>
        <w:spacing w:line="360" w:lineRule="auto"/>
        <w:rPr>
          <w:rFonts w:hint="eastAsia" w:ascii="仿宋" w:hAnsi="仿宋" w:eastAsia="仿宋" w:cs="仿宋"/>
          <w:b/>
          <w:color w:val="auto"/>
          <w:sz w:val="32"/>
          <w:szCs w:val="32"/>
          <w:highlight w:val="none"/>
        </w:rPr>
      </w:pPr>
    </w:p>
    <w:p>
      <w:pPr>
        <w:widowControl/>
        <w:shd w:val="clear"/>
        <w:spacing w:line="480" w:lineRule="auto"/>
        <w:jc w:val="left"/>
        <w:rPr>
          <w:rFonts w:hint="eastAsia" w:ascii="仿宋" w:hAnsi="仿宋" w:eastAsia="仿宋" w:cs="仿宋"/>
          <w:b/>
          <w:color w:val="auto"/>
          <w:sz w:val="30"/>
          <w:szCs w:val="30"/>
          <w:highlight w:val="none"/>
        </w:rPr>
      </w:pPr>
    </w:p>
    <w:p>
      <w:pPr>
        <w:keepNext w:val="0"/>
        <w:keepLines w:val="0"/>
        <w:pageBreakBefore w:val="0"/>
        <w:widowControl w:val="0"/>
        <w:pBdr>
          <w:bottom w:val="none" w:color="auto" w:sz="0" w:space="1"/>
        </w:pBdr>
        <w:shd w:val="clear"/>
        <w:kinsoku/>
        <w:wordWrap/>
        <w:overflowPunct/>
        <w:topLinePunct w:val="0"/>
        <w:autoSpaceDE w:val="0"/>
        <w:autoSpaceDN w:val="0"/>
        <w:bidi w:val="0"/>
        <w:snapToGrid/>
        <w:spacing w:line="700" w:lineRule="exact"/>
        <w:ind w:firstLine="904" w:firstLineChars="300"/>
        <w:jc w:val="left"/>
        <w:textAlignment w:val="auto"/>
        <w:rPr>
          <w:rFonts w:hint="eastAsia" w:ascii="仿宋" w:hAnsi="仿宋" w:eastAsia="仿宋" w:cs="仿宋"/>
          <w:b/>
          <w:i w:val="0"/>
          <w:iCs w:val="0"/>
          <w:color w:val="auto"/>
          <w:kern w:val="0"/>
          <w:sz w:val="30"/>
          <w:szCs w:val="30"/>
          <w:highlight w:val="none"/>
          <w:u w:val="single"/>
          <w:lang w:val="en-US" w:eastAsia="zh-CN"/>
        </w:rPr>
      </w:pPr>
      <w:r>
        <w:rPr>
          <w:rFonts w:hint="eastAsia" w:ascii="仿宋" w:hAnsi="仿宋" w:eastAsia="仿宋" w:cs="仿宋"/>
          <w:b/>
          <w:i w:val="0"/>
          <w:iCs w:val="0"/>
          <w:color w:val="auto"/>
          <w:kern w:val="0"/>
          <w:sz w:val="30"/>
          <w:szCs w:val="30"/>
          <w:highlight w:val="none"/>
        </w:rPr>
        <w:t>工程名称：</w:t>
      </w:r>
      <w:r>
        <w:rPr>
          <w:rFonts w:hint="eastAsia" w:ascii="仿宋" w:hAnsi="仿宋" w:eastAsia="仿宋" w:cs="仿宋"/>
          <w:b/>
          <w:i w:val="0"/>
          <w:iCs w:val="0"/>
          <w:color w:val="auto"/>
          <w:kern w:val="0"/>
          <w:sz w:val="30"/>
          <w:szCs w:val="30"/>
          <w:highlight w:val="none"/>
          <w:u w:val="single"/>
          <w:lang w:eastAsia="zh-CN"/>
        </w:rPr>
        <w:t>伊吾县吐葫芦乡伊河苑社区排水改造项目</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p>
    <w:p>
      <w:pPr>
        <w:pStyle w:val="2"/>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904" w:firstLineChars="3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rPr>
        <w:t>建设单位：</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eastAsia="zh-CN"/>
        </w:rPr>
        <w:t>伊吾县吐葫芦乡人民政府</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p>
    <w:p>
      <w:pPr>
        <w:pStyle w:val="2"/>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904" w:firstLineChars="3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lang w:val="en-US" w:eastAsia="zh-CN"/>
        </w:rPr>
        <w:t>法定代表人</w:t>
      </w:r>
      <w:r>
        <w:rPr>
          <w:rFonts w:hint="eastAsia" w:ascii="仿宋" w:hAnsi="仿宋" w:eastAsia="仿宋" w:cs="仿宋"/>
          <w:b/>
          <w:i w:val="0"/>
          <w:iCs w:val="0"/>
          <w:color w:val="auto"/>
          <w:kern w:val="0"/>
          <w:sz w:val="30"/>
          <w:szCs w:val="30"/>
          <w:highlight w:val="none"/>
        </w:rPr>
        <w:t>：</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p>
    <w:p>
      <w:pPr>
        <w:pStyle w:val="2"/>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904" w:firstLineChars="3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rPr>
        <w:t>项目联系人：</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包鹏科</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rPr>
        <w:t xml:space="preserve"> </w:t>
      </w:r>
      <w:r>
        <w:rPr>
          <w:rFonts w:hint="eastAsia" w:ascii="仿宋" w:hAnsi="仿宋" w:eastAsia="仿宋" w:cs="仿宋"/>
          <w:b/>
          <w:i w:val="0"/>
          <w:iCs w:val="0"/>
          <w:color w:val="auto"/>
          <w:kern w:val="0"/>
          <w:sz w:val="30"/>
          <w:szCs w:val="30"/>
          <w:highlight w:val="none"/>
          <w:lang w:val="en-US" w:eastAsia="zh-CN"/>
        </w:rPr>
        <w:t xml:space="preserve">  </w:t>
      </w:r>
      <w:r>
        <w:rPr>
          <w:rFonts w:hint="eastAsia" w:ascii="仿宋" w:hAnsi="仿宋" w:eastAsia="仿宋" w:cs="仿宋"/>
          <w:b/>
          <w:i w:val="0"/>
          <w:iCs w:val="0"/>
          <w:color w:val="auto"/>
          <w:kern w:val="0"/>
          <w:sz w:val="30"/>
          <w:szCs w:val="30"/>
          <w:highlight w:val="none"/>
        </w:rPr>
        <w:t>联系电话：</w:t>
      </w:r>
      <w:r>
        <w:rPr>
          <w:rFonts w:hint="eastAsia" w:ascii="仿宋" w:hAnsi="仿宋" w:eastAsia="仿宋" w:cs="仿宋"/>
          <w:b/>
          <w:i w:val="0"/>
          <w:iCs w:val="0"/>
          <w:color w:val="auto"/>
          <w:kern w:val="0"/>
          <w:sz w:val="30"/>
          <w:szCs w:val="30"/>
          <w:highlight w:val="none"/>
          <w:u w:val="single"/>
        </w:rPr>
        <w:t xml:space="preserve"> 19915154861</w:t>
      </w: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904" w:firstLineChars="300"/>
        <w:jc w:val="left"/>
        <w:textAlignment w:val="auto"/>
        <w:rPr>
          <w:rFonts w:hint="eastAsia" w:ascii="仿宋" w:hAnsi="仿宋" w:eastAsia="仿宋" w:cs="仿宋"/>
        </w:rPr>
      </w:pPr>
      <w:r>
        <w:rPr>
          <w:rFonts w:hint="eastAsia" w:ascii="仿宋" w:hAnsi="仿宋" w:eastAsia="仿宋" w:cs="仿宋"/>
          <w:b/>
          <w:i w:val="0"/>
          <w:iCs w:val="0"/>
          <w:color w:val="auto"/>
          <w:kern w:val="0"/>
          <w:sz w:val="30"/>
          <w:szCs w:val="30"/>
          <w:highlight w:val="none"/>
        </w:rPr>
        <w:t>招标代理机构：</w:t>
      </w:r>
      <w:r>
        <w:rPr>
          <w:rFonts w:hint="eastAsia" w:ascii="仿宋" w:hAnsi="仿宋" w:eastAsia="仿宋" w:cs="仿宋"/>
          <w:b/>
          <w:i w:val="0"/>
          <w:iCs w:val="0"/>
          <w:color w:val="auto"/>
          <w:kern w:val="0"/>
          <w:sz w:val="30"/>
          <w:szCs w:val="30"/>
          <w:highlight w:val="none"/>
          <w:u w:val="single"/>
        </w:rPr>
        <w:t xml:space="preserve">     哈密丰远造价咨询有限责任公司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p>
    <w:p>
      <w:pPr>
        <w:pStyle w:val="2"/>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904" w:firstLineChars="3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lang w:val="en-US" w:eastAsia="zh-CN"/>
        </w:rPr>
        <w:t>法定代表人</w:t>
      </w:r>
      <w:r>
        <w:rPr>
          <w:rFonts w:hint="eastAsia" w:ascii="仿宋" w:hAnsi="仿宋" w:eastAsia="仿宋" w:cs="仿宋"/>
          <w:b/>
          <w:i w:val="0"/>
          <w:iCs w:val="0"/>
          <w:color w:val="auto"/>
          <w:kern w:val="0"/>
          <w:sz w:val="30"/>
          <w:szCs w:val="30"/>
          <w:highlight w:val="none"/>
        </w:rPr>
        <w:t>：</w:t>
      </w:r>
      <w:r>
        <w:rPr>
          <w:rFonts w:hint="eastAsia" w:ascii="仿宋" w:hAnsi="仿宋" w:eastAsia="仿宋" w:cs="仿宋"/>
          <w:b/>
          <w:i w:val="0"/>
          <w:iCs w:val="0"/>
          <w:color w:val="auto"/>
          <w:kern w:val="0"/>
          <w:sz w:val="30"/>
          <w:szCs w:val="30"/>
          <w:highlight w:val="none"/>
          <w:u w:val="single"/>
        </w:rPr>
        <w:t xml:space="preserve">                                        </w:t>
      </w:r>
    </w:p>
    <w:p>
      <w:pPr>
        <w:pStyle w:val="2"/>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904" w:firstLineChars="3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rPr>
        <w:t>招标代理项目负责人：</w:t>
      </w:r>
      <w:r>
        <w:rPr>
          <w:rFonts w:hint="eastAsia" w:ascii="仿宋" w:hAnsi="仿宋" w:eastAsia="仿宋" w:cs="仿宋"/>
          <w:b/>
          <w:i w:val="0"/>
          <w:iCs w:val="0"/>
          <w:color w:val="auto"/>
          <w:kern w:val="0"/>
          <w:sz w:val="30"/>
          <w:szCs w:val="30"/>
          <w:highlight w:val="none"/>
          <w:u w:val="single"/>
          <w:lang w:val="en-US" w:eastAsia="zh-CN"/>
        </w:rPr>
        <w:t>陈玉霞</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rPr>
        <w:t>联系电话：</w:t>
      </w:r>
      <w:r>
        <w:rPr>
          <w:rFonts w:hint="eastAsia" w:ascii="仿宋" w:hAnsi="仿宋" w:eastAsia="仿宋" w:cs="仿宋"/>
          <w:b/>
          <w:i w:val="0"/>
          <w:iCs w:val="0"/>
          <w:color w:val="auto"/>
          <w:kern w:val="0"/>
          <w:sz w:val="30"/>
          <w:szCs w:val="30"/>
          <w:highlight w:val="none"/>
          <w:u w:val="single"/>
        </w:rPr>
        <w:t>0902-2396617</w:t>
      </w:r>
    </w:p>
    <w:p>
      <w:pPr>
        <w:shd w:val="clear"/>
        <w:autoSpaceDE w:val="0"/>
        <w:autoSpaceDN w:val="0"/>
        <w:adjustRightInd w:val="0"/>
        <w:spacing w:line="480" w:lineRule="auto"/>
        <w:jc w:val="center"/>
        <w:rPr>
          <w:rFonts w:hint="eastAsia" w:ascii="仿宋" w:hAnsi="仿宋" w:eastAsia="仿宋" w:cs="仿宋"/>
          <w:b/>
          <w:color w:val="auto"/>
          <w:sz w:val="30"/>
          <w:szCs w:val="30"/>
          <w:highlight w:val="none"/>
        </w:rPr>
      </w:pPr>
    </w:p>
    <w:p>
      <w:pPr>
        <w:pStyle w:val="25"/>
        <w:shd w:val="clear"/>
        <w:rPr>
          <w:rFonts w:hint="eastAsia" w:ascii="仿宋" w:hAnsi="仿宋" w:eastAsia="仿宋" w:cs="仿宋"/>
          <w:color w:val="auto"/>
          <w:highlight w:val="none"/>
        </w:rPr>
        <w:sectPr>
          <w:headerReference r:id="rId5" w:type="first"/>
          <w:headerReference r:id="rId3" w:type="default"/>
          <w:headerReference r:id="rId4" w:type="even"/>
          <w:pgSz w:w="11906" w:h="16838"/>
          <w:pgMar w:top="1304" w:right="1304" w:bottom="1304" w:left="1304" w:header="851" w:footer="992" w:gutter="0"/>
          <w:cols w:space="425" w:num="1"/>
          <w:docGrid w:type="lines" w:linePitch="312" w:charSpace="0"/>
        </w:sectPr>
      </w:pPr>
    </w:p>
    <w:p>
      <w:pPr>
        <w:pStyle w:val="25"/>
        <w:shd w:val="clear"/>
        <w:rPr>
          <w:rFonts w:hint="eastAsia" w:ascii="仿宋" w:hAnsi="仿宋" w:eastAsia="仿宋" w:cs="仿宋"/>
          <w:color w:val="auto"/>
          <w:highlight w:val="none"/>
        </w:rPr>
      </w:pPr>
    </w:p>
    <w:sdt>
      <w:sdtPr>
        <w:rPr>
          <w:rFonts w:hint="eastAsia" w:ascii="仿宋" w:hAnsi="仿宋" w:eastAsia="仿宋" w:cs="仿宋"/>
          <w:kern w:val="2"/>
          <w:sz w:val="21"/>
          <w:szCs w:val="22"/>
          <w:highlight w:val="none"/>
          <w:lang w:val="en-US" w:eastAsia="zh-CN" w:bidi="ar-SA"/>
        </w:rPr>
        <w:id w:val="147468277"/>
        <w15:color w:val="DBDBDB"/>
        <w:docPartObj>
          <w:docPartGallery w:val="Table of Contents"/>
          <w:docPartUnique/>
        </w:docPartObj>
      </w:sdtPr>
      <w:sdtEndPr>
        <w:rPr>
          <w:rFonts w:hint="eastAsia" w:ascii="仿宋" w:hAnsi="仿宋" w:eastAsia="仿宋" w:cs="仿宋"/>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highlight w:val="none"/>
            </w:rPr>
          </w:pPr>
          <w:bookmarkStart w:id="0" w:name="_Toc14698_WPSOffice_Type1"/>
          <w:r>
            <w:rPr>
              <w:rFonts w:hint="eastAsia" w:ascii="仿宋" w:hAnsi="仿宋" w:eastAsia="仿宋" w:cs="仿宋"/>
              <w:b/>
              <w:bCs/>
              <w:sz w:val="44"/>
              <w:szCs w:val="44"/>
              <w:highlight w:val="none"/>
            </w:rPr>
            <w:t>目录</w:t>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_Toc25197_WPSOffice_Level1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008ec47b-1095-4f2c-953d-b79590b92d8e}"/>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竞争性磋商公告</w:t>
              </w:r>
            </w:sdtContent>
          </w:sdt>
          <w:r>
            <w:rPr>
              <w:rFonts w:hint="eastAsia" w:ascii="仿宋" w:hAnsi="仿宋" w:eastAsia="仿宋" w:cs="仿宋"/>
              <w:sz w:val="28"/>
              <w:szCs w:val="28"/>
              <w:highlight w:val="none"/>
            </w:rPr>
            <w:tab/>
          </w:r>
          <w:bookmarkStart w:id="1" w:name="_Toc25197_WPSOffice_Level1Page"/>
          <w:r>
            <w:rPr>
              <w:rFonts w:hint="eastAsia" w:ascii="仿宋" w:hAnsi="仿宋" w:eastAsia="仿宋" w:cs="仿宋"/>
              <w:sz w:val="28"/>
              <w:szCs w:val="28"/>
              <w:highlight w:val="none"/>
            </w:rPr>
            <w:t>1</w:t>
          </w:r>
          <w:bookmarkEnd w:id="1"/>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_Toc12992_WPSOffice_Level1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f217ceb2-a18e-4dd1-a92d-0b5093ec3428}"/>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第一章  磋商须知</w:t>
              </w:r>
            </w:sdtContent>
          </w:sdt>
          <w:r>
            <w:rPr>
              <w:rFonts w:hint="eastAsia" w:ascii="仿宋" w:hAnsi="仿宋" w:eastAsia="仿宋" w:cs="仿宋"/>
              <w:sz w:val="28"/>
              <w:szCs w:val="28"/>
              <w:highlight w:val="none"/>
            </w:rPr>
            <w:tab/>
          </w:r>
          <w:bookmarkStart w:id="2" w:name="_Toc12992_WPSOffice_Level1Page"/>
          <w:r>
            <w:rPr>
              <w:rFonts w:hint="eastAsia" w:ascii="仿宋" w:hAnsi="仿宋" w:eastAsia="仿宋" w:cs="仿宋"/>
              <w:sz w:val="28"/>
              <w:szCs w:val="28"/>
              <w:highlight w:val="none"/>
            </w:rPr>
            <w:t>6</w:t>
          </w:r>
          <w:bookmarkEnd w:id="2"/>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_Toc10178_WPSOffice_Level1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3a3bc635-7dba-400d-a56e-8dac0db44c59}"/>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第二章 评标办法</w:t>
              </w:r>
            </w:sdtContent>
          </w:sdt>
          <w:r>
            <w:rPr>
              <w:rFonts w:hint="eastAsia" w:ascii="仿宋" w:hAnsi="仿宋" w:eastAsia="仿宋" w:cs="仿宋"/>
              <w:sz w:val="28"/>
              <w:szCs w:val="28"/>
              <w:highlight w:val="none"/>
            </w:rPr>
            <w:tab/>
          </w:r>
          <w:bookmarkStart w:id="3" w:name="_Toc10178_WPSOffice_Level1Page"/>
          <w:r>
            <w:rPr>
              <w:rFonts w:hint="eastAsia" w:ascii="仿宋" w:hAnsi="仿宋" w:eastAsia="仿宋" w:cs="仿宋"/>
              <w:sz w:val="28"/>
              <w:szCs w:val="28"/>
              <w:highlight w:val="none"/>
            </w:rPr>
            <w:t>13</w:t>
          </w:r>
          <w:bookmarkEnd w:id="3"/>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_Toc27809_WPSOffice_Level1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21b5c306-5c89-47bc-bd0f-eaf8ad568e4c}"/>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第三章 合同条款及格式</w:t>
              </w:r>
            </w:sdtContent>
          </w:sdt>
          <w:r>
            <w:rPr>
              <w:rFonts w:hint="eastAsia" w:ascii="仿宋" w:hAnsi="仿宋" w:eastAsia="仿宋" w:cs="仿宋"/>
              <w:sz w:val="28"/>
              <w:szCs w:val="28"/>
              <w:highlight w:val="none"/>
            </w:rPr>
            <w:tab/>
          </w:r>
          <w:bookmarkStart w:id="4" w:name="_Toc27809_WPSOffice_Level1Page"/>
          <w:r>
            <w:rPr>
              <w:rFonts w:hint="eastAsia" w:ascii="仿宋" w:hAnsi="仿宋" w:eastAsia="仿宋" w:cs="仿宋"/>
              <w:sz w:val="28"/>
              <w:szCs w:val="28"/>
              <w:highlight w:val="none"/>
            </w:rPr>
            <w:t>19</w:t>
          </w:r>
          <w:bookmarkEnd w:id="4"/>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_Toc2304_WPSOffice_Level1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9ae7cac8-a14c-4b6d-bfa7-0689a26f598d}"/>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第四章  技术规范</w:t>
              </w:r>
            </w:sdtContent>
          </w:sdt>
          <w:r>
            <w:rPr>
              <w:rFonts w:hint="eastAsia" w:ascii="仿宋" w:hAnsi="仿宋" w:eastAsia="仿宋" w:cs="仿宋"/>
              <w:sz w:val="28"/>
              <w:szCs w:val="28"/>
              <w:highlight w:val="none"/>
            </w:rPr>
            <w:tab/>
          </w:r>
          <w:bookmarkStart w:id="5" w:name="_Toc2304_WPSOffice_Level1Page"/>
          <w:r>
            <w:rPr>
              <w:rFonts w:hint="eastAsia" w:ascii="仿宋" w:hAnsi="仿宋" w:eastAsia="仿宋" w:cs="仿宋"/>
              <w:sz w:val="28"/>
              <w:szCs w:val="28"/>
              <w:highlight w:val="none"/>
            </w:rPr>
            <w:t>22</w:t>
          </w:r>
          <w:bookmarkEnd w:id="5"/>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_Toc11993_WPSOffice_Level1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4f155d4a-b989-4bac-8293-afd63e201bf9}"/>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第五章  图纸和技术资料</w:t>
              </w:r>
            </w:sdtContent>
          </w:sdt>
          <w:r>
            <w:rPr>
              <w:rFonts w:hint="eastAsia" w:ascii="仿宋" w:hAnsi="仿宋" w:eastAsia="仿宋" w:cs="仿宋"/>
              <w:sz w:val="28"/>
              <w:szCs w:val="28"/>
              <w:highlight w:val="none"/>
            </w:rPr>
            <w:tab/>
          </w:r>
          <w:bookmarkStart w:id="6" w:name="_Toc11993_WPSOffice_Level1Page"/>
          <w:r>
            <w:rPr>
              <w:rFonts w:hint="eastAsia" w:ascii="仿宋" w:hAnsi="仿宋" w:eastAsia="仿宋" w:cs="仿宋"/>
              <w:sz w:val="28"/>
              <w:szCs w:val="28"/>
              <w:highlight w:val="none"/>
            </w:rPr>
            <w:t>22</w:t>
          </w:r>
          <w:bookmarkEnd w:id="6"/>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_Toc22686_WPSOffice_Level1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3902513f-b5ed-451d-9f1e-60f6a01c8c03}"/>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第六章 工程量清单</w:t>
              </w:r>
            </w:sdtContent>
          </w:sdt>
          <w:r>
            <w:rPr>
              <w:rFonts w:hint="eastAsia" w:ascii="仿宋" w:hAnsi="仿宋" w:eastAsia="仿宋" w:cs="仿宋"/>
              <w:sz w:val="28"/>
              <w:szCs w:val="28"/>
              <w:highlight w:val="none"/>
            </w:rPr>
            <w:tab/>
          </w:r>
          <w:bookmarkStart w:id="7" w:name="_Toc22686_WPSOffice_Level1Page"/>
          <w:r>
            <w:rPr>
              <w:rFonts w:hint="eastAsia" w:ascii="仿宋" w:hAnsi="仿宋" w:eastAsia="仿宋" w:cs="仿宋"/>
              <w:sz w:val="28"/>
              <w:szCs w:val="28"/>
              <w:highlight w:val="none"/>
            </w:rPr>
            <w:t>22</w:t>
          </w:r>
          <w:bookmarkEnd w:id="7"/>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_Toc9423_WPSOffice_Level1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9307ffa1-79a4-4e7f-95bd-67946ad18928}"/>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第七章 响应文件格式</w:t>
              </w:r>
            </w:sdtContent>
          </w:sdt>
          <w:r>
            <w:rPr>
              <w:rFonts w:hint="eastAsia" w:ascii="仿宋" w:hAnsi="仿宋" w:eastAsia="仿宋" w:cs="仿宋"/>
              <w:sz w:val="28"/>
              <w:szCs w:val="28"/>
              <w:highlight w:val="none"/>
            </w:rPr>
            <w:tab/>
          </w:r>
          <w:bookmarkStart w:id="8" w:name="_Toc9423_WPSOffice_Level1Page"/>
          <w:r>
            <w:rPr>
              <w:rFonts w:hint="eastAsia" w:ascii="仿宋" w:hAnsi="仿宋" w:eastAsia="仿宋" w:cs="仿宋"/>
              <w:sz w:val="28"/>
              <w:szCs w:val="28"/>
              <w:highlight w:val="none"/>
            </w:rPr>
            <w:t>23</w:t>
          </w:r>
          <w:bookmarkEnd w:id="8"/>
          <w:r>
            <w:rPr>
              <w:rFonts w:hint="eastAsia" w:ascii="仿宋" w:hAnsi="仿宋" w:eastAsia="仿宋" w:cs="仿宋"/>
              <w:sz w:val="28"/>
              <w:szCs w:val="28"/>
              <w:highlight w:val="none"/>
            </w:rPr>
            <w:fldChar w:fldCharType="end"/>
          </w:r>
        </w:p>
        <w:p>
          <w:pPr>
            <w:pStyle w:val="104"/>
            <w:keepNext w:val="0"/>
            <w:keepLines w:val="0"/>
            <w:pageBreakBefore w:val="0"/>
            <w:widowControl/>
            <w:tabs>
              <w:tab w:val="right" w:leader="dot" w:pos="9298"/>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_Toc20847_WPSOffice_Level1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9f3071c7-e9f6-4474-b90a-a20ad00ac9e2}"/>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第八章  补充条款</w:t>
              </w:r>
            </w:sdtContent>
          </w:sdt>
          <w:r>
            <w:rPr>
              <w:rFonts w:hint="eastAsia" w:ascii="仿宋" w:hAnsi="仿宋" w:eastAsia="仿宋" w:cs="仿宋"/>
              <w:sz w:val="28"/>
              <w:szCs w:val="28"/>
              <w:highlight w:val="none"/>
            </w:rPr>
            <w:tab/>
          </w:r>
          <w:bookmarkStart w:id="9" w:name="_Toc20847_WPSOffice_Level1Page"/>
          <w:r>
            <w:rPr>
              <w:rFonts w:hint="eastAsia" w:ascii="仿宋" w:hAnsi="仿宋" w:eastAsia="仿宋" w:cs="仿宋"/>
              <w:sz w:val="28"/>
              <w:szCs w:val="28"/>
              <w:highlight w:val="none"/>
            </w:rPr>
            <w:t>39</w:t>
          </w:r>
          <w:bookmarkEnd w:id="9"/>
          <w:r>
            <w:rPr>
              <w:rFonts w:hint="eastAsia" w:ascii="仿宋" w:hAnsi="仿宋" w:eastAsia="仿宋" w:cs="仿宋"/>
              <w:sz w:val="28"/>
              <w:szCs w:val="28"/>
              <w:highlight w:val="none"/>
            </w:rPr>
            <w:fldChar w:fldCharType="end"/>
          </w:r>
          <w:bookmarkEnd w:id="0"/>
        </w:p>
      </w:sdtContent>
    </w:sdt>
    <w:p>
      <w:pPr>
        <w:rPr>
          <w:rFonts w:hint="eastAsia" w:ascii="仿宋" w:hAnsi="仿宋" w:eastAsia="仿宋" w:cs="仿宋"/>
          <w:sz w:val="28"/>
          <w:szCs w:val="28"/>
          <w:highlight w:val="none"/>
        </w:rPr>
      </w:pPr>
    </w:p>
    <w:p>
      <w:pPr>
        <w:pStyle w:val="18"/>
        <w:shd w:val="clear"/>
        <w:spacing w:line="360" w:lineRule="auto"/>
        <w:ind w:firstLine="210"/>
        <w:rPr>
          <w:rFonts w:hint="eastAsia" w:ascii="仿宋" w:hAnsi="仿宋" w:eastAsia="仿宋" w:cs="仿宋"/>
          <w:color w:val="auto"/>
          <w:szCs w:val="22"/>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"1-3" \h \z \u </w:instrText>
      </w:r>
      <w:r>
        <w:rPr>
          <w:rFonts w:hint="eastAsia" w:ascii="仿宋" w:hAnsi="仿宋" w:eastAsia="仿宋" w:cs="仿宋"/>
          <w:b/>
          <w:bCs/>
          <w:color w:val="auto"/>
          <w:sz w:val="28"/>
          <w:szCs w:val="28"/>
          <w:highlight w:val="none"/>
        </w:rPr>
        <w:fldChar w:fldCharType="separate"/>
      </w:r>
    </w:p>
    <w:p>
      <w:pPr>
        <w:shd w:val="clear"/>
        <w:rPr>
          <w:rFonts w:hint="eastAsia" w:ascii="仿宋" w:hAnsi="仿宋" w:eastAsia="仿宋" w:cs="仿宋"/>
          <w:color w:val="auto"/>
          <w:highlight w:val="none"/>
        </w:rPr>
      </w:pPr>
      <w:r>
        <w:rPr>
          <w:rFonts w:hint="eastAsia" w:ascii="仿宋" w:hAnsi="仿宋" w:eastAsia="仿宋" w:cs="仿宋"/>
          <w:color w:val="auto"/>
          <w:kern w:val="36"/>
          <w:highlight w:val="none"/>
        </w:rPr>
        <w:fldChar w:fldCharType="end"/>
      </w:r>
      <w:bookmarkStart w:id="10" w:name="_Toc52289615"/>
      <w:bookmarkStart w:id="11" w:name="_Toc52290015"/>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bidi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伊吾县吐葫芦乡伊河苑社区排水改造项目</w:t>
      </w:r>
    </w:p>
    <w:p>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伊吾县吐葫芦乡伊河苑社区排水改造项目</w:t>
      </w:r>
      <w:r>
        <w:rPr>
          <w:rFonts w:hint="eastAsia" w:ascii="仿宋" w:hAnsi="仿宋" w:eastAsia="仿宋" w:cs="仿宋"/>
          <w:sz w:val="28"/>
          <w:szCs w:val="28"/>
        </w:rPr>
        <w:t>，招标人为</w:t>
      </w:r>
      <w:r>
        <w:rPr>
          <w:rFonts w:hint="eastAsia" w:ascii="仿宋" w:hAnsi="仿宋" w:eastAsia="仿宋" w:cs="仿宋"/>
          <w:b/>
          <w:bCs/>
          <w:sz w:val="28"/>
          <w:szCs w:val="28"/>
        </w:rPr>
        <w:t>伊吾县吐葫芦乡人民政府</w:t>
      </w:r>
      <w:r>
        <w:rPr>
          <w:rFonts w:hint="eastAsia" w:ascii="仿宋" w:hAnsi="仿宋" w:eastAsia="仿宋" w:cs="仿宋"/>
          <w:sz w:val="28"/>
          <w:szCs w:val="28"/>
          <w:highlight w:val="none"/>
          <w:lang w:eastAsia="zh-CN"/>
        </w:rPr>
        <w:t>，</w:t>
      </w:r>
      <w:r>
        <w:rPr>
          <w:rFonts w:hint="eastAsia" w:ascii="仿宋" w:hAnsi="仿宋" w:eastAsia="仿宋" w:cs="仿宋"/>
          <w:sz w:val="28"/>
          <w:szCs w:val="28"/>
        </w:rPr>
        <w:t>工程所需资金来源为</w:t>
      </w:r>
      <w:r>
        <w:rPr>
          <w:rFonts w:hint="eastAsia" w:ascii="仿宋" w:hAnsi="仿宋" w:eastAsia="仿宋" w:cs="仿宋"/>
          <w:b/>
          <w:bCs/>
          <w:sz w:val="28"/>
          <w:szCs w:val="28"/>
          <w:lang w:val="en-US" w:eastAsia="zh-CN"/>
        </w:rPr>
        <w:t>水库移民资金</w:t>
      </w:r>
      <w:r>
        <w:rPr>
          <w:rFonts w:hint="eastAsia" w:ascii="仿宋" w:hAnsi="仿宋" w:eastAsia="仿宋" w:cs="仿宋"/>
          <w:sz w:val="28"/>
          <w:szCs w:val="28"/>
        </w:rPr>
        <w:t>。计划</w:t>
      </w:r>
      <w:r>
        <w:rPr>
          <w:rFonts w:hint="eastAsia" w:ascii="仿宋" w:hAnsi="仿宋" w:eastAsia="仿宋" w:cs="仿宋"/>
          <w:sz w:val="28"/>
          <w:szCs w:val="28"/>
          <w:lang w:val="en-US" w:eastAsia="zh-CN"/>
        </w:rPr>
        <w:t>总</w:t>
      </w:r>
      <w:r>
        <w:rPr>
          <w:rFonts w:hint="eastAsia" w:ascii="仿宋" w:hAnsi="仿宋" w:eastAsia="仿宋" w:cs="仿宋"/>
          <w:sz w:val="28"/>
          <w:szCs w:val="28"/>
        </w:rPr>
        <w:t>投资额：</w:t>
      </w:r>
      <w:r>
        <w:rPr>
          <w:rFonts w:hint="eastAsia" w:ascii="仿宋" w:hAnsi="仿宋" w:eastAsia="仿宋" w:cs="仿宋"/>
          <w:b/>
          <w:bCs/>
          <w:sz w:val="28"/>
          <w:szCs w:val="28"/>
          <w:lang w:val="en-US" w:eastAsia="zh-CN"/>
        </w:rPr>
        <w:t>24.78万元</w:t>
      </w:r>
      <w:r>
        <w:rPr>
          <w:rFonts w:hint="eastAsia" w:ascii="仿宋" w:hAnsi="仿宋" w:eastAsia="仿宋" w:cs="仿宋"/>
          <w:sz w:val="28"/>
          <w:szCs w:val="28"/>
          <w:lang w:eastAsia="zh-CN"/>
        </w:rPr>
        <w:t>。</w:t>
      </w:r>
      <w:r>
        <w:rPr>
          <w:rFonts w:hint="eastAsia" w:ascii="仿宋" w:hAnsi="仿宋" w:eastAsia="仿宋" w:cs="仿宋"/>
          <w:sz w:val="28"/>
          <w:szCs w:val="28"/>
        </w:rPr>
        <w:t>项目已具备招标条件，现对该项目进行</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。评标办法为综合评估法（工程量清单计价方式）</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12" w:name="_Toc28359089"/>
      <w:bookmarkStart w:id="13" w:name="_Toc35393798"/>
      <w:bookmarkStart w:id="14" w:name="_Toc15958"/>
      <w:bookmarkStart w:id="15" w:name="_Toc28359012"/>
      <w:bookmarkStart w:id="16" w:name="_Toc35393629"/>
      <w:r>
        <w:rPr>
          <w:rFonts w:hint="eastAsia" w:ascii="仿宋" w:hAnsi="仿宋" w:eastAsia="仿宋" w:cs="仿宋"/>
          <w:b/>
          <w:bCs/>
          <w:sz w:val="28"/>
          <w:szCs w:val="28"/>
        </w:rPr>
        <w:t>一、项目基本情况</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项目编号</w:t>
      </w:r>
      <w:r>
        <w:rPr>
          <w:rFonts w:hint="eastAsia" w:ascii="仿宋" w:hAnsi="仿宋" w:eastAsia="仿宋" w:cs="仿宋"/>
          <w:sz w:val="28"/>
          <w:szCs w:val="28"/>
          <w:lang w:eastAsia="zh-CN"/>
        </w:rPr>
        <w:t>：</w:t>
      </w:r>
      <w:r>
        <w:rPr>
          <w:rFonts w:hint="eastAsia" w:ascii="仿宋" w:hAnsi="仿宋" w:eastAsia="仿宋" w:cs="仿宋"/>
          <w:b w:val="0"/>
          <w:bCs w:val="0"/>
          <w:sz w:val="28"/>
          <w:szCs w:val="28"/>
          <w:lang w:eastAsia="zh-CN"/>
        </w:rPr>
        <w:t>HMFYZFCGCS-2021-03</w:t>
      </w:r>
      <w:r>
        <w:rPr>
          <w:rFonts w:hint="eastAsia" w:ascii="仿宋" w:hAnsi="仿宋" w:eastAsia="仿宋" w:cs="仿宋"/>
          <w:b w:val="0"/>
          <w:bCs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rPr>
        <w:t>项目名称</w:t>
      </w:r>
      <w:r>
        <w:rPr>
          <w:rFonts w:hint="eastAsia" w:ascii="仿宋" w:hAnsi="仿宋" w:eastAsia="仿宋" w:cs="仿宋"/>
          <w:sz w:val="28"/>
          <w:szCs w:val="28"/>
        </w:rPr>
        <w:t>：</w:t>
      </w:r>
      <w:r>
        <w:rPr>
          <w:rFonts w:hint="eastAsia" w:ascii="仿宋" w:hAnsi="仿宋" w:eastAsia="仿宋" w:cs="仿宋"/>
          <w:sz w:val="28"/>
          <w:szCs w:val="28"/>
          <w:lang w:eastAsia="zh-CN"/>
        </w:rPr>
        <w:t>伊吾县吐葫芦乡伊河苑社区排水改造项目</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工程规模及内容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改造排水管网500米、配套设施及垃圾清运，详见工程说明和工程量清单。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工期：</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天</w:t>
      </w:r>
      <w:r>
        <w:rPr>
          <w:rFonts w:hint="eastAsia" w:ascii="仿宋" w:hAnsi="仿宋" w:eastAsia="仿宋" w:cs="仿宋"/>
          <w:sz w:val="28"/>
          <w:szCs w:val="28"/>
        </w:rPr>
        <w:t>（如因天气原因，无法施工的情况，则顺延工期到明年）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开工日期：2021年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竣工日期：202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17" w:name="_Toc7266"/>
      <w:bookmarkStart w:id="18" w:name="_Toc28359090"/>
      <w:bookmarkStart w:id="19" w:name="_Toc28359013"/>
      <w:bookmarkStart w:id="20" w:name="_Toc35393799"/>
      <w:bookmarkStart w:id="21" w:name="_Toc35393630"/>
      <w:r>
        <w:rPr>
          <w:rFonts w:hint="eastAsia" w:ascii="仿宋" w:hAnsi="仿宋" w:eastAsia="仿宋" w:cs="仿宋"/>
          <w:b/>
          <w:bCs/>
          <w:sz w:val="28"/>
          <w:szCs w:val="28"/>
        </w:rPr>
        <w:t>二、申请人的资格要求：</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1、符合《中华人民共和国政府采购法》第二十二条的规定</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（1）具有独立承担民事责任的能力，提供有效的三证合一营业执照副本原件；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（2）具有良好的商业信誉和健全的财务会计制度，提供2020年的财务审计报告或财务报表（</w:t>
      </w:r>
      <w:r>
        <w:rPr>
          <w:rFonts w:hint="eastAsia" w:ascii="仿宋" w:hAnsi="仿宋" w:eastAsia="仿宋" w:cs="仿宋"/>
          <w:sz w:val="28"/>
          <w:szCs w:val="28"/>
        </w:rPr>
        <w:t>如供应商新成立的，则提供成立至今的月或季度财务状况报告</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（3）投标人具有</w:t>
      </w:r>
      <w:r>
        <w:rPr>
          <w:rFonts w:hint="eastAsia" w:ascii="仿宋" w:hAnsi="仿宋" w:eastAsia="仿宋" w:cs="仿宋"/>
          <w:sz w:val="28"/>
          <w:szCs w:val="28"/>
        </w:rPr>
        <w:t>履行合同所必需的设备和专业技术能力</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（4）具有依法缴纳税收和社会保障资金的良好记录，提供近3个月依法缴纳税收和缴纳社会保障资金的证明；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w:t>
      </w:r>
      <w:r>
        <w:rPr>
          <w:rFonts w:hint="eastAsia" w:ascii="仿宋" w:hAnsi="仿宋" w:eastAsia="仿宋" w:cs="仿宋"/>
          <w:sz w:val="28"/>
          <w:szCs w:val="28"/>
          <w:lang w:val="en-US" w:eastAsia="zh-CN"/>
        </w:rPr>
        <w:t>企业</w:t>
      </w:r>
      <w:r>
        <w:rPr>
          <w:rFonts w:hint="eastAsia" w:ascii="仿宋" w:hAnsi="仿宋" w:eastAsia="仿宋" w:cs="仿宋"/>
          <w:sz w:val="28"/>
          <w:szCs w:val="28"/>
        </w:rPr>
        <w:t>须具备</w:t>
      </w:r>
      <w:r>
        <w:rPr>
          <w:rFonts w:hint="eastAsia" w:ascii="仿宋" w:hAnsi="仿宋" w:eastAsia="仿宋" w:cs="仿宋"/>
          <w:b/>
          <w:bCs/>
          <w:sz w:val="28"/>
          <w:szCs w:val="28"/>
        </w:rPr>
        <w:t>建筑工程施工总承包叁级（含叁级）以上</w:t>
      </w:r>
      <w:r>
        <w:rPr>
          <w:rFonts w:hint="eastAsia" w:ascii="仿宋" w:hAnsi="仿宋" w:eastAsia="仿宋" w:cs="仿宋"/>
          <w:b/>
          <w:bCs/>
          <w:sz w:val="28"/>
          <w:szCs w:val="28"/>
          <w:highlight w:val="none"/>
        </w:rPr>
        <w:t>资质</w:t>
      </w:r>
      <w:r>
        <w:rPr>
          <w:rFonts w:hint="eastAsia" w:ascii="仿宋" w:hAnsi="仿宋" w:eastAsia="仿宋" w:cs="仿宋"/>
          <w:sz w:val="28"/>
          <w:szCs w:val="28"/>
        </w:rPr>
        <w:t>、有效的安全生产许可证；外埠企业须在新疆建设云进行信息报送，开标现场提供新疆工程建设云上打印的企业信息报送册或现场提供进疆登记备案册；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建造师资格须具备</w:t>
      </w:r>
      <w:r>
        <w:rPr>
          <w:rFonts w:hint="eastAsia" w:ascii="仿宋" w:hAnsi="仿宋" w:eastAsia="仿宋" w:cs="仿宋"/>
          <w:b/>
          <w:bCs/>
          <w:sz w:val="28"/>
          <w:szCs w:val="28"/>
        </w:rPr>
        <w:t>建筑工程专业</w:t>
      </w:r>
      <w:r>
        <w:rPr>
          <w:rFonts w:hint="eastAsia" w:ascii="仿宋" w:hAnsi="仿宋" w:eastAsia="仿宋" w:cs="仿宋"/>
          <w:sz w:val="28"/>
          <w:szCs w:val="28"/>
          <w:highlight w:val="none"/>
        </w:rPr>
        <w:t>贰级</w:t>
      </w:r>
      <w:r>
        <w:rPr>
          <w:rFonts w:hint="eastAsia" w:ascii="仿宋" w:hAnsi="仿宋" w:eastAsia="仿宋" w:cs="仿宋"/>
          <w:sz w:val="28"/>
          <w:szCs w:val="28"/>
        </w:rPr>
        <w:t>及以上注册建造师执业资格；</w:t>
      </w:r>
      <w:r>
        <w:rPr>
          <w:rFonts w:hint="eastAsia" w:ascii="仿宋" w:hAnsi="仿宋" w:eastAsia="仿宋" w:cs="仿宋"/>
          <w:sz w:val="28"/>
          <w:szCs w:val="28"/>
          <w:lang w:val="en-US" w:eastAsia="zh-CN"/>
        </w:rPr>
        <w:t>具备有效的安全生产考核证书；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投标人自201</w:t>
      </w:r>
      <w:r>
        <w:rPr>
          <w:rFonts w:hint="eastAsia" w:ascii="仿宋" w:hAnsi="仿宋" w:eastAsia="仿宋" w:cs="仿宋"/>
          <w:sz w:val="28"/>
          <w:szCs w:val="28"/>
          <w:lang w:val="en-US" w:eastAsia="zh-CN"/>
        </w:rPr>
        <w:t>8</w:t>
      </w:r>
      <w:r>
        <w:rPr>
          <w:rFonts w:hint="eastAsia" w:ascii="仿宋" w:hAnsi="仿宋" w:eastAsia="仿宋" w:cs="仿宋"/>
          <w:sz w:val="28"/>
          <w:szCs w:val="28"/>
        </w:rPr>
        <w:t>年1月1日以来（以合同签订时间为准）至少承担过一项类似项目施工业绩（须提供中标通知书</w:t>
      </w:r>
      <w:r>
        <w:rPr>
          <w:rFonts w:hint="eastAsia" w:ascii="仿宋" w:hAnsi="仿宋" w:eastAsia="仿宋" w:cs="仿宋"/>
          <w:sz w:val="28"/>
          <w:szCs w:val="28"/>
          <w:lang w:val="en-US" w:eastAsia="zh-CN"/>
        </w:rPr>
        <w:t>、</w:t>
      </w:r>
      <w:r>
        <w:rPr>
          <w:rFonts w:hint="eastAsia" w:ascii="仿宋" w:hAnsi="仿宋" w:eastAsia="仿宋" w:cs="仿宋"/>
          <w:sz w:val="28"/>
          <w:szCs w:val="28"/>
        </w:rPr>
        <w:t>施工合同</w:t>
      </w:r>
      <w:r>
        <w:rPr>
          <w:rFonts w:hint="eastAsia" w:ascii="仿宋" w:hAnsi="仿宋" w:eastAsia="仿宋" w:cs="仿宋"/>
          <w:sz w:val="28"/>
          <w:szCs w:val="28"/>
          <w:lang w:val="en-US" w:eastAsia="zh-CN"/>
        </w:rPr>
        <w:t>、</w:t>
      </w:r>
      <w:r>
        <w:rPr>
          <w:rFonts w:hint="eastAsia" w:ascii="仿宋" w:hAnsi="仿宋" w:eastAsia="仿宋" w:cs="仿宋"/>
          <w:sz w:val="28"/>
          <w:szCs w:val="28"/>
        </w:rPr>
        <w:t>竣工验收报告</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本项目</w:t>
      </w:r>
      <w:r>
        <w:rPr>
          <w:rFonts w:hint="eastAsia" w:ascii="仿宋" w:hAnsi="仿宋" w:eastAsia="仿宋" w:cs="仿宋"/>
          <w:sz w:val="28"/>
          <w:szCs w:val="28"/>
          <w:lang w:eastAsia="zh-CN"/>
        </w:rPr>
        <w:t>不</w:t>
      </w:r>
      <w:r>
        <w:rPr>
          <w:rFonts w:hint="eastAsia" w:ascii="仿宋" w:hAnsi="仿宋" w:eastAsia="仿宋" w:cs="仿宋"/>
          <w:sz w:val="28"/>
          <w:szCs w:val="28"/>
        </w:rPr>
        <w:t>接受联合体。</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根据《关于在行政事项中使用信用记录和信用报告的实施方案》（哈市发改经贸〔2021〕1号）文件规定，在政府采购领域，供应商的信用状况将作为参与政府采购活动资格审查、评标的重要依据之一，供应商在投标前需要提供综合信用评价报告，对信用等级为D级的供应商，拒绝其参与政府采购活动。综合信用评价报告出具方式：可前往哈密市发展改革委备案通过的信用服务机构网站建立信用档案，出具信用报告。网址：http://www.xhlfzx.com.cn，地址：哈密市融合路2号哈密市政务服务和公共资源交易中心二楼203房间信用服务窗口。联系电话：0902-2203560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22" w:name="_Toc28359091"/>
      <w:bookmarkStart w:id="23" w:name="_Toc35393800"/>
      <w:bookmarkStart w:id="24" w:name="_Toc28359014"/>
      <w:bookmarkStart w:id="25" w:name="_Toc22676"/>
      <w:bookmarkStart w:id="26" w:name="_Toc35393631"/>
      <w:r>
        <w:rPr>
          <w:rFonts w:hint="eastAsia" w:ascii="仿宋" w:hAnsi="仿宋" w:eastAsia="仿宋" w:cs="仿宋"/>
          <w:b/>
          <w:bCs/>
          <w:sz w:val="28"/>
          <w:szCs w:val="28"/>
        </w:rPr>
        <w:t>三、获取</w:t>
      </w:r>
      <w:r>
        <w:rPr>
          <w:rFonts w:hint="eastAsia" w:ascii="仿宋" w:hAnsi="仿宋" w:eastAsia="仿宋" w:cs="仿宋"/>
          <w:b/>
          <w:bCs/>
          <w:sz w:val="28"/>
          <w:szCs w:val="28"/>
          <w:lang w:val="en-US" w:eastAsia="zh-CN"/>
        </w:rPr>
        <w:t>竞争性磋商</w:t>
      </w:r>
      <w:r>
        <w:rPr>
          <w:rFonts w:hint="eastAsia" w:ascii="仿宋" w:hAnsi="仿宋" w:eastAsia="仿宋" w:cs="仿宋"/>
          <w:b/>
          <w:bCs/>
          <w:sz w:val="28"/>
          <w:szCs w:val="28"/>
        </w:rPr>
        <w:t>文件</w:t>
      </w:r>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2021年11月16日</w:t>
      </w:r>
      <w:r>
        <w:rPr>
          <w:rFonts w:hint="eastAsia" w:ascii="仿宋" w:hAnsi="仿宋" w:eastAsia="仿宋" w:cs="仿宋"/>
          <w:sz w:val="28"/>
          <w:szCs w:val="28"/>
        </w:rPr>
        <w:t>至</w:t>
      </w: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文件的发售期限自开始之日起不得少于</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个工作日），每天上午</w:t>
      </w:r>
      <w:r>
        <w:rPr>
          <w:rFonts w:hint="eastAsia" w:ascii="仿宋" w:hAnsi="仿宋" w:eastAsia="仿宋" w:cs="仿宋"/>
          <w:sz w:val="28"/>
          <w:szCs w:val="28"/>
          <w:lang w:val="en-US" w:eastAsia="zh-CN"/>
        </w:rPr>
        <w:t>9：30</w:t>
      </w:r>
      <w:r>
        <w:rPr>
          <w:rFonts w:hint="eastAsia" w:ascii="仿宋" w:hAnsi="仿宋" w:eastAsia="仿宋" w:cs="仿宋"/>
          <w:sz w:val="28"/>
          <w:szCs w:val="28"/>
        </w:rPr>
        <w:t>至</w:t>
      </w:r>
      <w:r>
        <w:rPr>
          <w:rFonts w:hint="eastAsia" w:ascii="仿宋" w:hAnsi="仿宋" w:eastAsia="仿宋" w:cs="仿宋"/>
          <w:sz w:val="28"/>
          <w:szCs w:val="28"/>
          <w:lang w:val="en-US" w:eastAsia="zh-CN"/>
        </w:rPr>
        <w:t>13：30</w:t>
      </w:r>
      <w:r>
        <w:rPr>
          <w:rFonts w:hint="eastAsia" w:ascii="仿宋" w:hAnsi="仿宋" w:eastAsia="仿宋" w:cs="仿宋"/>
          <w:sz w:val="28"/>
          <w:szCs w:val="28"/>
        </w:rPr>
        <w:t>，下午</w:t>
      </w:r>
      <w:r>
        <w:rPr>
          <w:rFonts w:hint="eastAsia" w:ascii="仿宋" w:hAnsi="仿宋" w:eastAsia="仿宋" w:cs="仿宋"/>
          <w:sz w:val="28"/>
          <w:szCs w:val="28"/>
          <w:lang w:val="en-US" w:eastAsia="zh-CN"/>
        </w:rPr>
        <w:t>15：30</w:t>
      </w:r>
      <w:r>
        <w:rPr>
          <w:rFonts w:hint="eastAsia" w:ascii="仿宋" w:hAnsi="仿宋" w:eastAsia="仿宋" w:cs="仿宋"/>
          <w:sz w:val="28"/>
          <w:szCs w:val="28"/>
        </w:rPr>
        <w:t>至</w:t>
      </w:r>
      <w:r>
        <w:rPr>
          <w:rFonts w:hint="eastAsia" w:ascii="仿宋" w:hAnsi="仿宋" w:eastAsia="仿宋" w:cs="仿宋"/>
          <w:sz w:val="28"/>
          <w:szCs w:val="28"/>
          <w:lang w:val="en-US" w:eastAsia="zh-CN"/>
        </w:rPr>
        <w:t>19：30</w:t>
      </w:r>
      <w:r>
        <w:rPr>
          <w:rFonts w:hint="eastAsia" w:ascii="仿宋" w:hAnsi="仿宋" w:eastAsia="仿宋" w:cs="仿宋"/>
          <w:sz w:val="28"/>
          <w:szCs w:val="28"/>
        </w:rPr>
        <w:t>（北京时间，法定节假日除外）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w:t>
      </w:r>
      <w:bookmarkStart w:id="27" w:name="_Toc35393801"/>
      <w:bookmarkStart w:id="28" w:name="_Toc28359015"/>
      <w:bookmarkStart w:id="29" w:name="_Toc28359092"/>
      <w:bookmarkStart w:id="30" w:name="_Toc35393632"/>
      <w:r>
        <w:rPr>
          <w:rFonts w:hint="eastAsia" w:ascii="仿宋" w:hAnsi="仿宋" w:eastAsia="仿宋" w:cs="仿宋"/>
          <w:sz w:val="28"/>
          <w:szCs w:val="28"/>
          <w:lang w:val="en-US"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方式：线下领取。</w:t>
      </w:r>
      <w:r>
        <w:rPr>
          <w:rFonts w:hint="eastAsia" w:ascii="仿宋" w:hAnsi="仿宋" w:eastAsia="仿宋" w:cs="仿宋"/>
          <w:b/>
          <w:bCs/>
          <w:color w:val="auto"/>
          <w:sz w:val="28"/>
          <w:szCs w:val="28"/>
          <w:highlight w:val="none"/>
          <w:lang w:val="zh-CN"/>
        </w:rPr>
        <w:t>投标人获取招标文件需提交资料</w:t>
      </w:r>
      <w:r>
        <w:rPr>
          <w:rFonts w:hint="eastAsia" w:ascii="仿宋" w:hAnsi="仿宋" w:eastAsia="仿宋" w:cs="仿宋"/>
          <w:color w:val="auto"/>
          <w:sz w:val="28"/>
          <w:szCs w:val="28"/>
          <w:highlight w:val="none"/>
          <w:lang w:val="zh-CN"/>
        </w:rPr>
        <w:t>：①三证合一的营业执照、②法定代表人身份证明</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授权委托人须提供法人授权委托书及被委托人身份证、③建筑业企业资质证书、施工企业安全生产许可证、④拟派项目经理注册证书、安全考核合格证、继续教育相关证明、⑤</w:t>
      </w:r>
      <w:r>
        <w:rPr>
          <w:rFonts w:hint="eastAsia" w:ascii="仿宋" w:hAnsi="仿宋" w:eastAsia="仿宋" w:cs="仿宋"/>
          <w:color w:val="auto"/>
          <w:sz w:val="28"/>
          <w:szCs w:val="28"/>
          <w:highlight w:val="none"/>
          <w:lang w:val="en-US" w:eastAsia="zh-CN"/>
        </w:rPr>
        <w:t>2020</w:t>
      </w:r>
      <w:r>
        <w:rPr>
          <w:rFonts w:hint="eastAsia" w:ascii="仿宋" w:hAnsi="仿宋" w:eastAsia="仿宋" w:cs="仿宋"/>
          <w:color w:val="auto"/>
          <w:sz w:val="28"/>
          <w:szCs w:val="28"/>
          <w:highlight w:val="none"/>
          <w:lang w:val="zh-CN"/>
        </w:rPr>
        <w:t>年度财务审计报告或年度财务报表（</w:t>
      </w:r>
      <w:r>
        <w:rPr>
          <w:rFonts w:hint="eastAsia" w:ascii="仿宋" w:hAnsi="仿宋" w:eastAsia="仿宋" w:cs="仿宋"/>
          <w:color w:val="auto"/>
          <w:sz w:val="28"/>
          <w:szCs w:val="28"/>
          <w:highlight w:val="none"/>
          <w:lang w:val="en-US" w:eastAsia="zh-CN"/>
        </w:rPr>
        <w:t>新成立一年公司无需提供</w:t>
      </w:r>
      <w:r>
        <w:rPr>
          <w:rFonts w:hint="eastAsia" w:ascii="仿宋" w:hAnsi="仿宋" w:eastAsia="仿宋" w:cs="仿宋"/>
          <w:color w:val="auto"/>
          <w:sz w:val="28"/>
          <w:szCs w:val="28"/>
          <w:highlight w:val="none"/>
          <w:lang w:val="zh-CN"/>
        </w:rPr>
        <w:t>）、⑥盖有社保局公章的近三个月社保缴纳明细表（含被授权人及项目经理的社保缴纳明细）、⑦</w:t>
      </w:r>
      <w:r>
        <w:rPr>
          <w:rFonts w:hint="eastAsia" w:ascii="仿宋" w:hAnsi="仿宋" w:eastAsia="仿宋" w:cs="仿宋"/>
          <w:color w:val="auto"/>
          <w:sz w:val="28"/>
          <w:szCs w:val="28"/>
          <w:highlight w:val="none"/>
          <w:lang w:val="en-US" w:eastAsia="zh-CN"/>
        </w:rPr>
        <w:t>依法缴纳税收证明；⑧</w:t>
      </w:r>
      <w:r>
        <w:rPr>
          <w:rFonts w:hint="eastAsia" w:ascii="仿宋" w:hAnsi="仿宋" w:eastAsia="仿宋" w:cs="仿宋"/>
          <w:sz w:val="28"/>
          <w:szCs w:val="28"/>
          <w:lang w:val="en-US" w:eastAsia="zh-CN"/>
        </w:rPr>
        <w:t>提供综合信用评价报告，⑨</w:t>
      </w:r>
      <w:r>
        <w:rPr>
          <w:rFonts w:hint="eastAsia" w:ascii="仿宋" w:hAnsi="仿宋" w:eastAsia="仿宋" w:cs="仿宋"/>
          <w:color w:val="auto"/>
          <w:sz w:val="28"/>
          <w:szCs w:val="28"/>
          <w:highlight w:val="none"/>
          <w:lang w:val="zh-CN"/>
        </w:rPr>
        <w:t>“信用中国”网站和中国政府采购网的查询结果的截图</w:t>
      </w:r>
      <w:r>
        <w:rPr>
          <w:rFonts w:hint="eastAsia" w:ascii="仿宋" w:hAnsi="仿宋" w:eastAsia="仿宋" w:cs="仿宋"/>
          <w:color w:val="auto"/>
          <w:sz w:val="28"/>
          <w:szCs w:val="28"/>
          <w:highlight w:val="none"/>
          <w:lang w:val="en-US" w:eastAsia="zh-CN"/>
        </w:rPr>
        <w:t>加盖公章</w:t>
      </w:r>
      <w:r>
        <w:rPr>
          <w:rFonts w:hint="eastAsia" w:ascii="仿宋" w:hAnsi="仿宋" w:eastAsia="仿宋" w:cs="仿宋"/>
          <w:color w:val="auto"/>
          <w:sz w:val="28"/>
          <w:szCs w:val="28"/>
          <w:highlight w:val="none"/>
          <w:lang w:val="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售价：200元，售后不退。</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31" w:name="_Toc14252"/>
      <w:r>
        <w:rPr>
          <w:rFonts w:hint="eastAsia" w:ascii="仿宋" w:hAnsi="仿宋" w:eastAsia="仿宋" w:cs="仿宋"/>
          <w:b/>
          <w:bCs/>
          <w:sz w:val="28"/>
          <w:szCs w:val="28"/>
        </w:rPr>
        <w:t>四、响应文件提交</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2021年11月26日下午16点30分（</w:t>
      </w:r>
      <w:r>
        <w:rPr>
          <w:rFonts w:hint="eastAsia" w:ascii="仿宋" w:hAnsi="仿宋" w:eastAsia="仿宋" w:cs="仿宋"/>
          <w:sz w:val="28"/>
          <w:szCs w:val="28"/>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w:t>
      </w:r>
      <w:r>
        <w:rPr>
          <w:rFonts w:hint="eastAsia" w:ascii="仿宋" w:hAnsi="仿宋" w:eastAsia="仿宋" w:cs="仿宋"/>
          <w:sz w:val="28"/>
          <w:szCs w:val="28"/>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32" w:name="_Toc28359093"/>
      <w:bookmarkStart w:id="33" w:name="_Toc23371"/>
      <w:bookmarkStart w:id="34" w:name="_Toc35393802"/>
      <w:bookmarkStart w:id="35" w:name="_Toc28359016"/>
      <w:bookmarkStart w:id="36" w:name="_Toc35393633"/>
      <w:r>
        <w:rPr>
          <w:rFonts w:hint="eastAsia" w:ascii="仿宋" w:hAnsi="仿宋" w:eastAsia="仿宋" w:cs="仿宋"/>
          <w:b/>
          <w:bCs/>
          <w:sz w:val="28"/>
          <w:szCs w:val="28"/>
        </w:rPr>
        <w:t>五、开启</w:t>
      </w:r>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2021年11月26日下午16点30分</w:t>
      </w:r>
      <w:r>
        <w:rPr>
          <w:rFonts w:hint="eastAsia" w:ascii="仿宋" w:hAnsi="仿宋" w:eastAsia="仿宋" w:cs="仿宋"/>
          <w:sz w:val="28"/>
          <w:szCs w:val="28"/>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37" w:name="_Toc35393804"/>
      <w:bookmarkStart w:id="38" w:name="_Toc23795"/>
      <w:bookmarkStart w:id="39" w:name="_Toc35393635"/>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、其他补充事宜</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领取文件</w:t>
      </w:r>
      <w:r>
        <w:rPr>
          <w:rFonts w:hint="eastAsia" w:ascii="仿宋" w:hAnsi="仿宋" w:eastAsia="仿宋" w:cs="仿宋"/>
          <w:sz w:val="28"/>
          <w:szCs w:val="28"/>
        </w:rPr>
        <w:t>期限为</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供应商认为采购文件使自己的权益受到损害的，可以自收到采购文件之日（发售截止日之后收到采购文件的，以发售截止日为准）或者采购文件公告期限届满之日（公告发布后的第4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40" w:name="_Toc28359095"/>
      <w:bookmarkStart w:id="41" w:name="_Toc9414"/>
      <w:bookmarkStart w:id="42" w:name="_Toc35393805"/>
      <w:bookmarkStart w:id="43" w:name="_Toc28359018"/>
      <w:bookmarkStart w:id="44" w:name="_Toc35393636"/>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、凡对本次采购提出询问，请按以下方式联系。</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bookmarkStart w:id="45" w:name="_Toc12696"/>
      <w:r>
        <w:rPr>
          <w:rFonts w:hint="eastAsia" w:ascii="仿宋" w:hAnsi="仿宋" w:eastAsia="仿宋" w:cs="仿宋"/>
          <w:sz w:val="28"/>
          <w:szCs w:val="28"/>
        </w:rPr>
        <w:t>1.采购人信息</w:t>
      </w:r>
      <w:bookmarkEnd w:id="45"/>
      <w:bookmarkStart w:id="46" w:name="_Toc28359086"/>
      <w:bookmarkStart w:id="47" w:name="_Toc2835900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名称：</w:t>
      </w:r>
      <w:r>
        <w:rPr>
          <w:rFonts w:hint="eastAsia" w:ascii="仿宋" w:hAnsi="仿宋" w:eastAsia="仿宋" w:cs="仿宋"/>
          <w:sz w:val="28"/>
          <w:szCs w:val="28"/>
          <w:lang w:val="en-US" w:eastAsia="zh-CN"/>
        </w:rPr>
        <w:t>伊吾县吐葫芦乡人民政府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z w:val="28"/>
          <w:szCs w:val="28"/>
          <w:lang w:val="en-US" w:eastAsia="zh-CN"/>
        </w:rPr>
        <w:t>伊吾县吐葫芦乡、</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联系人：包科长</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联系方式：</w:t>
      </w:r>
      <w:bookmarkStart w:id="48" w:name="_Toc31084"/>
      <w:r>
        <w:rPr>
          <w:rFonts w:hint="eastAsia" w:ascii="仿宋" w:hAnsi="仿宋" w:eastAsia="仿宋" w:cs="仿宋"/>
          <w:sz w:val="28"/>
          <w:szCs w:val="28"/>
          <w:lang w:val="en-US" w:eastAsia="zh-CN"/>
        </w:rPr>
        <w:t>19915154861</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2.采购代理机构信息</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名称：</w:t>
      </w:r>
      <w:r>
        <w:rPr>
          <w:rFonts w:hint="eastAsia" w:ascii="仿宋" w:hAnsi="仿宋" w:eastAsia="仿宋" w:cs="仿宋"/>
          <w:sz w:val="28"/>
          <w:szCs w:val="28"/>
          <w:lang w:val="en-US" w:eastAsia="zh-CN"/>
        </w:rPr>
        <w:t>哈密丰远造价咨询有限责任公司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陈玉霞 0902-2396617</w:t>
      </w:r>
    </w:p>
    <w:p/>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5"/>
        <w:ind w:left="0" w:leftChars="0" w:firstLine="0" w:firstLineChars="0"/>
        <w:rPr>
          <w:rFonts w:hint="eastAsia" w:ascii="仿宋" w:hAnsi="仿宋" w:eastAsia="仿宋" w:cs="仿宋"/>
          <w:color w:val="auto"/>
          <w:highlight w:val="none"/>
        </w:rPr>
      </w:pPr>
    </w:p>
    <w:p>
      <w:pPr>
        <w:shd w:val="clear"/>
        <w:jc w:val="center"/>
        <w:outlineLvl w:val="0"/>
        <w:rPr>
          <w:rFonts w:hint="eastAsia" w:ascii="仿宋" w:hAnsi="仿宋" w:eastAsia="仿宋" w:cs="仿宋"/>
          <w:b/>
          <w:color w:val="auto"/>
          <w:sz w:val="36"/>
          <w:szCs w:val="36"/>
          <w:highlight w:val="none"/>
        </w:rPr>
      </w:pPr>
      <w:bookmarkStart w:id="49" w:name="_Toc2367_WPSOffice_Level1"/>
      <w:r>
        <w:rPr>
          <w:rFonts w:hint="eastAsia" w:ascii="仿宋" w:hAnsi="仿宋" w:eastAsia="仿宋" w:cs="仿宋"/>
          <w:b/>
          <w:color w:val="auto"/>
          <w:sz w:val="36"/>
          <w:szCs w:val="36"/>
          <w:highlight w:val="none"/>
        </w:rPr>
        <w:t>投标人须知前附表</w:t>
      </w:r>
      <w:bookmarkEnd w:id="10"/>
      <w:bookmarkEnd w:id="11"/>
      <w:bookmarkEnd w:id="49"/>
    </w:p>
    <w:tbl>
      <w:tblPr>
        <w:tblStyle w:val="32"/>
        <w:tblW w:w="10079" w:type="dxa"/>
        <w:jc w:val="center"/>
        <w:tblInd w:w="-484"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842"/>
        <w:gridCol w:w="1503"/>
        <w:gridCol w:w="7644"/>
        <w:gridCol w:w="9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11" w:hRule="atLeast"/>
          <w:tblHeader/>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33" w:hRule="atLeast"/>
          <w:jc w:val="center"/>
        </w:trPr>
        <w:tc>
          <w:tcPr>
            <w:tcW w:w="842" w:type="dxa"/>
            <w:vMerge w:val="restart"/>
            <w:tcBorders>
              <w:top w:val="single" w:color="auto" w:sz="8" w:space="0"/>
              <w:right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伊吾县吐葫芦乡伊河苑社区排水改造项目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26" w:hRule="atLeast"/>
          <w:jc w:val="center"/>
        </w:trPr>
        <w:tc>
          <w:tcPr>
            <w:tcW w:w="842" w:type="dxa"/>
            <w:vMerge w:val="continue"/>
            <w:tcBorders>
              <w:right w:val="single" w:color="auto" w:sz="8" w:space="0"/>
            </w:tcBorders>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HMFYZFCGCS-2021-033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46" w:hRule="atLeast"/>
          <w:jc w:val="center"/>
        </w:trPr>
        <w:tc>
          <w:tcPr>
            <w:tcW w:w="842" w:type="dxa"/>
            <w:vMerge w:val="continue"/>
            <w:tcBorders>
              <w:right w:val="single" w:color="auto" w:sz="8" w:space="0"/>
            </w:tcBorders>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建设地点：</w:t>
            </w:r>
            <w:r>
              <w:rPr>
                <w:rFonts w:hint="eastAsia" w:ascii="仿宋" w:hAnsi="仿宋" w:eastAsia="仿宋" w:cs="仿宋"/>
                <w:color w:val="auto"/>
                <w:sz w:val="24"/>
                <w:szCs w:val="24"/>
                <w:highlight w:val="none"/>
                <w:lang w:eastAsia="zh-CN"/>
              </w:rPr>
              <w:t>伊吾县吐葫芦乡伊河苑社区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26" w:hRule="atLeast"/>
          <w:jc w:val="center"/>
        </w:trPr>
        <w:tc>
          <w:tcPr>
            <w:tcW w:w="842" w:type="dxa"/>
            <w:vMerge w:val="continue"/>
            <w:tcBorders>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工程规模：改造排水管网500米、配套设施及垃圾清运，详见工程说明和工程量清单。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26" w:hRule="atLeast"/>
          <w:jc w:val="center"/>
        </w:trPr>
        <w:tc>
          <w:tcPr>
            <w:tcW w:w="842" w:type="dxa"/>
            <w:vMerge w:val="continue"/>
            <w:tcBorders>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承包方式：包工包料</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62" w:hRule="atLeast"/>
          <w:jc w:val="center"/>
        </w:trPr>
        <w:tc>
          <w:tcPr>
            <w:tcW w:w="842" w:type="dxa"/>
            <w:vMerge w:val="continue"/>
            <w:tcBorders>
              <w:bottom w:val="single" w:color="auto" w:sz="8" w:space="0"/>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default" w:ascii="仿宋" w:hAnsi="仿宋" w:eastAsia="仿宋" w:cs="仿宋"/>
                <w:color w:val="auto"/>
                <w:spacing w:val="140"/>
                <w:kern w:val="0"/>
                <w:sz w:val="24"/>
                <w:szCs w:val="24"/>
                <w:highlight w:val="none"/>
                <w:lang w:val="en-US"/>
              </w:rPr>
            </w:pPr>
            <w:r>
              <w:rPr>
                <w:rFonts w:hint="eastAsia" w:ascii="仿宋" w:hAnsi="仿宋" w:eastAsia="仿宋" w:cs="仿宋"/>
                <w:color w:val="auto"/>
                <w:kern w:val="0"/>
                <w:sz w:val="24"/>
                <w:szCs w:val="24"/>
                <w:highlight w:val="none"/>
              </w:rPr>
              <w:t>采购预算：</w:t>
            </w:r>
            <w:r>
              <w:rPr>
                <w:rFonts w:hint="eastAsia" w:ascii="仿宋" w:hAnsi="仿宋" w:eastAsia="仿宋" w:cs="仿宋"/>
                <w:color w:val="auto"/>
                <w:kern w:val="0"/>
                <w:sz w:val="24"/>
                <w:szCs w:val="24"/>
                <w:highlight w:val="none"/>
                <w:lang w:val="en-US" w:eastAsia="zh-CN"/>
              </w:rPr>
              <w:t>24.78万元</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84"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工程规模：</w:t>
            </w:r>
            <w:r>
              <w:rPr>
                <w:rFonts w:hint="eastAsia" w:ascii="仿宋" w:hAnsi="仿宋" w:eastAsia="仿宋" w:cs="仿宋"/>
                <w:color w:val="auto"/>
                <w:sz w:val="24"/>
                <w:szCs w:val="24"/>
                <w:highlight w:val="none"/>
                <w:lang w:eastAsia="zh-CN"/>
              </w:rPr>
              <w:t>改造排水管网500米、配套设施及垃圾清运，详见工程说明和工程量清单。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994" w:hRule="atLeast"/>
          <w:jc w:val="center"/>
        </w:trPr>
        <w:tc>
          <w:tcPr>
            <w:tcW w:w="842" w:type="dxa"/>
            <w:vMerge w:val="restart"/>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工期要求</w:t>
            </w:r>
          </w:p>
        </w:tc>
        <w:tc>
          <w:tcPr>
            <w:tcW w:w="7644"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0天（如因天气原因，无法施工的情况，则顺延工期到明年）</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开工日期：</w:t>
            </w:r>
            <w:r>
              <w:rPr>
                <w:rFonts w:hint="eastAsia" w:ascii="仿宋" w:hAnsi="仿宋" w:eastAsia="仿宋" w:cs="仿宋"/>
                <w:color w:val="auto"/>
                <w:sz w:val="24"/>
                <w:szCs w:val="24"/>
                <w:highlight w:val="none"/>
                <w:lang w:eastAsia="zh-CN"/>
              </w:rPr>
              <w:t>2021年12月1日</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竣工日期：202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66" w:hRule="atLeast"/>
          <w:jc w:val="center"/>
        </w:trPr>
        <w:tc>
          <w:tcPr>
            <w:tcW w:w="842" w:type="dxa"/>
            <w:vMerge w:val="continue"/>
            <w:tcBorders>
              <w:top w:val="single" w:color="auto" w:sz="8" w:space="0"/>
              <w:bottom w:val="single" w:color="auto" w:sz="8" w:space="0"/>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质量要求：合格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26"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ind w:hanging="13"/>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资金来源：</w:t>
            </w:r>
            <w:r>
              <w:rPr>
                <w:rFonts w:hint="eastAsia" w:ascii="仿宋" w:hAnsi="仿宋" w:eastAsia="仿宋" w:cs="仿宋"/>
                <w:color w:val="auto"/>
                <w:kern w:val="0"/>
                <w:sz w:val="24"/>
                <w:szCs w:val="24"/>
                <w:highlight w:val="none"/>
                <w:lang w:eastAsia="zh-CN"/>
              </w:rPr>
              <w:t>水库移民资金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26"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资金到位情况：已到位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26"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en-US" w:eastAsia="zh-CN"/>
              </w:rPr>
              <w:t>方</w:t>
            </w:r>
            <w:r>
              <w:rPr>
                <w:rFonts w:hint="eastAsia" w:ascii="仿宋" w:hAnsi="仿宋" w:eastAsia="仿宋" w:cs="仿宋"/>
                <w:color w:val="auto"/>
                <w:kern w:val="0"/>
                <w:sz w:val="24"/>
                <w:szCs w:val="24"/>
                <w:highlight w:val="none"/>
              </w:rPr>
              <w:t>式：竞争性磋商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61"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资格审查方式：资格后审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132"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1、符合《中华人民共和国政府采购法》第二十二条的规定</w:t>
            </w:r>
            <w:r>
              <w:rPr>
                <w:rFonts w:hint="eastAsia" w:ascii="仿宋" w:hAnsi="仿宋" w:eastAsia="仿宋" w:cs="仿宋"/>
                <w:color w:val="auto"/>
                <w:sz w:val="24"/>
                <w:szCs w:val="24"/>
                <w:highlight w:val="none"/>
                <w:lang w:eastAsia="zh-CN"/>
              </w:rPr>
              <w:t>：</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（1）具有独立承担民事责任的能力，提供有效的三证合一营业执照副本原件；</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（2）具有良好的商业信誉和健全的财务会计制度，提供2020年的财务审计报告或财务报表（</w:t>
            </w:r>
            <w:r>
              <w:rPr>
                <w:rFonts w:hint="eastAsia" w:ascii="仿宋" w:hAnsi="仿宋" w:eastAsia="仿宋" w:cs="仿宋"/>
                <w:color w:val="auto"/>
                <w:sz w:val="24"/>
                <w:szCs w:val="24"/>
                <w:highlight w:val="none"/>
              </w:rPr>
              <w:t>如供应商新成立的，则提供成立至今的月或季度财务状况报告</w:t>
            </w:r>
            <w:r>
              <w:rPr>
                <w:rFonts w:hint="eastAsia" w:ascii="仿宋" w:hAnsi="仿宋" w:eastAsia="仿宋" w:cs="仿宋"/>
                <w:color w:val="auto"/>
                <w:sz w:val="24"/>
                <w:szCs w:val="24"/>
                <w:highlight w:val="none"/>
                <w:lang w:val="en-US" w:eastAsia="zh-CN"/>
              </w:rPr>
              <w:t>）。</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（3）投标人具有</w:t>
            </w:r>
            <w:r>
              <w:rPr>
                <w:rFonts w:hint="eastAsia" w:ascii="仿宋" w:hAnsi="仿宋" w:eastAsia="仿宋" w:cs="仿宋"/>
                <w:color w:val="auto"/>
                <w:sz w:val="24"/>
                <w:szCs w:val="24"/>
                <w:highlight w:val="none"/>
              </w:rPr>
              <w:t>履行合同所必需的设备和专业技术能力</w:t>
            </w:r>
            <w:r>
              <w:rPr>
                <w:rFonts w:hint="eastAsia" w:ascii="仿宋" w:hAnsi="仿宋" w:eastAsia="仿宋" w:cs="仿宋"/>
                <w:color w:val="auto"/>
                <w:sz w:val="24"/>
                <w:szCs w:val="24"/>
                <w:highlight w:val="none"/>
                <w:lang w:val="en-US" w:eastAsia="zh-CN"/>
              </w:rPr>
              <w:t>；</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（4）具有依法缴纳税收和社会保障资金的良好记录，提供近3个月依法缴纳税收和缴纳社会保障资金的证明；</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（5）参加政府采购活动前三年内，在经营活动中没有重大违法记录；</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（6）法律、行政法规规定的其他条件。</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2、未被“信用中国”（www.creditchina.gov.cn）、中国政府采购网（www.ccgp.gov.cn）列入失信被执行人、重大税收违法案件当事人名单、政府采购严重违法失信行为记录名单；</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须具备建筑工程施工总承包叁级（含叁级）以上资质、有效的安全生产许可证；外埠企业须在新疆建设云进行信息报送，开标现场提供新疆工程建设云上打印的企业信息报送册或现场提供进疆登记备案册；</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建造师资格须具备建筑工程专业贰级及以上注册建造师执业资格；</w:t>
            </w:r>
            <w:r>
              <w:rPr>
                <w:rFonts w:hint="eastAsia" w:ascii="仿宋" w:hAnsi="仿宋" w:eastAsia="仿宋" w:cs="仿宋"/>
                <w:color w:val="auto"/>
                <w:sz w:val="24"/>
                <w:szCs w:val="24"/>
                <w:highlight w:val="none"/>
                <w:lang w:val="en-US" w:eastAsia="zh-CN"/>
              </w:rPr>
              <w:t>具备有效的安全生产考核证书；</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投标人自201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年1月1日以来（以合同签订时间为准）至少承担过一项类似项目施工业绩（须提供中标通知书</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施工合同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竣工验收报告</w:t>
            </w:r>
            <w:r>
              <w:rPr>
                <w:rFonts w:hint="eastAsia" w:ascii="仿宋" w:hAnsi="仿宋" w:eastAsia="仿宋" w:cs="仿宋"/>
                <w:color w:val="auto"/>
                <w:sz w:val="24"/>
                <w:szCs w:val="24"/>
                <w:highlight w:val="none"/>
                <w:lang w:eastAsia="zh-CN"/>
              </w:rPr>
              <w:t>）；</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接受联合体。</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根据《关于在行政事项中使用信用记录和信用报告的实施方案》（哈市发改经贸〔2021〕1号）文件规定，在政府采购领域，供应商的信用状况将作为参与政府采购活动资格审查、评标的重要依据之一，供应商在投标前需要提供综合信用评价报告，对信用等级为D级的供应商，拒绝其参与政府采购活动。综合信用评价报告出具方式：可前往哈密市发展改革委备案通过的信用服务机构网站建立信用档案，出具信用报告。网址：http://www.xhlfzx.com.cn，地址：哈密市融合路2号哈密市政务服务和公共资源交易中心二楼203房间信用服务窗口。联系电话：0902-2203560</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Pr>
                <w:rFonts w:hint="eastAsia" w:ascii="仿宋" w:hAnsi="仿宋" w:eastAsia="仿宋" w:cs="仿宋"/>
                <w:color w:val="auto"/>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55"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工程计价方式：工程量清单计价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405"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磋商保证金金额：</w:t>
            </w:r>
            <w:r>
              <w:rPr>
                <w:rFonts w:hint="eastAsia" w:ascii="仿宋" w:hAnsi="仿宋" w:eastAsia="仿宋" w:cs="仿宋"/>
                <w:b/>
                <w:color w:val="auto"/>
                <w:kern w:val="0"/>
                <w:sz w:val="24"/>
                <w:szCs w:val="24"/>
                <w:highlight w:val="none"/>
                <w:lang w:val="en-US" w:eastAsia="zh-CN"/>
              </w:rPr>
              <w:t>4900</w:t>
            </w:r>
            <w:r>
              <w:rPr>
                <w:rFonts w:hint="eastAsia" w:ascii="仿宋" w:hAnsi="仿宋" w:eastAsia="仿宋" w:cs="仿宋"/>
                <w:b/>
                <w:color w:val="auto"/>
                <w:kern w:val="0"/>
                <w:sz w:val="24"/>
                <w:szCs w:val="24"/>
                <w:highlight w:val="none"/>
              </w:rPr>
              <w:t>元（</w:t>
            </w:r>
            <w:r>
              <w:rPr>
                <w:rFonts w:hint="eastAsia" w:ascii="仿宋" w:hAnsi="仿宋" w:eastAsia="仿宋" w:cs="仿宋"/>
                <w:b/>
                <w:color w:val="auto"/>
                <w:kern w:val="0"/>
                <w:sz w:val="24"/>
                <w:szCs w:val="24"/>
                <w:highlight w:val="none"/>
                <w:lang w:val="en-US" w:eastAsia="zh-CN"/>
              </w:rPr>
              <w:t>肆仟玖佰元整</w:t>
            </w:r>
            <w:r>
              <w:rPr>
                <w:rFonts w:hint="eastAsia" w:ascii="仿宋" w:hAnsi="仿宋" w:eastAsia="仿宋" w:cs="仿宋"/>
                <w:b/>
                <w:color w:val="auto"/>
                <w:kern w:val="0"/>
                <w:sz w:val="24"/>
                <w:szCs w:val="24"/>
                <w:highlight w:val="none"/>
              </w:rPr>
              <w:t>）</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磋商保证金的缴纳形式：磋商保证金于磋商截止时间之前（北京时间，以到账时间为准</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之前从投标人基本账户以银行电汇或网银转账形式缴纳，投标人提交磋商保证金应充分考虑资金在途时间</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投标人未按磋商文件规定缴纳磋商保证金的</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响应文件将被拒绝评审。</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磋商保证金有效期：自磋商截止之日起60天。</w:t>
            </w:r>
          </w:p>
          <w:p>
            <w:pPr>
              <w:keepNext w:val="0"/>
              <w:keepLines w:val="0"/>
              <w:pageBreakBefore w:val="0"/>
              <w:widowControl w:val="0"/>
              <w:shd w:val="clear"/>
              <w:kinsoku/>
              <w:wordWrap/>
              <w:overflowPunct/>
              <w:topLinePunct w:val="0"/>
              <w:autoSpaceDE/>
              <w:autoSpaceDN/>
              <w:bidi w:val="0"/>
              <w:adjustRightInd/>
              <w:snapToGrid/>
              <w:spacing w:line="340" w:lineRule="exact"/>
              <w:textAlignment w:val="auto"/>
              <w:rPr>
                <w:rFonts w:hint="eastAsia" w:ascii="仿宋" w:hAnsi="仿宋" w:eastAsia="仿宋" w:cs="仿宋"/>
                <w:b/>
                <w:bCs/>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rPr>
              <w:t>账户信息：</w:t>
            </w:r>
          </w:p>
          <w:p>
            <w:pPr>
              <w:keepNext w:val="0"/>
              <w:keepLines w:val="0"/>
              <w:pageBreakBefore w:val="0"/>
              <w:widowControl w:val="0"/>
              <w:shd w:val="clear"/>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银行户名：哈密丰远造价咨询有限责任公司</w:t>
            </w:r>
          </w:p>
          <w:p>
            <w:pPr>
              <w:keepNext w:val="0"/>
              <w:keepLines w:val="0"/>
              <w:pageBreakBefore w:val="0"/>
              <w:widowControl w:val="0"/>
              <w:shd w:val="clear"/>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开户行：哈密市商业银行营业部</w:t>
            </w:r>
          </w:p>
          <w:p>
            <w:pPr>
              <w:keepNext w:val="0"/>
              <w:keepLines w:val="0"/>
              <w:pageBreakBefore w:val="0"/>
              <w:widowControl w:val="0"/>
              <w:shd w:val="clear"/>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行</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号：313884000024</w:t>
            </w:r>
          </w:p>
          <w:p>
            <w:pPr>
              <w:keepNext w:val="0"/>
              <w:keepLines w:val="0"/>
              <w:pageBreakBefore w:val="0"/>
              <w:shd w:val="clear"/>
              <w:kinsoku/>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账</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号：908010100100032843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941"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招标答疑会及招标答疑要求</w:t>
            </w:r>
          </w:p>
        </w:tc>
        <w:tc>
          <w:tcPr>
            <w:tcW w:w="7644"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left"/>
              <w:textAlignment w:val="auto"/>
              <w:rPr>
                <w:rFonts w:hint="eastAsia" w:ascii="仿宋" w:hAnsi="仿宋" w:eastAsia="仿宋" w:cs="仿宋"/>
                <w:vanish/>
                <w:color w:val="auto"/>
                <w:kern w:val="0"/>
                <w:sz w:val="24"/>
                <w:szCs w:val="24"/>
                <w:highlight w:val="none"/>
              </w:rPr>
            </w:pPr>
            <w:r>
              <w:rPr>
                <w:rFonts w:hint="eastAsia" w:ascii="仿宋" w:hAnsi="仿宋" w:eastAsia="仿宋" w:cs="仿宋"/>
                <w:color w:val="auto"/>
                <w:kern w:val="0"/>
                <w:sz w:val="24"/>
                <w:szCs w:val="24"/>
                <w:highlight w:val="none"/>
              </w:rPr>
              <w:t>无</w:t>
            </w:r>
            <w:r>
              <w:rPr>
                <w:rFonts w:hint="eastAsia" w:ascii="仿宋" w:hAnsi="仿宋" w:eastAsia="仿宋" w:cs="仿宋"/>
                <w:vanish/>
                <w:color w:val="auto"/>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846"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w:t>
            </w:r>
          </w:p>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7644" w:type="dxa"/>
            <w:tcBorders>
              <w:top w:val="nil"/>
              <w:left w:val="nil"/>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正本壹份副本贰份；必须胶装装订；若不按照竞争性磋商文件规定装订，响应文件将被拒绝。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941"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w:t>
            </w:r>
          </w:p>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p>
        </w:tc>
        <w:tc>
          <w:tcPr>
            <w:tcW w:w="7644" w:type="dxa"/>
            <w:tcBorders>
              <w:top w:val="nil"/>
              <w:left w:val="nil"/>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截止时间：</w:t>
            </w:r>
            <w:r>
              <w:rPr>
                <w:rFonts w:hint="eastAsia" w:ascii="仿宋" w:hAnsi="仿宋" w:eastAsia="仿宋" w:cs="仿宋"/>
                <w:b/>
                <w:color w:val="auto"/>
                <w:sz w:val="24"/>
                <w:szCs w:val="24"/>
                <w:highlight w:val="none"/>
                <w:lang w:val="en-US" w:eastAsia="zh-CN"/>
              </w:rPr>
              <w:t>2021年11月26日下午16时30分</w:t>
            </w:r>
            <w:r>
              <w:rPr>
                <w:rFonts w:hint="eastAsia" w:ascii="仿宋" w:hAnsi="仿宋" w:eastAsia="仿宋" w:cs="仿宋"/>
                <w:b/>
                <w:color w:val="auto"/>
                <w:sz w:val="24"/>
                <w:szCs w:val="24"/>
                <w:highlight w:val="none"/>
              </w:rPr>
              <w:t>（北京时间）</w:t>
            </w:r>
          </w:p>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递交地点：</w:t>
            </w:r>
            <w:r>
              <w:rPr>
                <w:rFonts w:hint="eastAsia" w:ascii="仿宋" w:hAnsi="仿宋" w:eastAsia="仿宋" w:cs="仿宋"/>
                <w:bCs/>
                <w:i w:val="0"/>
                <w:iCs w:val="0"/>
                <w:color w:val="auto"/>
                <w:sz w:val="24"/>
                <w:highlight w:val="none"/>
                <w:lang w:val="zh-CN"/>
              </w:rPr>
              <w:t>哈密市八一路科</w:t>
            </w:r>
            <w:bookmarkStart w:id="729" w:name="_GoBack"/>
            <w:bookmarkEnd w:id="729"/>
            <w:r>
              <w:rPr>
                <w:rFonts w:hint="eastAsia" w:ascii="仿宋" w:hAnsi="仿宋" w:eastAsia="仿宋" w:cs="仿宋"/>
                <w:bCs/>
                <w:i w:val="0"/>
                <w:iCs w:val="0"/>
                <w:color w:val="auto"/>
                <w:sz w:val="24"/>
                <w:highlight w:val="none"/>
                <w:lang w:val="zh-CN"/>
              </w:rPr>
              <w:t>苑城7号楼106室</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逾期送达或者未按照竞争性磋商文件要求密封的响应文件拒收。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727"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w:t>
            </w:r>
          </w:p>
        </w:tc>
        <w:tc>
          <w:tcPr>
            <w:tcW w:w="76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磋商时间：</w:t>
            </w:r>
            <w:r>
              <w:rPr>
                <w:rFonts w:hint="eastAsia" w:ascii="仿宋" w:hAnsi="仿宋" w:eastAsia="仿宋" w:cs="仿宋"/>
                <w:b/>
                <w:color w:val="auto"/>
                <w:sz w:val="24"/>
                <w:szCs w:val="24"/>
                <w:highlight w:val="none"/>
                <w:lang w:val="en-US" w:eastAsia="zh-CN"/>
              </w:rPr>
              <w:t>2021年11月26日下午16时30分</w:t>
            </w:r>
            <w:r>
              <w:rPr>
                <w:rFonts w:hint="eastAsia" w:ascii="仿宋" w:hAnsi="仿宋" w:eastAsia="仿宋" w:cs="仿宋"/>
                <w:b/>
                <w:color w:val="auto"/>
                <w:sz w:val="24"/>
                <w:szCs w:val="24"/>
                <w:highlight w:val="none"/>
              </w:rPr>
              <w:t>（北京时间）</w:t>
            </w:r>
          </w:p>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磋商</w:t>
            </w:r>
            <w:r>
              <w:rPr>
                <w:rFonts w:hint="eastAsia" w:ascii="仿宋" w:hAnsi="仿宋" w:eastAsia="仿宋" w:cs="仿宋"/>
                <w:b/>
                <w:color w:val="auto"/>
                <w:sz w:val="24"/>
                <w:szCs w:val="24"/>
                <w:highlight w:val="none"/>
              </w:rPr>
              <w:t>地点：</w:t>
            </w:r>
            <w:r>
              <w:rPr>
                <w:rFonts w:hint="eastAsia" w:ascii="仿宋" w:hAnsi="仿宋" w:eastAsia="仿宋" w:cs="仿宋"/>
                <w:bCs/>
                <w:i w:val="0"/>
                <w:iCs w:val="0"/>
                <w:color w:val="auto"/>
                <w:sz w:val="24"/>
                <w:highlight w:val="none"/>
                <w:lang w:val="zh-CN"/>
              </w:rPr>
              <w:t>哈密市八一路科苑城7号楼106室</w:t>
            </w:r>
          </w:p>
        </w:tc>
        <w:tc>
          <w:tcPr>
            <w:tcW w:w="90" w:type="dxa"/>
            <w:vAlign w:val="center"/>
          </w:tcPr>
          <w:p>
            <w:pPr>
              <w:keepNext w:val="0"/>
              <w:keepLines w:val="0"/>
              <w:pageBreakBefore w:val="0"/>
              <w:widowControl/>
              <w:shd w:val="clear"/>
              <w:kinsoku/>
              <w:overflowPunct/>
              <w:topLinePunct w:val="0"/>
              <w:autoSpaceDE/>
              <w:autoSpaceDN/>
              <w:bidi w:val="0"/>
              <w:adjustRightInd/>
              <w:snapToGrid/>
              <w:spacing w:line="340" w:lineRule="exact"/>
              <w:jc w:val="left"/>
              <w:textAlignment w:val="auto"/>
              <w:rPr>
                <w:rFonts w:hint="eastAsia" w:ascii="仿宋" w:hAnsi="仿宋" w:eastAsia="仿宋" w:cs="仿宋"/>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572"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1503"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磋商有效期</w:t>
            </w:r>
          </w:p>
        </w:tc>
        <w:tc>
          <w:tcPr>
            <w:tcW w:w="7644" w:type="dxa"/>
            <w:tcBorders>
              <w:top w:val="single" w:color="auto" w:sz="8" w:space="0"/>
              <w:left w:val="single" w:color="auto" w:sz="8" w:space="0"/>
              <w:bottom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40" w:lineRule="exact"/>
              <w:ind w:firstLine="120" w:firstLineChars="5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磋商截止时间后60天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645"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履约保证</w:t>
            </w:r>
          </w:p>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金额</w:t>
            </w:r>
          </w:p>
        </w:tc>
        <w:tc>
          <w:tcPr>
            <w:tcW w:w="76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投标人提供的履约保证金额为：履行合同约定。</w:t>
            </w:r>
          </w:p>
        </w:tc>
        <w:tc>
          <w:tcPr>
            <w:tcW w:w="90" w:type="dxa"/>
            <w:vAlign w:val="center"/>
          </w:tcPr>
          <w:p>
            <w:pPr>
              <w:keepNext w:val="0"/>
              <w:keepLines w:val="0"/>
              <w:pageBreakBefore w:val="0"/>
              <w:widowControl/>
              <w:shd w:val="clear"/>
              <w:kinsoku/>
              <w:overflowPunct/>
              <w:topLinePunct w:val="0"/>
              <w:autoSpaceDE/>
              <w:autoSpaceDN/>
              <w:bidi w:val="0"/>
              <w:adjustRightInd/>
              <w:snapToGrid/>
              <w:spacing w:line="340" w:lineRule="exact"/>
              <w:jc w:val="left"/>
              <w:textAlignment w:val="auto"/>
              <w:rPr>
                <w:rFonts w:hint="eastAsia" w:ascii="仿宋" w:hAnsi="仿宋" w:eastAsia="仿宋" w:cs="仿宋"/>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662"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招标代理费参考计价格[2002]1980 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取费标准以成交价为基数计取，由成交单位支付，投标人在磋商报价时应充分考虑此笔费用。</w:t>
            </w:r>
          </w:p>
        </w:tc>
      </w:tr>
    </w:tbl>
    <w:p>
      <w:pPr>
        <w:pStyle w:val="5"/>
        <w:ind w:left="0" w:leftChars="0" w:firstLine="0" w:firstLineChars="0"/>
        <w:rPr>
          <w:rFonts w:hint="eastAsia" w:ascii="仿宋" w:hAnsi="仿宋" w:eastAsia="仿宋" w:cs="仿宋"/>
          <w:highlight w:val="none"/>
        </w:rPr>
      </w:pPr>
    </w:p>
    <w:p>
      <w:pPr>
        <w:pStyle w:val="3"/>
        <w:keepNext/>
        <w:keepLines w:val="0"/>
        <w:pageBreakBefore w:val="0"/>
        <w:widowControl/>
        <w:shd w:val="clear"/>
        <w:kinsoku/>
        <w:wordWrap/>
        <w:overflowPunct/>
        <w:topLinePunct w:val="0"/>
        <w:autoSpaceDE w:val="0"/>
        <w:autoSpaceDN/>
        <w:bidi w:val="0"/>
        <w:adjustRightInd/>
        <w:snapToGrid w:val="0"/>
        <w:spacing w:line="560" w:lineRule="exact"/>
        <w:textAlignment w:val="auto"/>
        <w:rPr>
          <w:rFonts w:hint="eastAsia" w:ascii="仿宋" w:hAnsi="仿宋" w:eastAsia="仿宋" w:cs="仿宋"/>
          <w:color w:val="auto"/>
          <w:sz w:val="32"/>
          <w:szCs w:val="32"/>
          <w:highlight w:val="none"/>
          <w:shd w:val="clear" w:color="auto" w:fill="FFFFFF"/>
        </w:rPr>
      </w:pPr>
      <w:bookmarkStart w:id="50" w:name="_Toc12992_WPSOffice_Level1"/>
      <w:bookmarkStart w:id="51" w:name="_Toc52290016"/>
      <w:bookmarkStart w:id="52" w:name="_Toc52289616"/>
      <w:r>
        <w:rPr>
          <w:rFonts w:hint="eastAsia" w:ascii="仿宋" w:hAnsi="仿宋" w:eastAsia="仿宋" w:cs="仿宋"/>
          <w:color w:val="auto"/>
          <w:sz w:val="32"/>
          <w:szCs w:val="32"/>
          <w:highlight w:val="none"/>
          <w:shd w:val="clear" w:color="auto" w:fill="FFFFFF"/>
        </w:rPr>
        <w:t>第一章  磋商须知</w:t>
      </w:r>
      <w:bookmarkEnd w:id="50"/>
      <w:bookmarkEnd w:id="51"/>
      <w:bookmarkEnd w:id="52"/>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3" w:name="_BookMark_2"/>
      <w:bookmarkEnd w:id="53"/>
      <w:bookmarkStart w:id="54" w:name="_Toc52289617"/>
      <w:r>
        <w:rPr>
          <w:rFonts w:hint="eastAsia" w:ascii="仿宋" w:hAnsi="仿宋" w:eastAsia="仿宋" w:cs="仿宋"/>
          <w:b/>
          <w:color w:val="auto"/>
          <w:kern w:val="0"/>
          <w:sz w:val="24"/>
          <w:szCs w:val="24"/>
          <w:highlight w:val="none"/>
        </w:rPr>
        <w:t>1、总则</w:t>
      </w:r>
      <w:bookmarkEnd w:id="54"/>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1.1、工程概况</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1.1.1、本工程的工程概况已在投标人须知前附表中列清。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1.2、工程规模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1.2.1、本工程规模已在投标人须知前附表中列清，投标人除非接到招标人发布的《竞争性磋商文件补充》，否则不得擅自增加或减少工程规模。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1.2.2、本工程工期要求、质量标准已在投标人须知前附表中列清。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1.3、工程资金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1.3.1、本工程的资金来源已在投标人须知前附表列清。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1.3.2、本工程资金到位情况已在投标人须知前附表列清。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1.3.3、本工程的部分资金用于合同范围内合格下的支付。</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1.4、招标人式</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1.4.1、本工程招标人式已在投标人须知前附表列清。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1.5、合格投标人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1.5.1、投标人最低资质要求已在投标人须知前附表列清。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1.5.2、本工程采用资格后预审方式确定合格投标人。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1.5.3、本工程联合体协议书按投标人须知前附表规定执行。如果要求提供联合体协议书，投标人必须在响应文件中附带联合体协议书、联合体主办方证明书，格式见第七章。</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1.5.4、招标人有权要求各投标人提供更为完整、更详细的投标人资料，以便评审。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1.6、磋商费用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1.6.1、投标人应承担其编制响应文件与递交响应文件所涉及的一切费用，不论磋商结果如何，招标人对上述费用不做任何补偿。</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5" w:name="_BookMark_3"/>
      <w:bookmarkEnd w:id="55"/>
      <w:bookmarkStart w:id="56" w:name="_Toc52289618"/>
      <w:r>
        <w:rPr>
          <w:rFonts w:hint="eastAsia" w:ascii="仿宋" w:hAnsi="仿宋" w:eastAsia="仿宋" w:cs="仿宋"/>
          <w:b/>
          <w:color w:val="auto"/>
          <w:kern w:val="0"/>
          <w:sz w:val="24"/>
          <w:szCs w:val="24"/>
          <w:highlight w:val="none"/>
        </w:rPr>
        <w:t>2、竞争性磋商文件</w:t>
      </w:r>
      <w:bookmarkEnd w:id="56"/>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2.1、竞争性磋商文件组成</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2.1.1、竞争性磋商文件由本文件及由招标人按竞争性磋商文件有关规定发出的竞争性磋商文件补充构成。</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2.1.2、竞争性磋商文件的澄清、修改、招标答疑会纪要等书面材料在本采购工程中均称竞争性磋商文件补充。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2.1.3、竞争性磋商文件补充作为竞争性磋商文件的组成部分，对投标人起同等约束作用。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2.1.4、投标人应认真审阅和理解竞争性磋商文件所有内容，尤其应注意有“否决磋商”、“拒绝评审”字样的条款，否则引起的后果由投标人自负。</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2.2、竞争性磋商文件澄清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2.2.1、投标人下载竞争性磋商文件后，若有疑问需要澄清的，应于以纸质形式递交至</w:t>
      </w:r>
      <w:r>
        <w:rPr>
          <w:rFonts w:hint="eastAsia" w:ascii="仿宋" w:hAnsi="仿宋" w:eastAsia="仿宋" w:cs="仿宋"/>
          <w:color w:val="auto"/>
          <w:kern w:val="0"/>
          <w:sz w:val="24"/>
          <w:szCs w:val="24"/>
          <w:highlight w:val="none"/>
          <w:lang w:eastAsia="zh-CN"/>
        </w:rPr>
        <w:t>哈密丰远造价咨询有限责任公司</w:t>
      </w:r>
      <w:r>
        <w:rPr>
          <w:rFonts w:hint="eastAsia" w:ascii="仿宋" w:hAnsi="仿宋" w:eastAsia="仿宋" w:cs="仿宋"/>
          <w:color w:val="auto"/>
          <w:kern w:val="0"/>
          <w:sz w:val="24"/>
          <w:szCs w:val="24"/>
          <w:highlight w:val="none"/>
        </w:rPr>
        <w:t>，否则招标人不作任何解释。招标人将在对投标人的疑问作出统一的解答以竞争性磋商文件补充形式通知各投标人。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2.3、竞争性磋商文件修改</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2.3.1、招标人可能会以竞争性磋商文件补充形式修改竞争性磋商文件。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2.3.3、为使投标人在编制响应文件时把竞争性磋商文件补充内容考虑进去，招标人应延长递交响应文件的截止时间，具体时间将在竞争性磋商文件补充中写明。</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7" w:name="_BookMark_4"/>
      <w:bookmarkEnd w:id="57"/>
      <w:bookmarkStart w:id="58" w:name="_Toc52289619"/>
      <w:r>
        <w:rPr>
          <w:rFonts w:hint="eastAsia" w:ascii="仿宋" w:hAnsi="仿宋" w:eastAsia="仿宋" w:cs="仿宋"/>
          <w:b/>
          <w:color w:val="auto"/>
          <w:kern w:val="0"/>
          <w:sz w:val="24"/>
          <w:szCs w:val="24"/>
          <w:highlight w:val="none"/>
        </w:rPr>
        <w:t>3、磋商报价</w:t>
      </w:r>
      <w:bookmarkEnd w:id="58"/>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3.1、本工程计价方式已在投标人须知前附表列清。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3.2、工程量清单计价中的综合单价是指完成一个规定清单项目所需的人工费、材料和工程设备费、施工机具使用费和企业管理费、利润以及一定范围内的风险费用。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3.3、投标人应当根据《建设工程工程量清单计价规范》GB50500-2013、企业定额及当地市场因素及工程特点等报出综合单价。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3.4、除非招标人对竞争性磋商文件予以修改，投标人应按工程量清单中列出的工程项目和工程量填报单价和合价。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3.5、每一项目只允许有一个报价。任何有选择的报价将不予接受，其磋商应当予以否决。</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工程量清单与计价表中列明的所有需要填写单价和合价的项目，投标人均应填写且只允许有一个报价。未填写单价和合价的项目，可视为此项费用已包含在已标价工程量清单中其他项目的单价和合价之中。当竣工结算时，此项目不得重新组价予以调整。</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3.7、磋商报价由投标人自主确定，但不得低于工程成本；磋商报价应由投标人或受其委托具有相应资质的工程造价咨询人编制。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3.8、投标人必须按招标工程量清单填报价格。项目编码、项目名称、项目特征、计量单位、工程量必须与工程量一致。</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分部分项工程和措施项目中的单价项目，应根据竞争性磋商文件和工程量清单项目中的特征描述确定综合单价计算；综合单价中应包括竞争性磋商文件中划分的应由投标人承担的风险范围及其费用，竞争性磋商文件中没有明确的，应提请招标人明确；材料、工程设备暂估价应按招标工程量清单中列出的单价计入综合单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3.10、措施项目中的总价项目金额应根据竞争性磋商文件及磋商时拟定的施工组织设计或施工方案确定；措施项目清单应根据拟建工程的实际情况列项；措施项目费由投标人自主报价，但其中安全文明施工费必须按国家或省级、行业建设主管部门的规定计算，不得作为竞争性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w:t>
      </w:r>
      <w:r>
        <w:rPr>
          <w:rFonts w:hint="eastAsia" w:ascii="仿宋" w:hAnsi="仿宋" w:eastAsia="仿宋" w:cs="仿宋"/>
          <w:color w:val="auto"/>
          <w:kern w:val="0"/>
          <w:sz w:val="24"/>
          <w:szCs w:val="24"/>
          <w:highlight w:val="none"/>
          <w:lang w:val="en-US" w:eastAsia="zh-CN"/>
        </w:rPr>
        <w:t>其他</w:t>
      </w:r>
      <w:r>
        <w:rPr>
          <w:rFonts w:hint="eastAsia" w:ascii="仿宋" w:hAnsi="仿宋" w:eastAsia="仿宋" w:cs="仿宋"/>
          <w:color w:val="auto"/>
          <w:kern w:val="0"/>
          <w:sz w:val="24"/>
          <w:szCs w:val="24"/>
          <w:highlight w:val="none"/>
        </w:rPr>
        <w:t>项目费应按下列规定计价：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3.11.1、暂列金额应按工程量清单中列出的金额填写；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3.11.2、暂估价中的材料、工程设备单价应按工程量清单中列出的单价计入综合单价；暂估价中的专业工程金额应按工程量清单中列出的金额填写；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3.11.3、计日工应按工程量清单中列出的项目根据工程特点和有关计价依据确定综合单价计算；</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3.11.4、总承包服务费应根据工程量清单列出的内容和要求估算。</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3.12、规费和税金必须按国家或省级、行业建设主管部门的规定计算，不得作为竞争性费用。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3.13、磋商总价应当与分部分项工程费、措施项目费、其他项目费和规费、税金的合计金额一致。</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9" w:name="_BookMark_5"/>
      <w:bookmarkEnd w:id="59"/>
      <w:bookmarkStart w:id="60" w:name="_Toc52289620"/>
      <w:r>
        <w:rPr>
          <w:rFonts w:hint="eastAsia" w:ascii="仿宋" w:hAnsi="仿宋" w:eastAsia="仿宋" w:cs="仿宋"/>
          <w:b/>
          <w:color w:val="auto"/>
          <w:kern w:val="0"/>
          <w:sz w:val="24"/>
          <w:szCs w:val="24"/>
          <w:highlight w:val="none"/>
        </w:rPr>
        <w:t>4、磋商保证金</w:t>
      </w:r>
      <w:bookmarkEnd w:id="60"/>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4.1、投标人应提供不少于投标人须知前附表规定数额的磋商保证金。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4.2、投标人有下列情形之一者，磋商保证金将被没收：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4.2.1、投标人在磋商有效期内撤销其响应文件；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4.2.2、成交人未能在规定期限内签署合同协议书或提交履约保证金的；</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4.3、投标人在竞争性磋商文件规定时间内</w:t>
      </w:r>
      <w:r>
        <w:rPr>
          <w:rFonts w:hint="eastAsia" w:ascii="仿宋" w:hAnsi="仿宋" w:eastAsia="仿宋" w:cs="仿宋"/>
          <w:color w:val="auto"/>
          <w:kern w:val="0"/>
          <w:sz w:val="24"/>
          <w:szCs w:val="24"/>
          <w:highlight w:val="none"/>
          <w:lang w:val="en-US" w:eastAsia="zh-CN"/>
        </w:rPr>
        <w:t>缴纳</w:t>
      </w:r>
      <w:r>
        <w:rPr>
          <w:rFonts w:hint="eastAsia" w:ascii="仿宋" w:hAnsi="仿宋" w:eastAsia="仿宋" w:cs="仿宋"/>
          <w:color w:val="auto"/>
          <w:kern w:val="0"/>
          <w:sz w:val="24"/>
          <w:szCs w:val="24"/>
          <w:highlight w:val="none"/>
        </w:rPr>
        <w:t>磋商保证金。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4.4、未成交人在成交公示后5个工作日内退回磋商保证金，因违反规定被没收的磋商保证金不予退回。</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4.5、成交人的磋商保证金将在合同签订后5日内返还。</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1" w:name="_BookMark_6"/>
      <w:bookmarkEnd w:id="61"/>
      <w:bookmarkStart w:id="62" w:name="_Toc52289621"/>
      <w:r>
        <w:rPr>
          <w:rFonts w:hint="eastAsia" w:ascii="仿宋" w:hAnsi="仿宋" w:eastAsia="仿宋" w:cs="仿宋"/>
          <w:b/>
          <w:color w:val="auto"/>
          <w:kern w:val="0"/>
          <w:sz w:val="24"/>
          <w:szCs w:val="24"/>
          <w:highlight w:val="none"/>
        </w:rPr>
        <w:t>5、采购答疑会及现场踏勘</w:t>
      </w:r>
      <w:bookmarkEnd w:id="62"/>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3" w:name="_BookMark_7"/>
      <w:bookmarkEnd w:id="63"/>
      <w:bookmarkStart w:id="64" w:name="_Toc52289622"/>
      <w:r>
        <w:rPr>
          <w:rFonts w:hint="eastAsia" w:ascii="仿宋" w:hAnsi="仿宋" w:eastAsia="仿宋" w:cs="仿宋"/>
          <w:b/>
          <w:color w:val="auto"/>
          <w:kern w:val="0"/>
          <w:sz w:val="24"/>
          <w:szCs w:val="24"/>
          <w:highlight w:val="none"/>
        </w:rPr>
        <w:t>6、响应文件</w:t>
      </w:r>
      <w:bookmarkEnd w:id="64"/>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6.1、响应文件由响应文件构成。</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6.2、商务标部分</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6.2.1、磋商承诺书（一）、（二）</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、法定代表人身份证明书</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、法定代表人授权委托书</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、投标人概况</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、投标人近三年（201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月01日—至今）类似工程业绩证明材料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、项目负责人简历（项目负责人近三年（201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月01日—至今）类似工程业绩如有附证明材料）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、项目管理人员</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、投标保证金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、竞争性磋商文件要求的其他证明材料</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6.3、技术标部分</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6.3.1、施工组织设计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6.4、经济标内容</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6.4.1、磋商总价封面</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6.4.2、磋商总价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6.4.3、经济标部分</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5</w:t>
      </w:r>
      <w:r>
        <w:rPr>
          <w:rFonts w:hint="eastAsia" w:ascii="仿宋" w:hAnsi="仿宋" w:eastAsia="仿宋" w:cs="仿宋"/>
          <w:b/>
          <w:bCs/>
          <w:color w:val="auto"/>
          <w:kern w:val="0"/>
          <w:sz w:val="24"/>
          <w:szCs w:val="24"/>
          <w:highlight w:val="none"/>
        </w:rPr>
        <w:t>、响应文件字体要求</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.1、商务标所采用的字体，以能够供评委识别看清为准。</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.2、技术标字体须采用四号宋体字，施工平面布置图以及施工横道图或网络图中的字迹以清晰为准。</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、响应文件封面要求</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.1、商务标封面宜按竞争性磋商文件规定格式编制。</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、响应文件目录要求</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.1、为便于评审，商务标、经济标目录宜按本竞争性磋商文件相关内容先后顺序编排。</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8</w:t>
      </w:r>
      <w:r>
        <w:rPr>
          <w:rFonts w:hint="eastAsia" w:ascii="仿宋" w:hAnsi="仿宋" w:eastAsia="仿宋" w:cs="仿宋"/>
          <w:b/>
          <w:bCs/>
          <w:color w:val="auto"/>
          <w:kern w:val="0"/>
          <w:sz w:val="24"/>
          <w:szCs w:val="24"/>
          <w:highlight w:val="none"/>
        </w:rPr>
        <w:t>、响应文件的份数和签署</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.1、投标人应按投标人须知前附表规定，编制响应文件份数。</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.2、商务标、技术标、经济标凡是要求盖投标人章、法定代表人或委托代理人章处，投标人必须加盖印章。</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、响应文件的密封与标志。</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.1、投标人必须将响应文件密封装袋并在封袋上正确标明 “响应文件”字样，即 “响应文件”封袋，否则整个响应文件将被视为不响应竞争性磋商文件，而予以拒绝评审。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.2、响应文件封袋必须在开启处密封，并加盖投标人章，否则整个响应文件将被视为不响应竞争性磋商文件，而予以拒绝评审。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.3、响应文件封袋上应写明工程名称、招标人名称、投标人名称、投标人地址、联系人、联系电话。</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0</w:t>
      </w:r>
      <w:r>
        <w:rPr>
          <w:rFonts w:hint="eastAsia" w:ascii="仿宋" w:hAnsi="仿宋" w:eastAsia="仿宋" w:cs="仿宋"/>
          <w:b/>
          <w:bCs/>
          <w:color w:val="auto"/>
          <w:kern w:val="0"/>
          <w:sz w:val="24"/>
          <w:szCs w:val="24"/>
          <w:highlight w:val="none"/>
        </w:rPr>
        <w:t>、响应文件递交</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.1、投标人必须按投标人须知前附表规定，将响应文件送</w:t>
      </w:r>
      <w:r>
        <w:rPr>
          <w:rFonts w:hint="eastAsia" w:ascii="仿宋" w:hAnsi="仿宋" w:eastAsia="仿宋" w:cs="仿宋"/>
          <w:color w:val="auto"/>
          <w:kern w:val="0"/>
          <w:sz w:val="24"/>
          <w:szCs w:val="24"/>
          <w:highlight w:val="none"/>
          <w:lang w:eastAsia="zh-CN"/>
        </w:rPr>
        <w:t>哈密丰远造价咨询有限责任公司</w:t>
      </w:r>
      <w:r>
        <w:rPr>
          <w:rFonts w:hint="eastAsia" w:ascii="仿宋" w:hAnsi="仿宋" w:eastAsia="仿宋" w:cs="仿宋"/>
          <w:color w:val="auto"/>
          <w:kern w:val="0"/>
          <w:sz w:val="24"/>
          <w:szCs w:val="24"/>
          <w:highlight w:val="none"/>
        </w:rPr>
        <w:t>注明时间后，递交给招标人。超过规定时间送达的响应文件，整个响应文件将被视为不响应竞争性磋商文件，予以拒绝评审。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.2、招标人事先约定延长磋商截止时间的，招标人与投标人以前的磋商截止期方面的全部权利、责任和义务，将适用延长至新的磋商截止期。</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1</w:t>
      </w:r>
      <w:r>
        <w:rPr>
          <w:rFonts w:hint="eastAsia" w:ascii="仿宋" w:hAnsi="仿宋" w:eastAsia="仿宋" w:cs="仿宋"/>
          <w:b/>
          <w:bCs/>
          <w:color w:val="auto"/>
          <w:kern w:val="0"/>
          <w:sz w:val="24"/>
          <w:szCs w:val="24"/>
          <w:highlight w:val="none"/>
        </w:rPr>
        <w:t>、响应文件修改与撤回</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.1、投标人可以在递交响应文件以后，在规定磋商截止时间前，以书面形式向招标人递交修改或撤回其响应文件的通知，并将此通知报备。</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.2、响应文件的修改或撤回，同样应按本竞争性磋商文件有关规定进行编制、密封、标志、盖章和递交，并且密封袋上应标明“修改”或“撤回”字样。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.3、磋商截止时间后，投标人不得撤回或修改响应文件。</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、响应文件澄清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.1、评审过程中，磋商小组为了有助于响应文件的评审，可以要求投标人就响应文件中非改变实质性内容的部分，</w:t>
      </w:r>
      <w:r>
        <w:rPr>
          <w:rFonts w:hint="eastAsia" w:ascii="仿宋" w:hAnsi="仿宋" w:eastAsia="仿宋" w:cs="仿宋"/>
          <w:color w:val="auto"/>
          <w:kern w:val="0"/>
          <w:sz w:val="24"/>
          <w:szCs w:val="24"/>
          <w:highlight w:val="none"/>
          <w:lang w:eastAsia="zh-CN"/>
        </w:rPr>
        <w:t>作出</w:t>
      </w:r>
      <w:r>
        <w:rPr>
          <w:rFonts w:hint="eastAsia" w:ascii="仿宋" w:hAnsi="仿宋" w:eastAsia="仿宋" w:cs="仿宋"/>
          <w:color w:val="auto"/>
          <w:kern w:val="0"/>
          <w:sz w:val="24"/>
          <w:szCs w:val="24"/>
          <w:highlight w:val="none"/>
        </w:rPr>
        <w:t>书面说明并提供相关材料进行澄清，但改变响应文件实质性内容的澄清磋商小组将不予接受。</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、响应文件格式</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.1、响应文件格式见第七章。</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.2、投标人应使用本竞争性磋商文件后面提供的响应文件格式填写，如不够用时，投标人可按同样格式自行编制和填补，如果本竞争性磋商文件未提供格式的，投标人可自行编制。</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5" w:name="_BookMark_8"/>
      <w:bookmarkEnd w:id="65"/>
      <w:bookmarkStart w:id="66" w:name="_Toc52289623"/>
      <w:r>
        <w:rPr>
          <w:rFonts w:hint="eastAsia" w:ascii="仿宋" w:hAnsi="仿宋" w:eastAsia="仿宋" w:cs="仿宋"/>
          <w:b/>
          <w:color w:val="auto"/>
          <w:kern w:val="0"/>
          <w:sz w:val="24"/>
          <w:szCs w:val="24"/>
          <w:highlight w:val="none"/>
        </w:rPr>
        <w:t>7、磋商时间及地点</w:t>
      </w:r>
      <w:bookmarkEnd w:id="66"/>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7.1、采购工程磋商的时间、地点已在投标人须知前附表列清。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7.2、招标人将邀请所有投标人派代表参加磋商会议。</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7" w:name="_BookMark_9"/>
      <w:bookmarkEnd w:id="67"/>
      <w:bookmarkStart w:id="68" w:name="_Toc52289624"/>
      <w:r>
        <w:rPr>
          <w:rFonts w:hint="eastAsia" w:ascii="仿宋" w:hAnsi="仿宋" w:eastAsia="仿宋" w:cs="仿宋"/>
          <w:b/>
          <w:color w:val="auto"/>
          <w:kern w:val="0"/>
          <w:sz w:val="24"/>
          <w:szCs w:val="24"/>
          <w:highlight w:val="none"/>
        </w:rPr>
        <w:t>8、评标方法</w:t>
      </w:r>
      <w:bookmarkEnd w:id="68"/>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详见第二章“评标办法”内容</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9" w:name="_BookMark_10"/>
      <w:bookmarkEnd w:id="69"/>
      <w:bookmarkStart w:id="70" w:name="_Toc52289625"/>
      <w:r>
        <w:rPr>
          <w:rFonts w:hint="eastAsia" w:ascii="仿宋" w:hAnsi="仿宋" w:eastAsia="仿宋" w:cs="仿宋"/>
          <w:b/>
          <w:color w:val="auto"/>
          <w:kern w:val="0"/>
          <w:sz w:val="24"/>
          <w:szCs w:val="24"/>
          <w:highlight w:val="none"/>
        </w:rPr>
        <w:t>9、成交原则</w:t>
      </w:r>
      <w:bookmarkEnd w:id="70"/>
      <w:bookmarkStart w:id="71" w:name="_BookMark_11"/>
      <w:bookmarkEnd w:id="71"/>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9.1、严格执行《中华人民共和国政府采购法》及自治区有关法规、政策、维护招标人、投标人的合法权益，选择对招标人最为有利的投标人或候选投标人。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9.2、磋商小组所有成员应当集中与单一投标人分别进行磋商，并给予所有参加磋商的投标人平等的磋商机会。不应谈及与投标人所提供的服务质量、技术、价格等无关的话题。</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在磋商过程中，磋商小组可以根据竞争性磋商文件和磋商情况实质性变动采购需求中的技术、服务要求以及合同草案条款，但不得变动竞争性磋商文件中的其他内容。实质性变动的内容，须经招标人代表确认。对竞争性磋商文件</w:t>
      </w:r>
      <w:r>
        <w:rPr>
          <w:rFonts w:hint="eastAsia" w:ascii="仿宋" w:hAnsi="仿宋" w:eastAsia="仿宋" w:cs="仿宋"/>
          <w:color w:val="auto"/>
          <w:kern w:val="0"/>
          <w:sz w:val="24"/>
          <w:szCs w:val="24"/>
          <w:highlight w:val="none"/>
          <w:lang w:eastAsia="zh-CN"/>
        </w:rPr>
        <w:t>作出</w:t>
      </w:r>
      <w:r>
        <w:rPr>
          <w:rFonts w:hint="eastAsia" w:ascii="仿宋" w:hAnsi="仿宋" w:eastAsia="仿宋" w:cs="仿宋"/>
          <w:color w:val="auto"/>
          <w:kern w:val="0"/>
          <w:sz w:val="24"/>
          <w:szCs w:val="24"/>
          <w:highlight w:val="none"/>
        </w:rPr>
        <w:t>的实质性变动是竞争性磋商文件的有效组成部分，磋商小组应当及时以书面形式同时通知所有参加磋商的投标人。</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9.4、坚持价格合理、方案第一的原则，不以最低报价作为成交唯一标准。</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9.5、磋商工作由评审专家及招标人代表共同组建的磋商小组承担。评审专家占磋商小组总数的三分之二以上。</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9.6、由磋商小组采用综合评分法对提交最后报价的投标人的响应文件和最后报价进行综合评分。</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综合评分法，是指响应文件满足竞争性磋商文件全部实质性要求且按评审因素的量化指标评审得分最高的投标人为成交候选投标人的评审方法。</w:t>
      </w:r>
    </w:p>
    <w:p>
      <w:pPr>
        <w:keepNext w:val="0"/>
        <w:keepLines w:val="0"/>
        <w:pageBreakBefore w:val="0"/>
        <w:widowControl/>
        <w:shd w:val="clear"/>
        <w:kinsoku/>
        <w:wordWrap w:val="0"/>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10、磋商会程序</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10.1、招标代理机构介绍参加会议的人员。</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10.2、招标人或招标代理机构查验投标人有关证件。</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10.3、投标人代表查验响应文件密封情况。</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10.4、招标人复查响应文件密封情况</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10.5、启封标书。</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10.6、宣布工期、质量、报价等信息。</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10.7、招标代理机构记录磋商情况。</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10.8、第一阶段磋商完毕，投标人退场。</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10.9、招标代理机构向磋商小组介绍评审时的重要信息和数据。</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10.10、磋商小组对响应文件进行综合评审。</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10.11、响应文件通过评审的合格投标人按标书送达的逆顺序单独进行二次报价。</w:t>
      </w:r>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10.12、招标代理机构宣布成交候选人。</w:t>
      </w:r>
    </w:p>
    <w:p>
      <w:pPr>
        <w:keepNext w:val="0"/>
        <w:keepLines w:val="0"/>
        <w:pageBreakBefore w:val="0"/>
        <w:widowControl/>
        <w:shd w:val="clear"/>
        <w:kinsoku/>
        <w:wordWrap w:val="0"/>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kern w:val="0"/>
          <w:sz w:val="24"/>
          <w:szCs w:val="24"/>
          <w:highlight w:val="none"/>
        </w:rPr>
      </w:pPr>
      <w:bookmarkStart w:id="72" w:name="_BookMark_12"/>
      <w:bookmarkEnd w:id="72"/>
      <w:bookmarkStart w:id="73" w:name="_Toc52289626"/>
      <w:r>
        <w:rPr>
          <w:rFonts w:hint="eastAsia" w:ascii="仿宋" w:hAnsi="仿宋" w:eastAsia="仿宋" w:cs="仿宋"/>
          <w:b/>
          <w:color w:val="auto"/>
          <w:kern w:val="0"/>
          <w:sz w:val="24"/>
          <w:szCs w:val="24"/>
          <w:highlight w:val="none"/>
        </w:rPr>
        <w:t>11、磋商有效期</w:t>
      </w:r>
      <w:bookmarkEnd w:id="73"/>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11.1、评审和成交将在投标人须知前附表规定期限内完成，如果不能完成，招标人将通知投标人延长磋商有效期。 </w:t>
      </w:r>
    </w:p>
    <w:p>
      <w:pPr>
        <w:keepNext w:val="0"/>
        <w:keepLines w:val="0"/>
        <w:pageBreakBefore w:val="0"/>
        <w:widowControl/>
        <w:shd w:val="clear"/>
        <w:kinsoku/>
        <w:wordWrap w:val="0"/>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kern w:val="0"/>
          <w:sz w:val="24"/>
          <w:szCs w:val="24"/>
          <w:highlight w:val="none"/>
        </w:rPr>
      </w:pPr>
      <w:bookmarkStart w:id="74" w:name="_BookMark_13"/>
      <w:bookmarkEnd w:id="74"/>
      <w:bookmarkStart w:id="75" w:name="_Toc52289627"/>
      <w:r>
        <w:rPr>
          <w:rFonts w:hint="eastAsia" w:ascii="仿宋" w:hAnsi="仿宋" w:eastAsia="仿宋" w:cs="仿宋"/>
          <w:b/>
          <w:color w:val="auto"/>
          <w:kern w:val="0"/>
          <w:sz w:val="24"/>
          <w:szCs w:val="24"/>
          <w:highlight w:val="none"/>
        </w:rPr>
        <w:t>12、合同</w:t>
      </w:r>
      <w:bookmarkEnd w:id="75"/>
    </w:p>
    <w:p>
      <w:pPr>
        <w:keepNext w:val="0"/>
        <w:keepLines w:val="0"/>
        <w:pageBreakBefore w:val="0"/>
        <w:widowControl/>
        <w:shd w:val="clear"/>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12.1、授予合同</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12.1.1、招标人自收到工程采购磋商情况书面报告之日起5日内未通知投标人在招标磋商活动中有违法行为的。招标人将向成交人发出成交通知书，并及时通知</w:t>
      </w:r>
      <w:r>
        <w:rPr>
          <w:rFonts w:hint="eastAsia" w:ascii="仿宋" w:hAnsi="仿宋" w:eastAsia="仿宋" w:cs="仿宋"/>
          <w:color w:val="auto"/>
          <w:kern w:val="0"/>
          <w:sz w:val="24"/>
          <w:szCs w:val="24"/>
          <w:highlight w:val="none"/>
          <w:lang w:eastAsia="zh-CN"/>
        </w:rPr>
        <w:t>其他</w:t>
      </w:r>
      <w:r>
        <w:rPr>
          <w:rFonts w:hint="eastAsia" w:ascii="仿宋" w:hAnsi="仿宋" w:eastAsia="仿宋" w:cs="仿宋"/>
          <w:color w:val="auto"/>
          <w:kern w:val="0"/>
          <w:sz w:val="24"/>
          <w:szCs w:val="24"/>
          <w:highlight w:val="none"/>
        </w:rPr>
        <w:t>投标人其磋商未被接受。</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12.2、合同签订</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12.2.1、招标人与成交人在自成交通知书发出之日起30日内，依据国家、地方有关规定及竞争性磋商文件和响应文件签订施工合同。</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12.2.1、招标人与成交人签订合同后7日内应将合同及时备案。</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12.3、履约担保</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12.3.1、成交通知书发出28天内，成交人须按投标人须知前附表规定的金额向招标人提交履约保证金。</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12.3.2、若成交人未按12.3.1条款执行，招标人将有充分的理由解除合同，并没收其磋商保证金，给招标人造成的损失超过磋商担保数额的，应当对超出部分予以赔偿。</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12.3.3、招标人不履行与成交人订立合同的，将双倍返还成交人的履约保证金，损失超过返还金额的，还应对超出部分给予赔偿。</w:t>
      </w:r>
    </w:p>
    <w:p>
      <w:pPr>
        <w:keepNext w:val="0"/>
        <w:keepLines w:val="0"/>
        <w:pageBreakBefore w:val="0"/>
        <w:widowControl/>
        <w:shd w:val="clear"/>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12.3.4、本工程招标人要求成交人提交履约担保的同时也将向成交人提供相应的工程款支付担保，工程款支付担保应当是全额担保。</w:t>
      </w:r>
    </w:p>
    <w:p>
      <w:pPr>
        <w:keepNext w:val="0"/>
        <w:keepLines w:val="0"/>
        <w:pageBreakBefore w:val="0"/>
        <w:shd w:val="clear"/>
        <w:kinsoku/>
        <w:overflowPunct/>
        <w:topLinePunct w:val="0"/>
        <w:autoSpaceDE/>
        <w:autoSpaceDN/>
        <w:bidi w:val="0"/>
        <w:adjustRightInd/>
        <w:snapToGrid/>
        <w:spacing w:line="520" w:lineRule="exact"/>
        <w:textAlignment w:val="auto"/>
        <w:rPr>
          <w:rFonts w:hint="eastAsia" w:ascii="仿宋" w:hAnsi="仿宋" w:eastAsia="仿宋" w:cs="仿宋"/>
          <w:color w:val="auto"/>
          <w:highlight w:val="none"/>
        </w:rPr>
      </w:pPr>
    </w:p>
    <w:p>
      <w:pPr>
        <w:keepNext w:val="0"/>
        <w:keepLines w:val="0"/>
        <w:pageBreakBefore w:val="0"/>
        <w:shd w:val="clear"/>
        <w:kinsoku/>
        <w:overflowPunct/>
        <w:topLinePunct w:val="0"/>
        <w:autoSpaceDE/>
        <w:autoSpaceDN/>
        <w:bidi w:val="0"/>
        <w:adjustRightInd/>
        <w:snapToGrid/>
        <w:spacing w:line="520" w:lineRule="exact"/>
        <w:textAlignment w:val="auto"/>
        <w:rPr>
          <w:rFonts w:hint="eastAsia" w:ascii="仿宋" w:hAnsi="仿宋" w:eastAsia="仿宋" w:cs="仿宋"/>
          <w:b/>
          <w:bCs/>
          <w:color w:val="auto"/>
          <w:kern w:val="36"/>
          <w:sz w:val="28"/>
          <w:szCs w:val="28"/>
          <w:highlight w:val="none"/>
        </w:rPr>
      </w:pPr>
      <w:bookmarkStart w:id="76" w:name="_Toc52289628"/>
      <w:bookmarkStart w:id="77" w:name="_Toc52290017"/>
    </w:p>
    <w:p>
      <w:pPr>
        <w:pStyle w:val="5"/>
        <w:rPr>
          <w:rFonts w:hint="eastAsia" w:ascii="仿宋" w:hAnsi="仿宋" w:eastAsia="仿宋" w:cs="仿宋"/>
          <w:b/>
          <w:bCs/>
          <w:color w:val="auto"/>
          <w:kern w:val="36"/>
          <w:sz w:val="28"/>
          <w:szCs w:val="28"/>
          <w:highlight w:val="none"/>
        </w:rPr>
      </w:pPr>
    </w:p>
    <w:p>
      <w:pPr>
        <w:rPr>
          <w:rFonts w:hint="eastAsia" w:ascii="仿宋" w:hAnsi="仿宋" w:eastAsia="仿宋" w:cs="仿宋"/>
          <w:b/>
          <w:bCs/>
          <w:color w:val="auto"/>
          <w:kern w:val="36"/>
          <w:sz w:val="28"/>
          <w:szCs w:val="28"/>
          <w:highlight w:val="none"/>
        </w:rPr>
      </w:pPr>
    </w:p>
    <w:p>
      <w:pPr>
        <w:pStyle w:val="5"/>
        <w:rPr>
          <w:rFonts w:hint="eastAsia" w:ascii="仿宋" w:hAnsi="仿宋" w:eastAsia="仿宋" w:cs="仿宋"/>
          <w:b/>
          <w:bCs/>
          <w:color w:val="auto"/>
          <w:kern w:val="36"/>
          <w:sz w:val="28"/>
          <w:szCs w:val="28"/>
          <w:highlight w:val="none"/>
        </w:rPr>
      </w:pPr>
    </w:p>
    <w:p>
      <w:pPr>
        <w:rPr>
          <w:rFonts w:hint="eastAsia" w:ascii="仿宋" w:hAnsi="仿宋" w:eastAsia="仿宋" w:cs="仿宋"/>
          <w:b/>
          <w:bCs/>
          <w:color w:val="auto"/>
          <w:kern w:val="36"/>
          <w:sz w:val="28"/>
          <w:szCs w:val="28"/>
          <w:highlight w:val="none"/>
        </w:rPr>
      </w:pPr>
    </w:p>
    <w:p>
      <w:pPr>
        <w:pStyle w:val="2"/>
        <w:rPr>
          <w:rFonts w:hint="eastAsia" w:ascii="仿宋" w:hAnsi="仿宋" w:eastAsia="仿宋" w:cs="仿宋"/>
          <w:b/>
          <w:bCs/>
          <w:color w:val="auto"/>
          <w:kern w:val="36"/>
          <w:sz w:val="28"/>
          <w:szCs w:val="28"/>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shd w:val="clear"/>
        <w:rPr>
          <w:rFonts w:hint="eastAsia" w:ascii="仿宋" w:hAnsi="仿宋" w:eastAsia="仿宋" w:cs="仿宋"/>
          <w:b/>
          <w:bCs/>
          <w:color w:val="auto"/>
          <w:kern w:val="36"/>
          <w:sz w:val="28"/>
          <w:szCs w:val="28"/>
          <w:highlight w:val="none"/>
        </w:rPr>
      </w:pPr>
    </w:p>
    <w:p>
      <w:pPr>
        <w:pStyle w:val="5"/>
        <w:shd w:val="clear"/>
        <w:rPr>
          <w:rFonts w:hint="eastAsia" w:ascii="仿宋" w:hAnsi="仿宋" w:eastAsia="仿宋" w:cs="仿宋"/>
          <w:b/>
          <w:bCs/>
          <w:color w:val="auto"/>
          <w:kern w:val="36"/>
          <w:sz w:val="28"/>
          <w:szCs w:val="28"/>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3"/>
        <w:keepNext/>
        <w:keepLines w:val="0"/>
        <w:pageBreakBefore w:val="0"/>
        <w:widowControl/>
        <w:shd w:val="clear" w:color="auto"/>
        <w:kinsoku/>
        <w:wordWrap/>
        <w:overflowPunct/>
        <w:topLinePunct w:val="0"/>
        <w:autoSpaceDE/>
        <w:autoSpaceDN/>
        <w:bidi w:val="0"/>
        <w:adjustRightInd/>
        <w:snapToGrid w:val="0"/>
        <w:spacing w:before="0" w:after="0" w:line="500" w:lineRule="exact"/>
        <w:textAlignment w:val="auto"/>
        <w:rPr>
          <w:rFonts w:hint="eastAsia" w:ascii="仿宋" w:hAnsi="仿宋" w:eastAsia="仿宋" w:cs="仿宋"/>
          <w:color w:val="auto"/>
          <w:sz w:val="30"/>
          <w:szCs w:val="30"/>
          <w:highlight w:val="none"/>
        </w:rPr>
      </w:pPr>
      <w:bookmarkStart w:id="78" w:name="_Toc10178_WPSOffice_Level1"/>
      <w:r>
        <w:rPr>
          <w:rFonts w:hint="eastAsia" w:ascii="仿宋" w:hAnsi="仿宋" w:eastAsia="仿宋" w:cs="仿宋"/>
          <w:color w:val="auto"/>
          <w:sz w:val="30"/>
          <w:szCs w:val="30"/>
          <w:highlight w:val="none"/>
        </w:rPr>
        <w:t>第二章 评标办法</w:t>
      </w:r>
      <w:bookmarkEnd w:id="76"/>
      <w:bookmarkEnd w:id="77"/>
      <w:bookmarkEnd w:id="78"/>
    </w:p>
    <w:p>
      <w:pPr>
        <w:shd w:val="clear" w:color="auto"/>
        <w:snapToGrid w:val="0"/>
        <w:spacing w:line="38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1、本次评标采用的评标办法为</w:t>
      </w:r>
      <w:r>
        <w:rPr>
          <w:rFonts w:hint="eastAsia" w:ascii="仿宋" w:hAnsi="仿宋" w:eastAsia="仿宋" w:cs="仿宋"/>
          <w:b/>
          <w:bCs/>
          <w:color w:val="auto"/>
          <w:sz w:val="24"/>
          <w:szCs w:val="24"/>
          <w:highlight w:val="none"/>
          <w:u w:val="single"/>
        </w:rPr>
        <w:t>综合评估法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。评审中各评委若发生意见分歧，通过书面表决形式，以少数服从多数为原则决定。</w:t>
      </w:r>
    </w:p>
    <w:p>
      <w:pPr>
        <w:shd w:val="clear" w:color="auto"/>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2、资格评审</w:t>
      </w:r>
    </w:p>
    <w:p>
      <w:pPr>
        <w:widowControl/>
        <w:shd w:val="clear" w:color="auto"/>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招标人对投标人按《资格审查标准》进行评审。</w:t>
      </w:r>
    </w:p>
    <w:p>
      <w:pPr>
        <w:shd w:val="clear"/>
        <w:spacing w:line="3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资格审查标准</w:t>
      </w:r>
    </w:p>
    <w:tbl>
      <w:tblPr>
        <w:tblStyle w:val="32"/>
        <w:tblW w:w="984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序号</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标</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营业执照副本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须具备备建筑工程施工总承包叁级（含叁级）以上资质原件，且在有效期内安全生产许可证原件。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9072" w:type="dxa"/>
            <w:tcBorders>
              <w:top w:val="single" w:color="auto" w:sz="4" w:space="0"/>
              <w:left w:val="single" w:color="auto" w:sz="4" w:space="0"/>
              <w:bottom w:val="single" w:color="auto" w:sz="4" w:space="0"/>
            </w:tcBorders>
            <w:vAlign w:val="center"/>
          </w:tcPr>
          <w:p>
            <w:pPr>
              <w:widowControl/>
              <w:shd w:val="clear"/>
              <w:wordWrap w:val="0"/>
              <w:spacing w:line="384"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项目负责人：二级及以上注册建造师（建筑工程专业），本单位注册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未列入失信被执行人、重大税收违法案件当事人名单、政府采购严重违法失信行为记录截图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提交投标保证金证明（代理公司到账回单截图复印件）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授权委托书原件、被授权人身份证（若为法人参与开标只需提供法人身份证）原件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授权委托人在本单位缴纳近</w:t>
            </w:r>
            <w:r>
              <w:rPr>
                <w:rFonts w:hint="eastAsia" w:ascii="仿宋" w:hAnsi="仿宋" w:eastAsia="仿宋" w:cs="仿宋"/>
                <w:color w:val="auto"/>
                <w:kern w:val="0"/>
                <w:sz w:val="24"/>
                <w:szCs w:val="24"/>
                <w:highlight w:val="none"/>
                <w:lang w:val="en-US" w:eastAsia="zh-CN"/>
              </w:rPr>
              <w:t>3个月</w:t>
            </w:r>
            <w:r>
              <w:rPr>
                <w:rFonts w:hint="eastAsia" w:ascii="仿宋" w:hAnsi="仿宋" w:eastAsia="仿宋" w:cs="仿宋"/>
                <w:color w:val="auto"/>
                <w:kern w:val="0"/>
                <w:sz w:val="24"/>
                <w:szCs w:val="24"/>
                <w:highlight w:val="none"/>
              </w:rPr>
              <w:t>社保证明原件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外埠企业提供新疆工程建设云上打印的企业信息报送册或进疆登记备案册原件</w:t>
            </w:r>
          </w:p>
        </w:tc>
      </w:tr>
    </w:tbl>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1、以上审查项目中，以各投标人的响应文件内容为准，须清晰可见并且加盖投标人公章。</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2、如果资格评审中有一项不满足审查标准的，磋商小组将认定该投标人不通过资格审查，不得进入下一阶段评审。并且不允许投标人通过修改或撤销其不符合要求的差异或保留，使之成为具有响应性的磋商。</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2.1、商务标初步评审</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Cs w:val="21"/>
          <w:highlight w:val="none"/>
        </w:rPr>
      </w:pPr>
      <w:r>
        <w:rPr>
          <w:rFonts w:hint="eastAsia" w:ascii="仿宋" w:hAnsi="仿宋" w:eastAsia="仿宋" w:cs="仿宋"/>
          <w:bCs/>
          <w:color w:val="auto"/>
          <w:sz w:val="24"/>
          <w:szCs w:val="24"/>
          <w:highlight w:val="none"/>
        </w:rPr>
        <w:t>磋商小组只对通过上述评审的商务标按照《</w:t>
      </w:r>
      <w:r>
        <w:rPr>
          <w:rFonts w:hint="eastAsia" w:ascii="仿宋" w:hAnsi="仿宋" w:eastAsia="仿宋" w:cs="仿宋"/>
          <w:color w:val="auto"/>
          <w:sz w:val="24"/>
          <w:szCs w:val="24"/>
          <w:highlight w:val="none"/>
        </w:rPr>
        <w:t>商务标完备性及符合性审查标准》</w:t>
      </w:r>
      <w:r>
        <w:rPr>
          <w:rFonts w:hint="eastAsia" w:ascii="仿宋" w:hAnsi="仿宋" w:eastAsia="仿宋" w:cs="仿宋"/>
          <w:bCs/>
          <w:color w:val="auto"/>
          <w:sz w:val="24"/>
          <w:szCs w:val="24"/>
          <w:highlight w:val="none"/>
        </w:rPr>
        <w:t>进行初步评审。</w:t>
      </w:r>
    </w:p>
    <w:p>
      <w:pPr>
        <w:shd w:val="clear"/>
        <w:spacing w:line="360" w:lineRule="auto"/>
        <w:jc w:val="center"/>
        <w:rPr>
          <w:rFonts w:hint="eastAsia" w:ascii="仿宋" w:hAnsi="仿宋" w:eastAsia="仿宋" w:cs="仿宋"/>
          <w:b/>
          <w:bCs w:val="0"/>
          <w:color w:val="auto"/>
          <w:sz w:val="28"/>
          <w:szCs w:val="28"/>
          <w:highlight w:val="none"/>
        </w:rPr>
      </w:pPr>
    </w:p>
    <w:p>
      <w:pPr>
        <w:shd w:val="clear"/>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《商务标完备性及符合性审查标准》</w:t>
      </w:r>
    </w:p>
    <w:tbl>
      <w:tblPr>
        <w:tblStyle w:val="32"/>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磋商承诺书中所报工期、质量标准必须要满足竞争性磋商文件规定。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磋商承诺书必须按竞争性磋商文件规定格式完整提供，并要盖投标人章、法定代表人或委托代理人章。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法定代表人身份证明书必须按竞争性磋商文件规定格式完整提供，并要盖投标人章。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法定代表人授权委托书必须按竞争性磋商文件规定格式完整提供，并要盖投标人章、法定代表人章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磋商保证金的缴纳主体与投标人一致，按照竞争性磋商文件要求提供担保，或者所提供的担保没有瑕疵的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联合体协议书</w:t>
            </w:r>
            <w:r>
              <w:rPr>
                <w:rFonts w:hint="eastAsia" w:ascii="仿宋" w:hAnsi="仿宋" w:eastAsia="仿宋" w:cs="仿宋"/>
                <w:bCs/>
                <w:color w:val="auto"/>
                <w:sz w:val="24"/>
                <w:szCs w:val="24"/>
                <w:highlight w:val="none"/>
              </w:rPr>
              <w:t>必须按竞争性磋商文件规定格式完整提供，并要盖联合体各方投标人章、法定代表人或委托</w:t>
            </w:r>
            <w:r>
              <w:rPr>
                <w:rFonts w:hint="eastAsia" w:ascii="仿宋" w:hAnsi="仿宋" w:eastAsia="仿宋" w:cs="仿宋"/>
                <w:color w:val="auto"/>
                <w:sz w:val="24"/>
                <w:szCs w:val="24"/>
                <w:highlight w:val="none"/>
              </w:rPr>
              <w:t>代理人</w:t>
            </w:r>
            <w:r>
              <w:rPr>
                <w:rFonts w:hint="eastAsia" w:ascii="仿宋" w:hAnsi="仿宋" w:eastAsia="仿宋" w:cs="仿宋"/>
                <w:bCs/>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联合体主办方证明书</w:t>
            </w:r>
            <w:r>
              <w:rPr>
                <w:rFonts w:hint="eastAsia" w:ascii="仿宋" w:hAnsi="仿宋" w:eastAsia="仿宋" w:cs="仿宋"/>
                <w:bCs/>
                <w:color w:val="auto"/>
                <w:sz w:val="24"/>
                <w:szCs w:val="24"/>
                <w:highlight w:val="none"/>
              </w:rPr>
              <w:t>必须按竞争性磋商文件规定格式完整提供，并要盖联合体各方投标人章、法定代表人或委托代</w:t>
            </w:r>
            <w:r>
              <w:rPr>
                <w:rFonts w:hint="eastAsia" w:ascii="仿宋" w:hAnsi="仿宋" w:eastAsia="仿宋" w:cs="仿宋"/>
                <w:color w:val="auto"/>
                <w:sz w:val="24"/>
                <w:szCs w:val="24"/>
                <w:highlight w:val="none"/>
              </w:rPr>
              <w:t>理人</w:t>
            </w:r>
            <w:r>
              <w:rPr>
                <w:rFonts w:hint="eastAsia" w:ascii="仿宋" w:hAnsi="仿宋" w:eastAsia="仿宋" w:cs="仿宋"/>
                <w:bCs/>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投标人概况及类似业绩证明材料必须提供（成立不足一年的企业无需提供）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项目负责人简历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项目管理人员必须</w:t>
            </w:r>
            <w:r>
              <w:rPr>
                <w:rFonts w:hint="eastAsia" w:ascii="仿宋" w:hAnsi="仿宋" w:eastAsia="仿宋" w:cs="仿宋"/>
                <w:bCs/>
                <w:color w:val="auto"/>
                <w:sz w:val="24"/>
                <w:szCs w:val="24"/>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w:t>
            </w:r>
          </w:p>
        </w:tc>
        <w:tc>
          <w:tcPr>
            <w:tcW w:w="8919" w:type="dxa"/>
            <w:tcBorders>
              <w:top w:val="single" w:color="auto" w:sz="4" w:space="0"/>
              <w:left w:val="single" w:color="auto" w:sz="4" w:space="0"/>
              <w:bottom w:val="single" w:color="auto" w:sz="4" w:space="0"/>
              <w:right w:val="single" w:color="auto" w:sz="4" w:space="0"/>
            </w:tcBorders>
            <w:vAlign w:val="center"/>
          </w:tcPr>
          <w:p>
            <w:pPr>
              <w:shd w:val="clear"/>
              <w:spacing w:line="30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9680"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备注：如果商务标中有一项未通过上述审查标准，磋商小组将认定整个响应文件不响应竞争性磋商文件而否决其磋商，并且不允许投标人通过修改或撤销其不符合要求的差异或保留，使之成为具有响应性的磋商。</w:t>
            </w:r>
          </w:p>
        </w:tc>
      </w:tr>
    </w:tbl>
    <w:p>
      <w:pPr>
        <w:keepNext w:val="0"/>
        <w:keepLines w:val="0"/>
        <w:pageBreakBefore w:val="0"/>
        <w:widowControl w:val="0"/>
        <w:shd w:val="clear"/>
        <w:kinsoku/>
        <w:wordWrap/>
        <w:overflowPunct/>
        <w:topLinePunct w:val="0"/>
        <w:autoSpaceDE/>
        <w:autoSpaceDN/>
        <w:bidi w:val="0"/>
        <w:adjustRightIn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2.2、商务标详细评审</w:t>
      </w:r>
    </w:p>
    <w:p>
      <w:pPr>
        <w:keepNext w:val="0"/>
        <w:keepLines w:val="0"/>
        <w:pageBreakBefore w:val="0"/>
        <w:widowControl w:val="0"/>
        <w:shd w:val="clear"/>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磋商小组只对通过上述评审的商务标按照《商务标评审标准》进行详细评审。</w:t>
      </w:r>
    </w:p>
    <w:p>
      <w:pPr>
        <w:keepNext w:val="0"/>
        <w:keepLines w:val="0"/>
        <w:pageBreakBefore w:val="0"/>
        <w:widowControl w:val="0"/>
        <w:shd w:val="clear"/>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2.3、商务标评审</w:t>
      </w:r>
    </w:p>
    <w:p>
      <w:pPr>
        <w:pStyle w:val="5"/>
        <w:rPr>
          <w:rFonts w:hint="eastAsia" w:ascii="仿宋" w:hAnsi="仿宋" w:eastAsia="仿宋" w:cs="仿宋"/>
          <w:color w:val="auto"/>
          <w:sz w:val="24"/>
          <w:szCs w:val="24"/>
          <w:highlight w:val="none"/>
        </w:rPr>
      </w:pPr>
    </w:p>
    <w:p>
      <w:pPr>
        <w:shd w:val="clear"/>
        <w:spacing w:line="360" w:lineRule="auto"/>
        <w:jc w:val="both"/>
        <w:rPr>
          <w:rFonts w:hint="eastAsia" w:ascii="仿宋" w:hAnsi="仿宋" w:eastAsia="仿宋" w:cs="仿宋"/>
          <w:b/>
          <w:bCs/>
          <w:color w:val="auto"/>
          <w:sz w:val="28"/>
          <w:szCs w:val="28"/>
          <w:highlight w:val="none"/>
        </w:rPr>
      </w:pPr>
    </w:p>
    <w:p>
      <w:pPr>
        <w:shd w:val="clear"/>
        <w:spacing w:line="3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商务标评审标准</w:t>
      </w:r>
    </w:p>
    <w:tbl>
      <w:tblPr>
        <w:tblStyle w:val="32"/>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06"/>
        <w:gridCol w:w="1264"/>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766" w:type="dxa"/>
            <w:tcBorders>
              <w:bottom w:val="single" w:color="auto" w:sz="4" w:space="0"/>
            </w:tcBorders>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6" w:type="dxa"/>
            <w:tcBorders>
              <w:bottom w:val="single" w:color="auto" w:sz="4" w:space="0"/>
            </w:tcBorders>
            <w:vAlign w:val="center"/>
          </w:tcPr>
          <w:p>
            <w:pPr>
              <w:shd w:val="clear"/>
              <w:tabs>
                <w:tab w:val="left" w:pos="749"/>
                <w:tab w:val="left" w:pos="3346"/>
                <w:tab w:val="left" w:pos="3873"/>
                <w:tab w:val="left" w:pos="9611"/>
              </w:tabs>
              <w:spacing w:line="360" w:lineRule="exact"/>
              <w:ind w:left="22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1264"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5944"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jc w:val="center"/>
        </w:trPr>
        <w:tc>
          <w:tcPr>
            <w:tcW w:w="766"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6"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1264"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944"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项目负责人具有类似业绩证明材料。同时，附项目负责人证书、职称证书复印件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766" w:type="dxa"/>
            <w:vAlign w:val="center"/>
          </w:tcPr>
          <w:p>
            <w:pPr>
              <w:shd w:val="clear"/>
              <w:tabs>
                <w:tab w:val="left" w:pos="741"/>
                <w:tab w:val="left" w:pos="164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6" w:type="dxa"/>
            <w:vAlign w:val="center"/>
          </w:tcPr>
          <w:p>
            <w:pPr>
              <w:shd w:val="clear"/>
              <w:tabs>
                <w:tab w:val="left" w:pos="741"/>
                <w:tab w:val="left" w:pos="164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项目管理人员</w:t>
            </w:r>
          </w:p>
        </w:tc>
        <w:tc>
          <w:tcPr>
            <w:tcW w:w="1264" w:type="dxa"/>
            <w:vAlign w:val="center"/>
          </w:tcPr>
          <w:p>
            <w:pPr>
              <w:shd w:val="clear"/>
              <w:tabs>
                <w:tab w:val="left" w:pos="164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944" w:type="dxa"/>
            <w:vAlign w:val="center"/>
          </w:tcPr>
          <w:p>
            <w:pPr>
              <w:shd w:val="clear"/>
              <w:tabs>
                <w:tab w:val="left" w:pos="1642"/>
                <w:tab w:val="left" w:pos="3363"/>
                <w:tab w:val="left" w:pos="3887"/>
                <w:tab w:val="left" w:pos="9649"/>
              </w:tabs>
              <w:spacing w:line="360" w:lineRule="exact"/>
              <w:ind w:left="43"/>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施工员、预算员、质检员、材料员、安全员等管理人员要配备齐全，其中项目工程师须附职称证书，其他人员如果有上岗证扫描件也应附带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2472" w:type="dxa"/>
            <w:gridSpan w:val="2"/>
            <w:vAlign w:val="center"/>
          </w:tcPr>
          <w:p>
            <w:pPr>
              <w:shd w:val="clear"/>
              <w:tabs>
                <w:tab w:val="left" w:pos="741"/>
                <w:tab w:val="left" w:pos="164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7208" w:type="dxa"/>
            <w:gridSpan w:val="2"/>
            <w:vAlign w:val="center"/>
          </w:tcPr>
          <w:p>
            <w:pPr>
              <w:shd w:val="clear"/>
              <w:tabs>
                <w:tab w:val="left" w:pos="164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jc w:val="center"/>
        </w:trPr>
        <w:tc>
          <w:tcPr>
            <w:tcW w:w="9680" w:type="dxa"/>
            <w:gridSpan w:val="4"/>
            <w:vAlign w:val="center"/>
          </w:tcPr>
          <w:p>
            <w:pPr>
              <w:shd w:val="clea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注：1、评委应认真了解本竞争性磋商文件和工程有关情况后，</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须自己负责的评审。</w:t>
            </w:r>
          </w:p>
          <w:p>
            <w:pPr>
              <w:shd w:val="clear"/>
              <w:tabs>
                <w:tab w:val="left" w:pos="1642"/>
                <w:tab w:val="left" w:pos="3363"/>
                <w:tab w:val="left" w:pos="3887"/>
                <w:tab w:val="left" w:pos="9649"/>
              </w:tabs>
              <w:spacing w:line="360" w:lineRule="exact"/>
              <w:ind w:left="43" w:firstLine="448" w:firstLineChars="18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2、每项内容扣分比例超过20%，请评委依据响应文件在评委评审意见书中写明原因。</w:t>
            </w:r>
          </w:p>
        </w:tc>
      </w:tr>
    </w:tbl>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bCs/>
          <w:color w:val="auto"/>
          <w:sz w:val="24"/>
          <w:szCs w:val="24"/>
          <w:highlight w:val="none"/>
        </w:rPr>
        <w:t>技术标初步评审</w:t>
      </w:r>
    </w:p>
    <w:p>
      <w:pPr>
        <w:shd w:val="clear"/>
        <w:spacing w:line="360" w:lineRule="auto"/>
        <w:rPr>
          <w:rFonts w:hint="eastAsia" w:ascii="仿宋" w:hAnsi="仿宋" w:eastAsia="仿宋" w:cs="仿宋"/>
          <w:color w:val="auto"/>
          <w:szCs w:val="21"/>
          <w:highlight w:val="none"/>
        </w:rPr>
      </w:pPr>
      <w:r>
        <w:rPr>
          <w:rFonts w:hint="eastAsia" w:ascii="仿宋" w:hAnsi="仿宋" w:eastAsia="仿宋" w:cs="仿宋"/>
          <w:bCs/>
          <w:color w:val="auto"/>
          <w:sz w:val="24"/>
          <w:szCs w:val="24"/>
          <w:highlight w:val="none"/>
        </w:rPr>
        <w:t>磋商小组只对通过上述评审的投标人的技术标按照《</w:t>
      </w:r>
      <w:r>
        <w:rPr>
          <w:rFonts w:hint="eastAsia" w:ascii="仿宋" w:hAnsi="仿宋" w:eastAsia="仿宋" w:cs="仿宋"/>
          <w:color w:val="auto"/>
          <w:sz w:val="24"/>
          <w:szCs w:val="24"/>
          <w:highlight w:val="none"/>
        </w:rPr>
        <w:t>技术标完备性及符合性审查标准》</w:t>
      </w:r>
      <w:r>
        <w:rPr>
          <w:rFonts w:hint="eastAsia" w:ascii="仿宋" w:hAnsi="仿宋" w:eastAsia="仿宋" w:cs="仿宋"/>
          <w:bCs/>
          <w:color w:val="auto"/>
          <w:sz w:val="24"/>
          <w:szCs w:val="24"/>
          <w:highlight w:val="none"/>
        </w:rPr>
        <w:t>进行初步评审。</w:t>
      </w:r>
    </w:p>
    <w:p>
      <w:pPr>
        <w:shd w:val="clea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技术标完备性及符合性审查标准</w:t>
      </w:r>
    </w:p>
    <w:tbl>
      <w:tblPr>
        <w:tblStyle w:val="32"/>
        <w:tblW w:w="9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89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技术标必须提供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2</w:t>
            </w:r>
          </w:p>
        </w:tc>
        <w:tc>
          <w:tcPr>
            <w:tcW w:w="89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技术标必须采用A4打印纸，但施工平面布置图以及施工横道图或网络图必须采用A3打印纸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blHeader/>
          <w:jc w:val="center"/>
        </w:trPr>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3</w:t>
            </w:r>
          </w:p>
        </w:tc>
        <w:tc>
          <w:tcPr>
            <w:tcW w:w="89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技术标必须采用打印方式书写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blHeader/>
          <w:jc w:val="center"/>
        </w:trPr>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4</w:t>
            </w:r>
          </w:p>
        </w:tc>
        <w:tc>
          <w:tcPr>
            <w:tcW w:w="89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响应文件技术标、商务标、经济标必须分别装订成册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技术标字体必须一律采用四号宋体字且不得有任何修饰，施工平面布置图以及施工横道图或网络图中的字迹以清晰为准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技术标封面必须采用白色A4打印纸封面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7</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技术标中不得出现页眉、页脚、目录及页码标示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color w:val="auto"/>
                <w:szCs w:val="21"/>
                <w:highlight w:val="none"/>
                <w:u w:val="single"/>
              </w:rPr>
            </w:pPr>
            <w:r>
              <w:rPr>
                <w:rFonts w:hint="eastAsia" w:ascii="仿宋" w:hAnsi="仿宋" w:eastAsia="仿宋" w:cs="仿宋"/>
                <w:bCs/>
                <w:color w:val="auto"/>
                <w:szCs w:val="21"/>
                <w:highlight w:val="none"/>
              </w:rPr>
              <w:t>8</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技术标不能出现“正本”或“副本”字样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技术标封面、正文不得加盖任何反映投标人身份的章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10</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技术标部分不得以任何形式反映投标人的有关情况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11</w:t>
            </w:r>
          </w:p>
        </w:tc>
        <w:tc>
          <w:tcPr>
            <w:tcW w:w="8938"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技术标严禁涂改和行间插字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74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备注：如果技术标中有一项未通过上述审查标准，磋商小组将认定整个响应文件不响应竞争性磋商文件而否决其磋商，并且不允许投标人通过修改或撤销其不符合要求的差异或保留，使之成为具有响应性的磋商。</w:t>
            </w:r>
          </w:p>
        </w:tc>
      </w:tr>
    </w:tbl>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2.5、技术标详细评审</w:t>
      </w:r>
    </w:p>
    <w:p>
      <w:pPr>
        <w:shd w:val="clear"/>
        <w:spacing w:line="360" w:lineRule="auto"/>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磋商小组只对通过上述评审的技术标按照《技术标评审标准》进行详细评审</w:t>
      </w:r>
    </w:p>
    <w:p>
      <w:pPr>
        <w:shd w:val="clear"/>
        <w:spacing w:line="3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技术标评审标准</w:t>
      </w:r>
    </w:p>
    <w:tbl>
      <w:tblPr>
        <w:tblStyle w:val="32"/>
        <w:tblW w:w="9883"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486"/>
        <w:gridCol w:w="1013"/>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tblHeader/>
          <w:jc w:val="center"/>
        </w:trPr>
        <w:tc>
          <w:tcPr>
            <w:tcW w:w="781" w:type="dxa"/>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86" w:type="dxa"/>
            <w:vAlign w:val="center"/>
          </w:tcPr>
          <w:p>
            <w:pPr>
              <w:shd w:val="clear"/>
              <w:tabs>
                <w:tab w:val="left" w:pos="749"/>
                <w:tab w:val="left" w:pos="3346"/>
                <w:tab w:val="left" w:pos="3873"/>
                <w:tab w:val="left" w:pos="9611"/>
              </w:tabs>
              <w:spacing w:line="360" w:lineRule="exact"/>
              <w:ind w:left="22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1013" w:type="dxa"/>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5603" w:type="dxa"/>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tblHeader/>
          <w:jc w:val="center"/>
        </w:trPr>
        <w:tc>
          <w:tcPr>
            <w:tcW w:w="781" w:type="dxa"/>
            <w:tcBorders>
              <w:bottom w:val="single" w:color="auto" w:sz="4" w:space="0"/>
            </w:tcBorders>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2486" w:type="dxa"/>
            <w:tcBorders>
              <w:bottom w:val="single" w:color="auto" w:sz="4" w:space="0"/>
            </w:tcBorders>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工程概况及特点</w:t>
            </w:r>
          </w:p>
        </w:tc>
        <w:tc>
          <w:tcPr>
            <w:tcW w:w="1013" w:type="dxa"/>
            <w:tcBorders>
              <w:bottom w:val="single" w:color="auto" w:sz="4" w:space="0"/>
            </w:tcBorders>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5603" w:type="dxa"/>
            <w:tcBorders>
              <w:bottom w:val="single" w:color="auto" w:sz="4" w:space="0"/>
            </w:tcBorders>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工程概况及特点叙述正确，符合实际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施工准备计划</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60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施工技术、现场、物资与机械、队伍准备计划应能充分保证工程需要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施工方案</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560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施工方案应能符合工程实际情况，提高生产率、缩短工期、提高质量、降低消耗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施工进度计划</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560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进度计划应在空间和时间上做合理的统筹安排且符合施工的科学规律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施工平面图</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60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施工平面图应符合工程实际，布置紧凑，便于施工和管理并符合劳保、安全要求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劳动力需用量计划</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603" w:type="dxa"/>
            <w:vMerge w:val="restart"/>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2486"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材料需用量计划</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603" w:type="dxa"/>
            <w:vMerge w:val="continue"/>
            <w:vAlign w:val="center"/>
          </w:tcPr>
          <w:p>
            <w:pPr>
              <w:shd w:val="clear"/>
              <w:spacing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机械设备需用量计划</w:t>
            </w:r>
          </w:p>
        </w:tc>
        <w:tc>
          <w:tcPr>
            <w:tcW w:w="101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5603" w:type="dxa"/>
            <w:vMerge w:val="continue"/>
            <w:vAlign w:val="center"/>
          </w:tcPr>
          <w:p>
            <w:pPr>
              <w:shd w:val="clear"/>
              <w:spacing w:line="360" w:lineRule="exact"/>
              <w:jc w:val="center"/>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质量保证措施和体系</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603" w:type="dxa"/>
            <w:vMerge w:val="restart"/>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保证措施应符合科学的施工规律、国家规定的强制性标准并有针对性，同时要符合实际情况，切实可行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工期保证措施和体系</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603" w:type="dxa"/>
            <w:vMerge w:val="continue"/>
            <w:vAlign w:val="center"/>
          </w:tcPr>
          <w:p>
            <w:pPr>
              <w:shd w:val="clear"/>
              <w:spacing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安全保证措施和体系</w:t>
            </w:r>
          </w:p>
        </w:tc>
        <w:tc>
          <w:tcPr>
            <w:tcW w:w="101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5603"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保证措施应符合</w:t>
            </w:r>
            <w:r>
              <w:rPr>
                <w:rFonts w:hint="eastAsia" w:ascii="仿宋" w:hAnsi="仿宋" w:eastAsia="仿宋" w:cs="仿宋"/>
                <w:color w:val="auto"/>
                <w:sz w:val="24"/>
                <w:szCs w:val="24"/>
                <w:highlight w:val="none"/>
              </w:rPr>
              <w:t>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jc w:val="center"/>
        </w:trPr>
        <w:tc>
          <w:tcPr>
            <w:tcW w:w="78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2486"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现场文明施工措施</w:t>
            </w:r>
          </w:p>
        </w:tc>
        <w:tc>
          <w:tcPr>
            <w:tcW w:w="1013"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603" w:type="dxa"/>
            <w:vAlign w:val="center"/>
          </w:tcPr>
          <w:p>
            <w:pPr>
              <w:shd w:val="clea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措施应符合工程实际情况，切实可行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jc w:val="center"/>
        </w:trPr>
        <w:tc>
          <w:tcPr>
            <w:tcW w:w="3267" w:type="dxa"/>
            <w:gridSpan w:val="2"/>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c>
          <w:tcPr>
            <w:tcW w:w="6616" w:type="dxa"/>
            <w:gridSpan w:val="2"/>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blHeader/>
          <w:jc w:val="center"/>
        </w:trPr>
        <w:tc>
          <w:tcPr>
            <w:tcW w:w="3267" w:type="dxa"/>
            <w:gridSpan w:val="2"/>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得分</w:t>
            </w:r>
          </w:p>
        </w:tc>
        <w:tc>
          <w:tcPr>
            <w:tcW w:w="6616" w:type="dxa"/>
            <w:gridSpan w:val="2"/>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合计×0.</w:t>
            </w:r>
            <w:r>
              <w:rPr>
                <w:rFonts w:hint="eastAsia" w:ascii="仿宋" w:hAnsi="仿宋" w:eastAsia="仿宋" w:cs="仿宋"/>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blHeader/>
          <w:jc w:val="center"/>
        </w:trPr>
        <w:tc>
          <w:tcPr>
            <w:tcW w:w="9883" w:type="dxa"/>
            <w:gridSpan w:val="4"/>
            <w:vAlign w:val="center"/>
          </w:tcPr>
          <w:p>
            <w:pPr>
              <w:shd w:val="clea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注：1、技术标评审标准满分为100分，占总分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w:t>
            </w:r>
          </w:p>
        </w:tc>
      </w:tr>
    </w:tbl>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2.6、经济标初步评审</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磋商小组只对通过上述评审的经济标按照《经济标完备性及符合性审查标准》进行初步评审。</w:t>
      </w:r>
    </w:p>
    <w:p>
      <w:pPr>
        <w:shd w:val="clear"/>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经济标完备性及符合性审查标准</w:t>
      </w:r>
    </w:p>
    <w:tbl>
      <w:tblPr>
        <w:tblStyle w:val="32"/>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7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905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905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每一项目只允许有一个报价，任何有选择的报价将不予接受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p>
        </w:tc>
        <w:tc>
          <w:tcPr>
            <w:tcW w:w="905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投标人的磋商报价不能高于采购预算金额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360" w:lineRule="auto"/>
              <w:jc w:val="center"/>
              <w:rPr>
                <w:rFonts w:hint="eastAsia" w:ascii="仿宋" w:hAnsi="仿宋" w:eastAsia="仿宋" w:cs="仿宋"/>
                <w:color w:val="auto"/>
                <w:sz w:val="24"/>
                <w:szCs w:val="24"/>
                <w:highlight w:val="none"/>
                <w:u w:val="single"/>
                <w:lang w:val="zh-CN"/>
              </w:rPr>
            </w:pPr>
            <w:r>
              <w:rPr>
                <w:rFonts w:hint="eastAsia" w:ascii="仿宋" w:hAnsi="仿宋" w:eastAsia="仿宋" w:cs="仿宋"/>
                <w:bCs/>
                <w:color w:val="auto"/>
                <w:sz w:val="24"/>
                <w:szCs w:val="24"/>
                <w:highlight w:val="none"/>
              </w:rPr>
              <w:t>3</w:t>
            </w:r>
          </w:p>
        </w:tc>
        <w:tc>
          <w:tcPr>
            <w:tcW w:w="905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磋商总价必须按竞争性磋商文件规定格式完整提供，并要盖投标人章，法定代表人章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75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备注：如果经济标中有一项未通过上述审查标准，磋商小组将认定整个响应文件不响应竞争性磋商文件而否决其磋商，并且不允许投标人通过修改或撤销其不符合要求的差异或保留，使之成为具有响应性的磋商。</w:t>
            </w:r>
          </w:p>
        </w:tc>
      </w:tr>
    </w:tbl>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2.7磋商小组只对通过上述评审的经济标进行详细评审，看其是否有计算或表达上的错误，修改错误的原则如下：</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（1）磋商总价应按建设项目磋商报价汇总表合计金额填写。如不一致，以建设项目磋商报价汇总表合计金额为准。</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（2）建设项目磋商报价汇总表中单项工程名称、金额应按单项工程磋商报价汇总表的工程名称、合计金额填写。如不一致，以单项工程磋商报价汇总表的工程名称、合计金额为准。</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（3）单项工程磋商报价汇总表中单位工程名称、金额应按单位工程磋商报价汇总表的工程名称、合计金额填写。如不一致，以单位工程磋商报价汇总表的工程名称、合计金额为准。</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单位工程磋商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总价措施项目清单与计价表中投标人可根据工程实际情况结合施工组织设计，对招标人所列的措施项目进行增补，其中安全文明施工费应按照国家或省级、行业建设主管部门的规定计价，不得作为竞争性费用。</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（6）其他项目清单与计价汇总表应按下列规定填报：</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1、暂列金额应按招标人在其他项目清单中列出的金额填写，不得变动；</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2、材料暂估价应按招标人在其他项目清单中列出的单价计入综合单价；专业工程暂估价应按招标人在其他项目清单中列出的金额填写，不得变动和更改。</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3、计日工按招标人在其他项目清单中列出的项目和数量，自主确定综合单价并计算计日工费用；</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4、总承包服务费根据竞争性磋商文件中列出的内容和提出的要求自主确定。</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（7）磋商报价当用数字表示的数额与用文字表示的数额不一致时，以文字为准。</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（8）当单价与工程量的乘积与细目总价不一致时，通常以该行填报的单价为准。除非磋商小组认为单价有明显的小数点错位，此时应以填报的细目总价为准，并修改单价。</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2.8磋商小组通过上述评审和修正后的价格作为投标人的最终磋商报价。投标人应当澄清和签字确认，否则招标人对投标人的响应文件将予以拒绝并且其磋商保证金也将被没收，并不影响评标工作。</w:t>
      </w:r>
    </w:p>
    <w:p>
      <w:pPr>
        <w:shd w:val="clea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2.9经济标分值共</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2.9.1磋商报价得分的计算： </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2.9.2磋商报价的确定：</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磋商报价＝经评审后的磋商报价</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2.9.3有效磋商报价</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有效磋商报价是指经过磋商小组资格审查、技术标和商务标完备性及符合性审查进入经济标评审的磋商报价。</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2.9.4磋商基准价的确定</w:t>
      </w:r>
    </w:p>
    <w:p>
      <w:pPr>
        <w:shd w:val="clea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即满足竞争性磋商文件要求且最终价格最低的响应人价格为磋商基准价，其价格分为满分。其他响应人的价格分统一按照下列公式计算：磋商报价得分=（磋商基准价/最终磋商报价）×</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0%×100。</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按上述公式计算得分为负值时，其磋商报价得分为零分。 </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评分分值计算结果值在小数点后均保留两位小数，后余位数四舍五入计。</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投标人最终得分等于商务部分、技术标以及报价三者得分之和。</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磋商小组按照投标人最终得分由高到底顺序确定出各投标人排名顺序。</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次招标人式为竞争性磋商，共有二次报价机会，响应单位在截止时间内递交的响应文件中的报价作为第一次报价；评审小组分别与投标人进行技术、服务等的商讨，磋商结束后，评审小组要求所有实质性响应竞争性磋商文件和招标人要求的投标人在规定的时间内提交最后报价，投标人的最后报价进入磋商报价评审。</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、在评审过程中，评审小组发现磋商投标人的报价明显低于其他磋商报价，使得其磋商报价可能低于其个别成本的，应当要求该磋商投标人</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书面说明并提供相关证明材料。磋商投标人不能合理说明或者不能提供相关证明材料的，评审小组认定该磋商投标人以低于成本报价竞标，其磋商将被否决。</w:t>
      </w:r>
    </w:p>
    <w:p>
      <w:pPr>
        <w:shd w:val="clear"/>
        <w:spacing w:line="360" w:lineRule="auto"/>
        <w:ind w:firstLine="480" w:firstLineChars="20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、磋商小组按照投标人最终得分由高到底顺序确定出各投标人排名顺序</w:t>
      </w:r>
      <w:r>
        <w:rPr>
          <w:rFonts w:hint="eastAsia" w:ascii="仿宋" w:hAnsi="仿宋" w:eastAsia="仿宋" w:cs="仿宋"/>
          <w:color w:val="auto"/>
          <w:szCs w:val="21"/>
          <w:highlight w:val="none"/>
        </w:rPr>
        <w:t>。</w:t>
      </w:r>
    </w:p>
    <w:p>
      <w:pPr>
        <w:shd w:val="clea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3"/>
        <w:numPr>
          <w:ilvl w:val="0"/>
          <w:numId w:val="0"/>
        </w:numPr>
        <w:spacing w:before="120" w:after="120"/>
        <w:rPr>
          <w:rFonts w:hint="eastAsia" w:ascii="仿宋" w:hAnsi="仿宋" w:eastAsia="仿宋" w:cs="仿宋"/>
          <w:strike w:val="0"/>
          <w:dstrike w:val="0"/>
          <w:color w:val="000000"/>
          <w:sz w:val="32"/>
          <w:szCs w:val="32"/>
          <w:highlight w:val="none"/>
        </w:rPr>
      </w:pPr>
      <w:bookmarkStart w:id="79" w:name="_Toc52289629"/>
      <w:bookmarkStart w:id="80" w:name="_Toc27809_WPSOffice_Level1"/>
      <w:bookmarkStart w:id="81" w:name="_Toc52290018"/>
      <w:r>
        <w:rPr>
          <w:rFonts w:hint="eastAsia" w:ascii="仿宋" w:hAnsi="仿宋" w:eastAsia="仿宋" w:cs="仿宋"/>
          <w:b/>
          <w:color w:val="auto"/>
          <w:sz w:val="32"/>
          <w:szCs w:val="32"/>
          <w:highlight w:val="none"/>
        </w:rPr>
        <w:t xml:space="preserve">第三章 </w:t>
      </w:r>
      <w:bookmarkEnd w:id="79"/>
      <w:bookmarkEnd w:id="80"/>
      <w:bookmarkEnd w:id="81"/>
      <w:bookmarkStart w:id="82" w:name="_Toc509536872"/>
      <w:bookmarkStart w:id="83" w:name="_Toc2304_WPSOffice_Level1"/>
      <w:bookmarkStart w:id="84" w:name="_Toc52290019"/>
      <w:bookmarkStart w:id="85" w:name="_Toc52289630"/>
      <w:r>
        <w:rPr>
          <w:rFonts w:hint="eastAsia" w:ascii="仿宋" w:hAnsi="仿宋" w:eastAsia="仿宋" w:cs="仿宋"/>
          <w:strike w:val="0"/>
          <w:dstrike w:val="0"/>
          <w:color w:val="000000"/>
          <w:sz w:val="32"/>
          <w:szCs w:val="32"/>
          <w:highlight w:val="none"/>
        </w:rPr>
        <w:t>合同条款及格式</w:t>
      </w:r>
      <w:bookmarkEnd w:id="82"/>
    </w:p>
    <w:p>
      <w:pPr>
        <w:keepNext/>
        <w:keepLines/>
        <w:spacing w:before="260" w:after="260" w:line="416" w:lineRule="auto"/>
        <w:ind w:left="576" w:hanging="576"/>
        <w:jc w:val="center"/>
        <w:outlineLvl w:val="1"/>
        <w:rPr>
          <w:rFonts w:hint="eastAsia" w:ascii="仿宋" w:hAnsi="仿宋" w:eastAsia="仿宋" w:cs="仿宋"/>
          <w:b/>
          <w:strike w:val="0"/>
          <w:dstrike w:val="0"/>
          <w:color w:val="000000"/>
          <w:sz w:val="24"/>
          <w:highlight w:val="none"/>
        </w:rPr>
      </w:pPr>
      <w:bookmarkStart w:id="86" w:name="_BookMark_1"/>
      <w:r>
        <w:rPr>
          <w:rFonts w:hint="eastAsia" w:ascii="仿宋" w:hAnsi="仿宋" w:eastAsia="仿宋" w:cs="仿宋"/>
          <w:b/>
          <w:strike w:val="0"/>
          <w:dstrike w:val="0"/>
          <w:color w:val="000000"/>
          <w:sz w:val="24"/>
          <w:highlight w:val="none"/>
        </w:rPr>
        <w:t>第一部分 合同协议书</w:t>
      </w:r>
    </w:p>
    <w:bookmarkEnd w:id="86"/>
    <w:p>
      <w:pPr>
        <w:spacing w:line="360" w:lineRule="auto"/>
        <w:rPr>
          <w:rFonts w:hint="eastAsia" w:ascii="仿宋" w:hAnsi="仿宋" w:eastAsia="仿宋" w:cs="仿宋"/>
          <w:b/>
          <w:strike w:val="0"/>
          <w:dstrike w:val="0"/>
          <w:color w:val="000000"/>
          <w:sz w:val="24"/>
          <w:highlight w:val="none"/>
          <w:u w:val="single"/>
        </w:rPr>
      </w:pPr>
      <w:r>
        <w:rPr>
          <w:rFonts w:hint="eastAsia" w:ascii="仿宋" w:hAnsi="仿宋" w:eastAsia="仿宋" w:cs="仿宋"/>
          <w:b/>
          <w:strike w:val="0"/>
          <w:dstrike w:val="0"/>
          <w:color w:val="000000"/>
          <w:sz w:val="24"/>
          <w:highlight w:val="none"/>
        </w:rPr>
        <w:t>发包人（全称）：</w:t>
      </w:r>
      <w:r>
        <w:rPr>
          <w:rFonts w:hint="eastAsia" w:ascii="仿宋" w:hAnsi="仿宋" w:eastAsia="仿宋" w:cs="仿宋"/>
          <w:b/>
          <w:strike w:val="0"/>
          <w:dstrike w:val="0"/>
          <w:color w:val="000000"/>
          <w:sz w:val="24"/>
          <w:highlight w:val="none"/>
          <w:u w:val="single"/>
          <w:lang w:val="en-US" w:eastAsia="zh-CN"/>
        </w:rPr>
        <w:t xml:space="preserve">                                 </w:t>
      </w:r>
      <w:r>
        <w:rPr>
          <w:rFonts w:hint="eastAsia" w:ascii="仿宋" w:hAnsi="仿宋" w:eastAsia="仿宋" w:cs="仿宋"/>
          <w:b/>
          <w:strike w:val="0"/>
          <w:dstrike w:val="0"/>
          <w:color w:val="000000"/>
          <w:sz w:val="24"/>
          <w:highlight w:val="none"/>
          <w:u w:val="single"/>
        </w:rPr>
        <w:t xml:space="preserve"> </w:t>
      </w:r>
    </w:p>
    <w:p>
      <w:pPr>
        <w:spacing w:line="360" w:lineRule="auto"/>
        <w:rPr>
          <w:rFonts w:hint="eastAsia" w:ascii="仿宋" w:hAnsi="仿宋" w:eastAsia="仿宋" w:cs="仿宋"/>
          <w:b/>
          <w:strike w:val="0"/>
          <w:dstrike w:val="0"/>
          <w:color w:val="000000"/>
          <w:sz w:val="24"/>
          <w:highlight w:val="none"/>
          <w:u w:val="single"/>
        </w:rPr>
      </w:pPr>
      <w:r>
        <w:rPr>
          <w:rFonts w:hint="eastAsia" w:ascii="仿宋" w:hAnsi="仿宋" w:eastAsia="仿宋" w:cs="仿宋"/>
          <w:b/>
          <w:strike w:val="0"/>
          <w:dstrike w:val="0"/>
          <w:color w:val="000000"/>
          <w:sz w:val="24"/>
          <w:highlight w:val="none"/>
        </w:rPr>
        <w:t>承包人（全称）：</w:t>
      </w:r>
      <w:r>
        <w:rPr>
          <w:rFonts w:hint="eastAsia" w:ascii="仿宋" w:hAnsi="仿宋" w:eastAsia="仿宋" w:cs="仿宋"/>
          <w:b/>
          <w:strike w:val="0"/>
          <w:dstrike w:val="0"/>
          <w:color w:val="000000"/>
          <w:sz w:val="24"/>
          <w:highlight w:val="none"/>
          <w:u w:val="single"/>
          <w:lang w:val="en-US" w:eastAsia="zh-CN"/>
        </w:rPr>
        <w:t xml:space="preserve">                                 </w:t>
      </w:r>
      <w:r>
        <w:rPr>
          <w:rFonts w:hint="eastAsia" w:ascii="仿宋" w:hAnsi="仿宋" w:eastAsia="仿宋" w:cs="仿宋"/>
          <w:b/>
          <w:strike w:val="0"/>
          <w:dstrike w:val="0"/>
          <w:color w:val="000000"/>
          <w:sz w:val="24"/>
          <w:highlight w:val="none"/>
          <w:u w:val="single"/>
        </w:rPr>
        <w:t xml:space="preserve"> </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根据《中华人民共和国合同法》、《中华人民共和国建筑法》及有关法律规定，遵循平等、自愿、公平和诚实信用的原则，双方就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工程施工及有关事项协商一致，共同达成如下协议：</w:t>
      </w:r>
    </w:p>
    <w:p>
      <w:pPr>
        <w:rPr>
          <w:rFonts w:hint="eastAsia" w:ascii="仿宋" w:hAnsi="仿宋" w:eastAsia="仿宋" w:cs="仿宋"/>
          <w:b/>
          <w:bCs/>
          <w:strike w:val="0"/>
          <w:dstrike w:val="0"/>
          <w:color w:val="000000"/>
          <w:sz w:val="24"/>
          <w:highlight w:val="none"/>
        </w:rPr>
      </w:pPr>
      <w:r>
        <w:rPr>
          <w:rFonts w:hint="eastAsia" w:ascii="仿宋" w:hAnsi="仿宋" w:eastAsia="仿宋" w:cs="仿宋"/>
          <w:b/>
          <w:strike w:val="0"/>
          <w:dstrike w:val="0"/>
          <w:color w:val="000000"/>
          <w:sz w:val="24"/>
          <w:highlight w:val="none"/>
        </w:rPr>
        <w:t xml:space="preserve"> </w:t>
      </w:r>
      <w:bookmarkStart w:id="87" w:name="_Toc351203481"/>
      <w:r>
        <w:rPr>
          <w:rFonts w:hint="eastAsia" w:ascii="仿宋" w:hAnsi="仿宋" w:eastAsia="仿宋" w:cs="仿宋"/>
          <w:b/>
          <w:bCs/>
          <w:strike w:val="0"/>
          <w:dstrike w:val="0"/>
          <w:color w:val="000000"/>
          <w:sz w:val="24"/>
          <w:highlight w:val="none"/>
        </w:rPr>
        <w:t>一、工程概况</w:t>
      </w:r>
      <w:bookmarkEnd w:id="87"/>
    </w:p>
    <w:p>
      <w:pPr>
        <w:spacing w:line="360" w:lineRule="auto"/>
        <w:ind w:firstLine="470" w:firstLineChars="196"/>
        <w:rPr>
          <w:rFonts w:hint="eastAsia" w:ascii="仿宋" w:hAnsi="仿宋" w:eastAsia="仿宋" w:cs="仿宋"/>
          <w:strike w:val="0"/>
          <w:dstrike w:val="0"/>
          <w:color w:val="000000"/>
          <w:sz w:val="24"/>
          <w:highlight w:val="none"/>
          <w:u w:val="single"/>
        </w:rPr>
      </w:pPr>
      <w:r>
        <w:rPr>
          <w:rFonts w:hint="eastAsia" w:ascii="仿宋" w:hAnsi="仿宋" w:eastAsia="仿宋" w:cs="仿宋"/>
          <w:bCs/>
          <w:strike w:val="0"/>
          <w:dstrike w:val="0"/>
          <w:color w:val="000000"/>
          <w:sz w:val="24"/>
          <w:highlight w:val="none"/>
        </w:rPr>
        <w:t>1.工程名称</w:t>
      </w:r>
      <w:r>
        <w:rPr>
          <w:rFonts w:hint="eastAsia" w:ascii="仿宋" w:hAnsi="仿宋" w:eastAsia="仿宋" w:cs="仿宋"/>
          <w:strike w:val="0"/>
          <w:dstrike w:val="0"/>
          <w:color w:val="000000"/>
          <w:sz w:val="24"/>
          <w:highlight w:val="none"/>
        </w:rPr>
        <w:t>：</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2.工程地点：</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3.工程立项批准文号：</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bCs/>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4.资金来源：</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bCs/>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5.工程内容：</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strike w:val="0"/>
          <w:dstrike w:val="0"/>
          <w:color w:val="000000"/>
          <w:sz w:val="24"/>
          <w:highlight w:val="none"/>
        </w:rPr>
        <w:t>群体工程应附《承包人承揽工程项目一览表》（附件1）。</w:t>
      </w:r>
    </w:p>
    <w:p>
      <w:pPr>
        <w:spacing w:line="360" w:lineRule="auto"/>
        <w:ind w:firstLine="470" w:firstLineChars="196"/>
        <w:rPr>
          <w:rFonts w:hint="eastAsia" w:ascii="仿宋" w:hAnsi="仿宋" w:eastAsia="仿宋" w:cs="仿宋"/>
          <w:strike w:val="0"/>
          <w:dstrike w:val="0"/>
          <w:color w:val="000000"/>
          <w:sz w:val="24"/>
          <w:highlight w:val="none"/>
        </w:rPr>
      </w:pPr>
      <w:r>
        <w:rPr>
          <w:rFonts w:hint="eastAsia" w:ascii="仿宋" w:hAnsi="仿宋" w:eastAsia="仿宋" w:cs="仿宋"/>
          <w:bCs/>
          <w:strike w:val="0"/>
          <w:dstrike w:val="0"/>
          <w:color w:val="000000"/>
          <w:sz w:val="24"/>
          <w:highlight w:val="none"/>
        </w:rPr>
        <w:t>6.工程承包范围：</w:t>
      </w:r>
      <w:r>
        <w:rPr>
          <w:rFonts w:hint="eastAsia" w:ascii="仿宋" w:hAnsi="仿宋" w:eastAsia="仿宋" w:cs="仿宋"/>
          <w:strike w:val="0"/>
          <w:dstrike w:val="0"/>
          <w:color w:val="000000"/>
          <w:sz w:val="24"/>
          <w:highlight w:val="none"/>
          <w:u w:val="single"/>
        </w:rPr>
        <w:t></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rPr>
          <w:rFonts w:hint="eastAsia" w:ascii="仿宋" w:hAnsi="仿宋" w:eastAsia="仿宋" w:cs="仿宋"/>
          <w:b/>
          <w:strike w:val="0"/>
          <w:dstrike w:val="0"/>
          <w:color w:val="000000"/>
          <w:sz w:val="24"/>
          <w:highlight w:val="none"/>
        </w:rPr>
      </w:pPr>
      <w:bookmarkStart w:id="88" w:name="_Toc351203482"/>
      <w:r>
        <w:rPr>
          <w:rFonts w:hint="eastAsia" w:ascii="仿宋" w:hAnsi="仿宋" w:eastAsia="仿宋" w:cs="仿宋"/>
          <w:b/>
          <w:strike w:val="0"/>
          <w:dstrike w:val="0"/>
          <w:color w:val="000000"/>
          <w:sz w:val="24"/>
          <w:highlight w:val="none"/>
        </w:rPr>
        <w:t>二、合同工期</w:t>
      </w:r>
      <w:bookmarkEnd w:id="88"/>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计划开工日期：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日。</w:t>
      </w:r>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计划竣工日期：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日。</w:t>
      </w:r>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工期总日历天数：</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天。工期总日历天数与根据前述计划开竣工日期计算的工期天数不一致的，以工期总日历天数为准。</w:t>
      </w:r>
    </w:p>
    <w:p>
      <w:pPr>
        <w:rPr>
          <w:rFonts w:hint="eastAsia" w:ascii="仿宋" w:hAnsi="仿宋" w:eastAsia="仿宋" w:cs="仿宋"/>
          <w:b/>
          <w:strike w:val="0"/>
          <w:dstrike w:val="0"/>
          <w:color w:val="000000"/>
          <w:sz w:val="24"/>
          <w:highlight w:val="none"/>
        </w:rPr>
      </w:pPr>
      <w:bookmarkStart w:id="89" w:name="_Toc351203483"/>
      <w:r>
        <w:rPr>
          <w:rFonts w:hint="eastAsia" w:ascii="仿宋" w:hAnsi="仿宋" w:eastAsia="仿宋" w:cs="仿宋"/>
          <w:b/>
          <w:strike w:val="0"/>
          <w:dstrike w:val="0"/>
          <w:color w:val="000000"/>
          <w:sz w:val="24"/>
          <w:highlight w:val="none"/>
        </w:rPr>
        <w:t>三、质量标准</w:t>
      </w:r>
      <w:bookmarkEnd w:id="89"/>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工程质量符合</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标准。</w:t>
      </w:r>
    </w:p>
    <w:p>
      <w:pPr>
        <w:rPr>
          <w:rFonts w:hint="eastAsia" w:ascii="仿宋" w:hAnsi="仿宋" w:eastAsia="仿宋" w:cs="仿宋"/>
          <w:b/>
          <w:strike w:val="0"/>
          <w:dstrike w:val="0"/>
          <w:color w:val="000000"/>
          <w:sz w:val="24"/>
          <w:highlight w:val="none"/>
        </w:rPr>
      </w:pPr>
      <w:bookmarkStart w:id="90" w:name="_Toc351203484"/>
      <w:r>
        <w:rPr>
          <w:rFonts w:hint="eastAsia" w:ascii="仿宋" w:hAnsi="仿宋" w:eastAsia="仿宋" w:cs="仿宋"/>
          <w:b/>
          <w:strike w:val="0"/>
          <w:dstrike w:val="0"/>
          <w:color w:val="000000"/>
          <w:sz w:val="24"/>
          <w:highlight w:val="none"/>
        </w:rPr>
        <w:t>四、签约合同价与合同价格形式</w:t>
      </w:r>
      <w:bookmarkEnd w:id="90"/>
      <w:r>
        <w:rPr>
          <w:rFonts w:hint="eastAsia" w:ascii="仿宋" w:hAnsi="仿宋" w:eastAsia="仿宋" w:cs="仿宋"/>
          <w:b/>
          <w:strike w:val="0"/>
          <w:dstrike w:val="0"/>
          <w:color w:val="000000"/>
          <w:sz w:val="24"/>
          <w:highlight w:val="none"/>
        </w:rPr>
        <w:tab/>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1.签约合同价为：</w:t>
      </w:r>
    </w:p>
    <w:p>
      <w:pPr>
        <w:spacing w:line="360" w:lineRule="auto"/>
        <w:ind w:firstLine="600" w:firstLineChars="2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其中：</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（1）安全文明施工费：</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（2）材料和工程设备暂估价金额：</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（3）专业工程暂估价金额：</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（4）暂列金额：</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2.合同价格形式：</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      </w:t>
      </w:r>
      <w:r>
        <w:rPr>
          <w:rFonts w:hint="eastAsia" w:ascii="仿宋" w:hAnsi="仿宋" w:eastAsia="仿宋" w:cs="仿宋"/>
          <w:strike w:val="0"/>
          <w:dstrike w:val="0"/>
          <w:color w:val="000000"/>
          <w:sz w:val="24"/>
          <w:highlight w:val="none"/>
        </w:rPr>
        <w:t>。</w:t>
      </w:r>
    </w:p>
    <w:p>
      <w:pPr>
        <w:rPr>
          <w:rFonts w:hint="eastAsia" w:ascii="仿宋" w:hAnsi="仿宋" w:eastAsia="仿宋" w:cs="仿宋"/>
          <w:b/>
          <w:strike w:val="0"/>
          <w:dstrike w:val="0"/>
          <w:color w:val="000000"/>
          <w:sz w:val="24"/>
          <w:highlight w:val="none"/>
        </w:rPr>
      </w:pPr>
      <w:bookmarkStart w:id="91" w:name="_Toc351203485"/>
      <w:r>
        <w:rPr>
          <w:rFonts w:hint="eastAsia" w:ascii="仿宋" w:hAnsi="仿宋" w:eastAsia="仿宋" w:cs="仿宋"/>
          <w:b/>
          <w:strike w:val="0"/>
          <w:dstrike w:val="0"/>
          <w:color w:val="000000"/>
          <w:sz w:val="24"/>
          <w:highlight w:val="none"/>
        </w:rPr>
        <w:t>五、</w:t>
      </w:r>
      <w:bookmarkEnd w:id="91"/>
      <w:r>
        <w:rPr>
          <w:rFonts w:hint="eastAsia" w:ascii="仿宋" w:hAnsi="仿宋" w:eastAsia="仿宋" w:cs="仿宋"/>
          <w:b/>
          <w:strike w:val="0"/>
          <w:dstrike w:val="0"/>
          <w:color w:val="000000"/>
          <w:sz w:val="24"/>
          <w:highlight w:val="none"/>
        </w:rPr>
        <w:t>项目经理</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承包人项目经理：</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    </w:t>
      </w:r>
      <w:r>
        <w:rPr>
          <w:rFonts w:hint="eastAsia" w:ascii="仿宋" w:hAnsi="仿宋" w:eastAsia="仿宋" w:cs="仿宋"/>
          <w:strike w:val="0"/>
          <w:dstrike w:val="0"/>
          <w:color w:val="000000"/>
          <w:sz w:val="24"/>
          <w:highlight w:val="none"/>
        </w:rPr>
        <w:t>。</w:t>
      </w:r>
    </w:p>
    <w:p>
      <w:pPr>
        <w:rPr>
          <w:rFonts w:hint="eastAsia" w:ascii="仿宋" w:hAnsi="仿宋" w:eastAsia="仿宋" w:cs="仿宋"/>
          <w:b/>
          <w:strike w:val="0"/>
          <w:dstrike w:val="0"/>
          <w:color w:val="000000"/>
          <w:sz w:val="24"/>
          <w:highlight w:val="none"/>
        </w:rPr>
      </w:pPr>
      <w:bookmarkStart w:id="92" w:name="_Toc351203486"/>
      <w:r>
        <w:rPr>
          <w:rFonts w:hint="eastAsia" w:ascii="仿宋" w:hAnsi="仿宋" w:eastAsia="仿宋" w:cs="仿宋"/>
          <w:b/>
          <w:strike w:val="0"/>
          <w:dstrike w:val="0"/>
          <w:color w:val="000000"/>
          <w:sz w:val="24"/>
          <w:highlight w:val="none"/>
        </w:rPr>
        <w:t>六、合同文件构成</w:t>
      </w:r>
      <w:bookmarkEnd w:id="92"/>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（1）中标通知书（如果有）；</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（2）投标函及其附录（如果有）； </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pPr>
        <w:rPr>
          <w:rFonts w:hint="eastAsia" w:ascii="仿宋" w:hAnsi="仿宋" w:eastAsia="仿宋" w:cs="仿宋"/>
          <w:b/>
          <w:strike w:val="0"/>
          <w:dstrike w:val="0"/>
          <w:color w:val="000000"/>
          <w:sz w:val="24"/>
          <w:highlight w:val="none"/>
        </w:rPr>
      </w:pPr>
      <w:bookmarkStart w:id="93" w:name="_Toc351203487"/>
      <w:r>
        <w:rPr>
          <w:rFonts w:hint="eastAsia" w:ascii="仿宋" w:hAnsi="仿宋" w:eastAsia="仿宋" w:cs="仿宋"/>
          <w:b/>
          <w:strike w:val="0"/>
          <w:dstrike w:val="0"/>
          <w:color w:val="000000"/>
          <w:sz w:val="24"/>
          <w:highlight w:val="none"/>
        </w:rPr>
        <w:t>七、承诺</w:t>
      </w:r>
      <w:bookmarkEnd w:id="93"/>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3.发包人和承包人通过招投标形式签订合同的，双方理解并承诺不再就同一工程另行签订与合同实质性内容相背离的协议。</w:t>
      </w:r>
    </w:p>
    <w:p>
      <w:pPr>
        <w:rPr>
          <w:rFonts w:hint="eastAsia" w:ascii="仿宋" w:hAnsi="仿宋" w:eastAsia="仿宋" w:cs="仿宋"/>
          <w:b/>
          <w:strike w:val="0"/>
          <w:dstrike w:val="0"/>
          <w:color w:val="000000"/>
          <w:sz w:val="24"/>
          <w:highlight w:val="none"/>
        </w:rPr>
      </w:pPr>
      <w:bookmarkStart w:id="94" w:name="_Toc351203488"/>
      <w:r>
        <w:rPr>
          <w:rFonts w:hint="eastAsia" w:ascii="仿宋" w:hAnsi="仿宋" w:eastAsia="仿宋" w:cs="仿宋"/>
          <w:b/>
          <w:strike w:val="0"/>
          <w:dstrike w:val="0"/>
          <w:color w:val="000000"/>
          <w:sz w:val="24"/>
          <w:highlight w:val="none"/>
        </w:rPr>
        <w:t>八、词语含义</w:t>
      </w:r>
      <w:bookmarkEnd w:id="94"/>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本协议书中词语含义与第二部分通用合同条款中赋予的含义相同。</w:t>
      </w:r>
    </w:p>
    <w:p>
      <w:pPr>
        <w:rPr>
          <w:rFonts w:hint="eastAsia" w:ascii="仿宋" w:hAnsi="仿宋" w:eastAsia="仿宋" w:cs="仿宋"/>
          <w:b/>
          <w:strike w:val="0"/>
          <w:dstrike w:val="0"/>
          <w:color w:val="000000"/>
          <w:sz w:val="24"/>
          <w:highlight w:val="none"/>
        </w:rPr>
      </w:pPr>
      <w:bookmarkStart w:id="95" w:name="_Toc351203489"/>
      <w:r>
        <w:rPr>
          <w:rFonts w:hint="eastAsia" w:ascii="仿宋" w:hAnsi="仿宋" w:eastAsia="仿宋" w:cs="仿宋"/>
          <w:b/>
          <w:strike w:val="0"/>
          <w:dstrike w:val="0"/>
          <w:color w:val="000000"/>
          <w:sz w:val="24"/>
          <w:highlight w:val="none"/>
        </w:rPr>
        <w:t>九、签订时间</w:t>
      </w:r>
      <w:bookmarkEnd w:id="95"/>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本合同于</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年</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月</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日签订。</w:t>
      </w:r>
    </w:p>
    <w:p>
      <w:pPr>
        <w:rPr>
          <w:rFonts w:hint="eastAsia" w:ascii="仿宋" w:hAnsi="仿宋" w:eastAsia="仿宋" w:cs="仿宋"/>
          <w:b/>
          <w:strike w:val="0"/>
          <w:dstrike w:val="0"/>
          <w:color w:val="000000"/>
          <w:sz w:val="24"/>
          <w:highlight w:val="none"/>
        </w:rPr>
      </w:pPr>
      <w:bookmarkStart w:id="96" w:name="_Toc351203490"/>
      <w:r>
        <w:rPr>
          <w:rFonts w:hint="eastAsia" w:ascii="仿宋" w:hAnsi="仿宋" w:eastAsia="仿宋" w:cs="仿宋"/>
          <w:b/>
          <w:strike w:val="0"/>
          <w:dstrike w:val="0"/>
          <w:color w:val="000000"/>
          <w:sz w:val="24"/>
          <w:highlight w:val="none"/>
        </w:rPr>
        <w:t>十、签订地点</w:t>
      </w:r>
      <w:bookmarkEnd w:id="96"/>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本合同在</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签订。</w:t>
      </w:r>
    </w:p>
    <w:p>
      <w:pPr>
        <w:rPr>
          <w:rFonts w:hint="eastAsia" w:ascii="仿宋" w:hAnsi="仿宋" w:eastAsia="仿宋" w:cs="仿宋"/>
          <w:b/>
          <w:strike w:val="0"/>
          <w:dstrike w:val="0"/>
          <w:color w:val="000000"/>
          <w:sz w:val="24"/>
          <w:highlight w:val="none"/>
        </w:rPr>
      </w:pPr>
      <w:bookmarkStart w:id="97" w:name="_Toc351203491"/>
      <w:r>
        <w:rPr>
          <w:rFonts w:hint="eastAsia" w:ascii="仿宋" w:hAnsi="仿宋" w:eastAsia="仿宋" w:cs="仿宋"/>
          <w:b/>
          <w:strike w:val="0"/>
          <w:dstrike w:val="0"/>
          <w:color w:val="000000"/>
          <w:sz w:val="24"/>
          <w:highlight w:val="none"/>
        </w:rPr>
        <w:t>十一、补充协议</w:t>
      </w:r>
      <w:bookmarkEnd w:id="97"/>
    </w:p>
    <w:p>
      <w:pPr>
        <w:spacing w:line="360" w:lineRule="auto"/>
        <w:ind w:firstLine="480" w:firstLineChars="200"/>
        <w:rPr>
          <w:rFonts w:hint="eastAsia" w:ascii="仿宋" w:hAnsi="仿宋" w:eastAsia="仿宋" w:cs="仿宋"/>
          <w:b/>
          <w:bCs/>
          <w:strike w:val="0"/>
          <w:dstrike w:val="0"/>
          <w:color w:val="000000"/>
          <w:sz w:val="24"/>
          <w:highlight w:val="none"/>
        </w:rPr>
      </w:pPr>
      <w:r>
        <w:rPr>
          <w:rFonts w:hint="eastAsia" w:ascii="仿宋" w:hAnsi="仿宋" w:eastAsia="仿宋" w:cs="仿宋"/>
          <w:bCs/>
          <w:strike w:val="0"/>
          <w:dstrike w:val="0"/>
          <w:color w:val="000000"/>
          <w:sz w:val="24"/>
          <w:highlight w:val="none"/>
        </w:rPr>
        <w:t>合同未尽事宜，合同当事人另行签订补充协议，补充协议是合同的组成部分。</w:t>
      </w:r>
    </w:p>
    <w:p>
      <w:pPr>
        <w:rPr>
          <w:rFonts w:hint="eastAsia" w:ascii="仿宋" w:hAnsi="仿宋" w:eastAsia="仿宋" w:cs="仿宋"/>
          <w:b/>
          <w:strike w:val="0"/>
          <w:dstrike w:val="0"/>
          <w:color w:val="000000"/>
          <w:sz w:val="24"/>
          <w:highlight w:val="none"/>
        </w:rPr>
      </w:pPr>
      <w:bookmarkStart w:id="98" w:name="_Toc351203492"/>
      <w:r>
        <w:rPr>
          <w:rFonts w:hint="eastAsia" w:ascii="仿宋" w:hAnsi="仿宋" w:eastAsia="仿宋" w:cs="仿宋"/>
          <w:b/>
          <w:strike w:val="0"/>
          <w:dstrike w:val="0"/>
          <w:color w:val="000000"/>
          <w:sz w:val="24"/>
          <w:highlight w:val="none"/>
        </w:rPr>
        <w:t>十二、合同生效</w:t>
      </w:r>
      <w:bookmarkEnd w:id="98"/>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本合同自</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生效。</w:t>
      </w:r>
    </w:p>
    <w:p>
      <w:pPr>
        <w:rPr>
          <w:rFonts w:hint="eastAsia" w:ascii="仿宋" w:hAnsi="仿宋" w:eastAsia="仿宋" w:cs="仿宋"/>
          <w:b/>
          <w:strike w:val="0"/>
          <w:dstrike w:val="0"/>
          <w:color w:val="000000"/>
          <w:sz w:val="24"/>
          <w:highlight w:val="none"/>
        </w:rPr>
      </w:pPr>
      <w:bookmarkStart w:id="99" w:name="_Toc351203493"/>
      <w:r>
        <w:rPr>
          <w:rFonts w:hint="eastAsia" w:ascii="仿宋" w:hAnsi="仿宋" w:eastAsia="仿宋" w:cs="仿宋"/>
          <w:b/>
          <w:strike w:val="0"/>
          <w:dstrike w:val="0"/>
          <w:color w:val="000000"/>
          <w:sz w:val="24"/>
          <w:highlight w:val="none"/>
        </w:rPr>
        <w:t>十三、合同份数</w:t>
      </w:r>
      <w:bookmarkEnd w:id="99"/>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本合同一式</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份，均具有同等法律效力，发包人执</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份，承包人执</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份。</w:t>
      </w:r>
    </w:p>
    <w:p>
      <w:pPr>
        <w:spacing w:line="360" w:lineRule="auto"/>
        <w:rPr>
          <w:rFonts w:hint="eastAsia" w:ascii="仿宋" w:hAnsi="仿宋" w:eastAsia="仿宋" w:cs="仿宋"/>
          <w:bCs/>
          <w:strike w:val="0"/>
          <w:dstrike w:val="0"/>
          <w:color w:val="000000"/>
          <w:sz w:val="24"/>
          <w:highlight w:val="none"/>
        </w:rPr>
      </w:pPr>
    </w:p>
    <w:p>
      <w:pPr>
        <w:spacing w:line="360" w:lineRule="auto"/>
        <w:rPr>
          <w:rFonts w:hint="eastAsia" w:ascii="仿宋" w:hAnsi="仿宋" w:eastAsia="仿宋" w:cs="仿宋"/>
          <w:bCs/>
          <w:strike w:val="0"/>
          <w:dstrike w:val="0"/>
          <w:color w:val="000000"/>
          <w:sz w:val="24"/>
          <w:highlight w:val="none"/>
        </w:rPr>
      </w:pPr>
    </w:p>
    <w:p>
      <w:pPr>
        <w:spacing w:line="360" w:lineRule="auto"/>
        <w:rPr>
          <w:rFonts w:hint="eastAsia" w:ascii="仿宋" w:hAnsi="仿宋" w:eastAsia="仿宋" w:cs="仿宋"/>
          <w:bCs/>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发包人：  (公章)             承包人：  (公章)</w:t>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法定代表人或其委托代理人：  法定代表人或其委托代理人：</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（签字）                    （签字）</w:t>
      </w:r>
    </w:p>
    <w:p>
      <w:pPr>
        <w:spacing w:line="360" w:lineRule="auto"/>
        <w:rPr>
          <w:rFonts w:hint="eastAsia" w:ascii="仿宋" w:hAnsi="仿宋" w:eastAsia="仿宋" w:cs="仿宋"/>
          <w:strike w:val="0"/>
          <w:dstrike w:val="0"/>
          <w:color w:val="000000"/>
          <w:sz w:val="24"/>
          <w:highlight w:val="none"/>
          <w:u w:val="single"/>
        </w:rPr>
      </w:pPr>
    </w:p>
    <w:p>
      <w:pPr>
        <w:tabs>
          <w:tab w:val="left" w:pos="4410"/>
        </w:tabs>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组织机构代码：</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 xml:space="preserve">  组织机构代码：</w:t>
      </w:r>
      <w:r>
        <w:rPr>
          <w:rFonts w:hint="eastAsia" w:ascii="仿宋" w:hAnsi="仿宋" w:eastAsia="仿宋" w:cs="仿宋"/>
          <w:strike w:val="0"/>
          <w:dstrike w:val="0"/>
          <w:color w:val="000000"/>
          <w:sz w:val="24"/>
          <w:highlight w:val="none"/>
          <w:u w:val="single"/>
        </w:rPr>
        <w:t xml:space="preserve">  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地  址：</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邮政编码：</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w:t>
      </w:r>
      <w:r>
        <w:rPr>
          <w:rFonts w:hint="eastAsia" w:ascii="仿宋" w:hAnsi="仿宋" w:eastAsia="仿宋" w:cs="仿宋"/>
          <w:strike w:val="0"/>
          <w:dstrike w:val="0"/>
          <w:color w:val="000000"/>
          <w:sz w:val="24"/>
          <w:highlight w:val="none"/>
          <w:u w:val="single"/>
        </w:rPr>
        <w:t xml:space="preserve">           </w:t>
      </w:r>
      <w:r>
        <w:rPr>
          <w:rFonts w:hint="eastAsia" w:ascii="仿宋" w:hAnsi="仿宋" w:eastAsia="仿宋" w:cs="仿宋"/>
          <w:strike w:val="0"/>
          <w:dstrike w:val="0"/>
          <w:color w:val="000000"/>
          <w:sz w:val="24"/>
          <w:highlight w:val="none"/>
        </w:rPr>
        <w:t xml:space="preserve">  法定代表人：</w:t>
      </w:r>
      <w:r>
        <w:rPr>
          <w:rFonts w:hint="eastAsia" w:ascii="仿宋" w:hAnsi="仿宋" w:eastAsia="仿宋" w:cs="仿宋"/>
          <w:strike w:val="0"/>
          <w:dstrike w:val="0"/>
          <w:color w:val="000000"/>
          <w:sz w:val="24"/>
          <w:highlight w:val="none"/>
          <w:u w:val="single"/>
        </w:rPr>
        <w:t xml:space="preserve">      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委托代理人：</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委托代理人：</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  话：</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电  话：</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传  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电子信箱：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电子信箱：</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开户银行：</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开户银行：</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账  号：</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账  号：</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pStyle w:val="5"/>
        <w:spacing w:before="120" w:beforeLines="50" w:after="120" w:afterLines="50" w:line="500" w:lineRule="exact"/>
        <w:ind w:firstLine="2800" w:firstLineChars="1000"/>
        <w:rPr>
          <w:rFonts w:hint="eastAsia" w:ascii="仿宋" w:hAnsi="仿宋" w:eastAsia="仿宋" w:cs="仿宋"/>
          <w:strike w:val="0"/>
          <w:dstrike w:val="0"/>
          <w:color w:val="000000"/>
          <w:sz w:val="28"/>
          <w:szCs w:val="28"/>
          <w:highlight w:val="none"/>
        </w:rPr>
        <w:sectPr>
          <w:footerReference r:id="rId7" w:type="first"/>
          <w:footerReference r:id="rId6" w:type="default"/>
          <w:pgSz w:w="11907" w:h="16840"/>
          <w:pgMar w:top="1418" w:right="1107" w:bottom="1304" w:left="1080" w:header="851" w:footer="992" w:gutter="0"/>
          <w:pgNumType w:fmt="decimal"/>
          <w:cols w:space="720" w:num="1"/>
          <w:docGrid w:linePitch="271" w:charSpace="0"/>
        </w:sectPr>
      </w:pPr>
    </w:p>
    <w:p>
      <w:pPr>
        <w:pStyle w:val="4"/>
        <w:jc w:val="center"/>
        <w:rPr>
          <w:rFonts w:hint="eastAsia" w:ascii="仿宋" w:hAnsi="仿宋" w:eastAsia="仿宋" w:cs="仿宋"/>
          <w:strike w:val="0"/>
          <w:dstrike w:val="0"/>
          <w:color w:val="000000"/>
          <w:highlight w:val="none"/>
        </w:rPr>
      </w:pPr>
      <w:bookmarkStart w:id="100" w:name="_Toc509536874"/>
      <w:r>
        <w:rPr>
          <w:rFonts w:hint="eastAsia" w:ascii="仿宋" w:hAnsi="仿宋" w:eastAsia="仿宋" w:cs="仿宋"/>
          <w:strike w:val="0"/>
          <w:dstrike w:val="0"/>
          <w:color w:val="000000"/>
          <w:highlight w:val="none"/>
        </w:rPr>
        <w:t>第二部分 通用条款</w:t>
      </w:r>
      <w:bookmarkEnd w:id="100"/>
    </w:p>
    <w:p>
      <w:pPr>
        <w:pStyle w:val="105"/>
        <w:spacing w:line="560" w:lineRule="exact"/>
        <w:ind w:left="315" w:leftChars="150" w:right="720" w:firstLine="480" w:firstLineChars="200"/>
        <w:rPr>
          <w:rFonts w:hint="eastAsia" w:ascii="仿宋" w:hAnsi="仿宋" w:eastAsia="仿宋" w:cs="仿宋"/>
          <w:strike w:val="0"/>
          <w:dstrike w:val="0"/>
          <w:color w:val="000000"/>
          <w:szCs w:val="24"/>
          <w:highlight w:val="none"/>
        </w:rPr>
      </w:pPr>
      <w:r>
        <w:rPr>
          <w:rFonts w:hint="eastAsia" w:ascii="仿宋" w:hAnsi="仿宋" w:eastAsia="仿宋" w:cs="仿宋"/>
          <w:strike w:val="0"/>
          <w:dstrike w:val="0"/>
          <w:color w:val="000000"/>
          <w:szCs w:val="24"/>
          <w:highlight w:val="none"/>
        </w:rPr>
        <w:t>执行《建设工程施工合同（示范文本）》（GF-2013-0201）通用合同条款，此处略。</w:t>
      </w:r>
    </w:p>
    <w:p>
      <w:pPr>
        <w:pStyle w:val="4"/>
        <w:jc w:val="center"/>
        <w:rPr>
          <w:rFonts w:hint="eastAsia" w:ascii="仿宋" w:hAnsi="仿宋" w:eastAsia="仿宋" w:cs="仿宋"/>
          <w:strike w:val="0"/>
          <w:dstrike w:val="0"/>
          <w:color w:val="000000"/>
          <w:highlight w:val="none"/>
        </w:rPr>
      </w:pPr>
      <w:r>
        <w:rPr>
          <w:rFonts w:hint="eastAsia" w:ascii="仿宋" w:hAnsi="仿宋" w:eastAsia="仿宋" w:cs="仿宋"/>
          <w:strike w:val="0"/>
          <w:dstrike w:val="0"/>
          <w:color w:val="000000"/>
          <w:highlight w:val="none"/>
        </w:rPr>
        <w:t>第三部分 专用合同条款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01" w:name="_Toc351203633"/>
      <w:bookmarkEnd w:id="101"/>
      <w:r>
        <w:rPr>
          <w:rFonts w:hint="eastAsia" w:ascii="仿宋" w:hAnsi="仿宋" w:eastAsia="仿宋" w:cs="仿宋"/>
          <w:sz w:val="24"/>
          <w:szCs w:val="24"/>
          <w:highlight w:val="none"/>
        </w:rPr>
        <w:t>1</w:t>
      </w:r>
      <w:bookmarkStart w:id="102" w:name="_Toc292559866"/>
      <w:bookmarkEnd w:id="102"/>
      <w:bookmarkStart w:id="103" w:name="_Toc292559361"/>
      <w:bookmarkEnd w:id="103"/>
      <w:bookmarkStart w:id="104" w:name="_Toc296891196"/>
      <w:bookmarkEnd w:id="104"/>
      <w:bookmarkStart w:id="105" w:name="_Toc296503156"/>
      <w:bookmarkEnd w:id="105"/>
      <w:bookmarkStart w:id="106" w:name="_Toc297048342"/>
      <w:bookmarkEnd w:id="106"/>
      <w:bookmarkStart w:id="107" w:name="_Toc296346657"/>
      <w:bookmarkEnd w:id="107"/>
      <w:bookmarkStart w:id="108" w:name="_Toc296944495"/>
      <w:bookmarkEnd w:id="108"/>
      <w:bookmarkStart w:id="109" w:name="_Toc297120456"/>
      <w:bookmarkEnd w:id="109"/>
      <w:bookmarkStart w:id="110" w:name="_Toc296890984"/>
      <w:bookmarkEnd w:id="110"/>
      <w:bookmarkStart w:id="111" w:name="_Toc296347155"/>
      <w:bookmarkEnd w:id="111"/>
      <w:r>
        <w:rPr>
          <w:rFonts w:hint="eastAsia" w:ascii="仿宋" w:hAnsi="仿宋" w:eastAsia="仿宋" w:cs="仿宋"/>
          <w:sz w:val="24"/>
          <w:szCs w:val="24"/>
          <w:highlight w:val="none"/>
        </w:rPr>
        <w:t>. 一般约定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词语定义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1.1.1.10其他合同文件包括：施工组织设计、招标文件（含澄清文件、暂列金、暂估价）、洽谈记录、图纸会审记录、发包人相关制度、廉政协议等文件。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 合同当事人及其他相关方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1.1.2.4监理人：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资质类别和等级：</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1.1.2.5 设计人：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资质类别和等级：</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 工程和设备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1.1.3.7 作为施工现场组成部分的其他场所包括：执行通用条款。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1.1.3.9 永久占地包括：执行通用条款。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1.1.3.10 临时占地包括：生活、办公等临时设施及设备、材料加工，堆放场地。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适用于合同的其他规范性文件：</w:t>
      </w:r>
      <w:bookmarkStart w:id="112" w:name="D2???????????"/>
      <w:bookmarkEnd w:id="112"/>
      <w:r>
        <w:rPr>
          <w:rFonts w:hint="eastAsia" w:ascii="仿宋" w:hAnsi="仿宋" w:eastAsia="仿宋" w:cs="仿宋"/>
          <w:sz w:val="24"/>
          <w:szCs w:val="24"/>
          <w:highlight w:val="none"/>
        </w:rPr>
        <w:t>《建设工程工程量清单计价规范》GB50500-2013 、《建设工程文件归档整理规范》（GB/T50328-2001）、国家重大建设项目文件归档要求与档案整理规范（DA/T28-2002），国家施工质量验收规范、规程、施工技术标准、设计图纸及其他设计文件；现行的施工规范和技术标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1.4.1适用于工程的标准规范包括：《建设工程工程量清单计价规范》GB50500-2013。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发包人提供国外标准、规范的名称：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发包人提供国外标准、规范的份数：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发包人提供国外标准、规范的名称：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1.4.3发包人对工程的技术标准和功能要求的特殊要求：</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合同文件的优先顺序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合同文件组成及优先顺序为：(l）合同协议书、(2）中标通知书、(3）投标函及投标函附录、(4）专用合同条款、(5）通用合同条款、(6）技术标准和要求、(7）图纸、(8）中标价工程量清单、(9）其他合同文件。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 图纸和承包人文件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图纸的提供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发包人向承包人提供图纸的数量</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发包人向承包人提供图纸的内容</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1.6.4 承包人文件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需要由承包人提供的文件，包括：</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承包人提供的文件的期限为：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承包人提供的文件的数量为：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承包人提供的文件的形式为：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发包人审批承包人文件的期限：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1.6.5 现场图纸准备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关于现场图纸准备的约定：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 联络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1.7.1发包人和承包人应当在 /天内将与合同有关的通知、批准、证明、证书、指示、指令、要求、请求、同意、意见、确定和决定等书面函件送达对方当事人。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 发包人接收文件的地点：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发包人指定的接收人为：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承包人接收文件的地点：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承包人指定的接收人为：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监理人接收文件的地点：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监理人指定的接收人为：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 交通运输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113" w:name="_Toc300934943"/>
      <w:bookmarkEnd w:id="113"/>
      <w:bookmarkStart w:id="114" w:name="_Toc312677986"/>
      <w:bookmarkEnd w:id="114"/>
      <w:bookmarkStart w:id="115" w:name="_Toc318581155"/>
      <w:bookmarkEnd w:id="115"/>
      <w:bookmarkStart w:id="116" w:name="_Toc304295521"/>
      <w:bookmarkEnd w:id="116"/>
      <w:bookmarkStart w:id="117" w:name="_Toc303539100"/>
      <w:bookmarkEnd w:id="117"/>
      <w:r>
        <w:rPr>
          <w:rFonts w:hint="eastAsia" w:ascii="仿宋" w:hAnsi="仿宋" w:eastAsia="仿宋" w:cs="仿宋"/>
          <w:sz w:val="24"/>
          <w:szCs w:val="24"/>
          <w:highlight w:val="none"/>
        </w:rPr>
        <w:t>.10.1 出入现场的权利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关于出入现场的权利的约定：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118" w:name="_Toc303539101"/>
      <w:bookmarkEnd w:id="118"/>
      <w:bookmarkStart w:id="119" w:name="_Toc304295522"/>
      <w:bookmarkEnd w:id="119"/>
      <w:bookmarkStart w:id="120" w:name="_Toc318581156"/>
      <w:bookmarkEnd w:id="120"/>
      <w:bookmarkStart w:id="121" w:name="_Toc312677987"/>
      <w:bookmarkEnd w:id="121"/>
      <w:bookmarkStart w:id="122" w:name="_Toc300934944"/>
      <w:bookmarkEnd w:id="122"/>
      <w:r>
        <w:rPr>
          <w:rFonts w:hint="eastAsia" w:ascii="仿宋" w:hAnsi="仿宋" w:eastAsia="仿宋" w:cs="仿宋"/>
          <w:sz w:val="24"/>
          <w:szCs w:val="24"/>
          <w:highlight w:val="none"/>
        </w:rPr>
        <w:t>.10.3 场内交通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关于场外交通和场内交通的边界的约定：根据实际情况约定。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关于发包人向承包人免费提供满足工程施工需要的场内道路和交通设施的约定：/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1.10.4超大件和超重件的运输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运输超大件或超重件所需的道路和桥梁临时加固改造费用和其他有关费用由承包人承担。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1.11.1关于发包人提供给承包人的图纸、发包人为实施工程自行编制或委托编制的技术规范以及反映发包人关于合同要求或其他类似性质的文件的著作权的归属：执行通用条款。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关于发包人提供的上述文件的使用限制的要求：执行通用条款。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1.11.2 关于承包人为实施工程所编制文件的著作权的归属：执行通用条款。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关于承包人提供的上述文件的使用限制的要求：执行通用条款。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1.11.4 承包人在施工过程中所采用的专利、专有技术、技术秘密的使用费的承担方式：包含在合同价中。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1.13工程量清单错误的修正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出现工程量清单错误时，是否调整合同价款：是。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bookmarkStart w:id="123" w:name="_Toc296944496"/>
      <w:bookmarkEnd w:id="123"/>
      <w:bookmarkStart w:id="124" w:name="_Toc296890985"/>
      <w:bookmarkEnd w:id="124"/>
      <w:bookmarkStart w:id="125" w:name="_Toc296891197"/>
      <w:bookmarkEnd w:id="125"/>
      <w:bookmarkStart w:id="126" w:name="_Toc296503157"/>
      <w:bookmarkEnd w:id="126"/>
      <w:bookmarkStart w:id="127" w:name="_Toc292559867"/>
      <w:bookmarkEnd w:id="127"/>
      <w:bookmarkStart w:id="128" w:name="_Toc297048343"/>
      <w:bookmarkEnd w:id="128"/>
      <w:bookmarkStart w:id="129" w:name="_Toc292559362"/>
      <w:bookmarkEnd w:id="129"/>
      <w:bookmarkStart w:id="130" w:name="_Toc297120457"/>
      <w:bookmarkEnd w:id="130"/>
      <w:bookmarkStart w:id="131" w:name="_Toc296347156"/>
      <w:bookmarkEnd w:id="131"/>
      <w:bookmarkStart w:id="132" w:name="_Toc296346658"/>
      <w:bookmarkEnd w:id="132"/>
      <w:r>
        <w:rPr>
          <w:rFonts w:hint="eastAsia" w:ascii="仿宋" w:hAnsi="仿宋" w:eastAsia="仿宋" w:cs="仿宋"/>
          <w:sz w:val="24"/>
          <w:szCs w:val="24"/>
          <w:highlight w:val="none"/>
        </w:rPr>
        <w:t>. 发包人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发包人代表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名：</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务：</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发包人对发包人代表的授权范围如下：/。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施工现场、施工条件和基础资料的提供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2.4.1 提供施工现场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关于发包人移交施工现场的期限要求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2.4.2 提供施工条件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关于发包人应负责提供施工所需要的条件，包括：</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 资金来源证明及支付担保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发包人提供资金来源证明的期限要求</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发包人是否提供支付担保：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发包人提供支付担保的形式：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33" w:name="_Toc351203635"/>
      <w:bookmarkEnd w:id="133"/>
      <w:r>
        <w:rPr>
          <w:rFonts w:hint="eastAsia" w:ascii="仿宋" w:hAnsi="仿宋" w:eastAsia="仿宋" w:cs="仿宋"/>
          <w:sz w:val="24"/>
          <w:szCs w:val="24"/>
          <w:highlight w:val="none"/>
        </w:rPr>
        <w:t>3</w:t>
      </w:r>
      <w:bookmarkStart w:id="134" w:name="_Toc292559868"/>
      <w:bookmarkEnd w:id="134"/>
      <w:bookmarkStart w:id="135" w:name="_Toc296503158"/>
      <w:bookmarkEnd w:id="135"/>
      <w:bookmarkStart w:id="136" w:name="_Toc296891198"/>
      <w:bookmarkEnd w:id="136"/>
      <w:bookmarkStart w:id="137" w:name="_Toc296944497"/>
      <w:bookmarkEnd w:id="137"/>
      <w:bookmarkStart w:id="138" w:name="_Toc296346659"/>
      <w:bookmarkEnd w:id="138"/>
      <w:bookmarkStart w:id="139" w:name="_Toc296890986"/>
      <w:bookmarkEnd w:id="139"/>
      <w:bookmarkStart w:id="140" w:name="_Toc292559363"/>
      <w:bookmarkEnd w:id="140"/>
      <w:bookmarkStart w:id="141" w:name="_Toc297048344"/>
      <w:bookmarkEnd w:id="141"/>
      <w:bookmarkStart w:id="142" w:name="_Toc297120458"/>
      <w:bookmarkEnd w:id="142"/>
      <w:bookmarkStart w:id="143" w:name="_Toc296347157"/>
      <w:bookmarkEnd w:id="143"/>
      <w:r>
        <w:rPr>
          <w:rFonts w:hint="eastAsia" w:ascii="仿宋" w:hAnsi="仿宋" w:eastAsia="仿宋" w:cs="仿宋"/>
          <w:sz w:val="24"/>
          <w:szCs w:val="24"/>
          <w:highlight w:val="none"/>
        </w:rPr>
        <w:t>. 承包人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承包人的一般义务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（5）承包人提交的竣工资料的内容：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承包人提交的竣工资料的套数：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承包人提交的竣工资料的费用承担：承包人自行承担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承包人提交的竣工资料移交时间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承包人提交的竣工资料形式：</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（6）承包人应履行的其他义务：</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名：</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建造师执业资格等级</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建造师注册证书号：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建造师执业印章号：</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安全生产考核合格证书号：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承包人对项目经理的授权范围如下：按合同的约定组织工程施工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关于项目经理每月在施工现场的时间要求：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承包人未提交劳动合同，以及没有为项目经理缴纳社会保险证明的违约责任：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项目经理未经批准，擅自离开施工现场的违约责任：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3.2.3 承包人擅自更换项目经理的违约责任：</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3.2.4 承包人无正当理由拒绝更换项目经理的违约责任：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 承包人人员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 承包人提交项目管理机构及施工现场管理人员安排报告的期限：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3.3.3承包人无正当理由拒绝撤换主要施工管理人员的违约责任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3.3.4 承包人主要施工管理人员离开施工现场的批准要求：执行通用条款。</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3.3.5承包人擅自更换主要施工管理人员的违约责任：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bookmarkStart w:id="144" w:name="_Toc297048345"/>
      <w:bookmarkEnd w:id="144"/>
      <w:bookmarkStart w:id="145" w:name="_Toc297123492"/>
      <w:bookmarkEnd w:id="145"/>
      <w:bookmarkStart w:id="146" w:name="_Toc296944498"/>
      <w:bookmarkEnd w:id="146"/>
      <w:bookmarkStart w:id="147" w:name="_Toc296890987"/>
      <w:bookmarkEnd w:id="147"/>
      <w:bookmarkStart w:id="148" w:name="_Toc297216151"/>
      <w:bookmarkEnd w:id="148"/>
      <w:bookmarkStart w:id="149" w:name="_Toc292559869"/>
      <w:bookmarkEnd w:id="149"/>
      <w:bookmarkStart w:id="150" w:name="_Toc296503159"/>
      <w:bookmarkEnd w:id="150"/>
      <w:bookmarkStart w:id="151" w:name="_Toc296347158"/>
      <w:bookmarkEnd w:id="151"/>
      <w:bookmarkStart w:id="152" w:name="_Toc303539102"/>
      <w:bookmarkEnd w:id="152"/>
      <w:bookmarkStart w:id="153" w:name="_Toc297120459"/>
      <w:bookmarkEnd w:id="153"/>
      <w:bookmarkStart w:id="154" w:name="_Toc312677988"/>
      <w:bookmarkEnd w:id="154"/>
      <w:bookmarkStart w:id="155" w:name="_Toc296891199"/>
      <w:bookmarkEnd w:id="155"/>
      <w:bookmarkStart w:id="156" w:name="_Toc304295523"/>
      <w:bookmarkEnd w:id="156"/>
      <w:bookmarkStart w:id="157" w:name="_Toc296346660"/>
      <w:bookmarkEnd w:id="157"/>
      <w:bookmarkStart w:id="158" w:name="_Toc292559364"/>
      <w:bookmarkEnd w:id="158"/>
      <w:bookmarkStart w:id="159" w:name="_Toc300934945"/>
      <w:bookmarkEnd w:id="159"/>
      <w:r>
        <w:rPr>
          <w:rFonts w:hint="eastAsia" w:ascii="仿宋" w:hAnsi="仿宋" w:eastAsia="仿宋" w:cs="仿宋"/>
          <w:sz w:val="24"/>
          <w:szCs w:val="24"/>
          <w:highlight w:val="none"/>
        </w:rPr>
        <w:t>.5 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bookmarkStart w:id="160" w:name="_Toc297123493"/>
      <w:bookmarkEnd w:id="160"/>
      <w:bookmarkStart w:id="161" w:name="_Toc296891200"/>
      <w:bookmarkEnd w:id="161"/>
      <w:bookmarkStart w:id="162" w:name="_Toc296347159"/>
      <w:bookmarkEnd w:id="162"/>
      <w:bookmarkStart w:id="163" w:name="_Toc296346661"/>
      <w:bookmarkEnd w:id="163"/>
      <w:bookmarkStart w:id="164" w:name="_Toc292559365"/>
      <w:bookmarkEnd w:id="164"/>
      <w:bookmarkStart w:id="165" w:name="_Toc297120460"/>
      <w:bookmarkEnd w:id="165"/>
      <w:bookmarkStart w:id="166" w:name="_Toc296890988"/>
      <w:bookmarkEnd w:id="166"/>
      <w:bookmarkStart w:id="167" w:name="_Toc318581158"/>
      <w:bookmarkEnd w:id="167"/>
      <w:bookmarkStart w:id="168" w:name="_Toc312677989"/>
      <w:bookmarkEnd w:id="168"/>
      <w:bookmarkStart w:id="169" w:name="_Toc292559870"/>
      <w:bookmarkEnd w:id="169"/>
      <w:bookmarkStart w:id="170" w:name="_Toc304295524"/>
      <w:bookmarkEnd w:id="170"/>
      <w:bookmarkStart w:id="171" w:name="_Toc300934946"/>
      <w:bookmarkEnd w:id="171"/>
      <w:bookmarkStart w:id="172" w:name="_Toc296503160"/>
      <w:bookmarkEnd w:id="172"/>
      <w:bookmarkStart w:id="173" w:name="_Toc297048346"/>
      <w:bookmarkEnd w:id="173"/>
      <w:bookmarkStart w:id="174" w:name="_Toc297216152"/>
      <w:bookmarkEnd w:id="174"/>
      <w:bookmarkStart w:id="175" w:name="_Toc296944499"/>
      <w:bookmarkEnd w:id="175"/>
      <w:bookmarkStart w:id="176" w:name="_Toc303539103"/>
      <w:bookmarkEnd w:id="176"/>
      <w:r>
        <w:rPr>
          <w:rFonts w:hint="eastAsia" w:ascii="仿宋" w:hAnsi="仿宋" w:eastAsia="仿宋" w:cs="仿宋"/>
          <w:sz w:val="24"/>
          <w:szCs w:val="24"/>
          <w:highlight w:val="none"/>
        </w:rPr>
        <w:t>.5.1 分包的一般约定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禁止分包的工程包括：本工程禁止分包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主体结构、关键性工作的范围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bookmarkStart w:id="177" w:name="_Toc304295525"/>
      <w:bookmarkEnd w:id="177"/>
      <w:bookmarkStart w:id="178" w:name="_Toc296891201"/>
      <w:bookmarkEnd w:id="178"/>
      <w:bookmarkStart w:id="179" w:name="_Toc296347160"/>
      <w:bookmarkEnd w:id="179"/>
      <w:bookmarkStart w:id="180" w:name="_Toc296944500"/>
      <w:bookmarkEnd w:id="180"/>
      <w:bookmarkStart w:id="181" w:name="_Toc296890989"/>
      <w:bookmarkEnd w:id="181"/>
      <w:bookmarkStart w:id="182" w:name="_Toc297123494"/>
      <w:bookmarkEnd w:id="182"/>
      <w:bookmarkStart w:id="183" w:name="_Toc296503161"/>
      <w:bookmarkEnd w:id="183"/>
      <w:bookmarkStart w:id="184" w:name="_Toc297048347"/>
      <w:bookmarkEnd w:id="184"/>
      <w:bookmarkStart w:id="185" w:name="_Toc296346662"/>
      <w:bookmarkEnd w:id="185"/>
      <w:bookmarkStart w:id="186" w:name="_Toc297216153"/>
      <w:bookmarkEnd w:id="186"/>
      <w:bookmarkStart w:id="187" w:name="_Toc297120461"/>
      <w:bookmarkEnd w:id="187"/>
      <w:bookmarkStart w:id="188" w:name="_Toc303539104"/>
      <w:bookmarkEnd w:id="188"/>
      <w:bookmarkStart w:id="189" w:name="_Toc300934947"/>
      <w:bookmarkEnd w:id="1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bookmarkStart w:id="190" w:name="_Toc312677990"/>
      <w:bookmarkEnd w:id="190"/>
      <w:bookmarkStart w:id="191" w:name="_Toc318581159"/>
      <w:bookmarkEnd w:id="191"/>
      <w:r>
        <w:rPr>
          <w:rFonts w:hint="eastAsia" w:ascii="仿宋" w:hAnsi="仿宋" w:eastAsia="仿宋" w:cs="仿宋"/>
          <w:sz w:val="24"/>
          <w:szCs w:val="24"/>
          <w:highlight w:val="none"/>
        </w:rPr>
        <w:t>.5.2分包的确定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允许分包的专业工程包括：禁止分包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其他关于分包的约定：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3.5.4 分包合同价款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关于分包合同价款支付的约定：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 工程照管与成品、半成品保护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承包人负责照管工程及工程相关的材料、工程设备的起始时间：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 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承包人是否提供履约担保：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承包人提供履约担保的形式、金额及期限的：</w:t>
      </w:r>
      <w:bookmarkStart w:id="192" w:name="_Toc351203636"/>
      <w:bookmarkEnd w:id="192"/>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bookmarkStart w:id="193" w:name="_Toc296347161"/>
      <w:bookmarkEnd w:id="193"/>
      <w:bookmarkStart w:id="194" w:name="_Toc267251413"/>
      <w:bookmarkEnd w:id="194"/>
      <w:bookmarkStart w:id="195" w:name="_Toc296890990"/>
      <w:bookmarkEnd w:id="195"/>
      <w:bookmarkStart w:id="196" w:name="_Toc292559366"/>
      <w:bookmarkEnd w:id="196"/>
      <w:bookmarkStart w:id="197" w:name="_Toc296503162"/>
      <w:bookmarkEnd w:id="197"/>
      <w:bookmarkStart w:id="198" w:name="_Toc296891202"/>
      <w:bookmarkEnd w:id="198"/>
      <w:bookmarkStart w:id="199" w:name="_Toc297048348"/>
      <w:bookmarkEnd w:id="199"/>
      <w:bookmarkStart w:id="200" w:name="_Toc296346663"/>
      <w:bookmarkEnd w:id="200"/>
      <w:bookmarkStart w:id="201" w:name="_Toc297120462"/>
      <w:bookmarkEnd w:id="201"/>
      <w:bookmarkStart w:id="202" w:name="_Toc296944501"/>
      <w:bookmarkEnd w:id="202"/>
      <w:bookmarkStart w:id="203" w:name="_Toc292559871"/>
      <w:bookmarkEnd w:id="203"/>
      <w:r>
        <w:rPr>
          <w:rFonts w:hint="eastAsia" w:ascii="仿宋" w:hAnsi="仿宋" w:eastAsia="仿宋" w:cs="仿宋"/>
          <w:sz w:val="24"/>
          <w:szCs w:val="24"/>
          <w:highlight w:val="none"/>
        </w:rPr>
        <w:t>. 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4.1监理人的一般规定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关于监理人的监理内容：执行通用条款及监理合同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关于监理人的监理权限：执行通用条款及监理合同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关于监理人在施工现场的办公场所、生活场所的提供和费用承担的约定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 监理人员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名：</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务：</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监理工程师执业资格证书号：</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关于监理人的其他约定：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 商定或确定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04" w:name="_Toc267251418"/>
      <w:bookmarkEnd w:id="204"/>
      <w:r>
        <w:rPr>
          <w:rFonts w:hint="eastAsia" w:ascii="仿宋" w:hAnsi="仿宋" w:eastAsia="仿宋" w:cs="仿宋"/>
          <w:sz w:val="24"/>
          <w:szCs w:val="24"/>
          <w:highlight w:val="none"/>
        </w:rPr>
        <w:t>在发包人和承包人不能通过协商达成一致意见时，发包人授权监理人对以下事项进行确定：（1）</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05" w:name="_Toc351203637"/>
      <w:bookmarkEnd w:id="205"/>
      <w:r>
        <w:rPr>
          <w:rFonts w:hint="eastAsia" w:ascii="仿宋" w:hAnsi="仿宋" w:eastAsia="仿宋" w:cs="仿宋"/>
          <w:sz w:val="24"/>
          <w:szCs w:val="24"/>
          <w:highlight w:val="none"/>
        </w:rPr>
        <w:t>5</w:t>
      </w:r>
      <w:bookmarkStart w:id="206" w:name="_Toc296347162"/>
      <w:bookmarkEnd w:id="206"/>
      <w:bookmarkStart w:id="207" w:name="_Toc296944502"/>
      <w:bookmarkEnd w:id="207"/>
      <w:bookmarkStart w:id="208" w:name="_Toc292559367"/>
      <w:bookmarkEnd w:id="208"/>
      <w:bookmarkStart w:id="209" w:name="_Toc296890991"/>
      <w:bookmarkEnd w:id="209"/>
      <w:bookmarkStart w:id="210" w:name="_Toc297120463"/>
      <w:bookmarkEnd w:id="210"/>
      <w:bookmarkStart w:id="211" w:name="_Toc296503163"/>
      <w:bookmarkEnd w:id="211"/>
      <w:bookmarkStart w:id="212" w:name="_Toc292559872"/>
      <w:bookmarkEnd w:id="212"/>
      <w:bookmarkStart w:id="213" w:name="_Toc297048349"/>
      <w:bookmarkEnd w:id="213"/>
      <w:bookmarkStart w:id="214" w:name="_Toc296346664"/>
      <w:bookmarkEnd w:id="214"/>
      <w:bookmarkStart w:id="215" w:name="_Toc296891203"/>
      <w:bookmarkEnd w:id="215"/>
      <w:r>
        <w:rPr>
          <w:rFonts w:hint="eastAsia" w:ascii="仿宋" w:hAnsi="仿宋" w:eastAsia="仿宋" w:cs="仿宋"/>
          <w:sz w:val="24"/>
          <w:szCs w:val="24"/>
          <w:highlight w:val="none"/>
        </w:rPr>
        <w:t>. 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 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bookmarkStart w:id="216" w:name="_Toc297123496"/>
      <w:bookmarkEnd w:id="216"/>
      <w:bookmarkStart w:id="217" w:name="_Toc297216155"/>
      <w:bookmarkEnd w:id="217"/>
      <w:bookmarkStart w:id="218" w:name="_Toc318581164"/>
      <w:bookmarkEnd w:id="218"/>
      <w:bookmarkStart w:id="219" w:name="_Toc303539106"/>
      <w:bookmarkEnd w:id="219"/>
      <w:bookmarkStart w:id="220" w:name="_Toc304295527"/>
      <w:bookmarkEnd w:id="220"/>
      <w:bookmarkStart w:id="221" w:name="_Toc312677997"/>
      <w:bookmarkEnd w:id="221"/>
      <w:bookmarkStart w:id="222" w:name="_Toc300934949"/>
      <w:bookmarkEnd w:id="222"/>
      <w:r>
        <w:rPr>
          <w:rFonts w:hint="eastAsia" w:ascii="仿宋" w:hAnsi="仿宋" w:eastAsia="仿宋" w:cs="仿宋"/>
          <w:sz w:val="24"/>
          <w:szCs w:val="24"/>
          <w:highlight w:val="none"/>
        </w:rPr>
        <w:t>.1.1 特殊质量标准和要求：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关于工程奖项的约定：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 隐蔽工程检查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5.3.2承包人提前通知监理人隐蔽工程检查的期限的约定：执行通用条款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监理人不能按时进行检查时，应提前24小时提交书面延期要求。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关于延期最长不得超过：48小时。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23" w:name="_Toc351203638"/>
      <w:bookmarkEnd w:id="223"/>
      <w:r>
        <w:rPr>
          <w:rFonts w:hint="eastAsia" w:ascii="仿宋" w:hAnsi="仿宋" w:eastAsia="仿宋" w:cs="仿宋"/>
          <w:sz w:val="24"/>
          <w:szCs w:val="24"/>
          <w:highlight w:val="none"/>
        </w:rPr>
        <w:t>6. 安全文明施工与环境保护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6.1安全文明施工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项目安全生产的达标目标及相应事项的约定：无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6.1.4 关于治安保卫的特别约定：按通用条款执行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关于编制施工场地治安管理计划的约定：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6.1.5 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合同当事人对文明施工的要求：执行通用条款。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6.1.6 关于安全文明施工费支付比例和支付期限的约定：执行通用条款。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24" w:name="_Toc351203639"/>
      <w:bookmarkEnd w:id="224"/>
      <w:r>
        <w:rPr>
          <w:rFonts w:hint="eastAsia" w:ascii="仿宋" w:hAnsi="仿宋" w:eastAsia="仿宋" w:cs="仿宋"/>
          <w:sz w:val="24"/>
          <w:szCs w:val="24"/>
          <w:highlight w:val="none"/>
        </w:rPr>
        <w:t>7. 工期和进度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 施工组织设计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合同当事人约定的施工组织设计应包括的其他内容：执行通用条款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施工组织设计的提交和修改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承包人提交详细施工组织设计的期限的约定：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发包人和监理人在收到详细的施工组织设计后确认或提出修改意见的期限：执行通用条款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25" w:name="_Toc304295541"/>
      <w:bookmarkEnd w:id="225"/>
      <w:bookmarkStart w:id="226" w:name="_Toc300934966"/>
      <w:bookmarkEnd w:id="226"/>
      <w:bookmarkStart w:id="227" w:name="_Toc312677479"/>
      <w:bookmarkEnd w:id="227"/>
      <w:bookmarkStart w:id="228" w:name="_Toc297216173"/>
      <w:bookmarkEnd w:id="228"/>
      <w:bookmarkStart w:id="229" w:name="_Toc312678005"/>
      <w:bookmarkEnd w:id="229"/>
      <w:bookmarkStart w:id="230" w:name="_Toc297123514"/>
      <w:bookmarkEnd w:id="230"/>
      <w:bookmarkStart w:id="231" w:name="_Toc303539123"/>
      <w:bookmarkEnd w:id="231"/>
      <w:r>
        <w:rPr>
          <w:rFonts w:hint="eastAsia" w:ascii="仿宋" w:hAnsi="仿宋" w:eastAsia="仿宋" w:cs="仿宋"/>
          <w:sz w:val="24"/>
          <w:szCs w:val="24"/>
          <w:highlight w:val="none"/>
        </w:rPr>
        <w:t>.2 施工进度计划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7.2.2 施工进度计划的修订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发包人和监理人在收到修订的施工进度计划后确认或提出修改意见的期限：执行通用条款。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 开工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 开工准备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关于承包人提交工程开工报审表的期限：执行通用条款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关于发包人应完成的其他开工准备工作及期限：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关于承包人应完成的其他开工准备工作及期限：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7.3.2开工通知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因发包人原因造成监理人未能在计划开工日期之日起90天内发出开工通知的，承包人有权提出价格调整要求，或者解除合同。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 测量放线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7.4.1发包人通过监理人向承包人提供测量基准点、基准线和水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准点及其书面资料的期限：执行通用条款。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32" w:name="_Toc297216175"/>
      <w:bookmarkEnd w:id="232"/>
      <w:bookmarkStart w:id="233" w:name="_Toc312677484"/>
      <w:bookmarkEnd w:id="233"/>
      <w:bookmarkStart w:id="234" w:name="_Toc297123516"/>
      <w:bookmarkEnd w:id="234"/>
      <w:bookmarkStart w:id="235" w:name="_Toc300934968"/>
      <w:bookmarkEnd w:id="235"/>
      <w:bookmarkStart w:id="236" w:name="_Toc312678010"/>
      <w:bookmarkEnd w:id="236"/>
      <w:bookmarkStart w:id="237" w:name="_Toc304295546"/>
      <w:bookmarkEnd w:id="237"/>
      <w:bookmarkStart w:id="238" w:name="_Toc303539125"/>
      <w:bookmarkEnd w:id="238"/>
      <w:r>
        <w:rPr>
          <w:rFonts w:hint="eastAsia" w:ascii="仿宋" w:hAnsi="仿宋" w:eastAsia="仿宋" w:cs="仿宋"/>
          <w:sz w:val="24"/>
          <w:szCs w:val="24"/>
          <w:highlight w:val="none"/>
        </w:rPr>
        <w:t>.5 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7.5.1 因发包人原因导致工期延误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（7）因发包人原因导致工期延误的其他情形：</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39" w:name="_Toc312677486"/>
      <w:bookmarkEnd w:id="239"/>
      <w:bookmarkStart w:id="240" w:name="_Toc297216177"/>
      <w:bookmarkEnd w:id="240"/>
      <w:bookmarkStart w:id="241" w:name="_Toc304295548"/>
      <w:bookmarkEnd w:id="241"/>
      <w:bookmarkStart w:id="242" w:name="_Toc300934970"/>
      <w:bookmarkEnd w:id="242"/>
      <w:bookmarkStart w:id="243" w:name="_Toc303539127"/>
      <w:bookmarkEnd w:id="243"/>
      <w:bookmarkStart w:id="244" w:name="_Toc312678012"/>
      <w:bookmarkEnd w:id="244"/>
      <w:bookmarkStart w:id="245" w:name="_Toc318581169"/>
      <w:bookmarkEnd w:id="245"/>
      <w:bookmarkStart w:id="246" w:name="_Toc297123518"/>
      <w:bookmarkEnd w:id="246"/>
      <w:r>
        <w:rPr>
          <w:rFonts w:hint="eastAsia" w:ascii="仿宋" w:hAnsi="仿宋" w:eastAsia="仿宋" w:cs="仿宋"/>
          <w:sz w:val="24"/>
          <w:szCs w:val="24"/>
          <w:highlight w:val="none"/>
        </w:rPr>
        <w:t>.5.2 因承包人原因导致工期延误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w:t>
      </w:r>
      <w:bookmarkStart w:id="247" w:name="_Toc312678013"/>
      <w:bookmarkEnd w:id="247"/>
      <w:bookmarkStart w:id="248" w:name="_Toc312677487"/>
      <w:bookmarkEnd w:id="248"/>
      <w:bookmarkStart w:id="249" w:name="_Toc318581170"/>
      <w:bookmarkEnd w:id="249"/>
      <w:r>
        <w:rPr>
          <w:rFonts w:hint="eastAsia" w:ascii="仿宋" w:hAnsi="仿宋" w:eastAsia="仿宋" w:cs="仿宋"/>
          <w:sz w:val="24"/>
          <w:szCs w:val="24"/>
          <w:highlight w:val="none"/>
        </w:rPr>
        <w:t>承包人原因造成工期延误，逾期竣工违约金的逾期竣工违约金的计算方法为：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因承包人原因造成工期延误，逾</w:t>
      </w:r>
      <w:bookmarkStart w:id="250" w:name="_Toc312678014"/>
      <w:bookmarkEnd w:id="250"/>
      <w:bookmarkStart w:id="251" w:name="_Toc318581171"/>
      <w:bookmarkEnd w:id="251"/>
      <w:r>
        <w:rPr>
          <w:rFonts w:hint="eastAsia" w:ascii="仿宋" w:hAnsi="仿宋" w:eastAsia="仿宋" w:cs="仿宋"/>
          <w:sz w:val="24"/>
          <w:szCs w:val="24"/>
          <w:highlight w:val="none"/>
        </w:rPr>
        <w:t>期竣工违约金的上限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52" w:name="_Toc297216178"/>
      <w:bookmarkEnd w:id="252"/>
      <w:bookmarkStart w:id="253" w:name="_Toc312678015"/>
      <w:bookmarkEnd w:id="253"/>
      <w:bookmarkStart w:id="254" w:name="_Toc304295549"/>
      <w:bookmarkEnd w:id="254"/>
      <w:bookmarkStart w:id="255" w:name="_Toc300934971"/>
      <w:bookmarkEnd w:id="255"/>
      <w:bookmarkStart w:id="256" w:name="_Toc303539128"/>
      <w:bookmarkEnd w:id="256"/>
      <w:bookmarkStart w:id="257" w:name="_Toc297123519"/>
      <w:bookmarkEnd w:id="257"/>
      <w:r>
        <w:rPr>
          <w:rFonts w:hint="eastAsia" w:ascii="仿宋" w:hAnsi="仿宋" w:eastAsia="仿宋" w:cs="仿宋"/>
          <w:sz w:val="24"/>
          <w:szCs w:val="24"/>
          <w:highlight w:val="none"/>
        </w:rPr>
        <w:t>.6 不利物质条件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58" w:name="_Toc318581172"/>
      <w:bookmarkEnd w:id="258"/>
      <w:bookmarkStart w:id="259" w:name="_Toc303539129"/>
      <w:bookmarkEnd w:id="259"/>
      <w:bookmarkStart w:id="260" w:name="_Toc312678016"/>
      <w:bookmarkEnd w:id="260"/>
      <w:bookmarkStart w:id="261" w:name="_Toc304295550"/>
      <w:bookmarkEnd w:id="261"/>
      <w:bookmarkStart w:id="262" w:name="_Toc297123520"/>
      <w:bookmarkEnd w:id="262"/>
      <w:bookmarkStart w:id="263" w:name="_Toc300934972"/>
      <w:bookmarkEnd w:id="263"/>
      <w:bookmarkStart w:id="264" w:name="_Toc297216179"/>
      <w:bookmarkEnd w:id="264"/>
      <w:r>
        <w:rPr>
          <w:rFonts w:hint="eastAsia" w:ascii="仿宋" w:hAnsi="仿宋" w:eastAsia="仿宋" w:cs="仿宋"/>
          <w:sz w:val="24"/>
          <w:szCs w:val="24"/>
          <w:highlight w:val="none"/>
        </w:rPr>
        <w:t>不利物质条件的其他情形和有关约定：执行通用条款。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65" w:name="_Toc303539130"/>
      <w:bookmarkEnd w:id="265"/>
      <w:bookmarkStart w:id="266" w:name="_Toc300934973"/>
      <w:bookmarkEnd w:id="266"/>
      <w:bookmarkStart w:id="267" w:name="_Toc297123521"/>
      <w:bookmarkEnd w:id="267"/>
      <w:bookmarkStart w:id="268" w:name="_Toc297216180"/>
      <w:bookmarkEnd w:id="268"/>
      <w:bookmarkStart w:id="269" w:name="_Toc312678017"/>
      <w:bookmarkEnd w:id="269"/>
      <w:bookmarkStart w:id="270" w:name="_Toc304295551"/>
      <w:bookmarkEnd w:id="270"/>
      <w:r>
        <w:rPr>
          <w:rFonts w:hint="eastAsia" w:ascii="仿宋" w:hAnsi="仿宋" w:eastAsia="仿宋" w:cs="仿宋"/>
          <w:sz w:val="24"/>
          <w:szCs w:val="24"/>
          <w:highlight w:val="none"/>
        </w:rPr>
        <w:t>.7异常恶劣的气候条件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发包人和承包人同意以下情形视为异常恶劣的气候条件：以当地政府或建设管理部门发布的要求停工通知为准。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 提前竣工的奖励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7.9.2提前竣工的奖励</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71" w:name="_Toc351203640"/>
      <w:bookmarkEnd w:id="271"/>
      <w:r>
        <w:rPr>
          <w:rFonts w:hint="eastAsia" w:ascii="仿宋" w:hAnsi="仿宋" w:eastAsia="仿宋" w:cs="仿宋"/>
          <w:sz w:val="24"/>
          <w:szCs w:val="24"/>
          <w:highlight w:val="none"/>
        </w:rPr>
        <w:t>8. 材料与设备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bookmarkStart w:id="272" w:name="_Toc312677493"/>
      <w:bookmarkEnd w:id="272"/>
      <w:bookmarkStart w:id="273" w:name="_Toc292559372"/>
      <w:bookmarkEnd w:id="273"/>
      <w:bookmarkStart w:id="274" w:name="_Toc303539136"/>
      <w:bookmarkEnd w:id="274"/>
      <w:bookmarkStart w:id="275" w:name="_Toc296944506"/>
      <w:bookmarkEnd w:id="275"/>
      <w:bookmarkStart w:id="276" w:name="_Toc304295556"/>
      <w:bookmarkEnd w:id="276"/>
      <w:bookmarkStart w:id="277" w:name="_Toc296890995"/>
      <w:bookmarkEnd w:id="277"/>
      <w:bookmarkStart w:id="278" w:name="_Toc312678019"/>
      <w:bookmarkEnd w:id="278"/>
      <w:bookmarkStart w:id="279" w:name="_Toc280868654"/>
      <w:bookmarkEnd w:id="279"/>
      <w:bookmarkStart w:id="280" w:name="_Toc296346668"/>
      <w:bookmarkEnd w:id="280"/>
      <w:bookmarkStart w:id="281" w:name="_Toc296347166"/>
      <w:bookmarkEnd w:id="281"/>
      <w:bookmarkStart w:id="282" w:name="_Toc297048353"/>
      <w:bookmarkEnd w:id="282"/>
      <w:bookmarkStart w:id="283" w:name="_Toc300934979"/>
      <w:bookmarkEnd w:id="283"/>
      <w:bookmarkStart w:id="284" w:name="_Toc267251424"/>
      <w:bookmarkEnd w:id="284"/>
      <w:bookmarkStart w:id="285" w:name="_Toc292559877"/>
      <w:bookmarkEnd w:id="285"/>
      <w:bookmarkStart w:id="286" w:name="_Toc297123527"/>
      <w:bookmarkEnd w:id="286"/>
      <w:bookmarkStart w:id="287" w:name="_Toc296891207"/>
      <w:bookmarkEnd w:id="287"/>
      <w:bookmarkStart w:id="288" w:name="_Toc280868655"/>
      <w:bookmarkEnd w:id="288"/>
      <w:bookmarkStart w:id="289" w:name="_Toc297120467"/>
      <w:bookmarkEnd w:id="289"/>
      <w:bookmarkStart w:id="290" w:name="_Toc296503167"/>
      <w:bookmarkEnd w:id="290"/>
      <w:bookmarkStart w:id="291" w:name="_Toc297216186"/>
      <w:bookmarkEnd w:id="291"/>
      <w:bookmarkStart w:id="292" w:name="_Toc280868656"/>
      <w:bookmarkEnd w:id="292"/>
      <w:r>
        <w:rPr>
          <w:rFonts w:hint="eastAsia" w:ascii="仿宋" w:hAnsi="仿宋" w:eastAsia="仿宋" w:cs="仿宋"/>
          <w:sz w:val="24"/>
          <w:szCs w:val="24"/>
          <w:highlight w:val="none"/>
        </w:rPr>
        <w:t>.4材料与工程设备的保管与使用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w:t>
      </w:r>
      <w:bookmarkStart w:id="293" w:name="_Toc303539137"/>
      <w:bookmarkEnd w:id="293"/>
      <w:bookmarkStart w:id="294" w:name="_Toc312678020"/>
      <w:bookmarkEnd w:id="294"/>
      <w:bookmarkStart w:id="295" w:name="_Toc296890996"/>
      <w:bookmarkEnd w:id="295"/>
      <w:bookmarkStart w:id="296" w:name="_Toc297048354"/>
      <w:bookmarkEnd w:id="296"/>
      <w:bookmarkStart w:id="297" w:name="_Toc296503168"/>
      <w:bookmarkEnd w:id="297"/>
      <w:bookmarkStart w:id="298" w:name="_Toc297123528"/>
      <w:bookmarkEnd w:id="298"/>
      <w:bookmarkStart w:id="299" w:name="_Toc296944507"/>
      <w:bookmarkEnd w:id="299"/>
      <w:bookmarkStart w:id="300" w:name="_Toc297216187"/>
      <w:bookmarkEnd w:id="300"/>
      <w:bookmarkStart w:id="301" w:name="_Toc300934980"/>
      <w:bookmarkEnd w:id="301"/>
      <w:bookmarkStart w:id="302" w:name="_Toc292559373"/>
      <w:bookmarkEnd w:id="302"/>
      <w:bookmarkStart w:id="303" w:name="_Toc304295557"/>
      <w:bookmarkEnd w:id="303"/>
      <w:bookmarkStart w:id="304" w:name="_Toc312677494"/>
      <w:bookmarkEnd w:id="304"/>
      <w:bookmarkStart w:id="305" w:name="_Toc292559878"/>
      <w:bookmarkEnd w:id="305"/>
      <w:bookmarkStart w:id="306" w:name="_Toc296891208"/>
      <w:bookmarkEnd w:id="306"/>
      <w:bookmarkStart w:id="307" w:name="_Toc318581173"/>
      <w:bookmarkEnd w:id="307"/>
      <w:bookmarkStart w:id="308" w:name="_Toc296347167"/>
      <w:bookmarkEnd w:id="308"/>
      <w:bookmarkStart w:id="309" w:name="_Toc297120468"/>
      <w:bookmarkEnd w:id="309"/>
      <w:bookmarkStart w:id="310" w:name="_Toc296346669"/>
      <w:bookmarkEnd w:id="310"/>
      <w:r>
        <w:rPr>
          <w:rFonts w:hint="eastAsia" w:ascii="仿宋" w:hAnsi="仿宋" w:eastAsia="仿宋" w:cs="仿宋"/>
          <w:sz w:val="24"/>
          <w:szCs w:val="24"/>
          <w:highlight w:val="none"/>
        </w:rPr>
        <w:t>.4.1发包人供应的材料设备的保管费用的承担：</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8.6 样品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8.6.1 样品的报送与封存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需要承包人报送样品的材料或工程设备，样品的种类、名称、规格、数量要求：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 施工设备和临时设施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8.8.1 承包人提供的施工设备和临时设施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关于修建临时设施费用承担的约定：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311" w:name="_Toc351203641"/>
      <w:bookmarkEnd w:id="311"/>
      <w:r>
        <w:rPr>
          <w:rFonts w:hint="eastAsia" w:ascii="仿宋" w:hAnsi="仿宋" w:eastAsia="仿宋" w:cs="仿宋"/>
          <w:sz w:val="24"/>
          <w:szCs w:val="24"/>
          <w:highlight w:val="none"/>
        </w:rPr>
        <w:t>9</w:t>
      </w:r>
      <w:bookmarkStart w:id="312" w:name="_Toc296891213"/>
      <w:bookmarkEnd w:id="312"/>
      <w:bookmarkStart w:id="313" w:name="_Toc297123533"/>
      <w:bookmarkEnd w:id="313"/>
      <w:bookmarkStart w:id="314" w:name="_Toc312678021"/>
      <w:bookmarkEnd w:id="314"/>
      <w:bookmarkStart w:id="315" w:name="_Toc297120473"/>
      <w:bookmarkEnd w:id="315"/>
      <w:bookmarkStart w:id="316" w:name="_Toc296503173"/>
      <w:bookmarkEnd w:id="316"/>
      <w:bookmarkStart w:id="317" w:name="_Toc267251428"/>
      <w:bookmarkEnd w:id="317"/>
      <w:bookmarkStart w:id="318" w:name="_Toc292559883"/>
      <w:bookmarkEnd w:id="318"/>
      <w:bookmarkStart w:id="319" w:name="_Toc297216192"/>
      <w:bookmarkEnd w:id="319"/>
      <w:bookmarkStart w:id="320" w:name="_Toc297048359"/>
      <w:bookmarkEnd w:id="320"/>
      <w:bookmarkStart w:id="321" w:name="_Toc292559378"/>
      <w:bookmarkEnd w:id="321"/>
      <w:bookmarkStart w:id="322" w:name="_Toc267251427"/>
      <w:bookmarkEnd w:id="322"/>
      <w:bookmarkStart w:id="323" w:name="_Toc296346674"/>
      <w:bookmarkEnd w:id="323"/>
      <w:bookmarkStart w:id="324" w:name="_Toc296891001"/>
      <w:bookmarkEnd w:id="324"/>
      <w:bookmarkStart w:id="325" w:name="_Toc304295559"/>
      <w:bookmarkEnd w:id="325"/>
      <w:bookmarkStart w:id="326" w:name="_Toc303539139"/>
      <w:bookmarkEnd w:id="326"/>
      <w:bookmarkStart w:id="327" w:name="_Toc296944512"/>
      <w:bookmarkEnd w:id="327"/>
      <w:bookmarkStart w:id="328" w:name="_Toc300934982"/>
      <w:bookmarkEnd w:id="328"/>
      <w:bookmarkStart w:id="329" w:name="_Toc296347172"/>
      <w:bookmarkEnd w:id="329"/>
      <w:bookmarkStart w:id="330" w:name="_Toc312677495"/>
      <w:bookmarkEnd w:id="330"/>
      <w:r>
        <w:rPr>
          <w:rFonts w:hint="eastAsia" w:ascii="仿宋" w:hAnsi="仿宋" w:eastAsia="仿宋" w:cs="仿宋"/>
          <w:sz w:val="24"/>
          <w:szCs w:val="24"/>
          <w:highlight w:val="none"/>
        </w:rPr>
        <w:t>. 试验与检验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bookmarkStart w:id="331" w:name="_Toc304295560"/>
      <w:bookmarkEnd w:id="331"/>
      <w:bookmarkStart w:id="332" w:name="_Toc312678022"/>
      <w:bookmarkEnd w:id="332"/>
      <w:bookmarkStart w:id="333" w:name="_Toc300934983"/>
      <w:bookmarkEnd w:id="333"/>
      <w:bookmarkStart w:id="334" w:name="_Toc297216193"/>
      <w:bookmarkEnd w:id="334"/>
      <w:bookmarkStart w:id="335" w:name="_Toc312677496"/>
      <w:bookmarkEnd w:id="335"/>
      <w:bookmarkStart w:id="336" w:name="_Toc297123534"/>
      <w:bookmarkEnd w:id="336"/>
      <w:bookmarkStart w:id="337" w:name="_Toc303539140"/>
      <w:bookmarkEnd w:id="337"/>
      <w:r>
        <w:rPr>
          <w:rFonts w:hint="eastAsia" w:ascii="仿宋" w:hAnsi="仿宋" w:eastAsia="仿宋" w:cs="仿宋"/>
          <w:sz w:val="24"/>
          <w:szCs w:val="24"/>
          <w:highlight w:val="none"/>
        </w:rPr>
        <w:t>.1试验设备与试验人员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bookmarkStart w:id="338" w:name="_Toc300934984"/>
      <w:bookmarkEnd w:id="338"/>
      <w:bookmarkStart w:id="339" w:name="_Toc303539141"/>
      <w:bookmarkEnd w:id="339"/>
      <w:bookmarkStart w:id="340" w:name="_Toc312678023"/>
      <w:bookmarkEnd w:id="340"/>
      <w:bookmarkStart w:id="341" w:name="_Toc304295561"/>
      <w:bookmarkEnd w:id="341"/>
      <w:bookmarkStart w:id="342" w:name="_Toc297123535"/>
      <w:bookmarkEnd w:id="342"/>
      <w:bookmarkStart w:id="343" w:name="_Toc312677497"/>
      <w:bookmarkEnd w:id="343"/>
      <w:bookmarkStart w:id="344" w:name="_Toc297216194"/>
      <w:bookmarkEnd w:id="344"/>
      <w:bookmarkStart w:id="345" w:name="_Toc318581174"/>
      <w:bookmarkEnd w:id="345"/>
      <w:r>
        <w:rPr>
          <w:rFonts w:hint="eastAsia" w:ascii="仿宋" w:hAnsi="仿宋" w:eastAsia="仿宋" w:cs="仿宋"/>
          <w:sz w:val="24"/>
          <w:szCs w:val="24"/>
          <w:highlight w:val="none"/>
        </w:rPr>
        <w:t>.1.2 试验设备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施工现场需要配置的试验场所：</w:t>
      </w:r>
      <w:bookmarkStart w:id="346" w:name="_Toc304295562"/>
      <w:bookmarkEnd w:id="346"/>
      <w:bookmarkStart w:id="347" w:name="_Toc303539142"/>
      <w:bookmarkEnd w:id="347"/>
      <w:bookmarkStart w:id="348" w:name="_Toc297216195"/>
      <w:bookmarkEnd w:id="348"/>
      <w:bookmarkStart w:id="349" w:name="_Toc297123536"/>
      <w:bookmarkEnd w:id="349"/>
      <w:bookmarkStart w:id="350" w:name="_Toc312677498"/>
      <w:bookmarkEnd w:id="350"/>
      <w:bookmarkStart w:id="351" w:name="_Toc312678024"/>
      <w:bookmarkEnd w:id="351"/>
      <w:bookmarkStart w:id="352" w:name="_Toc300934985"/>
      <w:bookmarkEnd w:id="352"/>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施工现场需要配备的试验设备：</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施工现场需要具备的其他试验条件</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 现场工艺试验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现场工艺试验的有关约定：执行通用条款。</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353" w:name="_Toc351203642"/>
      <w:bookmarkEnd w:id="353"/>
      <w:r>
        <w:rPr>
          <w:rFonts w:hint="eastAsia" w:ascii="仿宋" w:hAnsi="仿宋" w:eastAsia="仿宋" w:cs="仿宋"/>
          <w:sz w:val="24"/>
          <w:szCs w:val="24"/>
          <w:highlight w:val="none"/>
        </w:rPr>
        <w:t>1</w:t>
      </w:r>
      <w:bookmarkStart w:id="354" w:name="_Toc267251433"/>
      <w:bookmarkEnd w:id="354"/>
      <w:bookmarkStart w:id="355" w:name="_Toc300934989"/>
      <w:bookmarkEnd w:id="355"/>
      <w:bookmarkStart w:id="356" w:name="_Toc296347192"/>
      <w:bookmarkEnd w:id="356"/>
      <w:bookmarkStart w:id="357" w:name="_Toc267251441"/>
      <w:bookmarkEnd w:id="357"/>
      <w:bookmarkStart w:id="358" w:name="_Toc312678025"/>
      <w:bookmarkEnd w:id="358"/>
      <w:bookmarkStart w:id="359" w:name="_Toc292559903"/>
      <w:bookmarkEnd w:id="359"/>
      <w:bookmarkStart w:id="360" w:name="_Toc296944532"/>
      <w:bookmarkEnd w:id="360"/>
      <w:bookmarkStart w:id="361" w:name="_Toc303539146"/>
      <w:bookmarkEnd w:id="361"/>
      <w:bookmarkStart w:id="362" w:name="_Toc296891233"/>
      <w:bookmarkEnd w:id="362"/>
      <w:bookmarkStart w:id="363" w:name="_Toc267251435"/>
      <w:bookmarkEnd w:id="363"/>
      <w:bookmarkStart w:id="364" w:name="_Toc267251440"/>
      <w:bookmarkEnd w:id="364"/>
      <w:bookmarkStart w:id="365" w:name="_Toc297048379"/>
      <w:bookmarkEnd w:id="365"/>
      <w:bookmarkStart w:id="366" w:name="_Toc304295566"/>
      <w:bookmarkEnd w:id="366"/>
      <w:bookmarkStart w:id="367" w:name="_Toc267251442"/>
      <w:bookmarkEnd w:id="367"/>
      <w:bookmarkStart w:id="368" w:name="_Toc267251439"/>
      <w:bookmarkEnd w:id="368"/>
      <w:bookmarkStart w:id="369" w:name="_Toc312677499"/>
      <w:bookmarkEnd w:id="369"/>
      <w:bookmarkStart w:id="370" w:name="_Toc297123540"/>
      <w:bookmarkEnd w:id="370"/>
      <w:bookmarkStart w:id="371" w:name="_Toc292559398"/>
      <w:bookmarkEnd w:id="371"/>
      <w:bookmarkStart w:id="372" w:name="_Toc297120493"/>
      <w:bookmarkEnd w:id="372"/>
      <w:bookmarkStart w:id="373" w:name="_Toc296891021"/>
      <w:bookmarkEnd w:id="373"/>
      <w:bookmarkStart w:id="374" w:name="_Toc296346694"/>
      <w:bookmarkEnd w:id="374"/>
      <w:bookmarkStart w:id="375" w:name="_Toc267251437"/>
      <w:bookmarkEnd w:id="375"/>
      <w:bookmarkStart w:id="376" w:name="_Toc296503193"/>
      <w:bookmarkEnd w:id="376"/>
      <w:bookmarkStart w:id="377" w:name="_Toc297216199"/>
      <w:bookmarkEnd w:id="377"/>
      <w:r>
        <w:rPr>
          <w:rFonts w:hint="eastAsia" w:ascii="仿宋" w:hAnsi="仿宋" w:eastAsia="仿宋" w:cs="仿宋"/>
          <w:sz w:val="24"/>
          <w:szCs w:val="24"/>
          <w:highlight w:val="none"/>
        </w:rPr>
        <w:t>0. 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378" w:name="_Toc296891022"/>
      <w:bookmarkEnd w:id="378"/>
      <w:bookmarkStart w:id="379" w:name="_Toc297123541"/>
      <w:bookmarkEnd w:id="379"/>
      <w:bookmarkStart w:id="380" w:name="_Toc296347193"/>
      <w:bookmarkEnd w:id="380"/>
      <w:bookmarkStart w:id="381" w:name="_Toc312678026"/>
      <w:bookmarkEnd w:id="381"/>
      <w:bookmarkStart w:id="382" w:name="_Toc304295567"/>
      <w:bookmarkEnd w:id="382"/>
      <w:bookmarkStart w:id="383" w:name="_Toc296944533"/>
      <w:bookmarkEnd w:id="383"/>
      <w:bookmarkStart w:id="384" w:name="_Toc297120494"/>
      <w:bookmarkEnd w:id="384"/>
      <w:bookmarkStart w:id="385" w:name="_Toc297216200"/>
      <w:bookmarkEnd w:id="385"/>
      <w:bookmarkStart w:id="386" w:name="_Toc296503194"/>
      <w:bookmarkEnd w:id="386"/>
      <w:bookmarkStart w:id="387" w:name="_Toc300934990"/>
      <w:bookmarkEnd w:id="387"/>
      <w:bookmarkStart w:id="388" w:name="_Toc292559399"/>
      <w:bookmarkEnd w:id="388"/>
      <w:bookmarkStart w:id="389" w:name="_Toc296891234"/>
      <w:bookmarkEnd w:id="389"/>
      <w:bookmarkStart w:id="390" w:name="_Toc312677500"/>
      <w:bookmarkEnd w:id="390"/>
      <w:bookmarkStart w:id="391" w:name="_Toc292559904"/>
      <w:bookmarkEnd w:id="391"/>
      <w:bookmarkStart w:id="392" w:name="_Toc297048380"/>
      <w:bookmarkEnd w:id="392"/>
      <w:bookmarkStart w:id="393" w:name="_Toc303539147"/>
      <w:bookmarkEnd w:id="393"/>
      <w:bookmarkStart w:id="394" w:name="_Toc296346695"/>
      <w:bookmarkEnd w:id="394"/>
      <w:r>
        <w:rPr>
          <w:rFonts w:hint="eastAsia" w:ascii="仿宋" w:hAnsi="仿宋" w:eastAsia="仿宋" w:cs="仿宋"/>
          <w:sz w:val="24"/>
          <w:szCs w:val="24"/>
          <w:highlight w:val="none"/>
        </w:rPr>
        <w:t>0.1变更的范围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关于变更的范围的约定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 变更估价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10.2.1 变更估价原则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关于变更估价的约定: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395" w:name="_Toc296891025"/>
      <w:bookmarkEnd w:id="395"/>
      <w:bookmarkStart w:id="396" w:name="_Toc296944536"/>
      <w:bookmarkEnd w:id="396"/>
      <w:bookmarkStart w:id="397" w:name="_Toc297123544"/>
      <w:bookmarkEnd w:id="397"/>
      <w:bookmarkStart w:id="398" w:name="_Toc303539150"/>
      <w:bookmarkEnd w:id="398"/>
      <w:bookmarkStart w:id="399" w:name="_Toc296346698"/>
      <w:bookmarkEnd w:id="399"/>
      <w:bookmarkStart w:id="400" w:name="_Toc292559402"/>
      <w:bookmarkEnd w:id="400"/>
      <w:bookmarkStart w:id="401" w:name="_Toc297216203"/>
      <w:bookmarkEnd w:id="401"/>
      <w:bookmarkStart w:id="402" w:name="_Toc312677503"/>
      <w:bookmarkEnd w:id="402"/>
      <w:bookmarkStart w:id="403" w:name="_Toc296503197"/>
      <w:bookmarkEnd w:id="403"/>
      <w:bookmarkStart w:id="404" w:name="_Toc297048383"/>
      <w:bookmarkEnd w:id="404"/>
      <w:bookmarkStart w:id="405" w:name="_Toc292559907"/>
      <w:bookmarkEnd w:id="405"/>
      <w:bookmarkStart w:id="406" w:name="_Toc297120497"/>
      <w:bookmarkEnd w:id="406"/>
      <w:bookmarkStart w:id="407" w:name="_Toc296891237"/>
      <w:bookmarkEnd w:id="407"/>
      <w:bookmarkStart w:id="408" w:name="_Toc296347196"/>
      <w:bookmarkEnd w:id="408"/>
      <w:bookmarkStart w:id="409" w:name="_Toc304295570"/>
      <w:bookmarkEnd w:id="409"/>
      <w:bookmarkStart w:id="410" w:name="_Toc312678029"/>
      <w:bookmarkEnd w:id="410"/>
      <w:bookmarkStart w:id="411" w:name="_Toc300934993"/>
      <w:bookmarkEnd w:id="411"/>
      <w:r>
        <w:rPr>
          <w:rFonts w:hint="eastAsia" w:ascii="仿宋" w:hAnsi="仿宋" w:eastAsia="仿宋" w:cs="仿宋"/>
          <w:sz w:val="24"/>
          <w:szCs w:val="24"/>
          <w:highlight w:val="none"/>
        </w:rPr>
        <w:t>0.4承</w:t>
      </w:r>
      <w:bookmarkStart w:id="412" w:name="_Toc296347202"/>
      <w:bookmarkEnd w:id="412"/>
      <w:bookmarkStart w:id="413" w:name="_Toc297123545"/>
      <w:bookmarkEnd w:id="413"/>
      <w:bookmarkStart w:id="414" w:name="_Toc296891243"/>
      <w:bookmarkEnd w:id="414"/>
      <w:bookmarkStart w:id="415" w:name="_Toc300934994"/>
      <w:bookmarkEnd w:id="415"/>
      <w:bookmarkStart w:id="416" w:name="_Toc292559408"/>
      <w:bookmarkEnd w:id="416"/>
      <w:bookmarkStart w:id="417" w:name="_Toc292559913"/>
      <w:bookmarkEnd w:id="417"/>
      <w:bookmarkStart w:id="418" w:name="_Toc297120503"/>
      <w:bookmarkEnd w:id="418"/>
      <w:bookmarkStart w:id="419" w:name="_Toc296891031"/>
      <w:bookmarkEnd w:id="419"/>
      <w:bookmarkStart w:id="420" w:name="_Toc296944542"/>
      <w:bookmarkEnd w:id="420"/>
      <w:bookmarkStart w:id="421" w:name="_Toc297048389"/>
      <w:bookmarkEnd w:id="421"/>
      <w:bookmarkStart w:id="422" w:name="_Toc296346704"/>
      <w:bookmarkEnd w:id="422"/>
      <w:bookmarkStart w:id="423" w:name="_Toc303539151"/>
      <w:bookmarkEnd w:id="423"/>
      <w:bookmarkStart w:id="424" w:name="_Toc297216204"/>
      <w:bookmarkEnd w:id="424"/>
      <w:bookmarkStart w:id="425" w:name="_Toc296503203"/>
      <w:bookmarkEnd w:id="425"/>
      <w:r>
        <w:rPr>
          <w:rFonts w:hint="eastAsia" w:ascii="仿宋" w:hAnsi="仿宋" w:eastAsia="仿宋" w:cs="仿宋"/>
          <w:sz w:val="24"/>
          <w:szCs w:val="24"/>
          <w:highlight w:val="none"/>
        </w:rPr>
        <w:t>包人的合理化建议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监理人审查承包人合理化建议的期限：执行通用条款。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发包人审批承包人合理化建议的期限：执行通用条款。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w:t>
      </w:r>
      <w:bookmarkStart w:id="426" w:name="_Toc303539152"/>
      <w:bookmarkEnd w:id="426"/>
      <w:bookmarkStart w:id="427" w:name="_Toc296891032"/>
      <w:bookmarkEnd w:id="427"/>
      <w:bookmarkStart w:id="428" w:name="_Toc312677504"/>
      <w:bookmarkEnd w:id="428"/>
      <w:bookmarkStart w:id="429" w:name="_Toc292559409"/>
      <w:bookmarkEnd w:id="429"/>
      <w:bookmarkStart w:id="430" w:name="_Toc292559914"/>
      <w:bookmarkEnd w:id="430"/>
      <w:bookmarkStart w:id="431" w:name="_Toc318581175"/>
      <w:bookmarkEnd w:id="431"/>
      <w:bookmarkStart w:id="432" w:name="_Toc296346705"/>
      <w:bookmarkEnd w:id="432"/>
      <w:bookmarkStart w:id="433" w:name="_Toc312678030"/>
      <w:bookmarkEnd w:id="433"/>
      <w:bookmarkStart w:id="434" w:name="_Toc296944543"/>
      <w:bookmarkEnd w:id="434"/>
      <w:bookmarkStart w:id="435" w:name="_Toc304295571"/>
      <w:bookmarkEnd w:id="435"/>
      <w:bookmarkStart w:id="436" w:name="_Toc296347203"/>
      <w:bookmarkEnd w:id="436"/>
      <w:bookmarkStart w:id="437" w:name="_Toc296891244"/>
      <w:bookmarkEnd w:id="437"/>
      <w:bookmarkStart w:id="438" w:name="_Toc300934995"/>
      <w:bookmarkEnd w:id="438"/>
      <w:bookmarkStart w:id="439" w:name="_Toc297123546"/>
      <w:bookmarkEnd w:id="439"/>
      <w:bookmarkStart w:id="440" w:name="_Toc297120504"/>
      <w:bookmarkEnd w:id="440"/>
      <w:bookmarkStart w:id="441" w:name="_Toc297216205"/>
      <w:bookmarkEnd w:id="441"/>
      <w:bookmarkStart w:id="442" w:name="_Toc297048390"/>
      <w:bookmarkEnd w:id="442"/>
      <w:bookmarkStart w:id="443" w:name="_Toc296503204"/>
      <w:bookmarkEnd w:id="443"/>
      <w:r>
        <w:rPr>
          <w:rFonts w:hint="eastAsia" w:ascii="仿宋" w:hAnsi="仿宋" w:eastAsia="仿宋" w:cs="仿宋"/>
          <w:sz w:val="24"/>
          <w:szCs w:val="24"/>
          <w:highlight w:val="none"/>
        </w:rPr>
        <w:t>包人提出的合理化建议降低了合同价格或者提高了工程经济效益的奖励的方法和金额为：</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444" w:name="_Toc296891027"/>
      <w:bookmarkEnd w:id="444"/>
      <w:bookmarkStart w:id="445" w:name="_Toc297123548"/>
      <w:bookmarkEnd w:id="445"/>
      <w:bookmarkStart w:id="446" w:name="_Toc303539154"/>
      <w:bookmarkEnd w:id="446"/>
      <w:bookmarkStart w:id="447" w:name="_Toc292559909"/>
      <w:bookmarkEnd w:id="447"/>
      <w:bookmarkStart w:id="448" w:name="_Toc312677507"/>
      <w:bookmarkEnd w:id="448"/>
      <w:bookmarkStart w:id="449" w:name="_Toc296944538"/>
      <w:bookmarkEnd w:id="449"/>
      <w:bookmarkStart w:id="450" w:name="_Toc296503199"/>
      <w:bookmarkEnd w:id="450"/>
      <w:bookmarkStart w:id="451" w:name="_Toc297216207"/>
      <w:bookmarkEnd w:id="451"/>
      <w:bookmarkStart w:id="452" w:name="_Toc312678033"/>
      <w:bookmarkEnd w:id="452"/>
      <w:bookmarkStart w:id="453" w:name="_Toc304295574"/>
      <w:bookmarkEnd w:id="453"/>
      <w:bookmarkStart w:id="454" w:name="_Toc296891239"/>
      <w:bookmarkEnd w:id="454"/>
      <w:bookmarkStart w:id="455" w:name="_Toc296347198"/>
      <w:bookmarkEnd w:id="455"/>
      <w:bookmarkStart w:id="456" w:name="_Toc296346700"/>
      <w:bookmarkEnd w:id="456"/>
      <w:bookmarkStart w:id="457" w:name="_Toc300934997"/>
      <w:bookmarkEnd w:id="457"/>
      <w:bookmarkStart w:id="458" w:name="_Toc297048385"/>
      <w:bookmarkEnd w:id="458"/>
      <w:bookmarkStart w:id="459" w:name="_Toc297120499"/>
      <w:bookmarkEnd w:id="459"/>
      <w:bookmarkStart w:id="460" w:name="_Toc292559404"/>
      <w:bookmarkEnd w:id="460"/>
      <w:r>
        <w:rPr>
          <w:rFonts w:hint="eastAsia" w:ascii="仿宋" w:hAnsi="仿宋" w:eastAsia="仿宋" w:cs="仿宋"/>
          <w:sz w:val="24"/>
          <w:szCs w:val="24"/>
          <w:highlight w:val="none"/>
        </w:rPr>
        <w:t>0.5 暂估价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暂</w:t>
      </w:r>
      <w:bookmarkStart w:id="461" w:name="_Toc318581176"/>
      <w:bookmarkEnd w:id="461"/>
      <w:bookmarkStart w:id="462" w:name="_Toc312678034"/>
      <w:bookmarkEnd w:id="462"/>
      <w:bookmarkStart w:id="463" w:name="_Toc312677508"/>
      <w:bookmarkEnd w:id="463"/>
      <w:r>
        <w:rPr>
          <w:rFonts w:hint="eastAsia" w:ascii="仿宋" w:hAnsi="仿宋" w:eastAsia="仿宋" w:cs="仿宋"/>
          <w:sz w:val="24"/>
          <w:szCs w:val="24"/>
          <w:highlight w:val="none"/>
        </w:rPr>
        <w:t>估价材料和工程设备的明细详见附件11：《暂估价一览表》。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464" w:name="_Toc312678035"/>
      <w:bookmarkEnd w:id="464"/>
      <w:bookmarkStart w:id="465" w:name="_Toc312677509"/>
      <w:bookmarkEnd w:id="465"/>
      <w:bookmarkStart w:id="466" w:name="_Toc318581177"/>
      <w:bookmarkEnd w:id="466"/>
      <w:r>
        <w:rPr>
          <w:rFonts w:hint="eastAsia" w:ascii="仿宋" w:hAnsi="仿宋" w:eastAsia="仿宋" w:cs="仿宋"/>
          <w:sz w:val="24"/>
          <w:szCs w:val="24"/>
          <w:highlight w:val="none"/>
        </w:rPr>
        <w:t>0.5.1对于依法必须招标的暂估价项目的确认和批准采取第通用条款10.7.1中的第2种方式。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10.5.2 不属于依法必须招标的暂估价项目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对于不属于依法必须招标的暂估价项目的确认和批准：</w:t>
      </w:r>
      <w:bookmarkStart w:id="467" w:name="D2????"/>
      <w:bookmarkEnd w:id="467"/>
      <w:r>
        <w:rPr>
          <w:rFonts w:hint="eastAsia" w:ascii="仿宋" w:hAnsi="仿宋" w:eastAsia="仿宋" w:cs="仿宋"/>
          <w:sz w:val="24"/>
          <w:szCs w:val="24"/>
          <w:highlight w:val="none"/>
        </w:rPr>
        <w:t>执行通用条款10.7.2中的第1种方式。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第3种方式：承包人直接实施的暂估价项目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承包人直接实施的暂估价项目的约定：/。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 暂列金额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合同当事人关于暂列金额使用的约定：</w:t>
      </w:r>
      <w:bookmarkStart w:id="468" w:name="_Toc351203643"/>
      <w:bookmarkEnd w:id="468"/>
      <w:r>
        <w:rPr>
          <w:rFonts w:hint="eastAsia" w:ascii="仿宋" w:hAnsi="仿宋" w:eastAsia="仿宋" w:cs="仿宋"/>
          <w:sz w:val="24"/>
          <w:szCs w:val="24"/>
          <w:highlight w:val="none"/>
        </w:rPr>
        <w:t>暂列金结算根据实际发生签证据实调整。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价格调整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469" w:name="_Toc296503201"/>
      <w:bookmarkEnd w:id="469"/>
      <w:bookmarkStart w:id="470" w:name="_Toc292559911"/>
      <w:bookmarkEnd w:id="470"/>
      <w:bookmarkStart w:id="471" w:name="_Toc296944540"/>
      <w:bookmarkEnd w:id="471"/>
      <w:bookmarkStart w:id="472" w:name="_Toc303539157"/>
      <w:bookmarkEnd w:id="472"/>
      <w:bookmarkStart w:id="473" w:name="_Toc312678039"/>
      <w:bookmarkEnd w:id="473"/>
      <w:bookmarkStart w:id="474" w:name="_Toc296891029"/>
      <w:bookmarkEnd w:id="474"/>
      <w:bookmarkStart w:id="475" w:name="_Toc297123550"/>
      <w:bookmarkEnd w:id="475"/>
      <w:bookmarkStart w:id="476" w:name="_Toc296347200"/>
      <w:bookmarkEnd w:id="476"/>
      <w:bookmarkStart w:id="477" w:name="_Toc304295577"/>
      <w:bookmarkEnd w:id="477"/>
      <w:bookmarkStart w:id="478" w:name="_Toc300935000"/>
      <w:bookmarkEnd w:id="478"/>
      <w:bookmarkStart w:id="479" w:name="_Toc296891241"/>
      <w:bookmarkEnd w:id="479"/>
      <w:bookmarkStart w:id="480" w:name="_Toc296346702"/>
      <w:bookmarkEnd w:id="480"/>
      <w:bookmarkStart w:id="481" w:name="_Toc292559406"/>
      <w:bookmarkEnd w:id="481"/>
      <w:bookmarkStart w:id="482" w:name="_Toc297120501"/>
      <w:bookmarkEnd w:id="482"/>
      <w:bookmarkStart w:id="483" w:name="_Toc297048387"/>
      <w:bookmarkEnd w:id="483"/>
      <w:bookmarkStart w:id="484" w:name="_Toc297216209"/>
      <w:bookmarkEnd w:id="484"/>
      <w:r>
        <w:rPr>
          <w:rFonts w:hint="eastAsia" w:ascii="仿宋" w:hAnsi="仿宋" w:eastAsia="仿宋" w:cs="仿宋"/>
          <w:sz w:val="24"/>
          <w:szCs w:val="24"/>
          <w:highlight w:val="none"/>
        </w:rPr>
        <w:t>11.1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市场价格波动引起的调整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市场价格波动是否调整合同价格的约定：是。</w:t>
      </w:r>
      <w:bookmarkStart w:id="485" w:name="_Toc304295579"/>
      <w:bookmarkEnd w:id="485"/>
      <w:bookmarkStart w:id="486" w:name="_Toc303539159"/>
      <w:bookmarkEnd w:id="486"/>
      <w:bookmarkStart w:id="487" w:name="_Toc297123552"/>
      <w:bookmarkEnd w:id="487"/>
      <w:bookmarkStart w:id="488" w:name="_Toc297216211"/>
      <w:bookmarkEnd w:id="488"/>
      <w:bookmarkStart w:id="489" w:name="_Toc292559915"/>
      <w:bookmarkEnd w:id="489"/>
      <w:bookmarkStart w:id="490" w:name="_Toc296891033"/>
      <w:bookmarkEnd w:id="490"/>
      <w:bookmarkStart w:id="491" w:name="_Toc312678040"/>
      <w:bookmarkEnd w:id="491"/>
      <w:bookmarkStart w:id="492" w:name="_Toc296944544"/>
      <w:bookmarkEnd w:id="492"/>
      <w:bookmarkStart w:id="493" w:name="_Toc296891245"/>
      <w:bookmarkEnd w:id="493"/>
      <w:bookmarkStart w:id="494" w:name="_Toc296347204"/>
      <w:bookmarkEnd w:id="494"/>
      <w:bookmarkStart w:id="495" w:name="_Toc292559410"/>
      <w:bookmarkEnd w:id="495"/>
      <w:bookmarkStart w:id="496" w:name="_Toc351203644"/>
      <w:bookmarkEnd w:id="496"/>
      <w:bookmarkStart w:id="497" w:name="_Toc296503205"/>
      <w:bookmarkEnd w:id="497"/>
      <w:bookmarkStart w:id="498" w:name="_Toc300935002"/>
      <w:bookmarkEnd w:id="498"/>
      <w:bookmarkStart w:id="499" w:name="_Toc296346706"/>
      <w:bookmarkEnd w:id="499"/>
      <w:bookmarkStart w:id="500" w:name="_Toc297120505"/>
      <w:bookmarkEnd w:id="500"/>
      <w:bookmarkStart w:id="501" w:name="_Toc297048391"/>
      <w:bookmarkEnd w:id="50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因市场价格波动调整合同价格，采用以下第 2 种方式对合同价格进行调整：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第1种方式：采用价格指数进行价格调整。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关于各可调因子、定值和变值权重，以及基本价格指数及其来源的约定</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第2种方式：  签约合同价编制时的价格信息。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用合同条款①以编制招标控制价所采用的基期价为基准价，当实施期的材料单价的涨幅超过基准价5%的部分予以调整；当实施期的材料单价跌幅低于基准价5%的部分予以调整。专用合同条款②实施期的材料用量按实际发生的清单工程量进行定额分析的消耗用量。合同价款调整的其他因素，详见清单规范GB50500-2013第九章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第3种方式：其他价格调整方式：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合同价格、计量与支付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02" w:name="_Toc297123553"/>
      <w:bookmarkEnd w:id="502"/>
      <w:bookmarkStart w:id="503" w:name="_Toc296346707"/>
      <w:bookmarkEnd w:id="503"/>
      <w:bookmarkStart w:id="504" w:name="_Toc296347205"/>
      <w:bookmarkEnd w:id="504"/>
      <w:bookmarkStart w:id="505" w:name="_Toc303539160"/>
      <w:bookmarkEnd w:id="505"/>
      <w:bookmarkStart w:id="506" w:name="_Toc267251461"/>
      <w:bookmarkEnd w:id="506"/>
      <w:bookmarkStart w:id="507" w:name="_Toc296503206"/>
      <w:bookmarkEnd w:id="507"/>
      <w:bookmarkStart w:id="508" w:name="_Toc296891034"/>
      <w:bookmarkEnd w:id="508"/>
      <w:bookmarkStart w:id="509" w:name="_Toc292559411"/>
      <w:bookmarkEnd w:id="509"/>
      <w:bookmarkStart w:id="510" w:name="_Toc312678041"/>
      <w:bookmarkEnd w:id="510"/>
      <w:bookmarkStart w:id="511" w:name="_Toc296944545"/>
      <w:bookmarkEnd w:id="511"/>
      <w:bookmarkStart w:id="512" w:name="_Toc297120506"/>
      <w:bookmarkEnd w:id="512"/>
      <w:bookmarkStart w:id="513" w:name="_Toc297216212"/>
      <w:bookmarkEnd w:id="513"/>
      <w:bookmarkStart w:id="514" w:name="_Toc292559916"/>
      <w:bookmarkEnd w:id="514"/>
      <w:bookmarkStart w:id="515" w:name="_Toc297048392"/>
      <w:bookmarkEnd w:id="515"/>
      <w:bookmarkStart w:id="516" w:name="_Toc304295580"/>
      <w:bookmarkEnd w:id="516"/>
      <w:bookmarkStart w:id="517" w:name="_Toc300935003"/>
      <w:bookmarkEnd w:id="517"/>
      <w:bookmarkStart w:id="518" w:name="_Toc296891246"/>
      <w:bookmarkEnd w:id="518"/>
      <w:r>
        <w:rPr>
          <w:rFonts w:hint="eastAsia" w:ascii="仿宋" w:hAnsi="仿宋" w:eastAsia="仿宋" w:cs="仿宋"/>
          <w:sz w:val="24"/>
          <w:szCs w:val="24"/>
          <w:highlight w:val="none"/>
        </w:rPr>
        <w:t>12.1 合同价格形式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按第1种合同形式约定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1、单价合同。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综合单价包含的风险范围：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风险费用的计算方法：/。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风险范围以外合同价格的调整方法：/。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总价包含的风险范围：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风险费用的计算方法：</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风险范围以外合同价格的调整方法：</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3、其他价格方式：</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19" w:name="_Toc292559412"/>
      <w:bookmarkEnd w:id="519"/>
      <w:bookmarkStart w:id="520" w:name="_Toc297120507"/>
      <w:bookmarkEnd w:id="520"/>
      <w:bookmarkStart w:id="521" w:name="_Toc300935004"/>
      <w:bookmarkEnd w:id="521"/>
      <w:bookmarkStart w:id="522" w:name="_Toc297048393"/>
      <w:bookmarkEnd w:id="522"/>
      <w:bookmarkStart w:id="523" w:name="_Toc304295581"/>
      <w:bookmarkEnd w:id="523"/>
      <w:bookmarkStart w:id="524" w:name="_Toc296347206"/>
      <w:bookmarkEnd w:id="524"/>
      <w:bookmarkStart w:id="525" w:name="_Toc303539161"/>
      <w:bookmarkEnd w:id="525"/>
      <w:bookmarkStart w:id="526" w:name="_Toc296891035"/>
      <w:bookmarkEnd w:id="526"/>
      <w:bookmarkStart w:id="527" w:name="_Toc297123554"/>
      <w:bookmarkEnd w:id="527"/>
      <w:bookmarkStart w:id="528" w:name="_Toc296891247"/>
      <w:bookmarkEnd w:id="528"/>
      <w:bookmarkStart w:id="529" w:name="_Toc292559917"/>
      <w:bookmarkEnd w:id="529"/>
      <w:bookmarkStart w:id="530" w:name="_Toc296503207"/>
      <w:bookmarkEnd w:id="530"/>
      <w:bookmarkStart w:id="531" w:name="_Toc296944546"/>
      <w:bookmarkEnd w:id="531"/>
      <w:bookmarkStart w:id="532" w:name="_Toc297216213"/>
      <w:bookmarkEnd w:id="532"/>
      <w:bookmarkStart w:id="533" w:name="_Toc296346708"/>
      <w:bookmarkEnd w:id="533"/>
      <w:bookmarkStart w:id="534" w:name="_Toc312678042"/>
      <w:bookmarkEnd w:id="534"/>
      <w:r>
        <w:rPr>
          <w:rFonts w:hint="eastAsia" w:ascii="仿宋" w:hAnsi="仿宋" w:eastAsia="仿宋" w:cs="仿宋"/>
          <w:sz w:val="24"/>
          <w:szCs w:val="24"/>
          <w:highlight w:val="none"/>
        </w:rPr>
        <w:t>12.2 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12.2.1 预付款的支付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预付款支付比例或金额：</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预付款扣回的方式：</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12.2.2 预付款担保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承包人提交预付款担保的期限：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预付款担保的形式为：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 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12.3.1 计量原则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工程量计算规则：</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12.3.2 计量周期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关于计量周期的约定：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12.3.3 单价合同的计量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关于单价合同计量的约定：执行通用条款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12.3.4 总价合同的计量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关于总价合同计量的约定：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12.3.5总价合同采用支付分解表计量支付的，是否适用12.3.4</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项〔总价合同的计量〕约定进行计量： </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12.3.6 其他价格形式合同的计量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其他价格形式的计量方式和程序：</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 工程进度款支付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35" w:name="_Toc296891039"/>
      <w:bookmarkEnd w:id="535"/>
      <w:bookmarkStart w:id="536" w:name="_Toc297120511"/>
      <w:bookmarkEnd w:id="536"/>
      <w:bookmarkStart w:id="537" w:name="_Toc297216215"/>
      <w:bookmarkEnd w:id="537"/>
      <w:bookmarkStart w:id="538" w:name="_Toc300935006"/>
      <w:bookmarkEnd w:id="538"/>
      <w:bookmarkStart w:id="539" w:name="_Toc296503211"/>
      <w:bookmarkEnd w:id="539"/>
      <w:bookmarkStart w:id="540" w:name="_Toc296944550"/>
      <w:bookmarkEnd w:id="540"/>
      <w:bookmarkStart w:id="541" w:name="_Toc297123556"/>
      <w:bookmarkEnd w:id="541"/>
      <w:bookmarkStart w:id="542" w:name="_Toc297048397"/>
      <w:bookmarkEnd w:id="542"/>
      <w:bookmarkStart w:id="543" w:name="_Toc296891251"/>
      <w:bookmarkEnd w:id="543"/>
      <w:bookmarkStart w:id="544" w:name="_Toc303539163"/>
      <w:bookmarkEnd w:id="544"/>
      <w:bookmarkStart w:id="545" w:name="_Toc292559921"/>
      <w:bookmarkEnd w:id="545"/>
      <w:bookmarkStart w:id="546" w:name="_Toc296347210"/>
      <w:bookmarkEnd w:id="546"/>
      <w:bookmarkStart w:id="547" w:name="_Toc296346712"/>
      <w:bookmarkEnd w:id="547"/>
      <w:bookmarkStart w:id="548" w:name="_Toc292559416"/>
      <w:bookmarkEnd w:id="548"/>
      <w:r>
        <w:rPr>
          <w:rFonts w:hint="eastAsia" w:ascii="仿宋" w:hAnsi="仿宋" w:eastAsia="仿宋" w:cs="仿宋"/>
          <w:sz w:val="24"/>
          <w:szCs w:val="24"/>
          <w:highlight w:val="none"/>
        </w:rPr>
        <w:t>12.4.1 付款周期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1）发承包双方应当根据国务院住房城乡建设主管部门和自治区、市政府住房城乡建设主管部门的相关规定，按双方实际签订合同执行。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2）双方实际签订合同时约定。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12.4.2 进度付款申请单的编制</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12.4.3 进度付款申请单的提交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（1）单价合同进度付款申请单提交的约定：</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（2）总价合同进度付款申请单提交的约定：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（3）其他价格形式合同进度付款申请单提交的约定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12.4.4 进度款审核和支付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（1）监理人审查并报送发包人的期限：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发包人完成审批并签发进度款支付证书的期限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（2）发包人支付进度款的期限：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发包人逾期支付进度款的违约金的计算方式：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12.4.6 支付分解表的编制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2、总价合同支付分解表的编制与审批：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3、单价合同的总价项目支付分解表的编制与审批：</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49" w:name="_Toc292559424"/>
      <w:bookmarkEnd w:id="549"/>
      <w:bookmarkStart w:id="550" w:name="_Toc297123564"/>
      <w:bookmarkEnd w:id="550"/>
      <w:bookmarkStart w:id="551" w:name="_Toc297216223"/>
      <w:bookmarkEnd w:id="551"/>
      <w:bookmarkStart w:id="552" w:name="_Toc300935015"/>
      <w:bookmarkEnd w:id="552"/>
      <w:bookmarkStart w:id="553" w:name="_Toc296891259"/>
      <w:bookmarkEnd w:id="553"/>
      <w:bookmarkStart w:id="554" w:name="_Toc292559929"/>
      <w:bookmarkEnd w:id="554"/>
      <w:bookmarkStart w:id="555" w:name="_Toc296346720"/>
      <w:bookmarkEnd w:id="555"/>
      <w:bookmarkStart w:id="556" w:name="_Toc303539172"/>
      <w:bookmarkEnd w:id="556"/>
      <w:bookmarkStart w:id="557" w:name="_Toc296347218"/>
      <w:bookmarkEnd w:id="557"/>
      <w:bookmarkStart w:id="558" w:name="_Toc296944558"/>
      <w:bookmarkEnd w:id="558"/>
      <w:bookmarkStart w:id="559" w:name="_Toc351203645"/>
      <w:bookmarkEnd w:id="559"/>
      <w:bookmarkStart w:id="560" w:name="_Toc297048405"/>
      <w:bookmarkEnd w:id="560"/>
      <w:bookmarkStart w:id="561" w:name="_Toc296891047"/>
      <w:bookmarkEnd w:id="561"/>
      <w:bookmarkStart w:id="562" w:name="_Toc312678053"/>
      <w:bookmarkEnd w:id="562"/>
      <w:bookmarkStart w:id="563" w:name="_Toc297120519"/>
      <w:bookmarkEnd w:id="563"/>
      <w:bookmarkStart w:id="564" w:name="_Toc304295593"/>
      <w:bookmarkEnd w:id="564"/>
      <w:bookmarkStart w:id="565" w:name="_Toc296503219"/>
      <w:bookmarkEnd w:id="565"/>
      <w:r>
        <w:rPr>
          <w:rFonts w:hint="eastAsia" w:ascii="仿宋" w:hAnsi="仿宋" w:eastAsia="仿宋" w:cs="仿宋"/>
          <w:sz w:val="24"/>
          <w:szCs w:val="24"/>
          <w:highlight w:val="none"/>
        </w:rPr>
        <w:t>13. 验收和工程试车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 分部分项工程验收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13.1.2监理人不能按时进行验收时，应提前24小时提交书面延期要求。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48</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66" w:name="_Toc296347222"/>
      <w:bookmarkEnd w:id="566"/>
      <w:bookmarkStart w:id="567" w:name="_Toc267251473"/>
      <w:bookmarkEnd w:id="567"/>
      <w:bookmarkStart w:id="568" w:name="_Toc292559933"/>
      <w:bookmarkEnd w:id="568"/>
      <w:bookmarkStart w:id="569" w:name="_Toc303539173"/>
      <w:bookmarkEnd w:id="569"/>
      <w:bookmarkStart w:id="570" w:name="_Toc267251472"/>
      <w:bookmarkEnd w:id="570"/>
      <w:bookmarkStart w:id="571" w:name="_Toc267251474"/>
      <w:bookmarkEnd w:id="571"/>
      <w:bookmarkStart w:id="572" w:name="_Toc304295596"/>
      <w:bookmarkEnd w:id="572"/>
      <w:bookmarkStart w:id="573" w:name="_Toc300935016"/>
      <w:bookmarkEnd w:id="573"/>
      <w:bookmarkStart w:id="574" w:name="_Toc292559428"/>
      <w:bookmarkEnd w:id="574"/>
      <w:bookmarkStart w:id="575" w:name="_Toc296346724"/>
      <w:bookmarkEnd w:id="575"/>
      <w:bookmarkStart w:id="576" w:name="_Toc267251471"/>
      <w:bookmarkEnd w:id="576"/>
      <w:bookmarkStart w:id="577" w:name="_Toc296891263"/>
      <w:bookmarkEnd w:id="577"/>
      <w:bookmarkStart w:id="578" w:name="_Toc267251475"/>
      <w:bookmarkEnd w:id="578"/>
      <w:bookmarkStart w:id="579" w:name="_Toc296503223"/>
      <w:bookmarkEnd w:id="579"/>
      <w:bookmarkStart w:id="580" w:name="_Toc296944562"/>
      <w:bookmarkEnd w:id="580"/>
      <w:bookmarkStart w:id="581" w:name="_Toc297123565"/>
      <w:bookmarkEnd w:id="581"/>
      <w:bookmarkStart w:id="582" w:name="_Toc297120523"/>
      <w:bookmarkEnd w:id="582"/>
      <w:bookmarkStart w:id="583" w:name="_Toc296891051"/>
      <w:bookmarkEnd w:id="583"/>
      <w:bookmarkStart w:id="584" w:name="_Toc297048409"/>
      <w:bookmarkEnd w:id="584"/>
      <w:bookmarkStart w:id="585" w:name="_Toc267251470"/>
      <w:bookmarkEnd w:id="585"/>
      <w:bookmarkStart w:id="586" w:name="_Toc297216224"/>
      <w:bookmarkEnd w:id="586"/>
      <w:bookmarkStart w:id="587" w:name="_Toc312678056"/>
      <w:bookmarkEnd w:id="587"/>
      <w:bookmarkStart w:id="588" w:name="_Toc267251476"/>
      <w:bookmarkEnd w:id="588"/>
      <w:r>
        <w:rPr>
          <w:rFonts w:hint="eastAsia" w:ascii="仿宋" w:hAnsi="仿宋" w:eastAsia="仿宋" w:cs="仿宋"/>
          <w:sz w:val="24"/>
          <w:szCs w:val="24"/>
          <w:highlight w:val="none"/>
        </w:rPr>
        <w:t>13.2 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89" w:name="_Toc280868708"/>
      <w:bookmarkEnd w:id="589"/>
      <w:bookmarkStart w:id="590" w:name="_Toc280868707"/>
      <w:bookmarkEnd w:id="590"/>
      <w:bookmarkStart w:id="591" w:name="_Toc280868706"/>
      <w:bookmarkEnd w:id="591"/>
      <w:bookmarkStart w:id="592" w:name="_Toc280868709"/>
      <w:bookmarkEnd w:id="592"/>
      <w:bookmarkStart w:id="593" w:name="_Toc280868705"/>
      <w:bookmarkEnd w:id="593"/>
      <w:bookmarkStart w:id="594" w:name="_Toc280868704"/>
      <w:bookmarkEnd w:id="594"/>
      <w:r>
        <w:rPr>
          <w:rFonts w:hint="eastAsia" w:ascii="仿宋" w:hAnsi="仿宋" w:eastAsia="仿宋" w:cs="仿宋"/>
          <w:sz w:val="24"/>
          <w:szCs w:val="24"/>
          <w:highlight w:val="none"/>
        </w:rPr>
        <w:t>13.2.2竣工验收程序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关于竣工验收程序的约定：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发包人不按照本项约定组织竣工验收、颁发工程接收证书的违约金的计算方法：/</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13.2.5移交、接收全部与部分工程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承包人向发包人移交工程的期限：执行通用条款。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发包人未按本合同约定接收全部或部分工程的，违约金的计算方法为：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承包人未按时移交工程的，违约金的计算方法为：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 工程试车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13.3.1 试车程序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工程试车内容：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（1）单机无负荷试车费用由</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（2）无负荷联动试车费用由</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13.3.3 投料试车</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关于投料试车相关事项的约定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 竣工退场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13.6.1 竣工退场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承包人完成竣工退场的期限：执行通用条款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95" w:name="_Toc351203646"/>
      <w:bookmarkEnd w:id="595"/>
      <w:r>
        <w:rPr>
          <w:rFonts w:hint="eastAsia" w:ascii="仿宋" w:hAnsi="仿宋" w:eastAsia="仿宋" w:cs="仿宋"/>
          <w:sz w:val="24"/>
          <w:szCs w:val="24"/>
          <w:highlight w:val="none"/>
        </w:rPr>
        <w:t>14. 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 竣工结算申请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承包人提交竣工结算申请单的期限：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竣工结算申请单应包括的内容：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按通用合同条款执行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承包人向监理人提交竣工付款申请单的份数和期限：</w:t>
      </w:r>
      <w:bookmarkStart w:id="596" w:name="D2???????????????"/>
      <w:bookmarkEnd w:id="596"/>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竣工付款申请单应包括的内容：</w:t>
      </w:r>
      <w:bookmarkStart w:id="597" w:name="D2?????????????"/>
      <w:bookmarkEnd w:id="597"/>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竣工结算审核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发包人审批竣工付款申请单的期限：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发包人完成竣工付款的期限：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关于竣工付款证书异议部分复核的方式和程序：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 最终结清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14.4.1 最终结清申请单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承包人提交最终结清申请单的份数：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承包人提交最终结算申请单的期限：</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14.4.2 最终结清证书和支付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（1）发包人完成最终结清申请单的审批并颁发最终结清证书的期限：</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（2）发包人完成支付的期限：执行通用条款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98" w:name="_Toc267251498"/>
      <w:bookmarkEnd w:id="598"/>
      <w:bookmarkStart w:id="599" w:name="_Toc267251507"/>
      <w:bookmarkEnd w:id="599"/>
      <w:bookmarkStart w:id="600" w:name="_Toc267251485"/>
      <w:bookmarkEnd w:id="600"/>
      <w:bookmarkStart w:id="601" w:name="_Toc267251494"/>
      <w:bookmarkEnd w:id="601"/>
      <w:bookmarkStart w:id="602" w:name="_Toc267251515"/>
      <w:bookmarkEnd w:id="602"/>
      <w:bookmarkStart w:id="603" w:name="_Toc267251490"/>
      <w:bookmarkEnd w:id="603"/>
      <w:bookmarkStart w:id="604" w:name="_Toc267251488"/>
      <w:bookmarkEnd w:id="604"/>
      <w:bookmarkStart w:id="605" w:name="_Toc267251509"/>
      <w:bookmarkEnd w:id="605"/>
      <w:bookmarkStart w:id="606" w:name="_Toc267251513"/>
      <w:bookmarkEnd w:id="606"/>
      <w:bookmarkStart w:id="607" w:name="_Toc267251506"/>
      <w:bookmarkEnd w:id="607"/>
      <w:bookmarkStart w:id="608" w:name="_Toc267251495"/>
      <w:bookmarkEnd w:id="608"/>
      <w:bookmarkStart w:id="609" w:name="_Toc267251496"/>
      <w:bookmarkEnd w:id="609"/>
      <w:bookmarkStart w:id="610" w:name="_Toc267251492"/>
      <w:bookmarkEnd w:id="610"/>
      <w:bookmarkStart w:id="611" w:name="_Toc267251503"/>
      <w:bookmarkEnd w:id="611"/>
      <w:bookmarkStart w:id="612" w:name="_Toc267251484"/>
      <w:bookmarkEnd w:id="612"/>
      <w:bookmarkStart w:id="613" w:name="_Toc267251514"/>
      <w:bookmarkEnd w:id="613"/>
      <w:bookmarkStart w:id="614" w:name="_Toc267251508"/>
      <w:bookmarkEnd w:id="614"/>
      <w:bookmarkStart w:id="615" w:name="_Toc267251486"/>
      <w:bookmarkEnd w:id="615"/>
      <w:bookmarkStart w:id="616" w:name="_Toc267251501"/>
      <w:bookmarkEnd w:id="616"/>
      <w:bookmarkStart w:id="617" w:name="_Toc351203647"/>
      <w:bookmarkEnd w:id="617"/>
      <w:bookmarkStart w:id="618" w:name="_Toc267251504"/>
      <w:bookmarkEnd w:id="618"/>
      <w:bookmarkStart w:id="619" w:name="_Toc267251483"/>
      <w:bookmarkEnd w:id="619"/>
      <w:bookmarkStart w:id="620" w:name="_Toc267251497"/>
      <w:bookmarkEnd w:id="620"/>
      <w:bookmarkStart w:id="621" w:name="_Toc267251493"/>
      <w:bookmarkEnd w:id="621"/>
      <w:bookmarkStart w:id="622" w:name="_Toc267251491"/>
      <w:bookmarkEnd w:id="622"/>
      <w:bookmarkStart w:id="623" w:name="_Toc267251499"/>
      <w:bookmarkEnd w:id="623"/>
      <w:bookmarkStart w:id="624" w:name="_Toc267251510"/>
      <w:bookmarkEnd w:id="624"/>
      <w:bookmarkStart w:id="625" w:name="_Toc267251489"/>
      <w:bookmarkEnd w:id="625"/>
      <w:bookmarkStart w:id="626" w:name="_Toc267251482"/>
      <w:bookmarkEnd w:id="626"/>
      <w:bookmarkStart w:id="627" w:name="_Toc267251502"/>
      <w:bookmarkEnd w:id="627"/>
      <w:bookmarkStart w:id="628" w:name="_Toc267251511"/>
      <w:bookmarkEnd w:id="628"/>
      <w:r>
        <w:rPr>
          <w:rFonts w:hint="eastAsia" w:ascii="仿宋" w:hAnsi="仿宋" w:eastAsia="仿宋" w:cs="仿宋"/>
          <w:sz w:val="24"/>
          <w:szCs w:val="24"/>
          <w:highlight w:val="none"/>
        </w:rPr>
        <w:t>15. 缺陷责任期与保修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15.2缺陷责任期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缺陷责任期的具体期限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 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关于是否扣留质量保证金的约定：按相关规定执行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15.3.1 承包人提供质量保证金的方式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质量保证金采用以下第</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（1）质量保证金保函，保证金额为：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%的工程款；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（3）其他方式: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15.3.2 质量保证金的扣留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质量保证金的扣留采取以下第</w:t>
      </w:r>
      <w:r>
        <w:rPr>
          <w:rFonts w:hint="eastAsia" w:ascii="仿宋" w:hAnsi="仿宋" w:eastAsia="仿宋" w:cs="仿宋"/>
          <w:sz w:val="24"/>
          <w:szCs w:val="24"/>
          <w:highlight w:val="none"/>
          <w:u w:val="single"/>
          <w:lang w:val="en-US" w:eastAsia="zh-CN"/>
        </w:rPr>
        <w:t xml:space="preserve"> 2 </w:t>
      </w:r>
      <w:r>
        <w:rPr>
          <w:rFonts w:hint="eastAsia" w:ascii="仿宋" w:hAnsi="仿宋" w:eastAsia="仿宋" w:cs="仿宋"/>
          <w:sz w:val="24"/>
          <w:szCs w:val="24"/>
          <w:highlight w:val="none"/>
        </w:rPr>
        <w:t>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（1）在支付工程进度款时逐次扣留，在此情形下，质量保证金的计算基数不包括预付款的支付、扣回以及价格调整的金额；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（2）工程竣工结算时一次性扣留质量保证金；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（3）其他扣留方式: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关于质量保证金的补充约定：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15.4.1 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工程保修期为：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15.4.3 修复通知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承包人收到保修通知并到达工程现场的合理时间：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29" w:name="_Toc351203648"/>
      <w:bookmarkEnd w:id="629"/>
      <w:bookmarkStart w:id="630" w:name="_Toc280868717"/>
      <w:bookmarkEnd w:id="630"/>
      <w:bookmarkStart w:id="631" w:name="_Toc280868718"/>
      <w:bookmarkEnd w:id="631"/>
      <w:r>
        <w:rPr>
          <w:rFonts w:hint="eastAsia" w:ascii="仿宋" w:hAnsi="仿宋" w:eastAsia="仿宋" w:cs="仿宋"/>
          <w:sz w:val="24"/>
          <w:szCs w:val="24"/>
          <w:highlight w:val="none"/>
        </w:rPr>
        <w:t>16. 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发包人违约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16.1.1发包人违约的情形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发包人违约的其他情形：</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执行通用条款</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16.1.2 发包人违约的责任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发包人违约责任的承担方式和计算方法：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（1）因发包人原因未能在计划开工日期前7天内下达开工通知的违约责任：执行通用条款。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（2）因发包人原因未能按合同约定支付合同价款的违约责任：执行通用条款。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（3）发包人违反第10.1款〔变更的范围〕第2）项约定，自行实施被取消的工作或转由他人实施的违约责任：无。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（4）发包人提供的材料、工程设备的规格、数量或质量不符合合同约定，或因发包人原因导致交货日期延误或交货地点变更等情况的违约责任：执行通用条款。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（5）因发包人违反合同约定造成暂停施工的违约责任：执行通用条款。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（6）发包人无正当理由没有在约定期限内发出复工指示，导致承包人无法复工的违约责任：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（7）其他：</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16.1.3 因发包人违约解除合同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承包人按16.1.1项〔发包人违约的情形〕约定暂停施工满 / 天后发包人仍不纠正其违约行为并致使合同目的不能实现的，承包人有权解除合同。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 承包人违约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16.2.1 承包人违约的情形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承包人违约的其他情形</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16.2.2承包人违约的责任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承包人违约责任的承担方式和计算方法：</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16.2.3 因承包人违约解除合同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关于承包人违约解除合同的特别约定：执行通用条款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发包人继续使用承包人在施工现场的材料、设备、临时工程、承包人文件和由承包人或以其名义编制的其他文件的费用承担方式：/。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2" w:name="_Toc351203649"/>
      <w:bookmarkEnd w:id="632"/>
      <w:r>
        <w:rPr>
          <w:rFonts w:hint="eastAsia" w:ascii="仿宋" w:hAnsi="仿宋" w:eastAsia="仿宋" w:cs="仿宋"/>
          <w:sz w:val="24"/>
          <w:szCs w:val="24"/>
          <w:highlight w:val="none"/>
        </w:rPr>
        <w:t>17.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 不可抗力的确认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除通用合同条款约定的不可抗力事件之外，视为不可抗力的其他情形：执行通用条款。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 因不可抗力解除合同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合同解除后，发包人应在商定或确定发包人应支付款项后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天内完成款项的支付。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3" w:name="_Toc351203650"/>
      <w:bookmarkEnd w:id="633"/>
      <w:r>
        <w:rPr>
          <w:rFonts w:hint="eastAsia" w:ascii="仿宋" w:hAnsi="仿宋" w:eastAsia="仿宋" w:cs="仿宋"/>
          <w:sz w:val="24"/>
          <w:szCs w:val="24"/>
          <w:highlight w:val="none"/>
        </w:rPr>
        <w:t>18. 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 工程保险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关于工程保险的特别约定：执行通用条款。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18.2 其他保险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关于其他保险的约定：</w:t>
      </w:r>
      <w:bookmarkStart w:id="634" w:name="D2????????????"/>
      <w:bookmarkEnd w:id="634"/>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承包人是否应为其施工设备等办理财产保险：/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 通知义务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关于变更保险合同时的通知义务的约定：执行通用条款。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5" w:name="_Toc351203651"/>
      <w:bookmarkEnd w:id="635"/>
      <w:r>
        <w:rPr>
          <w:rFonts w:hint="eastAsia" w:ascii="仿宋" w:hAnsi="仿宋" w:eastAsia="仿宋" w:cs="仿宋"/>
          <w:sz w:val="24"/>
          <w:szCs w:val="24"/>
          <w:highlight w:val="none"/>
        </w:rPr>
        <w:t>19. 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 争议评审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合同当事人是否同意将工程争议提交争议评审小组决定：</w:t>
      </w:r>
      <w:r>
        <w:rPr>
          <w:rFonts w:hint="eastAsia" w:ascii="仿宋" w:hAnsi="仿宋" w:eastAsia="仿宋" w:cs="仿宋"/>
          <w:sz w:val="24"/>
          <w:szCs w:val="24"/>
          <w:highlight w:val="none"/>
          <w:u w:val="single"/>
        </w:rPr>
        <w:t>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19.1.1 争议评审小组的确定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争议评审小组成员的确定：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选定争议评审员的期限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争议评审小组成员的报酬承担方式</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其他事项的约定：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19.1.2 争议评审小组的决定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合同当事人关于本项的约定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20.仲裁或诉讼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因合同及合同有关事项发生的争议，按下列第</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种方式解决：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（1）向</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（2）向工程所在地人民法院起诉。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21.若项目存在本专用条款以外的风险因素，以双方签订的合同约定为准。</w:t>
      </w:r>
    </w:p>
    <w:p>
      <w:pPr>
        <w:bidi w:val="0"/>
        <w:rPr>
          <w:rFonts w:hint="eastAsia" w:ascii="仿宋" w:hAnsi="仿宋" w:eastAsia="仿宋" w:cs="仿宋"/>
          <w:highlight w:val="none"/>
        </w:rPr>
      </w:pPr>
      <w:bookmarkStart w:id="636" w:name="_Toc351203652"/>
    </w:p>
    <w:p>
      <w:pPr>
        <w:spacing w:line="360" w:lineRule="auto"/>
        <w:jc w:val="left"/>
        <w:rPr>
          <w:rFonts w:hint="eastAsia" w:ascii="仿宋" w:hAnsi="仿宋" w:eastAsia="仿宋" w:cs="仿宋"/>
          <w:b/>
          <w:strike w:val="0"/>
          <w:dstrike w:val="0"/>
          <w:color w:val="000000"/>
          <w:sz w:val="24"/>
          <w:highlight w:val="none"/>
        </w:rPr>
      </w:pPr>
      <w:r>
        <w:rPr>
          <w:rFonts w:hint="eastAsia" w:ascii="仿宋" w:hAnsi="仿宋" w:eastAsia="仿宋" w:cs="仿宋"/>
          <w:b/>
          <w:strike w:val="0"/>
          <w:dstrike w:val="0"/>
          <w:color w:val="000000"/>
          <w:sz w:val="24"/>
          <w:highlight w:val="none"/>
        </w:rPr>
        <w:t>附件</w:t>
      </w:r>
      <w:bookmarkEnd w:id="636"/>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协议书附件：</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附件1：承包人承揽工程项目一览表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专用合同条款附件：</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附件2：发包人供应材料设备一览表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附件3：工程质量保修书</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附件4：主要建设工程文件目录</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附件5：承包人用于本工程施工的机械设备表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附件6：承包人主要施工管理人员表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附件7：分包人主要施工管理人员表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附件8：履约担保格式</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附件9：预付款担保格式</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附件10：支付担保格式</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附件11：暂估价一览表</w:t>
      </w:r>
    </w:p>
    <w:p>
      <w:pPr>
        <w:spacing w:before="120" w:beforeLines="50" w:after="120" w:afterLines="50"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w:t>
      </w:r>
    </w:p>
    <w:tbl>
      <w:tblPr>
        <w:tblStyle w:val="32"/>
        <w:tblpPr w:leftFromText="180" w:rightFromText="180" w:vertAnchor="text" w:horzAnchor="page" w:tblpXSpec="center" w:tblpY="1057"/>
        <w:tblOverlap w:val="never"/>
        <w:tblW w:w="95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817"/>
        <w:gridCol w:w="1366"/>
        <w:gridCol w:w="817"/>
        <w:gridCol w:w="570"/>
        <w:gridCol w:w="816"/>
        <w:gridCol w:w="1060"/>
        <w:gridCol w:w="1420"/>
        <w:gridCol w:w="816"/>
        <w:gridCol w:w="8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5"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单位工程名称</w:t>
            </w: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建设规模</w:t>
            </w: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建筑面积(平方米)</w:t>
            </w: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结构形式</w:t>
            </w: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w:t>
            </w: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生产能力</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设备安装内容</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合同价格（元）</w:t>
            </w: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开工日期</w:t>
            </w: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77"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bl>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承包人承揽工程项目一览表</w:t>
      </w:r>
    </w:p>
    <w:p>
      <w:pPr>
        <w:tabs>
          <w:tab w:val="left" w:pos="2676"/>
        </w:tabs>
        <w:spacing w:before="120" w:beforeLines="50" w:after="120" w:afterLines="50" w:line="360" w:lineRule="auto"/>
        <w:rPr>
          <w:rFonts w:hint="eastAsia" w:ascii="仿宋" w:hAnsi="仿宋" w:eastAsia="仿宋" w:cs="仿宋"/>
          <w:strike w:val="0"/>
          <w:dstrike w:val="0"/>
          <w:color w:val="000000"/>
          <w:sz w:val="24"/>
          <w:highlight w:val="none"/>
          <w:lang w:eastAsia="zh-CN"/>
        </w:rPr>
      </w:pPr>
      <w:r>
        <w:rPr>
          <w:rFonts w:hint="eastAsia" w:ascii="仿宋" w:hAnsi="仿宋" w:eastAsia="仿宋" w:cs="仿宋"/>
          <w:strike w:val="0"/>
          <w:dstrike w:val="0"/>
          <w:color w:val="000000"/>
          <w:sz w:val="24"/>
          <w:highlight w:val="none"/>
          <w:lang w:eastAsia="zh-CN"/>
        </w:rPr>
        <w:tab/>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37" w:name="_Toc267261692"/>
      <w:bookmarkStart w:id="638" w:name="_Toc296891053"/>
      <w:bookmarkStart w:id="639" w:name="_Toc296347224"/>
      <w:bookmarkStart w:id="640" w:name="_Toc296346726"/>
      <w:bookmarkStart w:id="641" w:name="_Toc296891265"/>
      <w:bookmarkStart w:id="642" w:name="_Toc296503225"/>
      <w:bookmarkStart w:id="643" w:name="_Toc296944564"/>
      <w:r>
        <w:rPr>
          <w:rFonts w:hint="eastAsia" w:ascii="仿宋" w:hAnsi="仿宋" w:eastAsia="仿宋" w:cs="仿宋"/>
          <w:strike w:val="0"/>
          <w:dstrike w:val="0"/>
          <w:color w:val="000000"/>
          <w:sz w:val="24"/>
          <w:highlight w:val="none"/>
        </w:rPr>
        <w:t>件2：</w:t>
      </w:r>
    </w:p>
    <w:bookmarkEnd w:id="637"/>
    <w:bookmarkEnd w:id="638"/>
    <w:bookmarkEnd w:id="639"/>
    <w:bookmarkEnd w:id="640"/>
    <w:bookmarkEnd w:id="641"/>
    <w:bookmarkEnd w:id="642"/>
    <w:bookmarkEnd w:id="643"/>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发包人供应材料设备一览表</w:t>
      </w:r>
    </w:p>
    <w:tbl>
      <w:tblPr>
        <w:tblStyle w:val="32"/>
        <w:tblW w:w="98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6"/>
        <w:gridCol w:w="1159"/>
        <w:gridCol w:w="1137"/>
        <w:gridCol w:w="688"/>
        <w:gridCol w:w="686"/>
        <w:gridCol w:w="1407"/>
        <w:gridCol w:w="1137"/>
        <w:gridCol w:w="1137"/>
        <w:gridCol w:w="1135"/>
        <w:gridCol w:w="6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54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lang w:eastAsia="zh-CN"/>
              </w:rPr>
            </w:pPr>
            <w:r>
              <w:rPr>
                <w:rFonts w:hint="eastAsia" w:ascii="仿宋" w:hAnsi="仿宋" w:eastAsia="仿宋" w:cs="仿宋"/>
                <w:strike w:val="0"/>
                <w:dstrike w:val="0"/>
                <w:color w:val="000000"/>
                <w:sz w:val="24"/>
                <w:szCs w:val="24"/>
                <w:highlight w:val="none"/>
                <w:lang w:val="en-US" w:eastAsia="zh-CN"/>
              </w:rPr>
              <w:t>序号</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材料、设备品种</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规格</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型号</w:t>
            </w: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等级</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供应</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时间</w:t>
            </w: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送达</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地点</w:t>
            </w: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3"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br w:type="page"/>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44" w:name="_Toc296347225"/>
      <w:bookmarkStart w:id="645" w:name="_Toc296346727"/>
      <w:bookmarkStart w:id="646" w:name="_Toc296944565"/>
      <w:bookmarkStart w:id="647" w:name="_Toc296891266"/>
      <w:bookmarkStart w:id="648" w:name="_Toc267261693"/>
      <w:bookmarkStart w:id="649" w:name="_Toc296891054"/>
      <w:bookmarkStart w:id="650" w:name="_Toc296503226"/>
      <w:r>
        <w:rPr>
          <w:rFonts w:hint="eastAsia" w:ascii="仿宋" w:hAnsi="仿宋" w:eastAsia="仿宋" w:cs="仿宋"/>
          <w:strike w:val="0"/>
          <w:dstrike w:val="0"/>
          <w:color w:val="000000"/>
          <w:sz w:val="24"/>
          <w:highlight w:val="none"/>
        </w:rPr>
        <w:t>件3：</w:t>
      </w:r>
      <w:bookmarkEnd w:id="644"/>
      <w:bookmarkEnd w:id="645"/>
      <w:bookmarkEnd w:id="646"/>
      <w:bookmarkEnd w:id="647"/>
      <w:bookmarkEnd w:id="648"/>
      <w:bookmarkEnd w:id="649"/>
      <w:bookmarkEnd w:id="650"/>
      <w:r>
        <w:rPr>
          <w:rFonts w:hint="eastAsia" w:ascii="仿宋" w:hAnsi="仿宋" w:eastAsia="仿宋" w:cs="仿宋"/>
          <w:strike w:val="0"/>
          <w:dstrike w:val="0"/>
          <w:color w:val="000000"/>
          <w:sz w:val="24"/>
          <w:highlight w:val="none"/>
        </w:rPr>
        <w:t xml:space="preserve">    </w:t>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工程质量保修书</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发包人（全称）：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承包人（全称）：</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发包人和承包人根据《中华人民共和国建筑法》和《建设工程质量管理条例》，经协商一致就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（工程全称）签订工程质量保修书。</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一、工程质量保修范围和内容</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承包人在质量保修期内，按照有关法律规定和合同约定，承担工程质量保修责任。</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b/>
          <w:strike w:val="0"/>
          <w:dstrike w:val="0"/>
          <w:color w:val="000000"/>
          <w:sz w:val="24"/>
          <w:highlight w:val="none"/>
        </w:rPr>
        <w:t>　　</w:t>
      </w:r>
      <w:r>
        <w:rPr>
          <w:rFonts w:hint="eastAsia" w:ascii="仿宋" w:hAnsi="仿宋" w:eastAsia="仿宋" w:cs="仿宋"/>
          <w:strike w:val="0"/>
          <w:dstrike w:val="0"/>
          <w:color w:val="000000"/>
          <w:sz w:val="24"/>
          <w:highlight w:val="none"/>
        </w:rPr>
        <w:t>二、质量保修期</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根据《建设工程质量管理条例》及有关规定，工程的质量保修期如下：</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1．地基基础工程和主体结构工程为设计文件规定的工程合理使用年限；</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2．屋面防水工程、有防水要求的卫生间、房间和外墙面的防渗为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3．装修工程为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4．电气管线、给排水管道、设备安装工程为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5．供热与供冷系统为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个采暖期、供冷期；</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6．住宅小区内的给排水设施、道路等配套工程为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7．其他项目保修期限约定如下：</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质量保修期自工程竣工验收合格之日起计算。</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三、缺陷责任期</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工程缺陷责任期为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缺陷责任期终止后，发包人应退还剩余的质量保证金。</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四、质量保修责任</w:t>
      </w:r>
    </w:p>
    <w:p>
      <w:pPr>
        <w:spacing w:line="360" w:lineRule="auto"/>
        <w:ind w:left="105" w:leftChars="50" w:firstLine="489" w:firstLineChars="204"/>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1．属于保修范围、内容的项目，承包人应当在接到保修通知之日起7天内派人保修。承包人不在约定期限内派人保修的，发包人可以委托他人修理。</w:t>
      </w:r>
    </w:p>
    <w:p>
      <w:pPr>
        <w:spacing w:line="360" w:lineRule="auto"/>
        <w:ind w:left="105" w:leftChars="50" w:firstLine="489" w:firstLineChars="204"/>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2．发生紧急事故需抢修的，承包人在接到事故通知后，应当立即到达事故现场抢修。</w:t>
      </w:r>
    </w:p>
    <w:p>
      <w:pPr>
        <w:spacing w:line="360" w:lineRule="auto"/>
        <w:ind w:left="105" w:leftChars="50" w:firstLine="489" w:firstLineChars="204"/>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4．质量保修完成后，由发包人组织验收。</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五、保修费用</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保修费用由造成质量缺陷的责任方承担。</w:t>
      </w:r>
    </w:p>
    <w:p>
      <w:pPr>
        <w:spacing w:line="360" w:lineRule="auto"/>
        <w:ind w:firstLine="420"/>
        <w:jc w:val="left"/>
        <w:rPr>
          <w:rFonts w:hint="eastAsia" w:ascii="仿宋" w:hAnsi="仿宋" w:eastAsia="仿宋" w:cs="仿宋"/>
          <w:strike w:val="0"/>
          <w:dstrike w:val="0"/>
          <w:color w:val="000000"/>
          <w:sz w:val="24"/>
          <w:highlight w:val="none"/>
          <w:u w:val="single"/>
        </w:rPr>
      </w:pPr>
      <w:r>
        <w:rPr>
          <w:rFonts w:hint="eastAsia" w:ascii="仿宋" w:hAnsi="仿宋" w:eastAsia="仿宋" w:cs="仿宋"/>
          <w:bCs/>
          <w:strike w:val="0"/>
          <w:dstrike w:val="0"/>
          <w:color w:val="000000"/>
          <w:sz w:val="24"/>
          <w:highlight w:val="none"/>
        </w:rPr>
        <w:t>六、</w:t>
      </w:r>
      <w:r>
        <w:rPr>
          <w:rFonts w:hint="eastAsia" w:ascii="仿宋" w:hAnsi="仿宋" w:eastAsia="仿宋" w:cs="仿宋"/>
          <w:strike w:val="0"/>
          <w:dstrike w:val="0"/>
          <w:color w:val="000000"/>
          <w:sz w:val="24"/>
          <w:highlight w:val="none"/>
        </w:rPr>
        <w:t>双方约定的其他工程质量保修事项：</w:t>
      </w:r>
    </w:p>
    <w:p>
      <w:pPr>
        <w:spacing w:line="360" w:lineRule="auto"/>
        <w:ind w:firstLine="420"/>
        <w:jc w:val="left"/>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56" w:firstLineChars="19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工程质量保修书由发包人、承包人在工程竣工验收前共同签署，作为施工合同附件，其有效期限至保修期满。</w:t>
      </w:r>
    </w:p>
    <w:tbl>
      <w:tblPr>
        <w:tblStyle w:val="32"/>
        <w:tblW w:w="7512" w:type="dxa"/>
        <w:tblInd w:w="534" w:type="dxa"/>
        <w:tblLayout w:type="fixed"/>
        <w:tblCellMar>
          <w:top w:w="0" w:type="dxa"/>
          <w:left w:w="108" w:type="dxa"/>
          <w:bottom w:w="0" w:type="dxa"/>
          <w:right w:w="108" w:type="dxa"/>
        </w:tblCellMar>
      </w:tblPr>
      <w:tblGrid>
        <w:gridCol w:w="3727"/>
        <w:gridCol w:w="3785"/>
      </w:tblGrid>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发包人(公章)：</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承包人(公章)：</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法定代表人(签字)：</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法定代表人(签字)：</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委托代理人(签字)：</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委托代理人(签字)：</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  话：</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  话：</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开户银行：</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开户银行：</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账  号：</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账  号：</w:t>
            </w:r>
          </w:p>
        </w:tc>
      </w:tr>
      <w:tr>
        <w:tblPrEx>
          <w:tblLayout w:type="fixed"/>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b/>
          <w:strike w:val="0"/>
          <w:dstrike w:val="0"/>
          <w:color w:val="000000"/>
          <w:sz w:val="24"/>
          <w:highlight w:val="none"/>
        </w:rPr>
      </w:pPr>
      <w:r>
        <w:rPr>
          <w:rFonts w:hint="eastAsia" w:ascii="仿宋" w:hAnsi="仿宋" w:eastAsia="仿宋" w:cs="仿宋"/>
          <w:b/>
          <w:strike w:val="0"/>
          <w:dstrike w:val="0"/>
          <w:color w:val="000000"/>
          <w:sz w:val="24"/>
          <w:highlight w:val="none"/>
        </w:rPr>
        <w:br w:type="page"/>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附件4：</w:t>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主要建设工程文件目录</w:t>
      </w:r>
    </w:p>
    <w:tbl>
      <w:tblPr>
        <w:tblStyle w:val="32"/>
        <w:tblW w:w="98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98"/>
        <w:gridCol w:w="1178"/>
        <w:gridCol w:w="2410"/>
        <w:gridCol w:w="1178"/>
        <w:gridCol w:w="1753"/>
        <w:gridCol w:w="13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1"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文件名称</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套数</w:t>
            </w: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费用（元）</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移交时间</w:t>
            </w:r>
          </w:p>
        </w:tc>
        <w:tc>
          <w:tcPr>
            <w:tcW w:w="13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51" w:name="_Toc296346728"/>
      <w:bookmarkStart w:id="652" w:name="_Toc296347226"/>
      <w:bookmarkStart w:id="653" w:name="_Toc296944566"/>
      <w:bookmarkStart w:id="654" w:name="_Toc296891055"/>
      <w:bookmarkStart w:id="655" w:name="_Toc296503227"/>
      <w:bookmarkStart w:id="656" w:name="_Toc296891267"/>
      <w:bookmarkStart w:id="657" w:name="_Toc267261698"/>
      <w:r>
        <w:rPr>
          <w:rFonts w:hint="eastAsia" w:ascii="仿宋" w:hAnsi="仿宋" w:eastAsia="仿宋" w:cs="仿宋"/>
          <w:strike w:val="0"/>
          <w:dstrike w:val="0"/>
          <w:color w:val="000000"/>
          <w:sz w:val="24"/>
          <w:highlight w:val="none"/>
        </w:rPr>
        <w:t>件5：</w:t>
      </w:r>
    </w:p>
    <w:bookmarkEnd w:id="651"/>
    <w:bookmarkEnd w:id="652"/>
    <w:bookmarkEnd w:id="653"/>
    <w:bookmarkEnd w:id="654"/>
    <w:bookmarkEnd w:id="655"/>
    <w:bookmarkEnd w:id="656"/>
    <w:bookmarkEnd w:id="657"/>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承包人用于本工程施工的机械设备表</w:t>
      </w:r>
    </w:p>
    <w:tbl>
      <w:tblPr>
        <w:tblStyle w:val="32"/>
        <w:tblW w:w="1010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3"/>
        <w:gridCol w:w="1726"/>
        <w:gridCol w:w="1120"/>
        <w:gridCol w:w="824"/>
        <w:gridCol w:w="798"/>
        <w:gridCol w:w="1299"/>
        <w:gridCol w:w="1522"/>
        <w:gridCol w:w="1192"/>
        <w:gridCol w:w="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9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机械或</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设备名称</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规格</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型号</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产地</w:t>
            </w: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制造</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年份</w:t>
            </w: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额定功率(kW)</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生产</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能力</w:t>
            </w: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75"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75"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75"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58" w:name="_Toc296891056"/>
      <w:bookmarkStart w:id="659" w:name="_Toc296891268"/>
      <w:bookmarkStart w:id="660" w:name="_Toc296347227"/>
      <w:bookmarkStart w:id="661" w:name="_Toc296944567"/>
      <w:bookmarkStart w:id="662" w:name="_Toc267261699"/>
      <w:bookmarkStart w:id="663" w:name="_Toc296503228"/>
      <w:bookmarkStart w:id="664" w:name="_Toc296346729"/>
      <w:r>
        <w:rPr>
          <w:rFonts w:hint="eastAsia" w:ascii="仿宋" w:hAnsi="仿宋" w:eastAsia="仿宋" w:cs="仿宋"/>
          <w:strike w:val="0"/>
          <w:dstrike w:val="0"/>
          <w:color w:val="000000"/>
          <w:sz w:val="24"/>
          <w:highlight w:val="none"/>
        </w:rPr>
        <w:t>件6：</w:t>
      </w:r>
    </w:p>
    <w:bookmarkEnd w:id="658"/>
    <w:bookmarkEnd w:id="659"/>
    <w:bookmarkEnd w:id="660"/>
    <w:bookmarkEnd w:id="661"/>
    <w:bookmarkEnd w:id="662"/>
    <w:bookmarkEnd w:id="663"/>
    <w:bookmarkEnd w:id="664"/>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承包人主要施工管理人员表</w:t>
      </w:r>
    </w:p>
    <w:tbl>
      <w:tblPr>
        <w:tblStyle w:val="32"/>
        <w:tblW w:w="96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9"/>
        <w:gridCol w:w="1393"/>
        <w:gridCol w:w="1115"/>
        <w:gridCol w:w="1114"/>
        <w:gridCol w:w="4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    称</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姓名</w:t>
            </w: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职务</w:t>
            </w: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职称</w:t>
            </w: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项目主管</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项目副经理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技术负责人</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造价管理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材料管理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计划管理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安全管理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vMerge w:val="restart"/>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p>
    <w:p>
      <w:pPr>
        <w:pStyle w:val="2"/>
        <w:rPr>
          <w:rFonts w:hint="eastAsia" w:ascii="仿宋" w:hAnsi="仿宋" w:eastAsia="仿宋" w:cs="仿宋"/>
          <w:highlight w:val="none"/>
        </w:rPr>
      </w:pP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65" w:name="_Toc296891269"/>
      <w:bookmarkStart w:id="666" w:name="_Toc296346730"/>
      <w:bookmarkStart w:id="667" w:name="_Toc296891057"/>
      <w:bookmarkStart w:id="668" w:name="_Toc296503229"/>
      <w:bookmarkStart w:id="669" w:name="_Toc296347228"/>
      <w:bookmarkStart w:id="670" w:name="_Toc296944568"/>
      <w:r>
        <w:rPr>
          <w:rFonts w:hint="eastAsia" w:ascii="仿宋" w:hAnsi="仿宋" w:eastAsia="仿宋" w:cs="仿宋"/>
          <w:strike w:val="0"/>
          <w:dstrike w:val="0"/>
          <w:color w:val="000000"/>
          <w:sz w:val="24"/>
          <w:highlight w:val="none"/>
        </w:rPr>
        <w:t>件7：</w:t>
      </w:r>
    </w:p>
    <w:bookmarkEnd w:id="665"/>
    <w:bookmarkEnd w:id="666"/>
    <w:bookmarkEnd w:id="667"/>
    <w:bookmarkEnd w:id="668"/>
    <w:bookmarkEnd w:id="669"/>
    <w:bookmarkEnd w:id="670"/>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分包人主要施工管理人员表</w:t>
      </w:r>
    </w:p>
    <w:tbl>
      <w:tblPr>
        <w:tblStyle w:val="32"/>
        <w:tblW w:w="96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9"/>
        <w:gridCol w:w="1393"/>
        <w:gridCol w:w="1115"/>
        <w:gridCol w:w="1114"/>
        <w:gridCol w:w="4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    称</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姓名</w:t>
            </w: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职务</w:t>
            </w: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职称</w:t>
            </w: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项目主管</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项目副经理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技术负责人</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造价管理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材料管理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计划管理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安全管理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vMerge w:val="restart"/>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1"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bookmarkStart w:id="671" w:name="_Toc267261701"/>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br w:type="page"/>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72" w:name="_Toc296891271"/>
      <w:bookmarkStart w:id="673" w:name="_Toc296944570"/>
      <w:bookmarkStart w:id="674" w:name="_Toc296346732"/>
      <w:bookmarkStart w:id="675" w:name="_Toc296347230"/>
      <w:bookmarkStart w:id="676" w:name="_Toc296503231"/>
      <w:bookmarkStart w:id="677" w:name="_Toc296891059"/>
      <w:r>
        <w:rPr>
          <w:rFonts w:hint="eastAsia" w:ascii="仿宋" w:hAnsi="仿宋" w:eastAsia="仿宋" w:cs="仿宋"/>
          <w:strike w:val="0"/>
          <w:dstrike w:val="0"/>
          <w:color w:val="000000"/>
          <w:sz w:val="24"/>
          <w:highlight w:val="none"/>
        </w:rPr>
        <w:t>件8：</w:t>
      </w:r>
    </w:p>
    <w:bookmarkEnd w:id="671"/>
    <w:bookmarkEnd w:id="672"/>
    <w:bookmarkEnd w:id="673"/>
    <w:bookmarkEnd w:id="674"/>
    <w:bookmarkEnd w:id="675"/>
    <w:bookmarkEnd w:id="676"/>
    <w:bookmarkEnd w:id="677"/>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履约担保</w:t>
      </w:r>
    </w:p>
    <w:p>
      <w:pPr>
        <w:pStyle w:val="2"/>
        <w:rPr>
          <w:rFonts w:hint="eastAsia"/>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rPr>
        <w:t>（发包人名称）：</w:t>
      </w:r>
    </w:p>
    <w:p>
      <w:pPr>
        <w:spacing w:line="360" w:lineRule="auto"/>
        <w:rPr>
          <w:rFonts w:hint="eastAsia" w:ascii="仿宋" w:hAnsi="仿宋" w:eastAsia="仿宋" w:cs="仿宋"/>
          <w:strike w:val="0"/>
          <w:dstrike w:val="0"/>
          <w:color w:val="000000"/>
          <w:sz w:val="24"/>
          <w:highlight w:val="none"/>
        </w:rPr>
      </w:pP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鉴于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（发包人名称，以下简称“发包人”）与</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（承包人名称）（以下称“承包人”）于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担保金额人民币（大写）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担保有效期自你方与承包人签订的合同生效之日起至你方签发或应签发工程接收证书之日止。</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你方和承包人按合同约定变更合同时，我方承担本担保规定的义务不变。</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 因本保函发生的纠纷，可由双方协商解决，协商不成的，任何一方均可提请</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仲裁委员会仲裁。</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 本保函自我方法定代表人（或其授权代理人）签字并加盖公章之日起生效。</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担 保 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（盖单位章）</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法定代表人或其委托代理人：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（签字）</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电    话：</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rPr>
        <w:t xml:space="preserve">                                       </w:t>
      </w:r>
    </w:p>
    <w:p>
      <w:pPr>
        <w:spacing w:line="360" w:lineRule="auto"/>
        <w:jc w:val="left"/>
        <w:rPr>
          <w:rFonts w:hint="eastAsia" w:ascii="仿宋" w:hAnsi="仿宋" w:eastAsia="仿宋" w:cs="仿宋"/>
          <w:strike w:val="0"/>
          <w:dstrike w:val="0"/>
          <w:color w:val="000000"/>
          <w:sz w:val="24"/>
          <w:highlight w:val="none"/>
          <w:u w:val="single"/>
        </w:rPr>
      </w:pPr>
    </w:p>
    <w:p>
      <w:pPr>
        <w:spacing w:line="360" w:lineRule="auto"/>
        <w:ind w:left="1519" w:hanging="1519" w:hangingChars="633"/>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w:t>
      </w: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78" w:name="_Toc296891272"/>
      <w:bookmarkStart w:id="679" w:name="_Toc296347231"/>
      <w:bookmarkStart w:id="680" w:name="_Toc296503232"/>
      <w:bookmarkStart w:id="681" w:name="_Toc296944571"/>
      <w:bookmarkStart w:id="682" w:name="_Toc296346733"/>
      <w:bookmarkStart w:id="683" w:name="_Toc296891060"/>
      <w:bookmarkStart w:id="684" w:name="_Toc267261702"/>
      <w:r>
        <w:rPr>
          <w:rFonts w:hint="eastAsia" w:ascii="仿宋" w:hAnsi="仿宋" w:eastAsia="仿宋" w:cs="仿宋"/>
          <w:strike w:val="0"/>
          <w:dstrike w:val="0"/>
          <w:color w:val="000000"/>
          <w:sz w:val="24"/>
          <w:highlight w:val="none"/>
        </w:rPr>
        <w:t>件9 ：</w:t>
      </w:r>
    </w:p>
    <w:bookmarkEnd w:id="678"/>
    <w:bookmarkEnd w:id="679"/>
    <w:bookmarkEnd w:id="680"/>
    <w:bookmarkEnd w:id="681"/>
    <w:bookmarkEnd w:id="682"/>
    <w:bookmarkEnd w:id="683"/>
    <w:bookmarkEnd w:id="684"/>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预付款担保</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（发包人名称）：</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根据</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（承包人名称）（以下称“承包人”）与</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（发包人名称）（以下简称“发包人”）</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日签订的</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担保金额人民币（大写）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担保有效期自预付款支付给承包人起生效，至你方签发的进度款支付证书说明已完全扣清止。</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你方和承包人按合同约定变更合同时，我方承担本保函规定的义务不变。</w:t>
      </w:r>
    </w:p>
    <w:p>
      <w:pPr>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 因本保函发生的纠纷，可由双方协商解决，协商不成的，任何一方均可提请</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仲裁委员会仲裁。</w:t>
      </w:r>
    </w:p>
    <w:p>
      <w:pPr>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 本保函自我方法定代表人（或其授权代理人）签字并加盖公章之日起生效。</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担保人：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（盖单位章）</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法定代表人或其委托代理人：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（签字）</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电    话：</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b/>
          <w:strike w:val="0"/>
          <w:dstrike w:val="0"/>
          <w:color w:val="000000"/>
          <w:sz w:val="24"/>
          <w:highlight w:val="none"/>
        </w:rPr>
      </w:pPr>
    </w:p>
    <w:p>
      <w:pPr>
        <w:pStyle w:val="2"/>
        <w:rPr>
          <w:rFonts w:hint="eastAsia" w:ascii="仿宋" w:hAnsi="仿宋" w:eastAsia="仿宋" w:cs="仿宋"/>
          <w:b/>
          <w:strike w:val="0"/>
          <w:dstrike w:val="0"/>
          <w:color w:val="000000"/>
          <w:sz w:val="24"/>
          <w:highlight w:val="none"/>
        </w:rPr>
      </w:pPr>
    </w:p>
    <w:p>
      <w:pPr>
        <w:pStyle w:val="2"/>
        <w:rPr>
          <w:rFonts w:hint="eastAsia" w:ascii="仿宋" w:hAnsi="仿宋" w:eastAsia="仿宋" w:cs="仿宋"/>
          <w:b/>
          <w:strike w:val="0"/>
          <w:dstrike w:val="0"/>
          <w:color w:val="000000"/>
          <w:sz w:val="24"/>
          <w:highlight w:val="none"/>
        </w:rPr>
      </w:pPr>
    </w:p>
    <w:p>
      <w:pPr>
        <w:pStyle w:val="2"/>
        <w:rPr>
          <w:rFonts w:hint="eastAsia" w:ascii="仿宋" w:hAnsi="仿宋" w:eastAsia="仿宋" w:cs="仿宋"/>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85" w:name="_Toc296347232"/>
      <w:bookmarkStart w:id="686" w:name="_Toc296503233"/>
      <w:bookmarkStart w:id="687" w:name="_Toc296944572"/>
      <w:bookmarkStart w:id="688" w:name="_Toc296346734"/>
      <w:bookmarkStart w:id="689" w:name="_Toc296891061"/>
      <w:bookmarkStart w:id="690" w:name="_Toc296891273"/>
      <w:r>
        <w:rPr>
          <w:rFonts w:hint="eastAsia" w:ascii="仿宋" w:hAnsi="仿宋" w:eastAsia="仿宋" w:cs="仿宋"/>
          <w:strike w:val="0"/>
          <w:dstrike w:val="0"/>
          <w:color w:val="000000"/>
          <w:sz w:val="24"/>
          <w:highlight w:val="none"/>
        </w:rPr>
        <w:t xml:space="preserve">件10:  </w:t>
      </w:r>
    </w:p>
    <w:bookmarkEnd w:id="685"/>
    <w:bookmarkEnd w:id="686"/>
    <w:bookmarkEnd w:id="687"/>
    <w:bookmarkEnd w:id="688"/>
    <w:bookmarkEnd w:id="689"/>
    <w:bookmarkEnd w:id="690"/>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支付担保</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（承包人）：</w:t>
      </w:r>
    </w:p>
    <w:p>
      <w:pPr>
        <w:spacing w:line="360" w:lineRule="auto"/>
        <w:jc w:val="left"/>
        <w:rPr>
          <w:rFonts w:hint="eastAsia" w:ascii="仿宋" w:hAnsi="仿宋" w:eastAsia="仿宋" w:cs="仿宋"/>
          <w:strike w:val="0"/>
          <w:dstrike w:val="0"/>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鉴于你方作为承包人已经与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（发包人名称）（以下称“发包人”）于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日签订了</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一、保证的范围及保证金额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我方的保证范围是主合同约定的工程款。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本保函所称主合同约定的工程款是指主合同约定的除工程质量保证金以外的合同价款。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我方保证的金额是主合同约定的工程款的</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%，数额最高不超过人民币元（大写：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二、保证的方式及保证期间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我方保证的方式为：连带责任保证。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我方保证的期间为：自本合同生效之日起至主合同约定的工程款支付完毕之日后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三、承担保证责任的形式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四、代偿的安排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我方收到你方的书面索赔通知及相应的证明材料后７天内无条件支付。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五、保证责任的解除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 我方解除保证责任后，你方应自我方保证责任解除之日起</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个工作日内，将本保函原件返还我方。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六、免责条款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因你方违约致使发包人不能履行义务的，我方不承担保证责任。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因不可抗力造成发包人不能履行义务的，我方不承担保证责任。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七、争议解决</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因本保函或本保函相关事项发生的纠纷，可由双方协商解决，协商不成的，按下列第</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种方式解决：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（1）向</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仲裁委员会申请仲裁；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（2）向</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八、保函的生效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spacing w:line="400" w:lineRule="exact"/>
        <w:ind w:right="6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担保人：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（盖章）</w:t>
      </w:r>
    </w:p>
    <w:p>
      <w:pPr>
        <w:keepNext w:val="0"/>
        <w:keepLines w:val="0"/>
        <w:pageBreakBefore w:val="0"/>
        <w:widowControl w:val="0"/>
        <w:kinsoku/>
        <w:wordWrap/>
        <w:overflowPunct/>
        <w:topLinePunct w:val="0"/>
        <w:autoSpaceDE/>
        <w:autoSpaceDN/>
        <w:bidi w:val="0"/>
        <w:adjustRightInd/>
        <w:snapToGrid/>
        <w:spacing w:line="400" w:lineRule="exact"/>
        <w:ind w:right="1200"/>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法定代表人或委托代理人：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150" w:firstLine="480" w:firstLineChars="200"/>
        <w:jc w:val="left"/>
        <w:textAlignment w:val="auto"/>
        <w:rPr>
          <w:rFonts w:hint="eastAsia" w:ascii="仿宋" w:hAnsi="仿宋" w:eastAsia="仿宋" w:cs="仿宋"/>
          <w:strike w:val="0"/>
          <w:dstrike w:val="0"/>
          <w:color w:val="000000"/>
          <w:sz w:val="24"/>
          <w:highlight w:val="none"/>
          <w:u w:val="single"/>
        </w:rPr>
      </w:pPr>
    </w:p>
    <w:p>
      <w:pPr>
        <w:keepNext w:val="0"/>
        <w:keepLines w:val="0"/>
        <w:pageBreakBefore w:val="0"/>
        <w:widowControl w:val="0"/>
        <w:kinsoku/>
        <w:wordWrap/>
        <w:overflowPunct/>
        <w:topLinePunct w:val="0"/>
        <w:autoSpaceDE/>
        <w:autoSpaceDN/>
        <w:bidi w:val="0"/>
        <w:adjustRightInd/>
        <w:snapToGrid/>
        <w:spacing w:line="400" w:lineRule="exact"/>
        <w:ind w:right="150"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w:t>
      </w:r>
    </w:p>
    <w:p>
      <w:pPr>
        <w:spacing w:line="360" w:lineRule="auto"/>
        <w:ind w:right="150" w:firstLine="480" w:firstLineChars="200"/>
        <w:jc w:val="left"/>
        <w:rPr>
          <w:rFonts w:hint="eastAsia" w:ascii="仿宋" w:hAnsi="仿宋" w:eastAsia="仿宋" w:cs="仿宋"/>
          <w:strike w:val="0"/>
          <w:dstrike w:val="0"/>
          <w:color w:val="000000"/>
          <w:sz w:val="24"/>
          <w:highlight w:val="none"/>
        </w:rPr>
      </w:pPr>
    </w:p>
    <w:p>
      <w:pPr>
        <w:pStyle w:val="2"/>
        <w:rPr>
          <w:rFonts w:hint="eastAsia" w:ascii="仿宋" w:hAnsi="仿宋" w:eastAsia="仿宋" w:cs="仿宋"/>
          <w:strike w:val="0"/>
          <w:dstrike w:val="0"/>
          <w:color w:val="000000"/>
          <w:sz w:val="24"/>
          <w:highlight w:val="none"/>
        </w:rPr>
      </w:pPr>
    </w:p>
    <w:p>
      <w:pPr>
        <w:pStyle w:val="2"/>
        <w:rPr>
          <w:rFonts w:hint="eastAsia" w:ascii="仿宋" w:hAnsi="仿宋" w:eastAsia="仿宋" w:cs="仿宋"/>
          <w:strike w:val="0"/>
          <w:dstrike w:val="0"/>
          <w:color w:val="000000"/>
          <w:sz w:val="24"/>
          <w:highlight w:val="none"/>
        </w:rPr>
      </w:pPr>
    </w:p>
    <w:p>
      <w:pPr>
        <w:pStyle w:val="2"/>
        <w:rPr>
          <w:rFonts w:hint="eastAsia" w:ascii="仿宋" w:hAnsi="仿宋" w:eastAsia="仿宋" w:cs="仿宋"/>
          <w:strike w:val="0"/>
          <w:dstrike w:val="0"/>
          <w:color w:val="000000"/>
          <w:sz w:val="24"/>
          <w:highlight w:val="none"/>
        </w:rPr>
      </w:pPr>
    </w:p>
    <w:p>
      <w:pPr>
        <w:spacing w:line="360" w:lineRule="auto"/>
        <w:ind w:right="150"/>
        <w:jc w:val="left"/>
        <w:rPr>
          <w:rFonts w:hint="eastAsia" w:ascii="仿宋" w:hAnsi="仿宋" w:eastAsia="仿宋" w:cs="仿宋"/>
          <w:strike w:val="0"/>
          <w:dstrike w:val="0"/>
          <w:color w:val="000000"/>
          <w:sz w:val="24"/>
          <w:highlight w:val="none"/>
        </w:rPr>
      </w:pPr>
    </w:p>
    <w:p>
      <w:pPr>
        <w:spacing w:line="360" w:lineRule="auto"/>
        <w:ind w:right="150"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附件11：</w:t>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11-1：材料暂估价表</w:t>
      </w:r>
    </w:p>
    <w:tbl>
      <w:tblPr>
        <w:tblStyle w:val="32"/>
        <w:tblW w:w="998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94"/>
        <w:gridCol w:w="2184"/>
        <w:gridCol w:w="936"/>
        <w:gridCol w:w="852"/>
        <w:gridCol w:w="1487"/>
        <w:gridCol w:w="1558"/>
        <w:gridCol w:w="18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名称</w:t>
            </w: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合价（元）</w:t>
            </w: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4"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11-2：工程设备暂估价表</w:t>
      </w:r>
    </w:p>
    <w:tbl>
      <w:tblPr>
        <w:tblStyle w:val="32"/>
        <w:tblW w:w="10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0"/>
        <w:gridCol w:w="2196"/>
        <w:gridCol w:w="941"/>
        <w:gridCol w:w="858"/>
        <w:gridCol w:w="1496"/>
        <w:gridCol w:w="1567"/>
        <w:gridCol w:w="18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名称</w:t>
            </w: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合价（元）</w:t>
            </w: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43"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before="120" w:beforeLines="50" w:after="120" w:afterLines="50"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br w:type="page"/>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11-3：专业工程暂估价表</w:t>
      </w:r>
    </w:p>
    <w:tbl>
      <w:tblPr>
        <w:tblStyle w:val="32"/>
        <w:tblW w:w="1008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4"/>
        <w:gridCol w:w="2205"/>
        <w:gridCol w:w="945"/>
        <w:gridCol w:w="862"/>
        <w:gridCol w:w="1501"/>
        <w:gridCol w:w="1574"/>
        <w:gridCol w:w="1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名称</w:t>
            </w: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合价（元）</w:t>
            </w: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48"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p>
    <w:p>
      <w:pPr>
        <w:pStyle w:val="2"/>
        <w:rPr>
          <w:rFonts w:hint="eastAsia" w:ascii="仿宋" w:hAnsi="仿宋" w:eastAsia="仿宋" w:cs="仿宋"/>
          <w:strike w:val="0"/>
          <w:dstrike w:val="0"/>
          <w:color w:val="000000"/>
          <w:sz w:val="24"/>
          <w:highlight w:val="none"/>
        </w:rPr>
      </w:pPr>
    </w:p>
    <w:p>
      <w:pPr>
        <w:pStyle w:val="2"/>
        <w:rPr>
          <w:rFonts w:hint="eastAsia" w:ascii="仿宋" w:hAnsi="仿宋" w:eastAsia="仿宋" w:cs="仿宋"/>
          <w:strike w:val="0"/>
          <w:dstrike w:val="0"/>
          <w:color w:val="000000"/>
          <w:sz w:val="24"/>
          <w:highlight w:val="none"/>
        </w:rPr>
      </w:pPr>
    </w:p>
    <w:p>
      <w:pPr>
        <w:pStyle w:val="2"/>
        <w:rPr>
          <w:rFonts w:hint="eastAsia" w:ascii="仿宋" w:hAnsi="仿宋" w:eastAsia="仿宋" w:cs="仿宋"/>
          <w:strike w:val="0"/>
          <w:dstrike w:val="0"/>
          <w:color w:val="000000"/>
          <w:sz w:val="24"/>
          <w:highlight w:val="none"/>
        </w:rPr>
      </w:pPr>
    </w:p>
    <w:p>
      <w:pPr>
        <w:pStyle w:val="3"/>
        <w:shd w:val="clear"/>
        <w:spacing w:before="0" w:after="0"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第四章  技术规范</w:t>
      </w:r>
      <w:bookmarkEnd w:id="83"/>
      <w:bookmarkEnd w:id="84"/>
      <w:bookmarkEnd w:id="85"/>
    </w:p>
    <w:p>
      <w:pPr>
        <w:shd w:val="clear"/>
        <w:spacing w:line="360" w:lineRule="auto"/>
        <w:jc w:val="center"/>
        <w:rPr>
          <w:rFonts w:hint="eastAsia" w:ascii="仿宋" w:hAnsi="仿宋" w:eastAsia="仿宋" w:cs="仿宋"/>
          <w:b/>
          <w:color w:val="auto"/>
          <w:sz w:val="28"/>
          <w:szCs w:val="28"/>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1.1、本工程完成必须符合国家和地方现行相关质量评定标准和施工技术规范、施工图设计要求。</w:t>
      </w:r>
    </w:p>
    <w:p>
      <w:pPr>
        <w:shd w:val="clea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1.2、本工程的材料检验和质量、工艺试验按国家、地方现行相关规定执行。</w:t>
      </w:r>
    </w:p>
    <w:p>
      <w:pPr>
        <w:shd w:val="clear"/>
        <w:spacing w:line="360" w:lineRule="auto"/>
        <w:jc w:val="center"/>
        <w:rPr>
          <w:rFonts w:hint="eastAsia" w:ascii="仿宋" w:hAnsi="仿宋" w:eastAsia="仿宋" w:cs="仿宋"/>
          <w:b/>
          <w:color w:val="auto"/>
          <w:sz w:val="28"/>
          <w:szCs w:val="28"/>
          <w:highlight w:val="none"/>
        </w:rPr>
      </w:pPr>
    </w:p>
    <w:p>
      <w:pPr>
        <w:shd w:val="clear"/>
        <w:spacing w:line="360" w:lineRule="auto"/>
        <w:jc w:val="cente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shd w:val="clear"/>
        <w:rPr>
          <w:rFonts w:hint="eastAsia" w:ascii="仿宋" w:hAnsi="仿宋" w:eastAsia="仿宋" w:cs="仿宋"/>
          <w:color w:val="auto"/>
          <w:sz w:val="28"/>
          <w:szCs w:val="28"/>
          <w:highlight w:val="none"/>
        </w:rPr>
      </w:pPr>
    </w:p>
    <w:p>
      <w:pPr>
        <w:pStyle w:val="3"/>
        <w:shd w:val="clear"/>
        <w:spacing w:before="0" w:after="0" w:line="360" w:lineRule="auto"/>
        <w:rPr>
          <w:rFonts w:hint="eastAsia" w:ascii="仿宋" w:hAnsi="仿宋" w:eastAsia="仿宋" w:cs="仿宋"/>
          <w:color w:val="auto"/>
          <w:sz w:val="30"/>
          <w:szCs w:val="30"/>
          <w:highlight w:val="none"/>
        </w:rPr>
      </w:pPr>
      <w:bookmarkStart w:id="691" w:name="_Toc52289631"/>
      <w:bookmarkStart w:id="692" w:name="_Toc11993_WPSOffice_Level1"/>
      <w:bookmarkStart w:id="693" w:name="_Toc52290020"/>
      <w:r>
        <w:rPr>
          <w:rFonts w:hint="eastAsia" w:ascii="仿宋" w:hAnsi="仿宋" w:eastAsia="仿宋" w:cs="仿宋"/>
          <w:color w:val="auto"/>
          <w:sz w:val="30"/>
          <w:szCs w:val="30"/>
          <w:highlight w:val="none"/>
        </w:rPr>
        <w:t>第五章  图纸和技术资料</w:t>
      </w:r>
      <w:bookmarkEnd w:id="691"/>
      <w:bookmarkEnd w:id="692"/>
      <w:bookmarkEnd w:id="693"/>
    </w:p>
    <w:p>
      <w:pPr>
        <w:shd w:val="clear"/>
        <w:spacing w:line="360" w:lineRule="auto"/>
        <w:jc w:val="center"/>
        <w:rPr>
          <w:rFonts w:hint="eastAsia" w:ascii="仿宋" w:hAnsi="仿宋" w:eastAsia="仿宋" w:cs="仿宋"/>
          <w:b/>
          <w:color w:val="auto"/>
          <w:sz w:val="28"/>
          <w:szCs w:val="28"/>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1.1、招标人将提供给每个投标人一份本工程施工图纸，作为竞争性磋商文件附件。</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1.2、招标人如有图纸变更等其他技术资料也将给各投标人提供一份。</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1．3、招标人将提供本项目的技术要求，内容如下：</w:t>
      </w:r>
    </w:p>
    <w:p>
      <w:pPr>
        <w:shd w:val="clea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3"/>
        <w:shd w:val="clear"/>
        <w:spacing w:before="0" w:after="0" w:line="360" w:lineRule="auto"/>
        <w:rPr>
          <w:rFonts w:hint="eastAsia" w:ascii="仿宋" w:hAnsi="仿宋" w:eastAsia="仿宋" w:cs="仿宋"/>
          <w:color w:val="auto"/>
          <w:sz w:val="30"/>
          <w:szCs w:val="30"/>
          <w:highlight w:val="none"/>
        </w:rPr>
      </w:pPr>
      <w:bookmarkStart w:id="694" w:name="_Toc52289632"/>
      <w:bookmarkStart w:id="695" w:name="_Toc22686_WPSOffice_Level1"/>
      <w:bookmarkStart w:id="696" w:name="_Toc52290021"/>
      <w:r>
        <w:rPr>
          <w:rFonts w:hint="eastAsia" w:ascii="仿宋" w:hAnsi="仿宋" w:eastAsia="仿宋" w:cs="仿宋"/>
          <w:color w:val="auto"/>
          <w:sz w:val="30"/>
          <w:szCs w:val="30"/>
          <w:highlight w:val="none"/>
        </w:rPr>
        <w:t>第六章 工程量清单</w:t>
      </w:r>
      <w:bookmarkEnd w:id="694"/>
      <w:bookmarkEnd w:id="695"/>
      <w:bookmarkEnd w:id="696"/>
    </w:p>
    <w:p>
      <w:pPr>
        <w:widowControl/>
        <w:shd w:val="clear" w:color="auto"/>
        <w:snapToGrid w:val="0"/>
        <w:spacing w:line="384" w:lineRule="auto"/>
        <w:jc w:val="center"/>
        <w:rPr>
          <w:rFonts w:hint="eastAsia" w:ascii="仿宋" w:hAnsi="仿宋" w:eastAsia="仿宋" w:cs="仿宋"/>
          <w:color w:val="auto"/>
          <w:kern w:val="0"/>
          <w:sz w:val="30"/>
          <w:szCs w:val="30"/>
          <w:highlight w:val="none"/>
        </w:rPr>
      </w:pPr>
    </w:p>
    <w:p>
      <w:pPr>
        <w:widowControl/>
        <w:shd w:val="clear" w:color="auto"/>
        <w:snapToGrid w:val="0"/>
        <w:spacing w:line="384"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工程量清单另附</w:t>
      </w: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pStyle w:val="2"/>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pStyle w:val="2"/>
        <w:rPr>
          <w:rFonts w:hint="eastAsia" w:ascii="仿宋" w:hAnsi="仿宋" w:eastAsia="仿宋" w:cs="仿宋"/>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封面格式</w:t>
      </w:r>
    </w:p>
    <w:p>
      <w:pPr>
        <w:pStyle w:val="3"/>
        <w:shd w:val="clear"/>
        <w:spacing w:before="0" w:after="0" w:line="360" w:lineRule="auto"/>
        <w:rPr>
          <w:rFonts w:hint="eastAsia" w:ascii="仿宋" w:hAnsi="仿宋" w:eastAsia="仿宋" w:cs="仿宋"/>
          <w:color w:val="auto"/>
          <w:sz w:val="28"/>
          <w:szCs w:val="28"/>
          <w:highlight w:val="none"/>
        </w:rPr>
      </w:pPr>
      <w:bookmarkStart w:id="697" w:name="_Toc9423_WPSOffice_Level1"/>
      <w:bookmarkStart w:id="698" w:name="_Toc52290022"/>
      <w:bookmarkStart w:id="699" w:name="_Toc52289633"/>
      <w:r>
        <w:rPr>
          <w:rFonts w:hint="eastAsia" w:ascii="仿宋" w:hAnsi="仿宋" w:eastAsia="仿宋" w:cs="仿宋"/>
          <w:color w:val="auto"/>
          <w:sz w:val="28"/>
          <w:szCs w:val="28"/>
          <w:highlight w:val="none"/>
        </w:rPr>
        <w:t>第七章 响应文件格式</w:t>
      </w:r>
      <w:bookmarkEnd w:id="697"/>
      <w:bookmarkEnd w:id="698"/>
      <w:bookmarkEnd w:id="699"/>
    </w:p>
    <w:p>
      <w:pPr>
        <w:shd w:val="clear"/>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正本/副本</w:t>
      </w: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项目编号：HMFYZFCGCS-2021-033</w:t>
      </w:r>
    </w:p>
    <w:p>
      <w:pPr>
        <w:shd w:val="clear" w:color="auto"/>
        <w:snapToGrid w:val="0"/>
        <w:spacing w:line="384" w:lineRule="auto"/>
        <w:jc w:val="center"/>
        <w:rPr>
          <w:rFonts w:hint="eastAsia" w:ascii="仿宋" w:hAnsi="仿宋" w:eastAsia="仿宋" w:cs="仿宋"/>
          <w:b/>
          <w:bCs/>
          <w:color w:val="auto"/>
          <w:sz w:val="28"/>
          <w:szCs w:val="28"/>
          <w:highlight w:val="none"/>
        </w:rPr>
      </w:pPr>
    </w:p>
    <w:p>
      <w:pPr>
        <w:shd w:val="clear" w:color="auto"/>
        <w:snapToGrid w:val="0"/>
        <w:spacing w:line="384" w:lineRule="auto"/>
        <w:rPr>
          <w:rFonts w:hint="eastAsia" w:ascii="仿宋" w:hAnsi="仿宋" w:eastAsia="仿宋" w:cs="仿宋"/>
          <w:b/>
          <w:bCs/>
          <w:color w:val="auto"/>
          <w:sz w:val="28"/>
          <w:szCs w:val="28"/>
          <w:highlight w:val="none"/>
        </w:rPr>
      </w:pPr>
    </w:p>
    <w:p>
      <w:pPr>
        <w:shd w:val="clear" w:color="auto"/>
        <w:snapToGrid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响应文件</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工程名称：</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投标人名称（章）:</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rPr>
        <w:t>投标人地址</w:t>
      </w:r>
      <w:r>
        <w:rPr>
          <w:rFonts w:hint="eastAsia" w:ascii="仿宋" w:hAnsi="仿宋" w:eastAsia="仿宋" w:cs="仿宋"/>
          <w:color w:val="auto"/>
          <w:kern w:val="0"/>
          <w:sz w:val="28"/>
          <w:szCs w:val="28"/>
          <w:highlight w:val="none"/>
          <w:shd w:val="clear" w:color="auto" w:fill="FFFFFF"/>
          <w:lang w:eastAsia="zh-CN"/>
        </w:rPr>
        <w:t>：</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rPr>
        <w:t>联系人</w:t>
      </w:r>
      <w:r>
        <w:rPr>
          <w:rFonts w:hint="eastAsia" w:ascii="仿宋" w:hAnsi="仿宋" w:eastAsia="仿宋" w:cs="仿宋"/>
          <w:color w:val="auto"/>
          <w:kern w:val="0"/>
          <w:sz w:val="28"/>
          <w:szCs w:val="28"/>
          <w:highlight w:val="none"/>
          <w:shd w:val="clear" w:color="auto" w:fill="FFFFFF"/>
          <w:lang w:eastAsia="zh-CN"/>
        </w:rPr>
        <w:t>：</w:t>
      </w:r>
    </w:p>
    <w:p>
      <w:pPr>
        <w:widowControl/>
        <w:shd w:val="clear"/>
        <w:autoSpaceDE w:val="0"/>
        <w:snapToGrid w:val="0"/>
        <w:spacing w:line="360" w:lineRule="auto"/>
        <w:ind w:left="-1106" w:firstLine="1400" w:firstLineChars="500"/>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shd w:val="clear" w:color="auto" w:fill="FFFFFF"/>
        </w:rPr>
        <w:t>联系电话</w:t>
      </w:r>
      <w:r>
        <w:rPr>
          <w:rFonts w:hint="eastAsia" w:ascii="仿宋" w:hAnsi="仿宋" w:eastAsia="仿宋" w:cs="仿宋"/>
          <w:color w:val="auto"/>
          <w:kern w:val="0"/>
          <w:sz w:val="28"/>
          <w:szCs w:val="28"/>
          <w:highlight w:val="none"/>
          <w:shd w:val="clear" w:color="auto" w:fill="FFFFFF"/>
          <w:lang w:eastAsia="zh-CN"/>
        </w:rPr>
        <w:t>：</w:t>
      </w:r>
    </w:p>
    <w:p>
      <w:pPr>
        <w:shd w:val="clear" w:color="auto"/>
        <w:snapToGrid w:val="0"/>
        <w:spacing w:line="384" w:lineRule="auto"/>
        <w:jc w:val="center"/>
        <w:rPr>
          <w:rFonts w:hint="eastAsia" w:ascii="仿宋" w:hAnsi="仿宋" w:eastAsia="仿宋" w:cs="仿宋"/>
          <w:color w:val="auto"/>
          <w:sz w:val="28"/>
          <w:szCs w:val="28"/>
          <w:highlight w:val="none"/>
        </w:rPr>
      </w:pPr>
    </w:p>
    <w:p>
      <w:pPr>
        <w:shd w:val="clear" w:color="auto"/>
        <w:snapToGrid w:val="0"/>
        <w:spacing w:line="384" w:lineRule="auto"/>
        <w:jc w:val="center"/>
        <w:rPr>
          <w:rFonts w:hint="eastAsia" w:ascii="仿宋" w:hAnsi="仿宋" w:eastAsia="仿宋" w:cs="仿宋"/>
          <w:color w:val="auto"/>
          <w:sz w:val="28"/>
          <w:szCs w:val="28"/>
          <w:highlight w:val="none"/>
        </w:rPr>
      </w:pPr>
    </w:p>
    <w:p>
      <w:pPr>
        <w:shd w:val="clear" w:color="auto"/>
        <w:snapToGrid w:val="0"/>
        <w:spacing w:line="384" w:lineRule="auto"/>
        <w:jc w:val="center"/>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5"/>
        <w:rPr>
          <w:rFonts w:hint="eastAsia" w:ascii="仿宋" w:hAnsi="仿宋" w:eastAsia="仿宋" w:cs="仿宋"/>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jc w:val="center"/>
        <w:rPr>
          <w:rFonts w:hint="eastAsia" w:ascii="仿宋" w:hAnsi="仿宋" w:eastAsia="仿宋" w:cs="仿宋"/>
          <w:color w:val="auto"/>
          <w:sz w:val="32"/>
          <w:szCs w:val="32"/>
          <w:highlight w:val="none"/>
        </w:rPr>
      </w:pPr>
    </w:p>
    <w:p>
      <w:pPr>
        <w:shd w:val="clear" w:color="auto"/>
        <w:snapToGrid w:val="0"/>
        <w:spacing w:line="38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p>
      <w:pPr>
        <w:pStyle w:val="5"/>
        <w:rPr>
          <w:rFonts w:hint="eastAsia" w:ascii="仿宋" w:hAnsi="仿宋" w:eastAsia="仿宋" w:cs="仿宋"/>
          <w:color w:val="auto"/>
          <w:sz w:val="32"/>
          <w:szCs w:val="32"/>
          <w:highlight w:val="none"/>
        </w:rPr>
      </w:pPr>
    </w:p>
    <w:p>
      <w:pPr>
        <w:rPr>
          <w:rFonts w:hint="eastAsia" w:ascii="仿宋" w:hAnsi="仿宋" w:eastAsia="仿宋" w:cs="仿宋"/>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1、磋商承诺书（一）、（二）</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、投标承诺书（1）、投标承诺书（2）</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、法定代表人身份证明书</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、法定代表人授权委托书</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、投标保证金提交证明</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投标人概况</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、投标人类似工程业绩证明材料</w:t>
      </w:r>
    </w:p>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项目负责人简历</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、项目管理人员</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、投标书附录</w:t>
      </w:r>
    </w:p>
    <w:p>
      <w:pPr>
        <w:shd w:val="clear"/>
        <w:spacing w:line="360" w:lineRule="auto"/>
        <w:rPr>
          <w:rFonts w:hint="eastAsia" w:ascii="仿宋" w:hAnsi="仿宋" w:eastAsia="仿宋" w:cs="仿宋"/>
          <w:b/>
          <w:color w:val="auto"/>
          <w:sz w:val="24"/>
          <w:szCs w:val="24"/>
          <w:highlight w:val="none"/>
        </w:rPr>
      </w:pPr>
    </w:p>
    <w:p>
      <w:pPr>
        <w:shd w:val="clear"/>
        <w:spacing w:line="360" w:lineRule="auto"/>
        <w:rPr>
          <w:rFonts w:hint="eastAsia" w:ascii="仿宋" w:hAnsi="仿宋" w:eastAsia="仿宋" w:cs="仿宋"/>
          <w:b/>
          <w:color w:val="auto"/>
          <w:sz w:val="24"/>
          <w:szCs w:val="24"/>
          <w:highlight w:val="none"/>
        </w:rPr>
      </w:pPr>
    </w:p>
    <w:p>
      <w:pPr>
        <w:shd w:val="clear" w:color="auto"/>
        <w:snapToGrid w:val="0"/>
        <w:spacing w:line="384"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注：为了便于查找，请按上述顺序编排商务标内容</w:t>
      </w:r>
    </w:p>
    <w:p>
      <w:pPr>
        <w:pStyle w:val="6"/>
        <w:shd w:val="clear" w:color="auto"/>
        <w:snapToGrid w:val="0"/>
        <w:spacing w:before="0" w:after="0"/>
        <w:jc w:val="center"/>
        <w:rPr>
          <w:rFonts w:hint="eastAsia" w:ascii="仿宋" w:hAnsi="仿宋" w:eastAsia="仿宋" w:cs="仿宋"/>
          <w:color w:val="auto"/>
          <w:sz w:val="24"/>
          <w:szCs w:val="24"/>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0" w:name="_Toc52290023"/>
      <w:bookmarkStart w:id="701" w:name="_Toc52289634"/>
      <w:r>
        <w:rPr>
          <w:rFonts w:hint="eastAsia" w:ascii="仿宋" w:hAnsi="仿宋" w:eastAsia="仿宋" w:cs="仿宋"/>
          <w:color w:val="auto"/>
          <w:sz w:val="28"/>
          <w:szCs w:val="28"/>
          <w:highlight w:val="none"/>
        </w:rPr>
        <w:t>一、磋商承诺书（一）</w:t>
      </w:r>
      <w:bookmarkEnd w:id="700"/>
      <w:bookmarkEnd w:id="701"/>
    </w:p>
    <w:p>
      <w:pPr>
        <w:shd w:val="clear" w:color="auto"/>
        <w:snapToGrid w:val="0"/>
        <w:spacing w:line="384" w:lineRule="auto"/>
        <w:ind w:left="424" w:hanging="4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1、根据已收到的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工程的竞争性磋商文件，我单位经考察现场和研究贵方的竞争性磋商文件后，将接受该工程竞争性磋商文件中各条款内容并且以</w:t>
      </w:r>
      <w:r>
        <w:rPr>
          <w:rFonts w:hint="eastAsia" w:ascii="仿宋" w:hAnsi="仿宋" w:eastAsia="仿宋" w:cs="仿宋"/>
          <w:color w:val="auto"/>
          <w:sz w:val="28"/>
          <w:szCs w:val="28"/>
          <w:highlight w:val="none"/>
          <w:u w:val="single"/>
        </w:rPr>
        <w:t xml:space="preserve">       元 （大写：     ）</w:t>
      </w:r>
      <w:r>
        <w:rPr>
          <w:rFonts w:hint="eastAsia" w:ascii="仿宋" w:hAnsi="仿宋" w:eastAsia="仿宋" w:cs="仿宋"/>
          <w:color w:val="auto"/>
          <w:sz w:val="28"/>
          <w:szCs w:val="28"/>
          <w:highlight w:val="none"/>
        </w:rPr>
        <w:t>承包本工程规模内的工程。</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2、如果我方成交，非业主原因，我方保证将在下列日期内组织施工。</w:t>
      </w:r>
    </w:p>
    <w:p>
      <w:pPr>
        <w:shd w:val="clear" w:color="auto"/>
        <w:snapToGrid w:val="0"/>
        <w:spacing w:line="384"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总工期：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 </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3、如果我方成交，非业主原因，我方保证将按下列质量等级完成本工程。</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质量等级：</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合格</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4、如果我方成交，我方将按竞争性磋商文件规定的时间内签订承包合同。如果我方违约，除磋商保证金外，我方还将以成交价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%作为赔偿金，同时贵方有权终止我方成交并选择</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成交人。</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5、贵方的竞争性磋商文件、成交通知书、我方的响应文件将构成约束双方的合同一部分。</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6、如果我方未成交，贵方没有必要对我方</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任何解释和说明，我方将充分尊重和理解贵方的选择。</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pPr>
        <w:shd w:val="clear" w:color="auto"/>
        <w:wordWrap w:val="0"/>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2" w:name="_Toc52290024"/>
      <w:bookmarkStart w:id="703" w:name="_Toc52289635"/>
    </w:p>
    <w:p>
      <w:pPr>
        <w:pStyle w:val="6"/>
        <w:shd w:val="clear" w:color="auto"/>
        <w:snapToGrid w:val="0"/>
        <w:spacing w:before="0" w:after="0"/>
        <w:jc w:val="center"/>
        <w:rPr>
          <w:rFonts w:hint="eastAsia" w:ascii="仿宋" w:hAnsi="仿宋" w:eastAsia="仿宋" w:cs="仿宋"/>
          <w:color w:val="auto"/>
          <w:sz w:val="28"/>
          <w:szCs w:val="28"/>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磋商承诺书（二）</w:t>
      </w:r>
      <w:bookmarkEnd w:id="702"/>
      <w:bookmarkEnd w:id="703"/>
    </w:p>
    <w:p>
      <w:pPr>
        <w:shd w:val="clear" w:color="auto"/>
        <w:snapToGrid w:val="0"/>
        <w:spacing w:line="384" w:lineRule="auto"/>
        <w:ind w:left="424" w:hanging="4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left="4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如果我方成交，施工项目负责人为：</w:t>
      </w:r>
    </w:p>
    <w:p>
      <w:pPr>
        <w:shd w:val="clear" w:color="auto"/>
        <w:snapToGrid w:val="0"/>
        <w:spacing w:line="384" w:lineRule="auto"/>
        <w:rPr>
          <w:rFonts w:hint="eastAsia" w:ascii="仿宋" w:hAnsi="仿宋" w:eastAsia="仿宋" w:cs="仿宋"/>
          <w:color w:val="auto"/>
          <w:sz w:val="28"/>
          <w:szCs w:val="28"/>
          <w:highlight w:val="none"/>
        </w:rPr>
      </w:pPr>
    </w:p>
    <w:tbl>
      <w:tblPr>
        <w:tblStyle w:val="32"/>
        <w:tblW w:w="8522"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376"/>
        <w:gridCol w:w="1883"/>
        <w:gridCol w:w="2134"/>
        <w:gridCol w:w="212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04" w:hRule="atLeast"/>
          <w:jc w:val="center"/>
        </w:trPr>
        <w:tc>
          <w:tcPr>
            <w:tcW w:w="23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129"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57" w:hRule="atLeast"/>
          <w:jc w:val="center"/>
        </w:trPr>
        <w:tc>
          <w:tcPr>
            <w:tcW w:w="23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注册建造师等级</w:t>
            </w:r>
          </w:p>
        </w:tc>
        <w:tc>
          <w:tcPr>
            <w:tcW w:w="1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注册建造师证书编号</w:t>
            </w:r>
          </w:p>
        </w:tc>
        <w:tc>
          <w:tcPr>
            <w:tcW w:w="2129"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cantSplit/>
          <w:trHeight w:val="613" w:hRule="atLeast"/>
          <w:jc w:val="center"/>
        </w:trPr>
        <w:tc>
          <w:tcPr>
            <w:tcW w:w="23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tc>
        <w:tc>
          <w:tcPr>
            <w:tcW w:w="6146"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bl>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后，若由于特殊原因须更换施工项目负责人时，我方将以资质、业绩以及信誉不低于此注册建造师的人员替换，并报招标人审查。经审查通过后，方可更换。若未经业主批准，我方擅自更换施工项目负责人，我方愿以合同价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%作为赔偿金。</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pPr>
        <w:shd w:val="clear" w:color="auto"/>
        <w:wordWrap w:val="0"/>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4" w:name="_Toc52290025"/>
      <w:bookmarkStart w:id="705" w:name="_Toc52289636"/>
    </w:p>
    <w:p>
      <w:pPr>
        <w:shd w:val="clear"/>
        <w:rPr>
          <w:rFonts w:hint="eastAsia" w:ascii="仿宋" w:hAnsi="仿宋" w:eastAsia="仿宋" w:cs="仿宋"/>
          <w:color w:val="auto"/>
          <w:highlight w:val="none"/>
        </w:rPr>
      </w:pPr>
    </w:p>
    <w:bookmarkEnd w:id="704"/>
    <w:bookmarkEnd w:id="705"/>
    <w:p>
      <w:pPr>
        <w:pStyle w:val="6"/>
        <w:shd w:val="clear" w:color="auto"/>
        <w:snapToGrid w:val="0"/>
        <w:spacing w:before="0" w:after="0"/>
        <w:jc w:val="center"/>
        <w:rPr>
          <w:rFonts w:hint="eastAsia" w:ascii="仿宋" w:hAnsi="仿宋" w:eastAsia="仿宋" w:cs="仿宋"/>
          <w:color w:val="auto"/>
          <w:sz w:val="28"/>
          <w:szCs w:val="28"/>
          <w:highlight w:val="none"/>
        </w:rPr>
      </w:pPr>
      <w:bookmarkStart w:id="706" w:name="_Toc52290026"/>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、投标承诺书（1）</w:t>
      </w:r>
      <w:bookmarkEnd w:id="706"/>
    </w:p>
    <w:p>
      <w:pPr>
        <w:shd w:val="clea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如我公司确定参加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投标，我公司承诺对招标文件内容绝不外传，并保证用本单位脱机电脑进行制作投标文件及与本项目相关的资料，防止信息的外露，绝不委托第三方制作标书，开标前将尽快把电子版销毁，并在开标时将交回招标文件及所有书面的或其他有形的相关信息和资料的文件。</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我公司决定不参与本项目的投标，将立即交回招标文件及所有书面的或其他有形的相关信息和资料以及所有描述和概括该相关信息和资料的文件，我公司在交回以上有关资料前未经贵司的允许不得采取抄写、复印、拷贝等任何方式留存相关信息和资料，没有贵司的书面许可，我公司不得丢弃和处理任何书面的或其他有形的相关信息和资料。</w:t>
      </w: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ind w:firstLine="640" w:firstLineChars="200"/>
        <w:jc w:val="left"/>
        <w:rPr>
          <w:rFonts w:hint="eastAsia" w:ascii="仿宋" w:hAnsi="仿宋" w:eastAsia="仿宋" w:cs="仿宋"/>
          <w:color w:val="auto"/>
          <w:sz w:val="32"/>
          <w:szCs w:val="28"/>
          <w:highlight w:val="none"/>
        </w:rPr>
      </w:pP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承诺单位（公章）：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承诺单位代表人（签字）：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身份证号：</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联系电话：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日</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rPr>
        <w:t>期：    年   月   日</w:t>
      </w:r>
    </w:p>
    <w:p>
      <w:pPr>
        <w:shd w:val="clear" w:color="auto"/>
        <w:snapToGrid w:val="0"/>
        <w:spacing w:line="384" w:lineRule="auto"/>
        <w:jc w:val="center"/>
        <w:rPr>
          <w:rFonts w:hint="eastAsia" w:ascii="仿宋" w:hAnsi="仿宋" w:eastAsia="仿宋" w:cs="仿宋"/>
          <w:b/>
          <w:color w:val="auto"/>
          <w:sz w:val="28"/>
          <w:szCs w:val="28"/>
          <w:highlight w:val="none"/>
        </w:rPr>
      </w:pPr>
    </w:p>
    <w:p>
      <w:pPr>
        <w:pStyle w:val="5"/>
        <w:rPr>
          <w:rFonts w:hint="eastAsia" w:ascii="仿宋" w:hAnsi="仿宋" w:eastAsia="仿宋" w:cs="仿宋"/>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7" w:name="_Toc52290027"/>
    </w:p>
    <w:p>
      <w:pPr>
        <w:pStyle w:val="6"/>
        <w:shd w:val="clear" w:color="auto"/>
        <w:snapToGrid w:val="0"/>
        <w:spacing w:before="0" w:after="0"/>
        <w:jc w:val="center"/>
        <w:rPr>
          <w:rFonts w:hint="eastAsia" w:ascii="仿宋" w:hAnsi="仿宋" w:eastAsia="仿宋" w:cs="仿宋"/>
          <w:b/>
          <w:color w:val="auto"/>
          <w:sz w:val="32"/>
          <w:highlight w:val="none"/>
        </w:rPr>
      </w:pPr>
      <w:r>
        <w:rPr>
          <w:rFonts w:hint="eastAsia" w:ascii="仿宋" w:hAnsi="仿宋" w:eastAsia="仿宋" w:cs="仿宋"/>
          <w:color w:val="auto"/>
          <w:sz w:val="28"/>
          <w:szCs w:val="28"/>
          <w:highlight w:val="none"/>
        </w:rPr>
        <w:t>投标承诺书（2）</w:t>
      </w:r>
      <w:bookmarkEnd w:id="707"/>
    </w:p>
    <w:p>
      <w:pPr>
        <w:shd w:val="clear"/>
        <w:spacing w:line="360" w:lineRule="auto"/>
        <w:jc w:val="center"/>
        <w:rPr>
          <w:rFonts w:hint="eastAsia" w:ascii="仿宋" w:hAnsi="仿宋" w:eastAsia="仿宋" w:cs="仿宋"/>
          <w:b/>
          <w:color w:val="auto"/>
          <w:sz w:val="32"/>
          <w:highlight w:val="none"/>
        </w:rPr>
      </w:pPr>
    </w:p>
    <w:p>
      <w:pPr>
        <w:shd w:val="clea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如我公司中标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项目，我公司将无条件满足招标文件规定的工期，如果在招标文件限定工期内未完成，我方愿意按照合同条款的约定承担违约责任。</w:t>
      </w: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承诺单位（公章）：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承诺单位代表人（签字）：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身份证号：</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联系电话：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日</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rPr>
        <w:t>期：    年   月   日</w:t>
      </w: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pStyle w:val="5"/>
        <w:rPr>
          <w:rFonts w:hint="eastAsia" w:ascii="仿宋" w:hAnsi="仿宋" w:eastAsia="仿宋" w:cs="仿宋"/>
          <w:b/>
          <w:color w:val="auto"/>
          <w:sz w:val="28"/>
          <w:szCs w:val="28"/>
          <w:highlight w:val="none"/>
        </w:rPr>
      </w:pPr>
    </w:p>
    <w:p>
      <w:pPr>
        <w:rPr>
          <w:rFonts w:hint="eastAsia" w:ascii="仿宋" w:hAnsi="仿宋" w:eastAsia="仿宋" w:cs="仿宋"/>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rPr>
          <w:rFonts w:hint="eastAsia" w:ascii="仿宋" w:hAnsi="仿宋" w:eastAsia="仿宋" w:cs="仿宋"/>
          <w:b/>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8" w:name="_Toc52290028"/>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、法定代表人身份证明书</w:t>
      </w:r>
      <w:bookmarkEnd w:id="708"/>
    </w:p>
    <w:p>
      <w:pPr>
        <w:shd w:val="clear" w:color="auto"/>
        <w:snapToGrid w:val="0"/>
        <w:spacing w:line="384" w:lineRule="auto"/>
        <w:ind w:firstLine="630"/>
        <w:rPr>
          <w:rFonts w:hint="eastAsia" w:ascii="仿宋" w:hAnsi="仿宋" w:eastAsia="仿宋" w:cs="仿宋"/>
          <w:color w:val="auto"/>
          <w:sz w:val="28"/>
          <w:szCs w:val="28"/>
          <w:highlight w:val="none"/>
        </w:rPr>
      </w:pP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企业名称：</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企业类型：</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营业期限：</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700" w:firstLineChars="25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700" w:firstLineChars="25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附法定代表人身份证正反面</w:t>
      </w:r>
    </w:p>
    <w:p>
      <w:pPr>
        <w:shd w:val="clear" w:color="auto"/>
        <w:wordWrap w:val="0"/>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（盖章）</w:t>
      </w: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  期：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9" w:name="_Toc52289637"/>
      <w:bookmarkStart w:id="710" w:name="_Toc52290029"/>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、法定代表人授权委托书</w:t>
      </w:r>
      <w:bookmarkEnd w:id="709"/>
      <w:bookmarkEnd w:id="710"/>
    </w:p>
    <w:p>
      <w:pPr>
        <w:shd w:val="clear" w:color="auto"/>
        <w:snapToGrid w:val="0"/>
        <w:spacing w:line="384" w:lineRule="auto"/>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（投标人名称）的法定代表人，现授权委托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（姓名）为我公司代理人，以本公司的名义参加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（招标人）的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工程的磋商活动。代理人签署的响应文件和参加整个工程招标磋商活动中所签署的一切文件和处理与之有关的一切事物，我均予以承认。</w:t>
      </w:r>
    </w:p>
    <w:p>
      <w:pPr>
        <w:shd w:val="clear" w:color="auto"/>
        <w:snapToGrid w:val="0"/>
        <w:spacing w:line="384"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lang w:val="en-US" w:eastAsia="zh-CN"/>
        </w:rPr>
        <w:t xml:space="preserve">      </w:t>
      </w:r>
    </w:p>
    <w:p>
      <w:pPr>
        <w:shd w:val="clear" w:color="auto"/>
        <w:snapToGrid w:val="0"/>
        <w:spacing w:line="384"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单</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lang w:val="en-US" w:eastAsia="zh-CN"/>
        </w:rPr>
        <w:t xml:space="preserve">      </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代理人无转委权。特此委托。</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附</w:t>
      </w:r>
      <w:r>
        <w:rPr>
          <w:rFonts w:hint="eastAsia" w:ascii="仿宋" w:hAnsi="仿宋" w:eastAsia="仿宋" w:cs="仿宋"/>
          <w:b/>
          <w:bCs/>
          <w:color w:val="auto"/>
          <w:sz w:val="30"/>
          <w:szCs w:val="30"/>
          <w:highlight w:val="none"/>
          <w:lang w:val="en-US" w:eastAsia="zh-CN"/>
        </w:rPr>
        <w:t>法定代表人和授权委托</w:t>
      </w:r>
      <w:r>
        <w:rPr>
          <w:rFonts w:hint="eastAsia" w:ascii="仿宋" w:hAnsi="仿宋" w:eastAsia="仿宋" w:cs="仿宋"/>
          <w:b/>
          <w:bCs/>
          <w:color w:val="auto"/>
          <w:sz w:val="30"/>
          <w:szCs w:val="30"/>
          <w:highlight w:val="none"/>
        </w:rPr>
        <w:t>人的身份证复印件</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highlight w:val="none"/>
        </w:rPr>
      </w:pPr>
    </w:p>
    <w:p>
      <w:pPr>
        <w:shd w:val="clear" w:color="auto"/>
        <w:snapToGrid w:val="0"/>
        <w:spacing w:line="384" w:lineRule="auto"/>
        <w:jc w:val="right"/>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1" w:name="_Toc52290030"/>
      <w:bookmarkStart w:id="712" w:name="_Toc52289638"/>
    </w:p>
    <w:p>
      <w:pPr>
        <w:pStyle w:val="6"/>
        <w:shd w:val="clear" w:color="auto"/>
        <w:snapToGrid w:val="0"/>
        <w:spacing w:before="0" w:after="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、投标保证金提交证明</w:t>
      </w:r>
      <w:bookmarkEnd w:id="711"/>
      <w:bookmarkEnd w:id="712"/>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b/>
          <w:bCs w:val="0"/>
          <w:color w:val="auto"/>
          <w:sz w:val="30"/>
          <w:szCs w:val="30"/>
          <w:highlight w:val="none"/>
        </w:rPr>
      </w:pPr>
      <w:bookmarkStart w:id="713" w:name="_Toc52289639"/>
      <w:bookmarkStart w:id="714" w:name="_Toc52290031"/>
      <w:r>
        <w:rPr>
          <w:rFonts w:hint="eastAsia" w:ascii="仿宋" w:hAnsi="仿宋" w:eastAsia="仿宋" w:cs="仿宋"/>
          <w:b/>
          <w:bCs w:val="0"/>
          <w:color w:val="auto"/>
          <w:sz w:val="30"/>
          <w:szCs w:val="30"/>
          <w:highlight w:val="none"/>
        </w:rPr>
        <w:t>（</w:t>
      </w:r>
      <w:r>
        <w:rPr>
          <w:rFonts w:hint="eastAsia" w:ascii="仿宋" w:hAnsi="仿宋" w:eastAsia="仿宋" w:cs="仿宋"/>
          <w:b/>
          <w:bCs w:val="0"/>
          <w:color w:val="auto"/>
          <w:sz w:val="30"/>
          <w:szCs w:val="30"/>
          <w:highlight w:val="none"/>
          <w:lang w:val="en-US" w:eastAsia="zh-CN"/>
        </w:rPr>
        <w:t>招标代理公司开具的收据</w:t>
      </w:r>
      <w:r>
        <w:rPr>
          <w:rFonts w:hint="eastAsia" w:ascii="仿宋" w:hAnsi="仿宋" w:eastAsia="仿宋" w:cs="仿宋"/>
          <w:b/>
          <w:bCs w:val="0"/>
          <w:color w:val="auto"/>
          <w:sz w:val="30"/>
          <w:szCs w:val="30"/>
          <w:highlight w:val="none"/>
        </w:rPr>
        <w:t>）</w:t>
      </w:r>
      <w:bookmarkEnd w:id="713"/>
      <w:bookmarkEnd w:id="714"/>
    </w:p>
    <w:p>
      <w:pPr>
        <w:pStyle w:val="6"/>
        <w:shd w:val="clear" w:color="auto"/>
        <w:snapToGrid w:val="0"/>
        <w:spacing w:before="0" w:after="0"/>
        <w:jc w:val="center"/>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5" w:name="_Toc52289640"/>
      <w:bookmarkStart w:id="716" w:name="_Toc52290032"/>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、投标人概况表</w:t>
      </w:r>
      <w:bookmarkEnd w:id="715"/>
      <w:bookmarkEnd w:id="716"/>
    </w:p>
    <w:tbl>
      <w:tblPr>
        <w:tblStyle w:val="32"/>
        <w:tblW w:w="9098" w:type="dxa"/>
        <w:jc w:val="center"/>
        <w:tblInd w:w="-576"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176"/>
        <w:gridCol w:w="885"/>
        <w:gridCol w:w="175"/>
        <w:gridCol w:w="831"/>
        <w:gridCol w:w="978"/>
        <w:gridCol w:w="280"/>
        <w:gridCol w:w="193"/>
        <w:gridCol w:w="1229"/>
        <w:gridCol w:w="256"/>
        <w:gridCol w:w="699"/>
        <w:gridCol w:w="139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342"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86" w:hRule="atLeast"/>
          <w:jc w:val="center"/>
        </w:trPr>
        <w:tc>
          <w:tcPr>
            <w:tcW w:w="2176" w:type="dxa"/>
            <w:vMerge w:val="restart"/>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0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28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vMerge w:val="continue"/>
            <w:tcBorders>
              <w:top w:val="single" w:color="auto" w:sz="8" w:space="0"/>
              <w:bottom w:val="single" w:color="auto" w:sz="8" w:space="0"/>
              <w:right w:val="single" w:color="auto" w:sz="8" w:space="0"/>
            </w:tcBorders>
            <w:vAlign w:val="center"/>
          </w:tcPr>
          <w:p>
            <w:pPr>
              <w:shd w:val="clear"/>
              <w:jc w:val="left"/>
              <w:rPr>
                <w:rFonts w:hint="eastAsia" w:ascii="仿宋" w:hAnsi="仿宋" w:eastAsia="仿宋" w:cs="仿宋"/>
                <w:color w:val="auto"/>
                <w:sz w:val="24"/>
                <w:szCs w:val="24"/>
                <w:highlight w:val="none"/>
              </w:rPr>
            </w:pPr>
          </w:p>
        </w:tc>
        <w:tc>
          <w:tcPr>
            <w:tcW w:w="10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28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0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5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7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96"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0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5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7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96"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5031" w:type="dxa"/>
            <w:gridSpan w:val="7"/>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13"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w:t>
            </w:r>
          </w:p>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  工</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1052"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bl>
    <w:p>
      <w:pPr>
        <w:shd w:val="clear" w:color="auto"/>
        <w:topLinePunct/>
        <w:snapToGrid w:val="0"/>
        <w:spacing w:line="384" w:lineRule="auto"/>
        <w:ind w:left="23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备注：本表后应附企业法人营业执照、企业资质证书副本、安全生产许可证、进疆备案册等材料的复印件。</w:t>
      </w:r>
    </w:p>
    <w:p>
      <w:pPr>
        <w:shd w:val="clear" w:color="auto"/>
        <w:topLinePunct/>
        <w:snapToGrid w:val="0"/>
        <w:spacing w:line="384" w:lineRule="auto"/>
        <w:ind w:left="23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7" w:name="_Toc52289641"/>
      <w:bookmarkStart w:id="718" w:name="_Toc52290033"/>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、投标人近 三 年（201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日—至今）类似业绩表</w:t>
      </w:r>
      <w:bookmarkEnd w:id="717"/>
      <w:bookmarkEnd w:id="718"/>
    </w:p>
    <w:tbl>
      <w:tblPr>
        <w:tblStyle w:val="32"/>
        <w:tblW w:w="8986" w:type="dxa"/>
        <w:jc w:val="center"/>
        <w:tblInd w:w="-464"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881"/>
        <w:gridCol w:w="610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项目所在地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发包人名称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合同价格</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开工日期</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竣工日期</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1944"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项目描述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bl>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1、类似项目指规模、使用功能相似工程。</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2、本表后附成交通知书或施工合同或竣工验收表业绩证明材料复印件。</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5"/>
        <w:rPr>
          <w:rFonts w:hint="eastAsia" w:ascii="仿宋" w:hAnsi="仿宋" w:eastAsia="仿宋" w:cs="仿宋"/>
          <w:color w:val="auto"/>
          <w:sz w:val="28"/>
          <w:szCs w:val="28"/>
          <w:highlight w:val="none"/>
        </w:rPr>
      </w:pPr>
    </w:p>
    <w:p>
      <w:pPr>
        <w:rPr>
          <w:rFonts w:hint="eastAsia" w:ascii="仿宋" w:hAnsi="仿宋" w:eastAsia="仿宋" w:cs="仿宋"/>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9" w:name="_Toc52290034"/>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、项目负责人简历</w:t>
      </w:r>
      <w:bookmarkEnd w:id="719"/>
    </w:p>
    <w:p>
      <w:pPr>
        <w:shd w:val="clear" w:color="auto"/>
        <w:snapToGrid w:val="0"/>
        <w:spacing w:line="384" w:lineRule="auto"/>
        <w:ind w:left="315" w:hanging="315"/>
        <w:rPr>
          <w:rFonts w:hint="eastAsia" w:ascii="仿宋" w:hAnsi="仿宋" w:eastAsia="仿宋" w:cs="仿宋"/>
          <w:b/>
          <w:bCs/>
          <w:color w:val="auto"/>
          <w:sz w:val="28"/>
          <w:szCs w:val="28"/>
          <w:highlight w:val="none"/>
        </w:rPr>
      </w:pPr>
    </w:p>
    <w:p>
      <w:pPr>
        <w:shd w:val="clear" w:color="auto"/>
        <w:snapToGrid w:val="0"/>
        <w:spacing w:line="384" w:lineRule="auto"/>
        <w:ind w:left="315" w:hanging="3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1、项目负责人介绍应包括：姓名、性别、年龄、职称、学历、参加工作时间、从事项目管理年限、注册建造师（项目经理）证书编号以及其他内容。</w:t>
      </w:r>
    </w:p>
    <w:p>
      <w:pPr>
        <w:shd w:val="clear" w:color="auto"/>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2、项目负责人简历相关证明材料（注册建造师（项目经理）证书、职称证书复印件）。</w:t>
      </w:r>
    </w:p>
    <w:p>
      <w:pPr>
        <w:shd w:val="clear" w:color="auto"/>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3、项目负责人近</w:t>
      </w:r>
      <w:r>
        <w:rPr>
          <w:rFonts w:hint="eastAsia" w:ascii="仿宋" w:hAnsi="仿宋" w:eastAsia="仿宋" w:cs="仿宋"/>
          <w:color w:val="auto"/>
          <w:sz w:val="28"/>
          <w:szCs w:val="28"/>
          <w:highlight w:val="none"/>
          <w:u w:val="single"/>
        </w:rPr>
        <w:t xml:space="preserve"> 三   </w:t>
      </w:r>
      <w:r>
        <w:rPr>
          <w:rFonts w:hint="eastAsia" w:ascii="仿宋" w:hAnsi="仿宋" w:eastAsia="仿宋" w:cs="仿宋"/>
          <w:color w:val="auto"/>
          <w:sz w:val="28"/>
          <w:szCs w:val="28"/>
          <w:highlight w:val="none"/>
        </w:rPr>
        <w:t>年内类似工程经历应按下表提供。</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项目负责人近</w:t>
      </w:r>
      <w:r>
        <w:rPr>
          <w:rFonts w:hint="eastAsia" w:ascii="仿宋" w:hAnsi="仿宋" w:eastAsia="仿宋" w:cs="仿宋"/>
          <w:color w:val="auto"/>
          <w:sz w:val="28"/>
          <w:szCs w:val="28"/>
          <w:highlight w:val="none"/>
          <w:u w:val="single"/>
        </w:rPr>
        <w:t xml:space="preserve"> 三     </w:t>
      </w:r>
      <w:r>
        <w:rPr>
          <w:rFonts w:hint="eastAsia" w:ascii="仿宋" w:hAnsi="仿宋" w:eastAsia="仿宋" w:cs="仿宋"/>
          <w:color w:val="auto"/>
          <w:sz w:val="28"/>
          <w:szCs w:val="28"/>
          <w:highlight w:val="none"/>
        </w:rPr>
        <w:t>年内类似业绩一览表（关于项目负责人业绩可填可不填，本表只是范本，若填写也可自行编制）</w:t>
      </w:r>
    </w:p>
    <w:tbl>
      <w:tblPr>
        <w:tblStyle w:val="32"/>
        <w:tblW w:w="9902" w:type="dxa"/>
        <w:jc w:val="center"/>
        <w:tblInd w:w="0" w:type="dxa"/>
        <w:tblLayout w:type="fixed"/>
        <w:tblCellMar>
          <w:top w:w="0" w:type="dxa"/>
          <w:left w:w="0" w:type="dxa"/>
          <w:bottom w:w="0" w:type="dxa"/>
          <w:right w:w="0" w:type="dxa"/>
        </w:tblCellMar>
      </w:tblPr>
      <w:tblGrid>
        <w:gridCol w:w="1295"/>
        <w:gridCol w:w="1842"/>
        <w:gridCol w:w="1701"/>
        <w:gridCol w:w="1985"/>
        <w:gridCol w:w="1871"/>
        <w:gridCol w:w="1208"/>
      </w:tblGrid>
      <w:tr>
        <w:tblPrEx>
          <w:tblLayout w:type="fixed"/>
          <w:tblCellMar>
            <w:top w:w="0" w:type="dxa"/>
            <w:left w:w="0" w:type="dxa"/>
            <w:bottom w:w="0" w:type="dxa"/>
            <w:right w:w="0" w:type="dxa"/>
          </w:tblCellMar>
        </w:tblPrEx>
        <w:trPr>
          <w:trHeight w:val="1009"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建设单位</w:t>
            </w: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建设规模</w:t>
            </w: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开竣工日期</w:t>
            </w: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w:t>
            </w: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Layout w:type="fixed"/>
          <w:tblCellMar>
            <w:top w:w="0" w:type="dxa"/>
            <w:left w:w="0" w:type="dxa"/>
            <w:bottom w:w="0" w:type="dxa"/>
            <w:right w:w="0" w:type="dxa"/>
          </w:tblCellMar>
        </w:tblPrEx>
        <w:trPr>
          <w:trHeight w:val="742"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r>
      <w:tr>
        <w:tblPrEx>
          <w:tblLayout w:type="fixed"/>
          <w:tblCellMar>
            <w:top w:w="0" w:type="dxa"/>
            <w:left w:w="0" w:type="dxa"/>
            <w:bottom w:w="0" w:type="dxa"/>
            <w:right w:w="0" w:type="dxa"/>
          </w:tblCellMar>
        </w:tblPrEx>
        <w:trPr>
          <w:trHeight w:val="742"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r>
      <w:tr>
        <w:tblPrEx>
          <w:tblLayout w:type="fixed"/>
          <w:tblCellMar>
            <w:top w:w="0" w:type="dxa"/>
            <w:left w:w="0" w:type="dxa"/>
            <w:bottom w:w="0" w:type="dxa"/>
            <w:right w:w="0" w:type="dxa"/>
          </w:tblCellMar>
        </w:tblPrEx>
        <w:trPr>
          <w:trHeight w:val="742"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r>
    </w:tbl>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备注：（本表后附项目负责人类似业绩证明材料：成交通知书或施工合同或竣工验收表复印件）</w:t>
      </w:r>
    </w:p>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5"/>
        <w:rPr>
          <w:rFonts w:hint="eastAsia" w:ascii="仿宋" w:hAnsi="仿宋" w:eastAsia="仿宋" w:cs="仿宋"/>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0" w:name="_Toc52289642"/>
      <w:bookmarkStart w:id="721" w:name="_Toc52290035"/>
    </w:p>
    <w:p>
      <w:pPr>
        <w:pStyle w:val="6"/>
        <w:shd w:val="clear" w:color="auto"/>
        <w:snapToGrid w:val="0"/>
        <w:spacing w:before="0" w:after="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、项目管理人员</w:t>
      </w:r>
      <w:bookmarkEnd w:id="720"/>
      <w:bookmarkEnd w:id="721"/>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1、项目管理人员应包括：项目工程师、质量管理员、材料管理员、安全管理员、资料员和项目负责人需要配备的其他关键人员。</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2、上述人员简历介绍应包括姓名、职称等基本信息。</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3、项目管理人员简历中应附职称证书或上岗证书复印件。</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2" w:name="_Toc52290036"/>
      <w:r>
        <w:rPr>
          <w:rFonts w:hint="eastAsia" w:ascii="仿宋" w:hAnsi="仿宋" w:eastAsia="仿宋" w:cs="仿宋"/>
          <w:color w:val="auto"/>
          <w:sz w:val="28"/>
          <w:szCs w:val="28"/>
          <w:highlight w:val="none"/>
        </w:rPr>
        <w:t>十、投标书附录</w:t>
      </w:r>
      <w:bookmarkEnd w:id="722"/>
    </w:p>
    <w:p>
      <w:pPr>
        <w:shd w:val="clea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32"/>
          <w:highlight w:val="none"/>
        </w:rPr>
        <w:t xml:space="preserve">工程名称： </w:t>
      </w:r>
    </w:p>
    <w:tbl>
      <w:tblPr>
        <w:tblStyle w:val="32"/>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119"/>
        <w:gridCol w:w="209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30"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5119"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  目</w:t>
            </w:r>
          </w:p>
        </w:tc>
        <w:tc>
          <w:tcPr>
            <w:tcW w:w="2090"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招标文件约定</w:t>
            </w:r>
          </w:p>
        </w:tc>
        <w:tc>
          <w:tcPr>
            <w:tcW w:w="1984"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3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119"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工期（日历日）</w:t>
            </w:r>
          </w:p>
        </w:tc>
        <w:tc>
          <w:tcPr>
            <w:tcW w:w="2090" w:type="dxa"/>
            <w:vAlign w:val="center"/>
          </w:tcPr>
          <w:p>
            <w:pPr>
              <w:shd w:val="clear"/>
              <w:jc w:val="center"/>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lang w:val="en-US" w:eastAsia="zh-CN"/>
              </w:rPr>
              <w:t>30</w:t>
            </w:r>
            <w:r>
              <w:rPr>
                <w:rFonts w:hint="eastAsia" w:ascii="仿宋" w:hAnsi="仿宋" w:eastAsia="仿宋" w:cs="仿宋"/>
                <w:color w:val="auto"/>
                <w:spacing w:val="-20"/>
                <w:sz w:val="24"/>
                <w:szCs w:val="24"/>
                <w:highlight w:val="none"/>
                <w:lang w:eastAsia="zh-CN"/>
              </w:rPr>
              <w:t>天</w:t>
            </w:r>
          </w:p>
        </w:tc>
        <w:tc>
          <w:tcPr>
            <w:tcW w:w="1984"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3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119"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延误工期赔偿费（</w:t>
            </w:r>
            <w:r>
              <w:rPr>
                <w:rFonts w:hint="eastAsia" w:ascii="仿宋" w:hAnsi="仿宋" w:eastAsia="仿宋" w:cs="仿宋"/>
                <w:color w:val="auto"/>
                <w:kern w:val="0"/>
                <w:sz w:val="24"/>
                <w:szCs w:val="24"/>
                <w:highlight w:val="none"/>
              </w:rPr>
              <w:t>违约金）</w:t>
            </w:r>
            <w:r>
              <w:rPr>
                <w:rFonts w:hint="eastAsia" w:ascii="仿宋" w:hAnsi="仿宋" w:eastAsia="仿宋" w:cs="仿宋"/>
                <w:color w:val="auto"/>
                <w:sz w:val="24"/>
                <w:szCs w:val="24"/>
                <w:highlight w:val="none"/>
              </w:rPr>
              <w:t>金额</w:t>
            </w:r>
          </w:p>
        </w:tc>
        <w:tc>
          <w:tcPr>
            <w:tcW w:w="2090" w:type="dxa"/>
            <w:vAlign w:val="center"/>
          </w:tcPr>
          <w:p>
            <w:pPr>
              <w:shd w:val="clear"/>
              <w:jc w:val="center"/>
              <w:rPr>
                <w:rFonts w:hint="eastAsia" w:ascii="仿宋" w:hAnsi="仿宋" w:eastAsia="仿宋" w:cs="仿宋"/>
                <w:color w:val="auto"/>
                <w:spacing w:val="-20"/>
                <w:sz w:val="24"/>
                <w:szCs w:val="24"/>
                <w:highlight w:val="none"/>
                <w:lang w:val="en-US" w:eastAsia="zh-CN"/>
              </w:rPr>
            </w:pPr>
            <w:r>
              <w:rPr>
                <w:rFonts w:hint="eastAsia" w:ascii="仿宋" w:hAnsi="仿宋" w:eastAsia="仿宋" w:cs="仿宋"/>
                <w:color w:val="auto"/>
                <w:spacing w:val="-20"/>
                <w:sz w:val="24"/>
                <w:szCs w:val="24"/>
                <w:highlight w:val="none"/>
                <w:lang w:val="en-US" w:eastAsia="zh-CN"/>
              </w:rPr>
              <w:t>甲乙双方约定</w:t>
            </w:r>
          </w:p>
        </w:tc>
        <w:tc>
          <w:tcPr>
            <w:tcW w:w="1984"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3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119"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延误工期赔偿费（违约金）的最大限额</w:t>
            </w:r>
          </w:p>
        </w:tc>
        <w:tc>
          <w:tcPr>
            <w:tcW w:w="2090" w:type="dxa"/>
            <w:vAlign w:val="center"/>
          </w:tcPr>
          <w:p>
            <w:pPr>
              <w:shd w:val="clea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甲乙双方约定</w:t>
            </w:r>
          </w:p>
        </w:tc>
        <w:tc>
          <w:tcPr>
            <w:tcW w:w="1984"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3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119"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提前竣工奖</w:t>
            </w:r>
          </w:p>
        </w:tc>
        <w:tc>
          <w:tcPr>
            <w:tcW w:w="2090" w:type="dxa"/>
            <w:vAlign w:val="center"/>
          </w:tcPr>
          <w:p>
            <w:pPr>
              <w:shd w:val="clear"/>
              <w:jc w:val="center"/>
              <w:rPr>
                <w:rFonts w:hint="eastAsia" w:ascii="仿宋" w:hAnsi="仿宋" w:eastAsia="仿宋" w:cs="仿宋"/>
                <w:b/>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甲乙双方约定</w:t>
            </w:r>
          </w:p>
        </w:tc>
        <w:tc>
          <w:tcPr>
            <w:tcW w:w="1984"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3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119"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工程质量等级</w:t>
            </w:r>
          </w:p>
        </w:tc>
        <w:tc>
          <w:tcPr>
            <w:tcW w:w="2090" w:type="dxa"/>
            <w:vAlign w:val="center"/>
          </w:tcPr>
          <w:p>
            <w:pPr>
              <w:shd w:val="clea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合格</w:t>
            </w:r>
          </w:p>
        </w:tc>
        <w:tc>
          <w:tcPr>
            <w:tcW w:w="1984"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9923" w:type="dxa"/>
            <w:gridSpan w:val="4"/>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工程保修期</w:t>
            </w:r>
          </w:p>
        </w:tc>
      </w:tr>
    </w:tbl>
    <w:p>
      <w:pPr>
        <w:shd w:val="clea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说明：上述内容由投标单位自行填写，可按响应招标文件或优于招标文件的要求填写。</w:t>
      </w:r>
      <w:r>
        <w:rPr>
          <w:rFonts w:hint="eastAsia" w:ascii="仿宋" w:hAnsi="仿宋" w:eastAsia="仿宋" w:cs="仿宋"/>
          <w:b/>
          <w:color w:val="auto"/>
          <w:sz w:val="28"/>
          <w:szCs w:val="28"/>
          <w:highlight w:val="none"/>
        </w:rPr>
        <w:t>否则将按废标处理</w:t>
      </w:r>
      <w:r>
        <w:rPr>
          <w:rFonts w:hint="eastAsia" w:ascii="仿宋" w:hAnsi="仿宋" w:eastAsia="仿宋" w:cs="仿宋"/>
          <w:color w:val="auto"/>
          <w:sz w:val="28"/>
          <w:szCs w:val="28"/>
          <w:highlight w:val="none"/>
        </w:rPr>
        <w:t>。</w:t>
      </w:r>
    </w:p>
    <w:p>
      <w:pPr>
        <w:shd w:val="clear"/>
        <w:ind w:firstLine="843" w:firstLineChars="300"/>
        <w:rPr>
          <w:rFonts w:hint="eastAsia" w:ascii="仿宋" w:hAnsi="仿宋" w:eastAsia="仿宋" w:cs="仿宋"/>
          <w:b/>
          <w:bCs/>
          <w:color w:val="auto"/>
          <w:sz w:val="28"/>
          <w:szCs w:val="28"/>
          <w:highlight w:val="none"/>
        </w:rPr>
      </w:pPr>
    </w:p>
    <w:p>
      <w:pPr>
        <w:shd w:val="clear"/>
        <w:ind w:firstLine="840" w:firstLine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投标人（公章）：                 法定代表人（签字或盖章）：</w:t>
      </w:r>
    </w:p>
    <w:p>
      <w:pPr>
        <w:shd w:val="clear"/>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w:t>
      </w: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3" w:name="_Toc52290037"/>
      <w:bookmarkStart w:id="724" w:name="_Toc52289643"/>
    </w:p>
    <w:p>
      <w:pPr>
        <w:rPr>
          <w:rFonts w:hint="eastAsia" w:ascii="仿宋" w:hAnsi="仿宋" w:eastAsia="仿宋" w:cs="仿宋"/>
        </w:rPr>
      </w:pPr>
    </w:p>
    <w:p>
      <w:pPr>
        <w:bidi w:val="0"/>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jc w:val="center"/>
        <w:rPr>
          <w:rFonts w:hint="eastAsia" w:ascii="仿宋" w:hAnsi="仿宋" w:eastAsia="仿宋" w:cs="仿宋"/>
          <w:b/>
          <w:bCs/>
          <w:sz w:val="30"/>
          <w:szCs w:val="30"/>
        </w:rPr>
      </w:pPr>
      <w:r>
        <w:rPr>
          <w:rFonts w:hint="eastAsia" w:ascii="仿宋" w:hAnsi="仿宋" w:eastAsia="仿宋" w:cs="仿宋"/>
          <w:b/>
          <w:bCs/>
          <w:sz w:val="30"/>
          <w:szCs w:val="30"/>
        </w:rPr>
        <w:t>技 术 标 内 容</w:t>
      </w:r>
      <w:bookmarkEnd w:id="723"/>
      <w:bookmarkEnd w:id="724"/>
    </w:p>
    <w:p>
      <w:pPr>
        <w:shd w:val="clea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施工组织设计</w:t>
      </w:r>
    </w:p>
    <w:p>
      <w:pPr>
        <w:pStyle w:val="17"/>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一、投标人应根据招标工程的具体情况，</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相应的施工组织设计。</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二、施工组织设计包括下列内容：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1、工程概况及特点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（1）工程建设概况</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（2）建筑设计特点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（3）结构设计特点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（4）设备安装设计特点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（5）工程施工特点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（6）建设地点特征</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2、施工准备工作计划</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3、施工方案</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4、工程施工进度计划</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（1）施工流水作业横道图</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（2）施工进度计划网络图</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上述两种图表，可选任意一种，但推荐做（2）的图表形式</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5、劳动力、材料、施工机械设备等需要量计划</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6、施工平面图</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7、质量保证技术组织措施和保证体系</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8、安全保证技术组织措施和保证体系、</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9、进度保证技术组织措施和保证体系</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10、现场文明施工措施</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注：上述内容请投标人自行编制。</w:t>
      </w: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pStyle w:val="2"/>
        <w:rPr>
          <w:rFonts w:hint="eastAsia" w:ascii="仿宋" w:hAnsi="仿宋" w:eastAsia="仿宋" w:cs="仿宋"/>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5" w:name="_Toc52289644"/>
      <w:bookmarkStart w:id="726" w:name="_Toc52290038"/>
      <w:r>
        <w:rPr>
          <w:rFonts w:hint="eastAsia" w:ascii="仿宋" w:hAnsi="仿宋" w:eastAsia="仿宋" w:cs="仿宋"/>
          <w:color w:val="auto"/>
          <w:sz w:val="28"/>
          <w:szCs w:val="28"/>
          <w:highlight w:val="none"/>
        </w:rPr>
        <w:t>经济标内容</w:t>
      </w:r>
      <w:bookmarkEnd w:id="725"/>
      <w:bookmarkEnd w:id="726"/>
    </w:p>
    <w:p>
      <w:pPr>
        <w:shd w:val="clear"/>
        <w:spacing w:line="360" w:lineRule="auto"/>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注：为了便于查找，请按顺序编排经济标内容。</w:t>
      </w: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7" w:name="_Toc52290039"/>
      <w:bookmarkStart w:id="728" w:name="_Toc20847_WPSOffice_Level1"/>
      <w:r>
        <w:rPr>
          <w:rFonts w:hint="eastAsia" w:ascii="仿宋" w:hAnsi="仿宋" w:eastAsia="仿宋" w:cs="仿宋"/>
          <w:color w:val="auto"/>
          <w:sz w:val="28"/>
          <w:szCs w:val="28"/>
          <w:highlight w:val="none"/>
        </w:rPr>
        <w:t>第八章  补充条款</w:t>
      </w:r>
      <w:bookmarkEnd w:id="727"/>
      <w:bookmarkEnd w:id="728"/>
    </w:p>
    <w:p>
      <w:pPr>
        <w:shd w:val="clear"/>
        <w:rPr>
          <w:rFonts w:hint="eastAsia" w:ascii="仿宋" w:hAnsi="仿宋" w:eastAsia="仿宋" w:cs="仿宋"/>
          <w:color w:val="auto"/>
          <w:sz w:val="28"/>
          <w:szCs w:val="28"/>
          <w:highlight w:val="none"/>
        </w:rPr>
      </w:pPr>
    </w:p>
    <w:p>
      <w:pPr>
        <w:shd w:val="clea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二次报价单</w:t>
      </w: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招标人</w:t>
      </w:r>
      <w:r>
        <w:rPr>
          <w:rFonts w:hint="eastAsia" w:ascii="仿宋" w:hAnsi="仿宋" w:eastAsia="仿宋" w:cs="仿宋"/>
          <w:color w:val="auto"/>
          <w:sz w:val="28"/>
          <w:szCs w:val="28"/>
          <w:highlight w:val="none"/>
        </w:rPr>
        <w:t>：</w:t>
      </w:r>
    </w:p>
    <w:p>
      <w:pPr>
        <w:shd w:val="clear"/>
        <w:ind w:firstLine="63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u w:val="single"/>
          <w:lang w:eastAsia="zh-CN"/>
        </w:rPr>
        <w:t>伊吾县吐葫芦乡伊河苑社区排水改造项目</w:t>
      </w:r>
      <w:r>
        <w:rPr>
          <w:rFonts w:hint="eastAsia" w:ascii="仿宋" w:hAnsi="仿宋" w:eastAsia="仿宋" w:cs="仿宋"/>
          <w:color w:val="auto"/>
          <w:sz w:val="28"/>
          <w:szCs w:val="28"/>
          <w:highlight w:val="none"/>
        </w:rPr>
        <w:t>的二次报价为：</w:t>
      </w:r>
    </w:p>
    <w:p>
      <w:pPr>
        <w:shd w:val="clear"/>
        <w:ind w:firstLine="63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p>
    <w:p>
      <w:pPr>
        <w:shd w:val="clear"/>
        <w:ind w:firstLine="63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hd w:val="clear"/>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并承诺：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rPr>
          <w:rFonts w:hint="eastAsia" w:ascii="仿宋" w:hAnsi="仿宋" w:eastAsia="仿宋" w:cs="仿宋"/>
          <w:color w:val="auto"/>
          <w:sz w:val="28"/>
          <w:szCs w:val="28"/>
          <w:highlight w:val="none"/>
          <w:u w:val="single"/>
        </w:rPr>
      </w:pPr>
    </w:p>
    <w:p>
      <w:pPr>
        <w:shd w:val="clear"/>
        <w:rPr>
          <w:rFonts w:hint="eastAsia" w:ascii="仿宋" w:hAnsi="仿宋" w:eastAsia="仿宋" w:cs="仿宋"/>
          <w:color w:val="auto"/>
          <w:sz w:val="28"/>
          <w:szCs w:val="28"/>
          <w:highlight w:val="none"/>
          <w:u w:val="single"/>
        </w:rPr>
      </w:pPr>
    </w:p>
    <w:p>
      <w:pPr>
        <w:shd w:val="clear"/>
        <w:rPr>
          <w:rFonts w:hint="eastAsia" w:ascii="仿宋" w:hAnsi="仿宋" w:eastAsia="仿宋" w:cs="仿宋"/>
          <w:color w:val="auto"/>
          <w:sz w:val="28"/>
          <w:szCs w:val="28"/>
          <w:highlight w:val="none"/>
          <w:u w:val="single"/>
        </w:rPr>
      </w:pPr>
    </w:p>
    <w:p>
      <w:pPr>
        <w:shd w:val="clear"/>
        <w:ind w:right="560"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投标人授权代表签字：</w:t>
      </w:r>
    </w:p>
    <w:p>
      <w:pPr>
        <w:shd w:val="clear"/>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shd w:val="clea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注：各投标人将此表内容不填写。</w:t>
      </w:r>
    </w:p>
    <w:sectPr>
      <w:footerReference r:id="rId8" w:type="default"/>
      <w:pgSz w:w="11906" w:h="16838"/>
      <w:pgMar w:top="1247" w:right="1191" w:bottom="1191" w:left="119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ascii="宋体" w:hAnsi="宋体"/>
        <w:szCs w:val="21"/>
      </w:rPr>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仿宋" w:hAnsi="仿宋" w:eastAsia="仿宋"/>
      </w:rPr>
    </w:pPr>
    <w: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3"/>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w:t>
                </w:r>
                <w:r>
                  <w:rPr>
                    <w:rFonts w:ascii="仿宋" w:hAnsi="仿宋" w:eastAsia="仿宋"/>
                  </w:rPr>
                  <w:t xml:space="preserve"> 16 -</w:t>
                </w:r>
                <w:r>
                  <w:rPr>
                    <w:rFonts w:ascii="仿宋" w:hAnsi="仿宋" w:eastAsia="仿宋"/>
                  </w:rPr>
                  <w:fldChar w:fldCharType="end"/>
                </w:r>
              </w:p>
            </w:txbxContent>
          </v:textbox>
        </v:shape>
      </w:pict>
    </w:r>
  </w:p>
  <w:p>
    <w:pPr>
      <w:rPr>
        <w:rFonts w:ascii="仿宋" w:hAnsi="仿宋" w:eastAsia="仿宋"/>
      </w:rPr>
    </w:pPr>
    <w:r>
      <w:rPr>
        <w:rFonts w:hint="eastAsia" w:ascii="仿宋" w:hAnsi="仿宋" w:eastAsia="仿宋"/>
      </w:rPr>
      <w:t>新疆卓恒工程项目管理有限公司</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0902-2315088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jc w:val="right"/>
      <w:rPr>
        <w:rFonts w:hint="eastAsia" w:ascii="仿宋" w:hAnsi="仿宋" w:eastAsia="仿宋" w:cs="仿宋"/>
        <w:b/>
        <w:bCs/>
        <w:color w:val="000000" w:themeColor="text1"/>
        <w:sz w:val="21"/>
        <w:szCs w:val="21"/>
        <w:u w:val="single"/>
        <w:lang w:val="en-US" w:eastAsia="zh-CN"/>
      </w:rPr>
    </w:pPr>
    <w:r>
      <w:rPr>
        <w:rFonts w:hint="eastAsia" w:ascii="仿宋" w:hAnsi="仿宋" w:eastAsia="仿宋" w:cs="仿宋"/>
        <w:b/>
        <w:bCs/>
        <w:color w:val="000000"/>
        <w:kern w:val="0"/>
        <w:sz w:val="21"/>
        <w:szCs w:val="21"/>
        <w:lang w:eastAsia="zh-CN"/>
      </w:rPr>
      <w:t>伊吾县吐葫芦乡伊河苑社区排水改造项目</w:t>
    </w:r>
    <w:r>
      <w:rPr>
        <w:rFonts w:hint="eastAsia" w:ascii="仿宋" w:hAnsi="仿宋" w:eastAsia="仿宋" w:cs="仿宋"/>
        <w:b/>
        <w:bCs/>
        <w:color w:val="000000"/>
        <w:kern w:val="0"/>
        <w:sz w:val="21"/>
        <w:szCs w:val="21"/>
        <w:lang w:val="en-US"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F2065"/>
    <w:rsid w:val="00006F35"/>
    <w:rsid w:val="0001470F"/>
    <w:rsid w:val="00014ECA"/>
    <w:rsid w:val="000167D2"/>
    <w:rsid w:val="0001750E"/>
    <w:rsid w:val="00047DA2"/>
    <w:rsid w:val="00052704"/>
    <w:rsid w:val="00062CA2"/>
    <w:rsid w:val="00063558"/>
    <w:rsid w:val="00067BBC"/>
    <w:rsid w:val="00076FDD"/>
    <w:rsid w:val="00085A5B"/>
    <w:rsid w:val="00085EAC"/>
    <w:rsid w:val="00090A44"/>
    <w:rsid w:val="00090C86"/>
    <w:rsid w:val="000952AE"/>
    <w:rsid w:val="00097636"/>
    <w:rsid w:val="000A7762"/>
    <w:rsid w:val="000B37D7"/>
    <w:rsid w:val="000B396F"/>
    <w:rsid w:val="000B4BDA"/>
    <w:rsid w:val="000B7C88"/>
    <w:rsid w:val="000B7F18"/>
    <w:rsid w:val="000C5144"/>
    <w:rsid w:val="000C563E"/>
    <w:rsid w:val="000D3252"/>
    <w:rsid w:val="000D5B92"/>
    <w:rsid w:val="000F702A"/>
    <w:rsid w:val="001021E5"/>
    <w:rsid w:val="00107801"/>
    <w:rsid w:val="00124596"/>
    <w:rsid w:val="00127756"/>
    <w:rsid w:val="001374B8"/>
    <w:rsid w:val="00157B64"/>
    <w:rsid w:val="00165C90"/>
    <w:rsid w:val="001669D5"/>
    <w:rsid w:val="00167786"/>
    <w:rsid w:val="0017417C"/>
    <w:rsid w:val="00192B3D"/>
    <w:rsid w:val="0019314A"/>
    <w:rsid w:val="00194AD0"/>
    <w:rsid w:val="001A2C07"/>
    <w:rsid w:val="001B310C"/>
    <w:rsid w:val="001C1029"/>
    <w:rsid w:val="001C6DB7"/>
    <w:rsid w:val="001E3D85"/>
    <w:rsid w:val="001F17ED"/>
    <w:rsid w:val="001F35D1"/>
    <w:rsid w:val="001F4B0B"/>
    <w:rsid w:val="00214FEC"/>
    <w:rsid w:val="00215BBB"/>
    <w:rsid w:val="00242B06"/>
    <w:rsid w:val="00246306"/>
    <w:rsid w:val="00247C80"/>
    <w:rsid w:val="0025180D"/>
    <w:rsid w:val="00256974"/>
    <w:rsid w:val="00283793"/>
    <w:rsid w:val="00286994"/>
    <w:rsid w:val="002A3DD5"/>
    <w:rsid w:val="002A6372"/>
    <w:rsid w:val="002A717A"/>
    <w:rsid w:val="002C3914"/>
    <w:rsid w:val="002D1898"/>
    <w:rsid w:val="002E440C"/>
    <w:rsid w:val="002F2334"/>
    <w:rsid w:val="002F5629"/>
    <w:rsid w:val="00306F7F"/>
    <w:rsid w:val="0031798B"/>
    <w:rsid w:val="00321365"/>
    <w:rsid w:val="00340799"/>
    <w:rsid w:val="0034515C"/>
    <w:rsid w:val="00370FFA"/>
    <w:rsid w:val="0037220A"/>
    <w:rsid w:val="0037757B"/>
    <w:rsid w:val="00382C56"/>
    <w:rsid w:val="00383CEA"/>
    <w:rsid w:val="00383F29"/>
    <w:rsid w:val="00384DBA"/>
    <w:rsid w:val="00390862"/>
    <w:rsid w:val="00393D2B"/>
    <w:rsid w:val="003A5629"/>
    <w:rsid w:val="003C1F87"/>
    <w:rsid w:val="003C4C6A"/>
    <w:rsid w:val="003D7496"/>
    <w:rsid w:val="003E3844"/>
    <w:rsid w:val="003E6D35"/>
    <w:rsid w:val="003F7FE8"/>
    <w:rsid w:val="00400811"/>
    <w:rsid w:val="004015D0"/>
    <w:rsid w:val="00414130"/>
    <w:rsid w:val="00416F89"/>
    <w:rsid w:val="00441D7D"/>
    <w:rsid w:val="00445A6E"/>
    <w:rsid w:val="0045038A"/>
    <w:rsid w:val="0045265E"/>
    <w:rsid w:val="00457ACA"/>
    <w:rsid w:val="00461D87"/>
    <w:rsid w:val="004625FE"/>
    <w:rsid w:val="00463EE9"/>
    <w:rsid w:val="004649DD"/>
    <w:rsid w:val="00466E8C"/>
    <w:rsid w:val="004675D9"/>
    <w:rsid w:val="00472F89"/>
    <w:rsid w:val="00473AAF"/>
    <w:rsid w:val="004845D8"/>
    <w:rsid w:val="00492876"/>
    <w:rsid w:val="004958E3"/>
    <w:rsid w:val="004A0D3C"/>
    <w:rsid w:val="004A2260"/>
    <w:rsid w:val="004B42DA"/>
    <w:rsid w:val="004C1B17"/>
    <w:rsid w:val="004D0535"/>
    <w:rsid w:val="004E5FC3"/>
    <w:rsid w:val="004F22D8"/>
    <w:rsid w:val="004F62E3"/>
    <w:rsid w:val="0050062B"/>
    <w:rsid w:val="00500711"/>
    <w:rsid w:val="00503039"/>
    <w:rsid w:val="00510D46"/>
    <w:rsid w:val="005110EF"/>
    <w:rsid w:val="005222E4"/>
    <w:rsid w:val="00530B49"/>
    <w:rsid w:val="0053600D"/>
    <w:rsid w:val="00536294"/>
    <w:rsid w:val="005432DA"/>
    <w:rsid w:val="00545F04"/>
    <w:rsid w:val="00546F17"/>
    <w:rsid w:val="00551167"/>
    <w:rsid w:val="005549B7"/>
    <w:rsid w:val="00554B1B"/>
    <w:rsid w:val="00562D7C"/>
    <w:rsid w:val="005655D8"/>
    <w:rsid w:val="005753E2"/>
    <w:rsid w:val="005772AA"/>
    <w:rsid w:val="00583EA0"/>
    <w:rsid w:val="00584CE5"/>
    <w:rsid w:val="00592E54"/>
    <w:rsid w:val="00595AD3"/>
    <w:rsid w:val="005A4204"/>
    <w:rsid w:val="005A4F08"/>
    <w:rsid w:val="005A5BD6"/>
    <w:rsid w:val="005A6F30"/>
    <w:rsid w:val="005A7AC2"/>
    <w:rsid w:val="005B0B68"/>
    <w:rsid w:val="005B4933"/>
    <w:rsid w:val="005C252D"/>
    <w:rsid w:val="005C5DAE"/>
    <w:rsid w:val="005E039D"/>
    <w:rsid w:val="005F34FA"/>
    <w:rsid w:val="005F593A"/>
    <w:rsid w:val="005F6689"/>
    <w:rsid w:val="006032D7"/>
    <w:rsid w:val="00605C6F"/>
    <w:rsid w:val="0061537A"/>
    <w:rsid w:val="00631C2C"/>
    <w:rsid w:val="00634FED"/>
    <w:rsid w:val="006435EC"/>
    <w:rsid w:val="006515A4"/>
    <w:rsid w:val="00652FDC"/>
    <w:rsid w:val="00693EC9"/>
    <w:rsid w:val="006A2AC0"/>
    <w:rsid w:val="006F0692"/>
    <w:rsid w:val="006F1AC1"/>
    <w:rsid w:val="006F2147"/>
    <w:rsid w:val="006F566D"/>
    <w:rsid w:val="00715AD3"/>
    <w:rsid w:val="0072453D"/>
    <w:rsid w:val="007408A9"/>
    <w:rsid w:val="00744B84"/>
    <w:rsid w:val="0075207F"/>
    <w:rsid w:val="007555F4"/>
    <w:rsid w:val="0077427B"/>
    <w:rsid w:val="00777CD9"/>
    <w:rsid w:val="0078004B"/>
    <w:rsid w:val="0079358A"/>
    <w:rsid w:val="00793A89"/>
    <w:rsid w:val="00796B83"/>
    <w:rsid w:val="007A2042"/>
    <w:rsid w:val="007B1101"/>
    <w:rsid w:val="007B257E"/>
    <w:rsid w:val="007B2A41"/>
    <w:rsid w:val="007B5BB0"/>
    <w:rsid w:val="007C022D"/>
    <w:rsid w:val="007C5706"/>
    <w:rsid w:val="007D12B7"/>
    <w:rsid w:val="007D2F22"/>
    <w:rsid w:val="007E0395"/>
    <w:rsid w:val="007F7384"/>
    <w:rsid w:val="00817454"/>
    <w:rsid w:val="00817F7E"/>
    <w:rsid w:val="00821400"/>
    <w:rsid w:val="008218A6"/>
    <w:rsid w:val="00823B0A"/>
    <w:rsid w:val="00830BAA"/>
    <w:rsid w:val="00840CAD"/>
    <w:rsid w:val="008415A5"/>
    <w:rsid w:val="00853490"/>
    <w:rsid w:val="0085611D"/>
    <w:rsid w:val="00863E1E"/>
    <w:rsid w:val="00864AB6"/>
    <w:rsid w:val="00865105"/>
    <w:rsid w:val="00871415"/>
    <w:rsid w:val="008746F3"/>
    <w:rsid w:val="00875EDE"/>
    <w:rsid w:val="008871D9"/>
    <w:rsid w:val="00892784"/>
    <w:rsid w:val="00896A19"/>
    <w:rsid w:val="008A34BF"/>
    <w:rsid w:val="008A6173"/>
    <w:rsid w:val="008B5C94"/>
    <w:rsid w:val="008C4996"/>
    <w:rsid w:val="008C6835"/>
    <w:rsid w:val="008D035E"/>
    <w:rsid w:val="008D3EBD"/>
    <w:rsid w:val="008E37A2"/>
    <w:rsid w:val="008E71E1"/>
    <w:rsid w:val="008F2065"/>
    <w:rsid w:val="008F2320"/>
    <w:rsid w:val="008F347C"/>
    <w:rsid w:val="00913942"/>
    <w:rsid w:val="00917A29"/>
    <w:rsid w:val="00923AB8"/>
    <w:rsid w:val="00925F60"/>
    <w:rsid w:val="0092698D"/>
    <w:rsid w:val="00926E2B"/>
    <w:rsid w:val="00930075"/>
    <w:rsid w:val="00931A2C"/>
    <w:rsid w:val="00940183"/>
    <w:rsid w:val="009420F2"/>
    <w:rsid w:val="009674C1"/>
    <w:rsid w:val="00976643"/>
    <w:rsid w:val="009811C9"/>
    <w:rsid w:val="00983458"/>
    <w:rsid w:val="009961E1"/>
    <w:rsid w:val="009A2497"/>
    <w:rsid w:val="009A5F35"/>
    <w:rsid w:val="009A6D3A"/>
    <w:rsid w:val="009C71C1"/>
    <w:rsid w:val="009F38D4"/>
    <w:rsid w:val="00A01BB5"/>
    <w:rsid w:val="00A04FC0"/>
    <w:rsid w:val="00A0638F"/>
    <w:rsid w:val="00A06618"/>
    <w:rsid w:val="00A11829"/>
    <w:rsid w:val="00A1242B"/>
    <w:rsid w:val="00A12AF3"/>
    <w:rsid w:val="00A1440B"/>
    <w:rsid w:val="00A2089A"/>
    <w:rsid w:val="00A24841"/>
    <w:rsid w:val="00A25C3D"/>
    <w:rsid w:val="00A33C8F"/>
    <w:rsid w:val="00A51D5D"/>
    <w:rsid w:val="00A57A75"/>
    <w:rsid w:val="00A67B41"/>
    <w:rsid w:val="00A71182"/>
    <w:rsid w:val="00A73AE3"/>
    <w:rsid w:val="00A7779A"/>
    <w:rsid w:val="00A86544"/>
    <w:rsid w:val="00AA0D36"/>
    <w:rsid w:val="00AA1DA3"/>
    <w:rsid w:val="00AA3321"/>
    <w:rsid w:val="00AB46BD"/>
    <w:rsid w:val="00AB4C69"/>
    <w:rsid w:val="00AB70CA"/>
    <w:rsid w:val="00AC712C"/>
    <w:rsid w:val="00AD045C"/>
    <w:rsid w:val="00AD37FE"/>
    <w:rsid w:val="00AE1E59"/>
    <w:rsid w:val="00AE76FA"/>
    <w:rsid w:val="00AE7A00"/>
    <w:rsid w:val="00AF66CA"/>
    <w:rsid w:val="00B12DBE"/>
    <w:rsid w:val="00B14B61"/>
    <w:rsid w:val="00B23D82"/>
    <w:rsid w:val="00B26F9C"/>
    <w:rsid w:val="00B32C37"/>
    <w:rsid w:val="00B56101"/>
    <w:rsid w:val="00B56F4B"/>
    <w:rsid w:val="00B6184A"/>
    <w:rsid w:val="00B71EB9"/>
    <w:rsid w:val="00B7406B"/>
    <w:rsid w:val="00B81098"/>
    <w:rsid w:val="00B82CA9"/>
    <w:rsid w:val="00B837B2"/>
    <w:rsid w:val="00B91436"/>
    <w:rsid w:val="00B93058"/>
    <w:rsid w:val="00B93CCF"/>
    <w:rsid w:val="00B96B39"/>
    <w:rsid w:val="00BA1B40"/>
    <w:rsid w:val="00BA652E"/>
    <w:rsid w:val="00BB6F71"/>
    <w:rsid w:val="00BC0381"/>
    <w:rsid w:val="00BC0C60"/>
    <w:rsid w:val="00BC0FC5"/>
    <w:rsid w:val="00BD3224"/>
    <w:rsid w:val="00BD52B8"/>
    <w:rsid w:val="00BD5B16"/>
    <w:rsid w:val="00BD5E21"/>
    <w:rsid w:val="00BD7EBA"/>
    <w:rsid w:val="00BF06BF"/>
    <w:rsid w:val="00C02350"/>
    <w:rsid w:val="00C04234"/>
    <w:rsid w:val="00C21229"/>
    <w:rsid w:val="00C26958"/>
    <w:rsid w:val="00C44671"/>
    <w:rsid w:val="00C75DC7"/>
    <w:rsid w:val="00C77609"/>
    <w:rsid w:val="00C85C41"/>
    <w:rsid w:val="00C900AC"/>
    <w:rsid w:val="00C90797"/>
    <w:rsid w:val="00C92A37"/>
    <w:rsid w:val="00CA327E"/>
    <w:rsid w:val="00CA6210"/>
    <w:rsid w:val="00CB6F28"/>
    <w:rsid w:val="00CC4EE9"/>
    <w:rsid w:val="00CD1A96"/>
    <w:rsid w:val="00CD431D"/>
    <w:rsid w:val="00CD58F2"/>
    <w:rsid w:val="00CD6B88"/>
    <w:rsid w:val="00CE3C0D"/>
    <w:rsid w:val="00D14A3E"/>
    <w:rsid w:val="00D23058"/>
    <w:rsid w:val="00D249A3"/>
    <w:rsid w:val="00D30DD1"/>
    <w:rsid w:val="00D31815"/>
    <w:rsid w:val="00D3208D"/>
    <w:rsid w:val="00D33F68"/>
    <w:rsid w:val="00D344DC"/>
    <w:rsid w:val="00D345E7"/>
    <w:rsid w:val="00D41020"/>
    <w:rsid w:val="00D410E5"/>
    <w:rsid w:val="00D41A75"/>
    <w:rsid w:val="00D43686"/>
    <w:rsid w:val="00D46653"/>
    <w:rsid w:val="00D67221"/>
    <w:rsid w:val="00D678F8"/>
    <w:rsid w:val="00D67A5E"/>
    <w:rsid w:val="00D705A4"/>
    <w:rsid w:val="00D7499E"/>
    <w:rsid w:val="00D77BE4"/>
    <w:rsid w:val="00D82F36"/>
    <w:rsid w:val="00D83A69"/>
    <w:rsid w:val="00D84811"/>
    <w:rsid w:val="00D8749C"/>
    <w:rsid w:val="00DA1930"/>
    <w:rsid w:val="00DA3D55"/>
    <w:rsid w:val="00DA69F6"/>
    <w:rsid w:val="00DB0F3E"/>
    <w:rsid w:val="00DC0ED2"/>
    <w:rsid w:val="00DD55BD"/>
    <w:rsid w:val="00DD66F3"/>
    <w:rsid w:val="00DE1EE5"/>
    <w:rsid w:val="00DF1650"/>
    <w:rsid w:val="00DF216B"/>
    <w:rsid w:val="00DF2E56"/>
    <w:rsid w:val="00E04928"/>
    <w:rsid w:val="00E105C7"/>
    <w:rsid w:val="00E15A62"/>
    <w:rsid w:val="00E26161"/>
    <w:rsid w:val="00E439B2"/>
    <w:rsid w:val="00E5119F"/>
    <w:rsid w:val="00E5180F"/>
    <w:rsid w:val="00E52B9D"/>
    <w:rsid w:val="00E56619"/>
    <w:rsid w:val="00E57497"/>
    <w:rsid w:val="00E57D30"/>
    <w:rsid w:val="00E623D9"/>
    <w:rsid w:val="00E67139"/>
    <w:rsid w:val="00E7448A"/>
    <w:rsid w:val="00E74EF3"/>
    <w:rsid w:val="00E766B0"/>
    <w:rsid w:val="00E77024"/>
    <w:rsid w:val="00E82E29"/>
    <w:rsid w:val="00E91B37"/>
    <w:rsid w:val="00E96F94"/>
    <w:rsid w:val="00EA01CC"/>
    <w:rsid w:val="00ED13FA"/>
    <w:rsid w:val="00ED3F24"/>
    <w:rsid w:val="00EE2706"/>
    <w:rsid w:val="00EF5C91"/>
    <w:rsid w:val="00F00450"/>
    <w:rsid w:val="00F059F7"/>
    <w:rsid w:val="00F06B00"/>
    <w:rsid w:val="00F07722"/>
    <w:rsid w:val="00F13027"/>
    <w:rsid w:val="00F27A6F"/>
    <w:rsid w:val="00F308E0"/>
    <w:rsid w:val="00F314AB"/>
    <w:rsid w:val="00F50A58"/>
    <w:rsid w:val="00F534E8"/>
    <w:rsid w:val="00F7456B"/>
    <w:rsid w:val="00F76644"/>
    <w:rsid w:val="00F81CF2"/>
    <w:rsid w:val="00FB1DAF"/>
    <w:rsid w:val="00FB38C2"/>
    <w:rsid w:val="00FB3C13"/>
    <w:rsid w:val="00FB69CA"/>
    <w:rsid w:val="00FB7EDE"/>
    <w:rsid w:val="00FC1B0E"/>
    <w:rsid w:val="00FC1FA6"/>
    <w:rsid w:val="00FD4B07"/>
    <w:rsid w:val="00FD625B"/>
    <w:rsid w:val="00FE12FC"/>
    <w:rsid w:val="00FE3EF8"/>
    <w:rsid w:val="00FE539F"/>
    <w:rsid w:val="00FF332A"/>
    <w:rsid w:val="057B5329"/>
    <w:rsid w:val="07113069"/>
    <w:rsid w:val="09C966AB"/>
    <w:rsid w:val="10FF3869"/>
    <w:rsid w:val="11D976A2"/>
    <w:rsid w:val="129E5EC4"/>
    <w:rsid w:val="12F975F8"/>
    <w:rsid w:val="16C806D1"/>
    <w:rsid w:val="18893148"/>
    <w:rsid w:val="1A6D2C0B"/>
    <w:rsid w:val="1C155E78"/>
    <w:rsid w:val="1C695DEE"/>
    <w:rsid w:val="22827821"/>
    <w:rsid w:val="251552C5"/>
    <w:rsid w:val="27CC2077"/>
    <w:rsid w:val="2C58000F"/>
    <w:rsid w:val="2D004036"/>
    <w:rsid w:val="2DFB3B01"/>
    <w:rsid w:val="2E33762F"/>
    <w:rsid w:val="2F13150F"/>
    <w:rsid w:val="305A27B3"/>
    <w:rsid w:val="373428EA"/>
    <w:rsid w:val="383E410D"/>
    <w:rsid w:val="3F182F83"/>
    <w:rsid w:val="419A287C"/>
    <w:rsid w:val="41F93656"/>
    <w:rsid w:val="476D0CEE"/>
    <w:rsid w:val="4DD0585E"/>
    <w:rsid w:val="4EA37238"/>
    <w:rsid w:val="572768D7"/>
    <w:rsid w:val="584C7DEB"/>
    <w:rsid w:val="5CE07923"/>
    <w:rsid w:val="5D5D62DE"/>
    <w:rsid w:val="5E9E1535"/>
    <w:rsid w:val="61742492"/>
    <w:rsid w:val="61A66E25"/>
    <w:rsid w:val="621E53D5"/>
    <w:rsid w:val="64870F24"/>
    <w:rsid w:val="667B7A52"/>
    <w:rsid w:val="67EA4A6C"/>
    <w:rsid w:val="69BF727E"/>
    <w:rsid w:val="69E71BA0"/>
    <w:rsid w:val="6AB96EE0"/>
    <w:rsid w:val="6BDF3DA2"/>
    <w:rsid w:val="6CBC515C"/>
    <w:rsid w:val="6ED6475E"/>
    <w:rsid w:val="76307041"/>
    <w:rsid w:val="782C378D"/>
    <w:rsid w:val="78752BD3"/>
    <w:rsid w:val="789D24BD"/>
    <w:rsid w:val="792C5EF9"/>
    <w:rsid w:val="7D2F79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9"/>
    <w:pPr>
      <w:keepNext/>
      <w:widowControl/>
      <w:spacing w:before="340" w:after="330" w:line="576" w:lineRule="auto"/>
      <w:jc w:val="center"/>
      <w:outlineLvl w:val="0"/>
    </w:pPr>
    <w:rPr>
      <w:rFonts w:ascii="???" w:hAnsi="???" w:cs="Arial"/>
      <w:b/>
      <w:bCs/>
      <w:color w:val="020000"/>
      <w:kern w:val="36"/>
      <w:sz w:val="44"/>
      <w:szCs w:val="44"/>
    </w:rPr>
  </w:style>
  <w:style w:type="paragraph" w:styleId="4">
    <w:name w:val="heading 2"/>
    <w:basedOn w:val="1"/>
    <w:next w:val="5"/>
    <w:link w:val="39"/>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40"/>
    <w:qFormat/>
    <w:uiPriority w:val="99"/>
    <w:pPr>
      <w:keepNext/>
      <w:keepLines/>
      <w:spacing w:before="260" w:after="260" w:line="416" w:lineRule="auto"/>
      <w:outlineLvl w:val="2"/>
    </w:pPr>
    <w:rPr>
      <w:b/>
      <w:bCs/>
      <w:sz w:val="32"/>
      <w:szCs w:val="32"/>
    </w:rPr>
  </w:style>
  <w:style w:type="paragraph" w:styleId="7">
    <w:name w:val="heading 4"/>
    <w:basedOn w:val="1"/>
    <w:next w:val="1"/>
    <w:link w:val="41"/>
    <w:qFormat/>
    <w:uiPriority w:val="99"/>
    <w:pPr>
      <w:keepNext/>
      <w:keepLines/>
      <w:spacing w:line="372" w:lineRule="auto"/>
      <w:outlineLvl w:val="3"/>
    </w:pPr>
    <w:rPr>
      <w:rFonts w:ascii="Arial" w:hAnsi="Arial" w:eastAsia="黑体"/>
      <w:b/>
      <w:sz w:val="28"/>
    </w:rPr>
  </w:style>
  <w:style w:type="paragraph" w:styleId="8">
    <w:name w:val="heading 5"/>
    <w:basedOn w:val="1"/>
    <w:next w:val="1"/>
    <w:link w:val="42"/>
    <w:qFormat/>
    <w:uiPriority w:val="99"/>
    <w:pPr>
      <w:keepNext/>
      <w:keepLines/>
      <w:spacing w:line="372" w:lineRule="auto"/>
      <w:outlineLvl w:val="4"/>
    </w:pPr>
    <w:rPr>
      <w:b/>
      <w:sz w:val="28"/>
    </w:rPr>
  </w:style>
  <w:style w:type="paragraph" w:styleId="9">
    <w:name w:val="heading 6"/>
    <w:basedOn w:val="1"/>
    <w:next w:val="1"/>
    <w:link w:val="43"/>
    <w:qFormat/>
    <w:uiPriority w:val="99"/>
    <w:pPr>
      <w:keepNext/>
      <w:keepLines/>
      <w:spacing w:line="317" w:lineRule="auto"/>
      <w:outlineLvl w:val="5"/>
    </w:pPr>
    <w:rPr>
      <w:rFonts w:ascii="Arial" w:hAnsi="Arial" w:eastAsia="黑体"/>
      <w:b/>
      <w:sz w:val="24"/>
    </w:rPr>
  </w:style>
  <w:style w:type="paragraph" w:styleId="10">
    <w:name w:val="heading 7"/>
    <w:basedOn w:val="1"/>
    <w:next w:val="1"/>
    <w:link w:val="44"/>
    <w:qFormat/>
    <w:uiPriority w:val="99"/>
    <w:pPr>
      <w:keepNext/>
      <w:keepLines/>
      <w:spacing w:line="317" w:lineRule="auto"/>
      <w:outlineLvl w:val="6"/>
    </w:pPr>
    <w:rPr>
      <w:b/>
      <w:sz w:val="24"/>
    </w:rPr>
  </w:style>
  <w:style w:type="paragraph" w:styleId="11">
    <w:name w:val="heading 8"/>
    <w:basedOn w:val="1"/>
    <w:next w:val="1"/>
    <w:link w:val="45"/>
    <w:qFormat/>
    <w:uiPriority w:val="99"/>
    <w:pPr>
      <w:keepNext/>
      <w:keepLines/>
      <w:spacing w:line="317" w:lineRule="auto"/>
      <w:outlineLvl w:val="7"/>
    </w:pPr>
    <w:rPr>
      <w:rFonts w:ascii="Arial" w:hAnsi="Arial" w:eastAsia="黑体"/>
      <w:sz w:val="24"/>
    </w:rPr>
  </w:style>
  <w:style w:type="paragraph" w:styleId="12">
    <w:name w:val="heading 9"/>
    <w:basedOn w:val="1"/>
    <w:next w:val="1"/>
    <w:link w:val="46"/>
    <w:qFormat/>
    <w:uiPriority w:val="99"/>
    <w:pPr>
      <w:keepNext/>
      <w:keepLines/>
      <w:spacing w:line="317"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unhideWhenUsed/>
    <w:qFormat/>
    <w:locked/>
    <w:uiPriority w:val="99"/>
    <w:pPr>
      <w:snapToGrid w:val="0"/>
    </w:pPr>
    <w:rPr>
      <w:sz w:val="18"/>
    </w:rPr>
  </w:style>
  <w:style w:type="paragraph" w:styleId="5">
    <w:name w:val="Normal Indent"/>
    <w:basedOn w:val="1"/>
    <w:next w:val="1"/>
    <w:qFormat/>
    <w:uiPriority w:val="99"/>
    <w:pPr>
      <w:widowControl/>
      <w:ind w:firstLine="420"/>
      <w:jc w:val="left"/>
    </w:pPr>
    <w:rPr>
      <w:rFonts w:eastAsia="微软雅黑"/>
      <w:kern w:val="0"/>
      <w:sz w:val="20"/>
      <w:szCs w:val="20"/>
    </w:rPr>
  </w:style>
  <w:style w:type="paragraph" w:styleId="13">
    <w:name w:val="Document Map"/>
    <w:basedOn w:val="1"/>
    <w:link w:val="47"/>
    <w:qFormat/>
    <w:uiPriority w:val="99"/>
    <w:pPr>
      <w:shd w:val="clear" w:color="auto" w:fill="000080"/>
    </w:pPr>
  </w:style>
  <w:style w:type="paragraph" w:styleId="14">
    <w:name w:val="annotation text"/>
    <w:basedOn w:val="1"/>
    <w:link w:val="48"/>
    <w:qFormat/>
    <w:uiPriority w:val="99"/>
    <w:pPr>
      <w:jc w:val="left"/>
    </w:pPr>
  </w:style>
  <w:style w:type="paragraph" w:styleId="15">
    <w:name w:val="Body Text 3"/>
    <w:basedOn w:val="1"/>
    <w:link w:val="49"/>
    <w:qFormat/>
    <w:uiPriority w:val="99"/>
    <w:rPr>
      <w:sz w:val="16"/>
    </w:rPr>
  </w:style>
  <w:style w:type="paragraph" w:styleId="16">
    <w:name w:val="Body Text"/>
    <w:basedOn w:val="1"/>
    <w:link w:val="50"/>
    <w:qFormat/>
    <w:uiPriority w:val="99"/>
    <w:rPr>
      <w:rFonts w:ascii="Times New Roman" w:hAnsi="Times New Roman" w:eastAsia="楷体_GB2312"/>
      <w:sz w:val="30"/>
      <w:szCs w:val="20"/>
    </w:rPr>
  </w:style>
  <w:style w:type="paragraph" w:styleId="17">
    <w:name w:val="Body Text Indent"/>
    <w:basedOn w:val="1"/>
    <w:link w:val="51"/>
    <w:qFormat/>
    <w:uiPriority w:val="99"/>
    <w:pPr>
      <w:widowControl/>
      <w:ind w:firstLine="630"/>
    </w:pPr>
    <w:rPr>
      <w:rFonts w:ascii="宋体" w:hAnsi="宋体" w:cs="Arial"/>
      <w:kern w:val="0"/>
      <w:sz w:val="30"/>
      <w:szCs w:val="30"/>
    </w:rPr>
  </w:style>
  <w:style w:type="paragraph" w:styleId="18">
    <w:name w:val="toc 3"/>
    <w:basedOn w:val="1"/>
    <w:next w:val="1"/>
    <w:qFormat/>
    <w:locked/>
    <w:uiPriority w:val="39"/>
    <w:pPr>
      <w:tabs>
        <w:tab w:val="right" w:leader="dot" w:pos="9059"/>
      </w:tabs>
      <w:ind w:firstLine="240" w:firstLineChars="100"/>
    </w:pPr>
    <w:rPr>
      <w:rFonts w:ascii="Times New Roman" w:hAnsi="Times New Roman"/>
      <w:szCs w:val="24"/>
    </w:rPr>
  </w:style>
  <w:style w:type="paragraph" w:styleId="19">
    <w:name w:val="Plain Text"/>
    <w:basedOn w:val="1"/>
    <w:link w:val="99"/>
    <w:qFormat/>
    <w:uiPriority w:val="99"/>
    <w:rPr>
      <w:rFonts w:ascii="宋体" w:hAnsi="Courier New"/>
      <w:szCs w:val="20"/>
    </w:rPr>
  </w:style>
  <w:style w:type="paragraph" w:styleId="20">
    <w:name w:val="Date"/>
    <w:basedOn w:val="1"/>
    <w:next w:val="1"/>
    <w:link w:val="101"/>
    <w:qFormat/>
    <w:locked/>
    <w:uiPriority w:val="99"/>
    <w:pPr>
      <w:ind w:left="100" w:leftChars="2500"/>
    </w:pPr>
  </w:style>
  <w:style w:type="paragraph" w:styleId="21">
    <w:name w:val="Body Text Indent 2"/>
    <w:basedOn w:val="1"/>
    <w:link w:val="52"/>
    <w:qFormat/>
    <w:uiPriority w:val="99"/>
    <w:pPr>
      <w:spacing w:line="480" w:lineRule="auto"/>
      <w:ind w:left="420" w:leftChars="200"/>
    </w:pPr>
  </w:style>
  <w:style w:type="paragraph" w:styleId="22">
    <w:name w:val="Balloon Text"/>
    <w:basedOn w:val="1"/>
    <w:link w:val="53"/>
    <w:qFormat/>
    <w:uiPriority w:val="99"/>
    <w:rPr>
      <w:sz w:val="18"/>
    </w:rPr>
  </w:style>
  <w:style w:type="paragraph" w:styleId="23">
    <w:name w:val="footer"/>
    <w:basedOn w:val="1"/>
    <w:link w:val="54"/>
    <w:qFormat/>
    <w:uiPriority w:val="99"/>
    <w:pPr>
      <w:tabs>
        <w:tab w:val="center" w:pos="4153"/>
        <w:tab w:val="right" w:pos="8306"/>
      </w:tabs>
      <w:snapToGrid w:val="0"/>
      <w:jc w:val="left"/>
    </w:pPr>
    <w:rPr>
      <w:sz w:val="18"/>
    </w:rPr>
  </w:style>
  <w:style w:type="paragraph" w:styleId="24">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39"/>
    <w:pPr>
      <w:tabs>
        <w:tab w:val="right" w:leader="dot" w:pos="9736"/>
      </w:tabs>
      <w:spacing w:line="360" w:lineRule="auto"/>
      <w:jc w:val="center"/>
    </w:pPr>
    <w:rPr>
      <w:kern w:val="36"/>
      <w:sz w:val="24"/>
    </w:rPr>
  </w:style>
  <w:style w:type="paragraph" w:styleId="26">
    <w:name w:val="Body Text Indent 3"/>
    <w:basedOn w:val="1"/>
    <w:link w:val="56"/>
    <w:qFormat/>
    <w:uiPriority w:val="99"/>
    <w:pPr>
      <w:widowControl/>
      <w:spacing w:line="440" w:lineRule="atLeast"/>
      <w:ind w:firstLine="412"/>
    </w:pPr>
    <w:rPr>
      <w:rFonts w:ascii="宋体" w:hAnsi="宋体" w:cs="Arial"/>
      <w:kern w:val="0"/>
      <w:sz w:val="24"/>
      <w:szCs w:val="24"/>
    </w:rPr>
  </w:style>
  <w:style w:type="paragraph" w:styleId="27">
    <w:name w:val="toc 2"/>
    <w:basedOn w:val="1"/>
    <w:next w:val="1"/>
    <w:qFormat/>
    <w:uiPriority w:val="39"/>
    <w:pPr>
      <w:ind w:left="420" w:leftChars="200"/>
    </w:pPr>
  </w:style>
  <w:style w:type="paragraph" w:styleId="28">
    <w:name w:val="Body Text 2"/>
    <w:basedOn w:val="1"/>
    <w:link w:val="57"/>
    <w:qFormat/>
    <w:uiPriority w:val="99"/>
    <w:pPr>
      <w:spacing w:line="480" w:lineRule="auto"/>
    </w:pPr>
  </w:style>
  <w:style w:type="paragraph" w:styleId="29">
    <w:name w:val="Normal (Web)"/>
    <w:basedOn w:val="1"/>
    <w:qFormat/>
    <w:uiPriority w:val="99"/>
    <w:pPr>
      <w:widowControl/>
      <w:jc w:val="left"/>
    </w:pPr>
    <w:rPr>
      <w:rFonts w:ascii="Arial" w:hAnsi="Arial" w:cs="Arial"/>
      <w:kern w:val="0"/>
      <w:sz w:val="24"/>
      <w:szCs w:val="24"/>
    </w:rPr>
  </w:style>
  <w:style w:type="paragraph" w:styleId="30">
    <w:name w:val="Title"/>
    <w:basedOn w:val="1"/>
    <w:next w:val="1"/>
    <w:link w:val="102"/>
    <w:qFormat/>
    <w:uiPriority w:val="0"/>
    <w:pPr>
      <w:spacing w:before="240" w:after="60"/>
      <w:jc w:val="center"/>
      <w:outlineLvl w:val="0"/>
    </w:pPr>
    <w:rPr>
      <w:rFonts w:ascii="Cambria" w:hAnsi="Cambria"/>
      <w:b/>
      <w:bCs/>
      <w:kern w:val="0"/>
      <w:sz w:val="32"/>
      <w:szCs w:val="32"/>
    </w:rPr>
  </w:style>
  <w:style w:type="paragraph" w:styleId="31">
    <w:name w:val="annotation subject"/>
    <w:basedOn w:val="14"/>
    <w:next w:val="14"/>
    <w:link w:val="92"/>
    <w:qFormat/>
    <w:uiPriority w:val="99"/>
    <w:rPr>
      <w:b/>
      <w:bCs/>
    </w:rPr>
  </w:style>
  <w:style w:type="table" w:styleId="33">
    <w:name w:val="Table Grid"/>
    <w:basedOn w:val="32"/>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5">
    <w:name w:val="FollowedHyperlink"/>
    <w:qFormat/>
    <w:uiPriority w:val="99"/>
    <w:rPr>
      <w:rFonts w:cs="Times New Roman"/>
      <w:color w:val="954F72"/>
      <w:u w:val="single"/>
    </w:rPr>
  </w:style>
  <w:style w:type="character" w:styleId="36">
    <w:name w:val="Hyperlink"/>
    <w:qFormat/>
    <w:uiPriority w:val="99"/>
    <w:rPr>
      <w:rFonts w:ascii="宋体" w:hAnsi="宋体" w:eastAsia="宋体" w:cs="Times New Roman"/>
      <w:color w:val="0000FF"/>
      <w:u w:val="single"/>
    </w:rPr>
  </w:style>
  <w:style w:type="character" w:styleId="37">
    <w:name w:val="annotation reference"/>
    <w:qFormat/>
    <w:uiPriority w:val="99"/>
    <w:rPr>
      <w:rFonts w:cs="Times New Roman"/>
      <w:sz w:val="21"/>
      <w:szCs w:val="21"/>
    </w:rPr>
  </w:style>
  <w:style w:type="character" w:customStyle="1" w:styleId="38">
    <w:name w:val="标题 1 Char"/>
    <w:link w:val="3"/>
    <w:qFormat/>
    <w:locked/>
    <w:uiPriority w:val="99"/>
    <w:rPr>
      <w:rFonts w:ascii="???" w:hAnsi="???" w:eastAsia="宋体" w:cs="Arial"/>
      <w:b/>
      <w:bCs/>
      <w:color w:val="020000"/>
      <w:kern w:val="36"/>
      <w:sz w:val="44"/>
      <w:szCs w:val="44"/>
    </w:rPr>
  </w:style>
  <w:style w:type="character" w:customStyle="1" w:styleId="39">
    <w:name w:val="标题 2 Char"/>
    <w:link w:val="4"/>
    <w:qFormat/>
    <w:locked/>
    <w:uiPriority w:val="99"/>
    <w:rPr>
      <w:rFonts w:ascii="Cambria" w:hAnsi="Cambria" w:eastAsia="宋体" w:cs="Times New Roman"/>
      <w:b/>
      <w:bCs/>
      <w:sz w:val="32"/>
      <w:szCs w:val="32"/>
    </w:rPr>
  </w:style>
  <w:style w:type="character" w:customStyle="1" w:styleId="40">
    <w:name w:val="标题 3 Char"/>
    <w:link w:val="6"/>
    <w:qFormat/>
    <w:locked/>
    <w:uiPriority w:val="99"/>
    <w:rPr>
      <w:rFonts w:cs="Times New Roman"/>
      <w:b/>
      <w:bCs/>
      <w:sz w:val="32"/>
      <w:szCs w:val="32"/>
    </w:rPr>
  </w:style>
  <w:style w:type="character" w:customStyle="1" w:styleId="41">
    <w:name w:val="标题 4 Char"/>
    <w:link w:val="7"/>
    <w:qFormat/>
    <w:locked/>
    <w:uiPriority w:val="99"/>
    <w:rPr>
      <w:rFonts w:ascii="Arial" w:hAnsi="Arial" w:eastAsia="黑体" w:cs="Arial"/>
      <w:b/>
      <w:sz w:val="28"/>
    </w:rPr>
  </w:style>
  <w:style w:type="character" w:customStyle="1" w:styleId="42">
    <w:name w:val="标题 5 Char"/>
    <w:link w:val="8"/>
    <w:qFormat/>
    <w:locked/>
    <w:uiPriority w:val="99"/>
    <w:rPr>
      <w:rFonts w:ascii="Arial Unicode MS" w:hAnsi="Arial Unicode MS" w:eastAsia="Arial Unicode MS" w:cs="Arial Unicode MS"/>
      <w:b/>
      <w:sz w:val="28"/>
    </w:rPr>
  </w:style>
  <w:style w:type="character" w:customStyle="1" w:styleId="43">
    <w:name w:val="标题 6 Char"/>
    <w:link w:val="9"/>
    <w:qFormat/>
    <w:locked/>
    <w:uiPriority w:val="99"/>
    <w:rPr>
      <w:rFonts w:ascii="Arial" w:hAnsi="Arial" w:eastAsia="黑体" w:cs="Arial"/>
      <w:b/>
      <w:sz w:val="24"/>
    </w:rPr>
  </w:style>
  <w:style w:type="character" w:customStyle="1" w:styleId="44">
    <w:name w:val="标题 7 Char"/>
    <w:link w:val="10"/>
    <w:qFormat/>
    <w:locked/>
    <w:uiPriority w:val="99"/>
    <w:rPr>
      <w:rFonts w:cs="Times New Roman"/>
      <w:b/>
      <w:sz w:val="24"/>
    </w:rPr>
  </w:style>
  <w:style w:type="character" w:customStyle="1" w:styleId="45">
    <w:name w:val="标题 8 Char"/>
    <w:link w:val="11"/>
    <w:qFormat/>
    <w:locked/>
    <w:uiPriority w:val="99"/>
    <w:rPr>
      <w:rFonts w:ascii="Arial" w:hAnsi="Arial" w:eastAsia="黑体" w:cs="Arial"/>
      <w:sz w:val="24"/>
    </w:rPr>
  </w:style>
  <w:style w:type="character" w:customStyle="1" w:styleId="46">
    <w:name w:val="标题 9 Char"/>
    <w:link w:val="12"/>
    <w:qFormat/>
    <w:locked/>
    <w:uiPriority w:val="99"/>
    <w:rPr>
      <w:rFonts w:ascii="Arial" w:hAnsi="Arial" w:eastAsia="黑体" w:cs="Arial"/>
      <w:sz w:val="21"/>
    </w:rPr>
  </w:style>
  <w:style w:type="character" w:customStyle="1" w:styleId="47">
    <w:name w:val="文档结构图 Char"/>
    <w:link w:val="13"/>
    <w:qFormat/>
    <w:locked/>
    <w:uiPriority w:val="99"/>
    <w:rPr>
      <w:rFonts w:ascii="Microsoft YaHei UI" w:hAnsi="Microsoft YaHei UI" w:eastAsia="Microsoft YaHei UI" w:cs="Microsoft YaHei UI"/>
      <w:kern w:val="2"/>
      <w:sz w:val="18"/>
      <w:szCs w:val="18"/>
    </w:rPr>
  </w:style>
  <w:style w:type="character" w:customStyle="1" w:styleId="48">
    <w:name w:val="批注文字 Char1"/>
    <w:link w:val="14"/>
    <w:qFormat/>
    <w:locked/>
    <w:uiPriority w:val="99"/>
    <w:rPr>
      <w:rFonts w:cs="Times New Roman"/>
      <w:kern w:val="2"/>
      <w:sz w:val="21"/>
    </w:rPr>
  </w:style>
  <w:style w:type="character" w:customStyle="1" w:styleId="49">
    <w:name w:val="正文文本 3 Char"/>
    <w:link w:val="15"/>
    <w:qFormat/>
    <w:locked/>
    <w:uiPriority w:val="99"/>
    <w:rPr>
      <w:rFonts w:cs="Times New Roman"/>
      <w:color w:val="000000"/>
      <w:kern w:val="2"/>
      <w:sz w:val="21"/>
    </w:rPr>
  </w:style>
  <w:style w:type="character" w:customStyle="1" w:styleId="50">
    <w:name w:val="正文文本 Char"/>
    <w:link w:val="16"/>
    <w:qFormat/>
    <w:locked/>
    <w:uiPriority w:val="99"/>
    <w:rPr>
      <w:rFonts w:ascii="楷体_GB2312" w:eastAsia="楷体_GB2312" w:cs="楷体_GB2312"/>
      <w:kern w:val="2"/>
      <w:sz w:val="30"/>
    </w:rPr>
  </w:style>
  <w:style w:type="character" w:customStyle="1" w:styleId="51">
    <w:name w:val="正文文本缩进 Char"/>
    <w:link w:val="17"/>
    <w:qFormat/>
    <w:locked/>
    <w:uiPriority w:val="99"/>
    <w:rPr>
      <w:rFonts w:ascii="宋体" w:hAnsi="宋体" w:eastAsia="宋体" w:cs="Arial"/>
      <w:kern w:val="0"/>
      <w:sz w:val="30"/>
      <w:szCs w:val="30"/>
    </w:rPr>
  </w:style>
  <w:style w:type="character" w:customStyle="1" w:styleId="52">
    <w:name w:val="正文文本缩进 2 Char"/>
    <w:link w:val="21"/>
    <w:qFormat/>
    <w:locked/>
    <w:uiPriority w:val="99"/>
    <w:rPr>
      <w:rFonts w:ascii="宋体" w:hAnsi="宋体" w:eastAsia="宋体" w:cs="宋体"/>
      <w:b/>
      <w:kern w:val="2"/>
      <w:sz w:val="21"/>
    </w:rPr>
  </w:style>
  <w:style w:type="character" w:customStyle="1" w:styleId="53">
    <w:name w:val="批注框文本 Char"/>
    <w:link w:val="22"/>
    <w:qFormat/>
    <w:locked/>
    <w:uiPriority w:val="99"/>
    <w:rPr>
      <w:rFonts w:cs="Times New Roman"/>
      <w:kern w:val="2"/>
      <w:sz w:val="18"/>
      <w:szCs w:val="18"/>
    </w:rPr>
  </w:style>
  <w:style w:type="character" w:customStyle="1" w:styleId="54">
    <w:name w:val="页脚 Char"/>
    <w:link w:val="23"/>
    <w:qFormat/>
    <w:locked/>
    <w:uiPriority w:val="99"/>
    <w:rPr>
      <w:rFonts w:cs="Times New Roman"/>
      <w:sz w:val="18"/>
      <w:szCs w:val="18"/>
    </w:rPr>
  </w:style>
  <w:style w:type="character" w:customStyle="1" w:styleId="55">
    <w:name w:val="页眉 Char"/>
    <w:link w:val="24"/>
    <w:qFormat/>
    <w:locked/>
    <w:uiPriority w:val="99"/>
    <w:rPr>
      <w:rFonts w:cs="Times New Roman"/>
      <w:color w:val="000000"/>
      <w:sz w:val="18"/>
      <w:szCs w:val="18"/>
    </w:rPr>
  </w:style>
  <w:style w:type="character" w:customStyle="1" w:styleId="56">
    <w:name w:val="正文文本缩进 3 Char"/>
    <w:link w:val="26"/>
    <w:qFormat/>
    <w:locked/>
    <w:uiPriority w:val="99"/>
    <w:rPr>
      <w:rFonts w:ascii="宋体" w:hAnsi="宋体" w:eastAsia="宋体" w:cs="Arial"/>
      <w:kern w:val="0"/>
      <w:sz w:val="24"/>
      <w:szCs w:val="24"/>
    </w:rPr>
  </w:style>
  <w:style w:type="character" w:customStyle="1" w:styleId="57">
    <w:name w:val="正文文本 2 Char"/>
    <w:link w:val="28"/>
    <w:qFormat/>
    <w:locked/>
    <w:uiPriority w:val="99"/>
    <w:rPr>
      <w:rFonts w:ascii="宋体" w:hAnsi="宋体" w:eastAsia="宋体" w:cs="宋体"/>
      <w:kern w:val="2"/>
      <w:sz w:val="18"/>
    </w:rPr>
  </w:style>
  <w:style w:type="character" w:customStyle="1" w:styleId="58">
    <w:name w:val="charchar3"/>
    <w:qFormat/>
    <w:uiPriority w:val="99"/>
    <w:rPr>
      <w:rFonts w:cs="Times New Roman"/>
    </w:rPr>
  </w:style>
  <w:style w:type="paragraph" w:customStyle="1" w:styleId="59">
    <w:name w:val="z-窗体顶端1"/>
    <w:basedOn w:val="1"/>
    <w:next w:val="1"/>
    <w:link w:val="60"/>
    <w:qFormat/>
    <w:uiPriority w:val="99"/>
    <w:pPr>
      <w:widowControl/>
      <w:pBdr>
        <w:bottom w:val="single" w:color="auto" w:sz="6" w:space="1"/>
      </w:pBdr>
      <w:jc w:val="center"/>
    </w:pPr>
    <w:rPr>
      <w:rFonts w:ascii="Arial" w:hAnsi="Arial" w:cs="Arial"/>
      <w:vanish/>
      <w:kern w:val="0"/>
      <w:sz w:val="16"/>
      <w:szCs w:val="16"/>
    </w:rPr>
  </w:style>
  <w:style w:type="character" w:customStyle="1" w:styleId="60">
    <w:name w:val="z-窗体顶端 Char"/>
    <w:link w:val="59"/>
    <w:qFormat/>
    <w:locked/>
    <w:uiPriority w:val="99"/>
    <w:rPr>
      <w:rFonts w:ascii="Arial" w:hAnsi="Arial" w:eastAsia="宋体" w:cs="Arial"/>
      <w:vanish/>
      <w:kern w:val="0"/>
      <w:sz w:val="16"/>
      <w:szCs w:val="16"/>
    </w:rPr>
  </w:style>
  <w:style w:type="paragraph" w:customStyle="1" w:styleId="61">
    <w:name w:val="z-窗体底端1"/>
    <w:basedOn w:val="1"/>
    <w:next w:val="1"/>
    <w:link w:val="62"/>
    <w:qFormat/>
    <w:uiPriority w:val="99"/>
    <w:pPr>
      <w:widowControl/>
      <w:pBdr>
        <w:top w:val="single" w:color="auto" w:sz="6" w:space="1"/>
      </w:pBdr>
      <w:jc w:val="center"/>
    </w:pPr>
    <w:rPr>
      <w:rFonts w:ascii="Arial" w:hAnsi="Arial" w:cs="Arial"/>
      <w:vanish/>
      <w:kern w:val="0"/>
      <w:sz w:val="16"/>
      <w:szCs w:val="16"/>
    </w:rPr>
  </w:style>
  <w:style w:type="character" w:customStyle="1" w:styleId="62">
    <w:name w:val="z-窗体底端 Char"/>
    <w:link w:val="61"/>
    <w:qFormat/>
    <w:locked/>
    <w:uiPriority w:val="99"/>
    <w:rPr>
      <w:rFonts w:ascii="Arial" w:hAnsi="Arial" w:eastAsia="宋体" w:cs="Arial"/>
      <w:vanish/>
      <w:kern w:val="0"/>
      <w:sz w:val="16"/>
      <w:szCs w:val="16"/>
    </w:rPr>
  </w:style>
  <w:style w:type="character" w:customStyle="1" w:styleId="63">
    <w:name w:val="charchar1"/>
    <w:qFormat/>
    <w:uiPriority w:val="99"/>
    <w:rPr>
      <w:rFonts w:ascii="Cambria" w:hAnsi="Cambria" w:cs="Cambria"/>
      <w:color w:val="17365D"/>
      <w:spacing w:val="5"/>
    </w:rPr>
  </w:style>
  <w:style w:type="character" w:customStyle="1" w:styleId="64">
    <w:name w:val="charchar8"/>
    <w:qFormat/>
    <w:uiPriority w:val="99"/>
    <w:rPr>
      <w:rFonts w:ascii="Calibri" w:hAnsi="Calibri" w:cs="Calibri"/>
    </w:rPr>
  </w:style>
  <w:style w:type="character" w:customStyle="1" w:styleId="65">
    <w:name w:val="charchar11"/>
    <w:qFormat/>
    <w:uiPriority w:val="99"/>
    <w:rPr>
      <w:rFonts w:ascii="Calibri" w:hAnsi="Calibri" w:cs="Calibri"/>
    </w:rPr>
  </w:style>
  <w:style w:type="character" w:customStyle="1" w:styleId="66">
    <w:name w:val="charchar9"/>
    <w:qFormat/>
    <w:uiPriority w:val="99"/>
    <w:rPr>
      <w:rFonts w:ascii="Calibri" w:hAnsi="Calibri" w:cs="Calibri"/>
    </w:rPr>
  </w:style>
  <w:style w:type="character" w:customStyle="1" w:styleId="67">
    <w:name w:val="charchar7"/>
    <w:qFormat/>
    <w:uiPriority w:val="99"/>
    <w:rPr>
      <w:rFonts w:ascii="Calibri" w:hAnsi="Calibri" w:cs="Calibri"/>
    </w:rPr>
  </w:style>
  <w:style w:type="character" w:customStyle="1" w:styleId="68">
    <w:name w:val="charchar5"/>
    <w:qFormat/>
    <w:uiPriority w:val="99"/>
    <w:rPr>
      <w:rFonts w:ascii="宋体" w:hAnsi="宋体" w:eastAsia="宋体" w:cs="宋体"/>
    </w:rPr>
  </w:style>
  <w:style w:type="character" w:customStyle="1" w:styleId="69">
    <w:name w:val="charchar22"/>
    <w:qFormat/>
    <w:uiPriority w:val="99"/>
    <w:rPr>
      <w:rFonts w:ascii="新宋体" w:hAnsi="新宋体" w:eastAsia="新宋体" w:cs="新宋体"/>
      <w:b/>
    </w:rPr>
  </w:style>
  <w:style w:type="character" w:customStyle="1" w:styleId="70">
    <w:name w:val="charchar10"/>
    <w:qFormat/>
    <w:uiPriority w:val="99"/>
    <w:rPr>
      <w:rFonts w:ascii="Calibri" w:hAnsi="Calibri" w:cs="Calibri"/>
    </w:rPr>
  </w:style>
  <w:style w:type="character" w:customStyle="1" w:styleId="71">
    <w:name w:val="charchar4"/>
    <w:qFormat/>
    <w:uiPriority w:val="99"/>
    <w:rPr>
      <w:rFonts w:ascii="宋体" w:hAnsi="宋体" w:eastAsia="宋体" w:cs="宋体"/>
    </w:rPr>
  </w:style>
  <w:style w:type="character" w:customStyle="1" w:styleId="72">
    <w:name w:val="charchar18"/>
    <w:qFormat/>
    <w:uiPriority w:val="99"/>
    <w:rPr>
      <w:rFonts w:ascii="Cambria" w:hAnsi="Cambria" w:cs="Cambria"/>
      <w:color w:val="243F60"/>
    </w:rPr>
  </w:style>
  <w:style w:type="character" w:customStyle="1" w:styleId="73">
    <w:name w:val="charchar19"/>
    <w:qFormat/>
    <w:uiPriority w:val="99"/>
    <w:rPr>
      <w:rFonts w:ascii="Cambria" w:hAnsi="Cambria" w:cs="Cambria"/>
      <w:b/>
      <w:i/>
      <w:color w:val="4F81BD"/>
    </w:rPr>
  </w:style>
  <w:style w:type="character" w:customStyle="1" w:styleId="74">
    <w:name w:val="char"/>
    <w:qFormat/>
    <w:uiPriority w:val="99"/>
    <w:rPr>
      <w:rFonts w:ascii="Calibri" w:hAnsi="Calibri" w:cs="Calibri"/>
      <w:i/>
      <w:color w:val="000000"/>
    </w:rPr>
  </w:style>
  <w:style w:type="character" w:customStyle="1" w:styleId="75">
    <w:name w:val="charchar12"/>
    <w:qFormat/>
    <w:uiPriority w:val="99"/>
    <w:rPr>
      <w:rFonts w:ascii="Calibri" w:hAnsi="Calibri" w:cs="Calibri"/>
    </w:rPr>
  </w:style>
  <w:style w:type="character" w:customStyle="1" w:styleId="76">
    <w:name w:val="charchar16"/>
    <w:qFormat/>
    <w:uiPriority w:val="99"/>
    <w:rPr>
      <w:rFonts w:ascii="Cambria" w:hAnsi="Cambria" w:cs="Cambria"/>
      <w:i/>
      <w:color w:val="404040"/>
    </w:rPr>
  </w:style>
  <w:style w:type="character" w:customStyle="1" w:styleId="77">
    <w:name w:val="批注文字 Char"/>
    <w:qFormat/>
    <w:locked/>
    <w:uiPriority w:val="99"/>
    <w:rPr>
      <w:rFonts w:cs="Times New Roman"/>
      <w:kern w:val="2"/>
      <w:sz w:val="24"/>
      <w:szCs w:val="24"/>
    </w:rPr>
  </w:style>
  <w:style w:type="character" w:customStyle="1" w:styleId="78">
    <w:name w:val="charchar15"/>
    <w:qFormat/>
    <w:uiPriority w:val="99"/>
    <w:rPr>
      <w:rFonts w:ascii="Cambria" w:hAnsi="Cambria" w:cs="Cambria"/>
      <w:color w:val="4F81BD"/>
    </w:rPr>
  </w:style>
  <w:style w:type="character" w:customStyle="1" w:styleId="79">
    <w:name w:val="char0"/>
    <w:qFormat/>
    <w:uiPriority w:val="99"/>
    <w:rPr>
      <w:rFonts w:ascii="Calibri" w:hAnsi="Calibri" w:cs="Calibri"/>
      <w:b/>
      <w:i/>
      <w:color w:val="4F81BD"/>
    </w:rPr>
  </w:style>
  <w:style w:type="character" w:customStyle="1" w:styleId="80">
    <w:name w:val="charchar20"/>
    <w:qFormat/>
    <w:uiPriority w:val="99"/>
    <w:rPr>
      <w:rFonts w:ascii="新宋体" w:hAnsi="新宋体" w:eastAsia="新宋体" w:cs="新宋体"/>
      <w:b/>
      <w:snapToGrid w:val="0"/>
    </w:rPr>
  </w:style>
  <w:style w:type="character" w:customStyle="1" w:styleId="81">
    <w:name w:val="charchar14"/>
    <w:qFormat/>
    <w:uiPriority w:val="99"/>
    <w:rPr>
      <w:rFonts w:ascii="Cambria" w:hAnsi="Cambria" w:cs="Cambria"/>
      <w:i/>
      <w:color w:val="404040"/>
    </w:rPr>
  </w:style>
  <w:style w:type="character" w:customStyle="1" w:styleId="82">
    <w:name w:val="charchar2"/>
    <w:qFormat/>
    <w:uiPriority w:val="99"/>
    <w:rPr>
      <w:rFonts w:ascii="Calibri" w:hAnsi="Calibri" w:cs="Calibri"/>
      <w:b/>
    </w:rPr>
  </w:style>
  <w:style w:type="character" w:customStyle="1" w:styleId="83">
    <w:name w:val="charchar21"/>
    <w:qFormat/>
    <w:uiPriority w:val="99"/>
    <w:rPr>
      <w:rFonts w:ascii="新宋体" w:hAnsi="新宋体" w:eastAsia="新宋体" w:cs="新宋体"/>
      <w:b/>
    </w:rPr>
  </w:style>
  <w:style w:type="character" w:customStyle="1" w:styleId="84">
    <w:name w:val="charchar6"/>
    <w:qFormat/>
    <w:uiPriority w:val="99"/>
    <w:rPr>
      <w:rFonts w:ascii="宋体" w:hAnsi="宋体" w:eastAsia="宋体" w:cs="宋体"/>
      <w:b/>
    </w:rPr>
  </w:style>
  <w:style w:type="character" w:customStyle="1" w:styleId="85">
    <w:name w:val="charchar13"/>
    <w:qFormat/>
    <w:uiPriority w:val="99"/>
    <w:rPr>
      <w:rFonts w:ascii="宋体" w:hAnsi="宋体" w:eastAsia="宋体" w:cs="宋体"/>
    </w:rPr>
  </w:style>
  <w:style w:type="character" w:customStyle="1" w:styleId="86">
    <w:name w:val="charchar17"/>
    <w:qFormat/>
    <w:uiPriority w:val="99"/>
    <w:rPr>
      <w:rFonts w:ascii="Cambria" w:hAnsi="Cambria" w:cs="Cambria"/>
      <w:i/>
      <w:color w:val="243F60"/>
    </w:rPr>
  </w:style>
  <w:style w:type="character" w:customStyle="1" w:styleId="87">
    <w:name w:val="charchar"/>
    <w:qFormat/>
    <w:uiPriority w:val="99"/>
    <w:rPr>
      <w:rFonts w:ascii="Cambria" w:hAnsi="Cambria" w:cs="Cambria"/>
      <w:i/>
      <w:color w:val="4F81BD"/>
      <w:spacing w:val="15"/>
    </w:rPr>
  </w:style>
  <w:style w:type="paragraph" w:customStyle="1" w:styleId="88">
    <w:name w:val="列出段落1"/>
    <w:basedOn w:val="1"/>
    <w:qFormat/>
    <w:uiPriority w:val="99"/>
    <w:pPr>
      <w:ind w:firstLine="420" w:firstLineChars="200"/>
    </w:pPr>
  </w:style>
  <w:style w:type="paragraph" w:customStyle="1" w:styleId="89">
    <w:name w:val="z-窗体顶端2"/>
    <w:basedOn w:val="1"/>
    <w:next w:val="1"/>
    <w:link w:val="90"/>
    <w:qFormat/>
    <w:uiPriority w:val="99"/>
    <w:pPr>
      <w:pBdr>
        <w:bottom w:val="single" w:color="auto" w:sz="6" w:space="1"/>
      </w:pBdr>
      <w:jc w:val="center"/>
    </w:pPr>
    <w:rPr>
      <w:rFonts w:ascii="Arial"/>
      <w:vanish/>
      <w:sz w:val="16"/>
      <w:szCs w:val="16"/>
    </w:rPr>
  </w:style>
  <w:style w:type="character" w:customStyle="1" w:styleId="90">
    <w:name w:val="z-窗体顶端 Char1"/>
    <w:link w:val="89"/>
    <w:qFormat/>
    <w:locked/>
    <w:uiPriority w:val="99"/>
    <w:rPr>
      <w:rFonts w:ascii="Arial" w:hAnsi="Arial" w:eastAsia="宋体" w:cs="Arial"/>
      <w:vanish/>
      <w:kern w:val="2"/>
      <w:sz w:val="16"/>
      <w:szCs w:val="16"/>
    </w:rPr>
  </w:style>
  <w:style w:type="character" w:customStyle="1" w:styleId="91">
    <w:name w:val="15"/>
    <w:qFormat/>
    <w:uiPriority w:val="99"/>
    <w:rPr>
      <w:rFonts w:ascii="Arial" w:hAnsi="Arial" w:cs="Arial"/>
      <w:color w:val="7A4EA7"/>
    </w:rPr>
  </w:style>
  <w:style w:type="character" w:customStyle="1" w:styleId="92">
    <w:name w:val="批注主题 Char"/>
    <w:link w:val="31"/>
    <w:qFormat/>
    <w:locked/>
    <w:uiPriority w:val="99"/>
    <w:rPr>
      <w:rFonts w:ascii="Calibri" w:hAnsi="Calibri" w:cs="Times New Roman"/>
      <w:b/>
      <w:bCs/>
      <w:kern w:val="2"/>
      <w:sz w:val="22"/>
      <w:szCs w:val="22"/>
    </w:rPr>
  </w:style>
  <w:style w:type="paragraph" w:customStyle="1" w:styleId="93">
    <w:name w:val="列出段落2"/>
    <w:basedOn w:val="1"/>
    <w:qFormat/>
    <w:uiPriority w:val="99"/>
    <w:pPr>
      <w:ind w:firstLine="420" w:firstLineChars="200"/>
    </w:pPr>
  </w:style>
  <w:style w:type="paragraph" w:customStyle="1" w:styleId="94">
    <w:name w:val="style2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5">
    <w:name w:val="apple-converted-space"/>
    <w:qFormat/>
    <w:uiPriority w:val="99"/>
    <w:rPr>
      <w:rFonts w:cs="Times New Roman"/>
    </w:rPr>
  </w:style>
  <w:style w:type="paragraph" w:styleId="96">
    <w:name w:val="List Paragraph"/>
    <w:basedOn w:val="1"/>
    <w:qFormat/>
    <w:uiPriority w:val="99"/>
    <w:pPr>
      <w:ind w:firstLine="420" w:firstLineChars="200"/>
    </w:pPr>
  </w:style>
  <w:style w:type="paragraph" w:styleId="9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9">
    <w:name w:val="纯文本 Char"/>
    <w:link w:val="19"/>
    <w:qFormat/>
    <w:locked/>
    <w:uiPriority w:val="99"/>
    <w:rPr>
      <w:rFonts w:ascii="宋体" w:hAnsi="Courier New"/>
      <w:kern w:val="2"/>
      <w:sz w:val="21"/>
    </w:rPr>
  </w:style>
  <w:style w:type="character" w:customStyle="1" w:styleId="100">
    <w:name w:val="Plain Text Char"/>
    <w:semiHidden/>
    <w:qFormat/>
    <w:locked/>
    <w:uiPriority w:val="99"/>
    <w:rPr>
      <w:rFonts w:ascii="宋体" w:hAnsi="Courier New" w:cs="Courier New"/>
      <w:sz w:val="21"/>
      <w:szCs w:val="21"/>
    </w:rPr>
  </w:style>
  <w:style w:type="character" w:customStyle="1" w:styleId="101">
    <w:name w:val="日期 Char"/>
    <w:link w:val="20"/>
    <w:semiHidden/>
    <w:qFormat/>
    <w:locked/>
    <w:uiPriority w:val="99"/>
    <w:rPr>
      <w:rFonts w:ascii="Calibri" w:hAnsi="Calibri" w:cs="Times New Roman"/>
    </w:rPr>
  </w:style>
  <w:style w:type="character" w:customStyle="1" w:styleId="102">
    <w:name w:val="标题 Char"/>
    <w:link w:val="30"/>
    <w:qFormat/>
    <w:uiPriority w:val="0"/>
    <w:rPr>
      <w:rFonts w:ascii="Cambria" w:hAnsi="Cambria"/>
      <w:b/>
      <w:bCs/>
      <w:sz w:val="32"/>
      <w:szCs w:val="32"/>
    </w:rPr>
  </w:style>
  <w:style w:type="character" w:customStyle="1" w:styleId="103">
    <w:name w:val="标题 Char1"/>
    <w:basedOn w:val="34"/>
    <w:qFormat/>
    <w:uiPriority w:val="0"/>
    <w:rPr>
      <w:rFonts w:asciiTheme="majorHAnsi" w:hAnsiTheme="majorHAnsi" w:cstheme="majorBidi"/>
      <w:b/>
      <w:bCs/>
      <w:kern w:val="2"/>
      <w:sz w:val="32"/>
      <w:szCs w:val="32"/>
    </w:rPr>
  </w:style>
  <w:style w:type="paragraph" w:customStyle="1" w:styleId="104">
    <w:name w:val="WPSOffice手动目录 1"/>
    <w:qFormat/>
    <w:uiPriority w:val="0"/>
    <w:pPr>
      <w:ind w:leftChars="0"/>
    </w:pPr>
    <w:rPr>
      <w:rFonts w:ascii="Times New Roman" w:hAnsi="Times New Roman" w:eastAsia="宋体" w:cs="Times New Roman"/>
      <w:sz w:val="20"/>
      <w:szCs w:val="20"/>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08ec47b-1095-4f2c-953d-b79590b92d8e}"/>
        <w:style w:val=""/>
        <w:category>
          <w:name w:val="常规"/>
          <w:gallery w:val="placeholder"/>
        </w:category>
        <w:types>
          <w:type w:val="bbPlcHdr"/>
        </w:types>
        <w:behaviors>
          <w:behavior w:val="content"/>
        </w:behaviors>
        <w:description w:val=""/>
        <w:guid w:val="{008ec47b-1095-4f2c-953d-b79590b92d8e}"/>
      </w:docPartPr>
      <w:docPartBody>
        <w:p>
          <w:r>
            <w:rPr>
              <w:color w:val="808080"/>
            </w:rPr>
            <w:t>单击此处输入文字。</w:t>
          </w:r>
        </w:p>
      </w:docPartBody>
    </w:docPart>
    <w:docPart>
      <w:docPartPr>
        <w:name w:val="{f217ceb2-a18e-4dd1-a92d-0b5093ec3428}"/>
        <w:style w:val=""/>
        <w:category>
          <w:name w:val="常规"/>
          <w:gallery w:val="placeholder"/>
        </w:category>
        <w:types>
          <w:type w:val="bbPlcHdr"/>
        </w:types>
        <w:behaviors>
          <w:behavior w:val="content"/>
        </w:behaviors>
        <w:description w:val=""/>
        <w:guid w:val="{f217ceb2-a18e-4dd1-a92d-0b5093ec3428}"/>
      </w:docPartPr>
      <w:docPartBody>
        <w:p>
          <w:r>
            <w:rPr>
              <w:color w:val="808080"/>
            </w:rPr>
            <w:t>单击此处输入文字。</w:t>
          </w:r>
        </w:p>
      </w:docPartBody>
    </w:docPart>
    <w:docPart>
      <w:docPartPr>
        <w:name w:val="{3a3bc635-7dba-400d-a56e-8dac0db44c59}"/>
        <w:style w:val=""/>
        <w:category>
          <w:name w:val="常规"/>
          <w:gallery w:val="placeholder"/>
        </w:category>
        <w:types>
          <w:type w:val="bbPlcHdr"/>
        </w:types>
        <w:behaviors>
          <w:behavior w:val="content"/>
        </w:behaviors>
        <w:description w:val=""/>
        <w:guid w:val="{3a3bc635-7dba-400d-a56e-8dac0db44c59}"/>
      </w:docPartPr>
      <w:docPartBody>
        <w:p>
          <w:r>
            <w:rPr>
              <w:color w:val="808080"/>
            </w:rPr>
            <w:t>单击此处输入文字。</w:t>
          </w:r>
        </w:p>
      </w:docPartBody>
    </w:docPart>
    <w:docPart>
      <w:docPartPr>
        <w:name w:val="{21b5c306-5c89-47bc-bd0f-eaf8ad568e4c}"/>
        <w:style w:val=""/>
        <w:category>
          <w:name w:val="常规"/>
          <w:gallery w:val="placeholder"/>
        </w:category>
        <w:types>
          <w:type w:val="bbPlcHdr"/>
        </w:types>
        <w:behaviors>
          <w:behavior w:val="content"/>
        </w:behaviors>
        <w:description w:val=""/>
        <w:guid w:val="{21b5c306-5c89-47bc-bd0f-eaf8ad568e4c}"/>
      </w:docPartPr>
      <w:docPartBody>
        <w:p>
          <w:r>
            <w:rPr>
              <w:color w:val="808080"/>
            </w:rPr>
            <w:t>单击此处输入文字。</w:t>
          </w:r>
        </w:p>
      </w:docPartBody>
    </w:docPart>
    <w:docPart>
      <w:docPartPr>
        <w:name w:val="{9ae7cac8-a14c-4b6d-bfa7-0689a26f598d}"/>
        <w:style w:val=""/>
        <w:category>
          <w:name w:val="常规"/>
          <w:gallery w:val="placeholder"/>
        </w:category>
        <w:types>
          <w:type w:val="bbPlcHdr"/>
        </w:types>
        <w:behaviors>
          <w:behavior w:val="content"/>
        </w:behaviors>
        <w:description w:val=""/>
        <w:guid w:val="{9ae7cac8-a14c-4b6d-bfa7-0689a26f598d}"/>
      </w:docPartPr>
      <w:docPartBody>
        <w:p>
          <w:r>
            <w:rPr>
              <w:color w:val="808080"/>
            </w:rPr>
            <w:t>单击此处输入文字。</w:t>
          </w:r>
        </w:p>
      </w:docPartBody>
    </w:docPart>
    <w:docPart>
      <w:docPartPr>
        <w:name w:val="{4f155d4a-b989-4bac-8293-afd63e201bf9}"/>
        <w:style w:val=""/>
        <w:category>
          <w:name w:val="常规"/>
          <w:gallery w:val="placeholder"/>
        </w:category>
        <w:types>
          <w:type w:val="bbPlcHdr"/>
        </w:types>
        <w:behaviors>
          <w:behavior w:val="content"/>
        </w:behaviors>
        <w:description w:val=""/>
        <w:guid w:val="{4f155d4a-b989-4bac-8293-afd63e201bf9}"/>
      </w:docPartPr>
      <w:docPartBody>
        <w:p>
          <w:r>
            <w:rPr>
              <w:color w:val="808080"/>
            </w:rPr>
            <w:t>单击此处输入文字。</w:t>
          </w:r>
        </w:p>
      </w:docPartBody>
    </w:docPart>
    <w:docPart>
      <w:docPartPr>
        <w:name w:val="{3902513f-b5ed-451d-9f1e-60f6a01c8c03}"/>
        <w:style w:val=""/>
        <w:category>
          <w:name w:val="常规"/>
          <w:gallery w:val="placeholder"/>
        </w:category>
        <w:types>
          <w:type w:val="bbPlcHdr"/>
        </w:types>
        <w:behaviors>
          <w:behavior w:val="content"/>
        </w:behaviors>
        <w:description w:val=""/>
        <w:guid w:val="{3902513f-b5ed-451d-9f1e-60f6a01c8c03}"/>
      </w:docPartPr>
      <w:docPartBody>
        <w:p>
          <w:r>
            <w:rPr>
              <w:color w:val="808080"/>
            </w:rPr>
            <w:t>单击此处输入文字。</w:t>
          </w:r>
        </w:p>
      </w:docPartBody>
    </w:docPart>
    <w:docPart>
      <w:docPartPr>
        <w:name w:val="{9307ffa1-79a4-4e7f-95bd-67946ad18928}"/>
        <w:style w:val=""/>
        <w:category>
          <w:name w:val="常规"/>
          <w:gallery w:val="placeholder"/>
        </w:category>
        <w:types>
          <w:type w:val="bbPlcHdr"/>
        </w:types>
        <w:behaviors>
          <w:behavior w:val="content"/>
        </w:behaviors>
        <w:description w:val=""/>
        <w:guid w:val="{9307ffa1-79a4-4e7f-95bd-67946ad18928}"/>
      </w:docPartPr>
      <w:docPartBody>
        <w:p>
          <w:r>
            <w:rPr>
              <w:color w:val="808080"/>
            </w:rPr>
            <w:t>单击此处输入文字。</w:t>
          </w:r>
        </w:p>
      </w:docPartBody>
    </w:docPart>
    <w:docPart>
      <w:docPartPr>
        <w:name w:val="{9f3071c7-e9f6-4474-b90a-a20ad00ac9e2}"/>
        <w:style w:val=""/>
        <w:category>
          <w:name w:val="常规"/>
          <w:gallery w:val="placeholder"/>
        </w:category>
        <w:types>
          <w:type w:val="bbPlcHdr"/>
        </w:types>
        <w:behaviors>
          <w:behavior w:val="content"/>
        </w:behaviors>
        <w:description w:val=""/>
        <w:guid w:val="{9f3071c7-e9f6-4474-b90a-a20ad00ac9e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91F84-7A8B-4978-BDEB-FD58A7D186E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2938</Words>
  <Characters>16753</Characters>
  <Lines>139</Lines>
  <Paragraphs>39</Paragraphs>
  <TotalTime>2</TotalTime>
  <ScaleCrop>false</ScaleCrop>
  <LinksUpToDate>false</LinksUpToDate>
  <CharactersWithSpaces>19652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2018-06-21T14:56:00Z</dcterms:created>
  <dc:creator>Administrator</dc:creator>
  <cp:lastModifiedBy>缘来是你</cp:lastModifiedBy>
  <cp:lastPrinted>2021-10-21T03:22:00Z</cp:lastPrinted>
  <dcterms:modified xsi:type="dcterms:W3CDTF">2021-11-15T09:32:05Z</dcterms:modified>
  <dc:title>竞争性谈判文件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