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43" w:hangingChars="600"/>
        <w:jc w:val="center"/>
        <w:textAlignment w:val="auto"/>
        <w:rPr>
          <w:rFonts w:hint="eastAsia" w:ascii="华文中宋" w:hAnsi="华文中宋" w:eastAsia="华文中宋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</w:rPr>
        <w:t>阿勒泰市乡（镇）国土空间总体规划</w:t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43" w:hangingChars="600"/>
        <w:jc w:val="center"/>
        <w:textAlignment w:val="auto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编制项目</w:t>
      </w:r>
      <w:r>
        <w:rPr>
          <w:rFonts w:hint="eastAsia" w:ascii="华文中宋" w:hAnsi="华文中宋" w:eastAsia="华文中宋"/>
          <w:lang w:eastAsia="zh-CN"/>
        </w:rPr>
        <w:t>（</w:t>
      </w:r>
      <w:r>
        <w:rPr>
          <w:rFonts w:hint="eastAsia" w:ascii="华文中宋" w:hAnsi="华文中宋" w:eastAsia="华文中宋"/>
          <w:lang w:val="en-US" w:eastAsia="zh-CN"/>
        </w:rPr>
        <w:t>一标段</w:t>
      </w:r>
      <w:r>
        <w:rPr>
          <w:rFonts w:hint="eastAsia" w:ascii="华文中宋" w:hAnsi="华文中宋" w:eastAsia="华文中宋"/>
          <w:lang w:eastAsia="zh-CN"/>
        </w:rPr>
        <w:t>）</w:t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43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阿勒泰市乡（镇）国土空间总体规划编制项目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一标段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28359079"/>
      <w:bookmarkStart w:id="5" w:name="_Toc35393790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ZFCGRT2021160-1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阿勒泰市乡（镇）国土空间总体规划编制项目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采购需求：对阿勒泰市乡（镇）进行现状调研分析、结合发展实际，编制乡（镇）国土空间总体规划方案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（具体详细内容详见招标文件）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791"/>
      <w:bookmarkStart w:id="8" w:name="_Toc35393622"/>
      <w:bookmarkStart w:id="9" w:name="_Toc28359003"/>
      <w:bookmarkStart w:id="10" w:name="_Toc2835908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81"/>
      <w:bookmarkStart w:id="12" w:name="_Toc2835900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1、投标人应在中华人民共和国境内注册，能独立承担完成本项目的企业；2、投标人须具有城乡规划或</w:t>
      </w:r>
      <w:bookmarkStart w:id="33" w:name="_GoBack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土地规划</w:t>
      </w:r>
      <w:bookmarkEnd w:id="33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乙级以上（含乙级）及测绘乙级以上（含乙级）；3、项目负责人具备相关专业中级以上（含中级）工程师；4、近三年企业、法定代表人无行贿犯罪记录；5、在经营活动中没有重大违法记录；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28359007"/>
      <w:bookmarkStart w:id="20" w:name="_Toc35393794"/>
      <w:bookmarkStart w:id="21" w:name="_Toc28359084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10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人身份证明书（须备注所投项目名称）或法定代表人授权委托书；②法定代表人或被授权委托人身份证及近期在本企业缴纳社保证明；③营业执照副本；④资质证书和项目负责人相关证件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35393796"/>
      <w:bookmarkStart w:id="26" w:name="_Toc28359085"/>
      <w:bookmarkStart w:id="27" w:name="_Toc28359008"/>
      <w:bookmarkStart w:id="28" w:name="_Toc35393627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阿勒泰市自然资源局（阿勒泰市林业和草原局）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阿勒泰市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13779052525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default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 xml:space="preserve">辛田华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81E76A0"/>
    <w:rsid w:val="1A6A5CE7"/>
    <w:rsid w:val="24D76F83"/>
    <w:rsid w:val="261D2075"/>
    <w:rsid w:val="2A8174F1"/>
    <w:rsid w:val="31CE5CE2"/>
    <w:rsid w:val="39237243"/>
    <w:rsid w:val="4B13071F"/>
    <w:rsid w:val="4C7D2366"/>
    <w:rsid w:val="4D3F38D2"/>
    <w:rsid w:val="4D510965"/>
    <w:rsid w:val="571050A0"/>
    <w:rsid w:val="5AA16989"/>
    <w:rsid w:val="5AFD3A06"/>
    <w:rsid w:val="5E551B8D"/>
    <w:rsid w:val="5F2C042B"/>
    <w:rsid w:val="60851DA9"/>
    <w:rsid w:val="64411672"/>
    <w:rsid w:val="64FA7B61"/>
    <w:rsid w:val="6D570436"/>
    <w:rsid w:val="742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lenovo</cp:lastModifiedBy>
  <dcterms:modified xsi:type="dcterms:W3CDTF">2021-11-07T09:10:36Z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369D413880F54AAB89EE22D5AC3CAC41</vt:lpwstr>
  </property>
</Properties>
</file>