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jc w:val="center"/>
        <w:rPr>
          <w:rFonts w:hint="eastAsia" w:ascii="宋体" w:hAnsi="宋体" w:cs="宋体"/>
          <w:b/>
          <w:sz w:val="48"/>
          <w:szCs w:val="48"/>
          <w:lang w:eastAsia="zh-CN"/>
        </w:rPr>
      </w:pPr>
      <w:r>
        <w:rPr>
          <w:rFonts w:hint="eastAsia" w:ascii="宋体" w:hAnsi="宋体" w:cs="宋体"/>
          <w:b/>
          <w:sz w:val="48"/>
          <w:szCs w:val="48"/>
          <w:lang w:eastAsia="zh-CN"/>
        </w:rPr>
        <w:t>昌吉州州人民医院胰岛素泵（进口）</w:t>
      </w:r>
    </w:p>
    <w:p>
      <w:pPr>
        <w:pStyle w:val="32"/>
        <w:jc w:val="center"/>
        <w:rPr>
          <w:rFonts w:ascii="宋体" w:hAnsi="宋体"/>
          <w:color w:val="auto"/>
          <w:sz w:val="32"/>
        </w:rPr>
      </w:pPr>
      <w:r>
        <w:rPr>
          <w:rFonts w:hint="eastAsia" w:ascii="宋体" w:hAnsi="宋体" w:cs="宋体"/>
          <w:b/>
          <w:sz w:val="48"/>
          <w:szCs w:val="48"/>
          <w:lang w:eastAsia="zh-CN"/>
        </w:rPr>
        <w:t>等</w:t>
      </w:r>
      <w:r>
        <w:rPr>
          <w:rFonts w:hint="eastAsia" w:ascii="宋体" w:hAnsi="宋体" w:cs="宋体"/>
          <w:b/>
          <w:sz w:val="48"/>
          <w:szCs w:val="48"/>
          <w:lang w:val="en-US" w:eastAsia="zh-CN"/>
        </w:rPr>
        <w:t>7类16台医疗设备采购项目</w:t>
      </w:r>
      <w:r>
        <w:rPr>
          <w:rFonts w:hint="eastAsia" w:ascii="宋体" w:hAnsi="宋体" w:cs="宋体"/>
          <w:b/>
          <w:sz w:val="48"/>
          <w:szCs w:val="48"/>
          <w:lang w:eastAsia="zh-CN"/>
        </w:rPr>
        <w:t>（一包）</w:t>
      </w:r>
    </w:p>
    <w:p>
      <w:pPr>
        <w:pStyle w:val="32"/>
        <w:rPr>
          <w:rFonts w:ascii="宋体" w:hAnsi="宋体"/>
          <w:color w:val="auto"/>
          <w:sz w:val="32"/>
        </w:rPr>
      </w:pPr>
    </w:p>
    <w:p>
      <w:pPr>
        <w:pStyle w:val="32"/>
        <w:jc w:val="both"/>
        <w:rPr>
          <w:rFonts w:hint="eastAsia" w:ascii="黑体" w:hAnsi="华文中宋" w:eastAsia="黑体"/>
          <w:color w:val="auto"/>
          <w:sz w:val="96"/>
          <w:szCs w:val="112"/>
        </w:rPr>
      </w:pPr>
    </w:p>
    <w:p>
      <w:pPr>
        <w:pStyle w:val="32"/>
        <w:jc w:val="center"/>
        <w:rPr>
          <w:rFonts w:hint="eastAsia" w:ascii="黑体" w:hAnsi="华文中宋" w:eastAsia="黑体"/>
          <w:color w:val="auto"/>
          <w:sz w:val="96"/>
          <w:szCs w:val="112"/>
        </w:rPr>
      </w:pPr>
    </w:p>
    <w:p>
      <w:pPr>
        <w:pStyle w:val="32"/>
        <w:ind w:firstLine="1920" w:firstLineChars="200"/>
        <w:jc w:val="both"/>
        <w:rPr>
          <w:rFonts w:ascii="黑体" w:hAnsi="华文中宋" w:eastAsia="黑体"/>
          <w:color w:val="auto"/>
          <w:sz w:val="96"/>
        </w:rPr>
      </w:pPr>
      <w:r>
        <w:rPr>
          <w:rFonts w:hint="eastAsia" w:ascii="黑体" w:hAnsi="华文中宋" w:eastAsia="黑体"/>
          <w:color w:val="auto"/>
          <w:sz w:val="96"/>
          <w:szCs w:val="112"/>
        </w:rPr>
        <w:t>公开招标文件</w:t>
      </w:r>
    </w:p>
    <w:p>
      <w:pPr>
        <w:pStyle w:val="32"/>
        <w:ind w:firstLine="1920" w:firstLineChars="600"/>
        <w:jc w:val="both"/>
        <w:rPr>
          <w:rFonts w:ascii="黑体" w:hAnsi="宋体" w:eastAsia="黑体"/>
          <w:color w:val="auto"/>
          <w:sz w:val="32"/>
        </w:rPr>
      </w:pPr>
    </w:p>
    <w:p>
      <w:pPr>
        <w:pStyle w:val="32"/>
        <w:ind w:firstLine="1920" w:firstLineChars="600"/>
        <w:jc w:val="both"/>
        <w:rPr>
          <w:rFonts w:ascii="黑体" w:hAnsi="宋体" w:eastAsia="黑体"/>
          <w:color w:val="auto"/>
          <w:sz w:val="32"/>
        </w:rPr>
      </w:pPr>
    </w:p>
    <w:p>
      <w:pPr>
        <w:pStyle w:val="32"/>
        <w:ind w:firstLine="1920" w:firstLineChars="600"/>
        <w:jc w:val="both"/>
        <w:rPr>
          <w:rFonts w:ascii="黑体" w:hAnsi="宋体" w:eastAsia="黑体"/>
          <w:color w:val="auto"/>
          <w:sz w:val="32"/>
        </w:rPr>
      </w:pPr>
    </w:p>
    <w:p>
      <w:pPr>
        <w:pStyle w:val="32"/>
        <w:ind w:firstLine="1928" w:firstLineChars="600"/>
        <w:jc w:val="both"/>
        <w:rPr>
          <w:rFonts w:ascii="仿宋_GB2312" w:hAnsi="宋体" w:eastAsia="仿宋_GB2312"/>
          <w:b/>
          <w:color w:val="auto"/>
          <w:sz w:val="32"/>
          <w:szCs w:val="31"/>
        </w:rPr>
      </w:pPr>
    </w:p>
    <w:p>
      <w:pPr>
        <w:pStyle w:val="32"/>
        <w:ind w:firstLine="1928" w:firstLineChars="600"/>
        <w:jc w:val="both"/>
        <w:rPr>
          <w:rFonts w:ascii="仿宋_GB2312" w:hAnsi="宋体" w:eastAsia="仿宋_GB2312"/>
          <w:b/>
          <w:color w:val="auto"/>
          <w:sz w:val="32"/>
          <w:szCs w:val="31"/>
        </w:rPr>
      </w:pPr>
    </w:p>
    <w:p>
      <w:pPr>
        <w:pStyle w:val="32"/>
        <w:ind w:firstLine="1928" w:firstLineChars="600"/>
        <w:jc w:val="both"/>
        <w:rPr>
          <w:rFonts w:hint="eastAsia" w:ascii="仿宋_GB2312" w:hAnsi="宋体" w:eastAsia="仿宋_GB2312"/>
          <w:b/>
          <w:color w:val="auto"/>
          <w:sz w:val="32"/>
          <w:szCs w:val="31"/>
          <w:lang w:eastAsia="zh-CN"/>
        </w:rPr>
      </w:pPr>
      <w:r>
        <w:rPr>
          <w:rFonts w:hint="eastAsia" w:ascii="仿宋_GB2312" w:hAnsi="宋体" w:eastAsia="仿宋_GB2312"/>
          <w:b/>
          <w:color w:val="auto"/>
          <w:sz w:val="32"/>
          <w:szCs w:val="31"/>
        </w:rPr>
        <w:t>文件编号：</w:t>
      </w:r>
      <w:r>
        <w:rPr>
          <w:rFonts w:hint="eastAsia" w:ascii="楷体_GB2312" w:hAnsi="宋体" w:eastAsia="楷体_GB2312"/>
          <w:b/>
          <w:color w:val="auto"/>
          <w:sz w:val="32"/>
          <w:szCs w:val="31"/>
          <w:u w:val="single"/>
          <w:lang w:eastAsia="zh-CN"/>
        </w:rPr>
        <w:t>XJTQ2021ZB97-CG</w:t>
      </w:r>
      <w:r>
        <w:rPr>
          <w:rFonts w:hint="eastAsia" w:ascii="楷体_GB2312" w:hAnsi="宋体" w:eastAsia="楷体_GB2312"/>
          <w:b/>
          <w:color w:val="auto"/>
          <w:sz w:val="32"/>
          <w:szCs w:val="31"/>
          <w:u w:val="single"/>
          <w:lang w:val="en-US" w:eastAsia="zh-CN"/>
        </w:rPr>
        <w:t>001</w:t>
      </w:r>
    </w:p>
    <w:p>
      <w:pPr>
        <w:pStyle w:val="32"/>
        <w:ind w:firstLine="1928" w:firstLineChars="600"/>
        <w:jc w:val="both"/>
        <w:rPr>
          <w:rFonts w:hint="eastAsia" w:ascii="仿宋_GB2312" w:hAnsi="宋体" w:eastAsia="仿宋_GB2312"/>
          <w:b/>
          <w:color w:val="auto"/>
          <w:sz w:val="32"/>
          <w:szCs w:val="31"/>
        </w:rPr>
      </w:pPr>
    </w:p>
    <w:p>
      <w:pPr>
        <w:pStyle w:val="32"/>
        <w:ind w:firstLine="1928" w:firstLineChars="600"/>
        <w:jc w:val="both"/>
        <w:rPr>
          <w:rFonts w:hint="eastAsia" w:ascii="仿宋_GB2312" w:hAnsi="宋体" w:eastAsia="仿宋_GB2312"/>
          <w:b/>
          <w:color w:val="auto"/>
          <w:sz w:val="32"/>
          <w:szCs w:val="31"/>
        </w:rPr>
      </w:pPr>
    </w:p>
    <w:p>
      <w:pPr>
        <w:pStyle w:val="32"/>
        <w:jc w:val="both"/>
        <w:rPr>
          <w:rFonts w:hint="default" w:ascii="楷体_GB2312" w:hAnsi="宋体" w:eastAsia="楷体_GB2312"/>
          <w:b/>
          <w:color w:val="auto"/>
          <w:sz w:val="32"/>
          <w:szCs w:val="31"/>
          <w:u w:val="single"/>
          <w:lang w:val="en-US" w:eastAsia="zh-CN"/>
        </w:rPr>
      </w:pPr>
      <w:r>
        <w:rPr>
          <w:rFonts w:hint="eastAsia" w:ascii="楷体_GB2312" w:hAnsi="宋体" w:eastAsia="楷体_GB2312"/>
          <w:b/>
          <w:color w:val="auto"/>
          <w:sz w:val="32"/>
          <w:szCs w:val="31"/>
          <w:u w:val="single"/>
          <w:lang w:eastAsia="zh-CN"/>
        </w:rPr>
        <w:t>采购人：昌吉州州人民医院（本项目由昌吉回族自治州卫生健康委员会组织部门集中采购）</w:t>
      </w:r>
    </w:p>
    <w:p>
      <w:pPr>
        <w:pStyle w:val="32"/>
        <w:ind w:firstLine="1928" w:firstLineChars="600"/>
        <w:jc w:val="both"/>
        <w:rPr>
          <w:rFonts w:hint="default" w:ascii="楷体_GB2312" w:hAnsi="宋体" w:eastAsia="楷体_GB2312"/>
          <w:b/>
          <w:color w:val="auto"/>
          <w:sz w:val="32"/>
          <w:szCs w:val="31"/>
          <w:u w:val="single"/>
          <w:lang w:val="en-US" w:eastAsia="zh-CN"/>
        </w:rPr>
      </w:pPr>
    </w:p>
    <w:p>
      <w:pPr>
        <w:pStyle w:val="32"/>
        <w:jc w:val="both"/>
        <w:rPr>
          <w:rFonts w:hint="eastAsia" w:ascii="楷体_GB2312" w:hAnsi="宋体" w:eastAsia="楷体_GB2312"/>
          <w:b/>
          <w:color w:val="auto"/>
          <w:sz w:val="32"/>
          <w:szCs w:val="31"/>
          <w:lang w:eastAsia="zh-CN"/>
        </w:rPr>
      </w:pPr>
      <w:r>
        <w:rPr>
          <w:rFonts w:hint="eastAsia" w:ascii="楷体_GB2312" w:hAnsi="宋体" w:eastAsia="楷体_GB2312"/>
          <w:b/>
          <w:color w:val="auto"/>
          <w:sz w:val="32"/>
          <w:szCs w:val="31"/>
        </w:rPr>
        <w:t>采购代理机构：</w:t>
      </w:r>
      <w:r>
        <w:rPr>
          <w:rFonts w:hint="eastAsia" w:ascii="楷体_GB2312" w:hAnsi="宋体" w:eastAsia="楷体_GB2312"/>
          <w:b/>
          <w:color w:val="auto"/>
          <w:sz w:val="32"/>
          <w:szCs w:val="31"/>
          <w:u w:val="single"/>
          <w:lang w:eastAsia="zh-CN"/>
        </w:rPr>
        <w:t>新疆天麒工程项目管理咨询有限责任公司</w:t>
      </w:r>
    </w:p>
    <w:p>
      <w:pPr>
        <w:pStyle w:val="32"/>
        <w:ind w:firstLine="1928" w:firstLineChars="600"/>
        <w:jc w:val="both"/>
        <w:rPr>
          <w:rFonts w:hint="eastAsia" w:ascii="楷体_GB2312" w:hAnsi="宋体" w:eastAsia="楷体_GB2312"/>
          <w:b/>
          <w:color w:val="auto"/>
          <w:sz w:val="32"/>
          <w:szCs w:val="31"/>
        </w:rPr>
      </w:pPr>
    </w:p>
    <w:p>
      <w:pPr>
        <w:pStyle w:val="32"/>
        <w:ind w:firstLine="1928" w:firstLineChars="600"/>
        <w:jc w:val="both"/>
        <w:rPr>
          <w:rFonts w:hint="eastAsia" w:ascii="楷体_GB2312" w:hAnsi="宋体" w:eastAsia="楷体_GB2312"/>
          <w:b/>
          <w:color w:val="auto"/>
          <w:sz w:val="32"/>
          <w:szCs w:val="31"/>
        </w:rPr>
      </w:pPr>
    </w:p>
    <w:p>
      <w:pPr>
        <w:pStyle w:val="32"/>
        <w:ind w:firstLine="2570" w:firstLineChars="800"/>
        <w:jc w:val="both"/>
        <w:rPr>
          <w:rFonts w:hint="eastAsia" w:ascii="楷体_GB2312" w:hAnsi="宋体" w:eastAsia="楷体_GB2312"/>
          <w:b/>
          <w:color w:val="auto"/>
          <w:sz w:val="32"/>
          <w:szCs w:val="31"/>
        </w:rPr>
      </w:pPr>
    </w:p>
    <w:p>
      <w:pPr>
        <w:pStyle w:val="32"/>
        <w:jc w:val="both"/>
        <w:rPr>
          <w:rFonts w:hint="eastAsia" w:ascii="楷体_GB2312" w:hAnsi="宋体" w:eastAsia="楷体_GB2312"/>
          <w:b/>
          <w:color w:val="auto"/>
          <w:sz w:val="32"/>
          <w:szCs w:val="31"/>
        </w:rPr>
      </w:pPr>
    </w:p>
    <w:p>
      <w:pPr>
        <w:pStyle w:val="32"/>
        <w:ind w:firstLine="2570" w:firstLineChars="800"/>
        <w:jc w:val="both"/>
        <w:rPr>
          <w:rFonts w:hint="eastAsia" w:ascii="宋体" w:hAnsi="宋体" w:eastAsia="宋体" w:cs="Times New Roman"/>
          <w:b/>
          <w:bCs/>
          <w:kern w:val="0"/>
          <w:sz w:val="36"/>
          <w:szCs w:val="36"/>
          <w:lang w:val="en-US" w:eastAsia="zh-CN"/>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2021年</w:t>
      </w:r>
      <w:r>
        <w:rPr>
          <w:rFonts w:hint="eastAsia" w:ascii="楷体_GB2312" w:hAnsi="宋体" w:eastAsia="楷体_GB2312"/>
          <w:b/>
          <w:color w:val="auto"/>
          <w:sz w:val="32"/>
          <w:szCs w:val="31"/>
          <w:u w:val="single"/>
          <w:lang w:val="en-US" w:eastAsia="zh-CN"/>
        </w:rPr>
        <w:t>11</w:t>
      </w:r>
      <w:r>
        <w:rPr>
          <w:rFonts w:hint="eastAsia" w:ascii="楷体_GB2312" w:hAnsi="宋体" w:eastAsia="楷体_GB2312"/>
          <w:b/>
          <w:color w:val="auto"/>
          <w:sz w:val="32"/>
          <w:szCs w:val="31"/>
          <w:u w:val="single"/>
        </w:rPr>
        <w:t>月</w:t>
      </w:r>
    </w:p>
    <w:p>
      <w:pPr>
        <w:jc w:val="center"/>
        <w:outlineLvl w:val="1"/>
        <w:rPr>
          <w:rFonts w:hint="eastAsia" w:ascii="宋体" w:hAnsi="宋体" w:cs="Times New Roman"/>
          <w:b/>
          <w:bCs/>
          <w:kern w:val="0"/>
          <w:sz w:val="36"/>
          <w:szCs w:val="36"/>
          <w:lang w:val="en-US" w:eastAsia="zh-CN"/>
        </w:rPr>
      </w:pPr>
    </w:p>
    <w:p>
      <w:pPr>
        <w:jc w:val="center"/>
        <w:outlineLvl w:val="1"/>
        <w:rPr>
          <w:rFonts w:hint="eastAsia"/>
          <w:lang w:val="en-US" w:eastAsia="zh-CN"/>
        </w:rPr>
      </w:pPr>
      <w:r>
        <w:rPr>
          <w:rFonts w:hint="eastAsia" w:ascii="宋体" w:hAnsi="宋体" w:eastAsia="宋体" w:cs="Times New Roman"/>
          <w:b/>
          <w:bCs/>
          <w:kern w:val="0"/>
          <w:sz w:val="36"/>
          <w:szCs w:val="36"/>
          <w:lang w:val="en-US" w:eastAsia="zh-CN"/>
        </w:rPr>
        <w:t>防疫须知</w:t>
      </w:r>
    </w:p>
    <w:p>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b/>
          <w:bCs w:val="0"/>
          <w:color w:val="000000"/>
          <w:kern w:val="0"/>
          <w:sz w:val="28"/>
          <w:szCs w:val="28"/>
          <w:u w:val="none"/>
          <w:lang w:val="en-US" w:eastAsia="zh-CN" w:bidi="ar"/>
        </w:rPr>
        <w:t>各潜在投标人：</w:t>
      </w:r>
    </w:p>
    <w:p>
      <w:pPr>
        <w:pStyle w:val="20"/>
        <w:keepNext w:val="0"/>
        <w:keepLines w:val="0"/>
        <w:widowControl/>
        <w:suppressLineNumbers w:val="0"/>
        <w:spacing w:before="0" w:beforeAutospacing="0" w:after="98" w:afterAutospacing="0" w:line="240" w:lineRule="auto"/>
        <w:ind w:right="0"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本项目投标、开标、评标工作严格执行关于新型冠状病毒感染的肺炎疫情防控工作要求，具体内容如下：</w:t>
      </w:r>
    </w:p>
    <w:p>
      <w:pPr>
        <w:pStyle w:val="20"/>
        <w:keepNext w:val="0"/>
        <w:keepLines w:val="0"/>
        <w:widowControl/>
        <w:numPr>
          <w:ilvl w:val="0"/>
          <w:numId w:val="3"/>
        </w:numPr>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应指派无疫情接触史、身体健康且符合防疫要求的人员参加现场投标活动，并递交符合防疫要求的《投标人承诺书》（</w:t>
      </w:r>
      <w:r>
        <w:rPr>
          <w:rFonts w:hint="eastAsia" w:ascii="宋体" w:hAnsi="宋体" w:eastAsia="宋体" w:cs="宋体"/>
          <w:color w:val="333333"/>
          <w:sz w:val="28"/>
          <w:szCs w:val="28"/>
          <w:shd w:val="clear" w:color="auto" w:fill="FFFFFF"/>
          <w:lang w:eastAsia="zh-CN"/>
        </w:rPr>
        <w:t>承诺书附后</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《投标人承诺书》随投标文件单独递交，不需封装，无承诺书或承诺书不符合要求的，其投标文件将被拒收。</w:t>
      </w:r>
    </w:p>
    <w:p>
      <w:pPr>
        <w:pStyle w:val="20"/>
        <w:keepNext w:val="0"/>
        <w:keepLines w:val="0"/>
        <w:widowControl/>
        <w:numPr>
          <w:ilvl w:val="0"/>
          <w:numId w:val="3"/>
        </w:numPr>
        <w:suppressLineNumbers w:val="0"/>
        <w:spacing w:before="0" w:beforeAutospacing="0" w:after="98" w:afterAutospacing="0" w:line="240" w:lineRule="auto"/>
        <w:ind w:left="0" w:leftChars="0" w:right="0" w:firstLine="570" w:firstLineChars="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代表防护要求：入场前，</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应做好个人防护，正确佩戴无呼吸气阀的合格口罩，主动配合做好实名登记、体温检测等防控工作。未正确佩戴合格口罩、体温超过37.2℃、有疫情接触史且医学观察未满14天者将被劝返，不得入场，对不遵守疫情防控管理规定的将被驱逐出场，由此导致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20"/>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三</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代表人数要求：</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限派</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名代表参加投标和开标会。但应做好投标代表人员储备，避免因既定人员现场不符合防控要求无法进场影响正常投标，因</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代表不符合疫情防控要求无法进场投标的后果，由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20"/>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四</w:t>
      </w:r>
      <w:r>
        <w:rPr>
          <w:rFonts w:hint="eastAsia" w:ascii="宋体" w:hAnsi="宋体" w:eastAsia="宋体" w:cs="宋体"/>
          <w:color w:val="333333"/>
          <w:sz w:val="28"/>
          <w:szCs w:val="28"/>
          <w:shd w:val="clear" w:color="auto" w:fill="FFFFFF"/>
        </w:rPr>
        <w:t>）保持安全距离。交易当天，各</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在场内等候或工作期间，应全程佩戴口罩，尽可能独立乘坐电梯，自觉保持1</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米以上间隔距离，座位隔空就座，不扎堆聚集，不喧哗闲聊，不随意走动，废弃口罩定点投放。</w:t>
      </w:r>
    </w:p>
    <w:p>
      <w:pPr>
        <w:pStyle w:val="20"/>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五</w:t>
      </w:r>
      <w:r>
        <w:rPr>
          <w:rFonts w:hint="eastAsia" w:ascii="宋体" w:hAnsi="宋体" w:eastAsia="宋体" w:cs="宋体"/>
          <w:color w:val="333333"/>
          <w:sz w:val="28"/>
          <w:szCs w:val="28"/>
          <w:shd w:val="clear" w:color="auto" w:fill="FFFFFF"/>
        </w:rPr>
        <w:t>）控制活动时间。</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办理业务时应提前准备好所需材料，一次办结，即办即走不逗留；交易活动结束后应立即离开现场，不得滞留。</w:t>
      </w:r>
    </w:p>
    <w:p>
      <w:pPr>
        <w:pStyle w:val="22"/>
        <w:rPr>
          <w:rFonts w:hint="eastAsia" w:ascii="宋体" w:hAnsi="宋体" w:eastAsia="宋体" w:cs="Times New Roman"/>
          <w:b/>
          <w:bCs/>
          <w:kern w:val="0"/>
          <w:sz w:val="28"/>
          <w:szCs w:val="28"/>
          <w:lang w:val="en-US" w:eastAsia="zh-CN"/>
        </w:rPr>
      </w:pPr>
      <w:r>
        <w:rPr>
          <w:rFonts w:hint="eastAsia" w:ascii="宋体" w:hAnsi="宋体" w:eastAsia="宋体" w:cs="宋体"/>
          <w:color w:val="333333"/>
          <w:kern w:val="0"/>
          <w:sz w:val="28"/>
          <w:szCs w:val="28"/>
          <w:shd w:val="clear" w:color="auto" w:fill="FFFFFF"/>
          <w:lang w:val="en-US" w:eastAsia="zh-CN" w:bidi="ar"/>
        </w:rPr>
        <w:t>附件：1.《投标人承诺书</w:t>
      </w:r>
      <w:r>
        <w:rPr>
          <w:rFonts w:hint="eastAsia" w:ascii="宋体" w:hAnsi="宋体" w:cs="宋体"/>
          <w:color w:val="333333"/>
          <w:kern w:val="0"/>
          <w:sz w:val="28"/>
          <w:szCs w:val="28"/>
          <w:shd w:val="clear" w:color="auto" w:fill="FFFFFF"/>
          <w:lang w:val="en-US" w:eastAsia="zh-CN" w:bidi="ar"/>
        </w:rPr>
        <w:t>》</w:t>
      </w:r>
    </w:p>
    <w:p>
      <w:pPr>
        <w:pStyle w:val="6"/>
        <w:rPr>
          <w:rFonts w:hint="eastAsia" w:ascii="宋体" w:hAnsi="宋体" w:eastAsia="宋体" w:cs="Times New Roman"/>
          <w:b/>
          <w:bCs/>
          <w:kern w:val="0"/>
          <w:sz w:val="32"/>
          <w:szCs w:val="32"/>
          <w:lang w:val="en-US" w:eastAsia="zh-CN"/>
        </w:rPr>
      </w:pPr>
    </w:p>
    <w:p>
      <w:pPr>
        <w:pStyle w:val="6"/>
        <w:rPr>
          <w:rFonts w:hint="eastAsia"/>
          <w:lang w:val="en-US" w:eastAsia="zh-CN"/>
        </w:rPr>
      </w:pPr>
    </w:p>
    <w:p>
      <w:pPr>
        <w:rPr>
          <w:rFonts w:hint="eastAsia"/>
          <w:lang w:val="en-US" w:eastAsia="zh-CN"/>
        </w:rPr>
      </w:pPr>
    </w:p>
    <w:p>
      <w:pPr>
        <w:jc w:val="center"/>
        <w:outlineLvl w:val="1"/>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40"/>
          <w:szCs w:val="40"/>
          <w:lang w:val="en-US" w:eastAsia="zh-CN"/>
        </w:rPr>
        <w:t>投标人承诺书</w:t>
      </w:r>
    </w:p>
    <w:p>
      <w:pPr>
        <w:widowControl/>
        <w:snapToGrid w:val="0"/>
        <w:spacing w:line="500" w:lineRule="exact"/>
        <w:jc w:val="center"/>
        <w:rPr>
          <w:rFonts w:ascii="黑体" w:hAnsi="黑体" w:eastAsia="黑体" w:cs="宋体"/>
          <w:bCs/>
          <w:kern w:val="0"/>
          <w:sz w:val="44"/>
          <w:szCs w:val="44"/>
        </w:rPr>
      </w:pP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本单位____________________承诺严格遵守《中华人民共和国传染病防治法》及相关要求。本单位于</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年</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月</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日参加_________________ 项目的开标活动。本单位承诺在开标过程中做到以下几点：</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1．参与投标人员积极配合交易场所工作人员进行体温检测和人员信息登记。不符合防控管理要求的人员，不进入开标场所。</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2．参加投标人员自觉做好个人防护，全程佩戴口罩，听从交易场所工作人员的引导。</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3．本单位所派投标人员</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（姓名），</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（身份证号码），</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（联系电话），在</w:t>
      </w:r>
      <w:r>
        <w:rPr>
          <w:rFonts w:hint="eastAsia" w:ascii="宋体" w:hAnsi="宋体" w:eastAsia="宋体" w:cs="宋体"/>
          <w:kern w:val="0"/>
          <w:sz w:val="28"/>
          <w:szCs w:val="32"/>
          <w:u w:val="single"/>
        </w:rPr>
        <w:t>        </w:t>
      </w:r>
      <w:r>
        <w:rPr>
          <w:rFonts w:hint="eastAsia" w:ascii="宋体" w:hAnsi="宋体" w:eastAsia="宋体" w:cs="宋体"/>
          <w:kern w:val="0"/>
          <w:sz w:val="28"/>
          <w:szCs w:val="32"/>
        </w:rPr>
        <w:t>（省、市）居住，目前身体状况良好</w:t>
      </w:r>
      <w:r>
        <w:rPr>
          <w:rFonts w:hint="eastAsia" w:ascii="宋体" w:hAnsi="宋体" w:eastAsia="宋体" w:cs="宋体"/>
          <w:kern w:val="0"/>
          <w:sz w:val="28"/>
          <w:szCs w:val="32"/>
          <w:lang w:val="en-US" w:eastAsia="zh-CN"/>
        </w:rPr>
        <w:t>，无疫情接触史,不存在发热、咳嗽等可疑症状。</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4．本单位保证做好投标前期的各项准备工作，提前到达开标区域，避免因工作疏忽导致时间拖延，造成人员聚集。</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5．开标活动结束后，本单位人员迅速离场，不在公共区域内停留。</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6.</w:t>
      </w:r>
      <w:r>
        <w:rPr>
          <w:rFonts w:hint="eastAsia" w:ascii="宋体" w:hAnsi="宋体" w:eastAsia="宋体" w:cs="宋体"/>
          <w:sz w:val="28"/>
          <w:szCs w:val="32"/>
        </w:rPr>
        <w:t xml:space="preserve"> 如果所派人员出现疫情防控要求需留观、隔离的，由</w:t>
      </w:r>
      <w:r>
        <w:rPr>
          <w:rFonts w:hint="eastAsia" w:ascii="宋体" w:hAnsi="宋体" w:eastAsia="宋体" w:cs="宋体"/>
          <w:sz w:val="28"/>
          <w:szCs w:val="32"/>
          <w:lang w:eastAsia="zh-CN"/>
        </w:rPr>
        <w:t>投标供应商</w:t>
      </w:r>
      <w:r>
        <w:rPr>
          <w:rFonts w:hint="eastAsia" w:ascii="宋体" w:hAnsi="宋体" w:eastAsia="宋体" w:cs="宋体"/>
          <w:sz w:val="28"/>
          <w:szCs w:val="32"/>
        </w:rPr>
        <w:t>自行负责，视为放弃派员参加</w:t>
      </w:r>
      <w:r>
        <w:rPr>
          <w:rFonts w:hint="eastAsia" w:ascii="宋体" w:hAnsi="宋体" w:eastAsia="宋体" w:cs="宋体"/>
          <w:kern w:val="0"/>
          <w:sz w:val="28"/>
          <w:szCs w:val="32"/>
        </w:rPr>
        <w:t>。</w:t>
      </w:r>
    </w:p>
    <w:p>
      <w:pPr>
        <w:snapToGrid w:val="0"/>
        <w:spacing w:line="500" w:lineRule="exact"/>
        <w:rPr>
          <w:rFonts w:hint="eastAsia" w:ascii="宋体" w:hAnsi="宋体" w:eastAsia="宋体" w:cs="宋体"/>
          <w:kern w:val="0"/>
          <w:sz w:val="28"/>
          <w:szCs w:val="32"/>
        </w:rPr>
      </w:pPr>
    </w:p>
    <w:p>
      <w:pPr>
        <w:snapToGrid w:val="0"/>
        <w:spacing w:line="500" w:lineRule="exact"/>
        <w:ind w:firstLine="5320" w:firstLineChars="1900"/>
        <w:rPr>
          <w:rFonts w:hint="eastAsia" w:ascii="宋体" w:hAnsi="宋体" w:eastAsia="宋体" w:cs="宋体"/>
          <w:kern w:val="0"/>
          <w:sz w:val="28"/>
          <w:szCs w:val="32"/>
        </w:rPr>
      </w:pPr>
    </w:p>
    <w:p>
      <w:pPr>
        <w:pStyle w:val="8"/>
        <w:rPr>
          <w:rFonts w:hint="eastAsia" w:ascii="宋体" w:hAnsi="宋体" w:eastAsia="宋体" w:cs="宋体"/>
          <w:kern w:val="0"/>
          <w:sz w:val="28"/>
          <w:szCs w:val="32"/>
        </w:rPr>
      </w:pPr>
    </w:p>
    <w:p>
      <w:pPr>
        <w:pStyle w:val="9"/>
        <w:rPr>
          <w:rFonts w:hint="eastAsia"/>
        </w:rPr>
      </w:pPr>
    </w:p>
    <w:p>
      <w:pPr>
        <w:snapToGrid w:val="0"/>
        <w:spacing w:line="500" w:lineRule="exact"/>
        <w:ind w:firstLine="5320" w:firstLineChars="1900"/>
        <w:rPr>
          <w:rFonts w:hint="eastAsia"/>
          <w:sz w:val="24"/>
          <w:szCs w:val="22"/>
        </w:rPr>
        <w:sectPr>
          <w:footerReference r:id="rId3" w:type="default"/>
          <w:pgSz w:w="11907" w:h="16840"/>
          <w:pgMar w:top="2041" w:right="1531" w:bottom="2041" w:left="1531" w:header="1701" w:footer="1474" w:gutter="0"/>
          <w:paperSrc w:first="534" w:other="534"/>
          <w:pgBorders>
            <w:top w:val="none" w:sz="0" w:space="0"/>
            <w:left w:val="none" w:sz="0" w:space="0"/>
            <w:bottom w:val="none" w:sz="0" w:space="0"/>
            <w:right w:val="none" w:sz="0" w:space="0"/>
          </w:pgBorders>
          <w:pgNumType w:start="1"/>
          <w:cols w:space="720" w:num="1"/>
          <w:docGrid w:linePitch="523" w:charSpace="0"/>
        </w:sectPr>
      </w:pPr>
      <w:r>
        <w:rPr>
          <w:rFonts w:hint="eastAsia" w:ascii="宋体" w:hAnsi="宋体" w:eastAsia="宋体" w:cs="宋体"/>
          <w:kern w:val="0"/>
          <w:sz w:val="28"/>
          <w:szCs w:val="32"/>
        </w:rPr>
        <w:t>承诺人（公章）：</w:t>
      </w:r>
      <w:r>
        <w:rPr>
          <w:rFonts w:hint="eastAsia" w:ascii="宋体" w:hAnsi="宋体" w:eastAsia="宋体" w:cs="宋体"/>
          <w:kern w:val="0"/>
          <w:sz w:val="28"/>
          <w:szCs w:val="32"/>
        </w:rPr>
        <w:br w:type="textWrapping"/>
      </w:r>
      <w:r>
        <w:rPr>
          <w:rFonts w:hint="eastAsia" w:ascii="宋体" w:hAnsi="宋体" w:eastAsia="宋体" w:cs="宋体"/>
          <w:kern w:val="0"/>
          <w:sz w:val="28"/>
          <w:szCs w:val="32"/>
        </w:rPr>
        <w:t>                                    年   月   日</w:t>
      </w:r>
    </w:p>
    <w:p>
      <w:pPr>
        <w:adjustRightInd w:val="0"/>
        <w:snapToGrid w:val="0"/>
        <w:spacing w:line="360" w:lineRule="auto"/>
        <w:ind w:firstLine="4859" w:firstLineChars="1100"/>
        <w:jc w:val="both"/>
        <w:rPr>
          <w:rFonts w:ascii="宋体" w:hAnsi="宋体" w:cs="宋体"/>
          <w:b/>
          <w:sz w:val="44"/>
          <w:szCs w:val="44"/>
        </w:rPr>
      </w:pPr>
      <w:r>
        <w:rPr>
          <w:rFonts w:hint="eastAsia" w:ascii="宋体" w:hAnsi="宋体" w:cs="宋体"/>
          <w:b/>
          <w:sz w:val="44"/>
          <w:szCs w:val="44"/>
        </w:rPr>
        <w:t>目录</w:t>
      </w:r>
      <w:bookmarkStart w:id="0" w:name="OLE_LINK1"/>
      <w:bookmarkStart w:id="1" w:name="OLE_LINK3"/>
      <w:bookmarkStart w:id="2" w:name="OLE_LINK4"/>
      <w:bookmarkStart w:id="3" w:name="OLE_LINK2"/>
    </w:p>
    <w:p>
      <w:pPr>
        <w:adjustRightInd w:val="0"/>
        <w:snapToGrid w:val="0"/>
        <w:spacing w:line="360" w:lineRule="auto"/>
        <w:jc w:val="center"/>
        <w:rPr>
          <w:rFonts w:ascii="宋体" w:hAnsi="宋体" w:cs="宋体"/>
          <w:b/>
          <w:sz w:val="44"/>
          <w:szCs w:val="44"/>
        </w:rPr>
      </w:pPr>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投标邀请</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rPr>
        <w:t>6</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rPr>
        <w:t>7</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19</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20</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20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1</w:t>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rPr>
        <w:t>2</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5</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30"/>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jc w:val="center"/>
        <w:outlineLvl w:val="0"/>
        <w:rPr>
          <w:rFonts w:ascii="宋体" w:hAnsi="宋体" w:cs="Times New Roman"/>
          <w:b/>
          <w:sz w:val="32"/>
          <w:szCs w:val="32"/>
          <w:shd w:val="clear" w:color="FFFFFF" w:fill="D9D9D9"/>
        </w:rPr>
      </w:pPr>
      <w:bookmarkStart w:id="4" w:name="_Toc21251_WPSOffice_Level1"/>
    </w:p>
    <w:p>
      <w:pPr>
        <w:spacing w:line="360" w:lineRule="exact"/>
        <w:jc w:val="center"/>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pPr>
    </w:p>
    <w:p>
      <w:pPr>
        <w:spacing w:line="360" w:lineRule="exact"/>
        <w:outlineLvl w:val="0"/>
        <w:rPr>
          <w:rFonts w:ascii="宋体" w:hAnsi="宋体" w:cs="Times New Roman"/>
          <w:b/>
          <w:sz w:val="32"/>
          <w:szCs w:val="32"/>
          <w:shd w:val="clear" w:color="FFFFFF" w:fill="D9D9D9"/>
        </w:rPr>
        <w:sectPr>
          <w:footerReference r:id="rId5" w:type="first"/>
          <w:footerReference r:id="rId4" w:type="default"/>
          <w:pgSz w:w="11906" w:h="16838"/>
          <w:pgMar w:top="851" w:right="851" w:bottom="851" w:left="851" w:header="851" w:footer="992" w:gutter="0"/>
          <w:pgNumType w:fmt="numberInDash" w:start="0"/>
          <w:cols w:space="720" w:num="1"/>
          <w:docGrid w:type="lines" w:linePitch="312" w:charSpace="0"/>
        </w:sectPr>
      </w:pPr>
    </w:p>
    <w:p>
      <w:pPr>
        <w:spacing w:line="360" w:lineRule="exact"/>
        <w:jc w:val="both"/>
        <w:outlineLvl w:val="0"/>
        <w:rPr>
          <w:rFonts w:ascii="宋体" w:hAnsi="宋体" w:cs="Times New Roman"/>
          <w:b/>
          <w:sz w:val="32"/>
          <w:szCs w:val="32"/>
        </w:rPr>
      </w:pPr>
      <w:bookmarkStart w:id="5" w:name="_Toc9486"/>
    </w:p>
    <w:p>
      <w:pPr>
        <w:spacing w:line="360" w:lineRule="exact"/>
        <w:jc w:val="center"/>
        <w:outlineLvl w:val="0"/>
        <w:rPr>
          <w:rFonts w:ascii="宋体" w:hAnsi="宋体" w:cs="Times New Roman"/>
          <w:b/>
          <w:sz w:val="32"/>
          <w:szCs w:val="32"/>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投标邀请</w:t>
      </w:r>
      <w:bookmarkEnd w:id="4"/>
      <w:bookmarkEnd w:id="5"/>
    </w:p>
    <w:p>
      <w:pPr>
        <w:spacing w:line="360" w:lineRule="exact"/>
        <w:jc w:val="both"/>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4"/>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471"/>
        <w:gridCol w:w="650"/>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2"/>
              <w:jc w:val="both"/>
              <w:rPr>
                <w:rFonts w:hint="default" w:ascii="仿宋" w:hAnsi="仿宋" w:eastAsia="仿宋" w:cs="仿宋"/>
                <w:lang w:val="en-US" w:eastAsia="zh-CN"/>
              </w:rPr>
            </w:pPr>
            <w:r>
              <w:rPr>
                <w:rFonts w:hint="default" w:ascii="仿宋" w:hAnsi="仿宋" w:eastAsia="仿宋" w:cs="仿宋"/>
                <w:lang w:val="en-US" w:eastAsia="zh-CN"/>
              </w:rPr>
              <w:t>昌吉州州人民医院胰岛素泵（进口）等7类16台医疗设备采购项目</w:t>
            </w:r>
          </w:p>
          <w:p>
            <w:pPr>
              <w:pStyle w:val="32"/>
              <w:jc w:val="both"/>
              <w:rPr>
                <w:rFonts w:hint="default" w:ascii="仿宋" w:hAnsi="仿宋" w:eastAsia="仿宋" w:cs="仿宋"/>
                <w:lang w:val="en-US"/>
              </w:rPr>
            </w:pPr>
            <w:r>
              <w:rPr>
                <w:rFonts w:hint="default" w:ascii="仿宋" w:hAnsi="仿宋" w:eastAsia="仿宋" w:cs="仿宋"/>
                <w:lang w:val="en-US" w:eastAsia="zh-CN"/>
              </w:rPr>
              <w:t>（一包）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sz w:val="24"/>
                <w:szCs w:val="24"/>
                <w:lang w:eastAsia="zh-CN"/>
              </w:rPr>
              <w:t>XJTQ2021ZB97-CG001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b/>
                <w:bCs/>
                <w:sz w:val="24"/>
                <w:szCs w:val="24"/>
                <w:lang w:eastAsia="zh-CN"/>
              </w:rPr>
            </w:pPr>
            <w:r>
              <w:rPr>
                <w:rFonts w:hint="eastAsia" w:ascii="仿宋" w:hAnsi="仿宋" w:eastAsia="仿宋" w:cs="仿宋"/>
                <w:b w:val="0"/>
                <w:bCs w:val="0"/>
                <w:sz w:val="24"/>
                <w:szCs w:val="24"/>
                <w:lang w:eastAsia="zh-CN"/>
              </w:rPr>
              <w:t>昌吉州州人民医院（本项目由昌吉回族自治州卫生健康委员会组织部门集中采购）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潘存智</w:t>
            </w:r>
          </w:p>
        </w:tc>
        <w:tc>
          <w:tcPr>
            <w:tcW w:w="13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auto"/>
                <w:sz w:val="24"/>
                <w:szCs w:val="24"/>
              </w:rPr>
            </w:pPr>
            <w:r>
              <w:rPr>
                <w:rFonts w:hint="eastAsia" w:ascii="仿宋" w:hAnsi="仿宋" w:eastAsia="仿宋" w:cs="仿宋"/>
                <w:b/>
                <w:color w:val="auto"/>
                <w:sz w:val="24"/>
                <w:szCs w:val="24"/>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 w:hAnsi="仿宋" w:eastAsia="仿宋" w:cs="仿宋"/>
                <w:color w:val="auto"/>
                <w:sz w:val="24"/>
                <w:szCs w:val="24"/>
              </w:rPr>
            </w:pPr>
            <w:r>
              <w:rPr>
                <w:rFonts w:hint="eastAsia" w:ascii="仿宋" w:hAnsi="仿宋" w:eastAsia="仿宋" w:cs="仿宋"/>
                <w:color w:val="auto"/>
                <w:sz w:val="24"/>
                <w:szCs w:val="24"/>
                <w:lang w:val="en-US" w:eastAsia="zh-CN"/>
              </w:rPr>
              <w:t>0994-2215851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529"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29"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sz w:val="24"/>
                <w:szCs w:val="24"/>
              </w:rPr>
            </w:pPr>
            <w:r>
              <w:rPr>
                <w:rFonts w:hint="eastAsia" w:ascii="仿宋" w:hAnsi="仿宋" w:eastAsia="仿宋" w:cs="仿宋"/>
                <w:b/>
                <w:sz w:val="24"/>
                <w:szCs w:val="24"/>
              </w:rPr>
              <w:t>招标内容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lang w:eastAsia="zh-CN"/>
              </w:rPr>
              <w:t>采购</w:t>
            </w:r>
            <w:r>
              <w:rPr>
                <w:rFonts w:hint="eastAsia" w:ascii="仿宋" w:hAnsi="仿宋" w:eastAsia="仿宋" w:cs="仿宋"/>
                <w:sz w:val="24"/>
                <w:szCs w:val="24"/>
                <w:lang w:val="en-US" w:eastAsia="zh-CN"/>
              </w:rPr>
              <w:t>胰岛素泵10个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jc w:val="left"/>
              <w:rPr>
                <w:rFonts w:ascii="仿宋" w:hAnsi="仿宋" w:eastAsia="仿宋"/>
                <w:b/>
                <w:bCs/>
                <w:sz w:val="24"/>
                <w:szCs w:val="24"/>
              </w:rPr>
            </w:pPr>
            <w:r>
              <w:rPr>
                <w:rFonts w:hint="eastAsia" w:ascii="仿宋" w:hAnsi="仿宋" w:eastAsia="仿宋"/>
                <w:b/>
                <w:bCs/>
                <w:sz w:val="24"/>
                <w:szCs w:val="24"/>
              </w:rPr>
              <w:t>质保期限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jc w:val="left"/>
              <w:rPr>
                <w:rFonts w:hint="default" w:ascii="仿宋" w:hAnsi="仿宋" w:eastAsia="仿宋" w:cs="仿宋"/>
                <w:color w:val="FF0000"/>
                <w:sz w:val="24"/>
                <w:szCs w:val="24"/>
                <w:lang w:val="en-US"/>
              </w:rPr>
            </w:pPr>
            <w:r>
              <w:rPr>
                <w:rFonts w:hint="eastAsia" w:ascii="仿宋" w:hAnsi="仿宋" w:eastAsia="仿宋" w:cs="仿宋"/>
                <w:bCs/>
                <w:sz w:val="24"/>
                <w:szCs w:val="24"/>
                <w:lang w:eastAsia="zh-CN"/>
              </w:rPr>
              <w:t>验收合格后</w:t>
            </w:r>
            <w:r>
              <w:rPr>
                <w:rFonts w:hint="eastAsia" w:ascii="仿宋" w:hAnsi="仿宋" w:eastAsia="仿宋" w:cs="仿宋"/>
                <w:bCs/>
                <w:sz w:val="24"/>
                <w:szCs w:val="24"/>
                <w:lang w:val="en-US" w:eastAsia="zh-CN"/>
              </w:rPr>
              <w:t>整机及配件</w:t>
            </w:r>
            <w:r>
              <w:rPr>
                <w:rFonts w:hint="eastAsia" w:ascii="仿宋" w:hAnsi="仿宋" w:eastAsia="仿宋" w:cs="仿宋"/>
                <w:bCs/>
                <w:sz w:val="24"/>
                <w:szCs w:val="24"/>
                <w:lang w:eastAsia="zh-CN"/>
              </w:rPr>
              <w:t>免费保修</w:t>
            </w: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rPr>
            </w:pPr>
            <w:r>
              <w:rPr>
                <w:rFonts w:hint="eastAsia" w:ascii="仿宋" w:hAnsi="仿宋" w:eastAsia="仿宋" w:cs="仿宋"/>
                <w:sz w:val="24"/>
                <w:szCs w:val="24"/>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b/>
                <w:sz w:val="24"/>
                <w:szCs w:val="24"/>
              </w:rPr>
            </w:pPr>
            <w:r>
              <w:rPr>
                <w:rFonts w:hint="eastAsia" w:ascii="仿宋" w:hAnsi="仿宋" w:eastAsia="仿宋" w:cs="仿宋"/>
                <w:b/>
                <w:sz w:val="24"/>
                <w:szCs w:val="24"/>
              </w:rPr>
              <w:t>采购预算</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人民币（大写）：</w:t>
            </w:r>
            <w:r>
              <w:rPr>
                <w:rFonts w:hint="eastAsia" w:ascii="仿宋" w:hAnsi="仿宋" w:eastAsia="仿宋" w:cs="仿宋"/>
                <w:sz w:val="24"/>
                <w:szCs w:val="24"/>
                <w:lang w:val="en-US" w:eastAsia="zh-CN"/>
              </w:rPr>
              <w:t>肆拾万</w:t>
            </w:r>
            <w:r>
              <w:rPr>
                <w:rFonts w:hint="eastAsia" w:ascii="仿宋" w:hAnsi="仿宋" w:eastAsia="仿宋" w:cs="仿宋"/>
                <w:sz w:val="24"/>
                <w:szCs w:val="24"/>
                <w:lang w:eastAsia="zh-CN"/>
              </w:rPr>
              <w:t>元</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40万元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资金来源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评标办法</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sz w:val="24"/>
                <w:szCs w:val="24"/>
              </w:rPr>
            </w:pPr>
            <w:r>
              <w:rPr>
                <w:rFonts w:hint="eastAsia" w:ascii="仿宋" w:hAnsi="仿宋" w:eastAsia="仿宋" w:cs="仿宋"/>
                <w:sz w:val="24"/>
                <w:szCs w:val="24"/>
              </w:rPr>
              <w:t>综合评分法（其中技术和商务分70分，报价分30分）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lang w:eastAsia="zh-CN"/>
              </w:rPr>
              <w:t>伍</w:t>
            </w:r>
            <w:r>
              <w:rPr>
                <w:rFonts w:hint="eastAsia" w:ascii="仿宋" w:hAnsi="仿宋" w:eastAsia="仿宋" w:cs="仿宋"/>
                <w:color w:val="000000" w:themeColor="text1"/>
                <w:sz w:val="24"/>
                <w:szCs w:val="24"/>
                <w:lang w:val="en-US" w:eastAsia="zh-CN"/>
              </w:rPr>
              <w:t xml:space="preserve">仟元整 </w:t>
            </w:r>
            <w:r>
              <w:rPr>
                <w:rFonts w:hint="eastAsia" w:ascii="仿宋" w:hAnsi="仿宋" w:eastAsia="仿宋" w:cs="仿宋"/>
                <w:color w:val="000000" w:themeColor="text1"/>
                <w:sz w:val="24"/>
                <w:szCs w:val="24"/>
              </w:rPr>
              <w:t xml:space="preserve"> ¥：</w:t>
            </w:r>
            <w:r>
              <w:rPr>
                <w:rFonts w:hint="eastAsia" w:ascii="仿宋" w:hAnsi="仿宋" w:eastAsia="仿宋" w:cs="仿宋"/>
                <w:color w:val="000000" w:themeColor="text1"/>
                <w:sz w:val="24"/>
                <w:szCs w:val="24"/>
                <w:lang w:val="en-US" w:eastAsia="zh-CN"/>
              </w:rPr>
              <w:t>5000.00元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color w:val="000000"/>
                <w:sz w:val="24"/>
                <w:szCs w:val="24"/>
              </w:rPr>
            </w:pPr>
            <w:r>
              <w:rPr>
                <w:rFonts w:hint="eastAsia" w:ascii="仿宋" w:hAnsi="仿宋" w:eastAsia="仿宋" w:cs="仿宋"/>
                <w:b/>
                <w:color w:val="000000"/>
                <w:sz w:val="24"/>
                <w:szCs w:val="24"/>
              </w:rPr>
              <w:t>投标文件组成</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 w:hAnsi="仿宋" w:eastAsia="仿宋" w:cs="仿宋"/>
                <w:b/>
                <w:color w:val="000000"/>
                <w:sz w:val="24"/>
                <w:szCs w:val="24"/>
              </w:rPr>
            </w:pPr>
            <w:r>
              <w:rPr>
                <w:rFonts w:hint="eastAsia" w:ascii="仿宋" w:hAnsi="仿宋" w:eastAsia="仿宋" w:cs="仿宋"/>
                <w:sz w:val="24"/>
                <w:szCs w:val="24"/>
              </w:rPr>
              <w:t>《开标一览表》1份、正本 1 份、副本</w:t>
            </w:r>
            <w:r>
              <w:rPr>
                <w:rFonts w:hint="eastAsia" w:ascii="仿宋" w:hAnsi="仿宋" w:eastAsia="仿宋" w:cs="仿宋"/>
                <w:sz w:val="24"/>
                <w:szCs w:val="24"/>
                <w:lang w:val="en-US" w:eastAsia="zh-CN"/>
              </w:rPr>
              <w:t>2</w:t>
            </w:r>
            <w:r>
              <w:rPr>
                <w:rFonts w:hint="eastAsia" w:ascii="仿宋" w:hAnsi="仿宋" w:eastAsia="仿宋" w:cs="仿宋"/>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2948" w:type="dxa"/>
            <w:gridSpan w:val="3"/>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294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b/>
                <w:bCs/>
                <w:color w:val="000000" w:themeColor="text1"/>
                <w:sz w:val="24"/>
                <w:szCs w:val="24"/>
                <w:lang w:val="en-US"/>
              </w:rPr>
            </w:pPr>
            <w:r>
              <w:rPr>
                <w:rFonts w:hint="eastAsia" w:ascii="仿宋" w:hAnsi="仿宋" w:eastAsia="仿宋" w:cs="仿宋"/>
                <w:b/>
                <w:bCs/>
                <w:color w:val="000000" w:themeColor="text1"/>
                <w:sz w:val="24"/>
                <w:szCs w:val="24"/>
              </w:rPr>
              <w:t>2021年</w:t>
            </w:r>
            <w:r>
              <w:rPr>
                <w:rFonts w:hint="eastAsia" w:ascii="仿宋" w:hAnsi="仿宋" w:eastAsia="仿宋" w:cs="仿宋"/>
                <w:b/>
                <w:bCs/>
                <w:color w:val="000000" w:themeColor="text1"/>
                <w:sz w:val="24"/>
                <w:szCs w:val="24"/>
                <w:lang w:val="en-US" w:eastAsia="zh-CN"/>
              </w:rPr>
              <w:t>11</w:t>
            </w:r>
            <w:r>
              <w:rPr>
                <w:rFonts w:hint="eastAsia" w:ascii="仿宋" w:hAnsi="仿宋" w:eastAsia="仿宋" w:cs="仿宋"/>
                <w:b/>
                <w:bCs/>
                <w:color w:val="000000" w:themeColor="text1"/>
                <w:sz w:val="24"/>
                <w:szCs w:val="24"/>
              </w:rPr>
              <w:t>月</w:t>
            </w:r>
            <w:r>
              <w:rPr>
                <w:rFonts w:hint="eastAsia" w:ascii="仿宋" w:hAnsi="仿宋" w:eastAsia="仿宋" w:cs="仿宋"/>
                <w:b/>
                <w:bCs/>
                <w:color w:val="000000" w:themeColor="text1"/>
                <w:sz w:val="24"/>
                <w:szCs w:val="24"/>
                <w:lang w:val="en-US" w:eastAsia="zh-CN"/>
              </w:rPr>
              <w:t>5</w:t>
            </w:r>
            <w:r>
              <w:rPr>
                <w:rFonts w:hint="eastAsia" w:ascii="仿宋" w:hAnsi="仿宋" w:eastAsia="仿宋" w:cs="仿宋"/>
                <w:b/>
                <w:bCs/>
                <w:color w:val="000000" w:themeColor="text1"/>
                <w:sz w:val="24"/>
                <w:szCs w:val="24"/>
              </w:rPr>
              <w:t>日至2021年</w:t>
            </w:r>
            <w:r>
              <w:rPr>
                <w:rFonts w:hint="eastAsia" w:ascii="仿宋" w:hAnsi="仿宋" w:eastAsia="仿宋" w:cs="仿宋"/>
                <w:b/>
                <w:bCs/>
                <w:color w:val="000000" w:themeColor="text1"/>
                <w:sz w:val="24"/>
                <w:szCs w:val="24"/>
                <w:lang w:val="en-US" w:eastAsia="zh-CN"/>
              </w:rPr>
              <w:t>11</w:t>
            </w:r>
            <w:r>
              <w:rPr>
                <w:rFonts w:hint="eastAsia" w:ascii="仿宋" w:hAnsi="仿宋" w:eastAsia="仿宋" w:cs="仿宋"/>
                <w:b/>
                <w:bCs/>
                <w:color w:val="000000" w:themeColor="text1"/>
                <w:sz w:val="24"/>
                <w:szCs w:val="24"/>
              </w:rPr>
              <w:t>月</w:t>
            </w:r>
            <w:r>
              <w:rPr>
                <w:rFonts w:hint="eastAsia" w:ascii="仿宋" w:hAnsi="仿宋" w:eastAsia="仿宋" w:cs="仿宋"/>
                <w:b/>
                <w:bCs/>
                <w:color w:val="000000" w:themeColor="text1"/>
                <w:sz w:val="24"/>
                <w:szCs w:val="24"/>
                <w:lang w:val="en-US" w:eastAsia="zh-CN"/>
              </w:rPr>
              <w:t>11</w:t>
            </w:r>
            <w:r>
              <w:rPr>
                <w:rFonts w:hint="eastAsia" w:ascii="仿宋" w:hAnsi="仿宋" w:eastAsia="仿宋" w:cs="仿宋"/>
                <w:b/>
                <w:bCs/>
                <w:color w:val="000000" w:themeColor="text1"/>
                <w:sz w:val="24"/>
                <w:szCs w:val="24"/>
              </w:rPr>
              <w:t>日下午</w:t>
            </w:r>
            <w:r>
              <w:rPr>
                <w:rFonts w:hint="eastAsia" w:ascii="仿宋" w:hAnsi="仿宋" w:eastAsia="仿宋" w:cs="仿宋"/>
                <w:b/>
                <w:bCs/>
                <w:color w:val="000000" w:themeColor="text1"/>
                <w:sz w:val="24"/>
                <w:szCs w:val="24"/>
                <w:lang w:eastAsia="zh-CN"/>
              </w:rPr>
              <w:t>北京时间</w:t>
            </w:r>
            <w:r>
              <w:rPr>
                <w:rFonts w:hint="eastAsia" w:ascii="仿宋" w:hAnsi="仿宋" w:eastAsia="仿宋" w:cs="仿宋"/>
                <w:b/>
                <w:bCs/>
                <w:color w:val="000000" w:themeColor="text1"/>
                <w:sz w:val="24"/>
                <w:szCs w:val="24"/>
                <w:lang w:val="en-US" w:eastAsia="zh-CN"/>
              </w:rPr>
              <w:t>19时30分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15</w:t>
            </w:r>
          </w:p>
        </w:tc>
        <w:tc>
          <w:tcPr>
            <w:tcW w:w="2948" w:type="dxa"/>
            <w:gridSpan w:val="3"/>
            <w:tcBorders>
              <w:top w:val="single" w:color="auto" w:sz="4" w:space="0"/>
              <w:left w:val="single" w:color="auto" w:sz="4" w:space="0"/>
              <w:right w:val="single" w:color="auto" w:sz="4" w:space="0"/>
            </w:tcBorders>
            <w:vAlign w:val="center"/>
          </w:tcPr>
          <w:p>
            <w:pPr>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Times New Roman"/>
                <w:b/>
                <w:color w:val="000000" w:themeColor="text1"/>
                <w:sz w:val="24"/>
                <w:szCs w:val="24"/>
              </w:rPr>
            </w:pPr>
            <w:r>
              <w:rPr>
                <w:rFonts w:hint="eastAsia" w:ascii="仿宋_GB2312" w:hAnsi="宋体" w:eastAsia="仿宋_GB2312" w:cs="Times New Roman"/>
                <w:b/>
                <w:color w:val="000000" w:themeColor="text1"/>
                <w:sz w:val="24"/>
                <w:szCs w:val="24"/>
              </w:rPr>
              <w:t>2021年</w:t>
            </w:r>
            <w:r>
              <w:rPr>
                <w:rFonts w:hint="eastAsia" w:ascii="仿宋_GB2312" w:hAnsi="宋体" w:eastAsia="仿宋_GB2312" w:cs="Times New Roman"/>
                <w:b/>
                <w:color w:val="000000" w:themeColor="text1"/>
                <w:sz w:val="24"/>
                <w:szCs w:val="24"/>
                <w:lang w:val="en-US" w:eastAsia="zh-CN"/>
              </w:rPr>
              <w:t>11</w:t>
            </w:r>
            <w:r>
              <w:rPr>
                <w:rFonts w:hint="eastAsia" w:ascii="仿宋_GB2312" w:hAnsi="宋体" w:eastAsia="仿宋_GB2312" w:cs="Times New Roman"/>
                <w:b/>
                <w:color w:val="000000" w:themeColor="text1"/>
                <w:sz w:val="24"/>
                <w:szCs w:val="24"/>
              </w:rPr>
              <w:t>月</w:t>
            </w:r>
            <w:r>
              <w:rPr>
                <w:rFonts w:hint="eastAsia" w:ascii="仿宋_GB2312" w:hAnsi="宋体" w:eastAsia="仿宋_GB2312" w:cs="Times New Roman"/>
                <w:b/>
                <w:color w:val="000000" w:themeColor="text1"/>
                <w:sz w:val="24"/>
                <w:szCs w:val="24"/>
                <w:lang w:val="en-US" w:eastAsia="zh-CN"/>
              </w:rPr>
              <w:t>29</w:t>
            </w:r>
            <w:r>
              <w:rPr>
                <w:rFonts w:hint="eastAsia" w:ascii="仿宋_GB2312" w:hAnsi="宋体" w:eastAsia="仿宋_GB2312" w:cs="Times New Roman"/>
                <w:b/>
                <w:color w:val="000000" w:themeColor="text1"/>
                <w:sz w:val="24"/>
                <w:szCs w:val="24"/>
              </w:rPr>
              <w:t>日</w:t>
            </w:r>
            <w:r>
              <w:rPr>
                <w:rFonts w:hint="eastAsia" w:ascii="仿宋_GB2312" w:hAnsi="宋体" w:eastAsia="仿宋_GB2312" w:cs="Times New Roman"/>
                <w:b/>
                <w:color w:val="000000" w:themeColor="text1"/>
                <w:sz w:val="24"/>
                <w:szCs w:val="24"/>
                <w:lang w:eastAsia="zh-CN"/>
              </w:rPr>
              <w:t>（上午）</w:t>
            </w:r>
            <w:r>
              <w:rPr>
                <w:rFonts w:hint="eastAsia" w:ascii="仿宋_GB2312" w:hAnsi="宋体" w:eastAsia="仿宋_GB2312" w:cs="Times New Roman"/>
                <w:b/>
                <w:color w:val="000000" w:themeColor="text1"/>
                <w:sz w:val="24"/>
                <w:szCs w:val="24"/>
              </w:rPr>
              <w:t>北京时间11</w:t>
            </w:r>
            <w:r>
              <w:rPr>
                <w:rFonts w:hint="eastAsia" w:ascii="仿宋_GB2312" w:hAnsi="宋体" w:eastAsia="仿宋_GB2312" w:cs="Times New Roman"/>
                <w:b/>
                <w:color w:val="000000" w:themeColor="text1"/>
                <w:sz w:val="24"/>
                <w:szCs w:val="24"/>
                <w:lang w:eastAsia="zh-CN"/>
              </w:rPr>
              <w:t>时</w:t>
            </w:r>
            <w:r>
              <w:rPr>
                <w:rFonts w:hint="eastAsia" w:ascii="仿宋_GB2312" w:hAnsi="宋体" w:eastAsia="仿宋_GB2312" w:cs="Times New Roman"/>
                <w:b/>
                <w:color w:val="000000" w:themeColor="text1"/>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16</w:t>
            </w:r>
          </w:p>
        </w:tc>
        <w:tc>
          <w:tcPr>
            <w:tcW w:w="2948" w:type="dxa"/>
            <w:gridSpan w:val="3"/>
            <w:tcBorders>
              <w:top w:val="single" w:color="auto" w:sz="4" w:space="0"/>
              <w:left w:val="single" w:color="auto" w:sz="4" w:space="0"/>
              <w:right w:val="single" w:color="auto" w:sz="4" w:space="0"/>
            </w:tcBorders>
            <w:vAlign w:val="center"/>
          </w:tcPr>
          <w:p>
            <w:pPr>
              <w:spacing w:line="400" w:lineRule="exact"/>
              <w:rPr>
                <w:rFonts w:ascii="仿宋_GB2312" w:hAnsi="Courier New" w:eastAsia="仿宋_GB2312" w:cs="Times New Roman"/>
                <w:color w:val="000000"/>
                <w:sz w:val="24"/>
                <w:szCs w:val="24"/>
              </w:rPr>
            </w:pPr>
            <w:r>
              <w:rPr>
                <w:rFonts w:hint="eastAsia" w:ascii="仿宋_GB2312" w:hAnsi="宋体" w:eastAsia="仿宋_GB2312" w:cs="Times New Roman"/>
                <w:b/>
                <w:color w:val="000000"/>
                <w:spacing w:val="-20"/>
                <w:sz w:val="24"/>
                <w:szCs w:val="24"/>
              </w:rPr>
              <w:t>投标人资质审查时间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Times New Roman"/>
                <w:b/>
                <w:color w:val="000000" w:themeColor="text1"/>
                <w:sz w:val="24"/>
                <w:szCs w:val="24"/>
              </w:rPr>
            </w:pPr>
            <w:r>
              <w:rPr>
                <w:rFonts w:hint="eastAsia" w:ascii="仿宋_GB2312" w:hAnsi="宋体" w:eastAsia="仿宋_GB2312" w:cs="Times New Roman"/>
                <w:b/>
                <w:color w:val="000000" w:themeColor="text1"/>
                <w:sz w:val="24"/>
                <w:szCs w:val="24"/>
              </w:rPr>
              <w:t>2021年</w:t>
            </w:r>
            <w:r>
              <w:rPr>
                <w:rFonts w:hint="eastAsia" w:ascii="仿宋_GB2312" w:hAnsi="宋体" w:eastAsia="仿宋_GB2312" w:cs="Times New Roman"/>
                <w:b/>
                <w:color w:val="000000" w:themeColor="text1"/>
                <w:sz w:val="24"/>
                <w:szCs w:val="24"/>
                <w:lang w:val="en-US" w:eastAsia="zh-CN"/>
              </w:rPr>
              <w:t>11</w:t>
            </w:r>
            <w:r>
              <w:rPr>
                <w:rFonts w:hint="eastAsia" w:ascii="仿宋_GB2312" w:hAnsi="宋体" w:eastAsia="仿宋_GB2312" w:cs="Times New Roman"/>
                <w:b/>
                <w:color w:val="000000" w:themeColor="text1"/>
                <w:sz w:val="24"/>
                <w:szCs w:val="24"/>
              </w:rPr>
              <w:t>月</w:t>
            </w:r>
            <w:r>
              <w:rPr>
                <w:rFonts w:hint="eastAsia" w:ascii="仿宋_GB2312" w:hAnsi="宋体" w:eastAsia="仿宋_GB2312" w:cs="Times New Roman"/>
                <w:b/>
                <w:color w:val="000000" w:themeColor="text1"/>
                <w:sz w:val="24"/>
                <w:szCs w:val="24"/>
                <w:lang w:val="en-US" w:eastAsia="zh-CN"/>
              </w:rPr>
              <w:t>29</w:t>
            </w:r>
            <w:r>
              <w:rPr>
                <w:rFonts w:hint="eastAsia" w:ascii="仿宋_GB2312" w:hAnsi="宋体" w:eastAsia="仿宋_GB2312" w:cs="Times New Roman"/>
                <w:b/>
                <w:color w:val="000000" w:themeColor="text1"/>
                <w:sz w:val="24"/>
                <w:szCs w:val="24"/>
              </w:rPr>
              <w:t>日</w:t>
            </w:r>
            <w:r>
              <w:rPr>
                <w:rFonts w:hint="eastAsia" w:ascii="仿宋_GB2312" w:hAnsi="宋体" w:eastAsia="仿宋_GB2312" w:cs="Times New Roman"/>
                <w:b/>
                <w:color w:val="000000" w:themeColor="text1"/>
                <w:sz w:val="24"/>
                <w:szCs w:val="24"/>
                <w:lang w:eastAsia="zh-CN"/>
              </w:rPr>
              <w:t>（上午）</w:t>
            </w:r>
            <w:r>
              <w:rPr>
                <w:rFonts w:hint="eastAsia" w:ascii="仿宋_GB2312" w:hAnsi="宋体" w:eastAsia="仿宋_GB2312" w:cs="Times New Roman"/>
                <w:b/>
                <w:color w:val="000000" w:themeColor="text1"/>
                <w:sz w:val="24"/>
                <w:szCs w:val="24"/>
              </w:rPr>
              <w:t>北京时间11</w:t>
            </w:r>
            <w:r>
              <w:rPr>
                <w:rFonts w:hint="eastAsia" w:ascii="仿宋_GB2312" w:hAnsi="宋体" w:eastAsia="仿宋_GB2312" w:cs="Times New Roman"/>
                <w:b/>
                <w:color w:val="000000" w:themeColor="text1"/>
                <w:sz w:val="24"/>
                <w:szCs w:val="24"/>
                <w:lang w:eastAsia="zh-CN"/>
              </w:rPr>
              <w:t>时</w:t>
            </w:r>
            <w:r>
              <w:rPr>
                <w:rFonts w:hint="eastAsia" w:ascii="仿宋_GB2312" w:hAnsi="宋体" w:eastAsia="仿宋_GB2312" w:cs="Times New Roman"/>
                <w:b/>
                <w:color w:val="000000" w:themeColor="text1"/>
                <w:sz w:val="24"/>
                <w:szCs w:val="24"/>
              </w:rPr>
              <w:t>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17</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新疆天麒工程项目管理咨询有限责任公司（昌吉市屯河北路新天地商务港821室）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18</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lang w:eastAsia="zh-CN"/>
              </w:rPr>
              <w:t>《新疆政府采购网》(http://www.ccgp-xinjiang.gov.cn/)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Times New Roman"/>
                <w:sz w:val="24"/>
                <w:szCs w:val="20"/>
              </w:rPr>
            </w:pPr>
            <w:r>
              <w:rPr>
                <w:rFonts w:hint="eastAsia" w:ascii="宋体" w:hAnsi="宋体" w:cs="Times New Roman"/>
                <w:sz w:val="24"/>
                <w:szCs w:val="20"/>
              </w:rPr>
              <w:t>19</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color w:val="auto"/>
                <w:sz w:val="24"/>
                <w:szCs w:val="20"/>
                <w:lang w:val="en-US" w:eastAsia="zh-CN"/>
              </w:rPr>
            </w:pPr>
            <w:r>
              <w:rPr>
                <w:rFonts w:hint="eastAsia" w:ascii="宋体" w:hAnsi="宋体" w:cs="Times New Roman"/>
                <w:color w:val="auto"/>
                <w:sz w:val="24"/>
                <w:szCs w:val="20"/>
              </w:rPr>
              <w:t>2</w:t>
            </w:r>
            <w:r>
              <w:rPr>
                <w:rFonts w:hint="eastAsia" w:ascii="宋体" w:hAnsi="宋体" w:cs="Times New Roman"/>
                <w:color w:val="auto"/>
                <w:sz w:val="24"/>
                <w:szCs w:val="20"/>
                <w:lang w:val="en-US" w:eastAsia="zh-CN"/>
              </w:rPr>
              <w:t>0</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b/>
                <w:color w:val="auto"/>
                <w:sz w:val="24"/>
                <w:szCs w:val="24"/>
                <w:lang w:eastAsia="zh-CN"/>
              </w:rPr>
            </w:pPr>
            <w:r>
              <w:rPr>
                <w:rFonts w:hint="eastAsia" w:ascii="仿宋_GB2312" w:hAnsi="宋体" w:eastAsia="仿宋_GB2312" w:cs="Times New Roman"/>
                <w:b/>
                <w:color w:val="000000" w:themeColor="text1"/>
                <w:sz w:val="24"/>
                <w:szCs w:val="24"/>
                <w:lang w:eastAsia="zh-CN"/>
              </w:rPr>
              <w:t>到</w:t>
            </w:r>
            <w:r>
              <w:rPr>
                <w:rFonts w:hint="eastAsia" w:ascii="仿宋_GB2312" w:hAnsi="宋体" w:eastAsia="仿宋_GB2312" w:cs="Times New Roman"/>
                <w:b/>
                <w:color w:val="000000" w:themeColor="text1"/>
                <w:sz w:val="24"/>
                <w:szCs w:val="24"/>
              </w:rPr>
              <w:t>货</w:t>
            </w:r>
            <w:r>
              <w:rPr>
                <w:rFonts w:hint="eastAsia" w:ascii="仿宋_GB2312" w:hAnsi="宋体" w:eastAsia="仿宋_GB2312" w:cs="Times New Roman"/>
                <w:b/>
                <w:color w:val="000000" w:themeColor="text1"/>
                <w:sz w:val="24"/>
                <w:szCs w:val="24"/>
                <w:lang w:eastAsia="zh-CN"/>
              </w:rPr>
              <w:t>时间</w:t>
            </w:r>
          </w:p>
        </w:tc>
        <w:tc>
          <w:tcPr>
            <w:tcW w:w="7831"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color w:val="auto"/>
                <w:sz w:val="24"/>
                <w:szCs w:val="24"/>
              </w:rPr>
            </w:pPr>
            <w:r>
              <w:rPr>
                <w:rFonts w:hint="eastAsia" w:ascii="仿宋_GB2312" w:hAnsi="宋体" w:eastAsia="仿宋_GB2312" w:cs="Times New Roman"/>
                <w:color w:val="auto"/>
                <w:sz w:val="24"/>
                <w:szCs w:val="24"/>
              </w:rPr>
              <w:t>进口设备90个日历日。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sz w:val="24"/>
                <w:szCs w:val="20"/>
                <w:lang w:val="en-US" w:eastAsia="zh-CN"/>
              </w:rPr>
            </w:pPr>
            <w:r>
              <w:rPr>
                <w:rFonts w:hint="eastAsia" w:ascii="宋体" w:hAnsi="宋体" w:cs="Times New Roman"/>
                <w:sz w:val="24"/>
                <w:szCs w:val="20"/>
              </w:rPr>
              <w:t>2</w:t>
            </w:r>
            <w:r>
              <w:rPr>
                <w:rFonts w:hint="eastAsia" w:ascii="宋体" w:hAnsi="宋体" w:cs="Times New Roman"/>
                <w:sz w:val="24"/>
                <w:szCs w:val="20"/>
                <w:lang w:val="en-US" w:eastAsia="zh-CN"/>
              </w:rPr>
              <w:t>1</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hint="eastAsia" w:ascii="仿宋_GB2312" w:hAnsi="宋体" w:eastAsia="仿宋_GB2312" w:cs="Times New Roman"/>
                <w:color w:val="000000"/>
                <w:sz w:val="24"/>
                <w:szCs w:val="24"/>
                <w:lang w:eastAsia="zh-CN"/>
              </w:rPr>
            </w:pPr>
            <w:r>
              <w:rPr>
                <w:rFonts w:hint="eastAsia" w:ascii="仿宋_GB2312" w:hAnsi="宋体" w:eastAsia="仿宋_GB2312" w:cs="Times New Roman"/>
                <w:color w:val="000000" w:themeColor="text1"/>
                <w:sz w:val="24"/>
                <w:szCs w:val="24"/>
                <w:lang w:eastAsia="zh-CN"/>
              </w:rPr>
              <w:t>昌吉州州人民医院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Times New Roman"/>
                <w:sz w:val="24"/>
                <w:szCs w:val="20"/>
                <w:lang w:val="en-US" w:eastAsia="zh-CN"/>
              </w:rPr>
            </w:pPr>
            <w:r>
              <w:rPr>
                <w:rFonts w:hint="eastAsia" w:ascii="宋体" w:hAnsi="宋体" w:cs="Times New Roman"/>
                <w:sz w:val="24"/>
                <w:szCs w:val="20"/>
              </w:rPr>
              <w:t>2</w:t>
            </w:r>
            <w:r>
              <w:rPr>
                <w:rFonts w:hint="eastAsia" w:ascii="宋体" w:hAnsi="宋体" w:cs="Times New Roman"/>
                <w:sz w:val="24"/>
                <w:szCs w:val="20"/>
                <w:lang w:val="en-US" w:eastAsia="zh-CN"/>
              </w:rPr>
              <w:t>2</w:t>
            </w:r>
          </w:p>
        </w:tc>
        <w:tc>
          <w:tcPr>
            <w:tcW w:w="182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招标文件售价200元（售后不退）</w:t>
            </w:r>
          </w:p>
        </w:tc>
      </w:tr>
    </w:tbl>
    <w:p>
      <w:pPr>
        <w:spacing w:line="420" w:lineRule="exact"/>
        <w:jc w:val="both"/>
        <w:rPr>
          <w:rFonts w:hint="eastAsia"/>
          <w:b/>
          <w:sz w:val="32"/>
          <w:szCs w:val="32"/>
        </w:rPr>
      </w:pPr>
    </w:p>
    <w:p>
      <w:pPr>
        <w:spacing w:line="420" w:lineRule="exact"/>
        <w:ind w:firstLine="3855" w:firstLineChars="1200"/>
        <w:jc w:val="both"/>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25060"/>
      <w:bookmarkStart w:id="8" w:name="_Toc7066"/>
      <w:bookmarkStart w:id="9" w:name="_Toc10828"/>
      <w:bookmarkStart w:id="10" w:name="_Toc31446"/>
      <w:bookmarkStart w:id="11" w:name="_Toc19821"/>
      <w:bookmarkStart w:id="12" w:name="_Toc3376"/>
      <w:bookmarkStart w:id="13" w:name="_Toc22129"/>
      <w:bookmarkStart w:id="14" w:name="_Toc18253"/>
      <w:bookmarkStart w:id="15" w:name="_Toc2340"/>
      <w:bookmarkStart w:id="16" w:name="_Toc1790"/>
      <w:bookmarkStart w:id="17" w:name="_Toc4609"/>
      <w:bookmarkStart w:id="18" w:name="_Toc12713"/>
      <w:bookmarkStart w:id="19" w:name="_Toc32082"/>
      <w:bookmarkStart w:id="20" w:name="_Toc13562"/>
      <w:bookmarkStart w:id="21" w:name="_Toc2122"/>
      <w:bookmarkStart w:id="22" w:name="_Toc30588"/>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_GB2312" w:eastAsia="仿宋_GB2312" w:cs="Times New Roman"/>
          <w:b/>
          <w:bCs/>
          <w:sz w:val="24"/>
          <w:szCs w:val="24"/>
          <w:u w:val="single"/>
          <w:lang w:val="en-US" w:eastAsia="zh-CN"/>
        </w:rPr>
        <w:t>昌吉州州人民医院胰岛素泵（进口）等7类16台医疗设备采购项目（一包）</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val="0"/>
          <w:bCs w:val="0"/>
          <w:color w:val="auto"/>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_GB2312" w:hAnsi="宋体" w:eastAsia="仿宋_GB2312" w:cs="Times New Roman"/>
          <w:color w:val="000000" w:themeColor="text1"/>
          <w:sz w:val="24"/>
          <w:szCs w:val="24"/>
          <w:u w:val="single"/>
          <w:lang w:eastAsia="zh-CN"/>
        </w:rPr>
        <w:t>昌吉州州人民医院</w:t>
      </w:r>
      <w:r>
        <w:rPr>
          <w:rFonts w:hint="eastAsia" w:ascii="仿宋_GB2312" w:eastAsia="仿宋_GB2312" w:cs="Times New Roman"/>
          <w:b w:val="0"/>
          <w:bCs w:val="0"/>
          <w:color w:val="auto"/>
          <w:sz w:val="24"/>
          <w:szCs w:val="24"/>
          <w:u w:val="single"/>
          <w:lang w:eastAsia="zh-CN"/>
        </w:rPr>
        <w:t>（本项目由昌吉回族自治州卫生健康委员会组织部门集中采购）</w:t>
      </w:r>
      <w:r>
        <w:rPr>
          <w:rFonts w:hint="eastAsia" w:ascii="仿宋_GB2312" w:eastAsia="仿宋_GB2312" w:cs="Times New Roman"/>
          <w:b w:val="0"/>
          <w:bCs w:val="0"/>
          <w:color w:val="auto"/>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hint="eastAsia"/>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hint="eastAsia" w:ascii="仿宋_GB2312" w:hAnsi="宋体" w:eastAsia="仿宋_GB2312" w:cs="Times New Roman"/>
          <w:b/>
          <w:sz w:val="32"/>
          <w:szCs w:val="32"/>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14958"/>
      <w:bookmarkStart w:id="24" w:name="_Toc22600"/>
      <w:bookmarkStart w:id="25" w:name="_Toc25097"/>
      <w:bookmarkStart w:id="26" w:name="_Toc22946"/>
      <w:bookmarkStart w:id="27" w:name="_Toc25732"/>
      <w:bookmarkStart w:id="28" w:name="_Toc2594"/>
      <w:bookmarkStart w:id="29" w:name="_Toc27476"/>
      <w:bookmarkStart w:id="30" w:name="_Toc21110"/>
      <w:bookmarkStart w:id="31" w:name="_Toc1839"/>
      <w:bookmarkStart w:id="32" w:name="_Toc17436"/>
      <w:bookmarkStart w:id="33" w:name="_Toc23877"/>
      <w:bookmarkStart w:id="34" w:name="_Toc15920"/>
      <w:bookmarkStart w:id="35" w:name="_Toc8278"/>
      <w:bookmarkStart w:id="36" w:name="_Toc9247"/>
      <w:bookmarkStart w:id="37" w:name="_Toc4244"/>
      <w:bookmarkStart w:id="38" w:name="_Toc30637"/>
    </w:p>
    <w:p>
      <w:pPr>
        <w:jc w:val="center"/>
        <w:outlineLvl w:val="1"/>
        <w:rPr>
          <w:rFonts w:hint="eastAsia" w:ascii="仿宋_GB2312" w:hAnsi="宋体" w:eastAsia="仿宋_GB2312" w:cs="Times New Roman"/>
          <w:b/>
          <w:color w:val="000000" w:themeColor="text1"/>
          <w:sz w:val="32"/>
          <w:szCs w:val="32"/>
        </w:rPr>
      </w:pPr>
    </w:p>
    <w:p>
      <w:pPr>
        <w:jc w:val="center"/>
        <w:outlineLvl w:val="1"/>
        <w:rPr>
          <w:rFonts w:ascii="仿宋" w:hAnsi="仿宋" w:eastAsia="仿宋" w:cs="仿宋"/>
          <w:color w:val="000000" w:themeColor="text1"/>
          <w:szCs w:val="20"/>
        </w:rPr>
      </w:pPr>
      <w:r>
        <w:rPr>
          <w:rFonts w:hint="eastAsia" w:ascii="仿宋_GB2312" w:hAnsi="宋体" w:eastAsia="仿宋_GB2312" w:cs="Times New Roman"/>
          <w:b/>
          <w:color w:val="000000" w:themeColor="text1"/>
          <w:sz w:val="32"/>
          <w:szCs w:val="32"/>
        </w:rPr>
        <w:t xml:space="preserve">第二章 </w:t>
      </w:r>
      <w:r>
        <w:rPr>
          <w:rFonts w:hint="eastAsia" w:ascii="仿宋" w:hAnsi="仿宋" w:eastAsia="仿宋" w:cs="仿宋"/>
          <w:b/>
          <w:bCs/>
          <w:color w:val="000000" w:themeColor="text1"/>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color w:val="000000" w:themeColor="text1"/>
          <w:sz w:val="24"/>
          <w:szCs w:val="20"/>
        </w:rPr>
      </w:pPr>
      <w:r>
        <w:rPr>
          <w:rFonts w:hint="eastAsia" w:ascii="宋体" w:hAnsi="宋体" w:cs="宋体"/>
          <w:b/>
          <w:color w:val="000000" w:themeColor="text1"/>
          <w:sz w:val="24"/>
          <w:szCs w:val="20"/>
        </w:rPr>
        <w:t>1、投标资质要求</w:t>
      </w:r>
    </w:p>
    <w:p>
      <w:pPr>
        <w:pStyle w:val="20"/>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000000" w:themeColor="text1"/>
          <w:spacing w:val="0"/>
          <w:sz w:val="22"/>
          <w:szCs w:val="22"/>
          <w:vertAlign w:val="baseline"/>
          <w:lang w:val="en-US" w:eastAsia="zh-CN"/>
        </w:rPr>
      </w:pPr>
      <w:bookmarkStart w:id="39" w:name="_Toc21696"/>
      <w:bookmarkStart w:id="40" w:name="_Toc19309"/>
      <w:bookmarkStart w:id="41" w:name="_Toc31206"/>
      <w:bookmarkStart w:id="42" w:name="_Toc19997"/>
      <w:bookmarkStart w:id="43" w:name="_Toc28050"/>
      <w:bookmarkStart w:id="44" w:name="_Toc3882"/>
      <w:bookmarkStart w:id="45" w:name="_Toc16095"/>
      <w:bookmarkStart w:id="46" w:name="_Toc16339"/>
      <w:bookmarkStart w:id="47" w:name="_Toc29361"/>
      <w:bookmarkStart w:id="48" w:name="_Toc7896"/>
      <w:bookmarkStart w:id="49" w:name="_Toc7999"/>
      <w:bookmarkStart w:id="50" w:name="_Toc2056"/>
      <w:bookmarkStart w:id="51" w:name="_Toc15431"/>
      <w:bookmarkStart w:id="52" w:name="_Toc25475"/>
      <w:bookmarkStart w:id="53" w:name="_Toc11677"/>
      <w:r>
        <w:rPr>
          <w:rFonts w:hint="eastAsia" w:ascii="仿宋" w:hAnsi="仿宋" w:eastAsia="仿宋" w:cs="仿宋"/>
          <w:i w:val="0"/>
          <w:iCs w:val="0"/>
          <w:caps w:val="0"/>
          <w:color w:val="000000" w:themeColor="text1"/>
          <w:spacing w:val="0"/>
          <w:sz w:val="22"/>
          <w:szCs w:val="22"/>
          <w:vertAlign w:val="baseline"/>
          <w:lang w:val="en-US" w:eastAsia="zh-CN"/>
        </w:rPr>
        <w:t>1、须符合《中华人民共和国政府采购法》第22条规定：</w:t>
      </w:r>
    </w:p>
    <w:p>
      <w:pPr>
        <w:pStyle w:val="20"/>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000000" w:themeColor="text1"/>
          <w:spacing w:val="0"/>
          <w:sz w:val="22"/>
          <w:szCs w:val="22"/>
          <w:vertAlign w:val="baseline"/>
          <w:lang w:val="en-US" w:eastAsia="zh-CN"/>
        </w:rPr>
      </w:pPr>
      <w:r>
        <w:rPr>
          <w:rFonts w:hint="eastAsia" w:ascii="仿宋" w:hAnsi="仿宋" w:eastAsia="仿宋" w:cs="仿宋"/>
          <w:i w:val="0"/>
          <w:iCs w:val="0"/>
          <w:caps w:val="0"/>
          <w:color w:val="000000" w:themeColor="text1"/>
          <w:spacing w:val="0"/>
          <w:sz w:val="22"/>
          <w:szCs w:val="22"/>
          <w:vertAlign w:val="baseline"/>
          <w:lang w:val="en-US" w:eastAsia="zh-CN"/>
        </w:rPr>
        <w:t> （1）具有独立承担民事责任的能力的供应商；</w:t>
      </w:r>
    </w:p>
    <w:p>
      <w:pPr>
        <w:pStyle w:val="20"/>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themeColor="text1"/>
          <w:spacing w:val="0"/>
          <w:sz w:val="22"/>
          <w:szCs w:val="22"/>
          <w:vertAlign w:val="baseline"/>
          <w:lang w:val="en-US" w:eastAsia="zh-CN"/>
        </w:rPr>
        <w:t> （2）具有良好的商业信誉和健全的财务会计</w:t>
      </w:r>
      <w:r>
        <w:rPr>
          <w:rFonts w:hint="eastAsia" w:ascii="仿宋" w:hAnsi="仿宋" w:eastAsia="仿宋" w:cs="仿宋"/>
          <w:i w:val="0"/>
          <w:iCs w:val="0"/>
          <w:caps w:val="0"/>
          <w:color w:val="000000"/>
          <w:spacing w:val="0"/>
          <w:sz w:val="22"/>
          <w:szCs w:val="22"/>
          <w:vertAlign w:val="baseline"/>
          <w:lang w:val="en-US" w:eastAsia="zh-CN"/>
        </w:rPr>
        <w:t>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pStyle w:val="20"/>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 （3）具有履行合同所必需的设备和专业技术能力(具备履行合同所必需设备和专业技术能力的声明函)；</w:t>
      </w:r>
    </w:p>
    <w:p>
      <w:pPr>
        <w:pStyle w:val="20"/>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 （4）有依法缴纳税收和社会保障资金的良好记录(纳税人证明材料和企业人员基本信息后附人员社保证明)；</w:t>
      </w:r>
    </w:p>
    <w:p>
      <w:pPr>
        <w:pStyle w:val="20"/>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 （5）参加本次采购活动前三年内，在经营活动中没有重大违法记录；</w:t>
      </w:r>
    </w:p>
    <w:p>
      <w:pPr>
        <w:pStyle w:val="20"/>
        <w:keepNext w:val="0"/>
        <w:keepLines w:val="0"/>
        <w:widowControl/>
        <w:suppressLineNumbers w:val="0"/>
        <w:spacing w:before="75" w:beforeAutospacing="0" w:after="75" w:afterAutospacing="0" w:line="300" w:lineRule="atLeast"/>
        <w:ind w:right="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 （6）法律、行政法规规定的其他条件。 </w:t>
      </w:r>
    </w:p>
    <w:p>
      <w:pPr>
        <w:pStyle w:val="20"/>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2、投标人必须是所投产品的制造商或经销商，需提供有效的工商营业执照副本原件或当地公证处出具的的前述证书的公证书（营业执照需包含本次项目的相关经营权）；</w:t>
      </w:r>
    </w:p>
    <w:p>
      <w:pPr>
        <w:pStyle w:val="20"/>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3、投标人若为生产厂家的需提供《医疗器械生产许可证》及其他资质（原件或当地公证处出具的的前述证书的公证书）；若为经销商需提供《医疗器械经营许可证》和《医疗器械经营备案凭证》。（原件或当地公证处出具的的前述证书的公证书）；</w:t>
      </w:r>
    </w:p>
    <w:p>
      <w:pPr>
        <w:pStyle w:val="20"/>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4、医疗器械产品，须根据《医疗器械监督管理条例》（国务院令第680号）有关内容办理医疗器械产品注册与备案，需提供所投产品的《医疗器械注册证》，所有证件均应在有效期内；</w:t>
      </w:r>
    </w:p>
    <w:p>
      <w:pPr>
        <w:pStyle w:val="20"/>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5、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pStyle w:val="20"/>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6、参与采购的法人应携带《法定代表人身份证明》及身份证原件，委托代理人应携带《法人代表授权委托书》及委托人社保证明。</w:t>
      </w:r>
    </w:p>
    <w:p>
      <w:pPr>
        <w:pStyle w:val="20"/>
        <w:keepNext w:val="0"/>
        <w:keepLines w:val="0"/>
        <w:widowControl/>
        <w:suppressLineNumbers w:val="0"/>
        <w:spacing w:before="75" w:beforeAutospacing="0" w:after="75" w:afterAutospacing="0" w:line="300" w:lineRule="atLeast"/>
        <w:ind w:right="0" w:firstLine="220" w:firstLineChars="1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7、不接受联合体投标，不允许转包或分包。</w:t>
      </w:r>
    </w:p>
    <w:p>
      <w:pPr>
        <w:outlineLvl w:val="1"/>
        <w:rPr>
          <w:rFonts w:ascii="仿宋_GB2312" w:hAnsi="Arial" w:eastAsia="仿宋_GB2312" w:cs="Times New Roman"/>
          <w:b/>
          <w:sz w:val="32"/>
          <w:szCs w:val="32"/>
          <w:highlight w:val="yellow"/>
        </w:rPr>
      </w:pPr>
    </w:p>
    <w:p>
      <w:pPr>
        <w:pStyle w:val="8"/>
        <w:rPr>
          <w:rFonts w:ascii="仿宋_GB2312" w:hAnsi="Arial" w:eastAsia="仿宋_GB2312" w:cs="Times New Roman"/>
          <w:b/>
          <w:sz w:val="32"/>
          <w:szCs w:val="32"/>
          <w:highlight w:val="yellow"/>
        </w:rPr>
      </w:pPr>
    </w:p>
    <w:p>
      <w:pPr>
        <w:pStyle w:val="9"/>
      </w:pPr>
    </w:p>
    <w:p>
      <w:pPr>
        <w:jc w:val="center"/>
        <w:outlineLvl w:val="1"/>
        <w:rPr>
          <w:rFonts w:hint="eastAsia" w:ascii="仿宋_GB2312" w:hAnsi="Arial" w:eastAsia="仿宋_GB2312" w:cs="Times New Roman"/>
          <w:b/>
          <w:sz w:val="32"/>
          <w:szCs w:val="32"/>
        </w:rPr>
      </w:pPr>
      <w:bookmarkStart w:id="54" w:name="_Toc23609"/>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pStyle w:val="8"/>
        <w:rPr>
          <w:rFonts w:hint="eastAsia"/>
        </w:rPr>
      </w:pPr>
    </w:p>
    <w:p>
      <w:pPr>
        <w:jc w:val="center"/>
        <w:outlineLvl w:val="1"/>
        <w:rPr>
          <w:rFonts w:hint="eastAsia" w:ascii="仿宋_GB2312" w:hAnsi="Arial" w:eastAsia="仿宋_GB2312" w:cs="Times New Roman"/>
          <w:b/>
          <w:sz w:val="32"/>
          <w:szCs w:val="32"/>
        </w:rPr>
      </w:pPr>
    </w:p>
    <w:p>
      <w:pPr>
        <w:jc w:val="both"/>
        <w:outlineLvl w:val="1"/>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黑体" w:hAnsi="黑体" w:eastAsia="黑体"/>
          <w:b/>
          <w:sz w:val="24"/>
          <w:szCs w:val="20"/>
          <w:u w:val="single"/>
        </w:rPr>
        <w:t>为便于评委审阅，投标文件必须编写目录和页码</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（请各投标人严格按照以下顺序编制投标文件，如未按要求编制投标无效）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color w:val="000000" w:themeColor="text1"/>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近三年的类似业绩（必须附中标通知书或合同复印件加盖企业公章）。【格式详见本招标文件第七部分】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color w:val="000000" w:themeColor="text1"/>
          <w:sz w:val="24"/>
          <w:szCs w:val="20"/>
        </w:rPr>
        <w:t>2.1</w:t>
      </w:r>
      <w:r>
        <w:rPr>
          <w:rFonts w:hint="eastAsia" w:ascii="仿宋" w:hAnsi="仿宋" w:eastAsia="仿宋" w:cs="Times New Roman"/>
          <w:color w:val="000000" w:themeColor="text1"/>
          <w:sz w:val="24"/>
          <w:szCs w:val="20"/>
          <w:lang w:val="en-US" w:eastAsia="zh-CN"/>
        </w:rPr>
        <w:t>1</w:t>
      </w:r>
      <w:r>
        <w:rPr>
          <w:rFonts w:hint="eastAsia" w:ascii="仿宋" w:hAnsi="仿宋" w:eastAsia="仿宋" w:cs="Times New Roman"/>
          <w:color w:val="000000" w:themeColor="text1"/>
          <w:sz w:val="24"/>
          <w:szCs w:val="20"/>
        </w:rPr>
        <w:t xml:space="preserve"> 投标资质</w:t>
      </w:r>
      <w:r>
        <w:rPr>
          <w:rFonts w:hint="eastAsia" w:ascii="仿宋" w:hAnsi="仿宋" w:eastAsia="仿宋" w:cs="Times New Roman"/>
          <w:color w:val="000000" w:themeColor="text1"/>
          <w:sz w:val="24"/>
          <w:szCs w:val="20"/>
          <w:lang w:val="en-US" w:eastAsia="zh-CN"/>
        </w:rPr>
        <w:t>2</w:t>
      </w:r>
      <w:r>
        <w:rPr>
          <w:rFonts w:hint="eastAsia" w:ascii="仿宋" w:hAnsi="仿宋" w:eastAsia="仿宋" w:cs="Times New Roman"/>
          <w:color w:val="000000" w:themeColor="text1"/>
          <w:sz w:val="24"/>
          <w:szCs w:val="20"/>
        </w:rPr>
        <w:t>-</w:t>
      </w:r>
      <w:r>
        <w:rPr>
          <w:rFonts w:hint="eastAsia" w:ascii="仿宋" w:hAnsi="仿宋" w:eastAsia="仿宋" w:cs="Times New Roman"/>
          <w:color w:val="000000" w:themeColor="text1"/>
          <w:sz w:val="24"/>
          <w:szCs w:val="20"/>
          <w:lang w:val="en-US" w:eastAsia="zh-CN"/>
        </w:rPr>
        <w:t>4</w:t>
      </w:r>
      <w:r>
        <w:rPr>
          <w:rFonts w:hint="eastAsia" w:ascii="仿宋" w:hAnsi="仿宋" w:eastAsia="仿宋" w:cs="Times New Roman"/>
          <w:sz w:val="24"/>
          <w:szCs w:val="20"/>
        </w:rPr>
        <w:t>项资料复印件加盖公章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2</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 w:hAnsi="仿宋" w:eastAsia="仿宋" w:cs="Times New Roman"/>
          <w:sz w:val="24"/>
          <w:szCs w:val="24"/>
        </w:rPr>
        <w:t>2.1</w:t>
      </w: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 xml:space="preserve">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（若有请如实填写）</w:t>
      </w:r>
      <w:r>
        <w:rPr>
          <w:rFonts w:hint="eastAsia" w:ascii="仿宋" w:hAnsi="仿宋" w:eastAsia="仿宋" w:cs="Times New Roman"/>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4</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5</w:t>
      </w:r>
      <w:r>
        <w:rPr>
          <w:rFonts w:hint="eastAsia" w:ascii="仿宋" w:hAnsi="仿宋" w:eastAsia="仿宋" w:cs="Times New Roman"/>
          <w:sz w:val="24"/>
          <w:szCs w:val="20"/>
        </w:rPr>
        <w:t xml:space="preserve"> 其它有利于投标的资料</w:t>
      </w: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p>
    <w:p>
      <w:pPr>
        <w:outlineLvl w:val="1"/>
        <w:rPr>
          <w:rFonts w:ascii="仿宋_GB2312" w:hAnsi="Arial" w:eastAsia="仿宋_GB2312" w:cs="Times New Roman"/>
          <w:sz w:val="24"/>
          <w:szCs w:val="20"/>
          <w:highlight w:val="yellow"/>
        </w:rPr>
      </w:pPr>
    </w:p>
    <w:p>
      <w:pPr>
        <w:jc w:val="center"/>
        <w:outlineLvl w:val="1"/>
        <w:rPr>
          <w:rFonts w:hint="eastAsia" w:ascii="仿宋_GB2312" w:hAnsi="Arial" w:eastAsia="仿宋_GB2312" w:cs="Times New Roman"/>
          <w:b/>
          <w:sz w:val="32"/>
          <w:szCs w:val="32"/>
        </w:rPr>
      </w:pPr>
      <w:bookmarkStart w:id="55" w:name="_Toc9207"/>
      <w:bookmarkStart w:id="56" w:name="_Toc2819"/>
      <w:bookmarkStart w:id="57" w:name="_Toc24384"/>
      <w:bookmarkStart w:id="58" w:name="_Toc31157"/>
      <w:bookmarkStart w:id="59" w:name="_Toc20622"/>
      <w:bookmarkStart w:id="60" w:name="_Toc28868"/>
      <w:bookmarkStart w:id="61" w:name="_Toc10249"/>
      <w:bookmarkStart w:id="62" w:name="_Toc20956"/>
      <w:bookmarkStart w:id="63" w:name="_Toc6422"/>
      <w:bookmarkStart w:id="64" w:name="_Toc22942"/>
      <w:bookmarkStart w:id="65" w:name="_Toc13247"/>
      <w:bookmarkStart w:id="66" w:name="_Toc25337"/>
      <w:bookmarkStart w:id="67" w:name="_Toc2902"/>
      <w:bookmarkStart w:id="68" w:name="_Toc11243"/>
      <w:bookmarkStart w:id="69" w:name="_Toc32591"/>
      <w:bookmarkStart w:id="70" w:name="_Toc7952"/>
      <w:bookmarkStart w:id="71" w:name="_Toc12570"/>
      <w:bookmarkStart w:id="72" w:name="_Toc29272"/>
      <w:bookmarkStart w:id="73" w:name="_Toc19011"/>
      <w:bookmarkStart w:id="74" w:name="_Toc15827"/>
      <w:bookmarkStart w:id="75" w:name="_Toc10911"/>
      <w:bookmarkStart w:id="76" w:name="_Toc906"/>
      <w:bookmarkStart w:id="77" w:name="_Toc6330"/>
      <w:bookmarkStart w:id="78" w:name="_Toc16595"/>
      <w:bookmarkStart w:id="79" w:name="_Toc31108"/>
      <w:bookmarkStart w:id="80" w:name="_Toc7949"/>
      <w:bookmarkStart w:id="81" w:name="_Toc24445"/>
      <w:bookmarkStart w:id="82" w:name="_Toc3845"/>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A4纸印刷体双面打印，胶粘装订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开标一览表1份、正本1套和副本</w:t>
      </w:r>
      <w:r>
        <w:rPr>
          <w:rFonts w:hint="eastAsia" w:ascii="黑体" w:hAnsi="黑体" w:eastAsia="黑体"/>
          <w:b/>
          <w:sz w:val="24"/>
          <w:szCs w:val="20"/>
          <w:u w:val="single"/>
          <w:lang w:val="en-US" w:eastAsia="zh-CN"/>
        </w:rPr>
        <w:t>2</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u w:val="single"/>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注明“开标时才能启封”字样等</w:t>
      </w:r>
    </w:p>
    <w:p>
      <w:pPr>
        <w:ind w:firstLine="480" w:firstLineChars="200"/>
        <w:rPr>
          <w:rFonts w:ascii="黑体" w:hAnsi="黑体" w:eastAsia="黑体"/>
          <w:b/>
          <w:bCs/>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w:t>
      </w:r>
      <w:r>
        <w:rPr>
          <w:rFonts w:hint="eastAsia" w:ascii="黑体" w:hAnsi="黑体" w:eastAsia="黑体"/>
          <w:b/>
          <w:bCs/>
          <w:sz w:val="22"/>
          <w:szCs w:val="18"/>
        </w:rPr>
        <w:t>投标人必须提供《开标一览表》将其单独用小信封密封</w:t>
      </w:r>
      <w:r>
        <w:rPr>
          <w:rFonts w:hint="eastAsia" w:ascii="仿宋" w:hAnsi="仿宋" w:eastAsia="仿宋" w:cs="Times New Roman"/>
          <w:sz w:val="22"/>
          <w:szCs w:val="18"/>
        </w:rPr>
        <w:t>，</w:t>
      </w:r>
      <w:r>
        <w:rPr>
          <w:rFonts w:hint="eastAsia" w:ascii="黑体" w:hAnsi="黑体" w:eastAsia="黑体"/>
          <w:b/>
          <w:bCs/>
          <w:sz w:val="22"/>
          <w:szCs w:val="18"/>
        </w:rPr>
        <w:t>并在信封上标明“开标一览表”字样。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4任何不完整或不满足招标文件要求的投标书将被拒绝。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rPr>
        <w:t>3、投标截止时间</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 xml:space="preserve">3.1 </w:t>
      </w:r>
      <w:r>
        <w:rPr>
          <w:rFonts w:hint="eastAsia" w:ascii="仿宋" w:hAnsi="仿宋" w:eastAsia="仿宋" w:cs="Times New Roman"/>
          <w:color w:val="000000"/>
          <w:sz w:val="24"/>
          <w:szCs w:val="20"/>
        </w:rPr>
        <w:t>投标文件标应在</w:t>
      </w:r>
      <w:r>
        <w:rPr>
          <w:rFonts w:hint="eastAsia" w:ascii="仿宋" w:hAnsi="仿宋" w:eastAsia="仿宋" w:cs="Times New Roman"/>
          <w:color w:val="000000" w:themeColor="text1"/>
          <w:sz w:val="24"/>
          <w:szCs w:val="20"/>
        </w:rPr>
        <w:t>2021年</w:t>
      </w:r>
      <w:r>
        <w:rPr>
          <w:rFonts w:hint="eastAsia" w:ascii="仿宋" w:hAnsi="仿宋" w:eastAsia="仿宋" w:cs="Times New Roman"/>
          <w:color w:val="000000" w:themeColor="text1"/>
          <w:sz w:val="24"/>
          <w:szCs w:val="20"/>
          <w:u w:val="single"/>
        </w:rPr>
        <w:t xml:space="preserve"> </w:t>
      </w:r>
      <w:r>
        <w:rPr>
          <w:rFonts w:hint="eastAsia" w:ascii="仿宋" w:hAnsi="仿宋" w:eastAsia="仿宋" w:cs="Times New Roman"/>
          <w:color w:val="000000" w:themeColor="text1"/>
          <w:sz w:val="24"/>
          <w:szCs w:val="20"/>
          <w:u w:val="single"/>
          <w:lang w:val="en-US" w:eastAsia="zh-CN"/>
        </w:rPr>
        <w:t>11</w:t>
      </w:r>
      <w:r>
        <w:rPr>
          <w:rFonts w:hint="eastAsia" w:ascii="仿宋" w:hAnsi="仿宋" w:eastAsia="仿宋" w:cs="Times New Roman"/>
          <w:color w:val="000000" w:themeColor="text1"/>
          <w:sz w:val="24"/>
          <w:szCs w:val="20"/>
        </w:rPr>
        <w:t>月</w:t>
      </w:r>
      <w:r>
        <w:rPr>
          <w:rFonts w:hint="eastAsia" w:ascii="仿宋" w:hAnsi="仿宋" w:eastAsia="仿宋" w:cs="Times New Roman"/>
          <w:color w:val="000000" w:themeColor="text1"/>
          <w:sz w:val="24"/>
          <w:szCs w:val="20"/>
          <w:u w:val="single"/>
        </w:rPr>
        <w:t xml:space="preserve"> </w:t>
      </w:r>
      <w:r>
        <w:rPr>
          <w:rFonts w:hint="eastAsia" w:ascii="仿宋" w:hAnsi="仿宋" w:eastAsia="仿宋" w:cs="Times New Roman"/>
          <w:color w:val="000000" w:themeColor="text1"/>
          <w:sz w:val="24"/>
          <w:szCs w:val="20"/>
          <w:u w:val="single"/>
          <w:lang w:val="en-US" w:eastAsia="zh-CN"/>
        </w:rPr>
        <w:t>29</w:t>
      </w:r>
      <w:r>
        <w:rPr>
          <w:rFonts w:hint="eastAsia" w:ascii="仿宋" w:hAnsi="仿宋" w:eastAsia="仿宋" w:cs="Times New Roman"/>
          <w:color w:val="000000" w:themeColor="text1"/>
          <w:sz w:val="24"/>
          <w:szCs w:val="20"/>
          <w:u w:val="single"/>
        </w:rPr>
        <w:t xml:space="preserve"> </w:t>
      </w:r>
      <w:r>
        <w:rPr>
          <w:rFonts w:hint="eastAsia" w:ascii="仿宋" w:hAnsi="仿宋" w:eastAsia="仿宋" w:cs="Times New Roman"/>
          <w:color w:val="000000" w:themeColor="text1"/>
          <w:sz w:val="24"/>
          <w:szCs w:val="20"/>
        </w:rPr>
        <w:t>日</w:t>
      </w:r>
      <w:r>
        <w:rPr>
          <w:rFonts w:hint="eastAsia" w:ascii="仿宋" w:hAnsi="仿宋" w:eastAsia="仿宋" w:cs="Times New Roman"/>
          <w:color w:val="000000" w:themeColor="text1"/>
          <w:sz w:val="24"/>
          <w:szCs w:val="20"/>
          <w:lang w:eastAsia="zh-CN"/>
        </w:rPr>
        <w:t>上午</w:t>
      </w:r>
      <w:r>
        <w:rPr>
          <w:rFonts w:hint="eastAsia" w:ascii="仿宋" w:hAnsi="仿宋" w:eastAsia="仿宋" w:cs="Times New Roman"/>
          <w:color w:val="000000" w:themeColor="text1"/>
          <w:sz w:val="24"/>
          <w:szCs w:val="20"/>
          <w:lang w:val="en-US" w:eastAsia="zh-CN"/>
        </w:rPr>
        <w:t>11：00</w:t>
      </w:r>
      <w:r>
        <w:rPr>
          <w:rFonts w:hint="eastAsia" w:ascii="仿宋" w:hAnsi="仿宋" w:eastAsia="仿宋" w:cs="Times New Roman"/>
          <w:color w:val="000000" w:themeColor="text1"/>
          <w:sz w:val="24"/>
          <w:szCs w:val="20"/>
        </w:rPr>
        <w:t>（</w:t>
      </w:r>
      <w:r>
        <w:rPr>
          <w:rFonts w:hint="eastAsia" w:ascii="仿宋" w:hAnsi="仿宋" w:eastAsia="仿宋" w:cs="Times New Roman"/>
          <w:color w:val="000000"/>
          <w:sz w:val="24"/>
          <w:szCs w:val="20"/>
        </w:rPr>
        <w:t>北京时间）</w:t>
      </w:r>
      <w:r>
        <w:rPr>
          <w:rFonts w:hint="eastAsia" w:ascii="仿宋" w:hAnsi="仿宋" w:eastAsia="仿宋" w:cs="Times New Roman"/>
          <w:sz w:val="24"/>
          <w:szCs w:val="20"/>
        </w:rPr>
        <w:t>之前递交。投标文件以密封形式递交至</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指定开标地点。并在《投标供应商登记表》上进行登记，在开标时间之前不做登记的，视为自动放弃投标。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所有投标文件都必须在</w:t>
      </w:r>
      <w:r>
        <w:rPr>
          <w:rFonts w:hint="eastAsia" w:ascii="仿宋" w:hAnsi="仿宋" w:eastAsia="仿宋" w:cs="Times New Roman"/>
          <w:bCs/>
          <w:sz w:val="24"/>
          <w:szCs w:val="20"/>
        </w:rPr>
        <w:t>采购代理机构</w:t>
      </w:r>
      <w:r>
        <w:rPr>
          <w:rFonts w:hint="eastAsia" w:ascii="仿宋" w:hAnsi="仿宋" w:eastAsia="仿宋" w:cs="Times New Roman"/>
          <w:sz w:val="24"/>
          <w:szCs w:val="20"/>
        </w:rPr>
        <w:t>规定的投标截止时间之前送达招标文件指定的地点。</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3 出现因招标文件的修改而推迟投标截止时间的情况时，投标人则须按</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的书面修改通知重新规定的投标截止时间之前递交。</w:t>
      </w:r>
    </w:p>
    <w:p>
      <w:pPr>
        <w:ind w:firstLine="482" w:firstLineChars="200"/>
        <w:rPr>
          <w:rFonts w:ascii="宋体" w:hAnsi="宋体" w:cs="宋体"/>
          <w:b/>
          <w:sz w:val="24"/>
          <w:szCs w:val="20"/>
        </w:rPr>
      </w:pPr>
      <w:r>
        <w:rPr>
          <w:rFonts w:hint="eastAsia" w:ascii="宋体" w:hAnsi="宋体" w:cs="宋体"/>
          <w:b/>
          <w:sz w:val="24"/>
          <w:szCs w:val="20"/>
        </w:rPr>
        <w:t>4、投标文件的修改和撤销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p>
    <w:p>
      <w:pPr>
        <w:ind w:firstLine="3534" w:firstLineChars="1100"/>
        <w:rPr>
          <w:rFonts w:ascii="仿宋_GB2312" w:hAnsi="Arial" w:eastAsia="仿宋_GB2312" w:cs="Times New Roman"/>
          <w:b/>
          <w:sz w:val="32"/>
          <w:szCs w:val="32"/>
        </w:rPr>
      </w:pPr>
      <w:bookmarkStart w:id="83" w:name="_Toc17190"/>
      <w:bookmarkStart w:id="84" w:name="_Toc11645"/>
      <w:bookmarkStart w:id="85" w:name="_Toc4955"/>
    </w:p>
    <w:p>
      <w:pPr>
        <w:ind w:firstLine="3534" w:firstLineChars="1100"/>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0"/>
        <w:ind w:firstLine="480"/>
        <w:rPr>
          <w:rFonts w:ascii="仿宋" w:hAnsi="仿宋" w:eastAsia="仿宋" w:cs="仿宋"/>
          <w:color w:val="000000" w:themeColor="text1"/>
          <w:kern w:val="2"/>
          <w:sz w:val="24"/>
          <w:szCs w:val="24"/>
        </w:rPr>
      </w:pPr>
      <w:r>
        <w:rPr>
          <w:rFonts w:hint="eastAsia" w:ascii="仿宋" w:hAnsi="仿宋" w:eastAsia="仿宋" w:cs="仿宋"/>
          <w:color w:val="000000" w:themeColor="text1"/>
          <w:sz w:val="24"/>
          <w:szCs w:val="24"/>
        </w:rPr>
        <w:t>2.1投标保证金：</w:t>
      </w:r>
      <w:r>
        <w:rPr>
          <w:rFonts w:hint="eastAsia" w:ascii="仿宋" w:hAnsi="仿宋" w:eastAsia="仿宋" w:cs="仿宋"/>
          <w:color w:val="000000" w:themeColor="text1"/>
          <w:kern w:val="2"/>
          <w:sz w:val="24"/>
          <w:szCs w:val="24"/>
        </w:rPr>
        <w:t>人民币（大写）：</w:t>
      </w:r>
      <w:r>
        <w:rPr>
          <w:rFonts w:hint="eastAsia" w:ascii="仿宋" w:hAnsi="仿宋" w:eastAsia="仿宋" w:cs="仿宋"/>
          <w:color w:val="000000" w:themeColor="text1"/>
          <w:kern w:val="2"/>
          <w:sz w:val="24"/>
          <w:szCs w:val="24"/>
          <w:lang w:eastAsia="zh-CN"/>
        </w:rPr>
        <w:t>伍</w:t>
      </w:r>
      <w:r>
        <w:rPr>
          <w:rFonts w:hint="eastAsia" w:ascii="仿宋" w:hAnsi="仿宋" w:eastAsia="仿宋" w:cs="仿宋"/>
          <w:color w:val="000000" w:themeColor="text1"/>
          <w:kern w:val="2"/>
          <w:sz w:val="24"/>
          <w:szCs w:val="24"/>
          <w:lang w:val="en-US" w:eastAsia="zh-CN"/>
        </w:rPr>
        <w:t>仟元</w:t>
      </w:r>
      <w:r>
        <w:rPr>
          <w:rFonts w:hint="eastAsia" w:ascii="仿宋" w:hAnsi="仿宋" w:eastAsia="仿宋" w:cs="仿宋"/>
          <w:color w:val="000000" w:themeColor="text1"/>
          <w:kern w:val="2"/>
          <w:sz w:val="24"/>
          <w:szCs w:val="24"/>
        </w:rPr>
        <w:t>整 ¥：</w:t>
      </w:r>
      <w:r>
        <w:rPr>
          <w:rFonts w:hint="eastAsia" w:ascii="仿宋" w:hAnsi="仿宋" w:eastAsia="仿宋" w:cs="仿宋"/>
          <w:color w:val="000000" w:themeColor="text1"/>
          <w:kern w:val="2"/>
          <w:sz w:val="24"/>
          <w:szCs w:val="24"/>
          <w:lang w:val="en-US" w:eastAsia="zh-CN"/>
        </w:rPr>
        <w:t>5000.00元整</w:t>
      </w:r>
      <w:r>
        <w:rPr>
          <w:rFonts w:hint="eastAsia" w:ascii="仿宋" w:hAnsi="仿宋" w:eastAsia="仿宋" w:cs="仿宋"/>
          <w:color w:val="000000" w:themeColor="text1"/>
          <w:kern w:val="2"/>
          <w:sz w:val="24"/>
          <w:szCs w:val="24"/>
        </w:rPr>
        <w:t xml:space="preserve"> </w:t>
      </w:r>
    </w:p>
    <w:p>
      <w:pPr>
        <w:ind w:firstLine="480" w:firstLineChars="200"/>
        <w:rPr>
          <w:rFonts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2.2形式：网银转账或银行转账</w:t>
      </w:r>
    </w:p>
    <w:p>
      <w:pPr>
        <w:ind w:left="479" w:leftChars="228"/>
        <w:rPr>
          <w:rFonts w:ascii="仿宋" w:hAnsi="仿宋" w:eastAsia="仿宋" w:cs="仿宋"/>
          <w:color w:val="000000"/>
          <w:kern w:val="0"/>
          <w:sz w:val="24"/>
          <w:szCs w:val="24"/>
        </w:rPr>
      </w:pPr>
      <w:r>
        <w:rPr>
          <w:rFonts w:hint="eastAsia" w:ascii="仿宋" w:hAnsi="仿宋" w:eastAsia="仿宋" w:cs="仿宋"/>
          <w:kern w:val="0"/>
          <w:sz w:val="24"/>
          <w:szCs w:val="24"/>
        </w:rPr>
        <w:t>2.3递交时</w:t>
      </w:r>
      <w:r>
        <w:rPr>
          <w:rFonts w:hint="eastAsia" w:ascii="仿宋" w:hAnsi="仿宋" w:eastAsia="仿宋" w:cs="仿宋"/>
          <w:color w:val="000000" w:themeColor="text1"/>
          <w:kern w:val="0"/>
          <w:sz w:val="24"/>
          <w:szCs w:val="24"/>
        </w:rPr>
        <w:t>间：</w:t>
      </w:r>
      <w:r>
        <w:rPr>
          <w:rFonts w:hint="eastAsia" w:ascii="仿宋" w:hAnsi="仿宋" w:eastAsia="仿宋" w:cs="仿宋"/>
          <w:color w:val="000000" w:themeColor="text1"/>
          <w:kern w:val="0"/>
          <w:sz w:val="24"/>
          <w:szCs w:val="24"/>
          <w:lang w:eastAsia="zh-CN"/>
        </w:rPr>
        <w:t>在</w:t>
      </w:r>
      <w:r>
        <w:rPr>
          <w:rFonts w:hint="eastAsia" w:ascii="仿宋" w:hAnsi="仿宋" w:eastAsia="仿宋" w:cs="Times New Roman"/>
          <w:color w:val="000000" w:themeColor="text1"/>
          <w:sz w:val="24"/>
          <w:szCs w:val="20"/>
        </w:rPr>
        <w:t>2021年</w:t>
      </w:r>
      <w:r>
        <w:rPr>
          <w:rFonts w:hint="eastAsia" w:ascii="仿宋" w:hAnsi="仿宋" w:eastAsia="仿宋" w:cs="Times New Roman"/>
          <w:color w:val="000000" w:themeColor="text1"/>
          <w:sz w:val="24"/>
          <w:szCs w:val="20"/>
          <w:u w:val="single"/>
        </w:rPr>
        <w:t xml:space="preserve"> </w:t>
      </w:r>
      <w:r>
        <w:rPr>
          <w:rFonts w:hint="eastAsia" w:ascii="仿宋" w:hAnsi="仿宋" w:eastAsia="仿宋" w:cs="Times New Roman"/>
          <w:color w:val="000000" w:themeColor="text1"/>
          <w:sz w:val="24"/>
          <w:szCs w:val="20"/>
          <w:u w:val="single"/>
          <w:lang w:val="en-US" w:eastAsia="zh-CN"/>
        </w:rPr>
        <w:t>11</w:t>
      </w:r>
      <w:r>
        <w:rPr>
          <w:rFonts w:hint="eastAsia" w:ascii="仿宋" w:hAnsi="仿宋" w:eastAsia="仿宋" w:cs="Times New Roman"/>
          <w:color w:val="000000" w:themeColor="text1"/>
          <w:sz w:val="24"/>
          <w:szCs w:val="20"/>
        </w:rPr>
        <w:t>月</w:t>
      </w:r>
      <w:r>
        <w:rPr>
          <w:rFonts w:hint="eastAsia" w:ascii="仿宋" w:hAnsi="仿宋" w:eastAsia="仿宋" w:cs="Times New Roman"/>
          <w:color w:val="000000" w:themeColor="text1"/>
          <w:sz w:val="24"/>
          <w:szCs w:val="20"/>
          <w:u w:val="single"/>
        </w:rPr>
        <w:t xml:space="preserve"> </w:t>
      </w:r>
      <w:r>
        <w:rPr>
          <w:rFonts w:hint="eastAsia" w:ascii="仿宋" w:hAnsi="仿宋" w:eastAsia="仿宋" w:cs="Times New Roman"/>
          <w:color w:val="000000" w:themeColor="text1"/>
          <w:sz w:val="24"/>
          <w:szCs w:val="20"/>
          <w:u w:val="single"/>
          <w:lang w:val="en-US" w:eastAsia="zh-CN"/>
        </w:rPr>
        <w:t>29</w:t>
      </w:r>
      <w:r>
        <w:rPr>
          <w:rFonts w:hint="eastAsia" w:ascii="仿宋" w:hAnsi="仿宋" w:eastAsia="仿宋" w:cs="Times New Roman"/>
          <w:color w:val="000000" w:themeColor="text1"/>
          <w:sz w:val="24"/>
          <w:szCs w:val="20"/>
        </w:rPr>
        <w:t>日</w:t>
      </w:r>
      <w:r>
        <w:rPr>
          <w:rFonts w:hint="eastAsia" w:ascii="仿宋" w:hAnsi="仿宋" w:eastAsia="仿宋" w:cs="Times New Roman"/>
          <w:color w:val="000000" w:themeColor="text1"/>
          <w:sz w:val="24"/>
          <w:szCs w:val="20"/>
          <w:lang w:eastAsia="zh-CN"/>
        </w:rPr>
        <w:t>上午</w:t>
      </w:r>
      <w:r>
        <w:rPr>
          <w:rFonts w:hint="eastAsia" w:ascii="仿宋" w:hAnsi="仿宋" w:eastAsia="仿宋" w:cs="Times New Roman"/>
          <w:color w:val="000000" w:themeColor="text1"/>
          <w:sz w:val="24"/>
          <w:szCs w:val="20"/>
          <w:lang w:val="en-US" w:eastAsia="zh-CN"/>
        </w:rPr>
        <w:t>11：00</w:t>
      </w:r>
      <w:r>
        <w:rPr>
          <w:rFonts w:hint="eastAsia" w:ascii="仿宋" w:hAnsi="仿宋" w:eastAsia="仿宋" w:cs="仿宋"/>
          <w:color w:val="000000" w:themeColor="text1"/>
          <w:kern w:val="0"/>
          <w:sz w:val="24"/>
          <w:szCs w:val="24"/>
        </w:rPr>
        <w:t>前到账（以到</w:t>
      </w:r>
      <w:r>
        <w:rPr>
          <w:rFonts w:hint="eastAsia" w:ascii="仿宋" w:hAnsi="仿宋" w:eastAsia="仿宋" w:cs="仿宋"/>
          <w:color w:val="auto"/>
          <w:kern w:val="0"/>
          <w:sz w:val="24"/>
          <w:szCs w:val="24"/>
        </w:rPr>
        <w:t>账时间为准）</w:t>
      </w:r>
      <w:r>
        <w:rPr>
          <w:rFonts w:hint="eastAsia" w:ascii="仿宋" w:hAnsi="仿宋" w:eastAsia="仿宋" w:cs="仿宋"/>
          <w:kern w:val="0"/>
          <w:szCs w:val="24"/>
        </w:rPr>
        <w:br w:type="textWrapping"/>
      </w:r>
      <w:r>
        <w:rPr>
          <w:rFonts w:hint="eastAsia" w:ascii="仿宋" w:hAnsi="仿宋" w:eastAsia="仿宋" w:cs="仿宋"/>
          <w:kern w:val="0"/>
          <w:sz w:val="24"/>
          <w:szCs w:val="24"/>
        </w:rPr>
        <w:t>2.4投标人递交保证金后，需至</w:t>
      </w:r>
      <w:r>
        <w:rPr>
          <w:rFonts w:hint="eastAsia" w:ascii="仿宋" w:hAnsi="仿宋" w:eastAsia="仿宋" w:cs="仿宋"/>
          <w:kern w:val="0"/>
          <w:sz w:val="24"/>
          <w:szCs w:val="24"/>
          <w:lang w:eastAsia="zh-CN"/>
        </w:rPr>
        <w:t>新疆天麒工程项目管理咨询有限责任公司</w:t>
      </w:r>
      <w:r>
        <w:rPr>
          <w:rFonts w:hint="eastAsia" w:ascii="仿宋" w:hAnsi="仿宋" w:eastAsia="仿宋" w:cs="仿宋"/>
          <w:kern w:val="0"/>
          <w:sz w:val="24"/>
          <w:szCs w:val="24"/>
        </w:rPr>
        <w:t>领取投标保证金收据。</w:t>
      </w:r>
      <w:r>
        <w:rPr>
          <w:rFonts w:hint="eastAsia" w:ascii="仿宋" w:hAnsi="仿宋" w:eastAsia="仿宋" w:cs="仿宋"/>
          <w:color w:val="000000"/>
          <w:kern w:val="0"/>
          <w:sz w:val="24"/>
          <w:szCs w:val="24"/>
        </w:rPr>
        <w:t xml:space="preserve"> 招标结束后，投标人持《</w:t>
      </w:r>
      <w:r>
        <w:rPr>
          <w:rFonts w:hint="eastAsia" w:ascii="仿宋_GB2312" w:eastAsia="仿宋_GB2312" w:cs="Times New Roman"/>
          <w:color w:val="000000"/>
          <w:sz w:val="24"/>
          <w:szCs w:val="24"/>
        </w:rPr>
        <w:t>投标保证金收据》</w:t>
      </w:r>
      <w:r>
        <w:rPr>
          <w:rFonts w:hint="eastAsia" w:ascii="仿宋" w:hAnsi="仿宋" w:eastAsia="仿宋" w:cs="仿宋"/>
          <w:color w:val="000000"/>
          <w:kern w:val="0"/>
          <w:sz w:val="24"/>
          <w:szCs w:val="24"/>
        </w:rPr>
        <w:t>到</w:t>
      </w:r>
      <w:r>
        <w:rPr>
          <w:rFonts w:hint="eastAsia" w:ascii="仿宋" w:hAnsi="仿宋" w:eastAsia="仿宋" w:cs="Times New Roman"/>
          <w:bCs/>
          <w:sz w:val="24"/>
          <w:szCs w:val="20"/>
        </w:rPr>
        <w:t>采购代理机构</w:t>
      </w:r>
      <w:r>
        <w:rPr>
          <w:rFonts w:hint="eastAsia" w:ascii="仿宋" w:hAnsi="仿宋" w:eastAsia="仿宋" w:cs="仿宋"/>
          <w:color w:val="000000"/>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2" w:firstLineChars="200"/>
        <w:rPr>
          <w:rFonts w:ascii="宋体" w:hAnsi="宋体" w:cs="仿宋"/>
          <w:b/>
          <w:kern w:val="0"/>
          <w:sz w:val="24"/>
          <w:szCs w:val="24"/>
        </w:rPr>
      </w:pPr>
      <w:r>
        <w:rPr>
          <w:rFonts w:hint="eastAsia" w:ascii="宋体" w:hAnsi="宋体" w:cs="仿宋"/>
          <w:b/>
          <w:kern w:val="0"/>
          <w:sz w:val="24"/>
          <w:szCs w:val="24"/>
        </w:rPr>
        <w:t>3、履约保证金</w:t>
      </w:r>
    </w:p>
    <w:p>
      <w:pPr>
        <w:ind w:firstLine="480" w:firstLineChars="200"/>
        <w:rPr>
          <w:rFonts w:hint="eastAsia" w:ascii="仿宋" w:hAnsi="仿宋" w:eastAsia="仿宋" w:cs="仿宋"/>
          <w:color w:val="auto"/>
          <w:kern w:val="0"/>
          <w:sz w:val="24"/>
          <w:szCs w:val="24"/>
        </w:rPr>
      </w:pPr>
      <w:r>
        <w:rPr>
          <w:rFonts w:hint="eastAsia" w:ascii="仿宋" w:hAnsi="仿宋" w:eastAsia="仿宋" w:cs="仿宋"/>
          <w:kern w:val="0"/>
          <w:sz w:val="24"/>
          <w:szCs w:val="24"/>
        </w:rPr>
        <w:t xml:space="preserve">3.1  </w:t>
      </w:r>
      <w:r>
        <w:rPr>
          <w:rFonts w:hint="eastAsia" w:ascii="仿宋" w:hAnsi="仿宋" w:eastAsia="仿宋" w:cs="仿宋"/>
          <w:color w:val="auto"/>
          <w:kern w:val="0"/>
          <w:sz w:val="24"/>
          <w:szCs w:val="24"/>
        </w:rPr>
        <w:t>中标供应商必须以支票、汇票、本票或者金融机构、担保机构出具的保函等非现金形式</w:t>
      </w:r>
      <w:r>
        <w:rPr>
          <w:rFonts w:hint="eastAsia" w:ascii="仿宋" w:hAnsi="仿宋" w:eastAsia="仿宋" w:cs="仿宋"/>
          <w:color w:val="auto"/>
          <w:kern w:val="0"/>
          <w:sz w:val="24"/>
          <w:szCs w:val="24"/>
          <w:lang w:val="en-US" w:eastAsia="zh-CN"/>
        </w:rPr>
        <w:t>按</w:t>
      </w:r>
      <w:r>
        <w:rPr>
          <w:rFonts w:hint="eastAsia" w:ascii="仿宋" w:hAnsi="仿宋" w:eastAsia="仿宋" w:cs="仿宋"/>
          <w:color w:val="auto"/>
          <w:kern w:val="0"/>
          <w:sz w:val="24"/>
          <w:szCs w:val="24"/>
        </w:rPr>
        <w:t>中标金额的</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%向采购方交纳履约保证金；</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3.2  履约保证金待货到验收合格后无息退还，退还保证金，只退投标公司账户，不退个人账户。【见第七部分附表二格式范本】</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3.3  未履行或完全履行采购合同，则没收履约保证金。</w:t>
      </w: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rPr>
        <w:t>4、采购代理服务费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  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p>
    <w:p>
      <w:pPr>
        <w:ind w:firstLine="480" w:firstLineChars="200"/>
        <w:rPr>
          <w:rFonts w:ascii="仿宋" w:hAnsi="仿宋" w:eastAsia="仿宋" w:cs="宋体"/>
          <w:sz w:val="24"/>
          <w:szCs w:val="24"/>
        </w:rPr>
      </w:pPr>
      <w:r>
        <w:rPr>
          <w:rFonts w:hint="eastAsia" w:ascii="仿宋" w:hAnsi="仿宋" w:eastAsia="仿宋" w:cs="宋体"/>
          <w:sz w:val="24"/>
          <w:szCs w:val="24"/>
        </w:rPr>
        <w:t>4.2  参考国家发展计划委员会“计价格（2002）1980号”文件、“发改办价格[2003]857号”文及发改办价格〔2011〕534号文收取。</w:t>
      </w:r>
      <w:bookmarkStart w:id="86" w:name="_Toc23932"/>
      <w:bookmarkStart w:id="87" w:name="_Toc6049"/>
      <w:bookmarkStart w:id="88" w:name="_Toc32201"/>
      <w:bookmarkStart w:id="89" w:name="_Toc16920"/>
      <w:bookmarkStart w:id="90" w:name="_Toc15099"/>
      <w:bookmarkStart w:id="91" w:name="_Toc31817"/>
      <w:bookmarkStart w:id="92" w:name="_Toc13449"/>
      <w:bookmarkStart w:id="93" w:name="_Toc25363"/>
      <w:bookmarkStart w:id="94" w:name="_Toc4359"/>
      <w:bookmarkStart w:id="95" w:name="_Toc6093"/>
      <w:bookmarkStart w:id="96" w:name="_Toc25430"/>
      <w:bookmarkStart w:id="97" w:name="_Toc11833"/>
      <w:bookmarkStart w:id="98" w:name="_Toc30111"/>
      <w:bookmarkStart w:id="99" w:name="_Toc6143"/>
      <w:bookmarkStart w:id="100" w:name="_Toc21930"/>
    </w:p>
    <w:tbl>
      <w:tblPr>
        <w:tblStyle w:val="24"/>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629" w:type="dxa"/>
            <w:noWrap w:val="0"/>
            <w:vAlign w:val="top"/>
          </w:tcPr>
          <w:p>
            <w:pPr>
              <w:snapToGrid w:val="0"/>
              <w:spacing w:line="380" w:lineRule="exact"/>
              <w:rPr>
                <w:rFonts w:ascii="仿宋" w:hAnsi="仿宋" w:eastAsia="仿宋" w:cs="仿宋"/>
                <w:szCs w:val="21"/>
              </w:rPr>
            </w:pPr>
            <w:bookmarkStart w:id="101" w:name="_Toc3878"/>
            <w:r>
              <w:rPr>
                <w:rFonts w:ascii="仿宋" w:hAnsi="仿宋" w:eastAsia="仿宋" w:cs="仿宋"/>
                <w:szCs w:val="21"/>
              </w:rPr>
              <w:pict>
                <v:shape id="直接箭头连接符 2" o:spid="_x0000_s2050" o:spt="32" type="#_x0000_t32" style="position:absolute;left:0pt;margin-left:60pt;margin-top:0.75pt;height:54.75pt;width:43.5pt;z-index:251660288;mso-width-relative:page;mso-height-relative:page;" fillcolor="#FFFFFF" filled="t" stroked="t" coordsize="21600,21600">
                  <v:path arrowok="t"/>
                  <v:fill on="t" focussize="0,0"/>
                  <v:stroke weight="1.25pt" color="#739CC3" miterlimit="2"/>
                  <v:imagedata o:title=""/>
                  <o:lock v:ext="edit" grouping="f" rotation="f" text="f" aspectratio="f"/>
                </v:shape>
              </w:pict>
            </w:r>
            <w:r>
              <w:rPr>
                <w:rFonts w:hint="eastAsia" w:ascii="仿宋" w:hAnsi="仿宋" w:eastAsia="仿宋" w:cs="仿宋"/>
                <w:szCs w:val="21"/>
              </w:rPr>
              <w:t>代理费标准     类别</w:t>
            </w:r>
          </w:p>
          <w:p>
            <w:pPr>
              <w:snapToGrid w:val="0"/>
              <w:spacing w:line="380" w:lineRule="exact"/>
              <w:rPr>
                <w:rFonts w:ascii="仿宋" w:hAnsi="仿宋" w:eastAsia="仿宋" w:cs="仿宋"/>
                <w:szCs w:val="21"/>
              </w:rPr>
            </w:pPr>
            <w:r>
              <w:rPr>
                <w:rFonts w:ascii="仿宋" w:hAnsi="仿宋" w:eastAsia="仿宋" w:cs="仿宋"/>
                <w:szCs w:val="21"/>
              </w:rPr>
              <w:pict>
                <v:shape id="直接箭头连接符 1" o:spid="_x0000_s2051" o:spt="32" type="#_x0000_t32" style="position:absolute;left:0pt;margin-left:-4.5pt;margin-top:0.5pt;height:36pt;width:108pt;z-index:251659264;mso-width-relative:page;mso-height-relative:page;" fillcolor="#FFFFFF" filled="t" stroked="t" coordsize="21600,21600">
                  <v:path arrowok="t"/>
                  <v:fill on="t" focussize="0,0"/>
                  <v:stroke weight="1.25pt" color="#739CC3" miterlimit="2"/>
                  <v:imagedata o:title=""/>
                  <o:lock v:ext="edit" grouping="f" rotation="f" text="f" aspectratio="f"/>
                </v:shape>
              </w:pict>
            </w:r>
          </w:p>
          <w:p>
            <w:pPr>
              <w:snapToGrid w:val="0"/>
              <w:spacing w:line="380" w:lineRule="exact"/>
              <w:rPr>
                <w:rFonts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spacing w:line="380" w:lineRule="exact"/>
              <w:jc w:val="center"/>
              <w:rPr>
                <w:rFonts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spacing w:line="380" w:lineRule="exact"/>
              <w:jc w:val="center"/>
              <w:rPr>
                <w:rFonts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spacing w:line="380" w:lineRule="exact"/>
              <w:jc w:val="center"/>
              <w:rPr>
                <w:rFonts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100以下</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1.5%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100～500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1.1%</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0.8%</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500～1000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0.8%</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1000～5000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5000～10000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0.25%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0.1%</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10000～100000</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0.05%</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2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100000以上</w:t>
            </w:r>
          </w:p>
        </w:tc>
        <w:tc>
          <w:tcPr>
            <w:tcW w:w="2249"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0.01%</w:t>
            </w:r>
          </w:p>
        </w:tc>
        <w:tc>
          <w:tcPr>
            <w:tcW w:w="2440" w:type="dxa"/>
            <w:noWrap w:val="0"/>
            <w:vAlign w:val="top"/>
          </w:tcPr>
          <w:p>
            <w:pPr>
              <w:spacing w:line="380" w:lineRule="exact"/>
              <w:jc w:val="center"/>
              <w:rPr>
                <w:rFonts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spacing w:line="380" w:lineRule="exact"/>
              <w:jc w:val="center"/>
              <w:rPr>
                <w:rFonts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pStyle w:val="8"/>
        <w:rPr>
          <w:rFonts w:hint="eastAsia" w:ascii="宋体" w:hAnsi="宋体" w:cs="Times New Roman"/>
          <w:b/>
          <w:sz w:val="36"/>
          <w:szCs w:val="24"/>
        </w:rPr>
      </w:pPr>
    </w:p>
    <w:p>
      <w:pPr>
        <w:pStyle w:val="9"/>
        <w:rPr>
          <w:rFonts w:hint="eastAsia"/>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pStyle w:val="9"/>
        <w:rPr>
          <w:rFonts w:hint="eastAsia"/>
          <w:lang w:eastAsia="zh-CN"/>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4"/>
        </w:numPr>
        <w:rPr>
          <w:rFonts w:ascii="仿宋" w:hAnsi="仿宋" w:eastAsia="仿宋" w:cs="Times New Roman"/>
          <w:b/>
          <w:sz w:val="32"/>
          <w:szCs w:val="32"/>
        </w:rPr>
      </w:pPr>
      <w:r>
        <w:rPr>
          <w:rFonts w:hint="eastAsia" w:ascii="仿宋" w:hAnsi="仿宋" w:eastAsia="仿宋" w:cs="Times New Roman"/>
          <w:b/>
          <w:sz w:val="32"/>
          <w:szCs w:val="32"/>
        </w:rPr>
        <w:t>采购需求：</w:t>
      </w:r>
    </w:p>
    <w:p>
      <w:pPr>
        <w:ind w:left="240" w:hanging="240" w:hangingChars="100"/>
        <w:jc w:val="left"/>
        <w:rPr>
          <w:rFonts w:hint="eastAsia" w:eastAsia="宋体"/>
          <w:sz w:val="24"/>
        </w:rPr>
      </w:pPr>
      <w:r>
        <w:rPr>
          <w:rFonts w:hint="eastAsia" w:eastAsia="宋体"/>
          <w:sz w:val="24"/>
        </w:rPr>
        <w:t>1、产品必须是全新</w:t>
      </w:r>
      <w:r>
        <w:rPr>
          <w:rFonts w:hint="eastAsia" w:eastAsia="宋体"/>
          <w:sz w:val="24"/>
          <w:lang w:val="en-US" w:eastAsia="zh-CN"/>
        </w:rPr>
        <w:t>进口</w:t>
      </w:r>
      <w:r>
        <w:rPr>
          <w:rFonts w:hint="eastAsia" w:eastAsia="宋体"/>
          <w:sz w:val="24"/>
        </w:rPr>
        <w:t>、包装完好，且各项技术指标完全符合国家有关质量检测、环保标准及产品出厂的标准，需提供提供相关产品说明书、合格证及产品检测报告等相关资料。</w:t>
      </w:r>
    </w:p>
    <w:p>
      <w:pPr>
        <w:ind w:left="240" w:hanging="240" w:hangingChars="100"/>
        <w:jc w:val="left"/>
        <w:rPr>
          <w:rFonts w:hint="eastAsia" w:eastAsia="宋体"/>
          <w:sz w:val="24"/>
        </w:rPr>
      </w:pPr>
      <w:r>
        <w:rPr>
          <w:rFonts w:hint="eastAsia" w:eastAsia="宋体"/>
          <w:sz w:val="24"/>
        </w:rPr>
        <w:t>2、中标供应商需按照采购人要求对</w:t>
      </w:r>
      <w:r>
        <w:rPr>
          <w:rFonts w:hint="eastAsia" w:eastAsia="宋体"/>
          <w:sz w:val="24"/>
          <w:lang w:eastAsia="zh-CN"/>
        </w:rPr>
        <w:t>产品</w:t>
      </w:r>
      <w:r>
        <w:rPr>
          <w:rFonts w:hint="eastAsia" w:eastAsia="宋体"/>
          <w:sz w:val="24"/>
        </w:rPr>
        <w:t>进行文字及图案印刷。</w:t>
      </w:r>
    </w:p>
    <w:p>
      <w:pPr>
        <w:jc w:val="both"/>
        <w:rPr>
          <w:rFonts w:hint="eastAsia" w:eastAsia="宋体"/>
          <w:sz w:val="24"/>
        </w:rPr>
      </w:pPr>
      <w:r>
        <w:rPr>
          <w:rFonts w:hint="eastAsia" w:ascii="仿宋" w:hAnsi="仿宋" w:eastAsia="仿宋" w:cs="Times New Roman"/>
          <w:b/>
          <w:kern w:val="0"/>
          <w:sz w:val="32"/>
          <w:szCs w:val="32"/>
        </w:rPr>
        <w:t>二、技术参数：</w:t>
      </w:r>
    </w:p>
    <w:p>
      <w:pPr>
        <w:ind w:firstLine="3855" w:firstLineChars="1200"/>
        <w:jc w:val="both"/>
        <w:textAlignment w:val="baseline"/>
        <w:rPr>
          <w:rFonts w:hint="eastAsia" w:ascii="宋体" w:hAnsi="宋体" w:eastAsia="宋体" w:cs="宋体"/>
          <w:b/>
          <w:color w:val="auto"/>
          <w:kern w:val="0"/>
          <w:sz w:val="28"/>
          <w:szCs w:val="28"/>
          <w:lang w:val="en-US" w:eastAsia="zh-CN" w:bidi="ar-SA"/>
        </w:rPr>
      </w:pPr>
      <w:bookmarkStart w:id="102" w:name="_Toc562"/>
      <w:r>
        <w:rPr>
          <w:rFonts w:hint="eastAsia" w:ascii="宋体" w:hAnsi="宋体" w:eastAsia="宋体" w:cs="Times New Roman"/>
          <w:b/>
          <w:bCs/>
          <w:sz w:val="32"/>
          <w:szCs w:val="32"/>
          <w:lang w:eastAsia="zh-CN"/>
        </w:rPr>
        <w:t>胰岛素泵</w:t>
      </w:r>
      <w:r>
        <w:rPr>
          <w:rFonts w:hint="eastAsia" w:ascii="宋体" w:hAnsi="宋体"/>
          <w:b/>
          <w:bCs/>
          <w:sz w:val="32"/>
          <w:szCs w:val="32"/>
        </w:rPr>
        <w:t>技术参数</w:t>
      </w:r>
    </w:p>
    <w:p>
      <w:pPr>
        <w:spacing w:line="160" w:lineRule="atLeast"/>
        <w:rPr>
          <w:rFonts w:hint="eastAsia" w:ascii="宋体" w:hAnsi="宋体"/>
          <w:b/>
          <w:bCs w:val="0"/>
          <w:color w:val="000000"/>
          <w:sz w:val="24"/>
          <w:szCs w:val="24"/>
          <w:lang w:val="en-US" w:eastAsia="zh-CN"/>
        </w:rPr>
      </w:pPr>
      <w:r>
        <w:rPr>
          <w:rFonts w:hint="eastAsia" w:ascii="宋体" w:hAnsi="宋体" w:eastAsia="宋体" w:cs="宋体"/>
          <w:b/>
          <w:color w:val="auto"/>
          <w:kern w:val="0"/>
          <w:sz w:val="28"/>
          <w:szCs w:val="28"/>
          <w:lang w:val="en-US" w:eastAsia="zh-CN" w:bidi="ar-SA"/>
        </w:rPr>
        <w:t xml:space="preserve">设备选型：胰岛素泵       产地：进口     数量10个 </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 xml:space="preserve"> </w:t>
      </w:r>
      <w:r>
        <w:rPr>
          <w:rFonts w:hint="eastAsia" w:ascii="宋体" w:hAnsi="宋体" w:cs="宋体"/>
          <w:b/>
          <w:kern w:val="0"/>
          <w:sz w:val="24"/>
          <w:szCs w:val="24"/>
          <w:lang w:val="en-US" w:eastAsia="zh-CN"/>
        </w:rPr>
        <w:t xml:space="preserve"> </w:t>
      </w:r>
    </w:p>
    <w:p>
      <w:pPr>
        <w:numPr>
          <w:ilvl w:val="0"/>
          <w:numId w:val="0"/>
        </w:numPr>
        <w:tabs>
          <w:tab w:val="left" w:pos="360"/>
        </w:tabs>
        <w:spacing w:line="160" w:lineRule="atLeast"/>
        <w:ind w:leftChars="0"/>
        <w:rPr>
          <w:rFonts w:ascii="宋体" w:hAnsi="宋体"/>
          <w:color w:val="000000"/>
          <w:szCs w:val="21"/>
        </w:rPr>
      </w:pPr>
      <w:r>
        <w:rPr>
          <w:rFonts w:hint="eastAsia" w:ascii="宋体" w:hAnsi="宋体"/>
          <w:b/>
          <w:bCs w:val="0"/>
          <w:color w:val="000000"/>
          <w:sz w:val="24"/>
          <w:szCs w:val="24"/>
          <w:lang w:val="en-US" w:eastAsia="zh-CN"/>
        </w:rPr>
        <w:t>一</w:t>
      </w:r>
      <w:r>
        <w:rPr>
          <w:rFonts w:hint="eastAsia" w:ascii="宋体" w:hAnsi="宋体"/>
          <w:b/>
          <w:color w:val="000000"/>
          <w:sz w:val="24"/>
          <w:szCs w:val="24"/>
          <w:lang w:val="en-US" w:eastAsia="zh-CN"/>
        </w:rPr>
        <w:t>、</w:t>
      </w:r>
      <w:r>
        <w:rPr>
          <w:rFonts w:hint="eastAsia" w:ascii="宋体" w:hAnsi="宋体"/>
          <w:b/>
          <w:color w:val="000000"/>
          <w:sz w:val="24"/>
          <w:szCs w:val="24"/>
        </w:rPr>
        <w:t>设备的技术性能要求及配置（主要</w:t>
      </w:r>
      <w:r>
        <w:rPr>
          <w:rFonts w:hint="eastAsia" w:ascii="宋体" w:hAnsi="宋体"/>
          <w:b/>
          <w:sz w:val="24"/>
          <w:szCs w:val="24"/>
        </w:rPr>
        <w:t>技术</w:t>
      </w:r>
      <w:r>
        <w:rPr>
          <w:rFonts w:hint="eastAsia" w:ascii="宋体" w:hAnsi="宋体"/>
          <w:b/>
          <w:color w:val="000000"/>
          <w:sz w:val="24"/>
          <w:szCs w:val="24"/>
        </w:rPr>
        <w:t>参数）：</w:t>
      </w:r>
    </w:p>
    <w:p>
      <w:pPr>
        <w:rPr>
          <w:rFonts w:hint="eastAsia" w:eastAsia="宋体"/>
          <w:sz w:val="24"/>
          <w:lang w:eastAsia="zh-CN"/>
        </w:rPr>
      </w:pPr>
      <w:r>
        <w:rPr>
          <w:rFonts w:hint="eastAsia" w:ascii="宋体" w:hAnsi="宋体" w:eastAsia="宋体" w:cs="宋体"/>
          <w:kern w:val="0"/>
          <w:sz w:val="24"/>
          <w:szCs w:val="24"/>
          <w:highlight w:val="none"/>
        </w:rPr>
        <w:t>★</w:t>
      </w:r>
      <w:r>
        <w:rPr>
          <w:rFonts w:hint="eastAsia"/>
          <w:sz w:val="24"/>
        </w:rPr>
        <w:t>1.</w:t>
      </w:r>
      <w:r>
        <w:rPr>
          <w:rFonts w:hint="eastAsia"/>
          <w:color w:val="auto"/>
          <w:sz w:val="24"/>
          <w:lang w:eastAsia="zh-CN"/>
        </w:rPr>
        <w:t>有导管</w:t>
      </w:r>
      <w:r>
        <w:rPr>
          <w:rFonts w:hint="eastAsia"/>
          <w:sz w:val="24"/>
        </w:rPr>
        <w:t>胰岛素泵</w:t>
      </w:r>
      <w:r>
        <w:rPr>
          <w:rFonts w:hint="eastAsia"/>
          <w:sz w:val="24"/>
          <w:lang w:eastAsia="zh-CN"/>
        </w:rPr>
        <w:t>。</w:t>
      </w:r>
    </w:p>
    <w:p>
      <w:pPr>
        <w:ind w:left="240" w:hanging="240" w:hangingChars="100"/>
        <w:jc w:val="left"/>
        <w:rPr>
          <w:rFonts w:hint="default" w:eastAsia="宋体"/>
          <w:sz w:val="24"/>
          <w:lang w:val="en-US" w:eastAsia="zh-CN"/>
        </w:rPr>
      </w:pPr>
      <w:r>
        <w:rPr>
          <w:rFonts w:hint="eastAsia"/>
          <w:sz w:val="24"/>
        </w:rPr>
        <w:t>2</w:t>
      </w:r>
      <w:r>
        <w:rPr>
          <w:sz w:val="24"/>
        </w:rPr>
        <w:t>.</w:t>
      </w:r>
      <w:r>
        <w:rPr>
          <w:rFonts w:hint="eastAsia"/>
          <w:sz w:val="24"/>
          <w:lang w:val="en-US" w:eastAsia="zh-CN"/>
        </w:rPr>
        <w:t>按键式操作，操作简便，具备大剂量快捷键。</w:t>
      </w:r>
    </w:p>
    <w:p>
      <w:pPr>
        <w:ind w:left="240" w:hanging="240" w:hangingChars="100"/>
        <w:jc w:val="left"/>
        <w:rPr>
          <w:sz w:val="24"/>
        </w:rPr>
      </w:pPr>
      <w:r>
        <w:rPr>
          <w:rFonts w:hint="eastAsia" w:ascii="宋体" w:hAnsi="宋体" w:eastAsia="宋体" w:cs="宋体"/>
          <w:kern w:val="0"/>
          <w:sz w:val="24"/>
          <w:szCs w:val="24"/>
          <w:highlight w:val="none"/>
        </w:rPr>
        <w:t>★</w:t>
      </w:r>
      <w:r>
        <w:rPr>
          <w:rFonts w:hint="eastAsia"/>
          <w:sz w:val="24"/>
        </w:rPr>
        <w:t>3</w:t>
      </w:r>
      <w:r>
        <w:rPr>
          <w:sz w:val="24"/>
        </w:rPr>
        <w:t>.</w:t>
      </w:r>
      <w:r>
        <w:rPr>
          <w:rFonts w:hint="eastAsia"/>
          <w:sz w:val="24"/>
        </w:rPr>
        <w:t>耗材为外露导管缠绕并可贴敷式佩戴</w:t>
      </w:r>
      <w:r>
        <w:rPr>
          <w:sz w:val="24"/>
        </w:rPr>
        <w:t>,</w:t>
      </w:r>
      <w:r>
        <w:rPr>
          <w:rFonts w:hint="eastAsia"/>
          <w:sz w:val="24"/>
        </w:rPr>
        <w:t>可随意贴敷到身体的多个部位，如腹部</w:t>
      </w:r>
      <w:r>
        <w:rPr>
          <w:rFonts w:hint="eastAsia" w:ascii="宋体" w:hAnsi="宋体"/>
          <w:sz w:val="24"/>
        </w:rPr>
        <w:t>、</w:t>
      </w:r>
      <w:r>
        <w:rPr>
          <w:rFonts w:hint="eastAsia"/>
          <w:sz w:val="24"/>
        </w:rPr>
        <w:t>大腿，胳膊。患者更自由生活更方便保护患者隐私。</w:t>
      </w:r>
    </w:p>
    <w:p>
      <w:pPr>
        <w:ind w:left="240" w:hanging="240" w:hangingChars="100"/>
        <w:jc w:val="left"/>
        <w:rPr>
          <w:sz w:val="24"/>
        </w:rPr>
      </w:pPr>
      <w:r>
        <w:rPr>
          <w:rFonts w:hint="eastAsia" w:ascii="宋体" w:hAnsi="宋体" w:eastAsia="宋体" w:cs="宋体"/>
          <w:kern w:val="0"/>
          <w:sz w:val="24"/>
          <w:szCs w:val="24"/>
          <w:highlight w:val="none"/>
        </w:rPr>
        <w:t>★</w:t>
      </w:r>
      <w:r>
        <w:rPr>
          <w:rFonts w:hint="eastAsia"/>
          <w:sz w:val="24"/>
        </w:rPr>
        <w:t>4</w:t>
      </w:r>
      <w:r>
        <w:rPr>
          <w:sz w:val="24"/>
        </w:rPr>
        <w:t>.</w:t>
      </w:r>
      <w:r>
        <w:rPr>
          <w:rFonts w:hint="eastAsia"/>
          <w:sz w:val="24"/>
        </w:rPr>
        <w:t>泵体可分离，方便患者在做骨密度</w:t>
      </w:r>
      <w:r>
        <w:rPr>
          <w:rFonts w:hint="eastAsia" w:ascii="宋体" w:hAnsi="宋体"/>
          <w:sz w:val="24"/>
        </w:rPr>
        <w:t>、</w:t>
      </w:r>
      <w:r>
        <w:rPr>
          <w:sz w:val="24"/>
        </w:rPr>
        <w:t>X</w:t>
      </w:r>
      <w:r>
        <w:rPr>
          <w:rFonts w:hint="eastAsia"/>
          <w:sz w:val="24"/>
        </w:rPr>
        <w:t>射线</w:t>
      </w:r>
      <w:r>
        <w:rPr>
          <w:rFonts w:hint="eastAsia" w:ascii="宋体" w:hAnsi="宋体"/>
          <w:sz w:val="24"/>
        </w:rPr>
        <w:t>、</w:t>
      </w:r>
      <w:r>
        <w:rPr>
          <w:sz w:val="24"/>
        </w:rPr>
        <w:t>CT</w:t>
      </w:r>
      <w:r>
        <w:rPr>
          <w:rFonts w:hint="eastAsia" w:ascii="宋体" w:hAnsi="宋体"/>
          <w:sz w:val="24"/>
        </w:rPr>
        <w:t>、</w:t>
      </w:r>
      <w:r>
        <w:rPr>
          <w:rFonts w:hint="eastAsia"/>
          <w:sz w:val="24"/>
        </w:rPr>
        <w:t>核磁共振</w:t>
      </w:r>
      <w:r>
        <w:rPr>
          <w:rFonts w:hint="eastAsia" w:ascii="宋体" w:hAnsi="宋体"/>
          <w:sz w:val="24"/>
        </w:rPr>
        <w:t>、</w:t>
      </w:r>
      <w:r>
        <w:rPr>
          <w:sz w:val="24"/>
        </w:rPr>
        <w:t>PET</w:t>
      </w:r>
      <w:r>
        <w:rPr>
          <w:rFonts w:hint="eastAsia" w:ascii="宋体" w:hAnsi="宋体"/>
          <w:sz w:val="24"/>
        </w:rPr>
        <w:t>、</w:t>
      </w:r>
      <w:r>
        <w:rPr>
          <w:sz w:val="24"/>
        </w:rPr>
        <w:t>ECT</w:t>
      </w:r>
      <w:r>
        <w:rPr>
          <w:rFonts w:hint="eastAsia" w:ascii="宋体" w:hAnsi="宋体"/>
          <w:sz w:val="24"/>
        </w:rPr>
        <w:t>、</w:t>
      </w:r>
      <w:r>
        <w:rPr>
          <w:rFonts w:hint="eastAsia"/>
          <w:sz w:val="24"/>
        </w:rPr>
        <w:t>乳腺钼靶等检查时卸下泵体，避免了耗材的浪费而增加费用。</w:t>
      </w:r>
    </w:p>
    <w:p>
      <w:pPr>
        <w:ind w:left="240" w:hanging="240" w:hangingChars="100"/>
        <w:jc w:val="left"/>
        <w:rPr>
          <w:rFonts w:ascii="宋体"/>
          <w:sz w:val="24"/>
        </w:rPr>
      </w:pPr>
      <w:r>
        <w:rPr>
          <w:rFonts w:hint="eastAsia"/>
          <w:sz w:val="24"/>
        </w:rPr>
        <w:t>5</w:t>
      </w:r>
      <w:r>
        <w:rPr>
          <w:sz w:val="24"/>
        </w:rPr>
        <w:t>.</w:t>
      </w:r>
      <w:r>
        <w:rPr>
          <w:rFonts w:hint="eastAsia" w:ascii="宋体" w:hAnsi="宋体"/>
          <w:sz w:val="24"/>
        </w:rPr>
        <w:t>皮下留置</w:t>
      </w:r>
      <w:r>
        <w:rPr>
          <w:rFonts w:hint="eastAsia" w:ascii="宋体" w:hAnsi="宋体"/>
          <w:sz w:val="24"/>
          <w:lang w:val="en-US" w:eastAsia="zh-CN"/>
        </w:rPr>
        <w:t>可选</w:t>
      </w:r>
      <w:r>
        <w:rPr>
          <w:rFonts w:hint="eastAsia" w:ascii="宋体" w:hAnsi="宋体"/>
          <w:sz w:val="24"/>
        </w:rPr>
        <w:t>软针</w:t>
      </w:r>
      <w:r>
        <w:rPr>
          <w:rFonts w:hint="eastAsia" w:ascii="宋体" w:hAnsi="宋体"/>
          <w:sz w:val="24"/>
          <w:lang w:val="en-US" w:eastAsia="zh-CN"/>
        </w:rPr>
        <w:t>或钢针，</w:t>
      </w:r>
      <w:r>
        <w:rPr>
          <w:rFonts w:hint="eastAsia" w:ascii="宋体" w:hAnsi="宋体"/>
          <w:sz w:val="24"/>
        </w:rPr>
        <w:t>患者舒适度更好。</w:t>
      </w:r>
    </w:p>
    <w:p>
      <w:pPr>
        <w:ind w:left="240" w:hanging="240" w:hangingChars="100"/>
        <w:jc w:val="left"/>
        <w:rPr>
          <w:sz w:val="24"/>
        </w:rPr>
      </w:pPr>
      <w:r>
        <w:rPr>
          <w:rFonts w:hint="eastAsia"/>
          <w:sz w:val="24"/>
        </w:rPr>
        <w:t>6</w:t>
      </w:r>
      <w:r>
        <w:rPr>
          <w:sz w:val="24"/>
        </w:rPr>
        <w:t>.</w:t>
      </w:r>
      <w:r>
        <w:rPr>
          <w:rFonts w:hint="eastAsia"/>
          <w:sz w:val="24"/>
        </w:rPr>
        <w:t>最小输注</w:t>
      </w:r>
      <w:r>
        <w:rPr>
          <w:rFonts w:hint="eastAsia"/>
          <w:sz w:val="24"/>
          <w:lang w:val="en-US" w:eastAsia="zh-CN"/>
        </w:rPr>
        <w:t>基础率</w:t>
      </w:r>
      <w:r>
        <w:rPr>
          <w:rFonts w:hint="eastAsia"/>
          <w:sz w:val="24"/>
        </w:rPr>
        <w:t>步长达到</w:t>
      </w:r>
      <w:r>
        <w:rPr>
          <w:sz w:val="24"/>
        </w:rPr>
        <w:t>0.0</w:t>
      </w:r>
      <w:r>
        <w:rPr>
          <w:rFonts w:hint="eastAsia"/>
          <w:sz w:val="24"/>
          <w:lang w:val="en-US" w:eastAsia="zh-CN"/>
        </w:rPr>
        <w:t>5</w:t>
      </w:r>
      <w:r>
        <w:rPr>
          <w:sz w:val="24"/>
        </w:rPr>
        <w:t>U/</w:t>
      </w:r>
      <w:r>
        <w:rPr>
          <w:rFonts w:hint="eastAsia"/>
          <w:sz w:val="24"/>
        </w:rPr>
        <w:t>小时，输注精准度更高</w:t>
      </w:r>
      <w:r>
        <w:rPr>
          <w:rFonts w:hint="eastAsia" w:ascii="宋体" w:hAnsi="宋体"/>
          <w:sz w:val="24"/>
        </w:rPr>
        <w:t>；</w:t>
      </w:r>
      <w:r>
        <w:rPr>
          <w:rFonts w:hint="eastAsia"/>
          <w:sz w:val="24"/>
        </w:rPr>
        <w:t>血糖调节更精细。</w:t>
      </w:r>
    </w:p>
    <w:p>
      <w:pPr>
        <w:ind w:left="240" w:hanging="240" w:hangingChars="100"/>
        <w:jc w:val="left"/>
        <w:rPr>
          <w:sz w:val="24"/>
        </w:rPr>
      </w:pPr>
      <w:r>
        <w:rPr>
          <w:rFonts w:hint="eastAsia"/>
          <w:sz w:val="24"/>
          <w:lang w:val="en-US" w:eastAsia="zh-CN"/>
        </w:rPr>
        <w:t>7</w:t>
      </w:r>
      <w:r>
        <w:rPr>
          <w:sz w:val="24"/>
        </w:rPr>
        <w:t>.</w:t>
      </w:r>
      <w:r>
        <w:rPr>
          <w:rFonts w:hint="eastAsia"/>
          <w:sz w:val="24"/>
        </w:rPr>
        <w:t>基础率有</w:t>
      </w:r>
      <w:r>
        <w:rPr>
          <w:rFonts w:hint="eastAsia"/>
          <w:sz w:val="24"/>
          <w:lang w:val="en-US" w:eastAsia="zh-CN"/>
        </w:rPr>
        <w:t>两种</w:t>
      </w:r>
      <w:r>
        <w:rPr>
          <w:rFonts w:hint="eastAsia"/>
          <w:sz w:val="24"/>
        </w:rPr>
        <w:t>预设模式，可根据患者不同时期的血糖情况进行基础率的运行。</w:t>
      </w:r>
    </w:p>
    <w:p>
      <w:pPr>
        <w:ind w:left="240" w:hanging="240" w:hangingChars="100"/>
        <w:jc w:val="left"/>
        <w:rPr>
          <w:sz w:val="24"/>
        </w:rPr>
      </w:pPr>
      <w:r>
        <w:rPr>
          <w:rFonts w:hint="eastAsia"/>
          <w:sz w:val="24"/>
        </w:rPr>
        <w:t>8</w:t>
      </w:r>
      <w:r>
        <w:rPr>
          <w:sz w:val="24"/>
        </w:rPr>
        <w:t>.</w:t>
      </w:r>
      <w:r>
        <w:rPr>
          <w:rFonts w:hint="eastAsia"/>
          <w:sz w:val="24"/>
        </w:rPr>
        <w:t>最大基础率设置：为</w:t>
      </w:r>
      <w:r>
        <w:rPr>
          <w:sz w:val="24"/>
        </w:rPr>
        <w:t>0.1-35U/</w:t>
      </w:r>
      <w:r>
        <w:rPr>
          <w:rFonts w:hint="eastAsia"/>
          <w:sz w:val="24"/>
        </w:rPr>
        <w:t>小时，可手动调节增减，避免因误操作发生输注过量。</w:t>
      </w:r>
    </w:p>
    <w:p>
      <w:pPr>
        <w:ind w:left="240" w:hanging="240" w:hangingChars="100"/>
        <w:jc w:val="left"/>
        <w:rPr>
          <w:sz w:val="24"/>
        </w:rPr>
      </w:pPr>
      <w:r>
        <w:rPr>
          <w:rFonts w:hint="eastAsia"/>
          <w:sz w:val="24"/>
        </w:rPr>
        <w:t>9</w:t>
      </w:r>
      <w:r>
        <w:rPr>
          <w:sz w:val="24"/>
        </w:rPr>
        <w:t>.</w:t>
      </w:r>
      <w:r>
        <w:rPr>
          <w:rFonts w:hint="eastAsia"/>
          <w:sz w:val="24"/>
        </w:rPr>
        <w:t>临时基础率的设置：分别为</w:t>
      </w:r>
      <w:r>
        <w:rPr>
          <w:sz w:val="24"/>
        </w:rPr>
        <w:t>U/</w:t>
      </w:r>
      <w:r>
        <w:rPr>
          <w:rFonts w:hint="eastAsia"/>
          <w:sz w:val="24"/>
        </w:rPr>
        <w:t>小时</w:t>
      </w:r>
      <w:r>
        <w:rPr>
          <w:rFonts w:hint="eastAsia" w:ascii="宋体" w:hAnsi="宋体"/>
          <w:sz w:val="24"/>
        </w:rPr>
        <w:t>、</w:t>
      </w:r>
      <w:r>
        <w:rPr>
          <w:sz w:val="24"/>
        </w:rPr>
        <w:t>%</w:t>
      </w:r>
      <w:r>
        <w:rPr>
          <w:rFonts w:hint="eastAsia"/>
          <w:sz w:val="24"/>
          <w:lang w:val="en-US" w:eastAsia="zh-CN"/>
        </w:rPr>
        <w:t>两</w:t>
      </w:r>
      <w:r>
        <w:rPr>
          <w:rFonts w:hint="eastAsia"/>
          <w:sz w:val="24"/>
        </w:rPr>
        <w:t>种设置方式。</w:t>
      </w:r>
    </w:p>
    <w:p>
      <w:pPr>
        <w:ind w:left="240" w:hanging="240" w:hangingChars="100"/>
        <w:jc w:val="left"/>
        <w:rPr>
          <w:sz w:val="24"/>
        </w:rPr>
      </w:pPr>
      <w:r>
        <w:rPr>
          <w:rFonts w:hint="eastAsia"/>
          <w:sz w:val="24"/>
        </w:rPr>
        <w:t>10</w:t>
      </w:r>
      <w:r>
        <w:rPr>
          <w:sz w:val="24"/>
        </w:rPr>
        <w:t>.</w:t>
      </w:r>
      <w:r>
        <w:rPr>
          <w:rFonts w:hint="eastAsia"/>
          <w:sz w:val="24"/>
        </w:rPr>
        <w:t>餐前大剂量的输入范围：为</w:t>
      </w:r>
      <w:r>
        <w:rPr>
          <w:sz w:val="24"/>
        </w:rPr>
        <w:t>0.0</w:t>
      </w:r>
      <w:r>
        <w:rPr>
          <w:rFonts w:hint="eastAsia"/>
          <w:sz w:val="24"/>
          <w:lang w:val="en-US" w:eastAsia="zh-CN"/>
        </w:rPr>
        <w:t>5</w:t>
      </w:r>
      <w:r>
        <w:rPr>
          <w:sz w:val="24"/>
        </w:rPr>
        <w:t>-25U</w:t>
      </w:r>
      <w:r>
        <w:rPr>
          <w:rFonts w:hint="eastAsia"/>
          <w:sz w:val="24"/>
        </w:rPr>
        <w:t>早</w:t>
      </w:r>
      <w:r>
        <w:rPr>
          <w:rFonts w:hint="eastAsia" w:ascii="宋体" w:hAnsi="宋体"/>
          <w:sz w:val="24"/>
        </w:rPr>
        <w:t>、</w:t>
      </w:r>
      <w:r>
        <w:rPr>
          <w:rFonts w:hint="eastAsia"/>
          <w:sz w:val="24"/>
        </w:rPr>
        <w:t>中</w:t>
      </w:r>
      <w:r>
        <w:rPr>
          <w:rFonts w:hint="eastAsia" w:ascii="宋体" w:hAnsi="宋体"/>
          <w:sz w:val="24"/>
        </w:rPr>
        <w:t>、</w:t>
      </w:r>
      <w:r>
        <w:rPr>
          <w:rFonts w:hint="eastAsia"/>
          <w:sz w:val="24"/>
        </w:rPr>
        <w:t>晚三餐前大剂量数值。</w:t>
      </w:r>
    </w:p>
    <w:p>
      <w:pPr>
        <w:ind w:left="240" w:hanging="240" w:hangingChars="100"/>
        <w:jc w:val="left"/>
        <w:rPr>
          <w:sz w:val="24"/>
        </w:rPr>
      </w:pPr>
      <w:r>
        <w:rPr>
          <w:sz w:val="24"/>
        </w:rPr>
        <w:t>1</w:t>
      </w:r>
      <w:r>
        <w:rPr>
          <w:rFonts w:hint="eastAsia"/>
          <w:sz w:val="24"/>
        </w:rPr>
        <w:t>1</w:t>
      </w:r>
      <w:r>
        <w:rPr>
          <w:sz w:val="24"/>
        </w:rPr>
        <w:t>.</w:t>
      </w:r>
      <w:r>
        <w:rPr>
          <w:rFonts w:hint="eastAsia"/>
          <w:sz w:val="24"/>
        </w:rPr>
        <w:t>基础率段数设置：根据患者血糖情况可设置</w:t>
      </w:r>
      <w:r>
        <w:rPr>
          <w:sz w:val="24"/>
        </w:rPr>
        <w:t>6</w:t>
      </w:r>
      <w:r>
        <w:rPr>
          <w:rFonts w:hint="eastAsia"/>
          <w:sz w:val="24"/>
        </w:rPr>
        <w:t>段</w:t>
      </w:r>
      <w:r>
        <w:rPr>
          <w:rFonts w:hint="eastAsia" w:ascii="宋体" w:hAnsi="宋体"/>
          <w:sz w:val="24"/>
        </w:rPr>
        <w:t>、</w:t>
      </w:r>
      <w:r>
        <w:rPr>
          <w:sz w:val="24"/>
        </w:rPr>
        <w:t>8</w:t>
      </w:r>
      <w:r>
        <w:rPr>
          <w:rFonts w:hint="eastAsia"/>
          <w:sz w:val="24"/>
        </w:rPr>
        <w:t>段</w:t>
      </w:r>
      <w:r>
        <w:rPr>
          <w:rFonts w:hint="eastAsia" w:ascii="宋体" w:hAnsi="宋体"/>
          <w:sz w:val="24"/>
        </w:rPr>
        <w:t>、</w:t>
      </w:r>
      <w:r>
        <w:rPr>
          <w:sz w:val="24"/>
        </w:rPr>
        <w:t>24</w:t>
      </w:r>
      <w:r>
        <w:rPr>
          <w:rFonts w:hint="eastAsia"/>
          <w:sz w:val="24"/>
        </w:rPr>
        <w:t>段和</w:t>
      </w:r>
      <w:r>
        <w:rPr>
          <w:sz w:val="24"/>
        </w:rPr>
        <w:t>48</w:t>
      </w:r>
      <w:r>
        <w:rPr>
          <w:rFonts w:hint="eastAsia"/>
          <w:sz w:val="24"/>
        </w:rPr>
        <w:t>段的基础率方案，可设置总量进行自动分配，也可手动对每个时间段进行微调。</w:t>
      </w:r>
    </w:p>
    <w:p>
      <w:pPr>
        <w:jc w:val="left"/>
        <w:rPr>
          <w:sz w:val="24"/>
        </w:rPr>
      </w:pPr>
      <w:r>
        <w:rPr>
          <w:sz w:val="24"/>
        </w:rPr>
        <w:t>1</w:t>
      </w:r>
      <w:r>
        <w:rPr>
          <w:rFonts w:hint="eastAsia"/>
          <w:sz w:val="24"/>
        </w:rPr>
        <w:t>2</w:t>
      </w:r>
      <w:r>
        <w:rPr>
          <w:sz w:val="24"/>
        </w:rPr>
        <w:t>.</w:t>
      </w:r>
      <w:r>
        <w:rPr>
          <w:rFonts w:hint="eastAsia"/>
          <w:sz w:val="24"/>
        </w:rPr>
        <w:t>电池</w:t>
      </w:r>
      <w:r>
        <w:rPr>
          <w:rFonts w:hint="eastAsia"/>
          <w:sz w:val="24"/>
          <w:lang w:val="en-US" w:eastAsia="zh-CN"/>
        </w:rPr>
        <w:t>为AAA7#电池</w:t>
      </w:r>
      <w:r>
        <w:rPr>
          <w:rFonts w:hint="eastAsia"/>
          <w:sz w:val="24"/>
        </w:rPr>
        <w:t>。</w:t>
      </w:r>
    </w:p>
    <w:p>
      <w:pPr>
        <w:jc w:val="left"/>
        <w:rPr>
          <w:sz w:val="24"/>
        </w:rPr>
      </w:pPr>
      <w:r>
        <w:rPr>
          <w:rFonts w:hint="eastAsia" w:ascii="宋体" w:hAnsi="宋体" w:eastAsia="宋体" w:cs="宋体"/>
          <w:kern w:val="0"/>
          <w:sz w:val="24"/>
          <w:szCs w:val="24"/>
          <w:highlight w:val="none"/>
        </w:rPr>
        <w:t>★</w:t>
      </w:r>
      <w:r>
        <w:rPr>
          <w:sz w:val="24"/>
        </w:rPr>
        <w:t>1</w:t>
      </w:r>
      <w:r>
        <w:rPr>
          <w:rFonts w:hint="eastAsia"/>
          <w:sz w:val="24"/>
        </w:rPr>
        <w:t>3</w:t>
      </w:r>
      <w:r>
        <w:rPr>
          <w:sz w:val="24"/>
        </w:rPr>
        <w:t>.</w:t>
      </w:r>
      <w:r>
        <w:rPr>
          <w:rFonts w:hint="eastAsia"/>
          <w:sz w:val="24"/>
        </w:rPr>
        <w:t>大剂量增量步长为</w:t>
      </w:r>
      <w:r>
        <w:rPr>
          <w:sz w:val="24"/>
        </w:rPr>
        <w:t>0.1</w:t>
      </w:r>
      <w:r>
        <w:rPr>
          <w:rFonts w:hint="eastAsia"/>
          <w:sz w:val="24"/>
          <w:lang w:val="en-US" w:eastAsia="zh-CN"/>
        </w:rPr>
        <w:t>U</w:t>
      </w:r>
      <w:r>
        <w:rPr>
          <w:rFonts w:hint="eastAsia"/>
          <w:sz w:val="24"/>
        </w:rPr>
        <w:t>。</w:t>
      </w:r>
    </w:p>
    <w:p>
      <w:pPr>
        <w:jc w:val="left"/>
        <w:rPr>
          <w:sz w:val="24"/>
        </w:rPr>
      </w:pPr>
      <w:r>
        <w:rPr>
          <w:sz w:val="24"/>
        </w:rPr>
        <w:t>1</w:t>
      </w:r>
      <w:r>
        <w:rPr>
          <w:rFonts w:hint="eastAsia"/>
          <w:sz w:val="24"/>
        </w:rPr>
        <w:t>4</w:t>
      </w:r>
      <w:r>
        <w:rPr>
          <w:sz w:val="24"/>
        </w:rPr>
        <w:t>.</w:t>
      </w:r>
      <w:r>
        <w:rPr>
          <w:rFonts w:hint="eastAsia"/>
          <w:sz w:val="24"/>
        </w:rPr>
        <w:t>最大大剂量范围：为</w:t>
      </w:r>
      <w:r>
        <w:rPr>
          <w:sz w:val="24"/>
        </w:rPr>
        <w:t>1-25U/</w:t>
      </w:r>
      <w:r>
        <w:rPr>
          <w:rFonts w:hint="eastAsia"/>
          <w:sz w:val="24"/>
        </w:rPr>
        <w:t>天。</w:t>
      </w:r>
    </w:p>
    <w:p>
      <w:pPr>
        <w:ind w:left="360" w:hanging="360" w:hangingChars="150"/>
        <w:jc w:val="left"/>
        <w:rPr>
          <w:rFonts w:hint="default" w:eastAsia="宋体"/>
          <w:sz w:val="24"/>
          <w:lang w:val="en-US" w:eastAsia="zh-CN"/>
        </w:rPr>
      </w:pPr>
      <w:r>
        <w:rPr>
          <w:sz w:val="24"/>
        </w:rPr>
        <w:t>1</w:t>
      </w:r>
      <w:r>
        <w:rPr>
          <w:rFonts w:hint="eastAsia"/>
          <w:sz w:val="24"/>
        </w:rPr>
        <w:t>5</w:t>
      </w:r>
      <w:r>
        <w:rPr>
          <w:sz w:val="24"/>
        </w:rPr>
        <w:t>.</w:t>
      </w:r>
      <w:r>
        <w:rPr>
          <w:rFonts w:hint="eastAsia"/>
          <w:sz w:val="24"/>
          <w:lang w:val="en-US" w:eastAsia="zh-CN"/>
        </w:rPr>
        <w:t>临时基础率</w:t>
      </w:r>
      <w:r>
        <w:rPr>
          <w:rFonts w:hint="eastAsia"/>
          <w:sz w:val="24"/>
        </w:rPr>
        <w:t>为</w:t>
      </w:r>
      <w:r>
        <w:rPr>
          <w:sz w:val="24"/>
        </w:rPr>
        <w:t>U</w:t>
      </w:r>
      <w:r>
        <w:rPr>
          <w:rFonts w:hint="eastAsia" w:ascii="宋体" w:hAnsi="宋体"/>
          <w:sz w:val="24"/>
        </w:rPr>
        <w:t>、</w:t>
      </w:r>
      <w:r>
        <w:rPr>
          <w:sz w:val="24"/>
        </w:rPr>
        <w:t>%</w:t>
      </w:r>
      <w:r>
        <w:rPr>
          <w:rFonts w:hint="eastAsia"/>
          <w:sz w:val="24"/>
          <w:lang w:eastAsia="zh-CN"/>
        </w:rPr>
        <w:t>，</w:t>
      </w:r>
      <w:r>
        <w:rPr>
          <w:rFonts w:hint="eastAsia"/>
          <w:sz w:val="24"/>
          <w:lang w:val="en-US" w:eastAsia="zh-CN"/>
        </w:rPr>
        <w:t>具备打开和关闭功能。</w:t>
      </w:r>
    </w:p>
    <w:p>
      <w:pPr>
        <w:jc w:val="left"/>
        <w:rPr>
          <w:sz w:val="24"/>
        </w:rPr>
      </w:pPr>
      <w:r>
        <w:rPr>
          <w:sz w:val="24"/>
        </w:rPr>
        <w:t>1</w:t>
      </w:r>
      <w:r>
        <w:rPr>
          <w:rFonts w:hint="eastAsia"/>
          <w:sz w:val="24"/>
        </w:rPr>
        <w:t>6</w:t>
      </w:r>
      <w:r>
        <w:rPr>
          <w:sz w:val="24"/>
        </w:rPr>
        <w:t>.</w:t>
      </w:r>
      <w:r>
        <w:rPr>
          <w:rFonts w:hint="eastAsia"/>
          <w:sz w:val="24"/>
        </w:rPr>
        <w:t>马达为精密步进马达。</w:t>
      </w:r>
    </w:p>
    <w:p>
      <w:pPr>
        <w:ind w:left="360" w:hanging="360" w:hangingChars="150"/>
        <w:jc w:val="left"/>
        <w:rPr>
          <w:rFonts w:ascii="宋体"/>
          <w:sz w:val="24"/>
        </w:rPr>
      </w:pPr>
      <w:r>
        <w:rPr>
          <w:sz w:val="24"/>
        </w:rPr>
        <w:t>1</w:t>
      </w:r>
      <w:r>
        <w:rPr>
          <w:rFonts w:hint="eastAsia"/>
          <w:sz w:val="24"/>
        </w:rPr>
        <w:t>7</w:t>
      </w:r>
      <w:r>
        <w:rPr>
          <w:sz w:val="24"/>
        </w:rPr>
        <w:t>.</w:t>
      </w:r>
      <w:r>
        <w:rPr>
          <w:rFonts w:hint="eastAsia"/>
          <w:sz w:val="24"/>
        </w:rPr>
        <w:t>安全设置，更稳定更可靠。对堵塞</w:t>
      </w:r>
      <w:r>
        <w:rPr>
          <w:rFonts w:hint="eastAsia" w:ascii="宋体" w:hAnsi="宋体"/>
          <w:sz w:val="24"/>
        </w:rPr>
        <w:t>、低电量输注及低药量都有报警提示，由鸣音、亮灯、屏幕提示来显示。并记录报警时间和日期。</w:t>
      </w:r>
    </w:p>
    <w:p>
      <w:pPr>
        <w:ind w:left="360" w:hanging="360" w:hangingChars="150"/>
        <w:jc w:val="left"/>
        <w:rPr>
          <w:rFonts w:asci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可查询基础率及大剂量历史记录，可回顾餐前大剂量、基础率及报警记录。</w:t>
      </w:r>
    </w:p>
    <w:p>
      <w:pPr>
        <w:jc w:val="left"/>
        <w:rPr>
          <w:rFonts w:ascii="宋体"/>
          <w:sz w:val="24"/>
        </w:rPr>
      </w:pPr>
      <w:r>
        <w:rPr>
          <w:rFonts w:ascii="宋体" w:hAnsi="宋体"/>
          <w:sz w:val="24"/>
        </w:rPr>
        <w:t>1</w:t>
      </w:r>
      <w:r>
        <w:rPr>
          <w:rFonts w:hint="eastAsia" w:ascii="宋体" w:hAnsi="宋体"/>
          <w:sz w:val="24"/>
        </w:rPr>
        <w:t>9</w:t>
      </w:r>
      <w:r>
        <w:rPr>
          <w:rFonts w:ascii="宋体" w:hAnsi="宋体"/>
          <w:sz w:val="24"/>
        </w:rPr>
        <w:t>.</w:t>
      </w:r>
      <w:r>
        <w:rPr>
          <w:rFonts w:hint="eastAsia" w:ascii="宋体" w:hAnsi="宋体"/>
          <w:sz w:val="24"/>
        </w:rPr>
        <w:t>具有安全锁键功能。</w:t>
      </w:r>
    </w:p>
    <w:p>
      <w:pPr>
        <w:jc w:val="left"/>
        <w:rPr>
          <w:rFonts w:hint="eastAsia" w:ascii="宋体" w:hAnsi="宋体"/>
          <w:sz w:val="24"/>
        </w:rPr>
      </w:pPr>
      <w:r>
        <w:rPr>
          <w:rFonts w:hint="eastAsia" w:ascii="宋体" w:hAnsi="宋体"/>
          <w:sz w:val="24"/>
        </w:rPr>
        <w:t>20</w:t>
      </w:r>
      <w:r>
        <w:rPr>
          <w:rFonts w:ascii="宋体" w:hAnsi="宋体"/>
          <w:sz w:val="24"/>
        </w:rPr>
        <w:t>.</w:t>
      </w:r>
      <w:r>
        <w:rPr>
          <w:rFonts w:hint="eastAsia" w:ascii="宋体" w:hAnsi="宋体"/>
          <w:sz w:val="24"/>
        </w:rPr>
        <w:t>泵体体积小，患者携带</w:t>
      </w:r>
      <w:r>
        <w:rPr>
          <w:rFonts w:hint="eastAsia" w:ascii="宋体" w:hAnsi="宋体"/>
          <w:sz w:val="24"/>
          <w:lang w:val="en-US" w:eastAsia="zh-CN"/>
        </w:rPr>
        <w:t>方便</w:t>
      </w:r>
      <w:r>
        <w:rPr>
          <w:rFonts w:hint="eastAsia" w:ascii="宋体" w:hAnsi="宋体"/>
          <w:sz w:val="24"/>
        </w:rPr>
        <w:t>。</w:t>
      </w:r>
    </w:p>
    <w:p>
      <w:pPr>
        <w:jc w:val="left"/>
        <w:rPr>
          <w:rFonts w:hint="eastAsia" w:ascii="宋体" w:hAnsi="宋体"/>
          <w:sz w:val="24"/>
          <w:lang w:val="en-US" w:eastAsia="zh-CN"/>
        </w:rPr>
      </w:pPr>
      <w:r>
        <w:rPr>
          <w:rFonts w:hint="eastAsia" w:ascii="宋体" w:hAnsi="宋体" w:eastAsia="宋体" w:cs="宋体"/>
          <w:kern w:val="0"/>
          <w:sz w:val="24"/>
          <w:szCs w:val="24"/>
          <w:highlight w:val="none"/>
        </w:rPr>
        <w:t>★</w:t>
      </w:r>
      <w:r>
        <w:rPr>
          <w:rFonts w:hint="eastAsia" w:ascii="宋体" w:hAnsi="宋体"/>
          <w:sz w:val="24"/>
          <w:lang w:val="en-US" w:eastAsia="zh-CN"/>
        </w:rPr>
        <w:t>21.搭建智能化胰岛素泵管理系统。</w:t>
      </w:r>
    </w:p>
    <w:p>
      <w:pPr>
        <w:jc w:val="left"/>
        <w:rPr>
          <w:rFonts w:hint="eastAsia" w:ascii="宋体" w:hAnsi="宋体" w:cs="宋体"/>
          <w:b/>
          <w:kern w:val="0"/>
          <w:sz w:val="24"/>
          <w:szCs w:val="24"/>
        </w:rPr>
      </w:pPr>
      <w:r>
        <w:rPr>
          <w:rFonts w:hint="eastAsia" w:ascii="宋体" w:hAnsi="宋体"/>
          <w:sz w:val="24"/>
          <w:lang w:val="en-US" w:eastAsia="zh-CN"/>
        </w:rPr>
        <w:t>22.配置1台立式血压计</w:t>
      </w:r>
    </w:p>
    <w:p>
      <w:pPr>
        <w:spacing w:line="160" w:lineRule="atLeast"/>
        <w:rPr>
          <w:rFonts w:hint="eastAsia" w:ascii="宋体" w:hAnsi="宋体" w:cs="宋体"/>
          <w:b/>
          <w:kern w:val="0"/>
          <w:sz w:val="24"/>
          <w:szCs w:val="24"/>
        </w:rPr>
      </w:pPr>
      <w:r>
        <w:rPr>
          <w:rFonts w:hint="eastAsia" w:ascii="宋体" w:hAnsi="宋体" w:cs="宋体"/>
          <w:b/>
          <w:kern w:val="0"/>
          <w:sz w:val="24"/>
          <w:szCs w:val="24"/>
        </w:rPr>
        <w:t>二、其它：</w:t>
      </w:r>
    </w:p>
    <w:p>
      <w:pPr>
        <w:rPr>
          <w:rFonts w:hint="eastAsia" w:ascii="宋体" w:hAnsi="宋体"/>
          <w:bCs/>
          <w:color w:val="000000"/>
          <w:szCs w:val="21"/>
        </w:rPr>
      </w:pPr>
      <w:r>
        <w:rPr>
          <w:rFonts w:hint="eastAsia" w:ascii="宋体" w:hAnsi="宋体"/>
          <w:color w:val="000000"/>
          <w:szCs w:val="21"/>
        </w:rPr>
        <w:t>1、</w:t>
      </w:r>
      <w:r>
        <w:rPr>
          <w:rFonts w:hint="eastAsia" w:ascii="宋体" w:hAnsi="宋体"/>
          <w:bCs/>
          <w:color w:val="000000"/>
          <w:szCs w:val="21"/>
        </w:rPr>
        <w:t>提供原厂产品彩页、技术性能及参数表</w:t>
      </w:r>
    </w:p>
    <w:p>
      <w:pPr>
        <w:widowControl/>
        <w:jc w:val="left"/>
        <w:rPr>
          <w:rFonts w:hint="eastAsia" w:ascii="宋体" w:hAnsi="宋体"/>
          <w:bCs/>
          <w:color w:val="000000"/>
          <w:szCs w:val="21"/>
        </w:rPr>
      </w:pPr>
      <w:r>
        <w:rPr>
          <w:rFonts w:hint="eastAsia" w:ascii="宋体" w:hAnsi="宋体"/>
          <w:bCs/>
          <w:color w:val="000000"/>
          <w:szCs w:val="21"/>
        </w:rPr>
        <w:t>2、</w:t>
      </w:r>
      <w:r>
        <w:rPr>
          <w:rFonts w:hint="eastAsia" w:ascii="宋体" w:hAnsi="宋体"/>
          <w:color w:val="000000"/>
          <w:szCs w:val="21"/>
        </w:rPr>
        <w:t>提供设备配置的详细清单</w:t>
      </w:r>
    </w:p>
    <w:p>
      <w:pPr>
        <w:numPr>
          <w:ilvl w:val="0"/>
          <w:numId w:val="5"/>
        </w:numPr>
        <w:rPr>
          <w:rFonts w:hint="eastAsia" w:ascii="宋体" w:hAnsi="宋体" w:eastAsia="宋体" w:cs="Times New Roman"/>
          <w:b/>
          <w:bCs/>
          <w:sz w:val="24"/>
          <w:lang w:eastAsia="zh-CN"/>
        </w:rPr>
      </w:pPr>
      <w:r>
        <w:rPr>
          <w:rFonts w:hint="eastAsia" w:ascii="宋体" w:hAnsi="宋体"/>
          <w:color w:val="000000"/>
          <w:szCs w:val="21"/>
        </w:rPr>
        <w:t>提供零配件和耗材价格表</w:t>
      </w:r>
    </w:p>
    <w:p>
      <w:pPr>
        <w:ind w:left="360" w:hanging="361" w:hangingChars="150"/>
        <w:jc w:val="left"/>
        <w:rPr>
          <w:rFonts w:hint="default" w:ascii="宋体" w:hAnsi="宋体" w:eastAsia="宋体" w:cs="Times New Roman"/>
          <w:b/>
          <w:bCs/>
          <w:sz w:val="24"/>
          <w:lang w:val="en-US" w:eastAsia="zh-CN"/>
        </w:rPr>
      </w:pPr>
      <w:r>
        <w:rPr>
          <w:rFonts w:hint="eastAsia" w:ascii="宋体" w:hAnsi="宋体" w:eastAsia="宋体" w:cs="Times New Roman"/>
          <w:b/>
          <w:bCs/>
          <w:sz w:val="24"/>
          <w:lang w:eastAsia="zh-CN"/>
        </w:rPr>
        <w:t>三、</w:t>
      </w:r>
      <w:r>
        <w:rPr>
          <w:rFonts w:hint="eastAsia" w:ascii="宋体" w:hAnsi="宋体" w:eastAsia="宋体" w:cs="Times New Roman"/>
          <w:b/>
          <w:bCs/>
          <w:sz w:val="24"/>
        </w:rPr>
        <w:t>配置：</w:t>
      </w:r>
      <w:r>
        <w:rPr>
          <w:rFonts w:hint="eastAsia" w:ascii="宋体" w:hAnsi="宋体" w:eastAsia="宋体" w:cs="Times New Roman"/>
          <w:b/>
          <w:bCs/>
          <w:sz w:val="24"/>
          <w:lang w:val="en-US" w:eastAsia="zh-CN"/>
        </w:rPr>
        <w:t>全套</w:t>
      </w:r>
    </w:p>
    <w:p>
      <w:pPr>
        <w:ind w:left="360" w:hanging="360" w:hangingChars="15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1、腰带夹子、活动保护帽、管夹、皮套、一次性胰岛素输注管路10套、储药器、7号电池6节</w:t>
      </w:r>
    </w:p>
    <w:p>
      <w:pPr>
        <w:pStyle w:val="20"/>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rPr>
        <w:t>第四部</w:t>
      </w:r>
      <w:r>
        <w:rPr>
          <w:rFonts w:hint="eastAsia" w:cs="Times New Roman"/>
          <w:b/>
          <w:color w:val="auto"/>
          <w:kern w:val="2"/>
          <w:sz w:val="36"/>
        </w:rPr>
        <w:t>分 商务部分</w:t>
      </w:r>
      <w:bookmarkEnd w:id="102"/>
    </w:p>
    <w:p>
      <w:pPr>
        <w:pStyle w:val="39"/>
        <w:ind w:firstLine="643"/>
        <w:jc w:val="center"/>
        <w:rPr>
          <w:rFonts w:ascii="仿宋_GB2312" w:hAnsi="Arial" w:eastAsia="仿宋_GB2312" w:cs="Times New Roman"/>
          <w:sz w:val="32"/>
          <w:szCs w:val="32"/>
        </w:rPr>
      </w:pPr>
      <w:bookmarkStart w:id="103" w:name="_Toc2443"/>
      <w:bookmarkStart w:id="104" w:name="_Toc14732"/>
      <w:bookmarkStart w:id="105" w:name="_Toc16709"/>
      <w:bookmarkStart w:id="106" w:name="_Toc22289"/>
      <w:bookmarkStart w:id="107" w:name="_Toc30987"/>
      <w:bookmarkStart w:id="108" w:name="_Toc16727"/>
      <w:bookmarkStart w:id="109" w:name="_Toc17593"/>
      <w:bookmarkStart w:id="110" w:name="_Toc26049"/>
      <w:bookmarkStart w:id="111" w:name="_Toc19161"/>
      <w:bookmarkStart w:id="112" w:name="_Toc14169"/>
      <w:bookmarkStart w:id="113" w:name="_Toc9620"/>
      <w:bookmarkStart w:id="114" w:name="_Toc29632"/>
      <w:bookmarkStart w:id="115" w:name="_Toc28964"/>
      <w:bookmarkStart w:id="116" w:name="_Toc6426"/>
      <w:bookmarkStart w:id="117" w:name="_Toc2002"/>
      <w:bookmarkStart w:id="118" w:name="_Toc22471"/>
      <w:r>
        <w:rPr>
          <w:rFonts w:hint="eastAsia" w:ascii="仿宋_GB2312" w:hAnsi="Arial" w:eastAsia="仿宋_GB2312" w:cs="Times New Roman"/>
          <w:sz w:val="32"/>
          <w:szCs w:val="32"/>
        </w:rPr>
        <w:t xml:space="preserve">第一章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_GB2312" w:hAnsi="Arial" w:eastAsia="仿宋_GB2312" w:cs="Times New Roman"/>
          <w:sz w:val="32"/>
          <w:szCs w:val="32"/>
        </w:rPr>
        <w:t>付款方式及程序</w:t>
      </w:r>
      <w:bookmarkEnd w:id="118"/>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本次招标所述的项目资金均以人民币支付。</w:t>
      </w:r>
    </w:p>
    <w:p>
      <w:pPr>
        <w:numPr>
          <w:ilvl w:val="0"/>
          <w:numId w:val="6"/>
        </w:numPr>
        <w:ind w:firstLine="477" w:firstLineChars="198"/>
        <w:rPr>
          <w:rFonts w:ascii="宋体" w:hAnsi="宋体" w:cs="宋体"/>
          <w:b/>
          <w:color w:val="000000" w:themeColor="text1"/>
          <w:sz w:val="24"/>
          <w:szCs w:val="24"/>
        </w:rPr>
      </w:pPr>
      <w:r>
        <w:rPr>
          <w:rFonts w:hint="eastAsia" w:ascii="宋体" w:hAnsi="宋体" w:cs="宋体"/>
          <w:b/>
          <w:color w:val="000000" w:themeColor="text1"/>
          <w:sz w:val="24"/>
          <w:szCs w:val="24"/>
        </w:rPr>
        <w:t>付款方式：</w:t>
      </w:r>
    </w:p>
    <w:p>
      <w:pPr>
        <w:ind w:left="480" w:firstLine="480" w:firstLineChars="200"/>
        <w:rPr>
          <w:rFonts w:hint="eastAsia" w:ascii="仿宋" w:hAnsi="仿宋" w:eastAsia="仿宋" w:cs="Times New Roman"/>
          <w:color w:val="FF0000"/>
          <w:sz w:val="24"/>
          <w:szCs w:val="20"/>
          <w:lang w:val="zh-CN"/>
        </w:rPr>
      </w:pPr>
      <w:r>
        <w:rPr>
          <w:rFonts w:hint="eastAsia" w:ascii="仿宋" w:hAnsi="仿宋" w:eastAsia="仿宋" w:cs="Times New Roman"/>
          <w:color w:val="000000" w:themeColor="text1"/>
          <w:sz w:val="24"/>
          <w:szCs w:val="20"/>
          <w:lang w:val="zh-CN"/>
        </w:rPr>
        <w:t>甲方收到乙方提供的设备并由乙方安装调试完成、进行了相关验收和人员培训合格后，乙方应向甲方开具全额正规发票，甲方收到乙方开具的全额发票后的30个工作日内向乙方支付合同款总额60%的货款，机器正常使用半年后，甲方接到乙方的付款通知后30个工作日内向乙方付合同款总额30%的货款，余款合同款总额的10%作为质保金，3年质保期满无质量问题发生的，甲方收到乙方的付款通知后30个工作日内向乙方支付合同质保金。</w:t>
      </w:r>
    </w:p>
    <w:p>
      <w:pPr>
        <w:ind w:left="480" w:firstLine="482" w:firstLineChars="20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39"/>
        <w:numPr>
          <w:ilvl w:val="0"/>
          <w:numId w:val="7"/>
        </w:numPr>
        <w:ind w:firstLine="643"/>
        <w:jc w:val="center"/>
        <w:rPr>
          <w:rFonts w:ascii="仿宋_GB2312" w:hAnsi="Arial" w:eastAsia="仿宋_GB2312" w:cs="Times New Roman"/>
          <w:color w:val="000000" w:themeColor="text1"/>
          <w:sz w:val="32"/>
          <w:szCs w:val="32"/>
        </w:rPr>
      </w:pPr>
      <w:bookmarkStart w:id="119" w:name="_Toc171"/>
      <w:bookmarkStart w:id="120" w:name="_Toc13489"/>
      <w:bookmarkStart w:id="121" w:name="_Toc6201_WPSOffice_Level2"/>
      <w:bookmarkStart w:id="122" w:name="_Toc28648"/>
      <w:bookmarkStart w:id="123" w:name="_Toc20952"/>
      <w:bookmarkStart w:id="124" w:name="_Toc2249"/>
      <w:bookmarkStart w:id="125" w:name="_Toc11928"/>
      <w:bookmarkStart w:id="126" w:name="_Toc32522"/>
      <w:bookmarkStart w:id="127" w:name="_Toc31752"/>
      <w:bookmarkStart w:id="128" w:name="_Toc20755"/>
      <w:bookmarkStart w:id="129" w:name="_Toc16332"/>
      <w:bookmarkStart w:id="130" w:name="_Toc6445"/>
      <w:bookmarkStart w:id="131" w:name="_Toc12952"/>
      <w:bookmarkStart w:id="132" w:name="_Toc16211"/>
      <w:bookmarkStart w:id="133" w:name="_Toc22094"/>
      <w:bookmarkStart w:id="134" w:name="_Toc31350"/>
      <w:bookmarkStart w:id="135" w:name="_Toc29652"/>
      <w:bookmarkStart w:id="136" w:name="_Toc9490"/>
      <w:bookmarkStart w:id="137" w:name="_Toc21972"/>
      <w:bookmarkStart w:id="138" w:name="_Toc25389"/>
      <w:bookmarkStart w:id="139" w:name="_Toc32653"/>
      <w:bookmarkStart w:id="140" w:name="_Toc1436"/>
      <w:bookmarkStart w:id="141" w:name="_Toc10227"/>
      <w:bookmarkStart w:id="142" w:name="_Toc16091"/>
      <w:bookmarkStart w:id="143" w:name="_Toc7126"/>
      <w:bookmarkStart w:id="144" w:name="_Toc13491"/>
      <w:bookmarkStart w:id="145" w:name="_Toc11674"/>
      <w:bookmarkStart w:id="146" w:name="_Toc17002"/>
      <w:bookmarkStart w:id="147" w:name="_Toc14435"/>
      <w:bookmarkStart w:id="148" w:name="_Toc21772"/>
      <w:bookmarkStart w:id="149" w:name="_Toc16263"/>
      <w:bookmarkStart w:id="150" w:name="_Toc1558"/>
      <w:r>
        <w:rPr>
          <w:rFonts w:hint="eastAsia" w:ascii="仿宋_GB2312" w:hAnsi="Arial" w:eastAsia="仿宋_GB2312" w:cs="Times New Roman"/>
          <w:color w:val="000000" w:themeColor="text1"/>
          <w:sz w:val="32"/>
          <w:szCs w:val="32"/>
        </w:rPr>
        <w:t>售后服务</w:t>
      </w:r>
      <w:r>
        <w:rPr>
          <w:rFonts w:hint="eastAsia" w:ascii="仿宋_GB2312" w:hAnsi="Arial" w:eastAsia="仿宋_GB2312" w:cs="Times New Roman"/>
          <w:color w:val="000000" w:themeColor="text1"/>
          <w:sz w:val="32"/>
          <w:szCs w:val="32"/>
          <w:lang w:val="en-US" w:eastAsia="zh-CN"/>
        </w:rPr>
        <w:t>及其他</w:t>
      </w:r>
      <w:r>
        <w:rPr>
          <w:rFonts w:hint="eastAsia" w:ascii="仿宋_GB2312" w:hAnsi="Arial" w:eastAsia="仿宋_GB2312" w:cs="Times New Roman"/>
          <w:color w:val="000000" w:themeColor="text1"/>
          <w:sz w:val="32"/>
          <w:szCs w:val="32"/>
        </w:rPr>
        <w:t>要求</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5"/>
        <w:rPr>
          <w:color w:val="000000" w:themeColor="text1"/>
        </w:rPr>
      </w:pPr>
    </w:p>
    <w:p>
      <w:pPr>
        <w:numPr>
          <w:ilvl w:val="0"/>
          <w:numId w:val="0"/>
        </w:numPr>
        <w:autoSpaceDE w:val="0"/>
        <w:autoSpaceDN w:val="0"/>
        <w:adjustRightInd w:val="0"/>
        <w:spacing w:line="360" w:lineRule="auto"/>
        <w:ind w:leftChars="0"/>
        <w:rPr>
          <w:rFonts w:hint="default" w:ascii="仿宋" w:hAnsi="仿宋" w:eastAsia="仿宋" w:cs="Times New Roman"/>
          <w:color w:val="000000" w:themeColor="text1"/>
          <w:kern w:val="2"/>
          <w:sz w:val="24"/>
          <w:szCs w:val="20"/>
          <w:lang w:val="en-US" w:eastAsia="zh-CN" w:bidi="ar-SA"/>
        </w:rPr>
      </w:pPr>
      <w:r>
        <w:rPr>
          <w:rFonts w:hint="eastAsia" w:ascii="仿宋" w:hAnsi="仿宋" w:eastAsia="仿宋" w:cs="Times New Roman"/>
          <w:color w:val="000000" w:themeColor="text1"/>
          <w:sz w:val="24"/>
          <w:szCs w:val="20"/>
          <w:lang w:val="en-US" w:eastAsia="zh-CN"/>
        </w:rPr>
        <w:t>1、</w:t>
      </w:r>
      <w:r>
        <w:rPr>
          <w:rFonts w:hint="eastAsia" w:ascii="仿宋" w:hAnsi="仿宋" w:eastAsia="仿宋" w:cs="Times New Roman"/>
          <w:color w:val="000000" w:themeColor="text1"/>
          <w:sz w:val="24"/>
          <w:szCs w:val="20"/>
          <w:lang w:val="zh-CN" w:eastAsia="zh-CN"/>
        </w:rPr>
        <w:t>售后服务要求：验收合格后整机及配件免费保修3年，保修期内免费升级，终身维护。在免费质保期内，供货方履行保修义务应免收材料和人工等一切费用，人为损坏不在保修范围内；免费保修期后仍由供货方或供货方指定的售后维保商（或厂家）负责终身维修，免费保修期满以后供货方或供货方指定的售后维保商（或厂家）履行保修义务只收取采购方材料费，其他费用予以免除。如设备出现问题，供货方或供货方指定的售后维保商自收到甲方维修要求（电话、微信、QQ、电子邮件、传真等不限）后应当在30分钟内响应，供货方维修人员在接到通知2小时内，到达现场进行维修，24小时解决问题，不能解决则提供备用机。（备用机使用期限超过7日的，该备用机须为全新的，且功能、能耗及使用便利性不得低于本合同项下的机器设备。）提供全套的操作手册及维修手册、光盘等，如有密码，则密码开放，免费培训操作及维修人员。</w:t>
      </w:r>
    </w:p>
    <w:p>
      <w:pPr>
        <w:numPr>
          <w:ilvl w:val="0"/>
          <w:numId w:val="0"/>
        </w:numPr>
        <w:autoSpaceDE w:val="0"/>
        <w:autoSpaceDN w:val="0"/>
        <w:adjustRightInd w:val="0"/>
        <w:spacing w:line="360" w:lineRule="auto"/>
        <w:ind w:leftChars="0"/>
        <w:rPr>
          <w:rFonts w:hint="default" w:ascii="仿宋" w:hAnsi="仿宋" w:eastAsia="仿宋" w:cs="Times New Roman"/>
          <w:color w:val="000000" w:themeColor="text1"/>
          <w:kern w:val="2"/>
          <w:sz w:val="24"/>
          <w:szCs w:val="20"/>
          <w:lang w:val="en-US" w:eastAsia="zh-CN" w:bidi="ar-SA"/>
        </w:rPr>
      </w:pPr>
      <w:r>
        <w:rPr>
          <w:rFonts w:hint="eastAsia" w:ascii="仿宋" w:hAnsi="仿宋" w:eastAsia="仿宋" w:cs="Times New Roman"/>
          <w:color w:val="000000" w:themeColor="text1"/>
          <w:kern w:val="2"/>
          <w:sz w:val="24"/>
          <w:szCs w:val="20"/>
          <w:lang w:val="en-US" w:eastAsia="zh-CN" w:bidi="ar-SA"/>
        </w:rPr>
        <w:t>2、</w:t>
      </w:r>
      <w:r>
        <w:rPr>
          <w:rFonts w:hint="default" w:ascii="仿宋" w:hAnsi="仿宋" w:eastAsia="仿宋" w:cs="Times New Roman"/>
          <w:color w:val="000000" w:themeColor="text1"/>
          <w:kern w:val="2"/>
          <w:sz w:val="24"/>
          <w:szCs w:val="20"/>
          <w:lang w:val="en-US" w:eastAsia="zh-CN" w:bidi="ar-SA"/>
        </w:rPr>
        <w:t>质保期内计算机系统</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负责免费升级。其中系统中使用的厂家自主知识产权的系统软件，由</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负责联系厂家进行终身免费升级和保修。除正常维修外，</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应定期派工程师进行设备检查和维护。</w:t>
      </w:r>
    </w:p>
    <w:p>
      <w:pPr>
        <w:autoSpaceDE w:val="0"/>
        <w:autoSpaceDN w:val="0"/>
        <w:adjustRightInd w:val="0"/>
        <w:spacing w:line="360" w:lineRule="auto"/>
        <w:rPr>
          <w:rFonts w:hint="eastAsia" w:ascii="仿宋" w:hAnsi="仿宋" w:eastAsia="仿宋" w:cs="Times New Roman"/>
          <w:color w:val="000000" w:themeColor="text1"/>
          <w:sz w:val="24"/>
          <w:szCs w:val="20"/>
          <w:lang w:val="zh-CN" w:eastAsia="zh-CN"/>
        </w:rPr>
      </w:pPr>
      <w:r>
        <w:rPr>
          <w:rFonts w:hint="eastAsia" w:ascii="仿宋" w:hAnsi="仿宋" w:eastAsia="仿宋" w:cs="Times New Roman"/>
          <w:color w:val="000000" w:themeColor="text1"/>
          <w:sz w:val="24"/>
          <w:szCs w:val="20"/>
          <w:lang w:val="en-US" w:eastAsia="zh-CN"/>
        </w:rPr>
        <w:t>3</w:t>
      </w:r>
      <w:r>
        <w:rPr>
          <w:rFonts w:hint="eastAsia" w:ascii="仿宋" w:hAnsi="仿宋" w:eastAsia="仿宋" w:cs="Times New Roman"/>
          <w:color w:val="000000" w:themeColor="text1"/>
          <w:sz w:val="24"/>
          <w:szCs w:val="20"/>
          <w:lang w:val="zh-CN" w:eastAsia="zh-CN"/>
        </w:rPr>
        <w:t>、</w:t>
      </w:r>
      <w:r>
        <w:rPr>
          <w:rFonts w:hint="eastAsia" w:ascii="仿宋" w:hAnsi="仿宋" w:eastAsia="仿宋" w:cs="Times New Roman"/>
          <w:color w:val="000000" w:themeColor="text1"/>
          <w:sz w:val="24"/>
          <w:szCs w:val="20"/>
          <w:lang w:val="en-US" w:eastAsia="zh-CN"/>
        </w:rPr>
        <w:t>操作人员的现场技术培训结果至采购方满意为止。</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4、提供经常使用的备品备件清单及报价。</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5、投标人在投标时提供产品彩页，彩页上要有明确的设备型号及关键参数性能描述。</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6、若有独立的软件系统定期免费维护，需要做接口的承担首次接口费用。</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7、7.1供货方保证所供设备的相关资质证照齐备、有效，并符合《国家医疗器械管理条例》的管理规定；</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7.2设备的质量技术标准应符合设备生产厂制定的出厂质量技术标准，并符合国家相关质量标准要求。供货方已知悉上述标准，并确认采用该标准的设备能满足采购人的要求。</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7.3设备包装应为设备生产厂原包装。</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7.4乙方应提供进口商品安全质量许可证及中华人民共和国进口医疗器械注册证并应明确提出验收标准和方法，并向甲方提供详细的验收手册，作为验收设备时的参考依据，最终应以甲方确定的验收标准验收，乙方提供商检证。</w:t>
      </w:r>
      <w:bookmarkStart w:id="151" w:name="_Toc19637"/>
    </w:p>
    <w:p>
      <w:pPr>
        <w:pStyle w:val="2"/>
        <w:rPr>
          <w:rFonts w:hint="default" w:ascii="仿宋" w:hAnsi="仿宋" w:eastAsia="仿宋" w:cs="Times New Roman"/>
          <w:color w:val="000000" w:themeColor="text1"/>
          <w:kern w:val="2"/>
          <w:sz w:val="24"/>
          <w:szCs w:val="20"/>
          <w:lang w:val="en-US" w:eastAsia="zh-CN" w:bidi="ar-SA"/>
        </w:rPr>
      </w:pPr>
      <w:r>
        <w:rPr>
          <w:rFonts w:hint="eastAsia" w:ascii="仿宋" w:hAnsi="仿宋" w:eastAsia="仿宋" w:cs="Times New Roman"/>
          <w:color w:val="000000" w:themeColor="text1"/>
          <w:sz w:val="24"/>
          <w:szCs w:val="20"/>
          <w:lang w:val="en-US" w:eastAsia="zh-CN"/>
        </w:rPr>
        <w:t>8、</w:t>
      </w:r>
      <w:r>
        <w:rPr>
          <w:rFonts w:hint="eastAsia" w:ascii="仿宋" w:hAnsi="仿宋" w:eastAsia="仿宋" w:cs="Times New Roman"/>
          <w:color w:val="000000" w:themeColor="text1"/>
          <w:kern w:val="2"/>
          <w:sz w:val="24"/>
          <w:szCs w:val="20"/>
          <w:lang w:val="en-US" w:eastAsia="zh-CN" w:bidi="ar-SA"/>
        </w:rPr>
        <w:t>验收标准：以国家或行业标准进行验收。供货方应提供进口商品安全质量许可证及中华人民共和国进口医疗器械注册证并应明确提出验收标准和方法，并向甲方提供详细的验收手册，作为验收设备时的参考依据，最终应以采购方确定的验收标准验收，供货方提供商检证。</w:t>
      </w:r>
    </w:p>
    <w:p>
      <w:pPr>
        <w:pStyle w:val="2"/>
        <w:rPr>
          <w:rFonts w:hint="eastAsia"/>
        </w:rPr>
      </w:pPr>
    </w:p>
    <w:p>
      <w:pPr>
        <w:pStyle w:val="9"/>
        <w:rPr>
          <w:rFonts w:hint="eastAsia"/>
        </w:rPr>
      </w:pPr>
    </w:p>
    <w:p>
      <w:pPr>
        <w:jc w:val="both"/>
        <w:outlineLvl w:val="0"/>
        <w:rPr>
          <w:rFonts w:hint="eastAsia" w:ascii="宋体" w:hAnsi="宋体" w:cs="Times New Roman"/>
          <w:b/>
          <w:sz w:val="36"/>
          <w:szCs w:val="36"/>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jc w:val="center"/>
        <w:outlineLvl w:val="1"/>
        <w:rPr>
          <w:rFonts w:ascii="仿宋_GB2312" w:hAnsi="Arial" w:eastAsia="仿宋_GB2312" w:cs="Times New Roman"/>
          <w:b/>
          <w:sz w:val="32"/>
          <w:szCs w:val="32"/>
        </w:rPr>
      </w:pPr>
      <w:bookmarkStart w:id="152" w:name="_Toc24547"/>
      <w:bookmarkStart w:id="153" w:name="_Toc22932"/>
      <w:bookmarkStart w:id="154" w:name="_Toc12060"/>
      <w:bookmarkStart w:id="155" w:name="_Toc3860"/>
      <w:bookmarkStart w:id="156" w:name="_Toc24345"/>
      <w:bookmarkStart w:id="157" w:name="_Toc32428"/>
      <w:bookmarkStart w:id="158" w:name="_Toc23827"/>
      <w:bookmarkStart w:id="159" w:name="_Toc13642"/>
      <w:bookmarkStart w:id="160" w:name="_Toc9296"/>
      <w:bookmarkStart w:id="161" w:name="_Toc5857"/>
      <w:bookmarkStart w:id="162" w:name="_Toc16431"/>
      <w:bookmarkStart w:id="163" w:name="_Toc5601"/>
      <w:bookmarkStart w:id="164" w:name="_Toc2693"/>
      <w:bookmarkStart w:id="165" w:name="_Toc11673"/>
      <w:bookmarkStart w:id="166" w:name="_Toc14569"/>
      <w:bookmarkStart w:id="167" w:name="_Toc5067"/>
      <w:r>
        <w:rPr>
          <w:rFonts w:hint="eastAsia" w:ascii="仿宋_GB2312" w:hAnsi="Arial" w:eastAsia="仿宋_GB2312" w:cs="Times New Roman"/>
          <w:b/>
          <w:sz w:val="32"/>
          <w:szCs w:val="32"/>
        </w:rPr>
        <w:t>第一章 评标委员会</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3</w:t>
      </w:r>
      <w:r>
        <w:rPr>
          <w:rFonts w:hint="eastAsia" w:ascii="仿宋" w:hAnsi="仿宋" w:eastAsia="仿宋" w:cs="Times New Roman"/>
          <w:spacing w:val="-2"/>
          <w:sz w:val="24"/>
          <w:szCs w:val="24"/>
        </w:rPr>
        <w:t xml:space="preserve">  评标委员会有关工程技术、经济等方面的专家和采购人熟悉相关业务的代表人员组成，成员为5人的单数，其中技术、经济等方面的成员人数不少于成员总数的</w:t>
      </w:r>
      <w:r>
        <w:rPr>
          <w:rFonts w:hint="eastAsia" w:ascii="仿宋" w:hAnsi="仿宋" w:eastAsia="仿宋" w:cs="Times New Roman"/>
          <w:spacing w:val="-2"/>
          <w:sz w:val="24"/>
          <w:szCs w:val="24"/>
          <w:lang w:val="en-US" w:eastAsia="zh-CN"/>
        </w:rPr>
        <w:t>三</w:t>
      </w:r>
      <w:r>
        <w:rPr>
          <w:rFonts w:hint="eastAsia" w:ascii="仿宋" w:hAnsi="仿宋" w:eastAsia="仿宋" w:cs="Times New Roman"/>
          <w:spacing w:val="-2"/>
          <w:sz w:val="24"/>
          <w:szCs w:val="24"/>
        </w:rPr>
        <w:t>分之二。</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ind w:firstLine="480" w:firstLineChars="200"/>
        <w:rPr>
          <w:rFonts w:ascii="仿宋" w:hAnsi="仿宋" w:eastAsia="仿宋" w:cs="仿宋"/>
          <w:color w:val="000000"/>
          <w:kern w:val="0"/>
          <w:sz w:val="24"/>
          <w:szCs w:val="24"/>
        </w:rPr>
      </w:pPr>
    </w:p>
    <w:p>
      <w:pPr>
        <w:pStyle w:val="2"/>
        <w:rPr>
          <w:rFonts w:ascii="仿宋" w:hAnsi="仿宋" w:eastAsia="仿宋" w:cs="仿宋"/>
          <w:color w:val="000000"/>
          <w:kern w:val="0"/>
          <w:sz w:val="24"/>
          <w:szCs w:val="24"/>
        </w:rPr>
      </w:pPr>
    </w:p>
    <w:p/>
    <w:p>
      <w:pPr>
        <w:jc w:val="center"/>
        <w:rPr>
          <w:rFonts w:ascii="仿宋_GB2312" w:hAnsi="宋体" w:eastAsia="仿宋_GB2312" w:cs="Times New Roman"/>
          <w:b/>
          <w:sz w:val="24"/>
          <w:szCs w:val="20"/>
        </w:rPr>
      </w:pPr>
      <w:bookmarkStart w:id="168" w:name="_Toc5221"/>
      <w:bookmarkStart w:id="169" w:name="_Toc27601"/>
      <w:bookmarkStart w:id="170" w:name="_Toc14029"/>
      <w:bookmarkStart w:id="171" w:name="_Toc3158"/>
      <w:bookmarkStart w:id="172" w:name="_Toc30123"/>
      <w:bookmarkStart w:id="173" w:name="_Toc5310"/>
      <w:bookmarkStart w:id="174" w:name="_Toc26278"/>
      <w:bookmarkStart w:id="175" w:name="_Toc30581"/>
      <w:bookmarkStart w:id="176" w:name="_Toc29911"/>
      <w:bookmarkStart w:id="177" w:name="_Toc18663"/>
      <w:bookmarkStart w:id="178" w:name="_Toc11010"/>
      <w:bookmarkStart w:id="179" w:name="_Toc31133"/>
      <w:bookmarkStart w:id="180" w:name="_Toc20987"/>
      <w:bookmarkStart w:id="181" w:name="_Toc5971"/>
      <w:bookmarkStart w:id="182" w:name="_Toc17276"/>
      <w:r>
        <w:rPr>
          <w:rFonts w:hint="eastAsia" w:ascii="仿宋_GB2312" w:hAnsi="宋体" w:eastAsia="仿宋_GB2312" w:cs="Times New Roman"/>
          <w:b/>
          <w:sz w:val="32"/>
          <w:szCs w:val="32"/>
        </w:rPr>
        <w:t>第二章</w:t>
      </w:r>
      <w:bookmarkEnd w:id="168"/>
      <w:bookmarkEnd w:id="169"/>
      <w:bookmarkEnd w:id="170"/>
      <w:bookmarkEnd w:id="171"/>
      <w:bookmarkEnd w:id="172"/>
      <w:bookmarkEnd w:id="173"/>
      <w:bookmarkEnd w:id="174"/>
      <w:bookmarkEnd w:id="175"/>
      <w:bookmarkEnd w:id="176"/>
      <w:bookmarkEnd w:id="177"/>
      <w:bookmarkEnd w:id="178"/>
      <w:bookmarkEnd w:id="179"/>
      <w:bookmarkStart w:id="183" w:name="_Toc29733"/>
      <w:bookmarkStart w:id="184" w:name="_Toc4041"/>
      <w:bookmarkStart w:id="185" w:name="_Toc30083"/>
      <w:bookmarkStart w:id="186" w:name="_Toc5996"/>
      <w:bookmarkStart w:id="187" w:name="_Toc7041"/>
      <w:bookmarkStart w:id="188" w:name="_Toc5921"/>
      <w:bookmarkStart w:id="189" w:name="_Toc18928"/>
      <w:bookmarkStart w:id="190" w:name="_Toc9579"/>
      <w:bookmarkStart w:id="191" w:name="_Toc23163"/>
      <w:bookmarkStart w:id="192" w:name="_Toc31036"/>
      <w:bookmarkStart w:id="193" w:name="_Toc11172"/>
      <w:bookmarkStart w:id="194" w:name="_Toc20347"/>
      <w:r>
        <w:rPr>
          <w:rFonts w:hint="eastAsia" w:ascii="仿宋_GB2312" w:hAnsi="宋体" w:eastAsia="仿宋_GB2312" w:cs="Times New Roman"/>
          <w:b/>
          <w:sz w:val="32"/>
          <w:szCs w:val="32"/>
        </w:rPr>
        <w:t xml:space="preserve"> 开标 评标和中标</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sz w:val="24"/>
          <w:szCs w:val="24"/>
        </w:rPr>
      </w:pPr>
      <w:r>
        <w:rPr>
          <w:rFonts w:hint="eastAsia" w:ascii="仿宋" w:hAnsi="仿宋" w:eastAsia="仿宋" w:cs="仿宋"/>
          <w:sz w:val="24"/>
          <w:szCs w:val="24"/>
        </w:rPr>
        <w:t>本项目开标在招标文件规定的开标时间和地点进行，由</w:t>
      </w:r>
      <w:r>
        <w:rPr>
          <w:rFonts w:hint="eastAsia" w:ascii="仿宋" w:hAnsi="仿宋" w:eastAsia="仿宋" w:cs="仿宋"/>
          <w:bCs/>
          <w:sz w:val="24"/>
          <w:szCs w:val="24"/>
        </w:rPr>
        <w:t>采购代理机构</w:t>
      </w:r>
      <w:r>
        <w:rPr>
          <w:rFonts w:hint="eastAsia" w:ascii="仿宋" w:hAnsi="仿宋" w:eastAsia="仿宋" w:cs="仿宋"/>
          <w:sz w:val="24"/>
          <w:szCs w:val="24"/>
        </w:rPr>
        <w:t>项目负责人主持，投标人的授权代表参加开标会，评标委员会成员不参加开标活动。</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1.2 资质审查</w:t>
      </w:r>
    </w:p>
    <w:p>
      <w:pPr>
        <w:ind w:firstLine="480" w:firstLineChars="200"/>
        <w:rPr>
          <w:rFonts w:ascii="仿宋" w:hAnsi="仿宋" w:eastAsia="仿宋" w:cs="仿宋"/>
          <w:sz w:val="24"/>
          <w:szCs w:val="24"/>
        </w:rPr>
      </w:pPr>
      <w:r>
        <w:rPr>
          <w:rFonts w:hint="eastAsia" w:ascii="仿宋" w:hAnsi="仿宋" w:eastAsia="仿宋" w:cs="仿宋"/>
          <w:sz w:val="24"/>
          <w:szCs w:val="24"/>
        </w:rPr>
        <w:t>（1）投标人投标资格审查由</w:t>
      </w:r>
      <w:r>
        <w:rPr>
          <w:rFonts w:hint="eastAsia" w:ascii="仿宋" w:hAnsi="仿宋" w:eastAsia="仿宋" w:cs="仿宋"/>
          <w:bCs/>
          <w:sz w:val="24"/>
          <w:szCs w:val="24"/>
        </w:rPr>
        <w:t>采购代理机构</w:t>
      </w:r>
      <w:r>
        <w:rPr>
          <w:rFonts w:hint="eastAsia" w:ascii="仿宋" w:hAnsi="仿宋" w:eastAsia="仿宋" w:cs="仿宋"/>
          <w:sz w:val="24"/>
          <w:szCs w:val="24"/>
        </w:rPr>
        <w:t>组织，采购人在监督人的现场监督下逐一审查投标人资格是否符合招标文件规定要求。资格符合招标文件规定的投标人方可准予投标。</w:t>
      </w:r>
    </w:p>
    <w:p>
      <w:pPr>
        <w:pStyle w:val="20"/>
        <w:keepNext w:val="0"/>
        <w:keepLines w:val="0"/>
        <w:widowControl/>
        <w:suppressLineNumbers w:val="0"/>
        <w:spacing w:before="75" w:beforeAutospacing="0" w:after="75" w:afterAutospacing="0" w:line="300" w:lineRule="atLeast"/>
        <w:ind w:right="0" w:firstLine="482" w:firstLineChars="200"/>
        <w:jc w:val="left"/>
        <w:rPr>
          <w:rFonts w:hint="eastAsia" w:ascii="仿宋" w:hAnsi="仿宋" w:eastAsia="仿宋" w:cs="仿宋"/>
          <w:b/>
          <w:bCs/>
          <w:i w:val="0"/>
          <w:iCs w:val="0"/>
          <w:caps w:val="0"/>
          <w:color w:val="000000"/>
          <w:spacing w:val="0"/>
          <w:sz w:val="22"/>
          <w:szCs w:val="22"/>
          <w:vertAlign w:val="baseline"/>
          <w:lang w:val="en-US" w:eastAsia="zh-CN"/>
        </w:rPr>
      </w:pPr>
      <w:r>
        <w:rPr>
          <w:rFonts w:hint="eastAsia" w:ascii="仿宋" w:hAnsi="仿宋" w:eastAsia="仿宋" w:cs="仿宋"/>
          <w:b/>
          <w:bCs/>
          <w:sz w:val="24"/>
          <w:szCs w:val="24"/>
        </w:rPr>
        <w:t>（2） 投标资格审查内容：</w:t>
      </w:r>
      <w:r>
        <w:rPr>
          <w:rFonts w:hint="eastAsia" w:ascii="仿宋" w:hAnsi="仿宋" w:eastAsia="仿宋" w:cs="仿宋"/>
          <w:b/>
          <w:bCs/>
          <w:sz w:val="24"/>
          <w:szCs w:val="24"/>
          <w:lang w:eastAsia="zh-CN"/>
        </w:rPr>
        <w:t>现场需携带以下材料：</w:t>
      </w:r>
    </w:p>
    <w:p>
      <w:pPr>
        <w:pStyle w:val="20"/>
        <w:keepNext w:val="0"/>
        <w:keepLines w:val="0"/>
        <w:widowControl/>
        <w:suppressLineNumbers w:val="0"/>
        <w:spacing w:before="75" w:beforeAutospacing="0" w:after="75" w:afterAutospacing="0" w:line="300" w:lineRule="atLeast"/>
        <w:ind w:right="0" w:firstLine="660" w:firstLineChars="3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1、投标人必须是所投产品的制造商或经销商，需提供有效的工商营业执照副本原件或当地公证处出具的前述证书的公证书（营业执照需包含本次项目的相关经营权）；</w:t>
      </w:r>
    </w:p>
    <w:p>
      <w:pPr>
        <w:pStyle w:val="20"/>
        <w:keepNext w:val="0"/>
        <w:keepLines w:val="0"/>
        <w:widowControl/>
        <w:suppressLineNumbers w:val="0"/>
        <w:spacing w:before="75" w:beforeAutospacing="0" w:after="75" w:afterAutospacing="0" w:line="300" w:lineRule="atLeast"/>
        <w:ind w:right="0" w:firstLine="660" w:firstLineChars="3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2、投标人若为生产厂家的需提供《医疗器械生产许可证》及其他资质（原件或当地公证处出具的的前述证书的公证书）；若为经销商需提供《医疗器械经营许可证》和《医疗器械经营备案凭证》（原件或当地公证处出具的的前述证书的公证书）；</w:t>
      </w:r>
    </w:p>
    <w:p>
      <w:pPr>
        <w:pStyle w:val="20"/>
        <w:keepNext w:val="0"/>
        <w:keepLines w:val="0"/>
        <w:widowControl/>
        <w:suppressLineNumbers w:val="0"/>
        <w:spacing w:before="75" w:beforeAutospacing="0" w:after="75" w:afterAutospacing="0" w:line="300" w:lineRule="atLeast"/>
        <w:ind w:right="0" w:firstLine="660" w:firstLineChars="3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3、医疗器械产品，须根据《医疗器械监督管理条例》（国务院令第680号）有关内容办理医疗器械产品注册与备案，需提供所投产品的《医疗器械注册证》，所有证件均应在有效期内；</w:t>
      </w:r>
    </w:p>
    <w:p>
      <w:pPr>
        <w:pStyle w:val="20"/>
        <w:keepNext w:val="0"/>
        <w:keepLines w:val="0"/>
        <w:widowControl/>
        <w:suppressLineNumbers w:val="0"/>
        <w:spacing w:before="75" w:beforeAutospacing="0" w:after="75" w:afterAutospacing="0" w:line="300" w:lineRule="atLeast"/>
        <w:ind w:right="0" w:firstLine="660" w:firstLineChars="3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4、参与采购的法人应携带《法定代表人身份证明》及身份证原件，委托代理人应携带《法人代表授权委托书》及委托人社保证明和及身份证原件。</w:t>
      </w:r>
    </w:p>
    <w:p>
      <w:pPr>
        <w:pStyle w:val="20"/>
        <w:keepNext w:val="0"/>
        <w:keepLines w:val="0"/>
        <w:widowControl/>
        <w:suppressLineNumbers w:val="0"/>
        <w:spacing w:before="75" w:beforeAutospacing="0" w:after="75" w:afterAutospacing="0" w:line="300" w:lineRule="atLeast"/>
        <w:ind w:right="0" w:firstLine="660" w:firstLineChars="300"/>
        <w:jc w:val="left"/>
        <w:rPr>
          <w:rFonts w:hint="eastAsia" w:ascii="仿宋" w:hAnsi="仿宋" w:eastAsia="仿宋" w:cs="仿宋"/>
          <w:i w:val="0"/>
          <w:iCs w:val="0"/>
          <w:caps w:val="0"/>
          <w:color w:val="000000"/>
          <w:spacing w:val="0"/>
          <w:sz w:val="22"/>
          <w:szCs w:val="22"/>
          <w:vertAlign w:val="baseline"/>
          <w:lang w:val="en-US" w:eastAsia="zh-CN"/>
        </w:rPr>
      </w:pPr>
      <w:r>
        <w:rPr>
          <w:rFonts w:hint="eastAsia" w:ascii="仿宋" w:hAnsi="仿宋" w:eastAsia="仿宋" w:cs="仿宋"/>
          <w:i w:val="0"/>
          <w:iCs w:val="0"/>
          <w:caps w:val="0"/>
          <w:color w:val="000000"/>
          <w:spacing w:val="0"/>
          <w:sz w:val="22"/>
          <w:szCs w:val="22"/>
          <w:vertAlign w:val="baseline"/>
          <w:lang w:val="en-US" w:eastAsia="zh-CN"/>
        </w:rPr>
        <w:t>5、投标保证金原件。</w:t>
      </w:r>
    </w:p>
    <w:p>
      <w:pPr>
        <w:ind w:firstLine="480" w:firstLineChars="200"/>
        <w:rPr>
          <w:rFonts w:ascii="仿宋" w:hAnsi="仿宋" w:eastAsia="仿宋" w:cs="仿宋"/>
          <w:sz w:val="24"/>
          <w:szCs w:val="24"/>
        </w:rPr>
      </w:pPr>
      <w:r>
        <w:rPr>
          <w:rFonts w:hint="eastAsia" w:ascii="仿宋" w:hAnsi="仿宋" w:eastAsia="仿宋" w:cs="仿宋"/>
          <w:sz w:val="24"/>
          <w:szCs w:val="24"/>
        </w:rPr>
        <w:t>（3） 投标人应该按照招标文件规定的时间和地点送审资格证明文件。</w:t>
      </w:r>
    </w:p>
    <w:p>
      <w:pPr>
        <w:ind w:firstLine="482" w:firstLineChars="200"/>
        <w:rPr>
          <w:rFonts w:ascii="仿宋" w:hAnsi="仿宋" w:eastAsia="仿宋" w:cs="仿宋"/>
          <w:b/>
          <w:bCs/>
          <w:sz w:val="24"/>
          <w:szCs w:val="24"/>
        </w:rPr>
      </w:pPr>
      <w:r>
        <w:rPr>
          <w:rFonts w:hint="eastAsia" w:ascii="仿宋" w:hAnsi="仿宋" w:eastAsia="仿宋" w:cs="仿宋"/>
          <w:b/>
          <w:bCs/>
          <w:sz w:val="24"/>
          <w:szCs w:val="24"/>
        </w:rPr>
        <w:t>1.3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（3）落实政府采购政策需满足的资格要求：1）节能产品强制采购；2）节能产品、环境标志产品优先采购；3）政府采购促进中小企业发展；4）政府采购项目支持监狱企业发展；5）政府采购信用担保。</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本项目将对小型和微型企业(含监狱企业、残疾人福利性单位)产品的价格给予6%的扣除，用扣除后的价格参与评审打分。</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若投标商和小微企业产品/服务制造商均符合小微企业条件，并且提供了《中小企业声明函》，则其评标价格=投标商报价中属于小型和微型企业产品的价格部分*(100%-6%) +投标商报价中不属于小型和微型企业产品的价格部分;否则，其评标价=投标报价。</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bookmarkStart w:id="411" w:name="_GoBack"/>
      <w:bookmarkEnd w:id="411"/>
      <w:r>
        <w:rPr>
          <w:rFonts w:hint="eastAsia" w:ascii="仿宋" w:hAnsi="仿宋" w:eastAsia="仿宋" w:cs="仿宋"/>
          <w:spacing w:val="-2"/>
          <w:sz w:val="24"/>
          <w:szCs w:val="24"/>
        </w:rPr>
        <w:t>。</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0"/>
        <w:ind w:firstLine="480"/>
        <w:rPr>
          <w:rFonts w:ascii="仿宋" w:hAnsi="仿宋" w:eastAsia="仿宋" w:cs="仿宋"/>
          <w:kern w:val="2"/>
          <w:sz w:val="24"/>
          <w:szCs w:val="24"/>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Pr>
        <w:pStyle w:val="30"/>
        <w:ind w:firstLine="480"/>
        <w:rPr>
          <w:rFonts w:ascii="仿宋" w:hAnsi="仿宋" w:eastAsia="仿宋" w:cs="仿宋"/>
          <w:sz w:val="24"/>
          <w:szCs w:val="24"/>
        </w:rPr>
      </w:pPr>
    </w:p>
    <w:p>
      <w:pPr>
        <w:spacing w:line="440" w:lineRule="exact"/>
        <w:jc w:val="center"/>
        <w:outlineLvl w:val="0"/>
        <w:rPr>
          <w:rFonts w:hint="eastAsia" w:ascii="宋体" w:hAnsi="宋体"/>
          <w:b/>
          <w:sz w:val="36"/>
        </w:rPr>
      </w:pPr>
      <w:bookmarkStart w:id="195" w:name="_Toc11540"/>
      <w:bookmarkStart w:id="196" w:name="_Toc19200"/>
      <w:bookmarkStart w:id="197" w:name="_Toc4794"/>
      <w:bookmarkStart w:id="198" w:name="_Toc22312"/>
      <w:bookmarkStart w:id="199" w:name="_Toc22808"/>
      <w:bookmarkStart w:id="200" w:name="_Toc2370"/>
      <w:bookmarkStart w:id="201" w:name="_Toc28461"/>
      <w:bookmarkStart w:id="202" w:name="_Toc5628"/>
      <w:bookmarkStart w:id="203" w:name="_Toc31341"/>
      <w:bookmarkStart w:id="204" w:name="_Toc32113"/>
      <w:bookmarkStart w:id="205" w:name="_Toc25927"/>
      <w:bookmarkStart w:id="206" w:name="_Toc26813"/>
      <w:bookmarkStart w:id="207" w:name="_Toc20341"/>
      <w:bookmarkStart w:id="208" w:name="_Toc5078"/>
      <w:bookmarkStart w:id="209" w:name="_Toc3030"/>
    </w:p>
    <w:p>
      <w:pPr>
        <w:spacing w:line="440" w:lineRule="exact"/>
        <w:jc w:val="center"/>
        <w:outlineLvl w:val="0"/>
        <w:rPr>
          <w:rFonts w:hint="eastAsia" w:ascii="宋体" w:hAnsi="宋体"/>
          <w:b/>
          <w:sz w:val="36"/>
        </w:rPr>
      </w:pPr>
    </w:p>
    <w:p>
      <w:pPr>
        <w:spacing w:line="440" w:lineRule="exact"/>
        <w:jc w:val="center"/>
        <w:outlineLvl w:val="0"/>
        <w:rPr>
          <w:rFonts w:hint="eastAsia" w:ascii="宋体" w:hAnsi="宋体"/>
          <w:b/>
          <w:sz w:val="36"/>
        </w:rPr>
      </w:pPr>
    </w:p>
    <w:p>
      <w:pPr>
        <w:spacing w:line="440" w:lineRule="exact"/>
        <w:jc w:val="center"/>
        <w:outlineLvl w:val="0"/>
        <w:rPr>
          <w:rFonts w:hint="eastAsia" w:ascii="宋体" w:hAnsi="宋体"/>
          <w:b/>
          <w:sz w:val="36"/>
        </w:rPr>
      </w:pPr>
      <w:r>
        <w:rPr>
          <w:rFonts w:hint="eastAsia" w:ascii="宋体" w:hAnsi="宋体"/>
          <w:b/>
          <w:sz w:val="36"/>
        </w:rPr>
        <w:t>评</w:t>
      </w:r>
      <w:r>
        <w:rPr>
          <w:rFonts w:ascii="宋体" w:hAnsi="宋体"/>
          <w:b/>
          <w:sz w:val="36"/>
        </w:rPr>
        <w:t xml:space="preserve"> </w:t>
      </w:r>
      <w:r>
        <w:rPr>
          <w:rFonts w:hint="eastAsia" w:ascii="宋体" w:hAnsi="宋体"/>
          <w:b/>
          <w:sz w:val="36"/>
        </w:rPr>
        <w:t>分</w:t>
      </w:r>
      <w:r>
        <w:rPr>
          <w:rFonts w:ascii="宋体" w:hAnsi="宋体"/>
          <w:b/>
          <w:sz w:val="36"/>
        </w:rPr>
        <w:t xml:space="preserve"> </w:t>
      </w:r>
      <w:r>
        <w:rPr>
          <w:rFonts w:hint="eastAsia" w:ascii="宋体" w:hAnsi="宋体"/>
          <w:b/>
          <w:sz w:val="36"/>
        </w:rPr>
        <w:t>标</w:t>
      </w:r>
      <w:r>
        <w:rPr>
          <w:rFonts w:ascii="宋体" w:hAnsi="宋体"/>
          <w:b/>
          <w:sz w:val="36"/>
        </w:rPr>
        <w:t xml:space="preserve"> </w:t>
      </w:r>
      <w:r>
        <w:rPr>
          <w:rFonts w:hint="eastAsia" w:ascii="宋体" w:hAnsi="宋体"/>
          <w:b/>
          <w:sz w:val="36"/>
        </w:rPr>
        <w:t>准</w:t>
      </w:r>
    </w:p>
    <w:tbl>
      <w:tblPr>
        <w:tblStyle w:val="24"/>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79"/>
        <w:gridCol w:w="975"/>
        <w:gridCol w:w="7113"/>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blHeader/>
        </w:trPr>
        <w:tc>
          <w:tcPr>
            <w:tcW w:w="1557" w:type="dxa"/>
            <w:gridSpan w:val="2"/>
            <w:noWrap w:val="0"/>
            <w:vAlign w:val="center"/>
          </w:tcPr>
          <w:p>
            <w:pPr>
              <w:spacing w:line="0" w:lineRule="atLeast"/>
              <w:jc w:val="center"/>
              <w:rPr>
                <w:rFonts w:hint="eastAsia" w:ascii="宋体" w:hAnsi="宋体" w:eastAsia="宋体" w:cs="宋体"/>
                <w:b/>
                <w:sz w:val="20"/>
                <w:szCs w:val="20"/>
              </w:rPr>
            </w:pPr>
            <w:r>
              <w:rPr>
                <w:rFonts w:hint="eastAsia" w:ascii="宋体" w:hAnsi="宋体" w:eastAsia="宋体" w:cs="宋体"/>
                <w:b/>
                <w:sz w:val="20"/>
                <w:szCs w:val="20"/>
              </w:rPr>
              <w:t>项目</w:t>
            </w:r>
          </w:p>
        </w:tc>
        <w:tc>
          <w:tcPr>
            <w:tcW w:w="975" w:type="dxa"/>
            <w:noWrap w:val="0"/>
            <w:vAlign w:val="center"/>
          </w:tcPr>
          <w:p>
            <w:pPr>
              <w:spacing w:line="0" w:lineRule="atLeast"/>
              <w:jc w:val="center"/>
              <w:rPr>
                <w:rFonts w:hint="eastAsia" w:ascii="宋体" w:hAnsi="宋体" w:eastAsia="宋体" w:cs="宋体"/>
                <w:b/>
                <w:sz w:val="20"/>
                <w:szCs w:val="20"/>
              </w:rPr>
            </w:pPr>
            <w:r>
              <w:rPr>
                <w:rFonts w:hint="eastAsia" w:ascii="宋体" w:hAnsi="宋体" w:eastAsia="宋体" w:cs="宋体"/>
                <w:b/>
                <w:sz w:val="20"/>
                <w:szCs w:val="20"/>
              </w:rPr>
              <w:t>分值</w:t>
            </w:r>
          </w:p>
        </w:tc>
        <w:tc>
          <w:tcPr>
            <w:tcW w:w="7113" w:type="dxa"/>
            <w:noWrap w:val="0"/>
            <w:vAlign w:val="center"/>
          </w:tcPr>
          <w:p>
            <w:pPr>
              <w:spacing w:line="0" w:lineRule="atLeast"/>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评审内容及规则</w:t>
            </w:r>
          </w:p>
        </w:tc>
        <w:tc>
          <w:tcPr>
            <w:tcW w:w="780" w:type="dxa"/>
            <w:noWrap w:val="0"/>
            <w:vAlign w:val="center"/>
          </w:tcPr>
          <w:p>
            <w:pPr>
              <w:spacing w:line="0" w:lineRule="atLeast"/>
              <w:jc w:val="center"/>
              <w:rPr>
                <w:rFonts w:hint="eastAsia" w:ascii="宋体" w:hAnsi="宋体" w:eastAsia="宋体" w:cs="宋体"/>
                <w:b/>
                <w:sz w:val="20"/>
                <w:szCs w:val="20"/>
              </w:rPr>
            </w:pPr>
            <w:r>
              <w:rPr>
                <w:rFonts w:hint="eastAsia" w:ascii="宋体" w:hAnsi="宋体" w:eastAsia="宋体" w:cs="宋体"/>
                <w:b/>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8" w:type="dxa"/>
            <w:noWrap w:val="0"/>
            <w:vAlign w:val="top"/>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经</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济</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部</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color w:val="000000"/>
                <w:sz w:val="20"/>
                <w:szCs w:val="20"/>
                <w:lang w:val="en-US" w:eastAsia="zh-CN"/>
              </w:rPr>
              <w:t>分</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价格</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val="en-US" w:eastAsia="zh-CN"/>
              </w:rPr>
            </w:pPr>
            <w:r>
              <w:rPr>
                <w:rFonts w:hint="eastAsia" w:ascii="宋体" w:hAnsi="宋体" w:eastAsia="宋体" w:cs="宋体"/>
                <w:color w:val="000000"/>
                <w:sz w:val="20"/>
                <w:szCs w:val="20"/>
                <w:lang w:val="en-US" w:eastAsia="zh-CN"/>
              </w:rPr>
              <w:t>（</w:t>
            </w:r>
            <w:r>
              <w:rPr>
                <w:rFonts w:hint="eastAsia" w:ascii="宋体" w:hAnsi="宋体" w:cs="宋体"/>
                <w:color w:val="000000"/>
                <w:sz w:val="20"/>
                <w:szCs w:val="20"/>
                <w:lang w:val="en-US" w:eastAsia="zh-CN"/>
              </w:rPr>
              <w:t>进口</w:t>
            </w:r>
            <w:r>
              <w:rPr>
                <w:rFonts w:hint="eastAsia" w:ascii="宋体" w:hAnsi="宋体" w:eastAsia="宋体" w:cs="宋体"/>
                <w:color w:val="000000"/>
                <w:sz w:val="20"/>
                <w:szCs w:val="20"/>
                <w:lang w:val="en-US" w:eastAsia="zh-CN"/>
              </w:rPr>
              <w:t>）30</w:t>
            </w:r>
          </w:p>
        </w:tc>
        <w:tc>
          <w:tcPr>
            <w:tcW w:w="711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shd w:val="clear" w:color="auto" w:fill="FFFFFF"/>
              </w:rPr>
            </w:pPr>
            <w:r>
              <w:rPr>
                <w:rFonts w:hint="eastAsia" w:ascii="宋体" w:hAnsi="宋体" w:eastAsia="宋体" w:cs="宋体"/>
                <w:color w:val="000000"/>
                <w:sz w:val="20"/>
                <w:szCs w:val="20"/>
                <w:shd w:val="clear" w:color="auto" w:fill="FFFFFF"/>
              </w:rPr>
              <w:t>采用低价优先计算，即满足招标文件要求且投标价格最低的投标报价为评标基准价，其价格得分为满分，其他投标人的价格得分统一按照下列公式计算：价格得分=（评标基准价/投标报价）×30%×100</w:t>
            </w:r>
            <w:r>
              <w:rPr>
                <w:rFonts w:hint="eastAsia" w:ascii="宋体" w:hAnsi="宋体" w:eastAsia="宋体" w:cs="宋体"/>
                <w:color w:val="000000"/>
                <w:sz w:val="20"/>
                <w:szCs w:val="20"/>
                <w:shd w:val="clear" w:color="auto" w:fill="FFFFFF"/>
                <w:lang w:eastAsia="zh-CN"/>
              </w:rPr>
              <w:t>。</w:t>
            </w:r>
          </w:p>
        </w:tc>
        <w:tc>
          <w:tcPr>
            <w:tcW w:w="780" w:type="dxa"/>
            <w:noWrap w:val="0"/>
            <w:vAlign w:val="center"/>
          </w:tcPr>
          <w:p>
            <w:pPr>
              <w:spacing w:line="0" w:lineRule="atLeast"/>
              <w:jc w:val="lef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8"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商务部分</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标书制作</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eastAsia="zh-CN"/>
              </w:rPr>
            </w:pPr>
            <w:r>
              <w:rPr>
                <w:rFonts w:hint="eastAsia" w:ascii="宋体" w:hAnsi="宋体" w:eastAsia="宋体" w:cs="宋体"/>
                <w:b/>
                <w:bCs/>
                <w:sz w:val="20"/>
                <w:szCs w:val="20"/>
                <w:lang w:val="en-US" w:eastAsia="zh-CN"/>
              </w:rPr>
              <w:t>2</w:t>
            </w:r>
          </w:p>
        </w:tc>
        <w:tc>
          <w:tcPr>
            <w:tcW w:w="711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0"/>
                <w:szCs w:val="20"/>
                <w:lang w:val="en-US"/>
              </w:rPr>
            </w:pPr>
            <w:r>
              <w:rPr>
                <w:rFonts w:hint="eastAsia" w:ascii="宋体" w:hAnsi="宋体" w:eastAsia="宋体" w:cs="宋体"/>
                <w:sz w:val="20"/>
                <w:szCs w:val="20"/>
              </w:rPr>
              <w:t>投标文件</w:t>
            </w:r>
            <w:r>
              <w:rPr>
                <w:rFonts w:hint="eastAsia" w:ascii="宋体" w:hAnsi="宋体" w:eastAsia="宋体" w:cs="宋体"/>
                <w:sz w:val="20"/>
                <w:szCs w:val="20"/>
                <w:lang w:val="en-US" w:eastAsia="zh-CN"/>
              </w:rPr>
              <w:t>目录、页码指向准确，不准确的每项扣0.2</w:t>
            </w:r>
            <w:r>
              <w:rPr>
                <w:rFonts w:hint="eastAsia" w:ascii="宋体" w:hAnsi="宋体" w:eastAsia="宋体" w:cs="宋体"/>
                <w:sz w:val="20"/>
                <w:szCs w:val="20"/>
              </w:rPr>
              <w:t>分，</w:t>
            </w:r>
            <w:r>
              <w:rPr>
                <w:rFonts w:hint="eastAsia" w:ascii="宋体" w:hAnsi="宋体" w:eastAsia="宋体" w:cs="宋体"/>
                <w:sz w:val="20"/>
                <w:szCs w:val="20"/>
                <w:lang w:val="en-US" w:eastAsia="zh-CN"/>
              </w:rPr>
              <w:t>参数偏离表中表述不准确的每项扣0.3分。参数偏离表表述与技术检验报告等印证资料不一致的一项扣1分。扣完为止。</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7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相关</w:t>
            </w:r>
            <w:r>
              <w:rPr>
                <w:rFonts w:hint="eastAsia" w:ascii="宋体" w:hAnsi="宋体" w:eastAsia="宋体" w:cs="宋体"/>
                <w:color w:val="000000"/>
                <w:sz w:val="20"/>
                <w:szCs w:val="20"/>
              </w:rPr>
              <w:t>业绩</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3</w:t>
            </w:r>
          </w:p>
        </w:tc>
        <w:tc>
          <w:tcPr>
            <w:tcW w:w="711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0"/>
                <w:szCs w:val="20"/>
                <w:lang w:eastAsia="zh-CN"/>
              </w:rPr>
            </w:pPr>
            <w:r>
              <w:rPr>
                <w:rFonts w:hint="eastAsia" w:ascii="宋体" w:hAnsi="宋体" w:eastAsia="宋体" w:cs="宋体"/>
                <w:color w:val="000000"/>
                <w:sz w:val="20"/>
                <w:szCs w:val="20"/>
                <w:shd w:val="clear" w:color="auto" w:fill="FFFFFF"/>
              </w:rPr>
              <w:t>提供</w:t>
            </w:r>
            <w:r>
              <w:rPr>
                <w:rFonts w:hint="eastAsia" w:ascii="宋体" w:hAnsi="宋体" w:eastAsia="宋体" w:cs="宋体"/>
                <w:color w:val="000000"/>
                <w:sz w:val="20"/>
                <w:szCs w:val="20"/>
                <w:shd w:val="clear" w:color="auto" w:fill="FFFFFF"/>
                <w:lang w:val="en-US" w:eastAsia="zh-CN"/>
              </w:rPr>
              <w:t>投标方</w:t>
            </w:r>
            <w:r>
              <w:rPr>
                <w:rFonts w:hint="eastAsia" w:ascii="宋体" w:hAnsi="宋体" w:eastAsia="宋体" w:cs="宋体"/>
                <w:color w:val="000000"/>
                <w:sz w:val="20"/>
                <w:szCs w:val="20"/>
                <w:shd w:val="clear" w:color="auto" w:fill="FFFFFF"/>
              </w:rPr>
              <w:t>近三年（201</w:t>
            </w:r>
            <w:r>
              <w:rPr>
                <w:rFonts w:hint="eastAsia" w:ascii="宋体" w:hAnsi="宋体" w:eastAsia="宋体" w:cs="宋体"/>
                <w:color w:val="000000"/>
                <w:sz w:val="20"/>
                <w:szCs w:val="20"/>
                <w:shd w:val="clear" w:color="auto" w:fill="FFFFFF"/>
                <w:lang w:val="en-US" w:eastAsia="zh-CN"/>
              </w:rPr>
              <w:t>8</w:t>
            </w:r>
            <w:r>
              <w:rPr>
                <w:rFonts w:hint="eastAsia" w:ascii="宋体" w:hAnsi="宋体" w:eastAsia="宋体" w:cs="宋体"/>
                <w:color w:val="000000"/>
                <w:sz w:val="20"/>
                <w:szCs w:val="20"/>
                <w:shd w:val="clear" w:color="auto" w:fill="FFFFFF"/>
              </w:rPr>
              <w:t>年至今）</w:t>
            </w:r>
            <w:r>
              <w:rPr>
                <w:rFonts w:hint="eastAsia" w:ascii="宋体" w:hAnsi="宋体" w:eastAsia="宋体" w:cs="宋体"/>
                <w:color w:val="000000"/>
                <w:sz w:val="20"/>
                <w:szCs w:val="20"/>
                <w:shd w:val="clear" w:color="auto" w:fill="FFFFFF"/>
                <w:lang w:val="en-US" w:eastAsia="zh-CN"/>
              </w:rPr>
              <w:t>投标供应商同类或类似产品</w:t>
            </w:r>
            <w:r>
              <w:rPr>
                <w:rFonts w:hint="eastAsia" w:ascii="宋体" w:hAnsi="宋体" w:eastAsia="宋体" w:cs="宋体"/>
                <w:color w:val="000000"/>
                <w:sz w:val="20"/>
                <w:szCs w:val="20"/>
                <w:shd w:val="clear" w:color="auto" w:fill="FFFFFF"/>
              </w:rPr>
              <w:t>的销售业绩，每提供一项得1分，不提供不得分，最高得3分</w:t>
            </w:r>
            <w:r>
              <w:rPr>
                <w:rFonts w:hint="eastAsia" w:ascii="宋体" w:hAnsi="宋体" w:eastAsia="宋体" w:cs="宋体"/>
                <w:color w:val="000000"/>
                <w:sz w:val="20"/>
                <w:szCs w:val="20"/>
                <w:shd w:val="clear" w:color="auto" w:fill="FFFFFF"/>
                <w:lang w:eastAsia="zh-CN"/>
              </w:rPr>
              <w:t>。（</w:t>
            </w:r>
            <w:r>
              <w:rPr>
                <w:rFonts w:hint="eastAsia" w:ascii="宋体" w:hAnsi="宋体" w:eastAsia="宋体" w:cs="宋体"/>
                <w:sz w:val="20"/>
                <w:szCs w:val="20"/>
              </w:rPr>
              <w:t>评审时</w:t>
            </w:r>
            <w:r>
              <w:rPr>
                <w:rFonts w:hint="eastAsia" w:ascii="宋体" w:hAnsi="宋体" w:eastAsia="宋体" w:cs="宋体"/>
                <w:color w:val="000000"/>
                <w:sz w:val="20"/>
                <w:szCs w:val="20"/>
                <w:shd w:val="clear" w:color="auto" w:fill="FFFFFF"/>
                <w:lang w:val="en-US" w:eastAsia="zh-CN"/>
              </w:rPr>
              <w:t>以标书中</w:t>
            </w:r>
            <w:r>
              <w:rPr>
                <w:rFonts w:hint="eastAsia" w:ascii="宋体" w:hAnsi="宋体" w:eastAsia="宋体" w:cs="宋体"/>
                <w:color w:val="000000"/>
                <w:sz w:val="20"/>
                <w:szCs w:val="20"/>
                <w:shd w:val="clear" w:color="auto" w:fill="FFFFFF"/>
              </w:rPr>
              <w:t>提供中标通知书或成交通知书或合同</w:t>
            </w:r>
            <w:r>
              <w:rPr>
                <w:rFonts w:hint="eastAsia" w:ascii="宋体" w:hAnsi="宋体" w:eastAsia="宋体" w:cs="宋体"/>
                <w:color w:val="000000"/>
                <w:sz w:val="20"/>
                <w:szCs w:val="20"/>
                <w:shd w:val="clear" w:color="auto" w:fill="FFFFFF"/>
                <w:lang w:val="en-US" w:eastAsia="zh-CN"/>
              </w:rPr>
              <w:t>为准，复印件、扫描件等需要加盖公章认定</w:t>
            </w:r>
            <w:r>
              <w:rPr>
                <w:rFonts w:hint="eastAsia" w:ascii="宋体" w:hAnsi="宋体" w:eastAsia="宋体" w:cs="宋体"/>
                <w:sz w:val="20"/>
                <w:szCs w:val="20"/>
              </w:rPr>
              <w:t>）</w:t>
            </w:r>
            <w:r>
              <w:rPr>
                <w:rFonts w:hint="eastAsia" w:ascii="宋体" w:hAnsi="宋体" w:eastAsia="宋体" w:cs="宋体"/>
                <w:sz w:val="20"/>
                <w:szCs w:val="20"/>
                <w:lang w:eastAsia="zh-CN"/>
              </w:rPr>
              <w:t>。</w:t>
            </w:r>
          </w:p>
        </w:tc>
        <w:tc>
          <w:tcPr>
            <w:tcW w:w="780" w:type="dxa"/>
            <w:noWrap w:val="0"/>
            <w:vAlign w:val="center"/>
          </w:tcPr>
          <w:p>
            <w:pPr>
              <w:spacing w:line="0" w:lineRule="atLeast"/>
              <w:rPr>
                <w:rFonts w:hint="eastAsia" w:ascii="宋体" w:hAnsi="宋体" w:eastAsia="宋体" w:cs="宋体"/>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67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p>
        </w:tc>
        <w:tc>
          <w:tcPr>
            <w:tcW w:w="879"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服务能力</w:t>
            </w:r>
          </w:p>
        </w:tc>
        <w:tc>
          <w:tcPr>
            <w:tcW w:w="97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lang w:val="en-US" w:eastAsia="zh-CN"/>
              </w:rPr>
              <w:t>7</w:t>
            </w:r>
          </w:p>
        </w:tc>
        <w:tc>
          <w:tcPr>
            <w:tcW w:w="7113" w:type="dxa"/>
            <w:tcBorders>
              <w:bottom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1、售后服务体系完备并在本地有技术支持机构（须提供相关证明或证明材料原件或复印件加盖公章）.在昌吉相邻地州有售后服务机构的得1分、在昌吉本地有服务机构的得2分。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2、提供常用备品备件和消耗品明细及价格清单得1分，不提供不得分。备件、消耗品价格最低者得2分、次低者得1分，其他不得分。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color w:val="000000"/>
                <w:sz w:val="20"/>
                <w:szCs w:val="20"/>
                <w:shd w:val="clear" w:color="auto" w:fill="FFFFFF"/>
                <w:lang w:val="en-US" w:eastAsia="zh-CN"/>
              </w:rPr>
            </w:pPr>
            <w:r>
              <w:rPr>
                <w:rFonts w:hint="eastAsia" w:ascii="宋体" w:hAnsi="宋体" w:eastAsia="宋体" w:cs="宋体"/>
                <w:color w:val="000000"/>
                <w:sz w:val="20"/>
                <w:szCs w:val="20"/>
                <w:shd w:val="clear" w:color="auto" w:fill="FFFFFF"/>
                <w:lang w:val="en-US" w:eastAsia="zh-CN"/>
              </w:rPr>
              <w:t>3、</w:t>
            </w:r>
            <w:r>
              <w:rPr>
                <w:rFonts w:hint="eastAsia" w:ascii="宋体" w:hAnsi="宋体" w:eastAsia="宋体" w:cs="宋体"/>
                <w:color w:val="000000"/>
                <w:sz w:val="20"/>
                <w:szCs w:val="20"/>
                <w:shd w:val="clear" w:color="auto" w:fill="FFFFFF"/>
              </w:rPr>
              <w:t>响应招标文件中售后服务要求</w:t>
            </w:r>
            <w:r>
              <w:rPr>
                <w:rFonts w:hint="eastAsia" w:ascii="宋体" w:hAnsi="宋体" w:eastAsia="宋体" w:cs="宋体"/>
                <w:sz w:val="20"/>
                <w:szCs w:val="20"/>
              </w:rPr>
              <w:t>提供</w:t>
            </w:r>
            <w:r>
              <w:rPr>
                <w:rFonts w:hint="eastAsia" w:ascii="宋体" w:hAnsi="宋体" w:eastAsia="宋体" w:cs="宋体"/>
                <w:sz w:val="20"/>
                <w:szCs w:val="20"/>
                <w:lang w:val="en-US" w:eastAsia="zh-CN"/>
              </w:rPr>
              <w:t>好的</w:t>
            </w:r>
            <w:r>
              <w:rPr>
                <w:rFonts w:hint="eastAsia" w:ascii="宋体" w:hAnsi="宋体" w:eastAsia="宋体" w:cs="宋体"/>
                <w:sz w:val="20"/>
                <w:szCs w:val="20"/>
              </w:rPr>
              <w:t>合理的维护维修服务方案的</w:t>
            </w:r>
            <w:r>
              <w:rPr>
                <w:rFonts w:hint="eastAsia" w:ascii="宋体" w:hAnsi="宋体" w:eastAsia="宋体" w:cs="宋体"/>
                <w:sz w:val="20"/>
                <w:szCs w:val="20"/>
                <w:lang w:val="en-US" w:eastAsia="zh-CN"/>
              </w:rPr>
              <w:t>(质保期，维修响应时间等)</w:t>
            </w:r>
            <w:r>
              <w:rPr>
                <w:rFonts w:hint="eastAsia" w:ascii="宋体" w:hAnsi="宋体" w:eastAsia="宋体" w:cs="宋体"/>
                <w:sz w:val="20"/>
                <w:szCs w:val="20"/>
              </w:rPr>
              <w:t>，得</w:t>
            </w:r>
            <w:r>
              <w:rPr>
                <w:rFonts w:hint="eastAsia" w:ascii="宋体" w:hAnsi="宋体" w:eastAsia="宋体" w:cs="宋体"/>
                <w:sz w:val="20"/>
                <w:szCs w:val="20"/>
                <w:lang w:val="en-US" w:eastAsia="zh-CN"/>
              </w:rPr>
              <w:t>2</w:t>
            </w:r>
            <w:r>
              <w:rPr>
                <w:rFonts w:hint="eastAsia" w:ascii="宋体" w:hAnsi="宋体" w:eastAsia="宋体" w:cs="宋体"/>
                <w:sz w:val="20"/>
                <w:szCs w:val="20"/>
              </w:rPr>
              <w:t>分</w:t>
            </w:r>
            <w:r>
              <w:rPr>
                <w:rFonts w:hint="eastAsia" w:ascii="宋体" w:hAnsi="宋体" w:eastAsia="宋体" w:cs="宋体"/>
                <w:sz w:val="20"/>
                <w:szCs w:val="20"/>
                <w:lang w:eastAsia="zh-CN"/>
              </w:rPr>
              <w:t>，</w:t>
            </w:r>
            <w:r>
              <w:rPr>
                <w:rFonts w:hint="eastAsia" w:ascii="宋体" w:hAnsi="宋体" w:eastAsia="宋体" w:cs="宋体"/>
                <w:sz w:val="20"/>
                <w:szCs w:val="20"/>
              </w:rPr>
              <w:t>一般的得1分，不提供不得分。（评审时以提供</w:t>
            </w:r>
            <w:r>
              <w:rPr>
                <w:rFonts w:hint="eastAsia" w:ascii="宋体" w:hAnsi="宋体" w:eastAsia="宋体" w:cs="宋体"/>
                <w:sz w:val="20"/>
                <w:szCs w:val="20"/>
                <w:lang w:val="en-US" w:eastAsia="zh-CN"/>
              </w:rPr>
              <w:t>服务承诺及</w:t>
            </w:r>
            <w:r>
              <w:rPr>
                <w:rFonts w:hint="eastAsia" w:ascii="宋体" w:hAnsi="宋体" w:eastAsia="宋体" w:cs="宋体"/>
                <w:sz w:val="20"/>
                <w:szCs w:val="20"/>
              </w:rPr>
              <w:t>相关证明材料为准）。</w:t>
            </w:r>
            <w:r>
              <w:rPr>
                <w:rFonts w:hint="eastAsia" w:ascii="宋体" w:hAnsi="宋体" w:eastAsia="宋体" w:cs="宋体"/>
                <w:sz w:val="20"/>
                <w:szCs w:val="20"/>
                <w:lang w:val="en-US" w:eastAsia="zh-CN"/>
              </w:rPr>
              <w:t>质保服务期每增加一年加1分，质保期低于招标要求的，每少一年扣2分。</w:t>
            </w:r>
          </w:p>
        </w:tc>
        <w:tc>
          <w:tcPr>
            <w:tcW w:w="780" w:type="dxa"/>
            <w:noWrap w:val="0"/>
            <w:vAlign w:val="center"/>
          </w:tcPr>
          <w:p>
            <w:pPr>
              <w:spacing w:line="0" w:lineRule="atLeast"/>
              <w:rPr>
                <w:rFonts w:hint="eastAsia" w:ascii="宋体" w:hAnsi="宋体" w:eastAsia="宋体" w:cs="宋体"/>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78"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技术部分</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p>
        </w:tc>
        <w:tc>
          <w:tcPr>
            <w:tcW w:w="879" w:type="dxa"/>
            <w:tcBorders>
              <w:top w:val="single" w:color="auto" w:sz="4" w:space="0"/>
              <w:left w:val="single" w:color="auto" w:sz="4" w:space="0"/>
              <w:bottom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b w:val="0"/>
                <w:color w:val="000000"/>
                <w:kern w:val="2"/>
                <w:sz w:val="20"/>
                <w:szCs w:val="20"/>
                <w:lang w:val="en-US" w:eastAsia="zh-CN"/>
              </w:rPr>
            </w:pPr>
            <w:r>
              <w:rPr>
                <w:rFonts w:hint="eastAsia" w:ascii="宋体" w:hAnsi="宋体" w:eastAsia="宋体" w:cs="宋体"/>
                <w:b w:val="0"/>
                <w:color w:val="000000"/>
                <w:kern w:val="2"/>
                <w:sz w:val="20"/>
                <w:szCs w:val="20"/>
                <w:lang w:val="en-US" w:eastAsia="zh-CN"/>
              </w:rPr>
              <w:t>核心参数</w:t>
            </w:r>
          </w:p>
          <w:p>
            <w:pPr>
              <w:pStyle w:val="6"/>
              <w:keepNext w:val="0"/>
              <w:keepLines w:val="0"/>
              <w:pageBreakBefore w:val="0"/>
              <w:widowControl/>
              <w:kinsoku/>
              <w:wordWrap/>
              <w:overflowPunct/>
              <w:topLinePunct w:val="0"/>
              <w:autoSpaceDE/>
              <w:autoSpaceDN/>
              <w:bidi w:val="0"/>
              <w:adjustRightInd/>
              <w:snapToGrid/>
              <w:spacing w:before="0" w:after="0" w:line="3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(★号）</w:t>
            </w:r>
          </w:p>
        </w:tc>
        <w:tc>
          <w:tcPr>
            <w:tcW w:w="975"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进口</w:t>
            </w:r>
            <w:r>
              <w:rPr>
                <w:rFonts w:hint="eastAsia" w:ascii="宋体" w:hAnsi="宋体" w:eastAsia="宋体" w:cs="宋体"/>
                <w:b w:val="0"/>
                <w:bCs w:val="0"/>
                <w:sz w:val="20"/>
                <w:szCs w:val="20"/>
                <w:lang w:val="en-US" w:eastAsia="zh-CN"/>
              </w:rPr>
              <w:t>）10</w:t>
            </w:r>
          </w:p>
        </w:tc>
        <w:tc>
          <w:tcPr>
            <w:tcW w:w="7113"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sz w:val="20"/>
                <w:szCs w:val="20"/>
                <w:lang w:val="en-US" w:eastAsia="zh-CN"/>
              </w:rPr>
            </w:pPr>
            <w:r>
              <w:rPr>
                <w:rFonts w:hint="eastAsia" w:ascii="宋体" w:hAnsi="宋体" w:eastAsia="宋体" w:cs="宋体"/>
                <w:color w:val="000000"/>
                <w:sz w:val="20"/>
                <w:szCs w:val="20"/>
                <w:shd w:val="clear" w:color="auto" w:fill="FFFFFF"/>
                <w:lang w:val="en-US" w:eastAsia="zh-CN"/>
              </w:rPr>
              <w:t>关键（核心）技术</w:t>
            </w:r>
            <w:r>
              <w:rPr>
                <w:rFonts w:hint="eastAsia" w:ascii="宋体" w:hAnsi="宋体" w:eastAsia="宋体" w:cs="宋体"/>
                <w:color w:val="000000"/>
                <w:sz w:val="20"/>
                <w:szCs w:val="20"/>
                <w:shd w:val="clear" w:color="auto" w:fill="FFFFFF"/>
              </w:rPr>
              <w:t>参数</w:t>
            </w:r>
            <w:r>
              <w:rPr>
                <w:rFonts w:hint="eastAsia" w:ascii="宋体" w:hAnsi="宋体" w:eastAsia="宋体" w:cs="宋体"/>
                <w:color w:val="000000"/>
                <w:sz w:val="20"/>
                <w:szCs w:val="20"/>
                <w:shd w:val="clear" w:color="auto" w:fill="FFFFFF"/>
                <w:lang w:val="en-US" w:eastAsia="zh-CN"/>
              </w:rPr>
              <w:t>满足得分，不满足不得</w:t>
            </w:r>
            <w:r>
              <w:rPr>
                <w:rFonts w:hint="eastAsia" w:ascii="宋体" w:hAnsi="宋体" w:eastAsia="宋体" w:cs="宋体"/>
                <w:color w:val="000000"/>
                <w:sz w:val="20"/>
                <w:szCs w:val="20"/>
                <w:shd w:val="clear" w:color="auto" w:fill="FFFFFF"/>
              </w:rPr>
              <w:t>分</w:t>
            </w:r>
            <w:r>
              <w:rPr>
                <w:rFonts w:hint="eastAsia" w:ascii="宋体" w:hAnsi="宋体" w:eastAsia="宋体" w:cs="宋体"/>
                <w:color w:val="000000"/>
                <w:sz w:val="20"/>
                <w:szCs w:val="20"/>
                <w:shd w:val="clear" w:color="auto" w:fill="FFFFFF"/>
                <w:lang w:eastAsia="zh-CN"/>
              </w:rPr>
              <w:t>。</w:t>
            </w:r>
            <w:r>
              <w:rPr>
                <w:rFonts w:hint="eastAsia" w:ascii="宋体" w:hAnsi="宋体" w:eastAsia="宋体" w:cs="宋体"/>
                <w:color w:val="000000"/>
                <w:sz w:val="20"/>
                <w:szCs w:val="20"/>
                <w:shd w:val="clear" w:color="auto" w:fill="FFFFFF"/>
                <w:lang w:val="en-US" w:eastAsia="zh-CN"/>
              </w:rPr>
              <w:t>参数满足，正偏离一项加2分，最多加分不超过10分。</w:t>
            </w:r>
          </w:p>
        </w:tc>
        <w:tc>
          <w:tcPr>
            <w:tcW w:w="780" w:type="dxa"/>
            <w:tcBorders>
              <w:left w:val="single" w:color="auto" w:sz="4" w:space="0"/>
            </w:tcBorders>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8"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p>
        </w:tc>
        <w:tc>
          <w:tcPr>
            <w:tcW w:w="879"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其他</w:t>
            </w:r>
            <w:r>
              <w:rPr>
                <w:rFonts w:hint="eastAsia" w:ascii="宋体" w:hAnsi="宋体" w:eastAsia="宋体" w:cs="宋体"/>
                <w:color w:val="000000"/>
                <w:sz w:val="20"/>
                <w:szCs w:val="20"/>
              </w:rPr>
              <w:t>技术指标</w:t>
            </w:r>
          </w:p>
        </w:tc>
        <w:tc>
          <w:tcPr>
            <w:tcW w:w="975"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w:t>
            </w:r>
            <w:r>
              <w:rPr>
                <w:rFonts w:hint="eastAsia" w:ascii="宋体" w:hAnsi="宋体" w:cs="宋体"/>
                <w:b w:val="0"/>
                <w:bCs w:val="0"/>
                <w:sz w:val="20"/>
                <w:szCs w:val="20"/>
                <w:lang w:val="en-US" w:eastAsia="zh-CN"/>
              </w:rPr>
              <w:t>进口</w:t>
            </w:r>
            <w:r>
              <w:rPr>
                <w:rFonts w:hint="eastAsia" w:ascii="宋体" w:hAnsi="宋体" w:eastAsia="宋体" w:cs="宋体"/>
                <w:b w:val="0"/>
                <w:bCs w:val="0"/>
                <w:sz w:val="20"/>
                <w:szCs w:val="20"/>
                <w:lang w:val="en-US" w:eastAsia="zh-CN"/>
              </w:rPr>
              <w:t>)</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45</w:t>
            </w:r>
          </w:p>
        </w:tc>
        <w:tc>
          <w:tcPr>
            <w:tcW w:w="7113" w:type="dxa"/>
            <w:tcBorders>
              <w:top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1、投标产品的一般技术参数全部满足招标文件要求的得45分；由专家评审，逐条确定是否达到技术参数要求，参数一项负偏离扣2分扣完为止。</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2、投标产品鼓励先进性，所提供产品技术指标和性能（实质性）高于招标文件中技术参数和性能的可加分，每一项正偏离加1分，最多加分不超过8分。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（评审时所提供产品的技术参数以参数偏离表对应技术检验报告或第三方技术支持资料为准，未提供或者不能验证相关参数的，视为负偏离，按上述第一条标准扣分）</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rPr>
            </w:pP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安装技术水平</w:t>
            </w:r>
          </w:p>
        </w:tc>
        <w:tc>
          <w:tcPr>
            <w:tcW w:w="9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eastAsia="zh-CN"/>
              </w:rPr>
            </w:pPr>
            <w:r>
              <w:rPr>
                <w:rFonts w:hint="eastAsia" w:ascii="宋体" w:hAnsi="宋体" w:eastAsia="宋体" w:cs="宋体"/>
                <w:b/>
                <w:bCs/>
                <w:sz w:val="20"/>
                <w:szCs w:val="20"/>
                <w:lang w:val="en-US" w:eastAsia="zh-CN"/>
              </w:rPr>
              <w:t>3</w:t>
            </w:r>
          </w:p>
        </w:tc>
        <w:tc>
          <w:tcPr>
            <w:tcW w:w="71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疆内有专门联络员（名单、缴纳社保证明）得0.5分，</w:t>
            </w:r>
            <w:r>
              <w:rPr>
                <w:rFonts w:hint="eastAsia" w:ascii="宋体" w:hAnsi="宋体" w:eastAsia="宋体" w:cs="宋体"/>
                <w:sz w:val="20"/>
                <w:szCs w:val="20"/>
              </w:rPr>
              <w:t>配备</w:t>
            </w:r>
            <w:r>
              <w:rPr>
                <w:rFonts w:hint="eastAsia" w:ascii="宋体" w:hAnsi="宋体" w:eastAsia="宋体" w:cs="宋体"/>
                <w:sz w:val="20"/>
                <w:szCs w:val="20"/>
                <w:lang w:val="en-US" w:eastAsia="zh-CN"/>
              </w:rPr>
              <w:t>2名以上</w:t>
            </w:r>
            <w:r>
              <w:rPr>
                <w:rFonts w:hint="eastAsia" w:ascii="宋体" w:hAnsi="宋体" w:eastAsia="宋体" w:cs="宋体"/>
                <w:sz w:val="20"/>
                <w:szCs w:val="20"/>
              </w:rPr>
              <w:t>安装技术人员，</w:t>
            </w:r>
            <w:r>
              <w:rPr>
                <w:rFonts w:hint="eastAsia" w:ascii="宋体" w:hAnsi="宋体" w:eastAsia="宋体" w:cs="宋体"/>
                <w:sz w:val="20"/>
                <w:szCs w:val="20"/>
                <w:lang w:val="en-US" w:eastAsia="zh-CN"/>
              </w:rPr>
              <w:t>得1分。设备安装</w:t>
            </w:r>
            <w:r>
              <w:rPr>
                <w:rFonts w:hint="eastAsia" w:ascii="宋体" w:hAnsi="宋体" w:eastAsia="宋体" w:cs="宋体"/>
                <w:sz w:val="20"/>
                <w:szCs w:val="20"/>
              </w:rPr>
              <w:t>技术</w:t>
            </w:r>
            <w:r>
              <w:rPr>
                <w:rFonts w:hint="eastAsia" w:ascii="宋体" w:hAnsi="宋体" w:eastAsia="宋体" w:cs="宋体"/>
                <w:sz w:val="20"/>
                <w:szCs w:val="20"/>
                <w:lang w:val="en-US" w:eastAsia="zh-CN"/>
              </w:rPr>
              <w:t>负责人有相应安装</w:t>
            </w:r>
            <w:r>
              <w:rPr>
                <w:rFonts w:hint="eastAsia" w:ascii="宋体" w:hAnsi="宋体" w:eastAsia="宋体" w:cs="宋体"/>
                <w:sz w:val="20"/>
                <w:szCs w:val="20"/>
              </w:rPr>
              <w:t>经验</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提供业绩证明</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得0.5分</w:t>
            </w:r>
            <w:r>
              <w:rPr>
                <w:rFonts w:hint="eastAsia" w:ascii="宋体" w:hAnsi="宋体" w:eastAsia="宋体" w:cs="宋体"/>
                <w:sz w:val="20"/>
                <w:szCs w:val="20"/>
                <w:lang w:eastAsia="zh-CN"/>
              </w:rPr>
              <w:t>。</w:t>
            </w:r>
            <w:r>
              <w:rPr>
                <w:rFonts w:hint="eastAsia" w:ascii="宋体" w:hAnsi="宋体" w:eastAsia="宋体" w:cs="宋体"/>
                <w:sz w:val="20"/>
                <w:szCs w:val="20"/>
              </w:rPr>
              <w:t>对仪器设备的安装调试和使用操作</w:t>
            </w:r>
            <w:r>
              <w:rPr>
                <w:rFonts w:hint="eastAsia" w:ascii="宋体" w:hAnsi="宋体" w:eastAsia="宋体" w:cs="宋体"/>
                <w:sz w:val="20"/>
                <w:szCs w:val="20"/>
                <w:lang w:val="en-US" w:eastAsia="zh-CN"/>
              </w:rPr>
              <w:t>有</w:t>
            </w:r>
            <w:r>
              <w:rPr>
                <w:rFonts w:hint="eastAsia" w:ascii="宋体" w:hAnsi="宋体" w:eastAsia="宋体" w:cs="宋体"/>
                <w:sz w:val="20"/>
                <w:szCs w:val="20"/>
              </w:rPr>
              <w:t>培训方案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方案合理得1分。一般得0.5分</w:t>
            </w:r>
            <w:r>
              <w:rPr>
                <w:rFonts w:hint="eastAsia" w:ascii="宋体" w:hAnsi="宋体" w:eastAsia="宋体" w:cs="宋体"/>
                <w:sz w:val="20"/>
                <w:szCs w:val="20"/>
              </w:rPr>
              <w:t>。</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7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其他</w:t>
            </w:r>
          </w:p>
        </w:tc>
        <w:tc>
          <w:tcPr>
            <w:tcW w:w="1854"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eastAsia="zh-CN"/>
              </w:rPr>
              <w:t>加减分项</w:t>
            </w:r>
          </w:p>
        </w:tc>
        <w:tc>
          <w:tcPr>
            <w:tcW w:w="711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1、对中小微企业（含监狱企业、残疾人福利企业）产品的价格给予6%的扣除，用扣除后的价格参与评标。（</w:t>
            </w:r>
            <w:r>
              <w:rPr>
                <w:rFonts w:hint="eastAsia" w:ascii="宋体" w:hAnsi="宋体" w:cs="宋体"/>
                <w:sz w:val="20"/>
                <w:szCs w:val="20"/>
                <w:lang w:val="en-US" w:eastAsia="zh-CN"/>
              </w:rPr>
              <w:t>需提供</w:t>
            </w:r>
            <w:r>
              <w:rPr>
                <w:rFonts w:hint="eastAsia" w:ascii="宋体" w:hAnsi="宋体" w:eastAsia="宋体" w:cs="宋体"/>
                <w:sz w:val="20"/>
                <w:szCs w:val="20"/>
                <w:lang w:val="en-US" w:eastAsia="zh-CN"/>
              </w:rPr>
              <w:t>“中小企业声明函”和提供相关证明材料</w:t>
            </w:r>
            <w:r>
              <w:rPr>
                <w:rFonts w:hint="eastAsia" w:ascii="宋体" w:hAnsi="宋体" w:cs="宋体"/>
                <w:sz w:val="20"/>
                <w:szCs w:val="20"/>
                <w:lang w:val="en-US" w:eastAsia="zh-CN"/>
              </w:rPr>
              <w:t>。</w:t>
            </w:r>
            <w:r>
              <w:rPr>
                <w:rFonts w:hint="eastAsia" w:ascii="宋体" w:hAnsi="宋体" w:eastAsia="宋体" w:cs="宋体"/>
                <w:sz w:val="20"/>
                <w:szCs w:val="20"/>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2、按其他规定、不良行为需要加分、减分的。</w:t>
            </w:r>
          </w:p>
        </w:tc>
        <w:tc>
          <w:tcPr>
            <w:tcW w:w="780" w:type="dxa"/>
            <w:noWrap w:val="0"/>
            <w:vAlign w:val="center"/>
          </w:tcPr>
          <w:p>
            <w:pPr>
              <w:spacing w:line="0" w:lineRule="atLeas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32" w:type="dxa"/>
            <w:gridSpan w:val="3"/>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总得分</w:t>
            </w:r>
          </w:p>
        </w:tc>
        <w:tc>
          <w:tcPr>
            <w:tcW w:w="711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Cs/>
                <w:kern w:val="0"/>
                <w:sz w:val="20"/>
                <w:szCs w:val="20"/>
              </w:rPr>
            </w:pPr>
            <w:r>
              <w:rPr>
                <w:rFonts w:hint="eastAsia" w:ascii="宋体" w:hAnsi="宋体" w:eastAsia="宋体" w:cs="宋体"/>
                <w:color w:val="000000"/>
                <w:sz w:val="20"/>
                <w:szCs w:val="20"/>
              </w:rPr>
              <w:t>技术参数中标注“*”或“★”号的为</w:t>
            </w:r>
            <w:r>
              <w:rPr>
                <w:rFonts w:hint="eastAsia" w:ascii="宋体" w:hAnsi="宋体" w:eastAsia="宋体" w:cs="宋体"/>
                <w:color w:val="000000"/>
                <w:sz w:val="20"/>
                <w:szCs w:val="20"/>
                <w:lang w:val="en-US" w:eastAsia="zh-CN"/>
              </w:rPr>
              <w:t>关键（核心）</w:t>
            </w:r>
            <w:r>
              <w:rPr>
                <w:rFonts w:hint="eastAsia" w:ascii="宋体" w:hAnsi="宋体" w:eastAsia="宋体" w:cs="宋体"/>
                <w:color w:val="000000"/>
                <w:sz w:val="20"/>
                <w:szCs w:val="20"/>
              </w:rPr>
              <w:t>参数</w:t>
            </w:r>
          </w:p>
        </w:tc>
        <w:tc>
          <w:tcPr>
            <w:tcW w:w="780" w:type="dxa"/>
            <w:noWrap w:val="0"/>
            <w:vAlign w:val="center"/>
          </w:tcPr>
          <w:p>
            <w:pPr>
              <w:spacing w:line="0" w:lineRule="atLeast"/>
              <w:rPr>
                <w:rFonts w:hint="eastAsia" w:ascii="宋体" w:hAnsi="宋体" w:eastAsia="宋体" w:cs="宋体"/>
                <w:sz w:val="20"/>
                <w:szCs w:val="20"/>
              </w:rPr>
            </w:pPr>
          </w:p>
        </w:tc>
      </w:tr>
    </w:tbl>
    <w:p>
      <w:pPr>
        <w:ind w:firstLine="474" w:firstLineChars="200"/>
        <w:rPr>
          <w:rFonts w:hint="eastAsia" w:ascii="仿宋" w:hAnsi="仿宋" w:eastAsia="仿宋" w:cs="仿宋"/>
          <w:b/>
          <w:spacing w:val="-2"/>
          <w:sz w:val="24"/>
          <w:szCs w:val="24"/>
        </w:rPr>
      </w:pPr>
    </w:p>
    <w:p>
      <w:pPr>
        <w:rPr>
          <w:rFonts w:hint="eastAsia" w:ascii="仿宋" w:hAnsi="仿宋" w:eastAsia="仿宋" w:cs="仿宋"/>
          <w:b/>
          <w:spacing w:val="-2"/>
          <w:sz w:val="24"/>
          <w:szCs w:val="24"/>
        </w:rPr>
      </w:pPr>
      <w:r>
        <w:rPr>
          <w:rFonts w:hint="eastAsia" w:ascii="仿宋" w:hAnsi="仿宋" w:eastAsia="仿宋" w:cs="仿宋"/>
          <w:b/>
          <w:bCs/>
          <w:sz w:val="24"/>
          <w:szCs w:val="24"/>
        </w:rPr>
        <w:t>评分指标分配（按100分计算，报价得分占30分，技术和商务得分占70分）</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rPr>
          <w:rFonts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p>
    <w:p>
      <w:pPr>
        <w:jc w:val="both"/>
        <w:rPr>
          <w:rFonts w:hint="eastAsia" w:ascii="仿宋_GB2312" w:hAnsi="宋体" w:eastAsia="仿宋_GB2312" w:cs="Times New Roman"/>
          <w:b/>
          <w:sz w:val="32"/>
          <w:szCs w:val="32"/>
        </w:rPr>
      </w:pPr>
      <w:bookmarkStart w:id="210" w:name="_Toc25010"/>
      <w:bookmarkStart w:id="211" w:name="_Toc4916"/>
      <w:bookmarkStart w:id="212" w:name="_Toc10274"/>
      <w:bookmarkStart w:id="213" w:name="_Toc25873"/>
      <w:bookmarkStart w:id="214" w:name="_Toc16601"/>
      <w:bookmarkStart w:id="215" w:name="_Toc16214"/>
      <w:bookmarkStart w:id="216" w:name="_Toc32107"/>
      <w:bookmarkStart w:id="217" w:name="_Toc17820"/>
      <w:bookmarkStart w:id="218" w:name="_Toc17675"/>
      <w:bookmarkStart w:id="219" w:name="_Toc26613"/>
      <w:bookmarkStart w:id="220" w:name="_Toc8330"/>
      <w:bookmarkStart w:id="221" w:name="_Toc21777"/>
      <w:bookmarkStart w:id="222" w:name="_Toc27758"/>
      <w:bookmarkStart w:id="223" w:name="_Toc28069"/>
      <w:bookmarkStart w:id="224" w:name="_Toc5002"/>
    </w:p>
    <w:p>
      <w:pPr>
        <w:jc w:val="center"/>
        <w:rPr>
          <w:rFonts w:hint="eastAsia" w:ascii="仿宋_GB2312" w:hAnsi="宋体" w:eastAsia="仿宋_GB2312" w:cs="Times New Roman"/>
          <w:b/>
          <w:sz w:val="32"/>
          <w:szCs w:val="32"/>
        </w:rPr>
      </w:pPr>
    </w:p>
    <w:p>
      <w:pPr>
        <w:jc w:val="center"/>
        <w:rPr>
          <w:rFonts w:ascii="仿宋_GB2312" w:hAnsi="宋体" w:eastAsia="仿宋_GB2312" w:cs="Times New Roman"/>
          <w:b/>
          <w:sz w:val="18"/>
          <w:szCs w:val="18"/>
        </w:rPr>
      </w:pPr>
      <w:r>
        <w:rPr>
          <w:rFonts w:hint="eastAsia" w:ascii="仿宋_GB2312" w:hAnsi="宋体" w:eastAsia="仿宋_GB2312" w:cs="Times New Roman"/>
          <w:b/>
          <w:sz w:val="32"/>
          <w:szCs w:val="32"/>
        </w:rPr>
        <w:t>第三章 无效投标及废标</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hint="eastAsia" w:ascii="宋体" w:hAnsi="宋体" w:cs="Times New Roman"/>
          <w:b/>
          <w:sz w:val="36"/>
          <w:szCs w:val="36"/>
        </w:rPr>
      </w:pPr>
      <w:r>
        <w:rPr>
          <w:rFonts w:hint="eastAsia" w:ascii="仿宋_GB2312" w:hAnsi="宋体" w:eastAsia="仿宋_GB2312" w:cs="Times New Roman"/>
          <w:sz w:val="24"/>
          <w:szCs w:val="20"/>
        </w:rPr>
        <w:t>(3)因重大变故，采购任务取消的。</w:t>
      </w:r>
      <w:bookmarkStart w:id="225" w:name="_Toc24166"/>
      <w:bookmarkStart w:id="226" w:name="_Toc24361"/>
      <w:bookmarkStart w:id="227" w:name="_Toc28963"/>
      <w:bookmarkStart w:id="228" w:name="_Toc20557"/>
      <w:bookmarkStart w:id="229" w:name="_Toc9991"/>
      <w:bookmarkStart w:id="230" w:name="_Toc12063"/>
      <w:bookmarkStart w:id="231" w:name="_Toc19746"/>
      <w:bookmarkStart w:id="232" w:name="_Toc9812"/>
      <w:bookmarkStart w:id="233" w:name="_Toc2991"/>
      <w:bookmarkStart w:id="234" w:name="_Toc20299"/>
      <w:bookmarkStart w:id="235" w:name="_Toc30979"/>
      <w:bookmarkStart w:id="236" w:name="_Toc30692"/>
      <w:bookmarkStart w:id="237" w:name="_Toc8279"/>
      <w:bookmarkStart w:id="238" w:name="_Toc9258"/>
      <w:bookmarkStart w:id="239" w:name="_Toc672"/>
    </w:p>
    <w:p>
      <w:pPr>
        <w:tabs>
          <w:tab w:val="left" w:pos="1260"/>
        </w:tabs>
        <w:jc w:val="center"/>
        <w:rPr>
          <w:rFonts w:ascii="宋体" w:hAnsi="宋体" w:cs="Times New Roman"/>
          <w:b/>
          <w:sz w:val="36"/>
          <w:szCs w:val="36"/>
        </w:rPr>
      </w:pPr>
      <w:r>
        <w:rPr>
          <w:rFonts w:hint="eastAsia" w:ascii="宋体" w:hAnsi="宋体" w:cs="Times New Roman"/>
          <w:b/>
          <w:sz w:val="36"/>
          <w:szCs w:val="36"/>
        </w:rPr>
        <w:t>第六部分  招标结束后注意事项</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snapToGrid w:val="0"/>
        <w:jc w:val="center"/>
        <w:outlineLvl w:val="1"/>
        <w:rPr>
          <w:rFonts w:ascii="仿宋_GB2312" w:hAnsi="宋体" w:eastAsia="仿宋_GB2312" w:cs="Times New Roman"/>
          <w:b/>
          <w:bCs/>
          <w:sz w:val="32"/>
          <w:szCs w:val="32"/>
        </w:rPr>
      </w:pPr>
      <w:bookmarkStart w:id="240" w:name="_Toc28495"/>
      <w:bookmarkStart w:id="241" w:name="_Toc11066"/>
      <w:bookmarkStart w:id="242" w:name="_Toc15299"/>
      <w:bookmarkStart w:id="243" w:name="_Toc13509"/>
      <w:bookmarkStart w:id="244" w:name="_Toc3688"/>
      <w:bookmarkStart w:id="245" w:name="_Toc5215"/>
      <w:bookmarkStart w:id="246" w:name="_Toc25057"/>
      <w:bookmarkStart w:id="247" w:name="_Toc25464"/>
      <w:bookmarkStart w:id="248" w:name="_Toc22243"/>
      <w:bookmarkStart w:id="249" w:name="_Toc22904"/>
      <w:bookmarkStart w:id="250" w:name="_Toc7368"/>
      <w:bookmarkStart w:id="251" w:name="_Toc518"/>
      <w:bookmarkStart w:id="252" w:name="_Toc7360"/>
      <w:bookmarkStart w:id="253" w:name="_Toc11531"/>
      <w:bookmarkStart w:id="254" w:name="_Toc3444"/>
      <w:bookmarkStart w:id="255" w:name="_Toc25297"/>
      <w:bookmarkStart w:id="256" w:name="_Toc2328"/>
      <w:bookmarkStart w:id="257" w:name="_Toc13503"/>
      <w:bookmarkStart w:id="258" w:name="_Toc19351"/>
      <w:r>
        <w:rPr>
          <w:rFonts w:hint="eastAsia" w:ascii="仿宋_GB2312" w:hAnsi="宋体" w:eastAsia="仿宋_GB2312" w:cs="Times New Roman"/>
          <w:b/>
          <w:bCs/>
          <w:sz w:val="32"/>
          <w:szCs w:val="32"/>
        </w:rPr>
        <w:t>第一章 质疑</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hint="eastAsia" w:ascii="仿宋_GB2312" w:hAnsi="宋体" w:eastAsia="仿宋_GB2312" w:cs="Times New Roman"/>
          <w:b/>
          <w:bCs/>
          <w:sz w:val="32"/>
          <w:szCs w:val="32"/>
        </w:rPr>
        <w:t>处理</w:t>
      </w:r>
      <w:bookmarkEnd w:id="255"/>
      <w:bookmarkEnd w:id="256"/>
      <w:bookmarkEnd w:id="257"/>
      <w:bookmarkEnd w:id="258"/>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p>
    <w:p>
      <w:pPr>
        <w:jc w:val="center"/>
        <w:rPr>
          <w:rFonts w:ascii="仿宋_GB2312" w:hAnsi="Arial" w:eastAsia="仿宋_GB2312" w:cs="Times New Roman"/>
          <w:b/>
          <w:sz w:val="32"/>
          <w:szCs w:val="32"/>
        </w:rPr>
      </w:pPr>
      <w:bookmarkStart w:id="259" w:name="_Toc13635"/>
      <w:bookmarkStart w:id="260" w:name="_Toc7296"/>
      <w:bookmarkStart w:id="261" w:name="_Toc3081"/>
      <w:bookmarkStart w:id="262" w:name="_Toc9693"/>
      <w:bookmarkStart w:id="263" w:name="_Toc21063"/>
      <w:bookmarkStart w:id="264" w:name="_Toc17178"/>
      <w:bookmarkStart w:id="265" w:name="_Toc6419"/>
      <w:bookmarkStart w:id="266" w:name="_Toc10561"/>
      <w:bookmarkStart w:id="267" w:name="_Toc2726"/>
      <w:bookmarkStart w:id="268" w:name="_Toc15644"/>
      <w:bookmarkStart w:id="269" w:name="_Toc31205"/>
      <w:bookmarkStart w:id="270" w:name="_Toc14025"/>
      <w:bookmarkStart w:id="271" w:name="_Toc6206"/>
      <w:bookmarkStart w:id="272" w:name="_Toc11909"/>
      <w:bookmarkStart w:id="273" w:name="_Toc18572"/>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59"/>
      <w:bookmarkEnd w:id="260"/>
      <w:bookmarkEnd w:id="261"/>
      <w:bookmarkEnd w:id="262"/>
      <w:bookmarkEnd w:id="263"/>
      <w:bookmarkEnd w:id="264"/>
      <w:bookmarkEnd w:id="265"/>
      <w:bookmarkEnd w:id="266"/>
      <w:bookmarkEnd w:id="267"/>
      <w:bookmarkEnd w:id="268"/>
      <w:bookmarkEnd w:id="269"/>
      <w:bookmarkEnd w:id="270"/>
      <w:r>
        <w:rPr>
          <w:rFonts w:hint="eastAsia" w:ascii="仿宋_GB2312" w:hAnsi="Arial" w:eastAsia="仿宋_GB2312" w:cs="Times New Roman"/>
          <w:b/>
          <w:sz w:val="32"/>
          <w:szCs w:val="32"/>
        </w:rPr>
        <w:t>签订合同</w:t>
      </w:r>
      <w:bookmarkEnd w:id="271"/>
      <w:bookmarkEnd w:id="272"/>
      <w:bookmarkEnd w:id="273"/>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rFonts w:ascii="仿宋" w:hAnsi="仿宋" w:eastAsia="仿宋" w:cs="仿宋"/>
          <w:sz w:val="24"/>
          <w:szCs w:val="20"/>
        </w:rPr>
      </w:pPr>
      <w:r>
        <w:rPr>
          <w:rFonts w:hint="eastAsia" w:ascii="仿宋" w:hAnsi="仿宋" w:eastAsia="仿宋" w:cs="仿宋"/>
          <w:spacing w:val="-2"/>
          <w:sz w:val="24"/>
          <w:szCs w:val="24"/>
        </w:rPr>
        <w:t>1.5采购合同的履行、违约责任和解决争议的方法等适用《中华人民共和国合同法》。</w:t>
      </w:r>
    </w:p>
    <w:p>
      <w:pPr>
        <w:jc w:val="center"/>
        <w:rPr>
          <w:rFonts w:hint="eastAsia" w:ascii="仿宋_GB2312" w:hAnsi="Arial" w:eastAsia="仿宋_GB2312" w:cs="Times New Roman"/>
          <w:b/>
          <w:sz w:val="32"/>
          <w:szCs w:val="32"/>
        </w:rPr>
      </w:pPr>
      <w:bookmarkStart w:id="274" w:name="_Toc22825"/>
      <w:bookmarkStart w:id="275" w:name="_Toc22702"/>
      <w:bookmarkStart w:id="276" w:name="_Toc6145"/>
      <w:bookmarkStart w:id="277" w:name="_Toc15131"/>
      <w:bookmarkStart w:id="278" w:name="_Toc28748"/>
      <w:bookmarkStart w:id="279" w:name="_Toc1711"/>
      <w:bookmarkStart w:id="280" w:name="_Toc8133"/>
      <w:bookmarkStart w:id="281" w:name="_Toc17272"/>
      <w:bookmarkStart w:id="282" w:name="_Toc11969"/>
      <w:bookmarkStart w:id="283" w:name="_Toc9026"/>
      <w:bookmarkStart w:id="284" w:name="_Toc7288"/>
      <w:bookmarkStart w:id="285" w:name="_Toc9472"/>
      <w:bookmarkStart w:id="286" w:name="_Toc1978"/>
      <w:bookmarkStart w:id="287" w:name="_Toc19626"/>
      <w:bookmarkStart w:id="288" w:name="_Toc20692"/>
    </w:p>
    <w:p>
      <w:pPr>
        <w:pStyle w:val="8"/>
        <w:rPr>
          <w:rFonts w:hint="eastAsia"/>
        </w:rPr>
      </w:pPr>
    </w:p>
    <w:p>
      <w:pPr>
        <w:pStyle w:val="9"/>
        <w:rPr>
          <w:rFonts w:hint="eastAsia"/>
        </w:rPr>
      </w:pP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ascii="仿宋" w:hAnsi="仿宋" w:eastAsia="仿宋" w:cs="仿宋"/>
          <w:b/>
          <w:sz w:val="24"/>
          <w:szCs w:val="24"/>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rPr>
          <w:rFonts w:ascii="宋体" w:hAnsi="宋体" w:cs="Times New Roman"/>
          <w:b/>
          <w:sz w:val="36"/>
          <w:szCs w:val="36"/>
        </w:rPr>
      </w:pPr>
    </w:p>
    <w:p>
      <w:pPr>
        <w:pStyle w:val="5"/>
        <w:ind w:left="0" w:leftChars="0" w:firstLine="0" w:firstLineChars="0"/>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jc w:val="left"/>
        <w:rPr>
          <w:rFonts w:hint="eastAsia" w:ascii="宋体" w:hAnsi="宋体" w:cs="Times New Roman"/>
          <w:b/>
          <w:sz w:val="36"/>
          <w:szCs w:val="36"/>
        </w:rPr>
      </w:pPr>
    </w:p>
    <w:p>
      <w:pPr>
        <w:tabs>
          <w:tab w:val="left" w:pos="4108"/>
          <w:tab w:val="center" w:pos="5975"/>
        </w:tabs>
        <w:ind w:firstLine="3253" w:firstLineChars="900"/>
        <w:jc w:val="left"/>
        <w:rPr>
          <w:rFonts w:hint="eastAsia" w:ascii="宋体" w:hAnsi="宋体" w:cs="Times New Roman"/>
          <w:b/>
          <w:sz w:val="36"/>
          <w:szCs w:val="36"/>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89" w:name="_Toc26804"/>
      <w:bookmarkStart w:id="290" w:name="_Toc16635"/>
      <w:bookmarkStart w:id="291" w:name="_Toc30069"/>
      <w:bookmarkStart w:id="292" w:name="_Toc25343"/>
      <w:bookmarkStart w:id="293" w:name="_Toc24890_WPSOffice_Level2"/>
      <w:bookmarkStart w:id="294" w:name="_Toc14785"/>
      <w:bookmarkStart w:id="295" w:name="_Toc8188"/>
      <w:bookmarkStart w:id="296" w:name="_Toc7456"/>
      <w:bookmarkStart w:id="297" w:name="_Toc6388"/>
      <w:bookmarkStart w:id="298" w:name="_Toc14108"/>
      <w:bookmarkStart w:id="299" w:name="_Toc8272"/>
      <w:bookmarkStart w:id="300" w:name="_Toc28586"/>
      <w:bookmarkStart w:id="301" w:name="_Toc20900"/>
      <w:bookmarkStart w:id="302" w:name="_Toc17075"/>
      <w:bookmarkStart w:id="303" w:name="_Toc10287"/>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Pr>
        <w:pStyle w:val="30"/>
        <w:ind w:firstLine="420"/>
      </w:pPr>
    </w:p>
    <w:p/>
    <w:p>
      <w:pPr>
        <w:pStyle w:val="30"/>
        <w:ind w:firstLine="420"/>
      </w:pPr>
    </w:p>
    <w:p/>
    <w:p>
      <w:pPr>
        <w:pStyle w:val="14"/>
      </w:pPr>
    </w:p>
    <w:p>
      <w:pPr>
        <w:pStyle w:val="14"/>
      </w:pPr>
    </w:p>
    <w:p>
      <w:pPr>
        <w:pStyle w:val="14"/>
      </w:pPr>
    </w:p>
    <w:p>
      <w:pPr>
        <w:pStyle w:val="14"/>
      </w:pPr>
    </w:p>
    <w:p>
      <w:pPr>
        <w:pStyle w:val="14"/>
      </w:pPr>
    </w:p>
    <w:p>
      <w:pPr>
        <w:pStyle w:val="14"/>
      </w:pPr>
    </w:p>
    <w:p>
      <w:pPr>
        <w:pStyle w:val="14"/>
      </w:pPr>
    </w:p>
    <w:p/>
    <w:p>
      <w:pPr>
        <w:pStyle w:val="2"/>
      </w:pPr>
    </w:p>
    <w:p/>
    <w:p>
      <w:pPr>
        <w:keepNext/>
        <w:keepLines/>
        <w:spacing w:line="380" w:lineRule="exact"/>
        <w:jc w:val="center"/>
        <w:outlineLvl w:val="1"/>
        <w:rPr>
          <w:rFonts w:ascii="仿宋" w:hAnsi="仿宋" w:eastAsia="仿宋" w:cs="仿宋"/>
          <w:b/>
          <w:bCs/>
          <w:sz w:val="32"/>
          <w:szCs w:val="32"/>
        </w:rPr>
      </w:pPr>
      <w:bookmarkStart w:id="304" w:name="_Toc9111"/>
      <w:r>
        <w:rPr>
          <w:rFonts w:hint="eastAsia" w:ascii="仿宋" w:hAnsi="仿宋" w:eastAsia="仿宋" w:cs="仿宋"/>
          <w:b/>
          <w:bCs/>
          <w:sz w:val="32"/>
          <w:szCs w:val="32"/>
        </w:rPr>
        <w:t>（一）投 标 函</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昌吉州州人民医院（本项目由昌吉回族自治州卫生健康委员会组织部门集中采购）</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提交下述</w:t>
      </w:r>
      <w:r>
        <w:rPr>
          <w:rFonts w:hint="eastAsia" w:ascii="仿宋" w:hAnsi="仿宋" w:eastAsia="仿宋" w:cs="Times New Roman"/>
          <w:b/>
          <w:bCs/>
          <w:sz w:val="24"/>
          <w:szCs w:val="20"/>
        </w:rPr>
        <w:t>投标文件正本</w:t>
      </w:r>
      <w:r>
        <w:rPr>
          <w:rFonts w:hint="eastAsia" w:ascii="仿宋" w:hAnsi="仿宋" w:eastAsia="仿宋" w:cs="Times New Roman"/>
          <w:b/>
          <w:bCs/>
          <w:sz w:val="24"/>
          <w:szCs w:val="20"/>
          <w:u w:val="single"/>
        </w:rPr>
        <w:t>1</w:t>
      </w:r>
      <w:r>
        <w:rPr>
          <w:rFonts w:hint="eastAsia" w:ascii="仿宋" w:hAnsi="仿宋" w:eastAsia="仿宋" w:cs="Times New Roman"/>
          <w:b/>
          <w:bCs/>
          <w:sz w:val="24"/>
          <w:szCs w:val="20"/>
        </w:rPr>
        <w:t>份、副本</w:t>
      </w:r>
      <w:r>
        <w:rPr>
          <w:rFonts w:hint="eastAsia" w:ascii="仿宋" w:hAnsi="仿宋" w:eastAsia="仿宋" w:cs="Times New Roman"/>
          <w:b/>
          <w:bCs/>
          <w:sz w:val="24"/>
          <w:szCs w:val="20"/>
          <w:u w:val="single"/>
          <w:lang w:val="en-US" w:eastAsia="zh-CN"/>
        </w:rPr>
        <w:t>2</w:t>
      </w:r>
      <w:r>
        <w:rPr>
          <w:rFonts w:hint="eastAsia" w:ascii="仿宋" w:hAnsi="仿宋" w:eastAsia="仿宋" w:cs="Times New Roman"/>
          <w:b/>
          <w:bCs/>
          <w:sz w:val="24"/>
          <w:szCs w:val="20"/>
        </w:rPr>
        <w:t>份</w:t>
      </w:r>
      <w:r>
        <w:rPr>
          <w:rFonts w:hint="eastAsia" w:ascii="仿宋" w:hAnsi="仿宋" w:eastAsia="仿宋" w:cs="Times New Roman"/>
          <w:sz w:val="24"/>
          <w:szCs w:val="20"/>
        </w:rPr>
        <w:t>。</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8"/>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pStyle w:val="8"/>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昌吉州州人民医院（本项目由昌吉回族自治州卫生健康委员会组织部门集中采购）</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305" w:name="_Toc17429"/>
      <w:bookmarkStart w:id="306" w:name="_Toc10792"/>
      <w:bookmarkStart w:id="307" w:name="_Toc9032"/>
      <w:bookmarkStart w:id="308" w:name="_Toc28992"/>
      <w:bookmarkStart w:id="309" w:name="_Toc13542"/>
      <w:bookmarkStart w:id="310" w:name="_Toc28959"/>
      <w:bookmarkStart w:id="311" w:name="_Toc1255"/>
      <w:bookmarkStart w:id="312" w:name="_Toc913"/>
      <w:bookmarkStart w:id="313" w:name="_Toc8441"/>
      <w:bookmarkStart w:id="314" w:name="_Toc22678_WPSOffice_Level2"/>
      <w:bookmarkStart w:id="315" w:name="_Toc10673"/>
      <w:bookmarkStart w:id="316" w:name="_Toc6509"/>
      <w:bookmarkStart w:id="317" w:name="_Toc3640"/>
      <w:bookmarkStart w:id="318" w:name="_Toc10815"/>
      <w:bookmarkStart w:id="319" w:name="_Toc17568"/>
      <w:bookmarkStart w:id="320" w:name="_Toc16155"/>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eastAsia="zh-CN"/>
        </w:rPr>
        <w:t>昌吉州州人民医院（本项目由昌吉回族自治州卫生健康委员会组织部门集中采购）</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4"/>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422" w:type="dxa"/>
            <w:vAlign w:val="center"/>
          </w:tcPr>
          <w:p>
            <w:pPr>
              <w:spacing w:line="380" w:lineRule="exact"/>
              <w:jc w:val="center"/>
              <w:outlineLvl w:val="0"/>
              <w:rPr>
                <w:rFonts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spacing w:line="380" w:lineRule="exact"/>
              <w:jc w:val="center"/>
              <w:outlineLvl w:val="0"/>
              <w:rPr>
                <w:rFonts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1"/>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0"/>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pStyle w:val="30"/>
        <w:ind w:firstLine="1205" w:firstLineChars="500"/>
        <w:rPr>
          <w:rFonts w:ascii="仿宋" w:hAnsi="仿宋" w:eastAsia="仿宋"/>
          <w:b/>
          <w:sz w:val="24"/>
          <w:szCs w:val="20"/>
        </w:rPr>
      </w:pPr>
      <w:r>
        <w:rPr>
          <w:rFonts w:hint="eastAsia" w:ascii="仿宋" w:hAnsi="仿宋" w:eastAsia="仿宋"/>
          <w:b/>
          <w:sz w:val="24"/>
          <w:szCs w:val="20"/>
        </w:rPr>
        <w:t>注：被授权人参加采购活动的，可不提供此项证明文件。</w:t>
      </w:r>
    </w:p>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Times New Roman"/>
          <w:szCs w:val="20"/>
        </w:rPr>
      </w:pPr>
      <w:r>
        <w:rPr>
          <w:rFonts w:hint="eastAsia" w:ascii="仿宋" w:hAnsi="仿宋" w:eastAsia="仿宋" w:cs="Times New Roman"/>
          <w:b/>
          <w:sz w:val="24"/>
          <w:szCs w:val="20"/>
        </w:rPr>
        <w:t>注：法定代表人亲自参加采购活动的，可不提供此项证明文件。</w:t>
      </w:r>
    </w:p>
    <w:p>
      <w:pPr>
        <w:spacing w:line="380" w:lineRule="exact"/>
        <w:outlineLvl w:val="0"/>
        <w:rPr>
          <w:rFonts w:ascii="宋体" w:hAnsi="宋体" w:cs="宋体"/>
          <w:b/>
          <w:bCs/>
          <w:sz w:val="28"/>
          <w:szCs w:val="28"/>
        </w:rPr>
      </w:pPr>
      <w:bookmarkStart w:id="321" w:name="_Toc26910"/>
    </w:p>
    <w:p>
      <w:pPr>
        <w:spacing w:line="380" w:lineRule="exact"/>
        <w:jc w:val="center"/>
        <w:outlineLvl w:val="0"/>
        <w:rPr>
          <w:rFonts w:ascii="宋体" w:hAnsi="宋体" w:cs="宋体"/>
          <w:b/>
          <w:bCs/>
          <w:sz w:val="28"/>
          <w:szCs w:val="28"/>
        </w:rPr>
      </w:pP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21"/>
    </w:p>
    <w:tbl>
      <w:tblPr>
        <w:tblStyle w:val="24"/>
        <w:tblW w:w="8620"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27" w:type="dxa"/>
            <w:vAlign w:val="center"/>
          </w:tcPr>
          <w:p>
            <w:pPr>
              <w:spacing w:line="380" w:lineRule="exact"/>
              <w:jc w:val="center"/>
              <w:outlineLvl w:val="0"/>
              <w:rPr>
                <w:rFonts w:ascii="仿宋" w:hAnsi="仿宋" w:eastAsia="仿宋" w:cs="Times New Roman"/>
                <w:b/>
                <w:bCs/>
                <w:sz w:val="28"/>
                <w:szCs w:val="28"/>
              </w:rPr>
            </w:pPr>
            <w:bookmarkStart w:id="322" w:name="_Toc12022"/>
            <w:r>
              <w:rPr>
                <w:rFonts w:hint="eastAsia" w:ascii="仿宋" w:hAnsi="仿宋" w:eastAsia="仿宋" w:cs="Times New Roman"/>
                <w:b/>
                <w:bCs/>
                <w:sz w:val="28"/>
                <w:szCs w:val="28"/>
              </w:rPr>
              <w:t>正面</w:t>
            </w:r>
            <w:bookmarkEnd w:id="322"/>
            <w:r>
              <w:rPr>
                <w:rFonts w:hint="eastAsia" w:ascii="仿宋" w:hAnsi="仿宋" w:eastAsia="仿宋" w:cs="Times New Roman"/>
                <w:b/>
                <w:bCs/>
                <w:sz w:val="28"/>
                <w:szCs w:val="28"/>
              </w:rPr>
              <w:t xml:space="preserve"> </w:t>
            </w:r>
          </w:p>
        </w:tc>
        <w:tc>
          <w:tcPr>
            <w:tcW w:w="4293" w:type="dxa"/>
            <w:vAlign w:val="center"/>
          </w:tcPr>
          <w:p>
            <w:pPr>
              <w:spacing w:line="380" w:lineRule="exact"/>
              <w:jc w:val="center"/>
              <w:outlineLvl w:val="0"/>
              <w:rPr>
                <w:rFonts w:ascii="仿宋" w:hAnsi="仿宋" w:eastAsia="仿宋" w:cs="Times New Roman"/>
                <w:b/>
                <w:bCs/>
                <w:sz w:val="28"/>
                <w:szCs w:val="28"/>
              </w:rPr>
            </w:pPr>
            <w:bookmarkStart w:id="323" w:name="_Toc9509"/>
            <w:r>
              <w:rPr>
                <w:rFonts w:hint="eastAsia" w:ascii="仿宋" w:hAnsi="仿宋" w:eastAsia="仿宋" w:cs="Times New Roman"/>
                <w:b/>
                <w:bCs/>
                <w:sz w:val="28"/>
                <w:szCs w:val="28"/>
              </w:rPr>
              <w:t>背面</w:t>
            </w:r>
            <w:bookmarkEnd w:id="323"/>
            <w:r>
              <w:rPr>
                <w:rFonts w:hint="eastAsia" w:ascii="仿宋" w:hAnsi="仿宋" w:eastAsia="仿宋" w:cs="Times New Roman"/>
                <w:b/>
                <w:bCs/>
                <w:sz w:val="28"/>
                <w:szCs w:val="28"/>
              </w:rPr>
              <w:t xml:space="preserve"> </w:t>
            </w:r>
          </w:p>
        </w:tc>
      </w:tr>
    </w:tbl>
    <w:p>
      <w:pPr>
        <w:spacing w:line="380" w:lineRule="exact"/>
        <w:jc w:val="center"/>
        <w:outlineLvl w:val="0"/>
        <w:rPr>
          <w:rFonts w:ascii="宋体" w:hAnsi="宋体" w:cs="宋体"/>
          <w:b/>
          <w:bCs/>
          <w:sz w:val="28"/>
          <w:szCs w:val="28"/>
        </w:rPr>
      </w:pPr>
      <w:bookmarkStart w:id="324" w:name="_Toc19940"/>
      <w:r>
        <w:rPr>
          <w:rFonts w:hint="eastAsia" w:ascii="宋体" w:hAnsi="宋体" w:cs="宋体"/>
          <w:b/>
          <w:bCs/>
          <w:sz w:val="28"/>
          <w:szCs w:val="28"/>
        </w:rPr>
        <w:t>被授权人身份证复印件</w:t>
      </w:r>
      <w:bookmarkEnd w:id="324"/>
    </w:p>
    <w:tbl>
      <w:tblPr>
        <w:tblStyle w:val="24"/>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15" w:type="dxa"/>
            <w:vAlign w:val="center"/>
          </w:tcPr>
          <w:p>
            <w:pPr>
              <w:spacing w:line="380" w:lineRule="exact"/>
              <w:jc w:val="center"/>
              <w:outlineLvl w:val="0"/>
              <w:rPr>
                <w:rFonts w:ascii="仿宋" w:hAnsi="仿宋" w:eastAsia="仿宋" w:cs="Times New Roman"/>
                <w:b/>
                <w:bCs/>
                <w:sz w:val="28"/>
                <w:szCs w:val="28"/>
              </w:rPr>
            </w:pPr>
            <w:bookmarkStart w:id="325" w:name="_Toc19052"/>
            <w:bookmarkStart w:id="326" w:name="_Toc2380"/>
            <w:bookmarkStart w:id="327" w:name="_Toc31120"/>
            <w:bookmarkStart w:id="328" w:name="_Toc29612"/>
            <w:bookmarkStart w:id="329" w:name="_Toc27024"/>
            <w:bookmarkStart w:id="330" w:name="_Toc14188"/>
            <w:bookmarkStart w:id="331" w:name="_Toc9107"/>
            <w:bookmarkStart w:id="332" w:name="_Toc5285"/>
            <w:bookmarkStart w:id="333" w:name="_Toc27144"/>
            <w:bookmarkStart w:id="334" w:name="_Toc23835"/>
            <w:bookmarkStart w:id="335" w:name="_Toc18894"/>
            <w:bookmarkStart w:id="336" w:name="_Toc21239"/>
            <w:bookmarkStart w:id="337" w:name="_Toc13738_WPSOffice_Level2"/>
            <w:bookmarkStart w:id="338" w:name="_Toc31819"/>
            <w:bookmarkStart w:id="339" w:name="_Toc12866"/>
            <w:bookmarkStart w:id="340" w:name="_Toc17248"/>
            <w:r>
              <w:rPr>
                <w:rFonts w:hint="eastAsia" w:ascii="仿宋" w:hAnsi="仿宋" w:eastAsia="仿宋" w:cs="Times New Roman"/>
                <w:b/>
                <w:bCs/>
                <w:sz w:val="28"/>
                <w:szCs w:val="28"/>
              </w:rPr>
              <w:t>正面</w:t>
            </w:r>
            <w:bookmarkEnd w:id="325"/>
            <w:r>
              <w:rPr>
                <w:rFonts w:hint="eastAsia" w:ascii="仿宋" w:hAnsi="仿宋" w:eastAsia="仿宋" w:cs="Times New Roman"/>
                <w:b/>
                <w:bCs/>
                <w:sz w:val="28"/>
                <w:szCs w:val="28"/>
              </w:rPr>
              <w:t xml:space="preserve"> </w:t>
            </w:r>
          </w:p>
        </w:tc>
        <w:tc>
          <w:tcPr>
            <w:tcW w:w="4292" w:type="dxa"/>
            <w:vAlign w:val="center"/>
          </w:tcPr>
          <w:p>
            <w:pPr>
              <w:spacing w:line="380" w:lineRule="exact"/>
              <w:jc w:val="center"/>
              <w:outlineLvl w:val="0"/>
              <w:rPr>
                <w:rFonts w:ascii="仿宋" w:hAnsi="仿宋" w:eastAsia="仿宋" w:cs="Times New Roman"/>
                <w:b/>
                <w:bCs/>
                <w:sz w:val="28"/>
                <w:szCs w:val="28"/>
              </w:rPr>
            </w:pPr>
            <w:bookmarkStart w:id="341" w:name="_Toc26231"/>
            <w:r>
              <w:rPr>
                <w:rFonts w:hint="eastAsia" w:ascii="仿宋" w:hAnsi="仿宋" w:eastAsia="仿宋" w:cs="Times New Roman"/>
                <w:b/>
                <w:bCs/>
                <w:sz w:val="28"/>
                <w:szCs w:val="28"/>
              </w:rPr>
              <w:t>背面</w:t>
            </w:r>
            <w:bookmarkEnd w:id="341"/>
            <w:r>
              <w:rPr>
                <w:rFonts w:hint="eastAsia" w:ascii="仿宋" w:hAnsi="仿宋" w:eastAsia="仿宋" w:cs="Times New Roman"/>
                <w:b/>
                <w:bCs/>
                <w:sz w:val="28"/>
                <w:szCs w:val="28"/>
              </w:rPr>
              <w:t xml:space="preserve"> </w:t>
            </w:r>
          </w:p>
        </w:tc>
      </w:tr>
    </w:tbl>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pStyle w:val="5"/>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14"/>
        <w:rPr>
          <w:rFonts w:hint="eastAsia" w:ascii="仿宋" w:hAnsi="仿宋" w:eastAsia="仿宋"/>
          <w:b/>
          <w:sz w:val="32"/>
          <w:szCs w:val="32"/>
        </w:rPr>
      </w:pPr>
    </w:p>
    <w:p>
      <w:pPr>
        <w:pStyle w:val="14"/>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4"/>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05" w:type="dxa"/>
            <w:vAlign w:val="center"/>
          </w:tcPr>
          <w:p>
            <w:pPr>
              <w:ind w:firstLine="482"/>
              <w:rPr>
                <w:rFonts w:ascii="仿宋" w:hAnsi="仿宋" w:eastAsia="仿宋" w:cs="仿宋"/>
                <w:sz w:val="24"/>
                <w:szCs w:val="24"/>
              </w:rPr>
            </w:pPr>
          </w:p>
        </w:tc>
        <w:tc>
          <w:tcPr>
            <w:tcW w:w="1581" w:type="dxa"/>
            <w:vAlign w:val="center"/>
          </w:tcPr>
          <w:p>
            <w:pPr>
              <w:ind w:firstLine="482"/>
              <w:rPr>
                <w:rFonts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ind w:firstLine="482"/>
              <w:rPr>
                <w:rFonts w:hint="eastAsia" w:ascii="仿宋" w:hAnsi="仿宋" w:eastAsia="仿宋" w:cs="仿宋"/>
                <w:sz w:val="24"/>
                <w:szCs w:val="24"/>
              </w:rPr>
            </w:pPr>
          </w:p>
        </w:tc>
        <w:tc>
          <w:tcPr>
            <w:tcW w:w="1491" w:type="dxa"/>
            <w:gridSpan w:val="2"/>
            <w:vAlign w:val="center"/>
          </w:tcPr>
          <w:p>
            <w:pPr>
              <w:ind w:firstLine="482"/>
              <w:rPr>
                <w:rFonts w:hint="eastAsia" w:ascii="仿宋" w:hAnsi="仿宋" w:eastAsia="仿宋" w:cs="仿宋"/>
                <w:sz w:val="24"/>
                <w:szCs w:val="24"/>
              </w:rPr>
            </w:pPr>
          </w:p>
        </w:tc>
        <w:tc>
          <w:tcPr>
            <w:tcW w:w="1100" w:type="dxa"/>
            <w:gridSpan w:val="2"/>
            <w:vAlign w:val="center"/>
          </w:tcPr>
          <w:p>
            <w:pPr>
              <w:ind w:firstLine="482"/>
              <w:rPr>
                <w:rFonts w:hint="eastAsia" w:ascii="仿宋" w:hAnsi="仿宋" w:eastAsia="仿宋" w:cs="仿宋"/>
                <w:sz w:val="24"/>
                <w:szCs w:val="24"/>
              </w:rPr>
            </w:pPr>
          </w:p>
        </w:tc>
        <w:tc>
          <w:tcPr>
            <w:tcW w:w="1685" w:type="dxa"/>
            <w:gridSpan w:val="2"/>
            <w:vAlign w:val="center"/>
          </w:tcPr>
          <w:p>
            <w:pPr>
              <w:ind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30"/>
              <w:ind w:firstLine="420"/>
            </w:pPr>
          </w:p>
        </w:tc>
        <w:tc>
          <w:tcPr>
            <w:tcW w:w="1432" w:type="dxa"/>
            <w:gridSpan w:val="2"/>
          </w:tcPr>
          <w:p>
            <w:pPr>
              <w:pStyle w:val="30"/>
              <w:ind w:firstLine="420"/>
            </w:pPr>
          </w:p>
        </w:tc>
        <w:tc>
          <w:tcPr>
            <w:tcW w:w="1496" w:type="dxa"/>
            <w:gridSpan w:val="3"/>
          </w:tcPr>
          <w:p>
            <w:pPr>
              <w:pStyle w:val="30"/>
              <w:ind w:firstLine="420"/>
            </w:pPr>
          </w:p>
        </w:tc>
        <w:tc>
          <w:tcPr>
            <w:tcW w:w="1100" w:type="dxa"/>
            <w:gridSpan w:val="2"/>
          </w:tcPr>
          <w:p>
            <w:pPr>
              <w:pStyle w:val="30"/>
              <w:ind w:firstLine="420"/>
            </w:pPr>
          </w:p>
        </w:tc>
        <w:tc>
          <w:tcPr>
            <w:tcW w:w="1680" w:type="dxa"/>
          </w:tcPr>
          <w:p>
            <w:pPr>
              <w:pStyle w:val="30"/>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30"/>
              <w:ind w:firstLine="420"/>
            </w:pPr>
          </w:p>
        </w:tc>
        <w:tc>
          <w:tcPr>
            <w:tcW w:w="1432" w:type="dxa"/>
            <w:gridSpan w:val="2"/>
          </w:tcPr>
          <w:p>
            <w:pPr>
              <w:pStyle w:val="30"/>
              <w:ind w:firstLine="420"/>
            </w:pPr>
          </w:p>
        </w:tc>
        <w:tc>
          <w:tcPr>
            <w:tcW w:w="1496" w:type="dxa"/>
            <w:gridSpan w:val="3"/>
          </w:tcPr>
          <w:p>
            <w:pPr>
              <w:pStyle w:val="30"/>
              <w:ind w:firstLine="420"/>
            </w:pPr>
          </w:p>
        </w:tc>
        <w:tc>
          <w:tcPr>
            <w:tcW w:w="1100" w:type="dxa"/>
            <w:gridSpan w:val="2"/>
          </w:tcPr>
          <w:p>
            <w:pPr>
              <w:pStyle w:val="30"/>
              <w:ind w:firstLine="420"/>
            </w:pPr>
          </w:p>
        </w:tc>
        <w:tc>
          <w:tcPr>
            <w:tcW w:w="1680" w:type="dxa"/>
          </w:tcPr>
          <w:p>
            <w:pPr>
              <w:pStyle w:val="30"/>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2405" w:type="dxa"/>
            <w:vAlign w:val="center"/>
          </w:tcPr>
          <w:p>
            <w:pPr>
              <w:ind w:firstLine="482"/>
              <w:rPr>
                <w:rFonts w:ascii="仿宋" w:hAnsi="仿宋" w:eastAsia="仿宋" w:cs="仿宋"/>
                <w:sz w:val="24"/>
                <w:szCs w:val="24"/>
              </w:rPr>
            </w:pPr>
          </w:p>
        </w:tc>
        <w:tc>
          <w:tcPr>
            <w:tcW w:w="1586" w:type="dxa"/>
            <w:gridSpan w:val="2"/>
          </w:tcPr>
          <w:p>
            <w:pPr>
              <w:pStyle w:val="30"/>
              <w:ind w:firstLine="420"/>
            </w:pPr>
          </w:p>
        </w:tc>
        <w:tc>
          <w:tcPr>
            <w:tcW w:w="1432" w:type="dxa"/>
            <w:gridSpan w:val="2"/>
          </w:tcPr>
          <w:p>
            <w:pPr>
              <w:pStyle w:val="30"/>
              <w:ind w:firstLine="420"/>
            </w:pPr>
          </w:p>
        </w:tc>
        <w:tc>
          <w:tcPr>
            <w:tcW w:w="1496" w:type="dxa"/>
            <w:gridSpan w:val="3"/>
          </w:tcPr>
          <w:p>
            <w:pPr>
              <w:pStyle w:val="30"/>
              <w:ind w:firstLine="420"/>
            </w:pPr>
          </w:p>
        </w:tc>
        <w:tc>
          <w:tcPr>
            <w:tcW w:w="1100" w:type="dxa"/>
            <w:gridSpan w:val="2"/>
          </w:tcPr>
          <w:p>
            <w:pPr>
              <w:pStyle w:val="30"/>
              <w:ind w:firstLine="420"/>
            </w:pPr>
          </w:p>
        </w:tc>
        <w:tc>
          <w:tcPr>
            <w:tcW w:w="1680" w:type="dxa"/>
          </w:tcPr>
          <w:p>
            <w:pPr>
              <w:pStyle w:val="30"/>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rPr>
                <w:rFonts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ind w:firstLine="482"/>
              <w:rPr>
                <w:rFonts w:ascii="仿宋" w:hAnsi="仿宋" w:eastAsia="仿宋" w:cs="仿宋"/>
                <w:sz w:val="24"/>
                <w:szCs w:val="24"/>
              </w:rPr>
            </w:pPr>
            <w:r>
              <w:rPr>
                <w:rFonts w:hint="eastAsia" w:ascii="仿宋" w:hAnsi="仿宋" w:eastAsia="仿宋" w:cs="仿宋"/>
                <w:sz w:val="24"/>
                <w:szCs w:val="24"/>
              </w:rPr>
              <w:t xml:space="preserve">大写：           </w:t>
            </w:r>
          </w:p>
          <w:p>
            <w:pPr>
              <w:pStyle w:val="30"/>
              <w:ind w:firstLine="420"/>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0"/>
              <w:ind w:firstLine="420"/>
            </w:pPr>
          </w:p>
        </w:tc>
        <w:tc>
          <w:tcPr>
            <w:tcW w:w="1636" w:type="dxa"/>
            <w:gridSpan w:val="2"/>
          </w:tcPr>
          <w:p>
            <w:pPr>
              <w:pStyle w:val="30"/>
              <w:ind w:left="0" w:leftChars="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0"/>
              <w:ind w:firstLine="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05" w:type="dxa"/>
          </w:tcPr>
          <w:p>
            <w:pPr>
              <w:pStyle w:val="30"/>
              <w:ind w:left="0" w:leftChars="0" w:firstLine="0" w:firstLineChars="0"/>
              <w:rPr>
                <w:rFonts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0"/>
              <w:ind w:firstLine="420"/>
            </w:pPr>
          </w:p>
        </w:tc>
        <w:tc>
          <w:tcPr>
            <w:tcW w:w="1636" w:type="dxa"/>
            <w:gridSpan w:val="2"/>
          </w:tcPr>
          <w:p>
            <w:pPr>
              <w:pStyle w:val="30"/>
              <w:ind w:left="0" w:leftChars="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0"/>
              <w:ind w:firstLine="420"/>
            </w:pPr>
          </w:p>
        </w:tc>
      </w:tr>
    </w:tbl>
    <w:p>
      <w:pPr>
        <w:pStyle w:val="30"/>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注:1、此表一式两份，一份单独密封，一份装订在投标文件里。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jc w:val="both"/>
        <w:rPr>
          <w:rFonts w:hint="eastAsia" w:ascii="仿宋" w:hAnsi="仿宋" w:eastAsia="仿宋"/>
          <w:bCs w:val="0"/>
        </w:rPr>
      </w:pPr>
    </w:p>
    <w:p>
      <w:pPr>
        <w:rPr>
          <w:rFonts w:hint="eastAsia" w:ascii="仿宋" w:hAnsi="仿宋" w:eastAsia="仿宋"/>
          <w:bCs w:val="0"/>
        </w:rPr>
      </w:pPr>
    </w:p>
    <w:p>
      <w:pPr>
        <w:pStyle w:val="14"/>
        <w:rPr>
          <w:rFonts w:hint="eastAsia" w:ascii="仿宋" w:hAnsi="仿宋" w:eastAsia="仿宋"/>
          <w:bCs w:val="0"/>
        </w:rPr>
      </w:pPr>
    </w:p>
    <w:p>
      <w:pPr>
        <w:pStyle w:val="14"/>
        <w:rPr>
          <w:rFonts w:hint="eastAsia" w:ascii="仿宋" w:hAnsi="仿宋" w:eastAsia="仿宋"/>
          <w:bCs w:val="0"/>
        </w:rPr>
      </w:pPr>
    </w:p>
    <w:p>
      <w:pPr>
        <w:rPr>
          <w:rFonts w:hint="eastAsia"/>
        </w:rPr>
      </w:pPr>
    </w:p>
    <w:p>
      <w:pPr>
        <w:pStyle w:val="6"/>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w:t>
      </w:r>
      <w:bookmarkStart w:id="342" w:name="_Toc15264"/>
    </w:p>
    <w:tbl>
      <w:tblPr>
        <w:tblStyle w:val="2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4" w:type="dxa"/>
            <w:vAlign w:val="center"/>
          </w:tcPr>
          <w:p>
            <w:pPr>
              <w:pStyle w:val="11"/>
              <w:spacing w:line="240" w:lineRule="atLeast"/>
              <w:rPr>
                <w:rFonts w:ascii="仿宋_GB2312" w:eastAsia="仿宋_GB2312"/>
                <w:sz w:val="24"/>
              </w:rPr>
            </w:pPr>
            <w:r>
              <w:rPr>
                <w:rFonts w:hint="eastAsia" w:ascii="仿宋_GB2312" w:eastAsia="仿宋_GB2312"/>
                <w:sz w:val="24"/>
              </w:rPr>
              <w:t>序号</w:t>
            </w:r>
          </w:p>
        </w:tc>
        <w:tc>
          <w:tcPr>
            <w:tcW w:w="1270" w:type="dxa"/>
            <w:vAlign w:val="center"/>
          </w:tcPr>
          <w:p>
            <w:pPr>
              <w:pStyle w:val="11"/>
              <w:spacing w:line="240" w:lineRule="atLeast"/>
              <w:jc w:val="center"/>
              <w:rPr>
                <w:rFonts w:ascii="仿宋_GB2312" w:eastAsia="仿宋_GB2312"/>
                <w:sz w:val="24"/>
              </w:rPr>
            </w:pPr>
            <w:r>
              <w:rPr>
                <w:rFonts w:hint="eastAsia" w:ascii="仿宋_GB2312" w:eastAsia="仿宋_GB2312"/>
                <w:sz w:val="24"/>
              </w:rPr>
              <w:t>（设备、材料、系统及其他）</w:t>
            </w:r>
          </w:p>
        </w:tc>
        <w:tc>
          <w:tcPr>
            <w:tcW w:w="854" w:type="dxa"/>
            <w:vAlign w:val="center"/>
          </w:tcPr>
          <w:p>
            <w:pPr>
              <w:pStyle w:val="11"/>
              <w:spacing w:line="240" w:lineRule="atLeast"/>
              <w:jc w:val="center"/>
              <w:rPr>
                <w:rFonts w:ascii="仿宋_GB2312" w:eastAsia="仿宋_GB2312"/>
                <w:sz w:val="24"/>
              </w:rPr>
            </w:pPr>
            <w:r>
              <w:rPr>
                <w:rFonts w:hint="eastAsia" w:ascii="仿宋_GB2312" w:eastAsia="仿宋_GB2312"/>
                <w:sz w:val="24"/>
              </w:rPr>
              <w:t>品牌</w:t>
            </w:r>
          </w:p>
        </w:tc>
        <w:tc>
          <w:tcPr>
            <w:tcW w:w="1084" w:type="dxa"/>
            <w:vAlign w:val="center"/>
          </w:tcPr>
          <w:p>
            <w:pPr>
              <w:pStyle w:val="11"/>
              <w:spacing w:line="240" w:lineRule="atLeast"/>
              <w:jc w:val="center"/>
              <w:rPr>
                <w:rFonts w:ascii="仿宋_GB2312" w:eastAsia="仿宋_GB2312"/>
                <w:sz w:val="24"/>
              </w:rPr>
            </w:pPr>
            <w:r>
              <w:rPr>
                <w:rFonts w:hint="eastAsia" w:ascii="仿宋_GB2312" w:eastAsia="仿宋_GB2312"/>
                <w:sz w:val="24"/>
              </w:rPr>
              <w:t>规格型号及技术参数</w:t>
            </w:r>
          </w:p>
        </w:tc>
        <w:tc>
          <w:tcPr>
            <w:tcW w:w="796" w:type="dxa"/>
            <w:vAlign w:val="center"/>
          </w:tcPr>
          <w:p>
            <w:pPr>
              <w:pStyle w:val="11"/>
              <w:spacing w:line="240" w:lineRule="atLeast"/>
              <w:jc w:val="center"/>
              <w:rPr>
                <w:rFonts w:ascii="仿宋_GB2312" w:eastAsia="仿宋_GB2312"/>
                <w:sz w:val="24"/>
              </w:rPr>
            </w:pPr>
            <w:r>
              <w:rPr>
                <w:rFonts w:hint="eastAsia" w:ascii="仿宋_GB2312" w:eastAsia="仿宋_GB2312"/>
                <w:sz w:val="24"/>
              </w:rPr>
              <w:t>数量</w:t>
            </w:r>
          </w:p>
        </w:tc>
        <w:tc>
          <w:tcPr>
            <w:tcW w:w="1026" w:type="dxa"/>
            <w:vAlign w:val="center"/>
          </w:tcPr>
          <w:p>
            <w:pPr>
              <w:pStyle w:val="11"/>
              <w:spacing w:line="240" w:lineRule="atLeast"/>
              <w:jc w:val="center"/>
              <w:rPr>
                <w:rFonts w:ascii="仿宋_GB2312" w:eastAsia="仿宋_GB2312"/>
                <w:sz w:val="24"/>
              </w:rPr>
            </w:pPr>
            <w:r>
              <w:rPr>
                <w:rFonts w:hint="eastAsia" w:ascii="仿宋_GB2312" w:eastAsia="仿宋_GB2312"/>
                <w:sz w:val="24"/>
              </w:rPr>
              <w:t>原产地</w:t>
            </w:r>
          </w:p>
        </w:tc>
        <w:tc>
          <w:tcPr>
            <w:tcW w:w="1063" w:type="dxa"/>
            <w:vAlign w:val="center"/>
          </w:tcPr>
          <w:p>
            <w:pPr>
              <w:pStyle w:val="11"/>
              <w:spacing w:line="240" w:lineRule="atLeast"/>
              <w:jc w:val="center"/>
              <w:rPr>
                <w:rFonts w:ascii="仿宋_GB2312" w:eastAsia="仿宋_GB2312"/>
                <w:sz w:val="24"/>
              </w:rPr>
            </w:pPr>
            <w:r>
              <w:rPr>
                <w:rFonts w:hint="eastAsia" w:ascii="仿宋_GB2312" w:eastAsia="仿宋_GB2312"/>
                <w:sz w:val="24"/>
              </w:rPr>
              <w:t>制造商名称</w:t>
            </w:r>
          </w:p>
        </w:tc>
        <w:tc>
          <w:tcPr>
            <w:tcW w:w="715" w:type="dxa"/>
            <w:vAlign w:val="center"/>
          </w:tcPr>
          <w:p>
            <w:pPr>
              <w:pStyle w:val="11"/>
              <w:spacing w:line="240" w:lineRule="atLeast"/>
              <w:jc w:val="center"/>
              <w:rPr>
                <w:rFonts w:ascii="仿宋_GB2312" w:eastAsia="仿宋_GB2312"/>
                <w:sz w:val="24"/>
              </w:rPr>
            </w:pPr>
            <w:r>
              <w:rPr>
                <w:rFonts w:hint="eastAsia" w:ascii="仿宋_GB2312" w:eastAsia="仿宋_GB2312"/>
                <w:sz w:val="24"/>
              </w:rPr>
              <w:t>单价</w:t>
            </w:r>
          </w:p>
        </w:tc>
        <w:tc>
          <w:tcPr>
            <w:tcW w:w="986" w:type="dxa"/>
            <w:vAlign w:val="center"/>
          </w:tcPr>
          <w:p>
            <w:pPr>
              <w:pStyle w:val="11"/>
              <w:spacing w:line="240" w:lineRule="atLeast"/>
              <w:jc w:val="center"/>
              <w:rPr>
                <w:rFonts w:ascii="仿宋_GB2312" w:eastAsia="仿宋_GB2312"/>
                <w:sz w:val="24"/>
              </w:rPr>
            </w:pPr>
            <w:r>
              <w:rPr>
                <w:rFonts w:hint="eastAsia" w:ascii="仿宋_GB2312" w:eastAsia="仿宋_GB2312"/>
                <w:sz w:val="24"/>
              </w:rPr>
              <w:t>总价</w:t>
            </w:r>
          </w:p>
        </w:tc>
        <w:tc>
          <w:tcPr>
            <w:tcW w:w="821" w:type="dxa"/>
            <w:vAlign w:val="center"/>
          </w:tcPr>
          <w:p>
            <w:pPr>
              <w:pStyle w:val="11"/>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r>
              <w:rPr>
                <w:rFonts w:hint="eastAsia" w:ascii="黑体" w:hAnsi="黑体" w:eastAsia="黑体"/>
              </w:rPr>
              <w:t>…</w:t>
            </w: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99" w:type="dxa"/>
            <w:gridSpan w:val="10"/>
            <w:vAlign w:val="center"/>
          </w:tcPr>
          <w:p>
            <w:pPr>
              <w:pStyle w:val="11"/>
              <w:spacing w:line="240" w:lineRule="atLeast"/>
              <w:ind w:left="1080" w:leftChars="257"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240" w:lineRule="atLeast"/>
              <w:jc w:val="center"/>
              <w:rPr>
                <w:rFonts w:ascii="仿宋_GB2312" w:eastAsia="仿宋_GB2312"/>
                <w:sz w:val="24"/>
              </w:rPr>
            </w:pPr>
          </w:p>
        </w:tc>
        <w:tc>
          <w:tcPr>
            <w:tcW w:w="854" w:type="dxa"/>
            <w:vAlign w:val="center"/>
          </w:tcPr>
          <w:p>
            <w:pPr>
              <w:pStyle w:val="11"/>
              <w:spacing w:line="240" w:lineRule="atLeast"/>
              <w:ind w:left="1080" w:leftChars="257" w:hanging="540"/>
              <w:jc w:val="center"/>
              <w:rPr>
                <w:rFonts w:ascii="仿宋_GB2312" w:eastAsia="仿宋_GB2312"/>
                <w:sz w:val="24"/>
              </w:rPr>
            </w:pPr>
          </w:p>
        </w:tc>
        <w:tc>
          <w:tcPr>
            <w:tcW w:w="1084" w:type="dxa"/>
            <w:vAlign w:val="center"/>
          </w:tcPr>
          <w:p>
            <w:pPr>
              <w:pStyle w:val="11"/>
              <w:spacing w:line="240" w:lineRule="atLeast"/>
              <w:ind w:left="1080" w:leftChars="257" w:hanging="540"/>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1"/>
              <w:spacing w:line="240" w:lineRule="atLeast"/>
              <w:rPr>
                <w:rFonts w:ascii="仿宋_GB2312" w:eastAsia="仿宋_GB2312"/>
                <w:sz w:val="24"/>
              </w:rPr>
            </w:pPr>
          </w:p>
        </w:tc>
        <w:tc>
          <w:tcPr>
            <w:tcW w:w="1270" w:type="dxa"/>
            <w:vAlign w:val="center"/>
          </w:tcPr>
          <w:p>
            <w:pPr>
              <w:pStyle w:val="11"/>
              <w:spacing w:line="360" w:lineRule="auto"/>
              <w:jc w:val="center"/>
              <w:rPr>
                <w:rFonts w:ascii="仿宋_GB2312" w:eastAsia="仿宋_GB2312"/>
                <w:sz w:val="24"/>
              </w:rPr>
            </w:pPr>
          </w:p>
        </w:tc>
        <w:tc>
          <w:tcPr>
            <w:tcW w:w="854" w:type="dxa"/>
            <w:vAlign w:val="center"/>
          </w:tcPr>
          <w:p>
            <w:pPr>
              <w:pStyle w:val="11"/>
              <w:spacing w:line="360" w:lineRule="auto"/>
              <w:jc w:val="center"/>
              <w:rPr>
                <w:rFonts w:ascii="仿宋_GB2312" w:eastAsia="仿宋_GB2312"/>
                <w:sz w:val="24"/>
              </w:rPr>
            </w:pPr>
          </w:p>
        </w:tc>
        <w:tc>
          <w:tcPr>
            <w:tcW w:w="1084" w:type="dxa"/>
            <w:vAlign w:val="center"/>
          </w:tcPr>
          <w:p>
            <w:pPr>
              <w:pStyle w:val="11"/>
              <w:spacing w:line="360" w:lineRule="auto"/>
              <w:jc w:val="center"/>
              <w:rPr>
                <w:rFonts w:ascii="仿宋_GB2312" w:eastAsia="仿宋_GB2312"/>
                <w:sz w:val="24"/>
              </w:rPr>
            </w:pPr>
          </w:p>
        </w:tc>
        <w:tc>
          <w:tcPr>
            <w:tcW w:w="796" w:type="dxa"/>
            <w:vAlign w:val="center"/>
          </w:tcPr>
          <w:p>
            <w:pPr>
              <w:pStyle w:val="11"/>
              <w:spacing w:line="240" w:lineRule="atLeast"/>
              <w:ind w:left="1080" w:leftChars="257" w:hanging="540"/>
              <w:jc w:val="center"/>
              <w:rPr>
                <w:rFonts w:ascii="仿宋_GB2312" w:eastAsia="仿宋_GB2312"/>
                <w:sz w:val="24"/>
              </w:rPr>
            </w:pPr>
          </w:p>
        </w:tc>
        <w:tc>
          <w:tcPr>
            <w:tcW w:w="1026" w:type="dxa"/>
            <w:vAlign w:val="center"/>
          </w:tcPr>
          <w:p>
            <w:pPr>
              <w:pStyle w:val="11"/>
              <w:spacing w:line="240" w:lineRule="atLeast"/>
              <w:ind w:left="1080" w:leftChars="257" w:hanging="540"/>
              <w:jc w:val="center"/>
              <w:rPr>
                <w:rFonts w:ascii="仿宋_GB2312" w:eastAsia="仿宋_GB2312"/>
                <w:sz w:val="24"/>
              </w:rPr>
            </w:pPr>
          </w:p>
        </w:tc>
        <w:tc>
          <w:tcPr>
            <w:tcW w:w="1063" w:type="dxa"/>
            <w:vAlign w:val="center"/>
          </w:tcPr>
          <w:p>
            <w:pPr>
              <w:pStyle w:val="11"/>
              <w:spacing w:line="240" w:lineRule="atLeast"/>
              <w:ind w:left="1080" w:leftChars="257" w:hanging="540"/>
              <w:jc w:val="center"/>
              <w:rPr>
                <w:rFonts w:ascii="仿宋_GB2312" w:eastAsia="仿宋_GB2312"/>
                <w:sz w:val="24"/>
              </w:rPr>
            </w:pPr>
          </w:p>
        </w:tc>
        <w:tc>
          <w:tcPr>
            <w:tcW w:w="715" w:type="dxa"/>
            <w:vAlign w:val="center"/>
          </w:tcPr>
          <w:p>
            <w:pPr>
              <w:pStyle w:val="11"/>
              <w:spacing w:line="240" w:lineRule="atLeast"/>
              <w:ind w:left="1080" w:leftChars="257" w:hanging="540"/>
              <w:jc w:val="center"/>
              <w:rPr>
                <w:rFonts w:ascii="仿宋_GB2312" w:eastAsia="仿宋_GB2312"/>
                <w:sz w:val="24"/>
              </w:rPr>
            </w:pPr>
          </w:p>
        </w:tc>
        <w:tc>
          <w:tcPr>
            <w:tcW w:w="986" w:type="dxa"/>
            <w:vAlign w:val="center"/>
          </w:tcPr>
          <w:p>
            <w:pPr>
              <w:pStyle w:val="11"/>
              <w:spacing w:line="240" w:lineRule="atLeast"/>
              <w:ind w:left="1080" w:leftChars="257" w:hanging="540"/>
              <w:jc w:val="center"/>
              <w:rPr>
                <w:rFonts w:ascii="仿宋_GB2312" w:eastAsia="仿宋_GB2312"/>
                <w:sz w:val="24"/>
              </w:rPr>
            </w:pPr>
          </w:p>
        </w:tc>
        <w:tc>
          <w:tcPr>
            <w:tcW w:w="821" w:type="dxa"/>
            <w:vAlign w:val="center"/>
          </w:tcPr>
          <w:p>
            <w:pPr>
              <w:pStyle w:val="11"/>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widowControl/>
              <w:jc w:val="left"/>
              <w:rPr>
                <w:rFonts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widowControl/>
              <w:jc w:val="left"/>
              <w:rPr>
                <w:rFonts w:ascii="仿宋_GB2312" w:eastAsia="仿宋_GB2312"/>
                <w:sz w:val="24"/>
              </w:rPr>
            </w:pPr>
            <w:r>
              <w:rPr>
                <w:rFonts w:hint="eastAsia" w:ascii="宋体" w:hAnsi="宋体" w:cs="宋体"/>
                <w:color w:val="000000"/>
                <w:kern w:val="0"/>
                <w:sz w:val="24"/>
                <w:szCs w:val="24"/>
              </w:rPr>
              <w:t xml:space="preserve">合计总报价（大写）： </w:t>
            </w:r>
          </w:p>
        </w:tc>
      </w:tr>
    </w:tbl>
    <w:p>
      <w:pPr>
        <w:pStyle w:val="11"/>
        <w:spacing w:line="240" w:lineRule="atLeast"/>
        <w:ind w:left="1080" w:leftChars="257" w:hanging="540"/>
        <w:rPr>
          <w:rFonts w:ascii="仿宋_GB2312" w:eastAsia="仿宋_GB2312"/>
          <w:sz w:val="24"/>
        </w:rPr>
      </w:pP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1"/>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hAnsi="Courier New" w:eastAsia="仿宋_GB2312"/>
          <w:b/>
          <w:bCs/>
          <w:sz w:val="24"/>
          <w:szCs w:val="20"/>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11"/>
        <w:spacing w:line="360" w:lineRule="auto"/>
        <w:rPr>
          <w:rFonts w:ascii="仿宋_GB2312" w:eastAsia="仿宋_GB2312"/>
          <w:sz w:val="24"/>
        </w:rPr>
      </w:pPr>
    </w:p>
    <w:p>
      <w:pPr>
        <w:pStyle w:val="6"/>
        <w:numPr>
          <w:ilvl w:val="0"/>
          <w:numId w:val="9"/>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43" w:name="_Toc14674_WPSOffice_Level1"/>
    </w:p>
    <w:p>
      <w:pPr>
        <w:pStyle w:val="6"/>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43"/>
    </w:p>
    <w:p>
      <w:pPr>
        <w:pStyle w:val="30"/>
        <w:ind w:firstLine="840" w:firstLineChars="400"/>
      </w:pPr>
      <w:r>
        <w:rPr>
          <w:rFonts w:hint="eastAsia"/>
        </w:rPr>
        <w:t>项目名称：                                                    项目编号：</w:t>
      </w:r>
    </w:p>
    <w:tbl>
      <w:tblPr>
        <w:tblStyle w:val="24"/>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ind w:firstLine="0"/>
              <w:rPr>
                <w:rFonts w:ascii="仿宋_GB2312" w:hAnsi="Courier New" w:eastAsia="仿宋_GB2312"/>
                <w:kern w:val="2"/>
              </w:rPr>
            </w:pPr>
            <w:r>
              <w:rPr>
                <w:rFonts w:hint="eastAsia" w:ascii="仿宋_GB2312" w:hAnsi="Courier New" w:eastAsia="仿宋_GB2312"/>
                <w:kern w:val="2"/>
              </w:rPr>
              <w:t>序号</w:t>
            </w:r>
          </w:p>
        </w:tc>
        <w:tc>
          <w:tcPr>
            <w:tcW w:w="1526" w:type="dxa"/>
          </w:tcPr>
          <w:p>
            <w:pPr>
              <w:pStyle w:val="5"/>
              <w:ind w:firstLine="0"/>
              <w:rPr>
                <w:rFonts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ind w:firstLine="0"/>
              <w:rPr>
                <w:rFonts w:ascii="仿宋_GB2312" w:hAnsi="Courier New" w:eastAsia="仿宋_GB2312"/>
                <w:kern w:val="2"/>
              </w:rPr>
            </w:pPr>
            <w:r>
              <w:rPr>
                <w:rFonts w:hint="eastAsia" w:ascii="仿宋_GB2312" w:hAnsi="Courier New" w:eastAsia="仿宋_GB2312"/>
                <w:kern w:val="2"/>
              </w:rPr>
              <w:t>规格型号</w:t>
            </w:r>
          </w:p>
        </w:tc>
        <w:tc>
          <w:tcPr>
            <w:tcW w:w="1526" w:type="dxa"/>
          </w:tcPr>
          <w:p>
            <w:pPr>
              <w:pStyle w:val="5"/>
              <w:rPr>
                <w:rFonts w:ascii="仿宋_GB2312" w:hAnsi="Courier New" w:eastAsia="仿宋_GB2312"/>
                <w:kern w:val="2"/>
              </w:rPr>
            </w:pPr>
            <w:r>
              <w:rPr>
                <w:rFonts w:hint="eastAsia" w:ascii="仿宋_GB2312" w:hAnsi="Courier New" w:eastAsia="仿宋_GB2312"/>
                <w:kern w:val="2"/>
              </w:rPr>
              <w:t>制造商</w:t>
            </w:r>
          </w:p>
        </w:tc>
        <w:tc>
          <w:tcPr>
            <w:tcW w:w="1526" w:type="dxa"/>
          </w:tcPr>
          <w:p>
            <w:pPr>
              <w:pStyle w:val="5"/>
              <w:rPr>
                <w:rFonts w:ascii="仿宋_GB2312" w:hAnsi="Courier New" w:eastAsia="仿宋_GB2312"/>
                <w:kern w:val="2"/>
              </w:rPr>
            </w:pPr>
            <w:r>
              <w:rPr>
                <w:rFonts w:hint="eastAsia" w:ascii="仿宋_GB2312" w:hAnsi="Courier New" w:eastAsia="仿宋_GB2312"/>
                <w:kern w:val="2"/>
              </w:rPr>
              <w:t>单位</w:t>
            </w:r>
          </w:p>
        </w:tc>
        <w:tc>
          <w:tcPr>
            <w:tcW w:w="636" w:type="dxa"/>
          </w:tcPr>
          <w:p>
            <w:pPr>
              <w:pStyle w:val="5"/>
              <w:ind w:firstLine="0"/>
              <w:rPr>
                <w:rFonts w:ascii="仿宋_GB2312" w:hAnsi="Courier New" w:eastAsia="仿宋_GB2312"/>
                <w:kern w:val="2"/>
              </w:rPr>
            </w:pPr>
            <w:r>
              <w:rPr>
                <w:rFonts w:hint="eastAsia" w:ascii="仿宋_GB2312" w:hAnsi="Courier New" w:eastAsia="仿宋_GB2312"/>
                <w:kern w:val="2"/>
              </w:rPr>
              <w:t>数量</w:t>
            </w:r>
          </w:p>
        </w:tc>
        <w:tc>
          <w:tcPr>
            <w:tcW w:w="762" w:type="dxa"/>
          </w:tcPr>
          <w:p>
            <w:pPr>
              <w:pStyle w:val="5"/>
              <w:ind w:firstLine="0"/>
              <w:rPr>
                <w:rFonts w:ascii="仿宋_GB2312" w:hAnsi="Courier New" w:eastAsia="仿宋_GB2312"/>
                <w:kern w:val="2"/>
              </w:rPr>
            </w:pPr>
            <w:r>
              <w:rPr>
                <w:rFonts w:hint="eastAsia" w:ascii="仿宋_GB2312" w:hAnsi="Courier New" w:eastAsia="仿宋_GB2312"/>
                <w:kern w:val="2"/>
              </w:rPr>
              <w:t>单价</w:t>
            </w:r>
          </w:p>
        </w:tc>
        <w:tc>
          <w:tcPr>
            <w:tcW w:w="905" w:type="dxa"/>
          </w:tcPr>
          <w:p>
            <w:pPr>
              <w:pStyle w:val="5"/>
              <w:ind w:firstLine="0"/>
              <w:rPr>
                <w:rFonts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ind w:firstLine="0"/>
              <w:rPr>
                <w:rFonts w:ascii="仿宋_GB2312" w:hAnsi="Courier New" w:eastAsia="仿宋_GB2312"/>
                <w:kern w:val="2"/>
              </w:rPr>
            </w:pPr>
            <w:r>
              <w:rPr>
                <w:rFonts w:hint="eastAsia" w:ascii="仿宋_GB2312" w:hAnsi="Courier New" w:eastAsia="仿宋_GB2312"/>
                <w:kern w:val="2"/>
              </w:rPr>
              <w:t>...</w:t>
            </w: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96" w:type="dxa"/>
            <w:gridSpan w:val="3"/>
          </w:tcPr>
          <w:p>
            <w:pPr>
              <w:pStyle w:val="5"/>
              <w:ind w:firstLine="0"/>
              <w:rPr>
                <w:rFonts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rPr>
                <w:rFonts w:ascii="仿宋_GB2312" w:hAnsi="Courier New" w:eastAsia="仿宋_GB2312"/>
                <w:kern w:val="2"/>
              </w:rPr>
            </w:pPr>
          </w:p>
        </w:tc>
        <w:tc>
          <w:tcPr>
            <w:tcW w:w="1526" w:type="dxa"/>
          </w:tcPr>
          <w:p>
            <w:pPr>
              <w:pStyle w:val="5"/>
              <w:rPr>
                <w:rFonts w:ascii="仿宋_GB2312" w:hAnsi="Courier New" w:eastAsia="仿宋_GB2312"/>
                <w:kern w:val="2"/>
              </w:rPr>
            </w:pPr>
          </w:p>
        </w:tc>
        <w:tc>
          <w:tcPr>
            <w:tcW w:w="636" w:type="dxa"/>
          </w:tcPr>
          <w:p>
            <w:pPr>
              <w:pStyle w:val="5"/>
              <w:rPr>
                <w:rFonts w:ascii="仿宋_GB2312" w:hAnsi="Courier New" w:eastAsia="仿宋_GB2312"/>
                <w:kern w:val="2"/>
              </w:rPr>
            </w:pPr>
          </w:p>
        </w:tc>
        <w:tc>
          <w:tcPr>
            <w:tcW w:w="762" w:type="dxa"/>
          </w:tcPr>
          <w:p>
            <w:pPr>
              <w:pStyle w:val="5"/>
              <w:rPr>
                <w:rFonts w:ascii="仿宋_GB2312" w:hAnsi="Courier New" w:eastAsia="仿宋_GB2312"/>
                <w:kern w:val="2"/>
              </w:rPr>
            </w:pPr>
          </w:p>
        </w:tc>
        <w:tc>
          <w:tcPr>
            <w:tcW w:w="905" w:type="dxa"/>
          </w:tcPr>
          <w:p>
            <w:pPr>
              <w:pStyle w:val="5"/>
              <w:rPr>
                <w:rFonts w:ascii="仿宋_GB2312" w:hAnsi="Courier New" w:eastAsia="仿宋_GB2312"/>
                <w:kern w:val="2"/>
              </w:rPr>
            </w:pPr>
          </w:p>
        </w:tc>
      </w:tr>
    </w:tbl>
    <w:p>
      <w:pPr>
        <w:pStyle w:val="11"/>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1"/>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注：1. 相关维修配件价格，为质量保证期期满后约定期限内，采购人如向中标单位采购配件时中标人所作出的承诺供货价。（约定期限时间由各投标人单独承诺）</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pPr>
      <w:r>
        <w:rPr>
          <w:rFonts w:hint="eastAsia" w:ascii="仿宋_GB2312" w:hAnsi="Courier New" w:eastAsia="仿宋_GB2312" w:cs="黑体"/>
          <w:b/>
          <w:bCs/>
          <w:color w:val="000000"/>
          <w:kern w:val="2"/>
          <w:sz w:val="24"/>
          <w:szCs w:val="20"/>
          <w:lang w:val="en-US" w:eastAsia="zh-CN" w:bidi="ar-SA"/>
        </w:rPr>
        <w:t>2. 本表中所列价格不计入投标总价，仅供采购人选购时用。</w:t>
      </w:r>
    </w:p>
    <w:p>
      <w:pPr>
        <w:shd w:val="clear" w:color="auto" w:fill="FFFFFF"/>
        <w:adjustRightInd w:val="0"/>
        <w:snapToGrid w:val="0"/>
        <w:spacing w:line="360" w:lineRule="exact"/>
        <w:rPr>
          <w:rFonts w:hint="eastAsia" w:ascii="仿宋_GB2312" w:hAnsi="Courier New" w:eastAsia="仿宋_GB2312" w:cs="黑体"/>
          <w:b/>
          <w:bCs/>
          <w:color w:val="000000"/>
          <w:kern w:val="2"/>
          <w:sz w:val="24"/>
          <w:szCs w:val="20"/>
          <w:lang w:val="en-US" w:eastAsia="zh-CN" w:bidi="ar-SA"/>
        </w:rPr>
        <w:sectPr>
          <w:headerReference r:id="rId6" w:type="default"/>
          <w:headerReference r:id="rId7" w:type="even"/>
          <w:footerReference r:id="rId8" w:type="even"/>
          <w:pgSz w:w="11906" w:h="16838"/>
          <w:pgMar w:top="720" w:right="720" w:bottom="720" w:left="720" w:header="851" w:footer="992" w:gutter="0"/>
          <w:cols w:space="720" w:num="1"/>
          <w:docGrid w:linePitch="312" w:charSpace="0"/>
        </w:sectPr>
      </w:pPr>
      <w:r>
        <w:rPr>
          <w:rFonts w:hint="eastAsia" w:ascii="仿宋_GB2312" w:hAnsi="Courier New" w:eastAsia="仿宋_GB2312" w:cs="黑体"/>
          <w:b/>
          <w:bCs/>
          <w:color w:val="000000"/>
          <w:kern w:val="2"/>
          <w:sz w:val="24"/>
          <w:szCs w:val="20"/>
          <w:lang w:val="en-US" w:eastAsia="zh-CN" w:bidi="ar-SA"/>
        </w:rPr>
        <w:t>3. 此表仅提供了表格形式，投标人应根据需要准备足够数量的表格来填</w:t>
      </w:r>
    </w:p>
    <w:p>
      <w:pPr>
        <w:pStyle w:val="4"/>
        <w:spacing w:line="240" w:lineRule="auto"/>
        <w:jc w:val="center"/>
        <w:rPr>
          <w:rFonts w:ascii="仿宋" w:hAnsi="仿宋" w:eastAsia="仿宋"/>
          <w:bCs w:val="0"/>
        </w:rPr>
      </w:pPr>
      <w:r>
        <w:rPr>
          <w:rFonts w:hint="eastAsia" w:ascii="仿宋" w:hAnsi="仿宋" w:eastAsia="仿宋"/>
          <w:bCs w:val="0"/>
        </w:rPr>
        <w:t>（八）技术参数、功能偏离表</w:t>
      </w:r>
      <w:bookmarkEnd w:id="342"/>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编号：</w:t>
      </w:r>
    </w:p>
    <w:tbl>
      <w:tblPr>
        <w:tblStyle w:val="24"/>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98"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偏离</w:t>
            </w:r>
          </w:p>
          <w:p>
            <w:pPr>
              <w:jc w:val="center"/>
              <w:rPr>
                <w:rFonts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jc w:val="center"/>
              <w:rPr>
                <w:rFonts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98" w:type="dxa"/>
          </w:tcPr>
          <w:p>
            <w:pPr>
              <w:rPr>
                <w:rFonts w:ascii="仿宋" w:hAnsi="仿宋" w:eastAsia="仿宋" w:cs="Times New Roman"/>
                <w:sz w:val="24"/>
                <w:szCs w:val="20"/>
              </w:rPr>
            </w:pPr>
            <w:r>
              <w:rPr>
                <w:rFonts w:hint="eastAsia" w:ascii="仿宋" w:hAnsi="仿宋" w:eastAsia="仿宋" w:cs="Times New Roman"/>
                <w:sz w:val="24"/>
                <w:szCs w:val="20"/>
              </w:rPr>
              <w:t>1</w:t>
            </w:r>
          </w:p>
        </w:tc>
        <w:tc>
          <w:tcPr>
            <w:tcW w:w="1789" w:type="dxa"/>
          </w:tcPr>
          <w:p>
            <w:pPr>
              <w:rPr>
                <w:rFonts w:ascii="仿宋" w:hAnsi="仿宋" w:eastAsia="仿宋" w:cs="Times New Roman"/>
                <w:sz w:val="24"/>
                <w:szCs w:val="20"/>
              </w:rPr>
            </w:pPr>
          </w:p>
        </w:tc>
        <w:tc>
          <w:tcPr>
            <w:tcW w:w="2326" w:type="dxa"/>
          </w:tcPr>
          <w:p>
            <w:pPr>
              <w:rPr>
                <w:rFonts w:ascii="仿宋" w:hAnsi="仿宋" w:eastAsia="仿宋" w:cs="Times New Roman"/>
                <w:sz w:val="24"/>
                <w:szCs w:val="20"/>
              </w:rPr>
            </w:pPr>
          </w:p>
        </w:tc>
        <w:tc>
          <w:tcPr>
            <w:tcW w:w="1854" w:type="dxa"/>
          </w:tcPr>
          <w:p>
            <w:pPr>
              <w:rPr>
                <w:rFonts w:ascii="仿宋" w:hAnsi="仿宋" w:eastAsia="仿宋" w:cs="Times New Roman"/>
                <w:sz w:val="24"/>
                <w:szCs w:val="20"/>
              </w:rPr>
            </w:pPr>
          </w:p>
        </w:tc>
        <w:tc>
          <w:tcPr>
            <w:tcW w:w="1641" w:type="dxa"/>
          </w:tcPr>
          <w:p>
            <w:pPr>
              <w:rPr>
                <w:rFonts w:ascii="仿宋" w:hAnsi="仿宋" w:eastAsia="仿宋" w:cs="Times New Roman"/>
                <w:sz w:val="24"/>
                <w:szCs w:val="20"/>
              </w:rPr>
            </w:pPr>
          </w:p>
        </w:tc>
        <w:tc>
          <w:tcPr>
            <w:tcW w:w="1172" w:type="dxa"/>
          </w:tcPr>
          <w:p>
            <w:pPr>
              <w:rPr>
                <w:rFonts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8" w:type="dxa"/>
          </w:tcPr>
          <w:p>
            <w:pPr>
              <w:rPr>
                <w:rFonts w:ascii="仿宋" w:hAnsi="仿宋" w:eastAsia="仿宋" w:cs="Times New Roman"/>
                <w:sz w:val="24"/>
                <w:szCs w:val="20"/>
              </w:rPr>
            </w:pPr>
            <w:r>
              <w:rPr>
                <w:rFonts w:hint="eastAsia" w:ascii="仿宋" w:hAnsi="仿宋" w:eastAsia="仿宋" w:cs="Times New Roman"/>
                <w:sz w:val="24"/>
                <w:szCs w:val="20"/>
              </w:rPr>
              <w:t>2</w:t>
            </w:r>
          </w:p>
        </w:tc>
        <w:tc>
          <w:tcPr>
            <w:tcW w:w="1789" w:type="dxa"/>
          </w:tcPr>
          <w:p>
            <w:pPr>
              <w:rPr>
                <w:rFonts w:ascii="仿宋" w:hAnsi="仿宋" w:eastAsia="仿宋" w:cs="Times New Roman"/>
                <w:sz w:val="24"/>
                <w:szCs w:val="20"/>
              </w:rPr>
            </w:pPr>
          </w:p>
        </w:tc>
        <w:tc>
          <w:tcPr>
            <w:tcW w:w="2326" w:type="dxa"/>
          </w:tcPr>
          <w:p>
            <w:pPr>
              <w:rPr>
                <w:rFonts w:ascii="仿宋" w:hAnsi="仿宋" w:eastAsia="仿宋" w:cs="Times New Roman"/>
                <w:sz w:val="24"/>
                <w:szCs w:val="20"/>
              </w:rPr>
            </w:pPr>
          </w:p>
        </w:tc>
        <w:tc>
          <w:tcPr>
            <w:tcW w:w="1854" w:type="dxa"/>
          </w:tcPr>
          <w:p>
            <w:pPr>
              <w:rPr>
                <w:rFonts w:ascii="仿宋" w:hAnsi="仿宋" w:eastAsia="仿宋" w:cs="Times New Roman"/>
                <w:sz w:val="24"/>
                <w:szCs w:val="20"/>
              </w:rPr>
            </w:pPr>
          </w:p>
        </w:tc>
        <w:tc>
          <w:tcPr>
            <w:tcW w:w="1641" w:type="dxa"/>
          </w:tcPr>
          <w:p>
            <w:pPr>
              <w:rPr>
                <w:rFonts w:ascii="仿宋" w:hAnsi="仿宋" w:eastAsia="仿宋" w:cs="Times New Roman"/>
                <w:sz w:val="24"/>
                <w:szCs w:val="20"/>
              </w:rPr>
            </w:pPr>
          </w:p>
        </w:tc>
        <w:tc>
          <w:tcPr>
            <w:tcW w:w="1172" w:type="dxa"/>
          </w:tcPr>
          <w:p>
            <w:pPr>
              <w:rPr>
                <w:rFonts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注：投标人必须按所投产品的真实技术参数逐条对应填写（官方宣传彩图），若复制粘贴招标参数，按无效标处理。此表可延伸。</w:t>
      </w:r>
    </w:p>
    <w:p>
      <w:pPr>
        <w:pStyle w:val="32"/>
        <w:spacing w:line="380" w:lineRule="exact"/>
        <w:jc w:val="center"/>
        <w:rPr>
          <w:rFonts w:ascii="仿宋" w:hAnsi="仿宋" w:eastAsia="仿宋" w:cs="仿宋"/>
          <w:b/>
        </w:rPr>
      </w:pPr>
    </w:p>
    <w:p>
      <w:pPr>
        <w:pStyle w:val="32"/>
        <w:rPr>
          <w:rFonts w:ascii="仿宋" w:hAnsi="仿宋" w:eastAsia="仿宋" w:cs="仿宋"/>
          <w:b/>
        </w:rPr>
      </w:pPr>
      <w:r>
        <w:rPr>
          <w:rFonts w:hint="eastAsia" w:ascii="仿宋" w:hAnsi="仿宋" w:eastAsia="仿宋" w:cs="仿宋"/>
          <w:b/>
        </w:rPr>
        <w:t>法定代表人或被委托授权代表（签字）：</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Pr>
        <w:autoSpaceDE w:val="0"/>
        <w:autoSpaceDN w:val="0"/>
        <w:adjustRightInd w:val="0"/>
        <w:rPr>
          <w:rFonts w:hint="eastAsia" w:ascii="仿宋_GB2312" w:hAnsi="Courier New" w:eastAsia="仿宋_GB2312"/>
          <w:b/>
          <w:bCs/>
          <w:color w:val="000000"/>
          <w:sz w:val="24"/>
          <w:szCs w:val="20"/>
        </w:rPr>
      </w:pPr>
      <w:bookmarkStart w:id="344" w:name="_Toc25633"/>
      <w:bookmarkStart w:id="345" w:name="_Toc17736"/>
      <w:bookmarkStart w:id="346" w:name="_Toc18576"/>
      <w:bookmarkStart w:id="347" w:name="_Toc2509"/>
      <w:bookmarkStart w:id="348" w:name="_Toc28734"/>
      <w:bookmarkStart w:id="349" w:name="_Toc24493"/>
      <w:bookmarkStart w:id="350" w:name="_Toc2882"/>
      <w:bookmarkStart w:id="351" w:name="_Toc7997"/>
      <w:bookmarkStart w:id="352" w:name="_Toc19355"/>
      <w:bookmarkStart w:id="353" w:name="_Toc6453_WPSOffice_Level2"/>
      <w:bookmarkStart w:id="354" w:name="_Toc4564"/>
      <w:bookmarkStart w:id="355" w:name="_Toc7502"/>
      <w:bookmarkStart w:id="356" w:name="_Toc8972"/>
      <w:bookmarkStart w:id="357" w:name="_Toc8728"/>
      <w:bookmarkStart w:id="358" w:name="_Toc22349"/>
      <w:bookmarkStart w:id="359" w:name="_Toc3339"/>
      <w:r>
        <w:rPr>
          <w:rFonts w:hint="eastAsia" w:ascii="仿宋_GB2312" w:hAnsi="Courier New" w:eastAsia="仿宋_GB2312"/>
          <w:b/>
          <w:bCs/>
          <w:color w:val="000000"/>
          <w:sz w:val="24"/>
          <w:szCs w:val="20"/>
        </w:rPr>
        <w:t>日期：20　　年　　月　　日</w:t>
      </w: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pStyle w:val="8"/>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4"/>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exact"/>
          <w:jc w:val="center"/>
        </w:trPr>
        <w:tc>
          <w:tcPr>
            <w:tcW w:w="1276" w:type="dxa"/>
            <w:vAlign w:val="center"/>
          </w:tcPr>
          <w:p>
            <w:pPr>
              <w:spacing w:line="360" w:lineRule="exact"/>
              <w:rPr>
                <w:rFonts w:ascii="黑体" w:hAnsi="黑体"/>
                <w:szCs w:val="21"/>
              </w:rPr>
            </w:pPr>
            <w:r>
              <w:rPr>
                <w:rFonts w:hint="eastAsia" w:ascii="黑体" w:hAnsi="黑体"/>
                <w:szCs w:val="21"/>
              </w:rPr>
              <w:t>职责分工</w:t>
            </w:r>
          </w:p>
        </w:tc>
        <w:tc>
          <w:tcPr>
            <w:tcW w:w="1303" w:type="dxa"/>
            <w:vAlign w:val="center"/>
          </w:tcPr>
          <w:p>
            <w:pPr>
              <w:spacing w:line="360" w:lineRule="exact"/>
              <w:rPr>
                <w:rFonts w:ascii="黑体" w:hAnsi="黑体"/>
                <w:szCs w:val="21"/>
              </w:rPr>
            </w:pPr>
            <w:r>
              <w:rPr>
                <w:rFonts w:hint="eastAsia" w:ascii="黑体" w:hAnsi="黑体"/>
                <w:szCs w:val="21"/>
              </w:rPr>
              <w:t>姓名</w:t>
            </w:r>
          </w:p>
        </w:tc>
        <w:tc>
          <w:tcPr>
            <w:tcW w:w="797" w:type="dxa"/>
            <w:tcBorders>
              <w:right w:val="single" w:color="auto" w:sz="4" w:space="0"/>
            </w:tcBorders>
            <w:vAlign w:val="center"/>
          </w:tcPr>
          <w:p>
            <w:pPr>
              <w:spacing w:line="360" w:lineRule="exact"/>
              <w:rPr>
                <w:rFonts w:ascii="黑体" w:hAnsi="黑体"/>
                <w:szCs w:val="21"/>
              </w:rPr>
            </w:pPr>
            <w:r>
              <w:rPr>
                <w:rFonts w:hint="eastAsia" w:ascii="黑体" w:hAnsi="黑体"/>
                <w:szCs w:val="21"/>
              </w:rPr>
              <w:t>年龄</w:t>
            </w:r>
          </w:p>
        </w:tc>
        <w:tc>
          <w:tcPr>
            <w:tcW w:w="963" w:type="dxa"/>
            <w:tcBorders>
              <w:left w:val="single" w:color="auto" w:sz="4" w:space="0"/>
            </w:tcBorders>
            <w:vAlign w:val="center"/>
          </w:tcPr>
          <w:p>
            <w:pPr>
              <w:spacing w:line="360" w:lineRule="exact"/>
              <w:rPr>
                <w:rFonts w:ascii="黑体" w:hAnsi="黑体"/>
                <w:szCs w:val="21"/>
              </w:rPr>
            </w:pPr>
            <w:r>
              <w:rPr>
                <w:rFonts w:hint="eastAsia" w:ascii="黑体" w:hAnsi="黑体"/>
                <w:szCs w:val="21"/>
              </w:rPr>
              <w:t>学历</w:t>
            </w:r>
          </w:p>
        </w:tc>
        <w:tc>
          <w:tcPr>
            <w:tcW w:w="791" w:type="dxa"/>
            <w:vAlign w:val="center"/>
          </w:tcPr>
          <w:p>
            <w:pPr>
              <w:spacing w:line="360" w:lineRule="exact"/>
              <w:rPr>
                <w:rFonts w:ascii="黑体" w:hAnsi="黑体"/>
                <w:szCs w:val="21"/>
              </w:rPr>
            </w:pPr>
            <w:r>
              <w:rPr>
                <w:rFonts w:hint="eastAsia" w:ascii="黑体" w:hAnsi="黑体"/>
                <w:szCs w:val="21"/>
              </w:rPr>
              <w:t>专业</w:t>
            </w:r>
          </w:p>
        </w:tc>
        <w:tc>
          <w:tcPr>
            <w:tcW w:w="709" w:type="dxa"/>
            <w:tcBorders>
              <w:right w:val="single" w:color="auto" w:sz="4" w:space="0"/>
            </w:tcBorders>
            <w:vAlign w:val="center"/>
          </w:tcPr>
          <w:p>
            <w:pPr>
              <w:spacing w:line="360" w:lineRule="exact"/>
              <w:rPr>
                <w:rFonts w:ascii="黑体" w:hAnsi="黑体"/>
                <w:szCs w:val="21"/>
              </w:rPr>
            </w:pPr>
            <w:r>
              <w:rPr>
                <w:rFonts w:hint="eastAsia" w:ascii="黑体" w:hAnsi="黑体"/>
                <w:szCs w:val="21"/>
              </w:rPr>
              <w:t>职务</w:t>
            </w:r>
          </w:p>
        </w:tc>
        <w:tc>
          <w:tcPr>
            <w:tcW w:w="1269" w:type="dxa"/>
            <w:tcBorders>
              <w:left w:val="single" w:color="auto" w:sz="4" w:space="0"/>
            </w:tcBorders>
            <w:vAlign w:val="center"/>
          </w:tcPr>
          <w:p>
            <w:pPr>
              <w:spacing w:line="360" w:lineRule="exact"/>
              <w:rPr>
                <w:rFonts w:ascii="黑体" w:hAnsi="黑体"/>
                <w:szCs w:val="21"/>
              </w:rPr>
            </w:pPr>
            <w:r>
              <w:rPr>
                <w:rFonts w:hint="eastAsia" w:ascii="黑体" w:hAnsi="黑体"/>
                <w:szCs w:val="21"/>
              </w:rPr>
              <w:t>在本项目中担任的岗位</w:t>
            </w:r>
          </w:p>
        </w:tc>
        <w:tc>
          <w:tcPr>
            <w:tcW w:w="1385" w:type="dxa"/>
            <w:vAlign w:val="center"/>
          </w:tcPr>
          <w:p>
            <w:pPr>
              <w:spacing w:line="360" w:lineRule="exact"/>
              <w:rPr>
                <w:rFonts w:ascii="黑体" w:hAnsi="黑体"/>
                <w:szCs w:val="21"/>
              </w:rPr>
            </w:pPr>
            <w:r>
              <w:rPr>
                <w:rFonts w:hint="eastAsia" w:ascii="黑体" w:hAnsi="黑体"/>
                <w:szCs w:val="21"/>
              </w:rPr>
              <w:t>从事类似工作年限</w:t>
            </w:r>
          </w:p>
        </w:tc>
        <w:tc>
          <w:tcPr>
            <w:tcW w:w="714" w:type="dxa"/>
            <w:vAlign w:val="center"/>
          </w:tcPr>
          <w:p>
            <w:pPr>
              <w:spacing w:line="360" w:lineRule="exact"/>
              <w:rPr>
                <w:rFonts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spacing w:line="360" w:lineRule="exact"/>
              <w:rPr>
                <w:rFonts w:ascii="黑体" w:hAnsi="黑体"/>
                <w:szCs w:val="21"/>
              </w:rPr>
            </w:pPr>
            <w:r>
              <w:rPr>
                <w:rFonts w:hint="eastAsia" w:ascii="黑体" w:hAnsi="黑体"/>
                <w:szCs w:val="21"/>
              </w:rPr>
              <w:t>项目负责人</w:t>
            </w: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spacing w:line="360" w:lineRule="exact"/>
              <w:rPr>
                <w:rFonts w:ascii="黑体" w:hAnsi="黑体"/>
                <w:szCs w:val="21"/>
              </w:rPr>
            </w:pPr>
            <w:r>
              <w:rPr>
                <w:rFonts w:hint="eastAsia" w:ascii="黑体" w:hAnsi="黑体"/>
                <w:szCs w:val="21"/>
              </w:rPr>
              <w:t>其他人员</w:t>
            </w: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spacing w:line="360" w:lineRule="exact"/>
              <w:rPr>
                <w:rFonts w:ascii="黑体" w:hAnsi="黑体"/>
                <w:szCs w:val="21"/>
              </w:rPr>
            </w:pPr>
          </w:p>
        </w:tc>
        <w:tc>
          <w:tcPr>
            <w:tcW w:w="1303" w:type="dxa"/>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spacing w:line="360" w:lineRule="exact"/>
              <w:rPr>
                <w:rFonts w:ascii="黑体" w:hAnsi="黑体"/>
                <w:szCs w:val="21"/>
              </w:rPr>
            </w:pPr>
          </w:p>
        </w:tc>
        <w:tc>
          <w:tcPr>
            <w:tcW w:w="1303" w:type="dxa"/>
            <w:tcBorders>
              <w:bottom w:val="single" w:color="auto" w:sz="4" w:space="0"/>
            </w:tcBorders>
            <w:vAlign w:val="center"/>
          </w:tcPr>
          <w:p>
            <w:pPr>
              <w:spacing w:line="360" w:lineRule="exact"/>
              <w:rPr>
                <w:rFonts w:ascii="黑体" w:hAnsi="黑体"/>
                <w:szCs w:val="21"/>
              </w:rPr>
            </w:pPr>
          </w:p>
        </w:tc>
        <w:tc>
          <w:tcPr>
            <w:tcW w:w="797" w:type="dxa"/>
            <w:tcBorders>
              <w:right w:val="single" w:color="auto" w:sz="4" w:space="0"/>
            </w:tcBorders>
            <w:vAlign w:val="center"/>
          </w:tcPr>
          <w:p>
            <w:pPr>
              <w:spacing w:line="360" w:lineRule="exact"/>
              <w:rPr>
                <w:rFonts w:ascii="黑体" w:hAnsi="黑体"/>
                <w:szCs w:val="21"/>
              </w:rPr>
            </w:pPr>
          </w:p>
        </w:tc>
        <w:tc>
          <w:tcPr>
            <w:tcW w:w="963" w:type="dxa"/>
            <w:tcBorders>
              <w:left w:val="single" w:color="auto" w:sz="4" w:space="0"/>
            </w:tcBorders>
            <w:vAlign w:val="center"/>
          </w:tcPr>
          <w:p>
            <w:pPr>
              <w:spacing w:line="360" w:lineRule="exact"/>
              <w:rPr>
                <w:rFonts w:ascii="黑体" w:hAnsi="黑体"/>
                <w:szCs w:val="21"/>
              </w:rPr>
            </w:pPr>
          </w:p>
        </w:tc>
        <w:tc>
          <w:tcPr>
            <w:tcW w:w="791" w:type="dxa"/>
            <w:vAlign w:val="center"/>
          </w:tcPr>
          <w:p>
            <w:pPr>
              <w:spacing w:line="360" w:lineRule="exact"/>
              <w:rPr>
                <w:rFonts w:ascii="黑体" w:hAnsi="黑体"/>
                <w:szCs w:val="21"/>
              </w:rPr>
            </w:pPr>
          </w:p>
        </w:tc>
        <w:tc>
          <w:tcPr>
            <w:tcW w:w="709" w:type="dxa"/>
            <w:tcBorders>
              <w:right w:val="single" w:color="auto" w:sz="4" w:space="0"/>
            </w:tcBorders>
            <w:vAlign w:val="center"/>
          </w:tcPr>
          <w:p>
            <w:pPr>
              <w:spacing w:line="360" w:lineRule="exact"/>
              <w:rPr>
                <w:rFonts w:ascii="黑体" w:hAnsi="黑体"/>
                <w:szCs w:val="21"/>
              </w:rPr>
            </w:pPr>
          </w:p>
        </w:tc>
        <w:tc>
          <w:tcPr>
            <w:tcW w:w="1269" w:type="dxa"/>
            <w:tcBorders>
              <w:left w:val="single" w:color="auto" w:sz="4" w:space="0"/>
            </w:tcBorders>
            <w:vAlign w:val="center"/>
          </w:tcPr>
          <w:p>
            <w:pPr>
              <w:spacing w:line="360" w:lineRule="exact"/>
              <w:rPr>
                <w:rFonts w:ascii="黑体" w:hAnsi="黑体"/>
                <w:szCs w:val="21"/>
              </w:rPr>
            </w:pPr>
          </w:p>
        </w:tc>
        <w:tc>
          <w:tcPr>
            <w:tcW w:w="1385" w:type="dxa"/>
            <w:vAlign w:val="center"/>
          </w:tcPr>
          <w:p>
            <w:pPr>
              <w:spacing w:line="360" w:lineRule="exact"/>
              <w:rPr>
                <w:rFonts w:ascii="黑体" w:hAnsi="黑体"/>
                <w:szCs w:val="21"/>
              </w:rPr>
            </w:pPr>
          </w:p>
        </w:tc>
        <w:tc>
          <w:tcPr>
            <w:tcW w:w="714" w:type="dxa"/>
            <w:vAlign w:val="center"/>
          </w:tcPr>
          <w:p>
            <w:pPr>
              <w:spacing w:line="360" w:lineRule="exact"/>
              <w:rPr>
                <w:rFonts w:ascii="黑体" w:hAnsi="黑体"/>
                <w:szCs w:val="21"/>
              </w:rPr>
            </w:pPr>
          </w:p>
        </w:tc>
      </w:tr>
    </w:tbl>
    <w:p>
      <w:pPr>
        <w:pStyle w:val="11"/>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1"/>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17"/>
        <w:rPr>
          <w:rFonts w:ascii="仿宋_GB2312" w:eastAsia="仿宋_GB2312"/>
          <w:sz w:val="24"/>
        </w:rPr>
      </w:pPr>
    </w:p>
    <w:p>
      <w:pPr>
        <w:rPr>
          <w:rFonts w:ascii="宋体" w:hAnsi="宋体"/>
          <w:color w:val="000000"/>
        </w:rPr>
      </w:pPr>
    </w:p>
    <w:p>
      <w:pPr>
        <w:spacing w:line="380" w:lineRule="exact"/>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bookmarkStart w:id="360" w:name="_Toc26038"/>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（十）投标人近三年类似业绩表</w:t>
      </w:r>
      <w:bookmarkEnd w:id="344"/>
      <w:bookmarkEnd w:id="360"/>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p>
    <w:tbl>
      <w:tblPr>
        <w:tblStyle w:val="24"/>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2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autoSpaceDE w:val="0"/>
              <w:autoSpaceDN w:val="0"/>
              <w:adjustRightInd w:val="0"/>
              <w:spacing w:line="380" w:lineRule="exact"/>
              <w:ind w:right="-107" w:rightChars="-51"/>
              <w:jc w:val="center"/>
              <w:rPr>
                <w:rFonts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autoSpaceDE w:val="0"/>
              <w:autoSpaceDN w:val="0"/>
              <w:adjustRightInd w:val="0"/>
              <w:spacing w:line="38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spacing w:line="380" w:lineRule="exact"/>
              <w:rPr>
                <w:rFonts w:ascii="仿宋" w:hAnsi="仿宋" w:eastAsia="仿宋" w:cs="仿宋"/>
                <w:sz w:val="24"/>
                <w:szCs w:val="20"/>
              </w:rPr>
            </w:pPr>
          </w:p>
        </w:tc>
        <w:tc>
          <w:tcPr>
            <w:tcW w:w="3296"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c>
          <w:tcPr>
            <w:tcW w:w="1963"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spacing w:line="380" w:lineRule="exact"/>
              <w:rPr>
                <w:rFonts w:ascii="仿宋" w:hAnsi="仿宋" w:eastAsia="仿宋" w:cs="仿宋"/>
                <w:sz w:val="24"/>
                <w:szCs w:val="20"/>
              </w:rPr>
            </w:pPr>
            <w:r>
              <w:rPr>
                <w:rFonts w:hint="eastAsia" w:ascii="仿宋" w:hAnsi="仿宋" w:eastAsia="仿宋" w:cs="仿宋"/>
                <w:sz w:val="24"/>
                <w:szCs w:val="20"/>
              </w:rPr>
              <w:t>………</w:t>
            </w:r>
          </w:p>
        </w:tc>
        <w:tc>
          <w:tcPr>
            <w:tcW w:w="3296"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c>
          <w:tcPr>
            <w:tcW w:w="1963" w:type="dxa"/>
          </w:tcPr>
          <w:p>
            <w:pPr>
              <w:spacing w:line="380" w:lineRule="exact"/>
              <w:rPr>
                <w:rFonts w:ascii="仿宋" w:hAnsi="仿宋" w:eastAsia="仿宋" w:cs="仿宋"/>
                <w:sz w:val="24"/>
                <w:szCs w:val="20"/>
              </w:rPr>
            </w:pPr>
          </w:p>
        </w:tc>
        <w:tc>
          <w:tcPr>
            <w:tcW w:w="1251" w:type="dxa"/>
          </w:tcPr>
          <w:p>
            <w:pPr>
              <w:spacing w:line="380" w:lineRule="exact"/>
              <w:rPr>
                <w:rFonts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注：投标人（仅限于投标人自己实施的）以上业绩需提供有关书面证明材料。“中标金额”需提供中标通知书</w:t>
      </w:r>
      <w:r>
        <w:rPr>
          <w:rFonts w:hint="eastAsia" w:ascii="仿宋" w:hAnsi="仿宋" w:eastAsia="仿宋" w:cs="仿宋"/>
          <w:szCs w:val="20"/>
          <w:lang w:eastAsia="zh-CN"/>
        </w:rPr>
        <w:t>和</w:t>
      </w:r>
      <w:r>
        <w:rPr>
          <w:rFonts w:hint="eastAsia" w:ascii="仿宋" w:hAnsi="仿宋" w:eastAsia="仿宋" w:cs="仿宋"/>
          <w:szCs w:val="20"/>
        </w:rPr>
        <w:t>成交合同复印件；“验收结果”需提供用户单位书面证明材料。</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Start w:id="361" w:name="_Toc10015_WPSOffice_Level2"/>
      <w:bookmarkStart w:id="362" w:name="_Toc5115"/>
      <w:bookmarkStart w:id="363" w:name="_Toc288"/>
      <w:bookmarkStart w:id="364" w:name="_Toc29509"/>
      <w:bookmarkStart w:id="365" w:name="_Toc27671"/>
      <w:bookmarkStart w:id="366" w:name="_Toc25174"/>
      <w:bookmarkStart w:id="367" w:name="_Toc21899"/>
      <w:bookmarkStart w:id="368" w:name="_Toc531"/>
      <w:bookmarkStart w:id="369" w:name="_Toc17340"/>
      <w:bookmarkStart w:id="370" w:name="_Toc22369"/>
      <w:bookmarkStart w:id="371" w:name="_Toc19247"/>
      <w:bookmarkStart w:id="372" w:name="_Toc1365"/>
      <w:bookmarkStart w:id="373" w:name="_Toc32375"/>
      <w:bookmarkStart w:id="374" w:name="_Toc5813"/>
      <w:bookmarkStart w:id="375" w:name="_Toc8343"/>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61"/>
    <w:p>
      <w:pPr>
        <w:pStyle w:val="4"/>
        <w:spacing w:before="0" w:line="240" w:lineRule="atLeast"/>
        <w:jc w:val="center"/>
        <w:rPr>
          <w:rFonts w:ascii="仿宋" w:hAnsi="仿宋" w:eastAsia="仿宋" w:cs="仿宋"/>
          <w:sz w:val="30"/>
          <w:szCs w:val="30"/>
        </w:rPr>
      </w:pPr>
      <w:bookmarkStart w:id="376" w:name="_Toc14965"/>
      <w:r>
        <w:rPr>
          <w:rFonts w:hint="eastAsia" w:ascii="仿宋" w:hAnsi="仿宋" w:eastAsia="仿宋" w:cs="仿宋"/>
          <w:sz w:val="30"/>
          <w:szCs w:val="30"/>
        </w:rPr>
        <w:t>（十一）投标人企业（单位）类型声明函</w:t>
      </w:r>
      <w:bookmarkEnd w:id="376"/>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377" w:name="_Toc13776"/>
      <w:bookmarkStart w:id="378" w:name="_Toc11803"/>
      <w:bookmarkStart w:id="379" w:name="_Toc10977"/>
      <w:bookmarkStart w:id="380" w:name="_Toc515647824"/>
    </w:p>
    <w:p>
      <w:pPr>
        <w:spacing w:line="380" w:lineRule="exact"/>
        <w:jc w:val="center"/>
        <w:rPr>
          <w:rFonts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（十二）制造商企业（单位）类型声明函</w:t>
      </w:r>
      <w:bookmarkEnd w:id="377"/>
      <w:bookmarkEnd w:id="378"/>
      <w:bookmarkEnd w:id="379"/>
      <w:bookmarkEnd w:id="380"/>
    </w:p>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b/>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rPr>
          <w:rFonts w:ascii="仿宋" w:hAnsi="仿宋" w:eastAsia="仿宋" w:cs="仿宋"/>
          <w:sz w:val="30"/>
          <w:szCs w:val="30"/>
        </w:rPr>
      </w:pPr>
      <w:bookmarkStart w:id="381" w:name="_Toc19284"/>
      <w:bookmarkStart w:id="382" w:name="_Toc515647825"/>
      <w:bookmarkStart w:id="383" w:name="_Toc24603"/>
      <w:bookmarkStart w:id="384" w:name="_Toc23068"/>
      <w:bookmarkStart w:id="385" w:name="_Toc5160"/>
      <w:bookmarkStart w:id="386" w:name="OLE_LINK14"/>
      <w:bookmarkStart w:id="387" w:name="OLE_LINK13"/>
    </w:p>
    <w:p>
      <w:pPr>
        <w:pStyle w:val="4"/>
        <w:spacing w:before="0" w:line="240" w:lineRule="atLeast"/>
        <w:ind w:firstLine="2711" w:firstLineChars="900"/>
        <w:rPr>
          <w:rFonts w:ascii="仿宋" w:hAnsi="仿宋" w:eastAsia="仿宋" w:cs="仿宋"/>
          <w:sz w:val="30"/>
          <w:szCs w:val="30"/>
        </w:rPr>
      </w:pPr>
      <w:r>
        <w:rPr>
          <w:rFonts w:hint="eastAsia" w:ascii="仿宋" w:hAnsi="仿宋" w:eastAsia="仿宋" w:cs="仿宋"/>
          <w:sz w:val="30"/>
          <w:szCs w:val="30"/>
        </w:rPr>
        <w:t>（十三）残疾人福利性单位声明函</w:t>
      </w:r>
      <w:bookmarkEnd w:id="381"/>
      <w:bookmarkEnd w:id="382"/>
      <w:bookmarkEnd w:id="383"/>
      <w:bookmarkEnd w:id="384"/>
      <w:bookmarkEnd w:id="385"/>
    </w:p>
    <w:bookmarkEnd w:id="386"/>
    <w:bookmarkEnd w:id="387"/>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Pr>
        <w:rPr>
          <w:rFonts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4"/>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项目名称</w:t>
            </w:r>
          </w:p>
          <w:p>
            <w:pPr>
              <w:jc w:val="center"/>
              <w:rPr>
                <w:rFonts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jc w:val="center"/>
              <w:rPr>
                <w:rFonts w:ascii="仿宋" w:hAnsi="仿宋" w:eastAsia="仿宋" w:cs="仿宋"/>
                <w:b/>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jc w:val="center"/>
              <w:rPr>
                <w:rFonts w:ascii="仿宋" w:hAnsi="仿宋" w:eastAsia="仿宋" w:cs="仿宋"/>
                <w:b/>
                <w:bCs/>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jc w:val="center"/>
              <w:rPr>
                <w:rFonts w:ascii="仿宋" w:hAnsi="仿宋" w:eastAsia="仿宋" w:cs="仿宋"/>
                <w:b/>
                <w:sz w:val="24"/>
                <w:szCs w:val="20"/>
              </w:rPr>
            </w:pPr>
            <w:r>
              <w:rPr>
                <w:rFonts w:hint="eastAsia" w:ascii="仿宋" w:hAnsi="仿宋" w:eastAsia="仿宋" w:cs="仿宋"/>
                <w:b/>
                <w:sz w:val="24"/>
                <w:szCs w:val="20"/>
              </w:rPr>
              <w:t>合同完</w:t>
            </w:r>
          </w:p>
          <w:p>
            <w:pPr>
              <w:jc w:val="center"/>
              <w:rPr>
                <w:rFonts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jc w:val="center"/>
              <w:rPr>
                <w:rFonts w:ascii="仿宋" w:hAnsi="仿宋" w:eastAsia="仿宋" w:cs="仿宋"/>
                <w:b/>
                <w:sz w:val="24"/>
                <w:szCs w:val="20"/>
              </w:rPr>
            </w:pPr>
          </w:p>
        </w:tc>
        <w:tc>
          <w:tcPr>
            <w:tcW w:w="1485" w:type="dxa"/>
            <w:vAlign w:val="center"/>
          </w:tcPr>
          <w:p>
            <w:pPr>
              <w:jc w:val="center"/>
              <w:rPr>
                <w:rFonts w:ascii="仿宋" w:hAnsi="仿宋" w:eastAsia="仿宋" w:cs="仿宋"/>
                <w:b/>
                <w:sz w:val="24"/>
                <w:szCs w:val="20"/>
              </w:rPr>
            </w:pPr>
            <w:r>
              <w:rPr>
                <w:rFonts w:hint="eastAsia" w:ascii="仿宋" w:hAnsi="仿宋" w:eastAsia="仿宋" w:cs="仿宋"/>
                <w:b/>
                <w:sz w:val="24"/>
                <w:szCs w:val="20"/>
              </w:rPr>
              <w:t>项目验</w:t>
            </w:r>
          </w:p>
          <w:p>
            <w:pPr>
              <w:jc w:val="center"/>
              <w:rPr>
                <w:rFonts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jc w:val="center"/>
              <w:rPr>
                <w:rFonts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jc w:val="center"/>
              <w:rPr>
                <w:rFonts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jc w:val="center"/>
              <w:rPr>
                <w:rFonts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jc w:val="center"/>
              <w:rPr>
                <w:rFonts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设备</w:t>
            </w:r>
          </w:p>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jc w:val="center"/>
              <w:rPr>
                <w:rFonts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widowControl/>
              <w:jc w:val="center"/>
              <w:rPr>
                <w:rFonts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jc w:val="center"/>
              <w:rPr>
                <w:rFonts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47" w:type="dxa"/>
            <w:gridSpan w:val="8"/>
            <w:vAlign w:val="center"/>
          </w:tcPr>
          <w:p>
            <w:pPr>
              <w:jc w:val="center"/>
              <w:rPr>
                <w:rFonts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ind w:left="103" w:leftChars="49"/>
              <w:jc w:val="center"/>
              <w:rPr>
                <w:rFonts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专业技术或</w:t>
            </w:r>
          </w:p>
          <w:p>
            <w:pPr>
              <w:spacing w:line="320" w:lineRule="exact"/>
              <w:jc w:val="center"/>
              <w:rPr>
                <w:rFonts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ind w:left="103" w:leftChars="49"/>
              <w:jc w:val="center"/>
              <w:rPr>
                <w:rFonts w:ascii="仿宋" w:hAnsi="仿宋" w:eastAsia="仿宋" w:cs="仿宋"/>
                <w:b/>
                <w:sz w:val="24"/>
                <w:szCs w:val="20"/>
              </w:rPr>
            </w:pPr>
          </w:p>
        </w:tc>
        <w:tc>
          <w:tcPr>
            <w:tcW w:w="2290" w:type="dxa"/>
            <w:gridSpan w:val="3"/>
            <w:vAlign w:val="center"/>
          </w:tcPr>
          <w:p>
            <w:pPr>
              <w:spacing w:line="320" w:lineRule="exact"/>
              <w:jc w:val="center"/>
              <w:rPr>
                <w:rFonts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rPr>
                <w:rFonts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rPr>
                <w:rFonts w:ascii="仿宋" w:hAnsi="仿宋" w:eastAsia="仿宋" w:cs="仿宋"/>
                <w:b/>
                <w:sz w:val="24"/>
                <w:szCs w:val="20"/>
              </w:rPr>
            </w:pPr>
            <w:r>
              <w:rPr>
                <w:rFonts w:hint="eastAsia" w:ascii="仿宋" w:hAnsi="仿宋" w:eastAsia="仿宋" w:cs="仿宋"/>
                <w:b/>
                <w:sz w:val="24"/>
                <w:szCs w:val="20"/>
              </w:rPr>
              <w:t>供应商意见：（是否属实）</w:t>
            </w:r>
          </w:p>
          <w:p>
            <w:pPr>
              <w:rPr>
                <w:rFonts w:ascii="仿宋" w:hAnsi="仿宋" w:eastAsia="仿宋" w:cs="仿宋"/>
                <w:b/>
                <w:sz w:val="24"/>
                <w:szCs w:val="20"/>
              </w:rPr>
            </w:pPr>
          </w:p>
          <w:p>
            <w:pPr>
              <w:rPr>
                <w:rFonts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jc w:val="left"/>
              <w:rPr>
                <w:rFonts w:ascii="仿宋" w:hAnsi="仿宋" w:eastAsia="仿宋" w:cs="仿宋"/>
                <w:b/>
                <w:sz w:val="24"/>
                <w:szCs w:val="20"/>
              </w:rPr>
            </w:pPr>
          </w:p>
          <w:p>
            <w:pPr>
              <w:jc w:val="left"/>
              <w:rPr>
                <w:rFonts w:ascii="仿宋" w:hAnsi="仿宋" w:eastAsia="仿宋" w:cs="仿宋"/>
                <w:b/>
                <w:sz w:val="24"/>
                <w:szCs w:val="20"/>
              </w:rPr>
            </w:pPr>
            <w:r>
              <w:rPr>
                <w:rFonts w:hint="eastAsia" w:ascii="仿宋" w:hAnsi="仿宋" w:eastAsia="仿宋" w:cs="仿宋"/>
                <w:b/>
                <w:sz w:val="24"/>
                <w:szCs w:val="20"/>
              </w:rPr>
              <w:t>采购人意见:</w:t>
            </w:r>
          </w:p>
          <w:p>
            <w:pPr>
              <w:ind w:firstLine="1771" w:firstLineChars="735"/>
              <w:jc w:val="left"/>
              <w:rPr>
                <w:rFonts w:ascii="仿宋" w:hAnsi="仿宋" w:eastAsia="仿宋" w:cs="仿宋"/>
                <w:b/>
                <w:sz w:val="24"/>
                <w:szCs w:val="20"/>
              </w:rPr>
            </w:pPr>
          </w:p>
          <w:p>
            <w:pPr>
              <w:ind w:firstLine="2976" w:firstLineChars="1235"/>
              <w:rPr>
                <w:rFonts w:ascii="仿宋" w:hAnsi="仿宋" w:eastAsia="仿宋" w:cs="仿宋"/>
                <w:b/>
                <w:sz w:val="24"/>
                <w:szCs w:val="20"/>
              </w:rPr>
            </w:pPr>
            <w:r>
              <w:rPr>
                <w:rFonts w:hint="eastAsia" w:ascii="仿宋" w:hAnsi="仿宋" w:eastAsia="仿宋" w:cs="仿宋"/>
                <w:b/>
                <w:sz w:val="24"/>
                <w:szCs w:val="20"/>
              </w:rPr>
              <w:t>(是否合格)</w:t>
            </w:r>
          </w:p>
          <w:p>
            <w:pPr>
              <w:ind w:firstLine="1771" w:firstLineChars="735"/>
              <w:jc w:val="left"/>
              <w:rPr>
                <w:rFonts w:ascii="仿宋" w:hAnsi="仿宋" w:eastAsia="仿宋" w:cs="仿宋"/>
                <w:b/>
                <w:sz w:val="24"/>
                <w:szCs w:val="20"/>
              </w:rPr>
            </w:pPr>
          </w:p>
          <w:p>
            <w:pPr>
              <w:ind w:firstLine="1771" w:firstLineChars="735"/>
              <w:rPr>
                <w:rFonts w:ascii="仿宋" w:hAnsi="仿宋" w:eastAsia="仿宋" w:cs="仿宋"/>
                <w:b/>
                <w:sz w:val="24"/>
                <w:szCs w:val="20"/>
              </w:rPr>
            </w:pPr>
            <w:r>
              <w:rPr>
                <w:rFonts w:hint="eastAsia" w:ascii="仿宋" w:hAnsi="仿宋" w:eastAsia="仿宋" w:cs="仿宋"/>
                <w:b/>
                <w:sz w:val="24"/>
                <w:szCs w:val="20"/>
              </w:rPr>
              <w:t xml:space="preserve">                             采购人公章</w:t>
            </w:r>
          </w:p>
          <w:p>
            <w:pPr>
              <w:ind w:firstLine="1771" w:firstLineChars="735"/>
              <w:jc w:val="center"/>
              <w:rPr>
                <w:rFonts w:ascii="仿宋" w:hAnsi="仿宋" w:eastAsia="仿宋" w:cs="仿宋"/>
                <w:b/>
                <w:sz w:val="24"/>
                <w:szCs w:val="20"/>
              </w:rPr>
            </w:pPr>
          </w:p>
          <w:p>
            <w:pPr>
              <w:ind w:firstLine="1771" w:firstLineChars="735"/>
              <w:rPr>
                <w:rFonts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388"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388"/>
    </w:p>
    <w:p>
      <w:pPr>
        <w:widowControl/>
        <w:spacing w:line="440" w:lineRule="exact"/>
        <w:rPr>
          <w:rFonts w:ascii="宋体" w:hAnsi="宋体" w:cs="宋体"/>
          <w:b/>
          <w:bCs/>
          <w:color w:val="000000"/>
          <w:kern w:val="0"/>
          <w:sz w:val="24"/>
          <w:szCs w:val="24"/>
        </w:rPr>
      </w:pPr>
      <w:bookmarkStart w:id="389" w:name="_Toc11364"/>
      <w:bookmarkStart w:id="390" w:name="_Toc20004"/>
      <w:bookmarkStart w:id="391" w:name="_Toc12352"/>
      <w:r>
        <w:rPr>
          <w:rFonts w:hint="eastAsia" w:ascii="仿宋" w:hAnsi="仿宋" w:eastAsia="仿宋" w:cs="仿宋"/>
          <w:sz w:val="24"/>
          <w:szCs w:val="24"/>
          <w:lang w:eastAsia="zh-CN"/>
        </w:rPr>
        <w:t>昌吉州州人民医院（本项目由昌吉回族自治州卫生健康委员会组织部门集中采购）</w:t>
      </w:r>
      <w:r>
        <w:rPr>
          <w:rFonts w:hint="eastAsia" w:ascii="宋体" w:hAnsi="宋体" w:cs="宋体"/>
          <w:b/>
          <w:bCs/>
          <w:color w:val="000000"/>
          <w:kern w:val="0"/>
          <w:sz w:val="24"/>
          <w:szCs w:val="24"/>
        </w:rPr>
        <w:t>：</w:t>
      </w:r>
      <w:bookmarkEnd w:id="389"/>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val="en-US" w:eastAsia="zh-CN"/>
        </w:rPr>
        <w:t xml:space="preserve">     </w:t>
      </w:r>
      <w:r>
        <w:rPr>
          <w:rFonts w:hint="eastAsia" w:ascii="仿宋" w:hAnsi="仿宋" w:eastAsia="仿宋" w:cs="宋体"/>
          <w:color w:val="auto"/>
          <w:kern w:val="0"/>
          <w:sz w:val="24"/>
          <w:szCs w:val="24"/>
          <w:u w:val="single"/>
          <w:lang w:val="en-US" w:eastAsia="zh-CN"/>
        </w:rPr>
        <w:t xml:space="preserve"> </w:t>
      </w:r>
      <w:r>
        <w:rPr>
          <w:rFonts w:hint="eastAsia" w:ascii="仿宋" w:hAnsi="仿宋" w:eastAsia="仿宋" w:cs="宋体"/>
          <w:color w:val="auto"/>
          <w:kern w:val="0"/>
          <w:sz w:val="24"/>
          <w:szCs w:val="24"/>
          <w:u w:val="single"/>
        </w:rPr>
        <w:t xml:space="preserve"> )</w:t>
      </w:r>
      <w:r>
        <w:rPr>
          <w:rFonts w:hint="eastAsia" w:ascii="仿宋" w:hAnsi="仿宋" w:eastAsia="仿宋" w:cs="宋体"/>
          <w:color w:val="auto"/>
          <w:kern w:val="0"/>
          <w:sz w:val="24"/>
          <w:szCs w:val="24"/>
        </w:rPr>
        <w:t>履</w:t>
      </w:r>
      <w:r>
        <w:rPr>
          <w:rFonts w:hint="eastAsia" w:ascii="仿宋" w:hAnsi="仿宋" w:eastAsia="仿宋" w:cs="宋体"/>
          <w:color w:val="000000"/>
          <w:kern w:val="0"/>
          <w:sz w:val="24"/>
          <w:szCs w:val="24"/>
        </w:rPr>
        <w:t>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2" w:name="_Toc2304"/>
      <w:r>
        <w:rPr>
          <w:rFonts w:hint="eastAsia" w:ascii="仿宋" w:hAnsi="仿宋" w:eastAsia="仿宋" w:cs="Times New Roman"/>
          <w:b/>
          <w:bCs/>
          <w:color w:val="333333"/>
          <w:kern w:val="0"/>
          <w:sz w:val="24"/>
          <w:szCs w:val="24"/>
        </w:rPr>
        <w:t>收 款  单 位：</w:t>
      </w:r>
      <w:bookmarkEnd w:id="392"/>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3"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393"/>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4" w:name="_Toc14681"/>
      <w:r>
        <w:rPr>
          <w:rFonts w:hint="eastAsia" w:ascii="仿宋" w:hAnsi="仿宋" w:eastAsia="仿宋" w:cs="Times New Roman"/>
          <w:b/>
          <w:bCs/>
          <w:color w:val="333333"/>
          <w:kern w:val="0"/>
          <w:sz w:val="24"/>
          <w:szCs w:val="24"/>
        </w:rPr>
        <w:t>开户银行全称:</w:t>
      </w:r>
      <w:bookmarkEnd w:id="39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395"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395"/>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396"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396"/>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397" w:name="_Toc14906"/>
      <w:bookmarkStart w:id="398" w:name="_Toc22502"/>
      <w:bookmarkStart w:id="399" w:name="_Toc30653"/>
      <w:bookmarkStart w:id="400" w:name="_Toc10912"/>
      <w:bookmarkStart w:id="401" w:name="_Toc23779"/>
      <w:bookmarkStart w:id="402" w:name="_Toc13314"/>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390"/>
      <w:bookmarkEnd w:id="391"/>
      <w:bookmarkEnd w:id="397"/>
      <w:bookmarkEnd w:id="398"/>
      <w:bookmarkEnd w:id="399"/>
      <w:bookmarkEnd w:id="400"/>
      <w:bookmarkEnd w:id="401"/>
      <w:bookmarkEnd w:id="402"/>
    </w:p>
    <w:p>
      <w:pPr>
        <w:widowControl/>
        <w:autoSpaceDN w:val="0"/>
        <w:spacing w:line="440" w:lineRule="exact"/>
        <w:ind w:left="1636" w:leftChars="779" w:firstLine="3836" w:firstLineChars="1592"/>
        <w:jc w:val="left"/>
        <w:rPr>
          <w:rFonts w:ascii="仿宋" w:hAnsi="仿宋" w:eastAsia="仿宋" w:cs="Times New Roman"/>
          <w:b/>
          <w:bCs/>
          <w:color w:val="333333"/>
          <w:kern w:val="0"/>
          <w:sz w:val="24"/>
          <w:szCs w:val="24"/>
        </w:rPr>
      </w:pPr>
      <w:bookmarkStart w:id="403" w:name="_Toc8115"/>
      <w:bookmarkStart w:id="404" w:name="_Toc8836"/>
      <w:bookmarkStart w:id="405" w:name="_Toc16925"/>
      <w:bookmarkStart w:id="406" w:name="_Toc11054"/>
      <w:bookmarkStart w:id="407" w:name="_Toc2596"/>
      <w:bookmarkStart w:id="408" w:name="_Toc7297"/>
      <w:bookmarkStart w:id="409" w:name="_Toc25653"/>
      <w:bookmarkStart w:id="410" w:name="_Toc20490"/>
      <w:r>
        <w:rPr>
          <w:rFonts w:hint="eastAsia" w:ascii="仿宋" w:hAnsi="仿宋" w:eastAsia="仿宋" w:cs="Times New Roman"/>
          <w:b/>
          <w:color w:val="333333"/>
          <w:kern w:val="0"/>
          <w:sz w:val="24"/>
          <w:szCs w:val="24"/>
        </w:rPr>
        <w:t>年  月  日</w:t>
      </w:r>
      <w:bookmarkEnd w:id="403"/>
      <w:bookmarkEnd w:id="404"/>
      <w:bookmarkEnd w:id="405"/>
      <w:bookmarkEnd w:id="406"/>
      <w:bookmarkEnd w:id="407"/>
      <w:bookmarkEnd w:id="408"/>
      <w:bookmarkEnd w:id="409"/>
      <w:bookmarkEnd w:id="410"/>
    </w:p>
    <w:tbl>
      <w:tblPr>
        <w:tblStyle w:val="24"/>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rPr>
                <w:rFonts w:cs="Times New Roman"/>
                <w:b/>
                <w:sz w:val="24"/>
                <w:szCs w:val="20"/>
              </w:rPr>
            </w:pPr>
            <w:r>
              <w:rPr>
                <w:rFonts w:hint="eastAsia" w:cs="Times New Roman"/>
                <w:b/>
                <w:sz w:val="24"/>
                <w:szCs w:val="20"/>
              </w:rPr>
              <w:t>项目负责人签字：</w:t>
            </w:r>
          </w:p>
          <w:p>
            <w:pPr>
              <w:rPr>
                <w:rFonts w:cs="Times New Roman"/>
                <w:b/>
                <w:sz w:val="24"/>
                <w:szCs w:val="20"/>
              </w:rPr>
            </w:pPr>
          </w:p>
          <w:p>
            <w:pPr>
              <w:rPr>
                <w:rFonts w:cs="Times New Roman"/>
                <w:b/>
                <w:sz w:val="24"/>
                <w:szCs w:val="20"/>
              </w:rPr>
            </w:pPr>
            <w:r>
              <w:rPr>
                <w:rFonts w:hint="eastAsia" w:cs="Times New Roman"/>
                <w:b/>
                <w:sz w:val="24"/>
                <w:szCs w:val="20"/>
              </w:rPr>
              <w:t xml:space="preserve">                         年   月   日</w:t>
            </w:r>
          </w:p>
          <w:p>
            <w:pPr>
              <w:rPr>
                <w:rFonts w:cs="Times New Roman"/>
                <w:b/>
                <w:sz w:val="24"/>
                <w:szCs w:val="20"/>
              </w:rPr>
            </w:pPr>
          </w:p>
          <w:p>
            <w:pPr>
              <w:rPr>
                <w:rFonts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ind w:firstLine="944" w:firstLineChars="392"/>
              <w:rPr>
                <w:rFonts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pStyle w:val="8"/>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8"/>
        <w:rPr>
          <w:rFonts w:ascii="仿宋" w:hAnsi="仿宋" w:eastAsia="仿宋" w:cs="仿宋"/>
          <w:b/>
          <w:sz w:val="24"/>
          <w:szCs w:val="24"/>
        </w:rPr>
      </w:pPr>
    </w:p>
    <w:p>
      <w:pPr>
        <w:pStyle w:val="8"/>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sz w:val="24"/>
          <w:szCs w:val="24"/>
          <w:lang w:eastAsia="zh-CN"/>
        </w:rPr>
      </w:pPr>
      <w:r>
        <w:rPr>
          <w:rFonts w:hint="eastAsia" w:ascii="仿宋" w:hAnsi="仿宋" w:eastAsia="仿宋" w:cs="仿宋"/>
          <w:b/>
          <w:sz w:val="24"/>
          <w:szCs w:val="24"/>
          <w:lang w:eastAsia="zh-CN"/>
        </w:rPr>
        <w:t>如：保证金收据复印件</w:t>
      </w:r>
    </w:p>
    <w:sectPr>
      <w:footerReference r:id="rId10" w:type="first"/>
      <w:footerReference r:id="rId9"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5102"/>
        <w:tab w:val="clear" w:pos="4153"/>
      </w:tabs>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- 3 -</w:t>
                </w:r>
                <w:r>
                  <w:fldChar w:fldCharType="end"/>
                </w:r>
              </w:p>
            </w:txbxContent>
          </v:textbox>
        </v:shape>
      </w:pic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8"/>
      </w:rPr>
    </w:pPr>
    <w:r>
      <w:fldChar w:fldCharType="begin"/>
    </w:r>
    <w:r>
      <w:rPr>
        <w:rStyle w:val="28"/>
      </w:rPr>
      <w:instrText xml:space="preserve">PAGE  </w:instrText>
    </w:r>
    <w: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- 38 -</w:t>
                </w:r>
                <w:r>
                  <w:fldChar w:fldCharType="end"/>
                </w:r>
              </w:p>
            </w:txbxContent>
          </v:textbox>
        </v:shape>
      </w:pict>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4"/>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B891D12"/>
    <w:multiLevelType w:val="singleLevel"/>
    <w:tmpl w:val="EB891D12"/>
    <w:lvl w:ilvl="0" w:tentative="0">
      <w:start w:val="7"/>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A69EB5"/>
    <w:multiLevelType w:val="singleLevel"/>
    <w:tmpl w:val="03A69EB5"/>
    <w:lvl w:ilvl="0" w:tentative="0">
      <w:start w:val="2"/>
      <w:numFmt w:val="chineseCounting"/>
      <w:suff w:val="space"/>
      <w:lvlText w:val="第%1章"/>
      <w:lvlJc w:val="left"/>
      <w:rPr>
        <w:rFonts w:hint="eastAsia"/>
      </w:rPr>
    </w:lvl>
  </w:abstractNum>
  <w:abstractNum w:abstractNumId="4">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20364595"/>
    <w:multiLevelType w:val="singleLevel"/>
    <w:tmpl w:val="20364595"/>
    <w:lvl w:ilvl="0" w:tentative="0">
      <w:start w:val="2"/>
      <w:numFmt w:val="decimal"/>
      <w:suff w:val="nothing"/>
      <w:lvlText w:val="%1、"/>
      <w:lvlJc w:val="left"/>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77"/>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13E020B"/>
    <w:multiLevelType w:val="multilevel"/>
    <w:tmpl w:val="513E020B"/>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5EE156"/>
    <w:multiLevelType w:val="singleLevel"/>
    <w:tmpl w:val="775EE156"/>
    <w:lvl w:ilvl="0" w:tentative="0">
      <w:start w:val="1"/>
      <w:numFmt w:val="chineseCounting"/>
      <w:suff w:val="nothing"/>
      <w:lvlText w:val="（%1）"/>
      <w:lvlJc w:val="left"/>
      <w:rPr>
        <w:rFonts w:hint="eastAsia"/>
      </w:rPr>
    </w:lvl>
  </w:abstractNum>
  <w:num w:numId="1">
    <w:abstractNumId w:val="4"/>
  </w:num>
  <w:num w:numId="2">
    <w:abstractNumId w:val="6"/>
  </w:num>
  <w:num w:numId="3">
    <w:abstractNumId w:val="8"/>
  </w:num>
  <w:num w:numId="4">
    <w:abstractNumId w:val="0"/>
  </w:num>
  <w:num w:numId="5">
    <w:abstractNumId w:val="7"/>
  </w:num>
  <w:num w:numId="6">
    <w:abstractNumId w:val="5"/>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FD2"/>
    <w:rsid w:val="000B2A08"/>
    <w:rsid w:val="000C4F72"/>
    <w:rsid w:val="00164FD2"/>
    <w:rsid w:val="00181250"/>
    <w:rsid w:val="0020729E"/>
    <w:rsid w:val="002B5341"/>
    <w:rsid w:val="002F7447"/>
    <w:rsid w:val="00340A98"/>
    <w:rsid w:val="003676F3"/>
    <w:rsid w:val="003F77FD"/>
    <w:rsid w:val="004B56E4"/>
    <w:rsid w:val="006807E6"/>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F937E5"/>
    <w:rsid w:val="00FE2CBC"/>
    <w:rsid w:val="00FF23A7"/>
    <w:rsid w:val="010A219D"/>
    <w:rsid w:val="0117090E"/>
    <w:rsid w:val="012D6F4B"/>
    <w:rsid w:val="01474BAD"/>
    <w:rsid w:val="0151773A"/>
    <w:rsid w:val="015F2416"/>
    <w:rsid w:val="01656568"/>
    <w:rsid w:val="0176717D"/>
    <w:rsid w:val="01771D1C"/>
    <w:rsid w:val="017A7E8C"/>
    <w:rsid w:val="01815696"/>
    <w:rsid w:val="01880354"/>
    <w:rsid w:val="01985AC8"/>
    <w:rsid w:val="01C55583"/>
    <w:rsid w:val="01E94CCA"/>
    <w:rsid w:val="01F2114F"/>
    <w:rsid w:val="020C1E2B"/>
    <w:rsid w:val="020F0235"/>
    <w:rsid w:val="02494171"/>
    <w:rsid w:val="025F043D"/>
    <w:rsid w:val="02824E21"/>
    <w:rsid w:val="028E5A8A"/>
    <w:rsid w:val="02C75596"/>
    <w:rsid w:val="02CA6552"/>
    <w:rsid w:val="030D2753"/>
    <w:rsid w:val="03421698"/>
    <w:rsid w:val="03464843"/>
    <w:rsid w:val="03576B1A"/>
    <w:rsid w:val="035949DD"/>
    <w:rsid w:val="035E186B"/>
    <w:rsid w:val="03D30007"/>
    <w:rsid w:val="03F46FA0"/>
    <w:rsid w:val="041B6281"/>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5136C"/>
    <w:rsid w:val="06D16D3B"/>
    <w:rsid w:val="06E77E9C"/>
    <w:rsid w:val="06F17CCF"/>
    <w:rsid w:val="071C4968"/>
    <w:rsid w:val="07301B46"/>
    <w:rsid w:val="07857088"/>
    <w:rsid w:val="078855A7"/>
    <w:rsid w:val="078A7BD3"/>
    <w:rsid w:val="07910105"/>
    <w:rsid w:val="079F15C9"/>
    <w:rsid w:val="07A221B2"/>
    <w:rsid w:val="07DF6848"/>
    <w:rsid w:val="07FD5092"/>
    <w:rsid w:val="080D578C"/>
    <w:rsid w:val="08156C52"/>
    <w:rsid w:val="081F7D8D"/>
    <w:rsid w:val="082508ED"/>
    <w:rsid w:val="082C2790"/>
    <w:rsid w:val="083F344F"/>
    <w:rsid w:val="08602F1C"/>
    <w:rsid w:val="086D086A"/>
    <w:rsid w:val="08725C86"/>
    <w:rsid w:val="088E00AD"/>
    <w:rsid w:val="088E2FB2"/>
    <w:rsid w:val="089423BF"/>
    <w:rsid w:val="08AB02A9"/>
    <w:rsid w:val="08CA1BC7"/>
    <w:rsid w:val="08D47483"/>
    <w:rsid w:val="08D91440"/>
    <w:rsid w:val="09046405"/>
    <w:rsid w:val="09093BFC"/>
    <w:rsid w:val="091F5262"/>
    <w:rsid w:val="092E10A1"/>
    <w:rsid w:val="09536B71"/>
    <w:rsid w:val="095C37BE"/>
    <w:rsid w:val="09633768"/>
    <w:rsid w:val="09793656"/>
    <w:rsid w:val="09910B82"/>
    <w:rsid w:val="09975FFA"/>
    <w:rsid w:val="099D0A98"/>
    <w:rsid w:val="09C74452"/>
    <w:rsid w:val="09D74A0C"/>
    <w:rsid w:val="09E609B8"/>
    <w:rsid w:val="09EC7DA5"/>
    <w:rsid w:val="0A041680"/>
    <w:rsid w:val="0A053E03"/>
    <w:rsid w:val="0A376A32"/>
    <w:rsid w:val="0A5E185F"/>
    <w:rsid w:val="0A793E91"/>
    <w:rsid w:val="0A8F3A0B"/>
    <w:rsid w:val="0A93637B"/>
    <w:rsid w:val="0AAB4675"/>
    <w:rsid w:val="0AB4143B"/>
    <w:rsid w:val="0AD23A0B"/>
    <w:rsid w:val="0ADB7BA8"/>
    <w:rsid w:val="0B2B487D"/>
    <w:rsid w:val="0B3F41B2"/>
    <w:rsid w:val="0B426BFF"/>
    <w:rsid w:val="0B7A5CA5"/>
    <w:rsid w:val="0B9614BE"/>
    <w:rsid w:val="0BA10F01"/>
    <w:rsid w:val="0BB1173A"/>
    <w:rsid w:val="0BB51FD5"/>
    <w:rsid w:val="0BC85AD7"/>
    <w:rsid w:val="0BFB6358"/>
    <w:rsid w:val="0BFD7C3F"/>
    <w:rsid w:val="0C064E70"/>
    <w:rsid w:val="0C2D6EA4"/>
    <w:rsid w:val="0C315878"/>
    <w:rsid w:val="0C342F35"/>
    <w:rsid w:val="0C363F0C"/>
    <w:rsid w:val="0C3E4B62"/>
    <w:rsid w:val="0C535831"/>
    <w:rsid w:val="0C640998"/>
    <w:rsid w:val="0C6679D2"/>
    <w:rsid w:val="0C676F41"/>
    <w:rsid w:val="0C7D3F0A"/>
    <w:rsid w:val="0C7E7211"/>
    <w:rsid w:val="0CBA3E17"/>
    <w:rsid w:val="0D0E3012"/>
    <w:rsid w:val="0D280E73"/>
    <w:rsid w:val="0D29210B"/>
    <w:rsid w:val="0D3A372D"/>
    <w:rsid w:val="0D88314B"/>
    <w:rsid w:val="0D931CF8"/>
    <w:rsid w:val="0D936F90"/>
    <w:rsid w:val="0DCD0C05"/>
    <w:rsid w:val="0E066454"/>
    <w:rsid w:val="0E1671B1"/>
    <w:rsid w:val="0E170DC2"/>
    <w:rsid w:val="0E230DDE"/>
    <w:rsid w:val="0E2D2ABA"/>
    <w:rsid w:val="0E347F94"/>
    <w:rsid w:val="0E367AFD"/>
    <w:rsid w:val="0E686C91"/>
    <w:rsid w:val="0E6A537C"/>
    <w:rsid w:val="0E700A00"/>
    <w:rsid w:val="0E7C7688"/>
    <w:rsid w:val="0E815F0D"/>
    <w:rsid w:val="0E851AE9"/>
    <w:rsid w:val="0E9F0F3E"/>
    <w:rsid w:val="0EBB2E51"/>
    <w:rsid w:val="0ECB1C78"/>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C071B7"/>
    <w:rsid w:val="0FDC262F"/>
    <w:rsid w:val="0FE531C2"/>
    <w:rsid w:val="10311AFB"/>
    <w:rsid w:val="103C67F0"/>
    <w:rsid w:val="10467EC1"/>
    <w:rsid w:val="106F37A0"/>
    <w:rsid w:val="106F783A"/>
    <w:rsid w:val="107E40DD"/>
    <w:rsid w:val="10A723CF"/>
    <w:rsid w:val="10C241BD"/>
    <w:rsid w:val="10CF28B9"/>
    <w:rsid w:val="10E86DA5"/>
    <w:rsid w:val="10FC4BB7"/>
    <w:rsid w:val="11016C4E"/>
    <w:rsid w:val="110B55B1"/>
    <w:rsid w:val="11105BC5"/>
    <w:rsid w:val="113A40A4"/>
    <w:rsid w:val="115852A9"/>
    <w:rsid w:val="118B6354"/>
    <w:rsid w:val="11AD57E8"/>
    <w:rsid w:val="11B642D7"/>
    <w:rsid w:val="11B82F16"/>
    <w:rsid w:val="11B97C8C"/>
    <w:rsid w:val="11BD525C"/>
    <w:rsid w:val="11C651EA"/>
    <w:rsid w:val="11FA27CA"/>
    <w:rsid w:val="120A3F7C"/>
    <w:rsid w:val="120F5A4B"/>
    <w:rsid w:val="12272914"/>
    <w:rsid w:val="12312C73"/>
    <w:rsid w:val="123741D8"/>
    <w:rsid w:val="125E3489"/>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F1129B"/>
    <w:rsid w:val="142A2625"/>
    <w:rsid w:val="143102D7"/>
    <w:rsid w:val="14533359"/>
    <w:rsid w:val="147B6A7B"/>
    <w:rsid w:val="14BC3E72"/>
    <w:rsid w:val="14D376EF"/>
    <w:rsid w:val="14DC1AF4"/>
    <w:rsid w:val="14EF05EB"/>
    <w:rsid w:val="150B5BFA"/>
    <w:rsid w:val="1518434B"/>
    <w:rsid w:val="15791116"/>
    <w:rsid w:val="15802C9C"/>
    <w:rsid w:val="1593274C"/>
    <w:rsid w:val="159557A8"/>
    <w:rsid w:val="15A836F4"/>
    <w:rsid w:val="15AB3005"/>
    <w:rsid w:val="15BC3124"/>
    <w:rsid w:val="15C66D7D"/>
    <w:rsid w:val="15C850B1"/>
    <w:rsid w:val="15F85A43"/>
    <w:rsid w:val="15FA24B6"/>
    <w:rsid w:val="15FB7C3D"/>
    <w:rsid w:val="161B61EB"/>
    <w:rsid w:val="163D0862"/>
    <w:rsid w:val="16932201"/>
    <w:rsid w:val="16935BEA"/>
    <w:rsid w:val="169646A7"/>
    <w:rsid w:val="169D0ED8"/>
    <w:rsid w:val="16A76214"/>
    <w:rsid w:val="16E979C6"/>
    <w:rsid w:val="170548F4"/>
    <w:rsid w:val="174001C7"/>
    <w:rsid w:val="17417503"/>
    <w:rsid w:val="17496D84"/>
    <w:rsid w:val="174E2CAD"/>
    <w:rsid w:val="17522ED4"/>
    <w:rsid w:val="178648A8"/>
    <w:rsid w:val="178E24DD"/>
    <w:rsid w:val="1793491F"/>
    <w:rsid w:val="17A97592"/>
    <w:rsid w:val="17BE5480"/>
    <w:rsid w:val="17CB39ED"/>
    <w:rsid w:val="17CE3A24"/>
    <w:rsid w:val="180B55F1"/>
    <w:rsid w:val="1811107C"/>
    <w:rsid w:val="18135070"/>
    <w:rsid w:val="18266E5B"/>
    <w:rsid w:val="183F7C0F"/>
    <w:rsid w:val="184B48F4"/>
    <w:rsid w:val="187A4E7E"/>
    <w:rsid w:val="187B1937"/>
    <w:rsid w:val="187F650C"/>
    <w:rsid w:val="18A328CC"/>
    <w:rsid w:val="18B824B5"/>
    <w:rsid w:val="18E76EB1"/>
    <w:rsid w:val="18E77AC1"/>
    <w:rsid w:val="18EB3C08"/>
    <w:rsid w:val="190232C0"/>
    <w:rsid w:val="19206F6D"/>
    <w:rsid w:val="192632ED"/>
    <w:rsid w:val="1930573C"/>
    <w:rsid w:val="19395351"/>
    <w:rsid w:val="193F6188"/>
    <w:rsid w:val="196A09BA"/>
    <w:rsid w:val="19741AAD"/>
    <w:rsid w:val="197C1136"/>
    <w:rsid w:val="1998236B"/>
    <w:rsid w:val="1A1F4A81"/>
    <w:rsid w:val="1A212B85"/>
    <w:rsid w:val="1A456744"/>
    <w:rsid w:val="1A474348"/>
    <w:rsid w:val="1A5E1C59"/>
    <w:rsid w:val="1A862C63"/>
    <w:rsid w:val="1A8A68DE"/>
    <w:rsid w:val="1AA518F5"/>
    <w:rsid w:val="1AB23A8A"/>
    <w:rsid w:val="1AB42651"/>
    <w:rsid w:val="1AD14FFB"/>
    <w:rsid w:val="1ADF2334"/>
    <w:rsid w:val="1AF84DDC"/>
    <w:rsid w:val="1B1707D5"/>
    <w:rsid w:val="1B21757E"/>
    <w:rsid w:val="1B4F0257"/>
    <w:rsid w:val="1B576B72"/>
    <w:rsid w:val="1B843EF7"/>
    <w:rsid w:val="1B904B9B"/>
    <w:rsid w:val="1B95148F"/>
    <w:rsid w:val="1BDC06AF"/>
    <w:rsid w:val="1BE60757"/>
    <w:rsid w:val="1C186A38"/>
    <w:rsid w:val="1C2D5486"/>
    <w:rsid w:val="1C492209"/>
    <w:rsid w:val="1C581D0C"/>
    <w:rsid w:val="1C5A67D1"/>
    <w:rsid w:val="1C5F7614"/>
    <w:rsid w:val="1C6A7EB8"/>
    <w:rsid w:val="1C6F7772"/>
    <w:rsid w:val="1C7176CF"/>
    <w:rsid w:val="1C8048E4"/>
    <w:rsid w:val="1C8A5FFE"/>
    <w:rsid w:val="1C975071"/>
    <w:rsid w:val="1CA06721"/>
    <w:rsid w:val="1CAF217E"/>
    <w:rsid w:val="1CB16A0E"/>
    <w:rsid w:val="1CB64648"/>
    <w:rsid w:val="1CDC5838"/>
    <w:rsid w:val="1D1B5227"/>
    <w:rsid w:val="1D2553BF"/>
    <w:rsid w:val="1D3B3710"/>
    <w:rsid w:val="1D682795"/>
    <w:rsid w:val="1D6D367D"/>
    <w:rsid w:val="1D777203"/>
    <w:rsid w:val="1D8F444D"/>
    <w:rsid w:val="1D9073F6"/>
    <w:rsid w:val="1DAB7306"/>
    <w:rsid w:val="1DC70E25"/>
    <w:rsid w:val="1DE57361"/>
    <w:rsid w:val="1DE80843"/>
    <w:rsid w:val="1E0D1DEE"/>
    <w:rsid w:val="1E6E43B7"/>
    <w:rsid w:val="1E7939AA"/>
    <w:rsid w:val="1E9A0AF1"/>
    <w:rsid w:val="1EAF7E8E"/>
    <w:rsid w:val="1EBC2EB4"/>
    <w:rsid w:val="1ECD7726"/>
    <w:rsid w:val="1EDE7954"/>
    <w:rsid w:val="1EF068EE"/>
    <w:rsid w:val="1F142094"/>
    <w:rsid w:val="1F1651FE"/>
    <w:rsid w:val="1F322DCE"/>
    <w:rsid w:val="1F3A2332"/>
    <w:rsid w:val="1F487A87"/>
    <w:rsid w:val="1F4D50AD"/>
    <w:rsid w:val="1F8117D6"/>
    <w:rsid w:val="1F854CA0"/>
    <w:rsid w:val="1F9446D2"/>
    <w:rsid w:val="1F966745"/>
    <w:rsid w:val="1FD738DC"/>
    <w:rsid w:val="2006234E"/>
    <w:rsid w:val="20083052"/>
    <w:rsid w:val="200A390B"/>
    <w:rsid w:val="20596192"/>
    <w:rsid w:val="20871FD6"/>
    <w:rsid w:val="209C7EA7"/>
    <w:rsid w:val="20AE7BE7"/>
    <w:rsid w:val="20B63864"/>
    <w:rsid w:val="20B955DC"/>
    <w:rsid w:val="20BD2592"/>
    <w:rsid w:val="20BE44FC"/>
    <w:rsid w:val="20C71A59"/>
    <w:rsid w:val="20F55DDB"/>
    <w:rsid w:val="21133941"/>
    <w:rsid w:val="212A6CB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276200"/>
    <w:rsid w:val="233C7BF9"/>
    <w:rsid w:val="23510103"/>
    <w:rsid w:val="23814580"/>
    <w:rsid w:val="239D37CD"/>
    <w:rsid w:val="23B42BC6"/>
    <w:rsid w:val="23C34B5E"/>
    <w:rsid w:val="23C35C30"/>
    <w:rsid w:val="23E32BB3"/>
    <w:rsid w:val="23EE6260"/>
    <w:rsid w:val="242A22D5"/>
    <w:rsid w:val="244760C4"/>
    <w:rsid w:val="246951E8"/>
    <w:rsid w:val="246E70C6"/>
    <w:rsid w:val="247E463A"/>
    <w:rsid w:val="24801A6A"/>
    <w:rsid w:val="248955A8"/>
    <w:rsid w:val="24AD076B"/>
    <w:rsid w:val="24C31C7A"/>
    <w:rsid w:val="24CF70E6"/>
    <w:rsid w:val="24E41F9F"/>
    <w:rsid w:val="24EE164A"/>
    <w:rsid w:val="250709D7"/>
    <w:rsid w:val="2535301F"/>
    <w:rsid w:val="25410195"/>
    <w:rsid w:val="25654AF5"/>
    <w:rsid w:val="2579321E"/>
    <w:rsid w:val="25847256"/>
    <w:rsid w:val="25866F2C"/>
    <w:rsid w:val="25A41CE1"/>
    <w:rsid w:val="25AA7F73"/>
    <w:rsid w:val="25B10115"/>
    <w:rsid w:val="25B478B1"/>
    <w:rsid w:val="25C016EE"/>
    <w:rsid w:val="25C47C5E"/>
    <w:rsid w:val="25CB5B73"/>
    <w:rsid w:val="25CF5269"/>
    <w:rsid w:val="260A65E4"/>
    <w:rsid w:val="26146C5E"/>
    <w:rsid w:val="26171B6F"/>
    <w:rsid w:val="26290B71"/>
    <w:rsid w:val="26746D14"/>
    <w:rsid w:val="26795D76"/>
    <w:rsid w:val="26942464"/>
    <w:rsid w:val="26AC45FC"/>
    <w:rsid w:val="26BF4161"/>
    <w:rsid w:val="26DE1346"/>
    <w:rsid w:val="26DF0C06"/>
    <w:rsid w:val="26E455A0"/>
    <w:rsid w:val="26EB3EBC"/>
    <w:rsid w:val="26FA67D0"/>
    <w:rsid w:val="27205A77"/>
    <w:rsid w:val="273A69A0"/>
    <w:rsid w:val="276D18EC"/>
    <w:rsid w:val="27833035"/>
    <w:rsid w:val="278F296A"/>
    <w:rsid w:val="27952A05"/>
    <w:rsid w:val="279A72ED"/>
    <w:rsid w:val="27B103D2"/>
    <w:rsid w:val="27DC3C60"/>
    <w:rsid w:val="27DC4D54"/>
    <w:rsid w:val="27DD4F57"/>
    <w:rsid w:val="27DE59C8"/>
    <w:rsid w:val="280310D9"/>
    <w:rsid w:val="28032FC3"/>
    <w:rsid w:val="28440FCA"/>
    <w:rsid w:val="285955EF"/>
    <w:rsid w:val="285F2A2A"/>
    <w:rsid w:val="289E4CE4"/>
    <w:rsid w:val="28A22EF7"/>
    <w:rsid w:val="28BF5C29"/>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9DF25B4"/>
    <w:rsid w:val="2A02177D"/>
    <w:rsid w:val="2A3B21ED"/>
    <w:rsid w:val="2A456F9B"/>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A0F8E"/>
    <w:rsid w:val="2B8354EB"/>
    <w:rsid w:val="2B88624E"/>
    <w:rsid w:val="2B8A13A4"/>
    <w:rsid w:val="2BCF1947"/>
    <w:rsid w:val="2BD01DBA"/>
    <w:rsid w:val="2BD83515"/>
    <w:rsid w:val="2BE240B0"/>
    <w:rsid w:val="2BE94639"/>
    <w:rsid w:val="2BFF2DBD"/>
    <w:rsid w:val="2C1F076B"/>
    <w:rsid w:val="2C2B6576"/>
    <w:rsid w:val="2C44600B"/>
    <w:rsid w:val="2C52544F"/>
    <w:rsid w:val="2C611208"/>
    <w:rsid w:val="2C6F23AC"/>
    <w:rsid w:val="2C877179"/>
    <w:rsid w:val="2C8F7F51"/>
    <w:rsid w:val="2C9B46AE"/>
    <w:rsid w:val="2CA36A3C"/>
    <w:rsid w:val="2CAE068D"/>
    <w:rsid w:val="2CCA1D08"/>
    <w:rsid w:val="2CF6246F"/>
    <w:rsid w:val="2D1C7330"/>
    <w:rsid w:val="2D1D745D"/>
    <w:rsid w:val="2D6206D1"/>
    <w:rsid w:val="2D9F21FB"/>
    <w:rsid w:val="2DBB6FA6"/>
    <w:rsid w:val="2DD236B2"/>
    <w:rsid w:val="2E033867"/>
    <w:rsid w:val="2E0A007B"/>
    <w:rsid w:val="2E17449B"/>
    <w:rsid w:val="2E194E64"/>
    <w:rsid w:val="2E240E52"/>
    <w:rsid w:val="2E46595E"/>
    <w:rsid w:val="2E4F51D9"/>
    <w:rsid w:val="2E536AE5"/>
    <w:rsid w:val="2E88496A"/>
    <w:rsid w:val="2EB20716"/>
    <w:rsid w:val="2ECB0BB3"/>
    <w:rsid w:val="2ED10DCA"/>
    <w:rsid w:val="2F0E7C78"/>
    <w:rsid w:val="2F17183F"/>
    <w:rsid w:val="2F2029ED"/>
    <w:rsid w:val="2F4242F0"/>
    <w:rsid w:val="2F484DC0"/>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3731A"/>
    <w:rsid w:val="31441803"/>
    <w:rsid w:val="316F2BEF"/>
    <w:rsid w:val="31773287"/>
    <w:rsid w:val="3180471A"/>
    <w:rsid w:val="318115B7"/>
    <w:rsid w:val="31814360"/>
    <w:rsid w:val="318269EE"/>
    <w:rsid w:val="31A6571C"/>
    <w:rsid w:val="31A85571"/>
    <w:rsid w:val="31AF2E8C"/>
    <w:rsid w:val="31B75BC5"/>
    <w:rsid w:val="31D7487B"/>
    <w:rsid w:val="320831A7"/>
    <w:rsid w:val="320D00DC"/>
    <w:rsid w:val="32130E88"/>
    <w:rsid w:val="321836FC"/>
    <w:rsid w:val="322D126E"/>
    <w:rsid w:val="32310EFF"/>
    <w:rsid w:val="323F1671"/>
    <w:rsid w:val="324834D0"/>
    <w:rsid w:val="324C2D4D"/>
    <w:rsid w:val="324E06B7"/>
    <w:rsid w:val="326F1CC2"/>
    <w:rsid w:val="32704FAA"/>
    <w:rsid w:val="3271036A"/>
    <w:rsid w:val="328B70EF"/>
    <w:rsid w:val="32972159"/>
    <w:rsid w:val="32985625"/>
    <w:rsid w:val="32E7697E"/>
    <w:rsid w:val="33047647"/>
    <w:rsid w:val="33083753"/>
    <w:rsid w:val="33161AFD"/>
    <w:rsid w:val="33284BA5"/>
    <w:rsid w:val="336C37AD"/>
    <w:rsid w:val="337204F4"/>
    <w:rsid w:val="338024EA"/>
    <w:rsid w:val="339E22CC"/>
    <w:rsid w:val="33A20E09"/>
    <w:rsid w:val="33AA4F1F"/>
    <w:rsid w:val="33CA20CB"/>
    <w:rsid w:val="33D8547F"/>
    <w:rsid w:val="33DA1E4D"/>
    <w:rsid w:val="33E01370"/>
    <w:rsid w:val="33E57FC9"/>
    <w:rsid w:val="33E947AF"/>
    <w:rsid w:val="33E94CD7"/>
    <w:rsid w:val="34086972"/>
    <w:rsid w:val="34092B00"/>
    <w:rsid w:val="340C2F6C"/>
    <w:rsid w:val="341A3B90"/>
    <w:rsid w:val="342530C6"/>
    <w:rsid w:val="34487ACB"/>
    <w:rsid w:val="347162F6"/>
    <w:rsid w:val="34827BD4"/>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E01492"/>
    <w:rsid w:val="36E17C86"/>
    <w:rsid w:val="36E2721B"/>
    <w:rsid w:val="36EA64D6"/>
    <w:rsid w:val="37030FE4"/>
    <w:rsid w:val="3704738C"/>
    <w:rsid w:val="37222105"/>
    <w:rsid w:val="374A0C46"/>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061D"/>
    <w:rsid w:val="398340D2"/>
    <w:rsid w:val="39C434D0"/>
    <w:rsid w:val="39DD054D"/>
    <w:rsid w:val="3A095087"/>
    <w:rsid w:val="3A0C6BC1"/>
    <w:rsid w:val="3A2D0D0F"/>
    <w:rsid w:val="3A3C461B"/>
    <w:rsid w:val="3A4E483B"/>
    <w:rsid w:val="3A723904"/>
    <w:rsid w:val="3A730CA2"/>
    <w:rsid w:val="3A766001"/>
    <w:rsid w:val="3A7A4256"/>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C2911FB"/>
    <w:rsid w:val="3C2D2972"/>
    <w:rsid w:val="3C560FB9"/>
    <w:rsid w:val="3C6C0773"/>
    <w:rsid w:val="3C793A16"/>
    <w:rsid w:val="3C7A04BF"/>
    <w:rsid w:val="3C883F13"/>
    <w:rsid w:val="3C9F192B"/>
    <w:rsid w:val="3CDA6064"/>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E472D"/>
    <w:rsid w:val="3E6919CE"/>
    <w:rsid w:val="3E7C3192"/>
    <w:rsid w:val="3E865D14"/>
    <w:rsid w:val="3EC50A8B"/>
    <w:rsid w:val="3EF25620"/>
    <w:rsid w:val="3F0D45F3"/>
    <w:rsid w:val="3F3131BE"/>
    <w:rsid w:val="3F3F7420"/>
    <w:rsid w:val="3F40749A"/>
    <w:rsid w:val="3F494595"/>
    <w:rsid w:val="3F5F4CCF"/>
    <w:rsid w:val="3F691783"/>
    <w:rsid w:val="3F7154CF"/>
    <w:rsid w:val="3F7B2282"/>
    <w:rsid w:val="3FB30217"/>
    <w:rsid w:val="3FBB11C5"/>
    <w:rsid w:val="3FC343B9"/>
    <w:rsid w:val="3FEC5FE8"/>
    <w:rsid w:val="40014BD7"/>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C9519A"/>
    <w:rsid w:val="42FA15F0"/>
    <w:rsid w:val="431B5D4C"/>
    <w:rsid w:val="43335817"/>
    <w:rsid w:val="433821EA"/>
    <w:rsid w:val="433F48FD"/>
    <w:rsid w:val="434635C6"/>
    <w:rsid w:val="434C38CA"/>
    <w:rsid w:val="437665D8"/>
    <w:rsid w:val="438C19B4"/>
    <w:rsid w:val="43921219"/>
    <w:rsid w:val="43921663"/>
    <w:rsid w:val="439A1E0E"/>
    <w:rsid w:val="43B86243"/>
    <w:rsid w:val="43E57EC3"/>
    <w:rsid w:val="4414155A"/>
    <w:rsid w:val="44240A76"/>
    <w:rsid w:val="44243B57"/>
    <w:rsid w:val="44285328"/>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EF1287"/>
    <w:rsid w:val="45F22F9C"/>
    <w:rsid w:val="460D577D"/>
    <w:rsid w:val="462A4EA0"/>
    <w:rsid w:val="465F1603"/>
    <w:rsid w:val="467D2180"/>
    <w:rsid w:val="46977ECC"/>
    <w:rsid w:val="46AE01DF"/>
    <w:rsid w:val="46CB5794"/>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4E5"/>
    <w:rsid w:val="49C23108"/>
    <w:rsid w:val="49CE7624"/>
    <w:rsid w:val="49EE5BEF"/>
    <w:rsid w:val="49FC79CF"/>
    <w:rsid w:val="4A01056E"/>
    <w:rsid w:val="4A07754C"/>
    <w:rsid w:val="4A107A80"/>
    <w:rsid w:val="4A2F6602"/>
    <w:rsid w:val="4A3A2314"/>
    <w:rsid w:val="4A444F53"/>
    <w:rsid w:val="4A573752"/>
    <w:rsid w:val="4A675977"/>
    <w:rsid w:val="4A7E27AC"/>
    <w:rsid w:val="4A9A492E"/>
    <w:rsid w:val="4AB92405"/>
    <w:rsid w:val="4AE72891"/>
    <w:rsid w:val="4B204E94"/>
    <w:rsid w:val="4B4256EB"/>
    <w:rsid w:val="4B8D52C1"/>
    <w:rsid w:val="4BA40333"/>
    <w:rsid w:val="4BA459D7"/>
    <w:rsid w:val="4BB01C74"/>
    <w:rsid w:val="4BC16D70"/>
    <w:rsid w:val="4BC3380D"/>
    <w:rsid w:val="4BFD15E4"/>
    <w:rsid w:val="4C104E64"/>
    <w:rsid w:val="4C150EB3"/>
    <w:rsid w:val="4C2D3271"/>
    <w:rsid w:val="4C441C7A"/>
    <w:rsid w:val="4C4E2067"/>
    <w:rsid w:val="4C5B2BFB"/>
    <w:rsid w:val="4C6D6F98"/>
    <w:rsid w:val="4C970E6C"/>
    <w:rsid w:val="4CAB0060"/>
    <w:rsid w:val="4CB901DA"/>
    <w:rsid w:val="4CC27BF1"/>
    <w:rsid w:val="4D1C3D15"/>
    <w:rsid w:val="4D2672D0"/>
    <w:rsid w:val="4D34519D"/>
    <w:rsid w:val="4D4802D8"/>
    <w:rsid w:val="4D5525B1"/>
    <w:rsid w:val="4D692F63"/>
    <w:rsid w:val="4D724516"/>
    <w:rsid w:val="4D7F3C08"/>
    <w:rsid w:val="4D8A3572"/>
    <w:rsid w:val="4D8A5B27"/>
    <w:rsid w:val="4D913549"/>
    <w:rsid w:val="4D955073"/>
    <w:rsid w:val="4D9D6A32"/>
    <w:rsid w:val="4DA1245D"/>
    <w:rsid w:val="4DBD507B"/>
    <w:rsid w:val="4DCA5887"/>
    <w:rsid w:val="4DF00801"/>
    <w:rsid w:val="4DF75C20"/>
    <w:rsid w:val="4E4A4897"/>
    <w:rsid w:val="4E537E84"/>
    <w:rsid w:val="4E5D38EB"/>
    <w:rsid w:val="4E6C6ECA"/>
    <w:rsid w:val="4E93490C"/>
    <w:rsid w:val="4E9974EE"/>
    <w:rsid w:val="4EA20C7D"/>
    <w:rsid w:val="4EA2238B"/>
    <w:rsid w:val="4EAB0F98"/>
    <w:rsid w:val="4EB3008C"/>
    <w:rsid w:val="4EB351B6"/>
    <w:rsid w:val="4ECD39B0"/>
    <w:rsid w:val="4EDF1E27"/>
    <w:rsid w:val="4EEB385C"/>
    <w:rsid w:val="4EF66275"/>
    <w:rsid w:val="4F0745F8"/>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C550F"/>
    <w:rsid w:val="50FA0A7C"/>
    <w:rsid w:val="50FC4C9B"/>
    <w:rsid w:val="512C393A"/>
    <w:rsid w:val="51407E57"/>
    <w:rsid w:val="518101CE"/>
    <w:rsid w:val="518F1C5C"/>
    <w:rsid w:val="51AC1368"/>
    <w:rsid w:val="51B026FD"/>
    <w:rsid w:val="51B61CC2"/>
    <w:rsid w:val="51BD2FA5"/>
    <w:rsid w:val="51E0790D"/>
    <w:rsid w:val="51F70286"/>
    <w:rsid w:val="52133D3E"/>
    <w:rsid w:val="521F6986"/>
    <w:rsid w:val="52205A6B"/>
    <w:rsid w:val="52434056"/>
    <w:rsid w:val="52470B19"/>
    <w:rsid w:val="52490E66"/>
    <w:rsid w:val="52680D43"/>
    <w:rsid w:val="52763890"/>
    <w:rsid w:val="52822BA6"/>
    <w:rsid w:val="52A8615E"/>
    <w:rsid w:val="52B7108F"/>
    <w:rsid w:val="52B844A1"/>
    <w:rsid w:val="52D7456E"/>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506CB4"/>
    <w:rsid w:val="55997CD0"/>
    <w:rsid w:val="55AD7EF0"/>
    <w:rsid w:val="55DF1C70"/>
    <w:rsid w:val="55FD3DE5"/>
    <w:rsid w:val="560B2A63"/>
    <w:rsid w:val="562F4C93"/>
    <w:rsid w:val="56305402"/>
    <w:rsid w:val="563453DE"/>
    <w:rsid w:val="563F58A0"/>
    <w:rsid w:val="565613FB"/>
    <w:rsid w:val="56603C9B"/>
    <w:rsid w:val="56607CC5"/>
    <w:rsid w:val="566901E2"/>
    <w:rsid w:val="5684329A"/>
    <w:rsid w:val="56866DDF"/>
    <w:rsid w:val="56A54004"/>
    <w:rsid w:val="56FB7796"/>
    <w:rsid w:val="570A789C"/>
    <w:rsid w:val="57273CDE"/>
    <w:rsid w:val="5767084A"/>
    <w:rsid w:val="57675486"/>
    <w:rsid w:val="576D181D"/>
    <w:rsid w:val="577E0195"/>
    <w:rsid w:val="579B080E"/>
    <w:rsid w:val="57E8419F"/>
    <w:rsid w:val="57EB1663"/>
    <w:rsid w:val="57F40803"/>
    <w:rsid w:val="57F63B81"/>
    <w:rsid w:val="57FC5DA1"/>
    <w:rsid w:val="580644E2"/>
    <w:rsid w:val="58072F49"/>
    <w:rsid w:val="581C6513"/>
    <w:rsid w:val="588D708F"/>
    <w:rsid w:val="58AF1D16"/>
    <w:rsid w:val="58D66337"/>
    <w:rsid w:val="59084B2C"/>
    <w:rsid w:val="59170AC5"/>
    <w:rsid w:val="592C4027"/>
    <w:rsid w:val="595D5FF2"/>
    <w:rsid w:val="59733355"/>
    <w:rsid w:val="597D2AC4"/>
    <w:rsid w:val="59EE3A67"/>
    <w:rsid w:val="5A1E5267"/>
    <w:rsid w:val="5A283C86"/>
    <w:rsid w:val="5A307CDA"/>
    <w:rsid w:val="5A334AD2"/>
    <w:rsid w:val="5A611B69"/>
    <w:rsid w:val="5A90170F"/>
    <w:rsid w:val="5AAA4A92"/>
    <w:rsid w:val="5AD35354"/>
    <w:rsid w:val="5AD61FCC"/>
    <w:rsid w:val="5AE25BFD"/>
    <w:rsid w:val="5AE3426C"/>
    <w:rsid w:val="5B171BF0"/>
    <w:rsid w:val="5B1F2037"/>
    <w:rsid w:val="5B354342"/>
    <w:rsid w:val="5B381D57"/>
    <w:rsid w:val="5B40123C"/>
    <w:rsid w:val="5B745A01"/>
    <w:rsid w:val="5B815974"/>
    <w:rsid w:val="5B855BEE"/>
    <w:rsid w:val="5B87770D"/>
    <w:rsid w:val="5BA27D49"/>
    <w:rsid w:val="5BA84372"/>
    <w:rsid w:val="5BB91435"/>
    <w:rsid w:val="5BBC3ADF"/>
    <w:rsid w:val="5BBC78E8"/>
    <w:rsid w:val="5BD33D6F"/>
    <w:rsid w:val="5C1924BC"/>
    <w:rsid w:val="5C2D5CF3"/>
    <w:rsid w:val="5C345FBC"/>
    <w:rsid w:val="5C3B6C08"/>
    <w:rsid w:val="5C434B19"/>
    <w:rsid w:val="5C7B2626"/>
    <w:rsid w:val="5C8753B8"/>
    <w:rsid w:val="5C8B302E"/>
    <w:rsid w:val="5C9246CF"/>
    <w:rsid w:val="5CA507C3"/>
    <w:rsid w:val="5CA635B0"/>
    <w:rsid w:val="5CA70DC2"/>
    <w:rsid w:val="5CE51295"/>
    <w:rsid w:val="5D030937"/>
    <w:rsid w:val="5D0C50BA"/>
    <w:rsid w:val="5D143A15"/>
    <w:rsid w:val="5D642F90"/>
    <w:rsid w:val="5D684DDB"/>
    <w:rsid w:val="5D706776"/>
    <w:rsid w:val="5D786FA9"/>
    <w:rsid w:val="5D872A8C"/>
    <w:rsid w:val="5D9C040A"/>
    <w:rsid w:val="5DC64E65"/>
    <w:rsid w:val="5DDA2135"/>
    <w:rsid w:val="5DDA7962"/>
    <w:rsid w:val="5DF67486"/>
    <w:rsid w:val="5E0A0A81"/>
    <w:rsid w:val="5E221AE7"/>
    <w:rsid w:val="5E295086"/>
    <w:rsid w:val="5E351D04"/>
    <w:rsid w:val="5E4664A1"/>
    <w:rsid w:val="5E490A33"/>
    <w:rsid w:val="5E725AA4"/>
    <w:rsid w:val="5E7C7B26"/>
    <w:rsid w:val="5EB76128"/>
    <w:rsid w:val="5EEC01A5"/>
    <w:rsid w:val="5F0A4E0E"/>
    <w:rsid w:val="5F12377E"/>
    <w:rsid w:val="5F392770"/>
    <w:rsid w:val="5F5A0902"/>
    <w:rsid w:val="5F610162"/>
    <w:rsid w:val="5F6419B5"/>
    <w:rsid w:val="5FA4213E"/>
    <w:rsid w:val="5FFC5FF3"/>
    <w:rsid w:val="601B05A0"/>
    <w:rsid w:val="60296118"/>
    <w:rsid w:val="602C1428"/>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AB0E12"/>
    <w:rsid w:val="62B102AC"/>
    <w:rsid w:val="62C11E9D"/>
    <w:rsid w:val="62C21243"/>
    <w:rsid w:val="62D03209"/>
    <w:rsid w:val="62E23370"/>
    <w:rsid w:val="62E546E1"/>
    <w:rsid w:val="62EE4DF0"/>
    <w:rsid w:val="62EF3BCA"/>
    <w:rsid w:val="62FC7CB8"/>
    <w:rsid w:val="630162BD"/>
    <w:rsid w:val="630E4B70"/>
    <w:rsid w:val="632335C7"/>
    <w:rsid w:val="63495B44"/>
    <w:rsid w:val="635953B3"/>
    <w:rsid w:val="636860DF"/>
    <w:rsid w:val="63730790"/>
    <w:rsid w:val="637536FD"/>
    <w:rsid w:val="63AF5CAD"/>
    <w:rsid w:val="63C20EA0"/>
    <w:rsid w:val="63D141BD"/>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56246E4"/>
    <w:rsid w:val="65652954"/>
    <w:rsid w:val="656B7B22"/>
    <w:rsid w:val="657A5DAB"/>
    <w:rsid w:val="65995B5D"/>
    <w:rsid w:val="65AF0698"/>
    <w:rsid w:val="65BD51BE"/>
    <w:rsid w:val="65C7368C"/>
    <w:rsid w:val="65D756AF"/>
    <w:rsid w:val="65DA4A03"/>
    <w:rsid w:val="65DD3FD0"/>
    <w:rsid w:val="65E63217"/>
    <w:rsid w:val="65F12B73"/>
    <w:rsid w:val="65F82138"/>
    <w:rsid w:val="661776A5"/>
    <w:rsid w:val="666A3731"/>
    <w:rsid w:val="66862423"/>
    <w:rsid w:val="66FC54CA"/>
    <w:rsid w:val="673116A9"/>
    <w:rsid w:val="67320D86"/>
    <w:rsid w:val="673A4495"/>
    <w:rsid w:val="67457087"/>
    <w:rsid w:val="675B5CD2"/>
    <w:rsid w:val="675E0AD0"/>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B31A2F"/>
    <w:rsid w:val="68BB1DD2"/>
    <w:rsid w:val="68BC590B"/>
    <w:rsid w:val="68C64B25"/>
    <w:rsid w:val="68CA328A"/>
    <w:rsid w:val="68F556FC"/>
    <w:rsid w:val="691F7E2B"/>
    <w:rsid w:val="693041B5"/>
    <w:rsid w:val="693E3A3F"/>
    <w:rsid w:val="694C44A6"/>
    <w:rsid w:val="69503867"/>
    <w:rsid w:val="6951504C"/>
    <w:rsid w:val="69594895"/>
    <w:rsid w:val="69694226"/>
    <w:rsid w:val="69754746"/>
    <w:rsid w:val="69960D43"/>
    <w:rsid w:val="69D0227A"/>
    <w:rsid w:val="69D41B10"/>
    <w:rsid w:val="69DB3A7C"/>
    <w:rsid w:val="69E7240F"/>
    <w:rsid w:val="69F32BC3"/>
    <w:rsid w:val="69FE629B"/>
    <w:rsid w:val="6A0920FC"/>
    <w:rsid w:val="6A0F19F2"/>
    <w:rsid w:val="6A205725"/>
    <w:rsid w:val="6A251F0F"/>
    <w:rsid w:val="6A541C66"/>
    <w:rsid w:val="6A5E1D34"/>
    <w:rsid w:val="6A7313C5"/>
    <w:rsid w:val="6A76683A"/>
    <w:rsid w:val="6A921FA8"/>
    <w:rsid w:val="6A9B6781"/>
    <w:rsid w:val="6AAC1371"/>
    <w:rsid w:val="6AC92C22"/>
    <w:rsid w:val="6AD45EC1"/>
    <w:rsid w:val="6AEB58DE"/>
    <w:rsid w:val="6AF26029"/>
    <w:rsid w:val="6B045EE7"/>
    <w:rsid w:val="6B0512A5"/>
    <w:rsid w:val="6B213B2D"/>
    <w:rsid w:val="6B3C66FF"/>
    <w:rsid w:val="6B493781"/>
    <w:rsid w:val="6B5E2CDA"/>
    <w:rsid w:val="6B621E0C"/>
    <w:rsid w:val="6B8030F5"/>
    <w:rsid w:val="6BAD0271"/>
    <w:rsid w:val="6BD60EEB"/>
    <w:rsid w:val="6BDF5174"/>
    <w:rsid w:val="6BE3504C"/>
    <w:rsid w:val="6BEE3CC0"/>
    <w:rsid w:val="6BF55B48"/>
    <w:rsid w:val="6BF71579"/>
    <w:rsid w:val="6BFA5804"/>
    <w:rsid w:val="6C063AF3"/>
    <w:rsid w:val="6C3E63DC"/>
    <w:rsid w:val="6C424009"/>
    <w:rsid w:val="6C596DB8"/>
    <w:rsid w:val="6C5B3716"/>
    <w:rsid w:val="6C667D0B"/>
    <w:rsid w:val="6C75435B"/>
    <w:rsid w:val="6C865580"/>
    <w:rsid w:val="6C8E7C14"/>
    <w:rsid w:val="6CA433F3"/>
    <w:rsid w:val="6CB520C1"/>
    <w:rsid w:val="6D2215A7"/>
    <w:rsid w:val="6D274691"/>
    <w:rsid w:val="6D652726"/>
    <w:rsid w:val="6D835216"/>
    <w:rsid w:val="6DBD625E"/>
    <w:rsid w:val="6DC363D4"/>
    <w:rsid w:val="6DC808EA"/>
    <w:rsid w:val="6DC96011"/>
    <w:rsid w:val="6DCC5EFD"/>
    <w:rsid w:val="6DD860E4"/>
    <w:rsid w:val="6DED216E"/>
    <w:rsid w:val="6DF1641B"/>
    <w:rsid w:val="6DFD37FD"/>
    <w:rsid w:val="6E0B1CBE"/>
    <w:rsid w:val="6E3E4EA8"/>
    <w:rsid w:val="6E45159D"/>
    <w:rsid w:val="6E6F3A87"/>
    <w:rsid w:val="6E8A2715"/>
    <w:rsid w:val="6E955A76"/>
    <w:rsid w:val="6E9C51BA"/>
    <w:rsid w:val="6E9E7E78"/>
    <w:rsid w:val="6EA516E5"/>
    <w:rsid w:val="6EC0162E"/>
    <w:rsid w:val="6EC27E61"/>
    <w:rsid w:val="6EEE2ADC"/>
    <w:rsid w:val="6EEF5909"/>
    <w:rsid w:val="6EF627F8"/>
    <w:rsid w:val="6F0A7FEA"/>
    <w:rsid w:val="6F140343"/>
    <w:rsid w:val="6F247596"/>
    <w:rsid w:val="6F2C3E7E"/>
    <w:rsid w:val="6F7F6239"/>
    <w:rsid w:val="6F8C13A2"/>
    <w:rsid w:val="6F945EBA"/>
    <w:rsid w:val="6F9C44EC"/>
    <w:rsid w:val="6FDB71CA"/>
    <w:rsid w:val="6FF6649D"/>
    <w:rsid w:val="6FF77399"/>
    <w:rsid w:val="70021770"/>
    <w:rsid w:val="700A7DB6"/>
    <w:rsid w:val="70200776"/>
    <w:rsid w:val="70513EC8"/>
    <w:rsid w:val="707B7F9E"/>
    <w:rsid w:val="70895462"/>
    <w:rsid w:val="70966E98"/>
    <w:rsid w:val="709F700B"/>
    <w:rsid w:val="70B756ED"/>
    <w:rsid w:val="70C23486"/>
    <w:rsid w:val="70C96F58"/>
    <w:rsid w:val="71042F43"/>
    <w:rsid w:val="71334749"/>
    <w:rsid w:val="713A506B"/>
    <w:rsid w:val="716428E7"/>
    <w:rsid w:val="717B48BA"/>
    <w:rsid w:val="71971F5C"/>
    <w:rsid w:val="719F54E8"/>
    <w:rsid w:val="71A60CB9"/>
    <w:rsid w:val="71AE72C6"/>
    <w:rsid w:val="71C43062"/>
    <w:rsid w:val="71C97BEF"/>
    <w:rsid w:val="71EF7DB4"/>
    <w:rsid w:val="71F926E9"/>
    <w:rsid w:val="720B2B10"/>
    <w:rsid w:val="721E08FF"/>
    <w:rsid w:val="723E67FF"/>
    <w:rsid w:val="72457F73"/>
    <w:rsid w:val="725D6829"/>
    <w:rsid w:val="72603A6C"/>
    <w:rsid w:val="72686E96"/>
    <w:rsid w:val="726957B4"/>
    <w:rsid w:val="72756B50"/>
    <w:rsid w:val="72A24600"/>
    <w:rsid w:val="72C00307"/>
    <w:rsid w:val="72C55392"/>
    <w:rsid w:val="72C90BA4"/>
    <w:rsid w:val="72D70BBD"/>
    <w:rsid w:val="72E415CF"/>
    <w:rsid w:val="72FD0A77"/>
    <w:rsid w:val="72FD7D17"/>
    <w:rsid w:val="7312184D"/>
    <w:rsid w:val="73385F22"/>
    <w:rsid w:val="734014F2"/>
    <w:rsid w:val="734F03EB"/>
    <w:rsid w:val="735B3EDE"/>
    <w:rsid w:val="736D0863"/>
    <w:rsid w:val="73715681"/>
    <w:rsid w:val="737E205A"/>
    <w:rsid w:val="73810775"/>
    <w:rsid w:val="739A5D96"/>
    <w:rsid w:val="739F60A9"/>
    <w:rsid w:val="73A47DA0"/>
    <w:rsid w:val="73B264D6"/>
    <w:rsid w:val="73B952BA"/>
    <w:rsid w:val="73CA1D68"/>
    <w:rsid w:val="73FC6A55"/>
    <w:rsid w:val="7421558E"/>
    <w:rsid w:val="743416FA"/>
    <w:rsid w:val="744557CE"/>
    <w:rsid w:val="7468109B"/>
    <w:rsid w:val="746F6684"/>
    <w:rsid w:val="74823B1B"/>
    <w:rsid w:val="749D5F34"/>
    <w:rsid w:val="74B449D5"/>
    <w:rsid w:val="74BB4292"/>
    <w:rsid w:val="74BF16B0"/>
    <w:rsid w:val="74C51E5D"/>
    <w:rsid w:val="74CF2B1C"/>
    <w:rsid w:val="753C00E5"/>
    <w:rsid w:val="75520CDF"/>
    <w:rsid w:val="75676DCD"/>
    <w:rsid w:val="756B4204"/>
    <w:rsid w:val="7570448A"/>
    <w:rsid w:val="7584180C"/>
    <w:rsid w:val="759A576D"/>
    <w:rsid w:val="75A06A31"/>
    <w:rsid w:val="75B77899"/>
    <w:rsid w:val="763A5ADE"/>
    <w:rsid w:val="765009E3"/>
    <w:rsid w:val="76650257"/>
    <w:rsid w:val="76855028"/>
    <w:rsid w:val="76A11DEF"/>
    <w:rsid w:val="76AB15A7"/>
    <w:rsid w:val="76AF2221"/>
    <w:rsid w:val="76BB37A0"/>
    <w:rsid w:val="76F33EDC"/>
    <w:rsid w:val="772C2C13"/>
    <w:rsid w:val="773D398C"/>
    <w:rsid w:val="7743694D"/>
    <w:rsid w:val="776C5209"/>
    <w:rsid w:val="77772EFA"/>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F38E4"/>
    <w:rsid w:val="79130908"/>
    <w:rsid w:val="791F4C62"/>
    <w:rsid w:val="792736B5"/>
    <w:rsid w:val="79311321"/>
    <w:rsid w:val="796B0444"/>
    <w:rsid w:val="7997519F"/>
    <w:rsid w:val="799A174D"/>
    <w:rsid w:val="79A05BFC"/>
    <w:rsid w:val="79A809B0"/>
    <w:rsid w:val="79AD048E"/>
    <w:rsid w:val="7A3E45EB"/>
    <w:rsid w:val="7A5F5DC8"/>
    <w:rsid w:val="7A7B4C40"/>
    <w:rsid w:val="7A8228BD"/>
    <w:rsid w:val="7AA66A1C"/>
    <w:rsid w:val="7ACA4427"/>
    <w:rsid w:val="7AD67F63"/>
    <w:rsid w:val="7AE23A17"/>
    <w:rsid w:val="7AE2544A"/>
    <w:rsid w:val="7AF40F48"/>
    <w:rsid w:val="7AFF44D7"/>
    <w:rsid w:val="7B0901EE"/>
    <w:rsid w:val="7B196986"/>
    <w:rsid w:val="7B1F55DA"/>
    <w:rsid w:val="7B863F57"/>
    <w:rsid w:val="7B8837DA"/>
    <w:rsid w:val="7BB870F0"/>
    <w:rsid w:val="7BDA4BC7"/>
    <w:rsid w:val="7C3A1AFF"/>
    <w:rsid w:val="7C6161C3"/>
    <w:rsid w:val="7C7B56E0"/>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8E32A4"/>
    <w:rsid w:val="7DA01573"/>
    <w:rsid w:val="7DA845D7"/>
    <w:rsid w:val="7DB453B1"/>
    <w:rsid w:val="7DCE7BA7"/>
    <w:rsid w:val="7DE13900"/>
    <w:rsid w:val="7DF74C1A"/>
    <w:rsid w:val="7DFB63C1"/>
    <w:rsid w:val="7E1360A7"/>
    <w:rsid w:val="7E3716B3"/>
    <w:rsid w:val="7E551A77"/>
    <w:rsid w:val="7E6857A1"/>
    <w:rsid w:val="7E854E68"/>
    <w:rsid w:val="7EB3525E"/>
    <w:rsid w:val="7EC6564A"/>
    <w:rsid w:val="7ED14C6F"/>
    <w:rsid w:val="7ED8706A"/>
    <w:rsid w:val="7EDD7BB2"/>
    <w:rsid w:val="7F1211AA"/>
    <w:rsid w:val="7F204C44"/>
    <w:rsid w:val="7F364DF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
        <o:r id="V:Rule2"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4"/>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56"/>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Body Text"/>
    <w:basedOn w:val="1"/>
    <w:next w:val="9"/>
    <w:link w:val="61"/>
    <w:unhideWhenUsed/>
    <w:qFormat/>
    <w:uiPriority w:val="99"/>
    <w:pPr>
      <w:spacing w:after="120"/>
    </w:pPr>
  </w:style>
  <w:style w:type="paragraph" w:styleId="9">
    <w:name w:val="Quote"/>
    <w:basedOn w:val="1"/>
    <w:next w:val="1"/>
    <w:qFormat/>
    <w:uiPriority w:val="29"/>
    <w:pPr>
      <w:spacing w:beforeLines="50" w:afterLines="50" w:line="360" w:lineRule="auto"/>
    </w:pPr>
    <w:rPr>
      <w:i/>
      <w:iCs/>
      <w:color w:val="000000"/>
      <w:sz w:val="21"/>
      <w:szCs w:val="24"/>
      <w:lang w:val="zh-CN"/>
    </w:rPr>
  </w:style>
  <w:style w:type="paragraph" w:styleId="10">
    <w:name w:val="Body Text Indent"/>
    <w:basedOn w:val="1"/>
    <w:qFormat/>
    <w:uiPriority w:val="0"/>
    <w:pPr>
      <w:ind w:firstLine="630"/>
    </w:pPr>
    <w:rPr>
      <w:rFonts w:eastAsia="楷体_GB2312"/>
      <w:sz w:val="30"/>
      <w:szCs w:val="20"/>
    </w:rPr>
  </w:style>
  <w:style w:type="paragraph" w:styleId="11">
    <w:name w:val="Plain Text"/>
    <w:basedOn w:val="1"/>
    <w:qFormat/>
    <w:uiPriority w:val="0"/>
    <w:rPr>
      <w:rFonts w:ascii="宋体" w:hAnsi="Courier New"/>
      <w:szCs w:val="20"/>
    </w:rPr>
  </w:style>
  <w:style w:type="paragraph" w:styleId="12">
    <w:name w:val="Body Text Indent 2"/>
    <w:basedOn w:val="1"/>
    <w:link w:val="59"/>
    <w:qFormat/>
    <w:uiPriority w:val="99"/>
    <w:pPr>
      <w:ind w:firstLine="480"/>
    </w:pPr>
    <w:rPr>
      <w:rFonts w:ascii="宋体" w:hAnsi="宋体"/>
      <w:sz w:val="30"/>
      <w:szCs w:val="24"/>
    </w:rPr>
  </w:style>
  <w:style w:type="paragraph" w:styleId="13">
    <w:name w:val="Balloon Text"/>
    <w:basedOn w:val="1"/>
    <w:link w:val="55"/>
    <w:unhideWhenUsed/>
    <w:qFormat/>
    <w:uiPriority w:val="99"/>
    <w:rPr>
      <w:sz w:val="18"/>
      <w:szCs w:val="18"/>
    </w:rPr>
  </w:style>
  <w:style w:type="paragraph" w:styleId="14">
    <w:name w:val="footer"/>
    <w:basedOn w:val="1"/>
    <w:link w:val="52"/>
    <w:unhideWhenUsed/>
    <w:qFormat/>
    <w:uiPriority w:val="99"/>
    <w:pPr>
      <w:tabs>
        <w:tab w:val="center" w:pos="4153"/>
        <w:tab w:val="right" w:pos="8306"/>
      </w:tabs>
      <w:snapToGrid w:val="0"/>
      <w:jc w:val="left"/>
    </w:pPr>
    <w:rPr>
      <w:sz w:val="18"/>
      <w:szCs w:val="18"/>
    </w:rPr>
  </w:style>
  <w:style w:type="paragraph" w:styleId="15">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footnote text"/>
    <w:basedOn w:val="1"/>
    <w:qFormat/>
    <w:uiPriority w:val="0"/>
    <w:pPr>
      <w:adjustRightInd w:val="0"/>
      <w:spacing w:line="315" w:lineRule="atLeast"/>
      <w:textAlignment w:val="baseline"/>
    </w:pPr>
    <w:rPr>
      <w:rFonts w:ascii="宋体" w:hAnsi="宋体"/>
      <w:sz w:val="18"/>
      <w:szCs w:val="18"/>
    </w:rPr>
  </w:style>
  <w:style w:type="paragraph" w:styleId="18">
    <w:name w:val="toc 2"/>
    <w:basedOn w:val="1"/>
    <w:next w:val="1"/>
    <w:semiHidden/>
    <w:unhideWhenUsed/>
    <w:qFormat/>
    <w:uiPriority w:val="39"/>
    <w:pPr>
      <w:ind w:left="420" w:leftChars="200"/>
    </w:p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20">
    <w:name w:val="Normal (Web)"/>
    <w:basedOn w:val="1"/>
    <w:link w:val="58"/>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1">
    <w:name w:val="Title"/>
    <w:basedOn w:val="1"/>
    <w:next w:val="1"/>
    <w:link w:val="62"/>
    <w:qFormat/>
    <w:uiPriority w:val="0"/>
    <w:pPr>
      <w:jc w:val="center"/>
    </w:pPr>
    <w:rPr>
      <w:rFonts w:ascii="宋体" w:hAnsi="宋体" w:cs="Times New Roman"/>
      <w:b/>
      <w:sz w:val="32"/>
      <w:szCs w:val="24"/>
    </w:rPr>
  </w:style>
  <w:style w:type="paragraph" w:styleId="22">
    <w:name w:val="Body Text First Indent"/>
    <w:basedOn w:val="8"/>
    <w:qFormat/>
    <w:uiPriority w:val="0"/>
    <w:pPr>
      <w:spacing w:after="120"/>
      <w:ind w:firstLine="420" w:firstLineChars="100"/>
    </w:pPr>
    <w:rPr>
      <w:rFonts w:ascii="Times New Roman" w:hAnsi="Times New Roman" w:cs="Times New Roman"/>
      <w:sz w:val="21"/>
    </w:rPr>
  </w:style>
  <w:style w:type="paragraph" w:styleId="23">
    <w:name w:val="Body Text First Indent 2"/>
    <w:basedOn w:val="10"/>
    <w:qFormat/>
    <w:uiPriority w:val="0"/>
    <w:pPr>
      <w:ind w:firstLine="420" w:firstLineChars="200"/>
    </w:pPr>
    <w:rPr>
      <w:kern w:val="0"/>
      <w:sz w:val="20"/>
      <w:szCs w:val="24"/>
    </w:rPr>
  </w:style>
  <w:style w:type="table" w:styleId="25">
    <w:name w:val="Table Grid"/>
    <w:basedOn w:val="24"/>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basedOn w:val="26"/>
    <w:qFormat/>
    <w:uiPriority w:val="0"/>
  </w:style>
  <w:style w:type="character" w:styleId="29">
    <w:name w:val="Hyperlink"/>
    <w:unhideWhenUsed/>
    <w:qFormat/>
    <w:uiPriority w:val="99"/>
    <w:rPr>
      <w:color w:val="0000FF"/>
      <w:u w:val="single"/>
    </w:rPr>
  </w:style>
  <w:style w:type="paragraph" w:customStyle="1" w:styleId="3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Char"/>
    <w:basedOn w:val="1"/>
    <w:qFormat/>
    <w:uiPriority w:val="0"/>
    <w:pPr>
      <w:spacing w:line="240" w:lineRule="atLeast"/>
      <w:ind w:left="420" w:firstLine="420"/>
    </w:pPr>
    <w:rPr>
      <w:rFonts w:cs="Times New Roman"/>
      <w:kern w:val="0"/>
      <w:szCs w:val="21"/>
    </w:rPr>
  </w:style>
  <w:style w:type="paragraph" w:customStyle="1" w:styleId="32">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3">
    <w:name w:val="Char1"/>
    <w:basedOn w:val="1"/>
    <w:qFormat/>
    <w:uiPriority w:val="0"/>
    <w:pPr>
      <w:spacing w:line="240" w:lineRule="atLeast"/>
      <w:ind w:left="420" w:firstLine="420"/>
    </w:pPr>
    <w:rPr>
      <w:rFonts w:cs="Times New Roman"/>
      <w:kern w:val="0"/>
      <w:szCs w:val="21"/>
    </w:rPr>
  </w:style>
  <w:style w:type="paragraph" w:customStyle="1" w:styleId="34">
    <w:name w:val="列出段落1"/>
    <w:basedOn w:val="1"/>
    <w:qFormat/>
    <w:uiPriority w:val="99"/>
    <w:pPr>
      <w:ind w:firstLine="420" w:firstLineChars="200"/>
    </w:pPr>
  </w:style>
  <w:style w:type="paragraph" w:customStyle="1" w:styleId="35">
    <w:name w:val="WPSOffice手动目录 1"/>
    <w:qFormat/>
    <w:uiPriority w:val="0"/>
    <w:rPr>
      <w:rFonts w:ascii="Calibri" w:hAnsi="Calibri" w:eastAsia="宋体" w:cs="Times New Roman"/>
      <w:lang w:val="en-US" w:eastAsia="zh-CN" w:bidi="ar-SA"/>
    </w:rPr>
  </w:style>
  <w:style w:type="paragraph" w:customStyle="1" w:styleId="36">
    <w:name w:val="WPSOffice手动目录 2"/>
    <w:qFormat/>
    <w:uiPriority w:val="0"/>
    <w:pPr>
      <w:ind w:left="200" w:leftChars="200"/>
    </w:pPr>
    <w:rPr>
      <w:rFonts w:ascii="Calibri" w:hAnsi="Calibri" w:eastAsia="宋体" w:cs="Times New Roman"/>
      <w:lang w:val="en-US" w:eastAsia="zh-CN" w:bidi="ar-SA"/>
    </w:rPr>
  </w:style>
  <w:style w:type="paragraph" w:customStyle="1" w:styleId="37">
    <w:name w:val="Char2"/>
    <w:basedOn w:val="1"/>
    <w:qFormat/>
    <w:uiPriority w:val="0"/>
    <w:pPr>
      <w:spacing w:line="240" w:lineRule="atLeast"/>
      <w:ind w:left="420" w:firstLine="420"/>
    </w:pPr>
    <w:rPr>
      <w:rFonts w:cs="Times New Roman"/>
      <w:kern w:val="0"/>
      <w:szCs w:val="21"/>
    </w:rPr>
  </w:style>
  <w:style w:type="paragraph" w:customStyle="1" w:styleId="38">
    <w:name w:val="Char3"/>
    <w:basedOn w:val="1"/>
    <w:qFormat/>
    <w:uiPriority w:val="0"/>
    <w:pPr>
      <w:spacing w:line="240" w:lineRule="atLeast"/>
      <w:ind w:left="420" w:firstLine="420"/>
    </w:pPr>
    <w:rPr>
      <w:rFonts w:cs="Times New Roman"/>
      <w:kern w:val="0"/>
      <w:szCs w:val="21"/>
    </w:rPr>
  </w:style>
  <w:style w:type="paragraph" w:customStyle="1" w:styleId="39">
    <w:name w:val="采购二级"/>
    <w:basedOn w:val="1"/>
    <w:link w:val="57"/>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0">
    <w:name w:val="Char4"/>
    <w:basedOn w:val="1"/>
    <w:qFormat/>
    <w:uiPriority w:val="0"/>
    <w:pPr>
      <w:spacing w:line="240" w:lineRule="atLeast"/>
      <w:ind w:left="420" w:firstLine="420"/>
    </w:pPr>
    <w:rPr>
      <w:rFonts w:cs="Times New Roman"/>
      <w:kern w:val="0"/>
      <w:szCs w:val="21"/>
    </w:rPr>
  </w:style>
  <w:style w:type="paragraph" w:customStyle="1" w:styleId="41">
    <w:name w:val="Char5"/>
    <w:basedOn w:val="1"/>
    <w:qFormat/>
    <w:uiPriority w:val="0"/>
    <w:pPr>
      <w:spacing w:line="240" w:lineRule="atLeast"/>
      <w:ind w:left="420" w:firstLine="420"/>
    </w:pPr>
    <w:rPr>
      <w:rFonts w:cs="Times New Roman"/>
      <w:kern w:val="0"/>
      <w:szCs w:val="21"/>
    </w:rPr>
  </w:style>
  <w:style w:type="paragraph" w:customStyle="1" w:styleId="42">
    <w:name w:val="Char6"/>
    <w:basedOn w:val="1"/>
    <w:qFormat/>
    <w:uiPriority w:val="0"/>
    <w:pPr>
      <w:spacing w:line="240" w:lineRule="atLeast"/>
      <w:ind w:left="420" w:firstLine="420"/>
    </w:pPr>
    <w:rPr>
      <w:rFonts w:cs="Times New Roman"/>
      <w:kern w:val="0"/>
      <w:szCs w:val="21"/>
    </w:rPr>
  </w:style>
  <w:style w:type="paragraph" w:customStyle="1" w:styleId="43">
    <w:name w:val="Char7"/>
    <w:basedOn w:val="1"/>
    <w:qFormat/>
    <w:uiPriority w:val="0"/>
    <w:pPr>
      <w:spacing w:line="240" w:lineRule="atLeast"/>
      <w:ind w:left="420" w:firstLine="420"/>
    </w:pPr>
    <w:rPr>
      <w:rFonts w:cs="Times New Roman"/>
      <w:kern w:val="0"/>
      <w:szCs w:val="21"/>
    </w:rPr>
  </w:style>
  <w:style w:type="paragraph" w:customStyle="1" w:styleId="44">
    <w:name w:val="Char8"/>
    <w:basedOn w:val="1"/>
    <w:qFormat/>
    <w:uiPriority w:val="0"/>
    <w:pPr>
      <w:spacing w:line="240" w:lineRule="atLeast"/>
      <w:ind w:left="420" w:firstLine="420"/>
    </w:pPr>
    <w:rPr>
      <w:rFonts w:cs="Times New Roman"/>
      <w:kern w:val="0"/>
      <w:szCs w:val="21"/>
    </w:rPr>
  </w:style>
  <w:style w:type="paragraph" w:customStyle="1" w:styleId="45">
    <w:name w:val="Char9"/>
    <w:basedOn w:val="1"/>
    <w:qFormat/>
    <w:uiPriority w:val="0"/>
    <w:pPr>
      <w:spacing w:line="240" w:lineRule="atLeast"/>
      <w:ind w:left="420" w:firstLine="420"/>
    </w:pPr>
    <w:rPr>
      <w:rFonts w:cs="Times New Roman"/>
      <w:kern w:val="0"/>
      <w:szCs w:val="21"/>
    </w:rPr>
  </w:style>
  <w:style w:type="paragraph" w:customStyle="1" w:styleId="46">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47">
    <w:name w:val="列出段落2"/>
    <w:basedOn w:val="1"/>
    <w:qFormat/>
    <w:uiPriority w:val="0"/>
    <w:pPr>
      <w:ind w:firstLine="420" w:firstLineChars="200"/>
    </w:pPr>
    <w:rPr>
      <w:rFonts w:cs="Times New Roman"/>
      <w:szCs w:val="21"/>
    </w:rPr>
  </w:style>
  <w:style w:type="paragraph" w:customStyle="1" w:styleId="48">
    <w:name w:val="列出段落3"/>
    <w:basedOn w:val="1"/>
    <w:unhideWhenUsed/>
    <w:qFormat/>
    <w:uiPriority w:val="99"/>
    <w:pPr>
      <w:ind w:firstLine="420" w:firstLineChars="200"/>
    </w:pPr>
  </w:style>
  <w:style w:type="paragraph" w:customStyle="1" w:styleId="49">
    <w:name w:val="Char Char Char Char Char Char Char"/>
    <w:basedOn w:val="1"/>
    <w:qFormat/>
    <w:uiPriority w:val="0"/>
    <w:rPr>
      <w:rFonts w:ascii="Times New Roman" w:hAnsi="Times New Roman" w:cs="Times New Roman"/>
      <w:szCs w:val="24"/>
    </w:rPr>
  </w:style>
  <w:style w:type="paragraph" w:customStyle="1" w:styleId="50">
    <w:name w:val="Char Char Char Char Char Char Char1"/>
    <w:basedOn w:val="1"/>
    <w:qFormat/>
    <w:uiPriority w:val="0"/>
    <w:rPr>
      <w:rFonts w:ascii="Times New Roman" w:hAnsi="Times New Roman" w:cs="Times New Roman"/>
      <w:szCs w:val="24"/>
    </w:rPr>
  </w:style>
  <w:style w:type="character" w:customStyle="1" w:styleId="51">
    <w:name w:val="页眉 字符"/>
    <w:link w:val="15"/>
    <w:qFormat/>
    <w:uiPriority w:val="99"/>
    <w:rPr>
      <w:sz w:val="18"/>
      <w:szCs w:val="18"/>
    </w:rPr>
  </w:style>
  <w:style w:type="character" w:customStyle="1" w:styleId="52">
    <w:name w:val="页脚 字符"/>
    <w:link w:val="14"/>
    <w:qFormat/>
    <w:uiPriority w:val="99"/>
    <w:rPr>
      <w:sz w:val="18"/>
      <w:szCs w:val="18"/>
    </w:rPr>
  </w:style>
  <w:style w:type="character" w:customStyle="1" w:styleId="53">
    <w:name w:val="标题 1 字符"/>
    <w:link w:val="3"/>
    <w:qFormat/>
    <w:uiPriority w:val="9"/>
    <w:rPr>
      <w:b/>
      <w:bCs/>
      <w:kern w:val="44"/>
      <w:sz w:val="44"/>
      <w:szCs w:val="44"/>
    </w:rPr>
  </w:style>
  <w:style w:type="character" w:customStyle="1" w:styleId="54">
    <w:name w:val="标题 2 字符"/>
    <w:link w:val="4"/>
    <w:qFormat/>
    <w:uiPriority w:val="9"/>
    <w:rPr>
      <w:rFonts w:ascii="Cambria" w:hAnsi="Cambria" w:eastAsia="宋体" w:cs="黑体"/>
      <w:b/>
      <w:bCs/>
      <w:sz w:val="32"/>
      <w:szCs w:val="32"/>
    </w:rPr>
  </w:style>
  <w:style w:type="character" w:customStyle="1" w:styleId="55">
    <w:name w:val="批注框文本 字符"/>
    <w:link w:val="13"/>
    <w:semiHidden/>
    <w:qFormat/>
    <w:uiPriority w:val="99"/>
    <w:rPr>
      <w:sz w:val="18"/>
      <w:szCs w:val="18"/>
    </w:rPr>
  </w:style>
  <w:style w:type="character" w:customStyle="1" w:styleId="56">
    <w:name w:val="标题 3 字符"/>
    <w:link w:val="6"/>
    <w:qFormat/>
    <w:uiPriority w:val="9"/>
    <w:rPr>
      <w:b/>
      <w:bCs/>
      <w:sz w:val="32"/>
      <w:szCs w:val="32"/>
    </w:rPr>
  </w:style>
  <w:style w:type="character" w:customStyle="1" w:styleId="57">
    <w:name w:val="采购二级 Char"/>
    <w:link w:val="39"/>
    <w:qFormat/>
    <w:locked/>
    <w:uiPriority w:val="0"/>
    <w:rPr>
      <w:rFonts w:ascii="仿宋" w:hAnsi="仿宋" w:eastAsia="仿宋"/>
      <w:b/>
      <w:kern w:val="2"/>
      <w:sz w:val="24"/>
      <w:szCs w:val="24"/>
    </w:rPr>
  </w:style>
  <w:style w:type="character" w:customStyle="1" w:styleId="58">
    <w:name w:val="普通(网站) 字符"/>
    <w:link w:val="20"/>
    <w:qFormat/>
    <w:uiPriority w:val="0"/>
    <w:rPr>
      <w:rFonts w:ascii="宋体" w:hAnsi="宋体" w:cs="宋体"/>
      <w:color w:val="000000"/>
      <w:sz w:val="24"/>
      <w:szCs w:val="24"/>
    </w:rPr>
  </w:style>
  <w:style w:type="character" w:customStyle="1" w:styleId="59">
    <w:name w:val="正文文本缩进 2 字符"/>
    <w:link w:val="12"/>
    <w:qFormat/>
    <w:locked/>
    <w:uiPriority w:val="99"/>
    <w:rPr>
      <w:rFonts w:ascii="宋体" w:hAnsi="宋体"/>
      <w:kern w:val="2"/>
      <w:sz w:val="30"/>
      <w:szCs w:val="24"/>
    </w:rPr>
  </w:style>
  <w:style w:type="character" w:customStyle="1" w:styleId="60">
    <w:name w:val="正文文本缩进 2 Char1"/>
    <w:semiHidden/>
    <w:qFormat/>
    <w:uiPriority w:val="99"/>
    <w:rPr>
      <w:kern w:val="2"/>
      <w:sz w:val="21"/>
      <w:szCs w:val="22"/>
    </w:rPr>
  </w:style>
  <w:style w:type="character" w:customStyle="1" w:styleId="61">
    <w:name w:val="正文文本 字符"/>
    <w:link w:val="8"/>
    <w:qFormat/>
    <w:uiPriority w:val="99"/>
    <w:rPr>
      <w:kern w:val="2"/>
      <w:sz w:val="21"/>
      <w:szCs w:val="22"/>
    </w:rPr>
  </w:style>
  <w:style w:type="character" w:customStyle="1" w:styleId="62">
    <w:name w:val="标题 字符"/>
    <w:link w:val="21"/>
    <w:qFormat/>
    <w:uiPriority w:val="0"/>
    <w:rPr>
      <w:rFonts w:ascii="宋体" w:hAnsi="宋体"/>
      <w:b/>
      <w:kern w:val="2"/>
      <w:sz w:val="32"/>
      <w:szCs w:val="24"/>
    </w:rPr>
  </w:style>
  <w:style w:type="character" w:customStyle="1" w:styleId="63">
    <w:name w:val="font21"/>
    <w:qFormat/>
    <w:uiPriority w:val="0"/>
    <w:rPr>
      <w:rFonts w:hint="eastAsia" w:ascii="宋体" w:hAnsi="宋体" w:eastAsia="宋体" w:cs="宋体"/>
      <w:color w:val="000000"/>
      <w:sz w:val="24"/>
      <w:szCs w:val="24"/>
      <w:u w:val="none"/>
    </w:rPr>
  </w:style>
  <w:style w:type="paragraph" w:customStyle="1" w:styleId="64">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5">
    <w:name w:val="font11"/>
    <w:qFormat/>
    <w:uiPriority w:val="0"/>
    <w:rPr>
      <w:rFonts w:hint="eastAsia" w:ascii="宋体" w:hAnsi="宋体" w:eastAsia="宋体" w:cs="宋体"/>
      <w:color w:val="FF0000"/>
      <w:sz w:val="21"/>
      <w:szCs w:val="21"/>
      <w:u w:val="none"/>
    </w:rPr>
  </w:style>
  <w:style w:type="character" w:customStyle="1" w:styleId="66">
    <w:name w:val="font01"/>
    <w:qFormat/>
    <w:uiPriority w:val="0"/>
    <w:rPr>
      <w:rFonts w:hint="eastAsia" w:ascii="宋体" w:hAnsi="宋体" w:eastAsia="宋体" w:cs="宋体"/>
      <w:color w:val="000000"/>
      <w:sz w:val="21"/>
      <w:szCs w:val="21"/>
      <w:u w:val="none"/>
    </w:rPr>
  </w:style>
  <w:style w:type="character" w:customStyle="1" w:styleId="67">
    <w:name w:val="font51"/>
    <w:qFormat/>
    <w:uiPriority w:val="0"/>
    <w:rPr>
      <w:rFonts w:hint="eastAsia" w:ascii="仿宋" w:hAnsi="仿宋" w:eastAsia="仿宋" w:cs="仿宋"/>
      <w:color w:val="000000"/>
      <w:sz w:val="24"/>
      <w:szCs w:val="24"/>
      <w:u w:val="none"/>
    </w:rPr>
  </w:style>
  <w:style w:type="character" w:customStyle="1" w:styleId="68">
    <w:name w:val="font41"/>
    <w:qFormat/>
    <w:uiPriority w:val="0"/>
    <w:rPr>
      <w:rFonts w:hint="eastAsia" w:ascii="宋体" w:hAnsi="宋体" w:eastAsia="宋体" w:cs="宋体"/>
      <w:color w:val="000000"/>
      <w:sz w:val="21"/>
      <w:szCs w:val="21"/>
      <w:u w:val="none"/>
    </w:rPr>
  </w:style>
  <w:style w:type="character" w:customStyle="1" w:styleId="69">
    <w:name w:val="font61"/>
    <w:qFormat/>
    <w:uiPriority w:val="0"/>
    <w:rPr>
      <w:rFonts w:hint="eastAsia" w:ascii="仿宋" w:hAnsi="仿宋" w:eastAsia="仿宋" w:cs="仿宋"/>
      <w:color w:val="000000"/>
      <w:sz w:val="24"/>
      <w:szCs w:val="24"/>
      <w:u w:val="none"/>
    </w:rPr>
  </w:style>
  <w:style w:type="character" w:customStyle="1" w:styleId="70">
    <w:name w:val="font71"/>
    <w:qFormat/>
    <w:uiPriority w:val="0"/>
    <w:rPr>
      <w:rFonts w:hint="eastAsia" w:ascii="仿宋" w:hAnsi="仿宋" w:eastAsia="仿宋" w:cs="仿宋"/>
      <w:b/>
      <w:color w:val="000000"/>
      <w:sz w:val="24"/>
      <w:szCs w:val="24"/>
      <w:u w:val="none"/>
    </w:rPr>
  </w:style>
  <w:style w:type="character" w:customStyle="1" w:styleId="71">
    <w:name w:val="font81"/>
    <w:qFormat/>
    <w:uiPriority w:val="0"/>
    <w:rPr>
      <w:rFonts w:hint="eastAsia" w:ascii="宋体" w:hAnsi="宋体" w:eastAsia="宋体" w:cs="宋体"/>
      <w:b/>
      <w:color w:val="FF0000"/>
      <w:sz w:val="24"/>
      <w:szCs w:val="24"/>
      <w:u w:val="none"/>
    </w:rPr>
  </w:style>
  <w:style w:type="paragraph" w:customStyle="1" w:styleId="72">
    <w:name w:val="正文_0"/>
    <w:basedOn w:val="1"/>
    <w:qFormat/>
    <w:uiPriority w:val="0"/>
    <w:rPr>
      <w:rFonts w:ascii="Times New Roman" w:hAnsi="Times New Roman" w:cs="Times New Roman"/>
      <w:szCs w:val="20"/>
    </w:rPr>
  </w:style>
  <w:style w:type="character" w:customStyle="1" w:styleId="73">
    <w:name w:val="NormalCharacter"/>
    <w:qFormat/>
    <w:uiPriority w:val="0"/>
    <w:rPr>
      <w:rFonts w:ascii="Calibri" w:hAnsi="Calibri" w:eastAsia="宋体" w:cs="黑体"/>
      <w:kern w:val="2"/>
      <w:sz w:val="21"/>
      <w:szCs w:val="22"/>
      <w:lang w:val="en-US" w:eastAsia="zh-CN" w:bidi="ar-SA"/>
    </w:rPr>
  </w:style>
  <w:style w:type="paragraph" w:customStyle="1" w:styleId="74">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5">
    <w:name w:val="Table Paragraph"/>
    <w:basedOn w:val="1"/>
    <w:qFormat/>
    <w:uiPriority w:val="1"/>
    <w:pPr>
      <w:jc w:val="center"/>
    </w:pPr>
  </w:style>
  <w:style w:type="paragraph" w:styleId="76">
    <w:name w:val="List Paragraph"/>
    <w:basedOn w:val="1"/>
    <w:next w:val="15"/>
    <w:qFormat/>
    <w:uiPriority w:val="34"/>
    <w:pPr>
      <w:ind w:left="520" w:firstLine="419"/>
    </w:pPr>
  </w:style>
  <w:style w:type="paragraph" w:customStyle="1" w:styleId="77">
    <w:name w:val="标题 5（有编号）（绿盟科技）"/>
    <w:basedOn w:val="1"/>
    <w:next w:val="78"/>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78">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7" textRotate="1"/>
    <customShpInfo spid="_x0000_s3074"/>
    <customShpInfo spid="_x0000_s3073"/>
    <customShpInfo spid="_x0000_s3076"/>
    <customShpInfo spid="_x0000_s3075"/>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4792</Words>
  <Characters>27319</Characters>
  <Lines>227</Lines>
  <Paragraphs>64</Paragraphs>
  <TotalTime>7</TotalTime>
  <ScaleCrop>false</ScaleCrop>
  <LinksUpToDate>false</LinksUpToDate>
  <CharactersWithSpaces>32047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万岁 *</cp:lastModifiedBy>
  <cp:lastPrinted>2021-08-30T09:52:00Z</cp:lastPrinted>
  <dcterms:modified xsi:type="dcterms:W3CDTF">2021-11-24T12:08:26Z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DE9C00653C934DDBB4890C1030AF8ED9</vt:lpwstr>
  </property>
</Properties>
</file>