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b/>
          <w:sz w:val="24"/>
        </w:rPr>
      </w:pPr>
      <w:r>
        <w:rPr>
          <w:rFonts w:hint="eastAsia" w:ascii="楷体" w:hAnsi="楷体" w:eastAsia="楷体" w:cs="黑体,Bold"/>
          <w:b/>
          <w:bCs/>
          <w:sz w:val="48"/>
          <w:szCs w:val="48"/>
        </w:rPr>
        <w:drawing>
          <wp:inline distT="0" distB="0" distL="114300" distR="114300">
            <wp:extent cx="2200275" cy="337185"/>
            <wp:effectExtent l="0" t="0" r="0" b="5715"/>
            <wp:docPr id="3"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未命名"/>
                    <pic:cNvPicPr>
                      <a:picLocks noChangeAspect="1"/>
                    </pic:cNvPicPr>
                  </pic:nvPicPr>
                  <pic:blipFill>
                    <a:blip r:embed="rId10"/>
                    <a:stretch>
                      <a:fillRect/>
                    </a:stretch>
                  </pic:blipFill>
                  <pic:spPr>
                    <a:xfrm>
                      <a:off x="0" y="0"/>
                      <a:ext cx="2200275" cy="337185"/>
                    </a:xfrm>
                    <a:prstGeom prst="rect">
                      <a:avLst/>
                    </a:prstGeom>
                    <a:noFill/>
                    <a:ln>
                      <a:noFill/>
                    </a:ln>
                  </pic:spPr>
                </pic:pic>
              </a:graphicData>
            </a:graphic>
          </wp:inline>
        </w:drawing>
      </w:r>
    </w:p>
    <w:p>
      <w:pPr>
        <w:jc w:val="center"/>
        <w:rPr>
          <w:rFonts w:hint="eastAsia" w:ascii="楷体" w:hAnsi="楷体" w:eastAsia="楷体"/>
          <w:b/>
          <w:sz w:val="24"/>
        </w:rPr>
      </w:pPr>
    </w:p>
    <w:p>
      <w:pPr>
        <w:rPr>
          <w:rFonts w:hint="eastAsia" w:ascii="楷体" w:hAnsi="楷体" w:eastAsia="楷体"/>
          <w:b/>
          <w:sz w:val="24"/>
        </w:rPr>
      </w:pPr>
    </w:p>
    <w:p>
      <w:pPr>
        <w:jc w:val="center"/>
        <w:rPr>
          <w:rFonts w:hint="eastAsia" w:ascii="楷体" w:hAnsi="楷体" w:eastAsia="楷体"/>
          <w:b/>
          <w:sz w:val="24"/>
        </w:rPr>
      </w:pPr>
    </w:p>
    <w:p>
      <w:pPr>
        <w:jc w:val="center"/>
        <w:rPr>
          <w:rFonts w:hint="eastAsia" w:ascii="楷体" w:hAnsi="楷体" w:eastAsia="楷体"/>
          <w:b/>
          <w:sz w:val="24"/>
        </w:rPr>
      </w:pPr>
    </w:p>
    <w:p>
      <w:pPr>
        <w:jc w:val="center"/>
        <w:rPr>
          <w:rFonts w:hint="eastAsia" w:ascii="楷体" w:hAnsi="楷体" w:eastAsia="楷体"/>
          <w:b/>
          <w:sz w:val="24"/>
        </w:rPr>
      </w:pPr>
    </w:p>
    <w:p>
      <w:pPr>
        <w:jc w:val="center"/>
        <w:rPr>
          <w:rFonts w:ascii="楷体" w:hAnsi="楷体" w:eastAsia="楷体"/>
          <w:b/>
          <w:sz w:val="24"/>
        </w:rPr>
      </w:pPr>
    </w:p>
    <w:p>
      <w:pPr>
        <w:jc w:val="center"/>
        <w:rPr>
          <w:rFonts w:ascii="楷体" w:hAnsi="楷体" w:eastAsia="楷体"/>
          <w:b/>
          <w:sz w:val="24"/>
        </w:rPr>
      </w:pPr>
    </w:p>
    <w:p>
      <w:pPr>
        <w:jc w:val="center"/>
        <w:rPr>
          <w:rFonts w:ascii="楷体" w:hAnsi="楷体" w:eastAsia="楷体"/>
          <w:b/>
          <w:sz w:val="24"/>
        </w:rPr>
      </w:pPr>
    </w:p>
    <w:p>
      <w:pPr>
        <w:pStyle w:val="5"/>
        <w:tabs>
          <w:tab w:val="left" w:pos="1440"/>
          <w:tab w:val="left" w:pos="1620"/>
        </w:tabs>
        <w:ind w:firstLine="310" w:firstLineChars="37"/>
        <w:jc w:val="center"/>
        <w:outlineLvl w:val="0"/>
        <w:rPr>
          <w:rFonts w:hint="eastAsia" w:ascii="楷体" w:hAnsi="楷体" w:eastAsia="楷体"/>
          <w:b/>
          <w:spacing w:val="300"/>
          <w:sz w:val="84"/>
          <w:szCs w:val="84"/>
        </w:rPr>
      </w:pPr>
      <w:r>
        <w:rPr>
          <w:rFonts w:ascii="楷体" w:hAnsi="楷体" w:eastAsia="楷体"/>
          <w:b/>
          <w:sz w:val="84"/>
        </w:rPr>
        <w:t>竞争性磋商文件</w:t>
      </w:r>
    </w:p>
    <w:p>
      <w:pPr>
        <w:jc w:val="center"/>
        <w:rPr>
          <w:rFonts w:hint="eastAsia" w:ascii="楷体" w:hAnsi="楷体" w:eastAsia="楷体"/>
          <w:sz w:val="24"/>
        </w:rPr>
      </w:pPr>
    </w:p>
    <w:p>
      <w:pPr>
        <w:jc w:val="center"/>
        <w:rPr>
          <w:rFonts w:hint="eastAsia" w:ascii="楷体" w:hAnsi="楷体" w:eastAsia="楷体"/>
          <w:sz w:val="24"/>
        </w:rPr>
      </w:pPr>
    </w:p>
    <w:p>
      <w:pPr>
        <w:jc w:val="center"/>
        <w:rPr>
          <w:rFonts w:hint="eastAsia" w:ascii="楷体" w:hAnsi="楷体" w:eastAsia="楷体"/>
          <w:sz w:val="24"/>
        </w:rPr>
      </w:pPr>
    </w:p>
    <w:p>
      <w:pPr>
        <w:jc w:val="center"/>
        <w:rPr>
          <w:rFonts w:hint="eastAsia" w:ascii="楷体" w:hAnsi="楷体" w:eastAsia="楷体"/>
          <w:sz w:val="24"/>
        </w:rPr>
      </w:pPr>
    </w:p>
    <w:p>
      <w:pPr>
        <w:ind w:firstLine="1464" w:firstLineChars="488"/>
        <w:rPr>
          <w:rFonts w:hint="eastAsia" w:ascii="楷体" w:hAnsi="楷体" w:eastAsia="楷体"/>
          <w:b/>
          <w:sz w:val="30"/>
          <w:szCs w:val="30"/>
        </w:rPr>
      </w:pPr>
      <w:r>
        <w:rPr>
          <w:rFonts w:hint="eastAsia" w:ascii="楷体" w:hAnsi="楷体" w:eastAsia="楷体"/>
          <w:b/>
          <w:sz w:val="30"/>
          <w:szCs w:val="30"/>
        </w:rPr>
        <w:t xml:space="preserve">                   </w:t>
      </w:r>
    </w:p>
    <w:p>
      <w:pPr>
        <w:spacing w:line="360" w:lineRule="auto"/>
        <w:ind w:left="3337" w:leftChars="875" w:hanging="1500" w:hangingChars="500"/>
        <w:jc w:val="left"/>
        <w:rPr>
          <w:rFonts w:hint="eastAsia" w:ascii="仿宋_GB2312" w:eastAsia="仿宋_GB2312"/>
          <w:b/>
          <w:sz w:val="30"/>
          <w:szCs w:val="30"/>
        </w:rPr>
      </w:pPr>
      <w:bookmarkStart w:id="0" w:name="_Toc380479083"/>
      <w:bookmarkStart w:id="1" w:name="_Toc511641657"/>
      <w:bookmarkStart w:id="2" w:name="_Toc470496182"/>
      <w:r>
        <w:rPr>
          <w:rFonts w:hint="eastAsia" w:ascii="仿宋_GB2312" w:eastAsia="仿宋_GB2312"/>
          <w:b/>
          <w:sz w:val="30"/>
          <w:szCs w:val="30"/>
        </w:rPr>
        <w:t>项目名称:</w:t>
      </w:r>
      <w:r>
        <w:rPr>
          <w:rFonts w:hint="eastAsia" w:ascii="仿宋_GB2312" w:eastAsia="仿宋_GB2312"/>
          <w:b/>
          <w:sz w:val="30"/>
          <w:szCs w:val="30"/>
          <w:highlight w:val="none"/>
          <w:u w:val="single"/>
          <w:lang w:eastAsia="zh-CN"/>
        </w:rPr>
        <w:t>新疆维吾尔自治区计量测试研究院能耗大数据分析及碳计量应用系统</w:t>
      </w:r>
      <w:r>
        <w:rPr>
          <w:rFonts w:hint="eastAsia" w:ascii="仿宋_GB2312" w:eastAsia="仿宋_GB2312"/>
          <w:b/>
          <w:sz w:val="30"/>
          <w:szCs w:val="30"/>
          <w:highlight w:val="none"/>
          <w:u w:val="single"/>
          <w:lang w:val="en-US" w:eastAsia="zh-CN"/>
        </w:rPr>
        <w:t>研发</w:t>
      </w:r>
      <w:r>
        <w:rPr>
          <w:rFonts w:hint="eastAsia" w:ascii="仿宋_GB2312" w:eastAsia="仿宋_GB2312"/>
          <w:b/>
          <w:sz w:val="30"/>
          <w:szCs w:val="30"/>
          <w:highlight w:val="none"/>
          <w:u w:val="single"/>
          <w:lang w:eastAsia="zh-CN"/>
        </w:rPr>
        <w:t>项目</w:t>
      </w:r>
      <w:r>
        <w:rPr>
          <w:rFonts w:hint="eastAsia" w:ascii="仿宋_GB2312" w:eastAsia="仿宋_GB2312"/>
          <w:b/>
          <w:sz w:val="30"/>
          <w:szCs w:val="30"/>
        </w:rPr>
        <w:t>　</w:t>
      </w:r>
    </w:p>
    <w:p>
      <w:pPr>
        <w:spacing w:line="360" w:lineRule="auto"/>
        <w:ind w:left="644" w:leftChars="307" w:firstLine="1200" w:firstLineChars="400"/>
        <w:jc w:val="left"/>
        <w:rPr>
          <w:rFonts w:hint="eastAsia" w:ascii="仿宋_GB2312" w:eastAsia="仿宋_GB2312"/>
          <w:b/>
          <w:sz w:val="30"/>
          <w:szCs w:val="30"/>
        </w:rPr>
      </w:pPr>
      <w:r>
        <w:rPr>
          <w:rFonts w:hint="eastAsia" w:ascii="仿宋_GB2312" w:eastAsia="仿宋_GB2312"/>
          <w:b/>
          <w:sz w:val="30"/>
          <w:szCs w:val="30"/>
        </w:rPr>
        <w:t>项目编号：</w:t>
      </w:r>
      <w:r>
        <w:rPr>
          <w:rFonts w:hint="eastAsia" w:ascii="仿宋_GB2312" w:eastAsia="仿宋_GB2312"/>
          <w:b/>
          <w:sz w:val="30"/>
          <w:szCs w:val="30"/>
          <w:u w:val="single"/>
          <w:lang w:eastAsia="zh-CN"/>
        </w:rPr>
        <w:t>TC210Q143</w:t>
      </w:r>
      <w:r>
        <w:rPr>
          <w:rFonts w:hint="eastAsia" w:ascii="仿宋_GB2312" w:eastAsia="仿宋_GB2312"/>
          <w:b/>
          <w:sz w:val="30"/>
          <w:szCs w:val="30"/>
        </w:rPr>
        <w:t>　　　　</w:t>
      </w:r>
    </w:p>
    <w:p>
      <w:pPr>
        <w:spacing w:line="240" w:lineRule="atLeast"/>
        <w:rPr>
          <w:rFonts w:ascii="仿宋_GB2312" w:eastAsia="仿宋_GB2312"/>
          <w:b/>
          <w:sz w:val="32"/>
          <w:u w:val="single"/>
        </w:rPr>
      </w:pPr>
    </w:p>
    <w:p>
      <w:pPr>
        <w:spacing w:line="240" w:lineRule="atLeast"/>
        <w:ind w:left="1079" w:leftChars="257" w:hanging="540"/>
        <w:rPr>
          <w:rFonts w:hint="eastAsia" w:ascii="仿宋_GB2312" w:eastAsia="仿宋_GB2312"/>
          <w:b/>
          <w:sz w:val="32"/>
          <w:u w:val="single"/>
        </w:rPr>
      </w:pPr>
    </w:p>
    <w:p>
      <w:pPr>
        <w:ind w:firstLine="288"/>
        <w:jc w:val="center"/>
        <w:rPr>
          <w:rFonts w:hint="eastAsia" w:ascii="仿宋_GB2312" w:eastAsia="仿宋_GB2312"/>
          <w:b/>
          <w:sz w:val="30"/>
          <w:szCs w:val="30"/>
        </w:rPr>
      </w:pPr>
      <w:r>
        <w:rPr>
          <w:rFonts w:hint="eastAsia" w:ascii="仿宋_GB2312" w:eastAsia="仿宋_GB2312"/>
          <w:b/>
          <w:sz w:val="30"/>
          <w:szCs w:val="30"/>
        </w:rPr>
        <w:t xml:space="preserve">     </w:t>
      </w:r>
    </w:p>
    <w:p>
      <w:pPr>
        <w:ind w:firstLine="288"/>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t xml:space="preserve">     </w:t>
      </w:r>
    </w:p>
    <w:p>
      <w:pPr>
        <w:ind w:firstLine="288"/>
        <w:jc w:val="center"/>
        <w:rPr>
          <w:rFonts w:hint="eastAsia" w:ascii="仿宋_GB2312" w:eastAsia="仿宋_GB2312"/>
          <w:b/>
          <w:sz w:val="30"/>
          <w:szCs w:val="30"/>
          <w:u w:val="single"/>
          <w:lang w:eastAsia="zh-CN"/>
        </w:rPr>
      </w:pPr>
      <w:r>
        <w:rPr>
          <w:rFonts w:hint="eastAsia" w:ascii="仿宋_GB2312" w:eastAsia="仿宋_GB2312"/>
          <w:b/>
          <w:sz w:val="30"/>
          <w:szCs w:val="30"/>
        </w:rPr>
        <w:t>采   购  人</w:t>
      </w:r>
      <w:r>
        <w:rPr>
          <w:rFonts w:ascii="仿宋_GB2312" w:eastAsia="仿宋_GB2312"/>
          <w:b/>
          <w:sz w:val="30"/>
          <w:szCs w:val="30"/>
        </w:rPr>
        <w:t>：</w:t>
      </w:r>
      <w:r>
        <w:rPr>
          <w:rFonts w:hint="eastAsia" w:ascii="仿宋_GB2312" w:eastAsia="仿宋_GB2312"/>
          <w:b/>
          <w:sz w:val="30"/>
          <w:szCs w:val="30"/>
          <w:u w:val="single"/>
          <w:lang w:eastAsia="zh-CN"/>
        </w:rPr>
        <w:t>新疆维吾尔自治区计量测试研究院</w:t>
      </w:r>
    </w:p>
    <w:p>
      <w:pPr>
        <w:spacing w:line="360" w:lineRule="auto"/>
        <w:ind w:firstLine="1800" w:firstLineChars="600"/>
        <w:jc w:val="left"/>
        <w:rPr>
          <w:rFonts w:ascii="仿宋_GB2312" w:eastAsia="仿宋_GB2312"/>
          <w:b/>
          <w:sz w:val="30"/>
          <w:szCs w:val="30"/>
          <w:u w:val="single"/>
        </w:rPr>
      </w:pPr>
      <w:r>
        <w:rPr>
          <w:rFonts w:hint="eastAsia" w:ascii="仿宋_GB2312" w:eastAsia="仿宋_GB2312"/>
          <w:b/>
          <w:sz w:val="30"/>
          <w:szCs w:val="30"/>
        </w:rPr>
        <w:t>采购</w:t>
      </w:r>
      <w:r>
        <w:rPr>
          <w:rFonts w:ascii="仿宋_GB2312" w:eastAsia="仿宋_GB2312"/>
          <w:b/>
          <w:sz w:val="30"/>
          <w:szCs w:val="30"/>
        </w:rPr>
        <w:t>代理机构：</w:t>
      </w:r>
      <w:r>
        <w:rPr>
          <w:rFonts w:hint="eastAsia" w:ascii="仿宋_GB2312" w:eastAsia="仿宋_GB2312"/>
          <w:b/>
          <w:sz w:val="30"/>
          <w:szCs w:val="30"/>
          <w:u w:val="single"/>
        </w:rPr>
        <w:t xml:space="preserve">中招国际招标有限公司 </w:t>
      </w:r>
    </w:p>
    <w:p>
      <w:pPr>
        <w:spacing w:line="360" w:lineRule="auto"/>
        <w:ind w:left="644" w:leftChars="307" w:firstLine="1200" w:firstLineChars="400"/>
        <w:jc w:val="left"/>
        <w:rPr>
          <w:rFonts w:hint="eastAsia" w:ascii="仿宋_GB2312" w:eastAsia="仿宋_GB2312"/>
          <w:b/>
          <w:sz w:val="52"/>
        </w:rPr>
      </w:pPr>
      <w:r>
        <w:rPr>
          <w:rFonts w:hint="eastAsia" w:ascii="仿宋_GB2312" w:eastAsia="仿宋_GB2312"/>
          <w:b/>
          <w:sz w:val="30"/>
          <w:szCs w:val="30"/>
        </w:rPr>
        <w:t>时       间</w:t>
      </w:r>
      <w:r>
        <w:rPr>
          <w:rFonts w:ascii="仿宋_GB2312" w:eastAsia="仿宋_GB2312"/>
          <w:b/>
          <w:sz w:val="30"/>
          <w:szCs w:val="30"/>
        </w:rPr>
        <w:t>：</w:t>
      </w:r>
      <w:r>
        <w:rPr>
          <w:rFonts w:hint="eastAsia" w:ascii="仿宋_GB2312" w:eastAsia="仿宋_GB2312"/>
          <w:b/>
          <w:sz w:val="30"/>
          <w:szCs w:val="30"/>
          <w:u w:val="single"/>
        </w:rPr>
        <w:t xml:space="preserve"> 2021年</w:t>
      </w:r>
      <w:r>
        <w:rPr>
          <w:rFonts w:hint="eastAsia" w:ascii="仿宋_GB2312" w:eastAsia="仿宋_GB2312"/>
          <w:b/>
          <w:sz w:val="30"/>
          <w:szCs w:val="30"/>
          <w:u w:val="single"/>
          <w:lang w:val="en-US" w:eastAsia="zh-CN"/>
        </w:rPr>
        <w:t>11</w:t>
      </w:r>
      <w:r>
        <w:rPr>
          <w:rFonts w:hint="eastAsia" w:ascii="仿宋_GB2312" w:eastAsia="仿宋_GB2312"/>
          <w:b/>
          <w:sz w:val="30"/>
          <w:szCs w:val="30"/>
          <w:u w:val="single"/>
        </w:rPr>
        <w:t>月</w:t>
      </w:r>
    </w:p>
    <w:p>
      <w:pPr>
        <w:pStyle w:val="4"/>
        <w:numPr>
          <w:ilvl w:val="0"/>
          <w:numId w:val="0"/>
        </w:numPr>
        <w:ind w:leftChars="0"/>
        <w:jc w:val="both"/>
      </w:pPr>
    </w:p>
    <w:p>
      <w:pPr>
        <w:pStyle w:val="3"/>
        <w:numPr>
          <w:ilvl w:val="0"/>
          <w:numId w:val="0"/>
        </w:numPr>
        <w:spacing w:before="0" w:after="0" w:line="480" w:lineRule="exact"/>
        <w:ind w:left="432"/>
        <w:rPr>
          <w:rFonts w:hint="eastAsia" w:ascii="楷体" w:hAnsi="楷体" w:eastAsia="楷体"/>
        </w:rPr>
      </w:pPr>
      <w:r>
        <w:rPr>
          <w:rFonts w:hint="eastAsia" w:ascii="楷体" w:hAnsi="楷体" w:eastAsia="楷体"/>
        </w:rPr>
        <w:t>目  录</w:t>
      </w:r>
      <w:bookmarkEnd w:id="0"/>
    </w:p>
    <w:p>
      <w:pPr>
        <w:rPr>
          <w:rFonts w:ascii="楷体" w:hAnsi="楷体" w:eastAsia="楷体"/>
          <w:lang w:val="zh-CN"/>
        </w:rPr>
      </w:pPr>
    </w:p>
    <w:p>
      <w:pPr>
        <w:pStyle w:val="24"/>
        <w:rPr>
          <w:rFonts w:ascii="楷体" w:hAnsi="楷体" w:eastAsia="楷体"/>
          <w:sz w:val="21"/>
          <w:szCs w:val="22"/>
        </w:rPr>
      </w:pPr>
      <w:r>
        <w:rPr>
          <w:rFonts w:ascii="楷体" w:hAnsi="楷体" w:eastAsia="楷体"/>
        </w:rPr>
        <w:fldChar w:fldCharType="begin"/>
      </w:r>
      <w:r>
        <w:rPr>
          <w:rFonts w:ascii="楷体" w:hAnsi="楷体" w:eastAsia="楷体"/>
        </w:rPr>
        <w:instrText xml:space="preserve"> TOC \o "1-3" \h \z \u </w:instrText>
      </w:r>
      <w:r>
        <w:rPr>
          <w:rFonts w:ascii="楷体" w:hAnsi="楷体" w:eastAsia="楷体"/>
        </w:rPr>
        <w:fldChar w:fldCharType="separate"/>
      </w:r>
    </w:p>
    <w:p>
      <w:pPr>
        <w:pStyle w:val="24"/>
        <w:tabs>
          <w:tab w:val="right" w:leader="dot" w:pos="8222"/>
          <w:tab w:val="clear" w:pos="7655"/>
        </w:tabs>
        <w:ind w:left="0"/>
        <w:rPr>
          <w:rFonts w:ascii="楷体" w:hAnsi="楷体" w:eastAsia="楷体"/>
          <w:sz w:val="21"/>
          <w:szCs w:val="22"/>
        </w:rPr>
      </w:pPr>
      <w:r>
        <w:rPr>
          <w:rFonts w:ascii="楷体" w:hAnsi="楷体" w:eastAsia="楷体"/>
        </w:rPr>
        <w:fldChar w:fldCharType="begin"/>
      </w:r>
      <w:r>
        <w:rPr>
          <w:rStyle w:val="34"/>
          <w:rFonts w:ascii="楷体" w:hAnsi="楷体" w:eastAsia="楷体"/>
          <w:color w:val="auto"/>
        </w:rPr>
        <w:instrText xml:space="preserve"> </w:instrText>
      </w:r>
      <w:r>
        <w:rPr>
          <w:rFonts w:ascii="楷体" w:hAnsi="楷体" w:eastAsia="楷体"/>
        </w:rPr>
        <w:instrText xml:space="preserve">HYPERLINK \l "_Toc380479084"</w:instrText>
      </w:r>
      <w:r>
        <w:rPr>
          <w:rStyle w:val="34"/>
          <w:rFonts w:ascii="楷体" w:hAnsi="楷体" w:eastAsia="楷体"/>
          <w:color w:val="auto"/>
        </w:rPr>
        <w:instrText xml:space="preserve"> </w:instrText>
      </w:r>
      <w:r>
        <w:rPr>
          <w:rFonts w:ascii="楷体" w:hAnsi="楷体" w:eastAsia="楷体"/>
        </w:rPr>
        <w:fldChar w:fldCharType="separate"/>
      </w:r>
      <w:r>
        <w:rPr>
          <w:rStyle w:val="34"/>
          <w:rFonts w:hint="eastAsia" w:ascii="楷体" w:hAnsi="楷体" w:eastAsia="楷体"/>
          <w:color w:val="auto"/>
        </w:rPr>
        <w:t>第一章</w:t>
      </w:r>
      <w:r>
        <w:rPr>
          <w:rStyle w:val="34"/>
          <w:rFonts w:ascii="楷体" w:hAnsi="楷体" w:eastAsia="楷体"/>
          <w:color w:val="auto"/>
        </w:rPr>
        <w:t xml:space="preserve">  </w:t>
      </w:r>
      <w:r>
        <w:rPr>
          <w:rStyle w:val="34"/>
          <w:rFonts w:hint="eastAsia" w:ascii="楷体" w:hAnsi="楷体" w:eastAsia="楷体"/>
          <w:color w:val="auto"/>
        </w:rPr>
        <w:t>采购邀请</w:t>
      </w:r>
      <w:r>
        <w:rPr>
          <w:rFonts w:ascii="楷体" w:hAnsi="楷体" w:eastAsia="楷体"/>
        </w:rPr>
        <w:tab/>
      </w:r>
      <w:r>
        <w:rPr>
          <w:rFonts w:ascii="楷体" w:hAnsi="楷体" w:eastAsia="楷体"/>
        </w:rPr>
        <w:fldChar w:fldCharType="begin"/>
      </w:r>
      <w:r>
        <w:rPr>
          <w:rFonts w:ascii="楷体" w:hAnsi="楷体" w:eastAsia="楷体"/>
        </w:rPr>
        <w:instrText xml:space="preserve"> PAGEREF _Toc380479084 \h </w:instrText>
      </w:r>
      <w:r>
        <w:rPr>
          <w:rFonts w:ascii="楷体" w:hAnsi="楷体" w:eastAsia="楷体"/>
        </w:rPr>
        <w:fldChar w:fldCharType="separate"/>
      </w:r>
      <w:r>
        <w:rPr>
          <w:rFonts w:ascii="楷体" w:hAnsi="楷体" w:eastAsia="楷体"/>
        </w:rPr>
        <w:t>3</w:t>
      </w:r>
      <w:r>
        <w:rPr>
          <w:rFonts w:ascii="楷体" w:hAnsi="楷体" w:eastAsia="楷体"/>
        </w:rPr>
        <w:fldChar w:fldCharType="end"/>
      </w:r>
      <w:r>
        <w:rPr>
          <w:rFonts w:ascii="楷体" w:hAnsi="楷体" w:eastAsia="楷体"/>
        </w:rPr>
        <w:fldChar w:fldCharType="end"/>
      </w:r>
    </w:p>
    <w:p>
      <w:pPr>
        <w:pStyle w:val="24"/>
        <w:tabs>
          <w:tab w:val="right" w:leader="dot" w:pos="8222"/>
          <w:tab w:val="clear" w:pos="7655"/>
        </w:tabs>
        <w:ind w:left="0"/>
        <w:rPr>
          <w:rFonts w:ascii="楷体" w:hAnsi="楷体" w:eastAsia="楷体"/>
          <w:sz w:val="21"/>
          <w:szCs w:val="22"/>
        </w:rPr>
      </w:pPr>
      <w:r>
        <w:rPr>
          <w:rFonts w:ascii="楷体" w:hAnsi="楷体" w:eastAsia="楷体"/>
        </w:rPr>
        <w:fldChar w:fldCharType="begin"/>
      </w:r>
      <w:r>
        <w:rPr>
          <w:rStyle w:val="34"/>
          <w:rFonts w:ascii="楷体" w:hAnsi="楷体" w:eastAsia="楷体"/>
          <w:color w:val="auto"/>
        </w:rPr>
        <w:instrText xml:space="preserve"> </w:instrText>
      </w:r>
      <w:r>
        <w:rPr>
          <w:rFonts w:ascii="楷体" w:hAnsi="楷体" w:eastAsia="楷体"/>
        </w:rPr>
        <w:instrText xml:space="preserve">HYPERLINK \l "_Toc380479085"</w:instrText>
      </w:r>
      <w:r>
        <w:rPr>
          <w:rStyle w:val="34"/>
          <w:rFonts w:ascii="楷体" w:hAnsi="楷体" w:eastAsia="楷体"/>
          <w:color w:val="auto"/>
        </w:rPr>
        <w:instrText xml:space="preserve"> </w:instrText>
      </w:r>
      <w:r>
        <w:rPr>
          <w:rFonts w:ascii="楷体" w:hAnsi="楷体" w:eastAsia="楷体"/>
        </w:rPr>
        <w:fldChar w:fldCharType="separate"/>
      </w:r>
      <w:r>
        <w:rPr>
          <w:rStyle w:val="34"/>
          <w:rFonts w:hint="eastAsia" w:ascii="楷体" w:hAnsi="楷体" w:eastAsia="楷体"/>
          <w:color w:val="auto"/>
        </w:rPr>
        <w:t>第二章</w:t>
      </w:r>
      <w:r>
        <w:rPr>
          <w:rStyle w:val="34"/>
          <w:rFonts w:ascii="楷体" w:hAnsi="楷体" w:eastAsia="楷体"/>
          <w:color w:val="auto"/>
        </w:rPr>
        <w:t xml:space="preserve">  </w:t>
      </w:r>
      <w:r>
        <w:rPr>
          <w:rStyle w:val="34"/>
          <w:rFonts w:hint="eastAsia" w:ascii="楷体" w:hAnsi="楷体" w:eastAsia="楷体"/>
          <w:color w:val="auto"/>
        </w:rPr>
        <w:t>磋商供应商须知</w:t>
      </w:r>
      <w:r>
        <w:rPr>
          <w:rFonts w:ascii="楷体" w:hAnsi="楷体" w:eastAsia="楷体"/>
        </w:rPr>
        <w:tab/>
      </w:r>
      <w:r>
        <w:rPr>
          <w:rFonts w:ascii="楷体" w:hAnsi="楷体" w:eastAsia="楷体"/>
        </w:rPr>
        <w:fldChar w:fldCharType="begin"/>
      </w:r>
      <w:r>
        <w:rPr>
          <w:rFonts w:ascii="楷体" w:hAnsi="楷体" w:eastAsia="楷体"/>
        </w:rPr>
        <w:instrText xml:space="preserve"> PAGEREF _Toc380479085 \h </w:instrText>
      </w:r>
      <w:r>
        <w:rPr>
          <w:rFonts w:ascii="楷体" w:hAnsi="楷体" w:eastAsia="楷体"/>
        </w:rPr>
        <w:fldChar w:fldCharType="separate"/>
      </w:r>
      <w:r>
        <w:rPr>
          <w:rFonts w:ascii="楷体" w:hAnsi="楷体" w:eastAsia="楷体"/>
        </w:rPr>
        <w:t>6</w:t>
      </w:r>
      <w:r>
        <w:rPr>
          <w:rFonts w:ascii="楷体" w:hAnsi="楷体" w:eastAsia="楷体"/>
        </w:rPr>
        <w:fldChar w:fldCharType="end"/>
      </w:r>
      <w:r>
        <w:rPr>
          <w:rFonts w:ascii="楷体" w:hAnsi="楷体" w:eastAsia="楷体"/>
        </w:rPr>
        <w:fldChar w:fldCharType="end"/>
      </w:r>
    </w:p>
    <w:p>
      <w:pPr>
        <w:pStyle w:val="24"/>
        <w:tabs>
          <w:tab w:val="right" w:leader="dot" w:pos="8222"/>
          <w:tab w:val="clear" w:pos="7655"/>
        </w:tabs>
        <w:ind w:left="0"/>
        <w:rPr>
          <w:rFonts w:ascii="楷体" w:hAnsi="楷体" w:eastAsia="楷体"/>
          <w:sz w:val="21"/>
          <w:szCs w:val="22"/>
        </w:rPr>
      </w:pPr>
      <w:r>
        <w:rPr>
          <w:rFonts w:ascii="楷体" w:hAnsi="楷体" w:eastAsia="楷体"/>
        </w:rPr>
        <w:fldChar w:fldCharType="begin"/>
      </w:r>
      <w:r>
        <w:rPr>
          <w:rStyle w:val="34"/>
          <w:rFonts w:ascii="楷体" w:hAnsi="楷体" w:eastAsia="楷体"/>
          <w:color w:val="auto"/>
        </w:rPr>
        <w:instrText xml:space="preserve"> </w:instrText>
      </w:r>
      <w:r>
        <w:rPr>
          <w:rFonts w:ascii="楷体" w:hAnsi="楷体" w:eastAsia="楷体"/>
        </w:rPr>
        <w:instrText xml:space="preserve">HYPERLINK \l "_Toc380479120"</w:instrText>
      </w:r>
      <w:r>
        <w:rPr>
          <w:rStyle w:val="34"/>
          <w:rFonts w:ascii="楷体" w:hAnsi="楷体" w:eastAsia="楷体"/>
          <w:color w:val="auto"/>
        </w:rPr>
        <w:instrText xml:space="preserve"> </w:instrText>
      </w:r>
      <w:r>
        <w:rPr>
          <w:rFonts w:ascii="楷体" w:hAnsi="楷体" w:eastAsia="楷体"/>
        </w:rPr>
        <w:fldChar w:fldCharType="separate"/>
      </w:r>
      <w:r>
        <w:rPr>
          <w:rStyle w:val="34"/>
          <w:rFonts w:hint="eastAsia" w:ascii="楷体" w:hAnsi="楷体" w:eastAsia="楷体"/>
          <w:color w:val="auto"/>
        </w:rPr>
        <w:t>第三章</w:t>
      </w:r>
      <w:r>
        <w:rPr>
          <w:rStyle w:val="34"/>
          <w:rFonts w:ascii="楷体" w:hAnsi="楷体" w:eastAsia="楷体"/>
          <w:color w:val="auto"/>
        </w:rPr>
        <w:t xml:space="preserve">  </w:t>
      </w:r>
      <w:r>
        <w:rPr>
          <w:rStyle w:val="34"/>
          <w:rFonts w:hint="eastAsia" w:ascii="楷体" w:hAnsi="楷体" w:eastAsia="楷体"/>
          <w:color w:val="auto"/>
        </w:rPr>
        <w:t>采购需求</w:t>
      </w:r>
      <w:r>
        <w:rPr>
          <w:rFonts w:ascii="楷体" w:hAnsi="楷体" w:eastAsia="楷体"/>
        </w:rPr>
        <w:tab/>
      </w:r>
      <w:r>
        <w:rPr>
          <w:rFonts w:ascii="楷体" w:hAnsi="楷体" w:eastAsia="楷体"/>
        </w:rPr>
        <w:fldChar w:fldCharType="begin"/>
      </w:r>
      <w:r>
        <w:rPr>
          <w:rFonts w:ascii="楷体" w:hAnsi="楷体" w:eastAsia="楷体"/>
        </w:rPr>
        <w:instrText xml:space="preserve"> PAGEREF _Toc380479120 \h </w:instrText>
      </w:r>
      <w:r>
        <w:rPr>
          <w:rFonts w:ascii="楷体" w:hAnsi="楷体" w:eastAsia="楷体"/>
        </w:rPr>
        <w:fldChar w:fldCharType="separate"/>
      </w:r>
      <w:r>
        <w:rPr>
          <w:rFonts w:ascii="楷体" w:hAnsi="楷体" w:eastAsia="楷体"/>
        </w:rPr>
        <w:t>21</w:t>
      </w:r>
      <w:r>
        <w:rPr>
          <w:rFonts w:ascii="楷体" w:hAnsi="楷体" w:eastAsia="楷体"/>
        </w:rPr>
        <w:fldChar w:fldCharType="end"/>
      </w:r>
      <w:r>
        <w:rPr>
          <w:rFonts w:ascii="楷体" w:hAnsi="楷体" w:eastAsia="楷体"/>
        </w:rPr>
        <w:fldChar w:fldCharType="end"/>
      </w:r>
    </w:p>
    <w:p>
      <w:pPr>
        <w:pStyle w:val="24"/>
        <w:tabs>
          <w:tab w:val="right" w:leader="dot" w:pos="8222"/>
          <w:tab w:val="clear" w:pos="7655"/>
        </w:tabs>
        <w:ind w:left="0"/>
        <w:rPr>
          <w:rFonts w:ascii="楷体" w:hAnsi="楷体" w:eastAsia="楷体"/>
          <w:sz w:val="21"/>
          <w:szCs w:val="22"/>
        </w:rPr>
      </w:pPr>
      <w:r>
        <w:rPr>
          <w:rFonts w:ascii="楷体" w:hAnsi="楷体" w:eastAsia="楷体"/>
        </w:rPr>
        <w:fldChar w:fldCharType="begin"/>
      </w:r>
      <w:r>
        <w:rPr>
          <w:rStyle w:val="34"/>
          <w:rFonts w:ascii="楷体" w:hAnsi="楷体" w:eastAsia="楷体"/>
          <w:color w:val="auto"/>
        </w:rPr>
        <w:instrText xml:space="preserve"> </w:instrText>
      </w:r>
      <w:r>
        <w:rPr>
          <w:rFonts w:ascii="楷体" w:hAnsi="楷体" w:eastAsia="楷体"/>
        </w:rPr>
        <w:instrText xml:space="preserve">HYPERLINK \l "_Toc380479121"</w:instrText>
      </w:r>
      <w:r>
        <w:rPr>
          <w:rStyle w:val="34"/>
          <w:rFonts w:ascii="楷体" w:hAnsi="楷体" w:eastAsia="楷体"/>
          <w:color w:val="auto"/>
        </w:rPr>
        <w:instrText xml:space="preserve"> </w:instrText>
      </w:r>
      <w:r>
        <w:rPr>
          <w:rFonts w:ascii="楷体" w:hAnsi="楷体" w:eastAsia="楷体"/>
        </w:rPr>
        <w:fldChar w:fldCharType="separate"/>
      </w:r>
      <w:r>
        <w:rPr>
          <w:rStyle w:val="34"/>
          <w:rFonts w:hint="eastAsia" w:ascii="楷体" w:hAnsi="楷体" w:eastAsia="楷体"/>
          <w:color w:val="auto"/>
        </w:rPr>
        <w:t>第四章</w:t>
      </w:r>
      <w:r>
        <w:rPr>
          <w:rStyle w:val="34"/>
          <w:rFonts w:ascii="楷体" w:hAnsi="楷体" w:eastAsia="楷体"/>
          <w:color w:val="auto"/>
        </w:rPr>
        <w:t xml:space="preserve">  </w:t>
      </w:r>
      <w:r>
        <w:rPr>
          <w:rStyle w:val="34"/>
          <w:rFonts w:hint="eastAsia" w:ascii="楷体" w:hAnsi="楷体" w:eastAsia="楷体"/>
          <w:color w:val="auto"/>
        </w:rPr>
        <w:t>合同条款</w:t>
      </w:r>
      <w:bookmarkStart w:id="3" w:name="_Hlt380479163"/>
      <w:bookmarkStart w:id="4" w:name="_Hlt380479164"/>
      <w:r>
        <w:rPr>
          <w:rFonts w:ascii="楷体" w:hAnsi="楷体" w:eastAsia="楷体"/>
        </w:rPr>
        <w:tab/>
      </w:r>
      <w:bookmarkEnd w:id="3"/>
      <w:bookmarkEnd w:id="4"/>
      <w:r>
        <w:rPr>
          <w:rFonts w:ascii="楷体" w:hAnsi="楷体" w:eastAsia="楷体"/>
        </w:rPr>
        <w:fldChar w:fldCharType="begin"/>
      </w:r>
      <w:r>
        <w:rPr>
          <w:rFonts w:ascii="楷体" w:hAnsi="楷体" w:eastAsia="楷体"/>
        </w:rPr>
        <w:instrText xml:space="preserve"> PAGEREF _Toc380479121 \h </w:instrText>
      </w:r>
      <w:r>
        <w:rPr>
          <w:rFonts w:ascii="楷体" w:hAnsi="楷体" w:eastAsia="楷体"/>
        </w:rPr>
        <w:fldChar w:fldCharType="separate"/>
      </w:r>
      <w:r>
        <w:rPr>
          <w:rFonts w:ascii="楷体" w:hAnsi="楷体" w:eastAsia="楷体"/>
        </w:rPr>
        <w:t>22</w:t>
      </w:r>
      <w:r>
        <w:rPr>
          <w:rFonts w:ascii="楷体" w:hAnsi="楷体" w:eastAsia="楷体"/>
        </w:rPr>
        <w:fldChar w:fldCharType="end"/>
      </w:r>
      <w:r>
        <w:rPr>
          <w:rFonts w:ascii="楷体" w:hAnsi="楷体" w:eastAsia="楷体"/>
        </w:rPr>
        <w:fldChar w:fldCharType="end"/>
      </w:r>
    </w:p>
    <w:p>
      <w:pPr>
        <w:pStyle w:val="24"/>
        <w:tabs>
          <w:tab w:val="right" w:leader="dot" w:pos="8222"/>
          <w:tab w:val="clear" w:pos="7655"/>
        </w:tabs>
        <w:ind w:left="0"/>
        <w:rPr>
          <w:rFonts w:ascii="楷体" w:hAnsi="楷体" w:eastAsia="楷体"/>
          <w:sz w:val="21"/>
          <w:szCs w:val="22"/>
        </w:rPr>
      </w:pPr>
      <w:r>
        <w:rPr>
          <w:rFonts w:ascii="楷体" w:hAnsi="楷体" w:eastAsia="楷体"/>
        </w:rPr>
        <w:fldChar w:fldCharType="begin"/>
      </w:r>
      <w:r>
        <w:rPr>
          <w:rStyle w:val="34"/>
          <w:rFonts w:ascii="楷体" w:hAnsi="楷体" w:eastAsia="楷体"/>
          <w:color w:val="auto"/>
        </w:rPr>
        <w:instrText xml:space="preserve"> </w:instrText>
      </w:r>
      <w:r>
        <w:rPr>
          <w:rFonts w:ascii="楷体" w:hAnsi="楷体" w:eastAsia="楷体"/>
        </w:rPr>
        <w:instrText xml:space="preserve">HYPERLINK \l "_Toc380479151"</w:instrText>
      </w:r>
      <w:r>
        <w:rPr>
          <w:rStyle w:val="34"/>
          <w:rFonts w:ascii="楷体" w:hAnsi="楷体" w:eastAsia="楷体"/>
          <w:color w:val="auto"/>
        </w:rPr>
        <w:instrText xml:space="preserve"> </w:instrText>
      </w:r>
      <w:r>
        <w:rPr>
          <w:rFonts w:ascii="楷体" w:hAnsi="楷体" w:eastAsia="楷体"/>
        </w:rPr>
        <w:fldChar w:fldCharType="separate"/>
      </w:r>
      <w:r>
        <w:rPr>
          <w:rStyle w:val="34"/>
          <w:rFonts w:hint="eastAsia" w:ascii="楷体" w:hAnsi="楷体" w:eastAsia="楷体"/>
          <w:color w:val="auto"/>
        </w:rPr>
        <w:t>第五章</w:t>
      </w:r>
      <w:r>
        <w:rPr>
          <w:rStyle w:val="34"/>
          <w:rFonts w:ascii="楷体" w:hAnsi="楷体" w:eastAsia="楷体"/>
          <w:color w:val="auto"/>
        </w:rPr>
        <w:t xml:space="preserve">  </w:t>
      </w:r>
      <w:r>
        <w:rPr>
          <w:rStyle w:val="34"/>
          <w:rFonts w:hint="eastAsia" w:ascii="楷体" w:hAnsi="楷体" w:eastAsia="楷体"/>
          <w:color w:val="auto"/>
        </w:rPr>
        <w:t>附</w:t>
      </w:r>
      <w:r>
        <w:rPr>
          <w:rStyle w:val="34"/>
          <w:rFonts w:ascii="楷体" w:hAnsi="楷体" w:eastAsia="楷体"/>
          <w:color w:val="auto"/>
        </w:rPr>
        <w:t xml:space="preserve">  </w:t>
      </w:r>
      <w:r>
        <w:rPr>
          <w:rStyle w:val="34"/>
          <w:rFonts w:hint="eastAsia" w:ascii="楷体" w:hAnsi="楷体" w:eastAsia="楷体"/>
          <w:color w:val="auto"/>
        </w:rPr>
        <w:t>件</w:t>
      </w:r>
      <w:r>
        <w:rPr>
          <w:rFonts w:ascii="楷体" w:hAnsi="楷体" w:eastAsia="楷体"/>
        </w:rPr>
        <w:tab/>
      </w:r>
      <w:r>
        <w:rPr>
          <w:rFonts w:ascii="楷体" w:hAnsi="楷体" w:eastAsia="楷体"/>
        </w:rPr>
        <w:fldChar w:fldCharType="begin"/>
      </w:r>
      <w:r>
        <w:rPr>
          <w:rFonts w:ascii="楷体" w:hAnsi="楷体" w:eastAsia="楷体"/>
        </w:rPr>
        <w:instrText xml:space="preserve"> PAGEREF _Toc380479151 \h </w:instrText>
      </w:r>
      <w:r>
        <w:rPr>
          <w:rFonts w:ascii="楷体" w:hAnsi="楷体" w:eastAsia="楷体"/>
        </w:rPr>
        <w:fldChar w:fldCharType="separate"/>
      </w:r>
      <w:r>
        <w:rPr>
          <w:rFonts w:ascii="楷体" w:hAnsi="楷体" w:eastAsia="楷体"/>
        </w:rPr>
        <w:t>23</w:t>
      </w:r>
      <w:r>
        <w:rPr>
          <w:rFonts w:ascii="楷体" w:hAnsi="楷体" w:eastAsia="楷体"/>
        </w:rPr>
        <w:fldChar w:fldCharType="end"/>
      </w:r>
      <w:r>
        <w:rPr>
          <w:rFonts w:ascii="楷体" w:hAnsi="楷体" w:eastAsia="楷体"/>
        </w:rPr>
        <w:fldChar w:fldCharType="end"/>
      </w:r>
    </w:p>
    <w:p>
      <w:pPr>
        <w:rPr>
          <w:rFonts w:ascii="楷体" w:hAnsi="楷体" w:eastAsia="楷体"/>
        </w:rPr>
      </w:pPr>
      <w:r>
        <w:rPr>
          <w:rFonts w:ascii="楷体" w:hAnsi="楷体" w:eastAsia="楷体"/>
          <w:b/>
          <w:bCs/>
          <w:lang w:val="zh-CN"/>
        </w:rPr>
        <w:fldChar w:fldCharType="end"/>
      </w:r>
    </w:p>
    <w:p>
      <w:pPr>
        <w:pStyle w:val="3"/>
        <w:numPr>
          <w:ilvl w:val="0"/>
          <w:numId w:val="0"/>
        </w:numPr>
        <w:spacing w:before="0" w:after="0" w:line="480" w:lineRule="exact"/>
        <w:ind w:left="432" w:hanging="432"/>
        <w:rPr>
          <w:rFonts w:ascii="楷体" w:hAnsi="楷体" w:eastAsia="楷体"/>
        </w:rPr>
      </w:pPr>
      <w:r>
        <w:rPr>
          <w:rFonts w:ascii="楷体" w:hAnsi="楷体" w:eastAsia="楷体"/>
        </w:rPr>
        <w:br w:type="page"/>
      </w:r>
      <w:bookmarkStart w:id="5" w:name="_Toc380479084"/>
    </w:p>
    <w:p>
      <w:pPr>
        <w:pStyle w:val="3"/>
        <w:numPr>
          <w:ilvl w:val="0"/>
          <w:numId w:val="0"/>
        </w:numPr>
        <w:spacing w:before="0" w:after="0" w:line="480" w:lineRule="exact"/>
        <w:ind w:left="432" w:hanging="432"/>
        <w:rPr>
          <w:rFonts w:ascii="楷体" w:hAnsi="楷体" w:eastAsia="楷体"/>
          <w:sz w:val="52"/>
          <w:szCs w:val="52"/>
        </w:rPr>
      </w:pPr>
      <w:r>
        <w:rPr>
          <w:rFonts w:ascii="楷体" w:hAnsi="楷体" w:eastAsia="楷体"/>
        </w:rPr>
        <w:t>第一章  采购邀请</w:t>
      </w:r>
      <w:bookmarkEnd w:id="1"/>
      <w:bookmarkEnd w:id="2"/>
      <w:bookmarkEnd w:id="5"/>
    </w:p>
    <w:p>
      <w:pPr>
        <w:pStyle w:val="23"/>
        <w:pBdr>
          <w:bottom w:val="none" w:color="auto" w:sz="0" w:space="0"/>
        </w:pBdr>
        <w:snapToGrid/>
        <w:spacing w:line="480" w:lineRule="exact"/>
        <w:jc w:val="both"/>
        <w:rPr>
          <w:rFonts w:hint="eastAsia" w:ascii="楷体" w:hAnsi="楷体" w:eastAsia="楷体"/>
          <w:sz w:val="28"/>
        </w:rPr>
      </w:pPr>
    </w:p>
    <w:p>
      <w:pPr>
        <w:ind w:firstLine="568" w:firstLineChars="237"/>
        <w:jc w:val="left"/>
        <w:rPr>
          <w:rFonts w:ascii="楷体" w:hAnsi="楷体" w:eastAsia="楷体"/>
          <w:sz w:val="24"/>
          <w:szCs w:val="24"/>
        </w:rPr>
      </w:pPr>
      <w:r>
        <w:rPr>
          <w:rFonts w:ascii="楷体" w:hAnsi="楷体" w:eastAsia="楷体"/>
          <w:sz w:val="24"/>
          <w:szCs w:val="24"/>
        </w:rPr>
        <w:t>中招国际招标有限公</w:t>
      </w:r>
      <w:r>
        <w:rPr>
          <w:rFonts w:hint="eastAsia" w:ascii="楷体" w:hAnsi="楷体" w:eastAsia="楷体"/>
          <w:sz w:val="24"/>
          <w:szCs w:val="24"/>
        </w:rPr>
        <w:t>司受</w:t>
      </w:r>
      <w:r>
        <w:rPr>
          <w:rFonts w:hint="eastAsia" w:ascii="楷体" w:hAnsi="楷体" w:eastAsia="楷体"/>
          <w:sz w:val="24"/>
          <w:szCs w:val="24"/>
          <w:lang w:eastAsia="zh-CN"/>
        </w:rPr>
        <w:t>新疆维吾尔自治区计量测试研究院</w:t>
      </w:r>
      <w:r>
        <w:rPr>
          <w:rFonts w:ascii="楷体" w:hAnsi="楷体" w:eastAsia="楷体"/>
          <w:sz w:val="24"/>
          <w:szCs w:val="24"/>
        </w:rPr>
        <w:t>的委托，对“</w:t>
      </w:r>
      <w:r>
        <w:rPr>
          <w:rFonts w:hint="eastAsia" w:ascii="楷体" w:hAnsi="楷体" w:eastAsia="楷体"/>
          <w:sz w:val="24"/>
          <w:szCs w:val="24"/>
          <w:lang w:eastAsia="zh-CN"/>
        </w:rPr>
        <w:t>新疆维吾尔自治区计量测试研究院能源大数据应用系统</w:t>
      </w:r>
      <w:r>
        <w:rPr>
          <w:rFonts w:hint="eastAsia" w:ascii="楷体" w:hAnsi="楷体" w:eastAsia="楷体"/>
          <w:sz w:val="24"/>
          <w:szCs w:val="24"/>
        </w:rPr>
        <w:t>”政府采购项目按照竞争性磋商方式进行</w:t>
      </w:r>
      <w:r>
        <w:rPr>
          <w:rFonts w:ascii="楷体" w:hAnsi="楷体" w:eastAsia="楷体"/>
          <w:sz w:val="24"/>
          <w:szCs w:val="24"/>
        </w:rPr>
        <w:t>采购，</w:t>
      </w:r>
      <w:r>
        <w:rPr>
          <w:rFonts w:hint="eastAsia" w:ascii="楷体" w:hAnsi="楷体" w:eastAsia="楷体"/>
          <w:sz w:val="24"/>
          <w:szCs w:val="24"/>
        </w:rPr>
        <w:t>现</w:t>
      </w:r>
      <w:r>
        <w:rPr>
          <w:rFonts w:ascii="楷体" w:hAnsi="楷体" w:eastAsia="楷体"/>
          <w:sz w:val="24"/>
          <w:szCs w:val="24"/>
        </w:rPr>
        <w:t>邀请</w:t>
      </w:r>
      <w:r>
        <w:rPr>
          <w:rFonts w:hint="eastAsia" w:ascii="楷体" w:hAnsi="楷体" w:eastAsia="楷体"/>
          <w:sz w:val="24"/>
          <w:szCs w:val="24"/>
        </w:rPr>
        <w:t>合格</w:t>
      </w:r>
      <w:r>
        <w:rPr>
          <w:rFonts w:ascii="楷体" w:hAnsi="楷体" w:eastAsia="楷体"/>
          <w:sz w:val="24"/>
          <w:szCs w:val="24"/>
        </w:rPr>
        <w:t>的供应商参加竞争性磋商。</w:t>
      </w:r>
    </w:p>
    <w:p>
      <w:pPr>
        <w:pStyle w:val="23"/>
        <w:pBdr>
          <w:bottom w:val="none" w:color="auto" w:sz="0" w:space="0"/>
        </w:pBdr>
        <w:spacing w:line="360" w:lineRule="auto"/>
        <w:jc w:val="both"/>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项目信息：</w:t>
      </w:r>
    </w:p>
    <w:p>
      <w:pPr>
        <w:pStyle w:val="23"/>
        <w:pBdr>
          <w:bottom w:val="none" w:color="auto" w:sz="0" w:space="0"/>
        </w:pBdr>
        <w:spacing w:line="360" w:lineRule="auto"/>
        <w:jc w:val="both"/>
        <w:rPr>
          <w:rFonts w:hint="eastAsia" w:ascii="楷体" w:hAnsi="楷体" w:eastAsia="楷体"/>
          <w:sz w:val="24"/>
          <w:szCs w:val="24"/>
          <w:highlight w:val="none"/>
          <w:lang w:eastAsia="zh-CN"/>
        </w:rPr>
      </w:pPr>
      <w:r>
        <w:rPr>
          <w:rFonts w:ascii="楷体" w:hAnsi="楷体" w:eastAsia="楷体"/>
          <w:sz w:val="24"/>
          <w:szCs w:val="24"/>
        </w:rPr>
        <w:t>项目名称：</w:t>
      </w:r>
      <w:r>
        <w:rPr>
          <w:rFonts w:hint="eastAsia" w:ascii="楷体" w:hAnsi="楷体" w:eastAsia="楷体"/>
          <w:sz w:val="24"/>
          <w:szCs w:val="24"/>
          <w:highlight w:val="none"/>
          <w:lang w:eastAsia="zh-CN"/>
        </w:rPr>
        <w:t>新疆维吾尔自治区计量测试研究院能耗大数据分析及碳计量应用系统</w:t>
      </w:r>
      <w:r>
        <w:rPr>
          <w:rFonts w:hint="eastAsia" w:ascii="楷体" w:hAnsi="楷体" w:eastAsia="楷体"/>
          <w:sz w:val="24"/>
          <w:szCs w:val="24"/>
          <w:highlight w:val="none"/>
          <w:lang w:val="en-US" w:eastAsia="zh-CN"/>
        </w:rPr>
        <w:t>研发</w:t>
      </w:r>
      <w:r>
        <w:rPr>
          <w:rFonts w:hint="eastAsia" w:ascii="楷体" w:hAnsi="楷体" w:eastAsia="楷体"/>
          <w:sz w:val="24"/>
          <w:szCs w:val="24"/>
          <w:highlight w:val="none"/>
          <w:lang w:eastAsia="zh-CN"/>
        </w:rPr>
        <w:t>项目</w:t>
      </w:r>
    </w:p>
    <w:p>
      <w:pPr>
        <w:pStyle w:val="23"/>
        <w:pBdr>
          <w:bottom w:val="none" w:color="auto" w:sz="0" w:space="0"/>
        </w:pBdr>
        <w:spacing w:line="360" w:lineRule="auto"/>
        <w:jc w:val="both"/>
        <w:rPr>
          <w:rFonts w:hint="eastAsia" w:ascii="楷体" w:hAnsi="楷体" w:eastAsia="楷体"/>
          <w:sz w:val="24"/>
          <w:szCs w:val="24"/>
          <w:lang w:eastAsia="zh-CN"/>
        </w:rPr>
      </w:pPr>
      <w:r>
        <w:rPr>
          <w:rFonts w:ascii="楷体" w:hAnsi="楷体" w:eastAsia="楷体"/>
          <w:sz w:val="24"/>
          <w:szCs w:val="24"/>
        </w:rPr>
        <w:t>项目编号：</w:t>
      </w:r>
      <w:r>
        <w:rPr>
          <w:rFonts w:hint="eastAsia" w:ascii="楷体" w:hAnsi="楷体" w:eastAsia="楷体"/>
          <w:sz w:val="24"/>
          <w:szCs w:val="24"/>
          <w:lang w:eastAsia="zh-CN"/>
        </w:rPr>
        <w:t>TC210Q143</w:t>
      </w:r>
    </w:p>
    <w:p>
      <w:pPr>
        <w:pStyle w:val="23"/>
        <w:pBdr>
          <w:bottom w:val="none" w:color="auto" w:sz="0" w:space="0"/>
        </w:pBdr>
        <w:spacing w:line="360" w:lineRule="auto"/>
        <w:jc w:val="both"/>
        <w:rPr>
          <w:rFonts w:ascii="楷体" w:hAnsi="楷体" w:eastAsia="楷体"/>
          <w:sz w:val="24"/>
          <w:szCs w:val="24"/>
          <w:highlight w:val="none"/>
        </w:rPr>
      </w:pPr>
      <w:r>
        <w:rPr>
          <w:rFonts w:ascii="楷体" w:hAnsi="楷体" w:eastAsia="楷体"/>
          <w:sz w:val="24"/>
          <w:szCs w:val="24"/>
        </w:rPr>
        <w:t>项目预算金额</w:t>
      </w:r>
      <w:r>
        <w:rPr>
          <w:rFonts w:hint="eastAsia" w:ascii="楷体" w:hAnsi="楷体" w:eastAsia="楷体"/>
          <w:sz w:val="24"/>
          <w:szCs w:val="24"/>
        </w:rPr>
        <w:t>：人民币</w:t>
      </w:r>
      <w:r>
        <w:rPr>
          <w:rFonts w:hint="eastAsia" w:ascii="楷体" w:hAnsi="楷体" w:eastAsia="楷体"/>
          <w:sz w:val="24"/>
          <w:szCs w:val="24"/>
          <w:highlight w:val="none"/>
          <w:lang w:val="en-US" w:eastAsia="zh-CN"/>
        </w:rPr>
        <w:t>56</w:t>
      </w:r>
      <w:r>
        <w:rPr>
          <w:rFonts w:hint="eastAsia" w:ascii="楷体" w:hAnsi="楷体" w:eastAsia="楷体"/>
          <w:sz w:val="24"/>
          <w:szCs w:val="24"/>
          <w:highlight w:val="none"/>
        </w:rPr>
        <w:t>万元</w:t>
      </w:r>
    </w:p>
    <w:p>
      <w:pPr>
        <w:pStyle w:val="23"/>
        <w:pBdr>
          <w:bottom w:val="none" w:color="auto" w:sz="0" w:space="0"/>
        </w:pBdr>
        <w:spacing w:line="360" w:lineRule="auto"/>
        <w:jc w:val="both"/>
        <w:rPr>
          <w:rFonts w:hint="eastAsia" w:ascii="楷体" w:hAnsi="楷体" w:eastAsia="楷体"/>
          <w:sz w:val="24"/>
          <w:szCs w:val="24"/>
          <w:lang w:eastAsia="zh-CN"/>
        </w:rPr>
      </w:pPr>
      <w:r>
        <w:rPr>
          <w:rFonts w:hint="eastAsia" w:ascii="楷体" w:hAnsi="楷体" w:eastAsia="楷体"/>
          <w:sz w:val="24"/>
          <w:szCs w:val="24"/>
        </w:rPr>
        <w:t>服务期限：</w:t>
      </w:r>
      <w:r>
        <w:rPr>
          <w:rFonts w:hint="eastAsia" w:ascii="楷体" w:hAnsi="楷体" w:eastAsia="楷体"/>
          <w:bCs/>
          <w:sz w:val="24"/>
          <w:szCs w:val="24"/>
          <w:lang w:val="en-US" w:eastAsia="zh-CN"/>
        </w:rPr>
        <w:t>2021年12月31日前完成本项目</w:t>
      </w:r>
    </w:p>
    <w:p>
      <w:pPr>
        <w:pStyle w:val="23"/>
        <w:pBdr>
          <w:bottom w:val="none" w:color="auto" w:sz="0" w:space="0"/>
        </w:pBdr>
        <w:spacing w:line="360" w:lineRule="auto"/>
        <w:jc w:val="both"/>
        <w:rPr>
          <w:rFonts w:ascii="楷体" w:hAnsi="楷体" w:eastAsia="楷体"/>
          <w:sz w:val="24"/>
          <w:szCs w:val="24"/>
        </w:rPr>
      </w:pPr>
      <w:r>
        <w:rPr>
          <w:rFonts w:hint="eastAsia" w:ascii="楷体" w:hAnsi="楷体" w:eastAsia="楷体"/>
          <w:sz w:val="24"/>
          <w:szCs w:val="24"/>
        </w:rPr>
        <w:t>目实施地点：采购人指定地点。</w:t>
      </w:r>
    </w:p>
    <w:p>
      <w:pPr>
        <w:pStyle w:val="23"/>
        <w:pBdr>
          <w:bottom w:val="none" w:color="auto" w:sz="0" w:space="0"/>
        </w:pBdr>
        <w:spacing w:line="360" w:lineRule="auto"/>
        <w:jc w:val="both"/>
        <w:rPr>
          <w:rFonts w:hint="eastAsia" w:ascii="楷体" w:hAnsi="楷体" w:eastAsia="楷体"/>
          <w:sz w:val="24"/>
          <w:szCs w:val="24"/>
        </w:rPr>
      </w:pPr>
      <w:r>
        <w:rPr>
          <w:rFonts w:ascii="楷体" w:hAnsi="楷体" w:eastAsia="楷体"/>
          <w:sz w:val="24"/>
          <w:szCs w:val="24"/>
        </w:rPr>
        <w:t xml:space="preserve">2. </w:t>
      </w:r>
      <w:r>
        <w:rPr>
          <w:rFonts w:hint="eastAsia" w:ascii="楷体" w:hAnsi="楷体" w:eastAsia="楷体"/>
          <w:sz w:val="24"/>
          <w:szCs w:val="24"/>
        </w:rPr>
        <w:t>磋商具体要求如下：</w:t>
      </w:r>
    </w:p>
    <w:tbl>
      <w:tblPr>
        <w:tblStyle w:val="29"/>
        <w:tblpPr w:leftFromText="180" w:rightFromText="180" w:vertAnchor="text" w:horzAnchor="page" w:tblpX="1473" w:tblpY="302"/>
        <w:tblOverlap w:val="never"/>
        <w:tblW w:w="92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8"/>
        <w:gridCol w:w="3078"/>
        <w:gridCol w:w="893"/>
        <w:gridCol w:w="997"/>
        <w:gridCol w:w="3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788" w:type="dxa"/>
            <w:shd w:val="clear" w:color="auto" w:fill="C0C0C0"/>
            <w:vAlign w:val="center"/>
          </w:tcPr>
          <w:p>
            <w:pPr>
              <w:autoSpaceDE w:val="0"/>
              <w:autoSpaceDN w:val="0"/>
              <w:adjustRightInd w:val="0"/>
              <w:snapToGrid w:val="0"/>
              <w:jc w:val="center"/>
              <w:rPr>
                <w:rFonts w:ascii="楷体" w:hAnsi="楷体" w:eastAsia="楷体" w:cs="楷体_GB2312"/>
                <w:sz w:val="24"/>
                <w:lang w:val="zh-CN"/>
              </w:rPr>
            </w:pPr>
            <w:r>
              <w:rPr>
                <w:rFonts w:hint="eastAsia" w:ascii="楷体" w:hAnsi="楷体" w:eastAsia="楷体" w:cs="楷体_GB2312"/>
                <w:sz w:val="24"/>
                <w:lang w:val="zh-CN"/>
              </w:rPr>
              <w:t>序号</w:t>
            </w:r>
          </w:p>
        </w:tc>
        <w:tc>
          <w:tcPr>
            <w:tcW w:w="3078" w:type="dxa"/>
            <w:shd w:val="clear" w:color="auto" w:fill="C0C0C0"/>
            <w:vAlign w:val="center"/>
          </w:tcPr>
          <w:p>
            <w:pPr>
              <w:autoSpaceDE w:val="0"/>
              <w:autoSpaceDN w:val="0"/>
              <w:adjustRightInd w:val="0"/>
              <w:snapToGrid w:val="0"/>
              <w:jc w:val="center"/>
              <w:rPr>
                <w:rFonts w:ascii="楷体" w:hAnsi="楷体" w:eastAsia="楷体" w:cs="楷体_GB2312"/>
                <w:sz w:val="24"/>
                <w:lang w:val="zh-CN"/>
              </w:rPr>
            </w:pPr>
            <w:r>
              <w:rPr>
                <w:rFonts w:hint="eastAsia" w:ascii="楷体" w:hAnsi="楷体" w:eastAsia="楷体" w:cs="楷体_GB2312"/>
                <w:sz w:val="24"/>
                <w:lang w:val="zh-CN"/>
              </w:rPr>
              <w:t>采购</w:t>
            </w:r>
            <w:r>
              <w:rPr>
                <w:rFonts w:ascii="楷体" w:hAnsi="楷体" w:eastAsia="楷体" w:cs="楷体_GB2312"/>
                <w:sz w:val="24"/>
                <w:lang w:val="zh-CN"/>
              </w:rPr>
              <w:t>内容</w:t>
            </w:r>
          </w:p>
        </w:tc>
        <w:tc>
          <w:tcPr>
            <w:tcW w:w="893" w:type="dxa"/>
            <w:shd w:val="clear" w:color="auto" w:fill="C0C0C0"/>
            <w:vAlign w:val="center"/>
          </w:tcPr>
          <w:p>
            <w:pPr>
              <w:autoSpaceDE w:val="0"/>
              <w:autoSpaceDN w:val="0"/>
              <w:adjustRightInd w:val="0"/>
              <w:snapToGrid w:val="0"/>
              <w:jc w:val="center"/>
              <w:rPr>
                <w:rFonts w:ascii="楷体" w:hAnsi="楷体" w:eastAsia="楷体" w:cs="楷体_GB2312"/>
                <w:sz w:val="24"/>
                <w:lang w:val="zh-CN"/>
              </w:rPr>
            </w:pPr>
            <w:r>
              <w:rPr>
                <w:rFonts w:hint="eastAsia" w:ascii="楷体" w:hAnsi="楷体" w:eastAsia="楷体" w:cs="楷体_GB2312"/>
                <w:sz w:val="24"/>
                <w:lang w:val="zh-CN"/>
              </w:rPr>
              <w:t>数量</w:t>
            </w:r>
          </w:p>
        </w:tc>
        <w:tc>
          <w:tcPr>
            <w:tcW w:w="997" w:type="dxa"/>
            <w:shd w:val="clear" w:color="auto" w:fill="C0C0C0"/>
            <w:vAlign w:val="center"/>
          </w:tcPr>
          <w:p>
            <w:pPr>
              <w:autoSpaceDE w:val="0"/>
              <w:autoSpaceDN w:val="0"/>
              <w:adjustRightInd w:val="0"/>
              <w:snapToGrid w:val="0"/>
              <w:jc w:val="center"/>
              <w:rPr>
                <w:rFonts w:ascii="楷体" w:hAnsi="楷体" w:eastAsia="楷体" w:cs="楷体_GB2312"/>
                <w:sz w:val="24"/>
                <w:lang w:val="zh-CN"/>
              </w:rPr>
            </w:pPr>
            <w:r>
              <w:rPr>
                <w:rFonts w:hint="eastAsia" w:ascii="楷体" w:hAnsi="楷体" w:eastAsia="楷体" w:cs="楷体_GB2312"/>
                <w:sz w:val="24"/>
                <w:lang w:val="zh-CN"/>
              </w:rPr>
              <w:t>单位</w:t>
            </w:r>
          </w:p>
        </w:tc>
        <w:tc>
          <w:tcPr>
            <w:tcW w:w="3537" w:type="dxa"/>
            <w:shd w:val="clear" w:color="auto" w:fill="C0C0C0"/>
            <w:vAlign w:val="center"/>
          </w:tcPr>
          <w:p>
            <w:pPr>
              <w:pStyle w:val="2"/>
              <w:numPr>
                <w:ilvl w:val="0"/>
                <w:numId w:val="0"/>
              </w:numPr>
              <w:tabs>
                <w:tab w:val="left" w:pos="840"/>
              </w:tabs>
              <w:snapToGrid w:val="0"/>
              <w:spacing w:before="0" w:after="0" w:line="240" w:lineRule="auto"/>
              <w:ind w:left="720" w:right="-600" w:rightChars="-286" w:hanging="720"/>
              <w:jc w:val="center"/>
              <w:rPr>
                <w:rFonts w:ascii="楷体" w:hAnsi="楷体" w:eastAsia="楷体" w:cs="楷体_GB2312"/>
                <w:b w:val="0"/>
                <w:bCs w:val="0"/>
                <w:sz w:val="24"/>
                <w:szCs w:val="24"/>
                <w:lang w:val="zh-CN"/>
              </w:rPr>
            </w:pPr>
            <w:r>
              <w:rPr>
                <w:rFonts w:hint="eastAsia" w:ascii="楷体" w:hAnsi="楷体" w:eastAsia="楷体" w:cs="楷体_GB2312"/>
                <w:b w:val="0"/>
                <w:bCs w:val="0"/>
                <w:sz w:val="24"/>
                <w:szCs w:val="24"/>
                <w:lang w:val="zh-CN"/>
              </w:rPr>
              <w:t>项目基本概况介绍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788" w:type="dxa"/>
            <w:vAlign w:val="center"/>
          </w:tcPr>
          <w:p>
            <w:pPr>
              <w:adjustRightInd w:val="0"/>
              <w:snapToGrid w:val="0"/>
              <w:jc w:val="center"/>
              <w:rPr>
                <w:rFonts w:ascii="楷体" w:hAnsi="楷体" w:eastAsia="楷体"/>
                <w:bCs/>
                <w:sz w:val="24"/>
              </w:rPr>
            </w:pPr>
            <w:r>
              <w:rPr>
                <w:rFonts w:hint="eastAsia" w:ascii="楷体" w:hAnsi="楷体" w:eastAsia="楷体"/>
                <w:bCs/>
                <w:sz w:val="24"/>
              </w:rPr>
              <w:t>1</w:t>
            </w:r>
          </w:p>
        </w:tc>
        <w:tc>
          <w:tcPr>
            <w:tcW w:w="3078" w:type="dxa"/>
            <w:vAlign w:val="center"/>
          </w:tcPr>
          <w:p>
            <w:pPr>
              <w:adjustRightInd w:val="0"/>
              <w:snapToGrid w:val="0"/>
              <w:jc w:val="left"/>
              <w:rPr>
                <w:rFonts w:hint="eastAsia" w:ascii="楷体" w:hAnsi="楷体" w:eastAsia="楷体"/>
                <w:bCs/>
                <w:sz w:val="24"/>
                <w:highlight w:val="none"/>
                <w:lang w:eastAsia="zh-CN"/>
              </w:rPr>
            </w:pPr>
            <w:r>
              <w:rPr>
                <w:rFonts w:hint="eastAsia" w:ascii="楷体" w:hAnsi="楷体" w:eastAsia="楷体"/>
                <w:sz w:val="24"/>
                <w:szCs w:val="24"/>
                <w:highlight w:val="none"/>
                <w:lang w:eastAsia="zh-CN"/>
              </w:rPr>
              <w:t>新疆维吾尔自治区计量测试研究院能耗大数据分析及碳计量应用系统</w:t>
            </w:r>
            <w:r>
              <w:rPr>
                <w:rFonts w:hint="eastAsia" w:ascii="楷体" w:hAnsi="楷体" w:eastAsia="楷体"/>
                <w:sz w:val="24"/>
                <w:szCs w:val="24"/>
                <w:highlight w:val="none"/>
                <w:lang w:val="en-US" w:eastAsia="zh-CN"/>
              </w:rPr>
              <w:t>研发</w:t>
            </w:r>
            <w:r>
              <w:rPr>
                <w:rFonts w:hint="eastAsia" w:ascii="楷体" w:hAnsi="楷体" w:eastAsia="楷体"/>
                <w:sz w:val="24"/>
                <w:szCs w:val="24"/>
                <w:highlight w:val="none"/>
                <w:lang w:eastAsia="zh-CN"/>
              </w:rPr>
              <w:t>项目</w:t>
            </w:r>
          </w:p>
        </w:tc>
        <w:tc>
          <w:tcPr>
            <w:tcW w:w="893" w:type="dxa"/>
            <w:vAlign w:val="center"/>
          </w:tcPr>
          <w:p>
            <w:pPr>
              <w:adjustRightInd w:val="0"/>
              <w:snapToGrid w:val="0"/>
              <w:jc w:val="center"/>
              <w:rPr>
                <w:rFonts w:hint="eastAsia" w:ascii="楷体" w:hAnsi="楷体" w:eastAsia="楷体"/>
                <w:bCs/>
                <w:sz w:val="24"/>
                <w:highlight w:val="none"/>
              </w:rPr>
            </w:pPr>
            <w:r>
              <w:rPr>
                <w:rFonts w:hint="eastAsia" w:ascii="楷体" w:hAnsi="楷体" w:eastAsia="楷体"/>
                <w:bCs/>
                <w:sz w:val="24"/>
                <w:highlight w:val="none"/>
              </w:rPr>
              <w:t>1</w:t>
            </w:r>
          </w:p>
        </w:tc>
        <w:tc>
          <w:tcPr>
            <w:tcW w:w="997" w:type="dxa"/>
            <w:vAlign w:val="center"/>
          </w:tcPr>
          <w:p>
            <w:pPr>
              <w:adjustRightInd w:val="0"/>
              <w:snapToGrid w:val="0"/>
              <w:jc w:val="center"/>
              <w:rPr>
                <w:rFonts w:hint="eastAsia" w:ascii="楷体" w:hAnsi="楷体" w:eastAsia="楷体"/>
                <w:bCs/>
                <w:sz w:val="24"/>
                <w:highlight w:val="none"/>
              </w:rPr>
            </w:pPr>
            <w:r>
              <w:rPr>
                <w:rFonts w:hint="eastAsia" w:ascii="楷体" w:hAnsi="楷体" w:eastAsia="楷体"/>
                <w:bCs/>
                <w:sz w:val="24"/>
                <w:highlight w:val="none"/>
              </w:rPr>
              <w:t>项</w:t>
            </w:r>
          </w:p>
        </w:tc>
        <w:tc>
          <w:tcPr>
            <w:tcW w:w="3537" w:type="dxa"/>
            <w:vAlign w:val="center"/>
          </w:tcPr>
          <w:p>
            <w:pPr>
              <w:adjustRightInd w:val="0"/>
              <w:snapToGrid w:val="0"/>
              <w:jc w:val="left"/>
              <w:rPr>
                <w:rFonts w:hint="eastAsia" w:ascii="楷体" w:hAnsi="楷体" w:eastAsia="楷体"/>
                <w:bCs/>
                <w:sz w:val="24"/>
                <w:highlight w:val="none"/>
                <w:lang w:eastAsia="zh-CN"/>
              </w:rPr>
            </w:pPr>
            <w:r>
              <w:rPr>
                <w:rFonts w:hint="eastAsia" w:ascii="楷体" w:hAnsi="楷体" w:eastAsia="楷体"/>
                <w:sz w:val="24"/>
                <w:szCs w:val="24"/>
                <w:highlight w:val="none"/>
                <w:lang w:val="en-US" w:eastAsia="zh-CN"/>
              </w:rPr>
              <w:t>完成能耗大数据分析及碳计量应用系统研发。该项目基于能耗在线监测系统，运用在线监测系统数据以及大数据分析技术，构建自学习模型，实现自动核算重点用能单位的碳排放当量（依据24项碳排放核算指南），生成重点单位碳排放数据等功能，提供多种维度的能源数据、碳排放数据可视化分析展示功能。</w:t>
            </w:r>
          </w:p>
        </w:tc>
      </w:tr>
    </w:tbl>
    <w:p>
      <w:pPr>
        <w:pStyle w:val="23"/>
        <w:pBdr>
          <w:bottom w:val="none" w:color="auto" w:sz="0" w:space="0"/>
        </w:pBdr>
        <w:spacing w:line="360" w:lineRule="auto"/>
        <w:jc w:val="both"/>
        <w:rPr>
          <w:rFonts w:ascii="楷体" w:hAnsi="楷体" w:eastAsia="楷体"/>
          <w:sz w:val="24"/>
          <w:szCs w:val="24"/>
        </w:rPr>
      </w:pPr>
      <w:r>
        <w:rPr>
          <w:rFonts w:hint="eastAsia" w:ascii="楷体" w:hAnsi="楷体" w:eastAsia="楷体"/>
          <w:sz w:val="24"/>
          <w:szCs w:val="24"/>
        </w:rPr>
        <w:t>3.供应商</w:t>
      </w:r>
      <w:r>
        <w:rPr>
          <w:rFonts w:ascii="楷体" w:hAnsi="楷体" w:eastAsia="楷体"/>
          <w:sz w:val="24"/>
          <w:szCs w:val="24"/>
        </w:rPr>
        <w:t>的资格要求：</w:t>
      </w:r>
    </w:p>
    <w:p>
      <w:pPr>
        <w:autoSpaceDE w:val="0"/>
        <w:autoSpaceDN w:val="0"/>
        <w:adjustRightInd w:val="0"/>
        <w:snapToGrid w:val="0"/>
        <w:spacing w:line="360" w:lineRule="auto"/>
        <w:ind w:left="14"/>
        <w:rPr>
          <w:rFonts w:ascii="楷体" w:hAnsi="楷体" w:eastAsia="楷体" w:cs="楷体_GB2312"/>
          <w:sz w:val="24"/>
          <w:lang w:val="zh-CN"/>
        </w:rPr>
      </w:pPr>
      <w:r>
        <w:rPr>
          <w:rFonts w:hint="eastAsia" w:ascii="楷体" w:hAnsi="楷体" w:eastAsia="楷体" w:cs="楷体_GB2312"/>
          <w:sz w:val="24"/>
          <w:lang w:val="zh-CN"/>
        </w:rPr>
        <w:t>凡是满足以下条件的供应商是合格的供应商：</w:t>
      </w:r>
    </w:p>
    <w:p>
      <w:pPr>
        <w:snapToGrid w:val="0"/>
        <w:spacing w:line="360" w:lineRule="auto"/>
        <w:rPr>
          <w:rFonts w:ascii="楷体" w:hAnsi="楷体" w:eastAsia="楷体"/>
          <w:sz w:val="24"/>
        </w:rPr>
      </w:pPr>
      <w:r>
        <w:rPr>
          <w:rFonts w:ascii="楷体" w:hAnsi="楷体" w:eastAsia="楷体"/>
          <w:sz w:val="24"/>
        </w:rPr>
        <w:t>3</w:t>
      </w:r>
      <w:r>
        <w:rPr>
          <w:rFonts w:hint="eastAsia" w:ascii="楷体" w:hAnsi="楷体" w:eastAsia="楷体"/>
          <w:sz w:val="24"/>
        </w:rPr>
        <w:t>.1 按《中华人民共和国政府采购法》第二十二条规定：供应商参加政府采购活动应当具备下列条件：</w:t>
      </w:r>
    </w:p>
    <w:p>
      <w:pPr>
        <w:spacing w:line="360" w:lineRule="auto"/>
        <w:ind w:firstLine="480" w:firstLineChars="200"/>
        <w:jc w:val="left"/>
        <w:rPr>
          <w:rFonts w:ascii="楷体" w:hAnsi="楷体" w:eastAsia="楷体"/>
          <w:sz w:val="24"/>
        </w:rPr>
      </w:pPr>
      <w:r>
        <w:rPr>
          <w:rFonts w:hint="eastAsia" w:ascii="楷体" w:hAnsi="楷体" w:eastAsia="楷体"/>
          <w:sz w:val="24"/>
        </w:rPr>
        <w:t>（1）具有独立承担民事责任的能力。</w:t>
      </w:r>
    </w:p>
    <w:p>
      <w:pPr>
        <w:pStyle w:val="71"/>
        <w:spacing w:line="360" w:lineRule="auto"/>
        <w:ind w:firstLine="480"/>
        <w:rPr>
          <w:rFonts w:ascii="楷体" w:hAnsi="楷体" w:eastAsia="楷体"/>
        </w:rPr>
      </w:pPr>
      <w:r>
        <w:rPr>
          <w:rFonts w:hint="eastAsia" w:ascii="楷体" w:hAnsi="楷体" w:eastAsia="楷体"/>
        </w:rPr>
        <w:t>（2）具有良好的商业信誉和健全的财务会计制度。</w:t>
      </w:r>
    </w:p>
    <w:p>
      <w:pPr>
        <w:spacing w:line="360" w:lineRule="auto"/>
        <w:ind w:firstLine="480" w:firstLineChars="200"/>
        <w:jc w:val="left"/>
        <w:rPr>
          <w:rFonts w:hint="eastAsia" w:ascii="楷体" w:hAnsi="楷体" w:eastAsia="楷体"/>
          <w:sz w:val="24"/>
        </w:rPr>
      </w:pPr>
      <w:r>
        <w:rPr>
          <w:rFonts w:hint="eastAsia" w:ascii="楷体" w:hAnsi="楷体" w:eastAsia="楷体"/>
          <w:sz w:val="24"/>
        </w:rPr>
        <w:t>（3）具有履行合同所必需的设备和专业技术能力。</w:t>
      </w:r>
    </w:p>
    <w:p>
      <w:pPr>
        <w:spacing w:line="360" w:lineRule="auto"/>
        <w:ind w:firstLine="480" w:firstLineChars="200"/>
        <w:jc w:val="left"/>
        <w:rPr>
          <w:rFonts w:hint="eastAsia" w:ascii="楷体" w:hAnsi="楷体" w:eastAsia="楷体"/>
          <w:sz w:val="24"/>
          <w:szCs w:val="22"/>
        </w:rPr>
      </w:pPr>
      <w:r>
        <w:rPr>
          <w:rFonts w:hint="eastAsia" w:ascii="楷体" w:hAnsi="楷体" w:eastAsia="楷体"/>
          <w:sz w:val="24"/>
        </w:rPr>
        <w:t>（4）有依法缴纳税收和社会保障资金的良好记录</w:t>
      </w:r>
      <w:r>
        <w:rPr>
          <w:rFonts w:hint="eastAsia" w:ascii="楷体" w:hAnsi="楷体" w:eastAsia="楷体"/>
          <w:sz w:val="24"/>
          <w:szCs w:val="22"/>
        </w:rPr>
        <w:t>。</w:t>
      </w:r>
    </w:p>
    <w:p>
      <w:pPr>
        <w:spacing w:line="360" w:lineRule="auto"/>
        <w:ind w:firstLine="480" w:firstLineChars="200"/>
        <w:jc w:val="left"/>
        <w:rPr>
          <w:rFonts w:hint="eastAsia" w:ascii="楷体" w:hAnsi="楷体" w:eastAsia="楷体"/>
          <w:sz w:val="24"/>
        </w:rPr>
      </w:pPr>
      <w:r>
        <w:rPr>
          <w:rFonts w:hint="eastAsia" w:ascii="楷体" w:hAnsi="楷体" w:eastAsia="楷体"/>
          <w:sz w:val="24"/>
        </w:rPr>
        <w:t>（5）参加政府采购活动前三年内，在经营活动中没有重大违法记录；</w:t>
      </w:r>
    </w:p>
    <w:p>
      <w:pPr>
        <w:spacing w:line="360" w:lineRule="auto"/>
        <w:ind w:firstLine="480" w:firstLineChars="200"/>
        <w:jc w:val="left"/>
        <w:rPr>
          <w:rFonts w:ascii="楷体" w:hAnsi="楷体" w:eastAsia="楷体"/>
          <w:b/>
          <w:bCs/>
          <w:sz w:val="24"/>
        </w:rPr>
      </w:pPr>
      <w:r>
        <w:rPr>
          <w:rFonts w:hint="eastAsia" w:ascii="楷体" w:hAnsi="楷体" w:eastAsia="楷体"/>
          <w:sz w:val="24"/>
        </w:rPr>
        <w:t>（6）法律、行政法规规定的其他条件。</w:t>
      </w:r>
    </w:p>
    <w:p>
      <w:pPr>
        <w:snapToGrid w:val="0"/>
        <w:spacing w:line="360" w:lineRule="auto"/>
        <w:rPr>
          <w:rFonts w:ascii="楷体" w:hAnsi="楷体" w:eastAsia="楷体" w:cs="Arial"/>
          <w:sz w:val="24"/>
        </w:rPr>
      </w:pPr>
      <w:r>
        <w:rPr>
          <w:rFonts w:hint="eastAsia" w:ascii="楷体" w:hAnsi="楷体" w:eastAsia="楷体" w:cs="Arial"/>
          <w:sz w:val="24"/>
        </w:rPr>
        <w:t>3.</w:t>
      </w:r>
      <w:r>
        <w:rPr>
          <w:rFonts w:hint="eastAsia" w:ascii="楷体" w:hAnsi="楷体" w:eastAsia="楷体" w:cs="Arial"/>
          <w:sz w:val="24"/>
          <w:lang w:val="en-US" w:eastAsia="zh-CN"/>
        </w:rPr>
        <w:t>2</w:t>
      </w:r>
      <w:r>
        <w:rPr>
          <w:rFonts w:hint="eastAsia" w:ascii="楷体" w:hAnsi="楷体" w:eastAsia="楷体" w:cs="Arial"/>
          <w:sz w:val="24"/>
        </w:rPr>
        <w:t>独立于采购代理机构和采购人的供应商；</w:t>
      </w:r>
    </w:p>
    <w:p>
      <w:pPr>
        <w:snapToGrid w:val="0"/>
        <w:spacing w:line="360" w:lineRule="auto"/>
        <w:rPr>
          <w:rFonts w:hint="eastAsia" w:ascii="楷体" w:hAnsi="楷体" w:eastAsia="楷体" w:cs="Arial"/>
          <w:sz w:val="24"/>
          <w:szCs w:val="22"/>
        </w:rPr>
      </w:pPr>
      <w:r>
        <w:rPr>
          <w:rFonts w:ascii="楷体" w:hAnsi="楷体" w:eastAsia="楷体"/>
          <w:sz w:val="24"/>
        </w:rPr>
        <w:t>3.</w:t>
      </w:r>
      <w:r>
        <w:rPr>
          <w:rFonts w:hint="eastAsia" w:ascii="楷体" w:hAnsi="楷体" w:eastAsia="楷体"/>
          <w:sz w:val="24"/>
          <w:lang w:val="en-US" w:eastAsia="zh-CN"/>
        </w:rPr>
        <w:t>3</w:t>
      </w:r>
      <w:r>
        <w:rPr>
          <w:rFonts w:ascii="楷体" w:hAnsi="楷体" w:eastAsia="楷体"/>
          <w:sz w:val="24"/>
        </w:rPr>
        <w:t xml:space="preserve"> </w:t>
      </w:r>
      <w:r>
        <w:rPr>
          <w:rFonts w:hint="eastAsia" w:ascii="楷体" w:hAnsi="楷体" w:eastAsia="楷体" w:cs="Arial"/>
          <w:sz w:val="24"/>
          <w:szCs w:val="22"/>
        </w:rPr>
        <w:t>投标人或投标人的法定代表人必须为未被列入信用中国网站(www.creditchina.gov.cn)、中国政府采购网(www.ccgp.gov.cn)信用记录失信被执行人、重大税收违法案件当事人名单、政府采购严重违法失信行为记录名单。</w:t>
      </w:r>
    </w:p>
    <w:p>
      <w:pPr>
        <w:snapToGrid w:val="0"/>
        <w:spacing w:line="360" w:lineRule="auto"/>
        <w:rPr>
          <w:rFonts w:hint="eastAsia" w:ascii="楷体" w:hAnsi="楷体" w:eastAsia="楷体"/>
          <w:sz w:val="24"/>
          <w:szCs w:val="22"/>
          <w:lang w:val="en-US" w:eastAsia="zh-CN"/>
        </w:rPr>
      </w:pPr>
      <w:r>
        <w:rPr>
          <w:rFonts w:hint="eastAsia" w:ascii="楷体" w:hAnsi="楷体" w:eastAsia="楷体"/>
          <w:sz w:val="24"/>
          <w:szCs w:val="22"/>
        </w:rPr>
        <w:t>3.</w:t>
      </w:r>
      <w:r>
        <w:rPr>
          <w:rFonts w:hint="eastAsia" w:ascii="楷体" w:hAnsi="楷体" w:eastAsia="楷体"/>
          <w:sz w:val="24"/>
          <w:szCs w:val="22"/>
          <w:lang w:val="en-US" w:eastAsia="zh-CN"/>
        </w:rPr>
        <w:t>4.采购项目需要落实的政府采购政策：（中小企业优惠、监狱企业、节能产品、环境标志产品等）</w:t>
      </w:r>
    </w:p>
    <w:p>
      <w:pPr>
        <w:snapToGrid w:val="0"/>
        <w:spacing w:line="360" w:lineRule="auto"/>
        <w:rPr>
          <w:rFonts w:hint="eastAsia" w:ascii="楷体" w:hAnsi="楷体" w:eastAsia="楷体"/>
          <w:sz w:val="24"/>
          <w:szCs w:val="22"/>
          <w:lang w:val="en-US" w:eastAsia="zh-CN"/>
        </w:rPr>
      </w:pPr>
      <w:r>
        <w:rPr>
          <w:rFonts w:hint="eastAsia" w:ascii="楷体" w:hAnsi="楷体" w:eastAsia="楷体"/>
          <w:sz w:val="24"/>
          <w:szCs w:val="22"/>
          <w:lang w:val="en-US" w:eastAsia="zh-CN"/>
        </w:rPr>
        <w:t>（1）《政府采购促进中小企业发展管理办法》（财库〔2020〕46号）；</w:t>
      </w:r>
    </w:p>
    <w:p>
      <w:pPr>
        <w:snapToGrid w:val="0"/>
        <w:spacing w:line="360" w:lineRule="auto"/>
        <w:rPr>
          <w:rFonts w:hint="eastAsia" w:ascii="楷体" w:hAnsi="楷体" w:eastAsia="楷体"/>
          <w:sz w:val="24"/>
          <w:szCs w:val="22"/>
          <w:lang w:val="en-US" w:eastAsia="zh-CN"/>
        </w:rPr>
      </w:pPr>
      <w:r>
        <w:rPr>
          <w:rFonts w:hint="eastAsia" w:ascii="楷体" w:hAnsi="楷体" w:eastAsia="楷体"/>
          <w:sz w:val="24"/>
          <w:szCs w:val="22"/>
          <w:lang w:val="en-US" w:eastAsia="zh-CN"/>
        </w:rPr>
        <w:t>（2）《财政部、司法部关于政府采购支持监狱企业发展有关问题的通知》（财库〔2014〕68号）；</w:t>
      </w:r>
    </w:p>
    <w:p>
      <w:pPr>
        <w:snapToGrid w:val="0"/>
        <w:spacing w:line="360" w:lineRule="auto"/>
        <w:rPr>
          <w:rFonts w:hint="eastAsia" w:ascii="楷体" w:hAnsi="楷体" w:eastAsia="楷体"/>
          <w:sz w:val="24"/>
          <w:szCs w:val="22"/>
          <w:lang w:val="en-US" w:eastAsia="zh-CN"/>
        </w:rPr>
      </w:pPr>
      <w:r>
        <w:rPr>
          <w:rFonts w:hint="eastAsia" w:ascii="楷体" w:hAnsi="楷体" w:eastAsia="楷体"/>
          <w:sz w:val="24"/>
          <w:szCs w:val="22"/>
          <w:lang w:val="en-US" w:eastAsia="zh-CN"/>
        </w:rPr>
        <w:t>（3）《财政部 民政部 中国残疾人联合会关于促进残疾人就业政府采购政策的通知》财库〔2017〕141号。</w:t>
      </w:r>
    </w:p>
    <w:p>
      <w:pPr>
        <w:snapToGrid w:val="0"/>
        <w:spacing w:line="360" w:lineRule="auto"/>
        <w:rPr>
          <w:rFonts w:ascii="楷体" w:hAnsi="楷体" w:eastAsia="楷体"/>
          <w:sz w:val="24"/>
        </w:rPr>
      </w:pPr>
      <w:r>
        <w:rPr>
          <w:rFonts w:hint="eastAsia" w:ascii="楷体" w:hAnsi="楷体" w:eastAsia="楷体"/>
          <w:sz w:val="24"/>
          <w:lang w:val="en-US" w:eastAsia="zh-CN"/>
        </w:rPr>
        <w:t>3.5</w:t>
      </w:r>
      <w:r>
        <w:rPr>
          <w:rFonts w:hint="eastAsia" w:ascii="楷体" w:hAnsi="楷体" w:eastAsia="楷体"/>
          <w:sz w:val="24"/>
        </w:rPr>
        <w:t>供应商必须购买本项目《竞争性磋商文件》并登记备案，否则无资格参加本次投标；</w:t>
      </w:r>
    </w:p>
    <w:p>
      <w:pPr>
        <w:snapToGrid w:val="0"/>
        <w:spacing w:line="360" w:lineRule="auto"/>
        <w:rPr>
          <w:rFonts w:hint="eastAsia" w:ascii="楷体" w:hAnsi="楷体" w:eastAsia="楷体"/>
          <w:sz w:val="24"/>
        </w:rPr>
      </w:pPr>
      <w:r>
        <w:rPr>
          <w:rFonts w:ascii="楷体" w:hAnsi="楷体" w:eastAsia="楷体"/>
          <w:sz w:val="24"/>
        </w:rPr>
        <w:t>3.</w:t>
      </w:r>
      <w:r>
        <w:rPr>
          <w:rFonts w:hint="eastAsia" w:ascii="楷体" w:hAnsi="楷体" w:eastAsia="楷体"/>
          <w:sz w:val="24"/>
          <w:lang w:val="en-US" w:eastAsia="zh-CN"/>
        </w:rPr>
        <w:t>6</w:t>
      </w:r>
      <w:r>
        <w:rPr>
          <w:rFonts w:hint="eastAsia" w:ascii="楷体" w:hAnsi="楷体" w:eastAsia="楷体"/>
          <w:sz w:val="24"/>
        </w:rPr>
        <w:t>本项目</w:t>
      </w:r>
      <w:r>
        <w:rPr>
          <w:rFonts w:hint="eastAsia" w:ascii="楷体" w:hAnsi="楷体" w:eastAsia="楷体"/>
          <w:sz w:val="24"/>
          <w:u w:val="single"/>
        </w:rPr>
        <w:t>不允许</w:t>
      </w:r>
      <w:r>
        <w:rPr>
          <w:rFonts w:hint="eastAsia" w:ascii="楷体" w:hAnsi="楷体" w:eastAsia="楷体"/>
          <w:sz w:val="24"/>
        </w:rPr>
        <w:t>转包、分包，</w:t>
      </w:r>
      <w:r>
        <w:rPr>
          <w:rFonts w:hint="eastAsia" w:ascii="楷体" w:hAnsi="楷体" w:eastAsia="楷体"/>
          <w:sz w:val="24"/>
          <w:u w:val="single"/>
        </w:rPr>
        <w:t>不接受</w:t>
      </w:r>
      <w:r>
        <w:rPr>
          <w:rFonts w:hint="eastAsia" w:ascii="楷体" w:hAnsi="楷体" w:eastAsia="楷体"/>
          <w:sz w:val="24"/>
        </w:rPr>
        <w:t>联合体投标。</w:t>
      </w:r>
    </w:p>
    <w:p>
      <w:pPr>
        <w:pStyle w:val="23"/>
        <w:pBdr>
          <w:bottom w:val="none" w:color="auto" w:sz="0" w:space="0"/>
        </w:pBdr>
        <w:spacing w:line="360" w:lineRule="auto"/>
        <w:jc w:val="both"/>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磋商文件</w:t>
      </w:r>
      <w:r>
        <w:rPr>
          <w:rFonts w:hint="eastAsia" w:ascii="楷体" w:hAnsi="楷体" w:eastAsia="楷体"/>
          <w:sz w:val="24"/>
          <w:szCs w:val="24"/>
        </w:rPr>
        <w:t>的获取</w:t>
      </w:r>
      <w:r>
        <w:rPr>
          <w:rFonts w:ascii="楷体" w:hAnsi="楷体" w:eastAsia="楷体"/>
          <w:sz w:val="24"/>
          <w:szCs w:val="24"/>
        </w:rPr>
        <w:t>：</w:t>
      </w:r>
    </w:p>
    <w:p>
      <w:pPr>
        <w:pStyle w:val="23"/>
        <w:pBdr>
          <w:bottom w:val="none" w:color="auto" w:sz="0" w:space="0"/>
        </w:pBdr>
        <w:spacing w:line="360" w:lineRule="auto"/>
        <w:jc w:val="both"/>
        <w:rPr>
          <w:rFonts w:hint="eastAsia" w:ascii="楷体" w:hAnsi="楷体" w:eastAsia="楷体"/>
          <w:sz w:val="24"/>
          <w:szCs w:val="24"/>
        </w:rPr>
      </w:pPr>
      <w:r>
        <w:rPr>
          <w:rFonts w:hint="eastAsia" w:ascii="楷体" w:hAnsi="楷体" w:eastAsia="楷体"/>
          <w:sz w:val="24"/>
          <w:szCs w:val="24"/>
        </w:rPr>
        <w:t>4.1凡有意参加投标者，请于2021年</w:t>
      </w:r>
      <w:r>
        <w:rPr>
          <w:rFonts w:hint="eastAsia" w:ascii="楷体" w:hAnsi="楷体" w:eastAsia="楷体"/>
          <w:sz w:val="24"/>
          <w:szCs w:val="24"/>
          <w:lang w:val="en-US" w:eastAsia="zh-CN"/>
        </w:rPr>
        <w:t>11</w:t>
      </w:r>
      <w:r>
        <w:rPr>
          <w:rFonts w:hint="eastAsia" w:ascii="楷体" w:hAnsi="楷体" w:eastAsia="楷体"/>
          <w:sz w:val="24"/>
          <w:szCs w:val="24"/>
        </w:rPr>
        <w:t>月</w:t>
      </w:r>
      <w:r>
        <w:rPr>
          <w:rFonts w:hint="eastAsia" w:ascii="楷体" w:hAnsi="楷体" w:eastAsia="楷体"/>
          <w:sz w:val="24"/>
          <w:szCs w:val="24"/>
          <w:lang w:val="en-US" w:eastAsia="zh-CN"/>
        </w:rPr>
        <w:t>16</w:t>
      </w:r>
      <w:r>
        <w:rPr>
          <w:rFonts w:hint="eastAsia" w:ascii="楷体" w:hAnsi="楷体" w:eastAsia="楷体"/>
          <w:sz w:val="24"/>
          <w:szCs w:val="24"/>
        </w:rPr>
        <w:t>日</w:t>
      </w:r>
      <w:r>
        <w:rPr>
          <w:rFonts w:hint="eastAsia" w:ascii="楷体" w:hAnsi="楷体" w:eastAsia="楷体"/>
          <w:sz w:val="24"/>
          <w:szCs w:val="24"/>
          <w:lang w:val="en-US" w:eastAsia="zh-CN"/>
        </w:rPr>
        <w:t>9</w:t>
      </w:r>
      <w:r>
        <w:rPr>
          <w:rFonts w:hint="eastAsia" w:ascii="楷体" w:hAnsi="楷体" w:eastAsia="楷体"/>
          <w:sz w:val="24"/>
          <w:szCs w:val="24"/>
        </w:rPr>
        <w:t>时至2021年</w:t>
      </w:r>
      <w:r>
        <w:rPr>
          <w:rFonts w:hint="eastAsia" w:ascii="楷体" w:hAnsi="楷体" w:eastAsia="楷体"/>
          <w:sz w:val="24"/>
          <w:szCs w:val="24"/>
          <w:lang w:val="en-US" w:eastAsia="zh-CN"/>
        </w:rPr>
        <w:t>11</w:t>
      </w:r>
      <w:r>
        <w:rPr>
          <w:rFonts w:hint="eastAsia" w:ascii="楷体" w:hAnsi="楷体" w:eastAsia="楷体"/>
          <w:sz w:val="24"/>
          <w:szCs w:val="24"/>
        </w:rPr>
        <w:t>月</w:t>
      </w:r>
      <w:r>
        <w:rPr>
          <w:rFonts w:hint="eastAsia" w:ascii="楷体" w:hAnsi="楷体" w:eastAsia="楷体"/>
          <w:sz w:val="24"/>
          <w:szCs w:val="24"/>
          <w:lang w:val="en-US" w:eastAsia="zh-CN"/>
        </w:rPr>
        <w:t>23</w:t>
      </w:r>
      <w:r>
        <w:rPr>
          <w:rFonts w:hint="eastAsia" w:ascii="楷体" w:hAnsi="楷体" w:eastAsia="楷体"/>
          <w:sz w:val="24"/>
          <w:szCs w:val="24"/>
        </w:rPr>
        <w:t>日17时（法定公休日、法定节假日除外），前往“中招联合招标采购平台”进行投标人注册（网址：</w:t>
      </w:r>
      <w:r>
        <w:rPr>
          <w:rFonts w:hint="eastAsia" w:ascii="楷体" w:hAnsi="楷体" w:eastAsia="楷体"/>
          <w:sz w:val="24"/>
          <w:szCs w:val="24"/>
        </w:rPr>
        <w:fldChar w:fldCharType="begin"/>
      </w:r>
      <w:r>
        <w:rPr>
          <w:rFonts w:hint="eastAsia" w:ascii="楷体" w:hAnsi="楷体" w:eastAsia="楷体"/>
          <w:sz w:val="24"/>
          <w:szCs w:val="24"/>
        </w:rPr>
        <w:instrText xml:space="preserve"> HYPERLINK "http://www.365trade.com.cn/" </w:instrText>
      </w:r>
      <w:r>
        <w:rPr>
          <w:rFonts w:hint="eastAsia" w:ascii="楷体" w:hAnsi="楷体" w:eastAsia="楷体"/>
          <w:sz w:val="24"/>
          <w:szCs w:val="24"/>
        </w:rPr>
        <w:fldChar w:fldCharType="separate"/>
      </w:r>
      <w:r>
        <w:rPr>
          <w:rFonts w:hint="eastAsia" w:ascii="楷体" w:hAnsi="楷体" w:eastAsia="楷体"/>
          <w:sz w:val="24"/>
          <w:szCs w:val="24"/>
        </w:rPr>
        <w:t>http://www.365trade.com.cn</w:t>
      </w:r>
      <w:r>
        <w:rPr>
          <w:rFonts w:hint="eastAsia" w:ascii="楷体" w:hAnsi="楷体" w:eastAsia="楷体"/>
          <w:sz w:val="24"/>
          <w:szCs w:val="24"/>
        </w:rPr>
        <w:fldChar w:fldCharType="end"/>
      </w:r>
      <w:r>
        <w:rPr>
          <w:rFonts w:hint="eastAsia" w:ascii="楷体" w:hAnsi="楷体" w:eastAsia="楷体"/>
          <w:sz w:val="24"/>
          <w:szCs w:val="24"/>
        </w:rPr>
        <w:t>）、购买并下载电子版招标文件。未按上述要求获取招标文件的，其投标文件不予接收。平台操作过中如需帮助，可联系平台客服热线 010-86397110获取支持。</w:t>
      </w:r>
    </w:p>
    <w:p>
      <w:pPr>
        <w:pStyle w:val="23"/>
        <w:pBdr>
          <w:bottom w:val="none" w:color="auto" w:sz="0" w:space="0"/>
        </w:pBdr>
        <w:spacing w:line="360" w:lineRule="auto"/>
        <w:jc w:val="both"/>
        <w:rPr>
          <w:rFonts w:hint="eastAsia" w:ascii="楷体" w:hAnsi="楷体" w:eastAsia="楷体"/>
          <w:sz w:val="24"/>
          <w:szCs w:val="24"/>
        </w:rPr>
      </w:pPr>
      <w:r>
        <w:rPr>
          <w:rFonts w:hint="eastAsia" w:ascii="楷体" w:hAnsi="楷体" w:eastAsia="楷体"/>
          <w:sz w:val="24"/>
          <w:szCs w:val="24"/>
        </w:rPr>
        <w:t>4.2 竞争性磋商文件售价：每供应商</w:t>
      </w:r>
      <w:r>
        <w:rPr>
          <w:rFonts w:hint="eastAsia" w:ascii="楷体" w:hAnsi="楷体" w:eastAsia="楷体"/>
          <w:sz w:val="24"/>
          <w:szCs w:val="24"/>
          <w:lang w:val="en-US" w:eastAsia="zh-CN"/>
        </w:rPr>
        <w:t>3</w:t>
      </w:r>
      <w:r>
        <w:rPr>
          <w:rFonts w:hint="eastAsia" w:ascii="楷体" w:hAnsi="楷体" w:eastAsia="楷体"/>
          <w:sz w:val="24"/>
          <w:szCs w:val="24"/>
        </w:rPr>
        <w:t>00元人民币，售后不退。</w:t>
      </w:r>
    </w:p>
    <w:p>
      <w:pPr>
        <w:pStyle w:val="23"/>
        <w:pBdr>
          <w:bottom w:val="none" w:color="auto" w:sz="0" w:space="0"/>
        </w:pBdr>
        <w:spacing w:line="360" w:lineRule="auto"/>
        <w:jc w:val="both"/>
        <w:rPr>
          <w:rFonts w:ascii="楷体" w:hAnsi="楷体" w:eastAsia="楷体"/>
          <w:sz w:val="24"/>
          <w:szCs w:val="24"/>
        </w:rPr>
      </w:pPr>
      <w:r>
        <w:rPr>
          <w:rFonts w:ascii="楷体" w:hAnsi="楷体" w:eastAsia="楷体"/>
          <w:sz w:val="24"/>
          <w:szCs w:val="24"/>
        </w:rPr>
        <w:t>5</w:t>
      </w:r>
      <w:r>
        <w:rPr>
          <w:rFonts w:hint="eastAsia" w:ascii="楷体" w:hAnsi="楷体" w:eastAsia="楷体"/>
          <w:sz w:val="24"/>
          <w:szCs w:val="24"/>
        </w:rPr>
        <w:t>.首次</w:t>
      </w:r>
      <w:r>
        <w:rPr>
          <w:rFonts w:ascii="楷体" w:hAnsi="楷体" w:eastAsia="楷体"/>
          <w:sz w:val="24"/>
          <w:szCs w:val="24"/>
        </w:rPr>
        <w:t>响应文件提交时间、截止时间及地点：</w:t>
      </w:r>
    </w:p>
    <w:p>
      <w:pPr>
        <w:pStyle w:val="23"/>
        <w:pBdr>
          <w:bottom w:val="none" w:color="auto" w:sz="0" w:space="0"/>
        </w:pBdr>
        <w:spacing w:line="360" w:lineRule="auto"/>
        <w:ind w:firstLine="240" w:firstLineChars="100"/>
        <w:jc w:val="both"/>
        <w:rPr>
          <w:rFonts w:hint="eastAsia" w:ascii="楷体" w:hAnsi="楷体" w:eastAsia="楷体"/>
          <w:sz w:val="24"/>
          <w:szCs w:val="24"/>
          <w:u w:val="single"/>
        </w:rPr>
      </w:pPr>
      <w:r>
        <w:rPr>
          <w:rFonts w:ascii="楷体" w:hAnsi="楷体" w:eastAsia="楷体"/>
          <w:sz w:val="24"/>
          <w:szCs w:val="24"/>
        </w:rPr>
        <w:t>提交时间：</w:t>
      </w:r>
      <w:r>
        <w:rPr>
          <w:rFonts w:hint="eastAsia" w:ascii="楷体" w:hAnsi="楷体" w:eastAsia="楷体"/>
          <w:sz w:val="24"/>
          <w:szCs w:val="24"/>
        </w:rPr>
        <w:t>20</w:t>
      </w:r>
      <w:r>
        <w:rPr>
          <w:rFonts w:ascii="楷体" w:hAnsi="楷体" w:eastAsia="楷体"/>
          <w:sz w:val="24"/>
          <w:szCs w:val="24"/>
        </w:rPr>
        <w:t>21</w:t>
      </w:r>
      <w:r>
        <w:rPr>
          <w:rFonts w:hint="eastAsia" w:ascii="楷体" w:hAnsi="楷体" w:eastAsia="楷体"/>
          <w:sz w:val="24"/>
          <w:szCs w:val="24"/>
          <w:lang w:val="en-US" w:eastAsia="zh-CN"/>
        </w:rPr>
        <w:t>年11月30日11（北京时间）</w:t>
      </w:r>
      <w:r>
        <w:rPr>
          <w:rFonts w:hint="eastAsia" w:ascii="楷体" w:hAnsi="楷体" w:eastAsia="楷体"/>
          <w:sz w:val="24"/>
          <w:szCs w:val="24"/>
        </w:rPr>
        <w:t>。</w:t>
      </w:r>
    </w:p>
    <w:p>
      <w:pPr>
        <w:pStyle w:val="23"/>
        <w:pBdr>
          <w:bottom w:val="none" w:color="auto" w:sz="0" w:space="0"/>
        </w:pBdr>
        <w:spacing w:line="360" w:lineRule="auto"/>
        <w:ind w:firstLine="240" w:firstLineChars="100"/>
        <w:jc w:val="both"/>
        <w:rPr>
          <w:rFonts w:ascii="楷体" w:hAnsi="楷体" w:eastAsia="楷体"/>
          <w:sz w:val="24"/>
          <w:szCs w:val="24"/>
        </w:rPr>
      </w:pPr>
      <w:r>
        <w:rPr>
          <w:rFonts w:ascii="楷体" w:hAnsi="楷体" w:eastAsia="楷体"/>
          <w:sz w:val="24"/>
          <w:szCs w:val="24"/>
        </w:rPr>
        <w:t>截止时间：</w:t>
      </w:r>
      <w:r>
        <w:rPr>
          <w:rFonts w:hint="eastAsia" w:ascii="楷体" w:hAnsi="楷体" w:eastAsia="楷体"/>
          <w:sz w:val="24"/>
          <w:szCs w:val="24"/>
        </w:rPr>
        <w:t>20</w:t>
      </w:r>
      <w:r>
        <w:rPr>
          <w:rFonts w:ascii="楷体" w:hAnsi="楷体" w:eastAsia="楷体"/>
          <w:sz w:val="24"/>
          <w:szCs w:val="24"/>
        </w:rPr>
        <w:t>21</w:t>
      </w:r>
      <w:r>
        <w:rPr>
          <w:rFonts w:hint="eastAsia" w:ascii="楷体" w:hAnsi="楷体" w:eastAsia="楷体"/>
          <w:sz w:val="24"/>
          <w:szCs w:val="24"/>
        </w:rPr>
        <w:t>年</w:t>
      </w:r>
      <w:r>
        <w:rPr>
          <w:rFonts w:hint="eastAsia" w:ascii="楷体" w:hAnsi="楷体" w:eastAsia="楷体"/>
          <w:sz w:val="24"/>
          <w:szCs w:val="24"/>
          <w:lang w:val="en-US" w:eastAsia="zh-CN"/>
        </w:rPr>
        <w:t>11月30日11（</w:t>
      </w:r>
      <w:r>
        <w:rPr>
          <w:rFonts w:hint="eastAsia" w:ascii="楷体" w:hAnsi="楷体" w:eastAsia="楷体"/>
          <w:sz w:val="24"/>
          <w:szCs w:val="24"/>
        </w:rPr>
        <w:t>北京时间）。</w:t>
      </w:r>
    </w:p>
    <w:p>
      <w:pPr>
        <w:pStyle w:val="23"/>
        <w:pBdr>
          <w:bottom w:val="none" w:color="auto" w:sz="0" w:space="0"/>
        </w:pBdr>
        <w:spacing w:line="360" w:lineRule="auto"/>
        <w:ind w:firstLine="240" w:firstLineChars="100"/>
        <w:jc w:val="both"/>
        <w:rPr>
          <w:rFonts w:ascii="楷体" w:hAnsi="楷体" w:eastAsia="楷体"/>
          <w:sz w:val="24"/>
          <w:szCs w:val="24"/>
        </w:rPr>
      </w:pPr>
      <w:r>
        <w:rPr>
          <w:rFonts w:ascii="楷体" w:hAnsi="楷体" w:eastAsia="楷体"/>
          <w:sz w:val="24"/>
          <w:szCs w:val="24"/>
        </w:rPr>
        <w:t>地点：</w:t>
      </w:r>
      <w:r>
        <w:rPr>
          <w:rFonts w:hint="eastAsia" w:ascii="楷体" w:hAnsi="楷体" w:eastAsia="楷体"/>
          <w:sz w:val="24"/>
          <w:szCs w:val="24"/>
        </w:rPr>
        <w:t>中招国际招标有限公司新疆分公司会议室（乌鲁木齐市水磨沟区南湖北路486号南湖明珠大厦南区8楼）。</w:t>
      </w:r>
    </w:p>
    <w:p>
      <w:pPr>
        <w:pStyle w:val="23"/>
        <w:pBdr>
          <w:bottom w:val="none" w:color="auto" w:sz="0" w:space="0"/>
        </w:pBdr>
        <w:spacing w:line="360" w:lineRule="auto"/>
        <w:ind w:firstLine="240" w:firstLineChars="100"/>
        <w:jc w:val="both"/>
        <w:rPr>
          <w:rFonts w:ascii="楷体" w:hAnsi="楷体" w:eastAsia="楷体"/>
          <w:sz w:val="24"/>
          <w:szCs w:val="24"/>
        </w:rPr>
      </w:pPr>
      <w:r>
        <w:rPr>
          <w:rFonts w:ascii="楷体" w:hAnsi="楷体" w:eastAsia="楷体"/>
          <w:sz w:val="24"/>
          <w:szCs w:val="24"/>
        </w:rPr>
        <w:t>在以上截止时间后送达到指定地点的响应文件为无效文件，该文件将被拒收。</w:t>
      </w:r>
    </w:p>
    <w:p>
      <w:pPr>
        <w:pStyle w:val="23"/>
        <w:pBdr>
          <w:bottom w:val="none" w:color="auto" w:sz="0" w:space="0"/>
        </w:pBdr>
        <w:spacing w:line="360" w:lineRule="auto"/>
        <w:jc w:val="both"/>
        <w:rPr>
          <w:rFonts w:ascii="楷体" w:hAnsi="楷体" w:eastAsia="楷体"/>
          <w:sz w:val="24"/>
          <w:szCs w:val="24"/>
        </w:rPr>
      </w:pPr>
      <w:r>
        <w:rPr>
          <w:rFonts w:ascii="楷体" w:hAnsi="楷体" w:eastAsia="楷体"/>
          <w:sz w:val="24"/>
          <w:szCs w:val="24"/>
        </w:rPr>
        <w:t>6</w:t>
      </w:r>
      <w:r>
        <w:rPr>
          <w:rFonts w:hint="eastAsia" w:ascii="楷体" w:hAnsi="楷体" w:eastAsia="楷体"/>
          <w:sz w:val="24"/>
          <w:szCs w:val="24"/>
        </w:rPr>
        <w:t>.</w:t>
      </w:r>
      <w:r>
        <w:rPr>
          <w:rFonts w:ascii="楷体" w:hAnsi="楷体" w:eastAsia="楷体"/>
          <w:sz w:val="24"/>
          <w:szCs w:val="24"/>
        </w:rPr>
        <w:t>最后报价提交时间及地点：</w:t>
      </w:r>
    </w:p>
    <w:p>
      <w:pPr>
        <w:pStyle w:val="23"/>
        <w:pBdr>
          <w:bottom w:val="none" w:color="auto" w:sz="0" w:space="0"/>
        </w:pBdr>
        <w:spacing w:line="360" w:lineRule="auto"/>
        <w:ind w:firstLine="240" w:firstLineChars="100"/>
        <w:jc w:val="both"/>
        <w:rPr>
          <w:rFonts w:ascii="楷体" w:hAnsi="楷体" w:eastAsia="楷体"/>
          <w:sz w:val="24"/>
          <w:szCs w:val="24"/>
        </w:rPr>
      </w:pPr>
      <w:r>
        <w:rPr>
          <w:rFonts w:ascii="楷体" w:hAnsi="楷体" w:eastAsia="楷体"/>
          <w:sz w:val="24"/>
          <w:szCs w:val="24"/>
        </w:rPr>
        <w:t>提交时间：预计为</w:t>
      </w:r>
      <w:bookmarkStart w:id="161" w:name="_GoBack"/>
      <w:r>
        <w:rPr>
          <w:rFonts w:hint="eastAsia" w:ascii="楷体" w:hAnsi="楷体" w:eastAsia="楷体"/>
          <w:sz w:val="24"/>
          <w:szCs w:val="24"/>
        </w:rPr>
        <w:t>20</w:t>
      </w:r>
      <w:r>
        <w:rPr>
          <w:rFonts w:ascii="楷体" w:hAnsi="楷体" w:eastAsia="楷体"/>
          <w:sz w:val="24"/>
          <w:szCs w:val="24"/>
        </w:rPr>
        <w:t>21</w:t>
      </w:r>
      <w:r>
        <w:rPr>
          <w:rFonts w:hint="eastAsia" w:ascii="楷体" w:hAnsi="楷体" w:eastAsia="楷体"/>
          <w:sz w:val="24"/>
          <w:szCs w:val="24"/>
        </w:rPr>
        <w:t>年</w:t>
      </w:r>
      <w:r>
        <w:rPr>
          <w:rFonts w:hint="eastAsia" w:ascii="楷体" w:hAnsi="楷体" w:eastAsia="楷体"/>
          <w:sz w:val="24"/>
          <w:szCs w:val="24"/>
          <w:lang w:val="en-US" w:eastAsia="zh-CN"/>
        </w:rPr>
        <w:t>11</w:t>
      </w:r>
      <w:r>
        <w:rPr>
          <w:rFonts w:hint="eastAsia" w:ascii="楷体" w:hAnsi="楷体" w:eastAsia="楷体"/>
          <w:sz w:val="24"/>
          <w:szCs w:val="24"/>
        </w:rPr>
        <w:t>月</w:t>
      </w:r>
      <w:r>
        <w:rPr>
          <w:rFonts w:hint="eastAsia" w:ascii="楷体" w:hAnsi="楷体" w:eastAsia="楷体"/>
          <w:sz w:val="24"/>
          <w:szCs w:val="24"/>
          <w:lang w:val="en-US" w:eastAsia="zh-CN"/>
        </w:rPr>
        <w:t>30</w:t>
      </w:r>
      <w:r>
        <w:rPr>
          <w:rFonts w:hint="eastAsia" w:ascii="楷体" w:hAnsi="楷体" w:eastAsia="楷体"/>
          <w:sz w:val="24"/>
          <w:szCs w:val="24"/>
        </w:rPr>
        <w:t>日</w:t>
      </w:r>
      <w:r>
        <w:rPr>
          <w:rFonts w:hint="eastAsia" w:ascii="楷体" w:hAnsi="楷体" w:eastAsia="楷体"/>
          <w:sz w:val="24"/>
          <w:szCs w:val="24"/>
          <w:lang w:val="en-US" w:eastAsia="zh-CN"/>
        </w:rPr>
        <w:t>12</w:t>
      </w:r>
      <w:r>
        <w:rPr>
          <w:rFonts w:hint="eastAsia" w:ascii="楷体" w:hAnsi="楷体" w:eastAsia="楷体"/>
          <w:sz w:val="24"/>
          <w:szCs w:val="24"/>
        </w:rPr>
        <w:t>（北京时间）</w:t>
      </w:r>
      <w:bookmarkEnd w:id="161"/>
      <w:r>
        <w:rPr>
          <w:rFonts w:ascii="楷体" w:hAnsi="楷体" w:eastAsia="楷体"/>
          <w:sz w:val="24"/>
          <w:szCs w:val="24"/>
        </w:rPr>
        <w:t>，具体时间待磋商后另行通知</w:t>
      </w:r>
      <w:r>
        <w:rPr>
          <w:rFonts w:hint="eastAsia" w:ascii="楷体" w:hAnsi="楷体" w:eastAsia="楷体"/>
          <w:sz w:val="24"/>
          <w:szCs w:val="24"/>
        </w:rPr>
        <w:t>。</w:t>
      </w:r>
    </w:p>
    <w:p>
      <w:pPr>
        <w:pStyle w:val="23"/>
        <w:pBdr>
          <w:bottom w:val="none" w:color="auto" w:sz="0" w:space="0"/>
        </w:pBdr>
        <w:spacing w:line="360" w:lineRule="auto"/>
        <w:ind w:firstLine="240" w:firstLineChars="100"/>
        <w:jc w:val="both"/>
        <w:rPr>
          <w:rFonts w:hint="eastAsia" w:ascii="楷体" w:hAnsi="楷体" w:eastAsia="楷体"/>
          <w:sz w:val="24"/>
          <w:szCs w:val="24"/>
        </w:rPr>
      </w:pPr>
      <w:r>
        <w:rPr>
          <w:rFonts w:ascii="楷体" w:hAnsi="楷体" w:eastAsia="楷体"/>
          <w:sz w:val="24"/>
          <w:szCs w:val="24"/>
        </w:rPr>
        <w:t>地</w:t>
      </w:r>
      <w:r>
        <w:rPr>
          <w:rFonts w:hint="eastAsia" w:ascii="楷体" w:hAnsi="楷体" w:eastAsia="楷体"/>
          <w:sz w:val="24"/>
          <w:szCs w:val="24"/>
        </w:rPr>
        <w:t xml:space="preserve">    </w:t>
      </w:r>
      <w:r>
        <w:rPr>
          <w:rFonts w:ascii="楷体" w:hAnsi="楷体" w:eastAsia="楷体"/>
          <w:sz w:val="24"/>
          <w:szCs w:val="24"/>
        </w:rPr>
        <w:t>点：同响应文件提交地点</w:t>
      </w:r>
      <w:r>
        <w:rPr>
          <w:rFonts w:hint="eastAsia" w:ascii="楷体" w:hAnsi="楷体" w:eastAsia="楷体"/>
          <w:sz w:val="24"/>
          <w:szCs w:val="24"/>
        </w:rPr>
        <w:t>。</w:t>
      </w:r>
    </w:p>
    <w:p>
      <w:pPr>
        <w:snapToGrid w:val="0"/>
        <w:spacing w:line="360" w:lineRule="auto"/>
        <w:rPr>
          <w:rFonts w:ascii="楷体" w:hAnsi="楷体" w:eastAsia="楷体"/>
          <w:sz w:val="24"/>
          <w:szCs w:val="24"/>
        </w:rPr>
      </w:pPr>
      <w:r>
        <w:rPr>
          <w:rFonts w:ascii="楷体" w:hAnsi="楷体" w:eastAsia="楷体"/>
          <w:sz w:val="24"/>
          <w:szCs w:val="24"/>
        </w:rPr>
        <w:t>7.凡对竞争性磋商提出询问，请按下列</w:t>
      </w:r>
      <w:r>
        <w:rPr>
          <w:rFonts w:hint="eastAsia" w:ascii="楷体" w:hAnsi="楷体" w:eastAsia="楷体"/>
          <w:sz w:val="24"/>
          <w:szCs w:val="24"/>
        </w:rPr>
        <w:t>方式</w:t>
      </w:r>
      <w:r>
        <w:rPr>
          <w:rFonts w:ascii="楷体" w:hAnsi="楷体" w:eastAsia="楷体"/>
          <w:sz w:val="24"/>
          <w:szCs w:val="24"/>
        </w:rPr>
        <w:t>联系：</w:t>
      </w:r>
    </w:p>
    <w:p>
      <w:pPr>
        <w:snapToGrid w:val="0"/>
        <w:spacing w:line="360" w:lineRule="auto"/>
        <w:ind w:firstLine="240" w:firstLineChars="100"/>
        <w:rPr>
          <w:rFonts w:ascii="楷体" w:hAnsi="楷体" w:eastAsia="楷体"/>
          <w:sz w:val="24"/>
          <w:szCs w:val="24"/>
        </w:rPr>
      </w:pPr>
      <w:r>
        <w:rPr>
          <w:rFonts w:hint="eastAsia" w:ascii="楷体" w:hAnsi="楷体" w:eastAsia="楷体"/>
          <w:b/>
          <w:sz w:val="24"/>
          <w:szCs w:val="24"/>
        </w:rPr>
        <w:t>采购代理机构</w:t>
      </w:r>
      <w:r>
        <w:rPr>
          <w:rFonts w:ascii="楷体" w:hAnsi="楷体" w:eastAsia="楷体"/>
          <w:b/>
          <w:sz w:val="24"/>
          <w:szCs w:val="24"/>
        </w:rPr>
        <w:t>：中招国际招标有限公司</w:t>
      </w:r>
    </w:p>
    <w:p>
      <w:pPr>
        <w:snapToGrid w:val="0"/>
        <w:spacing w:line="360" w:lineRule="auto"/>
        <w:ind w:firstLine="240" w:firstLineChars="100"/>
        <w:rPr>
          <w:rFonts w:hint="eastAsia" w:ascii="楷体" w:hAnsi="楷体" w:eastAsia="楷体"/>
          <w:sz w:val="24"/>
          <w:szCs w:val="24"/>
        </w:rPr>
      </w:pPr>
      <w:r>
        <w:rPr>
          <w:rFonts w:ascii="楷体" w:hAnsi="楷体" w:eastAsia="楷体"/>
          <w:sz w:val="24"/>
          <w:szCs w:val="24"/>
        </w:rPr>
        <w:t>地    址：</w:t>
      </w:r>
      <w:r>
        <w:rPr>
          <w:rFonts w:hint="eastAsia" w:ascii="楷体" w:hAnsi="楷体" w:eastAsia="楷体"/>
          <w:sz w:val="24"/>
          <w:szCs w:val="24"/>
        </w:rPr>
        <w:t>北京市海淀区学院南路62号中关村资本大厦</w:t>
      </w:r>
    </w:p>
    <w:p>
      <w:pPr>
        <w:pStyle w:val="28"/>
        <w:ind w:left="0" w:leftChars="0" w:firstLine="0" w:firstLineChars="0"/>
        <w:rPr>
          <w:rFonts w:ascii="楷体" w:hAnsi="楷体" w:eastAsia="楷体"/>
          <w:sz w:val="24"/>
          <w:szCs w:val="24"/>
        </w:rPr>
      </w:pPr>
      <w:r>
        <w:rPr>
          <w:rFonts w:hint="eastAsia" w:eastAsia="仿宋_GB2312"/>
        </w:rPr>
        <w:t xml:space="preserve">  </w:t>
      </w:r>
      <w:r>
        <w:rPr>
          <w:rFonts w:hint="eastAsia" w:ascii="楷体" w:hAnsi="楷体" w:eastAsia="楷体"/>
          <w:sz w:val="24"/>
          <w:szCs w:val="24"/>
        </w:rPr>
        <w:t>新疆分公司地址：</w:t>
      </w:r>
    </w:p>
    <w:p>
      <w:pPr>
        <w:pStyle w:val="28"/>
        <w:ind w:left="0" w:leftChars="0" w:firstLine="240" w:firstLineChars="100"/>
        <w:rPr>
          <w:rFonts w:hint="eastAsia" w:ascii="楷体" w:hAnsi="楷体" w:eastAsia="楷体"/>
          <w:sz w:val="24"/>
          <w:szCs w:val="24"/>
        </w:rPr>
      </w:pPr>
      <w:r>
        <w:rPr>
          <w:rFonts w:hint="eastAsia" w:ascii="楷体" w:hAnsi="楷体" w:eastAsia="楷体"/>
          <w:sz w:val="24"/>
          <w:szCs w:val="24"/>
        </w:rPr>
        <w:t>联系人：廖超、谭洁</w:t>
      </w:r>
    </w:p>
    <w:p>
      <w:pPr>
        <w:pStyle w:val="28"/>
        <w:ind w:left="0" w:leftChars="0" w:firstLine="240" w:firstLineChars="100"/>
        <w:rPr>
          <w:rFonts w:hint="eastAsia" w:ascii="楷体" w:hAnsi="楷体" w:eastAsia="楷体"/>
          <w:sz w:val="24"/>
          <w:szCs w:val="24"/>
        </w:rPr>
      </w:pPr>
      <w:r>
        <w:rPr>
          <w:rFonts w:hint="eastAsia" w:ascii="楷体" w:hAnsi="楷体" w:eastAsia="楷体"/>
          <w:sz w:val="24"/>
          <w:szCs w:val="24"/>
        </w:rPr>
        <w:t>联系电话：18999825252  0991－2316230</w:t>
      </w:r>
    </w:p>
    <w:p>
      <w:pPr>
        <w:spacing w:line="360" w:lineRule="auto"/>
        <w:ind w:firstLine="240" w:firstLineChars="100"/>
        <w:rPr>
          <w:rFonts w:hint="eastAsia" w:ascii="楷体" w:hAnsi="楷体" w:eastAsia="楷体" w:cs="楷体"/>
          <w:sz w:val="24"/>
        </w:rPr>
      </w:pPr>
      <w:r>
        <w:rPr>
          <w:rFonts w:hint="eastAsia" w:ascii="楷体" w:hAnsi="楷体" w:eastAsia="楷体" w:cs="楷体"/>
          <w:sz w:val="24"/>
        </w:rPr>
        <w:t>采 购 人：</w:t>
      </w:r>
      <w:r>
        <w:rPr>
          <w:rFonts w:hint="eastAsia" w:ascii="楷体" w:hAnsi="楷体" w:eastAsia="楷体" w:cs="楷体"/>
          <w:sz w:val="24"/>
          <w:lang w:val="zh-CN"/>
        </w:rPr>
        <w:t>新疆维吾尔自治区计量测试研究院</w:t>
      </w:r>
    </w:p>
    <w:p>
      <w:pPr>
        <w:spacing w:line="360" w:lineRule="auto"/>
        <w:ind w:firstLine="240" w:firstLineChars="100"/>
        <w:rPr>
          <w:rFonts w:hint="eastAsia" w:ascii="楷体" w:hAnsi="楷体" w:eastAsia="楷体" w:cs="楷体"/>
          <w:sz w:val="24"/>
          <w:lang w:val="en-US" w:eastAsia="zh-CN"/>
        </w:rPr>
      </w:pPr>
      <w:r>
        <w:rPr>
          <w:rFonts w:hint="eastAsia" w:ascii="楷体" w:hAnsi="楷体" w:eastAsia="楷体" w:cs="楷体"/>
          <w:sz w:val="24"/>
          <w:lang w:val="en-US" w:eastAsia="zh-CN"/>
        </w:rPr>
        <w:t>地    址：河北东路188号</w:t>
      </w:r>
      <w:r>
        <w:rPr>
          <w:rFonts w:hint="eastAsia" w:ascii="楷体" w:hAnsi="楷体" w:eastAsia="楷体" w:cs="楷体"/>
          <w:sz w:val="24"/>
          <w:lang w:val="en-US" w:eastAsia="zh-CN"/>
        </w:rPr>
        <w:fldChar w:fldCharType="begin"/>
      </w:r>
      <w:r>
        <w:rPr>
          <w:rFonts w:hint="eastAsia" w:ascii="楷体" w:hAnsi="楷体" w:eastAsia="楷体" w:cs="楷体"/>
          <w:sz w:val="24"/>
          <w:lang w:val="en-US" w:eastAsia="zh-CN"/>
        </w:rPr>
        <w:instrText xml:space="preserve"> HYPERLINK "https://ditu.so.com/?type=drive&amp;src=onebox&amp;start=&amp;end=87.62353,43.796449$$新疆维吾尔自治区政府办公厅" \t "https://www.so.com/_blank" </w:instrText>
      </w:r>
      <w:r>
        <w:rPr>
          <w:rFonts w:hint="eastAsia" w:ascii="楷体" w:hAnsi="楷体" w:eastAsia="楷体" w:cs="楷体"/>
          <w:sz w:val="24"/>
          <w:lang w:val="en-US" w:eastAsia="zh-CN"/>
        </w:rPr>
        <w:fldChar w:fldCharType="separate"/>
      </w:r>
      <w:r>
        <w:rPr>
          <w:rFonts w:hint="eastAsia" w:ascii="楷体" w:hAnsi="楷体" w:eastAsia="楷体" w:cs="楷体"/>
          <w:sz w:val="24"/>
          <w:lang w:val="en-US" w:eastAsia="zh-CN"/>
        </w:rPr>
        <w:fldChar w:fldCharType="end"/>
      </w:r>
    </w:p>
    <w:p>
      <w:pPr>
        <w:spacing w:line="360" w:lineRule="auto"/>
        <w:ind w:firstLine="240" w:firstLineChars="100"/>
        <w:rPr>
          <w:rFonts w:hint="eastAsia" w:ascii="楷体" w:hAnsi="楷体" w:eastAsia="楷体" w:cs="楷体"/>
          <w:sz w:val="24"/>
          <w:lang w:val="en-US" w:eastAsia="zh-CN"/>
        </w:rPr>
      </w:pPr>
      <w:r>
        <w:rPr>
          <w:rFonts w:hint="eastAsia" w:ascii="楷体" w:hAnsi="楷体" w:eastAsia="楷体" w:cs="楷体"/>
          <w:sz w:val="24"/>
          <w:lang w:val="en-US" w:eastAsia="zh-CN"/>
        </w:rPr>
        <w:t>联 系 人：张波</w:t>
      </w:r>
    </w:p>
    <w:p>
      <w:pPr>
        <w:spacing w:line="360" w:lineRule="auto"/>
        <w:ind w:firstLine="240" w:firstLineChars="100"/>
        <w:rPr>
          <w:rFonts w:hint="eastAsia" w:ascii="楷体" w:hAnsi="楷体" w:eastAsia="楷体" w:cs="楷体"/>
          <w:sz w:val="24"/>
          <w:lang w:val="en-US" w:eastAsia="zh-CN"/>
        </w:rPr>
      </w:pPr>
      <w:r>
        <w:rPr>
          <w:rFonts w:hint="eastAsia" w:ascii="楷体" w:hAnsi="楷体" w:eastAsia="楷体" w:cs="楷体"/>
          <w:sz w:val="24"/>
          <w:lang w:val="en-US" w:eastAsia="zh-CN"/>
        </w:rPr>
        <w:t>电    话：13579231125</w:t>
      </w:r>
    </w:p>
    <w:p>
      <w:pPr>
        <w:snapToGrid w:val="0"/>
        <w:spacing w:line="360" w:lineRule="auto"/>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firstLine="880"/>
        <w:rPr>
          <w:rFonts w:ascii="华文仿宋" w:hAnsi="华文仿宋" w:eastAsia="华文仿宋"/>
          <w:sz w:val="44"/>
          <w:szCs w:val="44"/>
        </w:rPr>
      </w:pPr>
    </w:p>
    <w:p>
      <w:pPr>
        <w:pStyle w:val="28"/>
        <w:ind w:left="0" w:leftChars="0" w:firstLine="0" w:firstLineChars="0"/>
        <w:rPr>
          <w:rFonts w:ascii="华文仿宋" w:hAnsi="华文仿宋" w:eastAsia="华文仿宋"/>
          <w:sz w:val="44"/>
          <w:szCs w:val="44"/>
        </w:rPr>
      </w:pPr>
    </w:p>
    <w:p>
      <w:pPr>
        <w:pStyle w:val="37"/>
        <w:ind w:firstLine="0" w:firstLineChars="0"/>
        <w:jc w:val="center"/>
        <w:rPr>
          <w:rFonts w:hint="eastAsia" w:ascii="仿宋" w:hAnsi="仿宋" w:eastAsia="仿宋"/>
          <w:iCs/>
          <w:kern w:val="0"/>
          <w:sz w:val="24"/>
          <w:szCs w:val="20"/>
        </w:rPr>
      </w:pPr>
    </w:p>
    <w:p>
      <w:pPr>
        <w:pStyle w:val="37"/>
        <w:ind w:firstLine="0" w:firstLineChars="0"/>
        <w:jc w:val="center"/>
        <w:rPr>
          <w:rFonts w:ascii="仿宋" w:hAnsi="仿宋" w:eastAsia="仿宋"/>
          <w:iCs/>
          <w:kern w:val="0"/>
          <w:sz w:val="24"/>
          <w:szCs w:val="20"/>
        </w:rPr>
      </w:pPr>
      <w:r>
        <w:rPr>
          <w:rFonts w:hint="eastAsia" w:ascii="仿宋" w:hAnsi="仿宋" w:eastAsia="仿宋"/>
          <w:iCs/>
          <w:kern w:val="0"/>
          <w:sz w:val="24"/>
          <w:szCs w:val="20"/>
        </w:rPr>
        <w:t>特别告知</w:t>
      </w:r>
    </w:p>
    <w:p>
      <w:pPr>
        <w:pStyle w:val="37"/>
        <w:ind w:left="-35" w:leftChars="-67" w:hanging="105" w:hangingChars="44"/>
        <w:rPr>
          <w:rFonts w:ascii="仿宋" w:hAnsi="仿宋" w:eastAsia="仿宋"/>
          <w:iCs/>
          <w:kern w:val="0"/>
          <w:sz w:val="24"/>
          <w:szCs w:val="20"/>
        </w:rPr>
      </w:pPr>
    </w:p>
    <w:p>
      <w:pPr>
        <w:pStyle w:val="37"/>
        <w:ind w:left="-35" w:leftChars="-67" w:hanging="105" w:hangingChars="44"/>
        <w:rPr>
          <w:rFonts w:hint="eastAsia" w:ascii="仿宋" w:hAnsi="仿宋" w:eastAsia="仿宋"/>
          <w:iCs/>
          <w:kern w:val="0"/>
          <w:sz w:val="24"/>
          <w:szCs w:val="20"/>
        </w:rPr>
      </w:pPr>
    </w:p>
    <w:p>
      <w:pPr>
        <w:pStyle w:val="37"/>
        <w:spacing w:line="360" w:lineRule="auto"/>
        <w:ind w:left="-35" w:leftChars="-67" w:hanging="105" w:hangingChars="44"/>
        <w:rPr>
          <w:rFonts w:ascii="仿宋" w:hAnsi="仿宋" w:eastAsia="仿宋"/>
          <w:iCs/>
          <w:kern w:val="0"/>
          <w:sz w:val="24"/>
          <w:szCs w:val="20"/>
        </w:rPr>
      </w:pPr>
      <w:r>
        <w:rPr>
          <w:rFonts w:hint="eastAsia" w:ascii="仿宋" w:hAnsi="仿宋" w:eastAsia="仿宋"/>
          <w:iCs/>
          <w:kern w:val="0"/>
          <w:sz w:val="24"/>
          <w:szCs w:val="20"/>
        </w:rPr>
        <w:t>各潜在供应商：</w:t>
      </w:r>
    </w:p>
    <w:p>
      <w:pPr>
        <w:pStyle w:val="37"/>
        <w:tabs>
          <w:tab w:val="left" w:pos="1418"/>
        </w:tabs>
        <w:spacing w:line="360" w:lineRule="auto"/>
        <w:ind w:firstLine="424" w:firstLineChars="177"/>
        <w:rPr>
          <w:rFonts w:ascii="仿宋" w:hAnsi="仿宋" w:eastAsia="仿宋"/>
          <w:iCs/>
          <w:kern w:val="0"/>
          <w:sz w:val="24"/>
          <w:szCs w:val="20"/>
        </w:rPr>
      </w:pPr>
      <w:r>
        <w:rPr>
          <w:rFonts w:hint="eastAsia" w:ascii="仿宋" w:hAnsi="仿宋" w:eastAsia="仿宋"/>
          <w:iCs/>
          <w:kern w:val="0"/>
          <w:sz w:val="24"/>
          <w:szCs w:val="20"/>
        </w:rPr>
        <w:t>本项目接受网上发售、下载电子版采购文件/资格</w:t>
      </w:r>
      <w:r>
        <w:rPr>
          <w:rFonts w:ascii="仿宋" w:hAnsi="仿宋" w:eastAsia="仿宋"/>
          <w:iCs/>
          <w:kern w:val="0"/>
          <w:sz w:val="24"/>
          <w:szCs w:val="20"/>
        </w:rPr>
        <w:t>审查文件</w:t>
      </w:r>
      <w:r>
        <w:rPr>
          <w:rFonts w:hint="eastAsia" w:ascii="仿宋" w:hAnsi="仿宋" w:eastAsia="仿宋"/>
          <w:iCs/>
          <w:kern w:val="0"/>
          <w:sz w:val="24"/>
          <w:szCs w:val="20"/>
        </w:rPr>
        <w:t>，现将有关注意事项</w:t>
      </w:r>
      <w:r>
        <w:rPr>
          <w:rFonts w:ascii="仿宋" w:hAnsi="仿宋" w:eastAsia="仿宋"/>
          <w:iCs/>
          <w:kern w:val="0"/>
          <w:sz w:val="24"/>
          <w:szCs w:val="20"/>
        </w:rPr>
        <w:t>特别告知如下</w:t>
      </w:r>
      <w:r>
        <w:rPr>
          <w:rFonts w:hint="eastAsia" w:ascii="仿宋" w:hAnsi="仿宋" w:eastAsia="仿宋"/>
          <w:iCs/>
          <w:kern w:val="0"/>
          <w:sz w:val="24"/>
          <w:szCs w:val="20"/>
        </w:rPr>
        <w:t>：</w:t>
      </w:r>
    </w:p>
    <w:p>
      <w:pPr>
        <w:spacing w:line="360" w:lineRule="auto"/>
        <w:ind w:firstLine="420"/>
        <w:rPr>
          <w:rFonts w:ascii="仿宋" w:hAnsi="仿宋" w:eastAsia="仿宋"/>
          <w:iCs/>
          <w:kern w:val="0"/>
          <w:sz w:val="24"/>
        </w:rPr>
      </w:pPr>
      <w:r>
        <w:rPr>
          <w:rFonts w:hint="eastAsia" w:ascii="仿宋" w:hAnsi="仿宋" w:eastAsia="仿宋"/>
          <w:iCs/>
          <w:kern w:val="0"/>
          <w:sz w:val="24"/>
        </w:rPr>
        <w:t>（一）网上注册：凡有意在线获取电子版采购文件的潜在供应商，请务必在本项目电子版采购文件发售截止时间前，登录中招联合招标采购平台（http://www.365trade.com.cn；以下简称“交易平台”）进行免费注册。潜在供应商参与不同项目的经办人可注册多个不同账户。交易平台会对供应商注册信息与其提供证件信息进行一致性审核。</w:t>
      </w:r>
    </w:p>
    <w:p>
      <w:pPr>
        <w:spacing w:line="360" w:lineRule="auto"/>
        <w:ind w:firstLine="420"/>
        <w:rPr>
          <w:rFonts w:ascii="仿宋" w:hAnsi="仿宋" w:eastAsia="仿宋"/>
          <w:iCs/>
          <w:kern w:val="0"/>
          <w:sz w:val="24"/>
        </w:rPr>
      </w:pPr>
      <w:r>
        <w:rPr>
          <w:rFonts w:hint="eastAsia" w:ascii="仿宋" w:hAnsi="仿宋" w:eastAsia="仿宋"/>
          <w:iCs/>
          <w:kern w:val="0"/>
          <w:sz w:val="24"/>
        </w:rPr>
        <w:t>（二）采购文件下载：经办人凭注册时的用户名、密码验证身份登录、上传《采购公告》要求的报名资料（如有）、购买并下载电子采购文件。逾期将无法购买。</w:t>
      </w:r>
    </w:p>
    <w:p>
      <w:pPr>
        <w:spacing w:line="360" w:lineRule="auto"/>
        <w:ind w:firstLine="420"/>
        <w:rPr>
          <w:rFonts w:ascii="仿宋" w:hAnsi="仿宋" w:eastAsia="仿宋"/>
          <w:iCs/>
          <w:kern w:val="0"/>
          <w:sz w:val="24"/>
        </w:rPr>
      </w:pPr>
      <w:r>
        <w:rPr>
          <w:rFonts w:hint="eastAsia" w:ascii="仿宋" w:hAnsi="仿宋" w:eastAsia="仿宋"/>
          <w:iCs/>
          <w:kern w:val="0"/>
          <w:sz w:val="24"/>
        </w:rPr>
        <w:t>（三）电子版采购文件不缴纳其他的服务费用。</w:t>
      </w:r>
    </w:p>
    <w:p>
      <w:pPr>
        <w:spacing w:line="360" w:lineRule="auto"/>
        <w:ind w:firstLine="420"/>
        <w:rPr>
          <w:rFonts w:ascii="仿宋" w:hAnsi="仿宋" w:eastAsia="仿宋"/>
          <w:iCs/>
          <w:kern w:val="0"/>
          <w:sz w:val="24"/>
        </w:rPr>
      </w:pPr>
      <w:r>
        <w:rPr>
          <w:rFonts w:hint="eastAsia" w:ascii="仿宋" w:hAnsi="仿宋" w:eastAsia="仿宋"/>
          <w:iCs/>
          <w:kern w:val="0"/>
          <w:sz w:val="24"/>
        </w:rPr>
        <w:t>（四）潜在供应商成功下载电子版采购文件后，采购文件款发票、纸质采购文件可与中招国际招标有限公司本项目联系人确定领取方式。</w:t>
      </w:r>
    </w:p>
    <w:p>
      <w:pPr>
        <w:spacing w:line="360" w:lineRule="auto"/>
        <w:ind w:firstLine="420"/>
        <w:rPr>
          <w:rFonts w:ascii="仿宋" w:hAnsi="仿宋" w:eastAsia="仿宋"/>
          <w:iCs/>
          <w:kern w:val="0"/>
          <w:sz w:val="24"/>
        </w:rPr>
      </w:pPr>
      <w:r>
        <w:rPr>
          <w:rFonts w:hint="eastAsia" w:ascii="仿宋" w:hAnsi="仿宋" w:eastAsia="仿宋"/>
          <w:iCs/>
          <w:kern w:val="0"/>
          <w:sz w:val="24"/>
        </w:rPr>
        <w:t>（五）其它事项</w:t>
      </w:r>
    </w:p>
    <w:p>
      <w:pPr>
        <w:spacing w:line="360" w:lineRule="auto"/>
        <w:ind w:left="-14" w:leftChars="-7" w:firstLine="480" w:firstLineChars="200"/>
        <w:jc w:val="left"/>
        <w:rPr>
          <w:rFonts w:hint="eastAsia" w:ascii="仿宋" w:hAnsi="仿宋" w:eastAsia="仿宋"/>
          <w:iCs/>
          <w:kern w:val="0"/>
          <w:sz w:val="24"/>
        </w:rPr>
      </w:pPr>
      <w:r>
        <w:rPr>
          <w:rFonts w:hint="eastAsia" w:ascii="仿宋" w:hAnsi="仿宋" w:eastAsia="仿宋"/>
          <w:iCs/>
          <w:kern w:val="0"/>
          <w:sz w:val="24"/>
        </w:rPr>
        <w:t>如遇平台操作问题，可拨打交易平台统一服务热线：010-86397110，热线服务时间为工作日上午09:00-12:00下午13:00-17:30。</w:t>
      </w:r>
    </w:p>
    <w:p>
      <w:pPr>
        <w:tabs>
          <w:tab w:val="left" w:pos="574"/>
          <w:tab w:val="left" w:pos="735"/>
        </w:tabs>
        <w:autoSpaceDE w:val="0"/>
        <w:autoSpaceDN w:val="0"/>
        <w:adjustRightInd w:val="0"/>
        <w:spacing w:line="360" w:lineRule="auto"/>
        <w:ind w:left="529" w:firstLine="240" w:firstLineChars="100"/>
        <w:rPr>
          <w:rFonts w:ascii="楷体" w:hAnsi="楷体" w:eastAsia="楷体"/>
          <w:sz w:val="24"/>
          <w:szCs w:val="24"/>
        </w:rPr>
      </w:pPr>
    </w:p>
    <w:p>
      <w:pPr>
        <w:pStyle w:val="3"/>
        <w:numPr>
          <w:ilvl w:val="0"/>
          <w:numId w:val="0"/>
        </w:numPr>
        <w:spacing w:before="0" w:after="0" w:line="480" w:lineRule="exact"/>
        <w:ind w:left="432" w:hanging="432"/>
        <w:rPr>
          <w:rFonts w:ascii="楷体" w:hAnsi="楷体" w:eastAsia="楷体"/>
        </w:rPr>
      </w:pPr>
      <w:r>
        <w:rPr>
          <w:rFonts w:ascii="楷体" w:hAnsi="楷体" w:eastAsia="楷体"/>
        </w:rPr>
        <w:br w:type="page"/>
      </w:r>
      <w:bookmarkStart w:id="6" w:name="_Toc380479085"/>
      <w:bookmarkStart w:id="7" w:name="_Toc511641658"/>
      <w:bookmarkStart w:id="8" w:name="_Toc470496183"/>
    </w:p>
    <w:p>
      <w:pPr>
        <w:pStyle w:val="3"/>
        <w:numPr>
          <w:ilvl w:val="0"/>
          <w:numId w:val="0"/>
        </w:numPr>
        <w:spacing w:before="0" w:after="0" w:line="480" w:lineRule="exact"/>
        <w:ind w:left="432" w:hanging="432"/>
        <w:rPr>
          <w:rFonts w:ascii="楷体" w:hAnsi="楷体" w:eastAsia="楷体"/>
        </w:rPr>
      </w:pPr>
    </w:p>
    <w:p>
      <w:pPr>
        <w:pStyle w:val="3"/>
        <w:numPr>
          <w:ilvl w:val="0"/>
          <w:numId w:val="0"/>
        </w:numPr>
        <w:spacing w:before="0" w:after="0" w:line="480" w:lineRule="exact"/>
        <w:ind w:left="432" w:hanging="432"/>
        <w:rPr>
          <w:rFonts w:ascii="楷体" w:hAnsi="楷体" w:eastAsia="楷体"/>
        </w:rPr>
      </w:pPr>
    </w:p>
    <w:p>
      <w:pPr>
        <w:rPr>
          <w:rFonts w:hint="eastAsia"/>
        </w:rPr>
      </w:pPr>
    </w:p>
    <w:p>
      <w:pPr>
        <w:pStyle w:val="3"/>
        <w:numPr>
          <w:ilvl w:val="0"/>
          <w:numId w:val="0"/>
        </w:numPr>
        <w:spacing w:before="0" w:after="0" w:line="480" w:lineRule="exact"/>
        <w:ind w:left="432" w:hanging="432"/>
        <w:rPr>
          <w:rFonts w:ascii="楷体" w:hAnsi="楷体" w:eastAsia="楷体"/>
        </w:rPr>
      </w:pPr>
    </w:p>
    <w:p>
      <w:pPr>
        <w:pStyle w:val="3"/>
        <w:numPr>
          <w:ilvl w:val="0"/>
          <w:numId w:val="0"/>
        </w:numPr>
        <w:spacing w:before="0" w:after="0" w:line="480" w:lineRule="exact"/>
        <w:ind w:left="432" w:hanging="432"/>
        <w:rPr>
          <w:rFonts w:ascii="楷体" w:hAnsi="楷体" w:eastAsia="楷体"/>
        </w:rPr>
      </w:pPr>
    </w:p>
    <w:p>
      <w:pPr>
        <w:pStyle w:val="3"/>
        <w:numPr>
          <w:ilvl w:val="0"/>
          <w:numId w:val="0"/>
        </w:numPr>
        <w:spacing w:before="0" w:after="0" w:line="480" w:lineRule="exact"/>
        <w:ind w:left="432" w:hanging="432"/>
        <w:rPr>
          <w:rFonts w:hint="eastAsia" w:ascii="楷体" w:hAnsi="楷体" w:eastAsia="楷体"/>
        </w:rPr>
      </w:pPr>
      <w:r>
        <w:rPr>
          <w:rFonts w:ascii="楷体" w:hAnsi="楷体" w:eastAsia="楷体"/>
        </w:rPr>
        <w:t>第二章  磋商供应商须知</w:t>
      </w:r>
      <w:bookmarkEnd w:id="6"/>
      <w:bookmarkEnd w:id="7"/>
      <w:bookmarkEnd w:id="8"/>
    </w:p>
    <w:p>
      <w:pPr>
        <w:spacing w:line="480" w:lineRule="exact"/>
        <w:rPr>
          <w:rFonts w:ascii="楷体" w:hAnsi="楷体" w:eastAsia="楷体"/>
        </w:rPr>
      </w:pPr>
    </w:p>
    <w:p>
      <w:pPr>
        <w:pStyle w:val="3"/>
        <w:numPr>
          <w:ilvl w:val="0"/>
          <w:numId w:val="0"/>
        </w:numPr>
        <w:spacing w:before="0" w:after="0" w:line="480" w:lineRule="exact"/>
        <w:ind w:left="432"/>
        <w:rPr>
          <w:rFonts w:ascii="楷体" w:hAnsi="楷体" w:eastAsia="楷体"/>
          <w:sz w:val="32"/>
          <w:szCs w:val="32"/>
        </w:rPr>
      </w:pPr>
      <w:bookmarkStart w:id="9" w:name="_Toc380479086"/>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napToGrid w:val="0"/>
        <w:spacing w:before="0" w:after="0" w:line="240" w:lineRule="auto"/>
        <w:ind w:left="432"/>
        <w:rPr>
          <w:rFonts w:ascii="楷体" w:hAnsi="楷体" w:eastAsia="楷体"/>
          <w:sz w:val="32"/>
          <w:szCs w:val="32"/>
        </w:rPr>
      </w:pPr>
    </w:p>
    <w:p>
      <w:pPr>
        <w:pStyle w:val="3"/>
        <w:numPr>
          <w:ilvl w:val="0"/>
          <w:numId w:val="0"/>
        </w:numPr>
        <w:snapToGrid w:val="0"/>
        <w:spacing w:before="0" w:after="0" w:line="240" w:lineRule="auto"/>
        <w:ind w:left="432"/>
        <w:rPr>
          <w:rFonts w:ascii="楷体" w:hAnsi="楷体" w:eastAsia="楷体"/>
          <w:sz w:val="32"/>
          <w:szCs w:val="32"/>
        </w:rPr>
      </w:pPr>
    </w:p>
    <w:p>
      <w:pPr>
        <w:snapToGrid w:val="0"/>
        <w:rPr>
          <w:rFonts w:ascii="楷体" w:hAnsi="楷体" w:eastAsia="楷体"/>
        </w:rPr>
      </w:pPr>
    </w:p>
    <w:p>
      <w:pPr>
        <w:snapToGrid w:val="0"/>
        <w:rPr>
          <w:rFonts w:ascii="楷体" w:hAnsi="楷体" w:eastAsia="楷体"/>
        </w:rPr>
      </w:pPr>
    </w:p>
    <w:p>
      <w:pPr>
        <w:snapToGrid w:val="0"/>
        <w:rPr>
          <w:rFonts w:ascii="楷体" w:hAnsi="楷体" w:eastAsia="楷体"/>
        </w:rPr>
      </w:pPr>
    </w:p>
    <w:p>
      <w:pPr>
        <w:snapToGrid w:val="0"/>
        <w:rPr>
          <w:rFonts w:ascii="楷体" w:hAnsi="楷体" w:eastAsia="楷体"/>
        </w:rPr>
      </w:pPr>
    </w:p>
    <w:p>
      <w:pPr>
        <w:snapToGrid w:val="0"/>
        <w:rPr>
          <w:rFonts w:ascii="楷体" w:hAnsi="楷体" w:eastAsia="楷体"/>
        </w:rPr>
      </w:pPr>
    </w:p>
    <w:p>
      <w:pPr>
        <w:snapToGrid w:val="0"/>
        <w:rPr>
          <w:rFonts w:ascii="楷体" w:hAnsi="楷体" w:eastAsia="楷体"/>
        </w:rPr>
      </w:pPr>
    </w:p>
    <w:p>
      <w:pPr>
        <w:snapToGrid w:val="0"/>
        <w:rPr>
          <w:rFonts w:ascii="楷体" w:hAnsi="楷体" w:eastAsia="楷体"/>
        </w:rPr>
      </w:pPr>
    </w:p>
    <w:p>
      <w:pPr>
        <w:snapToGrid w:val="0"/>
        <w:rPr>
          <w:rFonts w:hint="eastAsia" w:ascii="楷体" w:hAnsi="楷体" w:eastAsia="楷体"/>
        </w:rPr>
      </w:pPr>
    </w:p>
    <w:p>
      <w:pPr>
        <w:pStyle w:val="3"/>
        <w:numPr>
          <w:ilvl w:val="0"/>
          <w:numId w:val="0"/>
        </w:numPr>
        <w:snapToGrid w:val="0"/>
        <w:spacing w:before="0" w:after="0" w:line="240" w:lineRule="auto"/>
        <w:ind w:left="432"/>
        <w:rPr>
          <w:rFonts w:ascii="楷体" w:hAnsi="楷体" w:eastAsia="楷体"/>
          <w:sz w:val="32"/>
          <w:szCs w:val="32"/>
        </w:rPr>
      </w:pPr>
    </w:p>
    <w:p>
      <w:pPr>
        <w:rPr>
          <w:rFonts w:ascii="楷体" w:hAnsi="楷体" w:eastAsia="楷体"/>
        </w:rPr>
      </w:pPr>
    </w:p>
    <w:p>
      <w:pPr>
        <w:rPr>
          <w:rFonts w:ascii="楷体" w:hAnsi="楷体" w:eastAsia="楷体"/>
        </w:rPr>
      </w:pPr>
    </w:p>
    <w:p>
      <w:pPr>
        <w:rPr>
          <w:rFonts w:ascii="楷体" w:hAnsi="楷体" w:eastAsia="楷体"/>
        </w:rPr>
      </w:pPr>
    </w:p>
    <w:p>
      <w:pPr>
        <w:rPr>
          <w:rFonts w:hint="eastAsia" w:ascii="楷体" w:hAnsi="楷体" w:eastAsia="楷体"/>
        </w:rPr>
      </w:pPr>
    </w:p>
    <w:p>
      <w:pPr>
        <w:pStyle w:val="3"/>
        <w:numPr>
          <w:ilvl w:val="0"/>
          <w:numId w:val="0"/>
        </w:numPr>
        <w:spacing w:before="0" w:after="0" w:line="480" w:lineRule="exact"/>
        <w:ind w:left="432"/>
        <w:rPr>
          <w:rFonts w:ascii="楷体" w:hAnsi="楷体" w:eastAsia="楷体"/>
          <w:sz w:val="32"/>
          <w:szCs w:val="32"/>
        </w:rPr>
      </w:pPr>
    </w:p>
    <w:p>
      <w:pPr>
        <w:pStyle w:val="3"/>
        <w:numPr>
          <w:ilvl w:val="0"/>
          <w:numId w:val="0"/>
        </w:numPr>
        <w:spacing w:before="0" w:after="0" w:line="480" w:lineRule="exact"/>
        <w:ind w:left="432"/>
        <w:rPr>
          <w:rFonts w:ascii="楷体" w:hAnsi="楷体" w:eastAsia="楷体"/>
          <w:b w:val="0"/>
          <w:sz w:val="32"/>
          <w:szCs w:val="32"/>
        </w:rPr>
      </w:pPr>
      <w:r>
        <w:rPr>
          <w:rFonts w:ascii="楷体" w:hAnsi="楷体" w:eastAsia="楷体"/>
          <w:sz w:val="32"/>
          <w:szCs w:val="32"/>
        </w:rPr>
        <w:t>磋商供应商须知前附表</w:t>
      </w:r>
      <w:bookmarkEnd w:id="9"/>
    </w:p>
    <w:p>
      <w:pPr>
        <w:snapToGrid w:val="0"/>
        <w:ind w:firstLine="360" w:firstLineChars="150"/>
        <w:rPr>
          <w:rFonts w:ascii="楷体" w:hAnsi="楷体" w:eastAsia="楷体"/>
          <w:sz w:val="24"/>
          <w:szCs w:val="24"/>
        </w:rPr>
      </w:pPr>
      <w:r>
        <w:rPr>
          <w:rFonts w:ascii="楷体" w:hAnsi="楷体" w:eastAsia="楷体"/>
          <w:sz w:val="24"/>
          <w:szCs w:val="24"/>
        </w:rPr>
        <w:t xml:space="preserve"> </w:t>
      </w:r>
    </w:p>
    <w:p>
      <w:pPr>
        <w:snapToGrid w:val="0"/>
        <w:ind w:firstLine="360" w:firstLineChars="150"/>
        <w:rPr>
          <w:rFonts w:ascii="楷体" w:hAnsi="楷体" w:eastAsia="楷体"/>
          <w:sz w:val="24"/>
          <w:szCs w:val="24"/>
        </w:rPr>
      </w:pPr>
      <w:r>
        <w:rPr>
          <w:rFonts w:ascii="楷体" w:hAnsi="楷体" w:eastAsia="楷体"/>
          <w:sz w:val="24"/>
          <w:szCs w:val="24"/>
        </w:rPr>
        <w:t>本表是关于要采购货物或服务的具体资料，是对磋商供应商须知的具体补充和修改，如有矛盾，应以本表为准。</w:t>
      </w:r>
    </w:p>
    <w:tbl>
      <w:tblPr>
        <w:tblStyle w:val="29"/>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77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vAlign w:val="center"/>
          </w:tcPr>
          <w:p>
            <w:pPr>
              <w:spacing w:line="480" w:lineRule="exact"/>
              <w:ind w:left="1081" w:leftChars="-13" w:hanging="1108"/>
              <w:jc w:val="center"/>
              <w:rPr>
                <w:rFonts w:ascii="楷体" w:hAnsi="楷体" w:eastAsia="楷体"/>
                <w:sz w:val="24"/>
                <w:szCs w:val="24"/>
              </w:rPr>
            </w:pPr>
            <w:r>
              <w:rPr>
                <w:rFonts w:ascii="楷体" w:hAnsi="楷体" w:eastAsia="楷体"/>
                <w:sz w:val="24"/>
                <w:szCs w:val="24"/>
              </w:rPr>
              <w:t>条款号</w:t>
            </w:r>
          </w:p>
        </w:tc>
        <w:tc>
          <w:tcPr>
            <w:tcW w:w="7796" w:type="dxa"/>
            <w:vAlign w:val="center"/>
          </w:tcPr>
          <w:p>
            <w:pPr>
              <w:spacing w:line="480" w:lineRule="exact"/>
              <w:ind w:left="1080" w:hanging="1080"/>
              <w:jc w:val="center"/>
              <w:rPr>
                <w:rFonts w:ascii="楷体" w:hAnsi="楷体" w:eastAsia="楷体"/>
                <w:sz w:val="24"/>
                <w:szCs w:val="24"/>
              </w:rPr>
            </w:pPr>
            <w:r>
              <w:rPr>
                <w:rFonts w:ascii="楷体" w:hAnsi="楷体" w:eastAsia="楷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1.1</w:t>
            </w:r>
          </w:p>
        </w:tc>
        <w:tc>
          <w:tcPr>
            <w:tcW w:w="7796" w:type="dxa"/>
            <w:vAlign w:val="center"/>
          </w:tcPr>
          <w:p>
            <w:pPr>
              <w:spacing w:line="240" w:lineRule="atLeast"/>
              <w:rPr>
                <w:rFonts w:hint="eastAsia" w:ascii="楷体" w:hAnsi="楷体" w:eastAsia="楷体"/>
                <w:sz w:val="24"/>
                <w:szCs w:val="22"/>
                <w:lang w:eastAsia="zh-CN"/>
              </w:rPr>
            </w:pPr>
            <w:r>
              <w:rPr>
                <w:rFonts w:hint="eastAsia" w:ascii="楷体" w:hAnsi="楷体" w:eastAsia="楷体"/>
                <w:sz w:val="24"/>
              </w:rPr>
              <w:t>采购人：</w:t>
            </w:r>
            <w:r>
              <w:rPr>
                <w:rFonts w:hint="eastAsia" w:ascii="楷体" w:hAnsi="楷体" w:eastAsia="楷体"/>
                <w:sz w:val="24"/>
                <w:szCs w:val="22"/>
                <w:lang w:eastAsia="zh-CN"/>
              </w:rPr>
              <w:t>新疆维吾尔自治区计量测试研究院</w:t>
            </w:r>
          </w:p>
          <w:p>
            <w:pPr>
              <w:spacing w:line="240" w:lineRule="atLeast"/>
              <w:rPr>
                <w:rFonts w:hint="eastAsia" w:ascii="楷体" w:hAnsi="楷体" w:eastAsia="楷体" w:cs="楷体"/>
                <w:sz w:val="24"/>
                <w:lang w:val="en-US" w:eastAsia="zh-CN"/>
              </w:rPr>
            </w:pPr>
            <w:r>
              <w:rPr>
                <w:rFonts w:hint="eastAsia" w:ascii="楷体" w:hAnsi="楷体" w:eastAsia="楷体" w:cs="楷体"/>
                <w:sz w:val="24"/>
                <w:lang w:val="en-US" w:eastAsia="zh-CN"/>
              </w:rPr>
              <w:t>地    址：河北东路188号</w:t>
            </w:r>
            <w:r>
              <w:rPr>
                <w:rFonts w:hint="eastAsia" w:ascii="楷体" w:hAnsi="楷体" w:eastAsia="楷体" w:cs="楷体"/>
                <w:sz w:val="24"/>
                <w:lang w:val="en-US" w:eastAsia="zh-CN"/>
              </w:rPr>
              <w:fldChar w:fldCharType="begin"/>
            </w:r>
            <w:r>
              <w:rPr>
                <w:rFonts w:hint="eastAsia" w:ascii="楷体" w:hAnsi="楷体" w:eastAsia="楷体" w:cs="楷体"/>
                <w:sz w:val="24"/>
                <w:lang w:val="en-US" w:eastAsia="zh-CN"/>
              </w:rPr>
              <w:instrText xml:space="preserve"> HYPERLINK "https://ditu.so.com/?type=drive&amp;src=onebox&amp;start=&amp;end=87.62353,43.796449$$新疆维吾尔自治区政府办公厅" \t "https://www.so.com/_blank" </w:instrText>
            </w:r>
            <w:r>
              <w:rPr>
                <w:rFonts w:hint="eastAsia" w:ascii="楷体" w:hAnsi="楷体" w:eastAsia="楷体" w:cs="楷体"/>
                <w:sz w:val="24"/>
                <w:lang w:val="en-US" w:eastAsia="zh-CN"/>
              </w:rPr>
              <w:fldChar w:fldCharType="separate"/>
            </w:r>
            <w:r>
              <w:rPr>
                <w:rFonts w:hint="eastAsia" w:ascii="楷体" w:hAnsi="楷体" w:eastAsia="楷体" w:cs="楷体"/>
                <w:sz w:val="24"/>
                <w:lang w:val="en-US" w:eastAsia="zh-CN"/>
              </w:rPr>
              <w:fldChar w:fldCharType="end"/>
            </w:r>
          </w:p>
          <w:p>
            <w:pPr>
              <w:spacing w:line="240" w:lineRule="atLeast"/>
              <w:rPr>
                <w:rFonts w:hint="eastAsia" w:ascii="楷体" w:hAnsi="楷体" w:eastAsia="楷体" w:cs="楷体"/>
                <w:sz w:val="24"/>
                <w:lang w:val="en-US" w:eastAsia="zh-CN"/>
              </w:rPr>
            </w:pPr>
            <w:r>
              <w:rPr>
                <w:rFonts w:hint="eastAsia" w:ascii="楷体" w:hAnsi="楷体" w:eastAsia="楷体" w:cs="楷体"/>
                <w:sz w:val="24"/>
                <w:lang w:val="en-US" w:eastAsia="zh-CN"/>
              </w:rPr>
              <w:t>联 系 人：张波</w:t>
            </w:r>
          </w:p>
          <w:p>
            <w:pPr>
              <w:spacing w:line="240" w:lineRule="atLeast"/>
              <w:rPr>
                <w:rFonts w:ascii="楷体" w:hAnsi="楷体" w:eastAsia="楷体"/>
                <w:sz w:val="24"/>
                <w:szCs w:val="24"/>
              </w:rPr>
            </w:pPr>
            <w:r>
              <w:rPr>
                <w:rFonts w:hint="eastAsia" w:ascii="楷体" w:hAnsi="楷体" w:eastAsia="楷体" w:cs="楷体"/>
                <w:sz w:val="24"/>
                <w:lang w:val="en-US" w:eastAsia="zh-CN"/>
              </w:rPr>
              <w:t>电    话：13579231125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1（</w:t>
            </w:r>
            <w:r>
              <w:rPr>
                <w:rFonts w:ascii="楷体" w:hAnsi="楷体" w:eastAsia="楷体"/>
                <w:sz w:val="24"/>
                <w:szCs w:val="24"/>
              </w:rPr>
              <w:t>4</w:t>
            </w:r>
            <w:r>
              <w:rPr>
                <w:rFonts w:hint="eastAsia" w:ascii="楷体" w:hAnsi="楷体" w:eastAsia="楷体"/>
                <w:sz w:val="24"/>
                <w:szCs w:val="24"/>
              </w:rPr>
              <w:t>）</w:t>
            </w:r>
          </w:p>
        </w:tc>
        <w:tc>
          <w:tcPr>
            <w:tcW w:w="7796" w:type="dxa"/>
            <w:vAlign w:val="center"/>
          </w:tcPr>
          <w:p>
            <w:pPr>
              <w:spacing w:line="480" w:lineRule="exact"/>
              <w:rPr>
                <w:rFonts w:hint="eastAsia" w:ascii="楷体" w:hAnsi="楷体" w:eastAsia="楷体"/>
                <w:sz w:val="24"/>
                <w:szCs w:val="24"/>
              </w:rPr>
            </w:pPr>
            <w:r>
              <w:rPr>
                <w:rFonts w:ascii="楷体" w:hAnsi="楷体" w:eastAsia="楷体"/>
                <w:sz w:val="24"/>
                <w:szCs w:val="24"/>
              </w:rPr>
              <w:t>合格供应商资格条件其他要求：</w:t>
            </w:r>
            <w:r>
              <w:rPr>
                <w:rFonts w:hint="eastAsia" w:ascii="仿宋_GB2312" w:hAnsi="宋体" w:eastAsia="仿宋_GB2312"/>
                <w:sz w:val="24"/>
                <w:szCs w:val="22"/>
                <w:u w:val="singl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1（</w:t>
            </w:r>
            <w:r>
              <w:rPr>
                <w:rFonts w:ascii="楷体" w:hAnsi="楷体" w:eastAsia="楷体"/>
                <w:sz w:val="24"/>
                <w:szCs w:val="24"/>
              </w:rPr>
              <w:t>5</w:t>
            </w:r>
            <w:r>
              <w:rPr>
                <w:rFonts w:hint="eastAsia" w:ascii="楷体" w:hAnsi="楷体" w:eastAsia="楷体"/>
                <w:sz w:val="24"/>
                <w:szCs w:val="24"/>
              </w:rPr>
              <w:t>）</w:t>
            </w:r>
          </w:p>
        </w:tc>
        <w:tc>
          <w:tcPr>
            <w:tcW w:w="7796" w:type="dxa"/>
            <w:vAlign w:val="center"/>
          </w:tcPr>
          <w:p>
            <w:pPr>
              <w:spacing w:line="480" w:lineRule="exact"/>
              <w:rPr>
                <w:rFonts w:ascii="楷体" w:hAnsi="楷体" w:eastAsia="楷体"/>
                <w:sz w:val="24"/>
                <w:szCs w:val="24"/>
                <w:u w:val="single"/>
              </w:rPr>
            </w:pPr>
            <w:r>
              <w:rPr>
                <w:rFonts w:ascii="楷体" w:hAnsi="楷体" w:eastAsia="楷体"/>
                <w:sz w:val="24"/>
                <w:szCs w:val="24"/>
              </w:rPr>
              <w:t>是否允许采购进口产品：</w:t>
            </w:r>
            <w:r>
              <w:rPr>
                <w:rFonts w:hint="eastAsia" w:ascii="仿宋_GB2312" w:hAnsi="宋体" w:eastAsia="仿宋_GB2312"/>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1（</w:t>
            </w:r>
            <w:r>
              <w:rPr>
                <w:rFonts w:ascii="楷体" w:hAnsi="楷体" w:eastAsia="楷体"/>
                <w:sz w:val="24"/>
                <w:szCs w:val="24"/>
              </w:rPr>
              <w:t>6</w:t>
            </w:r>
            <w:r>
              <w:rPr>
                <w:rFonts w:hint="eastAsia" w:ascii="楷体" w:hAnsi="楷体" w:eastAsia="楷体"/>
                <w:sz w:val="24"/>
                <w:szCs w:val="24"/>
              </w:rPr>
              <w:t>）</w:t>
            </w:r>
          </w:p>
        </w:tc>
        <w:tc>
          <w:tcPr>
            <w:tcW w:w="7796" w:type="dxa"/>
            <w:vAlign w:val="center"/>
          </w:tcPr>
          <w:p>
            <w:pPr>
              <w:spacing w:line="480" w:lineRule="exact"/>
              <w:rPr>
                <w:rFonts w:ascii="楷体" w:hAnsi="楷体" w:eastAsia="楷体"/>
                <w:sz w:val="24"/>
                <w:szCs w:val="24"/>
                <w:u w:val="single"/>
              </w:rPr>
            </w:pPr>
            <w:r>
              <w:rPr>
                <w:rFonts w:ascii="楷体" w:hAnsi="楷体" w:eastAsia="楷体"/>
                <w:sz w:val="24"/>
                <w:szCs w:val="24"/>
              </w:rPr>
              <w:t>是否专门面向中小企业采购：</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否</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1（</w:t>
            </w:r>
            <w:r>
              <w:rPr>
                <w:rFonts w:ascii="楷体" w:hAnsi="楷体" w:eastAsia="楷体"/>
                <w:sz w:val="24"/>
                <w:szCs w:val="24"/>
              </w:rPr>
              <w:t>7</w:t>
            </w:r>
            <w:r>
              <w:rPr>
                <w:rFonts w:hint="eastAsia" w:ascii="楷体" w:hAnsi="楷体" w:eastAsia="楷体"/>
                <w:sz w:val="24"/>
                <w:szCs w:val="24"/>
              </w:rPr>
              <w:t>）</w:t>
            </w:r>
          </w:p>
        </w:tc>
        <w:tc>
          <w:tcPr>
            <w:tcW w:w="7796" w:type="dxa"/>
            <w:vAlign w:val="center"/>
          </w:tcPr>
          <w:p>
            <w:pPr>
              <w:spacing w:line="480" w:lineRule="exact"/>
              <w:rPr>
                <w:rFonts w:ascii="楷体" w:hAnsi="楷体" w:eastAsia="楷体"/>
                <w:sz w:val="24"/>
                <w:szCs w:val="24"/>
                <w:u w:val="single"/>
              </w:rPr>
            </w:pPr>
            <w:r>
              <w:rPr>
                <w:rFonts w:hint="eastAsia" w:ascii="楷体" w:hAnsi="楷体" w:eastAsia="楷体"/>
                <w:sz w:val="24"/>
                <w:szCs w:val="24"/>
                <w:lang w:eastAsia="zh-CN"/>
              </w:rPr>
              <w:t>新疆维吾尔自治区计量测试研究院能源大数据应用系统项目</w:t>
            </w:r>
            <w:r>
              <w:rPr>
                <w:rFonts w:hint="eastAsia" w:ascii="楷体" w:hAnsi="楷体" w:eastAsia="楷体"/>
                <w:sz w:val="24"/>
                <w:szCs w:val="24"/>
              </w:rPr>
              <w:t>所属行业：</w:t>
            </w:r>
            <w:r>
              <w:rPr>
                <w:rFonts w:hint="eastAsia" w:ascii="楷体" w:hAnsi="楷体" w:eastAsia="楷体" w:cs="楷体"/>
                <w:sz w:val="24"/>
                <w:u w:val="single"/>
                <w:lang w:val="en-US" w:eastAsia="zh-CN"/>
              </w:rPr>
              <w:t>信息技术</w:t>
            </w:r>
            <w:r>
              <w:rPr>
                <w:rFonts w:hint="eastAsia" w:ascii="楷体" w:hAnsi="楷体" w:eastAsia="楷体" w:cs="楷体"/>
                <w:sz w:val="24"/>
                <w:u w:val="singl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1（</w:t>
            </w:r>
            <w:r>
              <w:rPr>
                <w:rFonts w:ascii="楷体" w:hAnsi="楷体" w:eastAsia="楷体"/>
                <w:sz w:val="24"/>
                <w:szCs w:val="24"/>
              </w:rPr>
              <w:t>8</w:t>
            </w:r>
            <w:r>
              <w:rPr>
                <w:rFonts w:hint="eastAsia" w:ascii="楷体" w:hAnsi="楷体" w:eastAsia="楷体"/>
                <w:sz w:val="24"/>
                <w:szCs w:val="24"/>
              </w:rPr>
              <w:t>）</w:t>
            </w:r>
          </w:p>
        </w:tc>
        <w:tc>
          <w:tcPr>
            <w:tcW w:w="7796" w:type="dxa"/>
            <w:vAlign w:val="center"/>
          </w:tcPr>
          <w:p>
            <w:pPr>
              <w:spacing w:line="240" w:lineRule="atLeast"/>
              <w:rPr>
                <w:rFonts w:ascii="楷体" w:hAnsi="楷体" w:eastAsia="楷体"/>
                <w:sz w:val="24"/>
                <w:szCs w:val="24"/>
                <w:u w:val="single"/>
              </w:rPr>
            </w:pPr>
            <w:r>
              <w:rPr>
                <w:rFonts w:hint="eastAsia" w:ascii="楷体" w:hAnsi="楷体" w:eastAsia="楷体"/>
                <w:sz w:val="24"/>
              </w:rPr>
              <w:t>是否为本项目面向中小企业采购预留份额：</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否</w:t>
            </w:r>
            <w:r>
              <w:rPr>
                <w:rFonts w:ascii="楷体" w:hAnsi="楷体" w:eastAsia="楷体"/>
                <w:sz w:val="24"/>
                <w:u w:val="single"/>
              </w:rPr>
              <w:t xml:space="preserve"> </w:t>
            </w:r>
            <w:r>
              <w:rPr>
                <w:rFonts w:hint="eastAsia" w:ascii="楷体" w:hAnsi="楷体" w:eastAsia="楷体"/>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2</w:t>
            </w:r>
          </w:p>
        </w:tc>
        <w:tc>
          <w:tcPr>
            <w:tcW w:w="7796" w:type="dxa"/>
            <w:vAlign w:val="center"/>
          </w:tcPr>
          <w:p>
            <w:pPr>
              <w:spacing w:line="480" w:lineRule="exact"/>
              <w:rPr>
                <w:rFonts w:ascii="楷体" w:hAnsi="楷体" w:eastAsia="楷体"/>
                <w:sz w:val="24"/>
                <w:szCs w:val="24"/>
              </w:rPr>
            </w:pPr>
            <w:r>
              <w:rPr>
                <w:rFonts w:ascii="楷体" w:hAnsi="楷体" w:eastAsia="楷体"/>
                <w:sz w:val="24"/>
                <w:szCs w:val="24"/>
              </w:rPr>
              <w:t>是否允许联合体参加磋商：</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否</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2（</w:t>
            </w:r>
            <w:r>
              <w:rPr>
                <w:rFonts w:ascii="楷体" w:hAnsi="楷体" w:eastAsia="楷体"/>
                <w:sz w:val="24"/>
                <w:szCs w:val="24"/>
              </w:rPr>
              <w:t>8</w:t>
            </w:r>
            <w:r>
              <w:rPr>
                <w:rFonts w:hint="eastAsia" w:ascii="楷体" w:hAnsi="楷体" w:eastAsia="楷体"/>
                <w:sz w:val="24"/>
                <w:szCs w:val="24"/>
              </w:rPr>
              <w:t>）</w:t>
            </w:r>
          </w:p>
        </w:tc>
        <w:tc>
          <w:tcPr>
            <w:tcW w:w="7796" w:type="dxa"/>
            <w:vAlign w:val="center"/>
          </w:tcPr>
          <w:p>
            <w:pPr>
              <w:spacing w:line="480" w:lineRule="exact"/>
              <w:rPr>
                <w:rFonts w:ascii="楷体" w:hAnsi="楷体" w:eastAsia="楷体"/>
                <w:sz w:val="24"/>
                <w:szCs w:val="24"/>
              </w:rPr>
            </w:pPr>
            <w:r>
              <w:rPr>
                <w:rFonts w:ascii="楷体" w:hAnsi="楷体" w:eastAsia="楷体"/>
                <w:sz w:val="24"/>
                <w:szCs w:val="24"/>
              </w:rPr>
              <w:t>对联合体的其他资格要求：</w:t>
            </w:r>
            <w:r>
              <w:rPr>
                <w:rFonts w:hint="eastAsia" w:ascii="楷体" w:hAnsi="楷体" w:eastAsia="楷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6.</w:t>
            </w:r>
            <w:r>
              <w:rPr>
                <w:rFonts w:hint="eastAsia" w:ascii="楷体" w:hAnsi="楷体" w:eastAsia="楷体"/>
                <w:sz w:val="24"/>
                <w:szCs w:val="24"/>
              </w:rPr>
              <w:t>1（3）</w:t>
            </w:r>
          </w:p>
        </w:tc>
        <w:tc>
          <w:tcPr>
            <w:tcW w:w="7796" w:type="dxa"/>
            <w:vAlign w:val="center"/>
          </w:tcPr>
          <w:p>
            <w:pPr>
              <w:spacing w:line="480" w:lineRule="exact"/>
              <w:rPr>
                <w:rFonts w:hint="eastAsia" w:ascii="楷体" w:hAnsi="楷体" w:eastAsia="楷体"/>
                <w:b/>
                <w:sz w:val="24"/>
                <w:szCs w:val="24"/>
              </w:rPr>
            </w:pPr>
            <w:r>
              <w:rPr>
                <w:rFonts w:ascii="楷体" w:hAnsi="楷体" w:eastAsia="楷体"/>
                <w:sz w:val="24"/>
                <w:szCs w:val="24"/>
              </w:rPr>
              <w:t>采购需求响应文件内容要求：</w:t>
            </w:r>
            <w:r>
              <w:rPr>
                <w:rFonts w:ascii="楷体" w:hAnsi="楷体" w:eastAsia="楷体"/>
                <w:b/>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6.</w:t>
            </w:r>
            <w:r>
              <w:rPr>
                <w:rFonts w:hint="eastAsia" w:ascii="楷体" w:hAnsi="楷体" w:eastAsia="楷体"/>
                <w:sz w:val="24"/>
                <w:szCs w:val="24"/>
              </w:rPr>
              <w:t>1（6）</w:t>
            </w:r>
          </w:p>
        </w:tc>
        <w:tc>
          <w:tcPr>
            <w:tcW w:w="7796" w:type="dxa"/>
            <w:vAlign w:val="center"/>
          </w:tcPr>
          <w:p>
            <w:pPr>
              <w:spacing w:line="240" w:lineRule="atLeast"/>
              <w:rPr>
                <w:rFonts w:hint="eastAsia" w:ascii="楷体" w:hAnsi="楷体" w:eastAsia="楷体"/>
                <w:sz w:val="24"/>
                <w:szCs w:val="22"/>
              </w:rPr>
            </w:pPr>
            <w:r>
              <w:rPr>
                <w:rFonts w:hint="eastAsia" w:ascii="楷体" w:hAnsi="楷体" w:eastAsia="楷体"/>
                <w:sz w:val="24"/>
                <w:szCs w:val="22"/>
              </w:rPr>
              <w:t xml:space="preserve">资格证明文件： </w:t>
            </w:r>
          </w:p>
          <w:p>
            <w:pPr>
              <w:spacing w:line="240" w:lineRule="atLeast"/>
              <w:rPr>
                <w:rFonts w:hint="eastAsia" w:ascii="楷体" w:hAnsi="楷体" w:eastAsia="楷体"/>
                <w:sz w:val="24"/>
                <w:szCs w:val="22"/>
              </w:rPr>
            </w:pPr>
            <w:r>
              <w:rPr>
                <w:rFonts w:hint="eastAsia" w:ascii="楷体" w:hAnsi="楷体" w:eastAsia="楷体"/>
                <w:sz w:val="24"/>
                <w:szCs w:val="22"/>
              </w:rPr>
              <w:t>1、按《中华人民共和国政府采购法》第二十二条规定：供应商参加政府采购活动应当具备下列条件：</w:t>
            </w:r>
          </w:p>
          <w:p>
            <w:pPr>
              <w:spacing w:line="240" w:lineRule="atLeast"/>
              <w:rPr>
                <w:rFonts w:hint="eastAsia" w:ascii="楷体" w:hAnsi="楷体" w:eastAsia="楷体"/>
                <w:sz w:val="24"/>
                <w:szCs w:val="22"/>
              </w:rPr>
            </w:pPr>
            <w:r>
              <w:rPr>
                <w:rFonts w:hint="eastAsia" w:ascii="楷体" w:hAnsi="楷体" w:eastAsia="楷体"/>
                <w:sz w:val="24"/>
                <w:szCs w:val="22"/>
              </w:rPr>
              <w:t>（1）具有独立承担民事责任的能力。提供在中华人民共和国境内有效的执照（或证书）副本复印件证明；</w:t>
            </w:r>
          </w:p>
          <w:p>
            <w:pPr>
              <w:spacing w:line="240" w:lineRule="atLeast"/>
              <w:rPr>
                <w:rFonts w:hint="eastAsia" w:ascii="楷体" w:hAnsi="楷体" w:eastAsia="楷体"/>
                <w:sz w:val="24"/>
                <w:szCs w:val="22"/>
              </w:rPr>
            </w:pPr>
            <w:r>
              <w:rPr>
                <w:rFonts w:hint="eastAsia" w:ascii="楷体" w:hAnsi="楷体" w:eastAsia="楷体"/>
                <w:sz w:val="24"/>
                <w:szCs w:val="22"/>
              </w:rPr>
              <w:t>（2）具有良好的商业信誉和健全的财务会计制度。提供 2020年度经第三方会计师事务所审计的企业财务报告或银行出具的资信证明；</w:t>
            </w:r>
          </w:p>
          <w:p>
            <w:pPr>
              <w:spacing w:line="240" w:lineRule="atLeast"/>
              <w:rPr>
                <w:rFonts w:hint="eastAsia" w:ascii="楷体" w:hAnsi="楷体" w:eastAsia="楷体"/>
                <w:sz w:val="24"/>
                <w:szCs w:val="22"/>
              </w:rPr>
            </w:pPr>
            <w:r>
              <w:rPr>
                <w:rFonts w:hint="eastAsia" w:ascii="楷体" w:hAnsi="楷体" w:eastAsia="楷体"/>
                <w:sz w:val="24"/>
                <w:szCs w:val="22"/>
              </w:rPr>
              <w:t>（3）具有履行合同所必需的设备和专业技术能力。提供履行合同所必需的设备和专业技术能力的书面声明；</w:t>
            </w:r>
          </w:p>
          <w:p>
            <w:pPr>
              <w:spacing w:line="240" w:lineRule="atLeast"/>
              <w:rPr>
                <w:rFonts w:hint="eastAsia" w:ascii="楷体" w:hAnsi="楷体" w:eastAsia="楷体"/>
                <w:sz w:val="24"/>
                <w:szCs w:val="22"/>
              </w:rPr>
            </w:pPr>
            <w:r>
              <w:rPr>
                <w:rFonts w:hint="eastAsia" w:ascii="楷体" w:hAnsi="楷体" w:eastAsia="楷体"/>
                <w:sz w:val="24"/>
                <w:szCs w:val="22"/>
              </w:rPr>
              <w:t>（4）有依法缴纳税收和社会保障资金的良好记录。提供近3个月中任意一个月依法缴纳税收的相关证明材料，如依法免税的，应提供相应文件证明其依法免税。提供近半年中任意一个月依法缴纳社会保险的证明（含缴费凭证）复印件，如依法不需要缴纳社会保障资金的，应提供相应文件证明其依法不需要缴纳社会保障资金；</w:t>
            </w:r>
          </w:p>
          <w:p>
            <w:pPr>
              <w:spacing w:line="240" w:lineRule="atLeast"/>
              <w:rPr>
                <w:rFonts w:hint="eastAsia" w:ascii="楷体" w:hAnsi="楷体" w:eastAsia="楷体"/>
                <w:sz w:val="24"/>
                <w:szCs w:val="22"/>
              </w:rPr>
            </w:pPr>
            <w:r>
              <w:rPr>
                <w:rFonts w:hint="eastAsia" w:ascii="楷体" w:hAnsi="楷体" w:eastAsia="楷体"/>
                <w:sz w:val="24"/>
                <w:szCs w:val="22"/>
              </w:rPr>
              <w:t>（5）参加政府采购活动前三年内，在经营活动中没有重大违法记录；</w:t>
            </w:r>
          </w:p>
          <w:p>
            <w:pPr>
              <w:spacing w:line="240" w:lineRule="atLeast"/>
              <w:rPr>
                <w:rFonts w:hint="eastAsia" w:ascii="楷体" w:hAnsi="楷体" w:eastAsia="楷体"/>
                <w:sz w:val="24"/>
                <w:szCs w:val="22"/>
              </w:rPr>
            </w:pPr>
            <w:r>
              <w:rPr>
                <w:rFonts w:hint="eastAsia" w:ascii="楷体" w:hAnsi="楷体" w:eastAsia="楷体"/>
                <w:sz w:val="24"/>
                <w:szCs w:val="22"/>
              </w:rPr>
              <w:t>（6）法律、行政法规规定的其他条件。</w:t>
            </w:r>
          </w:p>
          <w:p>
            <w:pPr>
              <w:spacing w:line="240" w:lineRule="atLeast"/>
              <w:rPr>
                <w:rFonts w:hint="eastAsia" w:ascii="楷体" w:hAnsi="楷体" w:eastAsia="楷体"/>
                <w:sz w:val="24"/>
                <w:szCs w:val="22"/>
              </w:rPr>
            </w:pPr>
            <w:r>
              <w:rPr>
                <w:rFonts w:hint="eastAsia" w:ascii="楷体" w:hAnsi="楷体" w:eastAsia="楷体"/>
                <w:sz w:val="24"/>
                <w:szCs w:val="22"/>
                <w:lang w:val="en-US" w:eastAsia="zh-CN"/>
              </w:rPr>
              <w:t>2</w:t>
            </w:r>
            <w:r>
              <w:rPr>
                <w:rFonts w:hint="eastAsia" w:ascii="楷体" w:hAnsi="楷体" w:eastAsia="楷体"/>
                <w:sz w:val="24"/>
                <w:szCs w:val="22"/>
              </w:rPr>
              <w:t>、独立于采购代理机构和采购人的供应商；</w:t>
            </w:r>
          </w:p>
          <w:p>
            <w:pPr>
              <w:spacing w:line="240" w:lineRule="atLeast"/>
              <w:rPr>
                <w:rFonts w:hint="eastAsia" w:ascii="楷体" w:hAnsi="楷体" w:eastAsia="楷体"/>
                <w:sz w:val="24"/>
                <w:szCs w:val="22"/>
              </w:rPr>
            </w:pPr>
            <w:r>
              <w:rPr>
                <w:rFonts w:hint="eastAsia" w:ascii="楷体" w:hAnsi="楷体" w:eastAsia="楷体"/>
                <w:sz w:val="24"/>
                <w:szCs w:val="22"/>
                <w:lang w:val="en-US" w:eastAsia="zh-CN"/>
              </w:rPr>
              <w:t>3</w:t>
            </w:r>
            <w:r>
              <w:rPr>
                <w:rFonts w:hint="eastAsia" w:ascii="楷体" w:hAnsi="楷体" w:eastAsia="楷体"/>
                <w:sz w:val="24"/>
                <w:szCs w:val="22"/>
              </w:rPr>
              <w:t>、 投标人或投标人的法定代表人必须为未被列入信用中国网站(www.creditchina.gov.cn)、中国政府采购网(www.ccgp.gov.cn)信用记录失信被执行人、重大税收违法案件当事人名单、政府采购严重违法失信行为记录名单。</w:t>
            </w:r>
          </w:p>
          <w:p>
            <w:pPr>
              <w:spacing w:line="240" w:lineRule="atLeast"/>
              <w:rPr>
                <w:rFonts w:hint="eastAsia" w:ascii="楷体" w:hAnsi="楷体" w:eastAsia="楷体"/>
                <w:sz w:val="24"/>
                <w:szCs w:val="22"/>
              </w:rPr>
            </w:pPr>
            <w:r>
              <w:rPr>
                <w:rFonts w:hint="eastAsia" w:ascii="楷体" w:hAnsi="楷体" w:eastAsia="楷体"/>
                <w:sz w:val="24"/>
                <w:szCs w:val="22"/>
                <w:lang w:val="en-US" w:eastAsia="zh-CN"/>
              </w:rPr>
              <w:t>4</w:t>
            </w:r>
            <w:r>
              <w:rPr>
                <w:rFonts w:hint="eastAsia" w:ascii="楷体" w:hAnsi="楷体" w:eastAsia="楷体"/>
                <w:sz w:val="24"/>
                <w:szCs w:val="22"/>
              </w:rPr>
              <w:t>、供应商必须购买本项目《竞争性磋商文件》并登记备案，否则无资格参加本次投标；</w:t>
            </w:r>
          </w:p>
          <w:p>
            <w:pPr>
              <w:spacing w:line="240" w:lineRule="atLeast"/>
              <w:rPr>
                <w:rFonts w:hint="eastAsia" w:ascii="楷体" w:hAnsi="楷体" w:eastAsia="楷体"/>
                <w:sz w:val="24"/>
                <w:szCs w:val="24"/>
              </w:rPr>
            </w:pPr>
            <w:r>
              <w:rPr>
                <w:rFonts w:hint="eastAsia" w:ascii="楷体" w:hAnsi="楷体" w:eastAsia="楷体"/>
                <w:sz w:val="24"/>
                <w:szCs w:val="22"/>
                <w:lang w:val="en-US" w:eastAsia="zh-CN"/>
              </w:rPr>
              <w:t>5</w:t>
            </w:r>
            <w:r>
              <w:rPr>
                <w:rFonts w:hint="eastAsia" w:ascii="楷体" w:hAnsi="楷体" w:eastAsia="楷体"/>
                <w:sz w:val="24"/>
                <w:szCs w:val="22"/>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8</w:t>
            </w:r>
            <w:r>
              <w:rPr>
                <w:rFonts w:hint="eastAsia" w:ascii="楷体" w:hAnsi="楷体" w:eastAsia="楷体"/>
                <w:sz w:val="24"/>
                <w:szCs w:val="24"/>
              </w:rPr>
              <w:t>.1</w:t>
            </w:r>
          </w:p>
        </w:tc>
        <w:tc>
          <w:tcPr>
            <w:tcW w:w="7796" w:type="dxa"/>
            <w:vAlign w:val="center"/>
          </w:tcPr>
          <w:p>
            <w:pPr>
              <w:spacing w:line="480" w:lineRule="exact"/>
              <w:ind w:hanging="50"/>
              <w:jc w:val="left"/>
              <w:rPr>
                <w:rFonts w:hint="eastAsia" w:ascii="楷体" w:hAnsi="楷体" w:eastAsia="楷体"/>
                <w:sz w:val="24"/>
                <w:szCs w:val="24"/>
                <w:u w:val="single"/>
              </w:rPr>
            </w:pPr>
            <w:r>
              <w:rPr>
                <w:rFonts w:ascii="楷体" w:hAnsi="楷体" w:eastAsia="楷体"/>
                <w:sz w:val="24"/>
                <w:szCs w:val="24"/>
              </w:rPr>
              <w:t>响应文件有效期：</w:t>
            </w:r>
            <w:r>
              <w:rPr>
                <w:rFonts w:ascii="楷体" w:hAnsi="楷体" w:eastAsia="楷体"/>
                <w:color w:val="ED7D31"/>
                <w:sz w:val="24"/>
                <w:szCs w:val="24"/>
                <w:u w:val="single"/>
              </w:rPr>
              <w:t>90</w:t>
            </w:r>
            <w:r>
              <w:rPr>
                <w:rFonts w:ascii="楷体" w:hAnsi="楷体" w:eastAsia="楷体"/>
                <w:sz w:val="24"/>
                <w:szCs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9.1</w:t>
            </w:r>
          </w:p>
        </w:tc>
        <w:tc>
          <w:tcPr>
            <w:tcW w:w="7796" w:type="dxa"/>
            <w:vAlign w:val="center"/>
          </w:tcPr>
          <w:p>
            <w:pPr>
              <w:spacing w:line="480" w:lineRule="exact"/>
              <w:rPr>
                <w:rFonts w:ascii="楷体" w:hAnsi="楷体" w:eastAsia="楷体"/>
                <w:sz w:val="24"/>
                <w:szCs w:val="24"/>
              </w:rPr>
            </w:pPr>
            <w:r>
              <w:rPr>
                <w:rFonts w:ascii="楷体" w:hAnsi="楷体" w:eastAsia="楷体"/>
                <w:sz w:val="24"/>
                <w:szCs w:val="24"/>
              </w:rPr>
              <w:t>响应文件数量：</w:t>
            </w:r>
          </w:p>
          <w:p>
            <w:pPr>
              <w:spacing w:line="480" w:lineRule="exact"/>
              <w:rPr>
                <w:rFonts w:ascii="楷体" w:hAnsi="楷体" w:eastAsia="楷体"/>
                <w:sz w:val="24"/>
                <w:szCs w:val="24"/>
              </w:rPr>
            </w:pPr>
            <w:r>
              <w:rPr>
                <w:rFonts w:ascii="楷体" w:hAnsi="楷体" w:eastAsia="楷体"/>
                <w:sz w:val="24"/>
                <w:szCs w:val="24"/>
              </w:rPr>
              <w:t>正本：</w:t>
            </w:r>
            <w:r>
              <w:rPr>
                <w:rFonts w:hint="eastAsia" w:ascii="楷体" w:hAnsi="楷体" w:eastAsia="楷体"/>
                <w:sz w:val="24"/>
                <w:szCs w:val="24"/>
                <w:u w:val="single"/>
              </w:rPr>
              <w:t>1</w:t>
            </w:r>
            <w:r>
              <w:rPr>
                <w:rFonts w:ascii="楷体" w:hAnsi="楷体" w:eastAsia="楷体"/>
                <w:sz w:val="24"/>
                <w:szCs w:val="24"/>
              </w:rPr>
              <w:t>份、副本：</w:t>
            </w:r>
            <w:r>
              <w:rPr>
                <w:rFonts w:hint="eastAsia" w:ascii="楷体" w:hAnsi="楷体" w:eastAsia="楷体"/>
                <w:sz w:val="24"/>
                <w:szCs w:val="24"/>
                <w:u w:val="single"/>
              </w:rPr>
              <w:t>2</w:t>
            </w:r>
            <w:r>
              <w:rPr>
                <w:rFonts w:ascii="楷体" w:hAnsi="楷体" w:eastAsia="楷体"/>
                <w:sz w:val="24"/>
                <w:szCs w:val="24"/>
              </w:rPr>
              <w:t>份</w:t>
            </w:r>
          </w:p>
          <w:p>
            <w:pPr>
              <w:spacing w:line="480" w:lineRule="exact"/>
              <w:rPr>
                <w:rFonts w:ascii="楷体" w:hAnsi="楷体" w:eastAsia="楷体"/>
                <w:sz w:val="24"/>
                <w:szCs w:val="24"/>
                <w:u w:val="single"/>
              </w:rPr>
            </w:pPr>
            <w:r>
              <w:rPr>
                <w:rFonts w:ascii="楷体" w:hAnsi="楷体" w:eastAsia="楷体"/>
                <w:sz w:val="24"/>
                <w:szCs w:val="24"/>
              </w:rPr>
              <w:t>电子文档：</w:t>
            </w:r>
            <w:r>
              <w:rPr>
                <w:rFonts w:hint="eastAsia" w:ascii="楷体" w:hAnsi="楷体" w:eastAsia="楷体"/>
                <w:sz w:val="24"/>
                <w:szCs w:val="24"/>
                <w:u w:val="single"/>
              </w:rPr>
              <w:t>1</w:t>
            </w:r>
            <w:r>
              <w:rPr>
                <w:rFonts w:ascii="楷体" w:hAnsi="楷体" w:eastAsia="楷体"/>
                <w:sz w:val="24"/>
                <w:szCs w:val="24"/>
              </w:rPr>
              <w:t>份（其中正本</w:t>
            </w:r>
            <w:r>
              <w:rPr>
                <w:rFonts w:hint="eastAsia" w:ascii="楷体" w:hAnsi="楷体" w:eastAsia="楷体"/>
                <w:sz w:val="24"/>
                <w:szCs w:val="24"/>
              </w:rPr>
              <w:t>扫描件电子文档1</w:t>
            </w:r>
            <w:r>
              <w:rPr>
                <w:rFonts w:ascii="楷体" w:hAnsi="楷体" w:eastAsia="楷体"/>
                <w:sz w:val="24"/>
                <w:szCs w:val="24"/>
              </w:rPr>
              <w:t>份</w:t>
            </w:r>
            <w:r>
              <w:rPr>
                <w:rFonts w:hint="eastAsia" w:ascii="楷体" w:hAnsi="楷体" w:eastAsia="楷体"/>
                <w:sz w:val="24"/>
                <w:szCs w:val="24"/>
              </w:rPr>
              <w:t>，</w:t>
            </w:r>
            <w:r>
              <w:rPr>
                <w:rFonts w:ascii="楷体" w:hAnsi="楷体" w:eastAsia="楷体"/>
                <w:sz w:val="24"/>
                <w:szCs w:val="24"/>
              </w:rPr>
              <w:t>报价表格EXCEL格式</w:t>
            </w:r>
            <w:r>
              <w:rPr>
                <w:rFonts w:hint="eastAsia" w:ascii="楷体" w:hAnsi="楷体" w:eastAsia="楷体"/>
                <w:sz w:val="24"/>
                <w:szCs w:val="24"/>
              </w:rPr>
              <w:t>电子文档</w:t>
            </w:r>
            <w:r>
              <w:rPr>
                <w:rFonts w:ascii="楷体" w:hAnsi="楷体" w:eastAsia="楷体"/>
                <w:sz w:val="24"/>
                <w:szCs w:val="24"/>
              </w:rPr>
              <w:t xml:space="preserve"> 1 份</w:t>
            </w:r>
            <w:r>
              <w:rPr>
                <w:rFonts w:hint="eastAsia" w:ascii="楷体" w:hAnsi="楷体" w:eastAsia="楷体"/>
                <w:sz w:val="24"/>
                <w:szCs w:val="24"/>
              </w:rPr>
              <w:t>，</w:t>
            </w:r>
            <w:r>
              <w:rPr>
                <w:rFonts w:ascii="楷体" w:hAnsi="楷体" w:eastAsia="楷体"/>
                <w:sz w:val="24"/>
                <w:szCs w:val="24"/>
              </w:rPr>
              <w:t>U</w:t>
            </w:r>
            <w:r>
              <w:rPr>
                <w:rFonts w:hint="eastAsia" w:ascii="楷体" w:hAnsi="楷体" w:eastAsia="楷体"/>
                <w:sz w:val="24"/>
                <w:szCs w:val="24"/>
              </w:rPr>
              <w:t>盘</w:t>
            </w:r>
            <w:r>
              <w:rPr>
                <w:rFonts w:ascii="楷体" w:hAnsi="楷体" w:eastAsia="楷体"/>
                <w:sz w:val="24"/>
                <w:szCs w:val="24"/>
              </w:rPr>
              <w:t>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11</w:t>
            </w:r>
            <w:r>
              <w:rPr>
                <w:rFonts w:hint="eastAsia" w:ascii="楷体" w:hAnsi="楷体" w:eastAsia="楷体"/>
                <w:sz w:val="24"/>
                <w:szCs w:val="24"/>
              </w:rPr>
              <w:t>.1</w:t>
            </w:r>
          </w:p>
        </w:tc>
        <w:tc>
          <w:tcPr>
            <w:tcW w:w="7796" w:type="dxa"/>
            <w:vAlign w:val="center"/>
          </w:tcPr>
          <w:p>
            <w:pPr>
              <w:spacing w:line="240" w:lineRule="atLeast"/>
              <w:rPr>
                <w:rFonts w:hint="eastAsia" w:ascii="楷体" w:hAnsi="楷体" w:eastAsia="楷体"/>
                <w:sz w:val="24"/>
                <w:szCs w:val="22"/>
              </w:rPr>
            </w:pPr>
            <w:r>
              <w:rPr>
                <w:rFonts w:hint="eastAsia" w:ascii="楷体" w:hAnsi="楷体" w:eastAsia="楷体"/>
                <w:b/>
                <w:bCs/>
                <w:sz w:val="24"/>
                <w:szCs w:val="22"/>
              </w:rPr>
              <w:t>保证金形式</w:t>
            </w:r>
            <w:r>
              <w:rPr>
                <w:rFonts w:hint="eastAsia" w:ascii="楷体" w:hAnsi="楷体" w:eastAsia="楷体"/>
                <w:sz w:val="24"/>
                <w:szCs w:val="22"/>
              </w:rPr>
              <w:t>：</w:t>
            </w:r>
            <w:r>
              <w:rPr>
                <w:rFonts w:hint="eastAsia" w:ascii="楷体" w:hAnsi="楷体" w:eastAsia="楷体"/>
                <w:sz w:val="24"/>
                <w:szCs w:val="22"/>
              </w:rPr>
              <w:sym w:font="Wingdings 2" w:char="0052"/>
            </w:r>
            <w:r>
              <w:rPr>
                <w:rFonts w:hint="eastAsia" w:ascii="楷体" w:hAnsi="楷体" w:eastAsia="楷体"/>
                <w:sz w:val="24"/>
                <w:szCs w:val="22"/>
              </w:rPr>
              <w:t>电汇  □支票  □汇票  □本票</w:t>
            </w:r>
          </w:p>
          <w:p>
            <w:pPr>
              <w:spacing w:line="240" w:lineRule="atLeast"/>
              <w:ind w:firstLine="1440" w:firstLineChars="600"/>
              <w:rPr>
                <w:rFonts w:hint="eastAsia" w:ascii="楷体" w:hAnsi="楷体" w:eastAsia="楷体"/>
                <w:sz w:val="24"/>
                <w:szCs w:val="22"/>
              </w:rPr>
            </w:pPr>
            <w:r>
              <w:rPr>
                <w:rFonts w:hint="eastAsia" w:ascii="楷体" w:hAnsi="楷体" w:eastAsia="楷体"/>
                <w:sz w:val="24"/>
                <w:szCs w:val="22"/>
              </w:rPr>
              <w:sym w:font="Wingdings 2" w:char="0052"/>
            </w:r>
            <w:r>
              <w:rPr>
                <w:rFonts w:hint="eastAsia" w:ascii="楷体" w:hAnsi="楷体" w:eastAsia="楷体"/>
                <w:sz w:val="24"/>
                <w:szCs w:val="22"/>
              </w:rPr>
              <w:t>金融机构、担保机构出具的保函</w:t>
            </w:r>
          </w:p>
          <w:p>
            <w:pPr>
              <w:spacing w:line="240" w:lineRule="atLeast"/>
              <w:rPr>
                <w:rFonts w:hint="eastAsia" w:ascii="楷体" w:hAnsi="楷体" w:eastAsia="楷体"/>
                <w:sz w:val="24"/>
                <w:szCs w:val="22"/>
              </w:rPr>
            </w:pPr>
            <w:r>
              <w:rPr>
                <w:rFonts w:hint="eastAsia" w:ascii="楷体" w:hAnsi="楷体" w:eastAsia="楷体"/>
                <w:b/>
                <w:bCs/>
                <w:sz w:val="24"/>
                <w:szCs w:val="22"/>
              </w:rPr>
              <w:t>保证金数额：</w:t>
            </w:r>
            <w:r>
              <w:rPr>
                <w:rFonts w:hint="eastAsia" w:ascii="楷体" w:hAnsi="楷体" w:eastAsia="楷体"/>
                <w:sz w:val="24"/>
                <w:szCs w:val="22"/>
              </w:rPr>
              <w:t>□采购项目预算金额的</w:t>
            </w:r>
            <w:r>
              <w:rPr>
                <w:rFonts w:hint="eastAsia" w:ascii="楷体" w:hAnsi="楷体" w:eastAsia="楷体"/>
                <w:sz w:val="24"/>
                <w:szCs w:val="22"/>
                <w:u w:val="single"/>
              </w:rPr>
              <w:t xml:space="preserve">  /  </w:t>
            </w:r>
          </w:p>
          <w:p>
            <w:pPr>
              <w:spacing w:line="240" w:lineRule="atLeast"/>
              <w:ind w:firstLine="1440" w:firstLineChars="600"/>
              <w:rPr>
                <w:rFonts w:hint="eastAsia" w:ascii="楷体" w:hAnsi="楷体" w:eastAsia="楷体"/>
                <w:sz w:val="24"/>
                <w:szCs w:val="22"/>
              </w:rPr>
            </w:pPr>
            <w:r>
              <w:rPr>
                <w:rFonts w:hint="eastAsia" w:ascii="楷体" w:hAnsi="楷体" w:eastAsia="楷体"/>
                <w:sz w:val="24"/>
                <w:szCs w:val="22"/>
              </w:rPr>
              <w:sym w:font="Wingdings 2" w:char="00A3"/>
            </w:r>
            <w:r>
              <w:rPr>
                <w:rFonts w:hint="eastAsia" w:ascii="楷体" w:hAnsi="楷体" w:eastAsia="楷体"/>
                <w:sz w:val="24"/>
                <w:szCs w:val="22"/>
                <w:u w:val="single"/>
              </w:rPr>
              <w:t xml:space="preserve">   0.</w:t>
            </w:r>
            <w:r>
              <w:rPr>
                <w:rFonts w:hint="eastAsia" w:ascii="楷体" w:hAnsi="楷体" w:eastAsia="楷体"/>
                <w:sz w:val="24"/>
                <w:szCs w:val="22"/>
                <w:u w:val="single"/>
                <w:lang w:val="en-US" w:eastAsia="zh-CN"/>
              </w:rPr>
              <w:t>75</w:t>
            </w:r>
            <w:r>
              <w:rPr>
                <w:rFonts w:hint="eastAsia" w:ascii="楷体" w:hAnsi="楷体" w:eastAsia="楷体"/>
                <w:sz w:val="24"/>
                <w:szCs w:val="22"/>
                <w:u w:val="single"/>
              </w:rPr>
              <w:t xml:space="preserve"> </w:t>
            </w:r>
            <w:r>
              <w:rPr>
                <w:rFonts w:hint="eastAsia" w:ascii="楷体" w:hAnsi="楷体" w:eastAsia="楷体"/>
                <w:sz w:val="24"/>
                <w:szCs w:val="22"/>
              </w:rPr>
              <w:t>万元</w:t>
            </w:r>
          </w:p>
          <w:p>
            <w:pPr>
              <w:spacing w:line="240" w:lineRule="atLeast"/>
              <w:rPr>
                <w:rFonts w:hint="eastAsia" w:ascii="楷体" w:hAnsi="楷体" w:eastAsia="楷体"/>
                <w:sz w:val="24"/>
                <w:szCs w:val="22"/>
              </w:rPr>
            </w:pPr>
            <w:r>
              <w:rPr>
                <w:rFonts w:hint="eastAsia" w:ascii="楷体" w:hAnsi="楷体" w:eastAsia="楷体"/>
                <w:b/>
                <w:bCs/>
                <w:sz w:val="24"/>
                <w:szCs w:val="22"/>
              </w:rPr>
              <w:t>保证金递交方式：</w:t>
            </w:r>
          </w:p>
          <w:p>
            <w:pPr>
              <w:spacing w:line="240" w:lineRule="atLeast"/>
              <w:ind w:firstLine="240" w:firstLineChars="100"/>
              <w:rPr>
                <w:rFonts w:hint="eastAsia" w:ascii="楷体" w:hAnsi="楷体" w:eastAsia="楷体"/>
                <w:sz w:val="24"/>
                <w:szCs w:val="22"/>
              </w:rPr>
            </w:pPr>
            <w:r>
              <w:rPr>
                <w:rFonts w:hint="eastAsia" w:ascii="楷体" w:hAnsi="楷体" w:eastAsia="楷体"/>
                <w:sz w:val="24"/>
                <w:szCs w:val="22"/>
              </w:rPr>
              <w:t>1、在线购买电子版采购文件的供应商，在线支付标书款并下载采购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spacing w:line="240" w:lineRule="atLeast"/>
              <w:ind w:firstLine="240" w:firstLineChars="100"/>
              <w:rPr>
                <w:rFonts w:hint="eastAsia" w:ascii="楷体" w:hAnsi="楷体" w:eastAsia="楷体"/>
                <w:sz w:val="24"/>
                <w:szCs w:val="22"/>
              </w:rPr>
            </w:pPr>
            <w:r>
              <w:rPr>
                <w:rFonts w:hint="eastAsia" w:ascii="楷体" w:hAnsi="楷体" w:eastAsia="楷体"/>
                <w:sz w:val="24"/>
                <w:szCs w:val="22"/>
              </w:rPr>
              <w:t>2、中招国际招标有限公司委托中招联合信息股份有限公司及平安银行股份有限公司北京分行办理投标保证金收、退、转及结账、结算等相关业务。保证金办理相关问题请咨询中招联合（010-86397110）。</w:t>
            </w:r>
          </w:p>
          <w:p>
            <w:pPr>
              <w:spacing w:line="240" w:lineRule="atLeast"/>
              <w:rPr>
                <w:rFonts w:hint="eastAsia" w:ascii="楷体" w:hAnsi="楷体" w:eastAsia="楷体"/>
                <w:sz w:val="24"/>
                <w:szCs w:val="22"/>
              </w:rPr>
            </w:pPr>
            <w:r>
              <w:rPr>
                <w:rFonts w:hint="eastAsia" w:ascii="楷体" w:hAnsi="楷体" w:eastAsia="楷体"/>
                <w:b/>
                <w:bCs/>
                <w:sz w:val="24"/>
                <w:szCs w:val="22"/>
              </w:rPr>
              <w:t>温馨提示：</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1、供应商购买标书成功后，可在中招联合平台（http://www.365trade.com.cn/）获取缴纳保证金的虚拟账号（平台无支付功能），即可按照采购文件的具体要求缴纳投标保证金，不接受现金汇款。保证金虚拟账号针对不同供应商、项目各不相同，请勿泄露或从他人处获取账号信息，因账号泄露导致的任何损失由供应商自行承担。</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2、保证金退款遵循原路退还原则，请不要在银行柜台现金汇款、个人账户汇款以及通过非银行机构代理汇款，需确保汇出账户可以正常收款。</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3、汇款后请及时登录系统了解款项到账情况，紧急情况可与客服联系确认，以免影响您的投标。</w:t>
            </w:r>
          </w:p>
          <w:p>
            <w:pPr>
              <w:spacing w:line="240" w:lineRule="atLeast"/>
              <w:rPr>
                <w:rFonts w:hint="eastAsia" w:ascii="楷体" w:hAnsi="楷体" w:eastAsia="楷体"/>
                <w:sz w:val="24"/>
                <w:szCs w:val="22"/>
              </w:rPr>
            </w:pPr>
            <w:r>
              <w:rPr>
                <w:rFonts w:hint="eastAsia" w:ascii="楷体" w:hAnsi="楷体" w:eastAsia="楷体"/>
                <w:b/>
                <w:bCs/>
                <w:sz w:val="24"/>
                <w:szCs w:val="22"/>
              </w:rPr>
              <w:t>注：</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1、保证金必须从供应商基本账户转出。</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2、请在汇款时按完整的银行账号进行汇款，在汇款附言和摘要成交明该项目编号。</w:t>
            </w:r>
          </w:p>
          <w:p>
            <w:pPr>
              <w:spacing w:line="240" w:lineRule="atLeast"/>
              <w:ind w:firstLine="480" w:firstLineChars="200"/>
              <w:rPr>
                <w:rFonts w:hint="eastAsia" w:ascii="楷体" w:hAnsi="楷体" w:eastAsia="楷体"/>
                <w:sz w:val="24"/>
                <w:szCs w:val="22"/>
              </w:rPr>
            </w:pPr>
            <w:r>
              <w:rPr>
                <w:rFonts w:hint="eastAsia" w:ascii="楷体" w:hAnsi="楷体" w:eastAsia="楷体"/>
                <w:sz w:val="24"/>
                <w:szCs w:val="22"/>
              </w:rPr>
              <w:t>3、平台客服热线：010-86397110。投标人必须在付款凭证备注栏中注明“（招标编号）投标保证金”，否则自行承担由此引致的投标无效等后果。</w:t>
            </w:r>
          </w:p>
          <w:p>
            <w:pPr>
              <w:spacing w:line="240" w:lineRule="atLeast"/>
              <w:rPr>
                <w:rFonts w:hint="eastAsia" w:ascii="楷体" w:hAnsi="楷体" w:eastAsia="楷体"/>
                <w:b/>
                <w:bCs/>
                <w:sz w:val="24"/>
              </w:rPr>
            </w:pPr>
            <w:r>
              <w:rPr>
                <w:rFonts w:hint="eastAsia" w:ascii="楷体" w:hAnsi="楷体" w:eastAsia="楷体"/>
                <w:b/>
                <w:bCs/>
                <w:sz w:val="24"/>
              </w:rPr>
              <w:t>政府采购信用担保机构：</w:t>
            </w:r>
          </w:p>
          <w:p>
            <w:pPr>
              <w:spacing w:line="240" w:lineRule="atLeast"/>
              <w:rPr>
                <w:rFonts w:hint="eastAsia" w:ascii="楷体" w:hAnsi="楷体" w:eastAsia="楷体"/>
                <w:sz w:val="24"/>
              </w:rPr>
            </w:pPr>
            <w:r>
              <w:rPr>
                <w:rFonts w:hint="eastAsia" w:ascii="楷体" w:hAnsi="楷体" w:eastAsia="楷体"/>
                <w:sz w:val="24"/>
              </w:rPr>
              <w:t>所有政府采购项目的信用担保专业的担保公司</w:t>
            </w:r>
          </w:p>
          <w:p>
            <w:pPr>
              <w:spacing w:line="240" w:lineRule="atLeast"/>
              <w:rPr>
                <w:rFonts w:hint="eastAsia" w:ascii="楷体" w:hAnsi="楷体" w:eastAsia="楷体"/>
                <w:sz w:val="24"/>
              </w:rPr>
            </w:pPr>
            <w:r>
              <w:rPr>
                <w:rFonts w:hint="eastAsia" w:ascii="楷体" w:hAnsi="楷体" w:eastAsia="楷体"/>
                <w:sz w:val="24"/>
              </w:rPr>
              <w:t>中国投融资担保股份有限公司</w:t>
            </w:r>
          </w:p>
          <w:p>
            <w:pPr>
              <w:rPr>
                <w:rFonts w:hint="eastAsia" w:ascii="楷体" w:hAnsi="楷体" w:eastAsia="楷体"/>
                <w:sz w:val="24"/>
              </w:rPr>
            </w:pPr>
            <w:r>
              <w:rPr>
                <w:rFonts w:hint="eastAsia" w:ascii="楷体" w:hAnsi="楷体" w:eastAsia="楷体"/>
                <w:sz w:val="24"/>
              </w:rPr>
              <w:t>地址:北京市海淀区西三环北路100号光耀东方写字楼9层</w:t>
            </w:r>
          </w:p>
          <w:p>
            <w:pPr>
              <w:rPr>
                <w:rFonts w:hint="eastAsia" w:ascii="楷体" w:hAnsi="楷体" w:eastAsia="楷体"/>
                <w:sz w:val="24"/>
              </w:rPr>
            </w:pPr>
            <w:r>
              <w:rPr>
                <w:rFonts w:hint="eastAsia" w:ascii="楷体" w:hAnsi="楷体" w:eastAsia="楷体"/>
                <w:sz w:val="24"/>
              </w:rPr>
              <w:t>联系电话：010-88822</w:t>
            </w:r>
            <w:r>
              <w:rPr>
                <w:rFonts w:ascii="楷体" w:hAnsi="楷体" w:eastAsia="楷体"/>
                <w:sz w:val="24"/>
              </w:rPr>
              <w:t>888</w:t>
            </w:r>
            <w:r>
              <w:rPr>
                <w:rFonts w:hint="eastAsia" w:ascii="楷体" w:hAnsi="楷体" w:eastAsia="楷体"/>
                <w:sz w:val="24"/>
              </w:rPr>
              <w:t xml:space="preserve">      传真：010-68437040</w:t>
            </w:r>
          </w:p>
          <w:p>
            <w:pPr>
              <w:rPr>
                <w:rFonts w:hint="eastAsia" w:ascii="楷体" w:hAnsi="楷体" w:eastAsia="楷体"/>
                <w:sz w:val="24"/>
                <w:szCs w:val="24"/>
              </w:rPr>
            </w:pPr>
            <w:r>
              <w:rPr>
                <w:rFonts w:hint="eastAsia" w:ascii="楷体" w:hAnsi="楷体" w:eastAsia="楷体"/>
                <w:sz w:val="24"/>
              </w:rPr>
              <w:t>电子邮箱：</w:t>
            </w:r>
            <w:r>
              <w:rPr>
                <w:rFonts w:ascii="楷体" w:hAnsi="楷体" w:eastAsia="楷体"/>
                <w:sz w:val="24"/>
              </w:rPr>
              <w:t>ztbxf</w:t>
            </w:r>
            <w:r>
              <w:rPr>
                <w:rFonts w:hint="eastAsia" w:ascii="楷体" w:hAnsi="楷体" w:eastAsia="楷体"/>
                <w:sz w:val="24"/>
              </w:rPr>
              <w:t>@guaranty.com.cn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8" w:leftChars="121" w:hanging="824"/>
              <w:jc w:val="left"/>
              <w:rPr>
                <w:rFonts w:ascii="楷体" w:hAnsi="楷体" w:eastAsia="楷体"/>
                <w:sz w:val="24"/>
                <w:szCs w:val="24"/>
              </w:rPr>
            </w:pPr>
            <w:r>
              <w:rPr>
                <w:rFonts w:hint="eastAsia" w:ascii="楷体" w:hAnsi="楷体" w:eastAsia="楷体"/>
                <w:sz w:val="24"/>
                <w:szCs w:val="24"/>
              </w:rPr>
              <w:t>12.1（3）</w:t>
            </w:r>
          </w:p>
        </w:tc>
        <w:tc>
          <w:tcPr>
            <w:tcW w:w="7796" w:type="dxa"/>
            <w:vAlign w:val="center"/>
          </w:tcPr>
          <w:p>
            <w:pPr>
              <w:spacing w:line="480" w:lineRule="exact"/>
              <w:rPr>
                <w:rFonts w:ascii="楷体" w:hAnsi="楷体" w:eastAsia="楷体"/>
                <w:sz w:val="24"/>
                <w:szCs w:val="24"/>
              </w:rPr>
            </w:pPr>
            <w:r>
              <w:rPr>
                <w:rFonts w:hint="eastAsia" w:ascii="楷体" w:hAnsi="楷体" w:eastAsia="楷体"/>
                <w:sz w:val="24"/>
                <w:szCs w:val="24"/>
              </w:rPr>
              <w:t>采购人认可的情形：</w:t>
            </w:r>
          </w:p>
          <w:p>
            <w:pPr>
              <w:pStyle w:val="18"/>
              <w:tabs>
                <w:tab w:val="left" w:pos="2240"/>
              </w:tabs>
              <w:rPr>
                <w:rFonts w:ascii="楷体" w:hAnsi="楷体" w:eastAsia="楷体" w:cs="Times New Roman"/>
                <w:sz w:val="24"/>
                <w:szCs w:val="24"/>
              </w:rPr>
            </w:pPr>
            <w:r>
              <w:rPr>
                <w:rFonts w:hint="eastAsia" w:ascii="楷体" w:hAnsi="楷体" w:eastAsia="楷体" w:cs="Times New Roman"/>
                <w:sz w:val="24"/>
                <w:szCs w:val="24"/>
              </w:rPr>
              <w:t>（</w:t>
            </w:r>
            <w:r>
              <w:rPr>
                <w:rFonts w:ascii="楷体" w:hAnsi="楷体" w:eastAsia="楷体" w:cs="Times New Roman"/>
                <w:sz w:val="24"/>
                <w:szCs w:val="24"/>
              </w:rPr>
              <w:t>1</w:t>
            </w:r>
            <w:r>
              <w:rPr>
                <w:rFonts w:hint="eastAsia" w:ascii="楷体" w:hAnsi="楷体" w:eastAsia="楷体" w:cs="Times New Roman"/>
                <w:sz w:val="24"/>
                <w:szCs w:val="24"/>
              </w:rPr>
              <w:t>）成交人不按本须知规定与采购人签订合同的；</w:t>
            </w:r>
            <w:r>
              <w:rPr>
                <w:rFonts w:ascii="楷体" w:hAnsi="楷体" w:eastAsia="楷体"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3.1</w:t>
            </w:r>
          </w:p>
        </w:tc>
        <w:tc>
          <w:tcPr>
            <w:tcW w:w="7796" w:type="dxa"/>
            <w:vAlign w:val="center"/>
          </w:tcPr>
          <w:p>
            <w:pPr>
              <w:spacing w:line="480" w:lineRule="exact"/>
              <w:rPr>
                <w:rFonts w:ascii="楷体" w:hAnsi="楷体" w:eastAsia="楷体"/>
                <w:sz w:val="24"/>
                <w:szCs w:val="24"/>
              </w:rPr>
            </w:pPr>
            <w:r>
              <w:rPr>
                <w:rFonts w:ascii="楷体" w:hAnsi="楷体" w:eastAsia="楷体"/>
                <w:sz w:val="24"/>
                <w:szCs w:val="24"/>
              </w:rPr>
              <w:t>认可的情形：</w:t>
            </w:r>
          </w:p>
          <w:p>
            <w:pPr>
              <w:spacing w:line="480" w:lineRule="exact"/>
              <w:rPr>
                <w:rFonts w:ascii="楷体" w:hAnsi="楷体" w:eastAsia="楷体"/>
                <w:sz w:val="24"/>
                <w:szCs w:val="24"/>
              </w:rPr>
            </w:pPr>
            <w:r>
              <w:rPr>
                <w:rFonts w:hint="eastAsia" w:ascii="楷体" w:hAnsi="楷体" w:eastAsia="楷体"/>
                <w:sz w:val="24"/>
                <w:szCs w:val="24"/>
              </w:rPr>
              <w:t>1、供应商递交的首次响应文件未满足资格条件或其它实质性要求的；</w:t>
            </w:r>
          </w:p>
          <w:p>
            <w:pPr>
              <w:spacing w:line="480" w:lineRule="exact"/>
              <w:rPr>
                <w:rFonts w:ascii="楷体" w:hAnsi="楷体" w:eastAsia="楷体"/>
                <w:sz w:val="24"/>
                <w:szCs w:val="24"/>
              </w:rPr>
            </w:pPr>
            <w:r>
              <w:rPr>
                <w:rFonts w:hint="eastAsia" w:ascii="楷体" w:hAnsi="楷体" w:eastAsia="楷体"/>
                <w:sz w:val="24"/>
                <w:szCs w:val="24"/>
              </w:rPr>
              <w:t>2、磋商小组对磋商文件进行修改变动后，供应商不能实质性响应的。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268" w:leftChars="128"/>
              <w:jc w:val="left"/>
              <w:rPr>
                <w:rFonts w:ascii="楷体" w:hAnsi="楷体" w:eastAsia="楷体"/>
                <w:sz w:val="24"/>
                <w:szCs w:val="24"/>
              </w:rPr>
            </w:pPr>
            <w:r>
              <w:rPr>
                <w:rFonts w:hint="eastAsia" w:ascii="楷体" w:hAnsi="楷体" w:eastAsia="楷体"/>
                <w:sz w:val="24"/>
                <w:szCs w:val="24"/>
              </w:rPr>
              <w:t>15.2（2）</w:t>
            </w:r>
          </w:p>
        </w:tc>
        <w:tc>
          <w:tcPr>
            <w:tcW w:w="7796" w:type="dxa"/>
            <w:vAlign w:val="center"/>
          </w:tcPr>
          <w:p>
            <w:pPr>
              <w:spacing w:line="480" w:lineRule="exact"/>
              <w:rPr>
                <w:rFonts w:ascii="楷体" w:hAnsi="楷体" w:eastAsia="楷体"/>
                <w:sz w:val="24"/>
                <w:szCs w:val="24"/>
              </w:rPr>
            </w:pPr>
            <w:r>
              <w:rPr>
                <w:rFonts w:hint="eastAsia" w:ascii="楷体" w:hAnsi="楷体" w:eastAsia="楷体"/>
                <w:sz w:val="24"/>
                <w:szCs w:val="24"/>
              </w:rPr>
              <w:t>磋商文件可以修改变动的内容：</w:t>
            </w:r>
            <w:r>
              <w:rPr>
                <w:rFonts w:hint="eastAsia" w:ascii="楷体" w:hAnsi="楷体" w:eastAsia="楷体"/>
                <w:b/>
                <w:sz w:val="24"/>
                <w:szCs w:val="24"/>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20</w:t>
            </w:r>
            <w:r>
              <w:rPr>
                <w:rFonts w:hint="eastAsia" w:ascii="楷体" w:hAnsi="楷体" w:eastAsia="楷体"/>
                <w:sz w:val="24"/>
                <w:szCs w:val="24"/>
              </w:rPr>
              <w:t>.1</w:t>
            </w:r>
          </w:p>
        </w:tc>
        <w:tc>
          <w:tcPr>
            <w:tcW w:w="7796" w:type="dxa"/>
            <w:vAlign w:val="center"/>
          </w:tcPr>
          <w:p>
            <w:pPr>
              <w:spacing w:line="480" w:lineRule="exact"/>
              <w:rPr>
                <w:rFonts w:ascii="楷体" w:hAnsi="楷体" w:eastAsia="楷体"/>
                <w:sz w:val="24"/>
                <w:szCs w:val="24"/>
              </w:rPr>
            </w:pPr>
            <w:r>
              <w:rPr>
                <w:rFonts w:hint="eastAsia" w:ascii="楷体" w:hAnsi="楷体" w:eastAsia="楷体"/>
                <w:sz w:val="24"/>
                <w:szCs w:val="24"/>
              </w:rPr>
              <w:t>磋商小组推荐成交候选人数量：</w:t>
            </w:r>
            <w:r>
              <w:rPr>
                <w:rFonts w:ascii="楷体" w:hAnsi="楷体" w:eastAsia="楷体"/>
                <w:sz w:val="24"/>
                <w:szCs w:val="24"/>
                <w:u w:val="single"/>
              </w:rPr>
              <w:t xml:space="preserve"> </w:t>
            </w:r>
            <w:r>
              <w:rPr>
                <w:rFonts w:hint="eastAsia" w:ascii="楷体" w:hAnsi="楷体" w:eastAsia="楷体"/>
                <w:sz w:val="24"/>
                <w:szCs w:val="24"/>
                <w:u w:val="single"/>
              </w:rPr>
              <w:t>3</w:t>
            </w:r>
            <w:r>
              <w:rPr>
                <w:rFonts w:ascii="楷体" w:hAnsi="楷体" w:eastAsia="楷体"/>
                <w:sz w:val="24"/>
                <w:szCs w:val="24"/>
                <w:u w:val="single"/>
              </w:rPr>
              <w:t xml:space="preserve"> </w:t>
            </w:r>
            <w:r>
              <w:rPr>
                <w:rFonts w:hint="eastAsia" w:ascii="楷体" w:hAnsi="楷体" w:eastAsia="楷体"/>
                <w:sz w:val="24"/>
                <w:szCs w:val="24"/>
              </w:rPr>
              <w:t>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9" w:leftChars="257" w:hanging="540"/>
              <w:rPr>
                <w:rFonts w:ascii="楷体" w:hAnsi="楷体" w:eastAsia="楷体"/>
                <w:sz w:val="24"/>
                <w:szCs w:val="24"/>
              </w:rPr>
            </w:pPr>
            <w:r>
              <w:rPr>
                <w:rFonts w:hint="eastAsia" w:ascii="楷体" w:hAnsi="楷体" w:eastAsia="楷体"/>
                <w:sz w:val="24"/>
                <w:szCs w:val="24"/>
              </w:rPr>
              <w:t>2</w:t>
            </w:r>
            <w:r>
              <w:rPr>
                <w:rFonts w:ascii="楷体" w:hAnsi="楷体" w:eastAsia="楷体"/>
                <w:sz w:val="24"/>
                <w:szCs w:val="24"/>
              </w:rPr>
              <w:t>1</w:t>
            </w:r>
            <w:r>
              <w:rPr>
                <w:rFonts w:hint="eastAsia" w:ascii="楷体" w:hAnsi="楷体" w:eastAsia="楷体"/>
                <w:sz w:val="24"/>
                <w:szCs w:val="24"/>
              </w:rPr>
              <w:t>.1</w:t>
            </w:r>
          </w:p>
          <w:p>
            <w:pPr>
              <w:spacing w:line="480" w:lineRule="exact"/>
              <w:ind w:left="1079" w:leftChars="257" w:hanging="540"/>
              <w:rPr>
                <w:rFonts w:ascii="楷体" w:hAnsi="楷体" w:eastAsia="楷体"/>
                <w:sz w:val="24"/>
                <w:szCs w:val="24"/>
              </w:rPr>
            </w:pPr>
            <w:r>
              <w:rPr>
                <w:rFonts w:hint="eastAsia" w:ascii="楷体" w:hAnsi="楷体" w:eastAsia="楷体"/>
                <w:sz w:val="24"/>
                <w:szCs w:val="24"/>
              </w:rPr>
              <w:t>2</w:t>
            </w:r>
            <w:r>
              <w:rPr>
                <w:rFonts w:ascii="楷体" w:hAnsi="楷体" w:eastAsia="楷体"/>
                <w:sz w:val="24"/>
                <w:szCs w:val="24"/>
              </w:rPr>
              <w:t>1.2</w:t>
            </w:r>
          </w:p>
        </w:tc>
        <w:tc>
          <w:tcPr>
            <w:tcW w:w="7796" w:type="dxa"/>
            <w:vAlign w:val="center"/>
          </w:tcPr>
          <w:p>
            <w:pPr>
              <w:spacing w:line="480" w:lineRule="exact"/>
              <w:rPr>
                <w:rFonts w:ascii="楷体" w:hAnsi="楷体" w:eastAsia="楷体"/>
                <w:sz w:val="24"/>
                <w:szCs w:val="24"/>
                <w:u w:val="single"/>
              </w:rPr>
            </w:pPr>
            <w:r>
              <w:rPr>
                <w:rFonts w:hint="eastAsia" w:ascii="楷体" w:hAnsi="楷体" w:eastAsia="楷体"/>
                <w:sz w:val="24"/>
                <w:szCs w:val="24"/>
              </w:rPr>
              <w:t>小型、微型或</w:t>
            </w:r>
            <w:r>
              <w:rPr>
                <w:rFonts w:ascii="楷体" w:hAnsi="楷体" w:eastAsia="楷体"/>
                <w:sz w:val="24"/>
                <w:szCs w:val="24"/>
              </w:rPr>
              <w:t>监狱</w:t>
            </w:r>
            <w:r>
              <w:rPr>
                <w:rFonts w:hint="eastAsia" w:ascii="楷体" w:hAnsi="楷体" w:eastAsia="楷体"/>
                <w:sz w:val="24"/>
                <w:szCs w:val="24"/>
              </w:rPr>
              <w:t>企业提供服务价格扣除比例：</w:t>
            </w:r>
            <w:r>
              <w:rPr>
                <w:rFonts w:ascii="楷体" w:hAnsi="楷体" w:eastAsia="楷体"/>
                <w:sz w:val="24"/>
                <w:szCs w:val="24"/>
                <w:u w:val="single"/>
              </w:rPr>
              <w:t xml:space="preserve"> </w:t>
            </w:r>
            <w:r>
              <w:rPr>
                <w:rFonts w:hint="eastAsia" w:ascii="楷体" w:hAnsi="楷体" w:eastAsia="楷体"/>
                <w:sz w:val="24"/>
                <w:szCs w:val="24"/>
                <w:u w:val="single"/>
              </w:rPr>
              <w:t>6</w:t>
            </w:r>
            <w:r>
              <w:rPr>
                <w:rFonts w:ascii="楷体" w:hAnsi="楷体" w:eastAsia="楷体"/>
                <w:sz w:val="24"/>
                <w:szCs w:val="24"/>
                <w:u w:val="single"/>
              </w:rPr>
              <w:t xml:space="preserve"> </w:t>
            </w:r>
            <w:r>
              <w:rPr>
                <w:rFonts w:hint="eastAsia" w:ascii="楷体" w:hAnsi="楷体" w:eastAsia="楷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vAlign w:val="center"/>
          </w:tcPr>
          <w:p>
            <w:pPr>
              <w:spacing w:line="480" w:lineRule="exact"/>
              <w:ind w:left="1079" w:leftChars="257" w:hanging="540"/>
              <w:rPr>
                <w:rFonts w:ascii="楷体" w:hAnsi="楷体" w:eastAsia="楷体"/>
                <w:sz w:val="24"/>
                <w:szCs w:val="24"/>
              </w:rPr>
            </w:pPr>
            <w:r>
              <w:rPr>
                <w:rFonts w:hint="eastAsia" w:ascii="楷体" w:hAnsi="楷体" w:eastAsia="楷体"/>
                <w:sz w:val="24"/>
                <w:szCs w:val="24"/>
              </w:rPr>
              <w:t>2</w:t>
            </w:r>
            <w:r>
              <w:rPr>
                <w:rFonts w:ascii="楷体" w:hAnsi="楷体" w:eastAsia="楷体"/>
                <w:sz w:val="24"/>
                <w:szCs w:val="24"/>
              </w:rPr>
              <w:t>1</w:t>
            </w:r>
            <w:r>
              <w:rPr>
                <w:rFonts w:hint="eastAsia" w:ascii="楷体" w:hAnsi="楷体" w:eastAsia="楷体"/>
                <w:sz w:val="24"/>
                <w:szCs w:val="24"/>
              </w:rPr>
              <w:t>.</w:t>
            </w:r>
            <w:r>
              <w:rPr>
                <w:rFonts w:ascii="楷体" w:hAnsi="楷体" w:eastAsia="楷体"/>
                <w:sz w:val="24"/>
                <w:szCs w:val="24"/>
              </w:rPr>
              <w:t>5</w:t>
            </w:r>
          </w:p>
        </w:tc>
        <w:tc>
          <w:tcPr>
            <w:tcW w:w="7796" w:type="dxa"/>
            <w:vAlign w:val="center"/>
          </w:tcPr>
          <w:p>
            <w:pPr>
              <w:spacing w:line="480" w:lineRule="exact"/>
              <w:rPr>
                <w:rFonts w:ascii="楷体" w:hAnsi="楷体" w:eastAsia="楷体"/>
                <w:sz w:val="24"/>
                <w:szCs w:val="24"/>
              </w:rPr>
            </w:pPr>
            <w:r>
              <w:rPr>
                <w:rFonts w:hint="eastAsia" w:ascii="楷体" w:hAnsi="楷体" w:eastAsia="楷体"/>
                <w:sz w:val="24"/>
              </w:rPr>
              <w:t>联合体或者大中型企业的报价扣除比例</w:t>
            </w:r>
            <w:r>
              <w:rPr>
                <w:rFonts w:hint="eastAsia" w:ascii="楷体" w:hAnsi="楷体" w:eastAsia="楷体"/>
                <w:sz w:val="24"/>
                <w:u w:val="single"/>
              </w:rPr>
              <w:t xml:space="preserve">  / </w:t>
            </w:r>
            <w:r>
              <w:rPr>
                <w:rFonts w:hint="eastAsia" w:ascii="楷体" w:hAnsi="楷体" w:eastAsia="楷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8" w:hRule="atLeast"/>
        </w:trPr>
        <w:tc>
          <w:tcPr>
            <w:tcW w:w="1418" w:type="dxa"/>
            <w:vAlign w:val="center"/>
          </w:tcPr>
          <w:p>
            <w:pPr>
              <w:spacing w:line="480" w:lineRule="exact"/>
              <w:ind w:left="1079" w:leftChars="257" w:hanging="540"/>
              <w:rPr>
                <w:rFonts w:ascii="楷体" w:hAnsi="楷体" w:eastAsia="楷体"/>
                <w:sz w:val="24"/>
                <w:szCs w:val="24"/>
              </w:rPr>
            </w:pPr>
            <w:r>
              <w:rPr>
                <w:rFonts w:ascii="楷体" w:hAnsi="楷体" w:eastAsia="楷体"/>
                <w:sz w:val="24"/>
                <w:szCs w:val="24"/>
              </w:rPr>
              <w:t>25</w:t>
            </w:r>
            <w:r>
              <w:rPr>
                <w:rFonts w:hint="eastAsia" w:ascii="楷体" w:hAnsi="楷体" w:eastAsia="楷体"/>
                <w:sz w:val="24"/>
                <w:szCs w:val="24"/>
              </w:rPr>
              <w:t>.1</w:t>
            </w:r>
          </w:p>
        </w:tc>
        <w:tc>
          <w:tcPr>
            <w:tcW w:w="7796" w:type="dxa"/>
            <w:vAlign w:val="center"/>
          </w:tcPr>
          <w:p>
            <w:pPr>
              <w:spacing w:line="360" w:lineRule="auto"/>
              <w:ind w:left="900" w:hanging="900" w:hangingChars="375"/>
              <w:rPr>
                <w:rFonts w:ascii="楷体" w:hAnsi="楷体" w:eastAsia="楷体"/>
                <w:sz w:val="24"/>
              </w:rPr>
            </w:pPr>
            <w:r>
              <w:rPr>
                <w:rFonts w:hint="eastAsia" w:ascii="楷体" w:hAnsi="楷体" w:eastAsia="楷体"/>
                <w:sz w:val="24"/>
              </w:rPr>
              <w:t>是否</w:t>
            </w:r>
            <w:r>
              <w:rPr>
                <w:rFonts w:ascii="楷体" w:hAnsi="楷体" w:eastAsia="楷体"/>
                <w:sz w:val="24"/>
              </w:rPr>
              <w:t>由中标人缴纳</w:t>
            </w:r>
            <w:r>
              <w:rPr>
                <w:rFonts w:hint="eastAsia" w:ascii="楷体" w:hAnsi="楷体" w:eastAsia="楷体"/>
                <w:sz w:val="24"/>
              </w:rPr>
              <w:t>中介代理</w:t>
            </w:r>
            <w:r>
              <w:rPr>
                <w:rFonts w:ascii="楷体" w:hAnsi="楷体" w:eastAsia="楷体"/>
                <w:sz w:val="24"/>
              </w:rPr>
              <w:t>费：</w:t>
            </w:r>
            <w:r>
              <w:rPr>
                <w:rFonts w:hint="eastAsia" w:ascii="楷体" w:hAnsi="楷体" w:eastAsia="楷体"/>
                <w:sz w:val="24"/>
                <w:u w:val="single"/>
              </w:rPr>
              <w:t xml:space="preserve"> 是 </w:t>
            </w:r>
            <w:r>
              <w:rPr>
                <w:rFonts w:hint="eastAsia" w:ascii="楷体" w:hAnsi="楷体" w:eastAsia="楷体"/>
                <w:sz w:val="24"/>
              </w:rPr>
              <w:t xml:space="preserve"> </w:t>
            </w:r>
          </w:p>
          <w:p>
            <w:pPr>
              <w:spacing w:line="360" w:lineRule="auto"/>
              <w:ind w:left="89" w:hanging="88" w:hangingChars="37"/>
              <w:rPr>
                <w:rFonts w:hint="eastAsia" w:ascii="楷体" w:hAnsi="楷体" w:eastAsia="楷体"/>
                <w:sz w:val="24"/>
                <w:szCs w:val="22"/>
              </w:rPr>
            </w:pPr>
            <w:r>
              <w:rPr>
                <w:rFonts w:hint="eastAsia" w:ascii="楷体" w:hAnsi="楷体" w:eastAsia="楷体"/>
                <w:sz w:val="24"/>
              </w:rPr>
              <w:t>中介代理</w:t>
            </w:r>
            <w:r>
              <w:rPr>
                <w:rFonts w:ascii="楷体" w:hAnsi="楷体" w:eastAsia="楷体"/>
                <w:sz w:val="24"/>
              </w:rPr>
              <w:t>费</w:t>
            </w:r>
            <w:r>
              <w:rPr>
                <w:rFonts w:hint="eastAsia" w:ascii="楷体" w:hAnsi="楷体" w:eastAsia="楷体"/>
                <w:sz w:val="24"/>
              </w:rPr>
              <w:t>：参照原国家计委计价格【2002】1980号文和国家发改委发改办价格【2003】857号文的计算方法收取。</w:t>
            </w:r>
            <w:r>
              <w:rPr>
                <w:rFonts w:hint="eastAsia" w:ascii="楷体" w:hAnsi="楷体" w:eastAsia="楷体"/>
                <w:sz w:val="24"/>
                <w:szCs w:val="22"/>
              </w:rPr>
              <w:t>不足4000元按4000元收取。</w:t>
            </w:r>
          </w:p>
          <w:p>
            <w:pPr>
              <w:spacing w:line="360" w:lineRule="auto"/>
              <w:ind w:left="900" w:hanging="900" w:hangingChars="375"/>
              <w:rPr>
                <w:rFonts w:hint="eastAsia" w:ascii="楷体" w:hAnsi="楷体" w:eastAsia="楷体"/>
                <w:sz w:val="24"/>
                <w:u w:val="single"/>
              </w:rPr>
            </w:pPr>
            <w:r>
              <w:rPr>
                <w:rFonts w:hint="eastAsia" w:ascii="楷体" w:hAnsi="楷体" w:eastAsia="楷体"/>
                <w:sz w:val="24"/>
              </w:rPr>
              <w:t>支付形式：</w:t>
            </w:r>
            <w:r>
              <w:rPr>
                <w:rFonts w:hint="eastAsia" w:ascii="楷体" w:hAnsi="楷体" w:eastAsia="楷体"/>
                <w:sz w:val="24"/>
                <w:u w:val="single"/>
              </w:rPr>
              <w:t>电汇</w:t>
            </w:r>
          </w:p>
          <w:p>
            <w:pPr>
              <w:spacing w:line="480" w:lineRule="exact"/>
              <w:rPr>
                <w:rFonts w:ascii="楷体" w:hAnsi="楷体" w:eastAsia="楷体"/>
                <w:sz w:val="24"/>
                <w:szCs w:val="24"/>
              </w:rPr>
            </w:pPr>
            <w:r>
              <w:rPr>
                <w:rFonts w:hint="eastAsia" w:ascii="楷体" w:hAnsi="楷体" w:eastAsia="楷体"/>
                <w:sz w:val="24"/>
              </w:rPr>
              <w:t>支付时间：</w:t>
            </w:r>
            <w:r>
              <w:rPr>
                <w:rFonts w:hint="eastAsia" w:ascii="楷体" w:hAnsi="楷体" w:eastAsia="楷体"/>
                <w:sz w:val="24"/>
                <w:u w:val="single"/>
              </w:rPr>
              <w:t>2021年</w:t>
            </w:r>
            <w:r>
              <w:rPr>
                <w:rFonts w:hint="eastAsia" w:ascii="楷体" w:hAnsi="楷体" w:eastAsia="楷体"/>
                <w:sz w:val="24"/>
                <w:u w:val="single"/>
                <w:lang w:val="en-US" w:eastAsia="zh-CN"/>
              </w:rPr>
              <w:t>11</w:t>
            </w:r>
            <w:r>
              <w:rPr>
                <w:rFonts w:hint="eastAsia" w:ascii="楷体" w:hAnsi="楷体" w:eastAsia="楷体"/>
                <w:sz w:val="24"/>
                <w:u w:val="single"/>
              </w:rPr>
              <w:t>月</w:t>
            </w:r>
            <w:r>
              <w:rPr>
                <w:rFonts w:hint="eastAsia" w:ascii="楷体" w:hAnsi="楷体" w:eastAsia="楷体"/>
                <w:sz w:val="24"/>
                <w:u w:val="single"/>
                <w:lang w:val="en-US" w:eastAsia="zh-CN"/>
              </w:rPr>
              <w:t>30</w:t>
            </w:r>
            <w:r>
              <w:rPr>
                <w:rFonts w:hint="eastAsia" w:ascii="楷体" w:hAnsi="楷体" w:eastAsia="楷体"/>
                <w:sz w:val="24"/>
                <w:u w:val="single"/>
              </w:rPr>
              <w:t>日11:00前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214"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适用于磋商供应商须知的额外增加的变动：</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1、本项目可能涉及到的评审费、场地费（如发生）由中标人支付。</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2、中标单位在实施过程中，未经采购人同意，不得分包、转包。</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3、本项目将从新疆政府采购网专家库中随机抽取</w:t>
            </w:r>
            <w:r>
              <w:rPr>
                <w:rFonts w:hint="eastAsia" w:ascii="楷体" w:hAnsi="楷体" w:eastAsia="楷体"/>
                <w:sz w:val="24"/>
                <w:szCs w:val="22"/>
                <w:lang w:val="en-US" w:eastAsia="zh-CN"/>
              </w:rPr>
              <w:t>1</w:t>
            </w:r>
            <w:r>
              <w:rPr>
                <w:rFonts w:hint="eastAsia" w:ascii="楷体" w:hAnsi="楷体" w:eastAsia="楷体"/>
                <w:sz w:val="24"/>
                <w:szCs w:val="22"/>
              </w:rPr>
              <w:t>位经济专家、</w:t>
            </w:r>
            <w:r>
              <w:rPr>
                <w:rFonts w:hint="eastAsia" w:ascii="楷体" w:hAnsi="楷体" w:eastAsia="楷体"/>
                <w:sz w:val="24"/>
                <w:szCs w:val="22"/>
                <w:lang w:val="en-US" w:eastAsia="zh-CN"/>
              </w:rPr>
              <w:t>1</w:t>
            </w:r>
            <w:r>
              <w:rPr>
                <w:rFonts w:hint="eastAsia" w:ascii="楷体" w:hAnsi="楷体" w:eastAsia="楷体"/>
                <w:sz w:val="24"/>
                <w:szCs w:val="22"/>
              </w:rPr>
              <w:t>位技术专家</w:t>
            </w:r>
            <w:r>
              <w:rPr>
                <w:rFonts w:hint="eastAsia" w:ascii="楷体" w:hAnsi="楷体" w:eastAsia="楷体"/>
                <w:sz w:val="24"/>
                <w:szCs w:val="22"/>
                <w:lang w:eastAsia="zh-CN"/>
              </w:rPr>
              <w:t>、</w:t>
            </w:r>
            <w:r>
              <w:rPr>
                <w:rFonts w:hint="eastAsia" w:ascii="楷体" w:hAnsi="楷体" w:eastAsia="楷体"/>
                <w:sz w:val="24"/>
                <w:szCs w:val="22"/>
              </w:rPr>
              <w:t>业主代表1人组成磋商小组。</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组成磋商小组。</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4、本招标文件中的重大违法记录是指供应商因违法经营受到刑事处罚或者责令停产停业、吊销许可证或者执照、较大数额罚款等行政处罚。</w:t>
            </w:r>
          </w:p>
          <w:p>
            <w:pPr>
              <w:spacing w:line="360" w:lineRule="auto"/>
              <w:ind w:left="89" w:hanging="88" w:hangingChars="37"/>
              <w:rPr>
                <w:rFonts w:hint="eastAsia" w:ascii="楷体" w:hAnsi="楷体" w:eastAsia="楷体"/>
                <w:sz w:val="24"/>
                <w:szCs w:val="22"/>
              </w:rPr>
            </w:pPr>
            <w:r>
              <w:rPr>
                <w:rFonts w:hint="eastAsia" w:ascii="楷体" w:hAnsi="楷体" w:eastAsia="楷体"/>
                <w:sz w:val="24"/>
                <w:szCs w:val="22"/>
              </w:rPr>
              <w:t>5、前附表是采购文件概况，前后不一致，以前附表为准。</w:t>
            </w:r>
          </w:p>
        </w:tc>
      </w:tr>
    </w:tbl>
    <w:p>
      <w:pPr>
        <w:pStyle w:val="3"/>
        <w:numPr>
          <w:ilvl w:val="0"/>
          <w:numId w:val="0"/>
        </w:numPr>
        <w:spacing w:before="0" w:after="0" w:line="480" w:lineRule="exact"/>
        <w:ind w:left="432" w:hanging="432"/>
        <w:rPr>
          <w:rFonts w:ascii="楷体" w:hAnsi="楷体" w:eastAsia="楷体"/>
          <w:sz w:val="28"/>
          <w:szCs w:val="28"/>
        </w:rPr>
      </w:pPr>
      <w:r>
        <w:rPr>
          <w:rFonts w:ascii="楷体" w:hAnsi="楷体" w:eastAsia="楷体"/>
          <w:sz w:val="24"/>
          <w:szCs w:val="24"/>
        </w:rPr>
        <w:br w:type="page"/>
      </w:r>
      <w:bookmarkStart w:id="10" w:name="_Toc380479087"/>
      <w:r>
        <w:rPr>
          <w:rFonts w:ascii="楷体" w:hAnsi="楷体" w:eastAsia="楷体"/>
          <w:sz w:val="28"/>
          <w:szCs w:val="28"/>
        </w:rPr>
        <w:t>一  总 则</w:t>
      </w:r>
      <w:bookmarkEnd w:id="10"/>
    </w:p>
    <w:p>
      <w:pPr>
        <w:pStyle w:val="3"/>
        <w:numPr>
          <w:ilvl w:val="0"/>
          <w:numId w:val="0"/>
        </w:numPr>
        <w:snapToGrid w:val="0"/>
        <w:spacing w:before="0" w:after="0" w:line="360" w:lineRule="auto"/>
        <w:jc w:val="left"/>
        <w:rPr>
          <w:rFonts w:ascii="楷体" w:hAnsi="楷体" w:eastAsia="楷体"/>
          <w:sz w:val="24"/>
          <w:szCs w:val="24"/>
        </w:rPr>
      </w:pPr>
      <w:bookmarkStart w:id="11" w:name="_Toc380479088"/>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1．项目简介</w:t>
      </w:r>
      <w:bookmarkEnd w:id="11"/>
    </w:p>
    <w:p>
      <w:pPr>
        <w:pStyle w:val="16"/>
        <w:snapToGrid w:val="0"/>
        <w:spacing w:line="360" w:lineRule="auto"/>
        <w:ind w:firstLine="0"/>
        <w:rPr>
          <w:rFonts w:ascii="楷体" w:hAnsi="楷体" w:eastAsia="楷体"/>
          <w:sz w:val="24"/>
          <w:szCs w:val="24"/>
        </w:rPr>
      </w:pPr>
      <w:r>
        <w:rPr>
          <w:rFonts w:ascii="楷体" w:hAnsi="楷体" w:eastAsia="楷体"/>
          <w:sz w:val="24"/>
          <w:szCs w:val="24"/>
        </w:rPr>
        <w:t>1.1 采购人名称、地址及联系方式：见</w:t>
      </w:r>
      <w:r>
        <w:rPr>
          <w:rFonts w:ascii="楷体" w:hAnsi="楷体" w:eastAsia="楷体"/>
          <w:sz w:val="24"/>
          <w:szCs w:val="24"/>
          <w:u w:val="single"/>
        </w:rPr>
        <w:t>前附表</w:t>
      </w:r>
      <w:r>
        <w:rPr>
          <w:rFonts w:ascii="楷体" w:hAnsi="楷体" w:eastAsia="楷体"/>
          <w:sz w:val="24"/>
          <w:szCs w:val="24"/>
        </w:rPr>
        <w:t>。</w:t>
      </w:r>
    </w:p>
    <w:p>
      <w:pPr>
        <w:pStyle w:val="16"/>
        <w:snapToGrid w:val="0"/>
        <w:spacing w:line="360" w:lineRule="auto"/>
        <w:ind w:firstLine="0"/>
        <w:rPr>
          <w:rFonts w:ascii="楷体" w:hAnsi="楷体" w:eastAsia="楷体"/>
          <w:sz w:val="24"/>
          <w:szCs w:val="24"/>
        </w:rPr>
      </w:pPr>
      <w:r>
        <w:rPr>
          <w:rFonts w:ascii="楷体" w:hAnsi="楷体" w:eastAsia="楷体"/>
          <w:sz w:val="24"/>
          <w:szCs w:val="24"/>
        </w:rPr>
        <w:t>1.2 项目名称</w:t>
      </w:r>
      <w:r>
        <w:rPr>
          <w:rFonts w:hint="eastAsia" w:ascii="楷体" w:hAnsi="楷体" w:eastAsia="楷体"/>
          <w:sz w:val="24"/>
          <w:szCs w:val="24"/>
        </w:rPr>
        <w:t>、项目编号、包号及包名称</w:t>
      </w:r>
      <w:r>
        <w:rPr>
          <w:rFonts w:ascii="楷体" w:hAnsi="楷体" w:eastAsia="楷体"/>
          <w:sz w:val="24"/>
          <w:szCs w:val="24"/>
        </w:rPr>
        <w:t>：见</w:t>
      </w:r>
      <w:r>
        <w:rPr>
          <w:rFonts w:hint="eastAsia" w:ascii="楷体" w:hAnsi="楷体" w:eastAsia="楷体"/>
          <w:sz w:val="24"/>
          <w:szCs w:val="24"/>
        </w:rPr>
        <w:t>第一章</w:t>
      </w:r>
      <w:r>
        <w:rPr>
          <w:rFonts w:ascii="楷体" w:hAnsi="楷体" w:eastAsia="楷体"/>
          <w:sz w:val="24"/>
          <w:szCs w:val="24"/>
        </w:rPr>
        <w:t>。</w:t>
      </w:r>
    </w:p>
    <w:p>
      <w:pPr>
        <w:pStyle w:val="16"/>
        <w:snapToGrid w:val="0"/>
        <w:spacing w:line="360" w:lineRule="auto"/>
        <w:ind w:firstLine="0"/>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3</w:t>
      </w:r>
      <w:r>
        <w:rPr>
          <w:rFonts w:ascii="楷体" w:hAnsi="楷体" w:eastAsia="楷体"/>
          <w:sz w:val="24"/>
          <w:szCs w:val="24"/>
        </w:rPr>
        <w:t xml:space="preserve"> 采购方式：竞争性磋商。</w:t>
      </w:r>
    </w:p>
    <w:p>
      <w:pPr>
        <w:pStyle w:val="16"/>
        <w:snapToGrid w:val="0"/>
        <w:spacing w:line="360" w:lineRule="auto"/>
        <w:ind w:firstLine="0"/>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4</w:t>
      </w:r>
      <w:r>
        <w:rPr>
          <w:rFonts w:ascii="楷体" w:hAnsi="楷体" w:eastAsia="楷体"/>
          <w:sz w:val="24"/>
          <w:szCs w:val="24"/>
        </w:rPr>
        <w:t xml:space="preserve"> </w:t>
      </w:r>
      <w:r>
        <w:rPr>
          <w:rFonts w:hint="eastAsia" w:ascii="楷体" w:hAnsi="楷体" w:eastAsia="楷体"/>
          <w:sz w:val="24"/>
          <w:szCs w:val="24"/>
        </w:rPr>
        <w:t>采购代理机构名称：</w:t>
      </w:r>
      <w:r>
        <w:rPr>
          <w:rFonts w:hint="eastAsia" w:ascii="楷体" w:hAnsi="楷体" w:eastAsia="楷体"/>
          <w:b/>
          <w:sz w:val="24"/>
          <w:szCs w:val="24"/>
        </w:rPr>
        <w:t>中招国际招标有限公司</w:t>
      </w:r>
      <w:r>
        <w:rPr>
          <w:rFonts w:hint="eastAsia" w:ascii="楷体" w:hAnsi="楷体" w:eastAsia="楷体"/>
          <w:sz w:val="24"/>
          <w:szCs w:val="24"/>
        </w:rPr>
        <w:t>（以下简称“中招公司”）。</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1.5 采购代理机构</w:t>
      </w:r>
      <w:r>
        <w:rPr>
          <w:rFonts w:ascii="楷体" w:hAnsi="楷体" w:eastAsia="楷体"/>
          <w:sz w:val="24"/>
          <w:szCs w:val="24"/>
        </w:rPr>
        <w:t>地址及联系方式：</w:t>
      </w:r>
      <w:r>
        <w:rPr>
          <w:rFonts w:hint="eastAsia" w:ascii="楷体" w:hAnsi="楷体" w:eastAsia="楷体"/>
          <w:sz w:val="24"/>
          <w:szCs w:val="24"/>
        </w:rPr>
        <w:t>见第一章</w:t>
      </w:r>
      <w:r>
        <w:rPr>
          <w:rFonts w:ascii="楷体" w:hAnsi="楷体" w:eastAsia="楷体"/>
          <w:sz w:val="24"/>
          <w:szCs w:val="24"/>
        </w:rPr>
        <w:t>。</w:t>
      </w:r>
    </w:p>
    <w:p>
      <w:pPr>
        <w:pStyle w:val="16"/>
        <w:snapToGrid w:val="0"/>
        <w:spacing w:line="360" w:lineRule="auto"/>
        <w:ind w:firstLine="0"/>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6</w:t>
      </w:r>
      <w:r>
        <w:rPr>
          <w:rFonts w:ascii="楷体" w:hAnsi="楷体" w:eastAsia="楷体"/>
          <w:sz w:val="24"/>
          <w:szCs w:val="24"/>
        </w:rPr>
        <w:t xml:space="preserve"> 采购预算及分包控制金额：见</w:t>
      </w:r>
      <w:r>
        <w:rPr>
          <w:rFonts w:hint="eastAsia" w:ascii="楷体" w:hAnsi="楷体" w:eastAsia="楷体"/>
          <w:sz w:val="24"/>
          <w:szCs w:val="24"/>
        </w:rPr>
        <w:t>第一章</w:t>
      </w:r>
      <w:r>
        <w:rPr>
          <w:rFonts w:ascii="楷体" w:hAnsi="楷体" w:eastAsia="楷体"/>
          <w:sz w:val="24"/>
          <w:szCs w:val="24"/>
        </w:rPr>
        <w:t>。</w:t>
      </w:r>
    </w:p>
    <w:p>
      <w:pPr>
        <w:pStyle w:val="3"/>
        <w:numPr>
          <w:ilvl w:val="0"/>
          <w:numId w:val="0"/>
        </w:numPr>
        <w:snapToGrid w:val="0"/>
        <w:spacing w:before="0" w:after="0" w:line="360" w:lineRule="auto"/>
        <w:jc w:val="left"/>
        <w:rPr>
          <w:rFonts w:ascii="楷体" w:hAnsi="楷体" w:eastAsia="楷体"/>
          <w:sz w:val="24"/>
          <w:szCs w:val="24"/>
        </w:rPr>
      </w:pPr>
      <w:bookmarkStart w:id="12" w:name="_Toc380479089"/>
      <w:r>
        <w:rPr>
          <w:rFonts w:ascii="楷体" w:hAnsi="楷体" w:eastAsia="楷体"/>
          <w:sz w:val="24"/>
          <w:szCs w:val="24"/>
        </w:rPr>
        <w:t>2．合格供应商资格条件</w:t>
      </w:r>
      <w:bookmarkEnd w:id="12"/>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 xml:space="preserve">2.1 </w:t>
      </w:r>
      <w:r>
        <w:rPr>
          <w:rFonts w:ascii="楷体" w:hAnsi="楷体" w:eastAsia="楷体"/>
          <w:sz w:val="24"/>
          <w:szCs w:val="24"/>
        </w:rPr>
        <w:t xml:space="preserve">满足以下条件的供应商是合格的磋商供应商，可以参加本次竞争性磋商： </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（1）在中华人民共和国境内注册，能够独立承担民事责任，有生产或供应能力的本国供应商，包括法人、非法人组织或者自然人。</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（2）具备《中华人民共和国政府采购法》第二十二条关于供应商条件的规定，遵守国家、本项目采购人本级</w:t>
      </w:r>
      <w:r>
        <w:rPr>
          <w:rFonts w:ascii="楷体" w:hAnsi="楷体" w:eastAsia="楷体"/>
          <w:sz w:val="24"/>
          <w:szCs w:val="24"/>
        </w:rPr>
        <w:t>和上级财政部门</w:t>
      </w:r>
      <w:r>
        <w:rPr>
          <w:rFonts w:hint="eastAsia" w:ascii="楷体" w:hAnsi="楷体" w:eastAsia="楷体"/>
          <w:sz w:val="24"/>
          <w:szCs w:val="24"/>
        </w:rPr>
        <w:t>政府采购的有关规定。</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从中招公司正式获得了本项目的竞争性磋商文件。</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符合</w:t>
      </w:r>
      <w:r>
        <w:rPr>
          <w:rFonts w:ascii="楷体" w:hAnsi="楷体" w:eastAsia="楷体"/>
          <w:sz w:val="24"/>
          <w:szCs w:val="24"/>
          <w:u w:val="single"/>
        </w:rPr>
        <w:t>前附表</w:t>
      </w:r>
      <w:r>
        <w:rPr>
          <w:rFonts w:ascii="楷体" w:hAnsi="楷体" w:eastAsia="楷体"/>
          <w:sz w:val="24"/>
          <w:szCs w:val="24"/>
        </w:rPr>
        <w:t>中规定的其他要求。</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（5）如经财政主管部门批准可以采购进口产品，将在</w:t>
      </w:r>
      <w:r>
        <w:rPr>
          <w:rFonts w:hint="eastAsia" w:ascii="楷体" w:hAnsi="楷体" w:eastAsia="楷体"/>
          <w:sz w:val="24"/>
          <w:szCs w:val="24"/>
          <w:u w:val="single"/>
        </w:rPr>
        <w:t>前附表</w:t>
      </w:r>
      <w:r>
        <w:rPr>
          <w:rFonts w:hint="eastAsia" w:ascii="楷体" w:hAnsi="楷体" w:eastAsia="楷体"/>
          <w:sz w:val="24"/>
          <w:szCs w:val="24"/>
        </w:rPr>
        <w:t>中写明。但供应商应保证所投产品可履行合法报通关手续进入中国关境内。若</w:t>
      </w:r>
      <w:r>
        <w:rPr>
          <w:rFonts w:hint="eastAsia" w:ascii="楷体" w:hAnsi="楷体" w:eastAsia="楷体"/>
          <w:sz w:val="24"/>
          <w:szCs w:val="24"/>
          <w:u w:val="single"/>
        </w:rPr>
        <w:t>前附表</w:t>
      </w:r>
      <w:r>
        <w:rPr>
          <w:rFonts w:hint="eastAsia" w:ascii="楷体" w:hAnsi="楷体" w:eastAsia="楷体"/>
          <w:sz w:val="24"/>
          <w:szCs w:val="24"/>
        </w:rPr>
        <w:t>中未写明允许采购进口产品，如供应商所投产品为进口产品，</w:t>
      </w:r>
      <w:r>
        <w:rPr>
          <w:rFonts w:ascii="楷体" w:hAnsi="楷体" w:eastAsia="楷体"/>
          <w:sz w:val="24"/>
          <w:szCs w:val="24"/>
        </w:rPr>
        <w:t>其响应文件将作为无效文件被拒绝。</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6</w:t>
      </w:r>
      <w:r>
        <w:rPr>
          <w:rFonts w:hint="eastAsia" w:ascii="楷体" w:hAnsi="楷体" w:eastAsia="楷体"/>
          <w:sz w:val="24"/>
          <w:szCs w:val="24"/>
        </w:rPr>
        <w:t>）</w:t>
      </w:r>
      <w:r>
        <w:rPr>
          <w:rFonts w:ascii="楷体" w:hAnsi="楷体" w:eastAsia="楷体"/>
          <w:sz w:val="24"/>
          <w:szCs w:val="24"/>
        </w:rPr>
        <w:t>若</w:t>
      </w:r>
      <w:r>
        <w:rPr>
          <w:rFonts w:ascii="楷体" w:hAnsi="楷体" w:eastAsia="楷体"/>
          <w:sz w:val="24"/>
          <w:szCs w:val="24"/>
          <w:u w:val="single"/>
        </w:rPr>
        <w:t>前附表</w:t>
      </w:r>
      <w:r>
        <w:rPr>
          <w:rFonts w:ascii="楷体" w:hAnsi="楷体" w:eastAsia="楷体"/>
          <w:sz w:val="24"/>
          <w:szCs w:val="24"/>
        </w:rPr>
        <w:t>中写明专门面向中小企业采购的，如供应商所报产品为非中小企业产品</w:t>
      </w:r>
      <w:r>
        <w:rPr>
          <w:rFonts w:hint="eastAsia" w:ascii="楷体" w:hAnsi="楷体" w:eastAsia="楷体"/>
          <w:sz w:val="24"/>
          <w:szCs w:val="24"/>
        </w:rPr>
        <w:t>或非中小企业承接</w:t>
      </w:r>
      <w:r>
        <w:rPr>
          <w:rFonts w:ascii="楷体" w:hAnsi="楷体" w:eastAsia="楷体"/>
          <w:sz w:val="24"/>
          <w:szCs w:val="24"/>
        </w:rPr>
        <w:t>，其响应文件将作为无效文件被拒绝。</w:t>
      </w:r>
      <w:r>
        <w:rPr>
          <w:rFonts w:hint="eastAsia" w:ascii="楷体" w:hAnsi="楷体" w:eastAsia="楷体"/>
          <w:sz w:val="24"/>
          <w:szCs w:val="24"/>
        </w:rPr>
        <w:t>承接企业</w:t>
      </w:r>
      <w:r>
        <w:rPr>
          <w:rFonts w:ascii="楷体" w:hAnsi="楷体" w:eastAsia="楷体"/>
          <w:sz w:val="24"/>
          <w:szCs w:val="24"/>
        </w:rPr>
        <w:t>如为监狱企业或残疾人福利性单位的，视同为</w:t>
      </w:r>
      <w:r>
        <w:rPr>
          <w:rFonts w:hint="eastAsia" w:ascii="楷体" w:hAnsi="楷体" w:eastAsia="楷体"/>
          <w:sz w:val="24"/>
          <w:szCs w:val="24"/>
        </w:rPr>
        <w:t>小型</w:t>
      </w:r>
      <w:r>
        <w:rPr>
          <w:rFonts w:ascii="楷体" w:hAnsi="楷体" w:eastAsia="楷体"/>
          <w:sz w:val="24"/>
          <w:szCs w:val="24"/>
        </w:rPr>
        <w:t>、</w:t>
      </w:r>
      <w:r>
        <w:rPr>
          <w:rFonts w:hint="eastAsia" w:ascii="楷体" w:hAnsi="楷体" w:eastAsia="楷体"/>
          <w:sz w:val="24"/>
          <w:szCs w:val="24"/>
        </w:rPr>
        <w:t>微型</w:t>
      </w:r>
      <w:r>
        <w:rPr>
          <w:rFonts w:ascii="楷体" w:hAnsi="楷体" w:eastAsia="楷体"/>
          <w:sz w:val="24"/>
          <w:szCs w:val="24"/>
        </w:rPr>
        <w:t>企业</w:t>
      </w:r>
      <w:r>
        <w:rPr>
          <w:rFonts w:hint="eastAsia" w:ascii="楷体" w:hAnsi="楷体" w:eastAsia="楷体"/>
          <w:sz w:val="24"/>
          <w:szCs w:val="24"/>
        </w:rPr>
        <w:t>。供应商</w:t>
      </w:r>
      <w:r>
        <w:rPr>
          <w:rFonts w:ascii="楷体" w:hAnsi="楷体" w:eastAsia="楷体"/>
          <w:sz w:val="24"/>
          <w:szCs w:val="24"/>
        </w:rPr>
        <w:t>根据《工业和信息化部、国家统计局、国家发展和改革委员会、财政部关于印发中小企业划型标准规定的通知》（工信部联企业[2011]300号）</w:t>
      </w:r>
      <w:r>
        <w:rPr>
          <w:rFonts w:hint="eastAsia" w:ascii="楷体" w:hAnsi="楷体" w:eastAsia="楷体"/>
          <w:sz w:val="24"/>
          <w:szCs w:val="24"/>
        </w:rPr>
        <w:t>确定企业类型；也可在工业和信息化部网站（</w:t>
      </w:r>
      <w:r>
        <w:rPr>
          <w:rFonts w:ascii="楷体" w:hAnsi="楷体" w:eastAsia="楷体"/>
          <w:sz w:val="24"/>
          <w:szCs w:val="24"/>
        </w:rPr>
        <w:t>https://www.miit.gov.cn/</w:t>
      </w:r>
      <w:r>
        <w:rPr>
          <w:rFonts w:hint="eastAsia" w:ascii="楷体" w:hAnsi="楷体" w:eastAsia="楷体"/>
          <w:sz w:val="24"/>
          <w:szCs w:val="24"/>
        </w:rPr>
        <w:t>）的“中小企业规模类型自测小程序”自助查询到企业类型。</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7</w:t>
      </w:r>
      <w:r>
        <w:rPr>
          <w:rFonts w:hint="eastAsia" w:ascii="楷体" w:hAnsi="楷体" w:eastAsia="楷体"/>
          <w:sz w:val="24"/>
          <w:szCs w:val="24"/>
        </w:rPr>
        <w:t>）标的所属行业见</w:t>
      </w:r>
      <w:r>
        <w:rPr>
          <w:rFonts w:hint="eastAsia" w:ascii="楷体" w:hAnsi="楷体" w:eastAsia="楷体"/>
          <w:sz w:val="24"/>
          <w:szCs w:val="24"/>
          <w:u w:val="single"/>
        </w:rPr>
        <w:t>前附表</w:t>
      </w:r>
      <w:r>
        <w:rPr>
          <w:rFonts w:hint="eastAsia" w:ascii="楷体" w:hAnsi="楷体" w:eastAsia="楷体"/>
          <w:sz w:val="24"/>
          <w:szCs w:val="24"/>
        </w:rPr>
        <w:t>。</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8</w:t>
      </w:r>
      <w:r>
        <w:rPr>
          <w:rFonts w:hint="eastAsia" w:ascii="楷体" w:hAnsi="楷体" w:eastAsia="楷体"/>
          <w:sz w:val="24"/>
          <w:szCs w:val="24"/>
        </w:rPr>
        <w:t>）本项目是否面向中小企业采购预留份额、措施及比例见</w:t>
      </w:r>
      <w:r>
        <w:rPr>
          <w:rFonts w:hint="eastAsia" w:ascii="楷体" w:hAnsi="楷体" w:eastAsia="楷体"/>
          <w:sz w:val="24"/>
          <w:szCs w:val="24"/>
          <w:u w:val="single"/>
        </w:rPr>
        <w:t>前附表</w:t>
      </w:r>
      <w:r>
        <w:rPr>
          <w:rFonts w:hint="eastAsia" w:ascii="楷体" w:hAnsi="楷体" w:eastAsia="楷体"/>
          <w:sz w:val="24"/>
          <w:szCs w:val="24"/>
        </w:rPr>
        <w:t>，</w:t>
      </w:r>
      <w:r>
        <w:rPr>
          <w:rFonts w:ascii="楷体" w:hAnsi="楷体" w:eastAsia="楷体"/>
          <w:sz w:val="24"/>
          <w:szCs w:val="24"/>
        </w:rPr>
        <w:t>若</w:t>
      </w:r>
      <w:r>
        <w:rPr>
          <w:rFonts w:ascii="楷体" w:hAnsi="楷体" w:eastAsia="楷体"/>
          <w:sz w:val="24"/>
          <w:szCs w:val="24"/>
          <w:u w:val="single"/>
        </w:rPr>
        <w:t>前附表</w:t>
      </w:r>
      <w:r>
        <w:rPr>
          <w:rFonts w:ascii="楷体" w:hAnsi="楷体" w:eastAsia="楷体"/>
          <w:sz w:val="24"/>
          <w:szCs w:val="24"/>
        </w:rPr>
        <w:t>中写明</w:t>
      </w:r>
      <w:r>
        <w:rPr>
          <w:rFonts w:hint="eastAsia" w:ascii="楷体" w:hAnsi="楷体" w:eastAsia="楷体"/>
          <w:sz w:val="24"/>
          <w:szCs w:val="24"/>
        </w:rPr>
        <w:t>面向中小企业采购预留份额的</w:t>
      </w:r>
      <w:r>
        <w:rPr>
          <w:rFonts w:ascii="楷体" w:hAnsi="楷体" w:eastAsia="楷体"/>
          <w:sz w:val="24"/>
          <w:szCs w:val="24"/>
        </w:rPr>
        <w:t>，</w:t>
      </w:r>
      <w:r>
        <w:rPr>
          <w:rFonts w:hint="eastAsia" w:ascii="楷体" w:hAnsi="楷体" w:eastAsia="楷体"/>
          <w:sz w:val="24"/>
          <w:szCs w:val="24"/>
        </w:rPr>
        <w:t>未</w:t>
      </w:r>
      <w:r>
        <w:rPr>
          <w:rFonts w:ascii="楷体" w:hAnsi="楷体" w:eastAsia="楷体"/>
          <w:sz w:val="24"/>
          <w:szCs w:val="24"/>
        </w:rPr>
        <w:t>达到</w:t>
      </w:r>
      <w:r>
        <w:rPr>
          <w:rFonts w:hint="eastAsia" w:ascii="楷体" w:hAnsi="楷体" w:eastAsia="楷体"/>
          <w:sz w:val="24"/>
          <w:szCs w:val="24"/>
        </w:rPr>
        <w:t>上述</w:t>
      </w:r>
      <w:r>
        <w:rPr>
          <w:rFonts w:ascii="楷体" w:hAnsi="楷体" w:eastAsia="楷体"/>
          <w:sz w:val="24"/>
          <w:szCs w:val="24"/>
        </w:rPr>
        <w:t>比例其响应文件将作为无效文件被拒绝。</w:t>
      </w:r>
      <w:r>
        <w:rPr>
          <w:rFonts w:hint="eastAsia" w:ascii="楷体" w:hAnsi="楷体" w:eastAsia="楷体"/>
          <w:sz w:val="24"/>
          <w:szCs w:val="24"/>
        </w:rPr>
        <w:t>承接企业</w:t>
      </w:r>
      <w:r>
        <w:rPr>
          <w:rFonts w:ascii="楷体" w:hAnsi="楷体" w:eastAsia="楷体"/>
          <w:sz w:val="24"/>
          <w:szCs w:val="24"/>
        </w:rPr>
        <w:t>如为监狱企业或残疾人福利性单位的，视同为</w:t>
      </w:r>
      <w:r>
        <w:rPr>
          <w:rFonts w:hint="eastAsia" w:ascii="楷体" w:hAnsi="楷体" w:eastAsia="楷体"/>
          <w:sz w:val="24"/>
          <w:szCs w:val="24"/>
        </w:rPr>
        <w:t>小型</w:t>
      </w:r>
      <w:r>
        <w:rPr>
          <w:rFonts w:ascii="楷体" w:hAnsi="楷体" w:eastAsia="楷体"/>
          <w:sz w:val="24"/>
          <w:szCs w:val="24"/>
        </w:rPr>
        <w:t>、</w:t>
      </w:r>
      <w:r>
        <w:rPr>
          <w:rFonts w:hint="eastAsia" w:ascii="楷体" w:hAnsi="楷体" w:eastAsia="楷体"/>
          <w:sz w:val="24"/>
          <w:szCs w:val="24"/>
        </w:rPr>
        <w:t>微型</w:t>
      </w:r>
      <w:r>
        <w:rPr>
          <w:rFonts w:ascii="楷体" w:hAnsi="楷体" w:eastAsia="楷体"/>
          <w:sz w:val="24"/>
          <w:szCs w:val="24"/>
        </w:rPr>
        <w:t>企业</w:t>
      </w:r>
      <w:r>
        <w:rPr>
          <w:rFonts w:hint="eastAsia" w:ascii="楷体" w:hAnsi="楷体" w:eastAsia="楷体"/>
          <w:sz w:val="24"/>
          <w:szCs w:val="24"/>
        </w:rPr>
        <w:t>。</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（9）享受中小企业扶持政策获得政府采购合同的，小微企业不得将合同分包给大中型企业，中型企业不得将合同分包给大型企业。</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为</w:t>
      </w:r>
      <w:r>
        <w:rPr>
          <w:rFonts w:hint="eastAsia" w:ascii="楷体" w:hAnsi="楷体" w:eastAsia="楷体"/>
          <w:sz w:val="24"/>
          <w:szCs w:val="24"/>
        </w:rPr>
        <w:t>本</w:t>
      </w:r>
      <w:r>
        <w:rPr>
          <w:rFonts w:ascii="楷体" w:hAnsi="楷体" w:eastAsia="楷体"/>
          <w:sz w:val="24"/>
          <w:szCs w:val="24"/>
        </w:rPr>
        <w:t>项目提供整体</w:t>
      </w:r>
      <w:r>
        <w:rPr>
          <w:rFonts w:hint="eastAsia" w:ascii="楷体" w:hAnsi="楷体" w:eastAsia="楷体"/>
          <w:sz w:val="24"/>
          <w:szCs w:val="24"/>
        </w:rPr>
        <w:t>设计</w:t>
      </w:r>
      <w:r>
        <w:rPr>
          <w:rFonts w:ascii="楷体" w:hAnsi="楷体" w:eastAsia="楷体"/>
          <w:sz w:val="24"/>
          <w:szCs w:val="24"/>
        </w:rPr>
        <w:t>、规范编制或者项目管理、监理、检测等服务的供应商，</w:t>
      </w:r>
      <w:r>
        <w:rPr>
          <w:rFonts w:hint="eastAsia" w:ascii="楷体" w:hAnsi="楷体" w:eastAsia="楷体"/>
          <w:sz w:val="24"/>
          <w:szCs w:val="24"/>
        </w:rPr>
        <w:t>不得参加本次采购活动</w:t>
      </w:r>
      <w:r>
        <w:rPr>
          <w:rFonts w:ascii="楷体" w:hAnsi="楷体" w:eastAsia="楷体"/>
          <w:sz w:val="24"/>
          <w:szCs w:val="24"/>
        </w:rPr>
        <w:t>。</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 xml:space="preserve">2.2 </w:t>
      </w:r>
      <w:r>
        <w:rPr>
          <w:rFonts w:ascii="楷体" w:hAnsi="楷体" w:eastAsia="楷体"/>
          <w:sz w:val="24"/>
          <w:szCs w:val="24"/>
        </w:rPr>
        <w:t>如</w:t>
      </w:r>
      <w:r>
        <w:rPr>
          <w:rFonts w:ascii="楷体" w:hAnsi="楷体" w:eastAsia="楷体"/>
          <w:sz w:val="24"/>
          <w:szCs w:val="24"/>
          <w:u w:val="single"/>
        </w:rPr>
        <w:t>前附表</w:t>
      </w:r>
      <w:r>
        <w:rPr>
          <w:rFonts w:ascii="楷体" w:hAnsi="楷体" w:eastAsia="楷体"/>
          <w:sz w:val="24"/>
          <w:szCs w:val="24"/>
        </w:rPr>
        <w:t>中允许联合体参加磋商，对联合体规定如下：</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两个以上供应商可以组成一个联合体，以一个供应商的身份磋商。</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（2）</w:t>
      </w:r>
      <w:r>
        <w:rPr>
          <w:rFonts w:ascii="楷体" w:hAnsi="楷体" w:eastAsia="楷体"/>
          <w:sz w:val="24"/>
          <w:szCs w:val="24"/>
        </w:rPr>
        <w:t>联合体各方均应符合《中华人民共和国政府采购法》第二十二条规定的条件。</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采购人根据采购项目对供应商的特殊要求，联合体中至少应当有一方符合其规定。</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联合体各方应签订共同磋商协议，明确约定联合体各方承担的工作和相应的责任，并将共同磋商协议连同响应文件一并提交。</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（5）</w:t>
      </w:r>
      <w:r>
        <w:rPr>
          <w:rFonts w:ascii="楷体" w:hAnsi="楷体" w:eastAsia="楷体"/>
          <w:sz w:val="24"/>
          <w:szCs w:val="24"/>
        </w:rPr>
        <w:t>大中型企业和其他自然人、法人或者其他组织与小型、微型企业组成联合体共同参加磋商，共同磋商协议中应写明小型、微型企业的协议合同金额占到共同磋商协议合同总金额的比例。</w:t>
      </w:r>
      <w:r>
        <w:rPr>
          <w:rFonts w:hint="eastAsia" w:ascii="楷体" w:hAnsi="楷体" w:eastAsia="楷体"/>
          <w:sz w:val="24"/>
          <w:szCs w:val="24"/>
        </w:rPr>
        <w:t>联合体各方均为中小企业的，联合体视同中小企业。其中，联合体各方均为小微企业的，联合体视同小微企业。</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（6）</w:t>
      </w:r>
      <w:r>
        <w:rPr>
          <w:rFonts w:ascii="楷体" w:hAnsi="楷体" w:eastAsia="楷体"/>
          <w:sz w:val="24"/>
          <w:szCs w:val="24"/>
        </w:rPr>
        <w:t>联合体各方签订共同磋商协议后，不得再以自己名义单独在同一项目</w:t>
      </w:r>
      <w:r>
        <w:rPr>
          <w:rFonts w:hint="eastAsia" w:ascii="楷体" w:hAnsi="楷体" w:eastAsia="楷体"/>
          <w:sz w:val="24"/>
          <w:szCs w:val="24"/>
        </w:rPr>
        <w:t>的同一分包（或标段）</w:t>
      </w:r>
      <w:r>
        <w:rPr>
          <w:rFonts w:ascii="楷体" w:hAnsi="楷体" w:eastAsia="楷体"/>
          <w:sz w:val="24"/>
          <w:szCs w:val="24"/>
        </w:rPr>
        <w:t>中磋商，也不得组成新的联合体参加同一项目</w:t>
      </w:r>
      <w:r>
        <w:rPr>
          <w:rFonts w:hint="eastAsia" w:ascii="楷体" w:hAnsi="楷体" w:eastAsia="楷体"/>
          <w:sz w:val="24"/>
          <w:szCs w:val="24"/>
        </w:rPr>
        <w:t>的同一分包（或标段）</w:t>
      </w:r>
      <w:r>
        <w:rPr>
          <w:rFonts w:ascii="楷体" w:hAnsi="楷体" w:eastAsia="楷体"/>
          <w:sz w:val="24"/>
          <w:szCs w:val="24"/>
        </w:rPr>
        <w:t>磋商。</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（7）</w:t>
      </w:r>
      <w:r>
        <w:rPr>
          <w:rFonts w:ascii="楷体" w:hAnsi="楷体" w:eastAsia="楷体"/>
          <w:sz w:val="24"/>
          <w:szCs w:val="24"/>
        </w:rPr>
        <w:t>联合体各方在同一磋商项目</w:t>
      </w:r>
      <w:r>
        <w:rPr>
          <w:rFonts w:hint="eastAsia" w:ascii="楷体" w:hAnsi="楷体" w:eastAsia="楷体"/>
          <w:sz w:val="24"/>
          <w:szCs w:val="24"/>
        </w:rPr>
        <w:t>的同一分包（或标段）</w:t>
      </w:r>
      <w:r>
        <w:rPr>
          <w:rFonts w:ascii="楷体" w:hAnsi="楷体" w:eastAsia="楷体"/>
          <w:sz w:val="24"/>
          <w:szCs w:val="24"/>
        </w:rPr>
        <w:t>中以自己名义单独磋商或者参加其他联合体磋商的，相关磋商响应文件均无效。</w:t>
      </w:r>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（8）</w:t>
      </w:r>
      <w:r>
        <w:rPr>
          <w:rFonts w:ascii="楷体" w:hAnsi="楷体" w:eastAsia="楷体"/>
          <w:sz w:val="24"/>
          <w:szCs w:val="24"/>
        </w:rPr>
        <w:t>对联合体的其他资格要求见</w:t>
      </w:r>
      <w:r>
        <w:rPr>
          <w:rFonts w:ascii="楷体" w:hAnsi="楷体" w:eastAsia="楷体"/>
          <w:sz w:val="24"/>
          <w:szCs w:val="24"/>
          <w:u w:val="single"/>
        </w:rPr>
        <w:t>前附表</w:t>
      </w:r>
      <w:r>
        <w:rPr>
          <w:rFonts w:ascii="楷体" w:hAnsi="楷体" w:eastAsia="楷体"/>
          <w:sz w:val="24"/>
          <w:szCs w:val="24"/>
        </w:rPr>
        <w:t>。</w:t>
      </w:r>
    </w:p>
    <w:p>
      <w:pPr>
        <w:pStyle w:val="3"/>
        <w:numPr>
          <w:ilvl w:val="0"/>
          <w:numId w:val="0"/>
        </w:numPr>
        <w:snapToGrid w:val="0"/>
        <w:spacing w:before="0" w:after="0" w:line="360" w:lineRule="auto"/>
        <w:jc w:val="left"/>
        <w:rPr>
          <w:rFonts w:ascii="楷体" w:hAnsi="楷体" w:eastAsia="楷体"/>
          <w:sz w:val="24"/>
          <w:szCs w:val="24"/>
        </w:rPr>
      </w:pPr>
      <w:bookmarkStart w:id="13" w:name="_Toc380479090"/>
      <w:r>
        <w:rPr>
          <w:rFonts w:ascii="楷体" w:hAnsi="楷体" w:eastAsia="楷体"/>
          <w:sz w:val="24"/>
          <w:szCs w:val="24"/>
        </w:rPr>
        <w:t>3．</w:t>
      </w:r>
      <w:r>
        <w:rPr>
          <w:rFonts w:hint="eastAsia" w:ascii="楷体" w:hAnsi="楷体" w:eastAsia="楷体"/>
          <w:sz w:val="24"/>
          <w:szCs w:val="24"/>
        </w:rPr>
        <w:t>适用法律和</w:t>
      </w:r>
      <w:r>
        <w:rPr>
          <w:rFonts w:ascii="楷体" w:hAnsi="楷体" w:eastAsia="楷体"/>
          <w:sz w:val="24"/>
          <w:szCs w:val="24"/>
        </w:rPr>
        <w:t>磋商费用</w:t>
      </w:r>
      <w:bookmarkEnd w:id="13"/>
    </w:p>
    <w:p>
      <w:pPr>
        <w:pStyle w:val="16"/>
        <w:snapToGrid w:val="0"/>
        <w:spacing w:line="360" w:lineRule="auto"/>
        <w:ind w:firstLine="0"/>
        <w:rPr>
          <w:rFonts w:ascii="楷体" w:hAnsi="楷体" w:eastAsia="楷体"/>
          <w:sz w:val="24"/>
          <w:szCs w:val="24"/>
        </w:rPr>
      </w:pPr>
      <w:r>
        <w:rPr>
          <w:rFonts w:hint="eastAsia" w:ascii="楷体" w:hAnsi="楷体" w:eastAsia="楷体"/>
          <w:sz w:val="24"/>
          <w:szCs w:val="24"/>
        </w:rPr>
        <w:t>3.1 本次采购活动及由此产生的合同受《中华人民共和国政府采购法》及其他有关的法律法规制约和保护。</w:t>
      </w:r>
    </w:p>
    <w:p>
      <w:pPr>
        <w:pStyle w:val="16"/>
        <w:snapToGrid w:val="0"/>
        <w:spacing w:line="360" w:lineRule="auto"/>
        <w:ind w:firstLine="0"/>
        <w:rPr>
          <w:rFonts w:ascii="楷体" w:hAnsi="楷体" w:eastAsia="楷体"/>
        </w:rPr>
      </w:pPr>
      <w:r>
        <w:rPr>
          <w:rFonts w:hint="eastAsia" w:ascii="楷体" w:hAnsi="楷体" w:eastAsia="楷体"/>
          <w:sz w:val="24"/>
          <w:szCs w:val="24"/>
        </w:rPr>
        <w:t xml:space="preserve">3.2 </w:t>
      </w:r>
      <w:r>
        <w:rPr>
          <w:rFonts w:ascii="楷体" w:hAnsi="楷体" w:eastAsia="楷体"/>
          <w:sz w:val="24"/>
          <w:szCs w:val="24"/>
        </w:rPr>
        <w:t>磋商供应商应承担自身所有与磋商活动有关的费用，不论磋商的结果如何，在任何情况下磋商组织者均无义务和责任承担这些费用。</w:t>
      </w:r>
    </w:p>
    <w:p>
      <w:pPr>
        <w:pStyle w:val="16"/>
        <w:spacing w:line="480" w:lineRule="exact"/>
        <w:rPr>
          <w:rFonts w:ascii="楷体" w:hAnsi="楷体" w:eastAsia="楷体"/>
        </w:rPr>
      </w:pPr>
    </w:p>
    <w:p>
      <w:pPr>
        <w:pStyle w:val="3"/>
        <w:numPr>
          <w:ilvl w:val="0"/>
          <w:numId w:val="0"/>
        </w:numPr>
        <w:spacing w:before="0" w:after="0" w:line="480" w:lineRule="exact"/>
        <w:rPr>
          <w:rFonts w:ascii="楷体" w:hAnsi="楷体" w:eastAsia="楷体"/>
          <w:sz w:val="28"/>
          <w:szCs w:val="28"/>
        </w:rPr>
      </w:pPr>
      <w:bookmarkStart w:id="14" w:name="_Toc380479091"/>
      <w:r>
        <w:rPr>
          <w:rFonts w:ascii="楷体" w:hAnsi="楷体" w:eastAsia="楷体"/>
          <w:sz w:val="28"/>
          <w:szCs w:val="28"/>
        </w:rPr>
        <w:t>二  磋商文件</w:t>
      </w:r>
      <w:bookmarkEnd w:id="14"/>
    </w:p>
    <w:p>
      <w:pPr>
        <w:pStyle w:val="3"/>
        <w:numPr>
          <w:ilvl w:val="0"/>
          <w:numId w:val="0"/>
        </w:numPr>
        <w:snapToGrid w:val="0"/>
        <w:spacing w:before="0" w:after="0" w:line="360" w:lineRule="auto"/>
        <w:jc w:val="left"/>
        <w:rPr>
          <w:rFonts w:ascii="楷体" w:hAnsi="楷体" w:eastAsia="楷体"/>
          <w:sz w:val="24"/>
          <w:szCs w:val="24"/>
        </w:rPr>
      </w:pPr>
      <w:bookmarkStart w:id="15" w:name="_Toc380479092"/>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4．磋商文件构成</w:t>
      </w:r>
      <w:bookmarkEnd w:id="15"/>
    </w:p>
    <w:p>
      <w:pPr>
        <w:snapToGrid w:val="0"/>
        <w:spacing w:line="360" w:lineRule="auto"/>
        <w:rPr>
          <w:rFonts w:ascii="楷体" w:hAnsi="楷体" w:eastAsia="楷体"/>
          <w:b/>
          <w:sz w:val="24"/>
          <w:szCs w:val="24"/>
        </w:rPr>
      </w:pPr>
      <w:r>
        <w:rPr>
          <w:rFonts w:ascii="楷体" w:hAnsi="楷体" w:eastAsia="楷体"/>
          <w:bCs/>
          <w:sz w:val="24"/>
          <w:szCs w:val="24"/>
        </w:rPr>
        <w:t xml:space="preserve">4.1 </w:t>
      </w:r>
      <w:r>
        <w:rPr>
          <w:rFonts w:ascii="楷体" w:hAnsi="楷体" w:eastAsia="楷体"/>
          <w:sz w:val="24"/>
          <w:szCs w:val="24"/>
        </w:rPr>
        <w:t>磋商文件包括：采购邀请</w:t>
      </w:r>
      <w:r>
        <w:rPr>
          <w:rFonts w:hint="eastAsia" w:ascii="楷体" w:hAnsi="楷体" w:eastAsia="楷体"/>
          <w:sz w:val="24"/>
          <w:szCs w:val="24"/>
        </w:rPr>
        <w:t>（含采购公告）</w:t>
      </w:r>
      <w:r>
        <w:rPr>
          <w:rFonts w:ascii="楷体" w:hAnsi="楷体" w:eastAsia="楷体"/>
          <w:sz w:val="24"/>
          <w:szCs w:val="24"/>
        </w:rPr>
        <w:t>、磋商供应商须知、采购需求、合同条款、附件。</w:t>
      </w:r>
    </w:p>
    <w:p>
      <w:pPr>
        <w:snapToGrid w:val="0"/>
        <w:spacing w:line="360" w:lineRule="auto"/>
        <w:rPr>
          <w:rFonts w:ascii="楷体" w:hAnsi="楷体" w:eastAsia="楷体"/>
          <w:b/>
          <w:sz w:val="24"/>
          <w:szCs w:val="24"/>
        </w:rPr>
      </w:pPr>
      <w:r>
        <w:rPr>
          <w:rFonts w:ascii="楷体" w:hAnsi="楷体" w:eastAsia="楷体"/>
          <w:bCs/>
          <w:sz w:val="24"/>
          <w:szCs w:val="24"/>
        </w:rPr>
        <w:t xml:space="preserve">4.2 </w:t>
      </w:r>
      <w:r>
        <w:rPr>
          <w:rFonts w:ascii="楷体" w:hAnsi="楷体" w:eastAsia="楷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3"/>
        <w:numPr>
          <w:ilvl w:val="0"/>
          <w:numId w:val="0"/>
        </w:numPr>
        <w:snapToGrid w:val="0"/>
        <w:spacing w:before="0" w:after="0" w:line="360" w:lineRule="auto"/>
        <w:jc w:val="left"/>
        <w:rPr>
          <w:rFonts w:ascii="楷体" w:hAnsi="楷体" w:eastAsia="楷体"/>
          <w:sz w:val="24"/>
          <w:szCs w:val="24"/>
        </w:rPr>
      </w:pPr>
      <w:bookmarkStart w:id="16" w:name="_Toc380479093"/>
      <w:r>
        <w:rPr>
          <w:rFonts w:ascii="楷体" w:hAnsi="楷体" w:eastAsia="楷体"/>
          <w:sz w:val="24"/>
          <w:szCs w:val="24"/>
        </w:rPr>
        <w:t>5．磋商文件的澄清或者修改</w:t>
      </w:r>
      <w:bookmarkEnd w:id="16"/>
    </w:p>
    <w:p>
      <w:pPr>
        <w:snapToGrid w:val="0"/>
        <w:spacing w:line="360" w:lineRule="auto"/>
        <w:rPr>
          <w:rFonts w:ascii="楷体" w:hAnsi="楷体" w:eastAsia="楷体"/>
          <w:b/>
          <w:sz w:val="24"/>
          <w:szCs w:val="24"/>
        </w:rPr>
      </w:pPr>
      <w:r>
        <w:rPr>
          <w:rFonts w:ascii="楷体" w:hAnsi="楷体" w:eastAsia="楷体"/>
          <w:sz w:val="24"/>
          <w:szCs w:val="24"/>
        </w:rPr>
        <w:t>5.1</w:t>
      </w:r>
      <w:r>
        <w:rPr>
          <w:rFonts w:hint="eastAsia" w:ascii="楷体" w:hAnsi="楷体" w:eastAsia="楷体"/>
          <w:sz w:val="24"/>
          <w:szCs w:val="24"/>
        </w:rPr>
        <w:t xml:space="preserve"> </w:t>
      </w:r>
      <w:r>
        <w:rPr>
          <w:rFonts w:ascii="楷体" w:hAnsi="楷体" w:eastAsia="楷体"/>
          <w:sz w:val="24"/>
          <w:szCs w:val="24"/>
        </w:rPr>
        <w:t>在首次提交响应文件截止时间前，</w:t>
      </w:r>
      <w:r>
        <w:rPr>
          <w:rFonts w:ascii="楷体" w:hAnsi="楷体" w:eastAsia="楷体"/>
          <w:kern w:val="0"/>
          <w:sz w:val="24"/>
          <w:szCs w:val="24"/>
        </w:rPr>
        <w:t>采购人、中招公司或者磋商小组可以对已发出的磋商文件进行必要的澄清或者修改，</w:t>
      </w:r>
      <w:r>
        <w:rPr>
          <w:rFonts w:hint="eastAsia" w:ascii="楷体" w:hAnsi="楷体" w:eastAsia="楷体"/>
          <w:kern w:val="0"/>
          <w:sz w:val="24"/>
          <w:szCs w:val="24"/>
        </w:rPr>
        <w:t>并由中招公司发出。</w:t>
      </w:r>
      <w:r>
        <w:rPr>
          <w:rFonts w:ascii="楷体" w:hAnsi="楷体" w:eastAsia="楷体"/>
          <w:kern w:val="0"/>
          <w:sz w:val="24"/>
          <w:szCs w:val="24"/>
        </w:rPr>
        <w:t>澄清或者修改的内容作为磋商文件的组成部分。</w:t>
      </w:r>
      <w:r>
        <w:rPr>
          <w:rFonts w:ascii="楷体" w:hAnsi="楷体" w:eastAsia="楷体"/>
          <w:sz w:val="24"/>
          <w:szCs w:val="24"/>
        </w:rPr>
        <w:t>对磋商文件的修改，将以书面形式通知已获取磋商文件的每一磋商供应商。</w:t>
      </w:r>
    </w:p>
    <w:p>
      <w:pPr>
        <w:snapToGrid w:val="0"/>
        <w:spacing w:line="360" w:lineRule="auto"/>
        <w:rPr>
          <w:rFonts w:ascii="楷体" w:hAnsi="楷体" w:eastAsia="楷体"/>
          <w:sz w:val="24"/>
          <w:szCs w:val="24"/>
        </w:rPr>
      </w:pPr>
      <w:r>
        <w:rPr>
          <w:rFonts w:ascii="楷体" w:hAnsi="楷体" w:eastAsia="楷体"/>
          <w:sz w:val="24"/>
          <w:szCs w:val="24"/>
        </w:rPr>
        <w:t>5.2澄清或者修改的内容可能影响响应文件编制的，中招公司将在提交首次响应文件截止之日5日前通知，不足5日的，将相应顺延提交首次响应文件截止时间</w:t>
      </w:r>
      <w:r>
        <w:rPr>
          <w:rFonts w:hint="eastAsia" w:ascii="楷体" w:hAnsi="楷体" w:eastAsia="楷体"/>
          <w:sz w:val="24"/>
          <w:szCs w:val="24"/>
        </w:rPr>
        <w:t>。</w:t>
      </w:r>
    </w:p>
    <w:p>
      <w:pPr>
        <w:snapToGrid w:val="0"/>
        <w:spacing w:line="360" w:lineRule="auto"/>
        <w:rPr>
          <w:rFonts w:ascii="楷体" w:hAnsi="楷体" w:eastAsia="楷体"/>
          <w:sz w:val="28"/>
        </w:rPr>
      </w:pPr>
      <w:r>
        <w:rPr>
          <w:rFonts w:ascii="楷体" w:hAnsi="楷体" w:eastAsia="楷体"/>
          <w:sz w:val="24"/>
          <w:szCs w:val="24"/>
        </w:rPr>
        <w:t>5.3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480" w:lineRule="exact"/>
        <w:ind w:firstLine="560" w:firstLineChars="200"/>
        <w:rPr>
          <w:rFonts w:ascii="楷体" w:hAnsi="楷体" w:eastAsia="楷体"/>
          <w:b/>
          <w:sz w:val="28"/>
        </w:rPr>
      </w:pPr>
    </w:p>
    <w:p>
      <w:pPr>
        <w:pStyle w:val="3"/>
        <w:numPr>
          <w:ilvl w:val="0"/>
          <w:numId w:val="0"/>
        </w:numPr>
        <w:spacing w:before="0" w:after="0" w:line="480" w:lineRule="exact"/>
        <w:rPr>
          <w:rFonts w:ascii="楷体" w:hAnsi="楷体" w:eastAsia="楷体"/>
          <w:sz w:val="28"/>
          <w:szCs w:val="28"/>
        </w:rPr>
      </w:pPr>
      <w:bookmarkStart w:id="17" w:name="_Toc380479094"/>
      <w:r>
        <w:rPr>
          <w:rFonts w:ascii="楷体" w:hAnsi="楷体" w:eastAsia="楷体"/>
          <w:sz w:val="28"/>
          <w:szCs w:val="28"/>
        </w:rPr>
        <w:t>三  响应文件的编制</w:t>
      </w:r>
      <w:bookmarkEnd w:id="17"/>
    </w:p>
    <w:p>
      <w:pPr>
        <w:pStyle w:val="3"/>
        <w:numPr>
          <w:ilvl w:val="0"/>
          <w:numId w:val="0"/>
        </w:numPr>
        <w:snapToGrid w:val="0"/>
        <w:spacing w:before="0" w:after="0" w:line="360" w:lineRule="auto"/>
        <w:jc w:val="left"/>
        <w:rPr>
          <w:rFonts w:ascii="楷体" w:hAnsi="楷体" w:eastAsia="楷体"/>
          <w:sz w:val="24"/>
          <w:szCs w:val="24"/>
        </w:rPr>
      </w:pPr>
      <w:bookmarkStart w:id="18" w:name="_Toc380479095"/>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6．响应文件的构成</w:t>
      </w:r>
      <w:bookmarkEnd w:id="18"/>
    </w:p>
    <w:p>
      <w:pPr>
        <w:pStyle w:val="19"/>
        <w:snapToGrid w:val="0"/>
        <w:spacing w:line="360" w:lineRule="auto"/>
        <w:rPr>
          <w:rFonts w:ascii="楷体" w:hAnsi="楷体" w:eastAsia="楷体"/>
          <w:sz w:val="24"/>
          <w:szCs w:val="24"/>
        </w:rPr>
      </w:pPr>
      <w:r>
        <w:rPr>
          <w:rFonts w:hint="eastAsia" w:ascii="楷体" w:hAnsi="楷体" w:eastAsia="楷体"/>
          <w:sz w:val="24"/>
          <w:szCs w:val="24"/>
        </w:rPr>
        <w:t xml:space="preserve">6.1 </w:t>
      </w:r>
      <w:r>
        <w:rPr>
          <w:rFonts w:ascii="楷体" w:hAnsi="楷体" w:eastAsia="楷体"/>
          <w:sz w:val="24"/>
          <w:szCs w:val="24"/>
        </w:rPr>
        <w:t>按照磋商文件的要求，磋商供应商首次编制的响应文件具体构成如下</w:t>
      </w:r>
      <w:r>
        <w:rPr>
          <w:rFonts w:hint="eastAsia" w:ascii="楷体" w:hAnsi="楷体" w:eastAsia="楷体"/>
          <w:sz w:val="24"/>
          <w:szCs w:val="24"/>
        </w:rPr>
        <w:t>：</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w:t>
      </w:r>
      <w:r>
        <w:rPr>
          <w:rFonts w:ascii="楷体" w:hAnsi="楷体" w:eastAsia="楷体"/>
          <w:sz w:val="24"/>
          <w:szCs w:val="24"/>
        </w:rPr>
        <w:t>报价函；</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参考报价表；</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采购需求响应文件：见</w:t>
      </w:r>
      <w:r>
        <w:rPr>
          <w:rFonts w:ascii="楷体" w:hAnsi="楷体" w:eastAsia="楷体"/>
          <w:sz w:val="24"/>
          <w:szCs w:val="24"/>
          <w:u w:val="single"/>
        </w:rPr>
        <w:t>前附表</w:t>
      </w:r>
      <w:r>
        <w:rPr>
          <w:rFonts w:ascii="楷体" w:hAnsi="楷体" w:eastAsia="楷体"/>
          <w:sz w:val="24"/>
          <w:szCs w:val="24"/>
        </w:rPr>
        <w:t xml:space="preserve">要求； </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4</w:t>
      </w:r>
      <w:r>
        <w:rPr>
          <w:rFonts w:hint="eastAsia" w:ascii="楷体" w:hAnsi="楷体" w:eastAsia="楷体"/>
          <w:sz w:val="24"/>
          <w:szCs w:val="24"/>
        </w:rPr>
        <w:t>）商务</w:t>
      </w:r>
      <w:r>
        <w:rPr>
          <w:rFonts w:ascii="楷体" w:hAnsi="楷体" w:eastAsia="楷体"/>
          <w:sz w:val="24"/>
          <w:szCs w:val="24"/>
        </w:rPr>
        <w:t>条款</w:t>
      </w:r>
      <w:r>
        <w:rPr>
          <w:rFonts w:hint="eastAsia" w:ascii="楷体" w:hAnsi="楷体" w:eastAsia="楷体"/>
          <w:sz w:val="24"/>
          <w:szCs w:val="24"/>
        </w:rPr>
        <w:t>偏离</w:t>
      </w:r>
      <w:r>
        <w:rPr>
          <w:rFonts w:ascii="楷体" w:hAnsi="楷体" w:eastAsia="楷体"/>
          <w:sz w:val="24"/>
          <w:szCs w:val="24"/>
        </w:rPr>
        <w:t>表；</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（5）技术</w:t>
      </w:r>
      <w:r>
        <w:rPr>
          <w:rFonts w:ascii="楷体" w:hAnsi="楷体" w:eastAsia="楷体"/>
          <w:sz w:val="24"/>
          <w:szCs w:val="24"/>
        </w:rPr>
        <w:t>条款</w:t>
      </w:r>
      <w:r>
        <w:rPr>
          <w:rFonts w:hint="eastAsia" w:ascii="楷体" w:hAnsi="楷体" w:eastAsia="楷体"/>
          <w:sz w:val="24"/>
          <w:szCs w:val="24"/>
        </w:rPr>
        <w:t>偏离</w:t>
      </w:r>
      <w:r>
        <w:rPr>
          <w:rFonts w:ascii="楷体" w:hAnsi="楷体" w:eastAsia="楷体"/>
          <w:sz w:val="24"/>
          <w:szCs w:val="24"/>
        </w:rPr>
        <w:t>表；</w:t>
      </w:r>
    </w:p>
    <w:p>
      <w:pPr>
        <w:snapToGrid w:val="0"/>
        <w:spacing w:line="360" w:lineRule="auto"/>
        <w:ind w:firstLine="120" w:firstLineChars="50"/>
        <w:rPr>
          <w:rFonts w:hint="eastAsia" w:ascii="楷体" w:hAnsi="楷体" w:eastAsia="楷体"/>
          <w:sz w:val="24"/>
          <w:szCs w:val="24"/>
        </w:rPr>
      </w:pPr>
      <w:r>
        <w:rPr>
          <w:rFonts w:hint="eastAsia" w:ascii="楷体" w:hAnsi="楷体" w:eastAsia="楷体"/>
          <w:sz w:val="24"/>
          <w:szCs w:val="24"/>
        </w:rPr>
        <w:t>（</w:t>
      </w:r>
      <w:r>
        <w:rPr>
          <w:rFonts w:ascii="楷体" w:hAnsi="楷体" w:eastAsia="楷体"/>
          <w:sz w:val="24"/>
          <w:szCs w:val="24"/>
        </w:rPr>
        <w:t>6</w:t>
      </w:r>
      <w:r>
        <w:rPr>
          <w:rFonts w:hint="eastAsia" w:ascii="楷体" w:hAnsi="楷体" w:eastAsia="楷体"/>
          <w:sz w:val="24"/>
          <w:szCs w:val="24"/>
        </w:rPr>
        <w:t>）</w:t>
      </w:r>
      <w:r>
        <w:rPr>
          <w:rFonts w:ascii="楷体" w:hAnsi="楷体" w:eastAsia="楷体"/>
          <w:sz w:val="24"/>
          <w:szCs w:val="24"/>
        </w:rPr>
        <w:t>合同条款</w:t>
      </w:r>
      <w:r>
        <w:rPr>
          <w:rFonts w:hint="eastAsia" w:ascii="楷体" w:hAnsi="楷体" w:eastAsia="楷体"/>
          <w:sz w:val="24"/>
          <w:szCs w:val="24"/>
        </w:rPr>
        <w:t>应答</w:t>
      </w:r>
      <w:r>
        <w:rPr>
          <w:rFonts w:ascii="楷体" w:hAnsi="楷体" w:eastAsia="楷体"/>
          <w:sz w:val="24"/>
          <w:szCs w:val="24"/>
        </w:rPr>
        <w:t>表；</w:t>
      </w:r>
    </w:p>
    <w:p>
      <w:pPr>
        <w:snapToGrid w:val="0"/>
        <w:spacing w:line="360" w:lineRule="auto"/>
        <w:ind w:firstLine="120" w:firstLineChars="50"/>
        <w:rPr>
          <w:rFonts w:ascii="楷体" w:hAnsi="楷体" w:eastAsia="楷体"/>
          <w:kern w:val="0"/>
          <w:sz w:val="24"/>
          <w:szCs w:val="24"/>
        </w:rPr>
      </w:pPr>
      <w:r>
        <w:rPr>
          <w:rFonts w:hint="eastAsia" w:ascii="楷体" w:hAnsi="楷体" w:eastAsia="楷体"/>
          <w:sz w:val="24"/>
          <w:szCs w:val="24"/>
        </w:rPr>
        <w:t>（</w:t>
      </w:r>
      <w:r>
        <w:rPr>
          <w:rFonts w:ascii="楷体" w:hAnsi="楷体" w:eastAsia="楷体"/>
          <w:sz w:val="24"/>
          <w:szCs w:val="24"/>
        </w:rPr>
        <w:t>7</w:t>
      </w:r>
      <w:r>
        <w:rPr>
          <w:rFonts w:hint="eastAsia" w:ascii="楷体" w:hAnsi="楷体" w:eastAsia="楷体"/>
          <w:sz w:val="24"/>
          <w:szCs w:val="24"/>
        </w:rPr>
        <w:t>）</w:t>
      </w:r>
      <w:r>
        <w:rPr>
          <w:rFonts w:ascii="楷体" w:hAnsi="楷体" w:eastAsia="楷体"/>
          <w:sz w:val="24"/>
          <w:szCs w:val="24"/>
        </w:rPr>
        <w:t>资格证明文件：见</w:t>
      </w:r>
      <w:r>
        <w:rPr>
          <w:rFonts w:ascii="楷体" w:hAnsi="楷体" w:eastAsia="楷体"/>
          <w:kern w:val="0"/>
          <w:sz w:val="24"/>
          <w:szCs w:val="24"/>
          <w:u w:val="single"/>
        </w:rPr>
        <w:t>前附表</w:t>
      </w:r>
      <w:r>
        <w:rPr>
          <w:rFonts w:ascii="楷体" w:hAnsi="楷体" w:eastAsia="楷体"/>
          <w:kern w:val="0"/>
          <w:sz w:val="24"/>
          <w:szCs w:val="24"/>
        </w:rPr>
        <w:t>要求；</w:t>
      </w:r>
    </w:p>
    <w:p>
      <w:pPr>
        <w:snapToGrid w:val="0"/>
        <w:spacing w:line="360" w:lineRule="auto"/>
        <w:ind w:firstLine="120" w:firstLineChars="5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8</w:t>
      </w:r>
      <w:r>
        <w:rPr>
          <w:rFonts w:hint="eastAsia" w:ascii="楷体" w:hAnsi="楷体" w:eastAsia="楷体"/>
          <w:sz w:val="24"/>
          <w:szCs w:val="24"/>
        </w:rPr>
        <w:t>）</w:t>
      </w:r>
      <w:r>
        <w:rPr>
          <w:rFonts w:ascii="楷体" w:hAnsi="楷体" w:eastAsia="楷体"/>
          <w:sz w:val="24"/>
          <w:szCs w:val="24"/>
        </w:rPr>
        <w:t>保证金：单独递交，见本章第五条要求；</w:t>
      </w:r>
    </w:p>
    <w:p>
      <w:pPr>
        <w:snapToGrid w:val="0"/>
        <w:spacing w:line="360" w:lineRule="auto"/>
        <w:ind w:firstLine="120" w:firstLineChars="50"/>
        <w:rPr>
          <w:rFonts w:hint="eastAsia" w:ascii="楷体" w:hAnsi="楷体" w:eastAsia="楷体"/>
          <w:sz w:val="24"/>
          <w:szCs w:val="24"/>
        </w:rPr>
      </w:pPr>
      <w:r>
        <w:rPr>
          <w:rFonts w:hint="eastAsia" w:ascii="楷体" w:hAnsi="楷体" w:eastAsia="楷体"/>
          <w:sz w:val="24"/>
          <w:szCs w:val="24"/>
        </w:rPr>
        <w:t>（</w:t>
      </w:r>
      <w:r>
        <w:rPr>
          <w:rFonts w:ascii="楷体" w:hAnsi="楷体" w:eastAsia="楷体"/>
          <w:sz w:val="24"/>
          <w:szCs w:val="24"/>
        </w:rPr>
        <w:t>9</w:t>
      </w:r>
      <w:r>
        <w:rPr>
          <w:rFonts w:hint="eastAsia" w:ascii="楷体" w:hAnsi="楷体" w:eastAsia="楷体"/>
          <w:sz w:val="24"/>
          <w:szCs w:val="24"/>
        </w:rPr>
        <w:t>）</w:t>
      </w:r>
      <w:r>
        <w:rPr>
          <w:rFonts w:ascii="楷体" w:hAnsi="楷体" w:eastAsia="楷体"/>
          <w:sz w:val="24"/>
          <w:szCs w:val="24"/>
          <w:u w:val="single"/>
        </w:rPr>
        <w:t>前附表</w:t>
      </w:r>
      <w:r>
        <w:rPr>
          <w:rFonts w:ascii="楷体" w:hAnsi="楷体" w:eastAsia="楷体"/>
          <w:sz w:val="24"/>
          <w:szCs w:val="24"/>
        </w:rPr>
        <w:t>要求的其他内容。</w:t>
      </w:r>
    </w:p>
    <w:p>
      <w:pPr>
        <w:snapToGrid w:val="0"/>
        <w:spacing w:line="360" w:lineRule="auto"/>
        <w:ind w:firstLine="570"/>
        <w:rPr>
          <w:rFonts w:ascii="楷体" w:hAnsi="楷体" w:eastAsia="楷体"/>
          <w:b/>
          <w:sz w:val="24"/>
          <w:szCs w:val="24"/>
        </w:rPr>
      </w:pPr>
      <w:r>
        <w:rPr>
          <w:rFonts w:hint="eastAsia" w:ascii="楷体" w:hAnsi="楷体" w:eastAsia="楷体"/>
          <w:b/>
          <w:sz w:val="24"/>
          <w:szCs w:val="24"/>
        </w:rPr>
        <w:t>以上</w:t>
      </w:r>
      <w:r>
        <w:rPr>
          <w:rFonts w:ascii="楷体" w:hAnsi="楷体" w:eastAsia="楷体"/>
          <w:b/>
          <w:sz w:val="24"/>
          <w:szCs w:val="24"/>
        </w:rPr>
        <w:t>内容</w:t>
      </w:r>
      <w:r>
        <w:rPr>
          <w:rFonts w:hint="eastAsia" w:ascii="楷体" w:hAnsi="楷体" w:eastAsia="楷体"/>
          <w:b/>
          <w:sz w:val="24"/>
          <w:szCs w:val="24"/>
        </w:rPr>
        <w:t>均</w:t>
      </w:r>
      <w:r>
        <w:rPr>
          <w:rFonts w:ascii="楷体" w:hAnsi="楷体" w:eastAsia="楷体"/>
          <w:b/>
          <w:sz w:val="24"/>
          <w:szCs w:val="24"/>
        </w:rPr>
        <w:t>为实质性要求，磋商供应商未按</w:t>
      </w:r>
      <w:r>
        <w:rPr>
          <w:rFonts w:hint="eastAsia" w:ascii="楷体" w:hAnsi="楷体" w:eastAsia="楷体"/>
          <w:b/>
          <w:sz w:val="24"/>
          <w:szCs w:val="24"/>
        </w:rPr>
        <w:t>上述</w:t>
      </w:r>
      <w:r>
        <w:rPr>
          <w:rFonts w:ascii="楷体" w:hAnsi="楷体" w:eastAsia="楷体"/>
          <w:b/>
          <w:sz w:val="24"/>
          <w:szCs w:val="24"/>
        </w:rPr>
        <w:t>要求</w:t>
      </w:r>
      <w:r>
        <w:rPr>
          <w:rFonts w:hint="eastAsia" w:ascii="楷体" w:hAnsi="楷体" w:eastAsia="楷体"/>
          <w:b/>
          <w:sz w:val="24"/>
          <w:szCs w:val="24"/>
        </w:rPr>
        <w:t>编写响应</w:t>
      </w:r>
      <w:r>
        <w:rPr>
          <w:rFonts w:ascii="楷体" w:hAnsi="楷体" w:eastAsia="楷体"/>
          <w:b/>
          <w:sz w:val="24"/>
          <w:szCs w:val="24"/>
        </w:rPr>
        <w:t>文件</w:t>
      </w:r>
      <w:r>
        <w:rPr>
          <w:rFonts w:hint="eastAsia" w:ascii="楷体" w:hAnsi="楷体" w:eastAsia="楷体"/>
          <w:b/>
          <w:sz w:val="24"/>
          <w:szCs w:val="24"/>
        </w:rPr>
        <w:t>而造成内容不完整</w:t>
      </w:r>
      <w:r>
        <w:rPr>
          <w:rFonts w:ascii="楷体" w:hAnsi="楷体" w:eastAsia="楷体"/>
          <w:b/>
          <w:sz w:val="24"/>
          <w:szCs w:val="24"/>
        </w:rPr>
        <w:t xml:space="preserve">的，视为没有对磋商文件作出实质性响应，其响应文件按无效处理。 </w:t>
      </w:r>
    </w:p>
    <w:p>
      <w:pPr>
        <w:snapToGrid w:val="0"/>
        <w:spacing w:line="360" w:lineRule="auto"/>
        <w:ind w:firstLine="570"/>
        <w:rPr>
          <w:rFonts w:ascii="楷体" w:hAnsi="楷体" w:eastAsia="楷体"/>
          <w:b/>
          <w:sz w:val="24"/>
          <w:szCs w:val="24"/>
        </w:rPr>
      </w:pPr>
      <w:r>
        <w:rPr>
          <w:rFonts w:hint="eastAsia" w:ascii="楷体" w:hAnsi="楷体" w:eastAsia="楷体"/>
          <w:b/>
          <w:sz w:val="24"/>
          <w:szCs w:val="24"/>
        </w:rPr>
        <w:t>如采购人所采购产品为政府强制采购的节能产品，供应商所报产品的品牌及型号必须为清单中有效期内产品并提供证明文件，否则其响应文件将按无效处理。</w:t>
      </w:r>
    </w:p>
    <w:p>
      <w:pPr>
        <w:snapToGrid w:val="0"/>
        <w:spacing w:line="360" w:lineRule="auto"/>
        <w:ind w:firstLine="570"/>
        <w:rPr>
          <w:rFonts w:hint="eastAsia" w:ascii="楷体" w:hAnsi="楷体" w:eastAsia="楷体"/>
          <w:b/>
          <w:sz w:val="24"/>
          <w:szCs w:val="24"/>
        </w:rPr>
      </w:pPr>
      <w:r>
        <w:rPr>
          <w:rFonts w:hint="eastAsia" w:ascii="楷体" w:hAnsi="楷体" w:eastAsia="楷体"/>
          <w:b/>
          <w:sz w:val="24"/>
          <w:szCs w:val="24"/>
        </w:rPr>
        <w:t>如采购人所采购产品属于信息安全产品的，供应商所报产品应为经国家认证的信息安全产品，并提供由中国信息安全认证中心按国家标准认证颁发的有效认证证书，否则其响应文件将按无效处理。</w:t>
      </w:r>
    </w:p>
    <w:p>
      <w:pPr>
        <w:snapToGrid w:val="0"/>
        <w:spacing w:line="360" w:lineRule="auto"/>
        <w:ind w:firstLine="570"/>
        <w:rPr>
          <w:rFonts w:hint="eastAsia" w:ascii="楷体" w:hAnsi="楷体" w:eastAsia="楷体"/>
          <w:b/>
          <w:sz w:val="24"/>
          <w:szCs w:val="24"/>
        </w:rPr>
      </w:pPr>
    </w:p>
    <w:p>
      <w:pPr>
        <w:pStyle w:val="3"/>
        <w:numPr>
          <w:ilvl w:val="0"/>
          <w:numId w:val="0"/>
        </w:numPr>
        <w:snapToGrid w:val="0"/>
        <w:spacing w:before="0" w:after="0" w:line="360" w:lineRule="auto"/>
        <w:jc w:val="left"/>
        <w:rPr>
          <w:rFonts w:ascii="楷体" w:hAnsi="楷体" w:eastAsia="楷体"/>
          <w:sz w:val="24"/>
          <w:szCs w:val="24"/>
        </w:rPr>
      </w:pPr>
      <w:bookmarkStart w:id="19" w:name="_Toc380479096"/>
      <w:r>
        <w:rPr>
          <w:rFonts w:ascii="楷体" w:hAnsi="楷体" w:eastAsia="楷体"/>
          <w:sz w:val="24"/>
          <w:szCs w:val="24"/>
        </w:rPr>
        <w:t>7．报价</w:t>
      </w:r>
      <w:bookmarkEnd w:id="19"/>
    </w:p>
    <w:p>
      <w:pPr>
        <w:snapToGrid w:val="0"/>
        <w:spacing w:line="360" w:lineRule="auto"/>
        <w:rPr>
          <w:rFonts w:ascii="楷体" w:hAnsi="楷体" w:eastAsia="楷体"/>
          <w:sz w:val="24"/>
          <w:szCs w:val="24"/>
        </w:rPr>
      </w:pPr>
      <w:r>
        <w:rPr>
          <w:rFonts w:hint="eastAsia" w:ascii="楷体" w:hAnsi="楷体" w:eastAsia="楷体"/>
          <w:sz w:val="24"/>
          <w:szCs w:val="24"/>
        </w:rPr>
        <w:t xml:space="preserve">7.1 </w:t>
      </w:r>
      <w:r>
        <w:rPr>
          <w:rFonts w:ascii="楷体" w:hAnsi="楷体" w:eastAsia="楷体"/>
          <w:sz w:val="24"/>
          <w:szCs w:val="24"/>
        </w:rPr>
        <w:t>在提交响应文件时，供应商要按照磋商文件给出的格式提供报价函和参考报价表；在磋商结束后，供应商按照磋商小组的要求及磋商文件给出的格式提供报价函和最</w:t>
      </w:r>
      <w:r>
        <w:rPr>
          <w:rFonts w:hint="eastAsia" w:ascii="楷体" w:hAnsi="楷体" w:eastAsia="楷体"/>
          <w:sz w:val="24"/>
          <w:szCs w:val="24"/>
        </w:rPr>
        <w:t>后</w:t>
      </w:r>
      <w:r>
        <w:rPr>
          <w:rFonts w:ascii="楷体" w:hAnsi="楷体" w:eastAsia="楷体"/>
          <w:sz w:val="24"/>
          <w:szCs w:val="24"/>
        </w:rPr>
        <w:t>报价表。报价货币应为人民币。</w:t>
      </w:r>
    </w:p>
    <w:p>
      <w:pPr>
        <w:snapToGrid w:val="0"/>
        <w:spacing w:line="360" w:lineRule="auto"/>
        <w:rPr>
          <w:rFonts w:ascii="楷体" w:hAnsi="楷体" w:eastAsia="楷体"/>
          <w:bCs/>
          <w:sz w:val="24"/>
          <w:szCs w:val="24"/>
        </w:rPr>
      </w:pPr>
      <w:r>
        <w:rPr>
          <w:rFonts w:hint="eastAsia" w:ascii="楷体" w:hAnsi="楷体" w:eastAsia="楷体"/>
          <w:sz w:val="24"/>
          <w:szCs w:val="24"/>
        </w:rPr>
        <w:t>7.2 如</w:t>
      </w:r>
      <w:r>
        <w:rPr>
          <w:rFonts w:hint="eastAsia" w:ascii="楷体" w:hAnsi="楷体" w:eastAsia="楷体"/>
          <w:sz w:val="24"/>
          <w:szCs w:val="24"/>
          <w:u w:val="single"/>
        </w:rPr>
        <w:t>前附表</w:t>
      </w:r>
      <w:r>
        <w:rPr>
          <w:rFonts w:hint="eastAsia" w:ascii="楷体" w:hAnsi="楷体" w:eastAsia="楷体"/>
          <w:sz w:val="24"/>
          <w:szCs w:val="24"/>
        </w:rPr>
        <w:t>中写明允许采购进口产品的，进口产品应当采用人民币报价。</w:t>
      </w:r>
    </w:p>
    <w:p>
      <w:pPr>
        <w:snapToGrid w:val="0"/>
        <w:spacing w:line="360" w:lineRule="auto"/>
        <w:rPr>
          <w:rFonts w:ascii="楷体" w:hAnsi="楷体" w:eastAsia="楷体"/>
          <w:sz w:val="24"/>
          <w:szCs w:val="24"/>
        </w:rPr>
      </w:pPr>
      <w:r>
        <w:rPr>
          <w:rFonts w:hint="eastAsia" w:ascii="楷体" w:hAnsi="楷体" w:eastAsia="楷体"/>
          <w:sz w:val="24"/>
          <w:szCs w:val="24"/>
        </w:rPr>
        <w:t>7.3 每种货物或服务只能有一个报价，不接受具有附加条件的报价，否则其响应文件将作为无效处理。</w:t>
      </w:r>
    </w:p>
    <w:p>
      <w:pPr>
        <w:pStyle w:val="3"/>
        <w:numPr>
          <w:ilvl w:val="0"/>
          <w:numId w:val="0"/>
        </w:numPr>
        <w:snapToGrid w:val="0"/>
        <w:spacing w:before="0" w:after="0" w:line="360" w:lineRule="auto"/>
        <w:jc w:val="left"/>
        <w:rPr>
          <w:rFonts w:ascii="楷体" w:hAnsi="楷体" w:eastAsia="楷体"/>
          <w:sz w:val="24"/>
          <w:szCs w:val="24"/>
        </w:rPr>
      </w:pPr>
      <w:bookmarkStart w:id="20" w:name="_Toc380479097"/>
      <w:r>
        <w:rPr>
          <w:rFonts w:ascii="楷体" w:hAnsi="楷体" w:eastAsia="楷体"/>
          <w:sz w:val="24"/>
          <w:szCs w:val="24"/>
        </w:rPr>
        <w:t>8. 响应文件有效期</w:t>
      </w:r>
      <w:bookmarkEnd w:id="20"/>
    </w:p>
    <w:p>
      <w:pPr>
        <w:snapToGrid w:val="0"/>
        <w:spacing w:line="360" w:lineRule="auto"/>
        <w:rPr>
          <w:rFonts w:ascii="楷体" w:hAnsi="楷体" w:eastAsia="楷体"/>
          <w:sz w:val="28"/>
        </w:rPr>
      </w:pPr>
      <w:r>
        <w:rPr>
          <w:rFonts w:hint="eastAsia" w:ascii="楷体" w:hAnsi="楷体" w:eastAsia="楷体"/>
          <w:sz w:val="24"/>
          <w:szCs w:val="24"/>
        </w:rPr>
        <w:t xml:space="preserve">8.1 </w:t>
      </w:r>
      <w:r>
        <w:rPr>
          <w:rFonts w:ascii="楷体" w:hAnsi="楷体" w:eastAsia="楷体"/>
          <w:sz w:val="24"/>
          <w:szCs w:val="24"/>
        </w:rPr>
        <w:t>响应文件应自首次提交之日起，按照</w:t>
      </w:r>
      <w:r>
        <w:rPr>
          <w:rFonts w:ascii="楷体" w:hAnsi="楷体" w:eastAsia="楷体"/>
          <w:sz w:val="24"/>
          <w:szCs w:val="24"/>
          <w:u w:val="single"/>
        </w:rPr>
        <w:t>前附表</w:t>
      </w:r>
      <w:r>
        <w:rPr>
          <w:rFonts w:ascii="楷体" w:hAnsi="楷体" w:eastAsia="楷体"/>
          <w:sz w:val="24"/>
          <w:szCs w:val="24"/>
        </w:rPr>
        <w:t>中规定时间内保持有效，有效期短于要求的响应文件将按无效处理。</w:t>
      </w:r>
    </w:p>
    <w:p>
      <w:pPr>
        <w:spacing w:line="480" w:lineRule="exact"/>
        <w:rPr>
          <w:rFonts w:ascii="楷体" w:hAnsi="楷体" w:eastAsia="楷体"/>
          <w:sz w:val="28"/>
        </w:rPr>
      </w:pPr>
    </w:p>
    <w:p>
      <w:pPr>
        <w:pStyle w:val="3"/>
        <w:numPr>
          <w:ilvl w:val="0"/>
          <w:numId w:val="0"/>
        </w:numPr>
        <w:spacing w:before="0" w:after="0" w:line="480" w:lineRule="exact"/>
        <w:rPr>
          <w:rFonts w:ascii="楷体" w:hAnsi="楷体" w:eastAsia="楷体"/>
          <w:b w:val="0"/>
          <w:sz w:val="28"/>
        </w:rPr>
      </w:pPr>
      <w:bookmarkStart w:id="21" w:name="_Toc380479098"/>
      <w:r>
        <w:rPr>
          <w:rFonts w:ascii="楷体" w:hAnsi="楷体" w:eastAsia="楷体"/>
          <w:sz w:val="28"/>
          <w:szCs w:val="28"/>
        </w:rPr>
        <w:t>四  响应文件的</w:t>
      </w:r>
      <w:r>
        <w:rPr>
          <w:rFonts w:hint="eastAsia" w:ascii="楷体" w:hAnsi="楷体" w:eastAsia="楷体"/>
          <w:sz w:val="28"/>
          <w:szCs w:val="28"/>
        </w:rPr>
        <w:t>签署规定和</w:t>
      </w:r>
      <w:r>
        <w:rPr>
          <w:rFonts w:ascii="楷体" w:hAnsi="楷体" w:eastAsia="楷体"/>
          <w:sz w:val="28"/>
          <w:szCs w:val="28"/>
        </w:rPr>
        <w:t>递交</w:t>
      </w:r>
      <w:bookmarkEnd w:id="21"/>
    </w:p>
    <w:p>
      <w:pPr>
        <w:pStyle w:val="3"/>
        <w:numPr>
          <w:ilvl w:val="0"/>
          <w:numId w:val="0"/>
        </w:numPr>
        <w:snapToGrid w:val="0"/>
        <w:spacing w:before="0" w:after="0" w:line="360" w:lineRule="auto"/>
        <w:jc w:val="left"/>
        <w:rPr>
          <w:rFonts w:ascii="楷体" w:hAnsi="楷体" w:eastAsia="楷体"/>
          <w:sz w:val="24"/>
          <w:szCs w:val="24"/>
        </w:rPr>
      </w:pPr>
      <w:bookmarkStart w:id="22" w:name="_Toc380479099"/>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9．响应文件签署及规定</w:t>
      </w:r>
      <w:bookmarkEnd w:id="22"/>
    </w:p>
    <w:p>
      <w:pPr>
        <w:tabs>
          <w:tab w:val="left" w:pos="995"/>
        </w:tabs>
        <w:snapToGrid w:val="0"/>
        <w:spacing w:line="360" w:lineRule="auto"/>
        <w:rPr>
          <w:rFonts w:hint="eastAsia" w:ascii="楷体" w:hAnsi="楷体" w:eastAsia="楷体"/>
          <w:sz w:val="24"/>
          <w:szCs w:val="24"/>
        </w:rPr>
      </w:pPr>
      <w:r>
        <w:rPr>
          <w:rFonts w:ascii="楷体" w:hAnsi="楷体" w:eastAsia="楷体"/>
          <w:sz w:val="24"/>
          <w:szCs w:val="24"/>
        </w:rPr>
        <w:t>9.1 磋商供应商应按</w:t>
      </w:r>
      <w:r>
        <w:rPr>
          <w:rFonts w:ascii="楷体" w:hAnsi="楷体" w:eastAsia="楷体"/>
          <w:sz w:val="24"/>
          <w:szCs w:val="24"/>
          <w:u w:val="single"/>
        </w:rPr>
        <w:t>前附表</w:t>
      </w:r>
      <w:r>
        <w:rPr>
          <w:rFonts w:ascii="楷体" w:hAnsi="楷体" w:eastAsia="楷体"/>
          <w:sz w:val="24"/>
          <w:szCs w:val="24"/>
        </w:rPr>
        <w:t>中的规定准备</w:t>
      </w:r>
      <w:r>
        <w:rPr>
          <w:rFonts w:hint="eastAsia" w:ascii="楷体" w:hAnsi="楷体" w:eastAsia="楷体"/>
          <w:sz w:val="24"/>
          <w:szCs w:val="24"/>
        </w:rPr>
        <w:t>和</w:t>
      </w:r>
      <w:r>
        <w:rPr>
          <w:rFonts w:ascii="楷体" w:hAnsi="楷体" w:eastAsia="楷体"/>
          <w:sz w:val="24"/>
          <w:szCs w:val="24"/>
        </w:rPr>
        <w:t>递交响应文件正本、副本和电子文档，纸质响应文件封面应注明“正本”或“副本”字样，副本可以是正本的复印件，当正本和副本之间出现差异时，以正本为准。</w:t>
      </w:r>
      <w:r>
        <w:rPr>
          <w:rFonts w:hint="eastAsia" w:ascii="楷体" w:hAnsi="楷体" w:eastAsia="楷体"/>
          <w:sz w:val="24"/>
          <w:szCs w:val="24"/>
        </w:rPr>
        <w:t>响应</w:t>
      </w:r>
      <w:r>
        <w:rPr>
          <w:rFonts w:ascii="楷体" w:hAnsi="楷体" w:eastAsia="楷体"/>
          <w:sz w:val="24"/>
          <w:szCs w:val="24"/>
        </w:rPr>
        <w:t>文件应采用</w:t>
      </w:r>
      <w:r>
        <w:rPr>
          <w:rFonts w:hint="eastAsia" w:ascii="楷体" w:hAnsi="楷体" w:eastAsia="楷体"/>
          <w:sz w:val="24"/>
          <w:szCs w:val="24"/>
        </w:rPr>
        <w:t>不可拆装</w:t>
      </w:r>
      <w:r>
        <w:rPr>
          <w:rFonts w:ascii="楷体" w:hAnsi="楷体" w:eastAsia="楷体"/>
          <w:sz w:val="24"/>
          <w:szCs w:val="24"/>
        </w:rPr>
        <w:t>的方式装订。</w:t>
      </w:r>
    </w:p>
    <w:p>
      <w:pPr>
        <w:tabs>
          <w:tab w:val="left" w:pos="995"/>
        </w:tabs>
        <w:snapToGrid w:val="0"/>
        <w:spacing w:line="360" w:lineRule="auto"/>
        <w:rPr>
          <w:rFonts w:ascii="楷体" w:hAnsi="楷体" w:eastAsia="楷体"/>
          <w:sz w:val="24"/>
          <w:szCs w:val="24"/>
        </w:rPr>
      </w:pPr>
      <w:r>
        <w:rPr>
          <w:rFonts w:ascii="楷体" w:hAnsi="楷体" w:eastAsia="楷体"/>
          <w:sz w:val="24"/>
          <w:szCs w:val="24"/>
        </w:rPr>
        <w:t>9.2</w:t>
      </w:r>
      <w:r>
        <w:rPr>
          <w:rFonts w:hint="eastAsia" w:ascii="楷体" w:hAnsi="楷体" w:eastAsia="楷体"/>
          <w:sz w:val="24"/>
          <w:szCs w:val="24"/>
        </w:rPr>
        <w:t xml:space="preserve"> </w:t>
      </w:r>
      <w:r>
        <w:rPr>
          <w:rFonts w:ascii="楷体" w:hAnsi="楷体" w:eastAsia="楷体"/>
          <w:sz w:val="24"/>
          <w:szCs w:val="24"/>
        </w:rPr>
        <w:t>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rPr>
          <w:rFonts w:ascii="楷体" w:hAnsi="楷体" w:eastAsia="楷体"/>
          <w:sz w:val="24"/>
          <w:szCs w:val="24"/>
        </w:rPr>
      </w:pPr>
      <w:r>
        <w:rPr>
          <w:rFonts w:ascii="楷体" w:hAnsi="楷体" w:eastAsia="楷体"/>
          <w:sz w:val="24"/>
          <w:szCs w:val="24"/>
        </w:rPr>
        <w:t>9.3 供应商在提交响应文件截止时间前，可以对所提交的响应文件进行补充、修改或者撤回，并书面通知中招公司。补充、修改的内容作为响应文件的组成部分。补充、修改的内容与响应文件不一致的，以补充、修改的内容为准。</w:t>
      </w:r>
    </w:p>
    <w:p>
      <w:pPr>
        <w:tabs>
          <w:tab w:val="left" w:pos="995"/>
        </w:tabs>
        <w:snapToGrid w:val="0"/>
        <w:spacing w:line="360" w:lineRule="auto"/>
        <w:rPr>
          <w:rFonts w:ascii="楷体" w:hAnsi="楷体" w:eastAsia="楷体"/>
          <w:sz w:val="24"/>
          <w:szCs w:val="24"/>
        </w:rPr>
      </w:pPr>
      <w:r>
        <w:rPr>
          <w:rFonts w:ascii="楷体" w:hAnsi="楷体" w:eastAsia="楷体"/>
          <w:sz w:val="24"/>
          <w:szCs w:val="24"/>
        </w:rPr>
        <w:t>9.4 供应商</w:t>
      </w:r>
      <w:r>
        <w:rPr>
          <w:rFonts w:hint="eastAsia" w:ascii="楷体" w:hAnsi="楷体" w:eastAsia="楷体"/>
          <w:sz w:val="24"/>
          <w:szCs w:val="24"/>
        </w:rPr>
        <w:t>根据</w:t>
      </w:r>
      <w:r>
        <w:rPr>
          <w:rFonts w:ascii="楷体" w:hAnsi="楷体" w:eastAsia="楷体"/>
          <w:sz w:val="24"/>
          <w:szCs w:val="24"/>
        </w:rPr>
        <w:t>磋商小组</w:t>
      </w:r>
      <w:r>
        <w:rPr>
          <w:rFonts w:hint="eastAsia" w:ascii="楷体" w:hAnsi="楷体" w:eastAsia="楷体"/>
          <w:sz w:val="24"/>
          <w:szCs w:val="24"/>
        </w:rPr>
        <w:t>的要求</w:t>
      </w:r>
      <w:r>
        <w:rPr>
          <w:rFonts w:ascii="楷体" w:hAnsi="楷体" w:eastAsia="楷体"/>
          <w:sz w:val="24"/>
          <w:szCs w:val="24"/>
        </w:rPr>
        <w:t>对响应文件中含义不明确、同类问题表述不一致或者有明显文字和计算错误的内容等做出的澄清、说明或者更正，</w:t>
      </w:r>
      <w:r>
        <w:rPr>
          <w:rFonts w:hint="eastAsia" w:ascii="楷体" w:hAnsi="楷体" w:eastAsia="楷体"/>
          <w:sz w:val="24"/>
          <w:szCs w:val="24"/>
        </w:rPr>
        <w:t>以及磋商中根据磋商文件实质性变动重新提交的响应文件，其签署规定同9.2款要求。</w:t>
      </w:r>
    </w:p>
    <w:p>
      <w:pPr>
        <w:pStyle w:val="3"/>
        <w:numPr>
          <w:ilvl w:val="0"/>
          <w:numId w:val="0"/>
        </w:numPr>
        <w:snapToGrid w:val="0"/>
        <w:spacing w:before="0" w:after="0" w:line="360" w:lineRule="auto"/>
        <w:jc w:val="left"/>
        <w:rPr>
          <w:rFonts w:ascii="楷体" w:hAnsi="楷体" w:eastAsia="楷体"/>
          <w:sz w:val="24"/>
          <w:szCs w:val="24"/>
        </w:rPr>
      </w:pPr>
      <w:bookmarkStart w:id="23" w:name="_Toc380479100"/>
      <w:r>
        <w:rPr>
          <w:rFonts w:ascii="楷体" w:hAnsi="楷体" w:eastAsia="楷体"/>
          <w:sz w:val="24"/>
          <w:szCs w:val="24"/>
        </w:rPr>
        <w:t>10．响应文件的递交</w:t>
      </w:r>
      <w:bookmarkEnd w:id="23"/>
    </w:p>
    <w:p>
      <w:pPr>
        <w:snapToGrid w:val="0"/>
        <w:spacing w:line="360" w:lineRule="auto"/>
        <w:rPr>
          <w:rFonts w:ascii="楷体" w:hAnsi="楷体" w:eastAsia="楷体"/>
          <w:kern w:val="0"/>
          <w:sz w:val="24"/>
          <w:szCs w:val="24"/>
        </w:rPr>
      </w:pPr>
      <w:r>
        <w:rPr>
          <w:rFonts w:hint="eastAsia" w:ascii="楷体" w:hAnsi="楷体" w:eastAsia="楷体"/>
          <w:sz w:val="24"/>
          <w:szCs w:val="24"/>
        </w:rPr>
        <w:t xml:space="preserve">10.1 </w:t>
      </w:r>
      <w:r>
        <w:rPr>
          <w:rFonts w:ascii="楷体" w:hAnsi="楷体" w:eastAsia="楷体"/>
          <w:sz w:val="24"/>
          <w:szCs w:val="24"/>
        </w:rPr>
        <w:t>响应文件及电子版应密封递交，封套上注明磋商供应商名称、项目编号及项目名称。</w:t>
      </w:r>
      <w:r>
        <w:rPr>
          <w:rFonts w:hint="eastAsia" w:ascii="楷体" w:hAnsi="楷体" w:eastAsia="楷体"/>
          <w:sz w:val="24"/>
          <w:szCs w:val="24"/>
        </w:rPr>
        <w:t>首次提交的</w:t>
      </w:r>
      <w:r>
        <w:rPr>
          <w:rFonts w:ascii="楷体" w:hAnsi="楷体" w:eastAsia="楷体"/>
          <w:sz w:val="24"/>
          <w:szCs w:val="24"/>
        </w:rPr>
        <w:t>响应文件必须</w:t>
      </w:r>
      <w:r>
        <w:rPr>
          <w:rFonts w:ascii="楷体" w:hAnsi="楷体" w:eastAsia="楷体"/>
          <w:kern w:val="0"/>
          <w:sz w:val="24"/>
          <w:szCs w:val="24"/>
        </w:rPr>
        <w:t>在</w:t>
      </w:r>
      <w:r>
        <w:rPr>
          <w:rFonts w:hint="eastAsia" w:ascii="楷体" w:hAnsi="楷体" w:eastAsia="楷体"/>
          <w:kern w:val="0"/>
          <w:sz w:val="24"/>
          <w:szCs w:val="24"/>
        </w:rPr>
        <w:t>第一章</w:t>
      </w:r>
      <w:r>
        <w:rPr>
          <w:rFonts w:ascii="楷体" w:hAnsi="楷体" w:eastAsia="楷体"/>
          <w:kern w:val="0"/>
          <w:sz w:val="24"/>
          <w:szCs w:val="24"/>
        </w:rPr>
        <w:t>规定的截止时间前密封送达到指定地点。在截止时间后送达的响应文件为无效文件</w:t>
      </w:r>
      <w:r>
        <w:rPr>
          <w:rFonts w:hint="eastAsia" w:ascii="楷体" w:hAnsi="楷体" w:eastAsia="楷体"/>
          <w:kern w:val="0"/>
          <w:sz w:val="24"/>
          <w:szCs w:val="24"/>
        </w:rPr>
        <w:t>，</w:t>
      </w:r>
      <w:r>
        <w:rPr>
          <w:rFonts w:ascii="楷体" w:hAnsi="楷体" w:eastAsia="楷体"/>
          <w:kern w:val="0"/>
          <w:sz w:val="24"/>
          <w:szCs w:val="24"/>
        </w:rPr>
        <w:t>中招公司</w:t>
      </w:r>
      <w:r>
        <w:rPr>
          <w:rFonts w:hint="eastAsia" w:ascii="楷体" w:hAnsi="楷体" w:eastAsia="楷体"/>
          <w:kern w:val="0"/>
          <w:sz w:val="24"/>
          <w:szCs w:val="24"/>
        </w:rPr>
        <w:t>将</w:t>
      </w:r>
      <w:r>
        <w:rPr>
          <w:rFonts w:ascii="楷体" w:hAnsi="楷体" w:eastAsia="楷体"/>
          <w:kern w:val="0"/>
          <w:sz w:val="24"/>
          <w:szCs w:val="24"/>
        </w:rPr>
        <w:t>拒收。</w:t>
      </w:r>
    </w:p>
    <w:p>
      <w:pPr>
        <w:snapToGrid w:val="0"/>
        <w:spacing w:line="360" w:lineRule="auto"/>
        <w:rPr>
          <w:rFonts w:hint="eastAsia" w:ascii="楷体" w:hAnsi="楷体" w:eastAsia="楷体"/>
          <w:kern w:val="0"/>
          <w:sz w:val="28"/>
          <w:szCs w:val="21"/>
        </w:rPr>
      </w:pPr>
    </w:p>
    <w:p>
      <w:pPr>
        <w:pStyle w:val="3"/>
        <w:numPr>
          <w:ilvl w:val="0"/>
          <w:numId w:val="0"/>
        </w:numPr>
        <w:spacing w:before="0" w:after="0" w:line="480" w:lineRule="exact"/>
        <w:rPr>
          <w:rFonts w:ascii="楷体" w:hAnsi="楷体" w:eastAsia="楷体"/>
          <w:b w:val="0"/>
          <w:sz w:val="28"/>
        </w:rPr>
      </w:pPr>
      <w:bookmarkStart w:id="24" w:name="_Toc380479101"/>
      <w:r>
        <w:rPr>
          <w:rFonts w:ascii="楷体" w:hAnsi="楷体" w:eastAsia="楷体"/>
          <w:sz w:val="28"/>
          <w:szCs w:val="28"/>
        </w:rPr>
        <w:t>五  保证金</w:t>
      </w:r>
      <w:bookmarkEnd w:id="24"/>
    </w:p>
    <w:p>
      <w:pPr>
        <w:pStyle w:val="3"/>
        <w:numPr>
          <w:ilvl w:val="0"/>
          <w:numId w:val="0"/>
        </w:numPr>
        <w:snapToGrid w:val="0"/>
        <w:spacing w:before="0" w:after="0" w:line="360" w:lineRule="auto"/>
        <w:jc w:val="left"/>
        <w:rPr>
          <w:rFonts w:ascii="楷体" w:hAnsi="楷体" w:eastAsia="楷体"/>
          <w:sz w:val="24"/>
          <w:szCs w:val="24"/>
        </w:rPr>
      </w:pPr>
      <w:bookmarkStart w:id="25" w:name="_Toc380479102"/>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11．保证金的提交</w:t>
      </w:r>
      <w:bookmarkEnd w:id="25"/>
    </w:p>
    <w:p>
      <w:pPr>
        <w:snapToGrid w:val="0"/>
        <w:spacing w:line="360" w:lineRule="auto"/>
        <w:rPr>
          <w:rFonts w:ascii="楷体" w:hAnsi="楷体" w:eastAsia="楷体"/>
          <w:sz w:val="24"/>
          <w:szCs w:val="24"/>
        </w:rPr>
      </w:pPr>
      <w:r>
        <w:rPr>
          <w:rFonts w:hint="eastAsia" w:ascii="楷体" w:hAnsi="楷体" w:eastAsia="楷体"/>
          <w:sz w:val="24"/>
          <w:szCs w:val="24"/>
        </w:rPr>
        <w:t>11.1</w:t>
      </w:r>
      <w:r>
        <w:rPr>
          <w:rFonts w:ascii="楷体" w:hAnsi="楷体" w:eastAsia="楷体"/>
          <w:sz w:val="24"/>
          <w:szCs w:val="24"/>
        </w:rPr>
        <w:t>供应商在提交响应文件</w:t>
      </w:r>
      <w:r>
        <w:rPr>
          <w:rFonts w:hint="eastAsia" w:ascii="楷体" w:hAnsi="楷体" w:eastAsia="楷体"/>
          <w:sz w:val="24"/>
          <w:szCs w:val="24"/>
        </w:rPr>
        <w:t>截止时间</w:t>
      </w:r>
      <w:r>
        <w:rPr>
          <w:rFonts w:ascii="楷体" w:hAnsi="楷体" w:eastAsia="楷体"/>
          <w:sz w:val="24"/>
          <w:szCs w:val="24"/>
        </w:rPr>
        <w:t>前，向中招公司提交保证金，保证金的形式和数额见</w:t>
      </w:r>
      <w:r>
        <w:rPr>
          <w:rFonts w:ascii="楷体" w:hAnsi="楷体" w:eastAsia="楷体"/>
          <w:sz w:val="24"/>
          <w:szCs w:val="24"/>
          <w:u w:val="single"/>
        </w:rPr>
        <w:t>前附表</w:t>
      </w:r>
      <w:r>
        <w:rPr>
          <w:rFonts w:ascii="楷体" w:hAnsi="楷体" w:eastAsia="楷体"/>
          <w:sz w:val="24"/>
          <w:szCs w:val="24"/>
        </w:rPr>
        <w:t>要求。供应商为联合体的，可以由联合体中的一方或者多方共同交纳保证金，其交纳的保证金对联合体各方均具有约束力。</w:t>
      </w:r>
    </w:p>
    <w:p>
      <w:pPr>
        <w:pStyle w:val="3"/>
        <w:numPr>
          <w:ilvl w:val="0"/>
          <w:numId w:val="0"/>
        </w:numPr>
        <w:snapToGrid w:val="0"/>
        <w:spacing w:before="0" w:after="0" w:line="360" w:lineRule="auto"/>
        <w:jc w:val="left"/>
        <w:rPr>
          <w:rFonts w:ascii="楷体" w:hAnsi="楷体" w:eastAsia="楷体"/>
          <w:sz w:val="24"/>
          <w:szCs w:val="24"/>
        </w:rPr>
      </w:pPr>
      <w:bookmarkStart w:id="26" w:name="_Toc380479103"/>
      <w:r>
        <w:rPr>
          <w:rFonts w:ascii="楷体" w:hAnsi="楷体" w:eastAsia="楷体"/>
          <w:sz w:val="24"/>
          <w:szCs w:val="24"/>
        </w:rPr>
        <w:t>12．</w:t>
      </w:r>
      <w:r>
        <w:rPr>
          <w:rFonts w:hint="eastAsia" w:ascii="楷体" w:hAnsi="楷体" w:eastAsia="楷体"/>
          <w:sz w:val="24"/>
          <w:szCs w:val="24"/>
        </w:rPr>
        <w:t>保证金的没收</w:t>
      </w:r>
      <w:bookmarkEnd w:id="26"/>
    </w:p>
    <w:p>
      <w:pPr>
        <w:snapToGrid w:val="0"/>
        <w:spacing w:line="360" w:lineRule="auto"/>
        <w:rPr>
          <w:rFonts w:ascii="楷体" w:hAnsi="楷体" w:eastAsia="楷体"/>
          <w:sz w:val="24"/>
          <w:szCs w:val="24"/>
        </w:rPr>
      </w:pPr>
      <w:r>
        <w:rPr>
          <w:rFonts w:hint="eastAsia" w:ascii="楷体" w:hAnsi="楷体" w:eastAsia="楷体"/>
          <w:sz w:val="24"/>
          <w:szCs w:val="24"/>
        </w:rPr>
        <w:t xml:space="preserve">12.1 </w:t>
      </w:r>
      <w:r>
        <w:rPr>
          <w:rFonts w:ascii="楷体" w:hAnsi="楷体" w:eastAsia="楷体"/>
          <w:sz w:val="24"/>
          <w:szCs w:val="24"/>
        </w:rPr>
        <w:t>发生下列情况之一，保证金将被没收：</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w:t>
      </w:r>
      <w:r>
        <w:rPr>
          <w:rFonts w:ascii="楷体" w:hAnsi="楷体" w:eastAsia="楷体"/>
          <w:sz w:val="24"/>
          <w:szCs w:val="24"/>
        </w:rPr>
        <w:t>供应商在提交响应文件截止时间后撤回响应文件的；</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供应商在响应文件中提供虚假材料的；</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3</w:t>
      </w:r>
      <w:r>
        <w:rPr>
          <w:rFonts w:hint="eastAsia" w:ascii="楷体" w:hAnsi="楷体" w:eastAsia="楷体"/>
          <w:sz w:val="24"/>
          <w:szCs w:val="24"/>
        </w:rPr>
        <w:t>）</w:t>
      </w:r>
      <w:r>
        <w:rPr>
          <w:rFonts w:ascii="楷体" w:hAnsi="楷体" w:eastAsia="楷体"/>
          <w:sz w:val="24"/>
          <w:szCs w:val="24"/>
        </w:rPr>
        <w:t>除因不可抗力或</w:t>
      </w:r>
      <w:r>
        <w:rPr>
          <w:rFonts w:ascii="楷体" w:hAnsi="楷体" w:eastAsia="楷体"/>
          <w:sz w:val="24"/>
          <w:szCs w:val="24"/>
          <w:u w:val="single"/>
        </w:rPr>
        <w:t>前附表</w:t>
      </w:r>
      <w:r>
        <w:rPr>
          <w:rFonts w:ascii="楷体" w:hAnsi="楷体" w:eastAsia="楷体"/>
          <w:sz w:val="24"/>
          <w:szCs w:val="24"/>
        </w:rPr>
        <w:t>认可的情形以外，成交供应商不与采购人签订合同的；</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供应商与采购人、其他供应商或者中招公司</w:t>
      </w:r>
      <w:r>
        <w:rPr>
          <w:rFonts w:hint="eastAsia" w:ascii="楷体" w:hAnsi="楷体" w:eastAsia="楷体"/>
          <w:sz w:val="24"/>
          <w:szCs w:val="24"/>
        </w:rPr>
        <w:t>工作人员</w:t>
      </w:r>
      <w:r>
        <w:rPr>
          <w:rFonts w:ascii="楷体" w:hAnsi="楷体" w:eastAsia="楷体"/>
          <w:sz w:val="24"/>
          <w:szCs w:val="24"/>
        </w:rPr>
        <w:t>恶意串通的；</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5</w:t>
      </w:r>
      <w:r>
        <w:rPr>
          <w:rFonts w:hint="eastAsia" w:ascii="楷体" w:hAnsi="楷体" w:eastAsia="楷体"/>
          <w:sz w:val="24"/>
          <w:szCs w:val="24"/>
        </w:rPr>
        <w:t>）</w:t>
      </w:r>
      <w:r>
        <w:rPr>
          <w:rFonts w:ascii="楷体" w:hAnsi="楷体" w:eastAsia="楷体"/>
          <w:sz w:val="24"/>
          <w:szCs w:val="24"/>
        </w:rPr>
        <w:t>成交供应商签订合同后不向中招公司支付中介服务费。</w:t>
      </w:r>
    </w:p>
    <w:p>
      <w:pPr>
        <w:pStyle w:val="3"/>
        <w:numPr>
          <w:ilvl w:val="0"/>
          <w:numId w:val="0"/>
        </w:numPr>
        <w:spacing w:before="0" w:after="0" w:line="360" w:lineRule="auto"/>
        <w:jc w:val="left"/>
        <w:rPr>
          <w:rFonts w:ascii="楷体" w:hAnsi="楷体" w:eastAsia="楷体"/>
          <w:kern w:val="2"/>
          <w:sz w:val="24"/>
          <w:szCs w:val="24"/>
        </w:rPr>
      </w:pPr>
      <w:bookmarkStart w:id="27" w:name="_Toc380479104"/>
      <w:r>
        <w:rPr>
          <w:rFonts w:ascii="楷体" w:hAnsi="楷体" w:eastAsia="楷体"/>
          <w:kern w:val="2"/>
          <w:sz w:val="24"/>
          <w:szCs w:val="24"/>
        </w:rPr>
        <w:t>13．保证金的退还</w:t>
      </w:r>
      <w:bookmarkEnd w:id="27"/>
    </w:p>
    <w:p>
      <w:pPr>
        <w:spacing w:line="360" w:lineRule="auto"/>
        <w:rPr>
          <w:rFonts w:ascii="楷体" w:hAnsi="楷体" w:eastAsia="楷体"/>
          <w:sz w:val="24"/>
          <w:szCs w:val="24"/>
        </w:rPr>
      </w:pPr>
      <w:r>
        <w:rPr>
          <w:rFonts w:hint="eastAsia" w:ascii="楷体" w:hAnsi="楷体" w:eastAsia="楷体"/>
          <w:sz w:val="24"/>
          <w:szCs w:val="24"/>
        </w:rPr>
        <w:t xml:space="preserve">13.1 </w:t>
      </w:r>
      <w:r>
        <w:rPr>
          <w:rFonts w:ascii="楷体" w:hAnsi="楷体" w:eastAsia="楷体"/>
          <w:sz w:val="24"/>
          <w:szCs w:val="24"/>
        </w:rPr>
        <w:t>已提交响应文件的供应商</w:t>
      </w:r>
      <w:r>
        <w:rPr>
          <w:rFonts w:hint="eastAsia" w:ascii="楷体" w:hAnsi="楷体" w:eastAsia="楷体"/>
          <w:sz w:val="24"/>
          <w:szCs w:val="24"/>
        </w:rPr>
        <w:t>属于前附表认可的情形的，</w:t>
      </w:r>
      <w:r>
        <w:rPr>
          <w:rFonts w:ascii="楷体" w:hAnsi="楷体" w:eastAsia="楷体"/>
          <w:sz w:val="24"/>
          <w:szCs w:val="24"/>
        </w:rPr>
        <w:t>在提交最后报价之前</w:t>
      </w:r>
      <w:r>
        <w:rPr>
          <w:rFonts w:hint="eastAsia" w:ascii="楷体" w:hAnsi="楷体" w:eastAsia="楷体"/>
          <w:sz w:val="24"/>
          <w:szCs w:val="24"/>
        </w:rPr>
        <w:t>根据磋商情况</w:t>
      </w:r>
      <w:r>
        <w:rPr>
          <w:rFonts w:ascii="楷体" w:hAnsi="楷体" w:eastAsia="楷体"/>
          <w:sz w:val="24"/>
          <w:szCs w:val="24"/>
        </w:rPr>
        <w:t>退出磋商</w:t>
      </w:r>
      <w:r>
        <w:rPr>
          <w:rFonts w:hint="eastAsia" w:ascii="楷体" w:hAnsi="楷体" w:eastAsia="楷体"/>
          <w:sz w:val="24"/>
          <w:szCs w:val="24"/>
        </w:rPr>
        <w:t>，</w:t>
      </w:r>
      <w:r>
        <w:rPr>
          <w:rFonts w:ascii="楷体" w:hAnsi="楷体" w:eastAsia="楷体"/>
          <w:sz w:val="24"/>
          <w:szCs w:val="24"/>
        </w:rPr>
        <w:t>保证金将</w:t>
      </w:r>
      <w:r>
        <w:rPr>
          <w:rFonts w:hint="eastAsia" w:ascii="楷体" w:hAnsi="楷体" w:eastAsia="楷体"/>
          <w:sz w:val="24"/>
          <w:szCs w:val="24"/>
        </w:rPr>
        <w:t>及时</w:t>
      </w:r>
      <w:r>
        <w:rPr>
          <w:rFonts w:ascii="楷体" w:hAnsi="楷体" w:eastAsia="楷体"/>
          <w:sz w:val="24"/>
          <w:szCs w:val="24"/>
        </w:rPr>
        <w:t>予以退还。</w:t>
      </w:r>
    </w:p>
    <w:p>
      <w:pPr>
        <w:spacing w:line="360" w:lineRule="auto"/>
        <w:rPr>
          <w:rFonts w:ascii="楷体" w:hAnsi="楷体" w:eastAsia="楷体"/>
          <w:sz w:val="24"/>
          <w:szCs w:val="24"/>
        </w:rPr>
      </w:pPr>
      <w:r>
        <w:rPr>
          <w:rFonts w:hint="eastAsia" w:ascii="楷体" w:hAnsi="楷体" w:eastAsia="楷体"/>
          <w:sz w:val="24"/>
          <w:szCs w:val="24"/>
        </w:rPr>
        <w:t>13.2</w:t>
      </w:r>
      <w:r>
        <w:rPr>
          <w:rFonts w:ascii="楷体" w:hAnsi="楷体" w:eastAsia="楷体"/>
          <w:sz w:val="24"/>
          <w:szCs w:val="24"/>
        </w:rPr>
        <w:t>成交供应商</w:t>
      </w:r>
      <w:r>
        <w:rPr>
          <w:rFonts w:hint="eastAsia" w:ascii="楷体" w:hAnsi="楷体" w:eastAsia="楷体"/>
          <w:sz w:val="24"/>
          <w:szCs w:val="24"/>
        </w:rPr>
        <w:t>应在与采购人签订合同之日</w:t>
      </w:r>
      <w:r>
        <w:rPr>
          <w:rFonts w:ascii="楷体" w:hAnsi="楷体" w:eastAsia="楷体"/>
          <w:sz w:val="24"/>
          <w:szCs w:val="24"/>
        </w:rPr>
        <w:t>起</w:t>
      </w:r>
      <w:r>
        <w:rPr>
          <w:rFonts w:hint="eastAsia" w:ascii="楷体" w:hAnsi="楷体" w:eastAsia="楷体"/>
          <w:sz w:val="24"/>
          <w:szCs w:val="24"/>
        </w:rPr>
        <w:t>5个工作日内，及时</w:t>
      </w:r>
      <w:r>
        <w:rPr>
          <w:rFonts w:ascii="楷体" w:hAnsi="楷体" w:eastAsia="楷体"/>
          <w:sz w:val="24"/>
          <w:szCs w:val="24"/>
        </w:rPr>
        <w:t>联系</w:t>
      </w:r>
      <w:r>
        <w:rPr>
          <w:rFonts w:hint="eastAsia" w:ascii="楷体" w:hAnsi="楷体" w:eastAsia="楷体"/>
          <w:sz w:val="24"/>
          <w:szCs w:val="24"/>
        </w:rPr>
        <w:t>采购代理机构办理保证金无息退还手续。</w:t>
      </w:r>
    </w:p>
    <w:p>
      <w:pPr>
        <w:spacing w:line="360" w:lineRule="auto"/>
        <w:rPr>
          <w:rFonts w:hint="eastAsia" w:ascii="楷体" w:hAnsi="楷体" w:eastAsia="楷体"/>
          <w:sz w:val="24"/>
          <w:szCs w:val="24"/>
        </w:rPr>
      </w:pPr>
      <w:r>
        <w:rPr>
          <w:rFonts w:ascii="楷体" w:hAnsi="楷体" w:eastAsia="楷体"/>
          <w:sz w:val="24"/>
          <w:szCs w:val="24"/>
        </w:rPr>
        <w:t>13.3未成交供应商</w:t>
      </w:r>
      <w:r>
        <w:rPr>
          <w:rFonts w:hint="eastAsia" w:ascii="楷体" w:hAnsi="楷体" w:eastAsia="楷体"/>
          <w:sz w:val="24"/>
          <w:szCs w:val="24"/>
        </w:rPr>
        <w:t>的保证金将在成交通知书发出之日暨成交结果公告公布之日起5个工作日内无息退还，</w:t>
      </w:r>
      <w:r>
        <w:rPr>
          <w:rFonts w:ascii="楷体" w:hAnsi="楷体" w:eastAsia="楷体"/>
          <w:sz w:val="24"/>
          <w:szCs w:val="24"/>
        </w:rPr>
        <w:t>供应商</w:t>
      </w:r>
      <w:r>
        <w:rPr>
          <w:rFonts w:hint="eastAsia" w:ascii="楷体" w:hAnsi="楷体" w:eastAsia="楷体"/>
          <w:sz w:val="24"/>
          <w:szCs w:val="24"/>
        </w:rPr>
        <w:t>应在成交结果公告公布后</w:t>
      </w:r>
      <w:r>
        <w:rPr>
          <w:rFonts w:ascii="楷体" w:hAnsi="楷体" w:eastAsia="楷体"/>
          <w:sz w:val="24"/>
          <w:szCs w:val="24"/>
        </w:rPr>
        <w:t>及时联系</w:t>
      </w:r>
      <w:r>
        <w:rPr>
          <w:rFonts w:hint="eastAsia" w:ascii="楷体" w:hAnsi="楷体" w:eastAsia="楷体"/>
          <w:sz w:val="24"/>
          <w:szCs w:val="24"/>
        </w:rPr>
        <w:t>采购代理机构办理保证金退还手续。</w:t>
      </w:r>
    </w:p>
    <w:p>
      <w:pPr>
        <w:spacing w:line="360" w:lineRule="auto"/>
        <w:rPr>
          <w:rFonts w:hint="eastAsia" w:ascii="楷体" w:hAnsi="楷体" w:eastAsia="楷体"/>
          <w:sz w:val="24"/>
          <w:szCs w:val="24"/>
        </w:rPr>
      </w:pPr>
      <w:r>
        <w:rPr>
          <w:rFonts w:ascii="楷体" w:hAnsi="楷体" w:eastAsia="楷体"/>
          <w:sz w:val="24"/>
          <w:szCs w:val="24"/>
        </w:rPr>
        <w:t>13.4</w:t>
      </w:r>
      <w:r>
        <w:rPr>
          <w:rFonts w:hint="eastAsia" w:ascii="楷体" w:hAnsi="楷体" w:eastAsia="楷体"/>
          <w:sz w:val="24"/>
          <w:szCs w:val="24"/>
        </w:rPr>
        <w:t>政府采购投标信用担保函正本不予退回。</w:t>
      </w:r>
    </w:p>
    <w:p>
      <w:pPr>
        <w:spacing w:line="480" w:lineRule="exact"/>
        <w:ind w:firstLine="570"/>
        <w:rPr>
          <w:rFonts w:ascii="楷体" w:hAnsi="楷体" w:eastAsia="楷体"/>
          <w:b/>
          <w:sz w:val="28"/>
        </w:rPr>
      </w:pPr>
    </w:p>
    <w:p>
      <w:pPr>
        <w:pStyle w:val="3"/>
        <w:numPr>
          <w:ilvl w:val="0"/>
          <w:numId w:val="0"/>
        </w:numPr>
        <w:spacing w:before="0" w:after="0" w:line="480" w:lineRule="exact"/>
        <w:rPr>
          <w:rFonts w:ascii="楷体" w:hAnsi="楷体" w:eastAsia="楷体"/>
          <w:b w:val="0"/>
          <w:sz w:val="28"/>
        </w:rPr>
      </w:pPr>
      <w:bookmarkStart w:id="28" w:name="_Toc380479105"/>
      <w:r>
        <w:rPr>
          <w:rFonts w:hint="eastAsia" w:ascii="楷体" w:hAnsi="楷体" w:eastAsia="楷体"/>
          <w:sz w:val="28"/>
          <w:szCs w:val="28"/>
        </w:rPr>
        <w:t>六  评审和磋商</w:t>
      </w:r>
      <w:bookmarkEnd w:id="28"/>
    </w:p>
    <w:p>
      <w:pPr>
        <w:pStyle w:val="3"/>
        <w:numPr>
          <w:ilvl w:val="0"/>
          <w:numId w:val="0"/>
        </w:numPr>
        <w:snapToGrid w:val="0"/>
        <w:spacing w:before="0" w:after="0" w:line="360" w:lineRule="auto"/>
        <w:jc w:val="left"/>
        <w:rPr>
          <w:rFonts w:ascii="楷体" w:hAnsi="楷体" w:eastAsia="楷体"/>
          <w:sz w:val="24"/>
          <w:szCs w:val="24"/>
        </w:rPr>
      </w:pPr>
      <w:bookmarkStart w:id="29" w:name="_Toc380479106"/>
    </w:p>
    <w:p>
      <w:pPr>
        <w:pStyle w:val="3"/>
        <w:numPr>
          <w:ilvl w:val="0"/>
          <w:numId w:val="0"/>
        </w:numPr>
        <w:snapToGrid w:val="0"/>
        <w:spacing w:before="0" w:after="0" w:line="360" w:lineRule="auto"/>
        <w:jc w:val="left"/>
        <w:rPr>
          <w:rFonts w:ascii="楷体" w:hAnsi="楷体" w:eastAsia="楷体"/>
          <w:sz w:val="24"/>
          <w:szCs w:val="24"/>
        </w:rPr>
      </w:pPr>
      <w:r>
        <w:rPr>
          <w:rFonts w:hint="eastAsia" w:ascii="楷体" w:hAnsi="楷体" w:eastAsia="楷体"/>
          <w:sz w:val="24"/>
          <w:szCs w:val="24"/>
        </w:rPr>
        <w:t>14．响应文件的评审与澄清</w:t>
      </w:r>
      <w:bookmarkEnd w:id="29"/>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14.1</w:t>
      </w:r>
      <w:r>
        <w:rPr>
          <w:rFonts w:ascii="楷体" w:hAnsi="楷体" w:eastAsia="楷体"/>
          <w:sz w:val="24"/>
          <w:szCs w:val="24"/>
        </w:rPr>
        <w:t>磋商小组在</w:t>
      </w:r>
      <w:r>
        <w:rPr>
          <w:rFonts w:hint="eastAsia" w:ascii="楷体" w:hAnsi="楷体" w:eastAsia="楷体"/>
          <w:sz w:val="24"/>
          <w:szCs w:val="24"/>
        </w:rPr>
        <w:t>确认了磋商文件后，按照磋商文件规定的资格条件</w:t>
      </w:r>
      <w:r>
        <w:rPr>
          <w:rFonts w:ascii="楷体" w:hAnsi="楷体" w:eastAsia="楷体"/>
          <w:sz w:val="24"/>
          <w:szCs w:val="24"/>
        </w:rPr>
        <w:t>对</w:t>
      </w:r>
      <w:r>
        <w:rPr>
          <w:rFonts w:hint="eastAsia" w:ascii="楷体" w:hAnsi="楷体" w:eastAsia="楷体"/>
          <w:sz w:val="24"/>
          <w:szCs w:val="24"/>
        </w:rPr>
        <w:t>供应商进行资格审查，符合资格条件的供应商将被认定为参加磋商的供应商。</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14.2</w:t>
      </w:r>
      <w:r>
        <w:rPr>
          <w:rFonts w:ascii="楷体" w:hAnsi="楷体" w:eastAsia="楷体"/>
          <w:sz w:val="24"/>
          <w:szCs w:val="24"/>
        </w:rPr>
        <w:t>磋商小组</w:t>
      </w:r>
      <w:r>
        <w:rPr>
          <w:rFonts w:hint="eastAsia" w:ascii="楷体" w:hAnsi="楷体" w:eastAsia="楷体"/>
          <w:sz w:val="24"/>
          <w:szCs w:val="24"/>
        </w:rPr>
        <w:t>按照磋商文件规定的除资格条件外的其它实质性条款，对参加磋商的供应商进行</w:t>
      </w:r>
      <w:r>
        <w:rPr>
          <w:rFonts w:ascii="楷体" w:hAnsi="楷体" w:eastAsia="楷体"/>
          <w:sz w:val="24"/>
          <w:szCs w:val="24"/>
        </w:rPr>
        <w:t>有效性、完整性和响应程度</w:t>
      </w:r>
      <w:r>
        <w:rPr>
          <w:rFonts w:hint="eastAsia" w:ascii="楷体" w:hAnsi="楷体" w:eastAsia="楷体"/>
          <w:sz w:val="24"/>
          <w:szCs w:val="24"/>
        </w:rPr>
        <w:t>的</w:t>
      </w:r>
      <w:r>
        <w:rPr>
          <w:rFonts w:ascii="楷体" w:hAnsi="楷体" w:eastAsia="楷体"/>
          <w:sz w:val="24"/>
          <w:szCs w:val="24"/>
        </w:rPr>
        <w:t>审查</w:t>
      </w:r>
      <w:r>
        <w:rPr>
          <w:rFonts w:hint="eastAsia" w:ascii="楷体" w:hAnsi="楷体" w:eastAsia="楷体"/>
          <w:sz w:val="24"/>
          <w:szCs w:val="24"/>
        </w:rPr>
        <w:t>。</w:t>
      </w:r>
      <w:r>
        <w:rPr>
          <w:rFonts w:ascii="楷体" w:hAnsi="楷体" w:eastAsia="楷体"/>
          <w:sz w:val="24"/>
          <w:szCs w:val="24"/>
        </w:rPr>
        <w:t>未实质性响应磋商文件的</w:t>
      </w:r>
      <w:r>
        <w:rPr>
          <w:rFonts w:hint="eastAsia" w:ascii="楷体" w:hAnsi="楷体" w:eastAsia="楷体"/>
          <w:sz w:val="24"/>
          <w:szCs w:val="24"/>
        </w:rPr>
        <w:t>供应商将</w:t>
      </w:r>
      <w:r>
        <w:rPr>
          <w:rFonts w:ascii="楷体" w:hAnsi="楷体" w:eastAsia="楷体"/>
          <w:sz w:val="24"/>
          <w:szCs w:val="24"/>
        </w:rPr>
        <w:t>按无效处理</w:t>
      </w:r>
      <w:r>
        <w:rPr>
          <w:rFonts w:hint="eastAsia" w:ascii="楷体" w:hAnsi="楷体" w:eastAsia="楷体"/>
          <w:sz w:val="24"/>
          <w:szCs w:val="24"/>
        </w:rPr>
        <w:t>，不参加后续磋商。</w:t>
      </w:r>
    </w:p>
    <w:p>
      <w:pPr>
        <w:widowControl/>
        <w:snapToGrid w:val="0"/>
        <w:spacing w:line="360" w:lineRule="auto"/>
        <w:jc w:val="left"/>
        <w:rPr>
          <w:rFonts w:hint="eastAsia" w:ascii="楷体" w:hAnsi="楷体" w:eastAsia="楷体"/>
          <w:sz w:val="24"/>
          <w:szCs w:val="24"/>
        </w:rPr>
      </w:pPr>
      <w:r>
        <w:rPr>
          <w:rFonts w:ascii="楷体" w:hAnsi="楷体" w:eastAsia="楷体"/>
          <w:sz w:val="24"/>
          <w:szCs w:val="24"/>
        </w:rPr>
        <w:t>14.3</w:t>
      </w:r>
      <w:r>
        <w:rPr>
          <w:rFonts w:hint="eastAsia" w:ascii="楷体" w:hAnsi="楷体" w:eastAsia="楷体"/>
          <w:sz w:val="24"/>
          <w:szCs w:val="24"/>
        </w:rPr>
        <w:t>采购人将在截止</w:t>
      </w:r>
      <w:r>
        <w:rPr>
          <w:rFonts w:ascii="楷体" w:hAnsi="楷体" w:eastAsia="楷体"/>
          <w:sz w:val="24"/>
          <w:szCs w:val="24"/>
        </w:rPr>
        <w:t>递交响应</w:t>
      </w:r>
      <w:r>
        <w:rPr>
          <w:rFonts w:hint="eastAsia" w:ascii="楷体" w:hAnsi="楷体" w:eastAsia="楷体"/>
          <w:sz w:val="24"/>
          <w:szCs w:val="24"/>
        </w:rPr>
        <w:t>文件</w:t>
      </w:r>
      <w:r>
        <w:rPr>
          <w:rFonts w:ascii="楷体" w:hAnsi="楷体" w:eastAsia="楷体"/>
          <w:sz w:val="24"/>
          <w:szCs w:val="24"/>
        </w:rPr>
        <w:t>前一天至递交响应</w:t>
      </w:r>
      <w:r>
        <w:rPr>
          <w:rFonts w:hint="eastAsia" w:ascii="楷体" w:hAnsi="楷体" w:eastAsia="楷体"/>
          <w:sz w:val="24"/>
          <w:szCs w:val="24"/>
        </w:rPr>
        <w:t>文件截止时间</w:t>
      </w:r>
      <w:r>
        <w:rPr>
          <w:rFonts w:ascii="楷体" w:hAnsi="楷体" w:eastAsia="楷体"/>
          <w:sz w:val="24"/>
          <w:szCs w:val="24"/>
        </w:rPr>
        <w:t>后</w:t>
      </w:r>
      <w:r>
        <w:rPr>
          <w:rFonts w:hint="eastAsia" w:ascii="楷体" w:hAnsi="楷体" w:eastAsia="楷体"/>
          <w:sz w:val="24"/>
          <w:szCs w:val="24"/>
        </w:rPr>
        <w:t>一小时期间查询供应商的信用记录，供应商存在不良信用记录的，其响应将按无效处理。</w:t>
      </w:r>
    </w:p>
    <w:p>
      <w:pPr>
        <w:widowControl/>
        <w:snapToGrid w:val="0"/>
        <w:spacing w:line="360" w:lineRule="auto"/>
        <w:jc w:val="left"/>
        <w:rPr>
          <w:rFonts w:ascii="楷体" w:hAnsi="楷体" w:eastAsia="楷体"/>
          <w:sz w:val="24"/>
          <w:szCs w:val="24"/>
        </w:rPr>
      </w:pPr>
      <w:r>
        <w:rPr>
          <w:rFonts w:ascii="楷体" w:hAnsi="楷体" w:eastAsia="楷体"/>
          <w:sz w:val="24"/>
          <w:szCs w:val="24"/>
        </w:rPr>
        <w:t>14.3.1</w:t>
      </w:r>
      <w:r>
        <w:rPr>
          <w:rFonts w:hint="eastAsia" w:ascii="楷体" w:hAnsi="楷体" w:eastAsia="楷体"/>
          <w:sz w:val="24"/>
          <w:szCs w:val="24"/>
        </w:rPr>
        <w:t>不良信用记录指：供应商在在</w:t>
      </w:r>
      <w:r>
        <w:rPr>
          <w:rFonts w:hint="eastAsia" w:ascii="楷体" w:hAnsi="楷体" w:eastAsia="楷体"/>
          <w:b/>
          <w:bCs/>
          <w:sz w:val="24"/>
          <w:szCs w:val="24"/>
        </w:rPr>
        <w:t>中国政府采购网（www.ccgp.gov.cn）</w:t>
      </w:r>
      <w:r>
        <w:rPr>
          <w:rFonts w:hint="eastAsia" w:ascii="楷体" w:hAnsi="楷体" w:eastAsia="楷体"/>
          <w:sz w:val="24"/>
          <w:szCs w:val="24"/>
        </w:rPr>
        <w:t>被列入政府采购严重违法失信行为记录名单，或在</w:t>
      </w:r>
      <w:r>
        <w:rPr>
          <w:rFonts w:hint="eastAsia" w:ascii="楷体" w:hAnsi="楷体" w:eastAsia="楷体"/>
          <w:b/>
          <w:bCs/>
          <w:sz w:val="24"/>
          <w:szCs w:val="24"/>
        </w:rPr>
        <w:t>“信用中国”网站（www.creditchina.gov.cn）</w:t>
      </w:r>
      <w:r>
        <w:rPr>
          <w:rFonts w:hint="eastAsia" w:ascii="楷体" w:hAnsi="楷体" w:eastAsia="楷体"/>
          <w:sz w:val="24"/>
          <w:szCs w:val="24"/>
        </w:rPr>
        <w:t>被列入失信被执行人、重大税收违法案件当事人名单，以及存在《中华人民共和国政府采购法实施条例》第十九条规定的行政处罚记录。</w:t>
      </w:r>
    </w:p>
    <w:p>
      <w:pPr>
        <w:widowControl/>
        <w:snapToGrid w:val="0"/>
        <w:spacing w:line="360" w:lineRule="auto"/>
        <w:ind w:firstLine="480" w:firstLineChars="200"/>
        <w:jc w:val="left"/>
        <w:rPr>
          <w:rFonts w:ascii="楷体" w:hAnsi="楷体" w:eastAsia="楷体"/>
          <w:sz w:val="24"/>
          <w:szCs w:val="24"/>
        </w:rPr>
      </w:pPr>
      <w:r>
        <w:rPr>
          <w:rFonts w:hint="eastAsia" w:ascii="楷体" w:hAnsi="楷体" w:eastAsia="楷体"/>
          <w:sz w:val="24"/>
          <w:szCs w:val="24"/>
        </w:rPr>
        <w:t>联合体响应的，联合体成员存在以上记录的，视同联合体存在不良信用记录。</w:t>
      </w:r>
    </w:p>
    <w:p>
      <w:pPr>
        <w:widowControl/>
        <w:snapToGrid w:val="0"/>
        <w:spacing w:line="360" w:lineRule="auto"/>
        <w:jc w:val="left"/>
        <w:rPr>
          <w:rFonts w:hint="eastAsia" w:ascii="楷体" w:hAnsi="楷体" w:eastAsia="楷体"/>
          <w:sz w:val="24"/>
          <w:szCs w:val="24"/>
        </w:rPr>
      </w:pPr>
      <w:r>
        <w:rPr>
          <w:rFonts w:ascii="楷体" w:hAnsi="楷体" w:eastAsia="楷体"/>
          <w:sz w:val="24"/>
          <w:szCs w:val="24"/>
        </w:rPr>
        <w:t>14.3.2</w:t>
      </w:r>
      <w:r>
        <w:rPr>
          <w:rFonts w:hint="eastAsia" w:ascii="楷体" w:hAnsi="楷体" w:eastAsia="楷体"/>
          <w:sz w:val="24"/>
          <w:szCs w:val="24"/>
        </w:rPr>
        <w:t>查询及记录方式：采购代理机构经办人和采购</w:t>
      </w:r>
      <w:r>
        <w:rPr>
          <w:rFonts w:ascii="楷体" w:hAnsi="楷体" w:eastAsia="楷体"/>
          <w:sz w:val="24"/>
          <w:szCs w:val="24"/>
        </w:rPr>
        <w:t>人</w:t>
      </w:r>
      <w:r>
        <w:rPr>
          <w:rFonts w:hint="eastAsia" w:ascii="楷体" w:hAnsi="楷体" w:eastAsia="楷体"/>
          <w:sz w:val="24"/>
          <w:szCs w:val="24"/>
        </w:rPr>
        <w:t>监督人员将查询网页打印、签字并存档备查。供应商不良信用记录以采购代理机构查询结果为准，采购代理机构查询之后，网站信息发生的任何变更均不再作为评标依据，供应商自行提供的与网站信息不一致的其他证明材料亦不作为评标依据。</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14.</w:t>
      </w:r>
      <w:r>
        <w:rPr>
          <w:rFonts w:ascii="楷体" w:hAnsi="楷体" w:eastAsia="楷体"/>
          <w:sz w:val="24"/>
          <w:szCs w:val="24"/>
        </w:rPr>
        <w:t>4</w:t>
      </w:r>
      <w:r>
        <w:rPr>
          <w:rFonts w:hint="eastAsia" w:ascii="楷体" w:hAnsi="楷体" w:eastAsia="楷体"/>
          <w:sz w:val="24"/>
          <w:szCs w:val="24"/>
        </w:rPr>
        <w:t xml:space="preserve"> 出现下列情形之一的，将被认定为未实质性响应磋商文件：</w:t>
      </w:r>
    </w:p>
    <w:p>
      <w:pPr>
        <w:snapToGrid w:val="0"/>
        <w:spacing w:line="360" w:lineRule="auto"/>
        <w:rPr>
          <w:rFonts w:ascii="楷体" w:hAnsi="楷体" w:eastAsia="楷体"/>
          <w:sz w:val="24"/>
          <w:szCs w:val="24"/>
        </w:rPr>
      </w:pPr>
      <w:r>
        <w:rPr>
          <w:rFonts w:hint="eastAsia" w:ascii="楷体" w:hAnsi="楷体" w:eastAsia="楷体"/>
          <w:sz w:val="24"/>
          <w:szCs w:val="24"/>
        </w:rPr>
        <w:t>（1）未按要求交纳保证金的；</w:t>
      </w:r>
    </w:p>
    <w:p>
      <w:pPr>
        <w:snapToGrid w:val="0"/>
        <w:spacing w:line="360" w:lineRule="auto"/>
        <w:rPr>
          <w:rFonts w:ascii="楷体" w:hAnsi="楷体" w:eastAsia="楷体"/>
          <w:sz w:val="24"/>
          <w:szCs w:val="24"/>
        </w:rPr>
      </w:pPr>
      <w:r>
        <w:rPr>
          <w:rFonts w:hint="eastAsia" w:ascii="楷体" w:hAnsi="楷体" w:eastAsia="楷体"/>
          <w:sz w:val="24"/>
          <w:szCs w:val="24"/>
        </w:rPr>
        <w:t>（2）未按照磋商文件规定要求密封、签署、盖章的；</w:t>
      </w:r>
    </w:p>
    <w:p>
      <w:pPr>
        <w:snapToGrid w:val="0"/>
        <w:spacing w:line="360" w:lineRule="auto"/>
        <w:rPr>
          <w:rFonts w:ascii="楷体" w:hAnsi="楷体" w:eastAsia="楷体"/>
          <w:sz w:val="24"/>
          <w:szCs w:val="24"/>
        </w:rPr>
      </w:pPr>
      <w:r>
        <w:rPr>
          <w:rFonts w:hint="eastAsia" w:ascii="楷体" w:hAnsi="楷体" w:eastAsia="楷体"/>
          <w:sz w:val="24"/>
          <w:szCs w:val="24"/>
        </w:rPr>
        <w:t>（3）供应商在报价时采用选择性报价；</w:t>
      </w:r>
    </w:p>
    <w:p>
      <w:pPr>
        <w:snapToGrid w:val="0"/>
        <w:spacing w:line="360" w:lineRule="auto"/>
        <w:rPr>
          <w:rFonts w:ascii="楷体" w:hAnsi="楷体" w:eastAsia="楷体"/>
          <w:sz w:val="24"/>
          <w:szCs w:val="24"/>
        </w:rPr>
      </w:pPr>
      <w:r>
        <w:rPr>
          <w:rFonts w:hint="eastAsia" w:ascii="楷体" w:hAnsi="楷体" w:eastAsia="楷体"/>
          <w:sz w:val="24"/>
          <w:szCs w:val="24"/>
        </w:rPr>
        <w:t>（4）供应商不具备磋商文件中规定资格要求的；</w:t>
      </w:r>
    </w:p>
    <w:p>
      <w:pPr>
        <w:snapToGrid w:val="0"/>
        <w:spacing w:line="360" w:lineRule="auto"/>
        <w:rPr>
          <w:rFonts w:ascii="楷体" w:hAnsi="楷体" w:eastAsia="楷体"/>
          <w:sz w:val="24"/>
          <w:szCs w:val="24"/>
        </w:rPr>
      </w:pPr>
      <w:r>
        <w:rPr>
          <w:rFonts w:hint="eastAsia" w:ascii="楷体" w:hAnsi="楷体" w:eastAsia="楷体"/>
          <w:sz w:val="24"/>
          <w:szCs w:val="24"/>
        </w:rPr>
        <w:t>（5）不符合法律、法规和磋商文件中规定的其他实质性要求的（本磋商文件中用*、★、※等标明的条款为实质性要求和条件）；</w:t>
      </w:r>
    </w:p>
    <w:p>
      <w:pPr>
        <w:snapToGrid w:val="0"/>
        <w:spacing w:line="360" w:lineRule="auto"/>
        <w:ind w:left="120" w:hanging="120" w:hangingChars="50"/>
        <w:rPr>
          <w:rFonts w:ascii="楷体" w:hAnsi="楷体" w:eastAsia="楷体"/>
          <w:sz w:val="24"/>
          <w:szCs w:val="24"/>
        </w:rPr>
      </w:pPr>
      <w:r>
        <w:rPr>
          <w:rFonts w:hint="eastAsia" w:ascii="楷体" w:hAnsi="楷体" w:eastAsia="楷体"/>
          <w:sz w:val="24"/>
          <w:szCs w:val="24"/>
        </w:rPr>
        <w:t>（6）其他法律、法规及本磋商文件规定的属于按无效处理的响应文件的情形。</w:t>
      </w:r>
    </w:p>
    <w:p>
      <w:pPr>
        <w:snapToGrid w:val="0"/>
        <w:spacing w:line="360" w:lineRule="auto"/>
        <w:rPr>
          <w:rFonts w:ascii="楷体" w:hAnsi="楷体" w:eastAsia="楷体"/>
          <w:sz w:val="24"/>
          <w:szCs w:val="24"/>
        </w:rPr>
      </w:pPr>
      <w:r>
        <w:rPr>
          <w:rFonts w:hint="eastAsia" w:ascii="楷体" w:hAnsi="楷体" w:eastAsia="楷体"/>
          <w:sz w:val="24"/>
          <w:szCs w:val="24"/>
        </w:rPr>
        <w:t>14.</w:t>
      </w:r>
      <w:r>
        <w:rPr>
          <w:rFonts w:ascii="楷体" w:hAnsi="楷体" w:eastAsia="楷体"/>
          <w:sz w:val="24"/>
          <w:szCs w:val="24"/>
        </w:rPr>
        <w:t>5</w:t>
      </w:r>
      <w:r>
        <w:rPr>
          <w:rFonts w:hint="eastAsia" w:ascii="楷体" w:hAnsi="楷体" w:eastAsia="楷体"/>
          <w:sz w:val="24"/>
          <w:szCs w:val="24"/>
        </w:rPr>
        <w:t xml:space="preserve">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14.</w:t>
      </w:r>
      <w:r>
        <w:rPr>
          <w:rFonts w:ascii="楷体" w:hAnsi="楷体" w:eastAsia="楷体"/>
          <w:sz w:val="24"/>
          <w:szCs w:val="24"/>
        </w:rPr>
        <w:t>6</w:t>
      </w:r>
      <w:r>
        <w:rPr>
          <w:rFonts w:hint="eastAsia" w:ascii="楷体" w:hAnsi="楷体" w:eastAsia="楷体"/>
          <w:sz w:val="24"/>
          <w:szCs w:val="24"/>
        </w:rPr>
        <w:t xml:space="preserve"> 在按照14.2的规定</w:t>
      </w:r>
      <w:r>
        <w:rPr>
          <w:rFonts w:ascii="楷体" w:hAnsi="楷体" w:eastAsia="楷体"/>
          <w:sz w:val="24"/>
          <w:szCs w:val="24"/>
        </w:rPr>
        <w:t>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楷体" w:hAnsi="楷体" w:eastAsia="楷体"/>
          <w:sz w:val="24"/>
          <w:szCs w:val="24"/>
        </w:rPr>
        <w:t>接到磋商小组澄清等要求的供应商如未按规定做出澄清，其风险由供应商自行承担。</w:t>
      </w:r>
    </w:p>
    <w:p>
      <w:pPr>
        <w:snapToGrid w:val="0"/>
        <w:spacing w:line="360" w:lineRule="auto"/>
        <w:rPr>
          <w:rFonts w:ascii="楷体" w:hAnsi="楷体" w:eastAsia="楷体"/>
          <w:sz w:val="24"/>
          <w:szCs w:val="24"/>
        </w:rPr>
      </w:pPr>
      <w:r>
        <w:rPr>
          <w:rFonts w:hint="eastAsia" w:ascii="楷体" w:hAnsi="楷体" w:eastAsia="楷体"/>
          <w:sz w:val="24"/>
          <w:szCs w:val="24"/>
        </w:rPr>
        <w:t>14.</w:t>
      </w:r>
      <w:r>
        <w:rPr>
          <w:rFonts w:ascii="楷体" w:hAnsi="楷体" w:eastAsia="楷体"/>
          <w:sz w:val="24"/>
          <w:szCs w:val="24"/>
        </w:rPr>
        <w:t>7</w:t>
      </w:r>
      <w:r>
        <w:rPr>
          <w:rFonts w:hint="eastAsia" w:ascii="楷体" w:hAnsi="楷体" w:eastAsia="楷体"/>
          <w:sz w:val="24"/>
          <w:szCs w:val="24"/>
        </w:rPr>
        <w:t xml:space="preserve"> 对未被认定为参加磋商的供应商和其它</w:t>
      </w:r>
      <w:r>
        <w:rPr>
          <w:rFonts w:ascii="楷体" w:hAnsi="楷体" w:eastAsia="楷体"/>
          <w:sz w:val="24"/>
          <w:szCs w:val="24"/>
        </w:rPr>
        <w:t>未实质性响应磋商文件的</w:t>
      </w:r>
      <w:r>
        <w:rPr>
          <w:rFonts w:hint="eastAsia" w:ascii="楷体" w:hAnsi="楷体" w:eastAsia="楷体"/>
          <w:sz w:val="24"/>
          <w:szCs w:val="24"/>
        </w:rPr>
        <w:t>供应商</w:t>
      </w:r>
      <w:r>
        <w:rPr>
          <w:rFonts w:ascii="楷体" w:hAnsi="楷体" w:eastAsia="楷体"/>
          <w:sz w:val="24"/>
          <w:szCs w:val="24"/>
        </w:rPr>
        <w:t>，磋商小组</w:t>
      </w:r>
      <w:r>
        <w:rPr>
          <w:rFonts w:hint="eastAsia" w:ascii="楷体" w:hAnsi="楷体" w:eastAsia="楷体"/>
          <w:sz w:val="24"/>
          <w:szCs w:val="24"/>
        </w:rPr>
        <w:t>将及时</w:t>
      </w:r>
      <w:r>
        <w:rPr>
          <w:rFonts w:ascii="楷体" w:hAnsi="楷体" w:eastAsia="楷体"/>
          <w:sz w:val="24"/>
          <w:szCs w:val="24"/>
        </w:rPr>
        <w:t>告知。</w:t>
      </w:r>
    </w:p>
    <w:p>
      <w:pPr>
        <w:pStyle w:val="3"/>
        <w:numPr>
          <w:ilvl w:val="0"/>
          <w:numId w:val="0"/>
        </w:numPr>
        <w:snapToGrid w:val="0"/>
        <w:spacing w:before="0" w:after="0" w:line="360" w:lineRule="auto"/>
        <w:jc w:val="left"/>
        <w:rPr>
          <w:rFonts w:ascii="楷体" w:hAnsi="楷体" w:eastAsia="楷体"/>
          <w:sz w:val="24"/>
          <w:szCs w:val="24"/>
        </w:rPr>
      </w:pPr>
      <w:bookmarkStart w:id="30" w:name="_Toc380479107"/>
      <w:r>
        <w:rPr>
          <w:rFonts w:ascii="楷体" w:hAnsi="楷体" w:eastAsia="楷体"/>
          <w:sz w:val="24"/>
          <w:szCs w:val="24"/>
        </w:rPr>
        <w:t>15．</w:t>
      </w:r>
      <w:r>
        <w:rPr>
          <w:rFonts w:hint="eastAsia" w:ascii="楷体" w:hAnsi="楷体" w:eastAsia="楷体"/>
          <w:sz w:val="24"/>
          <w:szCs w:val="24"/>
        </w:rPr>
        <w:t>磋商</w:t>
      </w:r>
      <w:bookmarkEnd w:id="30"/>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15.1</w:t>
      </w:r>
      <w:r>
        <w:rPr>
          <w:rFonts w:ascii="楷体" w:hAnsi="楷体" w:eastAsia="楷体"/>
          <w:sz w:val="24"/>
          <w:szCs w:val="24"/>
        </w:rPr>
        <w:t xml:space="preserve"> 依据磋商文件的要求和各供应商响应文件的应答情况，磋商小组</w:t>
      </w:r>
      <w:r>
        <w:rPr>
          <w:rFonts w:hint="eastAsia" w:ascii="楷体" w:hAnsi="楷体" w:eastAsia="楷体"/>
          <w:sz w:val="24"/>
          <w:szCs w:val="24"/>
        </w:rPr>
        <w:t>所有成员</w:t>
      </w:r>
      <w:r>
        <w:rPr>
          <w:rFonts w:ascii="楷体" w:hAnsi="楷体" w:eastAsia="楷体"/>
          <w:sz w:val="24"/>
          <w:szCs w:val="24"/>
        </w:rPr>
        <w:t>集中</w:t>
      </w:r>
      <w:r>
        <w:rPr>
          <w:rFonts w:hint="eastAsia" w:ascii="楷体" w:hAnsi="楷体" w:eastAsia="楷体"/>
          <w:sz w:val="24"/>
          <w:szCs w:val="24"/>
        </w:rPr>
        <w:t>在通知的时间，</w:t>
      </w:r>
      <w:r>
        <w:rPr>
          <w:rFonts w:ascii="楷体" w:hAnsi="楷体" w:eastAsia="楷体"/>
          <w:sz w:val="24"/>
          <w:szCs w:val="24"/>
        </w:rPr>
        <w:t>与</w:t>
      </w:r>
      <w:r>
        <w:rPr>
          <w:rFonts w:hint="eastAsia" w:ascii="楷体" w:hAnsi="楷体" w:eastAsia="楷体"/>
          <w:sz w:val="24"/>
          <w:szCs w:val="24"/>
        </w:rPr>
        <w:t>参加</w:t>
      </w:r>
      <w:r>
        <w:rPr>
          <w:rFonts w:ascii="楷体" w:hAnsi="楷体" w:eastAsia="楷体"/>
          <w:sz w:val="24"/>
          <w:szCs w:val="24"/>
        </w:rPr>
        <w:t>的供应商逐一进行</w:t>
      </w:r>
      <w:r>
        <w:rPr>
          <w:rFonts w:hint="eastAsia" w:ascii="楷体" w:hAnsi="楷体" w:eastAsia="楷体"/>
          <w:sz w:val="24"/>
          <w:szCs w:val="24"/>
        </w:rPr>
        <w:t>一轮或多轮</w:t>
      </w:r>
      <w:r>
        <w:rPr>
          <w:rFonts w:ascii="楷体" w:hAnsi="楷体" w:eastAsia="楷体"/>
          <w:sz w:val="24"/>
          <w:szCs w:val="24"/>
        </w:rPr>
        <w:t>磋商。磋商小组</w:t>
      </w:r>
      <w:r>
        <w:rPr>
          <w:rFonts w:hint="eastAsia" w:ascii="楷体" w:hAnsi="楷体" w:eastAsia="楷体"/>
          <w:sz w:val="24"/>
          <w:szCs w:val="24"/>
        </w:rPr>
        <w:t>将</w:t>
      </w:r>
      <w:r>
        <w:rPr>
          <w:rFonts w:ascii="楷体" w:hAnsi="楷体" w:eastAsia="楷体"/>
          <w:sz w:val="24"/>
          <w:szCs w:val="24"/>
        </w:rPr>
        <w:t>给予所有参加磋商的供应商平等的磋商机会。</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15.2 磋商</w:t>
      </w:r>
      <w:r>
        <w:rPr>
          <w:rFonts w:ascii="楷体" w:hAnsi="楷体" w:eastAsia="楷体"/>
          <w:sz w:val="24"/>
          <w:szCs w:val="24"/>
        </w:rPr>
        <w:t>包括但不限于以下内容：</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w:t>
      </w:r>
      <w:r>
        <w:rPr>
          <w:rFonts w:ascii="楷体" w:hAnsi="楷体" w:eastAsia="楷体"/>
          <w:sz w:val="24"/>
          <w:szCs w:val="24"/>
        </w:rPr>
        <w:t>磋商小组根据磋商文件要求，对照各磋商供应商提交的响应文件中技术、服务以及合同草案条款等应答情况，进行确认或者询问</w:t>
      </w:r>
      <w:r>
        <w:rPr>
          <w:rFonts w:hint="eastAsia" w:ascii="楷体" w:hAnsi="楷体" w:eastAsia="楷体"/>
          <w:sz w:val="24"/>
          <w:szCs w:val="24"/>
        </w:rPr>
        <w:t>；</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2</w:t>
      </w:r>
      <w:r>
        <w:rPr>
          <w:rFonts w:hint="eastAsia" w:ascii="楷体" w:hAnsi="楷体" w:eastAsia="楷体"/>
          <w:sz w:val="24"/>
          <w:szCs w:val="24"/>
        </w:rPr>
        <w:t>）按</w:t>
      </w:r>
      <w:r>
        <w:rPr>
          <w:rFonts w:hint="eastAsia" w:ascii="楷体" w:hAnsi="楷体" w:eastAsia="楷体"/>
          <w:sz w:val="24"/>
          <w:szCs w:val="24"/>
          <w:u w:val="single"/>
        </w:rPr>
        <w:t>前附表</w:t>
      </w:r>
      <w:r>
        <w:rPr>
          <w:rFonts w:hint="eastAsia" w:ascii="楷体" w:hAnsi="楷体" w:eastAsia="楷体"/>
          <w:sz w:val="24"/>
          <w:szCs w:val="24"/>
        </w:rPr>
        <w:t>修改变动</w:t>
      </w:r>
      <w:r>
        <w:rPr>
          <w:rFonts w:ascii="楷体" w:hAnsi="楷体" w:eastAsia="楷体"/>
          <w:sz w:val="24"/>
          <w:szCs w:val="24"/>
        </w:rPr>
        <w:t>磋商文件，并及时以书面形式同时通知所有参加磋商的供应商</w:t>
      </w:r>
      <w:r>
        <w:rPr>
          <w:rFonts w:hint="eastAsia" w:ascii="楷体" w:hAnsi="楷体" w:eastAsia="楷体"/>
          <w:sz w:val="24"/>
          <w:szCs w:val="24"/>
        </w:rPr>
        <w:t>；</w:t>
      </w:r>
    </w:p>
    <w:p>
      <w:pPr>
        <w:widowControl/>
        <w:snapToGrid w:val="0"/>
        <w:spacing w:line="360" w:lineRule="auto"/>
        <w:jc w:val="left"/>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3</w:t>
      </w:r>
      <w:r>
        <w:rPr>
          <w:rFonts w:hint="eastAsia" w:ascii="楷体" w:hAnsi="楷体" w:eastAsia="楷体"/>
          <w:sz w:val="24"/>
          <w:szCs w:val="24"/>
        </w:rPr>
        <w:t>）针对修改变动的</w:t>
      </w:r>
      <w:r>
        <w:rPr>
          <w:rFonts w:ascii="楷体" w:hAnsi="楷体" w:eastAsia="楷体"/>
          <w:sz w:val="24"/>
          <w:szCs w:val="24"/>
        </w:rPr>
        <w:t>磋商文件，</w:t>
      </w:r>
      <w:r>
        <w:rPr>
          <w:rFonts w:hint="eastAsia" w:ascii="楷体" w:hAnsi="楷体" w:eastAsia="楷体"/>
          <w:sz w:val="24"/>
          <w:szCs w:val="24"/>
        </w:rPr>
        <w:t>与</w:t>
      </w:r>
      <w:r>
        <w:rPr>
          <w:rFonts w:ascii="楷体" w:hAnsi="楷体" w:eastAsia="楷体"/>
          <w:sz w:val="24"/>
          <w:szCs w:val="24"/>
        </w:rPr>
        <w:t>所有参加磋商的供应商进行确认或者询问。</w:t>
      </w:r>
    </w:p>
    <w:p>
      <w:pPr>
        <w:pStyle w:val="3"/>
        <w:numPr>
          <w:ilvl w:val="0"/>
          <w:numId w:val="0"/>
        </w:numPr>
        <w:snapToGrid w:val="0"/>
        <w:spacing w:before="0" w:after="0" w:line="360" w:lineRule="auto"/>
        <w:jc w:val="left"/>
        <w:rPr>
          <w:rFonts w:ascii="楷体" w:hAnsi="楷体" w:eastAsia="楷体"/>
          <w:sz w:val="24"/>
          <w:szCs w:val="24"/>
        </w:rPr>
      </w:pPr>
      <w:bookmarkStart w:id="31" w:name="_Toc380479108"/>
      <w:r>
        <w:rPr>
          <w:rFonts w:ascii="楷体" w:hAnsi="楷体" w:eastAsia="楷体"/>
          <w:sz w:val="24"/>
          <w:szCs w:val="24"/>
        </w:rPr>
        <w:t>1</w:t>
      </w:r>
      <w:r>
        <w:rPr>
          <w:rFonts w:hint="eastAsia" w:ascii="楷体" w:hAnsi="楷体" w:eastAsia="楷体"/>
          <w:sz w:val="24"/>
          <w:szCs w:val="24"/>
        </w:rPr>
        <w:t>6</w:t>
      </w:r>
      <w:r>
        <w:rPr>
          <w:rFonts w:ascii="楷体" w:hAnsi="楷体" w:eastAsia="楷体"/>
          <w:sz w:val="24"/>
          <w:szCs w:val="24"/>
        </w:rPr>
        <w:t>．</w:t>
      </w:r>
      <w:r>
        <w:rPr>
          <w:rFonts w:hint="eastAsia" w:ascii="楷体" w:hAnsi="楷体" w:eastAsia="楷体"/>
          <w:sz w:val="24"/>
          <w:szCs w:val="24"/>
        </w:rPr>
        <w:t>保密原则</w:t>
      </w:r>
      <w:bookmarkEnd w:id="31"/>
    </w:p>
    <w:p>
      <w:pPr>
        <w:snapToGrid w:val="0"/>
        <w:spacing w:line="360" w:lineRule="auto"/>
        <w:rPr>
          <w:rFonts w:ascii="楷体" w:hAnsi="楷体" w:eastAsia="楷体"/>
          <w:sz w:val="24"/>
          <w:szCs w:val="24"/>
        </w:rPr>
      </w:pPr>
      <w:r>
        <w:rPr>
          <w:rFonts w:hint="eastAsia" w:ascii="楷体" w:hAnsi="楷体" w:eastAsia="楷体"/>
          <w:sz w:val="24"/>
          <w:szCs w:val="24"/>
        </w:rPr>
        <w:t xml:space="preserve">16.1 </w:t>
      </w:r>
      <w:r>
        <w:rPr>
          <w:rFonts w:ascii="楷体" w:hAnsi="楷体" w:eastAsia="楷体"/>
          <w:sz w:val="24"/>
          <w:szCs w:val="24"/>
        </w:rPr>
        <w:t>磋商小组成员以及与</w:t>
      </w:r>
      <w:r>
        <w:rPr>
          <w:rFonts w:hint="eastAsia" w:ascii="楷体" w:hAnsi="楷体" w:eastAsia="楷体"/>
          <w:sz w:val="24"/>
          <w:szCs w:val="24"/>
        </w:rPr>
        <w:t>磋商</w:t>
      </w:r>
      <w:r>
        <w:rPr>
          <w:rFonts w:ascii="楷体" w:hAnsi="楷体" w:eastAsia="楷体"/>
          <w:sz w:val="24"/>
          <w:szCs w:val="24"/>
        </w:rPr>
        <w:t>工作有关的人员不得泄露</w:t>
      </w:r>
      <w:r>
        <w:rPr>
          <w:rFonts w:hint="eastAsia" w:ascii="楷体" w:hAnsi="楷体" w:eastAsia="楷体"/>
          <w:sz w:val="24"/>
          <w:szCs w:val="24"/>
        </w:rPr>
        <w:t>评审和磋商</w:t>
      </w:r>
      <w:r>
        <w:rPr>
          <w:rFonts w:ascii="楷体" w:hAnsi="楷体" w:eastAsia="楷体"/>
          <w:sz w:val="24"/>
          <w:szCs w:val="24"/>
        </w:rPr>
        <w:t>过程中获悉的国家秘密、商业秘密</w:t>
      </w:r>
      <w:r>
        <w:rPr>
          <w:rFonts w:hint="eastAsia" w:ascii="楷体" w:hAnsi="楷体" w:eastAsia="楷体"/>
          <w:sz w:val="24"/>
          <w:szCs w:val="24"/>
        </w:rPr>
        <w:t>，</w:t>
      </w:r>
      <w:r>
        <w:rPr>
          <w:rFonts w:ascii="楷体" w:hAnsi="楷体" w:eastAsia="楷体"/>
          <w:sz w:val="24"/>
          <w:szCs w:val="24"/>
        </w:rPr>
        <w:t>不得</w:t>
      </w:r>
      <w:r>
        <w:rPr>
          <w:rFonts w:hint="eastAsia" w:ascii="楷体" w:hAnsi="楷体" w:eastAsia="楷体"/>
          <w:sz w:val="24"/>
          <w:szCs w:val="24"/>
        </w:rPr>
        <w:t>超越法规的规定向无关人员告知评审和磋商</w:t>
      </w:r>
      <w:r>
        <w:rPr>
          <w:rFonts w:ascii="楷体" w:hAnsi="楷体" w:eastAsia="楷体"/>
          <w:sz w:val="24"/>
          <w:szCs w:val="24"/>
        </w:rPr>
        <w:t>情况</w:t>
      </w:r>
      <w:r>
        <w:rPr>
          <w:rFonts w:hint="eastAsia" w:ascii="楷体" w:hAnsi="楷体" w:eastAsia="楷体"/>
          <w:sz w:val="24"/>
          <w:szCs w:val="24"/>
        </w:rPr>
        <w:t>。</w:t>
      </w:r>
    </w:p>
    <w:p>
      <w:pPr>
        <w:snapToGrid w:val="0"/>
        <w:spacing w:line="480" w:lineRule="exact"/>
        <w:ind w:firstLine="560" w:firstLineChars="200"/>
        <w:rPr>
          <w:rFonts w:ascii="楷体" w:hAnsi="楷体" w:eastAsia="楷体"/>
          <w:sz w:val="28"/>
        </w:rPr>
      </w:pPr>
    </w:p>
    <w:p>
      <w:pPr>
        <w:pStyle w:val="3"/>
        <w:numPr>
          <w:ilvl w:val="0"/>
          <w:numId w:val="0"/>
        </w:numPr>
        <w:spacing w:before="0" w:after="0" w:line="480" w:lineRule="exact"/>
        <w:rPr>
          <w:rFonts w:hint="eastAsia" w:ascii="楷体" w:hAnsi="楷体" w:eastAsia="楷体"/>
          <w:b w:val="0"/>
          <w:sz w:val="28"/>
        </w:rPr>
      </w:pPr>
      <w:bookmarkStart w:id="32" w:name="_Toc380479109"/>
      <w:r>
        <w:rPr>
          <w:rFonts w:ascii="楷体" w:hAnsi="楷体" w:eastAsia="楷体"/>
          <w:sz w:val="28"/>
          <w:szCs w:val="28"/>
        </w:rPr>
        <w:t xml:space="preserve">七  </w:t>
      </w:r>
      <w:bookmarkEnd w:id="32"/>
      <w:r>
        <w:rPr>
          <w:rFonts w:ascii="楷体" w:hAnsi="楷体" w:eastAsia="楷体"/>
          <w:sz w:val="28"/>
          <w:szCs w:val="28"/>
        </w:rPr>
        <w:t>最后报价</w:t>
      </w:r>
    </w:p>
    <w:p>
      <w:pPr>
        <w:pStyle w:val="3"/>
        <w:numPr>
          <w:ilvl w:val="0"/>
          <w:numId w:val="0"/>
        </w:numPr>
        <w:snapToGrid w:val="0"/>
        <w:spacing w:before="0" w:after="0" w:line="360" w:lineRule="auto"/>
        <w:jc w:val="left"/>
        <w:rPr>
          <w:rFonts w:ascii="楷体" w:hAnsi="楷体" w:eastAsia="楷体"/>
          <w:sz w:val="24"/>
          <w:szCs w:val="24"/>
        </w:rPr>
      </w:pPr>
      <w:bookmarkStart w:id="33" w:name="_Toc380479110"/>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17．</w:t>
      </w:r>
      <w:bookmarkEnd w:id="33"/>
      <w:r>
        <w:rPr>
          <w:rFonts w:ascii="楷体" w:hAnsi="楷体" w:eastAsia="楷体"/>
          <w:sz w:val="24"/>
          <w:szCs w:val="24"/>
        </w:rPr>
        <w:t>最后报价和最终采购需求的提交</w:t>
      </w:r>
    </w:p>
    <w:p>
      <w:pPr>
        <w:snapToGrid w:val="0"/>
        <w:spacing w:line="360" w:lineRule="auto"/>
        <w:rPr>
          <w:rFonts w:hint="eastAsia" w:ascii="楷体" w:hAnsi="楷体" w:eastAsia="楷体"/>
          <w:sz w:val="24"/>
          <w:szCs w:val="24"/>
        </w:rPr>
      </w:pPr>
      <w:bookmarkStart w:id="34" w:name="_Toc380479111"/>
      <w:r>
        <w:rPr>
          <w:rFonts w:ascii="楷体" w:hAnsi="楷体" w:eastAsia="楷体"/>
          <w:sz w:val="24"/>
          <w:szCs w:val="24"/>
        </w:rPr>
        <w:t>17.1 磋商结束后，所有</w:t>
      </w:r>
      <w:r>
        <w:rPr>
          <w:rFonts w:hint="eastAsia" w:ascii="楷体" w:hAnsi="楷体" w:eastAsia="楷体"/>
          <w:sz w:val="24"/>
          <w:szCs w:val="24"/>
        </w:rPr>
        <w:t>实质性响应</w:t>
      </w:r>
      <w:r>
        <w:rPr>
          <w:rFonts w:ascii="楷体" w:hAnsi="楷体" w:eastAsia="楷体"/>
          <w:sz w:val="24"/>
          <w:szCs w:val="24"/>
        </w:rPr>
        <w:t>的供应商应在磋商小组规定时间内提交最后报价。如果</w:t>
      </w:r>
      <w:r>
        <w:rPr>
          <w:rFonts w:ascii="楷体" w:hAnsi="楷体" w:eastAsia="楷体"/>
          <w:kern w:val="0"/>
          <w:sz w:val="24"/>
          <w:szCs w:val="24"/>
        </w:rPr>
        <w:t>磋商文件不能详细列明采购标的技术、服务要求，磋商结束后，磋商小组将按照少数服从多数的原则投票推荐3家以上供应商的设计方案或者解决方案，并要求其在规定时间内提交最后报价</w:t>
      </w:r>
      <w:r>
        <w:rPr>
          <w:rFonts w:hint="eastAsia" w:ascii="楷体" w:hAnsi="楷体" w:eastAsia="楷体"/>
          <w:kern w:val="0"/>
          <w:sz w:val="24"/>
          <w:szCs w:val="24"/>
        </w:rPr>
        <w:t>。</w:t>
      </w:r>
      <w:r>
        <w:rPr>
          <w:rFonts w:hint="eastAsia" w:ascii="楷体" w:hAnsi="楷体" w:eastAsia="楷体"/>
          <w:color w:val="ED7D31"/>
          <w:kern w:val="0"/>
          <w:sz w:val="24"/>
          <w:szCs w:val="24"/>
        </w:rPr>
        <w:t>特殊情况请参见《政府采购竞争性磋商采购方式管理暂行办法》和《财政部关于政府采购竞争性磋商采购方式管理暂行办法有关问题的补充通知》。</w:t>
      </w:r>
    </w:p>
    <w:p>
      <w:pPr>
        <w:snapToGrid w:val="0"/>
        <w:spacing w:line="360" w:lineRule="auto"/>
        <w:rPr>
          <w:rFonts w:ascii="楷体" w:hAnsi="楷体" w:eastAsia="楷体"/>
          <w:sz w:val="24"/>
          <w:szCs w:val="24"/>
        </w:rPr>
      </w:pPr>
      <w:r>
        <w:rPr>
          <w:rFonts w:ascii="楷体" w:hAnsi="楷体" w:eastAsia="楷体"/>
          <w:sz w:val="24"/>
          <w:szCs w:val="24"/>
        </w:rPr>
        <w:t>17.2 最后报价是供应商响应文件的有效组成部分。</w:t>
      </w:r>
    </w:p>
    <w:p>
      <w:pPr>
        <w:snapToGrid w:val="0"/>
        <w:spacing w:line="360" w:lineRule="auto"/>
        <w:rPr>
          <w:rFonts w:ascii="楷体" w:hAnsi="楷体" w:eastAsia="楷体"/>
          <w:sz w:val="24"/>
          <w:szCs w:val="24"/>
        </w:rPr>
      </w:pPr>
      <w:r>
        <w:rPr>
          <w:rFonts w:ascii="楷体" w:hAnsi="楷体" w:eastAsia="楷体"/>
          <w:sz w:val="24"/>
          <w:szCs w:val="24"/>
        </w:rPr>
        <w:t>17.3 最后报价由报价函和最</w:t>
      </w:r>
      <w:r>
        <w:rPr>
          <w:rFonts w:hint="eastAsia" w:ascii="楷体" w:hAnsi="楷体" w:eastAsia="楷体"/>
          <w:sz w:val="24"/>
          <w:szCs w:val="24"/>
        </w:rPr>
        <w:t>后</w:t>
      </w:r>
      <w:r>
        <w:rPr>
          <w:rFonts w:ascii="楷体" w:hAnsi="楷体" w:eastAsia="楷体"/>
          <w:sz w:val="24"/>
          <w:szCs w:val="24"/>
        </w:rPr>
        <w:t>报价表组成，须密封递交，仅需一份正本，签署规定同本章9.2款要求。</w:t>
      </w:r>
    </w:p>
    <w:p>
      <w:pPr>
        <w:pStyle w:val="3"/>
        <w:numPr>
          <w:ilvl w:val="0"/>
          <w:numId w:val="0"/>
        </w:numPr>
        <w:snapToGrid w:val="0"/>
        <w:spacing w:before="0" w:after="0" w:line="360" w:lineRule="auto"/>
        <w:ind w:left="432" w:hanging="432"/>
        <w:jc w:val="left"/>
        <w:rPr>
          <w:rFonts w:ascii="楷体" w:hAnsi="楷体" w:eastAsia="楷体"/>
          <w:sz w:val="24"/>
          <w:szCs w:val="24"/>
        </w:rPr>
      </w:pPr>
      <w:r>
        <w:rPr>
          <w:rFonts w:ascii="楷体" w:hAnsi="楷体" w:eastAsia="楷体"/>
          <w:sz w:val="24"/>
          <w:szCs w:val="24"/>
        </w:rPr>
        <w:t>18．逾期提交的最后报价</w:t>
      </w:r>
      <w:bookmarkEnd w:id="34"/>
    </w:p>
    <w:p>
      <w:pPr>
        <w:snapToGrid w:val="0"/>
        <w:spacing w:line="360" w:lineRule="auto"/>
        <w:rPr>
          <w:rFonts w:ascii="楷体" w:hAnsi="楷体" w:eastAsia="楷体"/>
          <w:sz w:val="28"/>
        </w:rPr>
      </w:pPr>
      <w:r>
        <w:rPr>
          <w:rFonts w:hint="eastAsia" w:ascii="楷体" w:hAnsi="楷体" w:eastAsia="楷体"/>
          <w:sz w:val="24"/>
          <w:szCs w:val="24"/>
        </w:rPr>
        <w:t xml:space="preserve">18.1 </w:t>
      </w:r>
      <w:r>
        <w:rPr>
          <w:rFonts w:ascii="楷体" w:hAnsi="楷体" w:eastAsia="楷体"/>
          <w:sz w:val="24"/>
          <w:szCs w:val="24"/>
        </w:rPr>
        <w:t>最后报价须在磋商小组规定的时间内送达指定地点。逾期提交最后报价的磋商供应商将被取消授予合同的资格。</w:t>
      </w:r>
    </w:p>
    <w:p>
      <w:pPr>
        <w:spacing w:line="480" w:lineRule="exact"/>
        <w:rPr>
          <w:rFonts w:ascii="楷体" w:hAnsi="楷体" w:eastAsia="楷体"/>
          <w:b/>
          <w:sz w:val="28"/>
        </w:rPr>
      </w:pPr>
    </w:p>
    <w:p>
      <w:pPr>
        <w:pStyle w:val="3"/>
        <w:numPr>
          <w:ilvl w:val="0"/>
          <w:numId w:val="0"/>
        </w:numPr>
        <w:spacing w:before="0" w:after="0" w:line="480" w:lineRule="exact"/>
        <w:ind w:left="432"/>
        <w:rPr>
          <w:rFonts w:ascii="楷体" w:hAnsi="楷体" w:eastAsia="楷体"/>
          <w:sz w:val="28"/>
          <w:szCs w:val="28"/>
        </w:rPr>
      </w:pPr>
      <w:bookmarkStart w:id="35" w:name="_Toc380479112"/>
      <w:r>
        <w:rPr>
          <w:rFonts w:ascii="楷体" w:hAnsi="楷体" w:eastAsia="楷体"/>
          <w:sz w:val="28"/>
          <w:szCs w:val="28"/>
        </w:rPr>
        <w:t xml:space="preserve">八  </w:t>
      </w:r>
      <w:bookmarkEnd w:id="35"/>
      <w:r>
        <w:rPr>
          <w:rFonts w:hint="eastAsia" w:ascii="楷体" w:hAnsi="楷体" w:eastAsia="楷体"/>
          <w:sz w:val="28"/>
          <w:szCs w:val="28"/>
        </w:rPr>
        <w:t>综合评审</w:t>
      </w:r>
    </w:p>
    <w:p>
      <w:pPr>
        <w:pStyle w:val="3"/>
        <w:numPr>
          <w:ilvl w:val="0"/>
          <w:numId w:val="0"/>
        </w:numPr>
        <w:snapToGrid w:val="0"/>
        <w:spacing w:before="0" w:after="0" w:line="360" w:lineRule="auto"/>
        <w:jc w:val="left"/>
        <w:rPr>
          <w:rFonts w:ascii="楷体" w:hAnsi="楷体" w:eastAsia="楷体"/>
          <w:sz w:val="24"/>
          <w:szCs w:val="24"/>
        </w:rPr>
      </w:pPr>
    </w:p>
    <w:p>
      <w:pPr>
        <w:pStyle w:val="3"/>
        <w:numPr>
          <w:ilvl w:val="0"/>
          <w:numId w:val="0"/>
        </w:numPr>
        <w:snapToGrid w:val="0"/>
        <w:spacing w:before="0" w:after="0" w:line="360" w:lineRule="auto"/>
        <w:jc w:val="left"/>
        <w:rPr>
          <w:rFonts w:ascii="楷体" w:hAnsi="楷体" w:eastAsia="楷体"/>
          <w:sz w:val="24"/>
          <w:szCs w:val="24"/>
        </w:rPr>
      </w:pPr>
      <w:r>
        <w:rPr>
          <w:rFonts w:hint="eastAsia" w:ascii="楷体" w:hAnsi="楷体" w:eastAsia="楷体"/>
          <w:sz w:val="24"/>
          <w:szCs w:val="24"/>
        </w:rPr>
        <w:t>19</w:t>
      </w:r>
      <w:r>
        <w:rPr>
          <w:rFonts w:ascii="楷体" w:hAnsi="楷体" w:eastAsia="楷体"/>
          <w:sz w:val="24"/>
          <w:szCs w:val="24"/>
        </w:rPr>
        <w:t>．评审</w:t>
      </w:r>
    </w:p>
    <w:p>
      <w:pPr>
        <w:snapToGrid w:val="0"/>
        <w:spacing w:line="360" w:lineRule="auto"/>
        <w:rPr>
          <w:rFonts w:ascii="楷体" w:hAnsi="楷体" w:eastAsia="楷体"/>
          <w:sz w:val="24"/>
          <w:szCs w:val="24"/>
        </w:rPr>
      </w:pPr>
      <w:r>
        <w:rPr>
          <w:rFonts w:hint="eastAsia" w:ascii="楷体" w:hAnsi="楷体" w:eastAsia="楷体"/>
          <w:sz w:val="24"/>
          <w:szCs w:val="24"/>
        </w:rPr>
        <w:t>19.1</w:t>
      </w:r>
      <w:r>
        <w:rPr>
          <w:rFonts w:ascii="楷体" w:hAnsi="楷体" w:eastAsia="楷体"/>
          <w:sz w:val="24"/>
          <w:szCs w:val="24"/>
        </w:rPr>
        <w:t xml:space="preserve"> </w:t>
      </w:r>
      <w:r>
        <w:rPr>
          <w:rFonts w:hint="eastAsia" w:ascii="楷体" w:hAnsi="楷体" w:eastAsia="楷体"/>
          <w:sz w:val="24"/>
          <w:szCs w:val="24"/>
        </w:rPr>
        <w:t>磋商小组采用综合评分法对各个提交最后报价的供应商进行评审。</w:t>
      </w:r>
    </w:p>
    <w:p>
      <w:pPr>
        <w:snapToGrid w:val="0"/>
        <w:spacing w:line="360" w:lineRule="auto"/>
        <w:rPr>
          <w:rFonts w:hint="eastAsia" w:ascii="楷体" w:hAnsi="楷体" w:eastAsia="楷体"/>
          <w:sz w:val="28"/>
        </w:rPr>
      </w:pPr>
      <w:r>
        <w:rPr>
          <w:rFonts w:ascii="楷体" w:hAnsi="楷体" w:eastAsia="楷体"/>
          <w:sz w:val="24"/>
          <w:szCs w:val="24"/>
        </w:rPr>
        <w:t>19</w:t>
      </w:r>
      <w:r>
        <w:rPr>
          <w:rFonts w:hint="eastAsia" w:ascii="楷体" w:hAnsi="楷体" w:eastAsia="楷体"/>
          <w:sz w:val="24"/>
          <w:szCs w:val="24"/>
        </w:rPr>
        <w:t>.</w:t>
      </w:r>
      <w:r>
        <w:rPr>
          <w:rFonts w:ascii="楷体" w:hAnsi="楷体" w:eastAsia="楷体"/>
          <w:sz w:val="24"/>
          <w:szCs w:val="24"/>
        </w:rPr>
        <w:t>2 磋商小组各成员应当独立对每个有效响应的文件进行评价、打分，</w:t>
      </w:r>
      <w:r>
        <w:rPr>
          <w:rFonts w:hint="eastAsia" w:ascii="楷体" w:hAnsi="楷体" w:eastAsia="楷体"/>
          <w:sz w:val="24"/>
          <w:szCs w:val="24"/>
        </w:rPr>
        <w:t>然后汇总每个供应商的得分，计算得分平均值，以平均值高低进行排序。分值计算保留小数点后一位，第二位四舍五入。</w:t>
      </w:r>
    </w:p>
    <w:p>
      <w:pPr>
        <w:rPr>
          <w:rFonts w:hint="eastAsia" w:ascii="楷体" w:hAnsi="楷体" w:eastAsia="楷体"/>
        </w:rPr>
      </w:pPr>
    </w:p>
    <w:p>
      <w:pPr>
        <w:pStyle w:val="3"/>
        <w:numPr>
          <w:ilvl w:val="0"/>
          <w:numId w:val="0"/>
        </w:numPr>
        <w:spacing w:before="0" w:after="0" w:line="480" w:lineRule="exact"/>
        <w:ind w:left="432" w:hanging="432"/>
        <w:rPr>
          <w:rFonts w:ascii="楷体" w:hAnsi="楷体" w:eastAsia="楷体"/>
          <w:b w:val="0"/>
          <w:sz w:val="28"/>
        </w:rPr>
      </w:pPr>
      <w:r>
        <w:rPr>
          <w:rFonts w:hint="eastAsia" w:ascii="楷体" w:hAnsi="楷体" w:eastAsia="楷体"/>
          <w:sz w:val="28"/>
          <w:szCs w:val="28"/>
        </w:rPr>
        <w:t>九</w:t>
      </w:r>
      <w:r>
        <w:rPr>
          <w:rFonts w:ascii="楷体" w:hAnsi="楷体" w:eastAsia="楷体"/>
          <w:sz w:val="28"/>
          <w:szCs w:val="28"/>
        </w:rPr>
        <w:t xml:space="preserve">  确定成交</w:t>
      </w:r>
      <w:r>
        <w:rPr>
          <w:rFonts w:hint="eastAsia" w:ascii="楷体" w:hAnsi="楷体" w:eastAsia="楷体"/>
          <w:sz w:val="28"/>
          <w:szCs w:val="28"/>
        </w:rPr>
        <w:t>候选</w:t>
      </w:r>
      <w:r>
        <w:rPr>
          <w:rFonts w:ascii="楷体" w:hAnsi="楷体" w:eastAsia="楷体"/>
          <w:sz w:val="28"/>
          <w:szCs w:val="28"/>
        </w:rPr>
        <w:t>供应商</w:t>
      </w:r>
    </w:p>
    <w:p>
      <w:pPr>
        <w:pStyle w:val="3"/>
        <w:numPr>
          <w:ilvl w:val="0"/>
          <w:numId w:val="0"/>
        </w:numPr>
        <w:snapToGrid w:val="0"/>
        <w:spacing w:before="0" w:after="0" w:line="360" w:lineRule="auto"/>
        <w:ind w:left="432" w:hanging="432"/>
        <w:jc w:val="left"/>
        <w:rPr>
          <w:rFonts w:ascii="楷体" w:hAnsi="楷体" w:eastAsia="楷体"/>
          <w:sz w:val="24"/>
          <w:szCs w:val="24"/>
        </w:rPr>
      </w:pPr>
      <w:bookmarkStart w:id="36" w:name="_Toc380479113"/>
    </w:p>
    <w:p>
      <w:pPr>
        <w:pStyle w:val="3"/>
        <w:numPr>
          <w:ilvl w:val="0"/>
          <w:numId w:val="0"/>
        </w:numPr>
        <w:snapToGrid w:val="0"/>
        <w:spacing w:before="0" w:after="0" w:line="360" w:lineRule="auto"/>
        <w:ind w:left="432" w:hanging="432"/>
        <w:jc w:val="left"/>
        <w:rPr>
          <w:rFonts w:ascii="楷体" w:hAnsi="楷体" w:eastAsia="楷体"/>
          <w:sz w:val="24"/>
          <w:szCs w:val="24"/>
        </w:rPr>
      </w:pPr>
      <w:r>
        <w:rPr>
          <w:rFonts w:ascii="楷体" w:hAnsi="楷体" w:eastAsia="楷体"/>
          <w:sz w:val="24"/>
          <w:szCs w:val="24"/>
        </w:rPr>
        <w:t>20．确定成交</w:t>
      </w:r>
      <w:r>
        <w:rPr>
          <w:rFonts w:hint="eastAsia" w:ascii="楷体" w:hAnsi="楷体" w:eastAsia="楷体"/>
          <w:sz w:val="24"/>
          <w:szCs w:val="24"/>
        </w:rPr>
        <w:t>候选</w:t>
      </w:r>
      <w:r>
        <w:rPr>
          <w:rFonts w:ascii="楷体" w:hAnsi="楷体" w:eastAsia="楷体"/>
          <w:sz w:val="24"/>
          <w:szCs w:val="24"/>
        </w:rPr>
        <w:t>供应商原则</w:t>
      </w:r>
      <w:bookmarkEnd w:id="36"/>
    </w:p>
    <w:p>
      <w:pPr>
        <w:snapToGrid w:val="0"/>
        <w:spacing w:line="360" w:lineRule="auto"/>
        <w:rPr>
          <w:rFonts w:ascii="楷体" w:hAnsi="楷体" w:eastAsia="楷体"/>
          <w:kern w:val="0"/>
          <w:sz w:val="24"/>
          <w:szCs w:val="24"/>
        </w:rPr>
      </w:pPr>
      <w:r>
        <w:rPr>
          <w:rFonts w:ascii="楷体" w:hAnsi="楷体" w:eastAsia="楷体"/>
          <w:kern w:val="0"/>
          <w:sz w:val="24"/>
          <w:szCs w:val="24"/>
        </w:rPr>
        <w:t>20</w:t>
      </w:r>
      <w:r>
        <w:rPr>
          <w:rFonts w:hint="eastAsia" w:ascii="楷体" w:hAnsi="楷体" w:eastAsia="楷体"/>
          <w:kern w:val="0"/>
          <w:sz w:val="24"/>
          <w:szCs w:val="24"/>
        </w:rPr>
        <w:t xml:space="preserve">.1 </w:t>
      </w:r>
      <w:r>
        <w:rPr>
          <w:rFonts w:ascii="楷体" w:hAnsi="楷体" w:eastAsia="楷体"/>
          <w:kern w:val="0"/>
          <w:sz w:val="24"/>
          <w:szCs w:val="24"/>
        </w:rPr>
        <w:t>磋商小组按照</w:t>
      </w:r>
      <w:r>
        <w:rPr>
          <w:rFonts w:hint="eastAsia" w:ascii="楷体" w:hAnsi="楷体" w:eastAsia="楷体"/>
          <w:kern w:val="0"/>
          <w:sz w:val="24"/>
          <w:szCs w:val="24"/>
        </w:rPr>
        <w:t>打</w:t>
      </w:r>
      <w:r>
        <w:rPr>
          <w:rFonts w:ascii="楷体" w:hAnsi="楷体" w:eastAsia="楷体"/>
          <w:kern w:val="0"/>
          <w:sz w:val="24"/>
          <w:szCs w:val="24"/>
        </w:rPr>
        <w:t>分结</w:t>
      </w:r>
      <w:r>
        <w:rPr>
          <w:rFonts w:hint="eastAsia" w:ascii="楷体" w:hAnsi="楷体" w:eastAsia="楷体"/>
          <w:kern w:val="0"/>
          <w:sz w:val="24"/>
          <w:szCs w:val="24"/>
        </w:rPr>
        <w:t>果</w:t>
      </w:r>
      <w:r>
        <w:rPr>
          <w:rFonts w:ascii="楷体" w:hAnsi="楷体" w:eastAsia="楷体"/>
          <w:kern w:val="0"/>
          <w:sz w:val="24"/>
          <w:szCs w:val="24"/>
        </w:rPr>
        <w:t>由</w:t>
      </w:r>
      <w:r>
        <w:rPr>
          <w:rFonts w:hint="eastAsia" w:ascii="楷体" w:hAnsi="楷体" w:eastAsia="楷体"/>
          <w:kern w:val="0"/>
          <w:sz w:val="24"/>
          <w:szCs w:val="24"/>
        </w:rPr>
        <w:t>高</w:t>
      </w:r>
      <w:r>
        <w:rPr>
          <w:rFonts w:ascii="楷体" w:hAnsi="楷体" w:eastAsia="楷体"/>
          <w:kern w:val="0"/>
          <w:sz w:val="24"/>
          <w:szCs w:val="24"/>
        </w:rPr>
        <w:t>到</w:t>
      </w:r>
      <w:r>
        <w:rPr>
          <w:rFonts w:hint="eastAsia" w:ascii="楷体" w:hAnsi="楷体" w:eastAsia="楷体"/>
          <w:kern w:val="0"/>
          <w:sz w:val="24"/>
          <w:szCs w:val="24"/>
        </w:rPr>
        <w:t>低</w:t>
      </w:r>
      <w:r>
        <w:rPr>
          <w:rFonts w:ascii="楷体" w:hAnsi="楷体" w:eastAsia="楷体"/>
          <w:kern w:val="0"/>
          <w:sz w:val="24"/>
          <w:szCs w:val="24"/>
        </w:rPr>
        <w:t>的顺序提出成交候选</w:t>
      </w:r>
      <w:r>
        <w:rPr>
          <w:rFonts w:hint="eastAsia" w:ascii="楷体" w:hAnsi="楷体" w:eastAsia="楷体"/>
          <w:kern w:val="0"/>
          <w:sz w:val="24"/>
          <w:szCs w:val="24"/>
        </w:rPr>
        <w:t>供应商，推荐数量见</w:t>
      </w:r>
      <w:r>
        <w:rPr>
          <w:rFonts w:hint="eastAsia" w:ascii="楷体" w:hAnsi="楷体" w:eastAsia="楷体"/>
          <w:kern w:val="0"/>
          <w:sz w:val="24"/>
          <w:szCs w:val="24"/>
          <w:u w:val="single"/>
        </w:rPr>
        <w:t>前附表</w:t>
      </w:r>
      <w:r>
        <w:rPr>
          <w:rFonts w:ascii="楷体" w:hAnsi="楷体" w:eastAsia="楷体"/>
          <w:kern w:val="0"/>
          <w:sz w:val="24"/>
          <w:szCs w:val="24"/>
        </w:rPr>
        <w:t>。</w:t>
      </w:r>
      <w:r>
        <w:rPr>
          <w:rFonts w:hint="eastAsia" w:ascii="楷体" w:hAnsi="楷体" w:eastAsia="楷体"/>
          <w:kern w:val="0"/>
          <w:sz w:val="24"/>
          <w:szCs w:val="24"/>
        </w:rPr>
        <w:t>被推荐为成交候选供应商的最后报价应不高于本项目采购预算或分包控制金额。</w:t>
      </w:r>
    </w:p>
    <w:p>
      <w:pPr>
        <w:snapToGrid w:val="0"/>
        <w:spacing w:line="360" w:lineRule="auto"/>
        <w:rPr>
          <w:rFonts w:ascii="楷体" w:hAnsi="楷体" w:eastAsia="楷体"/>
          <w:kern w:val="0"/>
          <w:sz w:val="24"/>
          <w:szCs w:val="24"/>
        </w:rPr>
      </w:pPr>
      <w:r>
        <w:rPr>
          <w:rFonts w:ascii="楷体" w:hAnsi="楷体" w:eastAsia="楷体"/>
          <w:kern w:val="0"/>
          <w:sz w:val="24"/>
          <w:szCs w:val="24"/>
        </w:rPr>
        <w:t>20</w:t>
      </w:r>
      <w:r>
        <w:rPr>
          <w:rFonts w:hint="eastAsia" w:ascii="楷体" w:hAnsi="楷体" w:eastAsia="楷体"/>
          <w:kern w:val="0"/>
          <w:sz w:val="24"/>
          <w:szCs w:val="24"/>
        </w:rPr>
        <w:t>.2 如出现评审</w:t>
      </w:r>
      <w:r>
        <w:rPr>
          <w:rFonts w:ascii="楷体" w:hAnsi="楷体" w:eastAsia="楷体"/>
          <w:kern w:val="0"/>
          <w:sz w:val="24"/>
          <w:szCs w:val="24"/>
        </w:rPr>
        <w:t>得分相同的，按照最后报价由低到高的顺序推荐。</w:t>
      </w:r>
      <w:r>
        <w:rPr>
          <w:rFonts w:hint="eastAsia" w:ascii="楷体" w:hAnsi="楷体" w:eastAsia="楷体"/>
          <w:kern w:val="0"/>
          <w:sz w:val="24"/>
          <w:szCs w:val="24"/>
        </w:rPr>
        <w:t>如出现</w:t>
      </w:r>
      <w:r>
        <w:rPr>
          <w:rFonts w:ascii="楷体" w:hAnsi="楷体" w:eastAsia="楷体"/>
          <w:kern w:val="0"/>
          <w:sz w:val="24"/>
          <w:szCs w:val="24"/>
        </w:rPr>
        <w:t>评审得分且最后服价相同的，</w:t>
      </w:r>
      <w:r>
        <w:rPr>
          <w:rFonts w:hint="eastAsia" w:ascii="楷体" w:hAnsi="楷体" w:eastAsia="楷体"/>
          <w:kern w:val="0"/>
          <w:sz w:val="24"/>
          <w:szCs w:val="24"/>
        </w:rPr>
        <w:t>按</w:t>
      </w:r>
      <w:r>
        <w:rPr>
          <w:rFonts w:ascii="楷体" w:hAnsi="楷体" w:eastAsia="楷体"/>
          <w:kern w:val="0"/>
          <w:sz w:val="24"/>
          <w:szCs w:val="24"/>
        </w:rPr>
        <w:t>照技术指标优劣顺序推荐。</w:t>
      </w:r>
    </w:p>
    <w:p>
      <w:pPr>
        <w:pStyle w:val="3"/>
        <w:numPr>
          <w:ilvl w:val="0"/>
          <w:numId w:val="0"/>
        </w:numPr>
        <w:snapToGrid w:val="0"/>
        <w:spacing w:before="0" w:after="0" w:line="360" w:lineRule="auto"/>
        <w:ind w:left="432" w:hanging="432"/>
        <w:jc w:val="left"/>
        <w:rPr>
          <w:rFonts w:ascii="楷体" w:hAnsi="楷体" w:eastAsia="楷体"/>
          <w:sz w:val="24"/>
          <w:szCs w:val="24"/>
        </w:rPr>
      </w:pPr>
      <w:bookmarkStart w:id="37" w:name="_Toc380479114"/>
      <w:r>
        <w:rPr>
          <w:rFonts w:ascii="楷体" w:hAnsi="楷体" w:eastAsia="楷体"/>
          <w:sz w:val="24"/>
          <w:szCs w:val="24"/>
        </w:rPr>
        <w:t>21</w:t>
      </w:r>
      <w:r>
        <w:rPr>
          <w:rFonts w:hint="eastAsia" w:ascii="楷体" w:hAnsi="楷体" w:eastAsia="楷体"/>
          <w:sz w:val="24"/>
          <w:szCs w:val="24"/>
        </w:rPr>
        <w:t>．政府采购政策功能的落实</w:t>
      </w:r>
      <w:bookmarkEnd w:id="37"/>
    </w:p>
    <w:p>
      <w:pPr>
        <w:snapToGrid w:val="0"/>
        <w:spacing w:line="360" w:lineRule="auto"/>
        <w:rPr>
          <w:rFonts w:ascii="楷体" w:hAnsi="楷体" w:eastAsia="楷体"/>
          <w:kern w:val="0"/>
          <w:sz w:val="24"/>
          <w:szCs w:val="24"/>
        </w:rPr>
      </w:pPr>
      <w:r>
        <w:rPr>
          <w:rFonts w:ascii="楷体" w:hAnsi="楷体" w:eastAsia="楷体"/>
          <w:kern w:val="0"/>
          <w:sz w:val="24"/>
          <w:szCs w:val="24"/>
        </w:rPr>
        <w:t>21</w:t>
      </w:r>
      <w:r>
        <w:rPr>
          <w:rFonts w:hint="eastAsia" w:ascii="楷体" w:hAnsi="楷体" w:eastAsia="楷体"/>
          <w:kern w:val="0"/>
          <w:sz w:val="24"/>
          <w:szCs w:val="24"/>
        </w:rPr>
        <w:t>.1根据</w:t>
      </w:r>
      <w:r>
        <w:rPr>
          <w:rFonts w:hint="eastAsia" w:ascii="楷体" w:hAnsi="楷体" w:eastAsia="楷体"/>
          <w:sz w:val="24"/>
        </w:rPr>
        <w:t>《政府采购促进中小企业发展管理办法》（财库[2020]46号）</w:t>
      </w:r>
      <w:r>
        <w:rPr>
          <w:rFonts w:hint="eastAsia" w:ascii="楷体" w:hAnsi="楷体" w:eastAsia="楷体"/>
          <w:kern w:val="0"/>
          <w:sz w:val="24"/>
          <w:szCs w:val="24"/>
        </w:rPr>
        <w:t>的规定，</w:t>
      </w:r>
      <w:r>
        <w:rPr>
          <w:rFonts w:hint="eastAsia" w:ascii="楷体" w:hAnsi="楷体" w:eastAsia="楷体"/>
          <w:sz w:val="24"/>
        </w:rPr>
        <w:t>对满足价格扣除条件且在响应文件中提交了《中小企业声明函》的投标人，小微企业报价给予前附表中比例的扣除，用扣除后的价格参与评审。</w:t>
      </w:r>
      <w:r>
        <w:rPr>
          <w:rFonts w:hint="eastAsia" w:ascii="楷体" w:hAnsi="楷体" w:eastAsia="楷体"/>
          <w:kern w:val="0"/>
          <w:sz w:val="24"/>
          <w:szCs w:val="24"/>
        </w:rPr>
        <w:t>具体扣除比例见前附表。</w:t>
      </w:r>
    </w:p>
    <w:p>
      <w:pPr>
        <w:snapToGrid w:val="0"/>
        <w:spacing w:line="360" w:lineRule="auto"/>
        <w:rPr>
          <w:rFonts w:ascii="楷体" w:hAnsi="楷体" w:eastAsia="楷体"/>
          <w:sz w:val="24"/>
        </w:rPr>
      </w:pPr>
      <w:r>
        <w:rPr>
          <w:rFonts w:hint="eastAsia" w:ascii="楷体" w:hAnsi="楷体" w:eastAsia="楷体"/>
          <w:sz w:val="24"/>
        </w:rPr>
        <w:t>专门面向中小企业采购或预留份额的情况不适用。</w:t>
      </w:r>
    </w:p>
    <w:p>
      <w:pPr>
        <w:snapToGrid w:val="0"/>
        <w:spacing w:line="360" w:lineRule="auto"/>
        <w:rPr>
          <w:rFonts w:ascii="楷体" w:hAnsi="楷体" w:eastAsia="楷体"/>
          <w:kern w:val="0"/>
          <w:sz w:val="24"/>
          <w:szCs w:val="24"/>
        </w:rPr>
      </w:pPr>
      <w:r>
        <w:rPr>
          <w:rFonts w:hint="eastAsia" w:ascii="楷体" w:hAnsi="楷体" w:eastAsia="楷体"/>
          <w:kern w:val="0"/>
          <w:sz w:val="24"/>
          <w:szCs w:val="24"/>
        </w:rPr>
        <w:t>2</w:t>
      </w:r>
      <w:r>
        <w:rPr>
          <w:rFonts w:ascii="楷体" w:hAnsi="楷体" w:eastAsia="楷体"/>
          <w:kern w:val="0"/>
          <w:sz w:val="24"/>
          <w:szCs w:val="24"/>
        </w:rPr>
        <w:t>1</w:t>
      </w:r>
      <w:r>
        <w:rPr>
          <w:rFonts w:hint="eastAsia" w:ascii="楷体" w:hAnsi="楷体" w:eastAsia="楷体"/>
          <w:kern w:val="0"/>
          <w:sz w:val="24"/>
          <w:szCs w:val="24"/>
        </w:rPr>
        <w:t>.2根据《关于政府采购支持监狱企业发展有关问题的通知》</w:t>
      </w:r>
      <w:r>
        <w:rPr>
          <w:rFonts w:ascii="楷体" w:hAnsi="楷体" w:eastAsia="楷体"/>
          <w:kern w:val="0"/>
          <w:sz w:val="24"/>
          <w:szCs w:val="24"/>
        </w:rPr>
        <w:t>（财库[2014]68号</w:t>
      </w:r>
      <w:r>
        <w:rPr>
          <w:rFonts w:hint="eastAsia" w:ascii="楷体" w:hAnsi="楷体" w:eastAsia="楷体"/>
          <w:kern w:val="0"/>
          <w:sz w:val="24"/>
          <w:szCs w:val="24"/>
        </w:rPr>
        <w:t>）的规定，对满足价格扣除条件且在磋商响应文件中提交了相应的证明材料的监狱企业，其磋商最后报价将按扣除后的价格参与评审，具体扣除比例见前附表。</w:t>
      </w:r>
    </w:p>
    <w:p>
      <w:pPr>
        <w:snapToGrid w:val="0"/>
        <w:spacing w:line="360" w:lineRule="auto"/>
        <w:rPr>
          <w:rFonts w:ascii="楷体" w:hAnsi="楷体" w:eastAsia="楷体"/>
          <w:kern w:val="0"/>
          <w:sz w:val="24"/>
          <w:szCs w:val="24"/>
        </w:rPr>
      </w:pPr>
      <w:r>
        <w:rPr>
          <w:rFonts w:ascii="楷体" w:hAnsi="楷体" w:eastAsia="楷体"/>
          <w:kern w:val="0"/>
          <w:sz w:val="24"/>
          <w:szCs w:val="24"/>
        </w:rPr>
        <w:t>21.3</w:t>
      </w:r>
      <w:r>
        <w:rPr>
          <w:rFonts w:hint="eastAsia" w:ascii="楷体" w:hAnsi="楷体" w:eastAsia="楷体"/>
          <w:kern w:val="0"/>
          <w:sz w:val="24"/>
          <w:szCs w:val="24"/>
        </w:rPr>
        <w:t>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rPr>
          <w:rFonts w:ascii="楷体" w:hAnsi="楷体" w:eastAsia="楷体"/>
          <w:kern w:val="0"/>
          <w:sz w:val="24"/>
          <w:szCs w:val="24"/>
        </w:rPr>
      </w:pPr>
      <w:r>
        <w:rPr>
          <w:rFonts w:hint="eastAsia" w:ascii="楷体" w:hAnsi="楷体" w:eastAsia="楷体"/>
          <w:kern w:val="0"/>
          <w:sz w:val="24"/>
          <w:szCs w:val="24"/>
        </w:rPr>
        <w:t>2</w:t>
      </w:r>
      <w:r>
        <w:rPr>
          <w:rFonts w:ascii="楷体" w:hAnsi="楷体" w:eastAsia="楷体"/>
          <w:kern w:val="0"/>
          <w:sz w:val="24"/>
          <w:szCs w:val="24"/>
        </w:rPr>
        <w:t>1</w:t>
      </w:r>
      <w:r>
        <w:rPr>
          <w:rFonts w:hint="eastAsia" w:ascii="楷体" w:hAnsi="楷体" w:eastAsia="楷体"/>
          <w:kern w:val="0"/>
          <w:sz w:val="24"/>
          <w:szCs w:val="24"/>
        </w:rPr>
        <w:t>.4</w:t>
      </w:r>
      <w:r>
        <w:rPr>
          <w:rFonts w:ascii="楷体" w:hAnsi="楷体" w:eastAsia="楷体"/>
          <w:kern w:val="0"/>
          <w:sz w:val="24"/>
          <w:szCs w:val="24"/>
        </w:rPr>
        <w:t xml:space="preserve"> </w:t>
      </w:r>
      <w:r>
        <w:rPr>
          <w:rFonts w:hint="eastAsia" w:ascii="楷体" w:hAnsi="楷体" w:eastAsia="楷体"/>
          <w:kern w:val="0"/>
          <w:sz w:val="24"/>
          <w:szCs w:val="24"/>
        </w:rPr>
        <w:t>对于即</w:t>
      </w:r>
      <w:r>
        <w:rPr>
          <w:rFonts w:ascii="楷体" w:hAnsi="楷体" w:eastAsia="楷体"/>
          <w:kern w:val="0"/>
          <w:sz w:val="24"/>
          <w:szCs w:val="24"/>
        </w:rPr>
        <w:t>属于小</w:t>
      </w:r>
      <w:r>
        <w:rPr>
          <w:rFonts w:hint="eastAsia" w:ascii="楷体" w:hAnsi="楷体" w:eastAsia="楷体"/>
          <w:kern w:val="0"/>
          <w:sz w:val="24"/>
          <w:szCs w:val="24"/>
        </w:rPr>
        <w:t>/</w:t>
      </w:r>
      <w:r>
        <w:rPr>
          <w:rFonts w:ascii="楷体" w:hAnsi="楷体" w:eastAsia="楷体"/>
          <w:kern w:val="0"/>
          <w:sz w:val="24"/>
          <w:szCs w:val="24"/>
        </w:rPr>
        <w:t>微企业</w:t>
      </w:r>
      <w:r>
        <w:rPr>
          <w:rFonts w:hint="eastAsia" w:ascii="楷体" w:hAnsi="楷体" w:eastAsia="楷体"/>
          <w:kern w:val="0"/>
          <w:sz w:val="24"/>
          <w:szCs w:val="24"/>
        </w:rPr>
        <w:t>又</w:t>
      </w:r>
      <w:r>
        <w:rPr>
          <w:rFonts w:ascii="楷体" w:hAnsi="楷体" w:eastAsia="楷体"/>
          <w:kern w:val="0"/>
          <w:sz w:val="24"/>
          <w:szCs w:val="24"/>
        </w:rPr>
        <w:t>属于监狱企业，不重复进行报价扣除。</w:t>
      </w:r>
    </w:p>
    <w:p>
      <w:pPr>
        <w:widowControl/>
        <w:spacing w:line="360" w:lineRule="auto"/>
        <w:rPr>
          <w:rFonts w:ascii="楷体" w:hAnsi="楷体" w:eastAsia="楷体"/>
          <w:sz w:val="24"/>
        </w:rPr>
      </w:pPr>
      <w:r>
        <w:rPr>
          <w:rFonts w:hint="eastAsia" w:ascii="楷体" w:hAnsi="楷体" w:eastAsia="楷体"/>
          <w:kern w:val="0"/>
          <w:sz w:val="24"/>
          <w:szCs w:val="24"/>
        </w:rPr>
        <w:t>2</w:t>
      </w:r>
      <w:r>
        <w:rPr>
          <w:rFonts w:ascii="楷体" w:hAnsi="楷体" w:eastAsia="楷体"/>
          <w:kern w:val="0"/>
          <w:sz w:val="24"/>
          <w:szCs w:val="24"/>
        </w:rPr>
        <w:t xml:space="preserve">1.5 </w:t>
      </w:r>
      <w:r>
        <w:rPr>
          <w:rFonts w:hint="eastAsia" w:ascii="楷体" w:hAnsi="楷体" w:eastAsia="楷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楷体" w:hAnsi="楷体" w:eastAsia="楷体"/>
          <w:kern w:val="0"/>
          <w:sz w:val="24"/>
          <w:szCs w:val="24"/>
        </w:rPr>
        <w:t>前附表中比例</w:t>
      </w:r>
      <w:r>
        <w:rPr>
          <w:rFonts w:hint="eastAsia" w:ascii="楷体" w:hAnsi="楷体" w:eastAsia="楷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rPr>
          <w:rFonts w:ascii="楷体" w:hAnsi="楷体" w:eastAsia="楷体"/>
          <w:sz w:val="24"/>
        </w:rPr>
      </w:pPr>
      <w:r>
        <w:rPr>
          <w:rFonts w:ascii="楷体" w:hAnsi="楷体" w:eastAsia="楷体"/>
          <w:sz w:val="24"/>
        </w:rPr>
        <w:t>联合体各方均为小型、微型企业</w:t>
      </w:r>
      <w:r>
        <w:rPr>
          <w:rFonts w:hint="eastAsia" w:ascii="楷体" w:hAnsi="楷体" w:eastAsia="楷体"/>
          <w:sz w:val="24"/>
        </w:rPr>
        <w:t>和监狱企业</w:t>
      </w:r>
      <w:r>
        <w:rPr>
          <w:rFonts w:ascii="楷体" w:hAnsi="楷体" w:eastAsia="楷体"/>
          <w:sz w:val="24"/>
        </w:rPr>
        <w:t>的，联合体视同为小型、微型企业</w:t>
      </w:r>
      <w:r>
        <w:rPr>
          <w:rFonts w:hint="eastAsia" w:ascii="楷体" w:hAnsi="楷体" w:eastAsia="楷体"/>
          <w:sz w:val="24"/>
        </w:rPr>
        <w:t>和监狱企业。</w:t>
      </w:r>
    </w:p>
    <w:p>
      <w:pPr>
        <w:widowControl/>
        <w:spacing w:line="360" w:lineRule="auto"/>
        <w:rPr>
          <w:rFonts w:hint="eastAsia" w:ascii="楷体" w:hAnsi="楷体" w:eastAsia="楷体"/>
          <w:sz w:val="24"/>
        </w:rPr>
      </w:pPr>
      <w:r>
        <w:rPr>
          <w:rFonts w:hint="eastAsia" w:ascii="楷体" w:hAnsi="楷体" w:eastAsia="楷体"/>
          <w:sz w:val="24"/>
        </w:rPr>
        <w:t>2</w:t>
      </w:r>
      <w:r>
        <w:rPr>
          <w:rFonts w:ascii="楷体" w:hAnsi="楷体" w:eastAsia="楷体"/>
          <w:sz w:val="24"/>
        </w:rPr>
        <w:t xml:space="preserve">1.6 </w:t>
      </w:r>
      <w:r>
        <w:rPr>
          <w:rFonts w:hint="eastAsia" w:ascii="楷体" w:hAnsi="楷体" w:eastAsia="楷体"/>
          <w:sz w:val="24"/>
        </w:rPr>
        <w:t>政府采购货物、工程和服务项目中涉及商品包装和快递包装的，供应商提供产品及相关快递服务的具体包装要求请详见《商品包装政府采购需求标准（试行）》、《快递包装政府采购需求标准（试行）》。</w:t>
      </w:r>
    </w:p>
    <w:p>
      <w:pPr>
        <w:pStyle w:val="3"/>
        <w:numPr>
          <w:ilvl w:val="0"/>
          <w:numId w:val="0"/>
        </w:numPr>
        <w:snapToGrid w:val="0"/>
        <w:spacing w:before="0" w:after="0" w:line="360" w:lineRule="auto"/>
        <w:ind w:left="432" w:hanging="432"/>
        <w:jc w:val="left"/>
        <w:rPr>
          <w:rFonts w:ascii="楷体" w:hAnsi="楷体" w:eastAsia="楷体"/>
          <w:sz w:val="24"/>
          <w:szCs w:val="24"/>
        </w:rPr>
      </w:pPr>
      <w:bookmarkStart w:id="38" w:name="_Toc380479115"/>
      <w:r>
        <w:rPr>
          <w:rFonts w:ascii="楷体" w:hAnsi="楷体" w:eastAsia="楷体"/>
          <w:sz w:val="24"/>
          <w:szCs w:val="24"/>
        </w:rPr>
        <w:t>22．最终评价确定</w:t>
      </w:r>
      <w:bookmarkEnd w:id="38"/>
    </w:p>
    <w:p>
      <w:pPr>
        <w:snapToGrid w:val="0"/>
        <w:spacing w:line="360" w:lineRule="auto"/>
        <w:rPr>
          <w:rFonts w:ascii="楷体" w:hAnsi="楷体" w:eastAsia="楷体"/>
          <w:kern w:val="0"/>
          <w:sz w:val="24"/>
          <w:szCs w:val="24"/>
        </w:rPr>
      </w:pPr>
      <w:r>
        <w:rPr>
          <w:rFonts w:hint="eastAsia" w:ascii="楷体" w:hAnsi="楷体" w:eastAsia="楷体"/>
          <w:kern w:val="0"/>
          <w:sz w:val="24"/>
          <w:szCs w:val="24"/>
        </w:rPr>
        <w:t>2</w:t>
      </w:r>
      <w:r>
        <w:rPr>
          <w:rFonts w:ascii="楷体" w:hAnsi="楷体" w:eastAsia="楷体"/>
          <w:kern w:val="0"/>
          <w:sz w:val="24"/>
          <w:szCs w:val="24"/>
        </w:rPr>
        <w:t>2</w:t>
      </w:r>
      <w:r>
        <w:rPr>
          <w:rFonts w:hint="eastAsia" w:ascii="楷体" w:hAnsi="楷体" w:eastAsia="楷体"/>
          <w:kern w:val="0"/>
          <w:sz w:val="24"/>
          <w:szCs w:val="24"/>
        </w:rPr>
        <w:t>.1 采购人有权对推荐为成交候选供应商的供应商的资格条件及价格计算方面进行审查。</w:t>
      </w:r>
    </w:p>
    <w:p>
      <w:pPr>
        <w:snapToGrid w:val="0"/>
        <w:spacing w:line="360" w:lineRule="auto"/>
        <w:rPr>
          <w:rFonts w:ascii="楷体" w:hAnsi="楷体" w:eastAsia="楷体"/>
          <w:kern w:val="0"/>
          <w:sz w:val="24"/>
          <w:szCs w:val="24"/>
        </w:rPr>
      </w:pPr>
      <w:r>
        <w:rPr>
          <w:rFonts w:hint="eastAsia" w:ascii="楷体" w:hAnsi="楷体" w:eastAsia="楷体"/>
          <w:kern w:val="0"/>
          <w:sz w:val="24"/>
          <w:szCs w:val="24"/>
        </w:rPr>
        <w:t>2</w:t>
      </w:r>
      <w:r>
        <w:rPr>
          <w:rFonts w:ascii="楷体" w:hAnsi="楷体" w:eastAsia="楷体"/>
          <w:kern w:val="0"/>
          <w:sz w:val="24"/>
          <w:szCs w:val="24"/>
        </w:rPr>
        <w:t>2</w:t>
      </w:r>
      <w:r>
        <w:rPr>
          <w:rFonts w:hint="eastAsia" w:ascii="楷体" w:hAnsi="楷体" w:eastAsia="楷体"/>
          <w:kern w:val="0"/>
          <w:sz w:val="24"/>
          <w:szCs w:val="24"/>
        </w:rPr>
        <w:t xml:space="preserve">.2 </w:t>
      </w:r>
      <w:r>
        <w:rPr>
          <w:rFonts w:ascii="楷体" w:hAnsi="楷体" w:eastAsia="楷体"/>
          <w:kern w:val="0"/>
          <w:sz w:val="24"/>
          <w:szCs w:val="24"/>
        </w:rPr>
        <w:t>采购人从评审报告提出的成交候选</w:t>
      </w:r>
      <w:r>
        <w:rPr>
          <w:rFonts w:hint="eastAsia" w:ascii="楷体" w:hAnsi="楷体" w:eastAsia="楷体"/>
          <w:kern w:val="0"/>
          <w:sz w:val="24"/>
          <w:szCs w:val="24"/>
        </w:rPr>
        <w:t>供应商</w:t>
      </w:r>
      <w:r>
        <w:rPr>
          <w:rFonts w:ascii="楷体" w:hAnsi="楷体" w:eastAsia="楷体"/>
          <w:kern w:val="0"/>
          <w:sz w:val="24"/>
          <w:szCs w:val="24"/>
        </w:rPr>
        <w:t>中，</w:t>
      </w:r>
      <w:r>
        <w:rPr>
          <w:rFonts w:hint="eastAsia" w:ascii="楷体" w:hAnsi="楷体" w:eastAsia="楷体"/>
          <w:kern w:val="0"/>
          <w:sz w:val="24"/>
          <w:szCs w:val="24"/>
        </w:rPr>
        <w:t>按照排序由高到低的原则确定成交供应商</w:t>
      </w:r>
      <w:r>
        <w:rPr>
          <w:rFonts w:ascii="楷体" w:hAnsi="楷体" w:eastAsia="楷体"/>
          <w:kern w:val="0"/>
          <w:sz w:val="24"/>
          <w:szCs w:val="24"/>
        </w:rPr>
        <w:t>，也可以书面授权磋商小组直接确定成交供应商。</w:t>
      </w:r>
    </w:p>
    <w:p>
      <w:pPr>
        <w:pStyle w:val="3"/>
        <w:numPr>
          <w:ilvl w:val="0"/>
          <w:numId w:val="0"/>
        </w:numPr>
        <w:snapToGrid w:val="0"/>
        <w:spacing w:before="0" w:after="0" w:line="360" w:lineRule="auto"/>
        <w:ind w:left="432" w:hanging="432"/>
        <w:jc w:val="left"/>
        <w:rPr>
          <w:rFonts w:ascii="楷体" w:hAnsi="楷体" w:eastAsia="楷体"/>
          <w:sz w:val="24"/>
          <w:szCs w:val="24"/>
        </w:rPr>
      </w:pPr>
      <w:bookmarkStart w:id="39" w:name="_Toc380479116"/>
      <w:r>
        <w:rPr>
          <w:rFonts w:ascii="楷体" w:hAnsi="楷体" w:eastAsia="楷体"/>
          <w:sz w:val="24"/>
          <w:szCs w:val="24"/>
        </w:rPr>
        <w:t>2</w:t>
      </w:r>
      <w:r>
        <w:rPr>
          <w:rFonts w:hint="eastAsia" w:ascii="楷体" w:hAnsi="楷体" w:eastAsia="楷体"/>
          <w:sz w:val="24"/>
          <w:szCs w:val="24"/>
        </w:rPr>
        <w:t>3</w:t>
      </w:r>
      <w:r>
        <w:rPr>
          <w:rFonts w:ascii="楷体" w:hAnsi="楷体" w:eastAsia="楷体"/>
          <w:sz w:val="24"/>
          <w:szCs w:val="24"/>
        </w:rPr>
        <w:t>．签订合同</w:t>
      </w:r>
      <w:bookmarkEnd w:id="39"/>
    </w:p>
    <w:p>
      <w:pPr>
        <w:snapToGrid w:val="0"/>
        <w:spacing w:line="360" w:lineRule="auto"/>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3</w:t>
      </w:r>
      <w:r>
        <w:rPr>
          <w:rFonts w:ascii="楷体" w:hAnsi="楷体" w:eastAsia="楷体"/>
          <w:sz w:val="24"/>
          <w:szCs w:val="24"/>
        </w:rPr>
        <w:t>.1 中招公司将以书面形式向成交供应商发出</w:t>
      </w:r>
      <w:r>
        <w:rPr>
          <w:rFonts w:hint="eastAsia" w:ascii="楷体" w:hAnsi="楷体" w:eastAsia="楷体"/>
          <w:sz w:val="24"/>
          <w:szCs w:val="24"/>
        </w:rPr>
        <w:t>成交</w:t>
      </w:r>
      <w:r>
        <w:rPr>
          <w:rFonts w:ascii="楷体" w:hAnsi="楷体" w:eastAsia="楷体"/>
          <w:sz w:val="24"/>
          <w:szCs w:val="24"/>
        </w:rPr>
        <w:t>结果通知。</w:t>
      </w:r>
    </w:p>
    <w:p>
      <w:pPr>
        <w:snapToGrid w:val="0"/>
        <w:spacing w:line="360" w:lineRule="auto"/>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3</w:t>
      </w:r>
      <w:r>
        <w:rPr>
          <w:rFonts w:ascii="楷体" w:hAnsi="楷体" w:eastAsia="楷体"/>
          <w:sz w:val="24"/>
          <w:szCs w:val="24"/>
        </w:rPr>
        <w:t>.2 成交结果通知书发出后，采购人将与成交供应商签订合同。</w:t>
      </w:r>
    </w:p>
    <w:p>
      <w:pPr>
        <w:pStyle w:val="3"/>
        <w:numPr>
          <w:ilvl w:val="0"/>
          <w:numId w:val="0"/>
        </w:numPr>
        <w:snapToGrid w:val="0"/>
        <w:spacing w:before="0" w:after="0" w:line="360" w:lineRule="auto"/>
        <w:ind w:left="432" w:hanging="432"/>
        <w:jc w:val="left"/>
        <w:rPr>
          <w:rFonts w:ascii="楷体" w:hAnsi="楷体" w:eastAsia="楷体"/>
          <w:sz w:val="24"/>
          <w:szCs w:val="24"/>
        </w:rPr>
      </w:pPr>
      <w:bookmarkStart w:id="40" w:name="_Toc380479117"/>
      <w:r>
        <w:rPr>
          <w:rFonts w:ascii="楷体" w:hAnsi="楷体" w:eastAsia="楷体"/>
          <w:sz w:val="24"/>
          <w:szCs w:val="24"/>
        </w:rPr>
        <w:t>2</w:t>
      </w:r>
      <w:r>
        <w:rPr>
          <w:rFonts w:hint="eastAsia" w:ascii="楷体" w:hAnsi="楷体" w:eastAsia="楷体"/>
          <w:sz w:val="24"/>
          <w:szCs w:val="24"/>
        </w:rPr>
        <w:t>4</w:t>
      </w:r>
      <w:r>
        <w:rPr>
          <w:rFonts w:ascii="楷体" w:hAnsi="楷体" w:eastAsia="楷体"/>
          <w:sz w:val="24"/>
          <w:szCs w:val="24"/>
        </w:rPr>
        <w:t>. 采购终止</w:t>
      </w:r>
      <w:bookmarkEnd w:id="40"/>
    </w:p>
    <w:p>
      <w:pPr>
        <w:snapToGrid w:val="0"/>
        <w:spacing w:line="360" w:lineRule="auto"/>
        <w:rPr>
          <w:rFonts w:ascii="楷体" w:hAnsi="楷体" w:eastAsia="楷体"/>
          <w:sz w:val="24"/>
          <w:szCs w:val="24"/>
        </w:rPr>
      </w:pPr>
      <w:r>
        <w:rPr>
          <w:rFonts w:hint="eastAsia" w:ascii="楷体" w:hAnsi="楷体" w:eastAsia="楷体"/>
          <w:sz w:val="24"/>
          <w:szCs w:val="24"/>
        </w:rPr>
        <w:t xml:space="preserve">24.1 </w:t>
      </w:r>
      <w:r>
        <w:rPr>
          <w:rFonts w:ascii="楷体" w:hAnsi="楷体" w:eastAsia="楷体"/>
          <w:sz w:val="24"/>
          <w:szCs w:val="24"/>
        </w:rPr>
        <w:t>出现下列情形之一的，采购人或者中招公司将终止竞争性磋商采购活动，发布项目终止公告并说明原因，重新开展采购活动：</w:t>
      </w:r>
    </w:p>
    <w:p>
      <w:pPr>
        <w:snapToGrid w:val="0"/>
        <w:spacing w:line="360" w:lineRule="auto"/>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）在采购活动中因重大变故，采购任务取消的；</w:t>
      </w:r>
    </w:p>
    <w:p>
      <w:pPr>
        <w:snapToGrid w:val="0"/>
        <w:spacing w:line="360" w:lineRule="auto"/>
        <w:rPr>
          <w:rFonts w:ascii="楷体" w:hAnsi="楷体" w:eastAsia="楷体"/>
          <w:sz w:val="24"/>
          <w:szCs w:val="24"/>
        </w:rPr>
      </w:pPr>
      <w:r>
        <w:rPr>
          <w:rFonts w:hint="eastAsia" w:ascii="楷体" w:hAnsi="楷体" w:eastAsia="楷体"/>
          <w:sz w:val="24"/>
          <w:szCs w:val="24"/>
        </w:rPr>
        <w:t>（2）</w:t>
      </w:r>
      <w:r>
        <w:rPr>
          <w:rFonts w:ascii="楷体" w:hAnsi="楷体" w:eastAsia="楷体"/>
          <w:sz w:val="24"/>
          <w:szCs w:val="24"/>
        </w:rPr>
        <w:t>因情况变化，不再符合规定的竞争性磋商采购方式适用情形的；</w:t>
      </w:r>
    </w:p>
    <w:p>
      <w:pPr>
        <w:snapToGrid w:val="0"/>
        <w:spacing w:line="360" w:lineRule="auto"/>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出现影响采购公正的违法、违规行为的；</w:t>
      </w:r>
    </w:p>
    <w:p>
      <w:pPr>
        <w:snapToGrid w:val="0"/>
        <w:spacing w:line="360" w:lineRule="auto"/>
        <w:rPr>
          <w:rFonts w:ascii="楷体" w:hAnsi="楷体" w:eastAsia="楷体"/>
          <w:sz w:val="24"/>
          <w:szCs w:val="24"/>
        </w:rPr>
      </w:pPr>
      <w:r>
        <w:rPr>
          <w:rFonts w:hint="eastAsia" w:ascii="楷体" w:hAnsi="楷体" w:eastAsia="楷体"/>
          <w:sz w:val="24"/>
          <w:szCs w:val="24"/>
        </w:rPr>
        <w:t>（4）</w:t>
      </w:r>
      <w:r>
        <w:rPr>
          <w:rFonts w:ascii="楷体" w:hAnsi="楷体" w:eastAsia="楷体"/>
          <w:sz w:val="24"/>
          <w:szCs w:val="24"/>
        </w:rPr>
        <w:t>在采购过程中符合要求的供应商或者报价未超过采购预算的供应商</w:t>
      </w:r>
      <w:r>
        <w:rPr>
          <w:rFonts w:hint="eastAsia" w:ascii="楷体" w:hAnsi="楷体" w:eastAsia="楷体"/>
          <w:sz w:val="24"/>
          <w:szCs w:val="24"/>
        </w:rPr>
        <w:t>不满足要求</w:t>
      </w:r>
      <w:r>
        <w:rPr>
          <w:rFonts w:ascii="楷体" w:hAnsi="楷体" w:eastAsia="楷体"/>
          <w:sz w:val="24"/>
          <w:szCs w:val="24"/>
        </w:rPr>
        <w:t xml:space="preserve">的； </w:t>
      </w:r>
    </w:p>
    <w:p>
      <w:pPr>
        <w:snapToGrid w:val="0"/>
        <w:spacing w:line="360" w:lineRule="auto"/>
        <w:rPr>
          <w:rFonts w:ascii="楷体" w:hAnsi="楷体" w:eastAsia="楷体"/>
          <w:sz w:val="24"/>
          <w:szCs w:val="24"/>
        </w:rPr>
      </w:pPr>
      <w:r>
        <w:rPr>
          <w:rFonts w:hint="eastAsia" w:ascii="楷体" w:hAnsi="楷体" w:eastAsia="楷体"/>
          <w:sz w:val="24"/>
          <w:szCs w:val="24"/>
        </w:rPr>
        <w:t>（5）磋商小组未确认磋商文件的</w:t>
      </w:r>
      <w:r>
        <w:rPr>
          <w:rFonts w:ascii="楷体" w:hAnsi="楷体" w:eastAsia="楷体"/>
          <w:sz w:val="24"/>
          <w:szCs w:val="24"/>
        </w:rPr>
        <w:t>。</w:t>
      </w:r>
    </w:p>
    <w:p>
      <w:pPr>
        <w:spacing w:line="480" w:lineRule="exact"/>
        <w:ind w:left="435"/>
        <w:rPr>
          <w:rFonts w:ascii="楷体" w:hAnsi="楷体" w:eastAsia="楷体"/>
          <w:sz w:val="28"/>
        </w:rPr>
      </w:pPr>
    </w:p>
    <w:p>
      <w:pPr>
        <w:pStyle w:val="3"/>
        <w:numPr>
          <w:ilvl w:val="0"/>
          <w:numId w:val="0"/>
        </w:numPr>
        <w:spacing w:before="0" w:after="0" w:line="480" w:lineRule="exact"/>
        <w:ind w:left="432" w:hanging="432"/>
        <w:rPr>
          <w:rFonts w:ascii="楷体" w:hAnsi="楷体" w:eastAsia="楷体"/>
          <w:b w:val="0"/>
          <w:sz w:val="28"/>
        </w:rPr>
      </w:pPr>
      <w:bookmarkStart w:id="41" w:name="_Toc380479118"/>
      <w:r>
        <w:rPr>
          <w:rFonts w:hint="eastAsia" w:ascii="楷体" w:hAnsi="楷体" w:eastAsia="楷体"/>
          <w:sz w:val="28"/>
          <w:szCs w:val="28"/>
        </w:rPr>
        <w:t>十</w:t>
      </w:r>
      <w:r>
        <w:rPr>
          <w:rFonts w:ascii="楷体" w:hAnsi="楷体" w:eastAsia="楷体"/>
          <w:sz w:val="28"/>
          <w:szCs w:val="28"/>
        </w:rPr>
        <w:t xml:space="preserve">  中介服务费</w:t>
      </w:r>
      <w:bookmarkEnd w:id="41"/>
    </w:p>
    <w:p>
      <w:pPr>
        <w:pStyle w:val="3"/>
        <w:numPr>
          <w:ilvl w:val="0"/>
          <w:numId w:val="0"/>
        </w:numPr>
        <w:snapToGrid w:val="0"/>
        <w:spacing w:before="0" w:after="0" w:line="360" w:lineRule="auto"/>
        <w:jc w:val="left"/>
        <w:rPr>
          <w:rFonts w:ascii="楷体" w:hAnsi="楷体" w:eastAsia="楷体"/>
          <w:sz w:val="24"/>
          <w:szCs w:val="24"/>
        </w:rPr>
      </w:pPr>
      <w:bookmarkStart w:id="42" w:name="_Toc380479119"/>
    </w:p>
    <w:p>
      <w:pPr>
        <w:pStyle w:val="3"/>
        <w:numPr>
          <w:ilvl w:val="0"/>
          <w:numId w:val="0"/>
        </w:numPr>
        <w:snapToGrid w:val="0"/>
        <w:spacing w:before="0" w:after="0" w:line="360" w:lineRule="auto"/>
        <w:jc w:val="left"/>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5</w:t>
      </w:r>
      <w:r>
        <w:rPr>
          <w:rFonts w:ascii="楷体" w:hAnsi="楷体" w:eastAsia="楷体"/>
          <w:sz w:val="24"/>
          <w:szCs w:val="24"/>
        </w:rPr>
        <w:t>. 中介服务费</w:t>
      </w:r>
      <w:bookmarkEnd w:id="42"/>
    </w:p>
    <w:p>
      <w:pPr>
        <w:snapToGrid w:val="0"/>
        <w:spacing w:line="360" w:lineRule="auto"/>
        <w:rPr>
          <w:rFonts w:ascii="楷体" w:hAnsi="楷体" w:eastAsia="楷体"/>
          <w:sz w:val="24"/>
          <w:szCs w:val="24"/>
        </w:rPr>
      </w:pPr>
      <w:r>
        <w:rPr>
          <w:rFonts w:hint="eastAsia" w:ascii="楷体" w:hAnsi="楷体" w:eastAsia="楷体"/>
          <w:sz w:val="24"/>
          <w:szCs w:val="24"/>
        </w:rPr>
        <w:t xml:space="preserve">25.1 </w:t>
      </w:r>
      <w:r>
        <w:rPr>
          <w:rFonts w:ascii="楷体" w:hAnsi="楷体" w:eastAsia="楷体"/>
          <w:sz w:val="24"/>
          <w:szCs w:val="24"/>
        </w:rPr>
        <w:t>成交供应商与采购人签订合同后，中招公司将参照原国家计委关于《招标代理服务收费管理暂行办法》的通知（计价格[2002]1980号）及《国家发展改革委办公厅关于招标代理服务费有关问题的通知》（发改办价格［2003］857号）规定的标准，按照差额定率累进法向成交供应商收取中介服务费，收取费率见</w:t>
      </w:r>
      <w:r>
        <w:rPr>
          <w:rFonts w:ascii="楷体" w:hAnsi="楷体" w:eastAsia="楷体"/>
          <w:sz w:val="24"/>
          <w:szCs w:val="24"/>
          <w:u w:val="single"/>
        </w:rPr>
        <w:t>前附表</w:t>
      </w:r>
      <w:r>
        <w:rPr>
          <w:rFonts w:ascii="楷体" w:hAnsi="楷体" w:eastAsia="楷体"/>
          <w:sz w:val="24"/>
          <w:szCs w:val="24"/>
        </w:rPr>
        <w:t>。</w:t>
      </w:r>
    </w:p>
    <w:p>
      <w:pPr>
        <w:snapToGrid w:val="0"/>
        <w:spacing w:line="360" w:lineRule="auto"/>
        <w:rPr>
          <w:rFonts w:ascii="楷体" w:hAnsi="楷体" w:eastAsia="楷体"/>
          <w:sz w:val="24"/>
          <w:szCs w:val="24"/>
        </w:rPr>
      </w:pPr>
    </w:p>
    <w:p>
      <w:pPr>
        <w:snapToGrid w:val="0"/>
        <w:spacing w:line="360" w:lineRule="auto"/>
        <w:rPr>
          <w:rFonts w:ascii="楷体" w:hAnsi="楷体" w:eastAsia="楷体"/>
          <w:sz w:val="24"/>
          <w:szCs w:val="24"/>
        </w:rPr>
      </w:pPr>
    </w:p>
    <w:p>
      <w:pPr>
        <w:snapToGrid w:val="0"/>
        <w:spacing w:line="360" w:lineRule="auto"/>
        <w:rPr>
          <w:rFonts w:ascii="楷体" w:hAnsi="楷体" w:eastAsia="楷体"/>
          <w:sz w:val="24"/>
          <w:szCs w:val="24"/>
        </w:rPr>
      </w:pPr>
    </w:p>
    <w:p>
      <w:pPr>
        <w:snapToGrid w:val="0"/>
        <w:spacing w:line="360" w:lineRule="auto"/>
        <w:rPr>
          <w:rFonts w:ascii="楷体" w:hAnsi="楷体" w:eastAsia="楷体"/>
          <w:sz w:val="24"/>
          <w:szCs w:val="24"/>
        </w:rPr>
      </w:pPr>
    </w:p>
    <w:p>
      <w:pPr>
        <w:snapToGrid w:val="0"/>
        <w:spacing w:line="360" w:lineRule="auto"/>
        <w:rPr>
          <w:rFonts w:ascii="楷体" w:hAnsi="楷体" w:eastAsia="楷体"/>
          <w:sz w:val="24"/>
          <w:szCs w:val="24"/>
        </w:rPr>
      </w:pPr>
    </w:p>
    <w:p>
      <w:pPr>
        <w:snapToGrid w:val="0"/>
        <w:spacing w:line="360" w:lineRule="auto"/>
        <w:rPr>
          <w:rFonts w:ascii="楷体" w:hAnsi="楷体" w:eastAsia="楷体"/>
          <w:sz w:val="24"/>
          <w:szCs w:val="24"/>
        </w:rPr>
      </w:pPr>
    </w:p>
    <w:p>
      <w:pPr>
        <w:snapToGrid w:val="0"/>
        <w:spacing w:line="360" w:lineRule="auto"/>
        <w:jc w:val="center"/>
        <w:rPr>
          <w:rFonts w:ascii="楷体" w:hAnsi="楷体" w:eastAsia="楷体"/>
          <w:b/>
          <w:kern w:val="44"/>
          <w:sz w:val="28"/>
          <w:szCs w:val="28"/>
        </w:rPr>
      </w:pPr>
    </w:p>
    <w:p>
      <w:pPr>
        <w:snapToGrid w:val="0"/>
        <w:spacing w:line="360" w:lineRule="auto"/>
        <w:jc w:val="center"/>
        <w:rPr>
          <w:rFonts w:ascii="楷体" w:hAnsi="楷体" w:eastAsia="楷体"/>
          <w:b/>
          <w:kern w:val="44"/>
          <w:sz w:val="28"/>
          <w:szCs w:val="28"/>
        </w:rPr>
      </w:pPr>
    </w:p>
    <w:p>
      <w:pPr>
        <w:snapToGrid w:val="0"/>
        <w:spacing w:line="360" w:lineRule="auto"/>
        <w:jc w:val="center"/>
        <w:rPr>
          <w:rFonts w:ascii="楷体" w:hAnsi="楷体" w:eastAsia="楷体"/>
          <w:b/>
          <w:kern w:val="44"/>
          <w:sz w:val="28"/>
          <w:szCs w:val="28"/>
        </w:rPr>
      </w:pPr>
    </w:p>
    <w:p>
      <w:pPr>
        <w:snapToGrid w:val="0"/>
        <w:spacing w:line="360" w:lineRule="auto"/>
        <w:jc w:val="center"/>
        <w:rPr>
          <w:rFonts w:ascii="楷体" w:hAnsi="楷体" w:eastAsia="楷体"/>
          <w:b/>
          <w:kern w:val="44"/>
          <w:sz w:val="28"/>
          <w:szCs w:val="28"/>
        </w:rPr>
      </w:pPr>
    </w:p>
    <w:p>
      <w:pPr>
        <w:snapToGrid w:val="0"/>
        <w:spacing w:line="360" w:lineRule="auto"/>
        <w:jc w:val="center"/>
        <w:rPr>
          <w:rFonts w:ascii="楷体" w:hAnsi="楷体" w:eastAsia="楷体"/>
          <w:b/>
          <w:kern w:val="44"/>
          <w:sz w:val="28"/>
          <w:szCs w:val="28"/>
        </w:rPr>
      </w:pPr>
    </w:p>
    <w:p>
      <w:pPr>
        <w:snapToGrid w:val="0"/>
        <w:spacing w:line="360" w:lineRule="auto"/>
        <w:rPr>
          <w:rFonts w:ascii="楷体" w:hAnsi="楷体" w:eastAsia="楷体"/>
          <w:b/>
          <w:kern w:val="44"/>
          <w:sz w:val="28"/>
          <w:szCs w:val="28"/>
        </w:rPr>
        <w:sectPr>
          <w:footerReference r:id="rId4" w:type="first"/>
          <w:footerReference r:id="rId3" w:type="default"/>
          <w:pgSz w:w="11907" w:h="16840"/>
          <w:pgMar w:top="1440" w:right="1304" w:bottom="1440" w:left="1418" w:header="851" w:footer="992" w:gutter="0"/>
          <w:cols w:space="720" w:num="1"/>
          <w:docGrid w:type="linesAndChars" w:linePitch="312" w:charSpace="0"/>
        </w:sectPr>
      </w:pPr>
      <w:r>
        <w:rPr>
          <w:rFonts w:ascii="楷体" w:hAnsi="楷体" w:eastAsia="楷体"/>
          <w:b/>
          <w:kern w:val="44"/>
          <w:sz w:val="28"/>
          <w:szCs w:val="28"/>
        </w:rPr>
        <w:t xml:space="preserve"> </w:t>
      </w:r>
    </w:p>
    <w:p>
      <w:pPr>
        <w:widowControl/>
        <w:ind w:firstLine="321"/>
        <w:jc w:val="left"/>
        <w:rPr>
          <w:rFonts w:ascii="宋体" w:hAnsi="宋体" w:eastAsia="黑体" w:cs="宋体"/>
          <w:b/>
          <w:kern w:val="0"/>
          <w:sz w:val="32"/>
          <w:szCs w:val="32"/>
        </w:rPr>
      </w:pPr>
      <w:r>
        <w:rPr>
          <w:rFonts w:hint="eastAsia" w:ascii="楷体" w:hAnsi="楷体" w:eastAsia="楷体"/>
          <w:b/>
          <w:kern w:val="44"/>
          <w:sz w:val="28"/>
          <w:szCs w:val="28"/>
        </w:rPr>
        <w:t>评分表（满分100分）</w:t>
      </w:r>
    </w:p>
    <w:p>
      <w:pPr>
        <w:widowControl/>
        <w:ind w:firstLine="321"/>
        <w:jc w:val="center"/>
        <w:rPr>
          <w:rFonts w:ascii="宋体" w:hAnsi="宋体" w:cs="宋体"/>
          <w:b/>
          <w:kern w:val="0"/>
          <w:sz w:val="32"/>
          <w:szCs w:val="32"/>
        </w:rPr>
      </w:pPr>
      <w:r>
        <w:rPr>
          <w:rFonts w:hint="eastAsia" w:ascii="宋体" w:hAnsi="宋体" w:cs="宋体"/>
          <w:b/>
          <w:kern w:val="0"/>
          <w:sz w:val="32"/>
          <w:szCs w:val="32"/>
        </w:rPr>
        <w:t>资格审查</w:t>
      </w:r>
      <w:r>
        <w:rPr>
          <w:rFonts w:ascii="宋体" w:hAnsi="宋体" w:cs="宋体"/>
          <w:b/>
          <w:kern w:val="0"/>
          <w:sz w:val="32"/>
          <w:szCs w:val="32"/>
        </w:rPr>
        <w:t>表</w:t>
      </w:r>
    </w:p>
    <w:p>
      <w:pPr>
        <w:widowControl/>
        <w:ind w:firstLine="321"/>
        <w:jc w:val="center"/>
        <w:rPr>
          <w:rFonts w:ascii="宋体" w:hAnsi="宋体" w:cs="宋体"/>
          <w:b/>
          <w:kern w:val="0"/>
          <w:sz w:val="32"/>
          <w:szCs w:val="32"/>
        </w:rPr>
      </w:pPr>
      <w:r>
        <w:rPr>
          <w:rFonts w:hint="eastAsia" w:ascii="宋体" w:hAnsi="宋体" w:cs="宋体"/>
          <w:b/>
          <w:kern w:val="0"/>
          <w:sz w:val="32"/>
          <w:szCs w:val="32"/>
        </w:rPr>
        <w:t>（本次招标需审查的资格，响应人不填）</w:t>
      </w:r>
    </w:p>
    <w:p>
      <w:pPr>
        <w:ind w:firstLine="240"/>
        <w:rPr>
          <w:rFonts w:ascii="宋体" w:hAnsi="宋体"/>
        </w:rPr>
      </w:pPr>
    </w:p>
    <w:tbl>
      <w:tblPr>
        <w:tblStyle w:val="29"/>
        <w:tblW w:w="14176" w:type="dxa"/>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响应人名称</w:t>
            </w:r>
          </w:p>
        </w:tc>
        <w:tc>
          <w:tcPr>
            <w:tcW w:w="10348" w:type="dxa"/>
            <w:gridSpan w:val="9"/>
            <w:tcBorders>
              <w:top w:val="single" w:color="auto" w:sz="4" w:space="0"/>
              <w:left w:val="nil"/>
              <w:bottom w:val="single" w:color="auto" w:sz="4" w:space="0"/>
              <w:right w:val="single" w:color="auto" w:sz="4" w:space="0"/>
            </w:tcBorders>
            <w:vAlign w:val="center"/>
          </w:tcPr>
          <w:p>
            <w:pPr>
              <w:widowControl/>
              <w:ind w:firstLine="220"/>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709"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在中华人民共和国境内注册</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营业执照等证明</w:t>
            </w:r>
          </w:p>
        </w:tc>
        <w:tc>
          <w:tcPr>
            <w:tcW w:w="8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法人授权书</w:t>
            </w:r>
          </w:p>
        </w:tc>
        <w:tc>
          <w:tcPr>
            <w:tcW w:w="1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具有良好的商业信誉和健全的财务会计制度的证明文件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纳税和社保记录</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无重大违法记录声明</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信用记录</w:t>
            </w:r>
          </w:p>
        </w:tc>
        <w:tc>
          <w:tcPr>
            <w:tcW w:w="1276" w:type="dxa"/>
            <w:tcBorders>
              <w:top w:val="nil"/>
              <w:left w:val="nil"/>
              <w:bottom w:val="single" w:color="auto" w:sz="4" w:space="0"/>
              <w:right w:val="single" w:color="auto" w:sz="4" w:space="0"/>
            </w:tcBorders>
            <w:vAlign w:val="center"/>
          </w:tcPr>
          <w:p>
            <w:pPr>
              <w:widowControl/>
              <w:ind w:firstLine="220"/>
              <w:jc w:val="center"/>
              <w:rPr>
                <w:rFonts w:ascii="宋体" w:hAnsi="宋体" w:cs="宋体"/>
                <w:kern w:val="0"/>
                <w:sz w:val="22"/>
                <w:szCs w:val="22"/>
              </w:rPr>
            </w:pPr>
            <w:r>
              <w:rPr>
                <w:rFonts w:hint="eastAsia" w:ascii="宋体" w:hAnsi="宋体" w:cs="宋体"/>
                <w:kern w:val="0"/>
                <w:sz w:val="22"/>
                <w:szCs w:val="22"/>
              </w:rPr>
              <w:t>响应人须知资料表中要求的其他资格要求</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制造商授权（进口产品，如需要）</w:t>
            </w:r>
          </w:p>
        </w:tc>
        <w:tc>
          <w:tcPr>
            <w:tcW w:w="709" w:type="dxa"/>
            <w:tcBorders>
              <w:top w:val="nil"/>
              <w:left w:val="nil"/>
              <w:bottom w:val="single" w:color="auto" w:sz="4" w:space="0"/>
              <w:right w:val="single" w:color="auto" w:sz="4" w:space="0"/>
            </w:tcBorders>
            <w:vAlign w:val="center"/>
          </w:tcPr>
          <w:p>
            <w:pPr>
              <w:widowControl/>
              <w:ind w:firstLine="220"/>
              <w:jc w:val="center"/>
              <w:rPr>
                <w:rFonts w:ascii="宋体" w:hAnsi="宋体" w:cs="宋体"/>
                <w:i/>
                <w:iCs/>
                <w:kern w:val="0"/>
                <w:sz w:val="22"/>
                <w:szCs w:val="22"/>
              </w:rPr>
            </w:pPr>
          </w:p>
        </w:tc>
      </w:tr>
      <w:tr>
        <w:tblPrEx>
          <w:tblCellMar>
            <w:top w:w="0" w:type="dxa"/>
            <w:left w:w="108" w:type="dxa"/>
            <w:bottom w:w="0" w:type="dxa"/>
            <w:right w:w="108" w:type="dxa"/>
          </w:tblCellMar>
        </w:tblPrEx>
        <w:trPr>
          <w:trHeight w:val="515" w:hRule="atLeast"/>
        </w:trPr>
        <w:tc>
          <w:tcPr>
            <w:tcW w:w="3119" w:type="dxa"/>
            <w:tcBorders>
              <w:top w:val="nil"/>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4" w:hRule="atLeast"/>
        </w:trPr>
        <w:tc>
          <w:tcPr>
            <w:tcW w:w="3119" w:type="dxa"/>
            <w:tcBorders>
              <w:top w:val="nil"/>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88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52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992"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p>
        </w:tc>
      </w:tr>
      <w:tr>
        <w:tblPrEx>
          <w:tblCellMar>
            <w:top w:w="0" w:type="dxa"/>
            <w:left w:w="108" w:type="dxa"/>
            <w:bottom w:w="0" w:type="dxa"/>
            <w:right w:w="108" w:type="dxa"/>
          </w:tblCellMar>
        </w:tblPrEx>
        <w:trPr>
          <w:trHeight w:val="379" w:hRule="atLeast"/>
        </w:trPr>
        <w:tc>
          <w:tcPr>
            <w:tcW w:w="3119" w:type="dxa"/>
            <w:tcBorders>
              <w:top w:val="nil"/>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11" w:hRule="atLeast"/>
        </w:trPr>
        <w:tc>
          <w:tcPr>
            <w:tcW w:w="3119" w:type="dxa"/>
            <w:tcBorders>
              <w:top w:val="nil"/>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3" w:hRule="atLeast"/>
        </w:trPr>
        <w:tc>
          <w:tcPr>
            <w:tcW w:w="3119" w:type="dxa"/>
            <w:tcBorders>
              <w:top w:val="nil"/>
              <w:left w:val="single" w:color="auto" w:sz="4" w:space="0"/>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525"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ind w:firstLine="220"/>
              <w:jc w:val="left"/>
              <w:rPr>
                <w:rFonts w:ascii="宋体" w:hAnsi="宋体" w:cs="宋体"/>
                <w:kern w:val="0"/>
                <w:sz w:val="22"/>
                <w:szCs w:val="22"/>
              </w:rPr>
            </w:pPr>
            <w:r>
              <w:rPr>
                <w:rFonts w:hint="eastAsia" w:ascii="宋体" w:hAnsi="宋体" w:cs="宋体"/>
                <w:kern w:val="0"/>
                <w:sz w:val="22"/>
                <w:szCs w:val="22"/>
              </w:rPr>
              <w:t>　</w:t>
            </w:r>
          </w:p>
        </w:tc>
      </w:tr>
    </w:tbl>
    <w:p>
      <w:pPr>
        <w:tabs>
          <w:tab w:val="left" w:pos="312"/>
        </w:tabs>
        <w:spacing w:after="156" w:afterLines="50"/>
        <w:rPr>
          <w:rFonts w:ascii="宋体" w:hAnsi="宋体"/>
          <w:b/>
        </w:rPr>
        <w:sectPr>
          <w:pgSz w:w="16838" w:h="11906" w:orient="landscape"/>
          <w:pgMar w:top="1797" w:right="1440" w:bottom="1797" w:left="1440" w:header="851" w:footer="992" w:gutter="0"/>
          <w:cols w:space="720" w:num="1"/>
          <w:docGrid w:type="linesAndChars" w:linePitch="312" w:charSpace="0"/>
        </w:sectPr>
      </w:pPr>
    </w:p>
    <w:p>
      <w:pPr>
        <w:widowControl/>
        <w:ind w:firstLine="321"/>
        <w:jc w:val="center"/>
        <w:rPr>
          <w:rFonts w:ascii="宋体" w:hAnsi="宋体" w:cs="宋体"/>
          <w:b/>
          <w:sz w:val="32"/>
          <w:szCs w:val="32"/>
        </w:rPr>
      </w:pPr>
      <w:r>
        <w:rPr>
          <w:rFonts w:hint="eastAsia" w:ascii="宋体" w:hAnsi="宋体" w:cs="宋体"/>
          <w:b/>
          <w:sz w:val="32"/>
          <w:szCs w:val="32"/>
        </w:rPr>
        <w:t>形式性审查表</w:t>
      </w:r>
    </w:p>
    <w:tbl>
      <w:tblPr>
        <w:tblStyle w:val="29"/>
        <w:tblW w:w="14300" w:type="dxa"/>
        <w:tblInd w:w="93" w:type="dxa"/>
        <w:tblLayout w:type="fixed"/>
        <w:tblCellMar>
          <w:top w:w="0" w:type="dxa"/>
          <w:left w:w="108" w:type="dxa"/>
          <w:bottom w:w="0" w:type="dxa"/>
          <w:right w:w="108" w:type="dxa"/>
        </w:tblCellMar>
      </w:tblPr>
      <w:tblGrid>
        <w:gridCol w:w="820"/>
        <w:gridCol w:w="3940"/>
        <w:gridCol w:w="3180"/>
        <w:gridCol w:w="3180"/>
        <w:gridCol w:w="3180"/>
      </w:tblGrid>
      <w:tr>
        <w:tblPrEx>
          <w:tblCellMar>
            <w:top w:w="0" w:type="dxa"/>
            <w:left w:w="108" w:type="dxa"/>
            <w:bottom w:w="0" w:type="dxa"/>
            <w:right w:w="108" w:type="dxa"/>
          </w:tblCellMar>
        </w:tblPrEx>
        <w:trPr>
          <w:trHeight w:val="1080" w:hRule="atLeast"/>
        </w:trPr>
        <w:tc>
          <w:tcPr>
            <w:tcW w:w="82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r>
              <w:rPr>
                <w:rFonts w:hint="eastAsia" w:ascii="宋体" w:hAnsi="宋体" w:cs="宋体"/>
                <w:color w:val="000000"/>
                <w:sz w:val="22"/>
                <w:szCs w:val="22"/>
              </w:rPr>
              <w:t>序号</w:t>
            </w:r>
          </w:p>
        </w:tc>
        <w:tc>
          <w:tcPr>
            <w:tcW w:w="3940" w:type="dxa"/>
            <w:tcBorders>
              <w:top w:val="single" w:color="auto" w:sz="4" w:space="0"/>
              <w:left w:val="nil"/>
              <w:bottom w:val="single" w:color="auto" w:sz="4" w:space="0"/>
              <w:right w:val="nil"/>
              <w:tl2br w:val="single" w:color="auto" w:sz="4" w:space="0"/>
            </w:tcBorders>
            <w:vAlign w:val="center"/>
          </w:tcPr>
          <w:p>
            <w:pPr>
              <w:widowControl/>
              <w:ind w:firstLine="240"/>
              <w:jc w:val="center"/>
              <w:rPr>
                <w:rFonts w:ascii="宋体" w:hAnsi="宋体" w:cs="宋体"/>
                <w:color w:val="000000"/>
              </w:rPr>
            </w:pPr>
            <w:r>
              <w:rPr>
                <w:rFonts w:hint="eastAsia" w:ascii="宋体" w:hAnsi="宋体" w:cs="宋体"/>
                <w:color w:val="000000"/>
              </w:rPr>
              <w:t>投标单位</w:t>
            </w:r>
          </w:p>
          <w:p>
            <w:pPr>
              <w:widowControl/>
              <w:ind w:firstLine="240"/>
              <w:jc w:val="center"/>
              <w:rPr>
                <w:rFonts w:ascii="宋体" w:hAnsi="宋体" w:cs="宋体"/>
                <w:color w:val="000000"/>
              </w:rPr>
            </w:pPr>
          </w:p>
          <w:p>
            <w:pPr>
              <w:widowControl/>
              <w:ind w:firstLine="240"/>
              <w:jc w:val="center"/>
              <w:rPr>
                <w:rFonts w:ascii="宋体" w:hAnsi="宋体" w:cs="宋体"/>
                <w:color w:val="000000"/>
              </w:rPr>
            </w:pPr>
            <w:r>
              <w:rPr>
                <w:rFonts w:hint="eastAsia" w:ascii="宋体" w:hAnsi="宋体" w:cs="宋体"/>
                <w:color w:val="000000"/>
              </w:rPr>
              <w:t>审查要求</w:t>
            </w:r>
          </w:p>
        </w:tc>
        <w:tc>
          <w:tcPr>
            <w:tcW w:w="3180" w:type="dxa"/>
            <w:tcBorders>
              <w:top w:val="single" w:color="auto" w:sz="4" w:space="0"/>
              <w:left w:val="single" w:color="auto" w:sz="4" w:space="0"/>
              <w:bottom w:val="single" w:color="auto" w:sz="4" w:space="0"/>
              <w:right w:val="single" w:color="auto" w:sz="4" w:space="0"/>
            </w:tcBorders>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vAlign w:val="center"/>
          </w:tcPr>
          <w:p>
            <w:pPr>
              <w:widowControl/>
              <w:ind w:firstLine="240"/>
              <w:jc w:val="center"/>
              <w:rPr>
                <w:rFonts w:ascii="宋体" w:hAnsi="宋体" w:cs="宋体"/>
                <w:color w:val="000000"/>
                <w:szCs w:val="21"/>
              </w:rPr>
            </w:pPr>
          </w:p>
        </w:tc>
        <w:tc>
          <w:tcPr>
            <w:tcW w:w="3180" w:type="dxa"/>
            <w:tcBorders>
              <w:top w:val="single" w:color="auto" w:sz="4" w:space="0"/>
              <w:left w:val="nil"/>
              <w:bottom w:val="single" w:color="auto" w:sz="4" w:space="0"/>
              <w:right w:val="single" w:color="auto" w:sz="4" w:space="0"/>
            </w:tcBorders>
            <w:vAlign w:val="center"/>
          </w:tcPr>
          <w:p>
            <w:pPr>
              <w:widowControl/>
              <w:ind w:firstLine="240"/>
              <w:jc w:val="center"/>
              <w:rPr>
                <w:rFonts w:ascii="宋体" w:hAnsi="宋体" w:cs="宋体"/>
                <w:color w:val="000000"/>
                <w:szCs w:val="21"/>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1</w:t>
            </w:r>
          </w:p>
        </w:tc>
        <w:tc>
          <w:tcPr>
            <w:tcW w:w="394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是否满足商务条款实质性要求</w:t>
            </w: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2</w:t>
            </w:r>
          </w:p>
        </w:tc>
        <w:tc>
          <w:tcPr>
            <w:tcW w:w="394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是否满足服务条款实质性要求</w:t>
            </w: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3</w:t>
            </w:r>
          </w:p>
        </w:tc>
        <w:tc>
          <w:tcPr>
            <w:tcW w:w="394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是否存在串通投标的情况</w:t>
            </w: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89" w:hRule="atLeast"/>
        </w:trPr>
        <w:tc>
          <w:tcPr>
            <w:tcW w:w="820" w:type="dxa"/>
            <w:tcBorders>
              <w:top w:val="nil"/>
              <w:left w:val="single" w:color="auto" w:sz="4" w:space="0"/>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4</w:t>
            </w:r>
          </w:p>
        </w:tc>
        <w:tc>
          <w:tcPr>
            <w:tcW w:w="394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其他</w:t>
            </w: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p>
        </w:tc>
      </w:tr>
      <w:tr>
        <w:tblPrEx>
          <w:tblCellMar>
            <w:top w:w="0" w:type="dxa"/>
            <w:left w:w="108" w:type="dxa"/>
            <w:bottom w:w="0" w:type="dxa"/>
            <w:right w:w="108" w:type="dxa"/>
          </w:tblCellMar>
        </w:tblPrEx>
        <w:trPr>
          <w:trHeight w:val="1140" w:hRule="atLeast"/>
        </w:trPr>
        <w:tc>
          <w:tcPr>
            <w:tcW w:w="4760" w:type="dxa"/>
            <w:gridSpan w:val="2"/>
            <w:tcBorders>
              <w:top w:val="single" w:color="auto" w:sz="4" w:space="0"/>
              <w:left w:val="single" w:color="auto" w:sz="4" w:space="0"/>
              <w:bottom w:val="single" w:color="auto" w:sz="4" w:space="0"/>
              <w:right w:val="single" w:color="000000" w:sz="4" w:space="0"/>
            </w:tcBorders>
            <w:vAlign w:val="center"/>
          </w:tcPr>
          <w:p>
            <w:pPr>
              <w:widowControl/>
              <w:ind w:firstLine="221"/>
              <w:jc w:val="center"/>
              <w:rPr>
                <w:rFonts w:ascii="宋体" w:hAnsi="宋体" w:cs="宋体"/>
                <w:b/>
                <w:bCs/>
                <w:color w:val="000000"/>
                <w:sz w:val="22"/>
                <w:szCs w:val="22"/>
              </w:rPr>
            </w:pPr>
            <w:r>
              <w:rPr>
                <w:rFonts w:hint="eastAsia" w:ascii="宋体" w:hAnsi="宋体" w:cs="宋体"/>
                <w:b/>
                <w:bCs/>
                <w:color w:val="000000"/>
                <w:sz w:val="22"/>
                <w:szCs w:val="22"/>
              </w:rPr>
              <w:t>是否通过</w:t>
            </w:r>
          </w:p>
        </w:tc>
        <w:tc>
          <w:tcPr>
            <w:tcW w:w="3180" w:type="dxa"/>
            <w:tcBorders>
              <w:top w:val="nil"/>
              <w:left w:val="nil"/>
              <w:bottom w:val="single" w:color="auto" w:sz="4" w:space="0"/>
              <w:right w:val="single" w:color="auto" w:sz="4" w:space="0"/>
            </w:tcBorders>
            <w:vAlign w:val="center"/>
          </w:tcPr>
          <w:p>
            <w:pPr>
              <w:widowControl/>
              <w:ind w:firstLine="220"/>
              <w:jc w:val="center"/>
              <w:rPr>
                <w:rFonts w:ascii="宋体" w:hAnsi="宋体" w:cs="宋体"/>
                <w:color w:val="000000"/>
                <w:sz w:val="22"/>
                <w:szCs w:val="22"/>
              </w:rPr>
            </w:pPr>
            <w:r>
              <w:rPr>
                <w:rFonts w:hint="eastAsia" w:ascii="宋体" w:hAnsi="宋体" w:cs="宋体"/>
                <w:color w:val="000000"/>
                <w:sz w:val="22"/>
                <w:szCs w:val="22"/>
              </w:rPr>
              <w:t>　</w:t>
            </w:r>
          </w:p>
        </w:tc>
        <w:tc>
          <w:tcPr>
            <w:tcW w:w="318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　</w:t>
            </w:r>
          </w:p>
        </w:tc>
        <w:tc>
          <w:tcPr>
            <w:tcW w:w="3180" w:type="dxa"/>
            <w:tcBorders>
              <w:top w:val="nil"/>
              <w:left w:val="nil"/>
              <w:bottom w:val="single" w:color="auto" w:sz="4" w:space="0"/>
              <w:right w:val="single" w:color="auto" w:sz="4" w:space="0"/>
            </w:tcBorders>
            <w:vAlign w:val="center"/>
          </w:tcPr>
          <w:p>
            <w:pPr>
              <w:widowControl/>
              <w:ind w:firstLine="240"/>
              <w:jc w:val="left"/>
              <w:rPr>
                <w:rFonts w:ascii="宋体" w:hAnsi="宋体" w:cs="宋体"/>
                <w:color w:val="000000"/>
              </w:rPr>
            </w:pPr>
            <w:r>
              <w:rPr>
                <w:rFonts w:hint="eastAsia" w:ascii="宋体" w:hAnsi="宋体" w:cs="宋体"/>
                <w:color w:val="000000"/>
              </w:rPr>
              <w:t>　</w:t>
            </w:r>
          </w:p>
        </w:tc>
      </w:tr>
    </w:tbl>
    <w:p>
      <w:pPr>
        <w:numPr>
          <w:ilvl w:val="0"/>
          <w:numId w:val="4"/>
        </w:numPr>
        <w:spacing w:after="156" w:afterLines="50"/>
        <w:ind w:firstLine="241"/>
        <w:rPr>
          <w:rFonts w:ascii="宋体" w:hAnsi="宋体"/>
          <w:b/>
        </w:rPr>
        <w:sectPr>
          <w:pgSz w:w="16838" w:h="11906" w:orient="landscape"/>
          <w:pgMar w:top="1797" w:right="1440" w:bottom="1797" w:left="1440" w:header="851" w:footer="992" w:gutter="0"/>
          <w:cols w:space="720" w:num="1"/>
          <w:docGrid w:type="linesAndChars" w:linePitch="312" w:charSpace="0"/>
        </w:sectPr>
      </w:pPr>
    </w:p>
    <w:p>
      <w:pPr>
        <w:pStyle w:val="28"/>
      </w:pPr>
    </w:p>
    <w:p>
      <w:pPr>
        <w:snapToGrid w:val="0"/>
        <w:ind w:firstLine="241"/>
        <w:jc w:val="center"/>
        <w:rPr>
          <w:rFonts w:ascii="宋体"/>
          <w:b/>
        </w:rPr>
      </w:pPr>
      <w:r>
        <w:rPr>
          <w:rFonts w:hint="eastAsia"/>
          <w:b/>
        </w:rPr>
        <w:t>2:评审标准</w:t>
      </w:r>
    </w:p>
    <w:tbl>
      <w:tblPr>
        <w:tblStyle w:val="29"/>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07"/>
        <w:gridCol w:w="41"/>
        <w:gridCol w:w="4546"/>
        <w:gridCol w:w="769"/>
        <w:gridCol w:w="2581"/>
        <w:gridCol w:w="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6" w:type="dxa"/>
            <w:shd w:val="clear" w:color="000000" w:fill="FFFFFF"/>
            <w:vAlign w:val="center"/>
          </w:tcPr>
          <w:p>
            <w:pPr>
              <w:widowControl/>
              <w:rPr>
                <w:rFonts w:ascii="仿宋_GB2312" w:hAnsi="宋体" w:eastAsia="仿宋_GB2312"/>
                <w:color w:val="000000"/>
              </w:rPr>
            </w:pPr>
            <w:r>
              <w:rPr>
                <w:rFonts w:hint="eastAsia" w:ascii="仿宋_GB2312" w:hAnsi="宋体" w:eastAsia="仿宋_GB2312"/>
                <w:color w:val="000000"/>
              </w:rPr>
              <w:t>序号</w:t>
            </w:r>
          </w:p>
        </w:tc>
        <w:tc>
          <w:tcPr>
            <w:tcW w:w="1648" w:type="dxa"/>
            <w:gridSpan w:val="2"/>
            <w:shd w:val="clear" w:color="000000" w:fill="FFFFFF"/>
            <w:vAlign w:val="center"/>
          </w:tcPr>
          <w:p>
            <w:pPr>
              <w:widowControl/>
              <w:ind w:firstLine="240"/>
              <w:jc w:val="center"/>
              <w:rPr>
                <w:rFonts w:ascii="仿宋_GB2312" w:hAnsi="宋体" w:eastAsia="仿宋_GB2312"/>
                <w:color w:val="000000"/>
              </w:rPr>
            </w:pPr>
            <w:r>
              <w:rPr>
                <w:rFonts w:hint="eastAsia" w:ascii="仿宋_GB2312" w:hAnsi="宋体" w:eastAsia="仿宋_GB2312"/>
                <w:color w:val="000000"/>
              </w:rPr>
              <w:t>项目</w:t>
            </w:r>
          </w:p>
        </w:tc>
        <w:tc>
          <w:tcPr>
            <w:tcW w:w="4546" w:type="dxa"/>
            <w:shd w:val="clear" w:color="000000" w:fill="FFFFFF"/>
            <w:vAlign w:val="center"/>
          </w:tcPr>
          <w:p>
            <w:pPr>
              <w:widowControl/>
              <w:ind w:firstLine="240"/>
              <w:jc w:val="center"/>
              <w:rPr>
                <w:rFonts w:ascii="仿宋_GB2312" w:hAnsi="宋体" w:eastAsia="仿宋_GB2312"/>
                <w:color w:val="000000"/>
              </w:rPr>
            </w:pPr>
            <w:r>
              <w:rPr>
                <w:rFonts w:hint="eastAsia" w:ascii="仿宋_GB2312" w:hAnsi="宋体" w:eastAsia="仿宋_GB2312"/>
                <w:color w:val="000000"/>
              </w:rPr>
              <w:t>评审标准</w:t>
            </w:r>
          </w:p>
        </w:tc>
        <w:tc>
          <w:tcPr>
            <w:tcW w:w="769" w:type="dxa"/>
            <w:shd w:val="clear" w:color="000000" w:fill="FFFFFF"/>
            <w:vAlign w:val="center"/>
          </w:tcPr>
          <w:p>
            <w:pPr>
              <w:widowControl/>
              <w:rPr>
                <w:rFonts w:ascii="仿宋_GB2312" w:hAnsi="宋体" w:eastAsia="仿宋_GB2312"/>
                <w:color w:val="000000"/>
              </w:rPr>
            </w:pPr>
            <w:r>
              <w:rPr>
                <w:rFonts w:hint="eastAsia" w:ascii="仿宋_GB2312" w:hAnsi="宋体" w:eastAsia="仿宋_GB2312"/>
                <w:color w:val="000000"/>
              </w:rPr>
              <w:t>满分</w:t>
            </w:r>
          </w:p>
        </w:tc>
        <w:tc>
          <w:tcPr>
            <w:tcW w:w="2653" w:type="dxa"/>
            <w:gridSpan w:val="2"/>
            <w:shd w:val="clear" w:color="000000" w:fill="FFFFFF"/>
            <w:vAlign w:val="center"/>
          </w:tcPr>
          <w:p>
            <w:pPr>
              <w:widowControl/>
              <w:ind w:firstLine="240"/>
              <w:jc w:val="center"/>
              <w:rPr>
                <w:rFonts w:ascii="仿宋_GB2312" w:hAnsi="宋体" w:eastAsia="仿宋_GB2312"/>
                <w:color w:val="000000"/>
              </w:rPr>
            </w:pPr>
            <w:r>
              <w:rPr>
                <w:rFonts w:hint="eastAsia" w:ascii="仿宋_GB2312" w:hAnsi="宋体" w:eastAsia="仿宋_GB2312"/>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02" w:type="dxa"/>
            <w:gridSpan w:val="7"/>
            <w:vAlign w:val="center"/>
          </w:tcPr>
          <w:p>
            <w:pPr>
              <w:widowControl/>
              <w:ind w:firstLine="241"/>
              <w:rPr>
                <w:rFonts w:ascii="仿宋_GB2312" w:hAnsi="宋体" w:eastAsia="仿宋_GB2312"/>
                <w:b/>
              </w:rPr>
            </w:pPr>
            <w:r>
              <w:rPr>
                <w:rFonts w:hint="eastAsia" w:ascii="仿宋_GB2312" w:hAnsi="宋体" w:eastAsia="仿宋_GB2312"/>
                <w:b/>
              </w:rPr>
              <w:t>一、价格部分（10分）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6" w:type="dxa"/>
            <w:vAlign w:val="center"/>
          </w:tcPr>
          <w:p>
            <w:pPr>
              <w:widowControl/>
              <w:ind w:firstLine="240"/>
              <w:jc w:val="center"/>
              <w:rPr>
                <w:rFonts w:ascii="仿宋_GB2312" w:hAnsi="宋体" w:eastAsia="仿宋_GB2312"/>
              </w:rPr>
            </w:pPr>
            <w:r>
              <w:rPr>
                <w:rFonts w:hint="eastAsia" w:ascii="仿宋_GB2312" w:hAnsi="宋体" w:eastAsia="仿宋_GB2312"/>
              </w:rPr>
              <w:t>1</w:t>
            </w:r>
          </w:p>
        </w:tc>
        <w:tc>
          <w:tcPr>
            <w:tcW w:w="1648" w:type="dxa"/>
            <w:gridSpan w:val="2"/>
            <w:vAlign w:val="center"/>
          </w:tcPr>
          <w:p>
            <w:pPr>
              <w:widowControl/>
              <w:ind w:firstLine="240"/>
              <w:rPr>
                <w:rFonts w:ascii="仿宋_GB2312" w:hAnsi="宋体" w:eastAsia="仿宋_GB2312"/>
              </w:rPr>
            </w:pPr>
            <w:r>
              <w:rPr>
                <w:rFonts w:hint="eastAsia" w:ascii="仿宋_GB2312" w:hAnsi="宋体" w:eastAsia="仿宋_GB2312"/>
              </w:rPr>
              <w:t>价格分</w:t>
            </w:r>
          </w:p>
        </w:tc>
        <w:tc>
          <w:tcPr>
            <w:tcW w:w="4546" w:type="dxa"/>
            <w:vAlign w:val="center"/>
          </w:tcPr>
          <w:p>
            <w:pPr>
              <w:widowControl/>
              <w:ind w:firstLine="240"/>
              <w:rPr>
                <w:rFonts w:hint="eastAsia" w:ascii="仿宋_GB2312" w:hAnsi="宋体" w:eastAsia="仿宋_GB2312"/>
              </w:rPr>
            </w:pPr>
            <w:r>
              <w:rPr>
                <w:rFonts w:hint="eastAsia" w:ascii="仿宋_GB2312" w:hAnsi="宋体" w:eastAsia="仿宋_GB2312"/>
              </w:rPr>
              <w:t>按照磋商文件要求的有效投标价中最低报价为评标基准价，其价格为满分10分。其他响应人的价格分统一按下列公式计算：投标报价得分=（评标基准价/有效投标报价）*10</w:t>
            </w:r>
          </w:p>
          <w:p>
            <w:pPr>
              <w:widowControl/>
              <w:rPr>
                <w:rFonts w:ascii="仿宋_GB2312" w:hAnsi="宋体" w:eastAsia="仿宋_GB2312"/>
              </w:rPr>
            </w:pPr>
            <w:r>
              <w:rPr>
                <w:rFonts w:hint="eastAsia" w:ascii="仿宋_GB2312" w:hAnsi="宋体" w:eastAsia="仿宋_GB2312"/>
                <w:szCs w:val="22"/>
              </w:rPr>
              <w:t>（计算分数时四舍五入取小数点后两位）</w:t>
            </w:r>
          </w:p>
        </w:tc>
        <w:tc>
          <w:tcPr>
            <w:tcW w:w="769" w:type="dxa"/>
            <w:vAlign w:val="center"/>
          </w:tcPr>
          <w:p>
            <w:pPr>
              <w:widowControl/>
              <w:ind w:firstLine="240"/>
              <w:rPr>
                <w:rFonts w:ascii="仿宋_GB2312" w:hAnsi="宋体" w:eastAsia="仿宋_GB2312"/>
              </w:rPr>
            </w:pPr>
            <w:r>
              <w:rPr>
                <w:rFonts w:hint="eastAsia" w:ascii="仿宋_GB2312" w:hAnsi="宋体" w:eastAsia="仿宋_GB2312"/>
              </w:rPr>
              <w:t>10</w:t>
            </w:r>
          </w:p>
        </w:tc>
        <w:tc>
          <w:tcPr>
            <w:tcW w:w="2653" w:type="dxa"/>
            <w:gridSpan w:val="2"/>
            <w:vAlign w:val="center"/>
          </w:tcPr>
          <w:p>
            <w:pPr>
              <w:widowControl/>
              <w:ind w:firstLine="240"/>
              <w:rPr>
                <w:rFonts w:ascii="仿宋_GB2312" w:hAnsi="宋体" w:eastAsia="仿宋_GB2312"/>
              </w:rPr>
            </w:pPr>
            <w:r>
              <w:rPr>
                <w:rFonts w:hint="eastAsia" w:ascii="仿宋_GB2312" w:hAnsi="宋体"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202" w:type="dxa"/>
            <w:gridSpan w:val="7"/>
            <w:vAlign w:val="center"/>
          </w:tcPr>
          <w:p>
            <w:pPr>
              <w:widowControl/>
              <w:ind w:firstLine="241"/>
              <w:rPr>
                <w:rFonts w:ascii="仿宋_GB2312" w:hAnsi="宋体" w:eastAsia="仿宋_GB2312"/>
                <w:b/>
              </w:rPr>
            </w:pPr>
            <w:r>
              <w:rPr>
                <w:rFonts w:hint="eastAsia" w:ascii="仿宋_GB2312" w:hAnsi="宋体" w:eastAsia="仿宋_GB2312"/>
                <w:b/>
              </w:rPr>
              <w:t>二、商务部分（</w:t>
            </w:r>
            <w:r>
              <w:rPr>
                <w:rFonts w:hint="eastAsia" w:ascii="仿宋_GB2312" w:hAnsi="宋体" w:eastAsia="仿宋_GB2312"/>
                <w:b/>
                <w:lang w:val="en-US" w:eastAsia="zh-CN"/>
              </w:rPr>
              <w:t>33</w:t>
            </w:r>
            <w:r>
              <w:rPr>
                <w:rFonts w:hint="eastAsia" w:ascii="仿宋_GB2312" w:hAnsi="宋体" w:eastAsia="仿宋_GB2312"/>
                <w:b/>
              </w:rPr>
              <w:t>分）</w:t>
            </w:r>
            <w:r>
              <w:rPr>
                <w:rFonts w:hint="eastAsia" w:ascii="宋体" w:hAnsi="宋体" w:cs="宋体"/>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86" w:type="dxa"/>
            <w:vAlign w:val="center"/>
          </w:tcPr>
          <w:p>
            <w:pPr>
              <w:widowControl/>
              <w:ind w:firstLine="240"/>
              <w:jc w:val="center"/>
              <w:rPr>
                <w:rFonts w:hint="eastAsia" w:ascii="仿宋_GB2312" w:hAnsi="宋体" w:eastAsia="仿宋_GB2312"/>
                <w:lang w:eastAsia="zh-CN"/>
              </w:rPr>
            </w:pPr>
            <w:r>
              <w:rPr>
                <w:rFonts w:hint="eastAsia" w:ascii="仿宋_GB2312" w:hAnsi="宋体" w:eastAsia="仿宋_GB2312"/>
                <w:lang w:val="en-US" w:eastAsia="zh-CN"/>
              </w:rPr>
              <w:t>1</w:t>
            </w:r>
          </w:p>
        </w:tc>
        <w:tc>
          <w:tcPr>
            <w:tcW w:w="1648" w:type="dxa"/>
            <w:gridSpan w:val="2"/>
            <w:vAlign w:val="center"/>
          </w:tcPr>
          <w:p>
            <w:pPr>
              <w:widowControl/>
              <w:ind w:firstLine="240"/>
              <w:rPr>
                <w:rFonts w:hint="eastAsia" w:ascii="仿宋_GB2312" w:hAnsi="宋体" w:eastAsia="仿宋_GB2312"/>
                <w:szCs w:val="22"/>
                <w:lang w:eastAsia="zh-CN"/>
              </w:rPr>
            </w:pPr>
            <w:r>
              <w:rPr>
                <w:rFonts w:hint="eastAsia" w:ascii="仿宋_GB2312" w:hAnsi="宋体" w:eastAsia="仿宋_GB2312"/>
                <w:szCs w:val="22"/>
                <w:lang w:val="en-US" w:eastAsia="zh-CN"/>
              </w:rPr>
              <w:t>相关业绩</w:t>
            </w:r>
          </w:p>
          <w:p>
            <w:pPr>
              <w:widowControl/>
              <w:ind w:firstLine="240"/>
              <w:rPr>
                <w:rFonts w:hint="eastAsia" w:ascii="仿宋_GB2312" w:hAnsi="宋体" w:eastAsia="仿宋_GB2312"/>
                <w:szCs w:val="22"/>
              </w:rPr>
            </w:pPr>
          </w:p>
        </w:tc>
        <w:tc>
          <w:tcPr>
            <w:tcW w:w="4546" w:type="dxa"/>
            <w:vAlign w:val="center"/>
          </w:tcPr>
          <w:p>
            <w:pPr>
              <w:widowControl/>
              <w:ind w:firstLine="240"/>
              <w:rPr>
                <w:rFonts w:hint="eastAsia" w:ascii="仿宋_GB2312" w:hAnsi="宋体" w:eastAsia="仿宋_GB2312"/>
                <w:szCs w:val="22"/>
              </w:rPr>
            </w:pPr>
            <w:r>
              <w:rPr>
                <w:rFonts w:hint="eastAsia" w:ascii="仿宋_GB2312" w:hAnsi="宋体" w:eastAsia="仿宋_GB2312"/>
                <w:szCs w:val="22"/>
                <w:lang w:val="en-US" w:eastAsia="zh-CN"/>
              </w:rPr>
              <w:t>自 2018 年 1 月 1 日以来完成的能耗数据、碳排放数据或大数据应用平台建设类项目，每个项目3分，最多得9分</w:t>
            </w:r>
            <w:r>
              <w:rPr>
                <w:rFonts w:hint="eastAsia" w:ascii="宋体" w:hAnsi="宋体" w:eastAsia="宋体" w:cs="宋体"/>
                <w:color w:val="000000"/>
                <w:kern w:val="0"/>
                <w:sz w:val="32"/>
                <w:szCs w:val="32"/>
              </w:rPr>
              <w:t>。</w:t>
            </w:r>
            <w:r>
              <w:rPr>
                <w:rFonts w:hint="eastAsia" w:ascii="仿宋_GB2312" w:hAnsi="宋体" w:eastAsia="仿宋_GB2312"/>
                <w:szCs w:val="22"/>
                <w:lang w:val="en-US" w:eastAsia="zh-CN"/>
              </w:rPr>
              <w:t xml:space="preserve">未提供或不符合要求的，不得分。 </w:t>
            </w:r>
          </w:p>
        </w:tc>
        <w:tc>
          <w:tcPr>
            <w:tcW w:w="769" w:type="dxa"/>
            <w:vAlign w:val="center"/>
          </w:tcPr>
          <w:p>
            <w:pPr>
              <w:widowControl/>
              <w:ind w:firstLine="240"/>
              <w:jc w:val="center"/>
              <w:rPr>
                <w:rFonts w:hint="eastAsia" w:ascii="仿宋_GB2312" w:hAnsi="宋体" w:eastAsia="仿宋_GB2312"/>
                <w:lang w:eastAsia="zh-CN"/>
              </w:rPr>
            </w:pPr>
            <w:r>
              <w:rPr>
                <w:rFonts w:hint="eastAsia" w:ascii="仿宋_GB2312" w:hAnsi="宋体" w:eastAsia="仿宋_GB2312"/>
                <w:lang w:val="en-US" w:eastAsia="zh-CN"/>
              </w:rPr>
              <w:t>9</w:t>
            </w:r>
          </w:p>
        </w:tc>
        <w:tc>
          <w:tcPr>
            <w:tcW w:w="2653" w:type="dxa"/>
            <w:gridSpan w:val="2"/>
            <w:vAlign w:val="center"/>
          </w:tcPr>
          <w:p>
            <w:pPr>
              <w:widowControl/>
              <w:ind w:firstLine="240"/>
              <w:rPr>
                <w:rFonts w:ascii="仿宋_GB2312" w:hAnsi="宋体" w:eastAsia="仿宋_GB2312"/>
              </w:rPr>
            </w:pPr>
            <w:r>
              <w:rPr>
                <w:rFonts w:hint="eastAsia" w:ascii="仿宋_GB2312" w:hAnsi="宋体" w:eastAsia="仿宋_GB2312"/>
                <w:szCs w:val="22"/>
                <w:lang w:val="en-US" w:eastAsia="zh-CN"/>
              </w:rPr>
              <w:t>注：需提供包含合同首页、标的及金额所在页、供货合同签字盖章页和验收报告复印件加盖公章。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86" w:type="dxa"/>
            <w:vAlign w:val="center"/>
          </w:tcPr>
          <w:p>
            <w:pPr>
              <w:widowControl/>
              <w:ind w:firstLine="240"/>
              <w:jc w:val="center"/>
              <w:rPr>
                <w:rFonts w:hint="eastAsia" w:ascii="仿宋_GB2312" w:hAnsi="宋体" w:eastAsia="仿宋_GB2312"/>
                <w:lang w:eastAsia="zh-CN"/>
              </w:rPr>
            </w:pPr>
            <w:r>
              <w:rPr>
                <w:rFonts w:hint="eastAsia" w:ascii="仿宋_GB2312" w:hAnsi="宋体" w:eastAsia="仿宋_GB2312"/>
                <w:lang w:val="en-US" w:eastAsia="zh-CN"/>
              </w:rPr>
              <w:t>2</w:t>
            </w:r>
          </w:p>
        </w:tc>
        <w:tc>
          <w:tcPr>
            <w:tcW w:w="1648" w:type="dxa"/>
            <w:gridSpan w:val="2"/>
            <w:vMerge w:val="restart"/>
            <w:vAlign w:val="center"/>
          </w:tcPr>
          <w:p>
            <w:pPr>
              <w:widowControl/>
              <w:ind w:firstLine="240"/>
              <w:rPr>
                <w:rFonts w:hint="eastAsia" w:ascii="仿宋_GB2312" w:hAnsi="宋体" w:eastAsia="仿宋_GB2312"/>
                <w:szCs w:val="22"/>
                <w:highlight w:val="none"/>
              </w:rPr>
            </w:pPr>
            <w:r>
              <w:rPr>
                <w:rFonts w:hint="eastAsia" w:ascii="仿宋_GB2312" w:hAnsi="宋体" w:eastAsia="仿宋_GB2312"/>
                <w:szCs w:val="22"/>
                <w:highlight w:val="none"/>
              </w:rPr>
              <w:t>投标人资质</w:t>
            </w:r>
          </w:p>
          <w:p>
            <w:pPr>
              <w:adjustRightInd w:val="0"/>
              <w:snapToGrid w:val="0"/>
              <w:jc w:val="center"/>
              <w:rPr>
                <w:rFonts w:hint="eastAsia" w:ascii="仿宋_GB2312" w:hAnsi="宋体" w:eastAsia="仿宋_GB2312"/>
                <w:szCs w:val="22"/>
                <w:highlight w:val="none"/>
              </w:rPr>
            </w:pPr>
          </w:p>
        </w:tc>
        <w:tc>
          <w:tcPr>
            <w:tcW w:w="4546" w:type="dxa"/>
            <w:vAlign w:val="center"/>
          </w:tcPr>
          <w:p>
            <w:pPr>
              <w:widowControl/>
              <w:ind w:firstLine="240"/>
              <w:rPr>
                <w:rFonts w:hint="eastAsia" w:ascii="仿宋_GB2312" w:hAnsi="宋体" w:eastAsia="仿宋_GB2312"/>
                <w:szCs w:val="22"/>
                <w:highlight w:val="none"/>
              </w:rPr>
            </w:pPr>
            <w:r>
              <w:rPr>
                <w:rFonts w:hint="eastAsia" w:ascii="仿宋_GB2312" w:hAnsi="宋体" w:eastAsia="仿宋_GB2312"/>
                <w:szCs w:val="22"/>
                <w:highlight w:val="none"/>
                <w:lang w:val="en-US" w:eastAsia="zh-CN"/>
              </w:rPr>
              <w:t>投标人具有质量管理体系认证证书、环境管理体系认证证书、职业健康安全管理体系认证证书、信息安全管理体系认证证书、信息技术服务管理体系认证证书，每项得1分，满分3分。</w:t>
            </w:r>
          </w:p>
        </w:tc>
        <w:tc>
          <w:tcPr>
            <w:tcW w:w="769" w:type="dxa"/>
            <w:vAlign w:val="center"/>
          </w:tcPr>
          <w:p>
            <w:pPr>
              <w:widowControl/>
              <w:ind w:firstLine="240"/>
              <w:jc w:val="center"/>
              <w:rPr>
                <w:rFonts w:hint="eastAsia" w:ascii="仿宋_GB2312" w:hAnsi="宋体" w:eastAsia="仿宋_GB2312"/>
                <w:highlight w:val="none"/>
                <w:lang w:eastAsia="zh-CN"/>
              </w:rPr>
            </w:pPr>
            <w:r>
              <w:rPr>
                <w:rFonts w:hint="eastAsia" w:ascii="仿宋_GB2312" w:hAnsi="宋体" w:eastAsia="仿宋_GB2312"/>
                <w:highlight w:val="none"/>
                <w:lang w:val="en-US" w:eastAsia="zh-CN"/>
              </w:rPr>
              <w:t>3</w:t>
            </w:r>
          </w:p>
        </w:tc>
        <w:tc>
          <w:tcPr>
            <w:tcW w:w="2653" w:type="dxa"/>
            <w:gridSpan w:val="2"/>
            <w:vAlign w:val="center"/>
          </w:tcPr>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lang w:val="en-US" w:eastAsia="zh-CN"/>
              </w:rPr>
              <w:t>（须提供证书复印件并加盖公章，无证明得0分）</w:t>
            </w:r>
          </w:p>
          <w:p>
            <w:pPr>
              <w:pStyle w:val="6"/>
              <w:numPr>
                <w:ilvl w:val="3"/>
                <w:numId w:val="0"/>
              </w:numPr>
              <w:ind w:leftChars="0"/>
              <w:rPr>
                <w:rFonts w:hint="eastAsia"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3</w:t>
            </w:r>
          </w:p>
        </w:tc>
        <w:tc>
          <w:tcPr>
            <w:tcW w:w="1648" w:type="dxa"/>
            <w:gridSpan w:val="2"/>
            <w:vMerge w:val="continue"/>
            <w:vAlign w:val="center"/>
          </w:tcPr>
          <w:p>
            <w:pPr>
              <w:adjustRightInd w:val="0"/>
              <w:snapToGrid w:val="0"/>
              <w:jc w:val="center"/>
              <w:rPr>
                <w:rFonts w:hint="eastAsia" w:ascii="仿宋_GB2312" w:hAnsi="宋体" w:eastAsia="仿宋_GB2312"/>
                <w:szCs w:val="22"/>
                <w:highlight w:val="none"/>
              </w:rPr>
            </w:pPr>
          </w:p>
        </w:tc>
        <w:tc>
          <w:tcPr>
            <w:tcW w:w="4546" w:type="dxa"/>
            <w:vAlign w:val="center"/>
          </w:tcPr>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lang w:val="en-US" w:eastAsia="zh-CN"/>
              </w:rPr>
              <w:t>投标人应具有信息安全服务资质认证，提供证书得3分。</w:t>
            </w:r>
          </w:p>
        </w:tc>
        <w:tc>
          <w:tcPr>
            <w:tcW w:w="769" w:type="dxa"/>
            <w:vAlign w:val="center"/>
          </w:tcPr>
          <w:p>
            <w:pPr>
              <w:widowControl/>
              <w:ind w:firstLine="240"/>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3</w:t>
            </w:r>
          </w:p>
        </w:tc>
        <w:tc>
          <w:tcPr>
            <w:tcW w:w="2653" w:type="dxa"/>
            <w:gridSpan w:val="2"/>
            <w:vAlign w:val="center"/>
          </w:tcPr>
          <w:p>
            <w:pPr>
              <w:pStyle w:val="6"/>
              <w:numPr>
                <w:ilvl w:val="3"/>
                <w:numId w:val="0"/>
              </w:numPr>
              <w:ind w:leftChars="0" w:firstLine="210" w:firstLineChars="100"/>
              <w:rPr>
                <w:rFonts w:hint="eastAsia" w:ascii="仿宋_GB2312" w:hAnsi="宋体" w:eastAsia="仿宋_GB2312"/>
                <w:b w:val="0"/>
                <w:bCs w:val="0"/>
                <w:kern w:val="2"/>
                <w:sz w:val="21"/>
                <w:szCs w:val="22"/>
                <w:highlight w:val="none"/>
                <w:lang w:val="en-US" w:eastAsia="zh-CN" w:bidi="ar-SA"/>
              </w:rPr>
            </w:pPr>
            <w:r>
              <w:rPr>
                <w:rFonts w:hint="eastAsia" w:ascii="仿宋_GB2312" w:hAnsi="宋体" w:eastAsia="仿宋_GB2312"/>
                <w:b w:val="0"/>
                <w:bCs w:val="0"/>
                <w:kern w:val="2"/>
                <w:sz w:val="21"/>
                <w:szCs w:val="22"/>
                <w:highlight w:val="none"/>
                <w:lang w:val="en-US" w:eastAsia="zh-CN" w:bidi="ar-SA"/>
              </w:rPr>
              <w:t>须提供证书复印件并加盖公章，无证明得0分）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6" w:type="dxa"/>
            <w:vAlign w:val="center"/>
          </w:tcPr>
          <w:p>
            <w:pPr>
              <w:widowControl/>
              <w:ind w:firstLine="240"/>
              <w:jc w:val="center"/>
              <w:rPr>
                <w:rFonts w:ascii="仿宋_GB2312" w:hAnsi="宋体" w:eastAsia="仿宋_GB2312"/>
              </w:rPr>
            </w:pPr>
            <w:r>
              <w:rPr>
                <w:rFonts w:hint="eastAsia" w:ascii="仿宋_GB2312" w:hAnsi="宋体" w:eastAsia="仿宋_GB2312"/>
              </w:rPr>
              <w:t>4</w:t>
            </w:r>
          </w:p>
        </w:tc>
        <w:tc>
          <w:tcPr>
            <w:tcW w:w="1648" w:type="dxa"/>
            <w:gridSpan w:val="2"/>
            <w:vMerge w:val="restart"/>
            <w:vAlign w:val="center"/>
          </w:tcPr>
          <w:p>
            <w:pPr>
              <w:jc w:val="center"/>
              <w:rPr>
                <w:rFonts w:ascii="仿宋_GB2312" w:hAnsi="宋体" w:eastAsia="仿宋_GB2312"/>
                <w:szCs w:val="22"/>
                <w:highlight w:val="none"/>
              </w:rPr>
            </w:pPr>
            <w:r>
              <w:rPr>
                <w:rFonts w:hint="eastAsia" w:eastAsia="仿宋_GB2312"/>
                <w:highlight w:val="none"/>
              </w:rPr>
              <w:t>项目团队</w:t>
            </w:r>
          </w:p>
        </w:tc>
        <w:tc>
          <w:tcPr>
            <w:tcW w:w="4546" w:type="dxa"/>
            <w:vAlign w:val="center"/>
          </w:tcPr>
          <w:p>
            <w:pPr>
              <w:widowControl/>
              <w:ind w:firstLine="240"/>
              <w:rPr>
                <w:highlight w:val="none"/>
              </w:rPr>
            </w:pPr>
            <w:r>
              <w:rPr>
                <w:rFonts w:hint="eastAsia" w:ascii="仿宋_GB2312" w:hAnsi="宋体" w:eastAsia="仿宋_GB2312"/>
                <w:szCs w:val="22"/>
                <w:highlight w:val="none"/>
              </w:rPr>
              <w:t>项目</w:t>
            </w:r>
            <w:r>
              <w:rPr>
                <w:rFonts w:hint="eastAsia" w:ascii="仿宋_GB2312" w:hAnsi="宋体" w:eastAsia="仿宋_GB2312"/>
                <w:szCs w:val="22"/>
                <w:highlight w:val="none"/>
                <w:lang w:val="en-US" w:eastAsia="zh-CN"/>
              </w:rPr>
              <w:t>管理人员</w:t>
            </w:r>
            <w:r>
              <w:rPr>
                <w:rFonts w:hint="eastAsia" w:ascii="仿宋_GB2312" w:hAnsi="宋体" w:eastAsia="仿宋_GB2312"/>
                <w:szCs w:val="22"/>
                <w:highlight w:val="none"/>
              </w:rPr>
              <w:t>：具</w:t>
            </w:r>
            <w:r>
              <w:rPr>
                <w:rFonts w:hint="eastAsia" w:ascii="仿宋_GB2312" w:hAnsi="宋体" w:eastAsia="仿宋_GB2312"/>
                <w:szCs w:val="22"/>
                <w:highlight w:val="none"/>
                <w:lang w:val="en-US" w:eastAsia="zh-CN"/>
              </w:rPr>
              <w:t>有计算机信息系统集成项目高级经理资格证书或具有计算机相关专业高级职称的，每配备1名得1分，满分3分。</w:t>
            </w:r>
          </w:p>
        </w:tc>
        <w:tc>
          <w:tcPr>
            <w:tcW w:w="769" w:type="dxa"/>
            <w:vAlign w:val="center"/>
          </w:tcPr>
          <w:p>
            <w:pPr>
              <w:widowControl/>
              <w:ind w:firstLine="240"/>
              <w:jc w:val="center"/>
              <w:rPr>
                <w:rFonts w:hint="eastAsia" w:ascii="仿宋_GB2312" w:hAnsi="宋体" w:eastAsia="仿宋_GB2312"/>
                <w:highlight w:val="none"/>
                <w:lang w:eastAsia="zh-CN"/>
              </w:rPr>
            </w:pPr>
            <w:r>
              <w:rPr>
                <w:rFonts w:hint="eastAsia" w:ascii="仿宋_GB2312" w:hAnsi="宋体" w:eastAsia="仿宋_GB2312"/>
                <w:highlight w:val="none"/>
                <w:lang w:val="en-US" w:eastAsia="zh-CN"/>
              </w:rPr>
              <w:t>3</w:t>
            </w:r>
          </w:p>
        </w:tc>
        <w:tc>
          <w:tcPr>
            <w:tcW w:w="2653" w:type="dxa"/>
            <w:gridSpan w:val="2"/>
            <w:vAlign w:val="center"/>
          </w:tcPr>
          <w:p>
            <w:pPr>
              <w:widowControl/>
              <w:ind w:firstLine="240"/>
              <w:rPr>
                <w:rFonts w:hint="eastAsia" w:ascii="仿宋_GB2312" w:hAnsi="宋体" w:eastAsia="仿宋_GB2312"/>
                <w:szCs w:val="22"/>
                <w:highlight w:val="none"/>
              </w:rPr>
            </w:pPr>
            <w:r>
              <w:rPr>
                <w:rFonts w:hint="eastAsia" w:ascii="仿宋_GB2312" w:hAnsi="宋体" w:eastAsia="仿宋_GB2312"/>
                <w:szCs w:val="22"/>
                <w:highlight w:val="none"/>
                <w:lang w:val="en-US" w:eastAsia="zh-CN"/>
              </w:rPr>
              <w:t>项目负责人</w:t>
            </w:r>
            <w:r>
              <w:rPr>
                <w:rFonts w:hint="eastAsia" w:ascii="仿宋_GB2312" w:hAnsi="宋体" w:eastAsia="仿宋_GB2312"/>
                <w:szCs w:val="22"/>
                <w:highlight w:val="none"/>
              </w:rPr>
              <w:t>须为</w:t>
            </w:r>
            <w:r>
              <w:rPr>
                <w:rFonts w:hint="eastAsia" w:ascii="仿宋_GB2312" w:hAnsi="宋体" w:eastAsia="仿宋_GB2312"/>
                <w:szCs w:val="22"/>
                <w:highlight w:val="none"/>
                <w:lang w:val="en-US" w:eastAsia="zh-CN"/>
              </w:rPr>
              <w:t>投标方</w:t>
            </w:r>
            <w:r>
              <w:rPr>
                <w:rFonts w:hint="eastAsia" w:ascii="仿宋_GB2312" w:hAnsi="宋体" w:eastAsia="仿宋_GB2312"/>
                <w:szCs w:val="22"/>
                <w:highlight w:val="none"/>
              </w:rPr>
              <w:t>本单位人员，并提供近半年中任意一个月在本单位缴纳社会保险的凭据（专用发票或社会保险缴纳清单）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86" w:type="dxa"/>
            <w:vAlign w:val="center"/>
          </w:tcPr>
          <w:p>
            <w:pPr>
              <w:widowControl/>
              <w:ind w:firstLine="240"/>
              <w:jc w:val="center"/>
              <w:rPr>
                <w:rFonts w:ascii="仿宋_GB2312" w:hAnsi="宋体" w:eastAsia="仿宋_GB2312"/>
              </w:rPr>
            </w:pPr>
            <w:r>
              <w:rPr>
                <w:rFonts w:hint="eastAsia" w:ascii="仿宋_GB2312" w:hAnsi="宋体" w:eastAsia="仿宋_GB2312"/>
              </w:rPr>
              <w:t>5</w:t>
            </w:r>
          </w:p>
        </w:tc>
        <w:tc>
          <w:tcPr>
            <w:tcW w:w="1648" w:type="dxa"/>
            <w:gridSpan w:val="2"/>
            <w:vMerge w:val="continue"/>
            <w:vAlign w:val="center"/>
          </w:tcPr>
          <w:p>
            <w:pPr>
              <w:jc w:val="center"/>
              <w:rPr>
                <w:rFonts w:hint="eastAsia"/>
                <w:highlight w:val="none"/>
              </w:rPr>
            </w:pPr>
          </w:p>
        </w:tc>
        <w:tc>
          <w:tcPr>
            <w:tcW w:w="4546" w:type="dxa"/>
            <w:vAlign w:val="center"/>
          </w:tcPr>
          <w:p>
            <w:pPr>
              <w:widowControl/>
              <w:ind w:firstLine="240"/>
              <w:rPr>
                <w:rFonts w:hint="eastAsia" w:ascii="仿宋_GB2312" w:hAnsi="宋体" w:eastAsia="仿宋_GB2312"/>
                <w:szCs w:val="22"/>
                <w:highlight w:val="none"/>
              </w:rPr>
            </w:pPr>
            <w:r>
              <w:rPr>
                <w:rFonts w:hint="eastAsia" w:ascii="仿宋_GB2312" w:hAnsi="宋体" w:eastAsia="仿宋_GB2312"/>
                <w:szCs w:val="22"/>
                <w:highlight w:val="none"/>
                <w:lang w:val="en-US" w:eastAsia="zh-CN"/>
              </w:rPr>
              <w:t>实施人员：具有软件设计师或具有计算机相关专业中级职称的，每配备1名得0.5分，满分2分。</w:t>
            </w:r>
          </w:p>
        </w:tc>
        <w:tc>
          <w:tcPr>
            <w:tcW w:w="769" w:type="dxa"/>
            <w:vAlign w:val="center"/>
          </w:tcPr>
          <w:p>
            <w:pPr>
              <w:widowControl/>
              <w:ind w:firstLine="240"/>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2</w:t>
            </w:r>
          </w:p>
        </w:tc>
        <w:tc>
          <w:tcPr>
            <w:tcW w:w="2653" w:type="dxa"/>
            <w:gridSpan w:val="2"/>
            <w:vAlign w:val="center"/>
          </w:tcPr>
          <w:p>
            <w:pPr>
              <w:widowControl/>
              <w:ind w:firstLine="240"/>
              <w:rPr>
                <w:rFonts w:hint="eastAsia" w:ascii="仿宋_GB2312" w:hAnsi="宋体" w:eastAsia="仿宋_GB2312"/>
                <w:szCs w:val="22"/>
                <w:highlight w:val="none"/>
              </w:rPr>
            </w:pPr>
            <w:r>
              <w:rPr>
                <w:rFonts w:hint="eastAsia" w:ascii="仿宋_GB2312" w:hAnsi="宋体" w:eastAsia="仿宋_GB2312"/>
                <w:szCs w:val="22"/>
                <w:highlight w:val="none"/>
                <w:lang w:val="en-US" w:eastAsia="zh-CN"/>
              </w:rPr>
              <w:t>项目实施</w:t>
            </w:r>
            <w:r>
              <w:rPr>
                <w:rFonts w:hint="eastAsia" w:ascii="仿宋_GB2312" w:hAnsi="宋体" w:eastAsia="仿宋_GB2312"/>
                <w:szCs w:val="22"/>
                <w:highlight w:val="none"/>
              </w:rPr>
              <w:t>人员须为</w:t>
            </w:r>
            <w:r>
              <w:rPr>
                <w:rFonts w:hint="eastAsia" w:ascii="仿宋_GB2312" w:hAnsi="宋体" w:eastAsia="仿宋_GB2312"/>
                <w:szCs w:val="22"/>
                <w:highlight w:val="none"/>
                <w:lang w:val="en-US" w:eastAsia="zh-CN"/>
              </w:rPr>
              <w:t>投标方</w:t>
            </w:r>
            <w:r>
              <w:rPr>
                <w:rFonts w:hint="eastAsia" w:ascii="仿宋_GB2312" w:hAnsi="宋体" w:eastAsia="仿宋_GB2312"/>
                <w:szCs w:val="22"/>
                <w:highlight w:val="none"/>
              </w:rPr>
              <w:t>本单位人员</w:t>
            </w:r>
            <w:r>
              <w:rPr>
                <w:rFonts w:hint="eastAsia" w:ascii="仿宋_GB2312" w:hAnsi="宋体" w:eastAsia="仿宋_GB2312"/>
                <w:szCs w:val="22"/>
                <w:highlight w:val="none"/>
                <w:lang w:val="en-US" w:eastAsia="zh-CN"/>
              </w:rPr>
              <w:t>,</w:t>
            </w:r>
            <w:r>
              <w:rPr>
                <w:rFonts w:hint="eastAsia" w:ascii="仿宋_GB2312" w:hAnsi="宋体" w:eastAsia="仿宋_GB2312"/>
                <w:szCs w:val="22"/>
                <w:highlight w:val="none"/>
              </w:rPr>
              <w:t>并提供近半年中任意一个月在本单位缴纳社会保险的凭据（专用发票或社会保险缴纳清单）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86" w:type="dxa"/>
            <w:vAlign w:val="center"/>
          </w:tcPr>
          <w:p>
            <w:pPr>
              <w:widowControl/>
              <w:ind w:firstLine="240"/>
              <w:jc w:val="center"/>
              <w:rPr>
                <w:rFonts w:hint="eastAsia" w:ascii="仿宋_GB2312" w:hAnsi="宋体" w:eastAsia="仿宋_GB2312"/>
                <w:lang w:val="en-US" w:eastAsia="zh-CN"/>
              </w:rPr>
            </w:pPr>
            <w:r>
              <w:rPr>
                <w:rFonts w:hint="eastAsia" w:ascii="仿宋_GB2312" w:hAnsi="宋体" w:eastAsia="仿宋_GB2312"/>
                <w:lang w:val="en-US" w:eastAsia="zh-CN"/>
              </w:rPr>
              <w:t>6</w:t>
            </w:r>
          </w:p>
        </w:tc>
        <w:tc>
          <w:tcPr>
            <w:tcW w:w="1648" w:type="dxa"/>
            <w:gridSpan w:val="2"/>
            <w:vMerge w:val="restart"/>
            <w:vAlign w:val="center"/>
          </w:tcPr>
          <w:p>
            <w:pPr>
              <w:jc w:val="center"/>
              <w:rPr>
                <w:rFonts w:hint="default" w:eastAsia="宋体"/>
                <w:lang w:val="en-US" w:eastAsia="zh-CN"/>
              </w:rPr>
            </w:pPr>
            <w:r>
              <w:rPr>
                <w:rFonts w:hint="eastAsia" w:eastAsia="仿宋_GB2312"/>
                <w:szCs w:val="22"/>
                <w:lang w:val="en-US" w:eastAsia="zh-CN"/>
              </w:rPr>
              <w:t>技术能力</w:t>
            </w:r>
          </w:p>
        </w:tc>
        <w:tc>
          <w:tcPr>
            <w:tcW w:w="4546" w:type="dxa"/>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投标人具有大数据共享、大数据处理或大数据相关软件著作权证书的，每项得2分，满分4分。</w:t>
            </w:r>
          </w:p>
        </w:tc>
        <w:tc>
          <w:tcPr>
            <w:tcW w:w="769"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4</w:t>
            </w:r>
          </w:p>
        </w:tc>
        <w:tc>
          <w:tcPr>
            <w:tcW w:w="2653" w:type="dxa"/>
            <w:gridSpan w:val="2"/>
            <w:vAlign w:val="center"/>
          </w:tcPr>
          <w:p>
            <w:pPr>
              <w:widowControl/>
              <w:ind w:firstLine="240"/>
              <w:rPr>
                <w:rFonts w:hint="eastAsia" w:ascii="仿宋_GB2312" w:hAnsi="宋体" w:eastAsia="仿宋_GB2312"/>
                <w:szCs w:val="22"/>
              </w:rPr>
            </w:pPr>
            <w:r>
              <w:rPr>
                <w:rFonts w:hint="eastAsia" w:ascii="仿宋_GB2312" w:hAnsi="宋体" w:eastAsia="仿宋_GB2312"/>
                <w:b w:val="0"/>
                <w:bCs w:val="0"/>
                <w:kern w:val="2"/>
                <w:sz w:val="21"/>
                <w:szCs w:val="22"/>
                <w:lang w:val="en-US" w:eastAsia="zh-CN" w:bidi="ar-SA"/>
              </w:rPr>
              <w:t>须提供证书截图证明，无证明得0分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86" w:type="dxa"/>
            <w:vAlign w:val="center"/>
          </w:tcPr>
          <w:p>
            <w:pPr>
              <w:widowControl/>
              <w:ind w:firstLine="240"/>
              <w:jc w:val="center"/>
              <w:rPr>
                <w:rFonts w:hint="eastAsia" w:ascii="仿宋_GB2312" w:hAnsi="宋体" w:eastAsia="仿宋_GB2312"/>
                <w:lang w:val="en-US" w:eastAsia="zh-CN"/>
              </w:rPr>
            </w:pPr>
            <w:r>
              <w:rPr>
                <w:rFonts w:hint="eastAsia" w:ascii="仿宋_GB2312" w:hAnsi="宋体" w:eastAsia="仿宋_GB2312"/>
                <w:lang w:val="en-US" w:eastAsia="zh-CN"/>
              </w:rPr>
              <w:t>7</w:t>
            </w:r>
          </w:p>
        </w:tc>
        <w:tc>
          <w:tcPr>
            <w:tcW w:w="1648" w:type="dxa"/>
            <w:gridSpan w:val="2"/>
            <w:vMerge w:val="continue"/>
            <w:vAlign w:val="center"/>
          </w:tcPr>
          <w:p>
            <w:pPr>
              <w:jc w:val="center"/>
              <w:rPr>
                <w:rFonts w:hint="eastAsia" w:eastAsia="仿宋"/>
                <w:lang w:val="en-US" w:eastAsia="zh-CN"/>
              </w:rPr>
            </w:pPr>
          </w:p>
        </w:tc>
        <w:tc>
          <w:tcPr>
            <w:tcW w:w="4546" w:type="dxa"/>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投标人具有成熟的软件开发能力，CMMI3级及以上资质证书得3分，CMMI2级及以下资质证书得1分。</w:t>
            </w:r>
          </w:p>
        </w:tc>
        <w:tc>
          <w:tcPr>
            <w:tcW w:w="769"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3</w:t>
            </w:r>
          </w:p>
        </w:tc>
        <w:tc>
          <w:tcPr>
            <w:tcW w:w="2653" w:type="dxa"/>
            <w:gridSpan w:val="2"/>
            <w:vAlign w:val="center"/>
          </w:tcPr>
          <w:p>
            <w:pPr>
              <w:widowControl/>
              <w:ind w:firstLine="240"/>
              <w:rPr>
                <w:rFonts w:hint="eastAsia" w:ascii="仿宋_GB2312" w:hAnsi="宋体" w:eastAsia="仿宋_GB2312"/>
                <w:szCs w:val="22"/>
              </w:rPr>
            </w:pPr>
            <w:r>
              <w:rPr>
                <w:rFonts w:hint="eastAsia" w:ascii="仿宋_GB2312" w:hAnsi="宋体" w:eastAsia="仿宋_GB2312"/>
                <w:b w:val="0"/>
                <w:bCs w:val="0"/>
                <w:kern w:val="2"/>
                <w:sz w:val="21"/>
                <w:szCs w:val="22"/>
                <w:lang w:val="en-US" w:eastAsia="zh-CN" w:bidi="ar-SA"/>
              </w:rPr>
              <w:t>须提供证书截图证明，无证明得0分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8</w:t>
            </w:r>
          </w:p>
        </w:tc>
        <w:tc>
          <w:tcPr>
            <w:tcW w:w="1648" w:type="dxa"/>
            <w:gridSpan w:val="2"/>
            <w:vAlign w:val="center"/>
          </w:tcPr>
          <w:p>
            <w:pPr>
              <w:ind w:firstLine="210" w:firstLineChars="100"/>
              <w:rPr>
                <w:rFonts w:hint="eastAsia" w:eastAsia="仿宋"/>
                <w:lang w:val="en-US" w:eastAsia="zh-CN"/>
              </w:rPr>
            </w:pPr>
            <w:r>
              <w:rPr>
                <w:rFonts w:hint="eastAsia" w:eastAsia="仿宋_GB2312"/>
                <w:szCs w:val="22"/>
                <w:lang w:val="en-US" w:eastAsia="zh-CN"/>
              </w:rPr>
              <w:t>售后服务</w:t>
            </w:r>
          </w:p>
        </w:tc>
        <w:tc>
          <w:tcPr>
            <w:tcW w:w="4546" w:type="dxa"/>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1、针对该项目须有详尽的售后、维保等方面的服务能力、措施。所述内容在相应招标文件的基础上，每提出一条有效的措施，得1分，满分3分，未提供的得0分。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2、质保期在质保1年的基础上每增加一年得1分，最高3分</w:t>
            </w:r>
            <w:r>
              <w:rPr>
                <w:rFonts w:hint="eastAsia" w:ascii="宋体" w:hAnsi="宋体" w:eastAsia="宋体" w:cs="宋体"/>
                <w:color w:val="000000"/>
                <w:kern w:val="0"/>
                <w:sz w:val="32"/>
                <w:szCs w:val="32"/>
              </w:rPr>
              <w:t>。</w:t>
            </w:r>
          </w:p>
        </w:tc>
        <w:tc>
          <w:tcPr>
            <w:tcW w:w="769" w:type="dxa"/>
            <w:vAlign w:val="center"/>
          </w:tcPr>
          <w:p>
            <w:pPr>
              <w:jc w:val="center"/>
              <w:rPr>
                <w:rFonts w:hint="eastAsia" w:ascii="仿宋_GB2312" w:hAnsi="宋体" w:eastAsia="仿宋_GB2312"/>
                <w:lang w:val="en-US" w:eastAsia="zh-CN"/>
              </w:rPr>
            </w:pPr>
            <w:r>
              <w:rPr>
                <w:rFonts w:hint="eastAsia" w:ascii="楷体" w:hAnsi="楷体" w:eastAsia="楷体" w:cs="楷体"/>
                <w:color w:val="000000"/>
                <w:szCs w:val="21"/>
                <w:lang w:val="en-US" w:eastAsia="zh-CN"/>
              </w:rPr>
              <w:t>6</w:t>
            </w:r>
          </w:p>
        </w:tc>
        <w:tc>
          <w:tcPr>
            <w:tcW w:w="2653" w:type="dxa"/>
            <w:gridSpan w:val="2"/>
            <w:vAlign w:val="center"/>
          </w:tcPr>
          <w:p>
            <w:pPr>
              <w:widowControl/>
              <w:ind w:firstLine="240"/>
              <w:rPr>
                <w:rFonts w:hint="eastAsia" w:ascii="仿宋_GB2312" w:hAnsi="宋体" w:eastAsia="仿宋_GB2312"/>
                <w:b w:val="0"/>
                <w:bCs w:val="0"/>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202" w:type="dxa"/>
            <w:gridSpan w:val="7"/>
            <w:vAlign w:val="center"/>
          </w:tcPr>
          <w:p>
            <w:pPr>
              <w:widowControl/>
              <w:ind w:firstLine="241"/>
              <w:rPr>
                <w:rFonts w:ascii="仿宋_GB2312" w:hAnsi="宋体" w:eastAsia="仿宋_GB2312"/>
                <w:b/>
              </w:rPr>
            </w:pPr>
            <w:r>
              <w:rPr>
                <w:rFonts w:hint="eastAsia" w:ascii="仿宋_GB2312" w:hAnsi="宋体" w:eastAsia="仿宋_GB2312"/>
                <w:b/>
              </w:rPr>
              <w:t>三、技术方案部分（</w:t>
            </w:r>
            <w:r>
              <w:rPr>
                <w:rFonts w:hint="eastAsia" w:ascii="仿宋_GB2312" w:hAnsi="宋体" w:eastAsia="仿宋_GB2312"/>
                <w:b/>
                <w:lang w:val="en-US" w:eastAsia="zh-CN"/>
              </w:rPr>
              <w:t>57</w:t>
            </w:r>
            <w:r>
              <w:rPr>
                <w:rFonts w:hint="eastAsia" w:ascii="仿宋_GB2312" w:hAnsi="宋体" w:eastAsia="仿宋_GB2312"/>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841" w:hRule="atLeast"/>
          <w:jc w:val="center"/>
        </w:trPr>
        <w:tc>
          <w:tcPr>
            <w:tcW w:w="586" w:type="dxa"/>
            <w:vAlign w:val="center"/>
          </w:tcPr>
          <w:p>
            <w:pPr>
              <w:widowControl/>
              <w:ind w:firstLine="240"/>
              <w:jc w:val="center"/>
              <w:rPr>
                <w:rFonts w:ascii="仿宋_GB2312" w:hAnsi="宋体" w:eastAsia="仿宋_GB2312"/>
              </w:rPr>
            </w:pPr>
            <w:r>
              <w:rPr>
                <w:rFonts w:ascii="仿宋_GB2312" w:hAnsi="宋体" w:eastAsia="仿宋_GB2312"/>
              </w:rPr>
              <w:t>1</w:t>
            </w:r>
          </w:p>
        </w:tc>
        <w:tc>
          <w:tcPr>
            <w:tcW w:w="1607" w:type="dxa"/>
            <w:vAlign w:val="center"/>
          </w:tcPr>
          <w:p>
            <w:pPr>
              <w:jc w:val="center"/>
              <w:rPr>
                <w:rFonts w:hint="eastAsia" w:eastAsia="仿宋_GB2312"/>
                <w:szCs w:val="22"/>
              </w:rPr>
            </w:pPr>
            <w:r>
              <w:rPr>
                <w:rFonts w:hint="eastAsia" w:eastAsia="仿宋_GB2312"/>
                <w:szCs w:val="22"/>
              </w:rPr>
              <w:t>系统总体架构设计</w:t>
            </w:r>
          </w:p>
          <w:p>
            <w:pPr>
              <w:jc w:val="center"/>
              <w:rPr>
                <w:rFonts w:hint="eastAsia" w:eastAsia="仿宋_GB2312"/>
                <w:szCs w:val="22"/>
              </w:rPr>
            </w:pPr>
          </w:p>
        </w:tc>
        <w:tc>
          <w:tcPr>
            <w:tcW w:w="4587" w:type="dxa"/>
            <w:gridSpan w:val="2"/>
            <w:vAlign w:val="center"/>
          </w:tcPr>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lang w:val="en-US" w:eastAsia="zh-CN"/>
              </w:rPr>
              <w:t xml:space="preserve">系统总体架构体系结构合理、技术先进、安全可靠、具备可扩展得8分； </w:t>
            </w:r>
          </w:p>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lang w:val="en-US" w:eastAsia="zh-CN"/>
              </w:rPr>
              <w:t>系统总体设计情况一般，得4分；</w:t>
            </w:r>
          </w:p>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lang w:val="en-US" w:eastAsia="zh-CN"/>
              </w:rPr>
              <w:t>系统总体设计存在不合理、技术落后、可靠性较差或不可扩展，得2分；</w:t>
            </w:r>
          </w:p>
          <w:p>
            <w:pPr>
              <w:widowControl/>
              <w:ind w:firstLine="240"/>
              <w:rPr>
                <w:highlight w:val="none"/>
              </w:rPr>
            </w:pPr>
            <w:r>
              <w:rPr>
                <w:rFonts w:hint="eastAsia" w:ascii="仿宋_GB2312" w:hAnsi="宋体" w:eastAsia="仿宋_GB2312"/>
                <w:szCs w:val="22"/>
                <w:highlight w:val="none"/>
                <w:lang w:val="en-US" w:eastAsia="zh-CN"/>
              </w:rPr>
              <w:t>无系统总体设计得0分。</w:t>
            </w:r>
          </w:p>
          <w:p>
            <w:pPr>
              <w:widowControl/>
              <w:ind w:firstLine="240"/>
              <w:rPr>
                <w:rFonts w:hint="eastAsia" w:ascii="仿宋_GB2312" w:hAnsi="宋体" w:eastAsia="仿宋_GB2312"/>
                <w:szCs w:val="22"/>
                <w:highlight w:val="none"/>
              </w:rPr>
            </w:pPr>
          </w:p>
        </w:tc>
        <w:tc>
          <w:tcPr>
            <w:tcW w:w="769" w:type="dxa"/>
            <w:vAlign w:val="center"/>
          </w:tcPr>
          <w:p>
            <w:pPr>
              <w:widowControl/>
              <w:ind w:firstLine="240"/>
              <w:jc w:val="left"/>
              <w:rPr>
                <w:rFonts w:hint="default" w:ascii="仿宋_GB2312" w:hAnsi="宋体" w:eastAsia="仿宋_GB2312"/>
                <w:lang w:val="en-US" w:eastAsia="zh-CN"/>
              </w:rPr>
            </w:pPr>
            <w:r>
              <w:rPr>
                <w:rFonts w:hint="eastAsia" w:ascii="仿宋_GB2312" w:hAnsi="宋体" w:eastAsia="仿宋_GB2312"/>
                <w:lang w:val="en-US" w:eastAsia="zh-CN"/>
              </w:rPr>
              <w:t>8</w:t>
            </w:r>
          </w:p>
        </w:tc>
        <w:tc>
          <w:tcPr>
            <w:tcW w:w="2581" w:type="dxa"/>
            <w:vAlign w:val="center"/>
          </w:tcPr>
          <w:p>
            <w:pPr>
              <w:widowControl/>
              <w:ind w:firstLine="240"/>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838" w:hRule="atLeast"/>
          <w:jc w:val="center"/>
        </w:trPr>
        <w:tc>
          <w:tcPr>
            <w:tcW w:w="586" w:type="dxa"/>
            <w:vAlign w:val="center"/>
          </w:tcPr>
          <w:p>
            <w:pPr>
              <w:widowControl/>
              <w:ind w:firstLine="240"/>
              <w:jc w:val="center"/>
              <w:rPr>
                <w:rFonts w:ascii="仿宋_GB2312" w:hAnsi="宋体" w:eastAsia="仿宋_GB2312"/>
              </w:rPr>
            </w:pPr>
            <w:r>
              <w:rPr>
                <w:rFonts w:hint="eastAsia" w:ascii="仿宋_GB2312" w:hAnsi="宋体" w:eastAsia="仿宋_GB2312"/>
              </w:rPr>
              <w:t>2</w:t>
            </w:r>
          </w:p>
        </w:tc>
        <w:tc>
          <w:tcPr>
            <w:tcW w:w="1607" w:type="dxa"/>
            <w:vAlign w:val="center"/>
          </w:tcPr>
          <w:p>
            <w:pPr>
              <w:jc w:val="center"/>
              <w:rPr>
                <w:rFonts w:hint="eastAsia" w:eastAsia="仿宋_GB2312"/>
                <w:szCs w:val="22"/>
              </w:rPr>
            </w:pPr>
            <w:r>
              <w:rPr>
                <w:rFonts w:hint="eastAsia" w:eastAsia="仿宋_GB2312"/>
                <w:szCs w:val="22"/>
                <w:lang w:val="en-US" w:eastAsia="zh-CN"/>
              </w:rPr>
              <w:t>项目总体技术</w:t>
            </w:r>
            <w:r>
              <w:rPr>
                <w:rFonts w:hint="eastAsia" w:eastAsia="仿宋_GB2312"/>
                <w:szCs w:val="22"/>
              </w:rPr>
              <w:t>方案</w:t>
            </w:r>
          </w:p>
          <w:p>
            <w:pPr>
              <w:jc w:val="center"/>
              <w:rPr>
                <w:rFonts w:hint="eastAsia" w:eastAsia="仿宋_GB2312"/>
                <w:szCs w:val="22"/>
              </w:rPr>
            </w:pPr>
          </w:p>
        </w:tc>
        <w:tc>
          <w:tcPr>
            <w:tcW w:w="4587" w:type="dxa"/>
            <w:gridSpan w:val="2"/>
            <w:vAlign w:val="center"/>
          </w:tcPr>
          <w:p>
            <w:pPr>
              <w:widowControl/>
              <w:ind w:firstLine="240"/>
              <w:rPr>
                <w:rFonts w:hint="eastAsia" w:ascii="仿宋_GB2312" w:hAnsi="宋体" w:eastAsia="仿宋_GB2312"/>
                <w:szCs w:val="22"/>
                <w:highlight w:val="none"/>
                <w:lang w:val="en-US" w:eastAsia="zh-CN"/>
              </w:rPr>
            </w:pPr>
            <w:r>
              <w:rPr>
                <w:rFonts w:hint="eastAsia" w:ascii="仿宋_GB2312" w:hAnsi="宋体" w:eastAsia="仿宋_GB2312"/>
                <w:szCs w:val="22"/>
                <w:highlight w:val="none"/>
              </w:rPr>
              <w:t>投标</w:t>
            </w:r>
            <w:r>
              <w:rPr>
                <w:rFonts w:hint="eastAsia" w:ascii="仿宋_GB2312" w:hAnsi="宋体" w:eastAsia="仿宋_GB2312"/>
                <w:szCs w:val="22"/>
                <w:highlight w:val="none"/>
                <w:lang w:val="en-US" w:eastAsia="zh-CN"/>
              </w:rPr>
              <w:t>人</w:t>
            </w:r>
            <w:r>
              <w:rPr>
                <w:rFonts w:hint="eastAsia" w:ascii="仿宋_GB2312" w:hAnsi="宋体" w:eastAsia="仿宋_GB2312"/>
                <w:szCs w:val="22"/>
                <w:highlight w:val="none"/>
              </w:rPr>
              <w:t>提供的</w:t>
            </w:r>
            <w:r>
              <w:rPr>
                <w:rFonts w:hint="eastAsia" w:ascii="仿宋_GB2312" w:hAnsi="宋体" w:eastAsia="仿宋_GB2312"/>
                <w:szCs w:val="22"/>
                <w:highlight w:val="none"/>
                <w:lang w:val="en-US" w:eastAsia="zh-CN"/>
              </w:rPr>
              <w:t>技术</w:t>
            </w:r>
            <w:r>
              <w:rPr>
                <w:rFonts w:hint="eastAsia" w:ascii="仿宋_GB2312" w:hAnsi="宋体" w:eastAsia="仿宋_GB2312"/>
                <w:szCs w:val="22"/>
                <w:highlight w:val="none"/>
              </w:rPr>
              <w:t>方</w:t>
            </w:r>
            <w:r>
              <w:rPr>
                <w:rFonts w:hint="eastAsia" w:ascii="仿宋_GB2312" w:hAnsi="宋体" w:eastAsia="仿宋_GB2312"/>
                <w:szCs w:val="22"/>
                <w:highlight w:val="none"/>
                <w:lang w:val="en-US" w:eastAsia="zh-CN"/>
              </w:rPr>
              <w:t>案符合系统整体技术、功能、进度及质量要求，技术方案完整、合理、可行性、针对性强，得10分；</w:t>
            </w:r>
          </w:p>
          <w:p>
            <w:pPr>
              <w:widowControl/>
              <w:ind w:firstLine="240"/>
              <w:rPr>
                <w:rFonts w:hint="eastAsia" w:ascii="仿宋_GB2312" w:hAnsi="宋体" w:eastAsia="仿宋_GB2312"/>
                <w:szCs w:val="22"/>
                <w:highlight w:val="none"/>
                <w:lang w:eastAsia="zh-CN"/>
              </w:rPr>
            </w:pPr>
            <w:r>
              <w:rPr>
                <w:rFonts w:hint="eastAsia" w:ascii="仿宋_GB2312" w:hAnsi="宋体" w:eastAsia="仿宋_GB2312"/>
                <w:szCs w:val="22"/>
                <w:highlight w:val="none"/>
              </w:rPr>
              <w:t>投标</w:t>
            </w:r>
            <w:r>
              <w:rPr>
                <w:rFonts w:hint="eastAsia" w:ascii="仿宋_GB2312" w:hAnsi="宋体" w:eastAsia="仿宋_GB2312"/>
                <w:szCs w:val="22"/>
                <w:highlight w:val="none"/>
                <w:lang w:val="en-US" w:eastAsia="zh-CN"/>
              </w:rPr>
              <w:t>人</w:t>
            </w:r>
            <w:r>
              <w:rPr>
                <w:rFonts w:hint="eastAsia" w:ascii="仿宋_GB2312" w:hAnsi="宋体" w:eastAsia="仿宋_GB2312"/>
                <w:szCs w:val="22"/>
                <w:highlight w:val="none"/>
              </w:rPr>
              <w:t>提供的</w:t>
            </w:r>
            <w:r>
              <w:rPr>
                <w:rFonts w:hint="eastAsia" w:ascii="仿宋_GB2312" w:hAnsi="宋体" w:eastAsia="仿宋_GB2312"/>
                <w:szCs w:val="22"/>
                <w:highlight w:val="none"/>
                <w:lang w:val="en-US" w:eastAsia="zh-CN"/>
              </w:rPr>
              <w:t>技术</w:t>
            </w:r>
            <w:r>
              <w:rPr>
                <w:rFonts w:hint="eastAsia" w:ascii="仿宋_GB2312" w:hAnsi="宋体" w:eastAsia="仿宋_GB2312"/>
                <w:szCs w:val="22"/>
                <w:highlight w:val="none"/>
              </w:rPr>
              <w:t>方</w:t>
            </w:r>
            <w:r>
              <w:rPr>
                <w:rFonts w:hint="eastAsia" w:ascii="仿宋_GB2312" w:hAnsi="宋体" w:eastAsia="仿宋_GB2312"/>
                <w:szCs w:val="22"/>
                <w:highlight w:val="none"/>
                <w:lang w:val="en-US" w:eastAsia="zh-CN"/>
              </w:rPr>
              <w:t>案较符合系统整体技术、功能、进度及质量要求，技术方案</w:t>
            </w:r>
            <w:r>
              <w:rPr>
                <w:rFonts w:hint="eastAsia" w:ascii="仿宋_GB2312" w:hAnsi="宋体" w:eastAsia="仿宋_GB2312"/>
                <w:szCs w:val="22"/>
                <w:highlight w:val="none"/>
              </w:rPr>
              <w:t>较</w:t>
            </w:r>
            <w:r>
              <w:rPr>
                <w:rFonts w:hint="eastAsia" w:ascii="仿宋_GB2312" w:hAnsi="宋体" w:eastAsia="仿宋_GB2312"/>
                <w:szCs w:val="22"/>
                <w:highlight w:val="none"/>
                <w:lang w:val="en-US" w:eastAsia="zh-CN"/>
              </w:rPr>
              <w:t>完整、合理，</w:t>
            </w:r>
            <w:r>
              <w:rPr>
                <w:rFonts w:hint="eastAsia" w:ascii="仿宋_GB2312" w:hAnsi="宋体" w:eastAsia="仿宋_GB2312"/>
                <w:szCs w:val="22"/>
                <w:highlight w:val="none"/>
              </w:rPr>
              <w:t>可行性、针对性较强，得</w:t>
            </w:r>
            <w:r>
              <w:rPr>
                <w:rFonts w:hint="eastAsia" w:ascii="仿宋_GB2312" w:hAnsi="宋体" w:eastAsia="仿宋_GB2312"/>
                <w:szCs w:val="22"/>
                <w:highlight w:val="none"/>
                <w:lang w:val="en-US" w:eastAsia="zh-CN"/>
              </w:rPr>
              <w:t>7</w:t>
            </w:r>
            <w:r>
              <w:rPr>
                <w:rFonts w:hint="eastAsia" w:ascii="仿宋_GB2312" w:hAnsi="宋体" w:eastAsia="仿宋_GB2312"/>
                <w:szCs w:val="22"/>
                <w:highlight w:val="none"/>
              </w:rPr>
              <w:t>分</w:t>
            </w:r>
            <w:r>
              <w:rPr>
                <w:rFonts w:hint="eastAsia" w:ascii="仿宋_GB2312" w:hAnsi="宋体" w:eastAsia="仿宋_GB2312"/>
                <w:szCs w:val="22"/>
                <w:highlight w:val="none"/>
                <w:lang w:eastAsia="zh-CN"/>
              </w:rPr>
              <w:t>；</w:t>
            </w:r>
          </w:p>
          <w:p>
            <w:pPr>
              <w:widowControl/>
              <w:ind w:firstLine="240"/>
              <w:rPr>
                <w:rFonts w:hint="eastAsia" w:ascii="仿宋_GB2312" w:hAnsi="宋体" w:eastAsia="仿宋_GB2312"/>
                <w:szCs w:val="22"/>
                <w:highlight w:val="none"/>
                <w:lang w:eastAsia="zh-CN"/>
              </w:rPr>
            </w:pPr>
            <w:r>
              <w:rPr>
                <w:rFonts w:hint="eastAsia" w:ascii="仿宋_GB2312" w:hAnsi="宋体" w:eastAsia="仿宋_GB2312"/>
                <w:szCs w:val="22"/>
                <w:highlight w:val="none"/>
              </w:rPr>
              <w:t>投标</w:t>
            </w:r>
            <w:r>
              <w:rPr>
                <w:rFonts w:hint="eastAsia" w:ascii="仿宋_GB2312" w:hAnsi="宋体" w:eastAsia="仿宋_GB2312"/>
                <w:szCs w:val="22"/>
                <w:highlight w:val="none"/>
                <w:lang w:val="en-US" w:eastAsia="zh-CN"/>
              </w:rPr>
              <w:t>人</w:t>
            </w:r>
            <w:r>
              <w:rPr>
                <w:rFonts w:hint="eastAsia" w:ascii="仿宋_GB2312" w:hAnsi="宋体" w:eastAsia="仿宋_GB2312"/>
                <w:szCs w:val="22"/>
                <w:highlight w:val="none"/>
              </w:rPr>
              <w:t>提供的</w:t>
            </w:r>
            <w:r>
              <w:rPr>
                <w:rFonts w:hint="eastAsia" w:ascii="仿宋_GB2312" w:hAnsi="宋体" w:eastAsia="仿宋_GB2312"/>
                <w:szCs w:val="22"/>
                <w:highlight w:val="none"/>
                <w:lang w:val="en-US" w:eastAsia="zh-CN"/>
              </w:rPr>
              <w:t>技术</w:t>
            </w:r>
            <w:r>
              <w:rPr>
                <w:rFonts w:hint="eastAsia" w:ascii="仿宋_GB2312" w:hAnsi="宋体" w:eastAsia="仿宋_GB2312"/>
                <w:szCs w:val="22"/>
                <w:highlight w:val="none"/>
              </w:rPr>
              <w:t>方案</w:t>
            </w:r>
            <w:r>
              <w:rPr>
                <w:rFonts w:hint="eastAsia" w:ascii="仿宋_GB2312" w:hAnsi="宋体" w:eastAsia="仿宋_GB2312"/>
                <w:szCs w:val="22"/>
                <w:highlight w:val="none"/>
                <w:lang w:val="en-US" w:eastAsia="zh-CN"/>
              </w:rPr>
              <w:t>基本满足要求</w:t>
            </w:r>
            <w:r>
              <w:rPr>
                <w:rFonts w:hint="eastAsia" w:ascii="仿宋_GB2312" w:hAnsi="宋体" w:eastAsia="仿宋_GB2312"/>
                <w:szCs w:val="22"/>
                <w:highlight w:val="none"/>
              </w:rPr>
              <w:t>，得</w:t>
            </w:r>
            <w:r>
              <w:rPr>
                <w:rFonts w:hint="eastAsia" w:ascii="仿宋_GB2312" w:hAnsi="宋体" w:eastAsia="仿宋_GB2312"/>
                <w:szCs w:val="22"/>
                <w:highlight w:val="none"/>
                <w:lang w:val="en-US" w:eastAsia="zh-CN"/>
              </w:rPr>
              <w:t>3</w:t>
            </w:r>
            <w:r>
              <w:rPr>
                <w:rFonts w:hint="eastAsia" w:ascii="仿宋_GB2312" w:hAnsi="宋体" w:eastAsia="仿宋_GB2312"/>
                <w:szCs w:val="22"/>
                <w:highlight w:val="none"/>
              </w:rPr>
              <w:t>分</w:t>
            </w:r>
            <w:r>
              <w:rPr>
                <w:rFonts w:hint="eastAsia" w:ascii="仿宋_GB2312" w:hAnsi="宋体" w:eastAsia="仿宋_GB2312"/>
                <w:szCs w:val="22"/>
                <w:highlight w:val="none"/>
                <w:lang w:eastAsia="zh-CN"/>
              </w:rPr>
              <w:t>；</w:t>
            </w:r>
          </w:p>
          <w:p>
            <w:pPr>
              <w:widowControl/>
              <w:ind w:firstLine="240"/>
              <w:rPr>
                <w:rFonts w:hint="eastAsia" w:ascii="仿宋_GB2312" w:hAnsi="宋体" w:eastAsia="仿宋_GB2312" w:cs="Times New Roman"/>
                <w:szCs w:val="22"/>
                <w:highlight w:val="none"/>
              </w:rPr>
            </w:pPr>
            <w:r>
              <w:rPr>
                <w:rFonts w:hint="eastAsia" w:ascii="仿宋_GB2312" w:hAnsi="宋体" w:eastAsia="仿宋_GB2312" w:cs="Times New Roman"/>
                <w:szCs w:val="22"/>
                <w:highlight w:val="none"/>
                <w:lang w:val="en-US" w:eastAsia="zh-CN"/>
              </w:rPr>
              <w:t>无方案得0分 。</w:t>
            </w:r>
          </w:p>
          <w:p>
            <w:pPr>
              <w:widowControl/>
              <w:ind w:firstLine="240"/>
              <w:rPr>
                <w:rFonts w:hint="eastAsia" w:ascii="仿宋_GB2312" w:hAnsi="宋体" w:eastAsia="仿宋_GB2312"/>
                <w:szCs w:val="22"/>
                <w:highlight w:val="none"/>
              </w:rPr>
            </w:pPr>
          </w:p>
        </w:tc>
        <w:tc>
          <w:tcPr>
            <w:tcW w:w="769" w:type="dxa"/>
            <w:vAlign w:val="center"/>
          </w:tcPr>
          <w:p>
            <w:pPr>
              <w:ind w:firstLine="240"/>
              <w:jc w:val="center"/>
              <w:rPr>
                <w:rFonts w:hint="default" w:eastAsia="仿宋_GB2312"/>
                <w:lang w:val="en-US" w:eastAsia="zh-CN"/>
              </w:rPr>
            </w:pPr>
            <w:r>
              <w:rPr>
                <w:rFonts w:hint="eastAsia" w:ascii="仿宋_GB2312" w:hAnsi="宋体" w:eastAsia="仿宋_GB2312"/>
                <w:lang w:val="en-US" w:eastAsia="zh-CN"/>
              </w:rPr>
              <w:t>10</w:t>
            </w:r>
          </w:p>
        </w:tc>
        <w:tc>
          <w:tcPr>
            <w:tcW w:w="2581" w:type="dxa"/>
            <w:vAlign w:val="top"/>
          </w:tcPr>
          <w:p>
            <w:pPr>
              <w:widowControl/>
              <w:ind w:firstLine="2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838" w:hRule="atLeast"/>
          <w:jc w:val="center"/>
        </w:trPr>
        <w:tc>
          <w:tcPr>
            <w:tcW w:w="586" w:type="dxa"/>
            <w:vAlign w:val="center"/>
          </w:tcPr>
          <w:p>
            <w:pPr>
              <w:widowControl/>
              <w:ind w:firstLine="240"/>
              <w:jc w:val="center"/>
              <w:rPr>
                <w:rFonts w:hint="eastAsia" w:ascii="仿宋_GB2312" w:hAnsi="宋体" w:eastAsia="仿宋_GB2312"/>
                <w:lang w:val="en-US" w:eastAsia="zh-CN"/>
              </w:rPr>
            </w:pPr>
            <w:r>
              <w:rPr>
                <w:rFonts w:hint="eastAsia" w:ascii="仿宋_GB2312" w:hAnsi="宋体" w:eastAsia="仿宋_GB2312"/>
                <w:lang w:val="en-US" w:eastAsia="zh-CN"/>
              </w:rPr>
              <w:t>3</w:t>
            </w:r>
          </w:p>
        </w:tc>
        <w:tc>
          <w:tcPr>
            <w:tcW w:w="1607" w:type="dxa"/>
            <w:vAlign w:val="center"/>
          </w:tcPr>
          <w:p>
            <w:pPr>
              <w:jc w:val="center"/>
              <w:rPr>
                <w:rFonts w:hint="eastAsia" w:eastAsia="仿宋_GB2312"/>
                <w:szCs w:val="22"/>
              </w:rPr>
            </w:pPr>
            <w:r>
              <w:rPr>
                <w:rFonts w:hint="eastAsia" w:eastAsia="仿宋_GB2312"/>
                <w:szCs w:val="22"/>
                <w:lang w:val="en-US" w:eastAsia="zh-CN"/>
              </w:rPr>
              <w:t>功能详细描述及截图证明</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分别对技术部分中的功能需求有详细的设计方案和描述，全面、完整、准确得10分；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功能齐全但内容不完善的得7分；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功能缺少2项及以内的得3分；</w:t>
            </w:r>
          </w:p>
          <w:p>
            <w:pPr>
              <w:widowControl/>
              <w:ind w:firstLine="240"/>
              <w:rPr>
                <w:rFonts w:hint="eastAsia" w:ascii="仿宋_GB2312" w:hAnsi="宋体" w:eastAsia="仿宋_GB2312"/>
                <w:szCs w:val="22"/>
              </w:rPr>
            </w:pPr>
            <w:r>
              <w:rPr>
                <w:rFonts w:hint="eastAsia" w:ascii="仿宋_GB2312" w:hAnsi="宋体" w:eastAsia="仿宋_GB2312"/>
                <w:szCs w:val="22"/>
                <w:lang w:val="en-US" w:eastAsia="zh-CN"/>
              </w:rPr>
              <w:t>缺少2项以上或功能描述错误的得0分。</w:t>
            </w:r>
          </w:p>
        </w:tc>
        <w:tc>
          <w:tcPr>
            <w:tcW w:w="769" w:type="dxa"/>
            <w:vAlign w:val="center"/>
          </w:tcPr>
          <w:p>
            <w:pPr>
              <w:ind w:firstLine="240"/>
              <w:jc w:val="center"/>
              <w:rPr>
                <w:rFonts w:hint="default" w:ascii="仿宋_GB2312" w:hAnsi="宋体" w:eastAsia="仿宋_GB2312"/>
                <w:lang w:val="en-US" w:eastAsia="zh-CN"/>
              </w:rPr>
            </w:pPr>
            <w:r>
              <w:rPr>
                <w:rFonts w:hint="eastAsia" w:ascii="仿宋_GB2312" w:hAnsi="宋体" w:eastAsia="仿宋_GB2312"/>
                <w:lang w:val="en-US" w:eastAsia="zh-CN"/>
              </w:rPr>
              <w:t>10</w:t>
            </w:r>
          </w:p>
        </w:tc>
        <w:tc>
          <w:tcPr>
            <w:tcW w:w="2581" w:type="dxa"/>
            <w:vAlign w:val="top"/>
          </w:tcPr>
          <w:p>
            <w:pPr>
              <w:widowControl/>
              <w:ind w:firstLine="2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1343" w:hRule="atLeast"/>
          <w:jc w:val="center"/>
        </w:trPr>
        <w:tc>
          <w:tcPr>
            <w:tcW w:w="586" w:type="dxa"/>
            <w:vAlign w:val="center"/>
          </w:tcPr>
          <w:p>
            <w:pPr>
              <w:widowControl/>
              <w:ind w:firstLine="240"/>
              <w:jc w:val="center"/>
              <w:rPr>
                <w:rFonts w:hint="eastAsia" w:ascii="仿宋_GB2312" w:hAnsi="宋体" w:eastAsia="仿宋_GB2312"/>
                <w:lang w:val="en-US" w:eastAsia="zh-CN"/>
              </w:rPr>
            </w:pPr>
            <w:r>
              <w:rPr>
                <w:rFonts w:hint="eastAsia" w:ascii="仿宋_GB2312" w:hAnsi="宋体" w:eastAsia="仿宋_GB2312"/>
                <w:lang w:val="en-US" w:eastAsia="zh-CN"/>
              </w:rPr>
              <w:t>4</w:t>
            </w:r>
          </w:p>
        </w:tc>
        <w:tc>
          <w:tcPr>
            <w:tcW w:w="1607" w:type="dxa"/>
            <w:vAlign w:val="center"/>
          </w:tcPr>
          <w:p>
            <w:pPr>
              <w:jc w:val="center"/>
              <w:rPr>
                <w:rFonts w:hint="eastAsia" w:eastAsia="仿宋_GB2312"/>
                <w:szCs w:val="22"/>
                <w:lang w:val="en-US" w:eastAsia="zh-CN"/>
              </w:rPr>
            </w:pPr>
            <w:r>
              <w:rPr>
                <w:rFonts w:hint="eastAsia" w:eastAsia="仿宋_GB2312"/>
                <w:szCs w:val="22"/>
                <w:lang w:val="en-US" w:eastAsia="zh-CN"/>
              </w:rPr>
              <w:t>数据接口对接方案</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投标人应对应用系统数据对接省级平台及数据共享进行详细方案设计。</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有对接技术方案和说明，得5分；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可行性一般或不完整的得2分；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不提供或较差的得0分。</w:t>
            </w:r>
          </w:p>
        </w:tc>
        <w:tc>
          <w:tcPr>
            <w:tcW w:w="769" w:type="dxa"/>
            <w:vAlign w:val="center"/>
          </w:tcPr>
          <w:p>
            <w:pPr>
              <w:ind w:firstLine="240"/>
              <w:jc w:val="center"/>
              <w:rPr>
                <w:rFonts w:hint="default" w:ascii="仿宋_GB2312" w:hAnsi="宋体" w:eastAsia="仿宋_GB2312"/>
                <w:lang w:val="en-US" w:eastAsia="zh-CN"/>
              </w:rPr>
            </w:pPr>
            <w:r>
              <w:rPr>
                <w:rFonts w:hint="eastAsia" w:ascii="仿宋_GB2312" w:hAnsi="宋体" w:eastAsia="仿宋_GB2312"/>
                <w:lang w:val="en-US" w:eastAsia="zh-CN"/>
              </w:rPr>
              <w:t>5</w:t>
            </w:r>
          </w:p>
        </w:tc>
        <w:tc>
          <w:tcPr>
            <w:tcW w:w="2581" w:type="dxa"/>
            <w:vAlign w:val="top"/>
          </w:tcPr>
          <w:p>
            <w:pPr>
              <w:widowControl/>
              <w:ind w:firstLine="24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500" w:hRule="atLeast"/>
          <w:jc w:val="center"/>
        </w:trPr>
        <w:tc>
          <w:tcPr>
            <w:tcW w:w="586" w:type="dxa"/>
            <w:vAlign w:val="center"/>
          </w:tcPr>
          <w:p>
            <w:pPr>
              <w:widowControl/>
              <w:ind w:firstLine="240"/>
              <w:jc w:val="center"/>
              <w:rPr>
                <w:rFonts w:hint="eastAsia" w:ascii="仿宋_GB2312" w:hAnsi="宋体" w:eastAsia="仿宋_GB2312"/>
                <w:lang w:eastAsia="zh-CN"/>
              </w:rPr>
            </w:pPr>
            <w:r>
              <w:rPr>
                <w:rFonts w:hint="eastAsia" w:ascii="仿宋_GB2312" w:hAnsi="宋体" w:eastAsia="仿宋_GB2312"/>
                <w:lang w:val="en-US" w:eastAsia="zh-CN"/>
              </w:rPr>
              <w:t>5</w:t>
            </w:r>
          </w:p>
        </w:tc>
        <w:tc>
          <w:tcPr>
            <w:tcW w:w="1607" w:type="dxa"/>
            <w:vAlign w:val="center"/>
          </w:tcPr>
          <w:p>
            <w:pPr>
              <w:widowControl/>
              <w:ind w:firstLine="240"/>
              <w:jc w:val="center"/>
              <w:rPr>
                <w:rFonts w:hint="eastAsia" w:ascii="仿宋_GB2312" w:hAnsi="宋体" w:eastAsia="仿宋_GB2312"/>
                <w:szCs w:val="22"/>
              </w:rPr>
            </w:pPr>
            <w:r>
              <w:rPr>
                <w:rFonts w:hint="eastAsia" w:eastAsia="仿宋_GB2312"/>
                <w:szCs w:val="22"/>
                <w:lang w:val="en-US" w:eastAsia="zh-CN"/>
              </w:rPr>
              <w:t>项目进度方案</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 xml:space="preserve">对供应商编制的项目进度方案的整体系统、项目实施周期、进度进行评审： </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提供整体系统明确、合理的项目实施周期、进度表，并详细说明，得5分；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有周期进度计划但不详尽得，得2分；</w:t>
            </w:r>
          </w:p>
          <w:p>
            <w:pPr>
              <w:widowControl/>
              <w:ind w:firstLine="240"/>
              <w:rPr>
                <w:rFonts w:hint="eastAsia" w:ascii="仿宋_GB2312" w:hAnsi="宋体" w:eastAsia="仿宋_GB2312"/>
                <w:szCs w:val="22"/>
              </w:rPr>
            </w:pPr>
            <w:r>
              <w:rPr>
                <w:rFonts w:hint="eastAsia" w:ascii="仿宋_GB2312" w:hAnsi="宋体" w:eastAsia="仿宋_GB2312"/>
                <w:szCs w:val="22"/>
                <w:lang w:val="en-US" w:eastAsia="zh-CN"/>
              </w:rPr>
              <w:t>进度无法保证或无进度计划得0分。</w:t>
            </w:r>
          </w:p>
        </w:tc>
        <w:tc>
          <w:tcPr>
            <w:tcW w:w="769" w:type="dxa"/>
            <w:vAlign w:val="center"/>
          </w:tcPr>
          <w:p>
            <w:pPr>
              <w:jc w:val="center"/>
              <w:rPr>
                <w:rFonts w:hint="default" w:ascii="仿宋_GB2312" w:hAnsi="宋体" w:eastAsia="仿宋_GB2312"/>
                <w:lang w:val="en-US" w:eastAsia="zh-CN"/>
              </w:rPr>
            </w:pPr>
            <w:r>
              <w:rPr>
                <w:rFonts w:hint="eastAsia" w:ascii="仿宋_GB2312" w:hAnsi="宋体" w:eastAsia="仿宋_GB2312"/>
                <w:lang w:val="en-US" w:eastAsia="zh-CN"/>
              </w:rPr>
              <w:t>5</w:t>
            </w:r>
          </w:p>
        </w:tc>
        <w:tc>
          <w:tcPr>
            <w:tcW w:w="2581" w:type="dxa"/>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500"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6</w:t>
            </w:r>
          </w:p>
        </w:tc>
        <w:tc>
          <w:tcPr>
            <w:tcW w:w="1607" w:type="dxa"/>
            <w:vAlign w:val="center"/>
          </w:tcPr>
          <w:p>
            <w:pPr>
              <w:widowControl/>
              <w:ind w:firstLine="240"/>
              <w:jc w:val="center"/>
              <w:rPr>
                <w:rFonts w:hint="eastAsia" w:ascii="仿宋_GB2312" w:hAnsi="宋体" w:eastAsia="仿宋_GB2312"/>
                <w:szCs w:val="22"/>
              </w:rPr>
            </w:pPr>
            <w:r>
              <w:rPr>
                <w:rFonts w:hint="eastAsia" w:ascii="仿宋_GB2312" w:hAnsi="宋体" w:eastAsia="仿宋_GB2312"/>
                <w:szCs w:val="22"/>
              </w:rPr>
              <w:t>源代码及知识产权</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按招标文件要求，承诺向甲方开放源代码相关知识产权要求得2分，不共享源代码得0分。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（提供承诺书）</w:t>
            </w:r>
          </w:p>
        </w:tc>
        <w:tc>
          <w:tcPr>
            <w:tcW w:w="769" w:type="dxa"/>
            <w:vAlign w:val="center"/>
          </w:tcPr>
          <w:p>
            <w:pPr>
              <w:widowControl/>
              <w:ind w:firstLine="240"/>
              <w:rPr>
                <w:rFonts w:hint="default" w:ascii="仿宋_GB2312" w:hAnsi="宋体" w:eastAsia="仿宋_GB2312"/>
                <w:szCs w:val="22"/>
                <w:lang w:val="en-US" w:eastAsia="zh-CN"/>
              </w:rPr>
            </w:pPr>
            <w:r>
              <w:rPr>
                <w:rFonts w:hint="eastAsia" w:ascii="仿宋_GB2312" w:hAnsi="宋体" w:eastAsia="仿宋_GB2312"/>
                <w:szCs w:val="22"/>
                <w:lang w:val="en-US" w:eastAsia="zh-CN"/>
              </w:rPr>
              <w:t>2</w:t>
            </w:r>
          </w:p>
        </w:tc>
        <w:tc>
          <w:tcPr>
            <w:tcW w:w="2581" w:type="dxa"/>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500"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7</w:t>
            </w:r>
          </w:p>
        </w:tc>
        <w:tc>
          <w:tcPr>
            <w:tcW w:w="1607" w:type="dxa"/>
            <w:vAlign w:val="center"/>
          </w:tcPr>
          <w:p>
            <w:pPr>
              <w:widowControl/>
              <w:jc w:val="center"/>
              <w:rPr>
                <w:rFonts w:hint="eastAsia" w:ascii="仿宋_GB2312" w:hAnsi="宋体" w:eastAsia="仿宋_GB2312"/>
                <w:szCs w:val="22"/>
              </w:rPr>
            </w:pPr>
            <w:r>
              <w:rPr>
                <w:rFonts w:hint="eastAsia" w:ascii="仿宋_GB2312" w:hAnsi="宋体" w:eastAsia="仿宋_GB2312"/>
                <w:szCs w:val="22"/>
              </w:rPr>
              <w:t>系统部署和测试方案</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有全面详细的系统部署和测试方案得3分；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部署和测试方案基本满足要求得1分；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不满足要求得0分。</w:t>
            </w:r>
          </w:p>
        </w:tc>
        <w:tc>
          <w:tcPr>
            <w:tcW w:w="769" w:type="dxa"/>
            <w:vAlign w:val="center"/>
          </w:tcPr>
          <w:p>
            <w:pPr>
              <w:widowControl/>
              <w:ind w:firstLine="240"/>
              <w:rPr>
                <w:rFonts w:hint="default" w:ascii="仿宋_GB2312" w:hAnsi="宋体" w:eastAsia="仿宋_GB2312"/>
                <w:szCs w:val="22"/>
                <w:lang w:val="en-US" w:eastAsia="zh-CN"/>
              </w:rPr>
            </w:pPr>
            <w:r>
              <w:rPr>
                <w:rFonts w:hint="eastAsia" w:ascii="仿宋_GB2312" w:hAnsi="宋体" w:eastAsia="仿宋_GB2312"/>
                <w:szCs w:val="22"/>
                <w:lang w:val="en-US" w:eastAsia="zh-CN"/>
              </w:rPr>
              <w:t>3</w:t>
            </w:r>
          </w:p>
        </w:tc>
        <w:tc>
          <w:tcPr>
            <w:tcW w:w="2581" w:type="dxa"/>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2" w:type="dxa"/>
          <w:trHeight w:val="500"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8</w:t>
            </w:r>
          </w:p>
        </w:tc>
        <w:tc>
          <w:tcPr>
            <w:tcW w:w="1607" w:type="dxa"/>
            <w:vAlign w:val="center"/>
          </w:tcPr>
          <w:p>
            <w:pPr>
              <w:widowControl/>
              <w:jc w:val="center"/>
              <w:rPr>
                <w:rFonts w:hint="eastAsia" w:ascii="仿宋_GB2312" w:hAnsi="宋体" w:eastAsia="仿宋_GB2312"/>
                <w:szCs w:val="22"/>
              </w:rPr>
            </w:pPr>
            <w:r>
              <w:rPr>
                <w:rFonts w:hint="eastAsia" w:ascii="仿宋_GB2312" w:hAnsi="宋体" w:eastAsia="仿宋_GB2312"/>
                <w:szCs w:val="22"/>
              </w:rPr>
              <w:t>系统质量保证方案</w:t>
            </w:r>
          </w:p>
        </w:tc>
        <w:tc>
          <w:tcPr>
            <w:tcW w:w="4587" w:type="dxa"/>
            <w:gridSpan w:val="2"/>
            <w:vAlign w:val="center"/>
          </w:tcPr>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系统质量保证方案从技术、人员及管理等层面切实可行得5分；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基本可行得2分；</w:t>
            </w:r>
          </w:p>
          <w:p>
            <w:pPr>
              <w:widowControl/>
              <w:ind w:firstLine="240"/>
              <w:rPr>
                <w:rFonts w:hint="eastAsia" w:ascii="仿宋_GB2312" w:hAnsi="宋体" w:eastAsia="仿宋_GB2312"/>
                <w:szCs w:val="22"/>
                <w:lang w:val="en-US" w:eastAsia="zh-CN"/>
              </w:rPr>
            </w:pPr>
            <w:r>
              <w:rPr>
                <w:rFonts w:hint="eastAsia" w:ascii="仿宋_GB2312" w:hAnsi="宋体" w:eastAsia="仿宋_GB2312"/>
                <w:szCs w:val="22"/>
                <w:lang w:val="en-US" w:eastAsia="zh-CN"/>
              </w:rPr>
              <w:t xml:space="preserve">较差或不可行得0分。  </w:t>
            </w:r>
          </w:p>
        </w:tc>
        <w:tc>
          <w:tcPr>
            <w:tcW w:w="769" w:type="dxa"/>
            <w:vAlign w:val="center"/>
          </w:tcPr>
          <w:p>
            <w:pPr>
              <w:widowControl/>
              <w:ind w:firstLine="240"/>
              <w:rPr>
                <w:rFonts w:hint="default" w:ascii="仿宋_GB2312" w:hAnsi="宋体" w:eastAsia="仿宋_GB2312"/>
                <w:szCs w:val="22"/>
                <w:lang w:val="en-US" w:eastAsia="zh-CN"/>
              </w:rPr>
            </w:pPr>
            <w:r>
              <w:rPr>
                <w:rFonts w:hint="eastAsia" w:ascii="仿宋_GB2312" w:hAnsi="宋体" w:eastAsia="仿宋_GB2312"/>
                <w:szCs w:val="22"/>
                <w:lang w:val="en-US" w:eastAsia="zh-CN"/>
              </w:rPr>
              <w:t>5</w:t>
            </w:r>
          </w:p>
        </w:tc>
        <w:tc>
          <w:tcPr>
            <w:tcW w:w="2581" w:type="dxa"/>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6" w:type="dxa"/>
            <w:vAlign w:val="center"/>
          </w:tcPr>
          <w:p>
            <w:pPr>
              <w:widowControl/>
              <w:ind w:firstLine="240"/>
              <w:jc w:val="center"/>
              <w:rPr>
                <w:rFonts w:hint="default" w:ascii="仿宋_GB2312" w:hAnsi="宋体" w:eastAsia="仿宋_GB2312"/>
                <w:lang w:val="en-US" w:eastAsia="zh-CN"/>
              </w:rPr>
            </w:pPr>
            <w:r>
              <w:rPr>
                <w:rFonts w:hint="eastAsia" w:ascii="仿宋_GB2312" w:hAnsi="宋体" w:eastAsia="仿宋_GB2312"/>
                <w:lang w:val="en-US" w:eastAsia="zh-CN"/>
              </w:rPr>
              <w:t>9</w:t>
            </w:r>
          </w:p>
        </w:tc>
        <w:tc>
          <w:tcPr>
            <w:tcW w:w="1607" w:type="dxa"/>
            <w:vAlign w:val="center"/>
          </w:tcPr>
          <w:p>
            <w:pPr>
              <w:widowControl/>
              <w:jc w:val="center"/>
              <w:rPr>
                <w:rFonts w:hint="eastAsia" w:ascii="仿宋_GB2312" w:hAnsi="宋体" w:eastAsia="仿宋_GB2312"/>
                <w:szCs w:val="22"/>
              </w:rPr>
            </w:pPr>
            <w:r>
              <w:rPr>
                <w:rFonts w:hint="eastAsia" w:ascii="仿宋_GB2312" w:hAnsi="宋体" w:eastAsia="仿宋_GB2312"/>
                <w:szCs w:val="22"/>
              </w:rPr>
              <w:t>项目验收方案</w:t>
            </w:r>
          </w:p>
        </w:tc>
        <w:tc>
          <w:tcPr>
            <w:tcW w:w="4587" w:type="dxa"/>
            <w:gridSpan w:val="2"/>
            <w:vAlign w:val="center"/>
          </w:tcPr>
          <w:p>
            <w:pPr>
              <w:widowControl/>
              <w:jc w:val="left"/>
              <w:rPr>
                <w:rFonts w:hint="eastAsia" w:ascii="仿宋_GB2312" w:hAnsi="宋体" w:eastAsia="仿宋_GB2312"/>
                <w:szCs w:val="22"/>
                <w:lang w:val="en-US" w:eastAsia="zh-CN"/>
              </w:rPr>
            </w:pPr>
            <w:r>
              <w:rPr>
                <w:rFonts w:hint="eastAsia" w:ascii="仿宋_GB2312" w:hAnsi="宋体" w:eastAsia="仿宋_GB2312"/>
                <w:szCs w:val="22"/>
                <w:lang w:val="en-US" w:eastAsia="zh-CN"/>
              </w:rPr>
              <w:t>有详细完整的系统验收方案和验收指标得5分；验收方案基本可行得2分；</w:t>
            </w:r>
          </w:p>
          <w:p>
            <w:pPr>
              <w:widowControl/>
              <w:jc w:val="left"/>
              <w:rPr>
                <w:rFonts w:hint="eastAsia" w:ascii="仿宋_GB2312" w:hAnsi="宋体" w:eastAsia="仿宋_GB2312"/>
                <w:szCs w:val="22"/>
                <w:lang w:val="en-US" w:eastAsia="zh-CN"/>
              </w:rPr>
            </w:pPr>
            <w:r>
              <w:rPr>
                <w:rFonts w:hint="eastAsia" w:ascii="仿宋_GB2312" w:hAnsi="宋体" w:eastAsia="仿宋_GB2312"/>
                <w:szCs w:val="22"/>
                <w:lang w:val="en-US" w:eastAsia="zh-CN"/>
              </w:rPr>
              <w:t>验收方案不全面或可行性较差得1分；</w:t>
            </w:r>
          </w:p>
          <w:p>
            <w:pPr>
              <w:widowControl/>
              <w:jc w:val="left"/>
              <w:rPr>
                <w:rFonts w:hint="eastAsia" w:ascii="仿宋_GB2312" w:hAnsi="宋体" w:eastAsia="仿宋_GB2312"/>
                <w:szCs w:val="22"/>
              </w:rPr>
            </w:pPr>
            <w:r>
              <w:rPr>
                <w:rFonts w:hint="eastAsia" w:ascii="仿宋_GB2312" w:hAnsi="宋体" w:eastAsia="仿宋_GB2312"/>
                <w:szCs w:val="22"/>
                <w:lang w:val="en-US" w:eastAsia="zh-CN"/>
              </w:rPr>
              <w:t>无验收方案得0分</w:t>
            </w:r>
          </w:p>
        </w:tc>
        <w:tc>
          <w:tcPr>
            <w:tcW w:w="769" w:type="dxa"/>
            <w:vAlign w:val="center"/>
          </w:tcPr>
          <w:p>
            <w:pPr>
              <w:jc w:val="center"/>
              <w:rPr>
                <w:rFonts w:hint="default"/>
                <w:lang w:val="en-US" w:eastAsia="zh-CN"/>
              </w:rPr>
            </w:pPr>
            <w:r>
              <w:rPr>
                <w:rFonts w:hint="eastAsia"/>
                <w:lang w:val="en-US" w:eastAsia="zh-CN"/>
              </w:rPr>
              <w:t>5</w:t>
            </w:r>
          </w:p>
        </w:tc>
        <w:tc>
          <w:tcPr>
            <w:tcW w:w="2653" w:type="dxa"/>
            <w:gridSpan w:val="2"/>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6" w:type="dxa"/>
            <w:vAlign w:val="center"/>
          </w:tcPr>
          <w:p>
            <w:pPr>
              <w:widowControl/>
              <w:jc w:val="both"/>
              <w:rPr>
                <w:rFonts w:hint="default" w:ascii="仿宋_GB2312" w:hAnsi="宋体" w:eastAsia="仿宋_GB2312"/>
                <w:lang w:val="en-US" w:eastAsia="zh-CN"/>
              </w:rPr>
            </w:pPr>
            <w:r>
              <w:rPr>
                <w:rFonts w:hint="eastAsia" w:ascii="仿宋_GB2312" w:hAnsi="宋体" w:eastAsia="仿宋_GB2312"/>
                <w:lang w:val="en-US" w:eastAsia="zh-CN"/>
              </w:rPr>
              <w:t>10</w:t>
            </w:r>
          </w:p>
        </w:tc>
        <w:tc>
          <w:tcPr>
            <w:tcW w:w="1607" w:type="dxa"/>
            <w:vAlign w:val="center"/>
          </w:tcPr>
          <w:p>
            <w:pPr>
              <w:widowControl/>
              <w:jc w:val="center"/>
              <w:rPr>
                <w:rFonts w:hint="eastAsia" w:ascii="仿宋_GB2312" w:hAnsi="宋体" w:eastAsia="仿宋_GB2312"/>
                <w:szCs w:val="22"/>
              </w:rPr>
            </w:pPr>
            <w:r>
              <w:rPr>
                <w:rFonts w:hint="eastAsia" w:ascii="仿宋_GB2312" w:hAnsi="宋体" w:eastAsia="仿宋_GB2312"/>
                <w:szCs w:val="22"/>
              </w:rPr>
              <w:t>人员技术培训方案</w:t>
            </w:r>
          </w:p>
        </w:tc>
        <w:tc>
          <w:tcPr>
            <w:tcW w:w="4587" w:type="dxa"/>
            <w:gridSpan w:val="2"/>
            <w:vAlign w:val="center"/>
          </w:tcPr>
          <w:p>
            <w:pPr>
              <w:widowControl/>
              <w:jc w:val="left"/>
              <w:rPr>
                <w:rFonts w:hint="eastAsia" w:ascii="仿宋_GB2312" w:hAnsi="宋体" w:eastAsia="仿宋_GB2312"/>
                <w:szCs w:val="22"/>
                <w:lang w:val="en-US" w:eastAsia="zh-CN"/>
              </w:rPr>
            </w:pPr>
            <w:r>
              <w:rPr>
                <w:rFonts w:hint="eastAsia" w:ascii="仿宋_GB2312" w:hAnsi="宋体" w:eastAsia="仿宋_GB2312"/>
                <w:szCs w:val="22"/>
                <w:lang w:val="en-US" w:eastAsia="zh-CN"/>
              </w:rPr>
              <w:t xml:space="preserve"> 提供相应完善、科学、可行、针对性强的培训方案，4分；</w:t>
            </w:r>
          </w:p>
          <w:p>
            <w:pPr>
              <w:widowControl/>
              <w:jc w:val="left"/>
              <w:rPr>
                <w:rFonts w:hint="eastAsia" w:ascii="仿宋_GB2312" w:hAnsi="宋体" w:eastAsia="仿宋_GB2312"/>
                <w:szCs w:val="22"/>
                <w:lang w:val="en-US" w:eastAsia="zh-CN"/>
              </w:rPr>
            </w:pPr>
            <w:r>
              <w:rPr>
                <w:rFonts w:hint="eastAsia" w:ascii="仿宋_GB2312" w:hAnsi="宋体" w:eastAsia="仿宋_GB2312"/>
                <w:szCs w:val="22"/>
                <w:lang w:val="en-US" w:eastAsia="zh-CN"/>
              </w:rPr>
              <w:t>方案基本可行、细节待完善，1分；</w:t>
            </w:r>
          </w:p>
          <w:p>
            <w:pPr>
              <w:widowControl/>
              <w:jc w:val="left"/>
              <w:rPr>
                <w:rFonts w:hint="eastAsia" w:ascii="仿宋_GB2312" w:hAnsi="宋体" w:eastAsia="仿宋_GB2312"/>
                <w:szCs w:val="22"/>
                <w:lang w:val="en-US" w:eastAsia="zh-CN"/>
              </w:rPr>
            </w:pPr>
            <w:r>
              <w:rPr>
                <w:rFonts w:hint="eastAsia" w:ascii="仿宋_GB2312" w:hAnsi="宋体" w:eastAsia="仿宋_GB2312"/>
                <w:szCs w:val="22"/>
                <w:lang w:val="en-US" w:eastAsia="zh-CN"/>
              </w:rPr>
              <w:t>没有明确的培训计划或不能提供培训计划得0分</w:t>
            </w:r>
          </w:p>
        </w:tc>
        <w:tc>
          <w:tcPr>
            <w:tcW w:w="769" w:type="dxa"/>
            <w:vAlign w:val="center"/>
          </w:tcPr>
          <w:p>
            <w:pPr>
              <w:jc w:val="center"/>
              <w:rPr>
                <w:rFonts w:hint="default"/>
                <w:lang w:val="en-US" w:eastAsia="zh-CN"/>
              </w:rPr>
            </w:pPr>
            <w:r>
              <w:rPr>
                <w:rFonts w:hint="eastAsia"/>
                <w:lang w:val="en-US" w:eastAsia="zh-CN"/>
              </w:rPr>
              <w:t>4</w:t>
            </w:r>
          </w:p>
        </w:tc>
        <w:tc>
          <w:tcPr>
            <w:tcW w:w="2653" w:type="dxa"/>
            <w:gridSpan w:val="2"/>
            <w:vAlign w:val="top"/>
          </w:tcPr>
          <w:p>
            <w:pPr>
              <w:ind w:firstLine="24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0202" w:type="dxa"/>
            <w:gridSpan w:val="7"/>
            <w:vAlign w:val="center"/>
          </w:tcPr>
          <w:p>
            <w:pPr>
              <w:pStyle w:val="26"/>
              <w:spacing w:line="400" w:lineRule="exact"/>
              <w:ind w:firstLine="210"/>
              <w:jc w:val="left"/>
              <w:rPr>
                <w:rFonts w:ascii="仿宋_GB2312" w:hAnsi="宋体" w:eastAsia="仿宋_GB2312" w:cs="Arial"/>
                <w:b w:val="0"/>
                <w:bCs w:val="0"/>
                <w:sz w:val="21"/>
                <w:szCs w:val="24"/>
              </w:rPr>
            </w:pPr>
            <w:r>
              <w:rPr>
                <w:rFonts w:ascii="仿宋_GB2312" w:hAnsi="宋体" w:eastAsia="仿宋_GB2312" w:cs="Arial"/>
                <w:b w:val="0"/>
                <w:bCs w:val="0"/>
                <w:sz w:val="21"/>
                <w:szCs w:val="24"/>
              </w:rPr>
              <w:t>注</w:t>
            </w:r>
            <w:r>
              <w:rPr>
                <w:rFonts w:hint="eastAsia" w:ascii="仿宋_GB2312" w:hAnsi="宋体" w:eastAsia="仿宋_GB2312" w:cs="Arial"/>
                <w:b w:val="0"/>
                <w:bCs w:val="0"/>
                <w:sz w:val="21"/>
                <w:szCs w:val="24"/>
              </w:rPr>
              <w:t>：</w:t>
            </w:r>
          </w:p>
          <w:p>
            <w:pPr>
              <w:pStyle w:val="26"/>
              <w:spacing w:line="400" w:lineRule="exact"/>
              <w:ind w:firstLine="210"/>
              <w:jc w:val="left"/>
              <w:rPr>
                <w:rFonts w:ascii="仿宋_GB2312" w:hAnsi="宋体" w:eastAsia="仿宋_GB2312" w:cs="Arial"/>
                <w:b w:val="0"/>
                <w:bCs w:val="0"/>
                <w:sz w:val="21"/>
                <w:szCs w:val="24"/>
              </w:rPr>
            </w:pPr>
            <w:r>
              <w:rPr>
                <w:rFonts w:hint="eastAsia" w:ascii="仿宋_GB2312" w:hAnsi="宋体" w:eastAsia="仿宋_GB2312" w:cs="Arial"/>
                <w:b w:val="0"/>
                <w:bCs w:val="0"/>
                <w:sz w:val="21"/>
                <w:szCs w:val="24"/>
              </w:rPr>
              <w:t>1.应答</w:t>
            </w:r>
            <w:r>
              <w:rPr>
                <w:rFonts w:ascii="仿宋_GB2312" w:hAnsi="宋体" w:eastAsia="仿宋_GB2312" w:cs="Arial"/>
                <w:b w:val="0"/>
                <w:bCs w:val="0"/>
                <w:sz w:val="21"/>
                <w:szCs w:val="24"/>
              </w:rPr>
              <w:t>人必须针对打分内容提供相应证明文件</w:t>
            </w:r>
            <w:r>
              <w:rPr>
                <w:rFonts w:hint="eastAsia" w:ascii="仿宋_GB2312" w:hAnsi="宋体" w:eastAsia="仿宋_GB2312" w:cs="Arial"/>
                <w:b w:val="0"/>
                <w:bCs w:val="0"/>
                <w:sz w:val="21"/>
                <w:szCs w:val="24"/>
              </w:rPr>
              <w:t>，不能承诺或复制磋商文件要求作为响应方案。</w:t>
            </w:r>
            <w:r>
              <w:rPr>
                <w:rFonts w:ascii="仿宋_GB2312" w:hAnsi="宋体" w:eastAsia="仿宋_GB2312" w:cs="Arial"/>
                <w:b w:val="0"/>
                <w:bCs w:val="0"/>
                <w:sz w:val="21"/>
                <w:szCs w:val="24"/>
              </w:rPr>
              <w:t>未提供证明资料或提供证明资料不完整的</w:t>
            </w:r>
            <w:r>
              <w:rPr>
                <w:rFonts w:hint="eastAsia" w:ascii="仿宋_GB2312" w:hAnsi="宋体" w:eastAsia="仿宋_GB2312" w:cs="Arial"/>
                <w:b w:val="0"/>
                <w:bCs w:val="0"/>
                <w:sz w:val="21"/>
                <w:szCs w:val="24"/>
              </w:rPr>
              <w:t>，评标专家有权按0分处理。</w:t>
            </w:r>
          </w:p>
          <w:p>
            <w:pPr>
              <w:pStyle w:val="26"/>
              <w:spacing w:line="400" w:lineRule="exact"/>
              <w:ind w:firstLine="210"/>
              <w:jc w:val="left"/>
              <w:rPr>
                <w:rFonts w:ascii="仿宋_GB2312" w:hAnsi="宋体" w:eastAsia="仿宋_GB2312" w:cs="Arial"/>
                <w:b w:val="0"/>
                <w:bCs w:val="0"/>
                <w:sz w:val="21"/>
                <w:szCs w:val="24"/>
              </w:rPr>
            </w:pPr>
            <w:r>
              <w:rPr>
                <w:rFonts w:hint="eastAsia" w:ascii="仿宋_GB2312" w:hAnsi="宋体" w:eastAsia="仿宋_GB2312" w:cs="Arial"/>
                <w:b w:val="0"/>
                <w:bCs w:val="0"/>
                <w:sz w:val="21"/>
                <w:szCs w:val="24"/>
              </w:rPr>
              <w:t>2.得分保留小数点后两位，第三位四舍五入。</w:t>
            </w:r>
          </w:p>
          <w:p>
            <w:pPr>
              <w:ind w:firstLine="240"/>
              <w:rPr>
                <w:rFonts w:ascii="仿宋_GB2312" w:hAnsi="宋体" w:eastAsia="仿宋_GB2312" w:cs="Arial"/>
              </w:rPr>
            </w:pPr>
            <w:r>
              <w:rPr>
                <w:rFonts w:hint="eastAsia" w:ascii="仿宋_GB2312" w:hAnsi="宋体" w:eastAsia="仿宋_GB2312" w:cs="Arial"/>
              </w:rPr>
              <w:t>3.应答人单项（商务或技术部分）得分为所有评委打分的算术平均值。</w:t>
            </w:r>
          </w:p>
          <w:p>
            <w:pPr>
              <w:ind w:firstLine="240"/>
              <w:rPr>
                <w:rFonts w:ascii="仿宋_GB2312" w:hAnsi="宋体" w:eastAsia="仿宋_GB2312"/>
              </w:rPr>
            </w:pPr>
            <w:r>
              <w:rPr>
                <w:rFonts w:hint="eastAsia" w:ascii="仿宋_GB2312" w:hAnsi="宋体" w:eastAsia="仿宋_GB2312" w:cs="Arial"/>
              </w:rPr>
              <w:t>4.应答人最终得分为商务部分、价格部分和技术部分之和。</w:t>
            </w:r>
          </w:p>
        </w:tc>
      </w:tr>
    </w:tbl>
    <w:p>
      <w:pPr>
        <w:snapToGrid w:val="0"/>
        <w:rPr>
          <w:rFonts w:ascii="楷体" w:hAnsi="楷体" w:eastAsia="楷体"/>
          <w:szCs w:val="21"/>
          <w:lang w:val="zh-CN"/>
        </w:rPr>
      </w:pPr>
      <w:r>
        <w:rPr>
          <w:rFonts w:hint="eastAsia" w:ascii="楷体" w:hAnsi="楷体" w:eastAsia="楷体"/>
          <w:szCs w:val="21"/>
          <w:lang w:val="zh-CN"/>
        </w:rPr>
        <w:t>注1：价格分数保留两位小数。</w:t>
      </w:r>
    </w:p>
    <w:p>
      <w:pPr>
        <w:widowControl/>
        <w:snapToGrid w:val="0"/>
        <w:rPr>
          <w:rFonts w:ascii="楷体" w:hAnsi="楷体" w:eastAsia="楷体"/>
          <w:szCs w:val="21"/>
          <w:lang w:val="zh-CN"/>
        </w:rPr>
      </w:pPr>
      <w:r>
        <w:rPr>
          <w:rFonts w:hint="eastAsia" w:ascii="楷体" w:hAnsi="楷体" w:eastAsia="楷体"/>
          <w:szCs w:val="21"/>
          <w:lang w:val="zh-CN"/>
        </w:rPr>
        <w:t>注</w:t>
      </w:r>
      <w:r>
        <w:rPr>
          <w:rFonts w:ascii="楷体" w:hAnsi="楷体" w:eastAsia="楷体"/>
          <w:szCs w:val="21"/>
          <w:lang w:val="zh-CN"/>
        </w:rPr>
        <w:t>2</w:t>
      </w:r>
      <w:r>
        <w:rPr>
          <w:rFonts w:hint="eastAsia" w:ascii="楷体" w:hAnsi="楷体" w:eastAsia="楷体"/>
          <w:szCs w:val="21"/>
          <w:lang w:val="zh-CN"/>
        </w:rPr>
        <w:t>：根据《政府采购促进中小企业发展管理办法》（财库﹝</w:t>
      </w:r>
      <w:r>
        <w:rPr>
          <w:rFonts w:ascii="楷体" w:hAnsi="楷体" w:eastAsia="楷体"/>
          <w:szCs w:val="21"/>
          <w:lang w:val="zh-CN"/>
        </w:rPr>
        <w:t>2020</w:t>
      </w:r>
      <w:r>
        <w:rPr>
          <w:rFonts w:hint="eastAsia" w:ascii="楷体" w:hAnsi="楷体" w:eastAsia="楷体"/>
          <w:szCs w:val="21"/>
          <w:lang w:val="zh-CN"/>
        </w:rPr>
        <w:t>﹞</w:t>
      </w:r>
      <w:r>
        <w:rPr>
          <w:rFonts w:ascii="楷体" w:hAnsi="楷体" w:eastAsia="楷体"/>
          <w:szCs w:val="21"/>
          <w:lang w:val="zh-CN"/>
        </w:rPr>
        <w:t xml:space="preserve">46 </w:t>
      </w:r>
      <w:r>
        <w:rPr>
          <w:rFonts w:hint="eastAsia" w:ascii="楷体" w:hAnsi="楷体" w:eastAsia="楷体"/>
          <w:szCs w:val="21"/>
          <w:lang w:val="zh-CN"/>
        </w:rPr>
        <w:t>号）和《</w:t>
      </w:r>
      <w:r>
        <w:rPr>
          <w:rFonts w:ascii="楷体" w:hAnsi="楷体" w:eastAsia="楷体"/>
          <w:szCs w:val="21"/>
          <w:lang w:val="zh-CN"/>
        </w:rPr>
        <w:t>财政部 司法部关于政府采购支持监狱企业发展有关问题的通知</w:t>
      </w:r>
      <w:r>
        <w:rPr>
          <w:rFonts w:hint="eastAsia" w:ascii="楷体" w:hAnsi="楷体" w:eastAsia="楷体"/>
          <w:szCs w:val="21"/>
          <w:lang w:val="zh-CN"/>
        </w:rPr>
        <w:t>》（财库〔2014〕68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rPr>
          <w:rFonts w:ascii="楷体" w:hAnsi="楷体" w:eastAsia="楷体"/>
          <w:szCs w:val="21"/>
          <w:lang w:val="zh-CN"/>
        </w:rPr>
      </w:pPr>
      <w:r>
        <w:rPr>
          <w:rFonts w:hint="eastAsia" w:ascii="楷体" w:hAnsi="楷体" w:eastAsia="楷体"/>
          <w:szCs w:val="21"/>
          <w:lang w:val="zh-CN"/>
        </w:rPr>
        <w:t>注</w:t>
      </w:r>
      <w:r>
        <w:rPr>
          <w:rFonts w:ascii="楷体" w:hAnsi="楷体" w:eastAsia="楷体"/>
          <w:szCs w:val="21"/>
          <w:lang w:val="zh-CN"/>
        </w:rPr>
        <w:t>3</w:t>
      </w:r>
      <w:r>
        <w:rPr>
          <w:rFonts w:hint="eastAsia" w:ascii="楷体" w:hAnsi="楷体" w:eastAsia="楷体"/>
          <w:szCs w:val="21"/>
          <w:lang w:val="zh-CN"/>
        </w:rPr>
        <w:t>：</w:t>
      </w:r>
      <w:r>
        <w:rPr>
          <w:rFonts w:ascii="楷体" w:hAnsi="楷体" w:eastAsia="楷体"/>
          <w:szCs w:val="21"/>
          <w:lang w:val="zh-CN"/>
        </w:rPr>
        <w:t>联合协议中约定，小型、微型企业</w:t>
      </w:r>
      <w:r>
        <w:rPr>
          <w:rFonts w:hint="eastAsia" w:ascii="楷体" w:hAnsi="楷体" w:eastAsia="楷体"/>
          <w:szCs w:val="21"/>
          <w:lang w:val="zh-CN"/>
        </w:rPr>
        <w:t>和监狱企业</w:t>
      </w:r>
      <w:r>
        <w:rPr>
          <w:rFonts w:ascii="楷体" w:hAnsi="楷体" w:eastAsia="楷体"/>
          <w:szCs w:val="21"/>
          <w:lang w:val="zh-CN"/>
        </w:rPr>
        <w:t>的协议合同金额占到联合体协议合同总金额30%以上的，可给予联合体</w:t>
      </w:r>
      <w:r>
        <w:rPr>
          <w:rFonts w:hint="eastAsia" w:ascii="楷体" w:hAnsi="楷体" w:eastAsia="楷体"/>
          <w:szCs w:val="21"/>
          <w:lang w:val="zh-CN"/>
        </w:rPr>
        <w:t>前附表中规定比例</w:t>
      </w:r>
      <w:r>
        <w:rPr>
          <w:rFonts w:ascii="楷体" w:hAnsi="楷体" w:eastAsia="楷体"/>
          <w:szCs w:val="21"/>
          <w:lang w:val="zh-CN"/>
        </w:rPr>
        <w:t>的价格扣除。</w:t>
      </w:r>
    </w:p>
    <w:p>
      <w:pPr>
        <w:widowControl/>
        <w:snapToGrid w:val="0"/>
        <w:rPr>
          <w:rFonts w:ascii="楷体" w:hAnsi="楷体" w:eastAsia="楷体"/>
          <w:szCs w:val="21"/>
          <w:lang w:val="zh-CN"/>
        </w:rPr>
      </w:pPr>
      <w:r>
        <w:rPr>
          <w:rFonts w:ascii="楷体" w:hAnsi="楷体" w:eastAsia="楷体"/>
          <w:szCs w:val="21"/>
          <w:lang w:val="zh-CN"/>
        </w:rPr>
        <w:t>联合体各方均为小型、微型企业</w:t>
      </w:r>
      <w:r>
        <w:rPr>
          <w:rFonts w:hint="eastAsia" w:ascii="楷体" w:hAnsi="楷体" w:eastAsia="楷体"/>
          <w:szCs w:val="21"/>
          <w:lang w:val="zh-CN"/>
        </w:rPr>
        <w:t>和监狱企业</w:t>
      </w:r>
      <w:r>
        <w:rPr>
          <w:rFonts w:ascii="楷体" w:hAnsi="楷体" w:eastAsia="楷体"/>
          <w:szCs w:val="21"/>
          <w:lang w:val="zh-CN"/>
        </w:rPr>
        <w:t>的，联合体视同为小型、微型企业</w:t>
      </w:r>
      <w:r>
        <w:rPr>
          <w:rFonts w:hint="eastAsia" w:ascii="楷体" w:hAnsi="楷体" w:eastAsia="楷体"/>
          <w:szCs w:val="21"/>
          <w:lang w:val="zh-CN"/>
        </w:rPr>
        <w:t>和监狱企业。</w:t>
      </w:r>
    </w:p>
    <w:p>
      <w:pPr>
        <w:widowControl/>
        <w:snapToGrid w:val="0"/>
        <w:rPr>
          <w:rFonts w:ascii="楷体" w:hAnsi="楷体" w:eastAsia="楷体"/>
          <w:szCs w:val="21"/>
          <w:lang w:val="zh-CN"/>
        </w:rPr>
      </w:pPr>
      <w:r>
        <w:rPr>
          <w:rFonts w:hint="eastAsia" w:ascii="楷体" w:hAnsi="楷体" w:eastAsia="楷体"/>
          <w:szCs w:val="21"/>
          <w:lang w:val="zh-CN"/>
        </w:rPr>
        <w:t>注</w:t>
      </w:r>
      <w:r>
        <w:rPr>
          <w:rFonts w:ascii="楷体" w:hAnsi="楷体" w:eastAsia="楷体"/>
          <w:szCs w:val="21"/>
          <w:lang w:val="zh-CN"/>
        </w:rPr>
        <w:t>4</w:t>
      </w:r>
      <w:r>
        <w:rPr>
          <w:rFonts w:hint="eastAsia" w:ascii="楷体" w:hAnsi="楷体" w:eastAsia="楷体"/>
          <w:szCs w:val="21"/>
          <w:lang w:val="zh-CN"/>
        </w:rPr>
        <w:t>：供应商所投产品如被列入财政部与国家主管部门颁发的节能产品目录或环境标志产品目录或无线局域网产品目录，应提供相关证明，在评标时予以优先采购。</w:t>
      </w:r>
    </w:p>
    <w:p>
      <w:pPr>
        <w:snapToGrid w:val="0"/>
        <w:rPr>
          <w:rFonts w:hint="eastAsia" w:ascii="楷体" w:hAnsi="楷体" w:eastAsia="楷体"/>
          <w:szCs w:val="21"/>
          <w:lang w:val="zh-CN"/>
        </w:rPr>
      </w:pPr>
      <w:r>
        <w:rPr>
          <w:rFonts w:hint="eastAsia" w:ascii="楷体" w:hAnsi="楷体" w:eastAsia="楷体"/>
          <w:szCs w:val="21"/>
          <w:lang w:val="zh-CN"/>
        </w:rPr>
        <w:t>注</w:t>
      </w:r>
      <w:r>
        <w:rPr>
          <w:rFonts w:ascii="楷体" w:hAnsi="楷体" w:eastAsia="楷体"/>
          <w:szCs w:val="21"/>
          <w:lang w:val="zh-CN"/>
        </w:rPr>
        <w:t>5</w:t>
      </w:r>
      <w:r>
        <w:rPr>
          <w:rFonts w:hint="eastAsia" w:ascii="楷体" w:hAnsi="楷体" w:eastAsia="楷体"/>
          <w:szCs w:val="21"/>
          <w:lang w:val="zh-CN"/>
        </w:rPr>
        <w:t>：如采购人所采购产品为政府强制采购的节能产品，供应商所投产品的品牌及型号必须为清单中有效期内产品并提供证明文件，否则其投标将作为无效投标被拒绝。</w:t>
      </w:r>
      <w:bookmarkStart w:id="43" w:name="_Toc380479120"/>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69"/>
        <w:rPr>
          <w:rFonts w:hint="eastAsia" w:ascii="楷体" w:hAnsi="楷体" w:eastAsia="楷体"/>
          <w:szCs w:val="21"/>
          <w:lang w:val="zh-CN"/>
        </w:rPr>
      </w:pPr>
    </w:p>
    <w:p>
      <w:pPr>
        <w:pStyle w:val="3"/>
        <w:numPr>
          <w:ilvl w:val="0"/>
          <w:numId w:val="0"/>
        </w:numPr>
        <w:spacing w:before="0" w:after="0" w:line="480" w:lineRule="exact"/>
        <w:ind w:left="432" w:hanging="432"/>
        <w:rPr>
          <w:rFonts w:ascii="楷体" w:hAnsi="楷体" w:eastAsia="楷体"/>
        </w:rPr>
      </w:pPr>
    </w:p>
    <w:p>
      <w:pPr>
        <w:pStyle w:val="3"/>
        <w:numPr>
          <w:ilvl w:val="0"/>
          <w:numId w:val="0"/>
        </w:numPr>
        <w:spacing w:before="0" w:after="0" w:line="480" w:lineRule="exact"/>
        <w:ind w:left="432" w:hanging="432"/>
        <w:rPr>
          <w:rFonts w:ascii="楷体" w:hAnsi="楷体" w:eastAsia="楷体"/>
        </w:rPr>
      </w:pPr>
      <w:r>
        <w:rPr>
          <w:rFonts w:ascii="楷体" w:hAnsi="楷体" w:eastAsia="楷体"/>
        </w:rPr>
        <w:t xml:space="preserve">第三章  </w:t>
      </w:r>
      <w:r>
        <w:rPr>
          <w:rFonts w:hint="eastAsia" w:ascii="楷体" w:hAnsi="楷体" w:eastAsia="楷体"/>
        </w:rPr>
        <w:t>服务</w:t>
      </w:r>
      <w:r>
        <w:rPr>
          <w:rFonts w:ascii="楷体" w:hAnsi="楷体" w:eastAsia="楷体"/>
        </w:rPr>
        <w:t>需求</w:t>
      </w:r>
      <w:bookmarkEnd w:id="43"/>
    </w:p>
    <w:p/>
    <w:p>
      <w:pPr>
        <w:pStyle w:val="23"/>
        <w:pBdr>
          <w:bottom w:val="none" w:color="auto" w:sz="0" w:space="0"/>
        </w:pBdr>
        <w:spacing w:line="360" w:lineRule="auto"/>
        <w:jc w:val="both"/>
        <w:rPr>
          <w:rFonts w:hint="eastAsia" w:ascii="楷体" w:hAnsi="楷体" w:eastAsia="楷体"/>
          <w:sz w:val="24"/>
          <w:szCs w:val="24"/>
          <w:lang w:eastAsia="zh-CN"/>
        </w:rPr>
      </w:pPr>
      <w:r>
        <w:rPr>
          <w:rFonts w:hint="eastAsia" w:ascii="楷体" w:hAnsi="楷体" w:eastAsia="楷体"/>
          <w:b/>
          <w:bCs/>
          <w:sz w:val="24"/>
          <w:szCs w:val="24"/>
        </w:rPr>
        <w:t>一、项目名称：</w:t>
      </w:r>
      <w:r>
        <w:rPr>
          <w:rFonts w:hint="eastAsia" w:ascii="楷体" w:hAnsi="楷体" w:eastAsia="楷体"/>
          <w:sz w:val="24"/>
          <w:szCs w:val="24"/>
          <w:lang w:eastAsia="zh-CN"/>
        </w:rPr>
        <w:t>新疆维吾尔自治区计量测试研究院能源大数据应用系统项目</w:t>
      </w:r>
    </w:p>
    <w:p>
      <w:pPr>
        <w:snapToGrid w:val="0"/>
        <w:spacing w:line="360" w:lineRule="auto"/>
        <w:rPr>
          <w:rFonts w:hint="eastAsia" w:ascii="楷体" w:hAnsi="楷体" w:eastAsia="楷体"/>
          <w:sz w:val="24"/>
          <w:szCs w:val="24"/>
        </w:rPr>
      </w:pPr>
      <w:r>
        <w:rPr>
          <w:rFonts w:hint="eastAsia" w:ascii="楷体" w:hAnsi="楷体" w:eastAsia="楷体"/>
          <w:b/>
          <w:bCs/>
          <w:sz w:val="24"/>
          <w:szCs w:val="24"/>
        </w:rPr>
        <w:t>二、项目预算金额：</w:t>
      </w:r>
      <w:r>
        <w:rPr>
          <w:rFonts w:hint="eastAsia" w:ascii="楷体" w:hAnsi="楷体" w:eastAsia="楷体"/>
          <w:sz w:val="24"/>
          <w:szCs w:val="24"/>
        </w:rPr>
        <w:t>人民币</w:t>
      </w:r>
      <w:r>
        <w:rPr>
          <w:rFonts w:hint="eastAsia" w:ascii="楷体" w:hAnsi="楷体" w:eastAsia="楷体"/>
          <w:sz w:val="24"/>
          <w:szCs w:val="24"/>
          <w:lang w:val="en-US" w:eastAsia="zh-CN"/>
        </w:rPr>
        <w:t>56</w:t>
      </w:r>
      <w:r>
        <w:rPr>
          <w:rFonts w:hint="eastAsia" w:ascii="楷体" w:hAnsi="楷体" w:eastAsia="楷体"/>
          <w:sz w:val="24"/>
          <w:szCs w:val="24"/>
        </w:rPr>
        <w:t>万元，财政资金，资金已到位。</w:t>
      </w:r>
    </w:p>
    <w:p>
      <w:pPr>
        <w:autoSpaceDE w:val="0"/>
        <w:autoSpaceDN w:val="0"/>
        <w:snapToGrid w:val="0"/>
        <w:spacing w:line="360" w:lineRule="auto"/>
        <w:jc w:val="left"/>
        <w:rPr>
          <w:rFonts w:hint="eastAsia" w:ascii="楷体" w:hAnsi="楷体" w:eastAsia="楷体"/>
          <w:sz w:val="24"/>
          <w:szCs w:val="24"/>
        </w:rPr>
      </w:pPr>
      <w:r>
        <w:rPr>
          <w:rFonts w:hint="eastAsia" w:ascii="楷体" w:hAnsi="楷体" w:eastAsia="楷体"/>
          <w:b/>
          <w:bCs/>
          <w:sz w:val="24"/>
          <w:szCs w:val="24"/>
        </w:rPr>
        <w:t>三、项目实施地点</w:t>
      </w:r>
      <w:r>
        <w:rPr>
          <w:rFonts w:hint="eastAsia" w:ascii="楷体" w:hAnsi="楷体" w:eastAsia="楷体"/>
          <w:sz w:val="24"/>
          <w:szCs w:val="24"/>
        </w:rPr>
        <w:t>：采购人指定地点。</w:t>
      </w:r>
    </w:p>
    <w:p>
      <w:pPr>
        <w:pStyle w:val="23"/>
        <w:pBdr>
          <w:bottom w:val="none" w:color="auto" w:sz="0" w:space="0"/>
        </w:pBdr>
        <w:spacing w:line="360" w:lineRule="auto"/>
        <w:jc w:val="both"/>
        <w:rPr>
          <w:rFonts w:hint="eastAsia" w:ascii="楷体" w:hAnsi="楷体" w:eastAsia="楷体"/>
          <w:sz w:val="24"/>
          <w:szCs w:val="24"/>
        </w:rPr>
      </w:pPr>
      <w:r>
        <w:rPr>
          <w:rFonts w:hint="eastAsia" w:ascii="楷体" w:hAnsi="楷体" w:eastAsia="楷体"/>
          <w:b/>
          <w:bCs/>
          <w:sz w:val="24"/>
          <w:szCs w:val="24"/>
        </w:rPr>
        <w:t>四、服务期限：</w:t>
      </w:r>
      <w:r>
        <w:rPr>
          <w:rFonts w:hint="eastAsia" w:ascii="楷体" w:hAnsi="楷体" w:eastAsia="楷体"/>
          <w:bCs/>
          <w:sz w:val="24"/>
          <w:szCs w:val="24"/>
          <w:lang w:val="en-US" w:eastAsia="zh-CN"/>
        </w:rPr>
        <w:t>2021年12月31日前完成本项目</w:t>
      </w:r>
      <w:r>
        <w:rPr>
          <w:rFonts w:hint="eastAsia" w:ascii="楷体" w:hAnsi="楷体" w:eastAsia="楷体"/>
          <w:sz w:val="24"/>
          <w:szCs w:val="24"/>
        </w:rPr>
        <w:t>。</w:t>
      </w:r>
    </w:p>
    <w:p>
      <w:pPr>
        <w:snapToGrid w:val="0"/>
        <w:spacing w:line="360" w:lineRule="auto"/>
        <w:rPr>
          <w:rFonts w:hint="eastAsia" w:ascii="楷体" w:hAnsi="楷体" w:eastAsia="楷体"/>
          <w:b/>
          <w:bCs/>
          <w:sz w:val="24"/>
          <w:szCs w:val="24"/>
        </w:rPr>
      </w:pPr>
      <w:bookmarkStart w:id="44" w:name="_Toc485147127"/>
      <w:bookmarkStart w:id="45" w:name="_Toc9288"/>
      <w:r>
        <w:rPr>
          <w:rFonts w:hint="eastAsia" w:ascii="楷体" w:hAnsi="楷体" w:eastAsia="楷体"/>
          <w:b/>
          <w:bCs/>
          <w:sz w:val="24"/>
          <w:szCs w:val="24"/>
          <w:lang w:val="en-US" w:eastAsia="zh-CN"/>
        </w:rPr>
        <w:t>五、</w:t>
      </w:r>
      <w:r>
        <w:rPr>
          <w:rFonts w:hint="eastAsia" w:ascii="楷体" w:hAnsi="楷体" w:eastAsia="楷体"/>
          <w:b/>
          <w:bCs/>
          <w:sz w:val="24"/>
          <w:szCs w:val="24"/>
        </w:rPr>
        <w:t>系统</w:t>
      </w:r>
      <w:r>
        <w:rPr>
          <w:rFonts w:hint="eastAsia" w:ascii="楷体" w:hAnsi="楷体" w:eastAsia="楷体"/>
          <w:b/>
          <w:bCs/>
          <w:sz w:val="24"/>
          <w:szCs w:val="24"/>
          <w:lang w:val="en-US" w:eastAsia="zh-CN"/>
        </w:rPr>
        <w:t>需求</w:t>
      </w:r>
    </w:p>
    <w:p>
      <w:pPr>
        <w:snapToGrid w:val="0"/>
        <w:spacing w:line="360" w:lineRule="auto"/>
        <w:rPr>
          <w:rFonts w:hint="eastAsia" w:ascii="楷体" w:hAnsi="楷体" w:eastAsia="楷体"/>
          <w:b/>
          <w:bCs/>
          <w:sz w:val="24"/>
          <w:szCs w:val="24"/>
        </w:rPr>
      </w:pPr>
      <w:bookmarkStart w:id="46" w:name="_Toc268868155"/>
      <w:bookmarkStart w:id="47" w:name="_Toc263228211"/>
      <w:r>
        <w:rPr>
          <w:rFonts w:hint="eastAsia" w:ascii="楷体" w:hAnsi="楷体" w:eastAsia="楷体"/>
          <w:b/>
          <w:bCs/>
          <w:sz w:val="24"/>
          <w:szCs w:val="24"/>
          <w:lang w:val="en-US" w:eastAsia="zh-CN"/>
        </w:rPr>
        <w:t xml:space="preserve">5.1 </w:t>
      </w:r>
      <w:r>
        <w:rPr>
          <w:rFonts w:hint="eastAsia" w:ascii="楷体" w:hAnsi="楷体" w:eastAsia="楷体"/>
          <w:b/>
          <w:bCs/>
          <w:sz w:val="24"/>
          <w:szCs w:val="24"/>
        </w:rPr>
        <w:t>工程概况</w:t>
      </w:r>
      <w:bookmarkEnd w:id="46"/>
      <w:bookmarkEnd w:id="47"/>
    </w:p>
    <w:p>
      <w:pPr>
        <w:pStyle w:val="23"/>
        <w:pBdr>
          <w:bottom w:val="none" w:color="auto" w:sz="0" w:space="0"/>
        </w:pBdr>
        <w:spacing w:line="360" w:lineRule="auto"/>
        <w:ind w:firstLine="240" w:firstLineChars="100"/>
        <w:jc w:val="both"/>
        <w:rPr>
          <w:rFonts w:hint="eastAsia" w:ascii="楷体" w:hAnsi="楷体" w:eastAsia="楷体"/>
          <w:sz w:val="24"/>
          <w:szCs w:val="24"/>
          <w:lang w:eastAsia="zh-CN"/>
        </w:rPr>
      </w:pPr>
      <w:bookmarkStart w:id="48" w:name="_Toc15558132"/>
      <w:bookmarkStart w:id="49" w:name="_Toc263228212"/>
      <w:bookmarkStart w:id="50" w:name="_Toc15462105"/>
      <w:bookmarkStart w:id="51" w:name="_Toc535848343"/>
      <w:r>
        <w:rPr>
          <w:rFonts w:hint="eastAsia" w:ascii="楷体" w:hAnsi="楷体" w:eastAsia="楷体"/>
          <w:sz w:val="24"/>
          <w:szCs w:val="24"/>
          <w:lang w:val="en-US" w:eastAsia="zh-CN"/>
        </w:rPr>
        <w:t>本工程拟完成</w:t>
      </w:r>
      <w:r>
        <w:rPr>
          <w:rFonts w:hint="eastAsia" w:ascii="楷体" w:hAnsi="楷体" w:eastAsia="楷体"/>
          <w:sz w:val="24"/>
          <w:szCs w:val="24"/>
          <w:lang w:eastAsia="zh-CN"/>
        </w:rPr>
        <w:t>能源大数据应用系统</w:t>
      </w:r>
      <w:r>
        <w:rPr>
          <w:rFonts w:hint="eastAsia" w:ascii="楷体" w:hAnsi="楷体" w:eastAsia="楷体"/>
          <w:sz w:val="24"/>
          <w:szCs w:val="24"/>
          <w:lang w:val="en-US" w:eastAsia="zh-CN"/>
        </w:rPr>
        <w:t>建设。该项目基于能耗在线监测系统，运用</w:t>
      </w:r>
      <w:r>
        <w:rPr>
          <w:rFonts w:hint="eastAsia" w:ascii="楷体" w:hAnsi="楷体" w:eastAsia="楷体"/>
          <w:sz w:val="24"/>
          <w:szCs w:val="24"/>
          <w:lang w:eastAsia="zh-CN"/>
        </w:rPr>
        <w:t>在线监测系统</w:t>
      </w:r>
      <w:r>
        <w:rPr>
          <w:rFonts w:hint="eastAsia" w:ascii="楷体" w:hAnsi="楷体" w:eastAsia="楷体"/>
          <w:sz w:val="24"/>
          <w:szCs w:val="24"/>
          <w:lang w:val="en-US" w:eastAsia="zh-CN"/>
        </w:rPr>
        <w:t>数据以及其他相关数据，实现</w:t>
      </w:r>
      <w:r>
        <w:rPr>
          <w:rFonts w:hint="eastAsia" w:ascii="楷体" w:hAnsi="楷体" w:eastAsia="楷体"/>
          <w:sz w:val="24"/>
          <w:szCs w:val="24"/>
          <w:lang w:eastAsia="zh-CN"/>
        </w:rPr>
        <w:t>自动核算重点用能单位的碳排放当量，生成重点单位碳排放数据</w:t>
      </w:r>
      <w:r>
        <w:rPr>
          <w:rFonts w:hint="eastAsia" w:ascii="楷体" w:hAnsi="楷体" w:eastAsia="楷体"/>
          <w:sz w:val="24"/>
          <w:szCs w:val="24"/>
          <w:lang w:val="en-US" w:eastAsia="zh-CN"/>
        </w:rPr>
        <w:t>等功能</w:t>
      </w:r>
      <w:r>
        <w:rPr>
          <w:rFonts w:hint="eastAsia" w:ascii="楷体" w:hAnsi="楷体" w:eastAsia="楷体"/>
          <w:sz w:val="24"/>
          <w:szCs w:val="24"/>
          <w:lang w:eastAsia="zh-CN"/>
        </w:rPr>
        <w:t>，提供多种维度的能源数据、碳排放数据可视化分析展示功能。系统设计范围要求覆盖新疆十大重点耗能行业，包括石油石化、冶金、机电、化学、电力、轻工、煤炭、纺织、公用、建材等。</w:t>
      </w:r>
    </w:p>
    <w:p>
      <w:pPr>
        <w:snapToGrid w:val="0"/>
        <w:spacing w:line="360" w:lineRule="auto"/>
        <w:rPr>
          <w:rFonts w:hint="eastAsia" w:ascii="楷体" w:hAnsi="楷体" w:eastAsia="楷体"/>
          <w:b/>
          <w:bCs/>
          <w:sz w:val="24"/>
          <w:szCs w:val="24"/>
          <w:lang w:val="en-US" w:eastAsia="zh-CN"/>
        </w:rPr>
      </w:pPr>
      <w:bookmarkStart w:id="52" w:name="_Toc268868156"/>
      <w:r>
        <w:rPr>
          <w:rFonts w:hint="eastAsia" w:ascii="楷体" w:hAnsi="楷体" w:eastAsia="楷体"/>
          <w:b/>
          <w:bCs/>
          <w:sz w:val="24"/>
          <w:szCs w:val="24"/>
          <w:lang w:val="en-US" w:eastAsia="zh-CN"/>
        </w:rPr>
        <w:t>5.2 项目目标</w:t>
      </w:r>
      <w:bookmarkEnd w:id="48"/>
      <w:bookmarkEnd w:id="49"/>
      <w:bookmarkEnd w:id="50"/>
      <w:bookmarkEnd w:id="51"/>
      <w:bookmarkEnd w:id="52"/>
    </w:p>
    <w:p>
      <w:pPr>
        <w:pStyle w:val="16"/>
        <w:pageBreakBefore w:val="0"/>
        <w:numPr>
          <w:ilvl w:val="0"/>
          <w:numId w:val="0"/>
        </w:numPr>
        <w:kinsoku/>
        <w:wordWrap/>
        <w:overflowPunct/>
        <w:topLinePunct w:val="0"/>
        <w:autoSpaceDE/>
        <w:autoSpaceDN/>
        <w:bidi w:val="0"/>
        <w:spacing w:after="120" w:line="560" w:lineRule="exact"/>
        <w:ind w:firstLine="480" w:firstLineChars="200"/>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 xml:space="preserve">第一、运用大数据分析技术，构建自学习模型，将整个网络看作一个多智能体系统，将每个节点下一跳节点的选择过程形式化。通过设计分布式多目标群智能来实现虚拟节点映射设计分布式多目标群智能来实现虚拟节点映射，解决大数据的大规模任务处理问题。  </w:t>
      </w:r>
    </w:p>
    <w:p>
      <w:pPr>
        <w:pStyle w:val="16"/>
        <w:pageBreakBefore w:val="0"/>
        <w:numPr>
          <w:ilvl w:val="0"/>
          <w:numId w:val="0"/>
        </w:numPr>
        <w:kinsoku/>
        <w:wordWrap/>
        <w:overflowPunct/>
        <w:topLinePunct w:val="0"/>
        <w:autoSpaceDE/>
        <w:autoSpaceDN/>
        <w:bidi w:val="0"/>
        <w:spacing w:after="120" w:line="560" w:lineRule="exact"/>
        <w:ind w:firstLine="480" w:firstLineChars="200"/>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第二、依托能耗数据在线监测平台中能源消耗数据，使用不同的数据预处理技术和机器学习数据挖掘技术，发现能源消耗关键问题，合成可视化链条。通过挖掘出的价值信息构建模型，从而帮助政府把握能耗趋势和相关部门实现节能减排的相关决策，为推动经济的可持续发展提供有用信息。</w:t>
      </w:r>
    </w:p>
    <w:p>
      <w:pPr>
        <w:pStyle w:val="16"/>
        <w:pageBreakBefore w:val="0"/>
        <w:numPr>
          <w:ilvl w:val="0"/>
          <w:numId w:val="0"/>
        </w:numPr>
        <w:kinsoku/>
        <w:wordWrap/>
        <w:overflowPunct/>
        <w:topLinePunct w:val="0"/>
        <w:autoSpaceDE/>
        <w:autoSpaceDN/>
        <w:bidi w:val="0"/>
        <w:spacing w:after="120" w:line="560" w:lineRule="exact"/>
        <w:ind w:firstLine="480" w:firstLineChars="200"/>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第三、从节能减排层面对能耗数据的价值进行分析，结合国家的数字化目标发展方向，对能耗数据在线监测平台可持续发展模式的讨论，运用信息化技术，发挥数据潜力，促进生产方式绿色转型，稳步推进全产业链效率升、促进节能减排。</w:t>
      </w:r>
    </w:p>
    <w:p>
      <w:pPr>
        <w:pageBreakBefore w:val="0"/>
        <w:kinsoku/>
        <w:wordWrap/>
        <w:overflowPunct/>
        <w:topLinePunct w:val="0"/>
        <w:autoSpaceDE/>
        <w:autoSpaceDN/>
        <w:bidi w:val="0"/>
        <w:spacing w:line="560" w:lineRule="exact"/>
        <w:ind w:firstLine="566" w:firstLineChars="236"/>
        <w:rPr>
          <w:rFonts w:hint="eastAsia" w:ascii="宋体" w:hAnsi="宋体" w:eastAsia="宋体" w:cs="宋体"/>
          <w:sz w:val="32"/>
          <w:szCs w:val="32"/>
        </w:rPr>
      </w:pPr>
      <w:r>
        <w:rPr>
          <w:rFonts w:hint="eastAsia" w:ascii="楷体" w:hAnsi="楷体" w:eastAsia="楷体"/>
          <w:kern w:val="2"/>
          <w:sz w:val="24"/>
          <w:szCs w:val="24"/>
          <w:lang w:val="en-US" w:eastAsia="zh-CN" w:bidi="ar-SA"/>
        </w:rPr>
        <w:t>第四、通过与重点用能单位能耗在线监测系统集成获取重点用能单位能耗数据，并以此为依据自动核算重点用能单位的碳排放当量，形成重点单位碳排放数据，并按模板自动生成报告。此外，提供对碳排放数据的专题分析功能，包括但不限于区域专题分析、行业专题分析、趋势专题分析、重点单位碳排放分析等。</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53" w:name="_Toc15462106"/>
      <w:bookmarkStart w:id="54" w:name="_Toc268868157"/>
      <w:bookmarkStart w:id="55" w:name="_Toc15558136"/>
      <w:bookmarkStart w:id="56" w:name="_Toc263228213"/>
      <w:r>
        <w:rPr>
          <w:rFonts w:hint="eastAsia" w:ascii="楷体" w:hAnsi="楷体" w:eastAsia="楷体"/>
          <w:b/>
          <w:bCs/>
          <w:kern w:val="2"/>
          <w:sz w:val="24"/>
          <w:szCs w:val="24"/>
          <w:lang w:val="en-US" w:eastAsia="zh-CN" w:bidi="ar-SA"/>
        </w:rPr>
        <w:t>5.3 项目计划安排</w:t>
      </w:r>
      <w:bookmarkEnd w:id="53"/>
      <w:bookmarkEnd w:id="54"/>
      <w:bookmarkEnd w:id="55"/>
      <w:bookmarkEnd w:id="56"/>
    </w:p>
    <w:tbl>
      <w:tblPr>
        <w:tblStyle w:val="29"/>
        <w:tblW w:w="8772"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38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880" w:type="dxa"/>
            <w:vAlign w:val="center"/>
          </w:tcPr>
          <w:p>
            <w:pPr>
              <w:pageBreakBefore w:val="0"/>
              <w:kinsoku/>
              <w:wordWrap/>
              <w:overflowPunct/>
              <w:topLinePunct w:val="0"/>
              <w:autoSpaceDE/>
              <w:autoSpaceDN/>
              <w:bidi w:val="0"/>
              <w:spacing w:line="560" w:lineRule="exact"/>
              <w:ind w:left="315" w:firstLine="420"/>
              <w:jc w:val="center"/>
              <w:rPr>
                <w:rFonts w:hint="eastAsia" w:ascii="楷体" w:hAnsi="楷体" w:eastAsia="楷体" w:cs="楷体"/>
                <w:sz w:val="24"/>
                <w:szCs w:val="24"/>
              </w:rPr>
            </w:pPr>
            <w:r>
              <w:rPr>
                <w:rFonts w:hint="eastAsia" w:ascii="楷体" w:hAnsi="楷体" w:eastAsia="楷体" w:cs="楷体"/>
                <w:sz w:val="24"/>
                <w:szCs w:val="24"/>
              </w:rPr>
              <w:t>任务描述</w:t>
            </w:r>
          </w:p>
        </w:tc>
        <w:tc>
          <w:tcPr>
            <w:tcW w:w="3892" w:type="dxa"/>
            <w:vAlign w:val="center"/>
          </w:tcPr>
          <w:p>
            <w:pPr>
              <w:pageBreakBefore w:val="0"/>
              <w:kinsoku/>
              <w:wordWrap/>
              <w:overflowPunct/>
              <w:topLinePunct w:val="0"/>
              <w:autoSpaceDE/>
              <w:autoSpaceDN/>
              <w:bidi w:val="0"/>
              <w:spacing w:line="560" w:lineRule="exact"/>
              <w:jc w:val="center"/>
              <w:rPr>
                <w:rFonts w:hint="eastAsia" w:ascii="楷体" w:hAnsi="楷体" w:eastAsia="楷体" w:cs="楷体"/>
                <w:sz w:val="24"/>
                <w:szCs w:val="24"/>
              </w:rPr>
            </w:pPr>
            <w:r>
              <w:rPr>
                <w:rFonts w:hint="eastAsia" w:ascii="楷体" w:hAnsi="楷体" w:eastAsia="楷体" w:cs="楷体"/>
                <w:sz w:val="24"/>
                <w:szCs w:val="24"/>
              </w:rPr>
              <w:t>工期要求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880" w:type="dxa"/>
            <w:vAlign w:val="center"/>
          </w:tcPr>
          <w:p>
            <w:pPr>
              <w:pStyle w:val="5"/>
              <w:pageBreakBefore w:val="0"/>
              <w:kinsoku/>
              <w:wordWrap/>
              <w:overflowPunct/>
              <w:topLinePunct w:val="0"/>
              <w:autoSpaceDE/>
              <w:autoSpaceDN/>
              <w:bidi w:val="0"/>
              <w:spacing w:line="560" w:lineRule="exact"/>
              <w:ind w:left="315" w:firstLine="480"/>
              <w:jc w:val="center"/>
              <w:rPr>
                <w:rFonts w:hint="eastAsia" w:ascii="楷体" w:hAnsi="楷体" w:eastAsia="楷体" w:cs="楷体"/>
                <w:sz w:val="24"/>
                <w:szCs w:val="24"/>
              </w:rPr>
            </w:pPr>
            <w:r>
              <w:rPr>
                <w:rFonts w:hint="eastAsia" w:ascii="楷体" w:hAnsi="楷体" w:eastAsia="楷体" w:cs="楷体"/>
                <w:sz w:val="24"/>
                <w:szCs w:val="24"/>
                <w:lang w:eastAsia="zh-TW"/>
              </w:rPr>
              <w:t>完成</w:t>
            </w:r>
            <w:r>
              <w:rPr>
                <w:rFonts w:hint="eastAsia" w:ascii="楷体" w:hAnsi="楷体" w:eastAsia="楷体" w:cs="楷体"/>
                <w:sz w:val="24"/>
                <w:szCs w:val="24"/>
              </w:rPr>
              <w:t>项目整体目标</w:t>
            </w:r>
          </w:p>
        </w:tc>
        <w:tc>
          <w:tcPr>
            <w:tcW w:w="3892" w:type="dxa"/>
            <w:vAlign w:val="center"/>
          </w:tcPr>
          <w:p>
            <w:pPr>
              <w:pageBreakBefore w:val="0"/>
              <w:kinsoku/>
              <w:wordWrap/>
              <w:overflowPunct/>
              <w:topLinePunct w:val="0"/>
              <w:autoSpaceDE/>
              <w:autoSpaceDN/>
              <w:bidi w:val="0"/>
              <w:spacing w:line="560" w:lineRule="exact"/>
              <w:jc w:val="center"/>
              <w:rPr>
                <w:rFonts w:hint="eastAsia" w:ascii="楷体" w:hAnsi="楷体" w:eastAsia="楷体" w:cs="楷体"/>
                <w:sz w:val="24"/>
                <w:szCs w:val="24"/>
                <w:lang w:val="en-US"/>
              </w:rPr>
            </w:pPr>
            <w:r>
              <w:rPr>
                <w:rFonts w:hint="eastAsia" w:ascii="楷体" w:hAnsi="楷体" w:eastAsia="楷体" w:cs="楷体"/>
                <w:sz w:val="24"/>
                <w:szCs w:val="24"/>
                <w:lang w:val="en-US" w:eastAsia="zh-CN"/>
              </w:rPr>
              <w:t>2021年12月31日</w:t>
            </w:r>
          </w:p>
        </w:tc>
      </w:tr>
    </w:tbl>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六、</w:t>
      </w:r>
      <w:bookmarkEnd w:id="44"/>
      <w:bookmarkEnd w:id="45"/>
      <w:r>
        <w:rPr>
          <w:rFonts w:hint="eastAsia" w:ascii="楷体" w:hAnsi="楷体" w:eastAsia="楷体"/>
          <w:b/>
          <w:bCs/>
          <w:kern w:val="2"/>
          <w:sz w:val="24"/>
          <w:szCs w:val="24"/>
          <w:lang w:val="en-US" w:eastAsia="zh-CN" w:bidi="ar-SA"/>
        </w:rPr>
        <w:t>技术要求</w:t>
      </w:r>
      <w:bookmarkStart w:id="57" w:name="_Toc15558154"/>
      <w:bookmarkStart w:id="58" w:name="_Toc263228226"/>
      <w:bookmarkStart w:id="59" w:name="_Toc15462115"/>
      <w:bookmarkStart w:id="60" w:name="_Toc535848347"/>
      <w:bookmarkStart w:id="61" w:name="_Toc268868163"/>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6.1平台架构设计思路</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能源大数据应用系统建设依据互联网领域“云服务”的思想，融入当今IT领域最先进的云计算技术、大数据技术进行规划建设。建成后将具有良好的扩展性、可靠性、安全性、先进性等特点。系统建设采用大数据挖掘和深度学习模型，研究预警预测、分析评价、模拟规划、系统实现等功能的实现，通过多样化的结果展示，充分发挥平台的信息展示能力和系统的决策支持功能。</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62" w:name="_Toc263228218"/>
      <w:bookmarkStart w:id="63" w:name="_Toc15558143"/>
      <w:bookmarkStart w:id="64" w:name="_Toc15462110"/>
      <w:bookmarkStart w:id="65" w:name="_Toc268868159"/>
      <w:r>
        <w:rPr>
          <w:rFonts w:hint="eastAsia" w:ascii="楷体" w:hAnsi="楷体" w:eastAsia="楷体"/>
          <w:b/>
          <w:bCs/>
          <w:kern w:val="2"/>
          <w:sz w:val="24"/>
          <w:szCs w:val="24"/>
          <w:lang w:val="en-US" w:eastAsia="zh-CN" w:bidi="ar-SA"/>
        </w:rPr>
        <w:t>6.2系统总体技术要求</w:t>
      </w:r>
      <w:bookmarkEnd w:id="62"/>
      <w:bookmarkEnd w:id="63"/>
      <w:bookmarkEnd w:id="64"/>
      <w:bookmarkEnd w:id="65"/>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（1）满足国家城市能源计量中心（新疆）暨新疆计量测试研究院3~5年内的能源计量等节能技术服务业务发展需求。</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（2）投标方提供的软件应是确保系统正常运行所需的管理、运营、维护等有关的全部软件，并是成熟的最新版本的软件系统。</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（3）开放性要求：系统搭建具备良好的可移植性。采用标准开放接口如OPC接口，支持与其它系统的数据交换和共享。</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（4）标准化要求：所有各项软件开发工具和系统开发平台应符合我国国家标准、信息产业部部颁标准。</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（5）参数化要求：必须实现完全模块化设计，支持参数化配置，支持组件及组件的动态加载。</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（6）安全性要求：满足政府和新疆计量测试研究研究院的管理规定。</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7）可靠性要求：应能够连续7×24小时不间断工作，平均无故障时间超过8760小时，出现故障应能及时报警，软件系统应具备自动或手动恢复措施，自动恢复时间少于15分钟，手工恢复时间少于12小时，以便在发生错误时能够快速地恢复正常运行。软件系统要防止消耗过多的系统资源而使系统崩溃。</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（8）兼容性要求：满足向下兼容的要求，软件版本易于升级，任何一个模块的维护和更新以及新模块的追加都不应影响其他模块，且在升级的过程中不影响系统的性能与运行。</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（9）易用性要求：应具有良好的简体中文操作界面、详细的帮助信息，系统参数的维护与管理通过操作界面完成。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（10）扩展性要求：随着业务应用的变化和新技术规范的出现，系统能进行相应的改造和升级，并且不影响系统的正常使用。</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（11）根据能源大数据应用系统申请软件著作权 2 项。</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（12）根据能耗大数据分析结果发表核心或SCI、EI 论文 2 篇。</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（13）需要提供能源大数据应用系统源代码。</w:t>
      </w:r>
    </w:p>
    <w:bookmarkEnd w:id="57"/>
    <w:bookmarkEnd w:id="58"/>
    <w:bookmarkEnd w:id="59"/>
    <w:bookmarkEnd w:id="60"/>
    <w:bookmarkEnd w:id="61"/>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66" w:name="OLE_LINK5"/>
      <w:r>
        <w:rPr>
          <w:rFonts w:hint="eastAsia" w:ascii="楷体" w:hAnsi="楷体" w:eastAsia="楷体"/>
          <w:b/>
          <w:bCs/>
          <w:kern w:val="2"/>
          <w:sz w:val="24"/>
          <w:szCs w:val="24"/>
          <w:lang w:val="en-US" w:eastAsia="zh-CN" w:bidi="ar-SA"/>
        </w:rPr>
        <w:t>6.3能源大数据应用系统</w:t>
      </w:r>
      <w:bookmarkEnd w:id="66"/>
      <w:r>
        <w:rPr>
          <w:rFonts w:hint="eastAsia" w:ascii="楷体" w:hAnsi="楷体" w:eastAsia="楷体"/>
          <w:b/>
          <w:bCs/>
          <w:kern w:val="2"/>
          <w:sz w:val="24"/>
          <w:szCs w:val="24"/>
          <w:lang w:val="en-US" w:eastAsia="zh-CN" w:bidi="ar-SA"/>
        </w:rPr>
        <w:t>功能</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该系统必须具有但不局限于以下功能，所有功能必须切实可行和实用，具有服务新疆节能减排的要求和特色。</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6.3.1能源大数据采集</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数据采集层包括各类数据计量采集分析系统：如DCS系统、高级计量体系AMI , ERP系统等。通过各个平台的对接，将数据上传到服务平台形成能源流数据层。</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（1）数据发布与挖掘中的隐私保护技术：由于企业的能耗数据涉及企业商业机密，因此有必要研究数据的隐私保护技术。</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（2）数据发布中隐私保护技术的研究最早源于统计泄密控制(StatisticalDisclosure  Control , SDC)领域，SDC中隐私保护研究的目的是在保护隐私的同时尽量保留数据的统计特性，其实现隐私保护的方法主要有微聚集、样本化、随机化、添加噪音等。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（3）Flume和Kafka技术：实时采集，我们采用flume框架。对于像</w:t>
      </w:r>
      <w:r>
        <w:rPr>
          <w:rFonts w:hint="eastAsia" w:ascii="楷体" w:hAnsi="楷体" w:eastAsia="楷体"/>
          <w:kern w:val="2"/>
          <w:sz w:val="24"/>
          <w:szCs w:val="24"/>
          <w:lang w:val="en-US" w:eastAsia="zh-CN" w:bidi="ar-SA"/>
        </w:rPr>
        <w:fldChar w:fldCharType="begin"/>
      </w:r>
      <w:r>
        <w:rPr>
          <w:rFonts w:hint="eastAsia" w:ascii="楷体" w:hAnsi="楷体" w:eastAsia="楷体"/>
          <w:kern w:val="2"/>
          <w:sz w:val="24"/>
          <w:szCs w:val="24"/>
          <w:lang w:val="en-US" w:eastAsia="zh-CN" w:bidi="ar-SA"/>
        </w:rPr>
        <w:instrText xml:space="preserve"> HYPERLINK "https://baike.baidu.com/item/Hadoop" \t "_blank" </w:instrText>
      </w:r>
      <w:r>
        <w:rPr>
          <w:rFonts w:hint="eastAsia" w:ascii="楷体" w:hAnsi="楷体" w:eastAsia="楷体"/>
          <w:kern w:val="2"/>
          <w:sz w:val="24"/>
          <w:szCs w:val="24"/>
          <w:lang w:val="en-US" w:eastAsia="zh-CN" w:bidi="ar-SA"/>
        </w:rPr>
        <w:fldChar w:fldCharType="separate"/>
      </w:r>
      <w:r>
        <w:rPr>
          <w:rFonts w:hint="eastAsia" w:ascii="楷体" w:hAnsi="楷体" w:eastAsia="楷体"/>
          <w:kern w:val="2"/>
          <w:sz w:val="24"/>
          <w:szCs w:val="24"/>
          <w:lang w:val="en-US" w:eastAsia="zh-CN" w:bidi="ar-SA"/>
        </w:rPr>
        <w:t>Hadoop</w:t>
      </w:r>
      <w:r>
        <w:rPr>
          <w:rFonts w:hint="eastAsia" w:ascii="楷体" w:hAnsi="楷体" w:eastAsia="楷体"/>
          <w:kern w:val="2"/>
          <w:sz w:val="24"/>
          <w:szCs w:val="24"/>
          <w:lang w:val="en-US" w:eastAsia="zh-CN" w:bidi="ar-SA"/>
        </w:rPr>
        <w:fldChar w:fldCharType="end"/>
      </w:r>
      <w:r>
        <w:rPr>
          <w:rFonts w:hint="eastAsia" w:ascii="楷体" w:hAnsi="楷体" w:eastAsia="楷体"/>
          <w:kern w:val="2"/>
          <w:sz w:val="24"/>
          <w:szCs w:val="24"/>
          <w:lang w:val="en-US" w:eastAsia="zh-CN" w:bidi="ar-SA"/>
        </w:rPr>
        <w:t>一样的</w:t>
      </w:r>
      <w:r>
        <w:rPr>
          <w:rFonts w:hint="eastAsia" w:ascii="楷体" w:hAnsi="楷体" w:eastAsia="楷体"/>
          <w:kern w:val="2"/>
          <w:sz w:val="24"/>
          <w:szCs w:val="24"/>
          <w:lang w:val="en-US" w:eastAsia="zh-CN" w:bidi="ar-SA"/>
        </w:rPr>
        <w:fldChar w:fldCharType="begin"/>
      </w:r>
      <w:r>
        <w:rPr>
          <w:rFonts w:hint="eastAsia" w:ascii="楷体" w:hAnsi="楷体" w:eastAsia="楷体"/>
          <w:kern w:val="2"/>
          <w:sz w:val="24"/>
          <w:szCs w:val="24"/>
          <w:lang w:val="en-US" w:eastAsia="zh-CN" w:bidi="ar-SA"/>
        </w:rPr>
        <w:instrText xml:space="preserve"> HYPERLINK "https://baike.baidu.com/item/%E6%97%A5%E5%BF%97/2769135" \t "_blank" </w:instrText>
      </w:r>
      <w:r>
        <w:rPr>
          <w:rFonts w:hint="eastAsia" w:ascii="楷体" w:hAnsi="楷体" w:eastAsia="楷体"/>
          <w:kern w:val="2"/>
          <w:sz w:val="24"/>
          <w:szCs w:val="24"/>
          <w:lang w:val="en-US" w:eastAsia="zh-CN" w:bidi="ar-SA"/>
        </w:rPr>
        <w:fldChar w:fldCharType="separate"/>
      </w:r>
      <w:r>
        <w:rPr>
          <w:rFonts w:hint="eastAsia" w:ascii="楷体" w:hAnsi="楷体" w:eastAsia="楷体"/>
          <w:kern w:val="2"/>
          <w:sz w:val="24"/>
          <w:szCs w:val="24"/>
          <w:lang w:val="en-US" w:eastAsia="zh-CN" w:bidi="ar-SA"/>
        </w:rPr>
        <w:t>日志</w:t>
      </w:r>
      <w:r>
        <w:rPr>
          <w:rFonts w:hint="eastAsia" w:ascii="楷体" w:hAnsi="楷体" w:eastAsia="楷体"/>
          <w:kern w:val="2"/>
          <w:sz w:val="24"/>
          <w:szCs w:val="24"/>
          <w:lang w:val="en-US" w:eastAsia="zh-CN" w:bidi="ar-SA"/>
        </w:rPr>
        <w:fldChar w:fldCharType="end"/>
      </w:r>
      <w:r>
        <w:rPr>
          <w:rFonts w:hint="eastAsia" w:ascii="楷体" w:hAnsi="楷体" w:eastAsia="楷体"/>
          <w:kern w:val="2"/>
          <w:sz w:val="24"/>
          <w:szCs w:val="24"/>
          <w:lang w:val="en-US" w:eastAsia="zh-CN" w:bidi="ar-SA"/>
        </w:rPr>
        <w:t>数据和离线分析系统，但又要求实时处理的限制，Kafka是一个可行的解决方案。Kafka的目的是通过</w:t>
      </w:r>
      <w:r>
        <w:rPr>
          <w:rFonts w:hint="eastAsia" w:ascii="楷体" w:hAnsi="楷体" w:eastAsia="楷体"/>
          <w:kern w:val="2"/>
          <w:sz w:val="24"/>
          <w:szCs w:val="24"/>
          <w:lang w:val="en-US" w:eastAsia="zh-CN" w:bidi="ar-SA"/>
        </w:rPr>
        <w:fldChar w:fldCharType="begin"/>
      </w:r>
      <w:r>
        <w:rPr>
          <w:rFonts w:hint="eastAsia" w:ascii="楷体" w:hAnsi="楷体" w:eastAsia="楷体"/>
          <w:kern w:val="2"/>
          <w:sz w:val="24"/>
          <w:szCs w:val="24"/>
          <w:lang w:val="en-US" w:eastAsia="zh-CN" w:bidi="ar-SA"/>
        </w:rPr>
        <w:instrText xml:space="preserve"> HYPERLINK "https://baike.baidu.com/item/Hadoop" \t "_blank" </w:instrText>
      </w:r>
      <w:r>
        <w:rPr>
          <w:rFonts w:hint="eastAsia" w:ascii="楷体" w:hAnsi="楷体" w:eastAsia="楷体"/>
          <w:kern w:val="2"/>
          <w:sz w:val="24"/>
          <w:szCs w:val="24"/>
          <w:lang w:val="en-US" w:eastAsia="zh-CN" w:bidi="ar-SA"/>
        </w:rPr>
        <w:fldChar w:fldCharType="separate"/>
      </w:r>
      <w:r>
        <w:rPr>
          <w:rFonts w:hint="eastAsia" w:ascii="楷体" w:hAnsi="楷体" w:eastAsia="楷体"/>
          <w:kern w:val="2"/>
          <w:sz w:val="24"/>
          <w:szCs w:val="24"/>
          <w:lang w:val="en-US" w:eastAsia="zh-CN" w:bidi="ar-SA"/>
        </w:rPr>
        <w:t>Hadoop</w:t>
      </w:r>
      <w:r>
        <w:rPr>
          <w:rFonts w:hint="eastAsia" w:ascii="楷体" w:hAnsi="楷体" w:eastAsia="楷体"/>
          <w:kern w:val="2"/>
          <w:sz w:val="24"/>
          <w:szCs w:val="24"/>
          <w:lang w:val="en-US" w:eastAsia="zh-CN" w:bidi="ar-SA"/>
        </w:rPr>
        <w:fldChar w:fldCharType="end"/>
      </w:r>
      <w:r>
        <w:rPr>
          <w:rFonts w:hint="eastAsia" w:ascii="楷体" w:hAnsi="楷体" w:eastAsia="楷体"/>
          <w:kern w:val="2"/>
          <w:sz w:val="24"/>
          <w:szCs w:val="24"/>
          <w:lang w:val="en-US" w:eastAsia="zh-CN" w:bidi="ar-SA"/>
        </w:rPr>
        <w:t>的并行加载机制来统一线上和离线的消息处理，也是为了通过</w:t>
      </w:r>
      <w:r>
        <w:rPr>
          <w:rFonts w:hint="eastAsia" w:ascii="楷体" w:hAnsi="楷体" w:eastAsia="楷体"/>
          <w:kern w:val="2"/>
          <w:sz w:val="24"/>
          <w:szCs w:val="24"/>
          <w:lang w:val="en-US" w:eastAsia="zh-CN" w:bidi="ar-SA"/>
        </w:rPr>
        <w:fldChar w:fldCharType="begin"/>
      </w:r>
      <w:r>
        <w:rPr>
          <w:rFonts w:hint="eastAsia" w:ascii="楷体" w:hAnsi="楷体" w:eastAsia="楷体"/>
          <w:kern w:val="2"/>
          <w:sz w:val="24"/>
          <w:szCs w:val="24"/>
          <w:lang w:val="en-US" w:eastAsia="zh-CN" w:bidi="ar-SA"/>
        </w:rPr>
        <w:instrText xml:space="preserve"> HYPERLINK "https://baike.baidu.com/item/%E9%9B%86%E7%BE%A4/5486962" \t "_blank" </w:instrText>
      </w:r>
      <w:r>
        <w:rPr>
          <w:rFonts w:hint="eastAsia" w:ascii="楷体" w:hAnsi="楷体" w:eastAsia="楷体"/>
          <w:kern w:val="2"/>
          <w:sz w:val="24"/>
          <w:szCs w:val="24"/>
          <w:lang w:val="en-US" w:eastAsia="zh-CN" w:bidi="ar-SA"/>
        </w:rPr>
        <w:fldChar w:fldCharType="separate"/>
      </w:r>
      <w:r>
        <w:rPr>
          <w:rFonts w:hint="eastAsia" w:ascii="楷体" w:hAnsi="楷体" w:eastAsia="楷体"/>
          <w:kern w:val="2"/>
          <w:sz w:val="24"/>
          <w:szCs w:val="24"/>
          <w:lang w:val="en-US" w:eastAsia="zh-CN" w:bidi="ar-SA"/>
        </w:rPr>
        <w:t>集群</w:t>
      </w:r>
      <w:r>
        <w:rPr>
          <w:rFonts w:hint="eastAsia" w:ascii="楷体" w:hAnsi="楷体" w:eastAsia="楷体"/>
          <w:kern w:val="2"/>
          <w:sz w:val="24"/>
          <w:szCs w:val="24"/>
          <w:lang w:val="en-US" w:eastAsia="zh-CN" w:bidi="ar-SA"/>
        </w:rPr>
        <w:fldChar w:fldCharType="end"/>
      </w:r>
      <w:r>
        <w:rPr>
          <w:rFonts w:hint="eastAsia" w:ascii="楷体" w:hAnsi="楷体" w:eastAsia="楷体"/>
          <w:kern w:val="2"/>
          <w:sz w:val="24"/>
          <w:szCs w:val="24"/>
          <w:lang w:val="en-US" w:eastAsia="zh-CN" w:bidi="ar-SA"/>
        </w:rPr>
        <w:t>来提供实时的消息。规则引擎主要分为数据采集服务、数据整合服务、数据审计服务、消息通知服务。数据采集服务为在数据包中添加收到数据的时间戳，根据数据类型Kafka中不同的主题，按照收到接入数据的预制审计条件，将接入数据的统计信息写入Kafka的审计数据主题。为了保证接入数据量，数据采集服务支持水平扩展。大数据平台采用Kafka集群从商用实时库接收实时数据，接入实时流处理系统，进行后续处理(清洗、规则过滤)。Kafka集群能够根据接入厂站的增加，方便地进行扩展。Kafka接收来自商用实时数据库的实时数据，Spark Streaming获取Kafka里的数据进行实时流式处理，处理之后进行数据实时存储。</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大数据平台具备强大的数据加载、抽取、和转换能力，可用于多种数据源进行适配多类数据抽取。该平台还具备配置采集策略，可以集群的方式运行，并对采集过程进行监控，记录详细的运行日志记录。</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6.3.2 能源大数据存储</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能源大数据既包含结构化数据也包含非结构化数据，而且数量巨大、形式多样。相对于传统数据以数据库存储，能源大数据存储则主要是以数据仓库的形式，且更加注重数据的分析，数据仓库主要构建一个面向主题的、集成的、相对稳定、反映历史变化的数据集成，用于支持管理决策和信息的全局共享。二者的不同点见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30"/>
          <w:szCs w:val="30"/>
          <w:lang w:val="en-US" w:eastAsia="zh-CN"/>
        </w:rPr>
        <w:t>表1数据集成意见表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宋体" w:hAnsi="宋体" w:eastAsia="宋体" w:cs="宋体"/>
          <w:sz w:val="32"/>
          <w:szCs w:val="32"/>
        </w:rPr>
        <w:drawing>
          <wp:anchor distT="0" distB="0" distL="114300" distR="114300" simplePos="0" relativeHeight="251659264" behindDoc="0" locked="0" layoutInCell="1" allowOverlap="1">
            <wp:simplePos x="0" y="0"/>
            <wp:positionH relativeFrom="column">
              <wp:posOffset>-8255</wp:posOffset>
            </wp:positionH>
            <wp:positionV relativeFrom="paragraph">
              <wp:posOffset>12700</wp:posOffset>
            </wp:positionV>
            <wp:extent cx="5274310" cy="1075055"/>
            <wp:effectExtent l="0" t="0" r="2540" b="127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a:stretch>
                      <a:fillRect/>
                    </a:stretch>
                  </pic:blipFill>
                  <pic:spPr>
                    <a:xfrm>
                      <a:off x="0" y="0"/>
                      <a:ext cx="5274310" cy="107505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构建能源流大数据仓库有利于将最原始的数据进行综合、集成、加工和提炼，形成结构相对灵活，可直接调用的数据分析源。将数据存储在数据仓库中，在未来可根据业务需要直接在数据仓库中进行数据的查询、调用、分析和处理，进行类似O-LAP的联机分析处理，使数据信息以可靠和安全的方式呈现给用户，深入洞察企业的用能情况。所以使用数据仓库进行数据存储。</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（2）Hive 数据库：Hive的计算是基于MapReduce的计算引擎，Hive可以用HSQL运行分析和查询。Hive把HQL语句转换成MR任务后，采用批处理的方式对海量数据进行处理。数据仓库存储的是静态数据，很适合采用MR进行批处理。Hive还提供了一系列对数据进行提取、转换、加载的工具，可以存储、查询和分析存储在HDFS上的数据。</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6.3.3 能源大数据分析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提供基于在线监测数据、能报数据、电网集成数据等的多源数据综合分析功能，包括但不限于区域专题分析、行业专题分析、消费结构分析等。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Spark计算机引擎：在Spark的处理数据过程中，首先从Hadoop的HDFS为基础的文件系统中读取数据，然后基于内存进行数据的计算处理，然后把中间结果直接保存在内存中，在下一步计算中直接从内存中读取中间结果，最后将最终结果在保存在分布式文件系统上，处理过程如图3所示。</w:t>
      </w:r>
    </w:p>
    <w:p>
      <w:pPr>
        <w:pStyle w:val="2"/>
        <w:numPr>
          <w:ilvl w:val="2"/>
          <w:numId w:val="0"/>
        </w:numPr>
        <w:ind w:leftChars="0"/>
        <w:rPr>
          <w:rFonts w:hint="eastAsia"/>
        </w:rPr>
      </w:pPr>
    </w:p>
    <w:p>
      <w:pPr>
        <w:pStyle w:val="2"/>
        <w:numPr>
          <w:ilvl w:val="2"/>
          <w:numId w:val="0"/>
        </w:numPr>
        <w:ind w:leftChars="0"/>
        <w:rPr>
          <w:rFonts w:hint="eastAsia"/>
        </w:rPr>
      </w:pPr>
    </w:p>
    <w:p>
      <w:pPr>
        <w:pStyle w:val="2"/>
        <w:numPr>
          <w:ilvl w:val="2"/>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eastAsia="zh-CN"/>
        </w:rPr>
        <w:drawing>
          <wp:anchor distT="0" distB="0" distL="114300" distR="114300" simplePos="0" relativeHeight="251660288" behindDoc="0" locked="0" layoutInCell="1" allowOverlap="1">
            <wp:simplePos x="0" y="0"/>
            <wp:positionH relativeFrom="column">
              <wp:posOffset>55245</wp:posOffset>
            </wp:positionH>
            <wp:positionV relativeFrom="paragraph">
              <wp:posOffset>-798195</wp:posOffset>
            </wp:positionV>
            <wp:extent cx="5117465" cy="1015365"/>
            <wp:effectExtent l="0" t="0" r="0" b="0"/>
            <wp:wrapNone/>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2"/>
                    <a:stretch>
                      <a:fillRect/>
                    </a:stretch>
                  </pic:blipFill>
                  <pic:spPr>
                    <a:xfrm>
                      <a:off x="0" y="0"/>
                      <a:ext cx="5117465" cy="1015365"/>
                    </a:xfrm>
                    <a:prstGeom prst="rect">
                      <a:avLst/>
                    </a:prstGeom>
                    <a:noFill/>
                    <a:ln>
                      <a:noFill/>
                    </a:ln>
                  </pic:spPr>
                </pic:pic>
              </a:graphicData>
            </a:graphic>
          </wp:anchor>
        </w:drawing>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b w:val="0"/>
          <w:bCs w:val="0"/>
          <w:sz w:val="30"/>
          <w:szCs w:val="30"/>
          <w:lang w:val="en-US" w:eastAsia="zh-CN"/>
        </w:rPr>
        <w:t>图3.Spark数据处理过程图</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（2）计算引擎管理：在Spark计算机引擎基础上，采用GPU计算任务管理、SQI任务管理、机器学习任务管理、图计算任务管理等功能程序增强计算引擎的功能性。</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（3）区域专题分析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从区域的角度对在线监测、能报、电网集成数据等多源数据进行能耗数据的专题分析，并以可视化图表展示分析结果。</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支持对全疆各地区的能源消费情况进行统计分析和排名。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支持对全疆各地区的能源消费结构进行对比分析。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支持对某一行业在全疆各地区的能源消费情况进行统计分析和排名。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支持对全疆各地区的能源利用效率进行对比分析。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（4）行业专题分析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从行业的角度对在线监测、能报、电网集成数据等多源数据进行能耗数据的专题分析，并以可视化图表展示分析结果。</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支持对全疆各行业的能源消费情况进行统计分析和排名。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支持对全疆各行业的能源消费结构进行对比分析。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支持对某一地区各行业的能源消费情况进行统计分析和排名。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支持对某一地区各行业的能源消费结构进行对比分析。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支持下钻查看具体某一重点用能单位的能源消费情况。</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（5）消费结构分析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从能源消费结构的角度对在线监测、能报、电网集成数据等多源数据进行能耗数据的专题分析，并以可视化图表展示分析结果。</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支持对全疆各地区、各行业的能源消费结构进行对比分析。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支持对某一能源品种在全疆各地区、各行业的消费占比进行对比分析。</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6.3.4能源概况</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主要基于世界、全国和全疆历年能源生产消费的统计汇总数据，从能源生产和能源消费两个方面进行分析展示。</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（1）能源生产概况</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以可视化图表展示国际上主要国家的能源生产数据，包括：能源生产总量、能源生产结构、人均能源生产量等。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以可视化图表展示国内各省的能源生产数据，包括：能源生产总量、能源生产结构、人均能源生产量等。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以可视化图表展示全疆各地市的能源生产数据，包括：能源生产总量、能源生产结构等。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（2）能源消费概况</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以可视化图表展示国际上主要国家的能源消费数据，包括：能源消费总量、能源消费结构、单位GDP能耗等。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以可视化图表展示国内各省的能源消费数据，包括：能源消费总量、能源消费结构、单位GDP能耗、单位工业增加值能耗等。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以可视化图表展示全疆各地市的能源消费数据，包括：能源消费总量、能源消费结构、单位GDP能耗、单位工业增加值能耗等。</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6.3.5 能耗在线监测</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主要基于重点用能单位能耗在线监测数据，从全疆、各地市、重点用能单位三个维度进行分析展示。</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（1）全疆能耗监测</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以可视化图表展示全疆重点用能单位能耗在线监测的总体数据，包括监控企业数量、监控数据异常企业数量、总体能耗趋势等。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（2）地市能耗监测</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以可视化图表展示各地市重点用能单位能耗在线监测的总体数据，包括监控企业数量、监控数据异常企业数量、总体能耗趋势等。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（3）重点用能单位能耗监测</w:t>
      </w:r>
    </w:p>
    <w:p>
      <w:pPr>
        <w:pageBreakBefore w:val="0"/>
        <w:kinsoku/>
        <w:wordWrap/>
        <w:overflowPunct/>
        <w:topLinePunct w:val="0"/>
        <w:autoSpaceDE/>
        <w:autoSpaceDN/>
        <w:bidi w:val="0"/>
        <w:spacing w:line="560" w:lineRule="exact"/>
        <w:ind w:firstLine="566" w:firstLineChars="236"/>
        <w:rPr>
          <w:rFonts w:hint="eastAsia" w:ascii="宋体" w:hAnsi="宋体" w:eastAsia="宋体" w:cs="宋体"/>
          <w:sz w:val="32"/>
          <w:szCs w:val="32"/>
        </w:rPr>
      </w:pPr>
      <w:r>
        <w:rPr>
          <w:rFonts w:hint="eastAsia" w:ascii="楷体" w:hAnsi="楷体" w:eastAsia="楷体"/>
          <w:kern w:val="2"/>
          <w:sz w:val="24"/>
          <w:szCs w:val="24"/>
          <w:lang w:val="en-US" w:eastAsia="zh-CN" w:bidi="ar-SA"/>
        </w:rPr>
        <w:t>以可视化图表展示各重点用能单位能耗在线监测的明细数据，包括能耗实时数据、能耗日数据、电网集成数据等。</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6.3.7 碳排放数据分析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通过与重点用能单位能耗在线监测系统集成获取重点用能单位能耗数据，并以此为依据自动核算重点用能单位的碳排放当量，形成重点单位碳排放数据，并提供对碳排放数据的专题分析功能，包括但不限于区域专题分析、行业专题分析、趋势专题分析、重点单位碳排放分析等。</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w:t>
      </w:r>
      <w:r>
        <w:rPr>
          <w:rFonts w:hint="eastAsia" w:ascii="楷体" w:hAnsi="楷体" w:eastAsia="楷体"/>
          <w:kern w:val="2"/>
          <w:sz w:val="24"/>
          <w:szCs w:val="24"/>
          <w:lang w:val="en-US" w:eastAsia="zh-CN" w:bidi="ar-SA"/>
        </w:rPr>
        <w:tab/>
      </w:r>
      <w:r>
        <w:rPr>
          <w:rFonts w:hint="eastAsia" w:ascii="楷体" w:hAnsi="楷体" w:eastAsia="楷体"/>
          <w:kern w:val="2"/>
          <w:sz w:val="24"/>
          <w:szCs w:val="24"/>
          <w:lang w:val="en-US" w:eastAsia="zh-CN" w:bidi="ar-SA"/>
        </w:rPr>
        <w:t>区域专题分析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从区域维度对全疆各区域碳排放数据进行专题分析，并以可视化图表方式展示分析结果，具体功能包括但不限于：</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支持对全疆各区域的碳排放总量、增速和单位工业增加值碳排放量等指标进行排名。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支持对全疆各区域的碳排放总量变化趋势进行对比分析。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支持对各区域碳排放总量的行业分布进行对比分析。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支持对各区域碳排放总量的构成进行统计分析。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w:t>
      </w:r>
      <w:r>
        <w:rPr>
          <w:rFonts w:hint="eastAsia" w:ascii="楷体" w:hAnsi="楷体" w:eastAsia="楷体"/>
          <w:kern w:val="2"/>
          <w:sz w:val="24"/>
          <w:szCs w:val="24"/>
          <w:lang w:val="en-US" w:eastAsia="zh-CN" w:bidi="ar-SA"/>
        </w:rPr>
        <w:tab/>
      </w:r>
      <w:r>
        <w:rPr>
          <w:rFonts w:hint="eastAsia" w:ascii="楷体" w:hAnsi="楷体" w:eastAsia="楷体"/>
          <w:kern w:val="2"/>
          <w:sz w:val="24"/>
          <w:szCs w:val="24"/>
          <w:lang w:val="en-US" w:eastAsia="zh-CN" w:bidi="ar-SA"/>
        </w:rPr>
        <w:t>行业专题分析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从行业维度对全疆各区域碳排放数据进行专题分析，并以可视化图表方式展示分析结果，具体功能包括但不限于：</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支持对各行业的碳排放总量、增速和单位工业增加值碳排放量等指标进行排名。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支持对各行业的碳排放总量变化趋势进行对比分析。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支持对各行业碳排放总量的区域分布进行对比分析。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支持对各行业碳排放总量的构成进行统计分析。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w:t>
      </w:r>
      <w:r>
        <w:rPr>
          <w:rFonts w:hint="eastAsia" w:ascii="楷体" w:hAnsi="楷体" w:eastAsia="楷体"/>
          <w:kern w:val="2"/>
          <w:sz w:val="24"/>
          <w:szCs w:val="24"/>
          <w:lang w:val="en-US" w:eastAsia="zh-CN" w:bidi="ar-SA"/>
        </w:rPr>
        <w:tab/>
      </w:r>
      <w:r>
        <w:rPr>
          <w:rFonts w:hint="eastAsia" w:ascii="楷体" w:hAnsi="楷体" w:eastAsia="楷体"/>
          <w:kern w:val="2"/>
          <w:sz w:val="24"/>
          <w:szCs w:val="24"/>
          <w:lang w:val="en-US" w:eastAsia="zh-CN" w:bidi="ar-SA"/>
        </w:rPr>
        <w:t>趋势专题分析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从发展趋势的角度对全疆碳排放数据进行专题分析，并以可视化图表方式展示分析结果，具体功能包括但不限于：</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支持按区域、行业等筛选条件查看碳排放总量、单位工业增加值碳排放量等指标的发展趋势。</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支持任意选择不同时间的碳排放总量、单位工业增加值碳排放量等指标进行对比分析。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支持对全疆碳排放总量构成的变化趋势进行分析展示。</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（4）重点单位碳排放分析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基于重点用能单位能耗数据，自动核算重点单位碳排放当量，并按模板自动生成报告，具体功能包括但不限于：</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支持根据不同筛选条件，快速定位重点碳排放单位，查看各单位的碳排放数据详情。</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支持对各单位的碳排放总量、增速、单位工业增加值碳排放量等进行统计分析和排名。</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支持对比查看各单位系统自动核算的碳排放数据与年度碳核查数据。</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支持查看各单位自动核算碳排放量的数据溯源。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碳核查业务</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支持碳核查原数据录入。</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支持查看各单位自动核算碳排放量的数据溯源。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支持碳核查数据按照不同的检测方法或公式，进行交叉验证，确保数据准确性。</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支持按照《碳核查指南》及相关标准生成各单位碳排放报表，最终在线生成碳核查报告。</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6.3.8 系统维护功能</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系统应提供必要的维护功能，实现对基础数据、模型模板等相关辅助数据的在线维护功能。</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系统应提供对数据接口工况的在线监视功能。</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系统应提供用户及权限管理功能。</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6.3.9 系统接口要求</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系统应支持与能耗在线监测系统的数据接口集成，实现重点用能单位台账、能源利用状况报告、能耗在线监测等数据的获取。</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接口的设计应遵循相关标准和规范，并采取必要的措施来保证数据的唯一性，传输过程的完整性以及敏感数据的机密性。</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七、附则</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67" w:name="_Toc15462123"/>
      <w:bookmarkStart w:id="68" w:name="_Toc15558180"/>
      <w:bookmarkStart w:id="69" w:name="_Toc268868184"/>
      <w:bookmarkStart w:id="70" w:name="_Toc263228257"/>
      <w:r>
        <w:rPr>
          <w:rFonts w:hint="eastAsia" w:ascii="楷体" w:hAnsi="楷体" w:eastAsia="楷体"/>
          <w:b/>
          <w:bCs/>
          <w:kern w:val="2"/>
          <w:sz w:val="24"/>
          <w:szCs w:val="24"/>
          <w:lang w:val="en-US" w:eastAsia="zh-CN" w:bidi="ar-SA"/>
        </w:rPr>
        <w:t>7.1 开发、测试</w:t>
      </w:r>
      <w:bookmarkEnd w:id="67"/>
      <w:bookmarkEnd w:id="68"/>
      <w:r>
        <w:rPr>
          <w:rFonts w:hint="eastAsia" w:ascii="楷体" w:hAnsi="楷体" w:eastAsia="楷体"/>
          <w:b/>
          <w:bCs/>
          <w:kern w:val="2"/>
          <w:sz w:val="24"/>
          <w:szCs w:val="24"/>
          <w:lang w:val="en-US" w:eastAsia="zh-CN" w:bidi="ar-SA"/>
        </w:rPr>
        <w:t>、数据采集</w:t>
      </w:r>
      <w:bookmarkEnd w:id="69"/>
      <w:bookmarkEnd w:id="70"/>
      <w:r>
        <w:rPr>
          <w:rFonts w:hint="eastAsia" w:ascii="楷体" w:hAnsi="楷体" w:eastAsia="楷体"/>
          <w:b/>
          <w:bCs/>
          <w:kern w:val="2"/>
          <w:sz w:val="24"/>
          <w:szCs w:val="24"/>
          <w:lang w:val="en-US" w:eastAsia="zh-CN" w:bidi="ar-SA"/>
        </w:rPr>
        <w:t>及分析</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中标方负责制定具体的开发、测试的进度计划，双方共同协商制定时间表，中标方应按招标方的要求，在规定时间内将完成系统建设。</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中标方应在具备测试条件后提出完整的测试申请，包括测试方案、具体测试项目、测试目的、测试标准、测试工程师姓名等，并提供相应工具。测试的条款应与双方共同认可的技术规范一致，最终测试文件由投标方拟定，并经招标方确认。</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中标方有义务对招标方的技术人员提出的问题作出解答。测试应进行详细记录，软件测试结束后，由中标方的技术人员签字后交给招标方，作为验收依据之一。</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71" w:name="_Toc15462125"/>
      <w:bookmarkStart w:id="72" w:name="_Toc263228260"/>
      <w:bookmarkStart w:id="73" w:name="_Toc15558182"/>
      <w:r>
        <w:rPr>
          <w:rFonts w:hint="eastAsia" w:ascii="楷体" w:hAnsi="楷体" w:eastAsia="楷体"/>
          <w:b/>
          <w:bCs/>
          <w:kern w:val="2"/>
          <w:sz w:val="24"/>
          <w:szCs w:val="24"/>
          <w:lang w:val="en-US" w:eastAsia="zh-CN" w:bidi="ar-SA"/>
        </w:rPr>
        <w:t>八、现场验收</w:t>
      </w:r>
      <w:bookmarkEnd w:id="71"/>
      <w:bookmarkEnd w:id="72"/>
      <w:bookmarkEnd w:id="73"/>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现场验收包括系统功能测试、性能测试、安全测试、稳定性测试和可扩性测试。现场验收按双方在设计联络会上确定的时间进行。</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74" w:name="_Toc88555519"/>
      <w:bookmarkStart w:id="75" w:name="_Toc84932409"/>
      <w:bookmarkStart w:id="76" w:name="_Toc88884357"/>
      <w:bookmarkStart w:id="77" w:name="_Toc88533148"/>
      <w:bookmarkStart w:id="78" w:name="_Toc84238751"/>
      <w:bookmarkStart w:id="79" w:name="_Toc84932758"/>
      <w:r>
        <w:rPr>
          <w:rFonts w:hint="eastAsia" w:ascii="楷体" w:hAnsi="楷体" w:eastAsia="楷体"/>
          <w:b/>
          <w:bCs/>
          <w:kern w:val="2"/>
          <w:sz w:val="24"/>
          <w:szCs w:val="24"/>
          <w:lang w:val="en-US" w:eastAsia="zh-CN" w:bidi="ar-SA"/>
        </w:rPr>
        <w:t>8.1现场测试条件</w:t>
      </w:r>
      <w:bookmarkEnd w:id="74"/>
      <w:bookmarkEnd w:id="75"/>
      <w:bookmarkEnd w:id="76"/>
      <w:bookmarkEnd w:id="77"/>
      <w:bookmarkEnd w:id="78"/>
      <w:bookmarkEnd w:id="79"/>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实现所有功能，系统能正常运行在现场环境。</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80" w:name="_Toc88884358"/>
      <w:bookmarkStart w:id="81" w:name="_Toc84932759"/>
      <w:bookmarkStart w:id="82" w:name="_Toc84238752"/>
      <w:bookmarkStart w:id="83" w:name="_Toc88555520"/>
      <w:bookmarkStart w:id="84" w:name="_Toc84932410"/>
      <w:bookmarkStart w:id="85" w:name="_Toc88533149"/>
      <w:r>
        <w:rPr>
          <w:rFonts w:hint="eastAsia" w:ascii="楷体" w:hAnsi="楷体" w:eastAsia="楷体"/>
          <w:b/>
          <w:bCs/>
          <w:kern w:val="2"/>
          <w:sz w:val="24"/>
          <w:szCs w:val="24"/>
          <w:lang w:val="en-US" w:eastAsia="zh-CN" w:bidi="ar-SA"/>
        </w:rPr>
        <w:t>8.2投标方的责任</w:t>
      </w:r>
      <w:bookmarkEnd w:id="80"/>
      <w:bookmarkEnd w:id="81"/>
      <w:bookmarkEnd w:id="82"/>
      <w:bookmarkEnd w:id="83"/>
      <w:bookmarkEnd w:id="84"/>
      <w:bookmarkEnd w:id="85"/>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现场验收由招标方负责，投标方参加。</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便于系统的调试，投标方应派技术专家到招标方现场做技术支持服务。</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86" w:name="_Toc84932411"/>
      <w:bookmarkStart w:id="87" w:name="_Toc88533150"/>
      <w:bookmarkStart w:id="88" w:name="_Toc88555521"/>
      <w:bookmarkStart w:id="89" w:name="_Toc88884359"/>
      <w:bookmarkStart w:id="90" w:name="_Toc84932760"/>
      <w:bookmarkStart w:id="91" w:name="_Toc84238753"/>
      <w:r>
        <w:rPr>
          <w:rFonts w:hint="eastAsia" w:ascii="楷体" w:hAnsi="楷体" w:eastAsia="楷体"/>
          <w:b/>
          <w:bCs/>
          <w:kern w:val="2"/>
          <w:sz w:val="24"/>
          <w:szCs w:val="24"/>
          <w:lang w:val="en-US" w:eastAsia="zh-CN" w:bidi="ar-SA"/>
        </w:rPr>
        <w:t>8.3系统功能及性能测试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在确定的测试条件下，建立完整的系统，确定系统正常运行，在此基础上按大纲的要求，逐一测试系统的全部功能及性能。如果在测试中，因系统功能原因引起的软件修改，必须征得招标方的同意，严重功能失败时，对失败功能将重新验收。</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8.3.1安全测试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测试系统是满足国家城市能源计量中心（新疆）/新疆计量测试研究研究院安全性要求。</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8.3.2稳定性测试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为考验系统稳定性，要进行系统连续运转72小时的稳定性测试。在测试的72小时内，不得对外进行机械和电气调整及软件调整，除非经过招标方特别许可。在此期间，招标方将在各工作站、控制台进行大量的操作，并模拟各种外界故障情况，系统各性能指标和功能均应满足本规范书的要求。</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至多允许做2次72小时稳定性测试，如果2次均未通过，则由双方联合对系统设计，再考虑新的测试方案。</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此期间包括对CPU负荷、网络负荷的测试。</w:t>
      </w:r>
    </w:p>
    <w:bookmarkEnd w:id="86"/>
    <w:bookmarkEnd w:id="87"/>
    <w:bookmarkEnd w:id="88"/>
    <w:bookmarkEnd w:id="89"/>
    <w:bookmarkEnd w:id="90"/>
    <w:bookmarkEnd w:id="91"/>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92" w:name="_Toc84932412"/>
      <w:bookmarkStart w:id="93" w:name="_Toc88555522"/>
      <w:bookmarkStart w:id="94" w:name="_Toc88533151"/>
      <w:bookmarkStart w:id="95" w:name="_Toc84932761"/>
      <w:bookmarkStart w:id="96" w:name="_Toc88884360"/>
      <w:bookmarkStart w:id="97" w:name="_Toc84238754"/>
      <w:r>
        <w:rPr>
          <w:rFonts w:hint="eastAsia" w:ascii="楷体" w:hAnsi="楷体" w:eastAsia="楷体"/>
          <w:b/>
          <w:bCs/>
          <w:kern w:val="2"/>
          <w:sz w:val="24"/>
          <w:szCs w:val="24"/>
          <w:lang w:val="en-US" w:eastAsia="zh-CN" w:bidi="ar-SA"/>
        </w:rPr>
        <w:t>8.4现场验收通过条件</w:t>
      </w:r>
      <w:bookmarkEnd w:id="92"/>
      <w:bookmarkEnd w:id="93"/>
      <w:bookmarkEnd w:id="94"/>
      <w:bookmarkEnd w:id="95"/>
      <w:bookmarkEnd w:id="96"/>
      <w:bookmarkEnd w:id="97"/>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招标方工程师在现场对系统进行的各项测试，若在规定的时间不能达到测试标准，则现场验收不能通过。</w:t>
      </w:r>
      <w:bookmarkStart w:id="98" w:name="OLE_LINK8"/>
      <w:r>
        <w:rPr>
          <w:rFonts w:hint="eastAsia" w:ascii="楷体" w:hAnsi="楷体" w:eastAsia="楷体"/>
          <w:kern w:val="2"/>
          <w:sz w:val="24"/>
          <w:szCs w:val="24"/>
          <w:lang w:val="en-US" w:eastAsia="zh-CN" w:bidi="ar-SA"/>
        </w:rPr>
        <w:t>经双方协商进行再次验收</w:t>
      </w:r>
      <w:bookmarkEnd w:id="98"/>
      <w:r>
        <w:rPr>
          <w:rFonts w:hint="eastAsia" w:ascii="楷体" w:hAnsi="楷体" w:eastAsia="楷体"/>
          <w:kern w:val="2"/>
          <w:sz w:val="24"/>
          <w:szCs w:val="24"/>
          <w:lang w:val="en-US" w:eastAsia="zh-CN" w:bidi="ar-SA"/>
        </w:rPr>
        <w:t>。</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99" w:name="_Toc88884361"/>
      <w:bookmarkStart w:id="100" w:name="_Toc84932762"/>
      <w:bookmarkStart w:id="101" w:name="_Toc84238755"/>
      <w:bookmarkStart w:id="102" w:name="_Toc88533152"/>
      <w:bookmarkStart w:id="103" w:name="_Toc88555523"/>
      <w:bookmarkStart w:id="104" w:name="_Toc84932413"/>
      <w:r>
        <w:rPr>
          <w:rFonts w:hint="eastAsia" w:ascii="楷体" w:hAnsi="楷体" w:eastAsia="楷体"/>
          <w:b/>
          <w:bCs/>
          <w:kern w:val="2"/>
          <w:sz w:val="24"/>
          <w:szCs w:val="24"/>
          <w:lang w:val="en-US" w:eastAsia="zh-CN" w:bidi="ar-SA"/>
        </w:rPr>
        <w:t>8.5现场测试报告和验收签字</w:t>
      </w:r>
      <w:bookmarkEnd w:id="99"/>
      <w:bookmarkEnd w:id="100"/>
      <w:bookmarkEnd w:id="101"/>
      <w:bookmarkEnd w:id="102"/>
      <w:bookmarkEnd w:id="103"/>
      <w:bookmarkEnd w:id="104"/>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现场验收测试通过5天内，双方代表应在现场验收验收证书上签字。</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105" w:name="_Toc84932763"/>
      <w:bookmarkStart w:id="106" w:name="_Toc84932414"/>
      <w:bookmarkStart w:id="107" w:name="_Toc84238756"/>
      <w:bookmarkStart w:id="108" w:name="_Toc88884362"/>
      <w:bookmarkStart w:id="109" w:name="_Toc88555524"/>
      <w:bookmarkStart w:id="110" w:name="_Toc88533153"/>
      <w:r>
        <w:rPr>
          <w:rFonts w:hint="eastAsia" w:ascii="楷体" w:hAnsi="楷体" w:eastAsia="楷体"/>
          <w:b/>
          <w:bCs/>
          <w:kern w:val="2"/>
          <w:sz w:val="24"/>
          <w:szCs w:val="24"/>
          <w:lang w:val="en-US" w:eastAsia="zh-CN" w:bidi="ar-SA"/>
        </w:rPr>
        <w:t>8.6其它</w:t>
      </w:r>
      <w:bookmarkEnd w:id="105"/>
      <w:bookmarkEnd w:id="106"/>
      <w:bookmarkEnd w:id="107"/>
      <w:bookmarkEnd w:id="108"/>
      <w:bookmarkEnd w:id="109"/>
      <w:bookmarkEnd w:id="110"/>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现场验收完成后，投标方在招标方的系统上保留最新的版本软件，清除其余旧版本软件。</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bookmarkStart w:id="111" w:name="_Toc15462126"/>
      <w:bookmarkStart w:id="112" w:name="_Toc263228261"/>
      <w:bookmarkStart w:id="113" w:name="_Toc15558183"/>
      <w:r>
        <w:rPr>
          <w:rFonts w:hint="eastAsia" w:ascii="楷体" w:hAnsi="楷体" w:eastAsia="楷体"/>
          <w:b/>
          <w:bCs/>
          <w:kern w:val="2"/>
          <w:sz w:val="24"/>
          <w:szCs w:val="24"/>
          <w:lang w:val="en-US" w:eastAsia="zh-CN" w:bidi="ar-SA"/>
        </w:rPr>
        <w:t>九、竣工验收</w:t>
      </w:r>
      <w:bookmarkEnd w:id="111"/>
      <w:bookmarkEnd w:id="112"/>
      <w:bookmarkEnd w:id="113"/>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竣工验收包括功能测试、性能测试、安全测试、可扩性测试和试运行记录核查。竣工验收在系统试运行3个月后进行。验收委托第三方具有国家相应资质的通信设计院验收，买卖双方均应派有经验的工程师共同参与。</w:t>
      </w:r>
    </w:p>
    <w:p>
      <w:pPr>
        <w:pStyle w:val="2"/>
        <w:pageBreakBefore w:val="0"/>
        <w:numPr>
          <w:ilvl w:val="2"/>
          <w:numId w:val="0"/>
        </w:numPr>
        <w:kinsoku/>
        <w:wordWrap/>
        <w:overflowPunct/>
        <w:topLinePunct w:val="0"/>
        <w:autoSpaceDE/>
        <w:autoSpaceDN/>
        <w:bidi w:val="0"/>
        <w:spacing w:before="0" w:after="0" w:line="560" w:lineRule="exact"/>
        <w:ind w:leftChars="0"/>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9.1测试条件</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系统的每项功能均通过了试运行期间检验，并且系统的性能稳定，并且试运行记录完整。</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9.2系统功能测试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在确定的测试条件下，建立完整的系统，确定系统正常运行，在此基础上按大纲的要求，逐一测试系统的全部功能及性能。如果在测试中，因系统功能原因引起的软件修改，必须征得招标方的同意，严重功能失败时，将重新出厂验收。</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9.2.1性能测试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为考验系统稳定性，要进行系统连续运转72小时的稳定性测试。在测试的72小时内，不得对外进行机械和电气调整及软件调整，除非经过招标方特别许可。</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此期间包括对CPU负荷、网络负荷的测试和应用功能的操作响应速度的测试。</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9.2.2安全测试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测试系统是满足新疆计量测试研究研究院安全性要求。</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9.2.3可扩性测试</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本测试应确保系统再扩充硬件之后，系统仍能正常运行。</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9.3试运行记录核查</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核查记录的完整性，并检查运行记录中登记的问题是否已经解决。</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9.4测试通过条件</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所有功能和技术指标应满足技术规范书的要求。在连续72小时稳定性实验内，不允许故障自动切换，不能够发生系统崩溃，不丢失数据或信息。试运行过程中出现的问题已经解决。 招标方人员在现场进行各项测试，若在规定时间内不能达到测试标准，则竣工验收不能通过。</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9.5验收签字</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竣工验收测试通过5天内，双方代表应在竣工验收证书上签字。</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9.6测试人员要求</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验收委托第三方具有国家级相应资质的通信设计院验收，买卖双方均应派有经验的工程师参与。受委托方应提供必要的测试仪器、办公场地和通信设施等，招标方将派出有经验的工程师参加和配合竣工验收。</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bookmarkStart w:id="114" w:name="_Toc15558184"/>
      <w:bookmarkStart w:id="115" w:name="_Toc263228262"/>
      <w:bookmarkStart w:id="116" w:name="_Toc15462127"/>
      <w:r>
        <w:rPr>
          <w:rFonts w:hint="eastAsia" w:ascii="楷体" w:hAnsi="楷体" w:eastAsia="楷体"/>
          <w:b/>
          <w:bCs/>
          <w:kern w:val="2"/>
          <w:sz w:val="24"/>
          <w:szCs w:val="24"/>
          <w:lang w:val="en-US" w:eastAsia="zh-CN" w:bidi="ar-SA"/>
        </w:rPr>
        <w:t>十、最终验收</w:t>
      </w:r>
      <w:bookmarkEnd w:id="114"/>
      <w:bookmarkEnd w:id="115"/>
      <w:bookmarkEnd w:id="116"/>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通过竣工验收后，系统进入质保期阶段，正常质保期为12个月，质保期满后，进行系统终验。</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10.1验收条件</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系统在质保期期间没有出现重大缺陷，并且质保期满。</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10.2验收的内容和过程</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针对质保期间的缺陷清单、问题清单进行逐项核查，对于投标方的每一个解决办法和解释，以招标方满意算通过。</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r>
        <w:rPr>
          <w:rFonts w:hint="eastAsia" w:ascii="楷体" w:hAnsi="楷体" w:eastAsia="楷体"/>
          <w:b/>
          <w:bCs/>
          <w:kern w:val="2"/>
          <w:sz w:val="24"/>
          <w:szCs w:val="24"/>
          <w:lang w:val="en-US" w:eastAsia="zh-CN" w:bidi="ar-SA"/>
        </w:rPr>
        <w:t>10.3验收报告和验收签字</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最终验收通过5天内，双方代表应在最终验收证书上签字。</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bookmarkStart w:id="117" w:name="_Toc14258264"/>
      <w:bookmarkEnd w:id="117"/>
      <w:bookmarkStart w:id="118" w:name="_Toc15439966"/>
      <w:bookmarkEnd w:id="118"/>
      <w:bookmarkStart w:id="119" w:name="_Toc14490369"/>
      <w:bookmarkEnd w:id="119"/>
      <w:bookmarkStart w:id="120" w:name="_Toc14258265"/>
      <w:bookmarkEnd w:id="120"/>
      <w:bookmarkStart w:id="121" w:name="_Toc15439965"/>
      <w:bookmarkEnd w:id="121"/>
      <w:bookmarkStart w:id="122" w:name="_Toc15462128"/>
      <w:bookmarkEnd w:id="122"/>
      <w:bookmarkStart w:id="123" w:name="_Toc15462129"/>
      <w:bookmarkEnd w:id="123"/>
      <w:bookmarkStart w:id="124" w:name="_Toc14490370"/>
      <w:bookmarkEnd w:id="124"/>
      <w:bookmarkStart w:id="125" w:name="_Toc15558185"/>
      <w:bookmarkStart w:id="126" w:name="_Toc268868186"/>
      <w:bookmarkStart w:id="127" w:name="_Toc263228263"/>
      <w:bookmarkStart w:id="128" w:name="_Toc15462130"/>
      <w:r>
        <w:rPr>
          <w:rFonts w:hint="eastAsia" w:ascii="楷体" w:hAnsi="楷体" w:eastAsia="楷体"/>
          <w:b/>
          <w:bCs/>
          <w:kern w:val="2"/>
          <w:sz w:val="24"/>
          <w:szCs w:val="24"/>
          <w:lang w:val="en-US" w:eastAsia="zh-CN" w:bidi="ar-SA"/>
        </w:rPr>
        <w:t>十一、项目交付项</w:t>
      </w:r>
      <w:bookmarkEnd w:id="125"/>
      <w:bookmarkEnd w:id="126"/>
      <w:bookmarkEnd w:id="127"/>
      <w:bookmarkEnd w:id="128"/>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中标方应在合同规定时间内，将招标范围内所界定的工作完成，并协助市场部门制定相应管理规范，并在通过双方认可的验收后，交付给新疆计量测试研究研究院，其中包括：</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用户本着尊重软件开发知识产权的劳动成果前提下支持软件开发商提供软件开发过程文档，包括需求、分析、设计、编码、测试及相关项目计划等文档资料，来证明该开发商持续不断地开发维护能力，以及对该软件的持续发展有着长远的考虑，最终基于平等、契约和相互信任的基础，双方实现共赢和持续的合作；</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2）满足本文件的项目目标和相应的技术要求、业务要求、完整的、可最终良好运行的应用系统；</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3）满足确保系统正常运行所需的管理、运营及维护有关的全套技术文件。技术文件包括但不限于以下条目，具体以系统验收清单为准：</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软件需求说明书</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出厂验收、现场验收、竣工验收报告</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操作维护手册</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技术服务和技术培训</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源代码</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bookmarkStart w:id="129" w:name="_Toc501793453"/>
      <w:bookmarkStart w:id="130" w:name="_Toc457206135"/>
      <w:bookmarkStart w:id="131" w:name="_Toc263228264"/>
      <w:bookmarkStart w:id="132" w:name="_Toc533588018"/>
      <w:bookmarkStart w:id="133" w:name="_Toc533838272"/>
      <w:bookmarkStart w:id="134" w:name="_Toc15462131"/>
      <w:bookmarkStart w:id="135" w:name="_Toc15558186"/>
      <w:bookmarkStart w:id="136" w:name="_Toc533334767"/>
      <w:bookmarkStart w:id="137" w:name="_Toc533846247"/>
      <w:bookmarkStart w:id="138" w:name="_Toc268868187"/>
      <w:bookmarkStart w:id="139" w:name="_Toc457368738"/>
      <w:r>
        <w:rPr>
          <w:rFonts w:hint="eastAsia" w:ascii="楷体" w:hAnsi="楷体" w:eastAsia="楷体"/>
          <w:b/>
          <w:bCs/>
          <w:kern w:val="2"/>
          <w:sz w:val="24"/>
          <w:szCs w:val="24"/>
          <w:lang w:val="en-US" w:eastAsia="zh-CN" w:bidi="ar-SA"/>
        </w:rPr>
        <w:t>十二、技术服务</w:t>
      </w:r>
      <w:bookmarkEnd w:id="129"/>
      <w:bookmarkEnd w:id="130"/>
      <w:bookmarkEnd w:id="131"/>
      <w:bookmarkEnd w:id="132"/>
      <w:bookmarkEnd w:id="133"/>
      <w:bookmarkEnd w:id="134"/>
      <w:bookmarkEnd w:id="135"/>
      <w:bookmarkEnd w:id="136"/>
      <w:bookmarkEnd w:id="137"/>
      <w:bookmarkEnd w:id="138"/>
      <w:bookmarkEnd w:id="139"/>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（1）由招标方安排合适时间，由投标方负责派技术专家到招标方现场作技术服务。</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（2）投标方技术人员在现场除了应解答和解决由招标方在合同范围内提出的问题外，还应详细解答系统运行注意事项。</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bookmarkStart w:id="140" w:name="_Toc533846248"/>
      <w:bookmarkStart w:id="141" w:name="_Toc15462132"/>
      <w:bookmarkStart w:id="142" w:name="_Toc268868188"/>
      <w:bookmarkStart w:id="143" w:name="_Toc533588019"/>
      <w:bookmarkStart w:id="144" w:name="_Toc15558187"/>
      <w:bookmarkStart w:id="145" w:name="_Toc457368739"/>
      <w:bookmarkStart w:id="146" w:name="_Toc457206136"/>
      <w:bookmarkStart w:id="147" w:name="_Toc501793454"/>
      <w:bookmarkStart w:id="148" w:name="_Toc533838273"/>
      <w:bookmarkStart w:id="149" w:name="_Toc533334768"/>
      <w:bookmarkStart w:id="150" w:name="_Toc263228265"/>
      <w:r>
        <w:rPr>
          <w:rFonts w:hint="eastAsia" w:ascii="楷体" w:hAnsi="楷体" w:eastAsia="楷体"/>
          <w:b/>
          <w:bCs/>
          <w:kern w:val="2"/>
          <w:sz w:val="24"/>
          <w:szCs w:val="24"/>
          <w:lang w:val="en-US" w:eastAsia="zh-CN" w:bidi="ar-SA"/>
        </w:rPr>
        <w:t>十三、技术培训</w:t>
      </w:r>
      <w:bookmarkEnd w:id="140"/>
      <w:bookmarkEnd w:id="141"/>
      <w:bookmarkEnd w:id="142"/>
      <w:bookmarkEnd w:id="143"/>
      <w:bookmarkEnd w:id="144"/>
      <w:bookmarkEnd w:id="145"/>
      <w:bookmarkEnd w:id="146"/>
      <w:bookmarkEnd w:id="147"/>
      <w:bookmarkEnd w:id="148"/>
      <w:bookmarkEnd w:id="149"/>
      <w:bookmarkEnd w:id="150"/>
      <w:r>
        <w:rPr>
          <w:rFonts w:hint="eastAsia" w:ascii="楷体" w:hAnsi="楷体" w:eastAsia="楷体"/>
          <w:b/>
          <w:bCs/>
          <w:kern w:val="2"/>
          <w:sz w:val="24"/>
          <w:szCs w:val="24"/>
          <w:lang w:val="en-US" w:eastAsia="zh-CN" w:bidi="ar-SA"/>
        </w:rPr>
        <w:t>和人员驻场</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1、中标方应负责招标方技术人员和管理人员的培训, 培训内容包括两个层面：</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应用操作培训：对系统操作人员进行的应用本系统处理日常业务的培训；</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cs="楷体"/>
          <w:kern w:val="2"/>
          <w:sz w:val="24"/>
          <w:szCs w:val="24"/>
          <w:lang w:val="en-US" w:eastAsia="zh-CN" w:bidi="ar-SA"/>
        </w:rPr>
        <w:t>·</w:t>
      </w:r>
      <w:r>
        <w:rPr>
          <w:rFonts w:hint="eastAsia" w:ascii="楷体" w:hAnsi="楷体" w:eastAsia="楷体"/>
          <w:kern w:val="2"/>
          <w:sz w:val="24"/>
          <w:szCs w:val="24"/>
          <w:lang w:val="en-US" w:eastAsia="zh-CN" w:bidi="ar-SA"/>
        </w:rPr>
        <w:t>系统技术培训：对系统管理人员进行的维护、开发本系统的技术培训；</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2、投标方应提出对受训者最为有利的培训计划(包括培训时间、地点、内容)。</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3、中标方应提供全套培训教材和培训课程计划（包括人数、时间、课程、入学要求等）及培训所需要的教材和教师讲解说明。投标方应向招标方提交培训时间表和课程表，在经过同意后，投标方将邀请招标方人员前往。</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4、培训用教材包括但不限于相应软件的安装、维护和测试技术，其内容应包括：中标方提供的软件系统的操作方法、维护方法、安装调试、排除故障及软件结构、定制和升级等各个方面，培训教材应与中标方提供的最新版本的软件系统相一致，要求用中文编写。保证每学员一整套，中标方应提供培训人员实习所需的运行环境。并提供相应源代码的培训和讲解。</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5、在系统运行一段时间后，中标方应对招标方人员进行后续培训，以提高管理、维护人员的管理水平。</w:t>
      </w:r>
    </w:p>
    <w:p>
      <w:pPr>
        <w:pageBreakBefore w:val="0"/>
        <w:kinsoku/>
        <w:wordWrap/>
        <w:overflowPunct/>
        <w:topLinePunct w:val="0"/>
        <w:autoSpaceDE/>
        <w:autoSpaceDN/>
        <w:bidi w:val="0"/>
        <w:spacing w:line="560" w:lineRule="exact"/>
        <w:ind w:firstLine="566" w:firstLineChars="236"/>
        <w:rPr>
          <w:rFonts w:hint="eastAsia" w:ascii="宋体" w:hAnsi="宋体" w:eastAsia="宋体" w:cs="宋体"/>
          <w:sz w:val="32"/>
          <w:szCs w:val="32"/>
        </w:rPr>
      </w:pPr>
      <w:r>
        <w:rPr>
          <w:rFonts w:hint="eastAsia" w:ascii="楷体" w:hAnsi="楷体" w:eastAsia="楷体"/>
          <w:kern w:val="2"/>
          <w:sz w:val="24"/>
          <w:szCs w:val="24"/>
          <w:lang w:val="en-US" w:eastAsia="zh-CN" w:bidi="ar-SA"/>
        </w:rPr>
        <w:t>6、中标方派驻1名专业技术人员到采购单位，为本项目提供为期3个月的专业技术服务。</w:t>
      </w:r>
    </w:p>
    <w:p>
      <w:pPr>
        <w:pStyle w:val="95"/>
        <w:pageBreakBefore w:val="0"/>
        <w:numPr>
          <w:ilvl w:val="0"/>
          <w:numId w:val="0"/>
        </w:numPr>
        <w:kinsoku/>
        <w:wordWrap/>
        <w:overflowPunct/>
        <w:topLinePunct w:val="0"/>
        <w:autoSpaceDE/>
        <w:autoSpaceDN/>
        <w:bidi w:val="0"/>
        <w:spacing w:line="560" w:lineRule="exact"/>
        <w:outlineLvl w:val="2"/>
        <w:rPr>
          <w:rFonts w:hint="eastAsia" w:ascii="楷体" w:hAnsi="楷体" w:eastAsia="楷体"/>
          <w:b/>
          <w:bCs/>
          <w:kern w:val="2"/>
          <w:sz w:val="24"/>
          <w:szCs w:val="24"/>
          <w:lang w:val="en-US" w:eastAsia="zh-CN" w:bidi="ar-SA"/>
        </w:rPr>
      </w:pPr>
      <w:bookmarkStart w:id="151" w:name="_Toc263228266"/>
      <w:bookmarkStart w:id="152" w:name="_Toc15462133"/>
      <w:bookmarkStart w:id="153" w:name="_Toc533588020"/>
      <w:bookmarkStart w:id="154" w:name="_Toc533846249"/>
      <w:bookmarkStart w:id="155" w:name="_Toc533838274"/>
      <w:bookmarkStart w:id="156" w:name="_Toc15558188"/>
      <w:bookmarkStart w:id="157" w:name="_Toc268868189"/>
      <w:r>
        <w:rPr>
          <w:rFonts w:hint="eastAsia" w:ascii="楷体" w:hAnsi="楷体" w:eastAsia="楷体"/>
          <w:b/>
          <w:bCs/>
          <w:kern w:val="2"/>
          <w:sz w:val="24"/>
          <w:szCs w:val="24"/>
          <w:lang w:val="en-US" w:eastAsia="zh-CN" w:bidi="ar-SA"/>
        </w:rPr>
        <w:t>十四、系统升级及维护</w:t>
      </w:r>
      <w:bookmarkEnd w:id="151"/>
      <w:bookmarkEnd w:id="152"/>
      <w:bookmarkEnd w:id="153"/>
      <w:bookmarkEnd w:id="154"/>
      <w:bookmarkEnd w:id="155"/>
      <w:bookmarkEnd w:id="156"/>
      <w:bookmarkEnd w:id="157"/>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负责系统竣工验收之日起进入维保期，维保期内免费系统维护和技术服务，维保期之后终身优惠服务。系统维护范围包括以下方面：主站系统包括硬件和软件的维护。要求投标方提供7×24小时技术支持服务，指定相对固定的技术负责人及联络电话、传真、E-mail等。在用户发现软件故障时，投标方必须在用户提出维护要求的4小时内作出响应，24小时内提交故障分析报告和解决方案，3×24小时内故障得到解决。</w:t>
      </w:r>
    </w:p>
    <w:p>
      <w:pPr>
        <w:pageBreakBefore w:val="0"/>
        <w:kinsoku/>
        <w:wordWrap/>
        <w:overflowPunct/>
        <w:topLinePunct w:val="0"/>
        <w:autoSpaceDE/>
        <w:autoSpaceDN/>
        <w:bidi w:val="0"/>
        <w:spacing w:line="560" w:lineRule="exact"/>
        <w:ind w:firstLine="566" w:firstLineChars="236"/>
        <w:rPr>
          <w:rFonts w:hint="eastAsia" w:ascii="楷体" w:hAnsi="楷体" w:eastAsia="楷体"/>
          <w:kern w:val="2"/>
          <w:sz w:val="24"/>
          <w:szCs w:val="24"/>
          <w:lang w:val="en-US" w:eastAsia="zh-CN" w:bidi="ar-SA"/>
        </w:rPr>
      </w:pPr>
      <w:r>
        <w:rPr>
          <w:rFonts w:hint="eastAsia" w:ascii="楷体" w:hAnsi="楷体" w:eastAsia="楷体"/>
          <w:kern w:val="2"/>
          <w:sz w:val="24"/>
          <w:szCs w:val="24"/>
          <w:lang w:val="en-US" w:eastAsia="zh-CN" w:bidi="ar-SA"/>
        </w:rPr>
        <w:t>对于招标方提出的软件性能提高、功能增加等改进要求应及时回应，并与招标方共同商讨提出解决方案。</w:t>
      </w:r>
    </w:p>
    <w:p>
      <w:pPr>
        <w:rPr>
          <w:rFonts w:hint="eastAsia" w:ascii="黑体" w:hAnsi="黑体" w:eastAsia="黑体"/>
          <w:sz w:val="44"/>
          <w:szCs w:val="44"/>
        </w:rPr>
      </w:pPr>
      <w:bookmarkStart w:id="158" w:name="_Toc5183"/>
      <w:r>
        <w:rPr>
          <w:rFonts w:hint="eastAsia" w:ascii="黑体" w:hAnsi="黑体" w:eastAsia="黑体"/>
          <w:sz w:val="44"/>
          <w:szCs w:val="44"/>
        </w:rPr>
        <w:br w:type="page"/>
      </w:r>
    </w:p>
    <w:bookmarkEnd w:id="158"/>
    <w:p>
      <w:pPr>
        <w:rPr>
          <w:rFonts w:ascii="楷体" w:hAnsi="楷体" w:eastAsia="楷体"/>
        </w:rPr>
      </w:pPr>
    </w:p>
    <w:p>
      <w:pPr>
        <w:pStyle w:val="3"/>
        <w:numPr>
          <w:ilvl w:val="0"/>
          <w:numId w:val="0"/>
        </w:numPr>
        <w:spacing w:before="0" w:after="0" w:line="480" w:lineRule="exact"/>
        <w:rPr>
          <w:rFonts w:ascii="楷体" w:hAnsi="楷体" w:eastAsia="楷体"/>
          <w:szCs w:val="22"/>
        </w:rPr>
      </w:pPr>
      <w:bookmarkStart w:id="159" w:name="_Toc380479121"/>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p>
    <w:p>
      <w:pPr>
        <w:pStyle w:val="3"/>
        <w:numPr>
          <w:ilvl w:val="0"/>
          <w:numId w:val="0"/>
        </w:numPr>
        <w:spacing w:before="0" w:after="0" w:line="480" w:lineRule="exact"/>
        <w:rPr>
          <w:rFonts w:ascii="楷体" w:hAnsi="楷体" w:eastAsia="楷体"/>
          <w:szCs w:val="22"/>
        </w:rPr>
      </w:pPr>
      <w:r>
        <w:rPr>
          <w:rFonts w:ascii="楷体" w:hAnsi="楷体" w:eastAsia="楷体"/>
          <w:szCs w:val="22"/>
        </w:rPr>
        <w:t>第四章  合同条款</w:t>
      </w:r>
    </w:p>
    <w:p>
      <w:pPr>
        <w:pStyle w:val="3"/>
        <w:numPr>
          <w:ilvl w:val="0"/>
          <w:numId w:val="0"/>
        </w:numPr>
        <w:spacing w:before="0" w:after="0" w:line="480" w:lineRule="exact"/>
        <w:rPr>
          <w:rFonts w:ascii="楷体" w:hAnsi="楷体" w:eastAsia="楷体"/>
          <w:szCs w:val="22"/>
        </w:rPr>
      </w:pPr>
    </w:p>
    <w:p>
      <w:pPr>
        <w:pStyle w:val="2"/>
        <w:numPr>
          <w:ilvl w:val="0"/>
          <w:numId w:val="0"/>
        </w:numPr>
        <w:tabs>
          <w:tab w:val="left" w:pos="900"/>
        </w:tabs>
        <w:spacing w:before="0" w:after="0" w:line="480" w:lineRule="exact"/>
        <w:ind w:left="720" w:hanging="720"/>
        <w:jc w:val="center"/>
        <w:rPr>
          <w:rFonts w:ascii="仿宋" w:hAnsi="仿宋" w:eastAsia="仿宋"/>
          <w:kern w:val="44"/>
          <w:sz w:val="28"/>
          <w:szCs w:val="28"/>
        </w:rPr>
      </w:pPr>
    </w:p>
    <w:p>
      <w:pPr>
        <w:pStyle w:val="2"/>
        <w:numPr>
          <w:ilvl w:val="0"/>
          <w:numId w:val="0"/>
        </w:numPr>
        <w:tabs>
          <w:tab w:val="left" w:pos="900"/>
        </w:tabs>
        <w:spacing w:before="0" w:after="0" w:line="480" w:lineRule="exact"/>
        <w:ind w:left="720" w:hanging="720"/>
        <w:jc w:val="center"/>
        <w:rPr>
          <w:rFonts w:ascii="楷体" w:hAnsi="楷体" w:eastAsia="楷体"/>
          <w:sz w:val="28"/>
          <w:szCs w:val="28"/>
        </w:rPr>
      </w:pPr>
      <w:r>
        <w:rPr>
          <w:rFonts w:hint="eastAsia" w:ascii="仿宋" w:hAnsi="仿宋" w:eastAsia="仿宋"/>
          <w:kern w:val="44"/>
          <w:sz w:val="28"/>
          <w:szCs w:val="28"/>
        </w:rPr>
        <w:t>请参照政府采购合同标准文件订立采购合同。</w:t>
      </w:r>
      <w:r>
        <w:rPr>
          <w:rFonts w:ascii="楷体" w:hAnsi="楷体" w:eastAsia="楷体"/>
          <w:b w:val="0"/>
          <w:kern w:val="44"/>
          <w:sz w:val="44"/>
        </w:rPr>
        <w:br w:type="page"/>
      </w:r>
      <w:bookmarkEnd w:id="159"/>
      <w:bookmarkStart w:id="160" w:name="_Toc380479151"/>
    </w:p>
    <w:p>
      <w:pPr>
        <w:pStyle w:val="3"/>
        <w:numPr>
          <w:ilvl w:val="0"/>
          <w:numId w:val="0"/>
        </w:numPr>
        <w:spacing w:before="0" w:after="0" w:line="480" w:lineRule="exact"/>
        <w:rPr>
          <w:rFonts w:ascii="楷体" w:hAnsi="楷体" w:eastAsia="楷体"/>
          <w:sz w:val="28"/>
          <w:szCs w:val="28"/>
        </w:rPr>
      </w:pPr>
    </w:p>
    <w:p>
      <w:pPr>
        <w:rPr>
          <w:rFonts w:hint="eastAsia" w:ascii="楷体" w:hAnsi="楷体" w:eastAsia="楷体"/>
        </w:rPr>
      </w:pPr>
    </w:p>
    <w:p>
      <w:pPr>
        <w:pStyle w:val="3"/>
        <w:numPr>
          <w:ilvl w:val="0"/>
          <w:numId w:val="0"/>
        </w:numPr>
        <w:spacing w:before="0" w:after="0" w:line="480" w:lineRule="exact"/>
        <w:rPr>
          <w:rFonts w:ascii="楷体" w:hAnsi="楷体" w:eastAsia="楷体"/>
          <w:sz w:val="28"/>
          <w:szCs w:val="28"/>
        </w:rPr>
      </w:pPr>
    </w:p>
    <w:p>
      <w:pPr>
        <w:pStyle w:val="3"/>
        <w:numPr>
          <w:ilvl w:val="0"/>
          <w:numId w:val="0"/>
        </w:numPr>
        <w:spacing w:before="0" w:after="0" w:line="480" w:lineRule="exact"/>
        <w:rPr>
          <w:rFonts w:ascii="楷体" w:hAnsi="楷体" w:eastAsia="楷体"/>
          <w:sz w:val="28"/>
          <w:szCs w:val="28"/>
        </w:rPr>
      </w:pPr>
    </w:p>
    <w:p>
      <w:pPr>
        <w:pStyle w:val="3"/>
        <w:numPr>
          <w:ilvl w:val="0"/>
          <w:numId w:val="0"/>
        </w:numPr>
        <w:spacing w:before="0" w:after="0" w:line="480" w:lineRule="exact"/>
        <w:rPr>
          <w:rFonts w:hint="eastAsia" w:ascii="楷体" w:hAnsi="楷体" w:eastAsia="楷体"/>
        </w:rPr>
      </w:pPr>
      <w:r>
        <w:rPr>
          <w:rFonts w:ascii="楷体" w:hAnsi="楷体" w:eastAsia="楷体"/>
        </w:rPr>
        <w:t xml:space="preserve">第五章  附 </w:t>
      </w:r>
      <w:r>
        <w:rPr>
          <w:rFonts w:hint="eastAsia" w:ascii="楷体" w:hAnsi="楷体" w:eastAsia="楷体"/>
        </w:rPr>
        <w:t xml:space="preserve"> </w:t>
      </w:r>
      <w:r>
        <w:rPr>
          <w:rFonts w:ascii="楷体" w:hAnsi="楷体" w:eastAsia="楷体"/>
        </w:rPr>
        <w:t>件</w:t>
      </w:r>
      <w:bookmarkEnd w:id="160"/>
    </w:p>
    <w:p>
      <w:pPr>
        <w:spacing w:line="480" w:lineRule="exact"/>
        <w:jc w:val="center"/>
        <w:rPr>
          <w:rFonts w:ascii="楷体" w:hAnsi="楷体" w:eastAsia="楷体"/>
          <w:b/>
          <w:kern w:val="44"/>
          <w:sz w:val="44"/>
        </w:rPr>
      </w:pPr>
    </w:p>
    <w:p>
      <w:pPr>
        <w:spacing w:line="480" w:lineRule="exact"/>
        <w:jc w:val="center"/>
        <w:rPr>
          <w:rFonts w:ascii="楷体" w:hAnsi="楷体" w:eastAsia="楷体"/>
          <w:b/>
          <w:kern w:val="44"/>
          <w:sz w:val="44"/>
        </w:rPr>
      </w:pPr>
      <w:r>
        <w:rPr>
          <w:rFonts w:hint="eastAsia" w:ascii="楷体" w:hAnsi="楷体" w:eastAsia="楷体"/>
          <w:b/>
          <w:kern w:val="44"/>
          <w:sz w:val="44"/>
        </w:rPr>
        <w:t>（磋商响应文件格式）</w:t>
      </w:r>
    </w:p>
    <w:p>
      <w:pPr>
        <w:spacing w:line="480" w:lineRule="exact"/>
        <w:rPr>
          <w:rFonts w:ascii="楷体" w:hAnsi="楷体" w:eastAsia="楷体"/>
          <w:b/>
          <w:bCs/>
          <w:sz w:val="28"/>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r>
        <w:rPr>
          <w:rFonts w:ascii="楷体" w:hAnsi="楷体" w:eastAsia="楷体"/>
          <w:b/>
          <w:sz w:val="32"/>
        </w:rPr>
        <w:t>附件</w:t>
      </w:r>
      <w:r>
        <w:rPr>
          <w:rFonts w:hint="eastAsia" w:ascii="楷体" w:hAnsi="楷体" w:eastAsia="楷体"/>
          <w:b/>
          <w:sz w:val="32"/>
        </w:rPr>
        <w:t>1</w:t>
      </w:r>
      <w:r>
        <w:rPr>
          <w:rFonts w:ascii="楷体" w:hAnsi="楷体" w:eastAsia="楷体"/>
          <w:b/>
          <w:sz w:val="32"/>
        </w:rPr>
        <w:t>：</w:t>
      </w:r>
    </w:p>
    <w:p>
      <w:pPr>
        <w:snapToGrid w:val="0"/>
        <w:spacing w:line="480" w:lineRule="exact"/>
        <w:jc w:val="center"/>
        <w:rPr>
          <w:rFonts w:ascii="楷体" w:hAnsi="楷体" w:eastAsia="楷体"/>
          <w:sz w:val="32"/>
        </w:rPr>
      </w:pPr>
      <w:r>
        <w:rPr>
          <w:rFonts w:ascii="楷体" w:hAnsi="楷体" w:eastAsia="楷体"/>
          <w:sz w:val="32"/>
        </w:rPr>
        <w:t>报价函</w:t>
      </w:r>
    </w:p>
    <w:p>
      <w:pPr>
        <w:snapToGrid w:val="0"/>
        <w:spacing w:line="480" w:lineRule="exact"/>
        <w:rPr>
          <w:rFonts w:hint="eastAsia" w:ascii="楷体" w:hAnsi="楷体" w:eastAsia="楷体"/>
          <w:sz w:val="28"/>
        </w:rPr>
      </w:pPr>
    </w:p>
    <w:p>
      <w:pPr>
        <w:snapToGrid w:val="0"/>
        <w:spacing w:line="480" w:lineRule="exact"/>
        <w:rPr>
          <w:rFonts w:ascii="楷体" w:hAnsi="楷体" w:eastAsia="楷体"/>
          <w:sz w:val="24"/>
          <w:szCs w:val="24"/>
        </w:rPr>
      </w:pPr>
      <w:r>
        <w:rPr>
          <w:rFonts w:ascii="楷体" w:hAnsi="楷体" w:eastAsia="楷体"/>
          <w:sz w:val="24"/>
          <w:szCs w:val="24"/>
        </w:rPr>
        <w:t>致：中招国际招标有限公司</w:t>
      </w:r>
    </w:p>
    <w:p>
      <w:pPr>
        <w:snapToGrid w:val="0"/>
        <w:spacing w:line="480" w:lineRule="exact"/>
        <w:ind w:firstLine="552"/>
        <w:rPr>
          <w:rFonts w:ascii="楷体" w:hAnsi="楷体" w:eastAsia="楷体"/>
          <w:sz w:val="24"/>
          <w:szCs w:val="24"/>
        </w:rPr>
      </w:pPr>
      <w:r>
        <w:rPr>
          <w:rFonts w:ascii="楷体" w:hAnsi="楷体" w:eastAsia="楷体"/>
          <w:spacing w:val="6"/>
          <w:sz w:val="24"/>
          <w:szCs w:val="24"/>
        </w:rPr>
        <w:t>在审阅了</w:t>
      </w:r>
      <w:r>
        <w:rPr>
          <w:rFonts w:hint="eastAsia" w:ascii="楷体" w:hAnsi="楷体" w:eastAsia="楷体"/>
          <w:spacing w:val="6"/>
          <w:sz w:val="24"/>
          <w:szCs w:val="24"/>
          <w:u w:val="single"/>
        </w:rPr>
        <w:t xml:space="preserve">    （项目名称）    </w:t>
      </w:r>
      <w:r>
        <w:rPr>
          <w:rFonts w:ascii="楷体" w:hAnsi="楷体" w:eastAsia="楷体"/>
          <w:spacing w:val="6"/>
          <w:sz w:val="24"/>
          <w:szCs w:val="24"/>
        </w:rPr>
        <w:t>磋商文件（</w:t>
      </w:r>
      <w:r>
        <w:rPr>
          <w:rFonts w:hint="eastAsia" w:ascii="楷体" w:hAnsi="楷体" w:eastAsia="楷体"/>
          <w:spacing w:val="6"/>
          <w:sz w:val="24"/>
          <w:szCs w:val="24"/>
        </w:rPr>
        <w:t>项目编号：</w:t>
      </w:r>
      <w:r>
        <w:rPr>
          <w:rFonts w:ascii="楷体" w:hAnsi="楷体" w:eastAsia="楷体"/>
          <w:spacing w:val="6"/>
          <w:sz w:val="24"/>
          <w:szCs w:val="24"/>
          <w:u w:val="single"/>
        </w:rPr>
        <w:t xml:space="preserve">     </w:t>
      </w:r>
      <w:r>
        <w:rPr>
          <w:rFonts w:ascii="楷体" w:hAnsi="楷体" w:eastAsia="楷体"/>
          <w:spacing w:val="6"/>
          <w:sz w:val="24"/>
          <w:szCs w:val="24"/>
        </w:rPr>
        <w:t>）（包括确已收到的第X号补充</w:t>
      </w:r>
      <w:r>
        <w:rPr>
          <w:rFonts w:ascii="楷体" w:hAnsi="楷体" w:eastAsia="楷体"/>
          <w:spacing w:val="20"/>
          <w:sz w:val="24"/>
          <w:szCs w:val="24"/>
        </w:rPr>
        <w:t>修改文件），我方下述签字人将按照</w:t>
      </w:r>
      <w:r>
        <w:rPr>
          <w:rFonts w:ascii="楷体" w:hAnsi="楷体" w:eastAsia="楷体"/>
          <w:b/>
          <w:spacing w:val="20"/>
          <w:sz w:val="24"/>
          <w:szCs w:val="24"/>
        </w:rPr>
        <w:t>竞争性磋商文件</w:t>
      </w:r>
      <w:r>
        <w:rPr>
          <w:rFonts w:ascii="楷体" w:hAnsi="楷体" w:eastAsia="楷体"/>
          <w:spacing w:val="20"/>
          <w:sz w:val="24"/>
          <w:szCs w:val="24"/>
        </w:rPr>
        <w:t>的规定提供总价</w:t>
      </w:r>
      <w:r>
        <w:rPr>
          <w:rFonts w:ascii="楷体" w:hAnsi="楷体" w:eastAsia="楷体"/>
          <w:sz w:val="24"/>
          <w:szCs w:val="24"/>
        </w:rPr>
        <w:t>为</w:t>
      </w:r>
      <w:r>
        <w:rPr>
          <w:rFonts w:ascii="楷体" w:hAnsi="楷体" w:eastAsia="楷体"/>
          <w:sz w:val="24"/>
          <w:szCs w:val="24"/>
          <w:u w:val="single"/>
        </w:rPr>
        <w:t xml:space="preserve">              </w:t>
      </w:r>
      <w:r>
        <w:rPr>
          <w:rFonts w:ascii="楷体" w:hAnsi="楷体" w:eastAsia="楷体"/>
          <w:sz w:val="24"/>
          <w:szCs w:val="24"/>
        </w:rPr>
        <w:t>（用文字和数字表示的总价）的服务</w:t>
      </w:r>
      <w:r>
        <w:rPr>
          <w:rFonts w:hint="eastAsia" w:ascii="楷体" w:hAnsi="楷体" w:eastAsia="楷体"/>
          <w:sz w:val="24"/>
          <w:szCs w:val="24"/>
        </w:rPr>
        <w:t>。并作出如下承诺：</w:t>
      </w:r>
    </w:p>
    <w:p>
      <w:pPr>
        <w:snapToGrid w:val="0"/>
        <w:spacing w:line="480" w:lineRule="exact"/>
        <w:ind w:firstLine="552"/>
        <w:rPr>
          <w:rFonts w:ascii="楷体" w:hAnsi="楷体" w:eastAsia="楷体"/>
          <w:sz w:val="24"/>
          <w:szCs w:val="24"/>
        </w:rPr>
      </w:pPr>
      <w:r>
        <w:rPr>
          <w:rFonts w:ascii="楷体" w:hAnsi="楷体" w:eastAsia="楷体"/>
          <w:sz w:val="24"/>
          <w:szCs w:val="24"/>
        </w:rPr>
        <w:t>1、如果我们被</w:t>
      </w:r>
      <w:r>
        <w:rPr>
          <w:rFonts w:hint="eastAsia" w:ascii="楷体" w:hAnsi="楷体" w:eastAsia="楷体"/>
          <w:sz w:val="24"/>
          <w:szCs w:val="24"/>
        </w:rPr>
        <w:t>确定</w:t>
      </w:r>
      <w:r>
        <w:rPr>
          <w:rFonts w:ascii="楷体" w:hAnsi="楷体" w:eastAsia="楷体"/>
          <w:sz w:val="24"/>
          <w:szCs w:val="24"/>
        </w:rPr>
        <w:t>为成交供应商，我们将按照磋商后双方确认</w:t>
      </w:r>
      <w:r>
        <w:rPr>
          <w:rFonts w:hint="eastAsia" w:ascii="楷体" w:hAnsi="楷体" w:eastAsia="楷体"/>
          <w:sz w:val="24"/>
          <w:szCs w:val="24"/>
        </w:rPr>
        <w:t>的合同</w:t>
      </w:r>
      <w:r>
        <w:rPr>
          <w:rFonts w:ascii="楷体" w:hAnsi="楷体" w:eastAsia="楷体"/>
          <w:sz w:val="24"/>
          <w:szCs w:val="24"/>
        </w:rPr>
        <w:t>条款的要求执行。</w:t>
      </w:r>
    </w:p>
    <w:p>
      <w:pPr>
        <w:snapToGrid w:val="0"/>
        <w:spacing w:line="480" w:lineRule="exact"/>
        <w:ind w:firstLine="552"/>
        <w:rPr>
          <w:rFonts w:ascii="楷体" w:hAnsi="楷体" w:eastAsia="楷体"/>
          <w:sz w:val="24"/>
          <w:szCs w:val="24"/>
        </w:rPr>
      </w:pPr>
      <w:r>
        <w:rPr>
          <w:rFonts w:ascii="楷体" w:hAnsi="楷体" w:eastAsia="楷体"/>
          <w:sz w:val="24"/>
          <w:szCs w:val="24"/>
        </w:rPr>
        <w:t>2、我方保证忠实地执行双方所签的合同，并承担合同规定的责任和义务。</w:t>
      </w:r>
    </w:p>
    <w:p>
      <w:pPr>
        <w:snapToGrid w:val="0"/>
        <w:spacing w:line="480" w:lineRule="exact"/>
        <w:ind w:firstLine="552"/>
        <w:rPr>
          <w:rFonts w:hint="eastAsia" w:ascii="楷体" w:hAnsi="楷体" w:eastAsia="楷体"/>
          <w:sz w:val="24"/>
          <w:szCs w:val="24"/>
          <w:lang w:val="en-US" w:eastAsia="zh-CN"/>
        </w:rPr>
      </w:pPr>
      <w:r>
        <w:rPr>
          <w:rFonts w:ascii="楷体" w:hAnsi="楷体" w:eastAsia="楷体"/>
          <w:sz w:val="24"/>
          <w:szCs w:val="24"/>
        </w:rPr>
        <w:t>3、</w:t>
      </w:r>
      <w:r>
        <w:rPr>
          <w:rFonts w:hint="eastAsia" w:ascii="楷体" w:hAnsi="楷体" w:eastAsia="楷体"/>
          <w:sz w:val="24"/>
          <w:szCs w:val="24"/>
          <w:lang w:val="en-US" w:eastAsia="zh-CN"/>
        </w:rPr>
        <w:t>服务期：2021年12月31日前完成本项目。</w:t>
      </w:r>
    </w:p>
    <w:p>
      <w:pPr>
        <w:snapToGrid w:val="0"/>
        <w:spacing w:line="480" w:lineRule="exact"/>
        <w:ind w:firstLine="552"/>
        <w:rPr>
          <w:rFonts w:ascii="楷体" w:hAnsi="楷体" w:eastAsia="楷体"/>
          <w:sz w:val="24"/>
          <w:szCs w:val="24"/>
        </w:rPr>
      </w:pPr>
      <w:r>
        <w:rPr>
          <w:rFonts w:hint="eastAsia" w:ascii="楷体" w:hAnsi="楷体" w:eastAsia="楷体"/>
          <w:sz w:val="24"/>
          <w:szCs w:val="24"/>
          <w:lang w:val="en-US" w:eastAsia="zh-CN"/>
        </w:rPr>
        <w:t>4、</w:t>
      </w:r>
      <w:r>
        <w:rPr>
          <w:rFonts w:ascii="楷体" w:hAnsi="楷体" w:eastAsia="楷体"/>
          <w:sz w:val="24"/>
          <w:szCs w:val="24"/>
        </w:rPr>
        <w:t>我方愿意向贵方提供任何与此报价有关的数据、情况和技术资料。</w:t>
      </w:r>
    </w:p>
    <w:p>
      <w:pPr>
        <w:snapToGrid w:val="0"/>
        <w:spacing w:line="480" w:lineRule="exact"/>
        <w:ind w:firstLine="552"/>
        <w:rPr>
          <w:rFonts w:ascii="楷体" w:hAnsi="楷体" w:eastAsia="楷体"/>
          <w:sz w:val="24"/>
          <w:szCs w:val="24"/>
        </w:rPr>
      </w:pPr>
      <w:r>
        <w:rPr>
          <w:rFonts w:hint="eastAsia" w:ascii="楷体" w:hAnsi="楷体" w:eastAsia="楷体"/>
          <w:sz w:val="24"/>
          <w:szCs w:val="24"/>
          <w:lang w:val="en-US" w:eastAsia="zh-CN"/>
        </w:rPr>
        <w:t>5</w:t>
      </w:r>
      <w:r>
        <w:rPr>
          <w:rFonts w:ascii="楷体" w:hAnsi="楷体" w:eastAsia="楷体"/>
          <w:sz w:val="24"/>
          <w:szCs w:val="24"/>
        </w:rPr>
        <w:t>、</w:t>
      </w:r>
      <w:r>
        <w:rPr>
          <w:rFonts w:hint="eastAsia" w:ascii="楷体" w:hAnsi="楷体" w:eastAsia="楷体"/>
          <w:sz w:val="24"/>
          <w:szCs w:val="24"/>
        </w:rPr>
        <w:t>我方提交的响应文件及报价</w:t>
      </w:r>
      <w:r>
        <w:rPr>
          <w:rFonts w:ascii="楷体" w:hAnsi="楷体" w:eastAsia="楷体"/>
          <w:sz w:val="24"/>
          <w:szCs w:val="24"/>
        </w:rPr>
        <w:t>自提交日期起</w:t>
      </w:r>
      <w:r>
        <w:rPr>
          <w:rFonts w:hint="eastAsia" w:ascii="楷体" w:hAnsi="楷体" w:eastAsia="楷体"/>
          <w:sz w:val="24"/>
          <w:szCs w:val="24"/>
          <w:u w:val="single"/>
        </w:rPr>
        <w:t xml:space="preserve"> 90 </w:t>
      </w:r>
      <w:r>
        <w:rPr>
          <w:rFonts w:ascii="楷体" w:hAnsi="楷体" w:eastAsia="楷体"/>
          <w:sz w:val="24"/>
          <w:szCs w:val="24"/>
        </w:rPr>
        <w:t>天有效，并对我方具有约束力。</w:t>
      </w:r>
    </w:p>
    <w:p>
      <w:pPr>
        <w:snapToGrid w:val="0"/>
        <w:spacing w:line="480" w:lineRule="exact"/>
        <w:ind w:firstLine="552"/>
        <w:rPr>
          <w:rFonts w:ascii="楷体" w:hAnsi="楷体" w:eastAsia="楷体"/>
          <w:sz w:val="24"/>
          <w:szCs w:val="24"/>
        </w:rPr>
      </w:pPr>
      <w:r>
        <w:rPr>
          <w:rFonts w:hint="eastAsia" w:ascii="楷体" w:hAnsi="楷体" w:eastAsia="楷体"/>
          <w:sz w:val="24"/>
          <w:szCs w:val="24"/>
          <w:lang w:val="en-US" w:eastAsia="zh-CN"/>
        </w:rPr>
        <w:t>6</w:t>
      </w:r>
      <w:r>
        <w:rPr>
          <w:rFonts w:ascii="楷体" w:hAnsi="楷体" w:eastAsia="楷体"/>
          <w:sz w:val="24"/>
          <w:szCs w:val="24"/>
        </w:rPr>
        <w:t>、在正式合同准备好和签字前，本报价函及贵方的书面成交结果通知书将构成约束我们双方的合同内容。</w:t>
      </w:r>
    </w:p>
    <w:p>
      <w:pPr>
        <w:pStyle w:val="20"/>
        <w:snapToGrid w:val="0"/>
        <w:spacing w:after="0" w:line="480" w:lineRule="exact"/>
        <w:rPr>
          <w:rFonts w:ascii="楷体" w:hAnsi="楷体" w:eastAsia="楷体"/>
          <w:b/>
          <w:sz w:val="24"/>
          <w:szCs w:val="24"/>
        </w:rPr>
      </w:pPr>
    </w:p>
    <w:p>
      <w:pPr>
        <w:pStyle w:val="20"/>
        <w:snapToGrid w:val="0"/>
        <w:spacing w:after="0" w:line="480" w:lineRule="exact"/>
        <w:rPr>
          <w:rFonts w:ascii="楷体" w:hAnsi="楷体" w:eastAsia="楷体"/>
          <w:b/>
          <w:sz w:val="24"/>
          <w:szCs w:val="24"/>
        </w:rPr>
      </w:pPr>
    </w:p>
    <w:p>
      <w:pPr>
        <w:spacing w:line="360" w:lineRule="auto"/>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pacing w:line="480" w:lineRule="exact"/>
        <w:rPr>
          <w:rFonts w:ascii="楷体" w:hAnsi="楷体" w:eastAsia="楷体"/>
          <w:b/>
          <w:sz w:val="32"/>
        </w:r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pPr>
    </w:p>
    <w:p>
      <w:pPr>
        <w:spacing w:line="480" w:lineRule="exact"/>
        <w:rPr>
          <w:rFonts w:ascii="楷体" w:hAnsi="楷体" w:eastAsia="楷体"/>
          <w:b/>
          <w:sz w:val="32"/>
        </w:rPr>
        <w:sectPr>
          <w:headerReference r:id="rId5" w:type="default"/>
          <w:footerReference r:id="rId6" w:type="default"/>
          <w:footnotePr>
            <w:numFmt w:val="decimalEnclosedCircleChinese"/>
          </w:footnotePr>
          <w:pgSz w:w="11906" w:h="16838"/>
          <w:pgMar w:top="1440" w:right="1797" w:bottom="1440" w:left="1797" w:header="850" w:footer="1134" w:gutter="0"/>
          <w:cols w:space="720" w:num="1"/>
          <w:docGrid w:linePitch="381" w:charSpace="0"/>
        </w:sectPr>
      </w:pPr>
    </w:p>
    <w:p>
      <w:pPr>
        <w:spacing w:line="480" w:lineRule="exact"/>
        <w:rPr>
          <w:rFonts w:ascii="楷体" w:hAnsi="楷体" w:eastAsia="楷体"/>
          <w:b/>
          <w:sz w:val="32"/>
        </w:rPr>
      </w:pPr>
      <w:r>
        <w:rPr>
          <w:rFonts w:ascii="楷体" w:hAnsi="楷体" w:eastAsia="楷体"/>
          <w:b/>
          <w:sz w:val="32"/>
        </w:rPr>
        <w:t>附件</w:t>
      </w:r>
      <w:r>
        <w:rPr>
          <w:rFonts w:hint="eastAsia" w:ascii="楷体" w:hAnsi="楷体" w:eastAsia="楷体"/>
          <w:b/>
          <w:sz w:val="32"/>
        </w:rPr>
        <w:t>3</w:t>
      </w:r>
      <w:r>
        <w:rPr>
          <w:rFonts w:ascii="楷体" w:hAnsi="楷体" w:eastAsia="楷体"/>
          <w:b/>
          <w:sz w:val="32"/>
        </w:rPr>
        <w:t>：</w:t>
      </w:r>
    </w:p>
    <w:p>
      <w:pPr>
        <w:spacing w:line="480" w:lineRule="exact"/>
        <w:jc w:val="center"/>
        <w:rPr>
          <w:rFonts w:ascii="楷体" w:hAnsi="楷体" w:eastAsia="楷体"/>
          <w:bCs/>
          <w:sz w:val="32"/>
        </w:rPr>
      </w:pPr>
      <w:r>
        <w:rPr>
          <w:rFonts w:hint="eastAsia" w:ascii="楷体" w:hAnsi="楷体" w:eastAsia="楷体"/>
          <w:bCs/>
          <w:sz w:val="32"/>
        </w:rPr>
        <w:t>商务</w:t>
      </w:r>
      <w:r>
        <w:rPr>
          <w:rFonts w:ascii="楷体" w:hAnsi="楷体" w:eastAsia="楷体"/>
          <w:bCs/>
          <w:sz w:val="32"/>
        </w:rPr>
        <w:t>条款</w:t>
      </w:r>
      <w:r>
        <w:rPr>
          <w:rFonts w:hint="eastAsia" w:ascii="楷体" w:hAnsi="楷体" w:eastAsia="楷体"/>
          <w:bCs/>
          <w:sz w:val="32"/>
        </w:rPr>
        <w:t>应答</w:t>
      </w:r>
      <w:r>
        <w:rPr>
          <w:rFonts w:ascii="楷体" w:hAnsi="楷体" w:eastAsia="楷体"/>
          <w:bCs/>
          <w:sz w:val="32"/>
        </w:rPr>
        <w:t>表</w:t>
      </w:r>
    </w:p>
    <w:p>
      <w:pPr>
        <w:spacing w:line="480" w:lineRule="exact"/>
        <w:jc w:val="center"/>
        <w:rPr>
          <w:rFonts w:ascii="楷体" w:hAnsi="楷体" w:eastAsia="楷体"/>
          <w:sz w:val="32"/>
        </w:rPr>
      </w:pPr>
    </w:p>
    <w:tbl>
      <w:tblPr>
        <w:tblStyle w:val="2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vAlign w:val="top"/>
          </w:tcPr>
          <w:p>
            <w:pPr>
              <w:spacing w:line="480" w:lineRule="exact"/>
              <w:jc w:val="center"/>
              <w:rPr>
                <w:rFonts w:ascii="楷体" w:hAnsi="楷体" w:eastAsia="楷体"/>
                <w:sz w:val="24"/>
              </w:rPr>
            </w:pPr>
            <w:r>
              <w:rPr>
                <w:rFonts w:ascii="楷体" w:hAnsi="楷体" w:eastAsia="楷体"/>
                <w:sz w:val="24"/>
              </w:rPr>
              <w:t>序号</w:t>
            </w:r>
          </w:p>
        </w:tc>
        <w:tc>
          <w:tcPr>
            <w:tcW w:w="354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竞争性磋商文件要求</w:t>
            </w:r>
          </w:p>
        </w:tc>
        <w:tc>
          <w:tcPr>
            <w:tcW w:w="342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响应文件应答</w:t>
            </w:r>
          </w:p>
        </w:tc>
        <w:tc>
          <w:tcPr>
            <w:tcW w:w="1284"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bl>
    <w:p>
      <w:pPr>
        <w:spacing w:line="480" w:lineRule="exact"/>
        <w:rPr>
          <w:rFonts w:ascii="楷体" w:hAnsi="楷体" w:eastAsia="楷体"/>
          <w:sz w:val="24"/>
        </w:rPr>
      </w:pPr>
      <w:r>
        <w:rPr>
          <w:rFonts w:ascii="楷体" w:hAnsi="楷体" w:eastAsia="楷体"/>
          <w:sz w:val="24"/>
        </w:rPr>
        <w:t>注：凡对</w:t>
      </w:r>
      <w:r>
        <w:rPr>
          <w:rFonts w:hint="eastAsia" w:ascii="楷体" w:hAnsi="楷体" w:eastAsia="楷体"/>
          <w:sz w:val="24"/>
        </w:rPr>
        <w:t>商务</w:t>
      </w:r>
      <w:r>
        <w:rPr>
          <w:rFonts w:ascii="楷体" w:hAnsi="楷体" w:eastAsia="楷体"/>
          <w:sz w:val="24"/>
        </w:rPr>
        <w:t>条款有偏离的必须在此表中反应，正、负偏差均应描述。</w:t>
      </w:r>
    </w:p>
    <w:p>
      <w:pPr>
        <w:spacing w:line="480" w:lineRule="exact"/>
        <w:rPr>
          <w:rFonts w:ascii="楷体" w:hAnsi="楷体" w:eastAsia="楷体"/>
          <w:sz w:val="24"/>
        </w:rPr>
      </w:pPr>
    </w:p>
    <w:p>
      <w:pPr>
        <w:spacing w:line="360" w:lineRule="auto"/>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pacing w:line="480" w:lineRule="exact"/>
        <w:rPr>
          <w:rFonts w:ascii="楷体" w:hAnsi="楷体" w:eastAsia="楷体"/>
          <w:sz w:val="24"/>
          <w:szCs w:val="24"/>
        </w:r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r>
        <w:rPr>
          <w:rFonts w:ascii="楷体" w:hAnsi="楷体" w:eastAsia="楷体"/>
          <w:sz w:val="24"/>
          <w:szCs w:val="24"/>
        </w:rPr>
        <w:br w:type="page"/>
      </w:r>
    </w:p>
    <w:p>
      <w:pPr>
        <w:spacing w:line="480" w:lineRule="exact"/>
        <w:rPr>
          <w:rFonts w:ascii="楷体" w:hAnsi="楷体" w:eastAsia="楷体"/>
          <w:b/>
          <w:sz w:val="32"/>
        </w:rPr>
      </w:pPr>
      <w:r>
        <w:rPr>
          <w:rFonts w:ascii="楷体" w:hAnsi="楷体" w:eastAsia="楷体"/>
          <w:b/>
          <w:sz w:val="32"/>
        </w:rPr>
        <w:t>附件</w:t>
      </w:r>
      <w:r>
        <w:rPr>
          <w:rFonts w:hint="eastAsia" w:ascii="楷体" w:hAnsi="楷体" w:eastAsia="楷体"/>
          <w:b/>
          <w:sz w:val="32"/>
        </w:rPr>
        <w:t>4</w:t>
      </w:r>
      <w:r>
        <w:rPr>
          <w:rFonts w:ascii="楷体" w:hAnsi="楷体" w:eastAsia="楷体"/>
          <w:b/>
          <w:sz w:val="32"/>
        </w:rPr>
        <w:t>：</w:t>
      </w:r>
    </w:p>
    <w:p>
      <w:pPr>
        <w:spacing w:line="480" w:lineRule="exact"/>
        <w:jc w:val="center"/>
        <w:rPr>
          <w:rFonts w:ascii="楷体" w:hAnsi="楷体" w:eastAsia="楷体"/>
          <w:bCs/>
          <w:sz w:val="32"/>
        </w:rPr>
      </w:pPr>
      <w:r>
        <w:rPr>
          <w:rFonts w:hint="eastAsia" w:ascii="楷体" w:hAnsi="楷体" w:eastAsia="楷体"/>
          <w:bCs/>
          <w:sz w:val="32"/>
        </w:rPr>
        <w:t>技术</w:t>
      </w:r>
      <w:r>
        <w:rPr>
          <w:rFonts w:ascii="楷体" w:hAnsi="楷体" w:eastAsia="楷体"/>
          <w:bCs/>
          <w:sz w:val="32"/>
        </w:rPr>
        <w:t>条款</w:t>
      </w:r>
      <w:r>
        <w:rPr>
          <w:rFonts w:hint="eastAsia" w:ascii="楷体" w:hAnsi="楷体" w:eastAsia="楷体"/>
          <w:bCs/>
          <w:sz w:val="32"/>
        </w:rPr>
        <w:t>应答</w:t>
      </w:r>
      <w:r>
        <w:rPr>
          <w:rFonts w:ascii="楷体" w:hAnsi="楷体" w:eastAsia="楷体"/>
          <w:bCs/>
          <w:sz w:val="32"/>
        </w:rPr>
        <w:t>表</w:t>
      </w:r>
    </w:p>
    <w:p>
      <w:pPr>
        <w:spacing w:line="480" w:lineRule="exact"/>
        <w:jc w:val="center"/>
        <w:rPr>
          <w:rFonts w:ascii="楷体" w:hAnsi="楷体" w:eastAsia="楷体"/>
          <w:sz w:val="32"/>
        </w:rPr>
      </w:pPr>
    </w:p>
    <w:tbl>
      <w:tblPr>
        <w:tblStyle w:val="2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vAlign w:val="top"/>
          </w:tcPr>
          <w:p>
            <w:pPr>
              <w:spacing w:line="480" w:lineRule="exact"/>
              <w:jc w:val="center"/>
              <w:rPr>
                <w:rFonts w:ascii="楷体" w:hAnsi="楷体" w:eastAsia="楷体"/>
                <w:sz w:val="24"/>
              </w:rPr>
            </w:pPr>
            <w:r>
              <w:rPr>
                <w:rFonts w:ascii="楷体" w:hAnsi="楷体" w:eastAsia="楷体"/>
                <w:sz w:val="24"/>
              </w:rPr>
              <w:t>序号</w:t>
            </w:r>
          </w:p>
        </w:tc>
        <w:tc>
          <w:tcPr>
            <w:tcW w:w="354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竞争性磋商文件要求</w:t>
            </w:r>
          </w:p>
        </w:tc>
        <w:tc>
          <w:tcPr>
            <w:tcW w:w="342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响应文件应答</w:t>
            </w:r>
          </w:p>
        </w:tc>
        <w:tc>
          <w:tcPr>
            <w:tcW w:w="1284"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bl>
    <w:p>
      <w:pPr>
        <w:spacing w:line="480" w:lineRule="exact"/>
        <w:rPr>
          <w:rFonts w:ascii="楷体" w:hAnsi="楷体" w:eastAsia="楷体"/>
          <w:sz w:val="24"/>
        </w:rPr>
      </w:pPr>
      <w:r>
        <w:rPr>
          <w:rFonts w:ascii="楷体" w:hAnsi="楷体" w:eastAsia="楷体"/>
          <w:sz w:val="24"/>
        </w:rPr>
        <w:t>注：凡对</w:t>
      </w:r>
      <w:r>
        <w:rPr>
          <w:rFonts w:hint="eastAsia" w:ascii="楷体" w:hAnsi="楷体" w:eastAsia="楷体"/>
          <w:sz w:val="24"/>
        </w:rPr>
        <w:t>技术</w:t>
      </w:r>
      <w:r>
        <w:rPr>
          <w:rFonts w:ascii="楷体" w:hAnsi="楷体" w:eastAsia="楷体"/>
          <w:sz w:val="24"/>
        </w:rPr>
        <w:t>条款有偏离的必须在此表中反应，正、负偏差均应描述。</w:t>
      </w:r>
    </w:p>
    <w:p>
      <w:pPr>
        <w:spacing w:line="480" w:lineRule="exact"/>
        <w:rPr>
          <w:rFonts w:ascii="楷体" w:hAnsi="楷体" w:eastAsia="楷体"/>
          <w:sz w:val="24"/>
        </w:rPr>
      </w:pPr>
    </w:p>
    <w:p>
      <w:pPr>
        <w:spacing w:line="480" w:lineRule="exact"/>
        <w:rPr>
          <w:rFonts w:hint="eastAsia" w:ascii="楷体" w:hAnsi="楷体" w:eastAsia="楷体"/>
          <w:sz w:val="24"/>
        </w:rPr>
      </w:pPr>
    </w:p>
    <w:p>
      <w:pPr>
        <w:spacing w:line="360" w:lineRule="auto"/>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napToGrid w:val="0"/>
        <w:spacing w:line="480" w:lineRule="exact"/>
        <w:rPr>
          <w:rFonts w:ascii="楷体" w:hAnsi="楷体" w:eastAsia="楷体"/>
          <w:sz w:val="24"/>
        </w:r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pacing w:line="480" w:lineRule="exact"/>
        <w:rPr>
          <w:rFonts w:ascii="楷体" w:hAnsi="楷体" w:eastAsia="楷体"/>
          <w:b/>
          <w:sz w:val="32"/>
        </w:rPr>
      </w:pPr>
    </w:p>
    <w:p>
      <w:pPr>
        <w:spacing w:line="480" w:lineRule="exact"/>
        <w:rPr>
          <w:rFonts w:ascii="楷体" w:hAnsi="楷体" w:eastAsia="楷体"/>
          <w:b/>
          <w:sz w:val="32"/>
        </w:rPr>
      </w:pPr>
      <w:r>
        <w:rPr>
          <w:rFonts w:ascii="楷体" w:hAnsi="楷体" w:eastAsia="楷体"/>
          <w:b/>
          <w:sz w:val="32"/>
        </w:rPr>
        <w:t>附件5：</w:t>
      </w:r>
    </w:p>
    <w:p>
      <w:pPr>
        <w:spacing w:line="480" w:lineRule="exact"/>
        <w:jc w:val="center"/>
        <w:rPr>
          <w:rFonts w:ascii="楷体" w:hAnsi="楷体" w:eastAsia="楷体"/>
          <w:bCs/>
          <w:sz w:val="32"/>
        </w:rPr>
      </w:pPr>
      <w:r>
        <w:rPr>
          <w:rFonts w:hint="eastAsia" w:ascii="楷体" w:hAnsi="楷体" w:eastAsia="楷体"/>
          <w:bCs/>
          <w:sz w:val="32"/>
        </w:rPr>
        <w:t>合同</w:t>
      </w:r>
      <w:r>
        <w:rPr>
          <w:rFonts w:ascii="楷体" w:hAnsi="楷体" w:eastAsia="楷体"/>
          <w:bCs/>
          <w:sz w:val="32"/>
        </w:rPr>
        <w:t>条款</w:t>
      </w:r>
      <w:r>
        <w:rPr>
          <w:rFonts w:hint="eastAsia" w:ascii="楷体" w:hAnsi="楷体" w:eastAsia="楷体"/>
          <w:bCs/>
          <w:sz w:val="32"/>
        </w:rPr>
        <w:t>应答</w:t>
      </w:r>
      <w:r>
        <w:rPr>
          <w:rFonts w:ascii="楷体" w:hAnsi="楷体" w:eastAsia="楷体"/>
          <w:bCs/>
          <w:sz w:val="32"/>
        </w:rPr>
        <w:t>表</w:t>
      </w:r>
    </w:p>
    <w:p>
      <w:pPr>
        <w:spacing w:line="480" w:lineRule="exact"/>
        <w:jc w:val="center"/>
        <w:rPr>
          <w:rFonts w:ascii="楷体" w:hAnsi="楷体" w:eastAsia="楷体"/>
          <w:sz w:val="32"/>
        </w:rPr>
      </w:pPr>
    </w:p>
    <w:tbl>
      <w:tblPr>
        <w:tblStyle w:val="2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vAlign w:val="top"/>
          </w:tcPr>
          <w:p>
            <w:pPr>
              <w:spacing w:line="480" w:lineRule="exact"/>
              <w:jc w:val="center"/>
              <w:rPr>
                <w:rFonts w:ascii="楷体" w:hAnsi="楷体" w:eastAsia="楷体"/>
                <w:sz w:val="24"/>
              </w:rPr>
            </w:pPr>
            <w:r>
              <w:rPr>
                <w:rFonts w:ascii="楷体" w:hAnsi="楷体" w:eastAsia="楷体"/>
                <w:sz w:val="24"/>
              </w:rPr>
              <w:t>序号</w:t>
            </w:r>
          </w:p>
        </w:tc>
        <w:tc>
          <w:tcPr>
            <w:tcW w:w="354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竞争性磋商文件要求</w:t>
            </w:r>
          </w:p>
        </w:tc>
        <w:tc>
          <w:tcPr>
            <w:tcW w:w="3420"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响应文件应答</w:t>
            </w:r>
          </w:p>
        </w:tc>
        <w:tc>
          <w:tcPr>
            <w:tcW w:w="1284" w:type="dxa"/>
            <w:tcBorders>
              <w:bottom w:val="single" w:color="auto" w:sz="4" w:space="0"/>
            </w:tcBorders>
            <w:vAlign w:val="center"/>
          </w:tcPr>
          <w:p>
            <w:pPr>
              <w:spacing w:line="480" w:lineRule="exact"/>
              <w:jc w:val="center"/>
              <w:rPr>
                <w:rFonts w:ascii="楷体" w:hAnsi="楷体" w:eastAsia="楷体"/>
                <w:sz w:val="24"/>
              </w:rPr>
            </w:pPr>
            <w:r>
              <w:rPr>
                <w:rFonts w:ascii="楷体" w:hAnsi="楷体" w:eastAsia="楷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Align w:val="top"/>
          </w:tcPr>
          <w:p>
            <w:pPr>
              <w:spacing w:line="480" w:lineRule="exact"/>
              <w:jc w:val="center"/>
              <w:rPr>
                <w:rFonts w:ascii="楷体" w:hAnsi="楷体" w:eastAsia="楷体"/>
                <w:sz w:val="32"/>
              </w:rPr>
            </w:pPr>
          </w:p>
        </w:tc>
        <w:tc>
          <w:tcPr>
            <w:tcW w:w="3540" w:type="dxa"/>
            <w:vAlign w:val="top"/>
          </w:tcPr>
          <w:p>
            <w:pPr>
              <w:spacing w:line="480" w:lineRule="exact"/>
              <w:jc w:val="center"/>
              <w:rPr>
                <w:rFonts w:ascii="楷体" w:hAnsi="楷体" w:eastAsia="楷体"/>
                <w:sz w:val="32"/>
              </w:rPr>
            </w:pPr>
          </w:p>
        </w:tc>
        <w:tc>
          <w:tcPr>
            <w:tcW w:w="3420" w:type="dxa"/>
            <w:vAlign w:val="top"/>
          </w:tcPr>
          <w:p>
            <w:pPr>
              <w:spacing w:line="480" w:lineRule="exact"/>
              <w:jc w:val="center"/>
              <w:rPr>
                <w:rFonts w:ascii="楷体" w:hAnsi="楷体" w:eastAsia="楷体"/>
                <w:sz w:val="32"/>
              </w:rPr>
            </w:pPr>
          </w:p>
        </w:tc>
        <w:tc>
          <w:tcPr>
            <w:tcW w:w="1284" w:type="dxa"/>
            <w:vAlign w:val="top"/>
          </w:tcPr>
          <w:p>
            <w:pPr>
              <w:spacing w:line="480" w:lineRule="exact"/>
              <w:jc w:val="center"/>
              <w:rPr>
                <w:rFonts w:ascii="楷体" w:hAnsi="楷体" w:eastAsia="楷体"/>
                <w:sz w:val="32"/>
              </w:rPr>
            </w:pPr>
          </w:p>
        </w:tc>
      </w:tr>
    </w:tbl>
    <w:p>
      <w:pPr>
        <w:spacing w:line="480" w:lineRule="exact"/>
        <w:rPr>
          <w:rFonts w:ascii="楷体" w:hAnsi="楷体" w:eastAsia="楷体"/>
          <w:sz w:val="24"/>
        </w:rPr>
      </w:pPr>
      <w:r>
        <w:rPr>
          <w:rFonts w:ascii="楷体" w:hAnsi="楷体" w:eastAsia="楷体"/>
          <w:sz w:val="24"/>
        </w:rPr>
        <w:t>注：凡对</w:t>
      </w:r>
      <w:r>
        <w:rPr>
          <w:rFonts w:hint="eastAsia" w:ascii="楷体" w:hAnsi="楷体" w:eastAsia="楷体"/>
          <w:sz w:val="24"/>
        </w:rPr>
        <w:t>合同</w:t>
      </w:r>
      <w:r>
        <w:rPr>
          <w:rFonts w:ascii="楷体" w:hAnsi="楷体" w:eastAsia="楷体"/>
          <w:sz w:val="24"/>
        </w:rPr>
        <w:t>条款有偏离的必须在此表中反应，正、负偏差均应描述。</w:t>
      </w:r>
    </w:p>
    <w:p>
      <w:pPr>
        <w:spacing w:line="480" w:lineRule="exact"/>
        <w:rPr>
          <w:rFonts w:ascii="楷体" w:hAnsi="楷体" w:eastAsia="楷体"/>
          <w:sz w:val="24"/>
        </w:rPr>
      </w:pPr>
    </w:p>
    <w:p>
      <w:pPr>
        <w:spacing w:line="480" w:lineRule="exact"/>
        <w:rPr>
          <w:rFonts w:hint="eastAsia" w:ascii="楷体" w:hAnsi="楷体" w:eastAsia="楷体"/>
          <w:sz w:val="24"/>
        </w:rPr>
      </w:pPr>
    </w:p>
    <w:p>
      <w:pPr>
        <w:spacing w:line="360" w:lineRule="auto"/>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napToGrid w:val="0"/>
        <w:spacing w:line="480" w:lineRule="exact"/>
        <w:rPr>
          <w:rFonts w:ascii="楷体" w:hAnsi="楷体" w:eastAsia="楷体"/>
          <w:sz w:val="24"/>
        </w:r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ascii="楷体" w:hAnsi="楷体" w:eastAsia="楷体"/>
          <w:sz w:val="24"/>
        </w:rPr>
      </w:pPr>
    </w:p>
    <w:p>
      <w:pPr>
        <w:snapToGrid w:val="0"/>
        <w:spacing w:line="480" w:lineRule="exact"/>
        <w:rPr>
          <w:rFonts w:hint="eastAsia" w:ascii="楷体" w:hAnsi="楷体" w:eastAsia="楷体"/>
          <w:sz w:val="24"/>
        </w:rPr>
      </w:pPr>
    </w:p>
    <w:p>
      <w:pPr>
        <w:snapToGrid w:val="0"/>
        <w:spacing w:line="480" w:lineRule="exact"/>
        <w:rPr>
          <w:rFonts w:ascii="楷体" w:hAnsi="楷体" w:eastAsia="楷体"/>
          <w:sz w:val="28"/>
        </w:rPr>
      </w:pPr>
      <w:r>
        <w:rPr>
          <w:rFonts w:ascii="楷体" w:hAnsi="楷体" w:eastAsia="楷体"/>
          <w:b/>
          <w:sz w:val="32"/>
        </w:rPr>
        <w:t>附件6：</w:t>
      </w:r>
      <w:r>
        <w:rPr>
          <w:rFonts w:ascii="楷体" w:hAnsi="楷体" w:eastAsia="楷体"/>
          <w:sz w:val="32"/>
        </w:rPr>
        <w:t>资格证明文件</w:t>
      </w:r>
    </w:p>
    <w:p>
      <w:pPr>
        <w:spacing w:line="480" w:lineRule="exact"/>
        <w:rPr>
          <w:rFonts w:ascii="楷体" w:hAnsi="楷体" w:eastAsia="楷体"/>
          <w:b/>
          <w:sz w:val="28"/>
        </w:rPr>
      </w:pPr>
    </w:p>
    <w:p>
      <w:pPr>
        <w:spacing w:line="480" w:lineRule="exact"/>
        <w:rPr>
          <w:rFonts w:ascii="楷体" w:hAnsi="楷体" w:eastAsia="楷体"/>
          <w:sz w:val="28"/>
          <w:u w:val="single"/>
        </w:rPr>
      </w:pPr>
      <w:r>
        <w:rPr>
          <w:rFonts w:hint="eastAsia" w:ascii="楷体" w:hAnsi="楷体" w:eastAsia="楷体"/>
          <w:b/>
          <w:sz w:val="28"/>
        </w:rPr>
        <w:t>附件</w:t>
      </w:r>
      <w:r>
        <w:rPr>
          <w:rFonts w:ascii="楷体" w:hAnsi="楷体" w:eastAsia="楷体"/>
          <w:b/>
          <w:sz w:val="28"/>
        </w:rPr>
        <w:t>6-1法定代表人授权书</w:t>
      </w:r>
    </w:p>
    <w:p>
      <w:pPr>
        <w:spacing w:line="480" w:lineRule="exact"/>
        <w:rPr>
          <w:rFonts w:ascii="楷体" w:hAnsi="楷体" w:eastAsia="楷体"/>
          <w:sz w:val="28"/>
          <w:u w:val="single"/>
        </w:rPr>
      </w:pPr>
    </w:p>
    <w:p>
      <w:pPr>
        <w:spacing w:line="480" w:lineRule="exact"/>
        <w:rPr>
          <w:rFonts w:ascii="楷体" w:hAnsi="楷体" w:eastAsia="楷体"/>
          <w:sz w:val="24"/>
          <w:szCs w:val="24"/>
        </w:rPr>
      </w:pPr>
      <w:r>
        <w:rPr>
          <w:rFonts w:ascii="楷体" w:hAnsi="楷体" w:eastAsia="楷体"/>
          <w:sz w:val="24"/>
          <w:szCs w:val="24"/>
          <w:u w:val="single"/>
        </w:rPr>
        <w:t>中招国际招标有限公司</w:t>
      </w:r>
      <w:r>
        <w:rPr>
          <w:rFonts w:ascii="楷体" w:hAnsi="楷体" w:eastAsia="楷体"/>
          <w:sz w:val="24"/>
          <w:szCs w:val="24"/>
        </w:rPr>
        <w:t>：</w:t>
      </w:r>
    </w:p>
    <w:p>
      <w:pPr>
        <w:spacing w:line="480" w:lineRule="exact"/>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u w:val="single"/>
        </w:rPr>
        <w:t xml:space="preserve">    （</w:t>
      </w:r>
      <w:r>
        <w:rPr>
          <w:rFonts w:ascii="楷体" w:hAnsi="楷体" w:eastAsia="楷体"/>
          <w:sz w:val="24"/>
          <w:szCs w:val="24"/>
          <w:u w:val="single"/>
        </w:rPr>
        <w:t>磋商供应商全称</w:t>
      </w:r>
      <w:r>
        <w:rPr>
          <w:rFonts w:hint="eastAsia" w:ascii="楷体" w:hAnsi="楷体" w:eastAsia="楷体"/>
          <w:sz w:val="24"/>
          <w:szCs w:val="24"/>
          <w:u w:val="single"/>
        </w:rPr>
        <w:t xml:space="preserve">）    </w:t>
      </w:r>
      <w:r>
        <w:rPr>
          <w:rFonts w:ascii="楷体" w:hAnsi="楷体" w:eastAsia="楷体"/>
          <w:sz w:val="24"/>
          <w:szCs w:val="24"/>
        </w:rPr>
        <w:t>法定代表人</w:t>
      </w:r>
      <w:r>
        <w:rPr>
          <w:rFonts w:hint="eastAsia" w:ascii="楷体" w:hAnsi="楷体" w:eastAsia="楷体"/>
          <w:sz w:val="24"/>
          <w:szCs w:val="24"/>
          <w:u w:val="single"/>
        </w:rPr>
        <w:t xml:space="preserve">  （姓名）  </w:t>
      </w:r>
      <w:r>
        <w:rPr>
          <w:rFonts w:ascii="楷体" w:hAnsi="楷体" w:eastAsia="楷体"/>
          <w:sz w:val="24"/>
          <w:szCs w:val="24"/>
        </w:rPr>
        <w:t>授权</w:t>
      </w:r>
      <w:r>
        <w:rPr>
          <w:rFonts w:hint="eastAsia" w:ascii="楷体" w:hAnsi="楷体" w:eastAsia="楷体"/>
          <w:sz w:val="24"/>
          <w:szCs w:val="24"/>
          <w:u w:val="single"/>
        </w:rPr>
        <w:t xml:space="preserve"> （姓名）  </w:t>
      </w:r>
      <w:r>
        <w:rPr>
          <w:rFonts w:ascii="楷体" w:hAnsi="楷体" w:eastAsia="楷体"/>
          <w:sz w:val="24"/>
          <w:szCs w:val="24"/>
        </w:rPr>
        <w:t>为全权代表，参加贵公司组织的</w:t>
      </w:r>
      <w:r>
        <w:rPr>
          <w:rFonts w:hint="eastAsia" w:ascii="楷体" w:hAnsi="楷体" w:eastAsia="楷体"/>
          <w:sz w:val="24"/>
          <w:szCs w:val="24"/>
          <w:u w:val="single"/>
        </w:rPr>
        <w:t xml:space="preserve">                 </w:t>
      </w:r>
      <w:r>
        <w:rPr>
          <w:rFonts w:ascii="楷体" w:hAnsi="楷体" w:eastAsia="楷体"/>
          <w:sz w:val="24"/>
          <w:szCs w:val="24"/>
        </w:rPr>
        <w:t>项目（</w:t>
      </w:r>
      <w:r>
        <w:rPr>
          <w:rFonts w:hint="eastAsia" w:ascii="楷体" w:hAnsi="楷体" w:eastAsia="楷体"/>
          <w:sz w:val="24"/>
          <w:szCs w:val="24"/>
        </w:rPr>
        <w:t>项目</w:t>
      </w:r>
      <w:r>
        <w:rPr>
          <w:rFonts w:ascii="楷体" w:hAnsi="楷体" w:eastAsia="楷体"/>
          <w:sz w:val="24"/>
          <w:szCs w:val="24"/>
        </w:rPr>
        <w:t>编号：</w:t>
      </w:r>
      <w:r>
        <w:rPr>
          <w:rFonts w:hint="eastAsia" w:ascii="楷体" w:hAnsi="楷体" w:eastAsia="楷体"/>
          <w:sz w:val="24"/>
          <w:szCs w:val="24"/>
          <w:u w:val="single"/>
        </w:rPr>
        <w:t xml:space="preserve"> </w:t>
      </w:r>
      <w:r>
        <w:rPr>
          <w:rFonts w:ascii="楷体" w:hAnsi="楷体" w:eastAsia="楷体"/>
          <w:sz w:val="24"/>
          <w:szCs w:val="24"/>
          <w:u w:val="single"/>
        </w:rPr>
        <w:t xml:space="preserve">    </w:t>
      </w:r>
      <w:r>
        <w:rPr>
          <w:rFonts w:hint="eastAsia" w:ascii="楷体" w:hAnsi="楷体" w:eastAsia="楷体"/>
          <w:sz w:val="24"/>
          <w:szCs w:val="24"/>
          <w:u w:val="single"/>
        </w:rPr>
        <w:t xml:space="preserve">  </w:t>
      </w:r>
      <w:r>
        <w:rPr>
          <w:rFonts w:ascii="楷体" w:hAnsi="楷体" w:eastAsia="楷体"/>
          <w:sz w:val="24"/>
          <w:szCs w:val="24"/>
        </w:rPr>
        <w:t>）磋商报价活动，全权处理磋商活动中的一切事宜。</w:t>
      </w:r>
    </w:p>
    <w:p>
      <w:pPr>
        <w:spacing w:line="480" w:lineRule="exact"/>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rPr>
        <w:t xml:space="preserve"> </w:t>
      </w:r>
    </w:p>
    <w:p>
      <w:pPr>
        <w:spacing w:line="480" w:lineRule="exact"/>
        <w:ind w:firstLine="4440" w:firstLineChars="1850"/>
        <w:rPr>
          <w:rFonts w:ascii="楷体" w:hAnsi="楷体" w:eastAsia="楷体"/>
          <w:sz w:val="24"/>
          <w:szCs w:val="24"/>
          <w:u w:val="single"/>
        </w:rPr>
      </w:pPr>
      <w:r>
        <w:rPr>
          <w:rFonts w:ascii="楷体" w:hAnsi="楷体" w:eastAsia="楷体"/>
          <w:sz w:val="24"/>
          <w:szCs w:val="24"/>
        </w:rPr>
        <w:t>法定代表人签字或签章：</w:t>
      </w:r>
      <w:r>
        <w:rPr>
          <w:rFonts w:hint="eastAsia" w:ascii="楷体" w:hAnsi="楷体" w:eastAsia="楷体"/>
          <w:sz w:val="24"/>
          <w:szCs w:val="24"/>
          <w:u w:val="single"/>
        </w:rPr>
        <w:t xml:space="preserve">           </w:t>
      </w:r>
    </w:p>
    <w:p>
      <w:pPr>
        <w:pStyle w:val="19"/>
        <w:spacing w:line="480" w:lineRule="exact"/>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rPr>
        <w:t xml:space="preserve"> </w:t>
      </w:r>
      <w:r>
        <w:rPr>
          <w:rFonts w:hint="eastAsia" w:ascii="楷体" w:hAnsi="楷体" w:eastAsia="楷体"/>
          <w:sz w:val="24"/>
        </w:rPr>
        <w:t>供应商：</w:t>
      </w:r>
      <w:r>
        <w:rPr>
          <w:rFonts w:hint="eastAsia" w:ascii="楷体" w:hAnsi="楷体" w:eastAsia="楷体"/>
          <w:sz w:val="24"/>
          <w:u w:val="single"/>
        </w:rPr>
        <w:t xml:space="preserve">     （公章）   </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szCs w:val="24"/>
        </w:rPr>
        <w:t xml:space="preserve">        </w:t>
      </w:r>
    </w:p>
    <w:p>
      <w:pPr>
        <w:spacing w:line="480" w:lineRule="exact"/>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pStyle w:val="19"/>
        <w:spacing w:line="480" w:lineRule="exact"/>
        <w:rPr>
          <w:rFonts w:ascii="楷体" w:hAnsi="楷体" w:eastAsia="楷体"/>
          <w:sz w:val="24"/>
          <w:szCs w:val="24"/>
        </w:rPr>
      </w:pPr>
      <w:r>
        <w:rPr>
          <w:rFonts w:ascii="楷体" w:hAnsi="楷体" w:eastAsia="楷体"/>
          <w:sz w:val="24"/>
          <w:szCs w:val="24"/>
        </w:rPr>
        <w:t xml:space="preserve">     </w:t>
      </w:r>
    </w:p>
    <w:p>
      <w:pPr>
        <w:rPr>
          <w:rFonts w:ascii="楷体" w:hAnsi="楷体" w:eastAsia="楷体"/>
        </w:rPr>
      </w:pPr>
    </w:p>
    <w:p>
      <w:pPr>
        <w:spacing w:line="480" w:lineRule="exact"/>
        <w:rPr>
          <w:rFonts w:ascii="楷体" w:hAnsi="楷体" w:eastAsia="楷体"/>
          <w:sz w:val="24"/>
          <w:szCs w:val="24"/>
        </w:rPr>
      </w:pPr>
      <w:r>
        <w:rPr>
          <w:rFonts w:ascii="楷体" w:hAnsi="楷体" w:eastAsia="楷体"/>
          <w:sz w:val="24"/>
          <w:szCs w:val="24"/>
        </w:rPr>
        <w:t xml:space="preserve">     附：</w:t>
      </w:r>
    </w:p>
    <w:p>
      <w:pPr>
        <w:spacing w:line="480" w:lineRule="exact"/>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rPr>
        <w:t>授</w:t>
      </w:r>
      <w:r>
        <w:rPr>
          <w:rFonts w:ascii="楷体" w:hAnsi="楷体" w:eastAsia="楷体"/>
          <w:sz w:val="24"/>
          <w:szCs w:val="24"/>
        </w:rPr>
        <w:t>权代表姓名：</w:t>
      </w:r>
    </w:p>
    <w:p>
      <w:pPr>
        <w:spacing w:line="480" w:lineRule="exact"/>
        <w:rPr>
          <w:rFonts w:ascii="楷体" w:hAnsi="楷体" w:eastAsia="楷体"/>
          <w:sz w:val="24"/>
          <w:szCs w:val="24"/>
        </w:rPr>
      </w:pPr>
      <w:r>
        <w:rPr>
          <w:rFonts w:ascii="楷体" w:hAnsi="楷体" w:eastAsia="楷体"/>
          <w:sz w:val="24"/>
          <w:szCs w:val="24"/>
        </w:rPr>
        <w:t xml:space="preserve">     　职　　　　务：</w:t>
      </w:r>
    </w:p>
    <w:p>
      <w:pPr>
        <w:spacing w:line="480" w:lineRule="exact"/>
        <w:rPr>
          <w:rFonts w:ascii="楷体" w:hAnsi="楷体" w:eastAsia="楷体"/>
          <w:sz w:val="24"/>
          <w:szCs w:val="24"/>
        </w:rPr>
      </w:pPr>
      <w:r>
        <w:rPr>
          <w:rFonts w:ascii="楷体" w:hAnsi="楷体" w:eastAsia="楷体"/>
          <w:sz w:val="24"/>
          <w:szCs w:val="24"/>
        </w:rPr>
        <w:t xml:space="preserve">     　详细通讯地址：</w:t>
      </w:r>
    </w:p>
    <w:p>
      <w:pPr>
        <w:spacing w:line="480" w:lineRule="exact"/>
        <w:rPr>
          <w:rFonts w:ascii="楷体" w:hAnsi="楷体" w:eastAsia="楷体"/>
          <w:sz w:val="24"/>
          <w:szCs w:val="24"/>
        </w:rPr>
      </w:pPr>
      <w:r>
        <w:rPr>
          <w:rFonts w:ascii="楷体" w:hAnsi="楷体" w:eastAsia="楷体"/>
          <w:sz w:val="24"/>
          <w:szCs w:val="24"/>
        </w:rPr>
        <w:t xml:space="preserve">     　邮 政 编 码 ：</w:t>
      </w:r>
    </w:p>
    <w:p>
      <w:pPr>
        <w:spacing w:line="480" w:lineRule="exact"/>
        <w:rPr>
          <w:rFonts w:ascii="楷体" w:hAnsi="楷体" w:eastAsia="楷体"/>
          <w:sz w:val="24"/>
          <w:szCs w:val="24"/>
        </w:rPr>
      </w:pPr>
      <w:r>
        <w:rPr>
          <w:rFonts w:ascii="楷体" w:hAnsi="楷体" w:eastAsia="楷体"/>
          <w:sz w:val="24"/>
          <w:szCs w:val="24"/>
        </w:rPr>
        <w:t xml:space="preserve">     　传       真 ：</w:t>
      </w:r>
    </w:p>
    <w:p>
      <w:pPr>
        <w:spacing w:line="480" w:lineRule="exact"/>
        <w:rPr>
          <w:rFonts w:ascii="楷体" w:hAnsi="楷体" w:eastAsia="楷体"/>
          <w:sz w:val="24"/>
          <w:szCs w:val="24"/>
        </w:rPr>
      </w:pPr>
      <w:r>
        <w:rPr>
          <w:rFonts w:ascii="楷体" w:hAnsi="楷体" w:eastAsia="楷体"/>
          <w:sz w:val="24"/>
          <w:szCs w:val="24"/>
        </w:rPr>
        <w:t xml:space="preserve">     　电       话 ：</w:t>
      </w:r>
    </w:p>
    <w:p>
      <w:pPr>
        <w:spacing w:line="480" w:lineRule="exact"/>
        <w:rPr>
          <w:rFonts w:ascii="楷体" w:hAnsi="楷体" w:eastAsia="楷体"/>
          <w:sz w:val="24"/>
          <w:szCs w:val="24"/>
        </w:rPr>
      </w:pPr>
      <w:r>
        <w:rPr>
          <w:rFonts w:ascii="楷体" w:hAnsi="楷体" w:eastAsia="楷体"/>
          <w:sz w:val="24"/>
          <w:szCs w:val="24"/>
        </w:rPr>
        <w:t xml:space="preserve">       Email  地址 ：</w:t>
      </w:r>
    </w:p>
    <w:p>
      <w:pPr>
        <w:spacing w:line="480" w:lineRule="exact"/>
        <w:rPr>
          <w:rFonts w:hint="eastAsia" w:ascii="楷体" w:hAnsi="楷体" w:eastAsia="楷体"/>
          <w:sz w:val="24"/>
          <w:szCs w:val="24"/>
        </w:rPr>
      </w:pPr>
      <w:r>
        <w:rPr>
          <w:rFonts w:hint="eastAsia" w:ascii="楷体" w:hAnsi="楷体" w:eastAsia="楷体"/>
          <w:sz w:val="24"/>
          <w:szCs w:val="24"/>
        </w:rPr>
        <w:t xml:space="preserve">       被授权人</w:t>
      </w:r>
      <w:r>
        <w:rPr>
          <w:rFonts w:ascii="楷体" w:hAnsi="楷体" w:eastAsia="楷体"/>
          <w:sz w:val="24"/>
          <w:szCs w:val="24"/>
        </w:rPr>
        <w:t>身份证复印件：</w:t>
      </w:r>
    </w:p>
    <w:p>
      <w:pPr>
        <w:spacing w:line="480" w:lineRule="exact"/>
        <w:rPr>
          <w:rFonts w:ascii="楷体" w:hAnsi="楷体" w:eastAsia="楷体"/>
          <w:b/>
          <w:sz w:val="24"/>
          <w:szCs w:val="24"/>
        </w:rPr>
      </w:pPr>
    </w:p>
    <w:p>
      <w:pPr>
        <w:spacing w:line="480" w:lineRule="exact"/>
        <w:rPr>
          <w:rFonts w:ascii="楷体" w:hAnsi="楷体" w:eastAsia="楷体"/>
          <w:b/>
          <w:sz w:val="24"/>
          <w:szCs w:val="24"/>
        </w:rPr>
      </w:pPr>
    </w:p>
    <w:p>
      <w:pPr>
        <w:spacing w:line="480" w:lineRule="exact"/>
        <w:rPr>
          <w:rFonts w:ascii="楷体" w:hAnsi="楷体" w:eastAsia="楷体"/>
          <w:b/>
          <w:sz w:val="24"/>
          <w:szCs w:val="24"/>
        </w:rPr>
      </w:pPr>
    </w:p>
    <w:p>
      <w:pPr>
        <w:spacing w:line="480" w:lineRule="exact"/>
        <w:rPr>
          <w:rFonts w:ascii="楷体" w:hAnsi="楷体" w:eastAsia="楷体"/>
          <w:b/>
          <w:sz w:val="24"/>
          <w:szCs w:val="24"/>
        </w:rPr>
      </w:pPr>
    </w:p>
    <w:p>
      <w:pPr>
        <w:spacing w:line="480" w:lineRule="exact"/>
        <w:rPr>
          <w:rFonts w:ascii="楷体" w:hAnsi="楷体" w:eastAsia="楷体"/>
          <w:b/>
          <w:sz w:val="28"/>
        </w:rPr>
      </w:pPr>
    </w:p>
    <w:p>
      <w:pPr>
        <w:spacing w:line="480" w:lineRule="exact"/>
        <w:rPr>
          <w:rFonts w:hint="eastAsia" w:ascii="楷体" w:hAnsi="楷体" w:eastAsia="楷体"/>
          <w:b/>
          <w:sz w:val="28"/>
        </w:rPr>
      </w:pPr>
    </w:p>
    <w:p>
      <w:pPr>
        <w:spacing w:line="480" w:lineRule="exact"/>
        <w:rPr>
          <w:rFonts w:ascii="楷体" w:hAnsi="楷体" w:eastAsia="楷体"/>
          <w:b/>
          <w:sz w:val="28"/>
        </w:rPr>
      </w:pPr>
      <w:r>
        <w:rPr>
          <w:rFonts w:hint="eastAsia" w:ascii="楷体" w:hAnsi="楷体" w:eastAsia="楷体"/>
          <w:b/>
          <w:sz w:val="28"/>
        </w:rPr>
        <w:t>附件</w:t>
      </w:r>
      <w:r>
        <w:rPr>
          <w:rFonts w:ascii="楷体" w:hAnsi="楷体" w:eastAsia="楷体"/>
          <w:b/>
          <w:sz w:val="28"/>
        </w:rPr>
        <w:t xml:space="preserve">6-2                 </w:t>
      </w:r>
    </w:p>
    <w:p>
      <w:pPr>
        <w:spacing w:line="480" w:lineRule="exact"/>
        <w:jc w:val="center"/>
        <w:rPr>
          <w:rFonts w:ascii="楷体" w:hAnsi="楷体" w:eastAsia="楷体"/>
          <w:b/>
        </w:rPr>
      </w:pPr>
      <w:r>
        <w:rPr>
          <w:rFonts w:ascii="楷体" w:hAnsi="楷体" w:eastAsia="楷体"/>
          <w:b/>
          <w:sz w:val="28"/>
        </w:rPr>
        <w:t>磋商供应商情况表</w:t>
      </w:r>
    </w:p>
    <w:p>
      <w:pPr>
        <w:snapToGrid w:val="0"/>
        <w:jc w:val="left"/>
        <w:rPr>
          <w:rFonts w:ascii="楷体" w:hAnsi="楷体" w:eastAsia="楷体"/>
          <w:sz w:val="24"/>
          <w:szCs w:val="24"/>
        </w:rPr>
      </w:pPr>
      <w:r>
        <w:rPr>
          <w:rFonts w:ascii="楷体" w:hAnsi="楷体" w:eastAsia="楷体"/>
          <w:sz w:val="24"/>
          <w:szCs w:val="24"/>
        </w:rPr>
        <w:t xml:space="preserve">                                          </w:t>
      </w:r>
    </w:p>
    <w:tbl>
      <w:tblPr>
        <w:tblStyle w:val="29"/>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072"/>
        <w:gridCol w:w="1803"/>
        <w:gridCol w:w="714"/>
        <w:gridCol w:w="96"/>
        <w:gridCol w:w="442"/>
        <w:gridCol w:w="923"/>
        <w:gridCol w:w="342"/>
        <w:gridCol w:w="723"/>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985" w:type="dxa"/>
            <w:vAlign w:val="center"/>
          </w:tcPr>
          <w:p>
            <w:pPr>
              <w:rPr>
                <w:rFonts w:ascii="楷体" w:hAnsi="楷体" w:eastAsia="楷体"/>
                <w:sz w:val="24"/>
              </w:rPr>
            </w:pPr>
            <w:r>
              <w:rPr>
                <w:rFonts w:ascii="楷体" w:hAnsi="楷体" w:eastAsia="楷体"/>
                <w:sz w:val="24"/>
                <w:szCs w:val="24"/>
              </w:rPr>
              <w:t>供应商</w:t>
            </w:r>
            <w:r>
              <w:rPr>
                <w:rFonts w:ascii="楷体" w:hAnsi="楷体" w:eastAsia="楷体"/>
                <w:sz w:val="24"/>
              </w:rPr>
              <w:t>名称</w:t>
            </w:r>
          </w:p>
        </w:tc>
        <w:tc>
          <w:tcPr>
            <w:tcW w:w="6835" w:type="dxa"/>
            <w:gridSpan w:val="9"/>
            <w:vAlign w:val="center"/>
          </w:tcPr>
          <w:p>
            <w:pPr>
              <w:ind w:firstLine="2160" w:firstLineChars="900"/>
              <w:rPr>
                <w:rFonts w:ascii="楷体" w:hAnsi="楷体" w:eastAsia="楷体"/>
                <w:sz w:val="24"/>
              </w:rPr>
            </w:pPr>
            <w:r>
              <w:rPr>
                <w:rFonts w:ascii="楷体" w:hAnsi="楷体" w:eastAsia="楷体"/>
                <w:sz w:val="24"/>
              </w:rPr>
              <w:t>（</w:t>
            </w:r>
            <w:r>
              <w:rPr>
                <w:rFonts w:hint="eastAsia" w:ascii="楷体" w:hAnsi="楷体" w:eastAsia="楷体"/>
                <w:sz w:val="24"/>
              </w:rPr>
              <w:t>公</w:t>
            </w:r>
            <w:r>
              <w:rPr>
                <w:rFonts w:ascii="楷体" w:hAnsi="楷体" w:eastAsia="楷体"/>
                <w:sz w:val="24"/>
              </w:rPr>
              <w:t>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985" w:type="dxa"/>
            <w:vAlign w:val="center"/>
          </w:tcPr>
          <w:p>
            <w:pPr>
              <w:rPr>
                <w:rFonts w:ascii="楷体" w:hAnsi="楷体" w:eastAsia="楷体"/>
                <w:sz w:val="24"/>
              </w:rPr>
            </w:pPr>
            <w:r>
              <w:rPr>
                <w:rFonts w:ascii="楷体" w:hAnsi="楷体" w:eastAsia="楷体"/>
                <w:sz w:val="24"/>
              </w:rPr>
              <w:t>注册地址</w:t>
            </w:r>
          </w:p>
        </w:tc>
        <w:tc>
          <w:tcPr>
            <w:tcW w:w="3685" w:type="dxa"/>
            <w:gridSpan w:val="4"/>
            <w:vAlign w:val="center"/>
          </w:tcPr>
          <w:p>
            <w:pPr>
              <w:rPr>
                <w:rFonts w:ascii="楷体" w:hAnsi="楷体" w:eastAsia="楷体"/>
                <w:sz w:val="24"/>
              </w:rPr>
            </w:pPr>
          </w:p>
        </w:tc>
        <w:tc>
          <w:tcPr>
            <w:tcW w:w="1365" w:type="dxa"/>
            <w:gridSpan w:val="2"/>
            <w:vAlign w:val="center"/>
          </w:tcPr>
          <w:p>
            <w:pPr>
              <w:rPr>
                <w:rFonts w:ascii="楷体" w:hAnsi="楷体" w:eastAsia="楷体"/>
                <w:sz w:val="24"/>
              </w:rPr>
            </w:pPr>
            <w:r>
              <w:rPr>
                <w:rFonts w:ascii="楷体" w:hAnsi="楷体" w:eastAsia="楷体"/>
                <w:sz w:val="24"/>
              </w:rPr>
              <w:t>邮政编码</w:t>
            </w:r>
          </w:p>
        </w:tc>
        <w:tc>
          <w:tcPr>
            <w:tcW w:w="1785" w:type="dxa"/>
            <w:gridSpan w:val="3"/>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985" w:type="dxa"/>
            <w:vMerge w:val="restart"/>
            <w:vAlign w:val="center"/>
          </w:tcPr>
          <w:p>
            <w:pPr>
              <w:rPr>
                <w:rFonts w:ascii="楷体" w:hAnsi="楷体" w:eastAsia="楷体"/>
                <w:sz w:val="24"/>
              </w:rPr>
            </w:pPr>
            <w:r>
              <w:rPr>
                <w:rFonts w:ascii="楷体" w:hAnsi="楷体" w:eastAsia="楷体"/>
                <w:sz w:val="24"/>
              </w:rPr>
              <w:t>联系方式</w:t>
            </w:r>
          </w:p>
        </w:tc>
        <w:tc>
          <w:tcPr>
            <w:tcW w:w="1072" w:type="dxa"/>
            <w:vAlign w:val="center"/>
          </w:tcPr>
          <w:p>
            <w:pPr>
              <w:rPr>
                <w:rFonts w:ascii="楷体" w:hAnsi="楷体" w:eastAsia="楷体"/>
                <w:sz w:val="24"/>
              </w:rPr>
            </w:pPr>
            <w:r>
              <w:rPr>
                <w:rFonts w:ascii="楷体" w:hAnsi="楷体" w:eastAsia="楷体"/>
                <w:sz w:val="24"/>
              </w:rPr>
              <w:t>联系人</w:t>
            </w:r>
          </w:p>
        </w:tc>
        <w:tc>
          <w:tcPr>
            <w:tcW w:w="2613" w:type="dxa"/>
            <w:gridSpan w:val="3"/>
            <w:vAlign w:val="center"/>
          </w:tcPr>
          <w:p>
            <w:pPr>
              <w:rPr>
                <w:rFonts w:ascii="楷体" w:hAnsi="楷体" w:eastAsia="楷体"/>
                <w:sz w:val="24"/>
              </w:rPr>
            </w:pPr>
          </w:p>
        </w:tc>
        <w:tc>
          <w:tcPr>
            <w:tcW w:w="1365" w:type="dxa"/>
            <w:gridSpan w:val="2"/>
            <w:vAlign w:val="center"/>
          </w:tcPr>
          <w:p>
            <w:pPr>
              <w:rPr>
                <w:rFonts w:ascii="楷体" w:hAnsi="楷体" w:eastAsia="楷体"/>
                <w:sz w:val="24"/>
              </w:rPr>
            </w:pPr>
            <w:r>
              <w:rPr>
                <w:rFonts w:ascii="楷体" w:hAnsi="楷体" w:eastAsia="楷体"/>
                <w:sz w:val="24"/>
              </w:rPr>
              <w:t>电话</w:t>
            </w:r>
          </w:p>
        </w:tc>
        <w:tc>
          <w:tcPr>
            <w:tcW w:w="1785" w:type="dxa"/>
            <w:gridSpan w:val="3"/>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985" w:type="dxa"/>
            <w:vMerge w:val="continue"/>
            <w:vAlign w:val="center"/>
          </w:tcPr>
          <w:p>
            <w:pPr>
              <w:rPr>
                <w:rFonts w:ascii="楷体" w:hAnsi="楷体" w:eastAsia="楷体"/>
                <w:sz w:val="24"/>
              </w:rPr>
            </w:pPr>
          </w:p>
        </w:tc>
        <w:tc>
          <w:tcPr>
            <w:tcW w:w="1072" w:type="dxa"/>
            <w:vAlign w:val="center"/>
          </w:tcPr>
          <w:p>
            <w:pPr>
              <w:rPr>
                <w:rFonts w:ascii="楷体" w:hAnsi="楷体" w:eastAsia="楷体"/>
                <w:sz w:val="24"/>
              </w:rPr>
            </w:pPr>
            <w:r>
              <w:rPr>
                <w:rFonts w:ascii="楷体" w:hAnsi="楷体" w:eastAsia="楷体"/>
                <w:sz w:val="24"/>
              </w:rPr>
              <w:t>传真</w:t>
            </w:r>
          </w:p>
        </w:tc>
        <w:tc>
          <w:tcPr>
            <w:tcW w:w="2613" w:type="dxa"/>
            <w:gridSpan w:val="3"/>
            <w:vAlign w:val="center"/>
          </w:tcPr>
          <w:p>
            <w:pPr>
              <w:rPr>
                <w:rFonts w:ascii="楷体" w:hAnsi="楷体" w:eastAsia="楷体"/>
                <w:sz w:val="24"/>
              </w:rPr>
            </w:pPr>
          </w:p>
        </w:tc>
        <w:tc>
          <w:tcPr>
            <w:tcW w:w="1365" w:type="dxa"/>
            <w:gridSpan w:val="2"/>
            <w:vAlign w:val="center"/>
          </w:tcPr>
          <w:p>
            <w:pPr>
              <w:rPr>
                <w:rFonts w:ascii="楷体" w:hAnsi="楷体" w:eastAsia="楷体"/>
                <w:sz w:val="24"/>
              </w:rPr>
            </w:pPr>
            <w:r>
              <w:rPr>
                <w:rFonts w:hint="eastAsia" w:ascii="楷体" w:hAnsi="楷体" w:eastAsia="楷体"/>
                <w:sz w:val="24"/>
              </w:rPr>
              <w:t>邮箱</w:t>
            </w:r>
          </w:p>
        </w:tc>
        <w:tc>
          <w:tcPr>
            <w:tcW w:w="1785" w:type="dxa"/>
            <w:gridSpan w:val="3"/>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85" w:type="dxa"/>
            <w:vAlign w:val="center"/>
          </w:tcPr>
          <w:p>
            <w:pPr>
              <w:rPr>
                <w:rFonts w:ascii="楷体" w:hAnsi="楷体" w:eastAsia="楷体"/>
                <w:sz w:val="24"/>
              </w:rPr>
            </w:pPr>
            <w:r>
              <w:rPr>
                <w:rFonts w:ascii="楷体" w:hAnsi="楷体" w:eastAsia="楷体"/>
                <w:sz w:val="24"/>
              </w:rPr>
              <w:t>隶属情况（如有）</w:t>
            </w:r>
          </w:p>
        </w:tc>
        <w:tc>
          <w:tcPr>
            <w:tcW w:w="6835" w:type="dxa"/>
            <w:gridSpan w:val="9"/>
            <w:vAlign w:val="center"/>
          </w:tcPr>
          <w:p>
            <w:pPr>
              <w:rPr>
                <w:rFonts w:ascii="楷体" w:hAnsi="楷体" w:eastAsia="楷体"/>
                <w:sz w:val="24"/>
              </w:rPr>
            </w:pPr>
            <w:r>
              <w:rPr>
                <w:rFonts w:ascii="楷体" w:hAnsi="楷体" w:eastAsia="楷体"/>
                <w:sz w:val="24"/>
              </w:rPr>
              <w:t>阐明隶属及组织机构情况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85" w:type="dxa"/>
            <w:vAlign w:val="center"/>
          </w:tcPr>
          <w:p>
            <w:pPr>
              <w:rPr>
                <w:rFonts w:ascii="楷体" w:hAnsi="楷体" w:eastAsia="楷体"/>
                <w:sz w:val="24"/>
              </w:rPr>
            </w:pPr>
            <w:r>
              <w:rPr>
                <w:rFonts w:ascii="楷体" w:hAnsi="楷体" w:eastAsia="楷体"/>
                <w:sz w:val="24"/>
              </w:rPr>
              <w:t>控股情况（如有）</w:t>
            </w:r>
          </w:p>
        </w:tc>
        <w:tc>
          <w:tcPr>
            <w:tcW w:w="6835" w:type="dxa"/>
            <w:gridSpan w:val="9"/>
            <w:vAlign w:val="center"/>
          </w:tcPr>
          <w:p>
            <w:pPr>
              <w:rPr>
                <w:rFonts w:ascii="楷体" w:hAnsi="楷体" w:eastAsia="楷体"/>
                <w:sz w:val="24"/>
              </w:rPr>
            </w:pPr>
            <w:r>
              <w:rPr>
                <w:rFonts w:ascii="楷体" w:hAnsi="楷体" w:eastAsia="楷体"/>
                <w:sz w:val="24"/>
              </w:rPr>
              <w:t>阐明控股和被控股情况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985" w:type="dxa"/>
            <w:vAlign w:val="center"/>
          </w:tcPr>
          <w:p>
            <w:pPr>
              <w:rPr>
                <w:rFonts w:ascii="楷体" w:hAnsi="楷体" w:eastAsia="楷体"/>
                <w:sz w:val="24"/>
              </w:rPr>
            </w:pPr>
            <w:r>
              <w:rPr>
                <w:rFonts w:ascii="楷体" w:hAnsi="楷体" w:eastAsia="楷体"/>
                <w:sz w:val="24"/>
              </w:rPr>
              <w:t>组织结构</w:t>
            </w:r>
          </w:p>
        </w:tc>
        <w:tc>
          <w:tcPr>
            <w:tcW w:w="6835" w:type="dxa"/>
            <w:gridSpan w:val="9"/>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85" w:type="dxa"/>
            <w:vAlign w:val="center"/>
          </w:tcPr>
          <w:p>
            <w:pPr>
              <w:rPr>
                <w:rFonts w:ascii="楷体" w:hAnsi="楷体" w:eastAsia="楷体"/>
                <w:sz w:val="24"/>
              </w:rPr>
            </w:pPr>
            <w:r>
              <w:rPr>
                <w:rFonts w:hint="eastAsia" w:ascii="楷体" w:hAnsi="楷体" w:eastAsia="楷体"/>
                <w:sz w:val="24"/>
              </w:rPr>
              <w:t>简介</w:t>
            </w:r>
          </w:p>
        </w:tc>
        <w:tc>
          <w:tcPr>
            <w:tcW w:w="6835" w:type="dxa"/>
            <w:gridSpan w:val="9"/>
            <w:vAlign w:val="center"/>
          </w:tcPr>
          <w:p>
            <w:pPr>
              <w:rPr>
                <w:rFonts w:ascii="楷体" w:hAnsi="楷体" w:eastAsia="楷体"/>
                <w:sz w:val="24"/>
              </w:rPr>
            </w:pPr>
            <w:r>
              <w:rPr>
                <w:rFonts w:hint="eastAsia" w:ascii="楷体" w:hAnsi="楷体" w:eastAsia="楷体"/>
                <w:sz w:val="24"/>
              </w:rPr>
              <w:t>包括但不限于：企业经营范围、发展历程、经营业绩、获奖情况、财务状况、人力资源等。（可另附页）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985" w:type="dxa"/>
            <w:vAlign w:val="center"/>
          </w:tcPr>
          <w:p>
            <w:pPr>
              <w:rPr>
                <w:rFonts w:ascii="楷体" w:hAnsi="楷体" w:eastAsia="楷体"/>
                <w:sz w:val="24"/>
              </w:rPr>
            </w:pPr>
            <w:r>
              <w:rPr>
                <w:rFonts w:ascii="楷体" w:hAnsi="楷体" w:eastAsia="楷体"/>
                <w:sz w:val="24"/>
              </w:rPr>
              <w:t>法定代表人</w:t>
            </w:r>
          </w:p>
        </w:tc>
        <w:tc>
          <w:tcPr>
            <w:tcW w:w="1072" w:type="dxa"/>
            <w:vAlign w:val="center"/>
          </w:tcPr>
          <w:p>
            <w:pPr>
              <w:rPr>
                <w:rFonts w:ascii="楷体" w:hAnsi="楷体" w:eastAsia="楷体"/>
                <w:sz w:val="24"/>
              </w:rPr>
            </w:pPr>
            <w:r>
              <w:rPr>
                <w:rFonts w:ascii="楷体" w:hAnsi="楷体" w:eastAsia="楷体"/>
                <w:sz w:val="24"/>
              </w:rPr>
              <w:t>姓名</w:t>
            </w:r>
          </w:p>
        </w:tc>
        <w:tc>
          <w:tcPr>
            <w:tcW w:w="1803" w:type="dxa"/>
            <w:vAlign w:val="center"/>
          </w:tcPr>
          <w:p>
            <w:pPr>
              <w:rPr>
                <w:rFonts w:ascii="楷体" w:hAnsi="楷体" w:eastAsia="楷体"/>
                <w:sz w:val="24"/>
              </w:rPr>
            </w:pPr>
          </w:p>
        </w:tc>
        <w:tc>
          <w:tcPr>
            <w:tcW w:w="1252" w:type="dxa"/>
            <w:gridSpan w:val="3"/>
            <w:vAlign w:val="center"/>
          </w:tcPr>
          <w:p>
            <w:pPr>
              <w:rPr>
                <w:rFonts w:ascii="楷体" w:hAnsi="楷体" w:eastAsia="楷体"/>
                <w:sz w:val="24"/>
              </w:rPr>
            </w:pPr>
            <w:r>
              <w:rPr>
                <w:rFonts w:ascii="楷体" w:hAnsi="楷体" w:eastAsia="楷体"/>
                <w:sz w:val="24"/>
              </w:rPr>
              <w:t>技术职称</w:t>
            </w:r>
          </w:p>
        </w:tc>
        <w:tc>
          <w:tcPr>
            <w:tcW w:w="1265" w:type="dxa"/>
            <w:gridSpan w:val="2"/>
            <w:vAlign w:val="center"/>
          </w:tcPr>
          <w:p>
            <w:pPr>
              <w:rPr>
                <w:rFonts w:ascii="楷体" w:hAnsi="楷体" w:eastAsia="楷体"/>
                <w:sz w:val="24"/>
              </w:rPr>
            </w:pPr>
          </w:p>
        </w:tc>
        <w:tc>
          <w:tcPr>
            <w:tcW w:w="723" w:type="dxa"/>
            <w:vAlign w:val="center"/>
          </w:tcPr>
          <w:p>
            <w:pPr>
              <w:rPr>
                <w:rFonts w:ascii="楷体" w:hAnsi="楷体" w:eastAsia="楷体"/>
                <w:sz w:val="24"/>
              </w:rPr>
            </w:pPr>
            <w:r>
              <w:rPr>
                <w:rFonts w:ascii="楷体" w:hAnsi="楷体" w:eastAsia="楷体"/>
                <w:sz w:val="24"/>
              </w:rPr>
              <w:t>电话</w:t>
            </w:r>
          </w:p>
        </w:tc>
        <w:tc>
          <w:tcPr>
            <w:tcW w:w="720" w:type="dxa"/>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1985" w:type="dxa"/>
            <w:vAlign w:val="center"/>
          </w:tcPr>
          <w:p>
            <w:pPr>
              <w:rPr>
                <w:rFonts w:ascii="楷体" w:hAnsi="楷体" w:eastAsia="楷体"/>
                <w:sz w:val="24"/>
              </w:rPr>
            </w:pPr>
            <w:r>
              <w:rPr>
                <w:rFonts w:ascii="楷体" w:hAnsi="楷体" w:eastAsia="楷体"/>
                <w:sz w:val="24"/>
              </w:rPr>
              <w:t>技术负责人</w:t>
            </w:r>
          </w:p>
        </w:tc>
        <w:tc>
          <w:tcPr>
            <w:tcW w:w="1072" w:type="dxa"/>
            <w:vAlign w:val="center"/>
          </w:tcPr>
          <w:p>
            <w:pPr>
              <w:rPr>
                <w:rFonts w:ascii="楷体" w:hAnsi="楷体" w:eastAsia="楷体"/>
                <w:sz w:val="24"/>
              </w:rPr>
            </w:pPr>
            <w:r>
              <w:rPr>
                <w:rFonts w:ascii="楷体" w:hAnsi="楷体" w:eastAsia="楷体"/>
                <w:sz w:val="24"/>
              </w:rPr>
              <w:t>姓名</w:t>
            </w:r>
          </w:p>
        </w:tc>
        <w:tc>
          <w:tcPr>
            <w:tcW w:w="1803" w:type="dxa"/>
            <w:vAlign w:val="center"/>
          </w:tcPr>
          <w:p>
            <w:pPr>
              <w:rPr>
                <w:rFonts w:ascii="楷体" w:hAnsi="楷体" w:eastAsia="楷体"/>
                <w:sz w:val="24"/>
              </w:rPr>
            </w:pPr>
          </w:p>
        </w:tc>
        <w:tc>
          <w:tcPr>
            <w:tcW w:w="1252" w:type="dxa"/>
            <w:gridSpan w:val="3"/>
            <w:vAlign w:val="center"/>
          </w:tcPr>
          <w:p>
            <w:pPr>
              <w:rPr>
                <w:rFonts w:ascii="楷体" w:hAnsi="楷体" w:eastAsia="楷体"/>
                <w:sz w:val="24"/>
              </w:rPr>
            </w:pPr>
            <w:r>
              <w:rPr>
                <w:rFonts w:ascii="楷体" w:hAnsi="楷体" w:eastAsia="楷体"/>
                <w:sz w:val="24"/>
              </w:rPr>
              <w:t>技术职称</w:t>
            </w:r>
          </w:p>
        </w:tc>
        <w:tc>
          <w:tcPr>
            <w:tcW w:w="1265" w:type="dxa"/>
            <w:gridSpan w:val="2"/>
            <w:vAlign w:val="center"/>
          </w:tcPr>
          <w:p>
            <w:pPr>
              <w:rPr>
                <w:rFonts w:ascii="楷体" w:hAnsi="楷体" w:eastAsia="楷体"/>
                <w:sz w:val="24"/>
              </w:rPr>
            </w:pPr>
          </w:p>
        </w:tc>
        <w:tc>
          <w:tcPr>
            <w:tcW w:w="723" w:type="dxa"/>
            <w:vAlign w:val="center"/>
          </w:tcPr>
          <w:p>
            <w:pPr>
              <w:rPr>
                <w:rFonts w:ascii="楷体" w:hAnsi="楷体" w:eastAsia="楷体"/>
                <w:sz w:val="24"/>
              </w:rPr>
            </w:pPr>
            <w:r>
              <w:rPr>
                <w:rFonts w:ascii="楷体" w:hAnsi="楷体" w:eastAsia="楷体"/>
                <w:sz w:val="24"/>
              </w:rPr>
              <w:t>电话</w:t>
            </w:r>
          </w:p>
        </w:tc>
        <w:tc>
          <w:tcPr>
            <w:tcW w:w="720" w:type="dxa"/>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985" w:type="dxa"/>
            <w:vAlign w:val="center"/>
          </w:tcPr>
          <w:p>
            <w:pPr>
              <w:rPr>
                <w:rFonts w:ascii="楷体" w:hAnsi="楷体" w:eastAsia="楷体"/>
                <w:sz w:val="24"/>
              </w:rPr>
            </w:pPr>
            <w:r>
              <w:rPr>
                <w:rFonts w:ascii="楷体" w:hAnsi="楷体" w:eastAsia="楷体"/>
                <w:sz w:val="24"/>
              </w:rPr>
              <w:t>成立时间</w:t>
            </w:r>
          </w:p>
        </w:tc>
        <w:tc>
          <w:tcPr>
            <w:tcW w:w="2875" w:type="dxa"/>
            <w:gridSpan w:val="2"/>
            <w:vAlign w:val="center"/>
          </w:tcPr>
          <w:p>
            <w:pPr>
              <w:rPr>
                <w:rFonts w:ascii="楷体" w:hAnsi="楷体" w:eastAsia="楷体"/>
                <w:sz w:val="24"/>
              </w:rPr>
            </w:pPr>
          </w:p>
        </w:tc>
        <w:tc>
          <w:tcPr>
            <w:tcW w:w="3960" w:type="dxa"/>
            <w:gridSpan w:val="7"/>
            <w:vAlign w:val="center"/>
          </w:tcPr>
          <w:p>
            <w:pPr>
              <w:rPr>
                <w:rFonts w:ascii="楷体" w:hAnsi="楷体" w:eastAsia="楷体"/>
                <w:sz w:val="24"/>
              </w:rPr>
            </w:pPr>
            <w:r>
              <w:rPr>
                <w:rFonts w:ascii="楷体" w:hAnsi="楷体" w:eastAsia="楷体"/>
                <w:sz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1985" w:type="dxa"/>
            <w:vAlign w:val="center"/>
          </w:tcPr>
          <w:p>
            <w:pPr>
              <w:rPr>
                <w:rFonts w:ascii="楷体" w:hAnsi="楷体" w:eastAsia="楷体"/>
                <w:sz w:val="24"/>
              </w:rPr>
            </w:pPr>
            <w:r>
              <w:rPr>
                <w:rFonts w:ascii="楷体" w:hAnsi="楷体" w:eastAsia="楷体"/>
                <w:sz w:val="24"/>
              </w:rPr>
              <w:t>企业资质等级</w:t>
            </w:r>
          </w:p>
        </w:tc>
        <w:tc>
          <w:tcPr>
            <w:tcW w:w="2875" w:type="dxa"/>
            <w:gridSpan w:val="2"/>
            <w:vAlign w:val="center"/>
          </w:tcPr>
          <w:p>
            <w:pPr>
              <w:rPr>
                <w:rFonts w:ascii="楷体" w:hAnsi="楷体" w:eastAsia="楷体"/>
                <w:sz w:val="24"/>
              </w:rPr>
            </w:pPr>
          </w:p>
        </w:tc>
        <w:tc>
          <w:tcPr>
            <w:tcW w:w="714" w:type="dxa"/>
            <w:vMerge w:val="restart"/>
            <w:vAlign w:val="center"/>
          </w:tcPr>
          <w:p>
            <w:pPr>
              <w:rPr>
                <w:rFonts w:ascii="楷体" w:hAnsi="楷体" w:eastAsia="楷体"/>
                <w:sz w:val="24"/>
              </w:rPr>
            </w:pPr>
            <w:r>
              <w:rPr>
                <w:rFonts w:ascii="楷体" w:hAnsi="楷体" w:eastAsia="楷体"/>
                <w:sz w:val="24"/>
              </w:rPr>
              <w:t>其中</w:t>
            </w:r>
          </w:p>
        </w:tc>
        <w:tc>
          <w:tcPr>
            <w:tcW w:w="1803" w:type="dxa"/>
            <w:gridSpan w:val="4"/>
            <w:vAlign w:val="center"/>
          </w:tcPr>
          <w:p>
            <w:pPr>
              <w:rPr>
                <w:rFonts w:ascii="楷体" w:hAnsi="楷体" w:eastAsia="楷体"/>
                <w:sz w:val="24"/>
              </w:rPr>
            </w:pPr>
            <w:r>
              <w:rPr>
                <w:rFonts w:ascii="楷体" w:hAnsi="楷体" w:eastAsia="楷体"/>
                <w:sz w:val="24"/>
              </w:rPr>
              <w:t>高级职称人员</w:t>
            </w:r>
          </w:p>
        </w:tc>
        <w:tc>
          <w:tcPr>
            <w:tcW w:w="1443" w:type="dxa"/>
            <w:gridSpan w:val="2"/>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985" w:type="dxa"/>
            <w:vAlign w:val="center"/>
          </w:tcPr>
          <w:p>
            <w:pPr>
              <w:rPr>
                <w:rFonts w:ascii="楷体" w:hAnsi="楷体" w:eastAsia="楷体"/>
                <w:sz w:val="24"/>
              </w:rPr>
            </w:pPr>
            <w:r>
              <w:rPr>
                <w:rFonts w:ascii="楷体" w:hAnsi="楷体" w:eastAsia="楷体"/>
                <w:sz w:val="24"/>
              </w:rPr>
              <w:t>营业执照号</w:t>
            </w:r>
          </w:p>
        </w:tc>
        <w:tc>
          <w:tcPr>
            <w:tcW w:w="2875" w:type="dxa"/>
            <w:gridSpan w:val="2"/>
            <w:vAlign w:val="center"/>
          </w:tcPr>
          <w:p>
            <w:pPr>
              <w:rPr>
                <w:rFonts w:ascii="楷体" w:hAnsi="楷体" w:eastAsia="楷体"/>
                <w:sz w:val="24"/>
              </w:rPr>
            </w:pPr>
          </w:p>
        </w:tc>
        <w:tc>
          <w:tcPr>
            <w:tcW w:w="714" w:type="dxa"/>
            <w:vMerge w:val="continue"/>
            <w:vAlign w:val="center"/>
          </w:tcPr>
          <w:p>
            <w:pPr>
              <w:rPr>
                <w:rFonts w:ascii="楷体" w:hAnsi="楷体" w:eastAsia="楷体"/>
                <w:sz w:val="24"/>
              </w:rPr>
            </w:pPr>
          </w:p>
        </w:tc>
        <w:tc>
          <w:tcPr>
            <w:tcW w:w="1803" w:type="dxa"/>
            <w:gridSpan w:val="4"/>
            <w:vAlign w:val="center"/>
          </w:tcPr>
          <w:p>
            <w:pPr>
              <w:rPr>
                <w:rFonts w:ascii="楷体" w:hAnsi="楷体" w:eastAsia="楷体"/>
                <w:sz w:val="24"/>
              </w:rPr>
            </w:pPr>
            <w:r>
              <w:rPr>
                <w:rFonts w:ascii="楷体" w:hAnsi="楷体" w:eastAsia="楷体"/>
                <w:sz w:val="24"/>
              </w:rPr>
              <w:t>中级职称人员</w:t>
            </w:r>
          </w:p>
        </w:tc>
        <w:tc>
          <w:tcPr>
            <w:tcW w:w="1443" w:type="dxa"/>
            <w:gridSpan w:val="2"/>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1985" w:type="dxa"/>
            <w:vAlign w:val="center"/>
          </w:tcPr>
          <w:p>
            <w:pPr>
              <w:rPr>
                <w:rFonts w:ascii="楷体" w:hAnsi="楷体" w:eastAsia="楷体"/>
                <w:sz w:val="24"/>
              </w:rPr>
            </w:pPr>
            <w:r>
              <w:rPr>
                <w:rFonts w:ascii="楷体" w:hAnsi="楷体" w:eastAsia="楷体"/>
                <w:sz w:val="24"/>
              </w:rPr>
              <w:t>注册资金</w:t>
            </w:r>
          </w:p>
        </w:tc>
        <w:tc>
          <w:tcPr>
            <w:tcW w:w="2875" w:type="dxa"/>
            <w:gridSpan w:val="2"/>
            <w:vAlign w:val="center"/>
          </w:tcPr>
          <w:p>
            <w:pPr>
              <w:rPr>
                <w:rFonts w:ascii="楷体" w:hAnsi="楷体" w:eastAsia="楷体"/>
                <w:sz w:val="24"/>
              </w:rPr>
            </w:pPr>
          </w:p>
        </w:tc>
        <w:tc>
          <w:tcPr>
            <w:tcW w:w="714" w:type="dxa"/>
            <w:vMerge w:val="continue"/>
            <w:vAlign w:val="center"/>
          </w:tcPr>
          <w:p>
            <w:pPr>
              <w:rPr>
                <w:rFonts w:ascii="楷体" w:hAnsi="楷体" w:eastAsia="楷体"/>
                <w:sz w:val="24"/>
              </w:rPr>
            </w:pPr>
          </w:p>
        </w:tc>
        <w:tc>
          <w:tcPr>
            <w:tcW w:w="1803" w:type="dxa"/>
            <w:gridSpan w:val="4"/>
            <w:vAlign w:val="center"/>
          </w:tcPr>
          <w:p>
            <w:pPr>
              <w:rPr>
                <w:rFonts w:ascii="楷体" w:hAnsi="楷体" w:eastAsia="楷体"/>
                <w:sz w:val="24"/>
              </w:rPr>
            </w:pPr>
            <w:r>
              <w:rPr>
                <w:rFonts w:ascii="楷体" w:hAnsi="楷体" w:eastAsia="楷体"/>
                <w:sz w:val="24"/>
              </w:rPr>
              <w:t>初级职称人员</w:t>
            </w:r>
          </w:p>
        </w:tc>
        <w:tc>
          <w:tcPr>
            <w:tcW w:w="1443" w:type="dxa"/>
            <w:gridSpan w:val="2"/>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1985" w:type="dxa"/>
            <w:vAlign w:val="center"/>
          </w:tcPr>
          <w:p>
            <w:pPr>
              <w:rPr>
                <w:rFonts w:ascii="楷体" w:hAnsi="楷体" w:eastAsia="楷体"/>
                <w:sz w:val="24"/>
              </w:rPr>
            </w:pPr>
            <w:r>
              <w:rPr>
                <w:rFonts w:ascii="楷体" w:hAnsi="楷体" w:eastAsia="楷体"/>
                <w:sz w:val="24"/>
              </w:rPr>
              <w:t>开户银行</w:t>
            </w:r>
          </w:p>
        </w:tc>
        <w:tc>
          <w:tcPr>
            <w:tcW w:w="2875" w:type="dxa"/>
            <w:gridSpan w:val="2"/>
            <w:vAlign w:val="center"/>
          </w:tcPr>
          <w:p>
            <w:pPr>
              <w:rPr>
                <w:rFonts w:ascii="楷体" w:hAnsi="楷体" w:eastAsia="楷体"/>
                <w:sz w:val="24"/>
              </w:rPr>
            </w:pPr>
          </w:p>
        </w:tc>
        <w:tc>
          <w:tcPr>
            <w:tcW w:w="714" w:type="dxa"/>
            <w:vMerge w:val="continue"/>
            <w:vAlign w:val="center"/>
          </w:tcPr>
          <w:p>
            <w:pPr>
              <w:rPr>
                <w:rFonts w:ascii="楷体" w:hAnsi="楷体" w:eastAsia="楷体"/>
                <w:sz w:val="24"/>
              </w:rPr>
            </w:pPr>
          </w:p>
        </w:tc>
        <w:tc>
          <w:tcPr>
            <w:tcW w:w="1803" w:type="dxa"/>
            <w:gridSpan w:val="4"/>
            <w:vAlign w:val="center"/>
          </w:tcPr>
          <w:p>
            <w:pPr>
              <w:rPr>
                <w:rFonts w:ascii="楷体" w:hAnsi="楷体" w:eastAsia="楷体"/>
                <w:sz w:val="24"/>
              </w:rPr>
            </w:pPr>
            <w:r>
              <w:rPr>
                <w:rFonts w:ascii="楷体" w:hAnsi="楷体" w:eastAsia="楷体"/>
                <w:sz w:val="24"/>
              </w:rPr>
              <w:t>其他……</w:t>
            </w:r>
          </w:p>
        </w:tc>
        <w:tc>
          <w:tcPr>
            <w:tcW w:w="1443" w:type="dxa"/>
            <w:gridSpan w:val="2"/>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985" w:type="dxa"/>
            <w:vAlign w:val="center"/>
          </w:tcPr>
          <w:p>
            <w:pPr>
              <w:rPr>
                <w:rFonts w:ascii="楷体" w:hAnsi="楷体" w:eastAsia="楷体"/>
                <w:sz w:val="24"/>
              </w:rPr>
            </w:pPr>
            <w:r>
              <w:rPr>
                <w:rFonts w:ascii="楷体" w:hAnsi="楷体" w:eastAsia="楷体"/>
                <w:sz w:val="24"/>
              </w:rPr>
              <w:t>账号</w:t>
            </w:r>
          </w:p>
        </w:tc>
        <w:tc>
          <w:tcPr>
            <w:tcW w:w="2875" w:type="dxa"/>
            <w:gridSpan w:val="2"/>
            <w:vAlign w:val="center"/>
          </w:tcPr>
          <w:p>
            <w:pPr>
              <w:rPr>
                <w:rFonts w:ascii="楷体" w:hAnsi="楷体" w:eastAsia="楷体"/>
                <w:sz w:val="24"/>
              </w:rPr>
            </w:pPr>
          </w:p>
        </w:tc>
        <w:tc>
          <w:tcPr>
            <w:tcW w:w="714" w:type="dxa"/>
            <w:vMerge w:val="continue"/>
            <w:vAlign w:val="center"/>
          </w:tcPr>
          <w:p>
            <w:pPr>
              <w:rPr>
                <w:rFonts w:ascii="楷体" w:hAnsi="楷体" w:eastAsia="楷体"/>
                <w:sz w:val="24"/>
              </w:rPr>
            </w:pPr>
          </w:p>
        </w:tc>
        <w:tc>
          <w:tcPr>
            <w:tcW w:w="1803" w:type="dxa"/>
            <w:gridSpan w:val="4"/>
            <w:vAlign w:val="center"/>
          </w:tcPr>
          <w:p>
            <w:pPr>
              <w:rPr>
                <w:rFonts w:ascii="楷体" w:hAnsi="楷体" w:eastAsia="楷体"/>
                <w:sz w:val="24"/>
              </w:rPr>
            </w:pPr>
          </w:p>
        </w:tc>
        <w:tc>
          <w:tcPr>
            <w:tcW w:w="1443" w:type="dxa"/>
            <w:gridSpan w:val="2"/>
            <w:vAlign w:val="center"/>
          </w:tcPr>
          <w:p>
            <w:pPr>
              <w:rPr>
                <w:rFonts w:ascii="楷体" w:hAnsi="楷体" w:eastAsia="楷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1985" w:type="dxa"/>
            <w:vAlign w:val="center"/>
          </w:tcPr>
          <w:p>
            <w:pPr>
              <w:rPr>
                <w:rFonts w:ascii="楷体" w:hAnsi="楷体" w:eastAsia="楷体"/>
                <w:sz w:val="24"/>
              </w:rPr>
            </w:pPr>
            <w:r>
              <w:rPr>
                <w:rFonts w:ascii="楷体" w:hAnsi="楷体" w:eastAsia="楷体"/>
                <w:sz w:val="24"/>
              </w:rPr>
              <w:t>经营范围备注</w:t>
            </w:r>
          </w:p>
        </w:tc>
        <w:tc>
          <w:tcPr>
            <w:tcW w:w="6835" w:type="dxa"/>
            <w:gridSpan w:val="9"/>
            <w:vAlign w:val="center"/>
          </w:tcPr>
          <w:p>
            <w:pPr>
              <w:ind w:firstLine="480" w:firstLineChars="200"/>
              <w:rPr>
                <w:rFonts w:ascii="楷体" w:hAnsi="楷体" w:eastAsia="楷体"/>
                <w:sz w:val="24"/>
              </w:rPr>
            </w:pPr>
          </w:p>
        </w:tc>
      </w:tr>
    </w:tbl>
    <w:p>
      <w:pPr>
        <w:spacing w:line="360" w:lineRule="auto"/>
        <w:rPr>
          <w:rFonts w:ascii="楷体" w:hAnsi="楷体" w:eastAsia="楷体"/>
          <w:sz w:val="24"/>
        </w:rPr>
      </w:pPr>
    </w:p>
    <w:p>
      <w:pPr>
        <w:spacing w:line="360" w:lineRule="auto"/>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pacing w:line="480" w:lineRule="exact"/>
        <w:rPr>
          <w:rFonts w:ascii="楷体" w:hAnsi="楷体" w:eastAsia="楷体"/>
        </w:r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r>
        <w:rPr>
          <w:rFonts w:ascii="楷体" w:hAnsi="楷体" w:eastAsia="楷体"/>
          <w:b/>
          <w:sz w:val="28"/>
        </w:rPr>
        <w:br w:type="page"/>
      </w:r>
    </w:p>
    <w:p>
      <w:pPr>
        <w:snapToGrid w:val="0"/>
        <w:spacing w:line="480" w:lineRule="exact"/>
        <w:rPr>
          <w:rFonts w:ascii="楷体" w:hAnsi="楷体" w:eastAsia="楷体"/>
          <w:sz w:val="24"/>
          <w:szCs w:val="24"/>
        </w:rPr>
      </w:pPr>
      <w:r>
        <w:rPr>
          <w:rFonts w:hint="eastAsia" w:ascii="楷体" w:hAnsi="楷体" w:eastAsia="楷体"/>
          <w:sz w:val="24"/>
          <w:szCs w:val="24"/>
        </w:rPr>
        <w:t>附件</w:t>
      </w:r>
      <w:r>
        <w:rPr>
          <w:rFonts w:ascii="楷体" w:hAnsi="楷体" w:eastAsia="楷体"/>
          <w:sz w:val="24"/>
          <w:szCs w:val="24"/>
        </w:rPr>
        <w:t>6-3 有效的营业执照或社会团体登记证书或事业单位法人证书或其他类型主体资格证书（副本复印件，加盖公章）</w:t>
      </w:r>
    </w:p>
    <w:p>
      <w:pPr>
        <w:snapToGrid w:val="0"/>
        <w:spacing w:line="480" w:lineRule="exact"/>
        <w:rPr>
          <w:rFonts w:ascii="楷体" w:hAnsi="楷体" w:eastAsia="楷体"/>
          <w:sz w:val="24"/>
          <w:szCs w:val="24"/>
        </w:rPr>
      </w:pPr>
    </w:p>
    <w:p>
      <w:pPr>
        <w:snapToGrid w:val="0"/>
        <w:spacing w:line="480" w:lineRule="exact"/>
        <w:rPr>
          <w:rFonts w:ascii="楷体" w:hAnsi="楷体" w:eastAsia="楷体"/>
          <w:sz w:val="24"/>
          <w:szCs w:val="24"/>
        </w:rPr>
      </w:pPr>
      <w:r>
        <w:rPr>
          <w:rFonts w:hint="eastAsia" w:ascii="楷体" w:hAnsi="楷体" w:eastAsia="楷体"/>
          <w:sz w:val="24"/>
          <w:szCs w:val="24"/>
        </w:rPr>
        <w:t>附件</w:t>
      </w:r>
      <w:r>
        <w:rPr>
          <w:rFonts w:ascii="楷体" w:hAnsi="楷体" w:eastAsia="楷体"/>
          <w:sz w:val="24"/>
          <w:szCs w:val="24"/>
        </w:rPr>
        <w:t>6-4</w:t>
      </w:r>
      <w:r>
        <w:rPr>
          <w:rFonts w:hint="eastAsia" w:ascii="楷体" w:hAnsi="楷体" w:eastAsia="楷体"/>
          <w:sz w:val="24"/>
          <w:szCs w:val="24"/>
        </w:rPr>
        <w:t>近期</w:t>
      </w:r>
      <w:r>
        <w:rPr>
          <w:rFonts w:ascii="楷体" w:hAnsi="楷体" w:eastAsia="楷体"/>
          <w:sz w:val="24"/>
          <w:szCs w:val="24"/>
        </w:rPr>
        <w:t>磋商供应商</w:t>
      </w:r>
      <w:r>
        <w:rPr>
          <w:rFonts w:hint="eastAsia" w:ascii="楷体" w:hAnsi="楷体" w:eastAsia="楷体"/>
          <w:sz w:val="24"/>
          <w:szCs w:val="24"/>
        </w:rPr>
        <w:t>缴纳企业所得税或增值税的</w:t>
      </w:r>
      <w:r>
        <w:rPr>
          <w:rFonts w:ascii="楷体" w:hAnsi="楷体" w:eastAsia="楷体"/>
          <w:sz w:val="24"/>
          <w:szCs w:val="24"/>
        </w:rPr>
        <w:t>证明（缴纳发票复印件，加盖公章）</w:t>
      </w:r>
      <w:r>
        <w:rPr>
          <w:rFonts w:hint="eastAsia" w:ascii="楷体" w:hAnsi="楷体" w:eastAsia="楷体"/>
          <w:sz w:val="24"/>
          <w:szCs w:val="24"/>
        </w:rPr>
        <w:t>或事业单位近期纳税证明（缴纳发票复印件，加盖公章）</w:t>
      </w:r>
    </w:p>
    <w:p>
      <w:pPr>
        <w:snapToGrid w:val="0"/>
        <w:spacing w:line="480" w:lineRule="exact"/>
        <w:rPr>
          <w:rFonts w:ascii="楷体" w:hAnsi="楷体" w:eastAsia="楷体"/>
          <w:sz w:val="24"/>
          <w:szCs w:val="24"/>
        </w:rPr>
      </w:pPr>
    </w:p>
    <w:p>
      <w:pPr>
        <w:snapToGrid w:val="0"/>
        <w:spacing w:line="480" w:lineRule="exact"/>
        <w:rPr>
          <w:rFonts w:ascii="楷体" w:hAnsi="楷体" w:eastAsia="楷体"/>
          <w:sz w:val="24"/>
          <w:szCs w:val="24"/>
        </w:rPr>
      </w:pPr>
      <w:r>
        <w:rPr>
          <w:rFonts w:hint="eastAsia" w:ascii="楷体" w:hAnsi="楷体" w:eastAsia="楷体"/>
          <w:sz w:val="24"/>
          <w:szCs w:val="24"/>
        </w:rPr>
        <w:t>附件</w:t>
      </w:r>
      <w:r>
        <w:rPr>
          <w:rFonts w:ascii="楷体" w:hAnsi="楷体" w:eastAsia="楷体"/>
          <w:sz w:val="24"/>
          <w:szCs w:val="24"/>
        </w:rPr>
        <w:t>6-5</w:t>
      </w:r>
      <w:r>
        <w:rPr>
          <w:rFonts w:hint="eastAsia" w:ascii="楷体" w:hAnsi="楷体" w:eastAsia="楷体"/>
          <w:sz w:val="24"/>
          <w:szCs w:val="24"/>
        </w:rPr>
        <w:t>近期</w:t>
      </w:r>
      <w:r>
        <w:rPr>
          <w:rFonts w:ascii="楷体" w:hAnsi="楷体" w:eastAsia="楷体"/>
          <w:sz w:val="24"/>
          <w:szCs w:val="24"/>
        </w:rPr>
        <w:t>磋商供应商为职工缴纳社会保险的证明（包括基本养老保险费、基本医疗保险费、失业保险费等缴纳发票复印件，加盖公章</w:t>
      </w:r>
      <w:r>
        <w:rPr>
          <w:rFonts w:hint="eastAsia" w:ascii="楷体" w:hAnsi="楷体" w:eastAsia="楷体"/>
          <w:sz w:val="24"/>
          <w:szCs w:val="24"/>
        </w:rPr>
        <w:t>。依法不需要缴纳社保的供应商应提供不需缴纳的声明原件，格式自定</w:t>
      </w:r>
      <w:r>
        <w:rPr>
          <w:rFonts w:ascii="楷体" w:hAnsi="楷体" w:eastAsia="楷体"/>
          <w:sz w:val="24"/>
          <w:szCs w:val="24"/>
        </w:rPr>
        <w:t>）</w:t>
      </w:r>
    </w:p>
    <w:p>
      <w:pPr>
        <w:snapToGrid w:val="0"/>
        <w:spacing w:line="480" w:lineRule="exact"/>
        <w:rPr>
          <w:rFonts w:ascii="楷体" w:hAnsi="楷体" w:eastAsia="楷体"/>
          <w:sz w:val="24"/>
          <w:szCs w:val="24"/>
        </w:rPr>
      </w:pPr>
    </w:p>
    <w:p>
      <w:pPr>
        <w:snapToGrid w:val="0"/>
        <w:spacing w:line="480" w:lineRule="exact"/>
        <w:rPr>
          <w:rFonts w:ascii="楷体" w:hAnsi="楷体" w:eastAsia="楷体"/>
          <w:sz w:val="24"/>
          <w:szCs w:val="24"/>
        </w:rPr>
      </w:pPr>
      <w:r>
        <w:rPr>
          <w:rFonts w:hint="eastAsia" w:ascii="楷体" w:hAnsi="楷体" w:eastAsia="楷体"/>
          <w:sz w:val="24"/>
          <w:szCs w:val="24"/>
        </w:rPr>
        <w:t>附件</w:t>
      </w:r>
      <w:r>
        <w:rPr>
          <w:rFonts w:ascii="楷体" w:hAnsi="楷体" w:eastAsia="楷体"/>
          <w:sz w:val="24"/>
          <w:szCs w:val="24"/>
        </w:rPr>
        <w:t>6-6</w:t>
      </w:r>
      <w:r>
        <w:rPr>
          <w:rFonts w:hint="eastAsia" w:ascii="楷体" w:hAnsi="楷体" w:eastAsia="楷体"/>
          <w:sz w:val="24"/>
        </w:rPr>
        <w:t>会计师事务所出具的上2020年度财务审计报告或银行</w:t>
      </w:r>
      <w:r>
        <w:rPr>
          <w:rFonts w:ascii="楷体" w:hAnsi="楷体" w:eastAsia="楷体"/>
          <w:sz w:val="24"/>
        </w:rPr>
        <w:t>出具的</w:t>
      </w:r>
      <w:r>
        <w:rPr>
          <w:rFonts w:hint="eastAsia" w:ascii="楷体" w:hAnsi="楷体" w:eastAsia="楷体"/>
          <w:sz w:val="24"/>
        </w:rPr>
        <w:t>说明</w:t>
      </w:r>
      <w:r>
        <w:rPr>
          <w:rFonts w:ascii="楷体" w:hAnsi="楷体" w:eastAsia="楷体"/>
          <w:sz w:val="24"/>
        </w:rPr>
        <w:t>投标人</w:t>
      </w:r>
      <w:r>
        <w:rPr>
          <w:rFonts w:hint="eastAsia" w:ascii="楷体" w:hAnsi="楷体" w:eastAsia="楷体"/>
          <w:sz w:val="24"/>
        </w:rPr>
        <w:t>商业信誉或</w:t>
      </w:r>
      <w:r>
        <w:rPr>
          <w:rFonts w:ascii="楷体" w:hAnsi="楷体" w:eastAsia="楷体"/>
          <w:sz w:val="24"/>
        </w:rPr>
        <w:t>结算</w:t>
      </w:r>
      <w:r>
        <w:rPr>
          <w:rFonts w:hint="eastAsia" w:ascii="楷体" w:hAnsi="楷体" w:eastAsia="楷体"/>
          <w:sz w:val="24"/>
        </w:rPr>
        <w:t>情况</w:t>
      </w:r>
      <w:r>
        <w:rPr>
          <w:rFonts w:ascii="楷体" w:hAnsi="楷体" w:eastAsia="楷体"/>
          <w:sz w:val="24"/>
        </w:rPr>
        <w:t>等事项的</w:t>
      </w:r>
      <w:r>
        <w:rPr>
          <w:rFonts w:hint="eastAsia" w:ascii="楷体" w:hAnsi="楷体" w:eastAsia="楷体"/>
          <w:sz w:val="24"/>
        </w:rPr>
        <w:t>证明</w:t>
      </w:r>
      <w:r>
        <w:rPr>
          <w:rFonts w:ascii="楷体" w:hAnsi="楷体" w:eastAsia="楷体"/>
          <w:sz w:val="24"/>
        </w:rPr>
        <w:t>文件</w:t>
      </w:r>
      <w:r>
        <w:rPr>
          <w:rFonts w:ascii="楷体" w:hAnsi="楷体" w:eastAsia="楷体"/>
          <w:sz w:val="24"/>
          <w:szCs w:val="24"/>
        </w:rPr>
        <w:t>（复印件，加盖公章）</w:t>
      </w:r>
    </w:p>
    <w:p>
      <w:pPr>
        <w:snapToGrid w:val="0"/>
        <w:spacing w:line="480" w:lineRule="exact"/>
        <w:rPr>
          <w:rFonts w:ascii="楷体" w:hAnsi="楷体" w:eastAsia="楷体"/>
          <w:sz w:val="24"/>
          <w:szCs w:val="24"/>
        </w:rPr>
      </w:pPr>
    </w:p>
    <w:p>
      <w:pPr>
        <w:snapToGrid w:val="0"/>
        <w:spacing w:line="480" w:lineRule="exact"/>
        <w:rPr>
          <w:rFonts w:ascii="楷体" w:hAnsi="楷体" w:eastAsia="楷体"/>
          <w:sz w:val="24"/>
          <w:szCs w:val="24"/>
        </w:rPr>
      </w:pPr>
      <w:r>
        <w:rPr>
          <w:rFonts w:hint="eastAsia" w:ascii="楷体" w:hAnsi="楷体" w:eastAsia="楷体"/>
          <w:sz w:val="24"/>
          <w:szCs w:val="24"/>
        </w:rPr>
        <w:t>附件</w:t>
      </w:r>
      <w:r>
        <w:rPr>
          <w:rFonts w:ascii="楷体" w:hAnsi="楷体" w:eastAsia="楷体"/>
          <w:sz w:val="24"/>
          <w:szCs w:val="24"/>
        </w:rPr>
        <w:t>6-7磋商供应商</w:t>
      </w:r>
      <w:r>
        <w:rPr>
          <w:rFonts w:hint="eastAsia" w:ascii="楷体" w:hAnsi="楷体" w:eastAsia="楷体"/>
          <w:sz w:val="24"/>
          <w:szCs w:val="24"/>
        </w:rPr>
        <w:t>参加政府采购活动前三年内，在经营活动中没有重大违法和不良记录</w:t>
      </w:r>
      <w:r>
        <w:rPr>
          <w:rFonts w:ascii="楷体" w:hAnsi="楷体" w:eastAsia="楷体"/>
          <w:sz w:val="24"/>
          <w:szCs w:val="24"/>
        </w:rPr>
        <w:t>的说明（格式自定，原件）</w:t>
      </w:r>
    </w:p>
    <w:p>
      <w:pPr>
        <w:pStyle w:val="69"/>
      </w:pPr>
    </w:p>
    <w:p>
      <w:pPr>
        <w:snapToGrid w:val="0"/>
        <w:spacing w:line="480" w:lineRule="exact"/>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pStyle w:val="69"/>
        <w:rPr>
          <w:rFonts w:ascii="楷体" w:hAnsi="楷体" w:eastAsia="楷体"/>
          <w:sz w:val="28"/>
        </w:rPr>
      </w:pPr>
    </w:p>
    <w:p>
      <w:pPr>
        <w:snapToGrid w:val="0"/>
        <w:spacing w:line="480" w:lineRule="exact"/>
        <w:rPr>
          <w:rFonts w:hint="eastAsia" w:ascii="楷体" w:hAnsi="楷体" w:eastAsia="楷体"/>
          <w:b/>
          <w:sz w:val="24"/>
          <w:szCs w:val="24"/>
        </w:rPr>
      </w:pPr>
    </w:p>
    <w:p>
      <w:pPr>
        <w:snapToGrid w:val="0"/>
        <w:spacing w:line="480" w:lineRule="exact"/>
        <w:rPr>
          <w:rFonts w:ascii="楷体" w:hAnsi="楷体" w:eastAsia="楷体"/>
          <w:b/>
          <w:sz w:val="24"/>
          <w:szCs w:val="24"/>
        </w:rPr>
      </w:pPr>
      <w:r>
        <w:rPr>
          <w:rFonts w:hint="eastAsia" w:ascii="楷体" w:hAnsi="楷体" w:eastAsia="楷体"/>
          <w:b/>
          <w:sz w:val="24"/>
          <w:szCs w:val="24"/>
        </w:rPr>
        <w:t>附件</w:t>
      </w:r>
      <w:r>
        <w:rPr>
          <w:rFonts w:ascii="楷体" w:hAnsi="楷体" w:eastAsia="楷体"/>
          <w:b/>
          <w:sz w:val="24"/>
          <w:szCs w:val="24"/>
        </w:rPr>
        <w:t>6-8  磋商供应商</w:t>
      </w:r>
      <w:r>
        <w:rPr>
          <w:rFonts w:hint="eastAsia" w:ascii="楷体" w:hAnsi="楷体" w:eastAsia="楷体"/>
          <w:b/>
          <w:sz w:val="24"/>
          <w:szCs w:val="24"/>
        </w:rPr>
        <w:t>中小企业</w:t>
      </w:r>
      <w:r>
        <w:rPr>
          <w:rFonts w:ascii="楷体" w:hAnsi="楷体" w:eastAsia="楷体"/>
          <w:b/>
          <w:sz w:val="24"/>
          <w:szCs w:val="24"/>
        </w:rPr>
        <w:t>声明函（原件，</w:t>
      </w:r>
      <w:r>
        <w:rPr>
          <w:rFonts w:hint="eastAsia" w:ascii="楷体" w:hAnsi="楷体" w:eastAsia="楷体"/>
          <w:b/>
          <w:sz w:val="24"/>
          <w:szCs w:val="24"/>
        </w:rPr>
        <w:t>如</w:t>
      </w:r>
      <w:r>
        <w:rPr>
          <w:rFonts w:ascii="楷体" w:hAnsi="楷体" w:eastAsia="楷体"/>
          <w:b/>
          <w:sz w:val="24"/>
          <w:szCs w:val="24"/>
        </w:rPr>
        <w:t>符合《</w:t>
      </w:r>
      <w:r>
        <w:rPr>
          <w:rFonts w:hint="eastAsia" w:ascii="楷体" w:hAnsi="楷体" w:eastAsia="楷体"/>
          <w:b/>
          <w:sz w:val="24"/>
          <w:szCs w:val="24"/>
        </w:rPr>
        <w:t>政府采购促进中小企业发展管理办法</w:t>
      </w:r>
      <w:r>
        <w:rPr>
          <w:rFonts w:ascii="楷体" w:hAnsi="楷体" w:eastAsia="楷体"/>
          <w:b/>
          <w:sz w:val="24"/>
          <w:szCs w:val="24"/>
        </w:rPr>
        <w:t>》（财库[2020]46号</w:t>
      </w:r>
      <w:r>
        <w:rPr>
          <w:rFonts w:hint="eastAsia" w:ascii="楷体" w:hAnsi="楷体" w:eastAsia="楷体"/>
          <w:b/>
          <w:sz w:val="24"/>
          <w:szCs w:val="24"/>
        </w:rPr>
        <w:t>和《关于政府采购支持监狱企业发展有关问题的通知》</w:t>
      </w:r>
      <w:r>
        <w:rPr>
          <w:rFonts w:ascii="楷体" w:hAnsi="楷体" w:eastAsia="楷体"/>
          <w:b/>
          <w:sz w:val="24"/>
          <w:szCs w:val="24"/>
        </w:rPr>
        <w:t>（财库[2014]68号）价格扣减条件的磋商供应商须提交）</w:t>
      </w: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snapToGrid w:val="0"/>
        <w:spacing w:line="480" w:lineRule="exact"/>
        <w:rPr>
          <w:rFonts w:ascii="楷体" w:hAnsi="楷体" w:eastAsia="楷体"/>
          <w:b/>
          <w:sz w:val="28"/>
          <w:szCs w:val="28"/>
        </w:rPr>
      </w:pPr>
    </w:p>
    <w:p>
      <w:pPr>
        <w:pStyle w:val="69"/>
      </w:pPr>
    </w:p>
    <w:p>
      <w:pPr>
        <w:snapToGrid w:val="0"/>
        <w:spacing w:line="480" w:lineRule="exact"/>
        <w:rPr>
          <w:rFonts w:ascii="楷体" w:hAnsi="楷体" w:eastAsia="楷体"/>
          <w:b/>
          <w:sz w:val="28"/>
          <w:szCs w:val="28"/>
        </w:rPr>
      </w:pPr>
    </w:p>
    <w:p>
      <w:pPr>
        <w:snapToGrid w:val="0"/>
        <w:spacing w:line="480" w:lineRule="exact"/>
        <w:rPr>
          <w:rFonts w:hint="eastAsia" w:ascii="楷体" w:hAnsi="楷体" w:eastAsia="楷体"/>
          <w:b/>
          <w:sz w:val="28"/>
          <w:szCs w:val="28"/>
        </w:rPr>
      </w:pPr>
      <w:r>
        <w:rPr>
          <w:rFonts w:hint="eastAsia" w:ascii="楷体" w:hAnsi="楷体" w:eastAsia="楷体"/>
          <w:b/>
          <w:sz w:val="28"/>
          <w:szCs w:val="28"/>
        </w:rPr>
        <w:t>附（统一格式）</w:t>
      </w:r>
      <w:r>
        <w:rPr>
          <w:rFonts w:ascii="楷体" w:hAnsi="楷体" w:eastAsia="楷体"/>
          <w:b/>
          <w:sz w:val="28"/>
          <w:szCs w:val="28"/>
        </w:rPr>
        <w:t>：</w:t>
      </w:r>
    </w:p>
    <w:p>
      <w:pPr>
        <w:snapToGrid w:val="0"/>
        <w:spacing w:line="480" w:lineRule="exact"/>
        <w:jc w:val="center"/>
        <w:rPr>
          <w:rFonts w:ascii="仿宋_GB2312" w:hAnsi="宋体" w:eastAsia="仿宋_GB2312"/>
          <w:sz w:val="24"/>
        </w:rPr>
      </w:pPr>
      <w:r>
        <w:rPr>
          <w:rFonts w:hint="eastAsia" w:ascii="仿宋_GB2312" w:hAnsi="宋体" w:eastAsia="仿宋_GB2312"/>
          <w:sz w:val="24"/>
        </w:rPr>
        <w:t>中小企业声明函</w:t>
      </w:r>
    </w:p>
    <w:p>
      <w:pPr>
        <w:snapToGrid w:val="0"/>
        <w:spacing w:line="480" w:lineRule="exact"/>
        <w:jc w:val="center"/>
        <w:rPr>
          <w:rFonts w:hint="eastAsia" w:ascii="楷体" w:hAnsi="楷体" w:eastAsia="楷体"/>
          <w:b/>
          <w:sz w:val="28"/>
          <w:szCs w:val="28"/>
        </w:rPr>
      </w:pPr>
    </w:p>
    <w:p>
      <w:pPr>
        <w:pStyle w:val="18"/>
        <w:tabs>
          <w:tab w:val="left" w:pos="5580"/>
        </w:tabs>
        <w:spacing w:line="360" w:lineRule="auto"/>
        <w:ind w:left="2" w:leftChars="1" w:firstLine="480" w:firstLineChars="200"/>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ascii="仿宋_GB2312" w:hAnsi="宋体" w:eastAsia="仿宋_GB2312"/>
          <w:sz w:val="24"/>
        </w:rPr>
        <w:t>2020</w:t>
      </w:r>
      <w:r>
        <w:rPr>
          <w:rFonts w:hint="eastAsia" w:ascii="仿宋_GB2312" w:hAnsi="宋体" w:eastAsia="仿宋_GB2312"/>
          <w:sz w:val="24"/>
        </w:rPr>
        <w:t>﹞</w:t>
      </w:r>
      <w:r>
        <w:rPr>
          <w:rFonts w:ascii="仿宋_GB2312" w:hAnsi="宋体" w:eastAsia="仿宋_GB2312"/>
          <w:sz w:val="24"/>
        </w:rPr>
        <w:t xml:space="preserve">46 </w:t>
      </w:r>
      <w:r>
        <w:rPr>
          <w:rFonts w:hint="eastAsia" w:ascii="仿宋_GB2312" w:hAnsi="宋体" w:eastAsia="仿宋_GB2312"/>
          <w:sz w:val="24"/>
        </w:rPr>
        <w:t>号）的规定，本公司（联合体）参加</w:t>
      </w:r>
      <w:r>
        <w:rPr>
          <w:rFonts w:hint="eastAsia" w:ascii="仿宋_GB2312" w:hAnsi="宋体" w:eastAsia="仿宋_GB2312"/>
          <w:i/>
          <w:sz w:val="24"/>
          <w:u w:val="single"/>
        </w:rPr>
        <w:t>（单位名称）</w:t>
      </w:r>
      <w:r>
        <w:rPr>
          <w:rFonts w:hint="eastAsia" w:ascii="仿宋_GB2312" w:hAnsi="宋体" w:eastAsia="仿宋_GB2312"/>
          <w:sz w:val="24"/>
        </w:rPr>
        <w:t>的</w:t>
      </w:r>
      <w:r>
        <w:rPr>
          <w:rFonts w:hint="eastAsia" w:ascii="仿宋_GB2312" w:hAnsi="宋体" w:eastAsia="仿宋_GB2312"/>
          <w:i/>
          <w:sz w:val="24"/>
          <w:u w:val="single"/>
        </w:rPr>
        <w:t>（项目名称）</w:t>
      </w:r>
      <w:r>
        <w:rPr>
          <w:rFonts w:hint="eastAsia" w:ascii="仿宋_GB2312" w:hAnsi="宋体" w:eastAsia="仿宋_GB2312"/>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18"/>
        <w:tabs>
          <w:tab w:val="left" w:pos="5580"/>
        </w:tabs>
        <w:spacing w:line="360" w:lineRule="auto"/>
        <w:ind w:left="542" w:leftChars="7" w:hanging="527"/>
        <w:rPr>
          <w:rFonts w:ascii="仿宋_GB2312" w:hAnsi="宋体" w:eastAsia="仿宋_GB2312"/>
          <w:sz w:val="24"/>
        </w:rPr>
      </w:pPr>
      <w:r>
        <w:rPr>
          <w:rFonts w:ascii="仿宋_GB2312" w:hAnsi="宋体" w:eastAsia="仿宋_GB2312"/>
          <w:sz w:val="24"/>
        </w:rPr>
        <w:t xml:space="preserve">1. </w:t>
      </w:r>
      <w:r>
        <w:rPr>
          <w:rFonts w:hint="eastAsia" w:ascii="仿宋_GB2312" w:hAnsi="宋体" w:eastAsia="仿宋_GB2312"/>
          <w:i/>
          <w:sz w:val="24"/>
          <w:u w:val="single"/>
        </w:rPr>
        <w:t>（标的名称）</w:t>
      </w:r>
      <w:r>
        <w:rPr>
          <w:rFonts w:ascii="仿宋_GB2312" w:hAnsi="宋体" w:eastAsia="仿宋_GB2312"/>
          <w:sz w:val="24"/>
        </w:rPr>
        <w:t xml:space="preserve"> </w:t>
      </w:r>
      <w:r>
        <w:rPr>
          <w:rFonts w:hint="eastAsia" w:ascii="仿宋_GB2312" w:hAnsi="宋体" w:eastAsia="仿宋_GB2312"/>
          <w:sz w:val="24"/>
        </w:rPr>
        <w:t>，属于</w:t>
      </w:r>
      <w:r>
        <w:rPr>
          <w:rFonts w:hint="eastAsia" w:ascii="仿宋_GB2312" w:hAnsi="宋体" w:eastAsia="仿宋_GB2312"/>
          <w:i/>
          <w:sz w:val="24"/>
          <w:u w:val="single"/>
        </w:rPr>
        <w:t>（采购文件中明确的所属行业）</w:t>
      </w:r>
      <w:r>
        <w:rPr>
          <w:rFonts w:hint="eastAsia" w:ascii="仿宋_GB2312" w:hAnsi="宋体" w:eastAsia="仿宋_GB2312"/>
          <w:sz w:val="24"/>
        </w:rPr>
        <w:t>行业；承接（制造）企业为</w:t>
      </w:r>
      <w:r>
        <w:rPr>
          <w:rFonts w:hint="eastAsia" w:ascii="仿宋_GB2312" w:hAnsi="宋体" w:eastAsia="仿宋_GB2312"/>
          <w:i/>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i/>
          <w:sz w:val="24"/>
          <w:u w:val="single"/>
        </w:rPr>
        <w:t>（中型企业、小型企业、微型企业）</w:t>
      </w:r>
      <w:r>
        <w:rPr>
          <w:rFonts w:hint="eastAsia" w:ascii="仿宋_GB2312" w:hAnsi="宋体" w:eastAsia="仿宋_GB2312"/>
          <w:sz w:val="24"/>
        </w:rPr>
        <w:t>；</w:t>
      </w:r>
    </w:p>
    <w:p>
      <w:pPr>
        <w:pStyle w:val="18"/>
        <w:tabs>
          <w:tab w:val="left" w:pos="5580"/>
        </w:tabs>
        <w:spacing w:line="360" w:lineRule="auto"/>
        <w:ind w:left="542" w:leftChars="7" w:hanging="527"/>
        <w:rPr>
          <w:rFonts w:hint="eastAsia" w:ascii="仿宋_GB2312" w:hAnsi="宋体" w:eastAsia="仿宋_GB2312"/>
          <w:sz w:val="24"/>
        </w:rPr>
      </w:pPr>
      <w:r>
        <w:rPr>
          <w:rFonts w:ascii="仿宋_GB2312" w:hAnsi="宋体" w:eastAsia="仿宋_GB2312"/>
          <w:sz w:val="24"/>
        </w:rPr>
        <w:t xml:space="preserve">2. </w:t>
      </w:r>
      <w:r>
        <w:rPr>
          <w:rFonts w:hint="eastAsia" w:ascii="仿宋_GB2312" w:hAnsi="宋体" w:eastAsia="仿宋_GB2312"/>
          <w:sz w:val="24"/>
          <w:u w:val="single"/>
        </w:rPr>
        <w:t>（</w:t>
      </w:r>
      <w:r>
        <w:rPr>
          <w:rFonts w:hint="eastAsia" w:ascii="仿宋_GB2312" w:hAnsi="宋体" w:eastAsia="仿宋_GB2312"/>
          <w:i/>
          <w:sz w:val="24"/>
          <w:u w:val="single"/>
        </w:rPr>
        <w:t>标的名称）</w:t>
      </w:r>
      <w:r>
        <w:rPr>
          <w:rFonts w:ascii="仿宋_GB2312" w:hAnsi="宋体" w:eastAsia="仿宋_GB2312"/>
          <w:sz w:val="24"/>
        </w:rPr>
        <w:t xml:space="preserve"> </w:t>
      </w:r>
      <w:r>
        <w:rPr>
          <w:rFonts w:hint="eastAsia" w:ascii="仿宋_GB2312" w:hAnsi="宋体" w:eastAsia="仿宋_GB2312"/>
          <w:sz w:val="24"/>
        </w:rPr>
        <w:t>，属于</w:t>
      </w:r>
      <w:r>
        <w:rPr>
          <w:rFonts w:hint="eastAsia" w:ascii="仿宋_GB2312" w:hAnsi="宋体" w:eastAsia="仿宋_GB2312"/>
          <w:i/>
          <w:sz w:val="24"/>
          <w:u w:val="single"/>
        </w:rPr>
        <w:t>（采购文件中明确的所属行业）</w:t>
      </w:r>
      <w:r>
        <w:rPr>
          <w:rFonts w:hint="eastAsia" w:ascii="仿宋_GB2312" w:hAnsi="宋体" w:eastAsia="仿宋_GB2312"/>
          <w:sz w:val="24"/>
        </w:rPr>
        <w:t>行业；承接（制造）企业为</w:t>
      </w:r>
      <w:r>
        <w:rPr>
          <w:rFonts w:hint="eastAsia" w:ascii="仿宋_GB2312" w:hAnsi="宋体" w:eastAsia="仿宋_GB2312"/>
          <w:i/>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i/>
          <w:sz w:val="24"/>
          <w:u w:val="single"/>
        </w:rPr>
        <w:t>（中型企业、小型企业、微型企业）</w:t>
      </w:r>
      <w:r>
        <w:rPr>
          <w:rFonts w:hint="eastAsia" w:ascii="仿宋_GB2312" w:hAnsi="宋体" w:eastAsia="仿宋_GB2312"/>
          <w:sz w:val="24"/>
        </w:rPr>
        <w:t>；</w:t>
      </w:r>
    </w:p>
    <w:p>
      <w:pPr>
        <w:pStyle w:val="18"/>
        <w:tabs>
          <w:tab w:val="left" w:pos="5580"/>
        </w:tabs>
        <w:spacing w:line="360" w:lineRule="auto"/>
        <w:ind w:left="538" w:leftChars="235" w:hanging="45" w:hangingChars="19"/>
        <w:rPr>
          <w:rFonts w:ascii="仿宋_GB2312" w:hAnsi="宋体" w:eastAsia="仿宋_GB2312"/>
          <w:sz w:val="24"/>
        </w:rPr>
      </w:pPr>
      <w:r>
        <w:rPr>
          <w:rFonts w:hint="eastAsia" w:ascii="仿宋_GB2312" w:hAnsi="宋体" w:eastAsia="仿宋_GB2312"/>
          <w:sz w:val="24"/>
        </w:rPr>
        <w:t>……</w:t>
      </w:r>
    </w:p>
    <w:p>
      <w:pPr>
        <w:pStyle w:val="18"/>
        <w:tabs>
          <w:tab w:val="left" w:pos="5580"/>
        </w:tabs>
        <w:spacing w:line="360" w:lineRule="auto"/>
        <w:ind w:left="2" w:firstLine="491" w:firstLineChars="205"/>
        <w:rPr>
          <w:rFonts w:hint="eastAsia"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pStyle w:val="18"/>
        <w:tabs>
          <w:tab w:val="left" w:pos="5580"/>
        </w:tabs>
        <w:spacing w:line="360" w:lineRule="auto"/>
        <w:ind w:left="2" w:firstLine="491" w:firstLineChars="205"/>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pStyle w:val="18"/>
        <w:tabs>
          <w:tab w:val="left" w:pos="5580"/>
        </w:tabs>
        <w:spacing w:line="360" w:lineRule="auto"/>
        <w:ind w:left="542" w:leftChars="7" w:hanging="527"/>
        <w:rPr>
          <w:rFonts w:hint="eastAsia" w:ascii="仿宋_GB2312" w:hAnsi="宋体" w:eastAsia="仿宋_GB2312"/>
          <w:sz w:val="24"/>
        </w:rPr>
      </w:pPr>
    </w:p>
    <w:p>
      <w:pPr>
        <w:pStyle w:val="18"/>
        <w:tabs>
          <w:tab w:val="left" w:pos="5580"/>
        </w:tabs>
        <w:spacing w:line="360" w:lineRule="auto"/>
        <w:ind w:left="540" w:leftChars="257" w:firstLine="4680" w:firstLineChars="1950"/>
        <w:rPr>
          <w:rFonts w:ascii="仿宋_GB2312" w:hAnsi="宋体" w:eastAsia="仿宋_GB2312"/>
          <w:sz w:val="24"/>
        </w:rPr>
      </w:pPr>
    </w:p>
    <w:p>
      <w:pPr>
        <w:pStyle w:val="18"/>
        <w:tabs>
          <w:tab w:val="left" w:pos="5580"/>
        </w:tabs>
        <w:spacing w:line="360" w:lineRule="auto"/>
        <w:ind w:left="540" w:leftChars="257" w:firstLine="4680" w:firstLineChars="1950"/>
        <w:rPr>
          <w:rFonts w:ascii="仿宋_GB2312" w:hAnsi="宋体" w:eastAsia="仿宋_GB2312"/>
          <w:sz w:val="24"/>
        </w:rPr>
      </w:pPr>
      <w:r>
        <w:rPr>
          <w:rFonts w:hint="eastAsia" w:ascii="仿宋_GB2312" w:hAnsi="宋体" w:eastAsia="仿宋_GB2312"/>
          <w:sz w:val="24"/>
        </w:rPr>
        <w:t>企业名称（盖章）：</w:t>
      </w:r>
    </w:p>
    <w:p>
      <w:pPr>
        <w:pStyle w:val="18"/>
        <w:tabs>
          <w:tab w:val="left" w:pos="5580"/>
        </w:tabs>
        <w:spacing w:line="360" w:lineRule="auto"/>
        <w:ind w:left="540" w:leftChars="257" w:firstLine="4680" w:firstLineChars="1950"/>
        <w:rPr>
          <w:rFonts w:ascii="仿宋_GB2312" w:hAnsi="宋体" w:eastAsia="仿宋_GB2312"/>
          <w:sz w:val="24"/>
        </w:rPr>
      </w:pPr>
      <w:r>
        <w:rPr>
          <w:rFonts w:hint="eastAsia" w:ascii="仿宋_GB2312" w:hAnsi="宋体" w:eastAsia="仿宋_GB2312"/>
          <w:sz w:val="24"/>
        </w:rPr>
        <w:t>日期：</w:t>
      </w:r>
    </w:p>
    <w:p>
      <w:pPr>
        <w:pStyle w:val="18"/>
        <w:tabs>
          <w:tab w:val="left" w:pos="5580"/>
        </w:tabs>
        <w:spacing w:line="240" w:lineRule="atLeast"/>
        <w:ind w:left="542" w:leftChars="7" w:hanging="527"/>
        <w:rPr>
          <w:rFonts w:hint="eastAsia" w:ascii="仿宋_GB2312" w:hAnsi="宋体" w:eastAsia="仿宋_GB2312"/>
          <w:sz w:val="24"/>
        </w:rPr>
      </w:pPr>
    </w:p>
    <w:p>
      <w:pPr>
        <w:pStyle w:val="5"/>
        <w:rPr>
          <w:rFonts w:hint="eastAsia" w:ascii="TimesNewRomanPSMT" w:eastAsia="TimesNewRomanPSMT" w:cs="TimesNewRomanPSMT"/>
          <w:sz w:val="12"/>
          <w:szCs w:val="12"/>
        </w:rPr>
      </w:pPr>
    </w:p>
    <w:p>
      <w:pPr>
        <w:pStyle w:val="18"/>
        <w:tabs>
          <w:tab w:val="left" w:pos="5580"/>
        </w:tabs>
        <w:spacing w:line="360" w:lineRule="auto"/>
        <w:ind w:left="2" w:firstLine="491" w:firstLineChars="205"/>
        <w:rPr>
          <w:rFonts w:hint="eastAsia" w:ascii="仿宋_GB2312" w:hAnsi="宋体" w:eastAsia="仿宋_GB2312"/>
          <w:sz w:val="24"/>
        </w:rPr>
      </w:pPr>
      <w:r>
        <w:rPr>
          <w:rFonts w:hint="eastAsia" w:ascii="仿宋_GB2312" w:hAnsi="宋体" w:eastAsia="仿宋_GB2312"/>
          <w:sz w:val="24"/>
        </w:rPr>
        <w:t>注1：从业人员、营业收入、资产总额填报上一年度数据，无上一年度数据的新成立企业可不填报。</w:t>
      </w:r>
    </w:p>
    <w:p>
      <w:pPr>
        <w:pStyle w:val="18"/>
        <w:tabs>
          <w:tab w:val="left" w:pos="5580"/>
        </w:tabs>
        <w:spacing w:line="360" w:lineRule="auto"/>
        <w:ind w:left="2" w:firstLine="491" w:firstLineChars="205"/>
        <w:rPr>
          <w:rFonts w:ascii="仿宋_GB2312" w:hAnsi="宋体" w:eastAsia="仿宋_GB2312"/>
          <w:sz w:val="24"/>
        </w:rPr>
      </w:pPr>
      <w:r>
        <w:rPr>
          <w:rFonts w:hint="eastAsia" w:ascii="仿宋_GB2312" w:hAnsi="宋体" w:eastAsia="仿宋_GB2312"/>
          <w:sz w:val="24"/>
        </w:rPr>
        <w:t>注2：请在本表中填写前附表中写明的中小企业行业类别。</w:t>
      </w:r>
    </w:p>
    <w:p>
      <w:pPr>
        <w:snapToGrid w:val="0"/>
        <w:spacing w:line="480" w:lineRule="exact"/>
        <w:jc w:val="left"/>
        <w:rPr>
          <w:rFonts w:ascii="楷体" w:hAnsi="楷体" w:eastAsia="楷体"/>
          <w:b/>
          <w:sz w:val="28"/>
          <w:szCs w:val="28"/>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注3：承接企业</w:t>
      </w:r>
      <w:r>
        <w:rPr>
          <w:rFonts w:ascii="仿宋_GB2312" w:hAnsi="宋体" w:eastAsia="仿宋_GB2312"/>
          <w:sz w:val="24"/>
        </w:rPr>
        <w:t>如为监狱企业或残疾人福利性单位的，视同为</w:t>
      </w:r>
      <w:r>
        <w:rPr>
          <w:rFonts w:hint="eastAsia" w:ascii="仿宋_GB2312" w:hAnsi="宋体" w:eastAsia="仿宋_GB2312"/>
          <w:sz w:val="24"/>
        </w:rPr>
        <w:t>小型</w:t>
      </w:r>
      <w:r>
        <w:rPr>
          <w:rFonts w:ascii="仿宋_GB2312" w:hAnsi="宋体" w:eastAsia="仿宋_GB2312"/>
          <w:sz w:val="24"/>
        </w:rPr>
        <w:t>、</w:t>
      </w:r>
      <w:r>
        <w:rPr>
          <w:rFonts w:hint="eastAsia" w:ascii="仿宋_GB2312" w:hAnsi="宋体" w:eastAsia="仿宋_GB2312"/>
          <w:sz w:val="24"/>
        </w:rPr>
        <w:t>微型</w:t>
      </w:r>
      <w:r>
        <w:rPr>
          <w:rFonts w:ascii="仿宋_GB2312" w:hAnsi="宋体" w:eastAsia="仿宋_GB2312"/>
          <w:sz w:val="24"/>
        </w:rPr>
        <w:t>企业，</w:t>
      </w:r>
      <w:r>
        <w:rPr>
          <w:rFonts w:hint="eastAsia" w:ascii="仿宋_GB2312" w:hAnsi="宋体" w:eastAsia="仿宋_GB2312"/>
          <w:sz w:val="24"/>
        </w:rPr>
        <w:t>请</w:t>
      </w:r>
      <w:r>
        <w:rPr>
          <w:rFonts w:ascii="仿宋_GB2312" w:hAnsi="宋体" w:eastAsia="仿宋_GB2312"/>
          <w:sz w:val="24"/>
        </w:rPr>
        <w:t>填写</w:t>
      </w:r>
      <w:r>
        <w:rPr>
          <w:rFonts w:hint="eastAsia" w:ascii="仿宋_GB2312" w:hAnsi="宋体" w:eastAsia="仿宋_GB2312"/>
          <w:sz w:val="24"/>
        </w:rPr>
        <w:t>此声明</w:t>
      </w:r>
      <w:r>
        <w:rPr>
          <w:rFonts w:ascii="仿宋_GB2312" w:hAnsi="宋体" w:eastAsia="仿宋_GB2312"/>
          <w:sz w:val="24"/>
        </w:rPr>
        <w:t>函</w:t>
      </w:r>
      <w:r>
        <w:rPr>
          <w:rFonts w:hint="eastAsia" w:ascii="仿宋_GB2312" w:hAnsi="宋体" w:eastAsia="仿宋_GB2312"/>
          <w:sz w:val="24"/>
        </w:rPr>
        <w:t>，</w:t>
      </w:r>
      <w:r>
        <w:rPr>
          <w:rFonts w:ascii="仿宋_GB2312" w:hAnsi="宋体" w:eastAsia="仿宋_GB2312"/>
          <w:sz w:val="24"/>
        </w:rPr>
        <w:t>并</w:t>
      </w:r>
      <w:r>
        <w:rPr>
          <w:rFonts w:hint="eastAsia" w:ascii="仿宋_GB2312" w:hAnsi="宋体" w:eastAsia="仿宋_GB2312"/>
          <w:sz w:val="24"/>
        </w:rPr>
        <w:t>需要出具相应</w:t>
      </w:r>
      <w:r>
        <w:rPr>
          <w:rFonts w:ascii="仿宋_GB2312" w:hAnsi="宋体" w:eastAsia="仿宋_GB2312"/>
          <w:sz w:val="24"/>
        </w:rPr>
        <w:t>的声明函</w:t>
      </w:r>
      <w:r>
        <w:rPr>
          <w:rFonts w:hint="eastAsia" w:ascii="仿宋_GB2312" w:hAnsi="宋体" w:eastAsia="仿宋_GB2312"/>
          <w:sz w:val="24"/>
        </w:rPr>
        <w:t>和</w:t>
      </w:r>
      <w:r>
        <w:rPr>
          <w:rFonts w:ascii="仿宋_GB2312" w:hAnsi="宋体" w:eastAsia="仿宋_GB2312"/>
          <w:sz w:val="24"/>
        </w:rPr>
        <w:t>证明文件（</w:t>
      </w:r>
      <w:r>
        <w:rPr>
          <w:rFonts w:hint="eastAsia" w:ascii="仿宋_GB2312" w:hAnsi="宋体" w:eastAsia="仿宋_GB2312"/>
          <w:sz w:val="24"/>
        </w:rPr>
        <w:t>格式后附</w:t>
      </w:r>
      <w:r>
        <w:rPr>
          <w:rFonts w:ascii="仿宋_GB2312" w:hAnsi="宋体" w:eastAsia="仿宋_GB2312"/>
          <w:sz w:val="24"/>
        </w:rPr>
        <w:t>）</w:t>
      </w:r>
      <w:r>
        <w:rPr>
          <w:rFonts w:hint="eastAsia" w:ascii="仿宋_GB2312" w:hAnsi="宋体" w:eastAsia="仿宋_GB2312"/>
          <w:sz w:val="24"/>
        </w:rPr>
        <w:t>。</w:t>
      </w:r>
    </w:p>
    <w:p>
      <w:pPr>
        <w:snapToGrid w:val="0"/>
        <w:spacing w:line="480" w:lineRule="exact"/>
        <w:jc w:val="center"/>
        <w:rPr>
          <w:rFonts w:ascii="楷体" w:hAnsi="楷体" w:eastAsia="楷体"/>
          <w:b/>
          <w:sz w:val="28"/>
          <w:szCs w:val="28"/>
        </w:rPr>
      </w:pPr>
    </w:p>
    <w:p>
      <w:pPr>
        <w:snapToGrid w:val="0"/>
        <w:spacing w:line="360" w:lineRule="auto"/>
        <w:rPr>
          <w:rFonts w:ascii="楷体" w:hAnsi="楷体" w:eastAsia="楷体" w:cs="宋体"/>
          <w:kern w:val="0"/>
          <w:szCs w:val="21"/>
        </w:rPr>
      </w:pPr>
    </w:p>
    <w:p>
      <w:pPr>
        <w:snapToGrid w:val="0"/>
        <w:spacing w:line="480" w:lineRule="exact"/>
        <w:rPr>
          <w:rFonts w:ascii="楷体" w:hAnsi="楷体" w:eastAsia="楷体"/>
          <w:b/>
          <w:sz w:val="28"/>
        </w:rPr>
      </w:pPr>
      <w:r>
        <w:rPr>
          <w:rFonts w:hint="eastAsia" w:ascii="楷体" w:hAnsi="楷体" w:eastAsia="楷体"/>
          <w:b/>
          <w:sz w:val="28"/>
        </w:rPr>
        <w:t>附件</w:t>
      </w:r>
      <w:r>
        <w:rPr>
          <w:rFonts w:ascii="楷体" w:hAnsi="楷体" w:eastAsia="楷体"/>
          <w:b/>
          <w:sz w:val="28"/>
        </w:rPr>
        <w:t>6-9 其他的内容</w:t>
      </w:r>
      <w:r>
        <w:rPr>
          <w:rFonts w:hint="eastAsia" w:ascii="楷体" w:hAnsi="楷体" w:eastAsia="楷体"/>
          <w:b/>
          <w:sz w:val="28"/>
        </w:rPr>
        <w:t>（格式自拟）</w:t>
      </w:r>
    </w:p>
    <w:p>
      <w:pPr>
        <w:spacing w:line="480" w:lineRule="exact"/>
        <w:rPr>
          <w:rFonts w:ascii="楷体" w:hAnsi="楷体" w:eastAsia="楷体"/>
          <w:sz w:val="24"/>
          <w:szCs w:val="24"/>
        </w:rPr>
      </w:pPr>
    </w:p>
    <w:p>
      <w:pPr>
        <w:spacing w:line="480" w:lineRule="exact"/>
        <w:rPr>
          <w:rFonts w:ascii="楷体" w:hAnsi="楷体" w:eastAsia="楷体"/>
          <w:sz w:val="24"/>
          <w:szCs w:val="24"/>
        </w:rPr>
      </w:pPr>
      <w:r>
        <w:rPr>
          <w:rFonts w:hint="eastAsia" w:ascii="楷体" w:hAnsi="楷体" w:eastAsia="楷体"/>
          <w:sz w:val="24"/>
          <w:szCs w:val="24"/>
        </w:rPr>
        <w:t>1、</w:t>
      </w:r>
      <w:r>
        <w:rPr>
          <w:rFonts w:ascii="楷体" w:hAnsi="楷体" w:eastAsia="楷体"/>
          <w:sz w:val="24"/>
          <w:szCs w:val="24"/>
        </w:rPr>
        <w:t>获奖</w:t>
      </w:r>
      <w:r>
        <w:rPr>
          <w:rFonts w:hint="eastAsia" w:ascii="楷体" w:hAnsi="楷体" w:eastAsia="楷体"/>
          <w:sz w:val="24"/>
          <w:szCs w:val="24"/>
        </w:rPr>
        <w:t>证明等；</w:t>
      </w:r>
    </w:p>
    <w:p>
      <w:pPr>
        <w:spacing w:line="480" w:lineRule="exact"/>
        <w:rPr>
          <w:rFonts w:hint="eastAsia" w:ascii="楷体" w:hAnsi="楷体" w:eastAsia="楷体"/>
          <w:sz w:val="24"/>
          <w:szCs w:val="24"/>
        </w:rPr>
      </w:pPr>
      <w:r>
        <w:rPr>
          <w:rFonts w:hint="eastAsia" w:ascii="楷体" w:hAnsi="楷体" w:eastAsia="楷体"/>
          <w:sz w:val="24"/>
          <w:szCs w:val="24"/>
        </w:rPr>
        <w:t>2、项目团队</w:t>
      </w:r>
    </w:p>
    <w:p>
      <w:pPr>
        <w:spacing w:line="480" w:lineRule="exact"/>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、管理制度</w:t>
      </w:r>
    </w:p>
    <w:p>
      <w:pPr>
        <w:spacing w:line="480" w:lineRule="exact"/>
        <w:rPr>
          <w:rFonts w:hint="eastAsia" w:ascii="楷体" w:hAnsi="楷体" w:eastAsia="楷体"/>
          <w:sz w:val="24"/>
          <w:szCs w:val="24"/>
        </w:rPr>
      </w:pPr>
      <w:r>
        <w:rPr>
          <w:rFonts w:hint="eastAsia" w:ascii="楷体" w:hAnsi="楷体" w:eastAsia="楷体"/>
          <w:sz w:val="24"/>
          <w:szCs w:val="24"/>
        </w:rPr>
        <w:t>4、投标人需提供设备仪器采购发票或校准证书的复印件（格式由投标人根据本磋商文件自行拟定）</w:t>
      </w:r>
    </w:p>
    <w:p>
      <w:pPr>
        <w:spacing w:line="480" w:lineRule="exact"/>
        <w:rPr>
          <w:rFonts w:hint="eastAsia" w:ascii="楷体" w:hAnsi="楷体" w:eastAsia="楷体"/>
          <w:sz w:val="24"/>
          <w:szCs w:val="24"/>
        </w:rPr>
      </w:pPr>
      <w:r>
        <w:rPr>
          <w:rFonts w:hint="eastAsia" w:ascii="楷体" w:hAnsi="楷体" w:eastAsia="楷体"/>
          <w:sz w:val="24"/>
          <w:szCs w:val="24"/>
        </w:rPr>
        <w:t>5、提供固定的分析实验室和工作场所的房产证或房屋租赁合同复印件（格式由投标人根据本招标文件自行拟定）</w:t>
      </w:r>
    </w:p>
    <w:p>
      <w:pPr>
        <w:spacing w:line="480" w:lineRule="exact"/>
        <w:rPr>
          <w:rFonts w:hint="eastAsia" w:ascii="楷体" w:hAnsi="楷体" w:eastAsia="楷体"/>
          <w:sz w:val="24"/>
          <w:szCs w:val="24"/>
        </w:rPr>
      </w:pPr>
      <w:r>
        <w:rPr>
          <w:rFonts w:hint="eastAsia" w:ascii="楷体" w:hAnsi="楷体" w:eastAsia="楷体"/>
          <w:sz w:val="24"/>
          <w:szCs w:val="24"/>
        </w:rPr>
        <w:t>6、项目实施进度方案</w:t>
      </w:r>
    </w:p>
    <w:p>
      <w:pPr>
        <w:spacing w:line="480" w:lineRule="exact"/>
        <w:rPr>
          <w:rFonts w:hint="eastAsia" w:ascii="楷体" w:hAnsi="楷体" w:eastAsia="楷体"/>
          <w:sz w:val="24"/>
          <w:szCs w:val="24"/>
        </w:rPr>
      </w:pPr>
      <w:r>
        <w:rPr>
          <w:rFonts w:hint="eastAsia" w:ascii="楷体" w:hAnsi="楷体" w:eastAsia="楷体"/>
          <w:sz w:val="24"/>
          <w:szCs w:val="24"/>
        </w:rPr>
        <w:t>7、应急响应方案</w:t>
      </w:r>
    </w:p>
    <w:p>
      <w:pPr>
        <w:spacing w:line="480" w:lineRule="exact"/>
        <w:rPr>
          <w:rFonts w:ascii="楷体" w:hAnsi="楷体" w:eastAsia="楷体"/>
          <w:sz w:val="24"/>
          <w:szCs w:val="24"/>
        </w:rPr>
      </w:pPr>
      <w:r>
        <w:rPr>
          <w:rFonts w:hint="eastAsia" w:ascii="楷体" w:hAnsi="楷体" w:eastAsia="楷体"/>
          <w:sz w:val="24"/>
          <w:szCs w:val="24"/>
        </w:rPr>
        <w:t>8、服务承诺</w:t>
      </w:r>
    </w:p>
    <w:p>
      <w:pPr>
        <w:spacing w:line="480" w:lineRule="exact"/>
        <w:rPr>
          <w:rFonts w:hint="eastAsia" w:ascii="楷体" w:hAnsi="楷体" w:eastAsia="楷体"/>
          <w:sz w:val="24"/>
          <w:szCs w:val="24"/>
        </w:rPr>
      </w:pPr>
      <w:r>
        <w:rPr>
          <w:rFonts w:hint="eastAsia" w:ascii="楷体" w:hAnsi="楷体" w:eastAsia="楷体"/>
          <w:sz w:val="24"/>
          <w:szCs w:val="24"/>
        </w:rPr>
        <w:t>9、其他必要的内容。</w:t>
      </w:r>
    </w:p>
    <w:p>
      <w:pPr>
        <w:pStyle w:val="69"/>
        <w:rPr>
          <w:rFonts w:hint="eastAsia"/>
        </w:rPr>
        <w:sectPr>
          <w:headerReference r:id="rId7" w:type="default"/>
          <w:footerReference r:id="rId8" w:type="default"/>
          <w:footnotePr>
            <w:numFmt w:val="decimalEnclosedCircleChinese"/>
          </w:footnotePr>
          <w:pgSz w:w="11906" w:h="16838"/>
          <w:pgMar w:top="1440" w:right="1797" w:bottom="1440" w:left="1797" w:header="850" w:footer="1134" w:gutter="0"/>
          <w:cols w:space="720" w:num="1"/>
          <w:docGrid w:linePitch="381" w:charSpace="0"/>
        </w:sectPr>
      </w:pPr>
    </w:p>
    <w:p>
      <w:pPr>
        <w:spacing w:line="480" w:lineRule="exact"/>
        <w:rPr>
          <w:rFonts w:hint="eastAsia" w:ascii="楷体" w:hAnsi="楷体" w:eastAsia="楷体"/>
          <w:kern w:val="0"/>
          <w:sz w:val="24"/>
        </w:rPr>
      </w:pPr>
      <w:r>
        <w:rPr>
          <w:rFonts w:hint="eastAsia" w:ascii="楷体" w:hAnsi="楷体" w:eastAsia="楷体"/>
          <w:b/>
          <w:sz w:val="32"/>
          <w:szCs w:val="32"/>
        </w:rPr>
        <w:t>附件</w:t>
      </w:r>
      <w:r>
        <w:rPr>
          <w:rFonts w:ascii="楷体" w:hAnsi="楷体" w:eastAsia="楷体"/>
          <w:b/>
          <w:sz w:val="32"/>
          <w:szCs w:val="32"/>
        </w:rPr>
        <w:t xml:space="preserve">7 </w:t>
      </w:r>
      <w:r>
        <w:rPr>
          <w:rFonts w:hint="eastAsia" w:ascii="楷体" w:hAnsi="楷体" w:eastAsia="楷体"/>
          <w:b/>
          <w:sz w:val="32"/>
          <w:szCs w:val="32"/>
        </w:rPr>
        <w:t>技术</w:t>
      </w:r>
      <w:r>
        <w:rPr>
          <w:rFonts w:ascii="楷体" w:hAnsi="楷体" w:eastAsia="楷体"/>
          <w:b/>
          <w:sz w:val="32"/>
          <w:szCs w:val="32"/>
        </w:rPr>
        <w:t>响应文件</w:t>
      </w:r>
      <w:r>
        <w:rPr>
          <w:rFonts w:hint="eastAsia" w:ascii="楷体" w:hAnsi="楷体" w:eastAsia="楷体"/>
          <w:b/>
          <w:sz w:val="32"/>
          <w:szCs w:val="32"/>
        </w:rPr>
        <w:t>（格式自拟）</w:t>
      </w:r>
    </w:p>
    <w:p>
      <w:pPr>
        <w:spacing w:line="480" w:lineRule="exact"/>
        <w:rPr>
          <w:rFonts w:ascii="楷体" w:hAnsi="楷体" w:eastAsia="楷体"/>
          <w:b/>
          <w:sz w:val="32"/>
        </w:rPr>
      </w:pPr>
    </w:p>
    <w:p>
      <w:pPr>
        <w:spacing w:line="480" w:lineRule="exact"/>
        <w:rPr>
          <w:rFonts w:ascii="楷体" w:hAnsi="楷体" w:eastAsia="楷体"/>
          <w:b/>
          <w:sz w:val="32"/>
        </w:rPr>
      </w:pPr>
      <w:r>
        <w:rPr>
          <w:rFonts w:ascii="楷体" w:hAnsi="楷体" w:eastAsia="楷体"/>
          <w:b/>
          <w:sz w:val="32"/>
        </w:rPr>
        <w:br w:type="page"/>
      </w:r>
    </w:p>
    <w:p>
      <w:pPr>
        <w:spacing w:line="480" w:lineRule="exact"/>
        <w:rPr>
          <w:rFonts w:ascii="楷体" w:hAnsi="楷体" w:eastAsia="楷体"/>
          <w:b/>
          <w:sz w:val="32"/>
        </w:rPr>
      </w:pPr>
      <w:r>
        <w:rPr>
          <w:rFonts w:ascii="楷体" w:hAnsi="楷体" w:eastAsia="楷体"/>
          <w:b/>
          <w:sz w:val="32"/>
        </w:rPr>
        <w:t>附件8：</w:t>
      </w:r>
    </w:p>
    <w:p>
      <w:pPr>
        <w:snapToGrid w:val="0"/>
        <w:spacing w:line="480" w:lineRule="exact"/>
        <w:jc w:val="center"/>
        <w:rPr>
          <w:rFonts w:hint="eastAsia" w:ascii="楷体" w:hAnsi="楷体" w:eastAsia="楷体"/>
          <w:b/>
          <w:sz w:val="32"/>
          <w:u w:val="single"/>
        </w:rPr>
      </w:pPr>
      <w:r>
        <w:rPr>
          <w:rFonts w:ascii="楷体" w:hAnsi="楷体" w:eastAsia="楷体"/>
          <w:b/>
          <w:sz w:val="32"/>
        </w:rPr>
        <w:t>报价函</w:t>
      </w:r>
      <w:r>
        <w:rPr>
          <w:rFonts w:hint="eastAsia" w:ascii="楷体" w:hAnsi="楷体" w:eastAsia="楷体"/>
          <w:b/>
          <w:sz w:val="32"/>
          <w:u w:val="single"/>
        </w:rPr>
        <w:t>（最后报价时提交）</w:t>
      </w:r>
    </w:p>
    <w:p>
      <w:pPr>
        <w:pStyle w:val="28"/>
        <w:ind w:firstLine="2650" w:firstLineChars="1100"/>
        <w:rPr>
          <w:rFonts w:hint="eastAsia" w:eastAsia="楷体"/>
        </w:rPr>
      </w:pPr>
      <w:r>
        <w:rPr>
          <w:rFonts w:hint="eastAsia" w:ascii="楷体" w:hAnsi="楷体" w:eastAsia="楷体"/>
          <w:b/>
          <w:sz w:val="24"/>
          <w:szCs w:val="16"/>
          <w:u w:val="single"/>
        </w:rPr>
        <w:t>（投标单位无需打印）</w:t>
      </w:r>
    </w:p>
    <w:p>
      <w:pPr>
        <w:snapToGrid w:val="0"/>
        <w:spacing w:line="480" w:lineRule="exact"/>
        <w:rPr>
          <w:rFonts w:hint="eastAsia" w:ascii="楷体" w:hAnsi="楷体" w:eastAsia="楷体"/>
          <w:sz w:val="28"/>
        </w:rPr>
      </w:pPr>
    </w:p>
    <w:p>
      <w:pPr>
        <w:snapToGrid w:val="0"/>
        <w:spacing w:line="480" w:lineRule="exact"/>
        <w:rPr>
          <w:rFonts w:ascii="楷体" w:hAnsi="楷体" w:eastAsia="楷体"/>
          <w:sz w:val="24"/>
          <w:szCs w:val="24"/>
        </w:rPr>
      </w:pPr>
      <w:r>
        <w:rPr>
          <w:rFonts w:ascii="楷体" w:hAnsi="楷体" w:eastAsia="楷体"/>
          <w:sz w:val="24"/>
          <w:szCs w:val="24"/>
        </w:rPr>
        <w:t>致：中招国际招标有限公司</w:t>
      </w:r>
    </w:p>
    <w:p>
      <w:pPr>
        <w:snapToGrid w:val="0"/>
        <w:spacing w:line="480" w:lineRule="exact"/>
        <w:ind w:firstLine="552"/>
        <w:rPr>
          <w:rFonts w:ascii="楷体" w:hAnsi="楷体" w:eastAsia="楷体"/>
          <w:sz w:val="24"/>
          <w:szCs w:val="24"/>
        </w:rPr>
      </w:pPr>
      <w:r>
        <w:rPr>
          <w:rFonts w:ascii="楷体" w:hAnsi="楷体" w:eastAsia="楷体"/>
          <w:spacing w:val="6"/>
          <w:sz w:val="24"/>
          <w:szCs w:val="24"/>
        </w:rPr>
        <w:t>在审阅了</w:t>
      </w:r>
      <w:r>
        <w:rPr>
          <w:rFonts w:hint="eastAsia" w:ascii="楷体" w:hAnsi="楷体" w:eastAsia="楷体"/>
          <w:spacing w:val="6"/>
          <w:sz w:val="24"/>
          <w:szCs w:val="24"/>
          <w:u w:val="single"/>
        </w:rPr>
        <w:t xml:space="preserve">    （项目名称）    </w:t>
      </w:r>
      <w:r>
        <w:rPr>
          <w:rFonts w:ascii="楷体" w:hAnsi="楷体" w:eastAsia="楷体"/>
          <w:spacing w:val="6"/>
          <w:sz w:val="24"/>
          <w:szCs w:val="24"/>
        </w:rPr>
        <w:t>磋商文件（</w:t>
      </w:r>
      <w:r>
        <w:rPr>
          <w:rFonts w:hint="eastAsia" w:ascii="楷体" w:hAnsi="楷体" w:eastAsia="楷体"/>
          <w:spacing w:val="6"/>
          <w:sz w:val="24"/>
          <w:szCs w:val="24"/>
        </w:rPr>
        <w:t>项目编号：</w:t>
      </w:r>
      <w:r>
        <w:rPr>
          <w:rFonts w:ascii="楷体" w:hAnsi="楷体" w:eastAsia="楷体"/>
          <w:spacing w:val="6"/>
          <w:sz w:val="24"/>
          <w:szCs w:val="24"/>
          <w:u w:val="single"/>
        </w:rPr>
        <w:t xml:space="preserve">    </w:t>
      </w:r>
      <w:r>
        <w:rPr>
          <w:rFonts w:ascii="楷体" w:hAnsi="楷体" w:eastAsia="楷体"/>
          <w:spacing w:val="6"/>
          <w:sz w:val="24"/>
          <w:szCs w:val="24"/>
        </w:rPr>
        <w:t>）（包括确已收到的第X号补充</w:t>
      </w:r>
      <w:r>
        <w:rPr>
          <w:rFonts w:ascii="楷体" w:hAnsi="楷体" w:eastAsia="楷体"/>
          <w:spacing w:val="20"/>
          <w:sz w:val="24"/>
          <w:szCs w:val="24"/>
        </w:rPr>
        <w:t>修改文件），我方下述签字人将按照</w:t>
      </w:r>
      <w:r>
        <w:rPr>
          <w:rFonts w:ascii="楷体" w:hAnsi="楷体" w:eastAsia="楷体"/>
          <w:b/>
          <w:spacing w:val="20"/>
          <w:sz w:val="24"/>
          <w:szCs w:val="24"/>
        </w:rPr>
        <w:t>竞争性磋商文件</w:t>
      </w:r>
      <w:r>
        <w:rPr>
          <w:rFonts w:ascii="楷体" w:hAnsi="楷体" w:eastAsia="楷体"/>
          <w:spacing w:val="20"/>
          <w:sz w:val="24"/>
          <w:szCs w:val="24"/>
        </w:rPr>
        <w:t>的规定提供</w:t>
      </w:r>
      <w:r>
        <w:rPr>
          <w:rFonts w:hint="eastAsia" w:ascii="楷体" w:hAnsi="楷体" w:eastAsia="楷体"/>
          <w:spacing w:val="20"/>
          <w:sz w:val="24"/>
          <w:szCs w:val="24"/>
        </w:rPr>
        <w:t>的</w:t>
      </w:r>
      <w:r>
        <w:rPr>
          <w:rFonts w:hint="eastAsia" w:ascii="黑体" w:hAnsi="黑体" w:eastAsia="黑体"/>
          <w:b/>
          <w:spacing w:val="20"/>
          <w:sz w:val="24"/>
          <w:szCs w:val="24"/>
        </w:rPr>
        <w:t>最后</w:t>
      </w:r>
      <w:r>
        <w:rPr>
          <w:rFonts w:ascii="黑体" w:hAnsi="黑体" w:eastAsia="黑体"/>
          <w:b/>
          <w:spacing w:val="20"/>
          <w:sz w:val="24"/>
          <w:szCs w:val="24"/>
        </w:rPr>
        <w:t>总价</w:t>
      </w:r>
      <w:r>
        <w:rPr>
          <w:rFonts w:ascii="楷体" w:hAnsi="楷体" w:eastAsia="楷体"/>
          <w:sz w:val="24"/>
          <w:szCs w:val="24"/>
        </w:rPr>
        <w:t>为</w:t>
      </w:r>
      <w:r>
        <w:rPr>
          <w:rFonts w:ascii="楷体" w:hAnsi="楷体" w:eastAsia="楷体"/>
          <w:sz w:val="24"/>
          <w:szCs w:val="24"/>
          <w:u w:val="single"/>
        </w:rPr>
        <w:t xml:space="preserve">              </w:t>
      </w:r>
      <w:r>
        <w:rPr>
          <w:rFonts w:ascii="楷体" w:hAnsi="楷体" w:eastAsia="楷体"/>
          <w:sz w:val="24"/>
          <w:szCs w:val="24"/>
        </w:rPr>
        <w:t>（用文字和数字表示的总价）的货物</w:t>
      </w:r>
      <w:r>
        <w:rPr>
          <w:rFonts w:hint="eastAsia" w:ascii="楷体" w:hAnsi="楷体" w:eastAsia="楷体"/>
          <w:sz w:val="24"/>
          <w:szCs w:val="24"/>
        </w:rPr>
        <w:t>或</w:t>
      </w:r>
      <w:r>
        <w:rPr>
          <w:rFonts w:ascii="楷体" w:hAnsi="楷体" w:eastAsia="楷体"/>
          <w:sz w:val="24"/>
          <w:szCs w:val="24"/>
        </w:rPr>
        <w:t>服务。</w:t>
      </w:r>
      <w:r>
        <w:rPr>
          <w:rFonts w:hint="eastAsia" w:ascii="楷体" w:hAnsi="楷体" w:eastAsia="楷体"/>
          <w:sz w:val="24"/>
          <w:szCs w:val="24"/>
        </w:rPr>
        <w:t>并作出如下承诺：</w:t>
      </w:r>
    </w:p>
    <w:p>
      <w:pPr>
        <w:snapToGrid w:val="0"/>
        <w:spacing w:line="480" w:lineRule="exact"/>
        <w:ind w:firstLine="552"/>
        <w:rPr>
          <w:rFonts w:ascii="楷体" w:hAnsi="楷体" w:eastAsia="楷体"/>
          <w:sz w:val="24"/>
          <w:szCs w:val="24"/>
        </w:rPr>
      </w:pPr>
      <w:r>
        <w:rPr>
          <w:rFonts w:ascii="楷体" w:hAnsi="楷体" w:eastAsia="楷体"/>
          <w:sz w:val="24"/>
          <w:szCs w:val="24"/>
        </w:rPr>
        <w:t>1、如果我们被</w:t>
      </w:r>
      <w:r>
        <w:rPr>
          <w:rFonts w:hint="eastAsia" w:ascii="楷体" w:hAnsi="楷体" w:eastAsia="楷体"/>
          <w:sz w:val="24"/>
          <w:szCs w:val="24"/>
        </w:rPr>
        <w:t>确定</w:t>
      </w:r>
      <w:r>
        <w:rPr>
          <w:rFonts w:ascii="楷体" w:hAnsi="楷体" w:eastAsia="楷体"/>
          <w:sz w:val="24"/>
          <w:szCs w:val="24"/>
        </w:rPr>
        <w:t>为成交供应商，我们将按照磋商后双方确认</w:t>
      </w:r>
      <w:r>
        <w:rPr>
          <w:rFonts w:hint="eastAsia" w:ascii="楷体" w:hAnsi="楷体" w:eastAsia="楷体"/>
          <w:sz w:val="24"/>
          <w:szCs w:val="24"/>
        </w:rPr>
        <w:t>的合同</w:t>
      </w:r>
      <w:r>
        <w:rPr>
          <w:rFonts w:ascii="楷体" w:hAnsi="楷体" w:eastAsia="楷体"/>
          <w:sz w:val="24"/>
          <w:szCs w:val="24"/>
        </w:rPr>
        <w:t>条款的要求执行。</w:t>
      </w:r>
    </w:p>
    <w:p>
      <w:pPr>
        <w:snapToGrid w:val="0"/>
        <w:spacing w:line="480" w:lineRule="exact"/>
        <w:ind w:firstLine="552"/>
        <w:rPr>
          <w:rFonts w:ascii="楷体" w:hAnsi="楷体" w:eastAsia="楷体"/>
          <w:sz w:val="24"/>
          <w:szCs w:val="24"/>
        </w:rPr>
      </w:pPr>
      <w:r>
        <w:rPr>
          <w:rFonts w:ascii="楷体" w:hAnsi="楷体" w:eastAsia="楷体"/>
          <w:sz w:val="24"/>
          <w:szCs w:val="24"/>
        </w:rPr>
        <w:t>2、我方保证忠实地执行双方所签的合同，并承担合同规定的责任和义务。</w:t>
      </w:r>
    </w:p>
    <w:p>
      <w:pPr>
        <w:snapToGrid w:val="0"/>
        <w:spacing w:line="480" w:lineRule="exact"/>
        <w:ind w:firstLine="552"/>
      </w:pPr>
      <w:r>
        <w:rPr>
          <w:rFonts w:ascii="楷体" w:hAnsi="楷体" w:eastAsia="楷体"/>
          <w:sz w:val="24"/>
          <w:szCs w:val="24"/>
        </w:rPr>
        <w:t>3、</w:t>
      </w:r>
      <w:r>
        <w:rPr>
          <w:rFonts w:hint="eastAsia" w:ascii="楷体" w:hAnsi="楷体" w:eastAsia="楷体"/>
          <w:sz w:val="24"/>
          <w:szCs w:val="24"/>
          <w:lang w:val="en-US" w:eastAsia="zh-CN"/>
        </w:rPr>
        <w:t>服务期：2021年12月31日前完成本项目。</w:t>
      </w:r>
    </w:p>
    <w:p>
      <w:pPr>
        <w:snapToGrid w:val="0"/>
        <w:spacing w:line="480" w:lineRule="exact"/>
        <w:ind w:firstLine="552"/>
      </w:pPr>
      <w:r>
        <w:rPr>
          <w:rFonts w:hint="eastAsia" w:ascii="楷体" w:hAnsi="楷体" w:eastAsia="楷体"/>
          <w:sz w:val="24"/>
          <w:szCs w:val="24"/>
          <w:lang w:val="en-US" w:eastAsia="zh-CN"/>
        </w:rPr>
        <w:t>4</w:t>
      </w:r>
      <w:r>
        <w:rPr>
          <w:rFonts w:ascii="楷体" w:hAnsi="楷体" w:eastAsia="楷体"/>
          <w:sz w:val="24"/>
          <w:szCs w:val="24"/>
        </w:rPr>
        <w:t>、我方愿意向贵方提供任何与此报价有关的数据、情况和技术资料。</w:t>
      </w:r>
    </w:p>
    <w:p>
      <w:pPr>
        <w:snapToGrid w:val="0"/>
        <w:spacing w:line="480" w:lineRule="exact"/>
        <w:ind w:firstLine="552"/>
        <w:rPr>
          <w:rFonts w:ascii="楷体" w:hAnsi="楷体" w:eastAsia="楷体"/>
          <w:sz w:val="24"/>
          <w:szCs w:val="24"/>
        </w:rPr>
      </w:pPr>
      <w:r>
        <w:rPr>
          <w:rFonts w:hint="eastAsia" w:ascii="楷体" w:hAnsi="楷体" w:eastAsia="楷体"/>
          <w:sz w:val="24"/>
          <w:szCs w:val="24"/>
          <w:lang w:val="en-US" w:eastAsia="zh-CN"/>
        </w:rPr>
        <w:t>5</w:t>
      </w:r>
      <w:r>
        <w:rPr>
          <w:rFonts w:ascii="楷体" w:hAnsi="楷体" w:eastAsia="楷体"/>
          <w:sz w:val="24"/>
          <w:szCs w:val="24"/>
        </w:rPr>
        <w:t>、</w:t>
      </w:r>
      <w:r>
        <w:rPr>
          <w:rFonts w:hint="eastAsia" w:ascii="楷体" w:hAnsi="楷体" w:eastAsia="楷体"/>
          <w:sz w:val="24"/>
          <w:szCs w:val="24"/>
        </w:rPr>
        <w:t>我方提交的响应文件及报价</w:t>
      </w:r>
      <w:r>
        <w:rPr>
          <w:rFonts w:ascii="楷体" w:hAnsi="楷体" w:eastAsia="楷体"/>
          <w:sz w:val="24"/>
          <w:szCs w:val="24"/>
        </w:rPr>
        <w:t>自提交日期起</w:t>
      </w:r>
      <w:r>
        <w:rPr>
          <w:rFonts w:hint="eastAsia" w:ascii="楷体" w:hAnsi="楷体" w:eastAsia="楷体"/>
          <w:sz w:val="24"/>
          <w:szCs w:val="24"/>
          <w:u w:val="single"/>
        </w:rPr>
        <w:t xml:space="preserve">    </w:t>
      </w:r>
      <w:r>
        <w:rPr>
          <w:rFonts w:ascii="楷体" w:hAnsi="楷体" w:eastAsia="楷体"/>
          <w:sz w:val="24"/>
          <w:szCs w:val="24"/>
        </w:rPr>
        <w:t>天有效，并对我方具有约束力。</w:t>
      </w:r>
    </w:p>
    <w:p>
      <w:pPr>
        <w:snapToGrid w:val="0"/>
        <w:spacing w:line="480" w:lineRule="exact"/>
        <w:ind w:firstLine="552"/>
        <w:rPr>
          <w:rFonts w:ascii="楷体" w:hAnsi="楷体" w:eastAsia="楷体"/>
          <w:sz w:val="24"/>
          <w:szCs w:val="24"/>
        </w:rPr>
      </w:pPr>
      <w:r>
        <w:rPr>
          <w:rFonts w:hint="eastAsia" w:ascii="楷体" w:hAnsi="楷体" w:eastAsia="楷体"/>
          <w:sz w:val="24"/>
          <w:szCs w:val="24"/>
          <w:lang w:val="en-US" w:eastAsia="zh-CN"/>
        </w:rPr>
        <w:t>6</w:t>
      </w:r>
      <w:r>
        <w:rPr>
          <w:rFonts w:ascii="楷体" w:hAnsi="楷体" w:eastAsia="楷体"/>
          <w:sz w:val="24"/>
          <w:szCs w:val="24"/>
        </w:rPr>
        <w:t>、在正式合同准备好和签字前，本报价函及贵方的书面成交结果通知书将构成约束我们双方的合同内容。</w:t>
      </w:r>
    </w:p>
    <w:p>
      <w:pPr>
        <w:pStyle w:val="20"/>
        <w:snapToGrid w:val="0"/>
        <w:spacing w:after="0" w:line="480" w:lineRule="exact"/>
        <w:rPr>
          <w:rFonts w:ascii="楷体" w:hAnsi="楷体" w:eastAsia="楷体"/>
          <w:b/>
          <w:sz w:val="24"/>
          <w:szCs w:val="24"/>
        </w:rPr>
      </w:pPr>
    </w:p>
    <w:p>
      <w:pPr>
        <w:pStyle w:val="20"/>
        <w:snapToGrid w:val="0"/>
        <w:spacing w:after="0" w:line="480" w:lineRule="exact"/>
        <w:rPr>
          <w:rFonts w:ascii="楷体" w:hAnsi="楷体" w:eastAsia="楷体"/>
          <w:b/>
          <w:sz w:val="24"/>
          <w:szCs w:val="24"/>
        </w:rPr>
      </w:pPr>
    </w:p>
    <w:p>
      <w:pPr>
        <w:spacing w:line="360" w:lineRule="auto"/>
        <w:ind w:firstLine="600" w:firstLineChars="250"/>
        <w:rPr>
          <w:rFonts w:hint="eastAsia" w:ascii="楷体" w:hAnsi="楷体" w:eastAsia="楷体"/>
          <w:sz w:val="24"/>
          <w:u w:val="single"/>
        </w:rPr>
      </w:pPr>
      <w:r>
        <w:rPr>
          <w:rFonts w:hint="eastAsia" w:ascii="楷体" w:hAnsi="楷体" w:eastAsia="楷体"/>
          <w:sz w:val="24"/>
        </w:rPr>
        <w:t>供应商：</w:t>
      </w:r>
      <w:r>
        <w:rPr>
          <w:rFonts w:hint="eastAsia" w:ascii="楷体" w:hAnsi="楷体" w:eastAsia="楷体"/>
          <w:sz w:val="24"/>
          <w:u w:val="single"/>
        </w:rPr>
        <w:t xml:space="preserve">     （公章）        </w:t>
      </w:r>
    </w:p>
    <w:p>
      <w:pPr>
        <w:spacing w:line="360" w:lineRule="auto"/>
        <w:ind w:firstLine="600" w:firstLineChars="250"/>
        <w:rPr>
          <w:rFonts w:hint="eastAsia" w:ascii="楷体" w:hAnsi="楷体" w:eastAsia="楷体"/>
          <w:sz w:val="24"/>
          <w:u w:val="single"/>
        </w:rPr>
      </w:pPr>
      <w:r>
        <w:rPr>
          <w:rFonts w:hint="eastAsia" w:ascii="楷体" w:hAnsi="楷体" w:eastAsia="楷体"/>
          <w:sz w:val="24"/>
        </w:rPr>
        <w:t>法定代表人或其授权代理人：</w:t>
      </w:r>
      <w:r>
        <w:rPr>
          <w:rFonts w:hint="eastAsia" w:ascii="楷体" w:hAnsi="楷体" w:eastAsia="楷体"/>
          <w:sz w:val="24"/>
          <w:u w:val="single"/>
        </w:rPr>
        <w:t xml:space="preserve">       （签字）       </w:t>
      </w:r>
    </w:p>
    <w:p>
      <w:pPr>
        <w:snapToGrid w:val="0"/>
        <w:spacing w:line="480" w:lineRule="exact"/>
        <w:ind w:firstLine="552"/>
        <w:rPr>
          <w:rFonts w:hint="eastAsia" w:ascii="楷体" w:hAnsi="楷体" w:eastAsia="楷体"/>
          <w:sz w:val="24"/>
          <w:szCs w:val="24"/>
          <w:u w:val="single"/>
          <w:lang w:val="en-US" w:eastAsia="zh-CN"/>
        </w:rPr>
        <w:sectPr>
          <w:pgSz w:w="11906" w:h="16838"/>
          <w:pgMar w:top="1440" w:right="1797" w:bottom="1440" w:left="1797" w:header="851" w:footer="992" w:gutter="0"/>
          <w:cols w:space="720" w:num="1"/>
          <w:docGrid w:linePitch="312" w:charSpace="0"/>
        </w:sectPr>
      </w:pPr>
      <w:r>
        <w:rPr>
          <w:rFonts w:hint="eastAsia" w:ascii="楷体" w:hAnsi="楷体" w:eastAsia="楷体"/>
          <w:sz w:val="24"/>
        </w:rPr>
        <w:t>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u w:val="single"/>
          <w:lang w:val="en-US" w:eastAsia="zh-CN"/>
        </w:rPr>
        <w:t>日</w:t>
      </w:r>
    </w:p>
    <w:p>
      <w:pPr>
        <w:spacing w:line="480" w:lineRule="exact"/>
        <w:rPr>
          <w:rFonts w:ascii="楷体" w:hAnsi="楷体" w:eastAsia="楷体"/>
          <w:b/>
          <w:sz w:val="32"/>
        </w:rPr>
      </w:pPr>
    </w:p>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imes New Roman (标题 CS)">
    <w:altName w:val="Times New Roman"/>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imes New Roman (正文 CS 字体)">
    <w:altName w:val="Times New Roman"/>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黑体,Bold">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23</w:t>
    </w:r>
    <w:r>
      <w:fldChar w:fldCharType="end"/>
    </w:r>
  </w:p>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1</w:t>
    </w:r>
    <w:r>
      <w:fldChar w:fldCharType="end"/>
    </w:r>
  </w:p>
  <w:p>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9285" cy="152400"/>
              <wp:effectExtent l="0" t="0" r="0" b="0"/>
              <wp:wrapNone/>
              <wp:docPr id="8"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29285" cy="152400"/>
                      </a:xfrm>
                      <a:prstGeom prst="rect">
                        <a:avLst/>
                      </a:prstGeom>
                      <a:noFill/>
                      <a:ln>
                        <a:noFill/>
                      </a:ln>
                      <a:effectLst/>
                    </wps:spPr>
                    <wps:txbx>
                      <w:txbxContent>
                        <w:p>
                          <w:pPr>
                            <w:pStyle w:val="22"/>
                            <w:ind w:firstLine="36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2pt;width:49.55pt;mso-position-horizontal:center;mso-position-horizontal-relative:margin;mso-wrap-style:none;z-index:251659264;mso-width-relative:page;mso-height-relative:page;" filled="f" stroked="f" coordsize="21600,21600" o:gfxdata="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69xOLRAAAAAwEAAA8AAAAAAAAAAQAgAAAAIgAAAGRycy9kb3ducmV2LnhtbFBLAQIUABQAAAAI&#10;AIdO4kDViPrh9AEAAMIDAAAOAAAAAAAAAAEAIAAAACABAABkcnMvZTJvRG9jLnhtbFBLBQYAAAAA&#10;BgAGAFkBAACGBQAAAAA=&#10;">
              <v:fill on="f" focussize="0,0"/>
              <v:stroke on="f"/>
              <v:imagedata o:title=""/>
              <o:lock v:ext="edit" aspectratio="f"/>
              <v:textbox inset="0mm,0mm,0mm,0mm" style="mso-fit-shape-to-text:t;">
                <w:txbxContent>
                  <w:p>
                    <w:pPr>
                      <w:pStyle w:val="22"/>
                      <w:ind w:firstLine="36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9285" cy="1524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29285" cy="152400"/>
                      </a:xfrm>
                      <a:prstGeom prst="rect">
                        <a:avLst/>
                      </a:prstGeom>
                      <a:noFill/>
                      <a:ln>
                        <a:noFill/>
                      </a:ln>
                      <a:effectLst/>
                    </wps:spPr>
                    <wps:txbx>
                      <w:txbxContent>
                        <w:p>
                          <w:pPr>
                            <w:pStyle w:val="22"/>
                            <w:ind w:firstLine="36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2pt;width:49.55pt;mso-position-horizontal:center;mso-position-horizontal-relative:margin;mso-wrap-style:none;z-index:251660288;mso-width-relative:page;mso-height-relative:page;" filled="f" stroked="f" coordsize="21600,21600" o:gfxdata="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vcTi0QAAAAMBAAAPAAAAAAAAAAEAIAAAACIAAABkcnMvZG93bnJldi54bWxQSwECFAAUAAAA&#10;CACHTuJA5C6Ge/UBAADCAwAADgAAAAAAAAABACAAAAAgAQAAZHJzL2Uyb0RvYy54bWxQSwUGAAAA&#10;AAYABgBZAQAAhwUAAAAA&#10;">
              <v:fill on="f" focussize="0,0"/>
              <v:stroke on="f"/>
              <v:imagedata o:title=""/>
              <o:lock v:ext="edit" aspectratio="f"/>
              <v:textbox inset="0mm,0mm,0mm,0mm" style="mso-fit-shape-to-text:t;">
                <w:txbxContent>
                  <w:p>
                    <w:pPr>
                      <w:pStyle w:val="22"/>
                      <w:ind w:firstLine="36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ind w:firstLine="40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ind w:firstLine="40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pStyle w:val="61"/>
      <w:lvlText w:val="3.%1"/>
      <w:lvlJc w:val="left"/>
      <w:pPr>
        <w:ind w:left="0" w:firstLine="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12"/>
      <w:lvlText w:val=""/>
      <w:lvlJc w:val="left"/>
      <w:pPr>
        <w:tabs>
          <w:tab w:val="left" w:pos="1260"/>
        </w:tabs>
        <w:ind w:left="1260" w:hanging="420"/>
      </w:pPr>
      <w:rPr>
        <w:rFonts w:hint="default" w:ascii="Wingdings" w:hAnsi="Wingdings"/>
      </w:rPr>
    </w:lvl>
    <w:lvl w:ilvl="3" w:tentative="0">
      <w:start w:val="1"/>
      <w:numFmt w:val="bullet"/>
      <w:pStyle w:val="44"/>
      <w:lvlText w:val=""/>
      <w:lvlJc w:val="left"/>
      <w:pPr>
        <w:tabs>
          <w:tab w:val="left" w:pos="1680"/>
        </w:tabs>
        <w:ind w:left="1680" w:hanging="420"/>
      </w:pPr>
      <w:rPr>
        <w:rFonts w:hint="default" w:ascii="Wingdings" w:hAnsi="Wingdings"/>
      </w:rPr>
    </w:lvl>
    <w:lvl w:ilvl="4" w:tentative="0">
      <w:start w:val="1"/>
      <w:numFmt w:val="bullet"/>
      <w:pStyle w:val="46"/>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AE46094"/>
    <w:multiLevelType w:val="singleLevel"/>
    <w:tmpl w:val="1AE46094"/>
    <w:lvl w:ilvl="0" w:tentative="0">
      <w:start w:val="42"/>
      <w:numFmt w:val="decimal"/>
      <w:lvlText w:val="%1."/>
      <w:lvlJc w:val="left"/>
      <w:pPr>
        <w:tabs>
          <w:tab w:val="left" w:pos="312"/>
        </w:tabs>
      </w:pPr>
    </w:lvl>
  </w:abstractNum>
  <w:abstractNum w:abstractNumId="2">
    <w:nsid w:val="1E462412"/>
    <w:multiLevelType w:val="multilevel"/>
    <w:tmpl w:val="1E462412"/>
    <w:lvl w:ilvl="0" w:tentative="0">
      <w:start w:val="1"/>
      <w:numFmt w:val="decimal"/>
      <w:pStyle w:val="72"/>
      <w:isLgl/>
      <w:lvlText w:val="%1."/>
      <w:lvlJc w:val="left"/>
      <w:pPr>
        <w:ind w:left="480" w:hanging="480"/>
      </w:pPr>
      <w:rPr>
        <w:rFonts w:hint="eastAsia"/>
      </w:rPr>
    </w:lvl>
    <w:lvl w:ilvl="1" w:tentative="0">
      <w:start w:val="1"/>
      <w:numFmt w:val="decimal"/>
      <w:pStyle w:val="56"/>
      <w:isLgl/>
      <w:lvlText w:val="%1.%2"/>
      <w:lvlJc w:val="left"/>
      <w:pPr>
        <w:ind w:left="480" w:hanging="480"/>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1080" w:hanging="1080"/>
      </w:pPr>
      <w:rPr>
        <w:rFonts w:hint="eastAsia"/>
      </w:rPr>
    </w:lvl>
    <w:lvl w:ilvl="4" w:tentative="0">
      <w:start w:val="1"/>
      <w:numFmt w:val="decimal"/>
      <w:isLgl/>
      <w:lvlText w:val="%1.%2.%3.%4.%5"/>
      <w:lvlJc w:val="left"/>
      <w:pPr>
        <w:ind w:left="1080" w:hanging="1080"/>
      </w:pPr>
      <w:rPr>
        <w:rFonts w:hint="eastAsia"/>
      </w:rPr>
    </w:lvl>
    <w:lvl w:ilvl="5" w:tentative="0">
      <w:start w:val="1"/>
      <w:numFmt w:val="decimal"/>
      <w:isLgl/>
      <w:lvlText w:val="%1.%2.%3.%4.%5.%6"/>
      <w:lvlJc w:val="left"/>
      <w:pPr>
        <w:ind w:left="1440" w:hanging="144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isLgl/>
      <w:lvlText w:val="%1.%2.%3.%4.%5.%6.%7"/>
      <w:lvlJc w:val="left"/>
      <w:pPr>
        <w:ind w:left="1800" w:hanging="1800"/>
      </w:pPr>
      <w:rPr>
        <w:rFonts w:hint="eastAsia"/>
      </w:rPr>
    </w:lvl>
    <w:lvl w:ilvl="7" w:tentative="0">
      <w:start w:val="1"/>
      <w:numFmt w:val="decimal"/>
      <w:isLgl/>
      <w:lvlText w:val="%1.%2.%3.%4.%5.%6.%7.%8"/>
      <w:lvlJc w:val="left"/>
      <w:pPr>
        <w:ind w:left="1800" w:hanging="1800"/>
      </w:pPr>
      <w:rPr>
        <w:rFonts w:hint="eastAsia"/>
      </w:rPr>
    </w:lvl>
    <w:lvl w:ilvl="8" w:tentative="0">
      <w:start w:val="1"/>
      <w:numFmt w:val="decimal"/>
      <w:isLgl/>
      <w:lvlText w:val="%1.%2.%3.%4.%5.%6.%7.%8.%9"/>
      <w:lvlJc w:val="left"/>
      <w:pPr>
        <w:ind w:left="2160" w:hanging="2160"/>
      </w:pPr>
      <w:rPr>
        <w:rFonts w:hint="eastAsia"/>
      </w:rPr>
    </w:lvl>
  </w:abstractNum>
  <w:abstractNum w:abstractNumId="3">
    <w:nsid w:val="77682B5D"/>
    <w:multiLevelType w:val="multilevel"/>
    <w:tmpl w:val="77682B5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2"/>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C6"/>
    <w:rsid w:val="00003BC7"/>
    <w:rsid w:val="00003FD7"/>
    <w:rsid w:val="000040E3"/>
    <w:rsid w:val="0000546B"/>
    <w:rsid w:val="00006D35"/>
    <w:rsid w:val="00007114"/>
    <w:rsid w:val="0001026E"/>
    <w:rsid w:val="00012611"/>
    <w:rsid w:val="00013C8E"/>
    <w:rsid w:val="00014295"/>
    <w:rsid w:val="00016656"/>
    <w:rsid w:val="0001793E"/>
    <w:rsid w:val="000179D2"/>
    <w:rsid w:val="0002030E"/>
    <w:rsid w:val="00020D3A"/>
    <w:rsid w:val="00026CC6"/>
    <w:rsid w:val="0003213E"/>
    <w:rsid w:val="00034516"/>
    <w:rsid w:val="00037042"/>
    <w:rsid w:val="00040FE0"/>
    <w:rsid w:val="00050C37"/>
    <w:rsid w:val="00057024"/>
    <w:rsid w:val="00060C50"/>
    <w:rsid w:val="00060D85"/>
    <w:rsid w:val="00062A69"/>
    <w:rsid w:val="00065466"/>
    <w:rsid w:val="0007049D"/>
    <w:rsid w:val="0007209F"/>
    <w:rsid w:val="00073CE0"/>
    <w:rsid w:val="000755BE"/>
    <w:rsid w:val="00075B54"/>
    <w:rsid w:val="00076EBF"/>
    <w:rsid w:val="00084FA5"/>
    <w:rsid w:val="00086BBA"/>
    <w:rsid w:val="00095FA1"/>
    <w:rsid w:val="000A054D"/>
    <w:rsid w:val="000A2B91"/>
    <w:rsid w:val="000A4897"/>
    <w:rsid w:val="000A49A1"/>
    <w:rsid w:val="000A49E4"/>
    <w:rsid w:val="000A54FE"/>
    <w:rsid w:val="000A66DA"/>
    <w:rsid w:val="000A6F6D"/>
    <w:rsid w:val="000A7728"/>
    <w:rsid w:val="000B04F2"/>
    <w:rsid w:val="000B1AED"/>
    <w:rsid w:val="000B48F7"/>
    <w:rsid w:val="000B5740"/>
    <w:rsid w:val="000B6414"/>
    <w:rsid w:val="000C0190"/>
    <w:rsid w:val="000C1688"/>
    <w:rsid w:val="000C1BB8"/>
    <w:rsid w:val="000C1DB9"/>
    <w:rsid w:val="000C71A4"/>
    <w:rsid w:val="000D614D"/>
    <w:rsid w:val="000D6205"/>
    <w:rsid w:val="000D6A58"/>
    <w:rsid w:val="000D790A"/>
    <w:rsid w:val="000E2773"/>
    <w:rsid w:val="000F325A"/>
    <w:rsid w:val="000F5DF7"/>
    <w:rsid w:val="000F6C86"/>
    <w:rsid w:val="001026E6"/>
    <w:rsid w:val="001048EC"/>
    <w:rsid w:val="00106C61"/>
    <w:rsid w:val="0011097C"/>
    <w:rsid w:val="00111679"/>
    <w:rsid w:val="00117192"/>
    <w:rsid w:val="00117EC8"/>
    <w:rsid w:val="00120A2A"/>
    <w:rsid w:val="0012263B"/>
    <w:rsid w:val="001242DC"/>
    <w:rsid w:val="00125153"/>
    <w:rsid w:val="00125188"/>
    <w:rsid w:val="00125677"/>
    <w:rsid w:val="00125B51"/>
    <w:rsid w:val="0013333E"/>
    <w:rsid w:val="00135885"/>
    <w:rsid w:val="00137C8C"/>
    <w:rsid w:val="001448C8"/>
    <w:rsid w:val="0014635F"/>
    <w:rsid w:val="00146819"/>
    <w:rsid w:val="0014735F"/>
    <w:rsid w:val="00151C35"/>
    <w:rsid w:val="00151CB0"/>
    <w:rsid w:val="0015316E"/>
    <w:rsid w:val="00155B13"/>
    <w:rsid w:val="0016079C"/>
    <w:rsid w:val="0016088F"/>
    <w:rsid w:val="001620E8"/>
    <w:rsid w:val="001624C4"/>
    <w:rsid w:val="00166DAC"/>
    <w:rsid w:val="0017059E"/>
    <w:rsid w:val="001737ED"/>
    <w:rsid w:val="00176992"/>
    <w:rsid w:val="00176D53"/>
    <w:rsid w:val="00176D5C"/>
    <w:rsid w:val="00181A39"/>
    <w:rsid w:val="00182BFF"/>
    <w:rsid w:val="00182F9A"/>
    <w:rsid w:val="001857E1"/>
    <w:rsid w:val="00185DEA"/>
    <w:rsid w:val="001864E9"/>
    <w:rsid w:val="00186BB7"/>
    <w:rsid w:val="0019188A"/>
    <w:rsid w:val="00194DAC"/>
    <w:rsid w:val="001A0846"/>
    <w:rsid w:val="001A0A4D"/>
    <w:rsid w:val="001A19A9"/>
    <w:rsid w:val="001A4582"/>
    <w:rsid w:val="001A5F37"/>
    <w:rsid w:val="001A6656"/>
    <w:rsid w:val="001B40BF"/>
    <w:rsid w:val="001B5027"/>
    <w:rsid w:val="001B5601"/>
    <w:rsid w:val="001B5C4B"/>
    <w:rsid w:val="001B7EA0"/>
    <w:rsid w:val="001C019D"/>
    <w:rsid w:val="001C4D8A"/>
    <w:rsid w:val="001C7B51"/>
    <w:rsid w:val="001D0A44"/>
    <w:rsid w:val="001D19E2"/>
    <w:rsid w:val="001D6101"/>
    <w:rsid w:val="001D6DA4"/>
    <w:rsid w:val="001E128E"/>
    <w:rsid w:val="001E5002"/>
    <w:rsid w:val="001E5C2B"/>
    <w:rsid w:val="001F1651"/>
    <w:rsid w:val="001F1833"/>
    <w:rsid w:val="001F1C5D"/>
    <w:rsid w:val="001F30AF"/>
    <w:rsid w:val="001F40FE"/>
    <w:rsid w:val="001F42FF"/>
    <w:rsid w:val="001F46DD"/>
    <w:rsid w:val="001F7536"/>
    <w:rsid w:val="002018C9"/>
    <w:rsid w:val="00202F5C"/>
    <w:rsid w:val="002032C0"/>
    <w:rsid w:val="00204632"/>
    <w:rsid w:val="00210112"/>
    <w:rsid w:val="00211765"/>
    <w:rsid w:val="00211936"/>
    <w:rsid w:val="002126DE"/>
    <w:rsid w:val="002129A4"/>
    <w:rsid w:val="0021333A"/>
    <w:rsid w:val="002156CB"/>
    <w:rsid w:val="002213A3"/>
    <w:rsid w:val="0022334B"/>
    <w:rsid w:val="00230F7B"/>
    <w:rsid w:val="00236370"/>
    <w:rsid w:val="00242CDB"/>
    <w:rsid w:val="00242ECD"/>
    <w:rsid w:val="00244E7D"/>
    <w:rsid w:val="00245354"/>
    <w:rsid w:val="00247854"/>
    <w:rsid w:val="00247980"/>
    <w:rsid w:val="0025277F"/>
    <w:rsid w:val="0025789F"/>
    <w:rsid w:val="00260735"/>
    <w:rsid w:val="00262534"/>
    <w:rsid w:val="00272072"/>
    <w:rsid w:val="00272555"/>
    <w:rsid w:val="00275393"/>
    <w:rsid w:val="00276287"/>
    <w:rsid w:val="00282149"/>
    <w:rsid w:val="002841FC"/>
    <w:rsid w:val="00285541"/>
    <w:rsid w:val="0028755A"/>
    <w:rsid w:val="002924A1"/>
    <w:rsid w:val="0029540F"/>
    <w:rsid w:val="00296ADD"/>
    <w:rsid w:val="002A035B"/>
    <w:rsid w:val="002A17C9"/>
    <w:rsid w:val="002A34EC"/>
    <w:rsid w:val="002A6430"/>
    <w:rsid w:val="002A6E12"/>
    <w:rsid w:val="002C0DD0"/>
    <w:rsid w:val="002C0E84"/>
    <w:rsid w:val="002C16D9"/>
    <w:rsid w:val="002C1E77"/>
    <w:rsid w:val="002C3E77"/>
    <w:rsid w:val="002C4BC1"/>
    <w:rsid w:val="002C5324"/>
    <w:rsid w:val="002C5C30"/>
    <w:rsid w:val="002C7C99"/>
    <w:rsid w:val="002D1553"/>
    <w:rsid w:val="002F1C56"/>
    <w:rsid w:val="002F2B49"/>
    <w:rsid w:val="002F3381"/>
    <w:rsid w:val="002F3C2B"/>
    <w:rsid w:val="002F5D74"/>
    <w:rsid w:val="002F67CE"/>
    <w:rsid w:val="002F7372"/>
    <w:rsid w:val="00301237"/>
    <w:rsid w:val="003020A6"/>
    <w:rsid w:val="00307C42"/>
    <w:rsid w:val="00312DBB"/>
    <w:rsid w:val="00315280"/>
    <w:rsid w:val="00316E64"/>
    <w:rsid w:val="00320D7B"/>
    <w:rsid w:val="00321D4F"/>
    <w:rsid w:val="003233F8"/>
    <w:rsid w:val="00327BBB"/>
    <w:rsid w:val="00330546"/>
    <w:rsid w:val="00330C43"/>
    <w:rsid w:val="003320E6"/>
    <w:rsid w:val="00333671"/>
    <w:rsid w:val="00333D75"/>
    <w:rsid w:val="00335045"/>
    <w:rsid w:val="00335FAB"/>
    <w:rsid w:val="003374E9"/>
    <w:rsid w:val="00340A52"/>
    <w:rsid w:val="0034101D"/>
    <w:rsid w:val="00341EF0"/>
    <w:rsid w:val="003441F1"/>
    <w:rsid w:val="00345572"/>
    <w:rsid w:val="00345A69"/>
    <w:rsid w:val="00347073"/>
    <w:rsid w:val="003473B3"/>
    <w:rsid w:val="00352FCF"/>
    <w:rsid w:val="00357378"/>
    <w:rsid w:val="0036042F"/>
    <w:rsid w:val="003626EE"/>
    <w:rsid w:val="00362EBE"/>
    <w:rsid w:val="0036400E"/>
    <w:rsid w:val="00365BF2"/>
    <w:rsid w:val="003667B1"/>
    <w:rsid w:val="003675CF"/>
    <w:rsid w:val="00367716"/>
    <w:rsid w:val="00367F99"/>
    <w:rsid w:val="00372666"/>
    <w:rsid w:val="0037416A"/>
    <w:rsid w:val="003760D2"/>
    <w:rsid w:val="00376D7E"/>
    <w:rsid w:val="00381399"/>
    <w:rsid w:val="00381F0C"/>
    <w:rsid w:val="003820CA"/>
    <w:rsid w:val="00385C56"/>
    <w:rsid w:val="003927C5"/>
    <w:rsid w:val="0039432B"/>
    <w:rsid w:val="00395713"/>
    <w:rsid w:val="00396200"/>
    <w:rsid w:val="003A0C19"/>
    <w:rsid w:val="003A1B33"/>
    <w:rsid w:val="003A2E4C"/>
    <w:rsid w:val="003A3C9D"/>
    <w:rsid w:val="003A5422"/>
    <w:rsid w:val="003A5FBB"/>
    <w:rsid w:val="003A77FF"/>
    <w:rsid w:val="003B15DC"/>
    <w:rsid w:val="003B1D72"/>
    <w:rsid w:val="003B5E99"/>
    <w:rsid w:val="003C337A"/>
    <w:rsid w:val="003C3FEF"/>
    <w:rsid w:val="003C621C"/>
    <w:rsid w:val="003D2643"/>
    <w:rsid w:val="003E065F"/>
    <w:rsid w:val="003E1094"/>
    <w:rsid w:val="003E5380"/>
    <w:rsid w:val="003E6EDC"/>
    <w:rsid w:val="003F231C"/>
    <w:rsid w:val="003F36C3"/>
    <w:rsid w:val="003F3D3D"/>
    <w:rsid w:val="003F3F19"/>
    <w:rsid w:val="003F4456"/>
    <w:rsid w:val="004000D8"/>
    <w:rsid w:val="0040517F"/>
    <w:rsid w:val="004057B2"/>
    <w:rsid w:val="00405DF2"/>
    <w:rsid w:val="00406118"/>
    <w:rsid w:val="004078D7"/>
    <w:rsid w:val="00420D96"/>
    <w:rsid w:val="00422485"/>
    <w:rsid w:val="004248BB"/>
    <w:rsid w:val="00425727"/>
    <w:rsid w:val="00426CEA"/>
    <w:rsid w:val="00427FF7"/>
    <w:rsid w:val="004301D0"/>
    <w:rsid w:val="00435F6C"/>
    <w:rsid w:val="00436B9F"/>
    <w:rsid w:val="0044192E"/>
    <w:rsid w:val="00443616"/>
    <w:rsid w:val="00444FB2"/>
    <w:rsid w:val="004509A0"/>
    <w:rsid w:val="004533A6"/>
    <w:rsid w:val="004561EA"/>
    <w:rsid w:val="00456690"/>
    <w:rsid w:val="00457CE5"/>
    <w:rsid w:val="00461028"/>
    <w:rsid w:val="004656D7"/>
    <w:rsid w:val="0046604B"/>
    <w:rsid w:val="004703BD"/>
    <w:rsid w:val="00473E0A"/>
    <w:rsid w:val="0047605A"/>
    <w:rsid w:val="004760BA"/>
    <w:rsid w:val="00482130"/>
    <w:rsid w:val="00482899"/>
    <w:rsid w:val="00484208"/>
    <w:rsid w:val="0048790A"/>
    <w:rsid w:val="00493262"/>
    <w:rsid w:val="00495807"/>
    <w:rsid w:val="00497012"/>
    <w:rsid w:val="004A263B"/>
    <w:rsid w:val="004B182A"/>
    <w:rsid w:val="004B1E0F"/>
    <w:rsid w:val="004B4554"/>
    <w:rsid w:val="004B71A9"/>
    <w:rsid w:val="004C05D1"/>
    <w:rsid w:val="004C1CB5"/>
    <w:rsid w:val="004C4BC5"/>
    <w:rsid w:val="004C6B7B"/>
    <w:rsid w:val="004C6BAD"/>
    <w:rsid w:val="004D1A2B"/>
    <w:rsid w:val="004D217C"/>
    <w:rsid w:val="004D2348"/>
    <w:rsid w:val="004D2A92"/>
    <w:rsid w:val="004D37FD"/>
    <w:rsid w:val="004E01B0"/>
    <w:rsid w:val="004E0CF8"/>
    <w:rsid w:val="004E4D05"/>
    <w:rsid w:val="004E6FEB"/>
    <w:rsid w:val="004F0264"/>
    <w:rsid w:val="004F0E30"/>
    <w:rsid w:val="004F0FDF"/>
    <w:rsid w:val="004F669D"/>
    <w:rsid w:val="00502FB6"/>
    <w:rsid w:val="005060D8"/>
    <w:rsid w:val="00506757"/>
    <w:rsid w:val="00510A59"/>
    <w:rsid w:val="005141E5"/>
    <w:rsid w:val="00515A0F"/>
    <w:rsid w:val="0051655A"/>
    <w:rsid w:val="005173C0"/>
    <w:rsid w:val="0052425C"/>
    <w:rsid w:val="00524407"/>
    <w:rsid w:val="0052450D"/>
    <w:rsid w:val="00524FAB"/>
    <w:rsid w:val="005266BE"/>
    <w:rsid w:val="00526DE3"/>
    <w:rsid w:val="005304FA"/>
    <w:rsid w:val="00535479"/>
    <w:rsid w:val="00535B5A"/>
    <w:rsid w:val="005377E1"/>
    <w:rsid w:val="00541067"/>
    <w:rsid w:val="0054417B"/>
    <w:rsid w:val="00547550"/>
    <w:rsid w:val="00550A52"/>
    <w:rsid w:val="00553320"/>
    <w:rsid w:val="00555309"/>
    <w:rsid w:val="00556627"/>
    <w:rsid w:val="00560C6C"/>
    <w:rsid w:val="00565320"/>
    <w:rsid w:val="00572829"/>
    <w:rsid w:val="00572CCF"/>
    <w:rsid w:val="0057591D"/>
    <w:rsid w:val="00580C43"/>
    <w:rsid w:val="005810CC"/>
    <w:rsid w:val="0058503E"/>
    <w:rsid w:val="005929D1"/>
    <w:rsid w:val="00595A5B"/>
    <w:rsid w:val="00596A9B"/>
    <w:rsid w:val="005A1D2F"/>
    <w:rsid w:val="005A22DA"/>
    <w:rsid w:val="005A3594"/>
    <w:rsid w:val="005A76F2"/>
    <w:rsid w:val="005B0CEE"/>
    <w:rsid w:val="005B3228"/>
    <w:rsid w:val="005B55E1"/>
    <w:rsid w:val="005B5E7B"/>
    <w:rsid w:val="005C1380"/>
    <w:rsid w:val="005C5F78"/>
    <w:rsid w:val="005C62E0"/>
    <w:rsid w:val="005C6373"/>
    <w:rsid w:val="005C74A3"/>
    <w:rsid w:val="005D0362"/>
    <w:rsid w:val="005D166B"/>
    <w:rsid w:val="005D4A05"/>
    <w:rsid w:val="005D4D8C"/>
    <w:rsid w:val="005E01AE"/>
    <w:rsid w:val="005E0E5A"/>
    <w:rsid w:val="005E1254"/>
    <w:rsid w:val="005E43E8"/>
    <w:rsid w:val="005E46B0"/>
    <w:rsid w:val="005E554F"/>
    <w:rsid w:val="005E5DE2"/>
    <w:rsid w:val="005E61A8"/>
    <w:rsid w:val="005F4533"/>
    <w:rsid w:val="005F492E"/>
    <w:rsid w:val="00601274"/>
    <w:rsid w:val="00602431"/>
    <w:rsid w:val="00605172"/>
    <w:rsid w:val="00621B20"/>
    <w:rsid w:val="006231FD"/>
    <w:rsid w:val="00625641"/>
    <w:rsid w:val="00627041"/>
    <w:rsid w:val="00630E4B"/>
    <w:rsid w:val="00631216"/>
    <w:rsid w:val="00631CF2"/>
    <w:rsid w:val="00634206"/>
    <w:rsid w:val="006359DF"/>
    <w:rsid w:val="006371F2"/>
    <w:rsid w:val="00645512"/>
    <w:rsid w:val="00646D6F"/>
    <w:rsid w:val="0064756D"/>
    <w:rsid w:val="006476DC"/>
    <w:rsid w:val="00651287"/>
    <w:rsid w:val="00651D1A"/>
    <w:rsid w:val="0066275E"/>
    <w:rsid w:val="006636FC"/>
    <w:rsid w:val="006644AB"/>
    <w:rsid w:val="0066583A"/>
    <w:rsid w:val="00665863"/>
    <w:rsid w:val="00665F5D"/>
    <w:rsid w:val="0067026F"/>
    <w:rsid w:val="00670281"/>
    <w:rsid w:val="006752A1"/>
    <w:rsid w:val="0067629B"/>
    <w:rsid w:val="00681D4D"/>
    <w:rsid w:val="00682A9B"/>
    <w:rsid w:val="006905AD"/>
    <w:rsid w:val="00695091"/>
    <w:rsid w:val="00697FCC"/>
    <w:rsid w:val="006A2CA5"/>
    <w:rsid w:val="006A55A1"/>
    <w:rsid w:val="006B196E"/>
    <w:rsid w:val="006B400C"/>
    <w:rsid w:val="006B4532"/>
    <w:rsid w:val="006B4E65"/>
    <w:rsid w:val="006C08E2"/>
    <w:rsid w:val="006C3E3F"/>
    <w:rsid w:val="006C4A81"/>
    <w:rsid w:val="006C6E4D"/>
    <w:rsid w:val="006C7C89"/>
    <w:rsid w:val="006D353F"/>
    <w:rsid w:val="006D75EC"/>
    <w:rsid w:val="006E0E5A"/>
    <w:rsid w:val="006E3310"/>
    <w:rsid w:val="006E7DCB"/>
    <w:rsid w:val="006F0FBF"/>
    <w:rsid w:val="006F1DB1"/>
    <w:rsid w:val="006F444D"/>
    <w:rsid w:val="006F7E0B"/>
    <w:rsid w:val="00701412"/>
    <w:rsid w:val="00703B60"/>
    <w:rsid w:val="00704C5D"/>
    <w:rsid w:val="00705CD7"/>
    <w:rsid w:val="00706266"/>
    <w:rsid w:val="00716187"/>
    <w:rsid w:val="00720226"/>
    <w:rsid w:val="00720498"/>
    <w:rsid w:val="00722267"/>
    <w:rsid w:val="00723AE2"/>
    <w:rsid w:val="00723C6C"/>
    <w:rsid w:val="00725FA3"/>
    <w:rsid w:val="007278C6"/>
    <w:rsid w:val="00730F6E"/>
    <w:rsid w:val="00732B32"/>
    <w:rsid w:val="00733069"/>
    <w:rsid w:val="007331CE"/>
    <w:rsid w:val="00733619"/>
    <w:rsid w:val="0073696F"/>
    <w:rsid w:val="00736E73"/>
    <w:rsid w:val="00737959"/>
    <w:rsid w:val="00741BC7"/>
    <w:rsid w:val="007455EF"/>
    <w:rsid w:val="00745905"/>
    <w:rsid w:val="007475A7"/>
    <w:rsid w:val="00753D55"/>
    <w:rsid w:val="0075571E"/>
    <w:rsid w:val="00756590"/>
    <w:rsid w:val="0076007E"/>
    <w:rsid w:val="007605A7"/>
    <w:rsid w:val="00763D31"/>
    <w:rsid w:val="00764B74"/>
    <w:rsid w:val="00764C90"/>
    <w:rsid w:val="00767D60"/>
    <w:rsid w:val="0077088C"/>
    <w:rsid w:val="0078173D"/>
    <w:rsid w:val="00784CC4"/>
    <w:rsid w:val="00787318"/>
    <w:rsid w:val="0078745D"/>
    <w:rsid w:val="007876BF"/>
    <w:rsid w:val="00791F8D"/>
    <w:rsid w:val="007948F9"/>
    <w:rsid w:val="007A2904"/>
    <w:rsid w:val="007A5853"/>
    <w:rsid w:val="007A7AB6"/>
    <w:rsid w:val="007B083F"/>
    <w:rsid w:val="007B0DF1"/>
    <w:rsid w:val="007B155D"/>
    <w:rsid w:val="007B1D7D"/>
    <w:rsid w:val="007B37D1"/>
    <w:rsid w:val="007B5221"/>
    <w:rsid w:val="007B5E27"/>
    <w:rsid w:val="007B776F"/>
    <w:rsid w:val="007B7EFE"/>
    <w:rsid w:val="007C2A62"/>
    <w:rsid w:val="007C3736"/>
    <w:rsid w:val="007C451A"/>
    <w:rsid w:val="007C60B2"/>
    <w:rsid w:val="007D07BE"/>
    <w:rsid w:val="007D4FDF"/>
    <w:rsid w:val="007D57FC"/>
    <w:rsid w:val="007E1F00"/>
    <w:rsid w:val="007E4402"/>
    <w:rsid w:val="007E4DE4"/>
    <w:rsid w:val="007E54EE"/>
    <w:rsid w:val="007F1AE0"/>
    <w:rsid w:val="008004AC"/>
    <w:rsid w:val="00801870"/>
    <w:rsid w:val="00805B55"/>
    <w:rsid w:val="00807B96"/>
    <w:rsid w:val="00812283"/>
    <w:rsid w:val="00812B35"/>
    <w:rsid w:val="00815CBF"/>
    <w:rsid w:val="00815FB3"/>
    <w:rsid w:val="00821DDE"/>
    <w:rsid w:val="00825C30"/>
    <w:rsid w:val="0082670B"/>
    <w:rsid w:val="00826C66"/>
    <w:rsid w:val="00833D80"/>
    <w:rsid w:val="00835D31"/>
    <w:rsid w:val="0083637F"/>
    <w:rsid w:val="0083646B"/>
    <w:rsid w:val="00837C5C"/>
    <w:rsid w:val="00841476"/>
    <w:rsid w:val="00841B85"/>
    <w:rsid w:val="00851383"/>
    <w:rsid w:val="00855952"/>
    <w:rsid w:val="00855C11"/>
    <w:rsid w:val="00855DAD"/>
    <w:rsid w:val="0085754A"/>
    <w:rsid w:val="008660AE"/>
    <w:rsid w:val="0086676E"/>
    <w:rsid w:val="00866EA9"/>
    <w:rsid w:val="0086788F"/>
    <w:rsid w:val="00872C00"/>
    <w:rsid w:val="00874263"/>
    <w:rsid w:val="0087587C"/>
    <w:rsid w:val="0087632D"/>
    <w:rsid w:val="0087651C"/>
    <w:rsid w:val="00876C16"/>
    <w:rsid w:val="0088061A"/>
    <w:rsid w:val="00881EE6"/>
    <w:rsid w:val="008829A1"/>
    <w:rsid w:val="008853D5"/>
    <w:rsid w:val="00886228"/>
    <w:rsid w:val="008864AD"/>
    <w:rsid w:val="008946FE"/>
    <w:rsid w:val="00894F6A"/>
    <w:rsid w:val="00895135"/>
    <w:rsid w:val="00897DF4"/>
    <w:rsid w:val="008A3138"/>
    <w:rsid w:val="008B055B"/>
    <w:rsid w:val="008B0E33"/>
    <w:rsid w:val="008B4996"/>
    <w:rsid w:val="008C13D0"/>
    <w:rsid w:val="008C5995"/>
    <w:rsid w:val="008C5AF8"/>
    <w:rsid w:val="008D0469"/>
    <w:rsid w:val="008D14EF"/>
    <w:rsid w:val="008D2DFF"/>
    <w:rsid w:val="008E0F70"/>
    <w:rsid w:val="008E1091"/>
    <w:rsid w:val="008E2F90"/>
    <w:rsid w:val="008E3153"/>
    <w:rsid w:val="008E6B0F"/>
    <w:rsid w:val="008E7FBC"/>
    <w:rsid w:val="008F0069"/>
    <w:rsid w:val="008F03E4"/>
    <w:rsid w:val="008F094E"/>
    <w:rsid w:val="008F11B6"/>
    <w:rsid w:val="008F1592"/>
    <w:rsid w:val="008F1C86"/>
    <w:rsid w:val="008F3D53"/>
    <w:rsid w:val="008F4868"/>
    <w:rsid w:val="008F4CCF"/>
    <w:rsid w:val="008F52C0"/>
    <w:rsid w:val="008F5B28"/>
    <w:rsid w:val="00900D8F"/>
    <w:rsid w:val="00902D51"/>
    <w:rsid w:val="00903946"/>
    <w:rsid w:val="009066EE"/>
    <w:rsid w:val="0090768B"/>
    <w:rsid w:val="00912901"/>
    <w:rsid w:val="0091589C"/>
    <w:rsid w:val="00916B4E"/>
    <w:rsid w:val="009175DE"/>
    <w:rsid w:val="00917A2D"/>
    <w:rsid w:val="009248A0"/>
    <w:rsid w:val="009254B0"/>
    <w:rsid w:val="00926F1E"/>
    <w:rsid w:val="00927574"/>
    <w:rsid w:val="00930209"/>
    <w:rsid w:val="00935EBE"/>
    <w:rsid w:val="00946692"/>
    <w:rsid w:val="00947C33"/>
    <w:rsid w:val="00952C7E"/>
    <w:rsid w:val="009569CA"/>
    <w:rsid w:val="0096089E"/>
    <w:rsid w:val="00961451"/>
    <w:rsid w:val="009618B0"/>
    <w:rsid w:val="00962259"/>
    <w:rsid w:val="0096788F"/>
    <w:rsid w:val="00970975"/>
    <w:rsid w:val="00970B73"/>
    <w:rsid w:val="00970EB8"/>
    <w:rsid w:val="00971228"/>
    <w:rsid w:val="00972512"/>
    <w:rsid w:val="0097277E"/>
    <w:rsid w:val="00973C03"/>
    <w:rsid w:val="00974396"/>
    <w:rsid w:val="009765E8"/>
    <w:rsid w:val="00980B2D"/>
    <w:rsid w:val="0098206F"/>
    <w:rsid w:val="009829F2"/>
    <w:rsid w:val="00986AA2"/>
    <w:rsid w:val="00986D49"/>
    <w:rsid w:val="0098749B"/>
    <w:rsid w:val="00991014"/>
    <w:rsid w:val="0099342F"/>
    <w:rsid w:val="009947B6"/>
    <w:rsid w:val="009A6B2D"/>
    <w:rsid w:val="009A7248"/>
    <w:rsid w:val="009B29B4"/>
    <w:rsid w:val="009B3E6D"/>
    <w:rsid w:val="009B5A7D"/>
    <w:rsid w:val="009B7CE0"/>
    <w:rsid w:val="009C24BC"/>
    <w:rsid w:val="009C387F"/>
    <w:rsid w:val="009C40E6"/>
    <w:rsid w:val="009C77F3"/>
    <w:rsid w:val="009D2E93"/>
    <w:rsid w:val="009D65D9"/>
    <w:rsid w:val="009D77D0"/>
    <w:rsid w:val="009E0AC4"/>
    <w:rsid w:val="009E1E7A"/>
    <w:rsid w:val="009E2F64"/>
    <w:rsid w:val="009E3B44"/>
    <w:rsid w:val="009E6A5C"/>
    <w:rsid w:val="009E6BD8"/>
    <w:rsid w:val="009E73E6"/>
    <w:rsid w:val="009F3555"/>
    <w:rsid w:val="00A0152B"/>
    <w:rsid w:val="00A057DD"/>
    <w:rsid w:val="00A13E3C"/>
    <w:rsid w:val="00A154D2"/>
    <w:rsid w:val="00A1779D"/>
    <w:rsid w:val="00A21019"/>
    <w:rsid w:val="00A22B34"/>
    <w:rsid w:val="00A26214"/>
    <w:rsid w:val="00A26757"/>
    <w:rsid w:val="00A31A8F"/>
    <w:rsid w:val="00A31D5E"/>
    <w:rsid w:val="00A354E5"/>
    <w:rsid w:val="00A42030"/>
    <w:rsid w:val="00A43E64"/>
    <w:rsid w:val="00A50BD3"/>
    <w:rsid w:val="00A56E40"/>
    <w:rsid w:val="00A571AA"/>
    <w:rsid w:val="00A5760A"/>
    <w:rsid w:val="00A61C89"/>
    <w:rsid w:val="00A632FF"/>
    <w:rsid w:val="00A64049"/>
    <w:rsid w:val="00A64836"/>
    <w:rsid w:val="00A66F64"/>
    <w:rsid w:val="00A70E7C"/>
    <w:rsid w:val="00A722D0"/>
    <w:rsid w:val="00A73F56"/>
    <w:rsid w:val="00A74EA5"/>
    <w:rsid w:val="00A81A65"/>
    <w:rsid w:val="00A81EF9"/>
    <w:rsid w:val="00A83674"/>
    <w:rsid w:val="00A878A1"/>
    <w:rsid w:val="00A93E53"/>
    <w:rsid w:val="00A94441"/>
    <w:rsid w:val="00A95A53"/>
    <w:rsid w:val="00A9689B"/>
    <w:rsid w:val="00AA1963"/>
    <w:rsid w:val="00AA2D43"/>
    <w:rsid w:val="00AA4818"/>
    <w:rsid w:val="00AA496C"/>
    <w:rsid w:val="00AA4E3E"/>
    <w:rsid w:val="00AA6EF2"/>
    <w:rsid w:val="00AB16A5"/>
    <w:rsid w:val="00AB466B"/>
    <w:rsid w:val="00AB50E5"/>
    <w:rsid w:val="00AB6FA6"/>
    <w:rsid w:val="00AC063D"/>
    <w:rsid w:val="00AC4DB4"/>
    <w:rsid w:val="00AD0445"/>
    <w:rsid w:val="00AD0537"/>
    <w:rsid w:val="00AD3A02"/>
    <w:rsid w:val="00AE000C"/>
    <w:rsid w:val="00AE0406"/>
    <w:rsid w:val="00AE28E2"/>
    <w:rsid w:val="00AE3DBF"/>
    <w:rsid w:val="00AE5E8A"/>
    <w:rsid w:val="00AE7361"/>
    <w:rsid w:val="00AF0D5E"/>
    <w:rsid w:val="00AF3606"/>
    <w:rsid w:val="00AF37E0"/>
    <w:rsid w:val="00AF60D0"/>
    <w:rsid w:val="00B03914"/>
    <w:rsid w:val="00B135EB"/>
    <w:rsid w:val="00B1443C"/>
    <w:rsid w:val="00B21AAE"/>
    <w:rsid w:val="00B274DF"/>
    <w:rsid w:val="00B27658"/>
    <w:rsid w:val="00B30B40"/>
    <w:rsid w:val="00B31E7E"/>
    <w:rsid w:val="00B32E08"/>
    <w:rsid w:val="00B33B1B"/>
    <w:rsid w:val="00B34A6B"/>
    <w:rsid w:val="00B36705"/>
    <w:rsid w:val="00B4028D"/>
    <w:rsid w:val="00B41818"/>
    <w:rsid w:val="00B422D5"/>
    <w:rsid w:val="00B430B5"/>
    <w:rsid w:val="00B56831"/>
    <w:rsid w:val="00B64AC3"/>
    <w:rsid w:val="00B667F4"/>
    <w:rsid w:val="00B67F38"/>
    <w:rsid w:val="00B71C88"/>
    <w:rsid w:val="00B762A9"/>
    <w:rsid w:val="00B7630E"/>
    <w:rsid w:val="00B76688"/>
    <w:rsid w:val="00B768ED"/>
    <w:rsid w:val="00B81DFE"/>
    <w:rsid w:val="00B857F9"/>
    <w:rsid w:val="00B85954"/>
    <w:rsid w:val="00B861E4"/>
    <w:rsid w:val="00B92A59"/>
    <w:rsid w:val="00B934B3"/>
    <w:rsid w:val="00B93D6B"/>
    <w:rsid w:val="00B957AA"/>
    <w:rsid w:val="00BA047F"/>
    <w:rsid w:val="00BB24EF"/>
    <w:rsid w:val="00BB3009"/>
    <w:rsid w:val="00BB4AE5"/>
    <w:rsid w:val="00BB64C6"/>
    <w:rsid w:val="00BB67DD"/>
    <w:rsid w:val="00BB7E3A"/>
    <w:rsid w:val="00BC39C7"/>
    <w:rsid w:val="00BC3B8D"/>
    <w:rsid w:val="00BC3F0A"/>
    <w:rsid w:val="00BC7C1B"/>
    <w:rsid w:val="00BD0029"/>
    <w:rsid w:val="00BD02E1"/>
    <w:rsid w:val="00BD3176"/>
    <w:rsid w:val="00BD3FE4"/>
    <w:rsid w:val="00BD4D48"/>
    <w:rsid w:val="00BD6DE9"/>
    <w:rsid w:val="00BD73FF"/>
    <w:rsid w:val="00BD79BE"/>
    <w:rsid w:val="00BE1543"/>
    <w:rsid w:val="00BE2C5F"/>
    <w:rsid w:val="00BE5A41"/>
    <w:rsid w:val="00BE5C0B"/>
    <w:rsid w:val="00BE60FF"/>
    <w:rsid w:val="00BF018F"/>
    <w:rsid w:val="00BF21C7"/>
    <w:rsid w:val="00BF39C3"/>
    <w:rsid w:val="00BF4DFB"/>
    <w:rsid w:val="00BF5572"/>
    <w:rsid w:val="00BF55DA"/>
    <w:rsid w:val="00BF6FBA"/>
    <w:rsid w:val="00BF7E6B"/>
    <w:rsid w:val="00C010C1"/>
    <w:rsid w:val="00C02A9B"/>
    <w:rsid w:val="00C03B25"/>
    <w:rsid w:val="00C04B2D"/>
    <w:rsid w:val="00C07798"/>
    <w:rsid w:val="00C10570"/>
    <w:rsid w:val="00C17324"/>
    <w:rsid w:val="00C211EE"/>
    <w:rsid w:val="00C21A4A"/>
    <w:rsid w:val="00C222E0"/>
    <w:rsid w:val="00C277B0"/>
    <w:rsid w:val="00C32D1B"/>
    <w:rsid w:val="00C33AF4"/>
    <w:rsid w:val="00C3499A"/>
    <w:rsid w:val="00C35A7A"/>
    <w:rsid w:val="00C40392"/>
    <w:rsid w:val="00C408D2"/>
    <w:rsid w:val="00C41599"/>
    <w:rsid w:val="00C43D56"/>
    <w:rsid w:val="00C443F6"/>
    <w:rsid w:val="00C44A8D"/>
    <w:rsid w:val="00C4783E"/>
    <w:rsid w:val="00C47A4B"/>
    <w:rsid w:val="00C50DF2"/>
    <w:rsid w:val="00C52545"/>
    <w:rsid w:val="00C527E6"/>
    <w:rsid w:val="00C5547C"/>
    <w:rsid w:val="00C55F92"/>
    <w:rsid w:val="00C7092D"/>
    <w:rsid w:val="00C721F4"/>
    <w:rsid w:val="00C7261C"/>
    <w:rsid w:val="00C7401D"/>
    <w:rsid w:val="00C7507D"/>
    <w:rsid w:val="00C76E00"/>
    <w:rsid w:val="00C777DA"/>
    <w:rsid w:val="00C82451"/>
    <w:rsid w:val="00C84C87"/>
    <w:rsid w:val="00C861A2"/>
    <w:rsid w:val="00C9445E"/>
    <w:rsid w:val="00CA03CD"/>
    <w:rsid w:val="00CA3BA5"/>
    <w:rsid w:val="00CB2C3B"/>
    <w:rsid w:val="00CB526E"/>
    <w:rsid w:val="00CB5667"/>
    <w:rsid w:val="00CB717E"/>
    <w:rsid w:val="00CC0E44"/>
    <w:rsid w:val="00CC1EE5"/>
    <w:rsid w:val="00CC4253"/>
    <w:rsid w:val="00CC6377"/>
    <w:rsid w:val="00CD1028"/>
    <w:rsid w:val="00CD7C6D"/>
    <w:rsid w:val="00CD7C82"/>
    <w:rsid w:val="00CE070A"/>
    <w:rsid w:val="00CE6E0A"/>
    <w:rsid w:val="00CE75CB"/>
    <w:rsid w:val="00CE79F8"/>
    <w:rsid w:val="00CE7DD6"/>
    <w:rsid w:val="00CF031B"/>
    <w:rsid w:val="00CF0B85"/>
    <w:rsid w:val="00CF1757"/>
    <w:rsid w:val="00CF32D7"/>
    <w:rsid w:val="00D00145"/>
    <w:rsid w:val="00D03D68"/>
    <w:rsid w:val="00D05ADA"/>
    <w:rsid w:val="00D07292"/>
    <w:rsid w:val="00D07756"/>
    <w:rsid w:val="00D07B59"/>
    <w:rsid w:val="00D10B1F"/>
    <w:rsid w:val="00D11295"/>
    <w:rsid w:val="00D11325"/>
    <w:rsid w:val="00D13919"/>
    <w:rsid w:val="00D1761F"/>
    <w:rsid w:val="00D211C4"/>
    <w:rsid w:val="00D222BC"/>
    <w:rsid w:val="00D231A6"/>
    <w:rsid w:val="00D23B54"/>
    <w:rsid w:val="00D23BD6"/>
    <w:rsid w:val="00D242A1"/>
    <w:rsid w:val="00D25070"/>
    <w:rsid w:val="00D260D0"/>
    <w:rsid w:val="00D269AE"/>
    <w:rsid w:val="00D35E04"/>
    <w:rsid w:val="00D37B22"/>
    <w:rsid w:val="00D4172C"/>
    <w:rsid w:val="00D4244A"/>
    <w:rsid w:val="00D43070"/>
    <w:rsid w:val="00D44167"/>
    <w:rsid w:val="00D50656"/>
    <w:rsid w:val="00D528EE"/>
    <w:rsid w:val="00D634EA"/>
    <w:rsid w:val="00D65006"/>
    <w:rsid w:val="00D70F46"/>
    <w:rsid w:val="00D71DFB"/>
    <w:rsid w:val="00D72413"/>
    <w:rsid w:val="00D726E8"/>
    <w:rsid w:val="00D76622"/>
    <w:rsid w:val="00D76FF0"/>
    <w:rsid w:val="00D77285"/>
    <w:rsid w:val="00D77B7B"/>
    <w:rsid w:val="00D806E4"/>
    <w:rsid w:val="00D84A15"/>
    <w:rsid w:val="00D8506F"/>
    <w:rsid w:val="00D85080"/>
    <w:rsid w:val="00D863CB"/>
    <w:rsid w:val="00D91227"/>
    <w:rsid w:val="00D9622D"/>
    <w:rsid w:val="00D9682A"/>
    <w:rsid w:val="00DA10A3"/>
    <w:rsid w:val="00DA201F"/>
    <w:rsid w:val="00DA205E"/>
    <w:rsid w:val="00DA7060"/>
    <w:rsid w:val="00DB06D5"/>
    <w:rsid w:val="00DB214D"/>
    <w:rsid w:val="00DB2249"/>
    <w:rsid w:val="00DB26CE"/>
    <w:rsid w:val="00DB2DA2"/>
    <w:rsid w:val="00DB54FF"/>
    <w:rsid w:val="00DB602A"/>
    <w:rsid w:val="00DC0ECF"/>
    <w:rsid w:val="00DC1364"/>
    <w:rsid w:val="00DC1D64"/>
    <w:rsid w:val="00DC3182"/>
    <w:rsid w:val="00DD13B4"/>
    <w:rsid w:val="00DD2936"/>
    <w:rsid w:val="00DD3598"/>
    <w:rsid w:val="00DD74B1"/>
    <w:rsid w:val="00DE1730"/>
    <w:rsid w:val="00DE1F4D"/>
    <w:rsid w:val="00DE1FB3"/>
    <w:rsid w:val="00DE238A"/>
    <w:rsid w:val="00DE2E1E"/>
    <w:rsid w:val="00DE407A"/>
    <w:rsid w:val="00DE4187"/>
    <w:rsid w:val="00DF0581"/>
    <w:rsid w:val="00DF0D99"/>
    <w:rsid w:val="00DF5B6F"/>
    <w:rsid w:val="00DF5F75"/>
    <w:rsid w:val="00DF6320"/>
    <w:rsid w:val="00E009D3"/>
    <w:rsid w:val="00E0225D"/>
    <w:rsid w:val="00E10C9C"/>
    <w:rsid w:val="00E11A2B"/>
    <w:rsid w:val="00E12DD4"/>
    <w:rsid w:val="00E1566B"/>
    <w:rsid w:val="00E15C29"/>
    <w:rsid w:val="00E16852"/>
    <w:rsid w:val="00E20B8F"/>
    <w:rsid w:val="00E21E24"/>
    <w:rsid w:val="00E22D0E"/>
    <w:rsid w:val="00E24ACE"/>
    <w:rsid w:val="00E33E7F"/>
    <w:rsid w:val="00E34C3D"/>
    <w:rsid w:val="00E37DA2"/>
    <w:rsid w:val="00E41E01"/>
    <w:rsid w:val="00E44AA7"/>
    <w:rsid w:val="00E507DF"/>
    <w:rsid w:val="00E52506"/>
    <w:rsid w:val="00E52F09"/>
    <w:rsid w:val="00E55EED"/>
    <w:rsid w:val="00E60638"/>
    <w:rsid w:val="00E63E90"/>
    <w:rsid w:val="00E65A9B"/>
    <w:rsid w:val="00E66CD5"/>
    <w:rsid w:val="00E71C92"/>
    <w:rsid w:val="00E74B83"/>
    <w:rsid w:val="00E752F7"/>
    <w:rsid w:val="00E8123A"/>
    <w:rsid w:val="00E82C15"/>
    <w:rsid w:val="00E8648E"/>
    <w:rsid w:val="00E90F2B"/>
    <w:rsid w:val="00E9309C"/>
    <w:rsid w:val="00E9474A"/>
    <w:rsid w:val="00E94CD4"/>
    <w:rsid w:val="00E94F43"/>
    <w:rsid w:val="00E952C8"/>
    <w:rsid w:val="00E96502"/>
    <w:rsid w:val="00E96AC8"/>
    <w:rsid w:val="00EA1667"/>
    <w:rsid w:val="00EA38E7"/>
    <w:rsid w:val="00EA449A"/>
    <w:rsid w:val="00EA784A"/>
    <w:rsid w:val="00EA78E9"/>
    <w:rsid w:val="00EA7F87"/>
    <w:rsid w:val="00EB0224"/>
    <w:rsid w:val="00EB0DF6"/>
    <w:rsid w:val="00EB110D"/>
    <w:rsid w:val="00EB32BA"/>
    <w:rsid w:val="00EB4BB0"/>
    <w:rsid w:val="00EB64AB"/>
    <w:rsid w:val="00EB716D"/>
    <w:rsid w:val="00EB719B"/>
    <w:rsid w:val="00EC152C"/>
    <w:rsid w:val="00EC2D13"/>
    <w:rsid w:val="00EC3D70"/>
    <w:rsid w:val="00EC60DB"/>
    <w:rsid w:val="00EC7FBD"/>
    <w:rsid w:val="00ED0500"/>
    <w:rsid w:val="00ED3388"/>
    <w:rsid w:val="00ED5A42"/>
    <w:rsid w:val="00EE1929"/>
    <w:rsid w:val="00EE1F50"/>
    <w:rsid w:val="00EE251A"/>
    <w:rsid w:val="00EE37D4"/>
    <w:rsid w:val="00EE3971"/>
    <w:rsid w:val="00EE46C7"/>
    <w:rsid w:val="00EE74FF"/>
    <w:rsid w:val="00EE778F"/>
    <w:rsid w:val="00EF0A6C"/>
    <w:rsid w:val="00EF0F71"/>
    <w:rsid w:val="00EF2806"/>
    <w:rsid w:val="00EF523D"/>
    <w:rsid w:val="00EF56AC"/>
    <w:rsid w:val="00F00CF4"/>
    <w:rsid w:val="00F079FA"/>
    <w:rsid w:val="00F07DAF"/>
    <w:rsid w:val="00F10156"/>
    <w:rsid w:val="00F14B25"/>
    <w:rsid w:val="00F1524D"/>
    <w:rsid w:val="00F15C2E"/>
    <w:rsid w:val="00F25372"/>
    <w:rsid w:val="00F25596"/>
    <w:rsid w:val="00F31677"/>
    <w:rsid w:val="00F32C8A"/>
    <w:rsid w:val="00F332EB"/>
    <w:rsid w:val="00F34F60"/>
    <w:rsid w:val="00F36299"/>
    <w:rsid w:val="00F41BF1"/>
    <w:rsid w:val="00F435DD"/>
    <w:rsid w:val="00F5633C"/>
    <w:rsid w:val="00F57DD9"/>
    <w:rsid w:val="00F62E44"/>
    <w:rsid w:val="00F63B21"/>
    <w:rsid w:val="00F64A7F"/>
    <w:rsid w:val="00F6525C"/>
    <w:rsid w:val="00F717D7"/>
    <w:rsid w:val="00F72449"/>
    <w:rsid w:val="00F75D72"/>
    <w:rsid w:val="00F809C3"/>
    <w:rsid w:val="00F80F1B"/>
    <w:rsid w:val="00F8114E"/>
    <w:rsid w:val="00F84FC3"/>
    <w:rsid w:val="00F86874"/>
    <w:rsid w:val="00F86D5F"/>
    <w:rsid w:val="00F90198"/>
    <w:rsid w:val="00F90212"/>
    <w:rsid w:val="00F916F3"/>
    <w:rsid w:val="00F93360"/>
    <w:rsid w:val="00F96A0E"/>
    <w:rsid w:val="00FA0881"/>
    <w:rsid w:val="00FA606C"/>
    <w:rsid w:val="00FA6124"/>
    <w:rsid w:val="00FA6E7F"/>
    <w:rsid w:val="00FA7F77"/>
    <w:rsid w:val="00FB1841"/>
    <w:rsid w:val="00FB1E62"/>
    <w:rsid w:val="00FB37DE"/>
    <w:rsid w:val="00FB4359"/>
    <w:rsid w:val="00FB4E5D"/>
    <w:rsid w:val="00FB627F"/>
    <w:rsid w:val="00FB653D"/>
    <w:rsid w:val="00FB68C5"/>
    <w:rsid w:val="00FC02E7"/>
    <w:rsid w:val="00FC2E29"/>
    <w:rsid w:val="00FC3982"/>
    <w:rsid w:val="00FC3E11"/>
    <w:rsid w:val="00FC5261"/>
    <w:rsid w:val="00FC53C1"/>
    <w:rsid w:val="00FC57E1"/>
    <w:rsid w:val="00FC5C5B"/>
    <w:rsid w:val="00FC6781"/>
    <w:rsid w:val="00FC67A4"/>
    <w:rsid w:val="00FD09E9"/>
    <w:rsid w:val="00FD0CA4"/>
    <w:rsid w:val="00FD58B4"/>
    <w:rsid w:val="00FD61CE"/>
    <w:rsid w:val="00FD639D"/>
    <w:rsid w:val="00FE35B8"/>
    <w:rsid w:val="00FE3786"/>
    <w:rsid w:val="00FE498E"/>
    <w:rsid w:val="00FE4F57"/>
    <w:rsid w:val="00FE667D"/>
    <w:rsid w:val="00FE740A"/>
    <w:rsid w:val="00FE7BCE"/>
    <w:rsid w:val="00FF61F3"/>
    <w:rsid w:val="00FF635A"/>
    <w:rsid w:val="026B3830"/>
    <w:rsid w:val="047C226C"/>
    <w:rsid w:val="065E0345"/>
    <w:rsid w:val="106368DD"/>
    <w:rsid w:val="10E66BBF"/>
    <w:rsid w:val="11A06105"/>
    <w:rsid w:val="11D20049"/>
    <w:rsid w:val="13902CCF"/>
    <w:rsid w:val="13EB4844"/>
    <w:rsid w:val="14940AC8"/>
    <w:rsid w:val="18DD66C0"/>
    <w:rsid w:val="1C0503ED"/>
    <w:rsid w:val="1F406350"/>
    <w:rsid w:val="201A33C2"/>
    <w:rsid w:val="202E0ED6"/>
    <w:rsid w:val="211F0F24"/>
    <w:rsid w:val="21900964"/>
    <w:rsid w:val="234B19D6"/>
    <w:rsid w:val="248B3D1B"/>
    <w:rsid w:val="26FA45C8"/>
    <w:rsid w:val="275D3346"/>
    <w:rsid w:val="28322259"/>
    <w:rsid w:val="28C0262B"/>
    <w:rsid w:val="2B7D7273"/>
    <w:rsid w:val="2CAD05E9"/>
    <w:rsid w:val="2DA21044"/>
    <w:rsid w:val="35105533"/>
    <w:rsid w:val="36070F2F"/>
    <w:rsid w:val="36DB4AFA"/>
    <w:rsid w:val="3AAF6DFA"/>
    <w:rsid w:val="3CFA75C6"/>
    <w:rsid w:val="3D3B6AC8"/>
    <w:rsid w:val="3DB779F3"/>
    <w:rsid w:val="4061234A"/>
    <w:rsid w:val="40683A0D"/>
    <w:rsid w:val="41295EEC"/>
    <w:rsid w:val="44E278D3"/>
    <w:rsid w:val="47260B23"/>
    <w:rsid w:val="4A4D56D8"/>
    <w:rsid w:val="4AC009EC"/>
    <w:rsid w:val="4B864671"/>
    <w:rsid w:val="4C120233"/>
    <w:rsid w:val="50A74402"/>
    <w:rsid w:val="50F44765"/>
    <w:rsid w:val="51763AE8"/>
    <w:rsid w:val="52917B62"/>
    <w:rsid w:val="568F57C7"/>
    <w:rsid w:val="58056BA7"/>
    <w:rsid w:val="59426B7D"/>
    <w:rsid w:val="59C97138"/>
    <w:rsid w:val="5AF74A1C"/>
    <w:rsid w:val="5C017CFD"/>
    <w:rsid w:val="5EF74C73"/>
    <w:rsid w:val="60F232A8"/>
    <w:rsid w:val="63F000A4"/>
    <w:rsid w:val="6548673E"/>
    <w:rsid w:val="67A90A5B"/>
    <w:rsid w:val="6A7733F5"/>
    <w:rsid w:val="6EC24532"/>
    <w:rsid w:val="6FDB7590"/>
    <w:rsid w:val="744665B4"/>
    <w:rsid w:val="757C3E00"/>
    <w:rsid w:val="77656CF0"/>
    <w:rsid w:val="7B1469F1"/>
    <w:rsid w:val="7B502C4E"/>
    <w:rsid w:val="7BA75FFD"/>
    <w:rsid w:val="7D625FCE"/>
    <w:rsid w:val="7D920C73"/>
    <w:rsid w:val="FEFD2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4">
    <w:name w:val="heading 2"/>
    <w:basedOn w:val="1"/>
    <w:next w:val="5"/>
    <w:link w:val="74"/>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2">
    <w:name w:val="heading 3"/>
    <w:basedOn w:val="1"/>
    <w:next w:val="1"/>
    <w:link w:val="89"/>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90"/>
    <w:qFormat/>
    <w:uiPriority w:val="0"/>
    <w:pPr>
      <w:keepNext/>
      <w:keepLines/>
      <w:numPr>
        <w:ilvl w:val="3"/>
        <w:numId w:val="1"/>
      </w:numPr>
      <w:spacing w:before="280" w:after="290" w:line="376" w:lineRule="auto"/>
      <w:outlineLvl w:val="3"/>
    </w:pPr>
    <w:rPr>
      <w:rFonts w:ascii="Calibri Light" w:hAnsi="Calibri Light"/>
      <w:b/>
      <w:bCs/>
      <w:sz w:val="28"/>
      <w:szCs w:val="28"/>
    </w:rPr>
  </w:style>
  <w:style w:type="paragraph" w:styleId="7">
    <w:name w:val="heading 5"/>
    <w:basedOn w:val="1"/>
    <w:next w:val="1"/>
    <w:link w:val="86"/>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93"/>
    <w:qFormat/>
    <w:uiPriority w:val="0"/>
    <w:pPr>
      <w:keepNext/>
      <w:keepLines/>
      <w:numPr>
        <w:ilvl w:val="5"/>
        <w:numId w:val="1"/>
      </w:numPr>
      <w:spacing w:before="240" w:after="64" w:line="320" w:lineRule="auto"/>
      <w:outlineLvl w:val="5"/>
    </w:pPr>
    <w:rPr>
      <w:rFonts w:ascii="Calibri Light" w:hAnsi="Calibri Light"/>
      <w:b/>
      <w:bCs/>
      <w:sz w:val="24"/>
      <w:szCs w:val="24"/>
    </w:rPr>
  </w:style>
  <w:style w:type="paragraph" w:styleId="9">
    <w:name w:val="heading 7"/>
    <w:basedOn w:val="1"/>
    <w:next w:val="1"/>
    <w:link w:val="87"/>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91"/>
    <w:qFormat/>
    <w:uiPriority w:val="0"/>
    <w:pPr>
      <w:keepNext/>
      <w:keepLines/>
      <w:numPr>
        <w:ilvl w:val="7"/>
        <w:numId w:val="1"/>
      </w:numPr>
      <w:spacing w:before="240" w:after="64" w:line="320" w:lineRule="auto"/>
      <w:outlineLvl w:val="7"/>
    </w:pPr>
    <w:rPr>
      <w:rFonts w:ascii="Calibri Light" w:hAnsi="Calibri Light"/>
      <w:sz w:val="24"/>
      <w:szCs w:val="24"/>
    </w:rPr>
  </w:style>
  <w:style w:type="paragraph" w:styleId="11">
    <w:name w:val="heading 9"/>
    <w:basedOn w:val="1"/>
    <w:next w:val="1"/>
    <w:link w:val="82"/>
    <w:qFormat/>
    <w:uiPriority w:val="0"/>
    <w:pPr>
      <w:keepNext/>
      <w:keepLines/>
      <w:numPr>
        <w:ilvl w:val="8"/>
        <w:numId w:val="1"/>
      </w:numPr>
      <w:spacing w:before="240" w:after="64" w:line="320" w:lineRule="auto"/>
      <w:outlineLvl w:val="8"/>
    </w:pPr>
    <w:rPr>
      <w:rFonts w:ascii="Calibri Light" w:hAnsi="Calibri Light"/>
      <w:szCs w:val="21"/>
    </w:rPr>
  </w:style>
  <w:style w:type="character" w:default="1" w:styleId="30">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5">
    <w:name w:val="Normal Indent"/>
    <w:basedOn w:val="1"/>
    <w:link w:val="73"/>
    <w:qFormat/>
    <w:uiPriority w:val="0"/>
    <w:pPr>
      <w:autoSpaceDE w:val="0"/>
      <w:autoSpaceDN w:val="0"/>
      <w:adjustRightInd w:val="0"/>
      <w:ind w:firstLine="420"/>
      <w:jc w:val="left"/>
    </w:pPr>
    <w:rPr>
      <w:rFonts w:ascii="宋体"/>
      <w:kern w:val="0"/>
      <w:sz w:val="24"/>
    </w:rPr>
  </w:style>
  <w:style w:type="paragraph" w:styleId="12">
    <w:name w:val="List Bullet"/>
    <w:basedOn w:val="1"/>
    <w:unhideWhenUsed/>
    <w:qFormat/>
    <w:uiPriority w:val="0"/>
    <w:pPr>
      <w:numPr>
        <w:ilvl w:val="2"/>
        <w:numId w:val="2"/>
      </w:numPr>
      <w:tabs>
        <w:tab w:val="left" w:pos="360"/>
      </w:tabs>
    </w:pPr>
    <w:rPr>
      <w:szCs w:val="24"/>
    </w:rPr>
  </w:style>
  <w:style w:type="paragraph" w:styleId="13">
    <w:name w:val="Document Map"/>
    <w:basedOn w:val="1"/>
    <w:link w:val="88"/>
    <w:qFormat/>
    <w:uiPriority w:val="0"/>
    <w:rPr>
      <w:rFonts w:ascii="宋体"/>
      <w:sz w:val="18"/>
      <w:szCs w:val="18"/>
    </w:rPr>
  </w:style>
  <w:style w:type="paragraph" w:styleId="14">
    <w:name w:val="annotation text"/>
    <w:basedOn w:val="1"/>
    <w:link w:val="83"/>
    <w:qFormat/>
    <w:uiPriority w:val="0"/>
    <w:pPr>
      <w:jc w:val="left"/>
    </w:pPr>
  </w:style>
  <w:style w:type="paragraph" w:styleId="15">
    <w:name w:val="Body Text"/>
    <w:basedOn w:val="1"/>
    <w:qFormat/>
    <w:uiPriority w:val="0"/>
    <w:pPr>
      <w:spacing w:after="120"/>
    </w:pPr>
    <w:rPr>
      <w:rFonts w:hAnsi="Times New Roman" w:eastAsia="仿宋"/>
      <w:sz w:val="24"/>
      <w:lang w:val="zh-CN"/>
    </w:rPr>
  </w:style>
  <w:style w:type="paragraph" w:styleId="16">
    <w:name w:val="Body Text Indent"/>
    <w:basedOn w:val="1"/>
    <w:link w:val="84"/>
    <w:qFormat/>
    <w:uiPriority w:val="0"/>
    <w:pPr>
      <w:ind w:firstLine="540"/>
    </w:pPr>
    <w:rPr>
      <w:sz w:val="28"/>
    </w:r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8">
    <w:name w:val="Plain Text"/>
    <w:basedOn w:val="1"/>
    <w:link w:val="94"/>
    <w:qFormat/>
    <w:uiPriority w:val="0"/>
    <w:rPr>
      <w:rFonts w:ascii="宋体" w:hAnsi="Courier New" w:cs="Courier New"/>
      <w:szCs w:val="21"/>
    </w:rPr>
  </w:style>
  <w:style w:type="paragraph" w:styleId="19">
    <w:name w:val="Date"/>
    <w:basedOn w:val="1"/>
    <w:next w:val="1"/>
    <w:link w:val="75"/>
    <w:qFormat/>
    <w:uiPriority w:val="0"/>
    <w:rPr>
      <w:sz w:val="28"/>
    </w:rPr>
  </w:style>
  <w:style w:type="paragraph" w:styleId="20">
    <w:name w:val="Body Text Indent 2"/>
    <w:basedOn w:val="1"/>
    <w:link w:val="92"/>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80"/>
    <w:qFormat/>
    <w:uiPriority w:val="99"/>
    <w:pPr>
      <w:tabs>
        <w:tab w:val="center" w:pos="4153"/>
        <w:tab w:val="right" w:pos="8306"/>
      </w:tabs>
      <w:snapToGrid w:val="0"/>
      <w:jc w:val="left"/>
    </w:pPr>
    <w:rPr>
      <w:sz w:val="18"/>
    </w:rPr>
  </w:style>
  <w:style w:type="paragraph" w:styleId="23">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tabs>
        <w:tab w:val="right" w:leader="dot" w:pos="7655"/>
      </w:tabs>
      <w:spacing w:before="120" w:after="120"/>
      <w:ind w:left="567" w:right="84"/>
      <w:jc w:val="left"/>
    </w:pPr>
    <w:rPr>
      <w:b/>
      <w:caps/>
      <w:sz w:val="30"/>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6">
    <w:name w:val="Title"/>
    <w:basedOn w:val="1"/>
    <w:qFormat/>
    <w:uiPriority w:val="0"/>
    <w:pPr>
      <w:jc w:val="center"/>
    </w:pPr>
    <w:rPr>
      <w:b/>
      <w:bCs/>
      <w:sz w:val="36"/>
      <w:szCs w:val="20"/>
    </w:rPr>
  </w:style>
  <w:style w:type="paragraph" w:styleId="27">
    <w:name w:val="annotation subject"/>
    <w:basedOn w:val="14"/>
    <w:next w:val="14"/>
    <w:link w:val="85"/>
    <w:qFormat/>
    <w:uiPriority w:val="0"/>
    <w:rPr>
      <w:b/>
      <w:bCs/>
    </w:rPr>
  </w:style>
  <w:style w:type="paragraph" w:styleId="28">
    <w:name w:val="Body Text First Indent 2"/>
    <w:basedOn w:val="16"/>
    <w:qFormat/>
    <w:uiPriority w:val="0"/>
    <w:pPr>
      <w:spacing w:after="120" w:line="240" w:lineRule="auto"/>
      <w:ind w:left="420" w:leftChars="200" w:firstLine="420" w:firstLineChars="200"/>
    </w:pPr>
    <w:rPr>
      <w:sz w:val="21"/>
      <w:lang w:val="en-US" w:eastAsia="zh-CN"/>
    </w:rPr>
  </w:style>
  <w:style w:type="character" w:styleId="31">
    <w:name w:val="Strong"/>
    <w:qFormat/>
    <w:uiPriority w:val="0"/>
    <w:rPr>
      <w:b/>
      <w:bCs/>
    </w:rPr>
  </w:style>
  <w:style w:type="character" w:styleId="32">
    <w:name w:val="page number"/>
    <w:qFormat/>
    <w:uiPriority w:val="0"/>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paragraph" w:customStyle="1" w:styleId="36">
    <w:name w:val="Char Char Char"/>
    <w:basedOn w:val="1"/>
    <w:qFormat/>
    <w:uiPriority w:val="0"/>
    <w:pPr>
      <w:spacing w:before="120" w:after="120" w:line="360" w:lineRule="auto"/>
      <w:ind w:firstLine="200" w:firstLineChars="200"/>
    </w:pPr>
    <w:rPr>
      <w:rFonts w:ascii="Tahoma" w:hAnsi="Tahoma"/>
      <w:sz w:val="24"/>
    </w:rPr>
  </w:style>
  <w:style w:type="paragraph" w:styleId="37">
    <w:name w:val="List Paragraph"/>
    <w:basedOn w:val="1"/>
    <w:qFormat/>
    <w:uiPriority w:val="34"/>
    <w:pPr>
      <w:ind w:firstLine="420" w:firstLineChars="200"/>
    </w:pPr>
    <w:rPr>
      <w:rFonts w:ascii="Calibri" w:hAnsi="Calibri" w:eastAsia="宋体" w:cs="Times New Roman"/>
      <w:szCs w:val="22"/>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表格样式 1"/>
    <w:qFormat/>
    <w:uiPriority w:val="0"/>
    <w:rPr>
      <w:rFonts w:ascii="Arial Unicode MS" w:hAnsi="Arial Unicode MS" w:eastAsia="Arial Unicode MS" w:cs="Arial Unicode MS"/>
      <w:color w:val="000000"/>
      <w:lang w:val="zh-Hans" w:eastAsia="zh-Hans" w:bidi="ar-SA"/>
    </w:rPr>
  </w:style>
  <w:style w:type="paragraph" w:customStyle="1" w:styleId="44">
    <w:name w:val="Paragraph 3"/>
    <w:basedOn w:val="1"/>
    <w:qFormat/>
    <w:uiPriority w:val="0"/>
    <w:pPr>
      <w:widowControl/>
      <w:numPr>
        <w:ilvl w:val="3"/>
        <w:numId w:val="2"/>
      </w:numPr>
      <w:tabs>
        <w:tab w:val="right" w:pos="10296"/>
        <w:tab w:val="clear" w:pos="1680"/>
      </w:tabs>
      <w:spacing w:before="60" w:after="60"/>
      <w:ind w:left="2100"/>
      <w:jc w:val="left"/>
      <w:outlineLvl w:val="4"/>
    </w:pPr>
    <w:rPr>
      <w:rFonts w:ascii="Arial" w:hAnsi="Arial"/>
      <w:kern w:val="0"/>
      <w:sz w:val="20"/>
      <w:lang w:eastAsia="en-US"/>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样式 标题 3头H3l3CT第二层条第三层论文标题 21.1.1 标题 3头 Char标题 3 Char C..."/>
    <w:basedOn w:val="2"/>
    <w:qFormat/>
    <w:uiPriority w:val="0"/>
    <w:pPr>
      <w:numPr>
        <w:ilvl w:val="4"/>
        <w:numId w:val="2"/>
      </w:numPr>
      <w:tabs>
        <w:tab w:val="left" w:pos="1260"/>
        <w:tab w:val="left" w:pos="4320"/>
        <w:tab w:val="clear" w:pos="2100"/>
      </w:tabs>
      <w:autoSpaceDE w:val="0"/>
      <w:autoSpaceDN w:val="0"/>
      <w:adjustRightInd w:val="0"/>
      <w:spacing w:before="120" w:after="0" w:line="360" w:lineRule="auto"/>
      <w:ind w:left="1260"/>
      <w:jc w:val="left"/>
    </w:pPr>
    <w:rPr>
      <w:bCs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0">
    <w:name w:val="_Style 49"/>
    <w:basedOn w:val="3"/>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51">
    <w:name w:val="xl7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5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正文 A"/>
    <w:qFormat/>
    <w:uiPriority w:val="0"/>
    <w:rPr>
      <w:rFonts w:ascii="Arial Unicode MS" w:hAnsi="Arial Unicode MS" w:eastAsia="Times New Roman" w:cs="Arial Unicode MS"/>
      <w:color w:val="000000"/>
      <w:sz w:val="24"/>
      <w:szCs w:val="24"/>
      <w:lang w:val="en-US" w:eastAsia="zh-CN" w:bidi="ar-SA"/>
    </w:rPr>
  </w:style>
  <w:style w:type="paragraph" w:customStyle="1" w:styleId="56">
    <w:name w:val="【方案】2级标题"/>
    <w:basedOn w:val="4"/>
    <w:qFormat/>
    <w:uiPriority w:val="0"/>
    <w:pPr>
      <w:widowControl w:val="0"/>
      <w:numPr>
        <w:ilvl w:val="1"/>
        <w:numId w:val="3"/>
      </w:numPr>
      <w:spacing w:before="120" w:after="120" w:line="360" w:lineRule="auto"/>
      <w:ind w:rightChars="100"/>
      <w:jc w:val="both"/>
    </w:pPr>
    <w:rPr>
      <w:rFonts w:ascii="宋体" w:hAnsi="Cambria" w:cs="Times New Roman (标题 CS)"/>
      <w:color w:val="000000"/>
      <w:kern w:val="2"/>
      <w:sz w:val="30"/>
      <w:szCs w:val="3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8">
    <w:name w:val="Char"/>
    <w:basedOn w:val="1"/>
    <w:qFormat/>
    <w:uiPriority w:val="0"/>
    <w:pPr>
      <w:tabs>
        <w:tab w:val="left" w:pos="360"/>
      </w:tabs>
    </w:pPr>
    <w:rPr>
      <w:sz w:val="24"/>
      <w:szCs w:val="24"/>
    </w:rPr>
  </w:style>
  <w:style w:type="paragraph" w:customStyle="1" w:styleId="59">
    <w:name w:val="**正文"/>
    <w:basedOn w:val="1"/>
    <w:qFormat/>
    <w:uiPriority w:val="0"/>
    <w:pPr>
      <w:widowControl/>
      <w:adjustRightInd w:val="0"/>
      <w:snapToGrid w:val="0"/>
      <w:spacing w:after="200"/>
      <w:ind w:firstLine="482"/>
      <w:jc w:val="left"/>
    </w:pPr>
    <w:rPr>
      <w:rFonts w:ascii="宋体" w:hAnsi="宋体"/>
      <w:kern w:val="0"/>
      <w:sz w:val="30"/>
      <w:szCs w:val="22"/>
    </w:rPr>
  </w:style>
  <w:style w:type="paragraph" w:customStyle="1" w:styleId="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List Paragraph1"/>
    <w:basedOn w:val="1"/>
    <w:qFormat/>
    <w:uiPriority w:val="0"/>
    <w:pPr>
      <w:numPr>
        <w:ilvl w:val="0"/>
        <w:numId w:val="2"/>
      </w:numPr>
      <w:ind w:firstLine="420" w:firstLineChars="200"/>
    </w:p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表格样式 2"/>
    <w:qFormat/>
    <w:uiPriority w:val="0"/>
    <w:pPr>
      <w:spacing w:line="276" w:lineRule="auto"/>
      <w:ind w:left="-2" w:leftChars="-6" w:hanging="11" w:hangingChars="6"/>
    </w:pPr>
    <w:rPr>
      <w:rFonts w:ascii="宋体" w:hAnsi="宋体" w:eastAsia="宋体" w:cs="微软雅黑"/>
      <w:color w:val="000000"/>
      <w:sz w:val="18"/>
      <w:szCs w:val="18"/>
      <w:lang w:val="zh-Hans" w:eastAsia="zh-CN" w:bidi="ar-SA"/>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81"/>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66">
    <w:name w:val="xl7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7">
    <w:name w:val="默认"/>
    <w:qFormat/>
    <w:uiPriority w:val="0"/>
    <w:rPr>
      <w:rFonts w:ascii="Arial Unicode MS" w:hAnsi="Arial Unicode MS" w:eastAsia="Helvetica" w:cs="Arial Unicode MS"/>
      <w:color w:val="000000"/>
      <w:sz w:val="22"/>
      <w:szCs w:val="22"/>
      <w:lang w:val="zh-Hans" w:eastAsia="zh-Hans" w:bidi="ar-SA"/>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彩色列表 - 强调文字颜色 11"/>
    <w:basedOn w:val="1"/>
    <w:qFormat/>
    <w:uiPriority w:val="0"/>
    <w:pPr>
      <w:widowControl/>
      <w:ind w:firstLine="420" w:firstLineChars="200"/>
      <w:jc w:val="left"/>
    </w:pPr>
    <w:rPr>
      <w:kern w:val="0"/>
      <w:sz w:val="24"/>
    </w:rPr>
  </w:style>
  <w:style w:type="paragraph" w:customStyle="1" w:styleId="72">
    <w:name w:val="【方案】1级标题"/>
    <w:basedOn w:val="3"/>
    <w:qFormat/>
    <w:uiPriority w:val="0"/>
    <w:pPr>
      <w:widowControl w:val="0"/>
      <w:numPr>
        <w:ilvl w:val="0"/>
        <w:numId w:val="3"/>
      </w:numPr>
      <w:spacing w:line="360" w:lineRule="auto"/>
      <w:jc w:val="both"/>
    </w:pPr>
    <w:rPr>
      <w:rFonts w:ascii="黑体" w:hAnsi="微软雅黑" w:eastAsia="黑体" w:cs="Times New Roman (正文 CS 字体)"/>
      <w:color w:val="000000"/>
      <w:sz w:val="36"/>
      <w:szCs w:val="44"/>
    </w:rPr>
  </w:style>
  <w:style w:type="character" w:customStyle="1" w:styleId="73">
    <w:name w:val="正文缩进 字符"/>
    <w:link w:val="5"/>
    <w:qFormat/>
    <w:uiPriority w:val="0"/>
    <w:rPr>
      <w:rFonts w:ascii="宋体"/>
      <w:sz w:val="24"/>
    </w:rPr>
  </w:style>
  <w:style w:type="character" w:customStyle="1" w:styleId="74">
    <w:name w:val="标题 2 字符"/>
    <w:link w:val="4"/>
    <w:qFormat/>
    <w:uiPriority w:val="0"/>
    <w:rPr>
      <w:rFonts w:ascii="Calibri Light" w:hAnsi="Calibri Light" w:eastAsia="宋体" w:cs="Times New Roman"/>
      <w:b/>
      <w:bCs/>
      <w:kern w:val="2"/>
      <w:sz w:val="32"/>
      <w:szCs w:val="32"/>
    </w:rPr>
  </w:style>
  <w:style w:type="character" w:customStyle="1" w:styleId="75">
    <w:name w:val="日期 字符"/>
    <w:link w:val="19"/>
    <w:qFormat/>
    <w:uiPriority w:val="0"/>
    <w:rPr>
      <w:kern w:val="2"/>
      <w:sz w:val="28"/>
    </w:rPr>
  </w:style>
  <w:style w:type="character" w:customStyle="1" w:styleId="76">
    <w:name w:val="RDGStyle"/>
    <w:qFormat/>
    <w:uiPriority w:val="0"/>
    <w:rPr>
      <w:bCs/>
      <w:color w:val="000000"/>
      <w:sz w:val="36"/>
      <w:szCs w:val="36"/>
    </w:rPr>
  </w:style>
  <w:style w:type="character" w:customStyle="1" w:styleId="77">
    <w:name w:val="页脚 字符"/>
    <w:basedOn w:val="30"/>
    <w:qFormat/>
    <w:uiPriority w:val="99"/>
  </w:style>
  <w:style w:type="character" w:customStyle="1" w:styleId="78">
    <w:name w:val="纯文本 Char"/>
    <w:qFormat/>
    <w:uiPriority w:val="0"/>
    <w:rPr>
      <w:rFonts w:ascii="宋体" w:hAnsi="Courier New" w:cs="Courier New"/>
      <w:kern w:val="2"/>
      <w:sz w:val="21"/>
      <w:szCs w:val="21"/>
    </w:rPr>
  </w:style>
  <w:style w:type="character" w:customStyle="1" w:styleId="79">
    <w:name w:val="页眉 字符"/>
    <w:link w:val="23"/>
    <w:qFormat/>
    <w:uiPriority w:val="0"/>
    <w:rPr>
      <w:kern w:val="2"/>
      <w:sz w:val="18"/>
    </w:rPr>
  </w:style>
  <w:style w:type="character" w:customStyle="1" w:styleId="80">
    <w:name w:val="页脚 字符1"/>
    <w:link w:val="22"/>
    <w:qFormat/>
    <w:uiPriority w:val="99"/>
    <w:rPr>
      <w:kern w:val="2"/>
      <w:sz w:val="18"/>
    </w:rPr>
  </w:style>
  <w:style w:type="character" w:customStyle="1" w:styleId="81">
    <w:name w:val="纯文本 字符"/>
    <w:qFormat/>
    <w:uiPriority w:val="0"/>
    <w:rPr>
      <w:rFonts w:ascii="宋体" w:hAnsi="Courier New"/>
      <w:kern w:val="2"/>
      <w:sz w:val="21"/>
    </w:rPr>
  </w:style>
  <w:style w:type="character" w:customStyle="1" w:styleId="82">
    <w:name w:val="标题 9 字符"/>
    <w:link w:val="11"/>
    <w:semiHidden/>
    <w:qFormat/>
    <w:uiPriority w:val="0"/>
    <w:rPr>
      <w:rFonts w:ascii="Calibri Light" w:hAnsi="Calibri Light" w:eastAsia="宋体" w:cs="Times New Roman"/>
      <w:kern w:val="2"/>
      <w:sz w:val="21"/>
      <w:szCs w:val="21"/>
    </w:rPr>
  </w:style>
  <w:style w:type="character" w:customStyle="1" w:styleId="83">
    <w:name w:val="批注文字 字符"/>
    <w:link w:val="14"/>
    <w:qFormat/>
    <w:uiPriority w:val="0"/>
    <w:rPr>
      <w:kern w:val="2"/>
      <w:sz w:val="21"/>
    </w:rPr>
  </w:style>
  <w:style w:type="character" w:customStyle="1" w:styleId="84">
    <w:name w:val="正文文本缩进 字符"/>
    <w:link w:val="16"/>
    <w:qFormat/>
    <w:uiPriority w:val="0"/>
    <w:rPr>
      <w:kern w:val="2"/>
      <w:sz w:val="28"/>
    </w:rPr>
  </w:style>
  <w:style w:type="character" w:customStyle="1" w:styleId="85">
    <w:name w:val="批注主题 字符"/>
    <w:link w:val="27"/>
    <w:qFormat/>
    <w:uiPriority w:val="0"/>
    <w:rPr>
      <w:b/>
      <w:bCs/>
      <w:kern w:val="2"/>
      <w:sz w:val="21"/>
    </w:rPr>
  </w:style>
  <w:style w:type="character" w:customStyle="1" w:styleId="86">
    <w:name w:val="标题 5 字符"/>
    <w:link w:val="7"/>
    <w:semiHidden/>
    <w:qFormat/>
    <w:uiPriority w:val="0"/>
    <w:rPr>
      <w:b/>
      <w:bCs/>
      <w:kern w:val="2"/>
      <w:sz w:val="28"/>
      <w:szCs w:val="28"/>
    </w:rPr>
  </w:style>
  <w:style w:type="character" w:customStyle="1" w:styleId="87">
    <w:name w:val="标题 7 字符"/>
    <w:link w:val="9"/>
    <w:semiHidden/>
    <w:qFormat/>
    <w:uiPriority w:val="0"/>
    <w:rPr>
      <w:b/>
      <w:bCs/>
      <w:kern w:val="2"/>
      <w:sz w:val="24"/>
      <w:szCs w:val="24"/>
    </w:rPr>
  </w:style>
  <w:style w:type="character" w:customStyle="1" w:styleId="88">
    <w:name w:val="文档结构图 字符"/>
    <w:link w:val="13"/>
    <w:qFormat/>
    <w:uiPriority w:val="0"/>
    <w:rPr>
      <w:rFonts w:ascii="宋体"/>
      <w:kern w:val="2"/>
      <w:sz w:val="18"/>
      <w:szCs w:val="18"/>
    </w:rPr>
  </w:style>
  <w:style w:type="character" w:customStyle="1" w:styleId="89">
    <w:name w:val="标题 3 字符"/>
    <w:link w:val="2"/>
    <w:qFormat/>
    <w:uiPriority w:val="0"/>
    <w:rPr>
      <w:b/>
      <w:bCs/>
      <w:kern w:val="2"/>
      <w:sz w:val="32"/>
      <w:szCs w:val="32"/>
    </w:rPr>
  </w:style>
  <w:style w:type="character" w:customStyle="1" w:styleId="90">
    <w:name w:val="标题 4 字符"/>
    <w:link w:val="6"/>
    <w:semiHidden/>
    <w:qFormat/>
    <w:uiPriority w:val="0"/>
    <w:rPr>
      <w:rFonts w:ascii="Calibri Light" w:hAnsi="Calibri Light" w:eastAsia="宋体" w:cs="Times New Roman"/>
      <w:b/>
      <w:bCs/>
      <w:kern w:val="2"/>
      <w:sz w:val="28"/>
      <w:szCs w:val="28"/>
    </w:rPr>
  </w:style>
  <w:style w:type="character" w:customStyle="1" w:styleId="91">
    <w:name w:val="标题 8 字符"/>
    <w:link w:val="10"/>
    <w:semiHidden/>
    <w:qFormat/>
    <w:uiPriority w:val="0"/>
    <w:rPr>
      <w:rFonts w:ascii="Calibri Light" w:hAnsi="Calibri Light" w:eastAsia="宋体" w:cs="Times New Roman"/>
      <w:kern w:val="2"/>
      <w:sz w:val="24"/>
      <w:szCs w:val="24"/>
    </w:rPr>
  </w:style>
  <w:style w:type="character" w:customStyle="1" w:styleId="92">
    <w:name w:val="正文文本缩进 2 字符"/>
    <w:link w:val="20"/>
    <w:qFormat/>
    <w:uiPriority w:val="0"/>
    <w:rPr>
      <w:kern w:val="2"/>
      <w:sz w:val="21"/>
    </w:rPr>
  </w:style>
  <w:style w:type="character" w:customStyle="1" w:styleId="93">
    <w:name w:val="标题 6 字符"/>
    <w:link w:val="8"/>
    <w:semiHidden/>
    <w:qFormat/>
    <w:uiPriority w:val="0"/>
    <w:rPr>
      <w:rFonts w:ascii="Calibri Light" w:hAnsi="Calibri Light" w:eastAsia="宋体" w:cs="Times New Roman"/>
      <w:b/>
      <w:bCs/>
      <w:kern w:val="2"/>
      <w:sz w:val="24"/>
      <w:szCs w:val="24"/>
    </w:rPr>
  </w:style>
  <w:style w:type="character" w:customStyle="1" w:styleId="94">
    <w:name w:val="纯文本 字符1"/>
    <w:link w:val="18"/>
    <w:qFormat/>
    <w:uiPriority w:val="0"/>
    <w:rPr>
      <w:rFonts w:ascii="宋体" w:hAnsi="Courier New" w:cs="Courier New"/>
      <w:kern w:val="2"/>
      <w:sz w:val="21"/>
      <w:szCs w:val="21"/>
    </w:rPr>
  </w:style>
  <w:style w:type="paragraph" w:customStyle="1" w:styleId="95">
    <w:name w:val="列出段落1"/>
    <w:basedOn w:val="1"/>
    <w:qFormat/>
    <w:uiPriority w:val="0"/>
    <w:pPr>
      <w:spacing w:line="240" w:lineRule="auto"/>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extobjs>
    <extobj name="ECB019B1-382A-4266-B25C-5B523AA43C14-1">
      <extobjdata type="ECB019B1-382A-4266-B25C-5B523AA43C14" data="ewogICAiRmlsZUlkIiA6ICIxMTAxODAzMjc4OTAiLAogICAiR3JvdXBJZCIgOiAiMTUxMTIzOTU1IiwKICAgIkltYWdlIiA6ICJpVkJPUncwS0dnb0FBQUFOU1VoRVVnQUFCRkFBQUFEYkNBWUFBQUJLdjJVMEFBQUFDWEJJV1hNQUFBc1RBQUFMRXdFQW1wd1lBQUFnQUVsRVFWUjRuT3pkZDNRYzFka0c4R2UyZCsxS0syblZMVm0yTEZjczBhc2hFSHBDS01HVVVCSkNFZ0lCQWdUNEFvRUFvWk1RSUU0d3BvU0VGbnJvaEdLcUFTTzV5cGF3ckY1WGJhV3RzMlhtKzBOYVdaWmxTWlpsN1dyMS9NN2hlSGZxTytMT3pMM3Z6cjBER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jhSdkZ2UytYSzBRSXZnQUFBQUFTVVZPUks1Q1lJST0iLAogICAiVHlwZSIgOiAiZmxvdyIsCiAgICJWZXJzaW9uIiA6ICIyM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jj</Company>
  <Pages>44</Pages>
  <Words>3275</Words>
  <Characters>18670</Characters>
  <Lines>155</Lines>
  <Paragraphs>43</Paragraphs>
  <TotalTime>3</TotalTime>
  <ScaleCrop>false</ScaleCrop>
  <LinksUpToDate>false</LinksUpToDate>
  <CharactersWithSpaces>21902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2018-01-08T15:55:00Z</dcterms:created>
  <dc:creator>a</dc:creator>
  <cp:lastModifiedBy>可乐的妈</cp:lastModifiedBy>
  <cp:lastPrinted>2015-09-18T08:54:00Z</cp:lastPrinted>
  <dcterms:modified xsi:type="dcterms:W3CDTF">2021-11-16T05:33:19Z</dcterms:modified>
  <dc:title>广电总局政府采购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