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0"/>
          <w:szCs w:val="40"/>
          <w:lang w:val="en-US"/>
        </w:rPr>
      </w:pPr>
      <w:r>
        <w:rPr>
          <w:rFonts w:hint="eastAsia"/>
          <w:sz w:val="40"/>
          <w:szCs w:val="40"/>
        </w:rPr>
        <w:br w:type="textWrapping"/>
      </w:r>
      <w:bookmarkStart w:id="435" w:name="_GoBack"/>
      <w:bookmarkEnd w:id="435"/>
      <w:r>
        <w:rPr>
          <w:rFonts w:hint="eastAsia"/>
          <w:b/>
          <w:bCs/>
          <w:sz w:val="40"/>
          <w:szCs w:val="40"/>
          <w:lang w:val="en-US" w:eastAsia="zh-CN"/>
        </w:rPr>
        <w:t>那拉提景镇国土空间规划编制项目</w:t>
      </w:r>
      <w:r>
        <w:rPr>
          <w:rFonts w:hint="eastAsia"/>
          <w:b/>
          <w:bCs/>
          <w:sz w:val="40"/>
          <w:szCs w:val="40"/>
          <w:lang w:val="en-US"/>
        </w:rPr>
        <w:t>（设计）</w:t>
      </w:r>
    </w:p>
    <w:p>
      <w:pPr>
        <w:rPr>
          <w:sz w:val="40"/>
          <w:szCs w:val="40"/>
        </w:rPr>
      </w:pPr>
    </w:p>
    <w:p>
      <w:pPr>
        <w:pStyle w:val="13"/>
      </w:pPr>
    </w:p>
    <w:p>
      <w:pPr>
        <w:pStyle w:val="7"/>
        <w:ind w:left="16" w:hanging="16" w:hangingChars="5"/>
        <w:jc w:val="center"/>
        <w:rPr>
          <w:lang w:val="en-US"/>
        </w:rPr>
      </w:pPr>
      <w:r>
        <w:rPr>
          <w:rFonts w:hint="eastAsia"/>
        </w:rPr>
        <w:t>项目编码：XJJP-2021-0</w:t>
      </w:r>
      <w:r>
        <w:rPr>
          <w:rFonts w:hint="eastAsia"/>
          <w:lang w:val="en-US"/>
        </w:rPr>
        <w:t>85</w:t>
      </w:r>
    </w:p>
    <w:p>
      <w:pPr>
        <w:pStyle w:val="7"/>
        <w:jc w:val="center"/>
      </w:pPr>
    </w:p>
    <w:p>
      <w:pPr>
        <w:pStyle w:val="43"/>
        <w:spacing w:line="360" w:lineRule="auto"/>
        <w:ind w:firstLine="723"/>
        <w:rPr>
          <w:b/>
          <w:sz w:val="36"/>
          <w:szCs w:val="36"/>
          <w:lang w:val="en-US"/>
        </w:rPr>
      </w:pPr>
    </w:p>
    <w:p>
      <w:pPr>
        <w:pStyle w:val="43"/>
        <w:spacing w:line="360" w:lineRule="auto"/>
        <w:ind w:firstLine="723"/>
        <w:rPr>
          <w:b/>
          <w:sz w:val="36"/>
          <w:szCs w:val="36"/>
          <w:lang w:val="en-US"/>
        </w:rPr>
      </w:pPr>
    </w:p>
    <w:p>
      <w:pPr>
        <w:adjustRightInd w:val="0"/>
        <w:spacing w:line="360" w:lineRule="auto"/>
        <w:jc w:val="center"/>
        <w:rPr>
          <w:b/>
          <w:sz w:val="84"/>
          <w:szCs w:val="84"/>
        </w:rPr>
      </w:pPr>
      <w:r>
        <w:rPr>
          <w:b/>
          <w:sz w:val="84"/>
          <w:szCs w:val="84"/>
        </w:rPr>
        <w:t xml:space="preserve"> </w:t>
      </w:r>
      <w:r>
        <w:rPr>
          <w:rFonts w:hint="eastAsia"/>
          <w:b/>
          <w:sz w:val="84"/>
          <w:szCs w:val="84"/>
        </w:rPr>
        <w:t>磋</w:t>
      </w:r>
      <w:r>
        <w:rPr>
          <w:rFonts w:hint="eastAsia"/>
          <w:b/>
          <w:sz w:val="84"/>
          <w:szCs w:val="84"/>
          <w:lang w:val="en-US"/>
        </w:rPr>
        <w:t xml:space="preserve"> </w:t>
      </w:r>
      <w:r>
        <w:rPr>
          <w:rFonts w:hint="eastAsia"/>
          <w:b/>
          <w:sz w:val="84"/>
          <w:szCs w:val="84"/>
        </w:rPr>
        <w:t>商</w:t>
      </w:r>
      <w:r>
        <w:rPr>
          <w:b/>
          <w:sz w:val="84"/>
          <w:szCs w:val="84"/>
        </w:rPr>
        <w:t xml:space="preserve"> </w:t>
      </w:r>
      <w:r>
        <w:rPr>
          <w:rFonts w:hint="eastAsia"/>
          <w:b/>
          <w:sz w:val="84"/>
          <w:szCs w:val="84"/>
        </w:rPr>
        <w:t>文</w:t>
      </w:r>
      <w:r>
        <w:rPr>
          <w:b/>
          <w:sz w:val="84"/>
          <w:szCs w:val="84"/>
        </w:rPr>
        <w:t xml:space="preserve"> </w:t>
      </w:r>
      <w:r>
        <w:rPr>
          <w:rFonts w:hint="eastAsia"/>
          <w:b/>
          <w:sz w:val="84"/>
          <w:szCs w:val="84"/>
        </w:rPr>
        <w:t>件</w:t>
      </w:r>
    </w:p>
    <w:p>
      <w:pPr>
        <w:adjustRightInd w:val="0"/>
        <w:spacing w:line="360" w:lineRule="auto"/>
        <w:jc w:val="center"/>
        <w:rPr>
          <w:b/>
          <w:sz w:val="84"/>
          <w:szCs w:val="84"/>
        </w:rPr>
      </w:pPr>
    </w:p>
    <w:p>
      <w:pPr>
        <w:adjustRightInd w:val="0"/>
        <w:spacing w:line="360" w:lineRule="auto"/>
        <w:rPr>
          <w:b/>
          <w:sz w:val="32"/>
          <w:szCs w:val="32"/>
        </w:rPr>
      </w:pPr>
      <w:r>
        <w:rPr>
          <w:rFonts w:hint="eastAsia"/>
          <w:b/>
          <w:sz w:val="32"/>
          <w:szCs w:val="32"/>
        </w:rPr>
        <w:t>招标人：伊犁哈萨克自治州那拉提旅游风景区管理委员会（盖章）</w:t>
      </w:r>
    </w:p>
    <w:p>
      <w:pPr>
        <w:adjustRightInd w:val="0"/>
        <w:spacing w:line="360" w:lineRule="auto"/>
        <w:rPr>
          <w:b/>
          <w:sz w:val="32"/>
          <w:szCs w:val="32"/>
        </w:rPr>
      </w:pPr>
      <w:r>
        <w:rPr>
          <w:rFonts w:hint="eastAsia"/>
          <w:b/>
          <w:sz w:val="32"/>
          <w:szCs w:val="32"/>
        </w:rPr>
        <w:t>日期：202</w:t>
      </w:r>
      <w:r>
        <w:rPr>
          <w:rFonts w:hint="eastAsia"/>
          <w:b/>
          <w:sz w:val="32"/>
          <w:szCs w:val="32"/>
          <w:lang w:val="en-US"/>
        </w:rPr>
        <w:t>1</w:t>
      </w:r>
      <w:r>
        <w:rPr>
          <w:rFonts w:hint="eastAsia"/>
          <w:b/>
          <w:sz w:val="32"/>
          <w:szCs w:val="32"/>
        </w:rPr>
        <w:t>年</w:t>
      </w:r>
      <w:r>
        <w:rPr>
          <w:rFonts w:hint="eastAsia"/>
          <w:b/>
          <w:sz w:val="32"/>
          <w:szCs w:val="32"/>
          <w:lang w:val="en-US" w:eastAsia="zh-CN"/>
        </w:rPr>
        <w:t>11</w:t>
      </w:r>
      <w:r>
        <w:rPr>
          <w:rFonts w:hint="eastAsia"/>
          <w:b/>
          <w:sz w:val="32"/>
          <w:szCs w:val="32"/>
        </w:rPr>
        <w:t>月</w:t>
      </w:r>
    </w:p>
    <w:p>
      <w:pPr>
        <w:adjustRightInd w:val="0"/>
        <w:spacing w:line="360" w:lineRule="auto"/>
        <w:rPr>
          <w:b/>
          <w:sz w:val="32"/>
          <w:szCs w:val="32"/>
        </w:rPr>
      </w:pPr>
    </w:p>
    <w:p>
      <w:pPr>
        <w:adjustRightInd w:val="0"/>
        <w:spacing w:line="360" w:lineRule="auto"/>
        <w:rPr>
          <w:b/>
          <w:sz w:val="32"/>
          <w:szCs w:val="32"/>
        </w:rPr>
      </w:pPr>
      <w:r>
        <w:rPr>
          <w:rFonts w:hint="eastAsia"/>
          <w:b/>
          <w:sz w:val="32"/>
          <w:szCs w:val="32"/>
        </w:rPr>
        <w:t>招标代理机构：新疆金磐工程管理咨询有限公司 （盖章）</w:t>
      </w:r>
    </w:p>
    <w:p>
      <w:pPr>
        <w:adjustRightInd w:val="0"/>
        <w:spacing w:line="360" w:lineRule="auto"/>
        <w:rPr>
          <w:b/>
          <w:sz w:val="32"/>
          <w:szCs w:val="32"/>
        </w:rPr>
      </w:pPr>
      <w:r>
        <w:rPr>
          <w:rFonts w:hint="eastAsia"/>
          <w:b/>
          <w:sz w:val="32"/>
          <w:szCs w:val="32"/>
        </w:rPr>
        <w:t>日期：202</w:t>
      </w:r>
      <w:r>
        <w:rPr>
          <w:rFonts w:hint="eastAsia"/>
          <w:b/>
          <w:sz w:val="32"/>
          <w:szCs w:val="32"/>
          <w:lang w:val="en-US"/>
        </w:rPr>
        <w:t>1</w:t>
      </w:r>
      <w:r>
        <w:rPr>
          <w:rFonts w:hint="eastAsia"/>
          <w:b/>
          <w:sz w:val="32"/>
          <w:szCs w:val="32"/>
        </w:rPr>
        <w:t>年</w:t>
      </w:r>
      <w:r>
        <w:rPr>
          <w:rFonts w:hint="eastAsia"/>
          <w:b/>
          <w:sz w:val="32"/>
          <w:szCs w:val="32"/>
          <w:lang w:val="en-US" w:eastAsia="zh-CN"/>
        </w:rPr>
        <w:t>11</w:t>
      </w:r>
      <w:r>
        <w:rPr>
          <w:rFonts w:hint="eastAsia"/>
          <w:b/>
          <w:sz w:val="32"/>
          <w:szCs w:val="32"/>
        </w:rPr>
        <w:t>月</w:t>
      </w:r>
    </w:p>
    <w:p>
      <w:pPr>
        <w:spacing w:line="360" w:lineRule="auto"/>
        <w:rPr>
          <w:sz w:val="32"/>
          <w:szCs w:val="32"/>
          <w:u w:val="thick"/>
        </w:rPr>
      </w:pPr>
    </w:p>
    <w:p>
      <w:pPr>
        <w:spacing w:line="280" w:lineRule="exact"/>
        <w:jc w:val="both"/>
        <w:sectPr>
          <w:footerReference r:id="rId3" w:type="default"/>
          <w:pgSz w:w="11910" w:h="16840"/>
          <w:pgMar w:top="1440" w:right="1080" w:bottom="1440" w:left="1520" w:header="906" w:footer="895" w:gutter="0"/>
          <w:cols w:space="720" w:num="1"/>
        </w:sectPr>
      </w:pPr>
    </w:p>
    <w:sdt>
      <w:sdtPr>
        <w:rPr>
          <w:sz w:val="48"/>
          <w:szCs w:val="52"/>
        </w:rPr>
        <w:id w:val="147459256"/>
        <w15:color w:val="DBDBDB"/>
        <w:docPartObj>
          <w:docPartGallery w:val="Table of Contents"/>
          <w:docPartUnique/>
        </w:docPartObj>
      </w:sdtPr>
      <w:sdtEndPr>
        <w:rPr>
          <w:bCs/>
          <w:sz w:val="20"/>
          <w:szCs w:val="24"/>
        </w:rPr>
      </w:sdtEndPr>
      <w:sdtContent>
        <w:p>
          <w:pPr>
            <w:jc w:val="center"/>
            <w:rPr>
              <w:sz w:val="52"/>
              <w:szCs w:val="52"/>
            </w:rPr>
          </w:pPr>
          <w:r>
            <w:rPr>
              <w:sz w:val="48"/>
              <w:szCs w:val="52"/>
            </w:rPr>
            <w:t>目录</w:t>
          </w:r>
        </w:p>
        <w:p>
          <w:pPr>
            <w:pStyle w:val="41"/>
            <w:tabs>
              <w:tab w:val="right" w:leader="dot" w:pos="9750"/>
            </w:tabs>
          </w:pPr>
          <w:r>
            <w:rPr>
              <w:b/>
              <w:bCs/>
              <w:sz w:val="72"/>
              <w:szCs w:val="24"/>
            </w:rPr>
            <w:fldChar w:fldCharType="begin"/>
          </w:r>
          <w:r>
            <w:rPr>
              <w:b/>
              <w:bCs/>
              <w:sz w:val="72"/>
              <w:szCs w:val="24"/>
            </w:rPr>
            <w:instrText xml:space="preserve">TOC \o "1-1" \h \u </w:instrText>
          </w:r>
          <w:r>
            <w:rPr>
              <w:b/>
              <w:bCs/>
              <w:sz w:val="72"/>
              <w:szCs w:val="24"/>
            </w:rPr>
            <w:fldChar w:fldCharType="separate"/>
          </w:r>
          <w:r>
            <w:fldChar w:fldCharType="begin"/>
          </w:r>
          <w:r>
            <w:instrText xml:space="preserve"> HYPERLINK \l "_Toc20560" </w:instrText>
          </w:r>
          <w:r>
            <w:fldChar w:fldCharType="separate"/>
          </w:r>
          <w:r>
            <w:rPr>
              <w:rFonts w:hint="eastAsia" w:ascii="宋体" w:hAnsi="宋体" w:cs="宋体"/>
              <w:szCs w:val="32"/>
            </w:rPr>
            <w:t>第一部分 招标公告</w:t>
          </w:r>
          <w:r>
            <w:tab/>
          </w:r>
          <w:r>
            <w:fldChar w:fldCharType="begin"/>
          </w:r>
          <w:r>
            <w:instrText xml:space="preserve"> PAGEREF _Toc20560 \h </w:instrText>
          </w:r>
          <w:r>
            <w:fldChar w:fldCharType="separate"/>
          </w:r>
          <w:r>
            <w:t>3</w:t>
          </w:r>
          <w:r>
            <w:fldChar w:fldCharType="end"/>
          </w:r>
          <w:r>
            <w:fldChar w:fldCharType="end"/>
          </w:r>
        </w:p>
        <w:p>
          <w:pPr>
            <w:pStyle w:val="41"/>
            <w:tabs>
              <w:tab w:val="right" w:leader="dot" w:pos="9750"/>
            </w:tabs>
          </w:pPr>
          <w:r>
            <w:fldChar w:fldCharType="begin"/>
          </w:r>
          <w:r>
            <w:instrText xml:space="preserve"> HYPERLINK \l "_Toc21309" </w:instrText>
          </w:r>
          <w:r>
            <w:fldChar w:fldCharType="separate"/>
          </w:r>
          <w:r>
            <w:rPr>
              <w:rFonts w:hint="eastAsia" w:ascii="仿宋" w:hAnsi="仿宋" w:eastAsia="仿宋" w:cs="仿宋"/>
              <w:bCs/>
              <w:szCs w:val="28"/>
              <w:lang w:eastAsia="zh-CN"/>
            </w:rPr>
            <w:t>那拉提景镇国土空间规划编制项目</w:t>
          </w:r>
          <w:r>
            <w:rPr>
              <w:rFonts w:hint="eastAsia" w:ascii="仿宋" w:hAnsi="仿宋" w:eastAsia="仿宋" w:cs="仿宋"/>
              <w:bCs/>
              <w:szCs w:val="28"/>
            </w:rPr>
            <w:t>(设计）</w:t>
          </w:r>
          <w:r>
            <w:tab/>
          </w:r>
          <w:r>
            <w:fldChar w:fldCharType="begin"/>
          </w:r>
          <w:r>
            <w:instrText xml:space="preserve"> PAGEREF _Toc21309 \h </w:instrText>
          </w:r>
          <w:r>
            <w:fldChar w:fldCharType="separate"/>
          </w:r>
          <w:r>
            <w:t>3</w:t>
          </w:r>
          <w:r>
            <w:fldChar w:fldCharType="end"/>
          </w:r>
          <w:r>
            <w:fldChar w:fldCharType="end"/>
          </w:r>
        </w:p>
        <w:p>
          <w:pPr>
            <w:pStyle w:val="41"/>
            <w:tabs>
              <w:tab w:val="right" w:leader="dot" w:pos="9750"/>
            </w:tabs>
          </w:pPr>
          <w:r>
            <w:fldChar w:fldCharType="begin"/>
          </w:r>
          <w:r>
            <w:instrText xml:space="preserve"> HYPERLINK \l "_Toc2843" </w:instrText>
          </w:r>
          <w:r>
            <w:fldChar w:fldCharType="separate"/>
          </w:r>
          <w:r>
            <w:rPr>
              <w:rFonts w:ascii="仿宋" w:hAnsi="仿宋" w:eastAsia="仿宋" w:cs="仿宋"/>
              <w:bCs/>
              <w:szCs w:val="28"/>
            </w:rPr>
            <w:t>竞争性磋商公告</w:t>
          </w:r>
          <w:r>
            <w:tab/>
          </w:r>
          <w:r>
            <w:fldChar w:fldCharType="begin"/>
          </w:r>
          <w:r>
            <w:instrText xml:space="preserve"> PAGEREF _Toc2843 \h </w:instrText>
          </w:r>
          <w:r>
            <w:fldChar w:fldCharType="separate"/>
          </w:r>
          <w:r>
            <w:t>3</w:t>
          </w:r>
          <w:r>
            <w:fldChar w:fldCharType="end"/>
          </w:r>
          <w:r>
            <w:fldChar w:fldCharType="end"/>
          </w:r>
        </w:p>
        <w:p>
          <w:pPr>
            <w:pStyle w:val="41"/>
            <w:tabs>
              <w:tab w:val="right" w:leader="dot" w:pos="9750"/>
            </w:tabs>
          </w:pPr>
          <w:r>
            <w:fldChar w:fldCharType="begin"/>
          </w:r>
          <w:r>
            <w:instrText xml:space="preserve"> HYPERLINK \l "_Toc646" </w:instrText>
          </w:r>
          <w:r>
            <w:fldChar w:fldCharType="separate"/>
          </w:r>
          <w:r>
            <w:rPr>
              <w:rFonts w:hint="eastAsia" w:ascii="仿宋" w:hAnsi="仿宋" w:eastAsia="仿宋" w:cs="仿宋"/>
              <w:szCs w:val="27"/>
            </w:rPr>
            <w:t>六、其他补充事宜</w:t>
          </w:r>
          <w:r>
            <w:tab/>
          </w:r>
          <w:r>
            <w:fldChar w:fldCharType="begin"/>
          </w:r>
          <w:r>
            <w:instrText xml:space="preserve"> PAGEREF _Toc646 \h </w:instrText>
          </w:r>
          <w:r>
            <w:fldChar w:fldCharType="separate"/>
          </w:r>
          <w:r>
            <w:t>4</w:t>
          </w:r>
          <w:r>
            <w:fldChar w:fldCharType="end"/>
          </w:r>
          <w:r>
            <w:fldChar w:fldCharType="end"/>
          </w:r>
        </w:p>
        <w:p>
          <w:pPr>
            <w:pStyle w:val="41"/>
            <w:tabs>
              <w:tab w:val="right" w:leader="dot" w:pos="9750"/>
            </w:tabs>
          </w:pPr>
          <w:r>
            <w:fldChar w:fldCharType="begin"/>
          </w:r>
          <w:r>
            <w:instrText xml:space="preserve"> HYPERLINK \l "_Toc23651" </w:instrText>
          </w:r>
          <w:r>
            <w:fldChar w:fldCharType="separate"/>
          </w:r>
          <w:r>
            <w:rPr>
              <w:rFonts w:hint="eastAsia" w:ascii="宋体" w:hAnsi="宋体" w:cs="宋体"/>
              <w:szCs w:val="32"/>
            </w:rPr>
            <w:t>第二部分 供应商须知</w:t>
          </w:r>
          <w:r>
            <w:tab/>
          </w:r>
          <w:r>
            <w:fldChar w:fldCharType="begin"/>
          </w:r>
          <w:r>
            <w:instrText xml:space="preserve"> PAGEREF _Toc23651 \h </w:instrText>
          </w:r>
          <w:r>
            <w:fldChar w:fldCharType="separate"/>
          </w:r>
          <w:r>
            <w:t>5</w:t>
          </w:r>
          <w:r>
            <w:fldChar w:fldCharType="end"/>
          </w:r>
          <w:r>
            <w:fldChar w:fldCharType="end"/>
          </w:r>
        </w:p>
        <w:p>
          <w:pPr>
            <w:pStyle w:val="41"/>
            <w:tabs>
              <w:tab w:val="right" w:leader="dot" w:pos="9750"/>
            </w:tabs>
          </w:pPr>
          <w:r>
            <w:fldChar w:fldCharType="begin"/>
          </w:r>
          <w:r>
            <w:instrText xml:space="preserve"> HYPERLINK \l "_Toc30430" </w:instrText>
          </w:r>
          <w:r>
            <w:fldChar w:fldCharType="separate"/>
          </w:r>
          <w:r>
            <w:rPr>
              <w:rFonts w:ascii="宋体" w:hAnsi="宋体" w:cs="宋体"/>
              <w:szCs w:val="32"/>
            </w:rPr>
            <w:t xml:space="preserve">第三部分 </w:t>
          </w:r>
          <w:r>
            <w:rPr>
              <w:rFonts w:hint="eastAsia" w:ascii="宋体" w:hAnsi="宋体" w:cs="宋体"/>
              <w:szCs w:val="32"/>
            </w:rPr>
            <w:t>服务内容</w:t>
          </w:r>
          <w:r>
            <w:tab/>
          </w:r>
          <w:r>
            <w:fldChar w:fldCharType="begin"/>
          </w:r>
          <w:r>
            <w:instrText xml:space="preserve"> PAGEREF _Toc30430 \h </w:instrText>
          </w:r>
          <w:r>
            <w:fldChar w:fldCharType="separate"/>
          </w:r>
          <w:r>
            <w:t>23</w:t>
          </w:r>
          <w:r>
            <w:fldChar w:fldCharType="end"/>
          </w:r>
          <w:r>
            <w:fldChar w:fldCharType="end"/>
          </w:r>
        </w:p>
        <w:p>
          <w:pPr>
            <w:pStyle w:val="41"/>
            <w:tabs>
              <w:tab w:val="right" w:leader="dot" w:pos="9750"/>
            </w:tabs>
          </w:pPr>
          <w:r>
            <w:fldChar w:fldCharType="begin"/>
          </w:r>
          <w:r>
            <w:instrText xml:space="preserve"> HYPERLINK \l "_Toc13800" </w:instrText>
          </w:r>
          <w:r>
            <w:fldChar w:fldCharType="separate"/>
          </w:r>
          <w:r>
            <w:rPr>
              <w:rFonts w:hint="eastAsia" w:ascii="宋体" w:hAnsi="宋体" w:cs="宋体"/>
              <w:szCs w:val="30"/>
            </w:rPr>
            <w:t>第四部分 评审方法</w:t>
          </w:r>
          <w:r>
            <w:tab/>
          </w:r>
          <w:r>
            <w:fldChar w:fldCharType="begin"/>
          </w:r>
          <w:r>
            <w:instrText xml:space="preserve"> PAGEREF _Toc13800 \h </w:instrText>
          </w:r>
          <w:r>
            <w:fldChar w:fldCharType="separate"/>
          </w:r>
          <w:r>
            <w:t>26</w:t>
          </w:r>
          <w:r>
            <w:fldChar w:fldCharType="end"/>
          </w:r>
          <w:r>
            <w:fldChar w:fldCharType="end"/>
          </w:r>
        </w:p>
        <w:p>
          <w:pPr>
            <w:pStyle w:val="41"/>
            <w:tabs>
              <w:tab w:val="right" w:leader="dot" w:pos="9750"/>
            </w:tabs>
          </w:pPr>
          <w:r>
            <w:fldChar w:fldCharType="begin"/>
          </w:r>
          <w:r>
            <w:instrText xml:space="preserve"> HYPERLINK \l "_Toc31050" </w:instrText>
          </w:r>
          <w:r>
            <w:fldChar w:fldCharType="separate"/>
          </w:r>
          <w:r>
            <w:t>第五部分 政府采购合同</w:t>
          </w:r>
          <w:r>
            <w:tab/>
          </w:r>
          <w:r>
            <w:fldChar w:fldCharType="begin"/>
          </w:r>
          <w:r>
            <w:instrText xml:space="preserve"> PAGEREF _Toc31050 \h </w:instrText>
          </w:r>
          <w:r>
            <w:fldChar w:fldCharType="separate"/>
          </w:r>
          <w:r>
            <w:t>32</w:t>
          </w:r>
          <w:r>
            <w:fldChar w:fldCharType="end"/>
          </w:r>
          <w:r>
            <w:fldChar w:fldCharType="end"/>
          </w:r>
        </w:p>
        <w:p>
          <w:pPr>
            <w:pStyle w:val="41"/>
            <w:tabs>
              <w:tab w:val="right" w:leader="dot" w:pos="9750"/>
            </w:tabs>
          </w:pPr>
          <w:r>
            <w:fldChar w:fldCharType="begin"/>
          </w:r>
          <w:r>
            <w:instrText xml:space="preserve"> HYPERLINK \l "_Toc27090" </w:instrText>
          </w:r>
          <w:r>
            <w:fldChar w:fldCharType="separate"/>
          </w:r>
          <w:r>
            <w:rPr>
              <w:rFonts w:hint="eastAsia"/>
            </w:rPr>
            <w:t>（服务类）</w:t>
          </w:r>
          <w:r>
            <w:tab/>
          </w:r>
          <w:r>
            <w:fldChar w:fldCharType="begin"/>
          </w:r>
          <w:r>
            <w:instrText xml:space="preserve"> PAGEREF _Toc27090 \h </w:instrText>
          </w:r>
          <w:r>
            <w:fldChar w:fldCharType="separate"/>
          </w:r>
          <w:r>
            <w:t>32</w:t>
          </w:r>
          <w:r>
            <w:fldChar w:fldCharType="end"/>
          </w:r>
          <w:r>
            <w:fldChar w:fldCharType="end"/>
          </w:r>
        </w:p>
        <w:p>
          <w:pPr>
            <w:pStyle w:val="41"/>
            <w:tabs>
              <w:tab w:val="right" w:leader="dot" w:pos="9750"/>
            </w:tabs>
          </w:pPr>
          <w:r>
            <w:fldChar w:fldCharType="begin"/>
          </w:r>
          <w:r>
            <w:instrText xml:space="preserve"> HYPERLINK \l "_Toc29604" </w:instrText>
          </w:r>
          <w:r>
            <w:fldChar w:fldCharType="separate"/>
          </w:r>
          <w:r>
            <w:rPr>
              <w:rFonts w:hint="eastAsia" w:hAnsi="宋体" w:cs="宋体"/>
              <w:szCs w:val="24"/>
            </w:rPr>
            <w:t>第一部分 合同书</w:t>
          </w:r>
          <w:r>
            <w:tab/>
          </w:r>
          <w:r>
            <w:fldChar w:fldCharType="begin"/>
          </w:r>
          <w:r>
            <w:instrText xml:space="preserve"> PAGEREF _Toc29604 \h </w:instrText>
          </w:r>
          <w:r>
            <w:fldChar w:fldCharType="separate"/>
          </w:r>
          <w:r>
            <w:t>32</w:t>
          </w:r>
          <w:r>
            <w:fldChar w:fldCharType="end"/>
          </w:r>
          <w:r>
            <w:fldChar w:fldCharType="end"/>
          </w:r>
        </w:p>
        <w:p>
          <w:pPr>
            <w:pStyle w:val="41"/>
            <w:tabs>
              <w:tab w:val="right" w:leader="dot" w:pos="9750"/>
            </w:tabs>
          </w:pPr>
          <w:r>
            <w:fldChar w:fldCharType="begin"/>
          </w:r>
          <w:r>
            <w:instrText xml:space="preserve"> HYPERLINK \l "_Toc24988" </w:instrText>
          </w:r>
          <w:r>
            <w:fldChar w:fldCharType="separate"/>
          </w:r>
          <w:r>
            <w:rPr>
              <w:rFonts w:hint="eastAsia" w:hAnsi="宋体" w:cs="宋体"/>
              <w:szCs w:val="24"/>
            </w:rPr>
            <w:t>第二部分 合同一般条款</w:t>
          </w:r>
          <w:r>
            <w:tab/>
          </w:r>
          <w:r>
            <w:fldChar w:fldCharType="begin"/>
          </w:r>
          <w:r>
            <w:instrText xml:space="preserve"> PAGEREF _Toc24988 \h </w:instrText>
          </w:r>
          <w:r>
            <w:fldChar w:fldCharType="separate"/>
          </w:r>
          <w:r>
            <w:t>37</w:t>
          </w:r>
          <w:r>
            <w:fldChar w:fldCharType="end"/>
          </w:r>
          <w:r>
            <w:fldChar w:fldCharType="end"/>
          </w:r>
        </w:p>
        <w:p>
          <w:pPr>
            <w:pStyle w:val="41"/>
            <w:tabs>
              <w:tab w:val="right" w:leader="dot" w:pos="9750"/>
            </w:tabs>
          </w:pPr>
          <w:r>
            <w:fldChar w:fldCharType="begin"/>
          </w:r>
          <w:r>
            <w:instrText xml:space="preserve"> HYPERLINK \l "_Toc23645" </w:instrText>
          </w:r>
          <w:r>
            <w:fldChar w:fldCharType="separate"/>
          </w:r>
          <w:r>
            <w:rPr>
              <w:rFonts w:hint="eastAsia"/>
              <w:szCs w:val="30"/>
            </w:rPr>
            <w:t>（附件一）节能、环境标志产品优惠明细表</w:t>
          </w:r>
          <w:r>
            <w:tab/>
          </w:r>
          <w:r>
            <w:fldChar w:fldCharType="begin"/>
          </w:r>
          <w:r>
            <w:instrText xml:space="preserve"> PAGEREF _Toc23645 \h </w:instrText>
          </w:r>
          <w:r>
            <w:fldChar w:fldCharType="separate"/>
          </w:r>
          <w:r>
            <w:t>42</w:t>
          </w:r>
          <w:r>
            <w:fldChar w:fldCharType="end"/>
          </w:r>
          <w:r>
            <w:fldChar w:fldCharType="end"/>
          </w:r>
        </w:p>
        <w:p>
          <w:pPr>
            <w:pStyle w:val="41"/>
            <w:tabs>
              <w:tab w:val="right" w:pos="5200"/>
              <w:tab w:val="right" w:leader="dot" w:pos="9750"/>
            </w:tabs>
          </w:pPr>
          <w:r>
            <w:fldChar w:fldCharType="begin"/>
          </w:r>
          <w:r>
            <w:instrText xml:space="preserve"> HYPERLINK \l "_Toc10575" </w:instrText>
          </w:r>
          <w:r>
            <w:fldChar w:fldCharType="separate"/>
          </w:r>
          <w:r>
            <w:rPr>
              <w:rFonts w:hint="eastAsia"/>
            </w:rPr>
            <w:t>（</w:t>
          </w:r>
          <w:r>
            <w:t>1</w:t>
          </w:r>
          <w:r>
            <w:rPr>
              <w:rFonts w:hint="eastAsia"/>
            </w:rPr>
            <w:t>）节能产品明细清单</w:t>
          </w:r>
          <w:r>
            <w:t xml:space="preserve">    </w:t>
          </w:r>
          <w:r>
            <w:rPr>
              <w:rFonts w:hint="eastAsia"/>
            </w:rPr>
            <w:t>报价货币种类</w:t>
          </w:r>
          <w:r>
            <w:t xml:space="preserve"> </w:t>
          </w:r>
          <w:r>
            <w:tab/>
          </w:r>
          <w:r>
            <w:t xml:space="preserve"> </w:t>
          </w:r>
          <w:r>
            <w:rPr>
              <w:rFonts w:hint="eastAsia"/>
            </w:rPr>
            <w:t>金额单位：元</w:t>
          </w:r>
          <w:r>
            <w:tab/>
          </w:r>
          <w:r>
            <w:fldChar w:fldCharType="begin"/>
          </w:r>
          <w:r>
            <w:instrText xml:space="preserve"> PAGEREF _Toc10575 \h </w:instrText>
          </w:r>
          <w:r>
            <w:fldChar w:fldCharType="separate"/>
          </w:r>
          <w:r>
            <w:t>42</w:t>
          </w:r>
          <w:r>
            <w:fldChar w:fldCharType="end"/>
          </w:r>
          <w:r>
            <w:fldChar w:fldCharType="end"/>
          </w:r>
        </w:p>
        <w:p>
          <w:pPr>
            <w:pStyle w:val="41"/>
            <w:tabs>
              <w:tab w:val="right" w:pos="3600"/>
              <w:tab w:val="right" w:leader="dot" w:pos="9750"/>
            </w:tabs>
          </w:pPr>
          <w:r>
            <w:fldChar w:fldCharType="begin"/>
          </w:r>
          <w:r>
            <w:instrText xml:space="preserve"> HYPERLINK \l "_Toc10568" </w:instrText>
          </w:r>
          <w:r>
            <w:fldChar w:fldCharType="separate"/>
          </w:r>
          <w:r>
            <w:rPr>
              <w:rFonts w:hint="eastAsia"/>
            </w:rPr>
            <w:t>（</w:t>
          </w:r>
          <w:r>
            <w:t>2</w:t>
          </w:r>
          <w:r>
            <w:rPr>
              <w:rFonts w:hint="eastAsia"/>
            </w:rPr>
            <w:t>）环保产品明细清单</w:t>
          </w:r>
          <w:r>
            <w:tab/>
          </w:r>
          <w:r>
            <w:rPr>
              <w:rFonts w:hint="eastAsia"/>
            </w:rPr>
            <w:t>报价货币种类</w:t>
          </w:r>
          <w:r>
            <w:t xml:space="preserve">  </w:t>
          </w:r>
          <w:r>
            <w:rPr>
              <w:rFonts w:hint="eastAsia"/>
            </w:rPr>
            <w:t>金额单位：元</w:t>
          </w:r>
          <w:r>
            <w:tab/>
          </w:r>
          <w:r>
            <w:fldChar w:fldCharType="begin"/>
          </w:r>
          <w:r>
            <w:instrText xml:space="preserve"> PAGEREF _Toc10568 \h </w:instrText>
          </w:r>
          <w:r>
            <w:fldChar w:fldCharType="separate"/>
          </w:r>
          <w:r>
            <w:t>42</w:t>
          </w:r>
          <w:r>
            <w:fldChar w:fldCharType="end"/>
          </w:r>
          <w:r>
            <w:fldChar w:fldCharType="end"/>
          </w:r>
        </w:p>
        <w:p>
          <w:pPr>
            <w:pStyle w:val="41"/>
            <w:tabs>
              <w:tab w:val="right" w:leader="dot" w:pos="9750"/>
            </w:tabs>
          </w:pPr>
          <w:r>
            <w:fldChar w:fldCharType="begin"/>
          </w:r>
          <w:r>
            <w:instrText xml:space="preserve"> HYPERLINK \l "_Toc22937" </w:instrText>
          </w:r>
          <w:r>
            <w:fldChar w:fldCharType="separate"/>
          </w:r>
          <w:r>
            <w:rPr>
              <w:rFonts w:hint="eastAsia"/>
              <w:szCs w:val="30"/>
            </w:rPr>
            <w:t>（附件二）节能、环境标志产品证明材料</w:t>
          </w:r>
          <w:r>
            <w:tab/>
          </w:r>
          <w:r>
            <w:fldChar w:fldCharType="begin"/>
          </w:r>
          <w:r>
            <w:instrText xml:space="preserve"> PAGEREF _Toc22937 \h </w:instrText>
          </w:r>
          <w:r>
            <w:fldChar w:fldCharType="separate"/>
          </w:r>
          <w:r>
            <w:t>43</w:t>
          </w:r>
          <w:r>
            <w:fldChar w:fldCharType="end"/>
          </w:r>
          <w:r>
            <w:fldChar w:fldCharType="end"/>
          </w:r>
        </w:p>
        <w:p>
          <w:pPr>
            <w:pStyle w:val="41"/>
            <w:tabs>
              <w:tab w:val="right" w:leader="dot" w:pos="9750"/>
            </w:tabs>
          </w:pPr>
          <w:r>
            <w:fldChar w:fldCharType="begin"/>
          </w:r>
          <w:r>
            <w:instrText xml:space="preserve"> HYPERLINK \l "_Toc18916" </w:instrText>
          </w:r>
          <w:r>
            <w:fldChar w:fldCharType="separate"/>
          </w:r>
          <w:r>
            <w:rPr>
              <w:rFonts w:hint="eastAsia"/>
              <w:szCs w:val="30"/>
            </w:rPr>
            <w:t>（附件三）《投标人企业类型声明函》</w:t>
          </w:r>
          <w:r>
            <w:tab/>
          </w:r>
          <w:r>
            <w:fldChar w:fldCharType="begin"/>
          </w:r>
          <w:r>
            <w:instrText xml:space="preserve"> PAGEREF _Toc18916 \h </w:instrText>
          </w:r>
          <w:r>
            <w:fldChar w:fldCharType="separate"/>
          </w:r>
          <w:r>
            <w:t>44</w:t>
          </w:r>
          <w:r>
            <w:fldChar w:fldCharType="end"/>
          </w:r>
          <w:r>
            <w:fldChar w:fldCharType="end"/>
          </w:r>
        </w:p>
        <w:p>
          <w:pPr>
            <w:pStyle w:val="41"/>
            <w:tabs>
              <w:tab w:val="right" w:leader="dot" w:pos="9750"/>
            </w:tabs>
          </w:pPr>
          <w:r>
            <w:fldChar w:fldCharType="begin"/>
          </w:r>
          <w:r>
            <w:instrText xml:space="preserve"> HYPERLINK \l "_Toc32637" </w:instrText>
          </w:r>
          <w:r>
            <w:fldChar w:fldCharType="separate"/>
          </w:r>
          <w:r>
            <w:rPr>
              <w:rFonts w:hint="eastAsia"/>
              <w:szCs w:val="30"/>
            </w:rPr>
            <w:t>中小企业生产或销售的产品优惠明细表</w:t>
          </w:r>
          <w:r>
            <w:tab/>
          </w:r>
          <w:r>
            <w:fldChar w:fldCharType="begin"/>
          </w:r>
          <w:r>
            <w:instrText xml:space="preserve"> PAGEREF _Toc32637 \h </w:instrText>
          </w:r>
          <w:r>
            <w:fldChar w:fldCharType="separate"/>
          </w:r>
          <w:r>
            <w:t>44</w:t>
          </w:r>
          <w:r>
            <w:fldChar w:fldCharType="end"/>
          </w:r>
          <w:r>
            <w:fldChar w:fldCharType="end"/>
          </w:r>
        </w:p>
        <w:p>
          <w:pPr>
            <w:pStyle w:val="41"/>
            <w:tabs>
              <w:tab w:val="right" w:leader="dot" w:pos="9750"/>
            </w:tabs>
          </w:pPr>
          <w:r>
            <w:fldChar w:fldCharType="begin"/>
          </w:r>
          <w:r>
            <w:instrText xml:space="preserve"> HYPERLINK \l "_Toc27828" </w:instrText>
          </w:r>
          <w:r>
            <w:fldChar w:fldCharType="separate"/>
          </w:r>
          <w:r>
            <w:rPr>
              <w:rFonts w:hint="eastAsia"/>
              <w:szCs w:val="30"/>
            </w:rPr>
            <w:t>（附件四）中小微企业声明函</w:t>
          </w:r>
          <w:r>
            <w:tab/>
          </w:r>
          <w:r>
            <w:fldChar w:fldCharType="begin"/>
          </w:r>
          <w:r>
            <w:instrText xml:space="preserve"> PAGEREF _Toc27828 \h </w:instrText>
          </w:r>
          <w:r>
            <w:fldChar w:fldCharType="separate"/>
          </w:r>
          <w:r>
            <w:t>45</w:t>
          </w:r>
          <w:r>
            <w:fldChar w:fldCharType="end"/>
          </w:r>
          <w:r>
            <w:fldChar w:fldCharType="end"/>
          </w:r>
        </w:p>
        <w:p>
          <w:pPr>
            <w:pStyle w:val="41"/>
            <w:tabs>
              <w:tab w:val="right" w:leader="dot" w:pos="9750"/>
            </w:tabs>
          </w:pPr>
          <w:r>
            <w:fldChar w:fldCharType="begin"/>
          </w:r>
          <w:r>
            <w:instrText xml:space="preserve"> HYPERLINK \l "_Toc22198" </w:instrText>
          </w:r>
          <w:r>
            <w:fldChar w:fldCharType="separate"/>
          </w:r>
          <w:r>
            <w:rPr>
              <w:rFonts w:hint="eastAsia"/>
              <w:szCs w:val="30"/>
            </w:rPr>
            <w:t>（附件五）监狱企业声明函</w:t>
          </w:r>
          <w:r>
            <w:tab/>
          </w:r>
          <w:r>
            <w:fldChar w:fldCharType="begin"/>
          </w:r>
          <w:r>
            <w:instrText xml:space="preserve"> PAGEREF _Toc22198 \h </w:instrText>
          </w:r>
          <w:r>
            <w:fldChar w:fldCharType="separate"/>
          </w:r>
          <w:r>
            <w:t>46</w:t>
          </w:r>
          <w:r>
            <w:fldChar w:fldCharType="end"/>
          </w:r>
          <w:r>
            <w:fldChar w:fldCharType="end"/>
          </w:r>
        </w:p>
        <w:p>
          <w:pPr>
            <w:pStyle w:val="41"/>
            <w:tabs>
              <w:tab w:val="right" w:leader="dot" w:pos="9750"/>
            </w:tabs>
          </w:pPr>
          <w:r>
            <w:fldChar w:fldCharType="begin"/>
          </w:r>
          <w:r>
            <w:instrText xml:space="preserve"> HYPERLINK \l "_Toc12461" </w:instrText>
          </w:r>
          <w:r>
            <w:fldChar w:fldCharType="separate"/>
          </w:r>
          <w:r>
            <w:rPr>
              <w:rFonts w:hint="eastAsia"/>
              <w:szCs w:val="30"/>
            </w:rPr>
            <w:t>（附件六）残疾人福利性单位声明函</w:t>
          </w:r>
          <w:r>
            <w:tab/>
          </w:r>
          <w:r>
            <w:fldChar w:fldCharType="begin"/>
          </w:r>
          <w:r>
            <w:instrText xml:space="preserve"> PAGEREF _Toc12461 \h </w:instrText>
          </w:r>
          <w:r>
            <w:fldChar w:fldCharType="separate"/>
          </w:r>
          <w:r>
            <w:t>47</w:t>
          </w:r>
          <w:r>
            <w:fldChar w:fldCharType="end"/>
          </w:r>
          <w:r>
            <w:fldChar w:fldCharType="end"/>
          </w:r>
        </w:p>
        <w:p>
          <w:pPr>
            <w:pStyle w:val="41"/>
            <w:tabs>
              <w:tab w:val="right" w:leader="dot" w:pos="9750"/>
            </w:tabs>
          </w:pPr>
          <w:r>
            <w:fldChar w:fldCharType="begin"/>
          </w:r>
          <w:r>
            <w:instrText xml:space="preserve"> HYPERLINK \l "_Toc5123" </w:instrText>
          </w:r>
          <w:r>
            <w:fldChar w:fldCharType="separate"/>
          </w:r>
          <w:r>
            <w:rPr>
              <w:rFonts w:hint="eastAsia"/>
              <w:szCs w:val="30"/>
            </w:rPr>
            <w:t>（附件七）中小企业证明材料</w:t>
          </w:r>
          <w:r>
            <w:tab/>
          </w:r>
          <w:r>
            <w:fldChar w:fldCharType="begin"/>
          </w:r>
          <w:r>
            <w:instrText xml:space="preserve"> PAGEREF _Toc5123 \h </w:instrText>
          </w:r>
          <w:r>
            <w:fldChar w:fldCharType="separate"/>
          </w:r>
          <w:r>
            <w:t>47</w:t>
          </w:r>
          <w:r>
            <w:fldChar w:fldCharType="end"/>
          </w:r>
          <w:r>
            <w:fldChar w:fldCharType="end"/>
          </w:r>
        </w:p>
        <w:p>
          <w:pPr>
            <w:pStyle w:val="41"/>
            <w:tabs>
              <w:tab w:val="right" w:leader="dot" w:pos="9750"/>
            </w:tabs>
          </w:pPr>
          <w:r>
            <w:fldChar w:fldCharType="begin"/>
          </w:r>
          <w:r>
            <w:instrText xml:space="preserve"> HYPERLINK \l "_Toc10947" </w:instrText>
          </w:r>
          <w:r>
            <w:fldChar w:fldCharType="separate"/>
          </w:r>
          <w:r>
            <w:t>1.</w:t>
          </w:r>
          <w:r>
            <w:rPr>
              <w:rFonts w:hint="eastAsia"/>
            </w:rPr>
            <w:t>供应商工商行政注册地管理部门出具的小微企业证明材料；</w:t>
          </w:r>
          <w:r>
            <w:tab/>
          </w:r>
          <w:r>
            <w:fldChar w:fldCharType="begin"/>
          </w:r>
          <w:r>
            <w:instrText xml:space="preserve"> PAGEREF _Toc10947 \h </w:instrText>
          </w:r>
          <w:r>
            <w:fldChar w:fldCharType="separate"/>
          </w:r>
          <w:r>
            <w:t>47</w:t>
          </w:r>
          <w:r>
            <w:fldChar w:fldCharType="end"/>
          </w:r>
          <w:r>
            <w:fldChar w:fldCharType="end"/>
          </w:r>
        </w:p>
        <w:p>
          <w:pPr>
            <w:pStyle w:val="41"/>
            <w:tabs>
              <w:tab w:val="right" w:leader="dot" w:pos="9750"/>
            </w:tabs>
          </w:pPr>
          <w:r>
            <w:fldChar w:fldCharType="begin"/>
          </w:r>
          <w:r>
            <w:instrText xml:space="preserve"> HYPERLINK \l "_Toc9967" </w:instrText>
          </w:r>
          <w:r>
            <w:fldChar w:fldCharType="separate"/>
          </w:r>
          <w:r>
            <w:t>2.</w:t>
          </w:r>
          <w:r>
            <w:rPr>
              <w:rFonts w:hint="eastAsia"/>
            </w:rPr>
            <w:t>所代理产品生产厂家的属地主管部门出具的小微企业证明材料；</w:t>
          </w:r>
          <w:r>
            <w:tab/>
          </w:r>
          <w:r>
            <w:fldChar w:fldCharType="begin"/>
          </w:r>
          <w:r>
            <w:instrText xml:space="preserve"> PAGEREF _Toc9967 \h </w:instrText>
          </w:r>
          <w:r>
            <w:fldChar w:fldCharType="separate"/>
          </w:r>
          <w:r>
            <w:t>47</w:t>
          </w:r>
          <w:r>
            <w:fldChar w:fldCharType="end"/>
          </w:r>
          <w:r>
            <w:fldChar w:fldCharType="end"/>
          </w:r>
        </w:p>
        <w:p>
          <w:pPr>
            <w:pStyle w:val="41"/>
            <w:tabs>
              <w:tab w:val="right" w:leader="dot" w:pos="9750"/>
            </w:tabs>
          </w:pPr>
          <w:r>
            <w:fldChar w:fldCharType="begin"/>
          </w:r>
          <w:r>
            <w:instrText xml:space="preserve"> HYPERLINK \l "_Toc10515" </w:instrText>
          </w:r>
          <w:r>
            <w:fldChar w:fldCharType="separate"/>
          </w:r>
          <w:r>
            <w:t>3.</w:t>
          </w:r>
          <w:r>
            <w:rPr>
              <w:rFonts w:hint="eastAsia"/>
            </w:rPr>
            <w:t>证明材料加盖供应商公章。</w:t>
          </w:r>
          <w:r>
            <w:tab/>
          </w:r>
          <w:r>
            <w:fldChar w:fldCharType="begin"/>
          </w:r>
          <w:r>
            <w:instrText xml:space="preserve"> PAGEREF _Toc10515 \h </w:instrText>
          </w:r>
          <w:r>
            <w:fldChar w:fldCharType="separate"/>
          </w:r>
          <w:r>
            <w:t>47</w:t>
          </w:r>
          <w:r>
            <w:fldChar w:fldCharType="end"/>
          </w:r>
          <w:r>
            <w:fldChar w:fldCharType="end"/>
          </w:r>
        </w:p>
        <w:p>
          <w:pPr>
            <w:pStyle w:val="41"/>
            <w:tabs>
              <w:tab w:val="right" w:leader="dot" w:pos="9750"/>
            </w:tabs>
          </w:pPr>
          <w:r>
            <w:fldChar w:fldCharType="begin"/>
          </w:r>
          <w:r>
            <w:instrText xml:space="preserve"> HYPERLINK \l "_Toc22238" </w:instrText>
          </w:r>
          <w:r>
            <w:fldChar w:fldCharType="separate"/>
          </w:r>
          <w:r>
            <w:rPr>
              <w:rFonts w:hint="eastAsia"/>
              <w:szCs w:val="30"/>
            </w:rPr>
            <w:t>（附件八）信用记录</w:t>
          </w:r>
          <w:r>
            <w:tab/>
          </w:r>
          <w:r>
            <w:fldChar w:fldCharType="begin"/>
          </w:r>
          <w:r>
            <w:instrText xml:space="preserve"> PAGEREF _Toc22238 \h </w:instrText>
          </w:r>
          <w:r>
            <w:fldChar w:fldCharType="separate"/>
          </w:r>
          <w:r>
            <w:t>48</w:t>
          </w:r>
          <w:r>
            <w:fldChar w:fldCharType="end"/>
          </w:r>
          <w:r>
            <w:fldChar w:fldCharType="end"/>
          </w:r>
        </w:p>
        <w:p>
          <w:pPr>
            <w:pStyle w:val="41"/>
            <w:tabs>
              <w:tab w:val="right" w:leader="dot" w:pos="9750"/>
            </w:tabs>
          </w:pPr>
          <w:r>
            <w:fldChar w:fldCharType="begin"/>
          </w:r>
          <w:r>
            <w:instrText xml:space="preserve"> HYPERLINK \l "_Toc10312" </w:instrText>
          </w:r>
          <w:r>
            <w:fldChar w:fldCharType="separate"/>
          </w:r>
          <w:r>
            <w:rPr>
              <w:rFonts w:hint="eastAsia"/>
              <w:szCs w:val="30"/>
            </w:rPr>
            <w:t>（附件九）服务承诺书</w:t>
          </w:r>
          <w:r>
            <w:tab/>
          </w:r>
          <w:r>
            <w:fldChar w:fldCharType="begin"/>
          </w:r>
          <w:r>
            <w:instrText xml:space="preserve"> PAGEREF _Toc10312 \h </w:instrText>
          </w:r>
          <w:r>
            <w:fldChar w:fldCharType="separate"/>
          </w:r>
          <w:r>
            <w:t>49</w:t>
          </w:r>
          <w:r>
            <w:fldChar w:fldCharType="end"/>
          </w:r>
          <w:r>
            <w:fldChar w:fldCharType="end"/>
          </w:r>
        </w:p>
        <w:p>
          <w:pPr>
            <w:pStyle w:val="41"/>
            <w:tabs>
              <w:tab w:val="right" w:leader="dot" w:pos="9750"/>
            </w:tabs>
          </w:pPr>
          <w:r>
            <w:fldChar w:fldCharType="begin"/>
          </w:r>
          <w:r>
            <w:instrText xml:space="preserve"> HYPERLINK \l "_Toc32091" </w:instrText>
          </w:r>
          <w:r>
            <w:fldChar w:fldCharType="separate"/>
          </w:r>
          <w:r>
            <w:rPr>
              <w:rFonts w:hint="eastAsia"/>
            </w:rPr>
            <w:t>（一）货物的质量标准</w:t>
          </w:r>
          <w:r>
            <w:tab/>
          </w:r>
          <w:r>
            <w:fldChar w:fldCharType="begin"/>
          </w:r>
          <w:r>
            <w:instrText xml:space="preserve"> PAGEREF _Toc32091 \h </w:instrText>
          </w:r>
          <w:r>
            <w:fldChar w:fldCharType="separate"/>
          </w:r>
          <w:r>
            <w:t>49</w:t>
          </w:r>
          <w:r>
            <w:fldChar w:fldCharType="end"/>
          </w:r>
          <w:r>
            <w:fldChar w:fldCharType="end"/>
          </w:r>
        </w:p>
        <w:p>
          <w:pPr>
            <w:pStyle w:val="41"/>
            <w:tabs>
              <w:tab w:val="right" w:leader="dot" w:pos="9750"/>
            </w:tabs>
          </w:pPr>
          <w:r>
            <w:fldChar w:fldCharType="begin"/>
          </w:r>
          <w:r>
            <w:instrText xml:space="preserve"> HYPERLINK \l "_Toc21794" </w:instrText>
          </w:r>
          <w:r>
            <w:fldChar w:fldCharType="separate"/>
          </w:r>
          <w:r>
            <w:rPr>
              <w:rFonts w:hint="eastAsia"/>
            </w:rPr>
            <w:t>（二）验收标准和方法</w:t>
          </w:r>
          <w:r>
            <w:tab/>
          </w:r>
          <w:r>
            <w:fldChar w:fldCharType="begin"/>
          </w:r>
          <w:r>
            <w:instrText xml:space="preserve"> PAGEREF _Toc21794 \h </w:instrText>
          </w:r>
          <w:r>
            <w:fldChar w:fldCharType="separate"/>
          </w:r>
          <w:r>
            <w:t>49</w:t>
          </w:r>
          <w:r>
            <w:fldChar w:fldCharType="end"/>
          </w:r>
          <w:r>
            <w:fldChar w:fldCharType="end"/>
          </w:r>
        </w:p>
        <w:p>
          <w:pPr>
            <w:pStyle w:val="41"/>
            <w:tabs>
              <w:tab w:val="right" w:leader="dot" w:pos="9750"/>
            </w:tabs>
          </w:pPr>
          <w:r>
            <w:fldChar w:fldCharType="begin"/>
          </w:r>
          <w:r>
            <w:instrText xml:space="preserve"> HYPERLINK \l "_Toc28667" </w:instrText>
          </w:r>
          <w:r>
            <w:fldChar w:fldCharType="separate"/>
          </w:r>
          <w:r>
            <w:rPr>
              <w:rFonts w:hint="eastAsia"/>
            </w:rPr>
            <w:t>（三）调试及技术服务要求</w:t>
          </w:r>
          <w:r>
            <w:tab/>
          </w:r>
          <w:r>
            <w:fldChar w:fldCharType="begin"/>
          </w:r>
          <w:r>
            <w:instrText xml:space="preserve"> PAGEREF _Toc28667 \h </w:instrText>
          </w:r>
          <w:r>
            <w:fldChar w:fldCharType="separate"/>
          </w:r>
          <w:r>
            <w:t>49</w:t>
          </w:r>
          <w:r>
            <w:fldChar w:fldCharType="end"/>
          </w:r>
          <w:r>
            <w:fldChar w:fldCharType="end"/>
          </w:r>
        </w:p>
        <w:p>
          <w:pPr>
            <w:pStyle w:val="41"/>
            <w:tabs>
              <w:tab w:val="right" w:leader="dot" w:pos="9750"/>
            </w:tabs>
          </w:pPr>
          <w:r>
            <w:fldChar w:fldCharType="begin"/>
          </w:r>
          <w:r>
            <w:instrText xml:space="preserve"> HYPERLINK \l "_Toc849" </w:instrText>
          </w:r>
          <w:r>
            <w:fldChar w:fldCharType="separate"/>
          </w:r>
          <w:r>
            <w:rPr>
              <w:rFonts w:hint="eastAsia"/>
            </w:rPr>
            <w:t>（四）售后服务的要求</w:t>
          </w:r>
          <w:r>
            <w:tab/>
          </w:r>
          <w:r>
            <w:fldChar w:fldCharType="begin"/>
          </w:r>
          <w:r>
            <w:instrText xml:space="preserve"> PAGEREF _Toc849 \h </w:instrText>
          </w:r>
          <w:r>
            <w:fldChar w:fldCharType="separate"/>
          </w:r>
          <w:r>
            <w:t>49</w:t>
          </w:r>
          <w:r>
            <w:fldChar w:fldCharType="end"/>
          </w:r>
          <w:r>
            <w:fldChar w:fldCharType="end"/>
          </w:r>
        </w:p>
        <w:p>
          <w:pPr>
            <w:pStyle w:val="41"/>
            <w:tabs>
              <w:tab w:val="right" w:leader="dot" w:pos="9750"/>
            </w:tabs>
          </w:pPr>
          <w:r>
            <w:fldChar w:fldCharType="begin"/>
          </w:r>
          <w:r>
            <w:instrText xml:space="preserve"> HYPERLINK \l "_Toc32350" </w:instrText>
          </w:r>
          <w:r>
            <w:fldChar w:fldCharType="separate"/>
          </w:r>
          <w:r>
            <w:rPr>
              <w:rFonts w:hint="eastAsia"/>
            </w:rPr>
            <w:t>（五）合同签订后须提交下列文件：</w:t>
          </w:r>
          <w:r>
            <w:tab/>
          </w:r>
          <w:r>
            <w:fldChar w:fldCharType="begin"/>
          </w:r>
          <w:r>
            <w:instrText xml:space="preserve"> PAGEREF _Toc32350 \h </w:instrText>
          </w:r>
          <w:r>
            <w:fldChar w:fldCharType="separate"/>
          </w:r>
          <w:r>
            <w:t>50</w:t>
          </w:r>
          <w:r>
            <w:fldChar w:fldCharType="end"/>
          </w:r>
          <w:r>
            <w:fldChar w:fldCharType="end"/>
          </w:r>
        </w:p>
        <w:p>
          <w:pPr>
            <w:pStyle w:val="41"/>
            <w:tabs>
              <w:tab w:val="right" w:leader="dot" w:pos="9750"/>
            </w:tabs>
          </w:pPr>
          <w:r>
            <w:fldChar w:fldCharType="begin"/>
          </w:r>
          <w:r>
            <w:instrText xml:space="preserve"> HYPERLINK \l "_Toc3068" </w:instrText>
          </w:r>
          <w:r>
            <w:fldChar w:fldCharType="separate"/>
          </w:r>
          <w:r>
            <w:t>第六部分 投标文件格式</w:t>
          </w:r>
          <w:r>
            <w:tab/>
          </w:r>
          <w:r>
            <w:fldChar w:fldCharType="begin"/>
          </w:r>
          <w:r>
            <w:instrText xml:space="preserve"> PAGEREF _Toc3068 \h </w:instrText>
          </w:r>
          <w:r>
            <w:fldChar w:fldCharType="separate"/>
          </w:r>
          <w:r>
            <w:t>51</w:t>
          </w:r>
          <w:r>
            <w:fldChar w:fldCharType="end"/>
          </w:r>
          <w:r>
            <w:fldChar w:fldCharType="end"/>
          </w:r>
        </w:p>
        <w:p>
          <w:pPr>
            <w:pStyle w:val="41"/>
            <w:tabs>
              <w:tab w:val="right" w:leader="dot" w:pos="9750"/>
            </w:tabs>
          </w:pPr>
          <w:r>
            <w:fldChar w:fldCharType="begin"/>
          </w:r>
          <w:r>
            <w:instrText xml:space="preserve"> HYPERLINK \l "_Toc19717" </w:instrText>
          </w:r>
          <w:r>
            <w:fldChar w:fldCharType="separate"/>
          </w:r>
          <w:r>
            <w:rPr>
              <w:rFonts w:hint="eastAsia"/>
              <w:szCs w:val="21"/>
            </w:rPr>
            <w:t>日期：    年   月   日</w:t>
          </w:r>
          <w:r>
            <w:tab/>
          </w:r>
          <w:r>
            <w:fldChar w:fldCharType="begin"/>
          </w:r>
          <w:r>
            <w:instrText xml:space="preserve"> PAGEREF _Toc19717 \h </w:instrText>
          </w:r>
          <w:r>
            <w:fldChar w:fldCharType="separate"/>
          </w:r>
          <w:r>
            <w:t>68</w:t>
          </w:r>
          <w:r>
            <w:fldChar w:fldCharType="end"/>
          </w:r>
          <w:r>
            <w:fldChar w:fldCharType="end"/>
          </w:r>
        </w:p>
        <w:p>
          <w:pPr>
            <w:pStyle w:val="11"/>
            <w:rPr>
              <w:b/>
              <w:bCs/>
              <w:sz w:val="72"/>
              <w:szCs w:val="24"/>
            </w:rPr>
          </w:pPr>
          <w:r>
            <w:rPr>
              <w:bCs/>
              <w:szCs w:val="24"/>
            </w:rPr>
            <w:fldChar w:fldCharType="end"/>
          </w:r>
        </w:p>
      </w:sdtContent>
    </w:sdt>
    <w:p>
      <w:pPr>
        <w:pStyle w:val="11"/>
        <w:rPr>
          <w:b/>
          <w:bCs/>
          <w:sz w:val="72"/>
          <w:szCs w:val="24"/>
        </w:rPr>
      </w:pPr>
    </w:p>
    <w:p>
      <w:pPr>
        <w:pStyle w:val="11"/>
        <w:rPr>
          <w:b/>
          <w:bCs/>
          <w:sz w:val="72"/>
          <w:szCs w:val="24"/>
        </w:rPr>
      </w:pPr>
    </w:p>
    <w:p>
      <w:pPr>
        <w:pStyle w:val="11"/>
        <w:rPr>
          <w:b/>
          <w:bCs/>
          <w:sz w:val="72"/>
          <w:szCs w:val="24"/>
        </w:rPr>
      </w:pPr>
    </w:p>
    <w:p>
      <w:pPr>
        <w:pStyle w:val="11"/>
        <w:rPr>
          <w:b/>
          <w:bCs/>
          <w:sz w:val="72"/>
          <w:szCs w:val="24"/>
        </w:rPr>
      </w:pPr>
    </w:p>
    <w:p>
      <w:pPr>
        <w:pStyle w:val="5"/>
        <w:widowControl/>
        <w:ind w:left="0" w:right="0"/>
        <w:rPr>
          <w:rFonts w:ascii="仿宋" w:hAnsi="仿宋" w:eastAsia="仿宋" w:cs="仿宋"/>
          <w:bCs w:val="0"/>
          <w:sz w:val="24"/>
          <w:szCs w:val="24"/>
        </w:rPr>
      </w:pPr>
      <w:bookmarkStart w:id="0" w:name="_Toc20560"/>
      <w:bookmarkStart w:id="1" w:name="_Toc5709"/>
      <w:bookmarkStart w:id="2" w:name="_Toc19699"/>
      <w:r>
        <w:rPr>
          <w:rFonts w:hint="eastAsia" w:ascii="宋体" w:hAnsi="宋体" w:eastAsia="宋体" w:cs="宋体"/>
          <w:sz w:val="32"/>
          <w:szCs w:val="32"/>
        </w:rPr>
        <w:t>第一部分</w:t>
      </w:r>
      <w:r>
        <w:rPr>
          <w:rFonts w:hint="eastAsia" w:ascii="宋体" w:hAnsi="宋体" w:eastAsia="宋体" w:cs="宋体"/>
          <w:sz w:val="32"/>
          <w:szCs w:val="32"/>
          <w:lang w:val="en-US"/>
        </w:rPr>
        <w:t xml:space="preserve"> 招标公告</w:t>
      </w:r>
      <w:bookmarkEnd w:id="0"/>
      <w:bookmarkEnd w:id="1"/>
      <w:bookmarkEnd w:id="2"/>
      <w:bookmarkStart w:id="3" w:name="_Hlk24379207"/>
      <w:bookmarkStart w:id="4" w:name="_Toc19661"/>
      <w:bookmarkStart w:id="5" w:name="_Toc892"/>
    </w:p>
    <w:bookmarkEnd w:id="3"/>
    <w:p>
      <w:pPr>
        <w:autoSpaceDE/>
        <w:autoSpaceDN/>
        <w:spacing w:line="320" w:lineRule="exact"/>
        <w:ind w:left="1968" w:leftChars="256" w:hanging="1405" w:hangingChars="500"/>
        <w:jc w:val="center"/>
        <w:outlineLvl w:val="0"/>
        <w:rPr>
          <w:rFonts w:ascii="仿宋" w:hAnsi="仿宋" w:eastAsia="仿宋" w:cs="仿宋"/>
          <w:b/>
          <w:bCs/>
          <w:sz w:val="28"/>
          <w:szCs w:val="28"/>
          <w:lang w:val="en-US"/>
        </w:rPr>
      </w:pPr>
      <w:bookmarkStart w:id="6" w:name="_Toc21309"/>
      <w:r>
        <w:rPr>
          <w:rFonts w:hint="eastAsia" w:ascii="仿宋" w:hAnsi="仿宋" w:eastAsia="仿宋" w:cs="仿宋"/>
          <w:b/>
          <w:bCs/>
          <w:sz w:val="28"/>
          <w:szCs w:val="28"/>
          <w:lang w:val="en-US" w:eastAsia="zh-CN"/>
        </w:rPr>
        <w:t>那拉提景镇国土空间规划编制项目</w:t>
      </w:r>
      <w:r>
        <w:rPr>
          <w:rFonts w:hint="eastAsia" w:ascii="仿宋" w:hAnsi="仿宋" w:eastAsia="仿宋" w:cs="仿宋"/>
          <w:b/>
          <w:bCs/>
          <w:sz w:val="28"/>
          <w:szCs w:val="28"/>
          <w:lang w:val="en-US"/>
        </w:rPr>
        <w:t>(设计）</w:t>
      </w:r>
      <w:bookmarkEnd w:id="6"/>
    </w:p>
    <w:p>
      <w:pPr>
        <w:autoSpaceDE/>
        <w:autoSpaceDN/>
        <w:spacing w:line="320" w:lineRule="exact"/>
        <w:ind w:left="1968" w:leftChars="256" w:hanging="1405" w:hangingChars="500"/>
        <w:jc w:val="center"/>
        <w:outlineLvl w:val="0"/>
        <w:rPr>
          <w:rFonts w:ascii="仿宋" w:hAnsi="仿宋" w:eastAsia="仿宋" w:cs="仿宋"/>
          <w:b/>
          <w:bCs/>
          <w:sz w:val="28"/>
          <w:szCs w:val="28"/>
          <w:lang w:val="en-US"/>
        </w:rPr>
      </w:pPr>
      <w:bookmarkStart w:id="7" w:name="_Toc2843"/>
      <w:r>
        <w:rPr>
          <w:rFonts w:ascii="仿宋" w:hAnsi="仿宋" w:eastAsia="仿宋" w:cs="仿宋"/>
          <w:b/>
          <w:bCs/>
          <w:sz w:val="28"/>
          <w:szCs w:val="28"/>
          <w:lang w:val="en-US"/>
        </w:rPr>
        <w:t>竞争性磋商公告</w:t>
      </w:r>
      <w:bookmarkEnd w:id="7"/>
    </w:p>
    <w:p>
      <w:pPr>
        <w:pBdr>
          <w:top w:val="single" w:color="auto" w:sz="4" w:space="1"/>
          <w:left w:val="single" w:color="auto" w:sz="4" w:space="4"/>
          <w:bottom w:val="single" w:color="auto" w:sz="4" w:space="1"/>
          <w:right w:val="single" w:color="auto" w:sz="4" w:space="31"/>
        </w:pBdr>
        <w:autoSpaceDE/>
        <w:autoSpaceDN/>
        <w:spacing w:line="320" w:lineRule="exact"/>
        <w:rPr>
          <w:rFonts w:ascii="仿宋" w:hAnsi="仿宋" w:eastAsia="仿宋" w:cs="仿宋"/>
          <w:color w:val="000000"/>
          <w:sz w:val="24"/>
          <w:szCs w:val="24"/>
        </w:rPr>
      </w:pPr>
      <w:r>
        <w:rPr>
          <w:rFonts w:hint="eastAsia" w:ascii="仿宋" w:hAnsi="仿宋" w:eastAsia="仿宋" w:cs="仿宋"/>
          <w:color w:val="000000"/>
          <w:sz w:val="24"/>
          <w:szCs w:val="24"/>
        </w:rPr>
        <w:t>项目概况</w:t>
      </w:r>
    </w:p>
    <w:p>
      <w:pPr>
        <w:pBdr>
          <w:top w:val="single" w:color="auto" w:sz="4" w:space="1"/>
          <w:left w:val="single" w:color="auto" w:sz="4" w:space="4"/>
          <w:bottom w:val="single" w:color="auto" w:sz="4" w:space="1"/>
          <w:right w:val="single" w:color="auto" w:sz="4" w:space="31"/>
        </w:pBdr>
        <w:autoSpaceDE/>
        <w:autoSpaceDN/>
        <w:spacing w:line="320" w:lineRule="exact"/>
        <w:ind w:firstLine="480" w:firstLineChars="200"/>
        <w:rPr>
          <w:rFonts w:ascii="仿宋" w:hAnsi="仿宋" w:eastAsia="仿宋" w:cs="仿宋"/>
          <w:sz w:val="24"/>
          <w:szCs w:val="24"/>
        </w:rPr>
      </w:pP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那拉提景镇国土空间规划编制项目</w:t>
      </w:r>
      <w:r>
        <w:rPr>
          <w:rFonts w:hint="eastAsia" w:ascii="仿宋" w:hAnsi="仿宋" w:eastAsia="仿宋" w:cs="仿宋"/>
          <w:color w:val="000000"/>
          <w:sz w:val="24"/>
          <w:szCs w:val="24"/>
          <w:u w:val="single"/>
          <w:lang w:val="en-US"/>
        </w:rPr>
        <w:t>(设计)</w:t>
      </w:r>
      <w:r>
        <w:rPr>
          <w:rFonts w:hint="eastAsia" w:ascii="仿宋" w:hAnsi="仿宋" w:eastAsia="仿宋" w:cs="仿宋"/>
          <w:color w:val="000000"/>
          <w:sz w:val="24"/>
          <w:szCs w:val="24"/>
        </w:rPr>
        <w:t>的潜在投标人应在</w:t>
      </w:r>
      <w:r>
        <w:rPr>
          <w:rFonts w:hint="eastAsia" w:ascii="仿宋" w:hAnsi="仿宋" w:eastAsia="仿宋" w:cs="仿宋"/>
          <w:color w:val="000000"/>
          <w:sz w:val="24"/>
          <w:szCs w:val="24"/>
          <w:u w:val="single"/>
        </w:rPr>
        <w:t>新疆伊犁州伊宁市经济合作区313线以西、新华西路以北西城天街A-E#商业楼C406</w:t>
      </w:r>
      <w:r>
        <w:rPr>
          <w:rFonts w:hint="eastAsia" w:ascii="仿宋" w:hAnsi="仿宋" w:eastAsia="仿宋" w:cs="仿宋"/>
          <w:color w:val="000000"/>
          <w:sz w:val="24"/>
          <w:szCs w:val="24"/>
          <w:u w:val="single"/>
          <w:lang w:val="en-US"/>
        </w:rPr>
        <w:t>室</w:t>
      </w:r>
      <w:r>
        <w:rPr>
          <w:rFonts w:hint="eastAsia" w:ascii="仿宋" w:hAnsi="仿宋" w:eastAsia="仿宋" w:cs="仿宋"/>
          <w:color w:val="000000"/>
          <w:sz w:val="24"/>
          <w:szCs w:val="24"/>
        </w:rPr>
        <w:t>获取招标文件，并于</w:t>
      </w:r>
      <w:r>
        <w:rPr>
          <w:rFonts w:ascii="仿宋" w:hAnsi="仿宋" w:eastAsia="仿宋" w:cs="仿宋"/>
          <w:sz w:val="24"/>
          <w:szCs w:val="24"/>
          <w:u w:val="single"/>
        </w:rPr>
        <w:t>2021</w:t>
      </w:r>
      <w:r>
        <w:rPr>
          <w:rFonts w:hint="eastAsia" w:ascii="仿宋" w:hAnsi="仿宋" w:eastAsia="仿宋" w:cs="仿宋"/>
          <w:sz w:val="24"/>
          <w:szCs w:val="24"/>
        </w:rPr>
        <w:t>年</w:t>
      </w:r>
      <w:r>
        <w:rPr>
          <w:rFonts w:ascii="仿宋" w:hAnsi="仿宋" w:eastAsia="仿宋" w:cs="仿宋"/>
          <w:sz w:val="24"/>
          <w:szCs w:val="24"/>
          <w:u w:val="single"/>
          <w:lang w:val="en-US"/>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color w:val="000000" w:themeColor="text1"/>
          <w:sz w:val="24"/>
          <w:szCs w:val="24"/>
          <w14:textFill>
            <w14:solidFill>
              <w14:schemeClr w14:val="tx1"/>
            </w14:solidFill>
          </w14:textFill>
        </w:rPr>
        <w:t>日</w:t>
      </w:r>
      <w:r>
        <w:rPr>
          <w:rFonts w:ascii="仿宋" w:hAnsi="仿宋" w:eastAsia="仿宋" w:cs="仿宋"/>
          <w:sz w:val="24"/>
          <w:szCs w:val="24"/>
          <w:u w:val="single"/>
        </w:rPr>
        <w:t>1</w:t>
      </w:r>
      <w:r>
        <w:rPr>
          <w:rFonts w:ascii="仿宋" w:hAnsi="仿宋" w:eastAsia="仿宋" w:cs="仿宋"/>
          <w:sz w:val="24"/>
          <w:szCs w:val="24"/>
          <w:u w:val="single"/>
          <w:lang w:val="en-US"/>
        </w:rPr>
        <w:t>1</w:t>
      </w:r>
      <w:r>
        <w:rPr>
          <w:rFonts w:hint="eastAsia" w:ascii="仿宋" w:hAnsi="仿宋" w:eastAsia="仿宋" w:cs="仿宋"/>
          <w:sz w:val="24"/>
          <w:szCs w:val="24"/>
        </w:rPr>
        <w:t>点</w:t>
      </w:r>
      <w:r>
        <w:rPr>
          <w:rFonts w:ascii="仿宋" w:hAnsi="仿宋" w:eastAsia="仿宋" w:cs="仿宋"/>
          <w:sz w:val="24"/>
          <w:szCs w:val="24"/>
          <w:u w:val="single"/>
          <w:lang w:val="en-US"/>
        </w:rPr>
        <w:t>0</w:t>
      </w:r>
      <w:r>
        <w:rPr>
          <w:rFonts w:ascii="仿宋" w:hAnsi="仿宋" w:eastAsia="仿宋" w:cs="仿宋"/>
          <w:sz w:val="24"/>
          <w:szCs w:val="24"/>
          <w:u w:val="single"/>
        </w:rPr>
        <w:t>0</w:t>
      </w:r>
      <w:r>
        <w:rPr>
          <w:rFonts w:hint="eastAsia" w:ascii="仿宋" w:hAnsi="仿宋" w:eastAsia="仿宋" w:cs="仿宋"/>
          <w:sz w:val="24"/>
          <w:szCs w:val="24"/>
        </w:rPr>
        <w:t>分（北京时间）前递交投标文件。</w:t>
      </w:r>
    </w:p>
    <w:p>
      <w:pPr>
        <w:pStyle w:val="6"/>
        <w:numPr>
          <w:ilvl w:val="0"/>
          <w:numId w:val="1"/>
        </w:numPr>
        <w:autoSpaceDE/>
        <w:autoSpaceDN/>
        <w:spacing w:line="320" w:lineRule="exact"/>
        <w:rPr>
          <w:rFonts w:ascii="仿宋" w:hAnsi="仿宋" w:eastAsia="仿宋" w:cs="仿宋"/>
          <w:sz w:val="27"/>
          <w:szCs w:val="27"/>
        </w:rPr>
      </w:pPr>
      <w:bookmarkStart w:id="8" w:name="_Toc28359079"/>
      <w:bookmarkStart w:id="9" w:name="_Toc35393790"/>
      <w:bookmarkStart w:id="10" w:name="_Toc28359002"/>
      <w:bookmarkStart w:id="11" w:name="_Toc35393621"/>
      <w:r>
        <w:rPr>
          <w:rFonts w:hint="eastAsia" w:ascii="仿宋" w:hAnsi="仿宋" w:eastAsia="仿宋" w:cs="仿宋"/>
          <w:sz w:val="27"/>
          <w:szCs w:val="27"/>
        </w:rPr>
        <w:t>项目基本情况</w:t>
      </w:r>
      <w:bookmarkEnd w:id="8"/>
      <w:bookmarkEnd w:id="9"/>
      <w:bookmarkEnd w:id="10"/>
      <w:bookmarkEnd w:id="11"/>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项目名称：</w:t>
      </w:r>
      <w:r>
        <w:rPr>
          <w:rFonts w:hint="eastAsia" w:ascii="仿宋" w:hAnsi="仿宋" w:eastAsia="仿宋" w:cs="仿宋"/>
          <w:sz w:val="24"/>
          <w:szCs w:val="24"/>
          <w:lang w:val="en-US" w:eastAsia="zh-CN"/>
        </w:rPr>
        <w:t>那拉提景镇国土空间规划编制项目</w:t>
      </w:r>
      <w:r>
        <w:rPr>
          <w:rFonts w:hint="eastAsia" w:ascii="仿宋" w:hAnsi="仿宋" w:eastAsia="仿宋" w:cs="仿宋"/>
          <w:sz w:val="24"/>
          <w:szCs w:val="24"/>
          <w:lang w:val="en-US"/>
        </w:rPr>
        <w:t>（设计）；</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项目编号：XJJP-2021-085;</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采购方式：竞争性磋商；</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采购需求：那拉提镇国土空间规划依据第三次全国国土调查成果，从特征分析、问题解析、规划解读等角度，综合研判那拉提在旅游服务、经济社会、国土空间保护开发、生态修复与国土整治等方面的机遇挑战。在此基础上明晰景镇目标定位、落实上位规划要求、优化国土空间开发保护格局、落实三条控制线及国土空间规划分区、促进自然资源保护与利用、推进全域土地整治、完善基础设施支撑体系；在镇区层面细化用地布局、加强镇区空间品质建设，高质量建设配套设施服务景区；强化规划传导机制，落实规划“一张图”建设，加强规划的落地性，向上承接上位规划、向下指引村庄规划、详细规划。</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预算金额：990000.00元；</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合同履行期限：按照合同约定日期执行；</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本项目（否）接受联合体投标。</w:t>
      </w:r>
    </w:p>
    <w:p>
      <w:pPr>
        <w:pStyle w:val="6"/>
        <w:numPr>
          <w:ilvl w:val="1"/>
          <w:numId w:val="0"/>
        </w:numPr>
        <w:autoSpaceDE/>
        <w:autoSpaceDN/>
        <w:spacing w:line="320" w:lineRule="exact"/>
        <w:rPr>
          <w:rFonts w:ascii="仿宋" w:hAnsi="仿宋" w:eastAsia="仿宋" w:cs="仿宋"/>
          <w:color w:val="000000"/>
          <w:sz w:val="27"/>
          <w:szCs w:val="27"/>
        </w:rPr>
      </w:pPr>
      <w:bookmarkStart w:id="12" w:name="_Toc35393622"/>
      <w:bookmarkStart w:id="13" w:name="_Toc35393791"/>
      <w:bookmarkStart w:id="14" w:name="_Toc28359003"/>
      <w:bookmarkStart w:id="15" w:name="_Toc28359080"/>
      <w:r>
        <w:rPr>
          <w:rFonts w:hint="eastAsia" w:ascii="仿宋" w:hAnsi="仿宋" w:eastAsia="仿宋" w:cs="仿宋"/>
          <w:color w:val="000000"/>
          <w:sz w:val="27"/>
          <w:szCs w:val="27"/>
        </w:rPr>
        <w:t>二、申请人的资格要求：</w:t>
      </w:r>
      <w:bookmarkEnd w:id="12"/>
      <w:bookmarkEnd w:id="13"/>
      <w:bookmarkEnd w:id="14"/>
      <w:bookmarkEnd w:id="15"/>
    </w:p>
    <w:p>
      <w:pPr>
        <w:autoSpaceDE/>
        <w:autoSpaceDN/>
        <w:spacing w:line="320" w:lineRule="exact"/>
        <w:ind w:firstLine="480" w:firstLineChars="200"/>
        <w:rPr>
          <w:rFonts w:ascii="仿宋" w:hAnsi="仿宋" w:eastAsia="仿宋" w:cs="仿宋"/>
          <w:sz w:val="24"/>
          <w:szCs w:val="24"/>
          <w:lang w:val="en-US"/>
        </w:rPr>
      </w:pPr>
      <w:bookmarkStart w:id="16" w:name="_Toc35393792"/>
      <w:bookmarkStart w:id="17" w:name="_Toc28359004"/>
      <w:bookmarkStart w:id="18" w:name="_Toc28359081"/>
      <w:bookmarkStart w:id="19" w:name="_Toc35393623"/>
      <w:r>
        <w:rPr>
          <w:rFonts w:hint="eastAsia" w:ascii="仿宋" w:hAnsi="仿宋" w:eastAsia="仿宋" w:cs="仿宋"/>
          <w:sz w:val="24"/>
          <w:szCs w:val="24"/>
          <w:lang w:val="en-US"/>
        </w:rPr>
        <w:t>1.符合《中华人民共和国政府采购法》第二十二条的相关规定； </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关于印发《政府采购促进中小企业发展办法》的通知》（财库[2020]46号文）；（6）财政部、民政部、中国残疾人联合会《关于促进残疾人就业政府采购政策的通知》（财库[2017]141号）；（7）财政部、司法部《关于政府采购支持监狱企业发展有关问题的通知》（财库[2014]68号文）；（8）财政部办公厅、生态环境部办公厅、国家邮政局办公室《关于印发《商品包装政府采购需求标准（试行）》、 《快递包装政府采购需求标准（试行）》的通知》（财办库[2020]123号）。（中小企业优惠、监狱企业、节能产品、环境标志产品等）；</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3.本项目的特定资格要求：</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（1）具备有效的营业执照；</w:t>
      </w:r>
    </w:p>
    <w:p>
      <w:pPr>
        <w:autoSpaceDE/>
        <w:autoSpaceDN/>
        <w:spacing w:line="320" w:lineRule="exact"/>
        <w:ind w:firstLine="480" w:firstLineChars="200"/>
        <w:rPr>
          <w:ins w:id="0" w:author="Crazy俊" w:date="2021-09-26T16:36:00Z"/>
          <w:rFonts w:hint="eastAsia" w:ascii="仿宋" w:hAnsi="仿宋" w:eastAsia="仿宋" w:cs="仿宋"/>
          <w:sz w:val="24"/>
          <w:szCs w:val="24"/>
          <w:lang w:val="en-US"/>
        </w:rPr>
      </w:pPr>
      <w:r>
        <w:rPr>
          <w:rFonts w:hint="eastAsia" w:ascii="仿宋" w:hAnsi="仿宋" w:eastAsia="仿宋" w:cs="仿宋"/>
          <w:sz w:val="24"/>
          <w:szCs w:val="24"/>
          <w:lang w:val="en-US"/>
        </w:rPr>
        <w:t>（2）投标供应商须具备城乡规划编制证书乙级（含乙级）及以上资质；</w:t>
      </w:r>
    </w:p>
    <w:p>
      <w:pPr>
        <w:autoSpaceDE/>
        <w:autoSpaceDN/>
        <w:spacing w:line="32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（3）项目负责人须具备</w:t>
      </w:r>
      <w:r>
        <w:rPr>
          <w:rFonts w:hint="eastAsia" w:ascii="仿宋" w:hAnsi="仿宋" w:eastAsia="仿宋" w:cs="仿宋"/>
          <w:sz w:val="24"/>
          <w:szCs w:val="24"/>
          <w:lang w:val="en-US" w:eastAsia="zh-CN"/>
        </w:rPr>
        <w:t>高级</w:t>
      </w:r>
      <w:r>
        <w:rPr>
          <w:rFonts w:hint="eastAsia" w:ascii="仿宋" w:hAnsi="仿宋" w:eastAsia="仿宋" w:cs="仿宋"/>
          <w:sz w:val="24"/>
          <w:szCs w:val="24"/>
          <w:lang w:val="en-US"/>
        </w:rPr>
        <w:t>及以上职称</w:t>
      </w:r>
      <w:r>
        <w:rPr>
          <w:rFonts w:hint="eastAsia" w:ascii="仿宋" w:hAnsi="仿宋" w:eastAsia="仿宋" w:cs="仿宋"/>
          <w:sz w:val="24"/>
          <w:szCs w:val="24"/>
          <w:lang w:val="en-US" w:eastAsia="zh-CN"/>
        </w:rPr>
        <w:t>或</w:t>
      </w:r>
      <w:r>
        <w:rPr>
          <w:rFonts w:hint="eastAsia" w:ascii="仿宋" w:hAnsi="仿宋" w:eastAsia="仿宋" w:cs="仿宋"/>
          <w:sz w:val="24"/>
          <w:szCs w:val="24"/>
          <w:lang w:val="en-US"/>
        </w:rPr>
        <w:t>注册城乡（市）规划师；</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4）在“信用中国”网（www.creditchina.gov.cn）、中国政府采购网（www.ccgp.gov.cn）、被列入失信被执行人、重大税收违法案件当事人名单、政府采购严重违法失信行为记录名单的（尚在处罚期内的）、有行贿犯罪记录的，将拒绝其参加本次政府采购活动，查询时间为公告发布期内。</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（5）本项目不接受联合体投标。</w:t>
      </w:r>
    </w:p>
    <w:p>
      <w:pPr>
        <w:pStyle w:val="6"/>
        <w:numPr>
          <w:ilvl w:val="1"/>
          <w:numId w:val="0"/>
        </w:numPr>
        <w:autoSpaceDE/>
        <w:autoSpaceDN/>
        <w:spacing w:line="320" w:lineRule="exact"/>
        <w:rPr>
          <w:rFonts w:ascii="仿宋" w:hAnsi="仿宋" w:eastAsia="仿宋" w:cs="仿宋"/>
          <w:color w:val="000000"/>
          <w:sz w:val="27"/>
          <w:szCs w:val="27"/>
        </w:rPr>
      </w:pPr>
      <w:r>
        <w:rPr>
          <w:rFonts w:hint="eastAsia" w:ascii="仿宋" w:hAnsi="仿宋" w:eastAsia="仿宋" w:cs="仿宋"/>
          <w:color w:val="000000"/>
          <w:sz w:val="27"/>
          <w:szCs w:val="27"/>
        </w:rPr>
        <w:t>三、获取磋商文件</w:t>
      </w:r>
      <w:bookmarkEnd w:id="16"/>
      <w:bookmarkEnd w:id="17"/>
      <w:bookmarkEnd w:id="18"/>
      <w:bookmarkEnd w:id="19"/>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 时间：2021年</w:t>
      </w:r>
      <w:r>
        <w:rPr>
          <w:rFonts w:hint="eastAsia" w:ascii="仿宋" w:hAnsi="仿宋" w:eastAsia="仿宋" w:cs="仿宋"/>
          <w:sz w:val="24"/>
          <w:szCs w:val="24"/>
          <w:lang w:val="en-US" w:eastAsia="zh-CN"/>
        </w:rPr>
        <w:t>11</w:t>
      </w:r>
      <w:r>
        <w:rPr>
          <w:rFonts w:hint="eastAsia" w:ascii="仿宋" w:hAnsi="仿宋" w:eastAsia="仿宋" w:cs="仿宋"/>
          <w:sz w:val="24"/>
          <w:szCs w:val="24"/>
          <w:lang w:val="en-US"/>
        </w:rPr>
        <w:t>月2</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日至2021年</w:t>
      </w:r>
      <w:r>
        <w:rPr>
          <w:rFonts w:hint="eastAsia" w:ascii="仿宋" w:hAnsi="仿宋" w:eastAsia="仿宋" w:cs="仿宋"/>
          <w:sz w:val="24"/>
          <w:szCs w:val="24"/>
          <w:lang w:val="en-US" w:eastAsia="zh-CN"/>
        </w:rPr>
        <w:t>12</w:t>
      </w:r>
      <w:r>
        <w:rPr>
          <w:rFonts w:hint="eastAsia" w:ascii="仿宋" w:hAnsi="仿宋" w:eastAsia="仿宋" w:cs="仿宋"/>
          <w:sz w:val="24"/>
          <w:szCs w:val="24"/>
          <w:lang w:val="en-US"/>
        </w:rPr>
        <w:t>月</w:t>
      </w:r>
      <w:r>
        <w:rPr>
          <w:rFonts w:hint="eastAsia" w:ascii="仿宋" w:hAnsi="仿宋" w:eastAsia="仿宋" w:cs="仿宋"/>
          <w:sz w:val="24"/>
          <w:szCs w:val="24"/>
          <w:lang w:val="en-US" w:eastAsia="zh-CN"/>
        </w:rPr>
        <w:t>1</w:t>
      </w:r>
      <w:r>
        <w:rPr>
          <w:rFonts w:hint="eastAsia" w:ascii="仿宋" w:hAnsi="仿宋" w:eastAsia="仿宋" w:cs="仿宋"/>
          <w:sz w:val="24"/>
          <w:szCs w:val="24"/>
          <w:lang w:val="en-US"/>
        </w:rPr>
        <w:t>日，每天上午10:00至14:00，下午1</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0至</w:t>
      </w:r>
      <w:r>
        <w:rPr>
          <w:rFonts w:hint="eastAsia" w:ascii="仿宋" w:hAnsi="仿宋" w:eastAsia="仿宋" w:cs="仿宋"/>
          <w:sz w:val="24"/>
          <w:szCs w:val="24"/>
          <w:lang w:val="en-US" w:eastAsia="zh-CN"/>
        </w:rPr>
        <w:t>19</w:t>
      </w:r>
      <w:r>
        <w:rPr>
          <w:rFonts w:hint="eastAsia" w:ascii="仿宋" w:hAnsi="仿宋" w:eastAsia="仿宋" w:cs="仿宋"/>
          <w:sz w:val="24"/>
          <w:szCs w:val="24"/>
          <w:lang w:val="en-US"/>
        </w:rPr>
        <w:t>:</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0（北京时间，法定节假日除外）；</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地点：新疆伊犁州伊宁市经济合作区313线以西、新华西路以北西城天街A-E#商业楼C406；</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方式：现场获取；</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售价：200元/本，售后不退；</w:t>
      </w:r>
    </w:p>
    <w:p>
      <w:pPr>
        <w:pStyle w:val="6"/>
        <w:numPr>
          <w:ilvl w:val="1"/>
          <w:numId w:val="0"/>
        </w:numPr>
        <w:autoSpaceDE/>
        <w:autoSpaceDN/>
        <w:spacing w:line="320" w:lineRule="exact"/>
        <w:rPr>
          <w:rFonts w:ascii="仿宋" w:hAnsi="仿宋" w:eastAsia="仿宋" w:cs="仿宋"/>
          <w:color w:val="000000"/>
          <w:sz w:val="27"/>
          <w:szCs w:val="27"/>
        </w:rPr>
      </w:pPr>
      <w:bookmarkStart w:id="20" w:name="_Toc28359005"/>
      <w:bookmarkStart w:id="21" w:name="_Toc28359082"/>
      <w:bookmarkStart w:id="22" w:name="_Toc35393624"/>
      <w:bookmarkStart w:id="23" w:name="_Toc35393793"/>
      <w:r>
        <w:rPr>
          <w:rFonts w:hint="eastAsia" w:ascii="仿宋" w:hAnsi="仿宋" w:eastAsia="仿宋" w:cs="仿宋"/>
          <w:color w:val="000000"/>
          <w:sz w:val="27"/>
          <w:szCs w:val="27"/>
        </w:rPr>
        <w:t>四、提交投标文件</w:t>
      </w:r>
      <w:bookmarkEnd w:id="20"/>
      <w:bookmarkEnd w:id="21"/>
      <w:r>
        <w:rPr>
          <w:rFonts w:hint="eastAsia" w:ascii="仿宋" w:hAnsi="仿宋" w:eastAsia="仿宋" w:cs="仿宋"/>
          <w:color w:val="000000"/>
          <w:sz w:val="27"/>
          <w:szCs w:val="27"/>
        </w:rPr>
        <w:t>截止时间、开标时间和地点</w:t>
      </w:r>
      <w:bookmarkEnd w:id="22"/>
      <w:bookmarkEnd w:id="23"/>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时间</w:t>
      </w:r>
      <w:r>
        <w:rPr>
          <w:rFonts w:ascii="仿宋" w:hAnsi="仿宋" w:eastAsia="仿宋" w:cs="仿宋"/>
          <w:sz w:val="24"/>
          <w:szCs w:val="24"/>
          <w:lang w:val="en-US"/>
        </w:rPr>
        <w:t>:2021年1</w:t>
      </w:r>
      <w:r>
        <w:rPr>
          <w:rFonts w:hint="eastAsia" w:ascii="仿宋" w:hAnsi="仿宋" w:eastAsia="仿宋" w:cs="仿宋"/>
          <w:sz w:val="24"/>
          <w:szCs w:val="24"/>
          <w:lang w:val="en-US" w:eastAsia="zh-CN"/>
        </w:rPr>
        <w:t>2</w:t>
      </w:r>
      <w:r>
        <w:rPr>
          <w:rFonts w:ascii="仿宋" w:hAnsi="仿宋" w:eastAsia="仿宋" w:cs="仿宋"/>
          <w:sz w:val="24"/>
          <w:szCs w:val="24"/>
          <w:lang w:val="en-US"/>
        </w:rPr>
        <w:t>月</w:t>
      </w:r>
      <w:r>
        <w:rPr>
          <w:rFonts w:hint="eastAsia" w:ascii="仿宋" w:hAnsi="仿宋" w:eastAsia="仿宋" w:cs="仿宋"/>
          <w:sz w:val="24"/>
          <w:szCs w:val="24"/>
          <w:lang w:val="en-US" w:eastAsia="zh-CN"/>
        </w:rPr>
        <w:t>6</w:t>
      </w:r>
      <w:r>
        <w:rPr>
          <w:rFonts w:hint="eastAsia" w:ascii="仿宋" w:hAnsi="仿宋" w:eastAsia="仿宋" w:cs="仿宋"/>
          <w:sz w:val="24"/>
          <w:szCs w:val="24"/>
          <w:lang w:val="en-US"/>
        </w:rPr>
        <w:t>日</w:t>
      </w:r>
      <w:r>
        <w:rPr>
          <w:rFonts w:ascii="仿宋" w:hAnsi="仿宋" w:eastAsia="仿宋" w:cs="仿宋"/>
          <w:sz w:val="24"/>
          <w:szCs w:val="24"/>
          <w:lang w:val="en-US"/>
        </w:rPr>
        <w:t>11点00分；</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地点：新疆伊犁州伊宁市经济合作区313线以西、新华西路以北西城天街A-E#商业楼C406</w:t>
      </w:r>
    </w:p>
    <w:p>
      <w:pPr>
        <w:pStyle w:val="6"/>
        <w:numPr>
          <w:ilvl w:val="1"/>
          <w:numId w:val="0"/>
        </w:numPr>
        <w:autoSpaceDE/>
        <w:autoSpaceDN/>
        <w:spacing w:line="320" w:lineRule="exact"/>
        <w:rPr>
          <w:rFonts w:ascii="仿宋" w:hAnsi="仿宋" w:eastAsia="仿宋" w:cs="仿宋"/>
          <w:color w:val="000000"/>
          <w:sz w:val="27"/>
          <w:szCs w:val="27"/>
        </w:rPr>
      </w:pPr>
      <w:bookmarkStart w:id="24" w:name="_Toc35393794"/>
      <w:bookmarkStart w:id="25" w:name="_Toc35393625"/>
      <w:bookmarkStart w:id="26" w:name="_Toc28359007"/>
      <w:bookmarkStart w:id="27" w:name="_Toc28359084"/>
      <w:r>
        <w:rPr>
          <w:rFonts w:hint="eastAsia" w:ascii="仿宋" w:hAnsi="仿宋" w:eastAsia="仿宋" w:cs="仿宋"/>
          <w:color w:val="000000"/>
          <w:sz w:val="27"/>
          <w:szCs w:val="27"/>
        </w:rPr>
        <w:t>五、公告期限</w:t>
      </w:r>
      <w:bookmarkEnd w:id="24"/>
      <w:bookmarkEnd w:id="25"/>
      <w:bookmarkEnd w:id="26"/>
      <w:bookmarkEnd w:id="27"/>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自本公告发布之日起5个工作日。</w:t>
      </w:r>
    </w:p>
    <w:p>
      <w:pPr>
        <w:autoSpaceDE/>
        <w:autoSpaceDN/>
        <w:spacing w:line="320" w:lineRule="exact"/>
        <w:ind w:firstLine="540" w:firstLineChars="200"/>
        <w:rPr>
          <w:rFonts w:ascii="仿宋" w:hAnsi="仿宋" w:eastAsia="仿宋" w:cs="仿宋"/>
          <w:color w:val="000000"/>
          <w:sz w:val="27"/>
          <w:szCs w:val="27"/>
        </w:rPr>
      </w:pPr>
    </w:p>
    <w:p>
      <w:pPr>
        <w:autoSpaceDE/>
        <w:autoSpaceDN/>
        <w:spacing w:line="320" w:lineRule="exact"/>
        <w:outlineLvl w:val="0"/>
        <w:rPr>
          <w:rFonts w:ascii="仿宋" w:hAnsi="仿宋" w:eastAsia="仿宋" w:cs="仿宋"/>
          <w:b/>
          <w:color w:val="000000"/>
          <w:sz w:val="27"/>
          <w:szCs w:val="27"/>
        </w:rPr>
      </w:pPr>
      <w:bookmarkStart w:id="28" w:name="_Toc646"/>
      <w:bookmarkStart w:id="29" w:name="_Toc35393795"/>
      <w:bookmarkStart w:id="30" w:name="_Toc35393626"/>
      <w:r>
        <w:rPr>
          <w:rFonts w:hint="eastAsia" w:ascii="仿宋" w:hAnsi="仿宋" w:eastAsia="仿宋" w:cs="仿宋"/>
          <w:b/>
          <w:color w:val="000000"/>
          <w:sz w:val="27"/>
          <w:szCs w:val="27"/>
        </w:rPr>
        <w:t>六、其他补充事宜</w:t>
      </w:r>
      <w:bookmarkEnd w:id="28"/>
      <w:bookmarkEnd w:id="29"/>
      <w:bookmarkEnd w:id="30"/>
    </w:p>
    <w:p>
      <w:pPr>
        <w:pStyle w:val="2"/>
        <w:ind w:left="0" w:leftChars="0" w:firstLine="480"/>
        <w:rPr>
          <w:rFonts w:hint="eastAsia" w:ascii="仿宋" w:hAnsi="仿宋" w:eastAsia="仿宋" w:cs="仿宋"/>
          <w:szCs w:val="24"/>
          <w:lang w:val="en-US" w:eastAsia="zh-CN"/>
        </w:rPr>
      </w:pPr>
      <w:bookmarkStart w:id="31" w:name="_Toc28359085"/>
      <w:bookmarkStart w:id="32" w:name="_Toc35393627"/>
      <w:bookmarkStart w:id="33" w:name="_Toc35393796"/>
      <w:bookmarkStart w:id="34" w:name="_Toc28359008"/>
      <w:r>
        <w:rPr>
          <w:rFonts w:hint="eastAsia" w:ascii="仿宋" w:hAnsi="仿宋" w:eastAsia="仿宋" w:cs="仿宋"/>
          <w:szCs w:val="24"/>
          <w:lang w:val="en-US"/>
        </w:rPr>
        <w:t>投标供应商在领取磋商文件时需携带：</w:t>
      </w:r>
      <w:r>
        <w:rPr>
          <w:rFonts w:ascii="仿宋" w:hAnsi="仿宋" w:eastAsia="仿宋" w:cs="仿宋"/>
          <w:color w:val="000000"/>
          <w:szCs w:val="24"/>
        </w:rPr>
        <w:t>法定代表人授权书及被委托人身份证</w:t>
      </w:r>
      <w:r>
        <w:rPr>
          <w:rFonts w:hint="eastAsia" w:ascii="仿宋" w:hAnsi="仿宋" w:eastAsia="仿宋" w:cs="仿宋"/>
          <w:szCs w:val="24"/>
          <w:lang w:val="en-US"/>
        </w:rPr>
        <w:t>、营业执照、资质证书、项目负责人证书</w:t>
      </w:r>
      <w:r>
        <w:rPr>
          <w:rFonts w:hint="eastAsia" w:ascii="仿宋" w:hAnsi="仿宋" w:eastAsia="仿宋" w:cs="仿宋"/>
          <w:szCs w:val="24"/>
          <w:lang w:val="en-US" w:eastAsia="zh-CN"/>
        </w:rPr>
        <w:t>。</w:t>
      </w:r>
    </w:p>
    <w:p>
      <w:pPr>
        <w:autoSpaceDE/>
        <w:autoSpaceDN/>
        <w:spacing w:line="320" w:lineRule="exact"/>
        <w:ind w:firstLine="480" w:firstLineChars="200"/>
        <w:rPr>
          <w:rFonts w:ascii="仿宋" w:hAnsi="仿宋" w:eastAsia="仿宋" w:cs="仿宋"/>
          <w:kern w:val="2"/>
          <w:sz w:val="24"/>
          <w:szCs w:val="24"/>
          <w:lang w:val="en-US"/>
        </w:rPr>
      </w:pPr>
      <w:r>
        <w:rPr>
          <w:rFonts w:hint="eastAsia" w:ascii="仿宋" w:hAnsi="仿宋" w:eastAsia="仿宋" w:cs="仿宋"/>
          <w:kern w:val="2"/>
          <w:sz w:val="24"/>
          <w:szCs w:val="24"/>
          <w:lang w:val="en-US"/>
        </w:rPr>
        <w:t>（购买磋商文件时须</w:t>
      </w:r>
      <w:r>
        <w:rPr>
          <w:rFonts w:hint="eastAsia" w:ascii="仿宋" w:hAnsi="仿宋" w:eastAsia="仿宋" w:cs="仿宋"/>
          <w:sz w:val="24"/>
          <w:szCs w:val="24"/>
          <w:lang w:val="en-US"/>
        </w:rPr>
        <w:t>携</w:t>
      </w:r>
      <w:r>
        <w:rPr>
          <w:rFonts w:hint="eastAsia" w:ascii="仿宋" w:hAnsi="仿宋" w:eastAsia="仿宋" w:cs="仿宋"/>
          <w:color w:val="000000" w:themeColor="text1"/>
          <w:sz w:val="24"/>
          <w:szCs w:val="24"/>
          <w:lang w:val="en-US"/>
          <w14:textFill>
            <w14:solidFill>
              <w14:schemeClr w14:val="tx1"/>
            </w14:solidFill>
          </w14:textFill>
        </w:rPr>
        <w:t>带原件及加盖公章的复印</w:t>
      </w:r>
      <w:r>
        <w:rPr>
          <w:rFonts w:hint="eastAsia" w:ascii="仿宋" w:hAnsi="仿宋" w:eastAsia="仿宋" w:cs="仿宋"/>
          <w:sz w:val="24"/>
          <w:szCs w:val="24"/>
          <w:lang w:val="en-US"/>
        </w:rPr>
        <w:t>件三套按提</w:t>
      </w:r>
      <w:r>
        <w:rPr>
          <w:rFonts w:hint="eastAsia" w:ascii="仿宋" w:hAnsi="仿宋" w:eastAsia="仿宋" w:cs="仿宋"/>
          <w:kern w:val="2"/>
          <w:sz w:val="24"/>
          <w:szCs w:val="24"/>
          <w:lang w:val="en-US"/>
        </w:rPr>
        <w:t>供资料顺序装订成册）</w:t>
      </w:r>
    </w:p>
    <w:p>
      <w:pPr>
        <w:pStyle w:val="6"/>
        <w:numPr>
          <w:ilvl w:val="1"/>
          <w:numId w:val="0"/>
        </w:numPr>
        <w:autoSpaceDE/>
        <w:autoSpaceDN/>
        <w:spacing w:line="320" w:lineRule="exact"/>
        <w:rPr>
          <w:rFonts w:ascii="仿宋" w:hAnsi="仿宋" w:eastAsia="仿宋" w:cs="仿宋"/>
          <w:color w:val="000000"/>
          <w:sz w:val="27"/>
          <w:szCs w:val="27"/>
        </w:rPr>
      </w:pPr>
      <w:r>
        <w:rPr>
          <w:rFonts w:hint="eastAsia" w:ascii="仿宋" w:hAnsi="仿宋" w:eastAsia="仿宋" w:cs="仿宋"/>
          <w:color w:val="000000"/>
          <w:sz w:val="27"/>
          <w:szCs w:val="27"/>
        </w:rPr>
        <w:t>七、对本次招标提出询问，请按以下方式联系。</w:t>
      </w:r>
      <w:bookmarkEnd w:id="31"/>
      <w:bookmarkEnd w:id="32"/>
      <w:bookmarkEnd w:id="33"/>
      <w:bookmarkEnd w:id="34"/>
    </w:p>
    <w:p>
      <w:pPr>
        <w:autoSpaceDE/>
        <w:autoSpaceDN/>
        <w:spacing w:line="320" w:lineRule="exact"/>
        <w:ind w:firstLine="480" w:firstLineChars="200"/>
        <w:outlineLvl w:val="1"/>
        <w:rPr>
          <w:rFonts w:ascii="仿宋" w:hAnsi="仿宋" w:eastAsia="仿宋" w:cs="仿宋"/>
          <w:sz w:val="24"/>
          <w:szCs w:val="24"/>
          <w:lang w:val="en-US"/>
        </w:rPr>
      </w:pPr>
      <w:r>
        <w:rPr>
          <w:rFonts w:hint="eastAsia" w:ascii="仿宋" w:hAnsi="仿宋" w:eastAsia="仿宋" w:cs="仿宋"/>
          <w:sz w:val="24"/>
          <w:szCs w:val="24"/>
          <w:lang w:val="en-US"/>
        </w:rPr>
        <w:t>1.采购人信息</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名 称：伊犁哈萨克自治州那拉提旅游风景区管理委员会　</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地 址：新源县</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 xml:space="preserve">联系人：杜女士　      </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 xml:space="preserve">联系方式:15109991259　　     </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2.采购代理机构信息</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名    称：新疆金磐工程管理咨询有限公司　　　　　　　　　</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地    址：新疆伊犁州伊宁市经济合作区313线以西、新华西路以北西城天街A-E#商业楼C406室</w:t>
      </w:r>
    </w:p>
    <w:p>
      <w:pPr>
        <w:autoSpaceDE/>
        <w:autoSpaceDN/>
        <w:spacing w:line="320" w:lineRule="exact"/>
        <w:ind w:firstLine="480" w:firstLineChars="200"/>
        <w:rPr>
          <w:lang w:val="en-US"/>
        </w:rPr>
      </w:pPr>
      <w:r>
        <w:rPr>
          <w:rFonts w:hint="eastAsia" w:ascii="仿宋" w:hAnsi="仿宋" w:eastAsia="仿宋" w:cs="仿宋"/>
          <w:sz w:val="24"/>
          <w:szCs w:val="24"/>
          <w:lang w:val="en-US"/>
        </w:rPr>
        <w:t>联系方式：0999-8888615</w:t>
      </w:r>
    </w:p>
    <w:p>
      <w:pPr>
        <w:autoSpaceDE/>
        <w:autoSpaceDN/>
        <w:spacing w:line="320" w:lineRule="exact"/>
        <w:ind w:firstLine="480" w:firstLineChars="200"/>
        <w:outlineLvl w:val="1"/>
        <w:rPr>
          <w:rFonts w:ascii="仿宋" w:hAnsi="仿宋" w:eastAsia="仿宋" w:cs="仿宋"/>
          <w:sz w:val="24"/>
          <w:szCs w:val="24"/>
          <w:lang w:val="en-US"/>
        </w:rPr>
      </w:pPr>
      <w:r>
        <w:rPr>
          <w:rFonts w:hint="eastAsia" w:ascii="仿宋" w:hAnsi="仿宋" w:eastAsia="仿宋" w:cs="仿宋"/>
          <w:sz w:val="24"/>
          <w:szCs w:val="24"/>
          <w:lang w:val="en-US"/>
        </w:rPr>
        <w:t>3.项目联系方式</w:t>
      </w:r>
    </w:p>
    <w:p>
      <w:pPr>
        <w:autoSpaceDE/>
        <w:autoSpaceDN/>
        <w:spacing w:line="32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项目联系人：赵海霞</w:t>
      </w:r>
    </w:p>
    <w:p>
      <w:pPr>
        <w:ind w:firstLine="480" w:firstLineChars="200"/>
      </w:pPr>
      <w:r>
        <w:rPr>
          <w:rFonts w:hint="eastAsia" w:ascii="仿宋" w:hAnsi="仿宋" w:eastAsia="仿宋" w:cs="仿宋"/>
          <w:sz w:val="24"/>
          <w:szCs w:val="24"/>
          <w:lang w:val="en-US"/>
        </w:rPr>
        <w:t>电　话：18509999953　　　　</w:t>
      </w:r>
    </w:p>
    <w:p>
      <w:pPr>
        <w:ind w:firstLine="440" w:firstLineChars="200"/>
      </w:pPr>
    </w:p>
    <w:p>
      <w:pPr>
        <w:autoSpaceDE/>
        <w:autoSpaceDN/>
        <w:spacing w:line="320" w:lineRule="exact"/>
        <w:rPr>
          <w:sz w:val="20"/>
          <w:szCs w:val="20"/>
        </w:rPr>
      </w:pPr>
    </w:p>
    <w:p>
      <w:pPr>
        <w:pStyle w:val="2"/>
        <w:ind w:left="440" w:firstLine="400"/>
        <w:rPr>
          <w:sz w:val="20"/>
        </w:rPr>
      </w:pPr>
    </w:p>
    <w:p>
      <w:pPr>
        <w:pStyle w:val="2"/>
        <w:ind w:left="440" w:firstLine="400"/>
        <w:rPr>
          <w:sz w:val="20"/>
        </w:rPr>
      </w:pPr>
    </w:p>
    <w:p>
      <w:pPr>
        <w:pStyle w:val="26"/>
        <w:widowControl/>
        <w:spacing w:before="75" w:beforeAutospacing="0" w:after="75" w:afterAutospacing="0"/>
        <w:ind w:firstLine="420"/>
        <w:rPr>
          <w:rFonts w:cs="宋体"/>
          <w:color w:val="000000"/>
          <w:sz w:val="22"/>
        </w:rPr>
      </w:pPr>
    </w:p>
    <w:p>
      <w:pPr>
        <w:pStyle w:val="5"/>
        <w:widowControl/>
        <w:spacing w:line="450" w:lineRule="atLeast"/>
        <w:ind w:left="0" w:right="0"/>
        <w:jc w:val="both"/>
        <w:rPr>
          <w:rFonts w:ascii="宋体" w:hAnsi="宋体" w:eastAsia="宋体" w:cs="宋体"/>
          <w:sz w:val="32"/>
          <w:szCs w:val="32"/>
        </w:rPr>
      </w:pPr>
    </w:p>
    <w:p>
      <w:pPr>
        <w:pStyle w:val="5"/>
        <w:widowControl/>
        <w:spacing w:line="450" w:lineRule="atLeast"/>
        <w:ind w:left="0" w:right="0" w:firstLine="3534" w:firstLineChars="1100"/>
        <w:jc w:val="both"/>
        <w:rPr>
          <w:rFonts w:ascii="宋体" w:hAnsi="宋体" w:eastAsia="宋体" w:cs="宋体"/>
          <w:sz w:val="32"/>
          <w:szCs w:val="32"/>
        </w:rPr>
      </w:pPr>
      <w:bookmarkStart w:id="35" w:name="_Toc17176"/>
    </w:p>
    <w:p>
      <w:pPr>
        <w:pStyle w:val="5"/>
        <w:widowControl/>
        <w:spacing w:line="450" w:lineRule="atLeast"/>
        <w:ind w:left="0" w:right="0" w:firstLine="3534" w:firstLineChars="1100"/>
        <w:jc w:val="both"/>
        <w:rPr>
          <w:rFonts w:ascii="宋体" w:hAnsi="宋体" w:eastAsia="宋体" w:cs="宋体"/>
          <w:sz w:val="32"/>
          <w:szCs w:val="32"/>
        </w:rPr>
      </w:pPr>
      <w:bookmarkStart w:id="36" w:name="_Toc23651"/>
      <w:r>
        <w:rPr>
          <w:rFonts w:hint="eastAsia" w:ascii="宋体" w:hAnsi="宋体" w:eastAsia="宋体" w:cs="宋体"/>
          <w:sz w:val="32"/>
          <w:szCs w:val="32"/>
        </w:rPr>
        <w:t>第二部分</w:t>
      </w:r>
      <w:r>
        <w:rPr>
          <w:rFonts w:hint="eastAsia" w:ascii="宋体" w:hAnsi="宋体" w:eastAsia="宋体" w:cs="宋体"/>
          <w:sz w:val="32"/>
          <w:szCs w:val="32"/>
          <w:lang w:val="en-US"/>
        </w:rPr>
        <w:t xml:space="preserve"> </w:t>
      </w:r>
      <w:r>
        <w:rPr>
          <w:rFonts w:hint="eastAsia" w:ascii="宋体" w:hAnsi="宋体" w:eastAsia="宋体" w:cs="宋体"/>
          <w:sz w:val="32"/>
          <w:szCs w:val="32"/>
        </w:rPr>
        <w:t>供应商须知</w:t>
      </w:r>
      <w:bookmarkEnd w:id="4"/>
      <w:bookmarkEnd w:id="5"/>
      <w:bookmarkEnd w:id="35"/>
      <w:bookmarkEnd w:id="36"/>
    </w:p>
    <w:p>
      <w:pPr>
        <w:pStyle w:val="6"/>
        <w:ind w:left="0"/>
        <w:jc w:val="center"/>
        <w:rPr>
          <w:rFonts w:ascii="宋体" w:hAnsi="宋体" w:eastAsia="宋体" w:cs="宋体"/>
          <w:sz w:val="24"/>
          <w:szCs w:val="24"/>
        </w:rPr>
      </w:pPr>
      <w:bookmarkStart w:id="37" w:name="_Toc29607"/>
      <w:r>
        <w:rPr>
          <w:rFonts w:hint="eastAsia" w:ascii="宋体" w:hAnsi="宋体" w:eastAsia="宋体" w:cs="宋体"/>
          <w:sz w:val="24"/>
          <w:szCs w:val="24"/>
        </w:rPr>
        <w:t>供应商须知前附表</w:t>
      </w:r>
      <w:bookmarkEnd w:id="37"/>
    </w:p>
    <w:tbl>
      <w:tblPr>
        <w:tblStyle w:val="28"/>
        <w:tblpPr w:leftFromText="180" w:rightFromText="180" w:vertAnchor="text" w:horzAnchor="page" w:tblpX="619" w:tblpY="210"/>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861"/>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trPr>
        <w:tc>
          <w:tcPr>
            <w:tcW w:w="1916" w:type="dxa"/>
            <w:vAlign w:val="center"/>
          </w:tcPr>
          <w:p>
            <w:pPr>
              <w:adjustRightInd w:val="0"/>
              <w:snapToGrid w:val="0"/>
              <w:spacing w:line="40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条款号</w:t>
            </w:r>
          </w:p>
        </w:tc>
        <w:tc>
          <w:tcPr>
            <w:tcW w:w="1861" w:type="dxa"/>
            <w:vAlign w:val="center"/>
          </w:tcPr>
          <w:p>
            <w:pPr>
              <w:adjustRightInd w:val="0"/>
              <w:snapToGrid w:val="0"/>
              <w:spacing w:line="40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条款名称</w:t>
            </w:r>
          </w:p>
        </w:tc>
        <w:tc>
          <w:tcPr>
            <w:tcW w:w="6768" w:type="dxa"/>
            <w:vAlign w:val="center"/>
          </w:tcPr>
          <w:p>
            <w:pPr>
              <w:adjustRightInd w:val="0"/>
              <w:snapToGrid w:val="0"/>
              <w:spacing w:line="40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 w:hRule="atLeast"/>
        </w:trPr>
        <w:tc>
          <w:tcPr>
            <w:tcW w:w="10545" w:type="dxa"/>
            <w:gridSpan w:val="3"/>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第二章第1.1款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768" w:type="dxa"/>
            <w:vAlign w:val="center"/>
          </w:tcPr>
          <w:p>
            <w:pPr>
              <w:adjustRightInd w:val="0"/>
              <w:snapToGrid w:val="0"/>
              <w:spacing w:line="400" w:lineRule="exac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lang w:val="en-US" w:eastAsia="zh-CN"/>
              </w:rPr>
              <w:t>那拉提景镇国土空间规划编制项目</w:t>
            </w:r>
            <w:r>
              <w:rPr>
                <w:rFonts w:hint="eastAsia" w:asciiTheme="minorEastAsia" w:hAnsiTheme="minorEastAsia" w:eastAsiaTheme="minorEastAsia" w:cstheme="minorEastAsia"/>
                <w:spacing w:val="-4"/>
                <w:sz w:val="24"/>
                <w:szCs w:val="24"/>
                <w:lang w:val="en-US"/>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第二章第1.2款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tc>
        <w:tc>
          <w:tcPr>
            <w:tcW w:w="6768" w:type="dxa"/>
            <w:vAlign w:val="center"/>
          </w:tcPr>
          <w:p>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那拉提镇国土空间规划依据第三次全国国土调查成果，从特征分析、问题解析、规划解读等角度，综合研判那拉提在旅游服务、经济社会、国土空间保护开发、生态修复与国土整治等方面的机遇挑战。在此基础上明晰景镇目标定位、落实上位规划要求、优化国土空间开发保护格局、落实三条控制线及国土空间规划分区、促进自然资源保护与利用、推进全域土地整治、完善基础设施支撑体系；在镇区层面细化用地布局、加强镇区空间品质建设，高质量建设配套设施服务景区；强化规划传导机制，落实规划“一张图”建设，加强规划的落地性，向上承接上位规划、向下指引村庄规划、详细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第二章第1.3款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项目地点</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新源县那拉提</w:t>
            </w:r>
          </w:p>
          <w:p>
            <w:pPr>
              <w:adjustRightInd w:val="0"/>
              <w:snapToGrid w:val="0"/>
              <w:spacing w:line="400" w:lineRule="exact"/>
              <w:rPr>
                <w:rFonts w:asciiTheme="minorEastAsia" w:hAnsiTheme="minorEastAsia" w:eastAsiaTheme="minorEastAsia" w:cstheme="minorEastAsia"/>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trPr>
        <w:tc>
          <w:tcPr>
            <w:tcW w:w="1916" w:type="dxa"/>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第二章第1.4款</w:t>
            </w:r>
          </w:p>
        </w:tc>
        <w:tc>
          <w:tcPr>
            <w:tcW w:w="1861"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exac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第二章第1.5款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按照甲、乙双方签订合同约定的日期执行；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第二章第2.1款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6768" w:type="dxa"/>
            <w:vAlign w:val="center"/>
          </w:tcPr>
          <w:p>
            <w:pPr>
              <w:adjustRightInd w:val="0"/>
              <w:snapToGrid w:val="0"/>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称：伊犁哈萨克自治州那拉提旅游风景区管理委员会</w:t>
            </w:r>
          </w:p>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rPr>
              <w:t>新源县那拉提</w:t>
            </w:r>
          </w:p>
          <w:p>
            <w:pPr>
              <w:adjustRightInd w:val="0"/>
              <w:snapToGrid w:val="0"/>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联系人：杜女士　      </w:t>
            </w:r>
          </w:p>
          <w:p>
            <w:pPr>
              <w:adjustRightInd w:val="0"/>
              <w:snapToGrid w:val="0"/>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联系方式:15109991259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第二章第2.2款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代理机构</w:t>
            </w:r>
          </w:p>
        </w:tc>
        <w:tc>
          <w:tcPr>
            <w:tcW w:w="6768" w:type="dxa"/>
            <w:vAlign w:val="center"/>
          </w:tcPr>
          <w:p>
            <w:pPr>
              <w:adjustRightInd w:val="0"/>
              <w:snapToGrid w:val="0"/>
              <w:spacing w:line="32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名    称：新疆金磐工程管理咨询有限公司　　　　　　　　　</w:t>
            </w:r>
          </w:p>
          <w:p>
            <w:pPr>
              <w:adjustRightInd w:val="0"/>
              <w:snapToGrid w:val="0"/>
              <w:spacing w:line="32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地    址：新疆伊犁州伊宁市经济合作区313线以西、新华西路以北西城天街A-E#商业楼C406</w:t>
            </w:r>
          </w:p>
          <w:p>
            <w:pPr>
              <w:adjustRightInd w:val="0"/>
              <w:snapToGrid w:val="0"/>
              <w:spacing w:line="32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项目联系人：赵海霞　　　　　　　　</w:t>
            </w:r>
          </w:p>
          <w:p>
            <w:pPr>
              <w:autoSpaceDE/>
              <w:autoSpaceDN/>
              <w:spacing w:line="32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项目联系方式：0999-8888615、18509999953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第二章第3.1款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供应商</w:t>
            </w:r>
            <w:r>
              <w:rPr>
                <w:rFonts w:hint="eastAsia" w:asciiTheme="minorEastAsia" w:hAnsiTheme="minorEastAsia" w:eastAsiaTheme="minorEastAsia" w:cstheme="minorEastAsia"/>
                <w:sz w:val="24"/>
                <w:szCs w:val="24"/>
              </w:rPr>
              <w:t>资格条件</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1.符合《中华人民共和国政府采购法》第二十二条的相关规定； </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关于印发《政府采购促进中小企业发展办法》的通知》（财库[2020]46号文）；（6）财政部、民政部、中国残疾人联合会《关于促进残疾人就业政府采购政策的通知》（财库[2017]141号）；（7）财政部、司法部《关于政府采购支持监狱企业发展有关问题的通知》（财库[2014]68号文）；（8）财政部办公厅、生态环境部办公厅、国家邮政局办公室《关于印发《商品包装政府采购需求标准（试行）》、 《快递包装政府采购需求标准（试行）》的通知》（财办库[2020]123号）。（中小企业优惠、监狱企业、节能产品、环境标志产品等）；</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3.本项目的特定资格要求：</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（1）具备有效的营业执照；</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（2）投标供应商须具备城乡规划编制证书乙级（含乙级）及以上资质；</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（3）项目负责人须具备</w:t>
            </w:r>
            <w:ins w:id="1" w:author="胡智行" w:date="2021-09-23T22:33:00Z">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高级</w:t>
              </w:r>
            </w:ins>
            <w:r>
              <w:rPr>
                <w:rFonts w:hint="eastAsia" w:asciiTheme="minorEastAsia" w:hAnsiTheme="minorEastAsia" w:eastAsiaTheme="minorEastAsia" w:cstheme="minorEastAsia"/>
                <w:sz w:val="24"/>
                <w:szCs w:val="24"/>
                <w:lang w:val="en-US"/>
              </w:rPr>
              <w:t>及以上职称</w:t>
            </w:r>
            <w:ins w:id="2" w:author="胡智行" w:date="2021-09-23T22:33:00Z">
              <w:r>
                <w:rPr>
                  <w:rFonts w:hint="eastAsia" w:asciiTheme="minorEastAsia" w:hAnsiTheme="minorEastAsia" w:eastAsiaTheme="minorEastAsia" w:cstheme="minorEastAsia"/>
                  <w:sz w:val="24"/>
                  <w:szCs w:val="24"/>
                  <w:lang w:val="en-US"/>
                </w:rPr>
                <w:t>或</w:t>
              </w:r>
            </w:ins>
            <w:r>
              <w:rPr>
                <w:rFonts w:hint="eastAsia" w:asciiTheme="minorEastAsia" w:hAnsiTheme="minorEastAsia" w:eastAsiaTheme="minorEastAsia" w:cstheme="minorEastAsia"/>
                <w:sz w:val="24"/>
                <w:szCs w:val="24"/>
                <w:lang w:val="en-US"/>
              </w:rPr>
              <w:t>注册城乡（市）规划师；</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4）在“信用中国”网（www.creditchina.gov.cn）、中国政府采购网（www.ccgp.gov.cn）、被列入失信被执行人、重大税收违法案件当事人名单、政府采购严重违法失信行为记录名单的（尚在处罚期内的）、有行贿犯罪记录的，将拒绝其参加本次政府采购活动，查询时间为公告发布期内。；</w:t>
            </w:r>
          </w:p>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exac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第二章第6.1款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联合体形式</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第二章第6.2（3）款</w:t>
            </w:r>
          </w:p>
        </w:tc>
        <w:tc>
          <w:tcPr>
            <w:tcW w:w="1861" w:type="dxa"/>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对联合体各方的要求</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第二章第7.1款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现场勘察</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trPr>
        <w:tc>
          <w:tcPr>
            <w:tcW w:w="1916" w:type="dxa"/>
            <w:vAlign w:val="center"/>
          </w:tcPr>
          <w:p>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第二章第8.1款</w:t>
            </w:r>
          </w:p>
        </w:tc>
        <w:tc>
          <w:tcPr>
            <w:tcW w:w="1861"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采购进口产品</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☑本采购项目拒绝进口产品参加。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1916" w:type="dxa"/>
            <w:vMerge w:val="restart"/>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第二章第9.1款</w:t>
            </w:r>
          </w:p>
        </w:tc>
        <w:tc>
          <w:tcPr>
            <w:tcW w:w="1861" w:type="dxa"/>
            <w:vAlign w:val="center"/>
          </w:tcPr>
          <w:p>
            <w:pPr>
              <w:spacing w:line="400" w:lineRule="exact"/>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政府采购强制采购：标记★符号的节能产品</w:t>
            </w:r>
          </w:p>
        </w:tc>
        <w:tc>
          <w:tcPr>
            <w:tcW w:w="6768" w:type="dxa"/>
            <w:vAlign w:val="center"/>
          </w:tcPr>
          <w:p>
            <w:pPr>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产品为《节能产品政府采购品目清单》（财库【2019】19号和《环境标志产品政府采购品目清单》（财库【2019】18号）内标记★符号的产品。属于强制性采购节能产品必须提供《市场监管总局关于发布参与实施政府采购节能产品、环境标志产品认证机构名录的公告》(2019年第16号)中认证机构出具的、处于有效期之内的节能产品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3" w:hRule="atLeast"/>
        </w:trPr>
        <w:tc>
          <w:tcPr>
            <w:tcW w:w="1916" w:type="dxa"/>
            <w:vMerge w:val="continue"/>
            <w:vAlign w:val="center"/>
          </w:tcPr>
          <w:p>
            <w:pPr>
              <w:adjustRightInd w:val="0"/>
              <w:snapToGrid w:val="0"/>
              <w:spacing w:line="400" w:lineRule="exact"/>
              <w:jc w:val="center"/>
              <w:rPr>
                <w:rFonts w:asciiTheme="minorEastAsia" w:hAnsiTheme="minorEastAsia" w:eastAsiaTheme="minorEastAsia" w:cstheme="minorEastAsia"/>
                <w:sz w:val="24"/>
                <w:szCs w:val="24"/>
              </w:rPr>
            </w:pPr>
          </w:p>
        </w:tc>
        <w:tc>
          <w:tcPr>
            <w:tcW w:w="1861" w:type="dxa"/>
            <w:vAlign w:val="center"/>
          </w:tcPr>
          <w:p>
            <w:pPr>
              <w:spacing w:line="4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政府采购优先采购：(1)非标记★符号的节能产品；(2)环境标志产品； </w:t>
            </w:r>
          </w:p>
        </w:tc>
        <w:tc>
          <w:tcPr>
            <w:tcW w:w="6768" w:type="dxa"/>
            <w:vAlign w:val="center"/>
          </w:tcPr>
          <w:p>
            <w:pPr>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产品为《节能产品政府采购品目清单》（财库【2019】19号和《环境标志产品政府采购品目清单》（财库【2019】18号）内的产品：投标文件中对所供产品为节能、环境标志产品清单中非标记★符号的产品，提供属于品目清单内产品的证明资料（提供相关品目清单，提供《市场监管总局关于发布参与实施政府采购节能产品、环境标志产品认证机构名录的公告》(2019年第16号)中认证机构出具的、处于有效期之内的节能产品、环境标志产品认证证书复印件并加盖公章），未提供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1916" w:type="dxa"/>
            <w:vMerge w:val="continue"/>
            <w:vAlign w:val="center"/>
          </w:tcPr>
          <w:p>
            <w:pPr>
              <w:adjustRightInd w:val="0"/>
              <w:snapToGrid w:val="0"/>
              <w:spacing w:line="400" w:lineRule="exact"/>
              <w:jc w:val="center"/>
              <w:rPr>
                <w:rFonts w:asciiTheme="minorEastAsia" w:hAnsiTheme="minorEastAsia" w:eastAsiaTheme="minorEastAsia" w:cstheme="minorEastAsia"/>
                <w:sz w:val="24"/>
                <w:szCs w:val="24"/>
              </w:rPr>
            </w:pPr>
          </w:p>
        </w:tc>
        <w:tc>
          <w:tcPr>
            <w:tcW w:w="1861" w:type="dxa"/>
            <w:vAlign w:val="center"/>
          </w:tcPr>
          <w:p>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w:t>
            </w:r>
            <w:r>
              <w:rPr>
                <w:rFonts w:hint="eastAsia" w:asciiTheme="minorEastAsia" w:hAnsiTheme="minorEastAsia" w:eastAsiaTheme="minorEastAsia" w:cstheme="minorEastAsia"/>
                <w:bCs/>
                <w:sz w:val="24"/>
                <w:szCs w:val="24"/>
              </w:rPr>
              <w:t>支持</w:t>
            </w:r>
            <w:r>
              <w:rPr>
                <w:rFonts w:hint="eastAsia" w:asciiTheme="minorEastAsia" w:hAnsiTheme="minorEastAsia" w:eastAsiaTheme="minorEastAsia" w:cstheme="minorEastAsia"/>
                <w:sz w:val="24"/>
                <w:szCs w:val="24"/>
              </w:rPr>
              <w:t>中小企业发展</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给予小型和微型企业产品的价格给予6%-10%的扣除，用扣除后的价格参与评审，本项目具体扣除比例为6%。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0545" w:type="dxa"/>
            <w:gridSpan w:val="3"/>
            <w:vAlign w:val="center"/>
          </w:tcPr>
          <w:p>
            <w:pPr>
              <w:adjustRightInd w:val="0"/>
              <w:snapToGrid w:val="0"/>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第二章第10.3款</w:t>
            </w:r>
          </w:p>
        </w:tc>
        <w:tc>
          <w:tcPr>
            <w:tcW w:w="1861" w:type="dxa"/>
            <w:vAlign w:val="center"/>
          </w:tcPr>
          <w:p>
            <w:pPr>
              <w:adjustRightInd w:val="0"/>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磋商文件的可能实质性变动内容</w:t>
            </w:r>
          </w:p>
        </w:tc>
        <w:tc>
          <w:tcPr>
            <w:tcW w:w="6768" w:type="dxa"/>
            <w:vAlign w:val="center"/>
          </w:tcPr>
          <w:p>
            <w:pPr>
              <w:adjustRightInd w:val="0"/>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第二章第11.1款</w:t>
            </w:r>
          </w:p>
        </w:tc>
        <w:tc>
          <w:tcPr>
            <w:tcW w:w="1861" w:type="dxa"/>
            <w:shd w:val="clear" w:color="auto" w:fill="auto"/>
            <w:vAlign w:val="center"/>
          </w:tcPr>
          <w:p>
            <w:pPr>
              <w:adjustRightInd w:val="0"/>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提交首次投标文件的截止时间</w:t>
            </w:r>
          </w:p>
        </w:tc>
        <w:tc>
          <w:tcPr>
            <w:tcW w:w="6768" w:type="dxa"/>
            <w:shd w:val="clear" w:color="auto" w:fill="auto"/>
            <w:vAlign w:val="center"/>
          </w:tcPr>
          <w:p>
            <w:pPr>
              <w:adjustRightInd w:val="0"/>
              <w:snapToGrid w:val="0"/>
              <w:spacing w:line="360" w:lineRule="exact"/>
              <w:rPr>
                <w:rFonts w:asciiTheme="minorEastAsia" w:hAnsiTheme="minorEastAsia" w:eastAsiaTheme="minorEastAsia" w:cstheme="minorEastAsia"/>
                <w:color w:val="FF0000"/>
                <w:sz w:val="24"/>
                <w:szCs w:val="24"/>
                <w:highlight w:val="yellow"/>
              </w:rPr>
            </w:pPr>
            <w:r>
              <w:rPr>
                <w:rFonts w:asciiTheme="minorEastAsia" w:hAnsiTheme="minorEastAsia" w:eastAsiaTheme="minorEastAsia" w:cstheme="minorEastAsia"/>
                <w:sz w:val="24"/>
                <w:szCs w:val="24"/>
              </w:rPr>
              <w:t>20</w:t>
            </w:r>
            <w:r>
              <w:rPr>
                <w:rFonts w:asciiTheme="minorEastAsia" w:hAnsiTheme="minorEastAsia" w:eastAsiaTheme="minorEastAsia" w:cstheme="minorEastAsia"/>
                <w:sz w:val="24"/>
                <w:szCs w:val="24"/>
                <w:lang w:val="en-US"/>
              </w:rPr>
              <w:t>21</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日上</w:t>
            </w:r>
            <w:r>
              <w:rPr>
                <w:rFonts w:hint="eastAsia" w:asciiTheme="minorEastAsia" w:hAnsiTheme="minorEastAsia" w:eastAsiaTheme="minorEastAsia" w:cstheme="minorEastAsia"/>
                <w:sz w:val="24"/>
                <w:szCs w:val="24"/>
                <w:lang w:val="en-US"/>
              </w:rPr>
              <w:t>午</w:t>
            </w:r>
            <w:r>
              <w:rPr>
                <w:rFonts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 w:hRule="atLeast"/>
        </w:trPr>
        <w:tc>
          <w:tcPr>
            <w:tcW w:w="10545" w:type="dxa"/>
            <w:gridSpan w:val="3"/>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三、投标文件的编写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第二章第15.5款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预算资金</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990000.00</w:t>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16"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第二章第16.3款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业绩</w:t>
            </w:r>
          </w:p>
        </w:tc>
        <w:tc>
          <w:tcPr>
            <w:tcW w:w="6768"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类似项目业绩证明材料要求能够提供成交通知书或合同</w:t>
            </w:r>
          </w:p>
        </w:tc>
      </w:tr>
    </w:tbl>
    <w:p>
      <w:pPr>
        <w:rPr>
          <w:rFonts w:asciiTheme="minorEastAsia" w:hAnsiTheme="minorEastAsia" w:eastAsiaTheme="minorEastAsia" w:cstheme="minorEastAsia"/>
          <w:sz w:val="24"/>
          <w:szCs w:val="24"/>
        </w:rPr>
        <w:sectPr>
          <w:pgSz w:w="11910" w:h="16840"/>
          <w:pgMar w:top="1440" w:right="1080" w:bottom="1440" w:left="1080" w:header="906" w:footer="895" w:gutter="0"/>
          <w:cols w:space="720" w:num="1"/>
        </w:sectPr>
      </w:pPr>
    </w:p>
    <w:p>
      <w:pPr>
        <w:pStyle w:val="13"/>
        <w:spacing w:before="4"/>
        <w:rPr>
          <w:rFonts w:asciiTheme="minorEastAsia" w:hAnsiTheme="minorEastAsia" w:eastAsiaTheme="minorEastAsia" w:cstheme="minorEastAsia"/>
        </w:rPr>
      </w:pPr>
    </w:p>
    <w:tbl>
      <w:tblPr>
        <w:tblStyle w:val="28"/>
        <w:tblpPr w:leftFromText="180" w:rightFromText="180" w:vertAnchor="text" w:horzAnchor="page" w:tblpX="468" w:tblpY="75"/>
        <w:tblOverlap w:val="never"/>
        <w:tblW w:w="11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861"/>
        <w:gridCol w:w="7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5" w:hRule="atLeast"/>
        </w:trPr>
        <w:tc>
          <w:tcPr>
            <w:tcW w:w="2217"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第二章第17.1款</w:t>
            </w:r>
          </w:p>
        </w:tc>
        <w:tc>
          <w:tcPr>
            <w:tcW w:w="1861" w:type="dxa"/>
            <w:vAlign w:val="center"/>
          </w:tcPr>
          <w:p>
            <w:pPr>
              <w:adjustRightInd w:val="0"/>
              <w:snapToGrid w:val="0"/>
              <w:spacing w:line="400" w:lineRule="exact"/>
              <w:ind w:left="-559" w:leftChars="-254" w:firstLine="609" w:firstLineChars="25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投标</w:t>
            </w:r>
            <w:r>
              <w:rPr>
                <w:rFonts w:hint="eastAsia" w:asciiTheme="minorEastAsia" w:hAnsiTheme="minorEastAsia" w:eastAsiaTheme="minorEastAsia" w:cstheme="minorEastAsia"/>
                <w:sz w:val="24"/>
                <w:szCs w:val="24"/>
              </w:rPr>
              <w:t>保证金</w:t>
            </w:r>
          </w:p>
        </w:tc>
        <w:tc>
          <w:tcPr>
            <w:tcW w:w="7064" w:type="dxa"/>
            <w:vAlign w:val="center"/>
          </w:tcPr>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1、投标保证金的形式：投标人必须从其基本账户转至招标人指定账户（不得为个人账户）。投标保证金必须以投标人名义交纳。</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2、缴纳方式：电汇、网银转账或保险保函；</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3、递交时间：在投标截止时间前由投标单位基本账户转入并到账（以到账时间为准，转账时须备注项目名称）,否则其投标被拒绝.</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4、投标人递交保证金后，需带银行开户许可证复印件至新疆金磐工程管理咨询有限公司领取投标保证金收据（地址：新疆伊犁州伊宁市经济合作区313线以西、新华西路以北西城天街A-E#商业楼C406领取保证金收据）；</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5、投标保证金的金额：小写：15000.00元（大写：壹万伍仟元整）</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6、依据伊州建招函[2019]1 号文件规定，投标人采用纸质保险保函方式作为投标保证金的，须在投标截止时间前将所投项目对应的“中国人民财产保险股份有限公司投标保证保险保函”密封随投标文件一起提交。</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7、投标人提交投标保证金应充分考虑资金在途时间。各投标单位缴纳投标保证金时须在附加信息及用途栏内注明“投标保证金、工程名称及标段”（以投标保证金接收方银行到账信息为准）。</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如为联合体投标，投标保证金须由联合体牵头人的基本账户转出。</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8、潜在投标人可以自主选择以上任一种递交方式提交保证金，若投标人未按照上述规定缴纳投标保证金,投标文件将被拒绝评审。</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开    户   名:新疆金磐工程管理咨询有限公司</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开  户  帐 户:8120 2051 2010 1075 52259</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开  户  银 行:新疆伊犁农村商业银行股份有限公司滨河支行</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开  户  行 号:402898000164</w:t>
            </w:r>
          </w:p>
          <w:p>
            <w:pPr>
              <w:adjustRightInd w:val="0"/>
              <w:snapToGrid w:val="0"/>
              <w:spacing w:line="40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联系人：杜美红</w:t>
            </w:r>
          </w:p>
          <w:p>
            <w:pPr>
              <w:adjustRightInd w:val="0"/>
              <w:snapToGrid w:val="0"/>
              <w:spacing w:line="400" w:lineRule="exact"/>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lang w:val="en-US"/>
              </w:rPr>
              <w:t>联系电话：13565477116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217"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第二章第18.1款</w:t>
            </w:r>
          </w:p>
        </w:tc>
        <w:tc>
          <w:tcPr>
            <w:tcW w:w="1861" w:type="dxa"/>
            <w:vAlign w:val="center"/>
          </w:tcPr>
          <w:p>
            <w:pPr>
              <w:adjustRightInd w:val="0"/>
              <w:snapToGrid w:val="0"/>
              <w:spacing w:line="4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投标文件有效期</w:t>
            </w:r>
          </w:p>
        </w:tc>
        <w:tc>
          <w:tcPr>
            <w:tcW w:w="7064" w:type="dxa"/>
            <w:vAlign w:val="center"/>
          </w:tcPr>
          <w:p>
            <w:pPr>
              <w:adjustRightInd w:val="0"/>
              <w:snapToGrid w:val="0"/>
              <w:spacing w:line="4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val="en-US"/>
              </w:rPr>
              <w:t>60</w:t>
            </w:r>
            <w:r>
              <w:rPr>
                <w:rFonts w:hint="eastAsia" w:asciiTheme="minorEastAsia" w:hAnsiTheme="minorEastAsia" w:eastAsiaTheme="minorEastAsia" w:cstheme="minorEastAsia"/>
                <w:sz w:val="24"/>
                <w:szCs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2217"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第二章第19.1款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投标文件</w:t>
            </w:r>
            <w:r>
              <w:rPr>
                <w:rFonts w:hint="eastAsia" w:asciiTheme="minorEastAsia" w:hAnsiTheme="minorEastAsia" w:eastAsiaTheme="minorEastAsia" w:cstheme="minorEastAsia"/>
                <w:sz w:val="24"/>
                <w:szCs w:val="24"/>
              </w:rPr>
              <w:t>份数</w:t>
            </w:r>
          </w:p>
        </w:tc>
        <w:tc>
          <w:tcPr>
            <w:tcW w:w="7064"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纸质版文件：投标文件一式3份，其中正本1份、副本2份，</w:t>
            </w:r>
            <w:r>
              <w:rPr>
                <w:rFonts w:hint="eastAsia" w:asciiTheme="minorEastAsia" w:hAnsiTheme="minorEastAsia" w:eastAsiaTheme="minorEastAsia" w:cstheme="minorEastAsia"/>
                <w:sz w:val="24"/>
                <w:szCs w:val="24"/>
                <w:lang w:val="en-US"/>
              </w:rPr>
              <w:t>纸质文件应胶装。</w:t>
            </w:r>
          </w:p>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电子版文件：U盘或光盘的电子版2份,且其内容必须与纸质投标文件内容一致，如不一致以纸质投标文件为准。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142" w:type="dxa"/>
            <w:gridSpan w:val="3"/>
            <w:vAlign w:val="center"/>
          </w:tcPr>
          <w:p>
            <w:pPr>
              <w:adjustRightInd w:val="0"/>
              <w:snapToGrid w:val="0"/>
              <w:spacing w:line="40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9" w:hRule="atLeast"/>
        </w:trPr>
        <w:tc>
          <w:tcPr>
            <w:tcW w:w="2217"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第二章第20.2款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封套上应载明的信息</w:t>
            </w:r>
          </w:p>
        </w:tc>
        <w:tc>
          <w:tcPr>
            <w:tcW w:w="7064" w:type="dxa"/>
            <w:vAlign w:val="center"/>
          </w:tcPr>
          <w:p>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收件人名称：新疆金磐工程管理咨询有限公司 </w:t>
            </w:r>
          </w:p>
          <w:p>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项目编号：                                         </w:t>
            </w:r>
          </w:p>
          <w:p>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项目名称：                  </w:t>
            </w:r>
          </w:p>
          <w:p>
            <w:pPr>
              <w:adjustRightInd w:val="0"/>
              <w:snapToGrid w:val="0"/>
              <w:spacing w:line="320" w:lineRule="exac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包装内容：投标文件正本/副本</w:t>
            </w:r>
            <w:r>
              <w:rPr>
                <w:rFonts w:hint="eastAsia" w:asciiTheme="minorEastAsia" w:hAnsiTheme="minorEastAsia" w:eastAsiaTheme="minorEastAsia" w:cstheme="minorEastAsia"/>
                <w:sz w:val="24"/>
                <w:szCs w:val="24"/>
                <w:lang w:val="en-US"/>
              </w:rPr>
              <w:t>/电子版</w:t>
            </w:r>
          </w:p>
          <w:p>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供应商名称：                 </w:t>
            </w:r>
          </w:p>
          <w:p>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供应商地址：                 </w:t>
            </w:r>
          </w:p>
          <w:p>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 系 人：                   </w:t>
            </w:r>
          </w:p>
          <w:p>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p>
          <w:p>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传    真：                   </w:t>
            </w:r>
          </w:p>
          <w:p>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在规定的招标时间  </w:t>
            </w:r>
            <w:r>
              <w:rPr>
                <w:rFonts w:hint="eastAsia" w:asciiTheme="minorEastAsia" w:hAnsiTheme="minorEastAsia" w:eastAsiaTheme="minorEastAsia" w:cstheme="minorEastAsia"/>
                <w:sz w:val="24"/>
                <w:szCs w:val="24"/>
                <w:lang w:val="en-US"/>
              </w:rPr>
              <w:t>2021</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日 </w:t>
            </w:r>
            <w:r>
              <w:rPr>
                <w:rFonts w:hint="eastAsia" w:asciiTheme="minorEastAsia" w:hAnsiTheme="minorEastAsia" w:eastAsiaTheme="minorEastAsia" w:cstheme="minorEastAsia"/>
                <w:sz w:val="24"/>
                <w:szCs w:val="24"/>
                <w:lang w:val="en-US"/>
              </w:rPr>
              <w:t>11：:00</w:t>
            </w:r>
            <w:r>
              <w:rPr>
                <w:rFonts w:hint="eastAsia" w:asciiTheme="minorEastAsia" w:hAnsiTheme="minorEastAsia" w:eastAsiaTheme="minorEastAsia" w:cstheme="minorEastAsia"/>
                <w:sz w:val="24"/>
                <w:szCs w:val="24"/>
              </w:rPr>
              <w:t xml:space="preserve"> 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217"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第二章第22.1款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投标文件的递交地点</w:t>
            </w:r>
          </w:p>
        </w:tc>
        <w:tc>
          <w:tcPr>
            <w:tcW w:w="7064"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新疆伊犁州伊宁市经济合作区313线以西、新华西路以北西城天街A-E#商业楼C406；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142" w:type="dxa"/>
            <w:gridSpan w:val="3"/>
            <w:vAlign w:val="center"/>
          </w:tcPr>
          <w:p>
            <w:pPr>
              <w:adjustRightInd w:val="0"/>
              <w:snapToGrid w:val="0"/>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五、成交结果信息公布与授予合同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217"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第二章第34.1款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财政部门指定的媒体</w:t>
            </w:r>
          </w:p>
        </w:tc>
        <w:tc>
          <w:tcPr>
            <w:tcW w:w="7064"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1" w:hRule="atLeast"/>
        </w:trPr>
        <w:tc>
          <w:tcPr>
            <w:tcW w:w="2217"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第二章第36.3款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履约担保</w:t>
            </w:r>
          </w:p>
        </w:tc>
        <w:tc>
          <w:tcPr>
            <w:tcW w:w="7064" w:type="dxa"/>
            <w:vAlign w:val="center"/>
          </w:tcPr>
          <w:p>
            <w:pPr>
              <w:adjustRightInd w:val="0"/>
              <w:snapToGrid w:val="0"/>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履约保证金金额：</w:t>
            </w:r>
            <w:r>
              <w:rPr>
                <w:rFonts w:hint="eastAsia" w:asciiTheme="minorEastAsia" w:hAnsiTheme="minorEastAsia" w:eastAsiaTheme="minorEastAsia" w:cstheme="minorEastAsia"/>
                <w:sz w:val="24"/>
                <w:szCs w:val="24"/>
                <w:lang w:val="en-US"/>
              </w:rPr>
              <w:t>/</w:t>
            </w:r>
          </w:p>
          <w:p>
            <w:pPr>
              <w:adjustRightInd w:val="0"/>
              <w:snapToGrid w:val="0"/>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履约保证金递交：成交供应商收到成交通知书后（签订合同前）向采购人缴纳；</w:t>
            </w:r>
          </w:p>
          <w:p>
            <w:pPr>
              <w:adjustRightInd w:val="0"/>
              <w:snapToGrid w:val="0"/>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履约保证金形式：现金或银行保函；</w:t>
            </w:r>
          </w:p>
          <w:p>
            <w:pPr>
              <w:adjustRightInd w:val="0"/>
              <w:snapToGrid w:val="0"/>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成交供应商未按招标文件规定缴纳履约保证金的，其招标保证金将不予退还。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1142" w:type="dxa"/>
            <w:gridSpan w:val="3"/>
            <w:vAlign w:val="center"/>
          </w:tcPr>
          <w:p>
            <w:pPr>
              <w:adjustRightInd w:val="0"/>
              <w:snapToGrid w:val="0"/>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2217" w:type="dxa"/>
            <w:vAlign w:val="center"/>
          </w:tcPr>
          <w:p>
            <w:pPr>
              <w:adjustRightInd w:val="0"/>
              <w:snapToGrid w:val="0"/>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第二章第38.1款</w:t>
            </w: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w:t>
            </w:r>
          </w:p>
        </w:tc>
        <w:tc>
          <w:tcPr>
            <w:tcW w:w="7064" w:type="dxa"/>
            <w:vAlign w:val="center"/>
          </w:tcPr>
          <w:p>
            <w:pPr>
              <w:adjustRightInd w:val="0"/>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参照发改价格[2011]534号文收取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2217" w:type="dxa"/>
            <w:vAlign w:val="center"/>
          </w:tcPr>
          <w:p>
            <w:pPr>
              <w:adjustRightInd w:val="0"/>
              <w:snapToGrid w:val="0"/>
              <w:spacing w:line="400" w:lineRule="exact"/>
              <w:jc w:val="center"/>
              <w:rPr>
                <w:rFonts w:asciiTheme="minorEastAsia" w:hAnsiTheme="minorEastAsia" w:eastAsiaTheme="minorEastAsia" w:cstheme="minorEastAsia"/>
                <w:sz w:val="24"/>
                <w:szCs w:val="24"/>
              </w:rPr>
            </w:pPr>
          </w:p>
        </w:tc>
        <w:tc>
          <w:tcPr>
            <w:tcW w:w="1861" w:type="dxa"/>
            <w:vAlign w:val="center"/>
          </w:tcPr>
          <w:p>
            <w:pPr>
              <w:pStyle w:val="38"/>
              <w:adjustRightInd w:val="0"/>
              <w:snapToGrid w:val="0"/>
              <w:spacing w:before="120" w:beforeLines="50"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招标小组的组建及评审专家的确定方式</w:t>
            </w:r>
          </w:p>
        </w:tc>
        <w:tc>
          <w:tcPr>
            <w:tcW w:w="7064" w:type="dxa"/>
            <w:vAlign w:val="center"/>
          </w:tcPr>
          <w:p>
            <w:pPr>
              <w:pStyle w:val="38"/>
              <w:adjustRightInd w:val="0"/>
              <w:snapToGrid w:val="0"/>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招标采购单位依法组建招标小组共5人组成，其中采购人代表1人，专家4人。</w:t>
            </w:r>
          </w:p>
          <w:p>
            <w:pPr>
              <w:pStyle w:val="38"/>
              <w:adjustRightInd w:val="0"/>
              <w:snapToGrid w:val="0"/>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小组确定方式：从新疆政府采购网随机抽取确定。</w:t>
            </w:r>
          </w:p>
          <w:p>
            <w:pPr>
              <w:pStyle w:val="38"/>
              <w:adjustRightInd w:val="0"/>
              <w:snapToGrid w:val="0"/>
              <w:spacing w:before="120" w:beforeLines="50"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☑计算机随机抽取语音通知方式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3" w:hRule="atLeast"/>
        </w:trPr>
        <w:tc>
          <w:tcPr>
            <w:tcW w:w="2217" w:type="dxa"/>
            <w:vAlign w:val="center"/>
          </w:tcPr>
          <w:p>
            <w:pPr>
              <w:adjustRightInd w:val="0"/>
              <w:snapToGrid w:val="0"/>
              <w:spacing w:line="400" w:lineRule="exact"/>
              <w:jc w:val="center"/>
              <w:rPr>
                <w:rFonts w:asciiTheme="minorEastAsia" w:hAnsiTheme="minorEastAsia" w:eastAsiaTheme="minorEastAsia" w:cstheme="minorEastAsia"/>
                <w:sz w:val="24"/>
                <w:szCs w:val="24"/>
              </w:rPr>
            </w:pPr>
          </w:p>
        </w:tc>
        <w:tc>
          <w:tcPr>
            <w:tcW w:w="1861" w:type="dxa"/>
            <w:vAlign w:val="center"/>
          </w:tcPr>
          <w:p>
            <w:pPr>
              <w:adjustRightInd w:val="0"/>
              <w:snapToGrid w:val="0"/>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招标会现场供应商需提供下</w:t>
            </w:r>
            <w:r>
              <w:rPr>
                <w:rFonts w:hint="eastAsia" w:asciiTheme="minorEastAsia" w:hAnsiTheme="minorEastAsia" w:eastAsiaTheme="minorEastAsia" w:cstheme="minorEastAsia"/>
                <w:color w:val="000000" w:themeColor="text1"/>
                <w:sz w:val="24"/>
                <w:szCs w:val="24"/>
                <w14:textFill>
                  <w14:solidFill>
                    <w14:schemeClr w14:val="tx1"/>
                  </w14:solidFill>
                </w14:textFill>
              </w:rPr>
              <w:t>列证件</w:t>
            </w:r>
            <w:ins w:id="3" w:author="胡智行" w:date="2021-09-23T12:57:00Z">
              <w:r>
                <w:rPr>
                  <w:rFonts w:hint="eastAsia" w:asciiTheme="minorEastAsia" w:hAnsiTheme="minorEastAsia" w:eastAsiaTheme="minorEastAsia" w:cstheme="minorEastAsia"/>
                  <w:color w:val="000000" w:themeColor="text1"/>
                  <w:sz w:val="24"/>
                  <w:szCs w:val="24"/>
                  <w14:textFill>
                    <w14:solidFill>
                      <w14:schemeClr w14:val="tx1"/>
                    </w14:solidFill>
                  </w14:textFill>
                </w:rPr>
                <w:t>加盖公章的复印件</w:t>
              </w:r>
            </w:ins>
          </w:p>
        </w:tc>
        <w:tc>
          <w:tcPr>
            <w:tcW w:w="7064" w:type="dxa"/>
            <w:vAlign w:val="center"/>
          </w:tcPr>
          <w:p>
            <w:pPr>
              <w:adjustRightInd w:val="0"/>
              <w:snapToGrid w:val="0"/>
              <w:spacing w:line="3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asciiTheme="minorEastAsia" w:hAnsiTheme="minorEastAsia" w:eastAsiaTheme="minorEastAsia" w:cstheme="minorEastAsia"/>
                <w:color w:val="000000"/>
                <w:sz w:val="24"/>
                <w:szCs w:val="24"/>
              </w:rPr>
              <w:t>1）法定代表人参加时提供：法定代表人身份证、法定代表人身份证明；或委托代理人参加时提供：委托代理人身份证、授权委托书；</w:t>
            </w:r>
          </w:p>
          <w:p>
            <w:pPr>
              <w:adjustRightInd w:val="0"/>
              <w:snapToGrid w:val="0"/>
              <w:spacing w:line="360" w:lineRule="exact"/>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w:t>
            </w:r>
            <w:r>
              <w:rPr>
                <w:rFonts w:asciiTheme="minorEastAsia" w:hAnsiTheme="minorEastAsia" w:eastAsiaTheme="minorEastAsia" w:cstheme="minorEastAsia"/>
                <w:color w:val="000000"/>
                <w:sz w:val="24"/>
                <w:szCs w:val="24"/>
              </w:rPr>
              <w:t>2）企业营业执照</w:t>
            </w:r>
            <w:r>
              <w:rPr>
                <w:rFonts w:hint="eastAsia" w:asciiTheme="minorEastAsia" w:hAnsiTheme="minorEastAsia" w:eastAsiaTheme="minorEastAsia" w:cstheme="minorEastAsia"/>
                <w:color w:val="000000"/>
                <w:sz w:val="24"/>
                <w:szCs w:val="24"/>
              </w:rPr>
              <w:t>（如三证合一的只需提供企业营业执照，非三证合一的需提供企业营业执照、组织机构代码证、税务登记证）；</w:t>
            </w:r>
          </w:p>
          <w:p>
            <w:pPr>
              <w:adjustRightInd w:val="0"/>
              <w:snapToGrid w:val="0"/>
              <w:spacing w:line="360" w:lineRule="exact"/>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w:t>
            </w:r>
            <w:r>
              <w:rPr>
                <w:rFonts w:asciiTheme="minorEastAsia" w:hAnsiTheme="minorEastAsia" w:eastAsiaTheme="minorEastAsia" w:cstheme="minorEastAsia"/>
                <w:color w:val="000000"/>
                <w:sz w:val="24"/>
                <w:szCs w:val="24"/>
                <w:lang w:val="en-US"/>
              </w:rPr>
              <w:t>3）资质证书；</w:t>
            </w:r>
          </w:p>
          <w:p>
            <w:pPr>
              <w:adjustRightInd w:val="0"/>
              <w:snapToGrid w:val="0"/>
              <w:spacing w:line="360" w:lineRule="exact"/>
              <w:rPr>
                <w:ins w:id="4" w:author="Crazy俊" w:date="2021-09-26T16:42:00Z"/>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w:t>
            </w:r>
            <w:ins w:id="5" w:author="胡智行" w:date="2021-09-23T13:04:00Z">
              <w:r>
                <w:rPr>
                  <w:rFonts w:asciiTheme="minorEastAsia" w:hAnsiTheme="minorEastAsia" w:eastAsiaTheme="minorEastAsia" w:cstheme="minorEastAsia"/>
                  <w:color w:val="000000"/>
                  <w:sz w:val="24"/>
                  <w:szCs w:val="24"/>
                  <w:lang w:val="en-US"/>
                </w:rPr>
                <w:t>4</w:t>
              </w:r>
            </w:ins>
            <w:r>
              <w:rPr>
                <w:rFonts w:hint="eastAsia" w:asciiTheme="minorEastAsia" w:hAnsiTheme="minorEastAsia" w:eastAsiaTheme="minorEastAsia" w:cstheme="minorEastAsia"/>
                <w:color w:val="000000"/>
                <w:sz w:val="24"/>
                <w:szCs w:val="24"/>
                <w:lang w:val="en-US"/>
              </w:rPr>
              <w:t>）投标保证金收据；</w:t>
            </w:r>
          </w:p>
          <w:p>
            <w:pPr>
              <w:adjustRightInd w:val="0"/>
              <w:snapToGrid w:val="0"/>
              <w:spacing w:line="360" w:lineRule="exact"/>
              <w:rPr>
                <w:rFonts w:asciiTheme="minorEastAsia" w:hAnsiTheme="minorEastAsia" w:eastAsiaTheme="minorEastAsia" w:cstheme="minorEastAsia"/>
                <w:sz w:val="24"/>
                <w:szCs w:val="24"/>
              </w:rPr>
            </w:pPr>
            <w:ins w:id="6" w:author="Crazy俊" w:date="2021-09-26T16:42:00Z">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注：以上资质证件须为有效证件原件或加盖公章复印件，在开标时供应商必须随身携带，现场递交，如不提供其投标将被拒绝（投标文件中也必须附有相同的资质证件复印件并加盖公章）</w:t>
              </w:r>
            </w:ins>
            <w:ins w:id="7" w:author="Crazy俊" w:date="2021-09-26T16:42:00Z">
              <w:r>
                <w:rPr>
                  <w:rFonts w:hint="eastAsia" w:asciiTheme="minorEastAsia" w:hAnsiTheme="minorEastAsia" w:eastAsiaTheme="minorEastAsia" w:cstheme="minorEastAsia"/>
                  <w:color w:val="000000" w:themeColor="text1"/>
                  <w:sz w:val="24"/>
                  <w:szCs w:val="24"/>
                  <w14:textFill>
                    <w14:solidFill>
                      <w14:schemeClr w14:val="tx1"/>
                    </w14:solidFill>
                  </w14:textFill>
                </w:rPr>
                <w:t>。</w:t>
              </w:r>
            </w:ins>
          </w:p>
        </w:tc>
      </w:tr>
    </w:tbl>
    <w:p>
      <w:pPr>
        <w:rPr>
          <w:sz w:val="24"/>
        </w:rPr>
        <w:sectPr>
          <w:pgSz w:w="11910" w:h="16840"/>
          <w:pgMar w:top="1440" w:right="1080" w:bottom="1440" w:left="1080" w:header="906" w:footer="895" w:gutter="0"/>
          <w:cols w:space="720" w:num="1"/>
        </w:sectPr>
      </w:pPr>
    </w:p>
    <w:tbl>
      <w:tblPr>
        <w:tblStyle w:val="28"/>
        <w:tblW w:w="11032" w:type="dxa"/>
        <w:tblInd w:w="-6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0"/>
        <w:gridCol w:w="2665"/>
        <w:gridCol w:w="6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80" w:type="dxa"/>
          </w:tcPr>
          <w:p>
            <w:pPr>
              <w:pStyle w:val="37"/>
              <w:spacing w:before="7"/>
              <w:rPr>
                <w:rFonts w:ascii="Times New Roman"/>
                <w:sz w:val="20"/>
              </w:rPr>
            </w:pPr>
          </w:p>
          <w:p>
            <w:pPr>
              <w:pStyle w:val="37"/>
              <w:spacing w:before="1"/>
              <w:ind w:right="117"/>
              <w:jc w:val="right"/>
              <w:rPr>
                <w:rFonts w:ascii="微软雅黑"/>
                <w:b/>
                <w:sz w:val="24"/>
              </w:rPr>
            </w:pPr>
            <w:r>
              <w:rPr>
                <w:rFonts w:ascii="微软雅黑"/>
                <w:b/>
                <w:w w:val="167"/>
                <w:sz w:val="24"/>
              </w:rPr>
              <w:t xml:space="preserve"> </w:t>
            </w:r>
          </w:p>
        </w:tc>
        <w:tc>
          <w:tcPr>
            <w:tcW w:w="2665" w:type="dxa"/>
          </w:tcPr>
          <w:p>
            <w:pPr>
              <w:pStyle w:val="37"/>
              <w:spacing w:before="2"/>
              <w:ind w:left="366"/>
              <w:rPr>
                <w:sz w:val="24"/>
                <w:szCs w:val="24"/>
              </w:rPr>
            </w:pPr>
            <w:r>
              <w:rPr>
                <w:rFonts w:hint="eastAsia"/>
                <w:sz w:val="24"/>
                <w:szCs w:val="24"/>
              </w:rPr>
              <w:t>技术部分是否采用</w:t>
            </w:r>
            <w:r>
              <w:rPr>
                <w:rFonts w:hint="eastAsia"/>
                <w:w w:val="167"/>
                <w:sz w:val="24"/>
                <w:szCs w:val="24"/>
              </w:rPr>
              <w:t xml:space="preserve"> </w:t>
            </w:r>
          </w:p>
          <w:p>
            <w:pPr>
              <w:pStyle w:val="37"/>
              <w:spacing w:before="26"/>
              <w:ind w:left="366"/>
              <w:rPr>
                <w:sz w:val="24"/>
                <w:szCs w:val="24"/>
              </w:rPr>
            </w:pPr>
            <w:r>
              <w:rPr>
                <w:rFonts w:hint="eastAsia"/>
                <w:sz w:val="24"/>
                <w:szCs w:val="24"/>
              </w:rPr>
              <w:t>“暗标”评审方式</w:t>
            </w:r>
            <w:r>
              <w:rPr>
                <w:rFonts w:hint="eastAsia"/>
                <w:w w:val="167"/>
                <w:sz w:val="24"/>
                <w:szCs w:val="24"/>
              </w:rPr>
              <w:t xml:space="preserve"> </w:t>
            </w:r>
          </w:p>
        </w:tc>
        <w:tc>
          <w:tcPr>
            <w:tcW w:w="6887" w:type="dxa"/>
          </w:tcPr>
          <w:p>
            <w:pPr>
              <w:pStyle w:val="37"/>
              <w:spacing w:before="79"/>
              <w:ind w:left="107"/>
              <w:rPr>
                <w:sz w:val="24"/>
              </w:rPr>
            </w:pPr>
            <w:r>
              <w:rPr>
                <w:rFonts w:ascii="Wingdings" w:hAnsi="Wingdings" w:eastAsia="Wingdings"/>
                <w:sz w:val="24"/>
              </w:rPr>
              <w:t></w:t>
            </w:r>
            <w:r>
              <w:rPr>
                <w:sz w:val="24"/>
              </w:rPr>
              <w:t xml:space="preserve">否 </w:t>
            </w:r>
          </w:p>
          <w:p>
            <w:pPr>
              <w:pStyle w:val="37"/>
              <w:numPr>
                <w:ilvl w:val="0"/>
                <w:numId w:val="2"/>
              </w:numPr>
              <w:tabs>
                <w:tab w:val="left" w:pos="349"/>
              </w:tabs>
              <w:spacing w:before="161"/>
              <w:ind w:hanging="242"/>
              <w:rPr>
                <w:sz w:val="24"/>
              </w:rPr>
            </w:pPr>
            <w:r>
              <w:rPr>
                <w:sz w:val="24"/>
              </w:rPr>
              <w:t xml:space="preserve">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1480" w:type="dxa"/>
          </w:tcPr>
          <w:p>
            <w:pPr>
              <w:pStyle w:val="37"/>
              <w:jc w:val="center"/>
              <w:rPr>
                <w:rFonts w:ascii="Times New Roman"/>
                <w:sz w:val="24"/>
              </w:rPr>
            </w:pPr>
          </w:p>
          <w:p>
            <w:pPr>
              <w:pStyle w:val="37"/>
              <w:jc w:val="center"/>
              <w:rPr>
                <w:rFonts w:ascii="Times New Roman"/>
                <w:sz w:val="24"/>
              </w:rPr>
            </w:pPr>
          </w:p>
          <w:p>
            <w:pPr>
              <w:pStyle w:val="37"/>
              <w:jc w:val="center"/>
              <w:rPr>
                <w:rFonts w:ascii="Times New Roman"/>
                <w:sz w:val="24"/>
              </w:rPr>
            </w:pPr>
          </w:p>
          <w:p>
            <w:pPr>
              <w:pStyle w:val="37"/>
              <w:jc w:val="center"/>
              <w:rPr>
                <w:rFonts w:ascii="Times New Roman"/>
                <w:sz w:val="24"/>
              </w:rPr>
            </w:pPr>
          </w:p>
          <w:p>
            <w:pPr>
              <w:pStyle w:val="37"/>
              <w:jc w:val="center"/>
              <w:rPr>
                <w:rFonts w:ascii="Times New Roman"/>
                <w:sz w:val="24"/>
              </w:rPr>
            </w:pPr>
          </w:p>
          <w:p>
            <w:pPr>
              <w:pStyle w:val="37"/>
              <w:jc w:val="center"/>
              <w:rPr>
                <w:rFonts w:ascii="Times New Roman"/>
                <w:sz w:val="24"/>
              </w:rPr>
            </w:pPr>
          </w:p>
          <w:p>
            <w:pPr>
              <w:pStyle w:val="37"/>
              <w:jc w:val="center"/>
              <w:rPr>
                <w:rFonts w:ascii="Times New Roman"/>
                <w:sz w:val="24"/>
              </w:rPr>
            </w:pPr>
          </w:p>
          <w:p>
            <w:pPr>
              <w:pStyle w:val="37"/>
              <w:jc w:val="center"/>
              <w:rPr>
                <w:rFonts w:ascii="Times New Roman"/>
                <w:sz w:val="24"/>
              </w:rPr>
            </w:pPr>
          </w:p>
          <w:p>
            <w:pPr>
              <w:pStyle w:val="37"/>
              <w:spacing w:before="1"/>
              <w:jc w:val="center"/>
              <w:rPr>
                <w:rFonts w:ascii="Times New Roman"/>
                <w:sz w:val="32"/>
              </w:rPr>
            </w:pPr>
          </w:p>
          <w:p>
            <w:pPr>
              <w:pStyle w:val="37"/>
              <w:ind w:right="117"/>
              <w:jc w:val="center"/>
              <w:rPr>
                <w:rFonts w:ascii="微软雅黑"/>
                <w:b/>
                <w:sz w:val="24"/>
              </w:rPr>
            </w:pPr>
          </w:p>
        </w:tc>
        <w:tc>
          <w:tcPr>
            <w:tcW w:w="2665" w:type="dxa"/>
          </w:tcPr>
          <w:p>
            <w:pPr>
              <w:pStyle w:val="37"/>
              <w:jc w:val="center"/>
              <w:rPr>
                <w:sz w:val="24"/>
                <w:szCs w:val="24"/>
              </w:rPr>
            </w:pPr>
          </w:p>
          <w:p>
            <w:pPr>
              <w:pStyle w:val="37"/>
              <w:jc w:val="center"/>
              <w:rPr>
                <w:sz w:val="24"/>
                <w:szCs w:val="24"/>
              </w:rPr>
            </w:pPr>
          </w:p>
          <w:p>
            <w:pPr>
              <w:pStyle w:val="37"/>
              <w:spacing w:before="1"/>
              <w:jc w:val="center"/>
              <w:rPr>
                <w:sz w:val="24"/>
                <w:szCs w:val="24"/>
              </w:rPr>
            </w:pPr>
          </w:p>
          <w:p>
            <w:pPr>
              <w:pStyle w:val="37"/>
              <w:ind w:left="849"/>
              <w:jc w:val="center"/>
              <w:rPr>
                <w:sz w:val="24"/>
                <w:szCs w:val="24"/>
              </w:rPr>
            </w:pPr>
          </w:p>
          <w:p>
            <w:pPr>
              <w:pStyle w:val="37"/>
              <w:jc w:val="center"/>
              <w:rPr>
                <w:sz w:val="24"/>
                <w:szCs w:val="24"/>
              </w:rPr>
            </w:pPr>
            <w:r>
              <w:rPr>
                <w:rFonts w:hint="eastAsia"/>
                <w:sz w:val="24"/>
                <w:szCs w:val="24"/>
              </w:rPr>
              <w:t>评审方法</w:t>
            </w:r>
          </w:p>
        </w:tc>
        <w:tc>
          <w:tcPr>
            <w:tcW w:w="6887" w:type="dxa"/>
          </w:tcPr>
          <w:p>
            <w:pPr>
              <w:pStyle w:val="37"/>
              <w:spacing w:before="79"/>
              <w:ind w:left="107"/>
              <w:rPr>
                <w:sz w:val="24"/>
              </w:rPr>
            </w:pPr>
            <w:r>
              <w:rPr>
                <w:rFonts w:ascii="Wingdings" w:hAnsi="Wingdings" w:eastAsia="Wingdings"/>
                <w:sz w:val="24"/>
              </w:rPr>
              <w:t></w:t>
            </w:r>
            <w:r>
              <w:rPr>
                <w:sz w:val="24"/>
              </w:rPr>
              <w:t xml:space="preserve">资格后审 </w:t>
            </w:r>
            <w:r>
              <w:rPr>
                <w:rFonts w:hint="eastAsia" w:ascii="MS Mincho" w:hAnsi="MS Mincho" w:eastAsia="MS Mincho"/>
                <w:sz w:val="24"/>
              </w:rPr>
              <w:t>☐</w:t>
            </w:r>
            <w:r>
              <w:rPr>
                <w:sz w:val="24"/>
              </w:rPr>
              <w:t xml:space="preserve">资格预审 </w:t>
            </w:r>
          </w:p>
          <w:p>
            <w:pPr>
              <w:tabs>
                <w:tab w:val="left" w:pos="741"/>
                <w:tab w:val="left" w:pos="1642"/>
                <w:tab w:val="left" w:pos="3363"/>
                <w:tab w:val="left" w:pos="3887"/>
                <w:tab w:val="left" w:pos="9649"/>
              </w:tabs>
              <w:spacing w:line="360" w:lineRule="auto"/>
              <w:rPr>
                <w:sz w:val="24"/>
              </w:rPr>
            </w:pPr>
            <w:r>
              <w:rPr>
                <w:rFonts w:hint="eastAsia" w:asciiTheme="minorEastAsia" w:hAnsiTheme="minorEastAsia" w:eastAsiaTheme="minorEastAsia" w:cstheme="minorEastAsia"/>
                <w:sz w:val="24"/>
              </w:rPr>
              <w:t>磋商小组应当根据综合评分情况，按照评审得分由高到低顺序推荐3名成交候选供应商。评审得分相同的，按照最终报价由低到高的顺序推荐。评审得分且最终报价相同的，按照技术指标优劣顺序推荐。</w:t>
            </w:r>
          </w:p>
        </w:tc>
      </w:tr>
    </w:tbl>
    <w:tbl>
      <w:tblPr>
        <w:tblStyle w:val="28"/>
        <w:tblpPr w:leftFromText="180" w:rightFromText="180" w:vertAnchor="text" w:horzAnchor="page" w:tblpX="567" w:tblpY="27"/>
        <w:tblOverlap w:val="never"/>
        <w:tblW w:w="11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9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366" w:type="dxa"/>
            <w:vAlign w:val="center"/>
          </w:tcPr>
          <w:p>
            <w:pPr>
              <w:adjustRightInd w:val="0"/>
              <w:snapToGrid w:val="0"/>
              <w:spacing w:line="400" w:lineRule="exact"/>
              <w:jc w:val="center"/>
              <w:rPr>
                <w:szCs w:val="21"/>
              </w:rPr>
            </w:pPr>
            <w:r>
              <w:rPr>
                <w:rFonts w:hint="eastAsia"/>
                <w:szCs w:val="21"/>
              </w:rPr>
              <w:t>付款方式</w:t>
            </w:r>
          </w:p>
        </w:tc>
        <w:tc>
          <w:tcPr>
            <w:tcW w:w="9674" w:type="dxa"/>
            <w:vAlign w:val="center"/>
          </w:tcPr>
          <w:p>
            <w:pPr>
              <w:adjustRightInd w:val="0"/>
              <w:snapToGrid w:val="0"/>
              <w:spacing w:line="360" w:lineRule="exact"/>
              <w:rPr>
                <w:color w:val="FF0000"/>
                <w:szCs w:val="21"/>
              </w:rPr>
            </w:pPr>
            <w:r>
              <w:rPr>
                <w:rFonts w:hint="eastAsia"/>
                <w:color w:val="000000"/>
                <w:szCs w:val="21"/>
              </w:rPr>
              <w:t>按照合同约定付款</w:t>
            </w:r>
          </w:p>
        </w:tc>
      </w:tr>
    </w:tbl>
    <w:p>
      <w:pPr>
        <w:pStyle w:val="13"/>
        <w:spacing w:before="160" w:line="364" w:lineRule="auto"/>
        <w:ind w:right="1796"/>
        <w:rPr>
          <w:sz w:val="14"/>
        </w:rPr>
        <w:sectPr>
          <w:pgSz w:w="11910" w:h="16840"/>
          <w:pgMar w:top="1440" w:right="1080" w:bottom="1440" w:left="1080" w:header="906" w:footer="895" w:gutter="0"/>
          <w:cols w:space="720" w:num="1"/>
        </w:sectPr>
      </w:pPr>
    </w:p>
    <w:p>
      <w:pPr>
        <w:adjustRightInd w:val="0"/>
        <w:snapToGrid w:val="0"/>
        <w:spacing w:line="360" w:lineRule="auto"/>
        <w:jc w:val="center"/>
        <w:outlineLvl w:val="1"/>
        <w:rPr>
          <w:b/>
          <w:sz w:val="24"/>
        </w:rPr>
      </w:pPr>
      <w:bookmarkStart w:id="38" w:name="_Toc26558"/>
      <w:bookmarkStart w:id="39" w:name="_Toc474235943"/>
      <w:r>
        <w:rPr>
          <w:rFonts w:hint="eastAsia"/>
          <w:b/>
          <w:sz w:val="24"/>
        </w:rPr>
        <w:t>投标须知正文</w:t>
      </w:r>
      <w:bookmarkEnd w:id="38"/>
      <w:bookmarkEnd w:id="39"/>
    </w:p>
    <w:p>
      <w:pPr>
        <w:adjustRightInd w:val="0"/>
        <w:snapToGrid w:val="0"/>
        <w:spacing w:line="360" w:lineRule="auto"/>
        <w:outlineLvl w:val="1"/>
        <w:rPr>
          <w:b/>
          <w:sz w:val="24"/>
        </w:rPr>
      </w:pPr>
      <w:bookmarkStart w:id="40" w:name="_Toc420948008"/>
      <w:bookmarkStart w:id="41" w:name="_Toc19412"/>
      <w:bookmarkStart w:id="42" w:name="_Toc474235944"/>
      <w:bookmarkStart w:id="43" w:name="_Toc5469"/>
      <w:r>
        <w:rPr>
          <w:rFonts w:hint="eastAsia"/>
          <w:b/>
          <w:sz w:val="24"/>
        </w:rPr>
        <w:t>一、</w:t>
      </w:r>
      <w:bookmarkEnd w:id="40"/>
      <w:r>
        <w:rPr>
          <w:rFonts w:hint="eastAsia"/>
          <w:b/>
          <w:sz w:val="24"/>
        </w:rPr>
        <w:t>总则</w:t>
      </w:r>
      <w:bookmarkEnd w:id="41"/>
      <w:bookmarkEnd w:id="42"/>
      <w:bookmarkEnd w:id="43"/>
    </w:p>
    <w:p>
      <w:pPr>
        <w:adjustRightInd w:val="0"/>
        <w:snapToGrid w:val="0"/>
        <w:spacing w:line="360" w:lineRule="auto"/>
        <w:outlineLvl w:val="2"/>
        <w:rPr>
          <w:b/>
          <w:szCs w:val="21"/>
        </w:rPr>
      </w:pPr>
      <w:bookmarkStart w:id="44" w:name="_Toc11523"/>
      <w:bookmarkStart w:id="45" w:name="_Toc27823"/>
      <w:r>
        <w:rPr>
          <w:rFonts w:hint="eastAsia"/>
          <w:b/>
          <w:szCs w:val="21"/>
        </w:rPr>
        <w:t>1. 项目概况</w:t>
      </w:r>
      <w:bookmarkEnd w:id="44"/>
      <w:bookmarkEnd w:id="45"/>
    </w:p>
    <w:p>
      <w:pPr>
        <w:adjustRightInd w:val="0"/>
        <w:snapToGrid w:val="0"/>
        <w:spacing w:line="360" w:lineRule="auto"/>
        <w:ind w:firstLine="440" w:firstLineChars="200"/>
        <w:rPr>
          <w:szCs w:val="21"/>
        </w:rPr>
      </w:pPr>
      <w:r>
        <w:rPr>
          <w:rFonts w:hint="eastAsia"/>
          <w:szCs w:val="21"/>
        </w:rPr>
        <w:t>1.1项目名称：详见</w:t>
      </w:r>
      <w:r>
        <w:rPr>
          <w:rFonts w:hint="eastAsia"/>
          <w:b/>
          <w:szCs w:val="21"/>
        </w:rPr>
        <w:t>投标须知前附表</w:t>
      </w:r>
      <w:r>
        <w:rPr>
          <w:rFonts w:hint="eastAsia"/>
          <w:szCs w:val="21"/>
        </w:rPr>
        <w:t>；</w:t>
      </w:r>
    </w:p>
    <w:p>
      <w:pPr>
        <w:adjustRightInd w:val="0"/>
        <w:snapToGrid w:val="0"/>
        <w:spacing w:line="360" w:lineRule="auto"/>
        <w:ind w:firstLine="440" w:firstLineChars="200"/>
        <w:rPr>
          <w:szCs w:val="21"/>
        </w:rPr>
      </w:pPr>
      <w:r>
        <w:rPr>
          <w:rFonts w:hint="eastAsia"/>
          <w:szCs w:val="21"/>
        </w:rPr>
        <w:t>1.2采购范围：详见</w:t>
      </w:r>
      <w:r>
        <w:rPr>
          <w:rFonts w:hint="eastAsia"/>
          <w:b/>
          <w:szCs w:val="21"/>
        </w:rPr>
        <w:t>投标须知前附表</w:t>
      </w:r>
      <w:r>
        <w:rPr>
          <w:rFonts w:hint="eastAsia"/>
          <w:szCs w:val="21"/>
        </w:rPr>
        <w:t>；</w:t>
      </w:r>
    </w:p>
    <w:p>
      <w:pPr>
        <w:adjustRightInd w:val="0"/>
        <w:snapToGrid w:val="0"/>
        <w:spacing w:line="360" w:lineRule="auto"/>
        <w:ind w:firstLine="440" w:firstLineChars="200"/>
        <w:rPr>
          <w:szCs w:val="21"/>
        </w:rPr>
      </w:pPr>
      <w:r>
        <w:rPr>
          <w:rFonts w:hint="eastAsia"/>
          <w:szCs w:val="21"/>
        </w:rPr>
        <w:t>1.3项目地点：详见</w:t>
      </w:r>
      <w:r>
        <w:rPr>
          <w:rFonts w:hint="eastAsia"/>
          <w:b/>
          <w:szCs w:val="21"/>
        </w:rPr>
        <w:t>投标须知前附表</w:t>
      </w:r>
      <w:r>
        <w:rPr>
          <w:rFonts w:hint="eastAsia"/>
          <w:szCs w:val="21"/>
        </w:rPr>
        <w:t>；</w:t>
      </w:r>
    </w:p>
    <w:p>
      <w:pPr>
        <w:adjustRightInd w:val="0"/>
        <w:snapToGrid w:val="0"/>
        <w:spacing w:line="360" w:lineRule="auto"/>
        <w:ind w:firstLine="440" w:firstLineChars="200"/>
        <w:rPr>
          <w:szCs w:val="21"/>
        </w:rPr>
      </w:pPr>
      <w:r>
        <w:rPr>
          <w:rFonts w:hint="eastAsia"/>
          <w:szCs w:val="21"/>
        </w:rPr>
        <w:t>1.4采购方式：详见</w:t>
      </w:r>
      <w:r>
        <w:rPr>
          <w:rFonts w:hint="eastAsia"/>
          <w:b/>
          <w:szCs w:val="21"/>
        </w:rPr>
        <w:t>投标须知前附表</w:t>
      </w:r>
      <w:r>
        <w:rPr>
          <w:rFonts w:hint="eastAsia"/>
          <w:szCs w:val="21"/>
        </w:rPr>
        <w:t>；</w:t>
      </w:r>
    </w:p>
    <w:p>
      <w:pPr>
        <w:adjustRightInd w:val="0"/>
        <w:snapToGrid w:val="0"/>
        <w:spacing w:line="360" w:lineRule="auto"/>
        <w:ind w:firstLine="440" w:firstLineChars="200"/>
        <w:rPr>
          <w:szCs w:val="21"/>
        </w:rPr>
      </w:pPr>
      <w:r>
        <w:rPr>
          <w:rFonts w:hint="eastAsia"/>
          <w:szCs w:val="21"/>
        </w:rPr>
        <w:t>1.5交货期：详见</w:t>
      </w:r>
      <w:r>
        <w:rPr>
          <w:rFonts w:hint="eastAsia"/>
          <w:b/>
          <w:szCs w:val="21"/>
        </w:rPr>
        <w:t>投标须知前附表</w:t>
      </w:r>
      <w:r>
        <w:rPr>
          <w:rFonts w:hint="eastAsia"/>
          <w:szCs w:val="21"/>
        </w:rPr>
        <w:t>。</w:t>
      </w:r>
    </w:p>
    <w:p>
      <w:pPr>
        <w:adjustRightInd w:val="0"/>
        <w:snapToGrid w:val="0"/>
        <w:spacing w:line="360" w:lineRule="auto"/>
        <w:outlineLvl w:val="2"/>
        <w:rPr>
          <w:b/>
          <w:bCs/>
          <w:szCs w:val="21"/>
        </w:rPr>
      </w:pPr>
      <w:bookmarkStart w:id="46" w:name="_Toc25530"/>
      <w:bookmarkStart w:id="47" w:name="_Toc4684"/>
      <w:r>
        <w:rPr>
          <w:rFonts w:hint="eastAsia"/>
          <w:b/>
          <w:bCs/>
          <w:szCs w:val="21"/>
        </w:rPr>
        <w:t>2.定义</w:t>
      </w:r>
      <w:bookmarkEnd w:id="46"/>
      <w:bookmarkEnd w:id="47"/>
    </w:p>
    <w:p>
      <w:pPr>
        <w:adjustRightInd w:val="0"/>
        <w:snapToGrid w:val="0"/>
        <w:spacing w:line="360" w:lineRule="auto"/>
        <w:ind w:firstLine="440" w:firstLineChars="200"/>
        <w:rPr>
          <w:b/>
          <w:szCs w:val="21"/>
        </w:rPr>
      </w:pPr>
      <w:r>
        <w:rPr>
          <w:rFonts w:hint="eastAsia"/>
          <w:szCs w:val="21"/>
        </w:rPr>
        <w:t>2.1 “采购人”是指依法进行政府采购的国家机关、事业单位、团体组织。采购人名称、地址、电话、联系人见</w:t>
      </w:r>
      <w:r>
        <w:rPr>
          <w:rFonts w:hint="eastAsia"/>
          <w:b/>
          <w:szCs w:val="21"/>
        </w:rPr>
        <w:t>投标须知前附表</w:t>
      </w:r>
      <w:r>
        <w:rPr>
          <w:rFonts w:hint="eastAsia"/>
          <w:szCs w:val="21"/>
        </w:rPr>
        <w:t>。</w:t>
      </w:r>
    </w:p>
    <w:p>
      <w:pPr>
        <w:adjustRightInd w:val="0"/>
        <w:snapToGrid w:val="0"/>
        <w:spacing w:line="360" w:lineRule="auto"/>
        <w:ind w:firstLine="440" w:firstLineChars="200"/>
        <w:rPr>
          <w:b/>
          <w:szCs w:val="21"/>
        </w:rPr>
      </w:pPr>
      <w:r>
        <w:rPr>
          <w:rFonts w:hint="eastAsia"/>
          <w:szCs w:val="21"/>
        </w:rPr>
        <w:t>2.2 “采购代理机构”是指接受采购人委托，代理采购项目的集中采购机构和其他采购代理机构。采购代理机构名称、地址、电话、联系人见</w:t>
      </w:r>
      <w:r>
        <w:rPr>
          <w:rFonts w:hint="eastAsia"/>
          <w:b/>
          <w:szCs w:val="21"/>
        </w:rPr>
        <w:t>投标须知前附表。</w:t>
      </w:r>
    </w:p>
    <w:p>
      <w:pPr>
        <w:adjustRightInd w:val="0"/>
        <w:snapToGrid w:val="0"/>
        <w:spacing w:line="360" w:lineRule="auto"/>
        <w:ind w:firstLine="440" w:firstLineChars="200"/>
      </w:pPr>
      <w:r>
        <w:rPr>
          <w:rFonts w:hint="eastAsia"/>
          <w:szCs w:val="21"/>
        </w:rPr>
        <w:t>2.3 “投标人”是指投标招标文件要求、参加招标采购的法人、其他组织或者自然人。</w:t>
      </w:r>
    </w:p>
    <w:p>
      <w:pPr>
        <w:adjustRightInd w:val="0"/>
        <w:snapToGrid w:val="0"/>
        <w:spacing w:line="360" w:lineRule="auto"/>
        <w:ind w:firstLine="440" w:firstLineChars="200"/>
        <w:rPr>
          <w:szCs w:val="21"/>
        </w:rPr>
      </w:pPr>
      <w:r>
        <w:rPr>
          <w:rFonts w:hint="eastAsia"/>
          <w:szCs w:val="21"/>
        </w:rPr>
        <w:t>2.4 “货物”是指各种形态和种类的物品，包括原材料、燃料、设备、产品等，详见《政府采购品目分类目录》(</w:t>
      </w:r>
      <w:r>
        <w:rPr>
          <w:rStyle w:val="31"/>
          <w:b w:val="0"/>
        </w:rPr>
        <w:t>财库</w:t>
      </w:r>
      <w:r>
        <w:rPr>
          <w:rStyle w:val="31"/>
          <w:rFonts w:hint="eastAsia"/>
          <w:b w:val="0"/>
        </w:rPr>
        <w:t>[</w:t>
      </w:r>
      <w:r>
        <w:rPr>
          <w:rStyle w:val="31"/>
          <w:b w:val="0"/>
        </w:rPr>
        <w:t>2013</w:t>
      </w:r>
      <w:r>
        <w:rPr>
          <w:rStyle w:val="31"/>
          <w:rFonts w:hint="eastAsia"/>
          <w:b w:val="0"/>
        </w:rPr>
        <w:t>]</w:t>
      </w:r>
      <w:r>
        <w:rPr>
          <w:rStyle w:val="31"/>
          <w:b w:val="0"/>
        </w:rPr>
        <w:t>189号</w:t>
      </w:r>
      <w:r>
        <w:rPr>
          <w:rFonts w:hint="eastAsia"/>
          <w:szCs w:val="21"/>
        </w:rPr>
        <w:t>)。</w:t>
      </w:r>
    </w:p>
    <w:p>
      <w:pPr>
        <w:adjustRightInd w:val="0"/>
        <w:snapToGrid w:val="0"/>
        <w:spacing w:line="360" w:lineRule="auto"/>
        <w:ind w:firstLine="440" w:firstLineChars="200"/>
        <w:rPr>
          <w:szCs w:val="21"/>
        </w:rPr>
      </w:pPr>
      <w:r>
        <w:rPr>
          <w:rFonts w:hint="eastAsia"/>
          <w:szCs w:val="21"/>
        </w:rPr>
        <w:t>2.5 “节能产品”或者“环保产品”是指财政部发布的《节能产品政府采购清单》或者《环境标志产品政府采购清单》的产品。</w:t>
      </w:r>
    </w:p>
    <w:p>
      <w:pPr>
        <w:adjustRightInd w:val="0"/>
        <w:snapToGrid w:val="0"/>
        <w:spacing w:line="360" w:lineRule="auto"/>
        <w:ind w:firstLine="440" w:firstLineChars="200"/>
        <w:rPr>
          <w:szCs w:val="21"/>
        </w:rPr>
      </w:pPr>
      <w:r>
        <w:rPr>
          <w:rFonts w:hint="eastAsia"/>
          <w:szCs w:val="21"/>
        </w:rPr>
        <w:t>2.6 “进口产品”是指通过中国海关报关验收进入中国境内且产自关境外的产品，详见《</w:t>
      </w:r>
      <w:r>
        <w:rPr>
          <w:szCs w:val="21"/>
        </w:rPr>
        <w:t>关于政府采购进口产品管理有关问题的通知</w:t>
      </w:r>
      <w:r>
        <w:rPr>
          <w:rFonts w:hint="eastAsia"/>
          <w:szCs w:val="21"/>
        </w:rPr>
        <w:t>》(财库[2007]119号)。</w:t>
      </w:r>
    </w:p>
    <w:p>
      <w:pPr>
        <w:adjustRightInd w:val="0"/>
        <w:snapToGrid w:val="0"/>
        <w:spacing w:line="360" w:lineRule="auto"/>
        <w:ind w:firstLine="440" w:firstLineChars="200"/>
        <w:rPr>
          <w:szCs w:val="21"/>
        </w:rPr>
      </w:pPr>
      <w:r>
        <w:rPr>
          <w:rFonts w:hint="eastAsia"/>
          <w:szCs w:val="21"/>
        </w:rPr>
        <w:t>2.7偏离</w:t>
      </w:r>
    </w:p>
    <w:p>
      <w:pPr>
        <w:adjustRightInd w:val="0"/>
        <w:snapToGrid w:val="0"/>
        <w:spacing w:line="360" w:lineRule="auto"/>
        <w:ind w:firstLine="440" w:firstLineChars="200"/>
        <w:rPr>
          <w:szCs w:val="21"/>
        </w:rPr>
      </w:pPr>
      <w:r>
        <w:rPr>
          <w:rFonts w:hint="eastAsia"/>
          <w:szCs w:val="21"/>
        </w:rPr>
        <w:t>2.7.1本条所称偏离为投标文件对磋商文件的偏离，即不满足、或不投标磋商文件的要求。偏离分为对磋商文件的实质性要求条款偏离和对磋商文件的一般商务和技术条款偏离。</w:t>
      </w:r>
    </w:p>
    <w:p>
      <w:pPr>
        <w:adjustRightInd w:val="0"/>
        <w:snapToGrid w:val="0"/>
        <w:spacing w:line="360" w:lineRule="auto"/>
        <w:ind w:firstLine="442" w:firstLineChars="200"/>
        <w:rPr>
          <w:b/>
          <w:szCs w:val="21"/>
        </w:rPr>
      </w:pPr>
      <w:r>
        <w:rPr>
          <w:rFonts w:hint="eastAsia"/>
          <w:b/>
          <w:szCs w:val="21"/>
        </w:rPr>
        <w:t>2.7.2除法律、法规和规章规定外，磋商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szCs w:val="21"/>
        </w:rPr>
      </w:pPr>
      <w:r>
        <w:rPr>
          <w:rFonts w:hint="eastAsia"/>
          <w:szCs w:val="21"/>
        </w:rPr>
        <w:t>2.8.特别说明</w:t>
      </w:r>
    </w:p>
    <w:p>
      <w:pPr>
        <w:adjustRightInd w:val="0"/>
        <w:snapToGrid w:val="0"/>
        <w:spacing w:line="360" w:lineRule="auto"/>
        <w:ind w:firstLine="440" w:firstLineChars="200"/>
        <w:rPr>
          <w:szCs w:val="21"/>
        </w:rPr>
      </w:pPr>
      <w:r>
        <w:rPr>
          <w:rFonts w:hint="eastAsia"/>
          <w:szCs w:val="21"/>
        </w:rPr>
        <w:t>2.8.1投标人投标所使用的资格、信誉、荣誉、业绩与企业认证等必须为投标人所拥有。</w:t>
      </w:r>
    </w:p>
    <w:p>
      <w:pPr>
        <w:adjustRightInd w:val="0"/>
        <w:snapToGrid w:val="0"/>
        <w:spacing w:line="360" w:lineRule="auto"/>
        <w:ind w:firstLine="440" w:firstLineChars="200"/>
        <w:rPr>
          <w:szCs w:val="21"/>
        </w:rPr>
      </w:pPr>
      <w:r>
        <w:rPr>
          <w:rFonts w:hint="eastAsia"/>
          <w:szCs w:val="21"/>
        </w:rPr>
        <w:t>2.8.2投标人应仔细阅读磋商文件的所有内容，按照磋商文件的要求提交投标文件，并对所提供的全部资料的真实性承担法律责任。</w:t>
      </w:r>
    </w:p>
    <w:p>
      <w:pPr>
        <w:adjustRightInd w:val="0"/>
        <w:snapToGrid w:val="0"/>
        <w:spacing w:line="360" w:lineRule="auto"/>
        <w:ind w:firstLine="440" w:firstLineChars="200"/>
        <w:rPr>
          <w:szCs w:val="21"/>
        </w:rPr>
      </w:pPr>
      <w:r>
        <w:rPr>
          <w:rFonts w:hint="eastAsia"/>
          <w:szCs w:val="21"/>
        </w:rPr>
        <w:t>2.8.3投标人在投标活动中提供任何虚假材料,其投标无效并承担相应法律责任。</w:t>
      </w:r>
    </w:p>
    <w:p>
      <w:pPr>
        <w:adjustRightInd w:val="0"/>
        <w:snapToGrid w:val="0"/>
        <w:spacing w:line="360" w:lineRule="auto"/>
        <w:outlineLvl w:val="2"/>
        <w:rPr>
          <w:b/>
          <w:bCs/>
          <w:szCs w:val="21"/>
        </w:rPr>
      </w:pPr>
      <w:bookmarkStart w:id="48" w:name="_Toc28403"/>
      <w:r>
        <w:rPr>
          <w:rFonts w:hint="eastAsia"/>
          <w:b/>
          <w:bCs/>
          <w:szCs w:val="21"/>
        </w:rPr>
        <w:t>3.投标人的资格要求</w:t>
      </w:r>
      <w:bookmarkEnd w:id="48"/>
    </w:p>
    <w:p>
      <w:pPr>
        <w:adjustRightInd w:val="0"/>
        <w:snapToGrid w:val="0"/>
        <w:spacing w:line="360" w:lineRule="auto"/>
        <w:ind w:firstLine="440" w:firstLineChars="200"/>
        <w:rPr>
          <w:szCs w:val="21"/>
        </w:rPr>
      </w:pPr>
      <w:r>
        <w:rPr>
          <w:rFonts w:hint="eastAsia"/>
          <w:szCs w:val="21"/>
        </w:rPr>
        <w:t>3.1 投标人应当符合</w:t>
      </w:r>
      <w:r>
        <w:rPr>
          <w:rFonts w:hint="eastAsia"/>
          <w:b/>
          <w:szCs w:val="21"/>
        </w:rPr>
        <w:t>供应商须知前附表</w:t>
      </w:r>
      <w:r>
        <w:rPr>
          <w:rFonts w:hint="eastAsia"/>
          <w:szCs w:val="21"/>
        </w:rPr>
        <w:t>中规定的资格条件要求；</w:t>
      </w:r>
    </w:p>
    <w:p>
      <w:pPr>
        <w:adjustRightInd w:val="0"/>
        <w:snapToGrid w:val="0"/>
        <w:spacing w:line="360" w:lineRule="auto"/>
        <w:ind w:firstLine="440" w:firstLineChars="200"/>
        <w:rPr>
          <w:szCs w:val="21"/>
        </w:rPr>
      </w:pPr>
      <w:r>
        <w:rPr>
          <w:rFonts w:hint="eastAsia"/>
          <w:szCs w:val="21"/>
        </w:rPr>
        <w:t>3.2 投标人不得存在下列情形之一：</w:t>
      </w:r>
    </w:p>
    <w:p>
      <w:pPr>
        <w:adjustRightInd w:val="0"/>
        <w:snapToGrid w:val="0"/>
        <w:spacing w:line="360" w:lineRule="auto"/>
        <w:ind w:firstLine="440" w:firstLineChars="200"/>
        <w:rPr>
          <w:szCs w:val="21"/>
        </w:rPr>
      </w:pPr>
      <w:r>
        <w:rPr>
          <w:rFonts w:hint="eastAsia"/>
          <w:szCs w:val="21"/>
        </w:rPr>
        <w:t>（l）与采购人、采购代理机构存在</w:t>
      </w:r>
      <w:r>
        <w:rPr>
          <w:rFonts w:hint="eastAsia"/>
          <w:bCs/>
          <w:szCs w:val="21"/>
        </w:rPr>
        <w:t>利害关系</w:t>
      </w:r>
      <w:r>
        <w:rPr>
          <w:rFonts w:hint="eastAsia"/>
          <w:szCs w:val="21"/>
        </w:rPr>
        <w:t>。</w:t>
      </w:r>
    </w:p>
    <w:p>
      <w:pPr>
        <w:adjustRightInd w:val="0"/>
        <w:snapToGrid w:val="0"/>
        <w:spacing w:line="360" w:lineRule="auto"/>
        <w:ind w:firstLine="440" w:firstLineChars="200"/>
        <w:rPr>
          <w:szCs w:val="21"/>
        </w:rPr>
      </w:pPr>
      <w:r>
        <w:rPr>
          <w:rFonts w:hint="eastAsia"/>
          <w:szCs w:val="21"/>
        </w:rPr>
        <w:t>（2）单位负责人为同一人或者存在直接控股、管理关系的不同供应商，不得参加同一合同项下的政府采购活动。</w:t>
      </w:r>
    </w:p>
    <w:p>
      <w:pPr>
        <w:adjustRightInd w:val="0"/>
        <w:snapToGrid w:val="0"/>
        <w:spacing w:line="360" w:lineRule="auto"/>
        <w:ind w:firstLine="440" w:firstLineChars="200"/>
        <w:rPr>
          <w:szCs w:val="21"/>
        </w:rPr>
      </w:pPr>
      <w:r>
        <w:rPr>
          <w:rFonts w:hint="eastAsia"/>
          <w:szCs w:val="21"/>
        </w:rPr>
        <w:t>（3）除单一来源采购项目外，为采购项目提供整体设计、规范编制或者项目管理、监理、检测等服务的供应商，不得再参加该采购项目的其他采购活动。</w:t>
      </w:r>
    </w:p>
    <w:p>
      <w:pPr>
        <w:adjustRightInd w:val="0"/>
        <w:snapToGrid w:val="0"/>
        <w:spacing w:line="360" w:lineRule="auto"/>
        <w:ind w:firstLine="440" w:firstLineChars="200"/>
        <w:rPr>
          <w:szCs w:val="21"/>
        </w:rPr>
      </w:pPr>
      <w:r>
        <w:rPr>
          <w:rFonts w:hint="eastAsia"/>
          <w:szCs w:val="21"/>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40" w:firstLineChars="200"/>
        <w:rPr>
          <w:szCs w:val="21"/>
        </w:rPr>
      </w:pPr>
      <w:r>
        <w:rPr>
          <w:rFonts w:hint="eastAsia"/>
          <w:szCs w:val="21"/>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outlineLvl w:val="2"/>
        <w:rPr>
          <w:b/>
          <w:bCs/>
          <w:szCs w:val="21"/>
        </w:rPr>
      </w:pPr>
      <w:bookmarkStart w:id="49" w:name="_Toc17585"/>
      <w:r>
        <w:rPr>
          <w:rFonts w:hint="eastAsia"/>
          <w:b/>
          <w:bCs/>
          <w:szCs w:val="21"/>
        </w:rPr>
        <w:t>4. 投标费用和知识产权</w:t>
      </w:r>
      <w:bookmarkEnd w:id="49"/>
    </w:p>
    <w:p>
      <w:pPr>
        <w:adjustRightInd w:val="0"/>
        <w:snapToGrid w:val="0"/>
        <w:spacing w:line="360" w:lineRule="auto"/>
        <w:ind w:firstLine="440" w:firstLineChars="200"/>
        <w:rPr>
          <w:szCs w:val="21"/>
        </w:rPr>
      </w:pPr>
      <w:r>
        <w:rPr>
          <w:rFonts w:hint="eastAsia"/>
          <w:szCs w:val="21"/>
        </w:rPr>
        <w:t>4.1投标人应承担其参加本招标活动自身所发生的费用。磋商文件所提供的资料，是采购人现有的能被投标人利用的资料，采购人对投标人做出的任何推论、理解和结论均不负责任。</w:t>
      </w:r>
    </w:p>
    <w:p>
      <w:pPr>
        <w:adjustRightInd w:val="0"/>
        <w:snapToGrid w:val="0"/>
        <w:spacing w:line="360" w:lineRule="auto"/>
        <w:ind w:firstLine="440" w:firstLineChars="200"/>
        <w:rPr>
          <w:szCs w:val="21"/>
        </w:rPr>
      </w:pPr>
      <w:r>
        <w:rPr>
          <w:rFonts w:hint="eastAsia"/>
          <w:szCs w:val="21"/>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6"/>
        <w:adjustRightInd w:val="0"/>
        <w:snapToGrid w:val="0"/>
        <w:spacing w:line="360" w:lineRule="auto"/>
        <w:outlineLvl w:val="2"/>
        <w:rPr>
          <w:b/>
          <w:bCs/>
          <w:sz w:val="21"/>
          <w:szCs w:val="21"/>
        </w:rPr>
      </w:pPr>
      <w:bookmarkStart w:id="50" w:name="_Toc17384"/>
      <w:r>
        <w:rPr>
          <w:rFonts w:hint="eastAsia"/>
          <w:b/>
          <w:sz w:val="21"/>
          <w:szCs w:val="21"/>
        </w:rPr>
        <w:t>5．</w:t>
      </w:r>
      <w:r>
        <w:rPr>
          <w:rFonts w:hint="eastAsia"/>
          <w:b/>
          <w:bCs/>
          <w:sz w:val="21"/>
          <w:szCs w:val="21"/>
        </w:rPr>
        <w:t>授权委托</w:t>
      </w:r>
      <w:bookmarkEnd w:id="50"/>
    </w:p>
    <w:p>
      <w:pPr>
        <w:pStyle w:val="16"/>
        <w:adjustRightInd w:val="0"/>
        <w:snapToGrid w:val="0"/>
        <w:spacing w:line="360" w:lineRule="auto"/>
        <w:ind w:firstLine="420" w:firstLineChars="200"/>
        <w:rPr>
          <w:sz w:val="21"/>
          <w:szCs w:val="21"/>
        </w:rPr>
      </w:pPr>
      <w:r>
        <w:rPr>
          <w:rFonts w:hint="eastAsia"/>
          <w:sz w:val="21"/>
          <w:szCs w:val="21"/>
        </w:rPr>
        <w:t>5.1投标人代表为投标人法定代表人的，应持有法定代表人身份证明。投标人代表不是投标人法定代表人的，应持有法定代表人授权书。</w:t>
      </w:r>
    </w:p>
    <w:p>
      <w:pPr>
        <w:pStyle w:val="16"/>
        <w:adjustRightInd w:val="0"/>
        <w:snapToGrid w:val="0"/>
        <w:spacing w:line="360" w:lineRule="auto"/>
        <w:outlineLvl w:val="2"/>
        <w:rPr>
          <w:b/>
          <w:sz w:val="21"/>
          <w:szCs w:val="21"/>
        </w:rPr>
      </w:pPr>
      <w:bookmarkStart w:id="51" w:name="_Toc20702"/>
      <w:r>
        <w:rPr>
          <w:rFonts w:hint="eastAsia"/>
          <w:b/>
          <w:sz w:val="21"/>
          <w:szCs w:val="21"/>
        </w:rPr>
        <w:t>6．联合体形式</w:t>
      </w:r>
      <w:bookmarkEnd w:id="51"/>
      <w:r>
        <w:rPr>
          <w:rFonts w:hint="eastAsia"/>
          <w:sz w:val="21"/>
          <w:szCs w:val="21"/>
        </w:rPr>
        <w:t xml:space="preserve"> </w:t>
      </w:r>
    </w:p>
    <w:p>
      <w:pPr>
        <w:pStyle w:val="16"/>
        <w:adjustRightInd w:val="0"/>
        <w:snapToGrid w:val="0"/>
        <w:spacing w:line="360" w:lineRule="auto"/>
        <w:ind w:firstLine="420" w:firstLineChars="200"/>
        <w:rPr>
          <w:sz w:val="21"/>
          <w:szCs w:val="21"/>
        </w:rPr>
      </w:pPr>
      <w:r>
        <w:rPr>
          <w:rFonts w:hint="eastAsia"/>
          <w:sz w:val="21"/>
          <w:szCs w:val="21"/>
        </w:rPr>
        <w:t>6.1除</w:t>
      </w:r>
      <w:r>
        <w:rPr>
          <w:rFonts w:hint="eastAsia"/>
          <w:b/>
          <w:sz w:val="21"/>
          <w:szCs w:val="21"/>
        </w:rPr>
        <w:t>供应商须知前附表</w:t>
      </w:r>
      <w:r>
        <w:rPr>
          <w:rFonts w:hint="eastAsia"/>
          <w:sz w:val="21"/>
          <w:szCs w:val="21"/>
        </w:rPr>
        <w:t>中另有规定，本次招标采购不接受为联合体形式的投标人。</w:t>
      </w:r>
    </w:p>
    <w:p>
      <w:pPr>
        <w:adjustRightInd w:val="0"/>
        <w:snapToGrid w:val="0"/>
        <w:spacing w:line="360" w:lineRule="auto"/>
        <w:outlineLvl w:val="2"/>
        <w:rPr>
          <w:b/>
          <w:szCs w:val="21"/>
        </w:rPr>
      </w:pPr>
      <w:bookmarkStart w:id="52" w:name="_Toc9823"/>
      <w:r>
        <w:rPr>
          <w:rFonts w:hint="eastAsia"/>
          <w:b/>
          <w:szCs w:val="21"/>
        </w:rPr>
        <w:t>7.现场勘察</w:t>
      </w:r>
      <w:bookmarkEnd w:id="52"/>
    </w:p>
    <w:p>
      <w:pPr>
        <w:adjustRightInd w:val="0"/>
        <w:snapToGrid w:val="0"/>
        <w:spacing w:line="360" w:lineRule="auto"/>
        <w:ind w:firstLine="440" w:firstLineChars="200"/>
        <w:rPr>
          <w:szCs w:val="21"/>
        </w:rPr>
      </w:pPr>
      <w:r>
        <w:rPr>
          <w:rFonts w:hint="eastAsia"/>
          <w:szCs w:val="21"/>
        </w:rPr>
        <w:t>7.1投标人应按</w:t>
      </w:r>
      <w:r>
        <w:rPr>
          <w:rFonts w:hint="eastAsia"/>
          <w:b/>
        </w:rPr>
        <w:t>供应商须知前附表</w:t>
      </w:r>
      <w:r>
        <w:rPr>
          <w:rFonts w:hint="eastAsia"/>
        </w:rPr>
        <w:t>中规定</w:t>
      </w:r>
      <w:r>
        <w:rPr>
          <w:rFonts w:hint="eastAsia"/>
          <w:szCs w:val="21"/>
        </w:rPr>
        <w:t>对招标采购项目现场和周围环境进行现场考察。</w:t>
      </w:r>
    </w:p>
    <w:p>
      <w:pPr>
        <w:adjustRightInd w:val="0"/>
        <w:snapToGrid w:val="0"/>
        <w:spacing w:line="360" w:lineRule="auto"/>
        <w:ind w:firstLine="440" w:firstLineChars="200"/>
        <w:rPr>
          <w:szCs w:val="21"/>
        </w:rPr>
      </w:pPr>
      <w:r>
        <w:rPr>
          <w:rFonts w:hint="eastAsia"/>
          <w:szCs w:val="21"/>
        </w:rPr>
        <w:t>7.2勘察现场的费用由投标人自己承担，勘察期间所发生的人身伤害及财产损失由投标人自己负责。</w:t>
      </w:r>
    </w:p>
    <w:p>
      <w:pPr>
        <w:adjustRightInd w:val="0"/>
        <w:snapToGrid w:val="0"/>
        <w:spacing w:line="360" w:lineRule="auto"/>
        <w:ind w:firstLine="440" w:firstLineChars="200"/>
        <w:rPr>
          <w:b/>
          <w:szCs w:val="21"/>
        </w:rPr>
      </w:pPr>
      <w:r>
        <w:rPr>
          <w:rFonts w:hint="eastAsia"/>
          <w:szCs w:val="21"/>
        </w:rPr>
        <w:t>7.3采购人不对投标人据此而做出的推论、理解和结论负责。一旦中标，投标人不得以任何借口，而提出额外补偿，或延长合同期限的要求。</w:t>
      </w:r>
    </w:p>
    <w:p>
      <w:pPr>
        <w:adjustRightInd w:val="0"/>
        <w:snapToGrid w:val="0"/>
        <w:spacing w:line="360" w:lineRule="auto"/>
        <w:outlineLvl w:val="2"/>
        <w:rPr>
          <w:b/>
          <w:szCs w:val="21"/>
        </w:rPr>
      </w:pPr>
      <w:bookmarkStart w:id="53" w:name="_Toc7198"/>
      <w:r>
        <w:rPr>
          <w:rFonts w:hint="eastAsia"/>
          <w:b/>
          <w:szCs w:val="21"/>
        </w:rPr>
        <w:t>8.采购进口产品</w:t>
      </w:r>
      <w:bookmarkEnd w:id="53"/>
    </w:p>
    <w:p>
      <w:pPr>
        <w:adjustRightInd w:val="0"/>
        <w:snapToGrid w:val="0"/>
        <w:spacing w:line="360" w:lineRule="auto"/>
        <w:ind w:firstLine="440" w:firstLineChars="200"/>
        <w:rPr>
          <w:szCs w:val="21"/>
        </w:rPr>
      </w:pPr>
      <w:r>
        <w:rPr>
          <w:rFonts w:hint="eastAsia"/>
          <w:szCs w:val="21"/>
        </w:rPr>
        <w:t>8.1除</w:t>
      </w:r>
      <w:r>
        <w:rPr>
          <w:rFonts w:hint="eastAsia"/>
          <w:b/>
          <w:szCs w:val="21"/>
        </w:rPr>
        <w:t>供应商须知前附表</w:t>
      </w:r>
      <w:r>
        <w:rPr>
          <w:rFonts w:hint="eastAsia"/>
          <w:szCs w:val="21"/>
        </w:rPr>
        <w:t>另有规定外，本项目拒绝进口产品参加招标采购活动。</w:t>
      </w:r>
    </w:p>
    <w:p>
      <w:pPr>
        <w:adjustRightInd w:val="0"/>
        <w:snapToGrid w:val="0"/>
        <w:spacing w:line="360" w:lineRule="auto"/>
        <w:ind w:firstLine="440" w:firstLineChars="200"/>
        <w:rPr>
          <w:szCs w:val="21"/>
        </w:rPr>
      </w:pPr>
      <w:r>
        <w:rPr>
          <w:rFonts w:hint="eastAsia"/>
          <w:szCs w:val="21"/>
        </w:rPr>
        <w:t>8.2本章第8.1款规定</w:t>
      </w:r>
      <w:r>
        <w:rPr>
          <w:szCs w:val="21"/>
        </w:rPr>
        <w:t>同意购买进口产品的</w:t>
      </w:r>
      <w:r>
        <w:rPr>
          <w:rFonts w:hint="eastAsia"/>
          <w:szCs w:val="21"/>
        </w:rPr>
        <w:t>，本项目采购活动不</w:t>
      </w:r>
      <w:r>
        <w:rPr>
          <w:szCs w:val="21"/>
        </w:rPr>
        <w:t>限制满足</w:t>
      </w:r>
      <w:r>
        <w:rPr>
          <w:rFonts w:hint="eastAsia"/>
          <w:szCs w:val="21"/>
        </w:rPr>
        <w:t>磋商文件要求</w:t>
      </w:r>
      <w:r>
        <w:rPr>
          <w:szCs w:val="21"/>
        </w:rPr>
        <w:t>的国内产品参与</w:t>
      </w:r>
      <w:r>
        <w:rPr>
          <w:rFonts w:hint="eastAsia"/>
          <w:szCs w:val="21"/>
        </w:rPr>
        <w:t>招标</w:t>
      </w:r>
      <w:r>
        <w:rPr>
          <w:szCs w:val="21"/>
        </w:rPr>
        <w:t>。</w:t>
      </w:r>
    </w:p>
    <w:p>
      <w:pPr>
        <w:adjustRightInd w:val="0"/>
        <w:snapToGrid w:val="0"/>
        <w:spacing w:line="360" w:lineRule="auto"/>
        <w:outlineLvl w:val="2"/>
        <w:rPr>
          <w:b/>
          <w:szCs w:val="21"/>
        </w:rPr>
      </w:pPr>
      <w:bookmarkStart w:id="54" w:name="_Toc21958"/>
      <w:r>
        <w:rPr>
          <w:rFonts w:hint="eastAsia"/>
          <w:b/>
          <w:bCs/>
          <w:szCs w:val="21"/>
        </w:rPr>
        <w:t>9.</w:t>
      </w:r>
      <w:r>
        <w:rPr>
          <w:rFonts w:hint="eastAsia"/>
          <w:b/>
          <w:szCs w:val="21"/>
        </w:rPr>
        <w:t>政府采购政策支持</w:t>
      </w:r>
      <w:bookmarkEnd w:id="54"/>
      <w:r>
        <w:rPr>
          <w:rFonts w:hint="eastAsia"/>
          <w:b/>
          <w:szCs w:val="21"/>
        </w:rPr>
        <w:t xml:space="preserve"> </w:t>
      </w:r>
    </w:p>
    <w:p>
      <w:pPr>
        <w:pStyle w:val="16"/>
        <w:adjustRightInd w:val="0"/>
        <w:snapToGrid w:val="0"/>
        <w:spacing w:line="360" w:lineRule="auto"/>
        <w:ind w:firstLine="420" w:firstLineChars="200"/>
        <w:rPr>
          <w:sz w:val="21"/>
          <w:szCs w:val="21"/>
        </w:rPr>
      </w:pPr>
      <w:r>
        <w:rPr>
          <w:rFonts w:hint="eastAsia"/>
          <w:sz w:val="21"/>
          <w:szCs w:val="21"/>
        </w:rPr>
        <w:t>9.1产品符合政府采购强制采购政策的，实行强制采购；符合政府采购优先采购政策的，产品享受节能产品、环境标志产品产品优惠(由投标人在报价文件中选择并填报，评审时进行价格优惠)；投标人符合</w:t>
      </w:r>
      <w:r>
        <w:rPr>
          <w:rFonts w:hint="eastAsia"/>
          <w:bCs/>
          <w:sz w:val="21"/>
          <w:szCs w:val="21"/>
        </w:rPr>
        <w:t>支持</w:t>
      </w:r>
      <w:r>
        <w:rPr>
          <w:rFonts w:hint="eastAsia"/>
          <w:sz w:val="21"/>
          <w:szCs w:val="21"/>
        </w:rPr>
        <w:t>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b/>
          <w:sz w:val="21"/>
          <w:szCs w:val="21"/>
        </w:rPr>
        <w:t>供应商须知前附表</w:t>
      </w:r>
      <w:r>
        <w:rPr>
          <w:rFonts w:hint="eastAsia"/>
          <w:sz w:val="21"/>
          <w:szCs w:val="21"/>
        </w:rPr>
        <w:t>。</w:t>
      </w:r>
    </w:p>
    <w:p>
      <w:pPr>
        <w:adjustRightInd w:val="0"/>
        <w:snapToGrid w:val="0"/>
        <w:spacing w:line="360" w:lineRule="auto"/>
        <w:ind w:firstLine="440" w:firstLineChars="200"/>
        <w:rPr>
          <w:szCs w:val="21"/>
        </w:rPr>
      </w:pPr>
      <w:r>
        <w:rPr>
          <w:rFonts w:hint="eastAsia"/>
          <w:szCs w:val="21"/>
        </w:rPr>
        <w:t>9.2同一项目中部分产品属于优先采购政策的，评审时只对该部分产品的报价实行价格优惠。</w:t>
      </w:r>
    </w:p>
    <w:p>
      <w:pPr>
        <w:adjustRightInd w:val="0"/>
        <w:snapToGrid w:val="0"/>
        <w:spacing w:line="360" w:lineRule="auto"/>
        <w:ind w:firstLine="440" w:firstLineChars="200"/>
        <w:rPr>
          <w:szCs w:val="21"/>
        </w:rPr>
      </w:pPr>
      <w:r>
        <w:rPr>
          <w:rFonts w:hint="eastAsia"/>
          <w:szCs w:val="21"/>
        </w:rPr>
        <w:t>9.3为推进政府采购诚信体系建设，投标人在签署相关承诺，提供相关信息前，应认真阅读财政部门相关政策规定。符合本章第9.1款、第9.2款规定的，应提供相关证明材料。</w:t>
      </w:r>
    </w:p>
    <w:p>
      <w:pPr>
        <w:adjustRightInd w:val="0"/>
        <w:snapToGrid w:val="0"/>
        <w:spacing w:line="360" w:lineRule="auto"/>
        <w:outlineLvl w:val="1"/>
        <w:rPr>
          <w:b/>
          <w:sz w:val="24"/>
        </w:rPr>
      </w:pPr>
      <w:bookmarkStart w:id="55" w:name="_Toc420948009"/>
      <w:bookmarkStart w:id="56" w:name="_Toc6832"/>
      <w:bookmarkStart w:id="57" w:name="_Toc474235945"/>
      <w:bookmarkStart w:id="58" w:name="_Toc7952"/>
      <w:r>
        <w:rPr>
          <w:rFonts w:hint="eastAsia"/>
          <w:b/>
          <w:sz w:val="24"/>
        </w:rPr>
        <w:t>二、招标</w:t>
      </w:r>
      <w:bookmarkEnd w:id="55"/>
      <w:r>
        <w:rPr>
          <w:rFonts w:hint="eastAsia"/>
          <w:b/>
          <w:sz w:val="24"/>
        </w:rPr>
        <w:t>文件</w:t>
      </w:r>
      <w:bookmarkEnd w:id="56"/>
      <w:bookmarkEnd w:id="57"/>
      <w:bookmarkEnd w:id="58"/>
    </w:p>
    <w:p>
      <w:pPr>
        <w:adjustRightInd w:val="0"/>
        <w:snapToGrid w:val="0"/>
        <w:spacing w:line="360" w:lineRule="auto"/>
        <w:rPr>
          <w:b/>
          <w:bCs/>
          <w:szCs w:val="21"/>
        </w:rPr>
      </w:pPr>
      <w:r>
        <w:rPr>
          <w:rFonts w:hint="eastAsia"/>
          <w:b/>
          <w:bCs/>
          <w:szCs w:val="21"/>
        </w:rPr>
        <w:t>10.招标文件的组成</w:t>
      </w:r>
    </w:p>
    <w:p>
      <w:pPr>
        <w:pStyle w:val="16"/>
        <w:adjustRightInd w:val="0"/>
        <w:snapToGrid w:val="0"/>
        <w:spacing w:line="360" w:lineRule="auto"/>
        <w:ind w:firstLine="420" w:firstLineChars="200"/>
        <w:rPr>
          <w:sz w:val="21"/>
          <w:szCs w:val="21"/>
        </w:rPr>
      </w:pPr>
      <w:r>
        <w:rPr>
          <w:rFonts w:hint="eastAsia"/>
          <w:sz w:val="21"/>
          <w:szCs w:val="21"/>
        </w:rPr>
        <w:t>10.1 磋商文件由下列文件组成：</w:t>
      </w:r>
    </w:p>
    <w:p>
      <w:pPr>
        <w:pStyle w:val="16"/>
        <w:adjustRightInd w:val="0"/>
        <w:snapToGrid w:val="0"/>
        <w:spacing w:line="360" w:lineRule="auto"/>
        <w:ind w:firstLine="420" w:firstLineChars="200"/>
        <w:rPr>
          <w:sz w:val="21"/>
          <w:szCs w:val="21"/>
        </w:rPr>
      </w:pPr>
      <w:r>
        <w:rPr>
          <w:rFonts w:hint="eastAsia"/>
          <w:sz w:val="21"/>
          <w:szCs w:val="21"/>
        </w:rPr>
        <w:t>第一章 磋商公告</w:t>
      </w:r>
    </w:p>
    <w:p>
      <w:pPr>
        <w:pStyle w:val="16"/>
        <w:adjustRightInd w:val="0"/>
        <w:snapToGrid w:val="0"/>
        <w:spacing w:line="360" w:lineRule="auto"/>
        <w:ind w:firstLine="420" w:firstLineChars="200"/>
        <w:rPr>
          <w:sz w:val="21"/>
          <w:szCs w:val="21"/>
        </w:rPr>
      </w:pPr>
      <w:r>
        <w:rPr>
          <w:rFonts w:hint="eastAsia"/>
          <w:sz w:val="21"/>
          <w:szCs w:val="21"/>
        </w:rPr>
        <w:t>第二章 供应商须知</w:t>
      </w:r>
    </w:p>
    <w:p>
      <w:pPr>
        <w:pStyle w:val="16"/>
        <w:adjustRightInd w:val="0"/>
        <w:snapToGrid w:val="0"/>
        <w:spacing w:line="360" w:lineRule="auto"/>
        <w:ind w:firstLine="420" w:firstLineChars="200"/>
        <w:rPr>
          <w:sz w:val="21"/>
          <w:szCs w:val="21"/>
        </w:rPr>
      </w:pPr>
      <w:r>
        <w:rPr>
          <w:rFonts w:hint="eastAsia"/>
          <w:sz w:val="21"/>
          <w:szCs w:val="21"/>
        </w:rPr>
        <w:t>第三章 评标方法及标准</w:t>
      </w:r>
    </w:p>
    <w:p>
      <w:pPr>
        <w:pStyle w:val="16"/>
        <w:adjustRightInd w:val="0"/>
        <w:snapToGrid w:val="0"/>
        <w:spacing w:line="360" w:lineRule="auto"/>
        <w:ind w:firstLine="420" w:firstLineChars="200"/>
        <w:rPr>
          <w:sz w:val="21"/>
          <w:szCs w:val="21"/>
        </w:rPr>
      </w:pPr>
      <w:r>
        <w:rPr>
          <w:rFonts w:hint="eastAsia"/>
          <w:sz w:val="21"/>
          <w:szCs w:val="21"/>
        </w:rPr>
        <w:t>第四章 政府采购合同格式条款</w:t>
      </w:r>
    </w:p>
    <w:p>
      <w:pPr>
        <w:pStyle w:val="16"/>
        <w:adjustRightInd w:val="0"/>
        <w:snapToGrid w:val="0"/>
        <w:spacing w:line="360" w:lineRule="auto"/>
        <w:ind w:firstLine="420" w:firstLineChars="200"/>
        <w:rPr>
          <w:sz w:val="21"/>
          <w:szCs w:val="21"/>
        </w:rPr>
      </w:pPr>
      <w:r>
        <w:rPr>
          <w:rFonts w:hint="eastAsia"/>
          <w:sz w:val="21"/>
          <w:szCs w:val="21"/>
        </w:rPr>
        <w:t>第五章 采购需求</w:t>
      </w:r>
    </w:p>
    <w:p>
      <w:pPr>
        <w:pStyle w:val="16"/>
        <w:adjustRightInd w:val="0"/>
        <w:snapToGrid w:val="0"/>
        <w:spacing w:line="360" w:lineRule="auto"/>
        <w:ind w:firstLine="420" w:firstLineChars="200"/>
        <w:rPr>
          <w:sz w:val="21"/>
          <w:szCs w:val="21"/>
        </w:rPr>
      </w:pPr>
      <w:r>
        <w:rPr>
          <w:rFonts w:hint="eastAsia"/>
          <w:sz w:val="21"/>
          <w:szCs w:val="21"/>
        </w:rPr>
        <w:t>第六章 投标文件格式</w:t>
      </w:r>
    </w:p>
    <w:p>
      <w:pPr>
        <w:pStyle w:val="16"/>
        <w:adjustRightInd w:val="0"/>
        <w:snapToGrid w:val="0"/>
        <w:spacing w:line="360" w:lineRule="auto"/>
        <w:ind w:firstLine="420" w:firstLineChars="200"/>
        <w:rPr>
          <w:sz w:val="21"/>
          <w:szCs w:val="21"/>
        </w:rPr>
      </w:pPr>
      <w:r>
        <w:rPr>
          <w:rFonts w:hint="eastAsia"/>
          <w:sz w:val="21"/>
          <w:szCs w:val="21"/>
        </w:rPr>
        <w:t>10.2</w:t>
      </w:r>
      <w:r>
        <w:rPr>
          <w:rFonts w:hint="eastAsia"/>
          <w:bCs/>
          <w:sz w:val="21"/>
          <w:szCs w:val="21"/>
        </w:rPr>
        <w:t>本章第11.1</w:t>
      </w:r>
      <w:r>
        <w:rPr>
          <w:rFonts w:hint="eastAsia"/>
          <w:sz w:val="21"/>
          <w:szCs w:val="21"/>
        </w:rPr>
        <w:t>款</w:t>
      </w:r>
      <w:r>
        <w:rPr>
          <w:rFonts w:hint="eastAsia"/>
          <w:bCs/>
          <w:sz w:val="21"/>
          <w:szCs w:val="21"/>
        </w:rPr>
        <w:t>规定的</w:t>
      </w:r>
      <w:r>
        <w:rPr>
          <w:rFonts w:hint="eastAsia"/>
          <w:sz w:val="21"/>
          <w:szCs w:val="21"/>
        </w:rPr>
        <w:t>提交投标文件截止时间前对磋商文件澄清或者修改内容，为磋商文件的组成部分。</w:t>
      </w:r>
    </w:p>
    <w:p>
      <w:pPr>
        <w:adjustRightInd w:val="0"/>
        <w:snapToGrid w:val="0"/>
        <w:spacing w:line="360" w:lineRule="auto"/>
        <w:ind w:firstLine="440" w:firstLineChars="200"/>
        <w:rPr>
          <w:szCs w:val="21"/>
        </w:rPr>
      </w:pPr>
      <w:r>
        <w:rPr>
          <w:rFonts w:hint="eastAsia"/>
        </w:rPr>
        <w:t>10.3</w:t>
      </w:r>
      <w:r>
        <w:rPr>
          <w:rFonts w:hint="eastAsia"/>
          <w:szCs w:val="21"/>
        </w:rPr>
        <w:t>投标人应仔细阅读</w:t>
      </w:r>
      <w:r>
        <w:rPr>
          <w:rFonts w:hint="eastAsia"/>
          <w:bCs/>
          <w:szCs w:val="21"/>
        </w:rPr>
        <w:t>磋商文件</w:t>
      </w:r>
      <w:r>
        <w:rPr>
          <w:rFonts w:hint="eastAsia"/>
          <w:szCs w:val="21"/>
        </w:rPr>
        <w:t>的全部内容，按照</w:t>
      </w:r>
      <w:r>
        <w:rPr>
          <w:rFonts w:hint="eastAsia"/>
          <w:bCs/>
          <w:szCs w:val="21"/>
        </w:rPr>
        <w:t>磋商文件</w:t>
      </w:r>
      <w:r>
        <w:rPr>
          <w:rFonts w:hint="eastAsia"/>
          <w:szCs w:val="21"/>
        </w:rPr>
        <w:t>要求编制投标文件。任何对</w:t>
      </w:r>
      <w:r>
        <w:rPr>
          <w:rFonts w:hint="eastAsia"/>
          <w:bCs/>
          <w:szCs w:val="21"/>
        </w:rPr>
        <w:t>磋商文件</w:t>
      </w:r>
      <w:r>
        <w:rPr>
          <w:rFonts w:hint="eastAsia"/>
          <w:szCs w:val="21"/>
        </w:rPr>
        <w:t>的忽略或误解不能作为投标文件存在缺陷或瑕疵的理由，其风险由投标人承担。</w:t>
      </w:r>
    </w:p>
    <w:p>
      <w:pPr>
        <w:pStyle w:val="16"/>
        <w:adjustRightInd w:val="0"/>
        <w:snapToGrid w:val="0"/>
        <w:spacing w:line="360" w:lineRule="auto"/>
        <w:rPr>
          <w:sz w:val="21"/>
          <w:szCs w:val="21"/>
        </w:rPr>
      </w:pPr>
      <w:r>
        <w:rPr>
          <w:rFonts w:hint="eastAsia"/>
          <w:b/>
          <w:sz w:val="21"/>
          <w:szCs w:val="21"/>
        </w:rPr>
        <w:t>11.提交投标文件的截止时间</w:t>
      </w:r>
    </w:p>
    <w:p>
      <w:pPr>
        <w:pStyle w:val="16"/>
        <w:adjustRightInd w:val="0"/>
        <w:snapToGrid w:val="0"/>
        <w:spacing w:line="360" w:lineRule="auto"/>
        <w:ind w:firstLine="420" w:firstLineChars="200"/>
        <w:rPr>
          <w:sz w:val="21"/>
          <w:szCs w:val="21"/>
        </w:rPr>
      </w:pPr>
      <w:r>
        <w:rPr>
          <w:rFonts w:hint="eastAsia"/>
          <w:sz w:val="21"/>
          <w:szCs w:val="21"/>
        </w:rPr>
        <w:t>11.1投标人提交投标文件截止时间见</w:t>
      </w:r>
      <w:r>
        <w:rPr>
          <w:rFonts w:hint="eastAsia"/>
          <w:b/>
          <w:sz w:val="21"/>
          <w:szCs w:val="21"/>
        </w:rPr>
        <w:t>供应商须知前附表</w:t>
      </w:r>
      <w:r>
        <w:rPr>
          <w:rFonts w:hint="eastAsia"/>
          <w:sz w:val="21"/>
          <w:szCs w:val="21"/>
        </w:rPr>
        <w:t>。</w:t>
      </w:r>
    </w:p>
    <w:p>
      <w:pPr>
        <w:adjustRightInd w:val="0"/>
        <w:snapToGrid w:val="0"/>
        <w:spacing w:line="360" w:lineRule="auto"/>
        <w:rPr>
          <w:b/>
          <w:bCs/>
          <w:szCs w:val="21"/>
        </w:rPr>
      </w:pPr>
      <w:r>
        <w:rPr>
          <w:rFonts w:hint="eastAsia"/>
          <w:b/>
          <w:bCs/>
          <w:szCs w:val="21"/>
        </w:rPr>
        <w:t>12.磋商文件的澄清</w:t>
      </w:r>
      <w:r>
        <w:rPr>
          <w:rFonts w:hint="eastAsia"/>
          <w:b/>
          <w:szCs w:val="21"/>
        </w:rPr>
        <w:t>或者</w:t>
      </w:r>
      <w:r>
        <w:rPr>
          <w:rFonts w:hint="eastAsia"/>
          <w:b/>
          <w:bCs/>
          <w:szCs w:val="21"/>
        </w:rPr>
        <w:t>修改</w:t>
      </w:r>
    </w:p>
    <w:p>
      <w:pPr>
        <w:pStyle w:val="16"/>
        <w:adjustRightInd w:val="0"/>
        <w:snapToGrid w:val="0"/>
        <w:spacing w:line="360" w:lineRule="auto"/>
        <w:ind w:firstLine="420" w:firstLineChars="200"/>
        <w:rPr>
          <w:sz w:val="21"/>
          <w:szCs w:val="21"/>
        </w:rPr>
      </w:pPr>
      <w:bookmarkStart w:id="59" w:name="_Toc420948010"/>
      <w:r>
        <w:rPr>
          <w:rFonts w:hint="eastAsia"/>
          <w:sz w:val="21"/>
          <w:szCs w:val="21"/>
        </w:rPr>
        <w:t>12.1采购代理机构对已发出的磋商文件进行必要澄清或者修改的，在磋商文件前附表规定的提交投标文件截止时间十五日前，通知所有磋商文件收受人。磋商文件的澄清或者修改在电子采购平台上公布(新疆政府采购网http://www.ccgp-xinjiang.gov.cn/，投标人应登陆系统自行下载查阅磋商文件澄清或者修改文件，澄清或者修改文件作为磋商文件的组成部分对投标人具有约束力。</w:t>
      </w:r>
    </w:p>
    <w:p>
      <w:pPr>
        <w:pStyle w:val="16"/>
        <w:adjustRightInd w:val="0"/>
        <w:snapToGrid w:val="0"/>
        <w:spacing w:line="360" w:lineRule="auto"/>
        <w:ind w:firstLine="420" w:firstLineChars="200"/>
        <w:rPr>
          <w:sz w:val="21"/>
          <w:szCs w:val="21"/>
        </w:rPr>
      </w:pPr>
      <w:r>
        <w:rPr>
          <w:rFonts w:hint="eastAsia"/>
          <w:sz w:val="21"/>
          <w:szCs w:val="21"/>
        </w:rPr>
        <w:t>12.2 如果澄清或者修改发出的时间距规定的投标截止时间不足十五日，将相应顺延投标截止时间。</w:t>
      </w:r>
    </w:p>
    <w:p>
      <w:pPr>
        <w:pStyle w:val="16"/>
        <w:adjustRightInd w:val="0"/>
        <w:snapToGrid w:val="0"/>
        <w:spacing w:line="360" w:lineRule="auto"/>
        <w:ind w:firstLine="420" w:firstLineChars="200"/>
        <w:rPr>
          <w:sz w:val="21"/>
          <w:szCs w:val="21"/>
        </w:rPr>
      </w:pPr>
      <w:r>
        <w:rPr>
          <w:rFonts w:hint="eastAsia"/>
          <w:sz w:val="21"/>
          <w:szCs w:val="21"/>
        </w:rPr>
        <w:t>12.3采购代理机构可以视采购具体情况，延长投标截止时间和开标时间，但应当在规定的提交投标文件的截止时间三日前，将变更时间书面通知所有招标文件收受人，并在指定的媒体上发布更正公告。</w:t>
      </w:r>
    </w:p>
    <w:p>
      <w:pPr>
        <w:pStyle w:val="16"/>
        <w:adjustRightInd w:val="0"/>
        <w:snapToGrid w:val="0"/>
        <w:spacing w:line="360" w:lineRule="auto"/>
        <w:ind w:firstLine="420" w:firstLineChars="200"/>
        <w:rPr>
          <w:sz w:val="21"/>
          <w:szCs w:val="21"/>
        </w:rPr>
      </w:pPr>
      <w:r>
        <w:rPr>
          <w:rFonts w:hint="eastAsia"/>
          <w:sz w:val="21"/>
          <w:szCs w:val="21"/>
        </w:rPr>
        <w:t>12.4投标人认为磋商文件存在歧视性条款的，应在收到磋商文件之日或者磋商文件公告期限届满之日起7个工作日内以书面形式向本代理机构提出。</w:t>
      </w:r>
    </w:p>
    <w:p>
      <w:pPr>
        <w:adjustRightInd w:val="0"/>
        <w:snapToGrid w:val="0"/>
        <w:spacing w:line="360" w:lineRule="auto"/>
        <w:outlineLvl w:val="1"/>
        <w:rPr>
          <w:b/>
          <w:sz w:val="24"/>
        </w:rPr>
      </w:pPr>
      <w:bookmarkStart w:id="60" w:name="_Toc23456"/>
      <w:bookmarkStart w:id="61" w:name="_Toc474235946"/>
      <w:bookmarkStart w:id="62" w:name="_Toc19359"/>
      <w:r>
        <w:rPr>
          <w:rFonts w:hint="eastAsia"/>
          <w:b/>
          <w:sz w:val="24"/>
        </w:rPr>
        <w:t>三、投标文件</w:t>
      </w:r>
      <w:bookmarkEnd w:id="59"/>
      <w:bookmarkEnd w:id="60"/>
      <w:bookmarkEnd w:id="61"/>
      <w:bookmarkEnd w:id="62"/>
    </w:p>
    <w:p>
      <w:pPr>
        <w:adjustRightInd w:val="0"/>
        <w:snapToGrid w:val="0"/>
        <w:spacing w:line="360" w:lineRule="auto"/>
        <w:rPr>
          <w:b/>
          <w:bCs/>
          <w:szCs w:val="21"/>
        </w:rPr>
      </w:pPr>
      <w:r>
        <w:rPr>
          <w:rFonts w:hint="eastAsia"/>
          <w:b/>
          <w:bCs/>
          <w:szCs w:val="21"/>
        </w:rPr>
        <w:t>13.一般要求</w:t>
      </w:r>
    </w:p>
    <w:p>
      <w:pPr>
        <w:adjustRightInd w:val="0"/>
        <w:snapToGrid w:val="0"/>
        <w:spacing w:line="360" w:lineRule="auto"/>
        <w:ind w:firstLine="440" w:firstLineChars="200"/>
        <w:rPr>
          <w:bCs/>
          <w:szCs w:val="21"/>
        </w:rPr>
      </w:pPr>
      <w:r>
        <w:rPr>
          <w:rFonts w:hint="eastAsia"/>
          <w:bCs/>
          <w:szCs w:val="21"/>
        </w:rPr>
        <w:t xml:space="preserve">13.1 </w:t>
      </w:r>
      <w:r>
        <w:rPr>
          <w:rFonts w:hint="eastAsia"/>
          <w:szCs w:val="21"/>
        </w:rPr>
        <w:t>投标人</w:t>
      </w:r>
      <w:r>
        <w:rPr>
          <w:rFonts w:hint="eastAsia"/>
          <w:bCs/>
          <w:szCs w:val="21"/>
        </w:rPr>
        <w:t>应仔细阅读磋商文件的所有内容，按磋商文件的要求编制投标文件，并保证所提供的全部资料的真实性，以使其投标文件对磋商文件做出实质性的投标。</w:t>
      </w:r>
    </w:p>
    <w:p>
      <w:pPr>
        <w:adjustRightInd w:val="0"/>
        <w:snapToGrid w:val="0"/>
        <w:spacing w:line="360" w:lineRule="auto"/>
        <w:ind w:firstLine="440" w:firstLineChars="200"/>
        <w:rPr>
          <w:bCs/>
          <w:szCs w:val="21"/>
        </w:rPr>
      </w:pPr>
      <w:r>
        <w:rPr>
          <w:rFonts w:hint="eastAsia"/>
          <w:bCs/>
          <w:szCs w:val="21"/>
        </w:rPr>
        <w:t xml:space="preserve">13.2 </w:t>
      </w:r>
      <w:r>
        <w:rPr>
          <w:rFonts w:hint="eastAsia"/>
          <w:szCs w:val="21"/>
        </w:rPr>
        <w:t>投标人提交的投标文件及投标人与采购人或采购代理机构就有关招标的所有来往函电均使用中文。投标人可以提交其它语言的资料，但应附中文注释，在有差异时以中文为准。</w:t>
      </w:r>
    </w:p>
    <w:p>
      <w:pPr>
        <w:pStyle w:val="16"/>
        <w:adjustRightInd w:val="0"/>
        <w:snapToGrid w:val="0"/>
        <w:spacing w:line="360" w:lineRule="auto"/>
        <w:ind w:firstLine="420" w:firstLineChars="200"/>
        <w:rPr>
          <w:sz w:val="21"/>
          <w:szCs w:val="21"/>
        </w:rPr>
      </w:pPr>
      <w:r>
        <w:rPr>
          <w:rFonts w:hint="eastAsia"/>
          <w:bCs/>
          <w:sz w:val="21"/>
          <w:szCs w:val="21"/>
        </w:rPr>
        <w:t xml:space="preserve">13.3 </w:t>
      </w:r>
      <w:r>
        <w:rPr>
          <w:rFonts w:hint="eastAsia"/>
          <w:sz w:val="21"/>
          <w:szCs w:val="21"/>
        </w:rPr>
        <w:t>计量单位应使用我国法定计量单位，未列明时应默认为我国法定计量单位。</w:t>
      </w:r>
    </w:p>
    <w:p>
      <w:pPr>
        <w:pStyle w:val="16"/>
        <w:adjustRightInd w:val="0"/>
        <w:snapToGrid w:val="0"/>
        <w:spacing w:line="360" w:lineRule="auto"/>
        <w:ind w:firstLine="420" w:firstLineChars="200"/>
        <w:rPr>
          <w:sz w:val="21"/>
          <w:szCs w:val="21"/>
        </w:rPr>
      </w:pPr>
      <w:r>
        <w:rPr>
          <w:rFonts w:hint="eastAsia"/>
          <w:sz w:val="21"/>
          <w:szCs w:val="21"/>
        </w:rPr>
        <w:t>13.4 投标文件应采用书面形式，传真、电子邮件形式的投标文件概不接受。</w:t>
      </w:r>
    </w:p>
    <w:p>
      <w:pPr>
        <w:adjustRightInd w:val="0"/>
        <w:snapToGrid w:val="0"/>
        <w:spacing w:line="360" w:lineRule="auto"/>
        <w:ind w:firstLine="440" w:firstLineChars="200"/>
        <w:rPr>
          <w:szCs w:val="21"/>
        </w:rPr>
      </w:pPr>
      <w:r>
        <w:rPr>
          <w:rFonts w:hint="eastAsia"/>
          <w:szCs w:val="21"/>
        </w:rPr>
        <w:t>13.5 投标人应按磋商文件中提供的投标文件格式填写。</w:t>
      </w:r>
    </w:p>
    <w:p>
      <w:pPr>
        <w:adjustRightInd w:val="0"/>
        <w:snapToGrid w:val="0"/>
        <w:spacing w:line="360" w:lineRule="auto"/>
        <w:rPr>
          <w:b/>
          <w:bCs/>
          <w:szCs w:val="21"/>
        </w:rPr>
      </w:pPr>
      <w:r>
        <w:rPr>
          <w:rFonts w:hint="eastAsia"/>
          <w:b/>
          <w:bCs/>
          <w:szCs w:val="21"/>
        </w:rPr>
        <w:t>14.</w:t>
      </w:r>
      <w:r>
        <w:rPr>
          <w:rFonts w:hint="eastAsia"/>
          <w:b/>
          <w:szCs w:val="21"/>
        </w:rPr>
        <w:t>投标文件</w:t>
      </w:r>
      <w:r>
        <w:rPr>
          <w:rFonts w:hint="eastAsia"/>
          <w:b/>
          <w:bCs/>
          <w:szCs w:val="21"/>
        </w:rPr>
        <w:t>的组成</w:t>
      </w:r>
    </w:p>
    <w:p>
      <w:pPr>
        <w:adjustRightInd w:val="0"/>
        <w:snapToGrid w:val="0"/>
        <w:spacing w:line="360" w:lineRule="auto"/>
        <w:ind w:firstLine="440" w:firstLineChars="200"/>
        <w:rPr>
          <w:szCs w:val="21"/>
        </w:rPr>
      </w:pPr>
      <w:bookmarkStart w:id="63" w:name="_Toc420948011"/>
      <w:bookmarkStart w:id="64" w:name="_Toc427862404"/>
      <w:r>
        <w:rPr>
          <w:rFonts w:hint="eastAsia"/>
        </w:rPr>
        <w:t>14.1 投标文件包括下列内容：</w:t>
      </w:r>
      <w:bookmarkEnd w:id="63"/>
      <w:bookmarkEnd w:id="64"/>
      <w:r>
        <w:rPr>
          <w:rFonts w:hint="eastAsia"/>
          <w:szCs w:val="21"/>
        </w:rPr>
        <w:t xml:space="preserve"> </w:t>
      </w:r>
    </w:p>
    <w:p>
      <w:pPr>
        <w:pStyle w:val="16"/>
        <w:adjustRightInd w:val="0"/>
        <w:snapToGrid w:val="0"/>
        <w:spacing w:line="360" w:lineRule="auto"/>
        <w:ind w:firstLine="420" w:firstLineChars="200"/>
        <w:rPr>
          <w:sz w:val="21"/>
          <w:szCs w:val="21"/>
        </w:rPr>
      </w:pPr>
      <w:r>
        <w:rPr>
          <w:rFonts w:hint="eastAsia"/>
          <w:sz w:val="21"/>
          <w:szCs w:val="21"/>
        </w:rPr>
        <w:t>（1）资格性自查表</w:t>
      </w:r>
    </w:p>
    <w:p>
      <w:pPr>
        <w:pStyle w:val="16"/>
        <w:adjustRightInd w:val="0"/>
        <w:snapToGrid w:val="0"/>
        <w:spacing w:line="360" w:lineRule="auto"/>
        <w:ind w:firstLine="420" w:firstLineChars="200"/>
        <w:rPr>
          <w:sz w:val="21"/>
          <w:szCs w:val="21"/>
        </w:rPr>
      </w:pPr>
      <w:r>
        <w:rPr>
          <w:rFonts w:hint="eastAsia"/>
          <w:sz w:val="21"/>
          <w:szCs w:val="21"/>
        </w:rPr>
        <w:t>（2）投标函、投标声明</w:t>
      </w:r>
    </w:p>
    <w:p>
      <w:pPr>
        <w:pStyle w:val="16"/>
        <w:adjustRightInd w:val="0"/>
        <w:snapToGrid w:val="0"/>
        <w:spacing w:line="360" w:lineRule="auto"/>
        <w:ind w:firstLine="420" w:firstLineChars="200"/>
        <w:rPr>
          <w:sz w:val="21"/>
          <w:szCs w:val="21"/>
        </w:rPr>
      </w:pPr>
      <w:r>
        <w:rPr>
          <w:rFonts w:hint="eastAsia"/>
          <w:sz w:val="21"/>
          <w:szCs w:val="21"/>
        </w:rPr>
        <w:t>（3）投标保证金</w:t>
      </w:r>
    </w:p>
    <w:p>
      <w:pPr>
        <w:pStyle w:val="16"/>
        <w:adjustRightInd w:val="0"/>
        <w:snapToGrid w:val="0"/>
        <w:spacing w:line="360" w:lineRule="auto"/>
        <w:ind w:firstLine="420" w:firstLineChars="200"/>
        <w:rPr>
          <w:sz w:val="21"/>
          <w:szCs w:val="21"/>
        </w:rPr>
      </w:pPr>
      <w:r>
        <w:rPr>
          <w:rFonts w:hint="eastAsia"/>
          <w:sz w:val="21"/>
          <w:szCs w:val="21"/>
        </w:rPr>
        <w:t>（4）开标一览表及投标报价明细表</w:t>
      </w:r>
    </w:p>
    <w:p>
      <w:pPr>
        <w:pStyle w:val="16"/>
        <w:adjustRightInd w:val="0"/>
        <w:snapToGrid w:val="0"/>
        <w:spacing w:line="360" w:lineRule="auto"/>
        <w:ind w:firstLine="420" w:firstLineChars="200"/>
        <w:rPr>
          <w:sz w:val="21"/>
          <w:szCs w:val="21"/>
        </w:rPr>
      </w:pPr>
      <w:r>
        <w:rPr>
          <w:rFonts w:hint="eastAsia"/>
          <w:sz w:val="21"/>
          <w:szCs w:val="21"/>
        </w:rPr>
        <w:t>（5）投标人的资格证明文件</w:t>
      </w:r>
    </w:p>
    <w:p>
      <w:pPr>
        <w:pStyle w:val="16"/>
        <w:adjustRightInd w:val="0"/>
        <w:snapToGrid w:val="0"/>
        <w:spacing w:line="360" w:lineRule="auto"/>
        <w:ind w:firstLine="420" w:firstLineChars="200"/>
        <w:rPr>
          <w:sz w:val="21"/>
          <w:szCs w:val="21"/>
        </w:rPr>
      </w:pPr>
      <w:r>
        <w:rPr>
          <w:rFonts w:hint="eastAsia"/>
          <w:sz w:val="21"/>
          <w:szCs w:val="21"/>
        </w:rPr>
        <w:t>（6）货物说明</w:t>
      </w:r>
    </w:p>
    <w:p>
      <w:pPr>
        <w:pStyle w:val="16"/>
        <w:adjustRightInd w:val="0"/>
        <w:snapToGrid w:val="0"/>
        <w:spacing w:line="360" w:lineRule="auto"/>
        <w:ind w:firstLine="420" w:firstLineChars="200"/>
        <w:rPr>
          <w:sz w:val="21"/>
          <w:szCs w:val="21"/>
        </w:rPr>
      </w:pPr>
      <w:r>
        <w:rPr>
          <w:rFonts w:hint="eastAsia"/>
          <w:sz w:val="21"/>
          <w:szCs w:val="21"/>
        </w:rPr>
        <w:t>（7）商务投标与偏离表</w:t>
      </w:r>
    </w:p>
    <w:p>
      <w:pPr>
        <w:pStyle w:val="16"/>
        <w:adjustRightInd w:val="0"/>
        <w:snapToGrid w:val="0"/>
        <w:spacing w:line="360" w:lineRule="auto"/>
        <w:ind w:firstLine="420" w:firstLineChars="200"/>
        <w:rPr>
          <w:sz w:val="21"/>
          <w:szCs w:val="21"/>
        </w:rPr>
      </w:pPr>
      <w:r>
        <w:rPr>
          <w:rFonts w:hint="eastAsia"/>
          <w:sz w:val="21"/>
          <w:szCs w:val="21"/>
        </w:rPr>
        <w:t>（8）实施方案</w:t>
      </w:r>
    </w:p>
    <w:p>
      <w:pPr>
        <w:pStyle w:val="16"/>
        <w:adjustRightInd w:val="0"/>
        <w:snapToGrid w:val="0"/>
        <w:spacing w:line="360" w:lineRule="auto"/>
        <w:ind w:firstLine="420" w:firstLineChars="200"/>
        <w:rPr>
          <w:sz w:val="21"/>
          <w:szCs w:val="21"/>
        </w:rPr>
      </w:pPr>
      <w:r>
        <w:rPr>
          <w:rFonts w:hint="eastAsia"/>
          <w:sz w:val="21"/>
          <w:szCs w:val="21"/>
        </w:rPr>
        <w:t>（9）投标人认为需提供的其他资料</w:t>
      </w:r>
    </w:p>
    <w:p>
      <w:pPr>
        <w:adjustRightInd w:val="0"/>
        <w:snapToGrid w:val="0"/>
        <w:spacing w:line="360" w:lineRule="auto"/>
        <w:rPr>
          <w:b/>
          <w:bCs/>
          <w:szCs w:val="21"/>
        </w:rPr>
      </w:pPr>
      <w:r>
        <w:rPr>
          <w:rFonts w:hint="eastAsia"/>
          <w:b/>
          <w:bCs/>
          <w:szCs w:val="21"/>
        </w:rPr>
        <w:t>15.报价</w:t>
      </w:r>
    </w:p>
    <w:p>
      <w:pPr>
        <w:adjustRightInd w:val="0"/>
        <w:snapToGrid w:val="0"/>
        <w:spacing w:line="360" w:lineRule="auto"/>
        <w:ind w:firstLine="440" w:firstLineChars="200"/>
        <w:rPr>
          <w:szCs w:val="21"/>
        </w:rPr>
      </w:pPr>
      <w:r>
        <w:rPr>
          <w:rFonts w:hint="eastAsia"/>
          <w:szCs w:val="21"/>
        </w:rPr>
        <w:t>15.1投标人应当根据磋商文件要求和范围，以</w:t>
      </w:r>
      <w:r>
        <w:rPr>
          <w:rFonts w:hint="eastAsia"/>
          <w:bCs/>
          <w:szCs w:val="21"/>
        </w:rPr>
        <w:t>人民币</w:t>
      </w:r>
      <w:r>
        <w:rPr>
          <w:rFonts w:hint="eastAsia"/>
          <w:szCs w:val="21"/>
        </w:rPr>
        <w:t>报价，以元为单位，保留小数点后两位。</w:t>
      </w:r>
    </w:p>
    <w:p>
      <w:pPr>
        <w:adjustRightInd w:val="0"/>
        <w:snapToGrid w:val="0"/>
        <w:spacing w:line="360" w:lineRule="auto"/>
        <w:ind w:firstLine="440" w:firstLineChars="200"/>
        <w:rPr>
          <w:szCs w:val="21"/>
        </w:rPr>
      </w:pPr>
      <w:r>
        <w:rPr>
          <w:rFonts w:hint="eastAsia"/>
          <w:szCs w:val="21"/>
        </w:rPr>
        <w:t>15.2投标报价是履行合同的最终价格，应包括为完成本项目采购范围内所有货物、配套工具及供货、运输、安装调试、培训、保险、税金及其它附带服务的全部费用。投标人漏报的单价或每项单价报价中漏报、少报的费用，视为此项费用已隐含在其他报价中，中标后不予调整。</w:t>
      </w:r>
    </w:p>
    <w:p>
      <w:pPr>
        <w:pStyle w:val="39"/>
        <w:adjustRightInd w:val="0"/>
        <w:snapToGrid w:val="0"/>
        <w:spacing w:line="360" w:lineRule="auto"/>
        <w:ind w:firstLine="440" w:firstLineChars="200"/>
      </w:pPr>
      <w:r>
        <w:rPr>
          <w:rFonts w:hint="eastAsia"/>
        </w:rPr>
        <w:t>15.3投标人应按“采购需求”要求及“投标文件组成”格式填写。投标人在</w:t>
      </w:r>
      <w:r>
        <w:rPr>
          <w:rFonts w:hint="eastAsia"/>
          <w:bCs/>
        </w:rPr>
        <w:t>本章第11.1</w:t>
      </w:r>
      <w:r>
        <w:rPr>
          <w:rFonts w:hint="eastAsia"/>
        </w:rPr>
        <w:t>款</w:t>
      </w:r>
      <w:r>
        <w:rPr>
          <w:rFonts w:hint="eastAsia"/>
          <w:bCs/>
        </w:rPr>
        <w:t>规定的</w:t>
      </w:r>
      <w:r>
        <w:rPr>
          <w:rFonts w:hint="eastAsia"/>
        </w:rPr>
        <w:t>提交投标文件截止之日前修改开标一览表中的报价，应同时修改其按第五章要求填写的相应表格中的报价。此修改须符合本章第21.1款的有关要求。</w:t>
      </w:r>
    </w:p>
    <w:p>
      <w:pPr>
        <w:pStyle w:val="16"/>
        <w:adjustRightInd w:val="0"/>
        <w:snapToGrid w:val="0"/>
        <w:spacing w:line="360" w:lineRule="auto"/>
        <w:ind w:firstLine="420" w:firstLineChars="200"/>
        <w:rPr>
          <w:sz w:val="21"/>
          <w:szCs w:val="21"/>
        </w:rPr>
      </w:pPr>
      <w:r>
        <w:rPr>
          <w:rFonts w:hint="eastAsia"/>
          <w:sz w:val="21"/>
          <w:szCs w:val="21"/>
        </w:rPr>
        <w:t>15.4投标文件中标明的价格在合同执行过程中是固定不变的，不得以任何理由予以变更。以可变动价格提交的报价将被认为是非实质投标而被拒绝。</w:t>
      </w:r>
    </w:p>
    <w:p>
      <w:pPr>
        <w:pStyle w:val="16"/>
        <w:adjustRightInd w:val="0"/>
        <w:snapToGrid w:val="0"/>
        <w:spacing w:line="360" w:lineRule="auto"/>
        <w:ind w:firstLine="420" w:firstLineChars="200"/>
      </w:pPr>
      <w:r>
        <w:rPr>
          <w:rFonts w:hint="eastAsia"/>
          <w:sz w:val="21"/>
          <w:szCs w:val="21"/>
        </w:rPr>
        <w:t>15.5投标人的报价不得超过采购项目预算，采购项目预算或其计算方法见</w:t>
      </w:r>
      <w:r>
        <w:rPr>
          <w:rFonts w:hint="eastAsia"/>
          <w:b/>
          <w:sz w:val="21"/>
          <w:szCs w:val="21"/>
        </w:rPr>
        <w:t>招标须知前附表</w:t>
      </w:r>
      <w:r>
        <w:rPr>
          <w:rFonts w:hint="eastAsia"/>
          <w:sz w:val="21"/>
          <w:szCs w:val="21"/>
        </w:rPr>
        <w:t>。</w:t>
      </w:r>
    </w:p>
    <w:p>
      <w:pPr>
        <w:pStyle w:val="16"/>
        <w:adjustRightInd w:val="0"/>
        <w:snapToGrid w:val="0"/>
        <w:spacing w:line="360" w:lineRule="auto"/>
        <w:rPr>
          <w:b/>
          <w:sz w:val="21"/>
          <w:szCs w:val="21"/>
        </w:rPr>
      </w:pPr>
      <w:r>
        <w:rPr>
          <w:rFonts w:hint="eastAsia"/>
          <w:b/>
          <w:sz w:val="21"/>
          <w:szCs w:val="21"/>
        </w:rPr>
        <w:t>16.</w:t>
      </w:r>
      <w:r>
        <w:rPr>
          <w:rFonts w:hint="eastAsia"/>
          <w:sz w:val="21"/>
          <w:szCs w:val="21"/>
        </w:rPr>
        <w:t xml:space="preserve"> </w:t>
      </w:r>
      <w:r>
        <w:rPr>
          <w:rFonts w:hint="eastAsia"/>
          <w:b/>
          <w:sz w:val="21"/>
          <w:szCs w:val="21"/>
        </w:rPr>
        <w:t>投标人满足磋商文件规定的资格证明文件</w:t>
      </w:r>
    </w:p>
    <w:p>
      <w:pPr>
        <w:adjustRightInd w:val="0"/>
        <w:snapToGrid w:val="0"/>
        <w:spacing w:line="360" w:lineRule="auto"/>
        <w:ind w:firstLine="440" w:firstLineChars="200"/>
        <w:rPr>
          <w:szCs w:val="21"/>
        </w:rPr>
      </w:pPr>
      <w:r>
        <w:rPr>
          <w:rFonts w:hint="eastAsia"/>
        </w:rPr>
        <w:t>16.1</w:t>
      </w:r>
      <w:r>
        <w:rPr>
          <w:rFonts w:hint="eastAsia"/>
          <w:szCs w:val="21"/>
        </w:rPr>
        <w:t>投标人应提供资格证明材料，以证实其各项条件能满足本章第3.1款规定的投标人资格条件要求。</w:t>
      </w:r>
    </w:p>
    <w:p>
      <w:pPr>
        <w:adjustRightInd w:val="0"/>
        <w:snapToGrid w:val="0"/>
        <w:spacing w:line="360" w:lineRule="auto"/>
        <w:ind w:firstLine="440" w:firstLineChars="200"/>
        <w:rPr>
          <w:szCs w:val="21"/>
        </w:rPr>
      </w:pPr>
      <w:r>
        <w:rPr>
          <w:rFonts w:hint="eastAsia"/>
          <w:szCs w:val="21"/>
        </w:rPr>
        <w:t>16.2投标人应当提交满足磋商文件规定的业绩证明文件,该证明文件作为投标文件的一部分，业绩证明文件要求详见</w:t>
      </w:r>
      <w:r>
        <w:rPr>
          <w:rFonts w:hint="eastAsia"/>
          <w:b/>
          <w:szCs w:val="21"/>
        </w:rPr>
        <w:t>投标须知前附表</w:t>
      </w:r>
      <w:r>
        <w:rPr>
          <w:rFonts w:hint="eastAsia"/>
          <w:szCs w:val="21"/>
        </w:rPr>
        <w:t>。</w:t>
      </w:r>
    </w:p>
    <w:p>
      <w:pPr>
        <w:adjustRightInd w:val="0"/>
        <w:snapToGrid w:val="0"/>
        <w:spacing w:line="360" w:lineRule="auto"/>
        <w:ind w:firstLine="440" w:firstLineChars="200"/>
        <w:rPr>
          <w:szCs w:val="21"/>
        </w:rPr>
      </w:pPr>
      <w:r>
        <w:rPr>
          <w:rFonts w:hint="eastAsia"/>
          <w:szCs w:val="21"/>
        </w:rPr>
        <w:t>16.3供应商在货物说明一览表中应当说明货物的品牌型号、规格参数、制造商及原产地等，交货时应出具原产地证明及出厂合格证明。</w:t>
      </w:r>
    </w:p>
    <w:p>
      <w:pPr>
        <w:adjustRightInd w:val="0"/>
        <w:snapToGrid w:val="0"/>
        <w:spacing w:line="360" w:lineRule="auto"/>
        <w:ind w:firstLine="440" w:firstLineChars="200"/>
        <w:rPr>
          <w:szCs w:val="21"/>
        </w:rPr>
      </w:pPr>
      <w:r>
        <w:rPr>
          <w:rFonts w:hint="eastAsia"/>
          <w:szCs w:val="21"/>
        </w:rPr>
        <w:t>16.4上述证明文件可以是文字资料、图纸和数据，并须提供：</w:t>
      </w:r>
    </w:p>
    <w:p>
      <w:pPr>
        <w:adjustRightInd w:val="0"/>
        <w:snapToGrid w:val="0"/>
        <w:spacing w:line="360" w:lineRule="auto"/>
        <w:ind w:firstLine="440" w:firstLineChars="200"/>
        <w:rPr>
          <w:szCs w:val="21"/>
        </w:rPr>
      </w:pPr>
      <w:r>
        <w:rPr>
          <w:rFonts w:hint="eastAsia"/>
          <w:szCs w:val="21"/>
        </w:rPr>
        <w:t xml:space="preserve">（1）货物主要性能和参数的详细说明； </w:t>
      </w:r>
    </w:p>
    <w:p>
      <w:pPr>
        <w:adjustRightInd w:val="0"/>
        <w:snapToGrid w:val="0"/>
        <w:spacing w:line="360" w:lineRule="auto"/>
        <w:ind w:firstLine="440" w:firstLineChars="200"/>
        <w:rPr>
          <w:szCs w:val="21"/>
        </w:rPr>
      </w:pPr>
      <w:r>
        <w:rPr>
          <w:rFonts w:hint="eastAsia"/>
          <w:szCs w:val="21"/>
        </w:rPr>
        <w:t>（2）对照磋商文件技术规格，逐条说明所提供货物和服务对磋商文件的技术规格条文的投标与偏离。对有具体参数要求的指标，供应商应提供具体参数值；</w:t>
      </w:r>
    </w:p>
    <w:p>
      <w:pPr>
        <w:adjustRightInd w:val="0"/>
        <w:snapToGrid w:val="0"/>
        <w:spacing w:line="360" w:lineRule="auto"/>
        <w:ind w:firstLine="440" w:firstLineChars="200"/>
        <w:rPr>
          <w:szCs w:val="21"/>
        </w:rPr>
      </w:pPr>
      <w:r>
        <w:rPr>
          <w:rFonts w:hint="eastAsia"/>
          <w:szCs w:val="21"/>
        </w:rPr>
        <w:t>（3）本项目拟供货物非原厂制造商参加投标时，须提供其拟供货物合法来源证明材料，如原厂制造商出具的授权书或售后服务函或授权投标人经销函。</w:t>
      </w:r>
    </w:p>
    <w:p>
      <w:pPr>
        <w:adjustRightInd w:val="0"/>
        <w:snapToGrid w:val="0"/>
        <w:spacing w:line="360" w:lineRule="auto"/>
        <w:rPr>
          <w:b/>
          <w:bCs/>
          <w:szCs w:val="21"/>
        </w:rPr>
      </w:pPr>
      <w:r>
        <w:rPr>
          <w:rFonts w:hint="eastAsia"/>
          <w:b/>
          <w:bCs/>
          <w:szCs w:val="21"/>
        </w:rPr>
        <w:t>17.投标保证金</w:t>
      </w:r>
    </w:p>
    <w:p>
      <w:pPr>
        <w:pStyle w:val="16"/>
        <w:adjustRightInd w:val="0"/>
        <w:snapToGrid w:val="0"/>
        <w:spacing w:line="360" w:lineRule="auto"/>
        <w:ind w:firstLine="420" w:firstLineChars="200"/>
        <w:rPr>
          <w:bCs/>
          <w:sz w:val="21"/>
          <w:szCs w:val="21"/>
        </w:rPr>
      </w:pPr>
      <w:r>
        <w:rPr>
          <w:rFonts w:hint="eastAsia"/>
          <w:sz w:val="21"/>
          <w:szCs w:val="21"/>
        </w:rPr>
        <w:t>17.1</w:t>
      </w:r>
      <w:r>
        <w:rPr>
          <w:rFonts w:hint="eastAsia"/>
          <w:b/>
          <w:sz w:val="21"/>
          <w:szCs w:val="21"/>
        </w:rPr>
        <w:t>投标须知前附表</w:t>
      </w:r>
      <w:r>
        <w:rPr>
          <w:rFonts w:hint="eastAsia"/>
          <w:sz w:val="21"/>
          <w:szCs w:val="21"/>
        </w:rPr>
        <w:t>规定交纳投标</w:t>
      </w:r>
      <w:r>
        <w:rPr>
          <w:rFonts w:hint="eastAsia"/>
          <w:bCs/>
          <w:sz w:val="21"/>
          <w:szCs w:val="21"/>
        </w:rPr>
        <w:t>保证金的</w:t>
      </w:r>
      <w:r>
        <w:rPr>
          <w:rFonts w:hint="eastAsia"/>
          <w:sz w:val="21"/>
          <w:szCs w:val="21"/>
        </w:rPr>
        <w:t>，应按</w:t>
      </w:r>
      <w:r>
        <w:rPr>
          <w:rFonts w:hint="eastAsia"/>
          <w:b/>
          <w:sz w:val="21"/>
          <w:szCs w:val="21"/>
        </w:rPr>
        <w:t>投标须知前附表</w:t>
      </w:r>
      <w:r>
        <w:rPr>
          <w:rFonts w:hint="eastAsia"/>
          <w:sz w:val="21"/>
          <w:szCs w:val="21"/>
        </w:rPr>
        <w:t>规定的</w:t>
      </w:r>
      <w:r>
        <w:rPr>
          <w:rFonts w:hint="eastAsia"/>
          <w:bCs/>
          <w:sz w:val="21"/>
          <w:szCs w:val="21"/>
        </w:rPr>
        <w:t>形式、金额，</w:t>
      </w:r>
      <w:r>
        <w:rPr>
          <w:rFonts w:hint="eastAsia"/>
          <w:sz w:val="21"/>
          <w:szCs w:val="21"/>
        </w:rPr>
        <w:t>在本章第11.1款规定的提交投标文件截止时间前，</w:t>
      </w:r>
      <w:r>
        <w:rPr>
          <w:rFonts w:hint="eastAsia"/>
          <w:bCs/>
          <w:sz w:val="21"/>
          <w:szCs w:val="21"/>
        </w:rPr>
        <w:t>提交投标保证金</w:t>
      </w:r>
      <w:r>
        <w:rPr>
          <w:rFonts w:hint="eastAsia"/>
          <w:sz w:val="21"/>
          <w:szCs w:val="21"/>
        </w:rPr>
        <w:t>。投标</w:t>
      </w:r>
      <w:r>
        <w:rPr>
          <w:rFonts w:hint="eastAsia"/>
          <w:bCs/>
          <w:sz w:val="21"/>
          <w:szCs w:val="21"/>
        </w:rPr>
        <w:t>保证金有效期应当与</w:t>
      </w:r>
      <w:r>
        <w:rPr>
          <w:rFonts w:hint="eastAsia"/>
          <w:sz w:val="21"/>
          <w:szCs w:val="21"/>
        </w:rPr>
        <w:t>本章第18.1款规定的</w:t>
      </w:r>
      <w:r>
        <w:rPr>
          <w:rFonts w:hint="eastAsia"/>
          <w:bCs/>
          <w:sz w:val="21"/>
          <w:szCs w:val="21"/>
        </w:rPr>
        <w:t>投标文件有效期一致。</w:t>
      </w:r>
    </w:p>
    <w:p>
      <w:pPr>
        <w:pStyle w:val="16"/>
        <w:adjustRightInd w:val="0"/>
        <w:snapToGrid w:val="0"/>
        <w:spacing w:line="360" w:lineRule="auto"/>
        <w:ind w:firstLine="420" w:firstLineChars="200"/>
        <w:rPr>
          <w:sz w:val="21"/>
          <w:szCs w:val="21"/>
        </w:rPr>
      </w:pPr>
      <w:r>
        <w:rPr>
          <w:rFonts w:hint="eastAsia"/>
          <w:sz w:val="21"/>
          <w:szCs w:val="21"/>
        </w:rPr>
        <w:t>17.2 未按磋商文件规定提交投标保证金的，</w:t>
      </w:r>
      <w:r>
        <w:rPr>
          <w:rFonts w:hint="eastAsia"/>
          <w:bCs/>
          <w:sz w:val="21"/>
          <w:szCs w:val="21"/>
        </w:rPr>
        <w:t>采购人或采购代理机构应当拒绝接收</w:t>
      </w:r>
      <w:r>
        <w:rPr>
          <w:rFonts w:hint="eastAsia"/>
          <w:sz w:val="21"/>
          <w:szCs w:val="21"/>
        </w:rPr>
        <w:t>投标人</w:t>
      </w:r>
      <w:r>
        <w:rPr>
          <w:rFonts w:hint="eastAsia"/>
          <w:bCs/>
          <w:sz w:val="21"/>
          <w:szCs w:val="21"/>
        </w:rPr>
        <w:t>的投标文件</w:t>
      </w:r>
      <w:r>
        <w:rPr>
          <w:rFonts w:hint="eastAsia"/>
          <w:sz w:val="21"/>
          <w:szCs w:val="21"/>
        </w:rPr>
        <w:t>。</w:t>
      </w:r>
    </w:p>
    <w:p>
      <w:pPr>
        <w:pStyle w:val="16"/>
        <w:tabs>
          <w:tab w:val="left" w:pos="6300"/>
        </w:tabs>
        <w:adjustRightInd w:val="0"/>
        <w:snapToGrid w:val="0"/>
        <w:spacing w:line="360" w:lineRule="auto"/>
        <w:ind w:firstLine="420" w:firstLineChars="200"/>
        <w:rPr>
          <w:sz w:val="21"/>
          <w:szCs w:val="21"/>
        </w:rPr>
      </w:pPr>
      <w:r>
        <w:rPr>
          <w:rFonts w:hint="eastAsia"/>
          <w:sz w:val="21"/>
          <w:szCs w:val="21"/>
        </w:rPr>
        <w:t>17.3采购代理机构在中标通知书发出后5个工作日内退还未中标人的投标保证金；在采购合同签定后5个工作日内退还中标人的投标保证金，但因投标人自身原因导致无法及时退还的除外。</w:t>
      </w:r>
    </w:p>
    <w:p>
      <w:pPr>
        <w:pStyle w:val="16"/>
        <w:adjustRightInd w:val="0"/>
        <w:snapToGrid w:val="0"/>
        <w:spacing w:line="360" w:lineRule="auto"/>
        <w:ind w:firstLine="420" w:firstLineChars="200"/>
        <w:rPr>
          <w:sz w:val="21"/>
          <w:szCs w:val="21"/>
        </w:rPr>
      </w:pPr>
      <w:r>
        <w:rPr>
          <w:rFonts w:hint="eastAsia"/>
          <w:sz w:val="21"/>
          <w:szCs w:val="21"/>
        </w:rPr>
        <w:t>17.4 有下列情形之一的，投标保证金不予退还：</w:t>
      </w:r>
    </w:p>
    <w:p>
      <w:pPr>
        <w:pStyle w:val="16"/>
        <w:adjustRightInd w:val="0"/>
        <w:snapToGrid w:val="0"/>
        <w:spacing w:line="360" w:lineRule="auto"/>
        <w:ind w:firstLine="840" w:firstLineChars="400"/>
        <w:rPr>
          <w:sz w:val="21"/>
          <w:szCs w:val="21"/>
        </w:rPr>
      </w:pPr>
      <w:r>
        <w:rPr>
          <w:rFonts w:hint="eastAsia"/>
          <w:sz w:val="21"/>
          <w:szCs w:val="21"/>
        </w:rPr>
        <w:t xml:space="preserve">（1）中标后无正当理由不与采购人签订合同的； </w:t>
      </w:r>
    </w:p>
    <w:p>
      <w:pPr>
        <w:pStyle w:val="16"/>
        <w:adjustRightInd w:val="0"/>
        <w:snapToGrid w:val="0"/>
        <w:spacing w:line="360" w:lineRule="auto"/>
        <w:ind w:firstLine="420" w:firstLineChars="200"/>
        <w:rPr>
          <w:sz w:val="21"/>
          <w:szCs w:val="21"/>
        </w:rPr>
      </w:pPr>
      <w:r>
        <w:rPr>
          <w:rFonts w:hint="eastAsia"/>
          <w:sz w:val="21"/>
          <w:szCs w:val="21"/>
        </w:rPr>
        <w:t xml:space="preserve">　　（2）将中标项目转让给他人，或者在投标文件中未说明，且未经采购招标机构同意，将中标项目分包给他人的； </w:t>
      </w:r>
    </w:p>
    <w:p>
      <w:pPr>
        <w:pStyle w:val="16"/>
        <w:adjustRightInd w:val="0"/>
        <w:snapToGrid w:val="0"/>
        <w:spacing w:line="360" w:lineRule="auto"/>
        <w:ind w:firstLine="420" w:firstLineChars="200"/>
        <w:rPr>
          <w:sz w:val="21"/>
          <w:szCs w:val="21"/>
        </w:rPr>
      </w:pPr>
      <w:r>
        <w:rPr>
          <w:rFonts w:hint="eastAsia"/>
          <w:sz w:val="21"/>
          <w:szCs w:val="21"/>
        </w:rPr>
        <w:t xml:space="preserve">　　（3）拒绝履行合同义务的。 </w:t>
      </w:r>
    </w:p>
    <w:p>
      <w:pPr>
        <w:pStyle w:val="16"/>
        <w:adjustRightInd w:val="0"/>
        <w:snapToGrid w:val="0"/>
        <w:spacing w:line="360" w:lineRule="auto"/>
        <w:rPr>
          <w:b/>
          <w:bCs/>
          <w:sz w:val="21"/>
          <w:szCs w:val="21"/>
        </w:rPr>
      </w:pPr>
      <w:r>
        <w:rPr>
          <w:rFonts w:hint="eastAsia"/>
          <w:b/>
          <w:bCs/>
          <w:sz w:val="21"/>
          <w:szCs w:val="21"/>
        </w:rPr>
        <w:t>18.</w:t>
      </w:r>
      <w:r>
        <w:rPr>
          <w:rFonts w:hint="eastAsia"/>
          <w:sz w:val="21"/>
          <w:szCs w:val="21"/>
        </w:rPr>
        <w:t xml:space="preserve"> </w:t>
      </w:r>
      <w:r>
        <w:rPr>
          <w:rFonts w:hint="eastAsia"/>
          <w:b/>
          <w:sz w:val="21"/>
          <w:szCs w:val="21"/>
        </w:rPr>
        <w:t>投标文件有效期</w:t>
      </w:r>
    </w:p>
    <w:p>
      <w:pPr>
        <w:adjustRightInd w:val="0"/>
        <w:snapToGrid w:val="0"/>
        <w:spacing w:line="360" w:lineRule="auto"/>
        <w:ind w:firstLine="440" w:firstLineChars="200"/>
      </w:pPr>
      <w:r>
        <w:rPr>
          <w:rFonts w:hint="eastAsia"/>
        </w:rPr>
        <w:t>18.1投标文件</w:t>
      </w:r>
      <w:r>
        <w:rPr>
          <w:rFonts w:hint="eastAsia"/>
          <w:szCs w:val="21"/>
        </w:rPr>
        <w:t>有效期见</w:t>
      </w:r>
      <w:r>
        <w:rPr>
          <w:rFonts w:hint="eastAsia"/>
          <w:b/>
        </w:rPr>
        <w:t>投标须知前附表</w:t>
      </w:r>
      <w:r>
        <w:rPr>
          <w:rFonts w:hint="eastAsia"/>
          <w:szCs w:val="21"/>
        </w:rPr>
        <w:t>，在此期间</w:t>
      </w:r>
      <w:r>
        <w:rPr>
          <w:rFonts w:hint="eastAsia"/>
        </w:rPr>
        <w:t>投标</w:t>
      </w:r>
      <w:r>
        <w:rPr>
          <w:rFonts w:hint="eastAsia"/>
          <w:szCs w:val="21"/>
        </w:rPr>
        <w:t>文件对投标人具有法律约束力，</w:t>
      </w:r>
      <w:r>
        <w:rPr>
          <w:rFonts w:hint="eastAsia" w:cs="Arial"/>
        </w:rPr>
        <w:t>从</w:t>
      </w:r>
      <w:r>
        <w:rPr>
          <w:rFonts w:hint="eastAsia"/>
        </w:rPr>
        <w:t>本章第11.1</w:t>
      </w:r>
      <w:r>
        <w:rPr>
          <w:rFonts w:hint="eastAsia"/>
          <w:szCs w:val="21"/>
        </w:rPr>
        <w:t>款</w:t>
      </w:r>
      <w:r>
        <w:rPr>
          <w:rFonts w:hint="eastAsia"/>
        </w:rPr>
        <w:t>规定的</w:t>
      </w:r>
      <w:r>
        <w:rPr>
          <w:rFonts w:hint="eastAsia"/>
          <w:szCs w:val="21"/>
        </w:rPr>
        <w:t>提交投标文件截止时间</w:t>
      </w:r>
      <w:r>
        <w:rPr>
          <w:rFonts w:hint="eastAsia"/>
        </w:rPr>
        <w:t>之日</w:t>
      </w:r>
      <w:r>
        <w:rPr>
          <w:rFonts w:hint="eastAsia" w:cs="Arial"/>
        </w:rPr>
        <w:t>起计算。</w:t>
      </w:r>
      <w:r>
        <w:rPr>
          <w:rFonts w:hint="eastAsia"/>
        </w:rPr>
        <w:t>投标文件有效期不足的将被视为无效投标。</w:t>
      </w:r>
    </w:p>
    <w:p>
      <w:pPr>
        <w:adjustRightInd w:val="0"/>
        <w:snapToGrid w:val="0"/>
        <w:spacing w:line="360" w:lineRule="auto"/>
        <w:rPr>
          <w:b/>
          <w:bCs/>
          <w:szCs w:val="21"/>
        </w:rPr>
      </w:pPr>
      <w:r>
        <w:rPr>
          <w:rFonts w:hint="eastAsia"/>
          <w:b/>
          <w:bCs/>
          <w:szCs w:val="21"/>
        </w:rPr>
        <w:t>19.投标文件的签署及规定</w:t>
      </w:r>
    </w:p>
    <w:p>
      <w:pPr>
        <w:pStyle w:val="16"/>
        <w:adjustRightInd w:val="0"/>
        <w:snapToGrid w:val="0"/>
        <w:spacing w:line="360" w:lineRule="auto"/>
        <w:ind w:firstLine="420" w:firstLineChars="200"/>
        <w:rPr>
          <w:sz w:val="21"/>
          <w:szCs w:val="21"/>
        </w:rPr>
      </w:pPr>
      <w:r>
        <w:rPr>
          <w:rFonts w:hint="eastAsia"/>
          <w:sz w:val="21"/>
          <w:szCs w:val="21"/>
        </w:rPr>
        <w:t>19.1投标文件的正本和副本应分别装订成册，正本一份，副本份数见</w:t>
      </w:r>
      <w:r>
        <w:rPr>
          <w:rFonts w:hint="eastAsia"/>
          <w:b/>
          <w:sz w:val="21"/>
          <w:szCs w:val="21"/>
        </w:rPr>
        <w:t>投标须知前附表</w:t>
      </w:r>
      <w:r>
        <w:rPr>
          <w:rFonts w:hint="eastAsia"/>
          <w:sz w:val="21"/>
          <w:szCs w:val="21"/>
        </w:rPr>
        <w:t>。正本和副本的封面上应标记“正本”或“副本”的字样，当正本和副本有差异时，以正本为准。封面标明所采购的项目编号、包号、采购内容、项目名称、采购人名称、投标人名称、联系人及联系电话等内容。</w:t>
      </w:r>
    </w:p>
    <w:p>
      <w:pPr>
        <w:pStyle w:val="16"/>
        <w:adjustRightInd w:val="0"/>
        <w:snapToGrid w:val="0"/>
        <w:spacing w:line="360" w:lineRule="auto"/>
        <w:ind w:firstLine="420" w:firstLineChars="200"/>
      </w:pPr>
      <w:r>
        <w:rPr>
          <w:rFonts w:hint="eastAsia"/>
          <w:sz w:val="21"/>
          <w:szCs w:val="21"/>
        </w:rPr>
        <w:t>19.2 投标文件正本和副本应按招标文件要求签章处盖单位章和由法定代表人或其委托代理人签字；任何加行、涂改、增删，应有法定代表人或其委托代理人在旁边签字。否则，将导致投标文件无效。</w:t>
      </w:r>
    </w:p>
    <w:p>
      <w:pPr>
        <w:adjustRightInd w:val="0"/>
        <w:snapToGrid w:val="0"/>
        <w:spacing w:line="360" w:lineRule="auto"/>
        <w:outlineLvl w:val="1"/>
        <w:rPr>
          <w:b/>
          <w:sz w:val="24"/>
        </w:rPr>
      </w:pPr>
      <w:bookmarkStart w:id="65" w:name="_Toc7241"/>
      <w:bookmarkStart w:id="66" w:name="_Toc420948012"/>
      <w:bookmarkStart w:id="67" w:name="_Toc474235947"/>
      <w:bookmarkStart w:id="68" w:name="_Toc11037"/>
      <w:r>
        <w:rPr>
          <w:rFonts w:hint="eastAsia"/>
          <w:b/>
          <w:sz w:val="24"/>
        </w:rPr>
        <w:t>四、投标文件的递交</w:t>
      </w:r>
      <w:bookmarkEnd w:id="65"/>
      <w:bookmarkEnd w:id="66"/>
      <w:bookmarkEnd w:id="67"/>
      <w:bookmarkEnd w:id="68"/>
    </w:p>
    <w:p>
      <w:pPr>
        <w:adjustRightInd w:val="0"/>
        <w:snapToGrid w:val="0"/>
        <w:spacing w:line="360" w:lineRule="auto"/>
        <w:rPr>
          <w:b/>
          <w:bCs/>
          <w:szCs w:val="21"/>
        </w:rPr>
      </w:pPr>
      <w:r>
        <w:rPr>
          <w:rFonts w:hint="eastAsia"/>
          <w:b/>
          <w:bCs/>
          <w:szCs w:val="21"/>
        </w:rPr>
        <w:t>20.</w:t>
      </w:r>
      <w:r>
        <w:rPr>
          <w:rFonts w:hint="eastAsia"/>
          <w:b/>
          <w:szCs w:val="21"/>
        </w:rPr>
        <w:t>投标文件</w:t>
      </w:r>
      <w:r>
        <w:rPr>
          <w:rFonts w:hint="eastAsia"/>
          <w:b/>
          <w:bCs/>
          <w:szCs w:val="21"/>
        </w:rPr>
        <w:t>的密封和标记</w:t>
      </w:r>
    </w:p>
    <w:p>
      <w:pPr>
        <w:pStyle w:val="16"/>
        <w:adjustRightInd w:val="0"/>
        <w:snapToGrid w:val="0"/>
        <w:spacing w:line="360" w:lineRule="auto"/>
        <w:ind w:firstLine="420" w:firstLineChars="200"/>
        <w:rPr>
          <w:sz w:val="21"/>
          <w:szCs w:val="21"/>
        </w:rPr>
      </w:pPr>
      <w:r>
        <w:rPr>
          <w:rFonts w:hint="eastAsia"/>
          <w:sz w:val="21"/>
          <w:szCs w:val="21"/>
        </w:rPr>
        <w:t>20.1投标文件“正本”“副本”应单独分别密封包装，加贴封条，并在封套的封口处（封套两端折叠封口处）盖投标人单位章或密封章。</w:t>
      </w:r>
      <w:r>
        <w:rPr>
          <w:rFonts w:hint="eastAsia"/>
          <w:b/>
          <w:sz w:val="21"/>
          <w:szCs w:val="21"/>
        </w:rPr>
        <w:t>投标文件不接受活页装订，必须胶装成册，否则视为不投标本次招标。</w:t>
      </w:r>
    </w:p>
    <w:p>
      <w:pPr>
        <w:adjustRightInd w:val="0"/>
        <w:snapToGrid w:val="0"/>
        <w:spacing w:line="360" w:lineRule="auto"/>
        <w:ind w:firstLine="440" w:firstLineChars="200"/>
        <w:rPr>
          <w:szCs w:val="21"/>
        </w:rPr>
      </w:pPr>
      <w:r>
        <w:rPr>
          <w:rFonts w:hint="eastAsia"/>
          <w:szCs w:val="21"/>
        </w:rPr>
        <w:t>20.2投标文件封套上应写明的内容见</w:t>
      </w:r>
      <w:r>
        <w:rPr>
          <w:rFonts w:hint="eastAsia"/>
          <w:b/>
          <w:szCs w:val="21"/>
        </w:rPr>
        <w:t>投标须知前附表。</w:t>
      </w:r>
    </w:p>
    <w:p>
      <w:pPr>
        <w:adjustRightInd w:val="0"/>
        <w:snapToGrid w:val="0"/>
        <w:spacing w:line="360" w:lineRule="auto"/>
        <w:ind w:firstLine="440" w:firstLineChars="200"/>
        <w:rPr>
          <w:szCs w:val="21"/>
        </w:rPr>
      </w:pPr>
      <w:r>
        <w:rPr>
          <w:rFonts w:hint="eastAsia"/>
          <w:szCs w:val="21"/>
        </w:rPr>
        <w:t>20.3投标文件如果未按上述规定密封、标记，</w:t>
      </w:r>
      <w:r>
        <w:rPr>
          <w:rFonts w:hint="eastAsia"/>
          <w:b/>
          <w:szCs w:val="21"/>
        </w:rPr>
        <w:t>采购人或采购代理机构将拒绝接收</w:t>
      </w:r>
      <w:r>
        <w:rPr>
          <w:rFonts w:hint="eastAsia"/>
          <w:szCs w:val="21"/>
        </w:rPr>
        <w:t>。</w:t>
      </w:r>
    </w:p>
    <w:p>
      <w:pPr>
        <w:adjustRightInd w:val="0"/>
        <w:snapToGrid w:val="0"/>
        <w:spacing w:line="360" w:lineRule="auto"/>
        <w:rPr>
          <w:b/>
          <w:bCs/>
          <w:szCs w:val="21"/>
        </w:rPr>
      </w:pPr>
      <w:r>
        <w:rPr>
          <w:rFonts w:hint="eastAsia"/>
          <w:b/>
          <w:bCs/>
          <w:szCs w:val="21"/>
        </w:rPr>
        <w:t>21.投标文件的</w:t>
      </w:r>
      <w:r>
        <w:rPr>
          <w:rFonts w:hint="eastAsia"/>
          <w:b/>
          <w:szCs w:val="21"/>
        </w:rPr>
        <w:t>补充、修改或者撤回</w:t>
      </w:r>
    </w:p>
    <w:p>
      <w:pPr>
        <w:pStyle w:val="16"/>
        <w:adjustRightInd w:val="0"/>
        <w:snapToGrid w:val="0"/>
        <w:spacing w:line="360" w:lineRule="auto"/>
        <w:ind w:firstLine="420" w:firstLineChars="200"/>
        <w:rPr>
          <w:sz w:val="21"/>
          <w:szCs w:val="21"/>
        </w:rPr>
      </w:pPr>
      <w:r>
        <w:rPr>
          <w:rFonts w:hint="eastAsia"/>
          <w:sz w:val="21"/>
          <w:szCs w:val="21"/>
        </w:rPr>
        <w:t>21.1投标人在本章第11.1款规定的提交投标文件截止时间前，可以对所提交的投标文件进行补充、修改或者撤回，并书面通知采购人、采购代理机构。该通知应有投标人法定代表人或其委托代理人签字。</w:t>
      </w:r>
    </w:p>
    <w:p>
      <w:pPr>
        <w:pStyle w:val="16"/>
        <w:adjustRightInd w:val="0"/>
        <w:snapToGrid w:val="0"/>
        <w:spacing w:line="360" w:lineRule="auto"/>
        <w:ind w:firstLine="420" w:firstLineChars="200"/>
        <w:rPr>
          <w:sz w:val="21"/>
          <w:szCs w:val="21"/>
        </w:rPr>
      </w:pPr>
      <w:r>
        <w:rPr>
          <w:rFonts w:hint="eastAsia"/>
          <w:sz w:val="21"/>
          <w:szCs w:val="21"/>
        </w:rPr>
        <w:t>21.2补充、修改的内容与投标文件不一致时，以补充、修改的内容为准。</w:t>
      </w:r>
    </w:p>
    <w:p>
      <w:pPr>
        <w:adjustRightInd w:val="0"/>
        <w:snapToGrid w:val="0"/>
        <w:spacing w:line="360" w:lineRule="auto"/>
        <w:rPr>
          <w:b/>
          <w:bCs/>
          <w:szCs w:val="21"/>
        </w:rPr>
      </w:pPr>
      <w:r>
        <w:rPr>
          <w:rFonts w:hint="eastAsia"/>
          <w:b/>
          <w:bCs/>
          <w:szCs w:val="21"/>
        </w:rPr>
        <w:t>22.投标文件的递交与接收</w:t>
      </w:r>
    </w:p>
    <w:p>
      <w:pPr>
        <w:adjustRightInd w:val="0"/>
        <w:snapToGrid w:val="0"/>
        <w:spacing w:line="360" w:lineRule="auto"/>
        <w:ind w:firstLine="440" w:firstLineChars="200"/>
        <w:rPr>
          <w:szCs w:val="21"/>
        </w:rPr>
      </w:pPr>
      <w:r>
        <w:rPr>
          <w:rFonts w:hint="eastAsia"/>
          <w:szCs w:val="21"/>
        </w:rPr>
        <w:t>22.1 投标人应在</w:t>
      </w:r>
      <w:r>
        <w:rPr>
          <w:rFonts w:hint="eastAsia"/>
        </w:rPr>
        <w:t>本章第11.1</w:t>
      </w:r>
      <w:r>
        <w:rPr>
          <w:rFonts w:hint="eastAsia"/>
          <w:szCs w:val="21"/>
        </w:rPr>
        <w:t>款</w:t>
      </w:r>
      <w:r>
        <w:rPr>
          <w:rFonts w:hint="eastAsia"/>
        </w:rPr>
        <w:t>规定的</w:t>
      </w:r>
      <w:r>
        <w:rPr>
          <w:rFonts w:hint="eastAsia"/>
          <w:szCs w:val="21"/>
        </w:rPr>
        <w:t>提交投标文件截止时间前，将投标文件送</w:t>
      </w:r>
      <w:r>
        <w:rPr>
          <w:rFonts w:hint="eastAsia" w:cs="Arial"/>
          <w:szCs w:val="21"/>
        </w:rPr>
        <w:t>达</w:t>
      </w:r>
      <w:r>
        <w:rPr>
          <w:rFonts w:hint="eastAsia"/>
          <w:b/>
          <w:szCs w:val="21"/>
        </w:rPr>
        <w:t>投标须知前附表</w:t>
      </w:r>
      <w:r>
        <w:rPr>
          <w:rFonts w:hint="eastAsia"/>
          <w:szCs w:val="21"/>
        </w:rPr>
        <w:t>中指定的地点。</w:t>
      </w:r>
      <w:r>
        <w:rPr>
          <w:rFonts w:hint="eastAsia"/>
        </w:rPr>
        <w:t>在截止时间后送达的投标文件，采购人、采购代理机构应当拒收。</w:t>
      </w:r>
    </w:p>
    <w:p>
      <w:pPr>
        <w:pStyle w:val="26"/>
        <w:adjustRightInd w:val="0"/>
        <w:snapToGrid w:val="0"/>
        <w:spacing w:before="120" w:beforeLines="50" w:beforeAutospacing="0" w:after="0" w:afterAutospacing="0" w:line="360" w:lineRule="auto"/>
        <w:outlineLvl w:val="1"/>
        <w:rPr>
          <w:b/>
          <w:sz w:val="21"/>
          <w:szCs w:val="21"/>
        </w:rPr>
      </w:pPr>
      <w:bookmarkStart w:id="69" w:name="_Toc11604"/>
      <w:bookmarkStart w:id="70" w:name="_Toc474235948"/>
      <w:bookmarkStart w:id="71" w:name="_Toc8663"/>
      <w:bookmarkStart w:id="72" w:name="_Toc420948013"/>
      <w:r>
        <w:rPr>
          <w:rFonts w:hint="eastAsia"/>
          <w:b/>
        </w:rPr>
        <w:t>五、</w:t>
      </w:r>
      <w:r>
        <w:rPr>
          <w:b/>
          <w:kern w:val="2"/>
        </w:rPr>
        <w:t>开标和评标</w:t>
      </w:r>
      <w:bookmarkEnd w:id="69"/>
      <w:bookmarkEnd w:id="70"/>
      <w:bookmarkEnd w:id="71"/>
    </w:p>
    <w:p>
      <w:pPr>
        <w:pStyle w:val="16"/>
        <w:adjustRightInd w:val="0"/>
        <w:snapToGrid w:val="0"/>
        <w:spacing w:line="360" w:lineRule="auto"/>
        <w:rPr>
          <w:sz w:val="21"/>
          <w:szCs w:val="21"/>
        </w:rPr>
      </w:pPr>
      <w:r>
        <w:rPr>
          <w:rFonts w:hint="eastAsia"/>
          <w:b/>
          <w:bCs/>
          <w:sz w:val="21"/>
          <w:szCs w:val="21"/>
        </w:rPr>
        <w:t>23.开标</w:t>
      </w:r>
    </w:p>
    <w:p>
      <w:pPr>
        <w:pStyle w:val="16"/>
        <w:adjustRightInd w:val="0"/>
        <w:snapToGrid w:val="0"/>
        <w:spacing w:line="360" w:lineRule="auto"/>
        <w:ind w:firstLine="420" w:firstLineChars="200"/>
        <w:rPr>
          <w:sz w:val="21"/>
          <w:szCs w:val="21"/>
        </w:rPr>
      </w:pPr>
      <w:r>
        <w:rPr>
          <w:rFonts w:hint="eastAsia"/>
          <w:sz w:val="21"/>
          <w:szCs w:val="21"/>
        </w:rPr>
        <w:t>23.1采购代理机构在招标文件规定的投标截止时间(开标时间)和规定的地点组织公开开标，并邀请所有投标人法定代表人或其授权的代理人参加。参加开标的投标人代表应签名以证明其出席。</w:t>
      </w:r>
    </w:p>
    <w:p>
      <w:pPr>
        <w:pStyle w:val="16"/>
        <w:adjustRightInd w:val="0"/>
        <w:snapToGrid w:val="0"/>
        <w:spacing w:line="360" w:lineRule="auto"/>
        <w:ind w:firstLine="420" w:firstLineChars="200"/>
        <w:rPr>
          <w:sz w:val="21"/>
          <w:szCs w:val="21"/>
        </w:rPr>
      </w:pPr>
      <w:r>
        <w:rPr>
          <w:rFonts w:hint="eastAsia"/>
          <w:sz w:val="21"/>
          <w:szCs w:val="21"/>
        </w:rPr>
        <w:t>23.2 开标时，公布在投标截止时间前递交投标文件的投标人名称；由投标人或其推选的代表检查投标文件的密封情况；经确认无误后，由采购代理机构当众拆封</w:t>
      </w:r>
      <w:r>
        <w:rPr>
          <w:sz w:val="21"/>
          <w:szCs w:val="21"/>
        </w:rPr>
        <w:t>投标文件</w:t>
      </w:r>
      <w:r>
        <w:rPr>
          <w:rFonts w:hint="eastAsia"/>
          <w:sz w:val="21"/>
          <w:szCs w:val="21"/>
        </w:rPr>
        <w:t>，宣读投标人名称、投标价格、交货期等招标文件规定的需要宣布的其他内容，并记录在案。</w:t>
      </w:r>
    </w:p>
    <w:p>
      <w:pPr>
        <w:pStyle w:val="16"/>
        <w:adjustRightInd w:val="0"/>
        <w:snapToGrid w:val="0"/>
        <w:spacing w:line="360" w:lineRule="auto"/>
        <w:ind w:firstLine="420" w:firstLineChars="200"/>
        <w:rPr>
          <w:sz w:val="21"/>
          <w:szCs w:val="21"/>
        </w:rPr>
      </w:pPr>
      <w:r>
        <w:rPr>
          <w:rFonts w:hint="eastAsia"/>
          <w:sz w:val="21"/>
          <w:szCs w:val="21"/>
        </w:rPr>
        <w:t>23.3 开标时，如唱标人宣读的内容与投标文件不一致时，投标人代表应当当场提出。</w:t>
      </w:r>
    </w:p>
    <w:p>
      <w:pPr>
        <w:pStyle w:val="16"/>
        <w:adjustRightInd w:val="0"/>
        <w:snapToGrid w:val="0"/>
        <w:spacing w:line="360" w:lineRule="auto"/>
        <w:ind w:firstLine="420" w:firstLineChars="200"/>
        <w:rPr>
          <w:sz w:val="21"/>
          <w:szCs w:val="21"/>
        </w:rPr>
      </w:pPr>
      <w:r>
        <w:rPr>
          <w:rFonts w:hint="eastAsia"/>
          <w:sz w:val="21"/>
          <w:szCs w:val="21"/>
        </w:rPr>
        <w:t>23.4投标人代表、采购人代表、采购代理机构代表、监督人、记录人等有关人员在开标记录上签字确认。</w:t>
      </w:r>
    </w:p>
    <w:p>
      <w:pPr>
        <w:pStyle w:val="16"/>
        <w:adjustRightInd w:val="0"/>
        <w:snapToGrid w:val="0"/>
        <w:spacing w:line="360" w:lineRule="auto"/>
        <w:ind w:firstLine="420" w:firstLineChars="200"/>
        <w:rPr>
          <w:sz w:val="21"/>
          <w:szCs w:val="21"/>
        </w:rPr>
      </w:pPr>
      <w:r>
        <w:rPr>
          <w:rFonts w:hint="eastAsia"/>
          <w:sz w:val="21"/>
          <w:szCs w:val="21"/>
        </w:rPr>
        <w:t>23.5 开标时，投标文件中开标一览表内容与投标文件中投标报价明细表内容不一致的，以开标一览表为准。</w:t>
      </w:r>
    </w:p>
    <w:p>
      <w:pPr>
        <w:tabs>
          <w:tab w:val="left" w:pos="0"/>
        </w:tabs>
        <w:adjustRightInd w:val="0"/>
        <w:snapToGrid w:val="0"/>
        <w:spacing w:line="360" w:lineRule="auto"/>
        <w:rPr>
          <w:b/>
          <w:bCs/>
          <w:szCs w:val="21"/>
        </w:rPr>
      </w:pPr>
      <w:r>
        <w:rPr>
          <w:rFonts w:hint="eastAsia"/>
          <w:b/>
          <w:bCs/>
          <w:szCs w:val="21"/>
        </w:rPr>
        <w:t>24.评标委员会</w:t>
      </w:r>
    </w:p>
    <w:p>
      <w:pPr>
        <w:pStyle w:val="16"/>
        <w:adjustRightInd w:val="0"/>
        <w:snapToGrid w:val="0"/>
        <w:spacing w:line="360" w:lineRule="auto"/>
        <w:ind w:firstLine="420" w:firstLineChars="200"/>
        <w:rPr>
          <w:sz w:val="21"/>
          <w:szCs w:val="21"/>
        </w:rPr>
      </w:pPr>
      <w:r>
        <w:rPr>
          <w:rFonts w:hint="eastAsia"/>
          <w:sz w:val="21"/>
          <w:szCs w:val="21"/>
        </w:rPr>
        <w:t>24.1评标委员会由采购人代表和评审专家组成，成员人数应当为5人以上单数，其中评审专家不得少于成员总数的三分之二。</w:t>
      </w:r>
    </w:p>
    <w:p>
      <w:pPr>
        <w:pStyle w:val="16"/>
        <w:adjustRightInd w:val="0"/>
        <w:snapToGrid w:val="0"/>
        <w:spacing w:line="360" w:lineRule="auto"/>
        <w:ind w:firstLine="420" w:firstLineChars="200"/>
        <w:rPr>
          <w:sz w:val="21"/>
          <w:szCs w:val="21"/>
        </w:rPr>
      </w:pPr>
      <w:r>
        <w:rPr>
          <w:rFonts w:hint="eastAsia"/>
          <w:sz w:val="21"/>
          <w:szCs w:val="21"/>
        </w:rPr>
        <w:t>　　采购项目符合下列情形之一的，评标委员会成员人数应当为7人以上单数：</w:t>
      </w:r>
    </w:p>
    <w:p>
      <w:pPr>
        <w:pStyle w:val="16"/>
        <w:adjustRightInd w:val="0"/>
        <w:snapToGrid w:val="0"/>
        <w:spacing w:line="360" w:lineRule="auto"/>
        <w:ind w:firstLine="420" w:firstLineChars="200"/>
        <w:rPr>
          <w:sz w:val="21"/>
          <w:szCs w:val="21"/>
        </w:rPr>
      </w:pPr>
      <w:r>
        <w:rPr>
          <w:rFonts w:hint="eastAsia"/>
          <w:sz w:val="21"/>
          <w:szCs w:val="21"/>
        </w:rPr>
        <w:t>　　（一）采购预算金额在1000万元以上；</w:t>
      </w:r>
    </w:p>
    <w:p>
      <w:pPr>
        <w:pStyle w:val="16"/>
        <w:adjustRightInd w:val="0"/>
        <w:snapToGrid w:val="0"/>
        <w:spacing w:line="360" w:lineRule="auto"/>
        <w:ind w:firstLine="420" w:firstLineChars="200"/>
        <w:rPr>
          <w:sz w:val="21"/>
          <w:szCs w:val="21"/>
        </w:rPr>
      </w:pPr>
      <w:r>
        <w:rPr>
          <w:rFonts w:hint="eastAsia"/>
          <w:sz w:val="21"/>
          <w:szCs w:val="21"/>
        </w:rPr>
        <w:t>　　（二）技术复杂；</w:t>
      </w:r>
    </w:p>
    <w:p>
      <w:pPr>
        <w:pStyle w:val="16"/>
        <w:adjustRightInd w:val="0"/>
        <w:snapToGrid w:val="0"/>
        <w:spacing w:line="360" w:lineRule="auto"/>
        <w:ind w:firstLine="420" w:firstLineChars="200"/>
        <w:rPr>
          <w:sz w:val="21"/>
          <w:szCs w:val="21"/>
        </w:rPr>
      </w:pPr>
      <w:r>
        <w:rPr>
          <w:rFonts w:hint="eastAsia"/>
          <w:sz w:val="21"/>
          <w:szCs w:val="21"/>
        </w:rPr>
        <w:t>　　（三）社会影响较大。</w:t>
      </w:r>
    </w:p>
    <w:p>
      <w:pPr>
        <w:pStyle w:val="16"/>
        <w:adjustRightInd w:val="0"/>
        <w:snapToGrid w:val="0"/>
        <w:spacing w:line="360" w:lineRule="auto"/>
        <w:ind w:firstLine="420" w:firstLineChars="200"/>
        <w:rPr>
          <w:sz w:val="21"/>
          <w:szCs w:val="21"/>
        </w:rPr>
      </w:pPr>
      <w:r>
        <w:rPr>
          <w:rFonts w:hint="eastAsia"/>
          <w:sz w:val="21"/>
          <w:szCs w:val="21"/>
        </w:rPr>
        <w:t>　　评审专家对本单位的采购项目只能作为采购人代表参与评标</w:t>
      </w:r>
    </w:p>
    <w:p>
      <w:pPr>
        <w:pStyle w:val="16"/>
        <w:adjustRightInd w:val="0"/>
        <w:snapToGrid w:val="0"/>
        <w:spacing w:line="360" w:lineRule="auto"/>
        <w:ind w:firstLine="420" w:firstLineChars="200"/>
        <w:rPr>
          <w:sz w:val="21"/>
          <w:szCs w:val="21"/>
        </w:rPr>
      </w:pPr>
      <w:r>
        <w:rPr>
          <w:rFonts w:hint="eastAsia"/>
          <w:sz w:val="21"/>
          <w:szCs w:val="21"/>
        </w:rPr>
        <w:t>24.2评标委员会成员与投标人存在利害关系的，应当回避。</w:t>
      </w:r>
    </w:p>
    <w:p>
      <w:pPr>
        <w:pStyle w:val="16"/>
        <w:adjustRightInd w:val="0"/>
        <w:snapToGrid w:val="0"/>
        <w:spacing w:line="360" w:lineRule="auto"/>
        <w:rPr>
          <w:b/>
          <w:sz w:val="21"/>
          <w:szCs w:val="21"/>
        </w:rPr>
      </w:pPr>
      <w:r>
        <w:rPr>
          <w:rFonts w:hint="eastAsia"/>
          <w:b/>
          <w:sz w:val="21"/>
          <w:szCs w:val="21"/>
        </w:rPr>
        <w:t>25.评标</w:t>
      </w:r>
    </w:p>
    <w:p>
      <w:pPr>
        <w:pStyle w:val="16"/>
        <w:adjustRightInd w:val="0"/>
        <w:snapToGrid w:val="0"/>
        <w:spacing w:line="360" w:lineRule="auto"/>
        <w:ind w:firstLine="420" w:firstLineChars="200"/>
        <w:rPr>
          <w:sz w:val="21"/>
          <w:szCs w:val="21"/>
        </w:rPr>
      </w:pPr>
      <w:r>
        <w:rPr>
          <w:rFonts w:hint="eastAsia"/>
          <w:sz w:val="21"/>
          <w:szCs w:val="21"/>
        </w:rPr>
        <w:t>25.1 评标委员会按照第三章“评标方法及标准” 规定的评标方法、评审因素、标准和程序以及有关法律、法规及规章对投标文件进行评审。</w:t>
      </w:r>
    </w:p>
    <w:bookmarkEnd w:id="72"/>
    <w:p>
      <w:pPr>
        <w:pStyle w:val="16"/>
        <w:adjustRightInd w:val="0"/>
        <w:snapToGrid w:val="0"/>
        <w:spacing w:line="360" w:lineRule="auto"/>
        <w:rPr>
          <w:b/>
          <w:sz w:val="21"/>
          <w:szCs w:val="21"/>
        </w:rPr>
      </w:pPr>
      <w:r>
        <w:rPr>
          <w:rFonts w:hint="eastAsia"/>
          <w:b/>
          <w:sz w:val="21"/>
          <w:szCs w:val="21"/>
        </w:rPr>
        <w:t>26.确定中标人</w:t>
      </w:r>
    </w:p>
    <w:p>
      <w:pPr>
        <w:pStyle w:val="16"/>
        <w:adjustRightInd w:val="0"/>
        <w:snapToGrid w:val="0"/>
        <w:spacing w:line="360" w:lineRule="auto"/>
        <w:ind w:firstLine="420" w:firstLineChars="200"/>
        <w:rPr>
          <w:sz w:val="21"/>
          <w:szCs w:val="21"/>
        </w:rPr>
      </w:pPr>
      <w:r>
        <w:rPr>
          <w:rFonts w:hint="eastAsia"/>
          <w:sz w:val="21"/>
          <w:szCs w:val="21"/>
        </w:rPr>
        <w:t>26.1采购人不保证将合同授予最低投标报价的投标人。</w:t>
      </w:r>
    </w:p>
    <w:p>
      <w:pPr>
        <w:pStyle w:val="16"/>
        <w:adjustRightInd w:val="0"/>
        <w:snapToGrid w:val="0"/>
        <w:spacing w:line="360" w:lineRule="auto"/>
        <w:ind w:firstLine="420" w:firstLineChars="200"/>
        <w:rPr>
          <w:sz w:val="21"/>
          <w:szCs w:val="21"/>
        </w:rPr>
      </w:pPr>
      <w:r>
        <w:rPr>
          <w:rFonts w:hint="eastAsia"/>
          <w:sz w:val="21"/>
          <w:szCs w:val="21"/>
        </w:rPr>
        <w:t>26.2采购代理机构应当在评审结束后2个工作日内将评标报告送采购人确认。</w:t>
      </w:r>
    </w:p>
    <w:p>
      <w:pPr>
        <w:pStyle w:val="16"/>
        <w:adjustRightInd w:val="0"/>
        <w:snapToGrid w:val="0"/>
        <w:spacing w:line="360" w:lineRule="auto"/>
        <w:ind w:firstLine="420" w:firstLineChars="200"/>
        <w:rPr>
          <w:sz w:val="21"/>
          <w:szCs w:val="21"/>
        </w:rPr>
      </w:pPr>
      <w:r>
        <w:rPr>
          <w:rFonts w:hint="eastAsia"/>
          <w:sz w:val="21"/>
          <w:szCs w:val="21"/>
        </w:rPr>
        <w:t>26.3采购人应当在收到评标报告后5个工作日内，从评标报告提出的</w:t>
      </w:r>
      <w:r>
        <w:rPr>
          <w:rFonts w:hint="eastAsia"/>
          <w:sz w:val="21"/>
          <w:szCs w:val="21"/>
          <w:lang w:val="en-US"/>
        </w:rPr>
        <w:t>3</w:t>
      </w:r>
      <w:r>
        <w:rPr>
          <w:rFonts w:hint="eastAsia"/>
          <w:sz w:val="21"/>
          <w:szCs w:val="21"/>
        </w:rPr>
        <w:t>名中标候选人中，根据质量和服务均能满足磋商文件实质性要求，评标总得分最高的原则确定中标人（中标候选人并列的，由采购人或者采购人委托评标委员会按照招标文件规定的方式确定中标人；磋商文件未规定的，采取随机抽取的方式确定），也可以书面授权评标委员会直接确定中标人。采购人在收到评标报告5个工作日内未按评标报告推荐的中标候选人顺序确定中标人，又不能说明合法理由的，视同按评标报告推荐的顺序确定排名第一的中标候选人为中标人。</w:t>
      </w:r>
    </w:p>
    <w:p>
      <w:pPr>
        <w:pStyle w:val="16"/>
        <w:adjustRightInd w:val="0"/>
        <w:snapToGrid w:val="0"/>
        <w:spacing w:line="360" w:lineRule="auto"/>
        <w:ind w:firstLine="420" w:firstLineChars="200"/>
        <w:rPr>
          <w:sz w:val="21"/>
          <w:szCs w:val="21"/>
        </w:rPr>
      </w:pPr>
      <w:r>
        <w:rPr>
          <w:rFonts w:hint="eastAsia"/>
          <w:sz w:val="21"/>
          <w:szCs w:val="21"/>
        </w:rPr>
        <w:t>26.4由采购人确定中标人的，在确定中标人前，采购人将通过“信用中国”网站(www.creditchina.gov.cn)、中国政府采购网(www.ccgp.gov.cn)查询中标候选人的信用记录，采购人将确定未被列入失信被执行人、重大税收违法案件当事人名单、政府采购严重违法失信行为记录名单的，排名第一的中标候选人为中标人。</w:t>
      </w:r>
    </w:p>
    <w:p>
      <w:pPr>
        <w:pStyle w:val="16"/>
        <w:adjustRightInd w:val="0"/>
        <w:snapToGrid w:val="0"/>
        <w:spacing w:line="360" w:lineRule="auto"/>
        <w:rPr>
          <w:b/>
          <w:sz w:val="21"/>
          <w:szCs w:val="21"/>
        </w:rPr>
      </w:pPr>
      <w:r>
        <w:rPr>
          <w:rFonts w:hint="eastAsia"/>
          <w:b/>
          <w:sz w:val="21"/>
          <w:szCs w:val="21"/>
        </w:rPr>
        <w:t>27.招标终止</w:t>
      </w:r>
    </w:p>
    <w:p>
      <w:pPr>
        <w:pStyle w:val="16"/>
        <w:adjustRightInd w:val="0"/>
        <w:snapToGrid w:val="0"/>
        <w:spacing w:line="360" w:lineRule="auto"/>
        <w:ind w:firstLine="420" w:firstLineChars="200"/>
        <w:rPr>
          <w:sz w:val="21"/>
          <w:szCs w:val="21"/>
        </w:rPr>
      </w:pPr>
      <w:r>
        <w:rPr>
          <w:rFonts w:hint="eastAsia"/>
          <w:sz w:val="21"/>
          <w:szCs w:val="21"/>
        </w:rPr>
        <w:t>27.1采购人、采购代理机构在发出招标公告后，除因重大变故采购任务取消情况外，不得擅自终止招标活动。终止招标的，应当及时在原公告发布媒体上发布终止公告，并将项目实施情况和采购任务取消原因报告本级财政部门。</w:t>
      </w:r>
    </w:p>
    <w:p>
      <w:pPr>
        <w:pStyle w:val="16"/>
        <w:adjustRightInd w:val="0"/>
        <w:snapToGrid w:val="0"/>
        <w:spacing w:line="360" w:lineRule="auto"/>
        <w:rPr>
          <w:b/>
          <w:sz w:val="21"/>
          <w:szCs w:val="21"/>
        </w:rPr>
      </w:pPr>
      <w:r>
        <w:rPr>
          <w:rFonts w:hint="eastAsia"/>
          <w:b/>
          <w:sz w:val="21"/>
          <w:szCs w:val="21"/>
        </w:rPr>
        <w:t>28．重新评审</w:t>
      </w:r>
    </w:p>
    <w:p>
      <w:pPr>
        <w:pStyle w:val="16"/>
        <w:adjustRightInd w:val="0"/>
        <w:snapToGrid w:val="0"/>
        <w:spacing w:line="360" w:lineRule="auto"/>
        <w:ind w:firstLine="420" w:firstLineChars="200"/>
        <w:rPr>
          <w:sz w:val="21"/>
          <w:szCs w:val="21"/>
        </w:rPr>
      </w:pPr>
      <w:r>
        <w:rPr>
          <w:rFonts w:hint="eastAsia"/>
          <w:sz w:val="21"/>
          <w:szCs w:val="21"/>
        </w:rPr>
        <w:t>28.1除资格性审查认定错误和价格计算错误外，采购人或者采购代理机构不能以任何理由组织重新评审。采购人、采购代理机构发现评标委员会未按照招标文件规定的评标标准进行评审的，应当重新开展采购活动，并同时书面报告本级财政部门。</w:t>
      </w:r>
    </w:p>
    <w:p>
      <w:pPr>
        <w:pStyle w:val="16"/>
        <w:adjustRightInd w:val="0"/>
        <w:snapToGrid w:val="0"/>
        <w:spacing w:line="360" w:lineRule="auto"/>
        <w:rPr>
          <w:b/>
          <w:sz w:val="21"/>
          <w:szCs w:val="21"/>
        </w:rPr>
      </w:pPr>
      <w:r>
        <w:rPr>
          <w:rFonts w:hint="eastAsia"/>
          <w:b/>
          <w:sz w:val="21"/>
          <w:szCs w:val="21"/>
        </w:rPr>
        <w:t>29.纪律与保密事项</w:t>
      </w:r>
    </w:p>
    <w:p>
      <w:pPr>
        <w:pStyle w:val="16"/>
        <w:adjustRightInd w:val="0"/>
        <w:snapToGrid w:val="0"/>
        <w:spacing w:line="360" w:lineRule="auto"/>
        <w:ind w:firstLine="420" w:firstLineChars="200"/>
        <w:rPr>
          <w:sz w:val="21"/>
          <w:szCs w:val="21"/>
        </w:rPr>
      </w:pPr>
      <w:r>
        <w:rPr>
          <w:rFonts w:hint="eastAsia"/>
          <w:sz w:val="21"/>
          <w:szCs w:val="21"/>
        </w:rPr>
        <w:t>29.1评标委员会成员以及与评标工作有关的人员不得泄露评审情况以及评标过程中获悉的国家秘密、商业秘密。</w:t>
      </w:r>
    </w:p>
    <w:p>
      <w:pPr>
        <w:pStyle w:val="16"/>
        <w:adjustRightInd w:val="0"/>
        <w:snapToGrid w:val="0"/>
        <w:spacing w:line="360" w:lineRule="auto"/>
        <w:ind w:firstLine="420" w:firstLineChars="200"/>
        <w:rPr>
          <w:sz w:val="21"/>
          <w:szCs w:val="21"/>
        </w:rPr>
      </w:pPr>
      <w:r>
        <w:rPr>
          <w:rFonts w:hint="eastAsia"/>
          <w:sz w:val="21"/>
          <w:szCs w:val="21"/>
        </w:rPr>
        <w:t>29.2投标人不得与采购人、采购代理机构、其他投标人恶意串通；不得向采购人、采购代理机构或者评标委员会成员行贿或者提供其他不正当利益；不得提供虚假材料谋取中标；不得以任何方式干扰、影响采购工作。</w:t>
      </w:r>
    </w:p>
    <w:p>
      <w:pPr>
        <w:pStyle w:val="16"/>
        <w:adjustRightInd w:val="0"/>
        <w:snapToGrid w:val="0"/>
        <w:spacing w:line="360" w:lineRule="auto"/>
        <w:ind w:firstLine="420" w:firstLineChars="200"/>
        <w:rPr>
          <w:sz w:val="21"/>
          <w:szCs w:val="21"/>
        </w:rPr>
      </w:pPr>
      <w:r>
        <w:rPr>
          <w:rFonts w:hint="eastAsia"/>
          <w:sz w:val="21"/>
          <w:szCs w:val="21"/>
        </w:rPr>
        <w:t>29.3</w:t>
      </w:r>
      <w:r>
        <w:rPr>
          <w:sz w:val="21"/>
          <w:szCs w:val="21"/>
        </w:rPr>
        <w:t>有下列情形之一的，属于恶意串通，中标无效，并依照《政府采购法》第七十七条的规定追究法律责任：</w:t>
      </w:r>
    </w:p>
    <w:p>
      <w:pPr>
        <w:pStyle w:val="16"/>
        <w:adjustRightInd w:val="0"/>
        <w:snapToGrid w:val="0"/>
        <w:spacing w:line="360" w:lineRule="auto"/>
        <w:ind w:firstLine="420" w:firstLineChars="200"/>
        <w:rPr>
          <w:sz w:val="21"/>
          <w:szCs w:val="21"/>
        </w:rPr>
      </w:pPr>
      <w:r>
        <w:rPr>
          <w:rFonts w:hint="eastAsia"/>
          <w:sz w:val="21"/>
          <w:szCs w:val="21"/>
        </w:rPr>
        <w:t>（1）投标人直接或者间接从采购人、采购代理机构获得其他投标人的投标情况，并修改其投标文件的；</w:t>
      </w:r>
    </w:p>
    <w:p>
      <w:pPr>
        <w:pStyle w:val="16"/>
        <w:adjustRightInd w:val="0"/>
        <w:snapToGrid w:val="0"/>
        <w:spacing w:line="360" w:lineRule="auto"/>
        <w:ind w:firstLine="420" w:firstLineChars="200"/>
        <w:rPr>
          <w:sz w:val="21"/>
          <w:szCs w:val="21"/>
        </w:rPr>
      </w:pPr>
      <w:r>
        <w:rPr>
          <w:rFonts w:hint="eastAsia"/>
          <w:sz w:val="21"/>
          <w:szCs w:val="21"/>
        </w:rPr>
        <w:t>（2）采购人、采购代理机构授意投标人撤换、修改投标文件的；</w:t>
      </w:r>
    </w:p>
    <w:p>
      <w:pPr>
        <w:pStyle w:val="16"/>
        <w:adjustRightInd w:val="0"/>
        <w:snapToGrid w:val="0"/>
        <w:spacing w:line="360" w:lineRule="auto"/>
        <w:ind w:firstLine="420" w:firstLineChars="200"/>
        <w:rPr>
          <w:sz w:val="21"/>
          <w:szCs w:val="21"/>
        </w:rPr>
      </w:pPr>
      <w:r>
        <w:rPr>
          <w:rFonts w:hint="eastAsia"/>
          <w:sz w:val="21"/>
          <w:szCs w:val="21"/>
        </w:rPr>
        <w:t>（3）投标人之间协商技术方案、合同条款以及报价等投标文件实质性内容的；</w:t>
      </w:r>
    </w:p>
    <w:p>
      <w:pPr>
        <w:pStyle w:val="16"/>
        <w:adjustRightInd w:val="0"/>
        <w:snapToGrid w:val="0"/>
        <w:spacing w:line="360" w:lineRule="auto"/>
        <w:ind w:firstLine="420" w:firstLineChars="200"/>
        <w:rPr>
          <w:spacing w:val="-4"/>
          <w:sz w:val="21"/>
          <w:szCs w:val="21"/>
        </w:rPr>
      </w:pPr>
      <w:r>
        <w:rPr>
          <w:rFonts w:hint="eastAsia"/>
          <w:sz w:val="21"/>
          <w:szCs w:val="21"/>
        </w:rPr>
        <w:t>（4）</w:t>
      </w:r>
      <w:r>
        <w:rPr>
          <w:rFonts w:hint="eastAsia"/>
          <w:spacing w:val="-4"/>
          <w:sz w:val="21"/>
          <w:szCs w:val="21"/>
        </w:rPr>
        <w:t>属于同一集团、协会、商会等组织成员的投标人按照该组织要求协同参加政府采购活动的；</w:t>
      </w:r>
    </w:p>
    <w:p>
      <w:pPr>
        <w:pStyle w:val="16"/>
        <w:adjustRightInd w:val="0"/>
        <w:snapToGrid w:val="0"/>
        <w:spacing w:line="360" w:lineRule="auto"/>
        <w:ind w:firstLine="420" w:firstLineChars="200"/>
        <w:rPr>
          <w:sz w:val="21"/>
          <w:szCs w:val="21"/>
        </w:rPr>
      </w:pPr>
      <w:r>
        <w:rPr>
          <w:rFonts w:hint="eastAsia"/>
          <w:sz w:val="21"/>
          <w:szCs w:val="21"/>
        </w:rPr>
        <w:t>（5）投标人之间事先约定由某一特定投标人中标的；</w:t>
      </w:r>
    </w:p>
    <w:p>
      <w:pPr>
        <w:pStyle w:val="16"/>
        <w:adjustRightInd w:val="0"/>
        <w:snapToGrid w:val="0"/>
        <w:spacing w:line="360" w:lineRule="auto"/>
        <w:ind w:firstLine="420" w:firstLineChars="200"/>
        <w:rPr>
          <w:sz w:val="21"/>
          <w:szCs w:val="21"/>
        </w:rPr>
      </w:pPr>
      <w:r>
        <w:rPr>
          <w:rFonts w:hint="eastAsia"/>
          <w:sz w:val="21"/>
          <w:szCs w:val="21"/>
        </w:rPr>
        <w:t>（6）投标人之间商定部分投标人放弃提交投标文件或者退出招标或者放弃中标的；</w:t>
      </w:r>
    </w:p>
    <w:p>
      <w:pPr>
        <w:pStyle w:val="16"/>
        <w:adjustRightInd w:val="0"/>
        <w:snapToGrid w:val="0"/>
        <w:spacing w:line="360" w:lineRule="auto"/>
        <w:ind w:firstLine="420" w:firstLineChars="200"/>
        <w:rPr>
          <w:sz w:val="21"/>
          <w:szCs w:val="21"/>
        </w:rPr>
      </w:pPr>
      <w:r>
        <w:rPr>
          <w:rFonts w:hint="eastAsia"/>
          <w:sz w:val="21"/>
          <w:szCs w:val="21"/>
        </w:rPr>
        <w:t>（7）投标人与采购人、采购代理机构以及评标委员会成员之间、投标人相互之间，为谋求特定投标人中标或者排斥其他投标人的其他串通行为的。</w:t>
      </w:r>
    </w:p>
    <w:p>
      <w:pPr>
        <w:pStyle w:val="16"/>
        <w:adjustRightInd w:val="0"/>
        <w:snapToGrid w:val="0"/>
        <w:spacing w:line="360" w:lineRule="auto"/>
        <w:ind w:firstLine="420" w:firstLineChars="200"/>
        <w:rPr>
          <w:sz w:val="21"/>
          <w:szCs w:val="21"/>
        </w:rPr>
      </w:pPr>
      <w:r>
        <w:rPr>
          <w:sz w:val="21"/>
          <w:szCs w:val="21"/>
        </w:rPr>
        <w:t>（</w:t>
      </w:r>
      <w:r>
        <w:rPr>
          <w:rFonts w:hint="eastAsia"/>
          <w:sz w:val="21"/>
          <w:szCs w:val="21"/>
        </w:rPr>
        <w:t>8</w:t>
      </w:r>
      <w:r>
        <w:rPr>
          <w:sz w:val="21"/>
          <w:szCs w:val="21"/>
        </w:rPr>
        <w:t>）法律、行政法规或规章规定的其他串通行为。</w:t>
      </w:r>
    </w:p>
    <w:p>
      <w:pPr>
        <w:pStyle w:val="16"/>
        <w:adjustRightInd w:val="0"/>
        <w:snapToGrid w:val="0"/>
        <w:spacing w:line="360" w:lineRule="auto"/>
        <w:outlineLvl w:val="1"/>
        <w:rPr>
          <w:b/>
          <w:sz w:val="21"/>
          <w:szCs w:val="21"/>
        </w:rPr>
      </w:pPr>
      <w:bookmarkStart w:id="73" w:name="_Toc28669"/>
      <w:bookmarkStart w:id="74" w:name="_Toc420948014"/>
      <w:bookmarkStart w:id="75" w:name="_Toc10447"/>
      <w:r>
        <w:rPr>
          <w:rFonts w:hint="eastAsia"/>
          <w:b/>
          <w:sz w:val="21"/>
          <w:szCs w:val="21"/>
        </w:rPr>
        <w:t>六、中标结果信息公布与授予合同</w:t>
      </w:r>
      <w:bookmarkEnd w:id="73"/>
      <w:bookmarkEnd w:id="74"/>
      <w:bookmarkEnd w:id="75"/>
    </w:p>
    <w:p>
      <w:pPr>
        <w:pStyle w:val="16"/>
        <w:adjustRightInd w:val="0"/>
        <w:snapToGrid w:val="0"/>
        <w:spacing w:line="360" w:lineRule="auto"/>
        <w:rPr>
          <w:b/>
          <w:sz w:val="21"/>
          <w:szCs w:val="21"/>
        </w:rPr>
      </w:pPr>
      <w:r>
        <w:rPr>
          <w:rFonts w:hint="eastAsia"/>
          <w:b/>
          <w:sz w:val="21"/>
          <w:szCs w:val="21"/>
        </w:rPr>
        <w:t>30.中标信息的公布</w:t>
      </w:r>
    </w:p>
    <w:p>
      <w:pPr>
        <w:pStyle w:val="16"/>
        <w:adjustRightInd w:val="0"/>
        <w:snapToGrid w:val="0"/>
        <w:spacing w:line="360" w:lineRule="auto"/>
        <w:ind w:firstLine="420" w:firstLineChars="200"/>
        <w:rPr>
          <w:sz w:val="21"/>
          <w:szCs w:val="21"/>
        </w:rPr>
      </w:pPr>
      <w:r>
        <w:rPr>
          <w:rFonts w:hint="eastAsia"/>
          <w:sz w:val="21"/>
          <w:szCs w:val="21"/>
        </w:rPr>
        <w:t>30.1中标人确定后2个工作日内，采购人或者采购代理机构应将中标结果信息在投标须知前附表指定的媒体上公布。</w:t>
      </w:r>
    </w:p>
    <w:p>
      <w:pPr>
        <w:pStyle w:val="16"/>
        <w:adjustRightInd w:val="0"/>
        <w:snapToGrid w:val="0"/>
        <w:spacing w:line="360" w:lineRule="auto"/>
        <w:rPr>
          <w:b/>
          <w:sz w:val="21"/>
          <w:szCs w:val="21"/>
        </w:rPr>
      </w:pPr>
      <w:r>
        <w:rPr>
          <w:rFonts w:hint="eastAsia"/>
          <w:b/>
          <w:sz w:val="21"/>
          <w:szCs w:val="21"/>
        </w:rPr>
        <w:t>31.询问及质疑</w:t>
      </w:r>
    </w:p>
    <w:p>
      <w:pPr>
        <w:pStyle w:val="16"/>
        <w:adjustRightInd w:val="0"/>
        <w:snapToGrid w:val="0"/>
        <w:spacing w:line="360" w:lineRule="auto"/>
        <w:ind w:firstLine="420" w:firstLineChars="200"/>
        <w:rPr>
          <w:sz w:val="21"/>
          <w:szCs w:val="21"/>
        </w:rPr>
      </w:pPr>
      <w:r>
        <w:rPr>
          <w:rFonts w:hint="eastAsia"/>
          <w:sz w:val="21"/>
          <w:szCs w:val="21"/>
        </w:rPr>
        <w:t>31.1投标人对政府采购活动事项有疑问的，可以向采购人或采购代理机构提出询问。采购人或采购代理机构将在三个工作日内作出答复。</w:t>
      </w:r>
    </w:p>
    <w:p>
      <w:pPr>
        <w:pStyle w:val="16"/>
        <w:adjustRightInd w:val="0"/>
        <w:snapToGrid w:val="0"/>
        <w:spacing w:line="360" w:lineRule="auto"/>
        <w:ind w:firstLine="420" w:firstLineChars="200"/>
        <w:rPr>
          <w:sz w:val="21"/>
          <w:szCs w:val="21"/>
        </w:rPr>
      </w:pPr>
      <w:r>
        <w:rPr>
          <w:rFonts w:hint="eastAsia"/>
          <w:sz w:val="21"/>
          <w:szCs w:val="21"/>
        </w:rPr>
        <w:t>31.2投标人若认为招标文件、招标过程和中标结果使自己的权益受到损害，应当在下列时间内以书面形式向采购人或采购代理机构提出：</w:t>
      </w:r>
    </w:p>
    <w:p>
      <w:pPr>
        <w:pStyle w:val="16"/>
        <w:adjustRightInd w:val="0"/>
        <w:snapToGrid w:val="0"/>
        <w:spacing w:line="360" w:lineRule="auto"/>
        <w:ind w:firstLine="420" w:firstLineChars="200"/>
        <w:rPr>
          <w:sz w:val="21"/>
          <w:szCs w:val="21"/>
        </w:rPr>
      </w:pPr>
      <w:r>
        <w:rPr>
          <w:rFonts w:hint="eastAsia"/>
          <w:sz w:val="21"/>
          <w:szCs w:val="21"/>
        </w:rPr>
        <w:t>（1）关于采购过程的质疑，应在采购程序环节结束之日起七个工作日内提出。</w:t>
      </w:r>
    </w:p>
    <w:p>
      <w:pPr>
        <w:pStyle w:val="16"/>
        <w:adjustRightInd w:val="0"/>
        <w:snapToGrid w:val="0"/>
        <w:spacing w:line="360" w:lineRule="auto"/>
        <w:ind w:firstLine="420" w:firstLineChars="200"/>
        <w:rPr>
          <w:sz w:val="21"/>
          <w:szCs w:val="21"/>
        </w:rPr>
      </w:pPr>
      <w:r>
        <w:rPr>
          <w:rFonts w:hint="eastAsia"/>
          <w:sz w:val="21"/>
          <w:szCs w:val="21"/>
        </w:rPr>
        <w:t>（2）关于中标结果的质疑，应在中标结果信息发布后七个工作日内提出。</w:t>
      </w:r>
    </w:p>
    <w:p>
      <w:pPr>
        <w:pStyle w:val="16"/>
        <w:adjustRightInd w:val="0"/>
        <w:snapToGrid w:val="0"/>
        <w:spacing w:line="360" w:lineRule="auto"/>
        <w:ind w:firstLine="420" w:firstLineChars="200"/>
        <w:rPr>
          <w:sz w:val="21"/>
          <w:szCs w:val="21"/>
        </w:rPr>
      </w:pPr>
      <w:r>
        <w:rPr>
          <w:rFonts w:hint="eastAsia"/>
          <w:sz w:val="21"/>
          <w:szCs w:val="21"/>
        </w:rPr>
        <w:t>31.3 投标人提出质疑的，应提供质疑书原件。采购人或采购代理机构应当向质疑投标人签收回执。</w:t>
      </w:r>
    </w:p>
    <w:p>
      <w:pPr>
        <w:pStyle w:val="16"/>
        <w:adjustRightInd w:val="0"/>
        <w:snapToGrid w:val="0"/>
        <w:spacing w:line="360" w:lineRule="auto"/>
        <w:ind w:firstLine="420" w:firstLineChars="200"/>
        <w:rPr>
          <w:sz w:val="21"/>
          <w:szCs w:val="21"/>
        </w:rPr>
      </w:pPr>
      <w:r>
        <w:rPr>
          <w:rFonts w:hint="eastAsia"/>
          <w:sz w:val="21"/>
          <w:szCs w:val="21"/>
        </w:rPr>
        <w:t>31.4 质疑书应当包括下列内容：</w:t>
      </w:r>
    </w:p>
    <w:p>
      <w:pPr>
        <w:pStyle w:val="16"/>
        <w:adjustRightInd w:val="0"/>
        <w:snapToGrid w:val="0"/>
        <w:spacing w:line="360" w:lineRule="auto"/>
        <w:ind w:firstLine="420" w:firstLineChars="200"/>
        <w:rPr>
          <w:sz w:val="21"/>
          <w:szCs w:val="21"/>
        </w:rPr>
      </w:pPr>
      <w:r>
        <w:rPr>
          <w:rFonts w:hint="eastAsia"/>
          <w:sz w:val="21"/>
          <w:szCs w:val="21"/>
        </w:rPr>
        <w:t>（1）质疑投标人的名称、地址及有效联系方式；</w:t>
      </w:r>
    </w:p>
    <w:p>
      <w:pPr>
        <w:pStyle w:val="16"/>
        <w:adjustRightInd w:val="0"/>
        <w:snapToGrid w:val="0"/>
        <w:spacing w:line="360" w:lineRule="auto"/>
        <w:ind w:firstLine="420" w:firstLineChars="200"/>
        <w:rPr>
          <w:sz w:val="21"/>
          <w:szCs w:val="21"/>
        </w:rPr>
      </w:pPr>
      <w:r>
        <w:rPr>
          <w:rFonts w:hint="eastAsia"/>
          <w:sz w:val="21"/>
          <w:szCs w:val="21"/>
        </w:rPr>
        <w:t>（2）质疑事项；</w:t>
      </w:r>
    </w:p>
    <w:p>
      <w:pPr>
        <w:pStyle w:val="16"/>
        <w:adjustRightInd w:val="0"/>
        <w:snapToGrid w:val="0"/>
        <w:spacing w:line="360" w:lineRule="auto"/>
        <w:ind w:firstLine="420" w:firstLineChars="200"/>
        <w:rPr>
          <w:sz w:val="21"/>
          <w:szCs w:val="21"/>
        </w:rPr>
      </w:pPr>
      <w:r>
        <w:rPr>
          <w:rFonts w:hint="eastAsia"/>
          <w:sz w:val="21"/>
          <w:szCs w:val="21"/>
        </w:rPr>
        <w:t>（3）事实依据及相关证明材料；</w:t>
      </w:r>
    </w:p>
    <w:p>
      <w:pPr>
        <w:pStyle w:val="16"/>
        <w:adjustRightInd w:val="0"/>
        <w:snapToGrid w:val="0"/>
        <w:spacing w:line="360" w:lineRule="auto"/>
        <w:ind w:firstLine="420" w:firstLineChars="200"/>
        <w:rPr>
          <w:sz w:val="21"/>
          <w:szCs w:val="21"/>
        </w:rPr>
      </w:pPr>
      <w:r>
        <w:rPr>
          <w:rFonts w:hint="eastAsia"/>
          <w:sz w:val="21"/>
          <w:szCs w:val="21"/>
        </w:rPr>
        <w:t>（4）相关请求及主张。</w:t>
      </w:r>
    </w:p>
    <w:p>
      <w:pPr>
        <w:pStyle w:val="16"/>
        <w:adjustRightInd w:val="0"/>
        <w:snapToGrid w:val="0"/>
        <w:spacing w:line="360" w:lineRule="auto"/>
        <w:ind w:firstLine="420" w:firstLineChars="200"/>
        <w:rPr>
          <w:sz w:val="21"/>
          <w:szCs w:val="21"/>
        </w:rPr>
      </w:pPr>
      <w:r>
        <w:rPr>
          <w:rFonts w:hint="eastAsia"/>
          <w:sz w:val="21"/>
          <w:szCs w:val="21"/>
        </w:rPr>
        <w:t>31.5 质疑书应当由投标人法定代表人或其授权的代理人签字并加盖投标人单位章，质疑书由授权的代理人签字的应附投标人法定代表人委托授权书。</w:t>
      </w:r>
    </w:p>
    <w:p>
      <w:pPr>
        <w:pStyle w:val="16"/>
        <w:adjustRightInd w:val="0"/>
        <w:snapToGrid w:val="0"/>
        <w:spacing w:line="360" w:lineRule="auto"/>
        <w:ind w:firstLine="420" w:firstLineChars="200"/>
        <w:rPr>
          <w:sz w:val="21"/>
          <w:szCs w:val="21"/>
        </w:rPr>
      </w:pPr>
      <w:r>
        <w:rPr>
          <w:rFonts w:hint="eastAsia"/>
          <w:sz w:val="21"/>
          <w:szCs w:val="21"/>
        </w:rPr>
        <w:t>31.6 采购人或采购代理机构将在签收回执之日起七个工作日内作出书面答复，并以书面形式通知质疑投标人和其他有关的投标人。</w:t>
      </w:r>
    </w:p>
    <w:p>
      <w:pPr>
        <w:pStyle w:val="16"/>
        <w:adjustRightInd w:val="0"/>
        <w:snapToGrid w:val="0"/>
        <w:spacing w:line="360" w:lineRule="auto"/>
        <w:ind w:firstLine="420" w:firstLineChars="200"/>
        <w:rPr>
          <w:sz w:val="21"/>
          <w:szCs w:val="21"/>
        </w:rPr>
      </w:pPr>
      <w:r>
        <w:rPr>
          <w:rFonts w:hint="eastAsia"/>
          <w:sz w:val="21"/>
          <w:szCs w:val="21"/>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pPr>
        <w:pStyle w:val="16"/>
        <w:adjustRightInd w:val="0"/>
        <w:snapToGrid w:val="0"/>
        <w:spacing w:line="360" w:lineRule="auto"/>
        <w:rPr>
          <w:b/>
          <w:sz w:val="21"/>
          <w:szCs w:val="21"/>
        </w:rPr>
      </w:pPr>
      <w:r>
        <w:rPr>
          <w:rFonts w:hint="eastAsia"/>
          <w:b/>
          <w:sz w:val="21"/>
          <w:szCs w:val="21"/>
        </w:rPr>
        <w:t>32.中标通知</w:t>
      </w:r>
    </w:p>
    <w:p>
      <w:pPr>
        <w:pStyle w:val="16"/>
        <w:adjustRightInd w:val="0"/>
        <w:snapToGrid w:val="0"/>
        <w:spacing w:line="360" w:lineRule="auto"/>
        <w:ind w:firstLine="420" w:firstLineChars="200"/>
        <w:rPr>
          <w:sz w:val="21"/>
          <w:szCs w:val="21"/>
        </w:rPr>
      </w:pPr>
      <w:r>
        <w:rPr>
          <w:rFonts w:hint="eastAsia"/>
          <w:sz w:val="21"/>
          <w:szCs w:val="21"/>
        </w:rPr>
        <w:t>32.1中标人确定后，采购人或采购代理机构将以书面形式向中标人发出中标通知书。中标通知书对采购人和中标人具有同等法律效力。</w:t>
      </w:r>
    </w:p>
    <w:p>
      <w:pPr>
        <w:pStyle w:val="16"/>
        <w:adjustRightInd w:val="0"/>
        <w:snapToGrid w:val="0"/>
        <w:spacing w:line="360" w:lineRule="auto"/>
        <w:ind w:firstLine="420" w:firstLineChars="200"/>
        <w:rPr>
          <w:sz w:val="21"/>
          <w:szCs w:val="21"/>
        </w:rPr>
      </w:pPr>
      <w:r>
        <w:rPr>
          <w:rFonts w:hint="eastAsia"/>
          <w:sz w:val="21"/>
          <w:szCs w:val="21"/>
        </w:rPr>
        <w:t>32.2 中标通知书是合同文件的组成部分。</w:t>
      </w:r>
    </w:p>
    <w:p>
      <w:pPr>
        <w:pStyle w:val="16"/>
        <w:adjustRightInd w:val="0"/>
        <w:snapToGrid w:val="0"/>
        <w:spacing w:line="360" w:lineRule="auto"/>
        <w:ind w:firstLine="420" w:firstLineChars="200"/>
        <w:rPr>
          <w:sz w:val="21"/>
          <w:szCs w:val="21"/>
        </w:rPr>
      </w:pPr>
      <w:r>
        <w:rPr>
          <w:rFonts w:hint="eastAsia"/>
          <w:sz w:val="21"/>
          <w:szCs w:val="21"/>
        </w:rPr>
        <w:t>32.3 中标人在收到采购代理机构的中标通知书后10日内，应按照投标须知前附表的规定，向采购人提交履约保证金。</w:t>
      </w:r>
    </w:p>
    <w:p>
      <w:pPr>
        <w:pStyle w:val="16"/>
        <w:adjustRightInd w:val="0"/>
        <w:snapToGrid w:val="0"/>
        <w:spacing w:line="360" w:lineRule="auto"/>
        <w:ind w:firstLine="420" w:firstLineChars="200"/>
        <w:rPr>
          <w:sz w:val="21"/>
          <w:szCs w:val="21"/>
        </w:rPr>
      </w:pPr>
      <w:r>
        <w:rPr>
          <w:rFonts w:hint="eastAsia"/>
          <w:sz w:val="21"/>
          <w:szCs w:val="21"/>
        </w:rPr>
        <w:t>32.4 中标人没有按照规定提交履约保证金的，视为放弃中标资格，其投标保证金不予退还。</w:t>
      </w:r>
    </w:p>
    <w:p>
      <w:pPr>
        <w:pStyle w:val="16"/>
        <w:adjustRightInd w:val="0"/>
        <w:snapToGrid w:val="0"/>
        <w:spacing w:line="360" w:lineRule="auto"/>
        <w:ind w:firstLine="420" w:firstLineChars="200"/>
        <w:rPr>
          <w:sz w:val="21"/>
          <w:szCs w:val="21"/>
        </w:rPr>
      </w:pPr>
      <w:r>
        <w:rPr>
          <w:rFonts w:hint="eastAsia"/>
          <w:sz w:val="21"/>
          <w:szCs w:val="21"/>
        </w:rPr>
        <w:t>32.5</w:t>
      </w:r>
      <w:r>
        <w:rPr>
          <w:rFonts w:hint="eastAsia"/>
          <w:b/>
          <w:sz w:val="21"/>
          <w:szCs w:val="21"/>
        </w:rPr>
        <w:t>如中标人未按照磋商文件要求交货期的时间内交货，将缴纳按照中标金额的2%以日计算的违约金，从首次付款中扣除。</w:t>
      </w:r>
    </w:p>
    <w:p>
      <w:pPr>
        <w:pStyle w:val="16"/>
        <w:adjustRightInd w:val="0"/>
        <w:snapToGrid w:val="0"/>
        <w:spacing w:line="360" w:lineRule="auto"/>
        <w:ind w:firstLine="420" w:firstLineChars="200"/>
        <w:rPr>
          <w:sz w:val="21"/>
          <w:szCs w:val="21"/>
        </w:rPr>
      </w:pPr>
      <w:r>
        <w:rPr>
          <w:rFonts w:hint="eastAsia"/>
          <w:sz w:val="21"/>
          <w:szCs w:val="21"/>
        </w:rPr>
        <w:t>32.6中标人领取中标通知书时须向代理机构提供一份电子版投标文件，作为存档使用。</w:t>
      </w:r>
    </w:p>
    <w:p>
      <w:pPr>
        <w:pStyle w:val="16"/>
        <w:adjustRightInd w:val="0"/>
        <w:snapToGrid w:val="0"/>
        <w:spacing w:line="360" w:lineRule="auto"/>
        <w:rPr>
          <w:b/>
          <w:sz w:val="21"/>
          <w:szCs w:val="21"/>
        </w:rPr>
      </w:pPr>
      <w:r>
        <w:rPr>
          <w:rFonts w:hint="eastAsia"/>
          <w:b/>
          <w:sz w:val="21"/>
          <w:szCs w:val="21"/>
        </w:rPr>
        <w:t>33.签订合同</w:t>
      </w:r>
    </w:p>
    <w:p>
      <w:pPr>
        <w:pStyle w:val="16"/>
        <w:adjustRightInd w:val="0"/>
        <w:snapToGrid w:val="0"/>
        <w:spacing w:line="360" w:lineRule="auto"/>
        <w:ind w:firstLine="420" w:firstLineChars="200"/>
        <w:rPr>
          <w:sz w:val="21"/>
          <w:szCs w:val="21"/>
        </w:rPr>
      </w:pPr>
      <w:r>
        <w:rPr>
          <w:rFonts w:hint="eastAsia"/>
          <w:sz w:val="21"/>
          <w:szCs w:val="21"/>
        </w:rPr>
        <w:t>33.1 磋商文件、中标人的投标文件及其补充的投标文件等均为签订政府采购合同的依据。</w:t>
      </w:r>
    </w:p>
    <w:p>
      <w:pPr>
        <w:pStyle w:val="16"/>
        <w:adjustRightInd w:val="0"/>
        <w:snapToGrid w:val="0"/>
        <w:spacing w:line="360" w:lineRule="auto"/>
        <w:ind w:firstLine="420" w:firstLineChars="200"/>
        <w:rPr>
          <w:sz w:val="21"/>
          <w:szCs w:val="21"/>
        </w:rPr>
      </w:pPr>
      <w:r>
        <w:rPr>
          <w:rFonts w:hint="eastAsia"/>
          <w:sz w:val="21"/>
          <w:szCs w:val="21"/>
        </w:rPr>
        <w:t>33.2采购人应当自中标通知书发出之日起30日内，按照磋商文件和中标人投标文件的规定，与中标人签订书面合同。所签订的合同不得对磋商文件确定的事项和中标人投标文件作实质性修改。采购人不得向中标人提出任何不合理的要求作为签订合同的条件。</w:t>
      </w:r>
    </w:p>
    <w:p>
      <w:pPr>
        <w:pStyle w:val="16"/>
        <w:adjustRightInd w:val="0"/>
        <w:snapToGrid w:val="0"/>
        <w:spacing w:line="360" w:lineRule="auto"/>
        <w:ind w:firstLine="420" w:firstLineChars="200"/>
        <w:rPr>
          <w:sz w:val="21"/>
          <w:szCs w:val="21"/>
        </w:rPr>
      </w:pPr>
      <w:r>
        <w:rPr>
          <w:rFonts w:hint="eastAsia"/>
          <w:sz w:val="21"/>
          <w:szCs w:val="21"/>
        </w:rPr>
        <w:t>33.3 中标人应当按照合同约定履行义务。中标人不得向他人转让中标项目，也不得将中标项目分包后分别向他人转让。</w:t>
      </w:r>
    </w:p>
    <w:p>
      <w:pPr>
        <w:pStyle w:val="16"/>
        <w:adjustRightInd w:val="0"/>
        <w:snapToGrid w:val="0"/>
        <w:spacing w:line="360" w:lineRule="auto"/>
        <w:ind w:firstLine="420" w:firstLineChars="200"/>
        <w:rPr>
          <w:sz w:val="21"/>
          <w:szCs w:val="21"/>
        </w:rPr>
      </w:pPr>
      <w:r>
        <w:rPr>
          <w:rFonts w:hint="eastAsia"/>
          <w:sz w:val="21"/>
          <w:szCs w:val="21"/>
        </w:rPr>
        <w:t>33.4 中标人有下列情形之一的，责令限期改正，情节严重的，列入不良行为记录名单，在1至3年内禁止参加政府采购活动，并予以通报：</w:t>
      </w:r>
    </w:p>
    <w:p>
      <w:pPr>
        <w:pStyle w:val="16"/>
        <w:adjustRightInd w:val="0"/>
        <w:snapToGrid w:val="0"/>
        <w:spacing w:line="360" w:lineRule="auto"/>
        <w:ind w:firstLine="420" w:firstLineChars="200"/>
        <w:rPr>
          <w:sz w:val="21"/>
          <w:szCs w:val="21"/>
        </w:rPr>
      </w:pPr>
      <w:r>
        <w:rPr>
          <w:rFonts w:hint="eastAsia"/>
          <w:sz w:val="21"/>
          <w:szCs w:val="21"/>
        </w:rPr>
        <w:t>（一）中标后无正当理由不与采购人签订合同的；</w:t>
      </w:r>
    </w:p>
    <w:p>
      <w:pPr>
        <w:pStyle w:val="16"/>
        <w:adjustRightInd w:val="0"/>
        <w:snapToGrid w:val="0"/>
        <w:spacing w:line="360" w:lineRule="auto"/>
        <w:ind w:firstLine="420" w:firstLineChars="200"/>
        <w:rPr>
          <w:sz w:val="21"/>
          <w:szCs w:val="21"/>
        </w:rPr>
      </w:pPr>
      <w:r>
        <w:rPr>
          <w:rFonts w:hint="eastAsia"/>
          <w:sz w:val="21"/>
          <w:szCs w:val="21"/>
        </w:rPr>
        <w:t>（二）未按照磋商文件确定的事项签订政府采购合同，或者与采购人另行订立背离合同实质性内容的协议的；</w:t>
      </w:r>
    </w:p>
    <w:p>
      <w:pPr>
        <w:pStyle w:val="16"/>
        <w:adjustRightInd w:val="0"/>
        <w:snapToGrid w:val="0"/>
        <w:spacing w:line="360" w:lineRule="auto"/>
        <w:ind w:firstLine="420" w:firstLineChars="200"/>
        <w:rPr>
          <w:sz w:val="21"/>
          <w:szCs w:val="21"/>
        </w:rPr>
      </w:pPr>
      <w:r>
        <w:rPr>
          <w:rFonts w:hint="eastAsia"/>
          <w:sz w:val="21"/>
          <w:szCs w:val="21"/>
        </w:rPr>
        <w:t>（三）拒绝履行合同义务的；</w:t>
      </w:r>
    </w:p>
    <w:p>
      <w:pPr>
        <w:pStyle w:val="16"/>
        <w:adjustRightInd w:val="0"/>
        <w:snapToGrid w:val="0"/>
        <w:spacing w:line="360" w:lineRule="auto"/>
        <w:ind w:firstLine="420" w:firstLineChars="200"/>
        <w:rPr>
          <w:sz w:val="21"/>
          <w:szCs w:val="21"/>
        </w:rPr>
      </w:pPr>
      <w:r>
        <w:rPr>
          <w:rFonts w:hint="eastAsia"/>
          <w:sz w:val="21"/>
          <w:szCs w:val="21"/>
        </w:rPr>
        <w:t>（四）违反法律、规章、规范性文件规定的。</w:t>
      </w:r>
    </w:p>
    <w:p>
      <w:pPr>
        <w:pStyle w:val="16"/>
        <w:adjustRightInd w:val="0"/>
        <w:snapToGrid w:val="0"/>
        <w:spacing w:line="360" w:lineRule="auto"/>
        <w:ind w:firstLine="420" w:firstLineChars="200"/>
        <w:rPr>
          <w:b/>
          <w:sz w:val="21"/>
          <w:szCs w:val="21"/>
        </w:rPr>
      </w:pPr>
      <w:r>
        <w:rPr>
          <w:rFonts w:hint="eastAsia"/>
          <w:sz w:val="21"/>
          <w:szCs w:val="21"/>
        </w:rPr>
        <w:t>33.5政府采购项目的采购合同（按招标文件提供范本）自签订之日起</w:t>
      </w:r>
      <w:r>
        <w:rPr>
          <w:rFonts w:hint="eastAsia"/>
          <w:b/>
          <w:sz w:val="21"/>
          <w:szCs w:val="21"/>
        </w:rPr>
        <w:t>七个工作日内</w:t>
      </w:r>
      <w:r>
        <w:rPr>
          <w:rFonts w:hint="eastAsia"/>
          <w:sz w:val="21"/>
          <w:szCs w:val="21"/>
        </w:rPr>
        <w:t>，</w:t>
      </w:r>
      <w:r>
        <w:rPr>
          <w:rFonts w:hint="eastAsia"/>
          <w:b/>
          <w:sz w:val="21"/>
          <w:szCs w:val="21"/>
        </w:rPr>
        <w:t>采购人应当将合同副本报同级政府采购监督管理部门备案。并同时递交合同复印件一份给采购代理机构存档。</w:t>
      </w:r>
    </w:p>
    <w:p>
      <w:pPr>
        <w:pStyle w:val="16"/>
        <w:adjustRightInd w:val="0"/>
        <w:snapToGrid w:val="0"/>
        <w:spacing w:line="360" w:lineRule="auto"/>
        <w:rPr>
          <w:b/>
          <w:sz w:val="21"/>
          <w:szCs w:val="21"/>
        </w:rPr>
      </w:pPr>
      <w:r>
        <w:rPr>
          <w:rFonts w:hint="eastAsia"/>
          <w:b/>
          <w:sz w:val="21"/>
          <w:szCs w:val="21"/>
        </w:rPr>
        <w:t>34. 政府采购合同履行中数量的变更</w:t>
      </w:r>
    </w:p>
    <w:p>
      <w:pPr>
        <w:pStyle w:val="16"/>
        <w:adjustRightInd w:val="0"/>
        <w:snapToGrid w:val="0"/>
        <w:spacing w:line="360" w:lineRule="auto"/>
        <w:ind w:firstLine="420" w:firstLineChars="200"/>
        <w:rPr>
          <w:sz w:val="21"/>
          <w:szCs w:val="21"/>
        </w:rPr>
      </w:pPr>
      <w:r>
        <w:rPr>
          <w:rFonts w:hint="eastAsia"/>
          <w:sz w:val="21"/>
          <w:szCs w:val="21"/>
        </w:rPr>
        <w:t>34.1政府采购合同履行中，采购人需追加与合同标的相同的货物服务的，在不改变合同其他条款的前提下，可以与中标人协商签订补充合同，但所有补充合同的采购金额不得超过原合同采购金额的百分之十。</w:t>
      </w:r>
    </w:p>
    <w:p>
      <w:pPr>
        <w:pStyle w:val="16"/>
        <w:adjustRightInd w:val="0"/>
        <w:snapToGrid w:val="0"/>
        <w:spacing w:line="360" w:lineRule="auto"/>
        <w:outlineLvl w:val="1"/>
        <w:rPr>
          <w:b/>
          <w:sz w:val="21"/>
          <w:szCs w:val="21"/>
        </w:rPr>
      </w:pPr>
      <w:bookmarkStart w:id="76" w:name="_Toc420948015"/>
      <w:bookmarkStart w:id="77" w:name="_Toc22715"/>
      <w:bookmarkStart w:id="78" w:name="_Toc29559"/>
      <w:r>
        <w:rPr>
          <w:rFonts w:hint="eastAsia"/>
          <w:b/>
          <w:sz w:val="21"/>
          <w:szCs w:val="21"/>
        </w:rPr>
        <w:t>七、其他规定</w:t>
      </w:r>
      <w:bookmarkEnd w:id="76"/>
      <w:bookmarkEnd w:id="77"/>
      <w:bookmarkEnd w:id="78"/>
    </w:p>
    <w:p>
      <w:pPr>
        <w:pStyle w:val="16"/>
        <w:adjustRightInd w:val="0"/>
        <w:snapToGrid w:val="0"/>
        <w:spacing w:line="360" w:lineRule="auto"/>
        <w:rPr>
          <w:b/>
          <w:sz w:val="21"/>
          <w:szCs w:val="21"/>
        </w:rPr>
      </w:pPr>
      <w:r>
        <w:rPr>
          <w:rFonts w:hint="eastAsia"/>
          <w:b/>
          <w:sz w:val="21"/>
          <w:szCs w:val="21"/>
        </w:rPr>
        <w:t>35.招标代理服务费</w:t>
      </w:r>
    </w:p>
    <w:p>
      <w:pPr>
        <w:pStyle w:val="16"/>
        <w:adjustRightInd w:val="0"/>
        <w:snapToGrid w:val="0"/>
        <w:spacing w:line="360" w:lineRule="auto"/>
        <w:ind w:firstLine="420" w:firstLineChars="200"/>
        <w:rPr>
          <w:sz w:val="21"/>
          <w:szCs w:val="21"/>
        </w:rPr>
      </w:pPr>
      <w:r>
        <w:rPr>
          <w:rFonts w:hint="eastAsia"/>
          <w:sz w:val="21"/>
          <w:szCs w:val="21"/>
        </w:rPr>
        <w:t>35.1中标人应按投标须知前附表规定交纳采购代理服务费。</w:t>
      </w:r>
    </w:p>
    <w:p>
      <w:pPr>
        <w:pStyle w:val="16"/>
        <w:adjustRightInd w:val="0"/>
        <w:snapToGrid w:val="0"/>
        <w:spacing w:line="360" w:lineRule="auto"/>
        <w:rPr>
          <w:b/>
          <w:sz w:val="21"/>
          <w:szCs w:val="21"/>
        </w:rPr>
      </w:pPr>
      <w:r>
        <w:rPr>
          <w:rFonts w:hint="eastAsia"/>
          <w:b/>
          <w:sz w:val="21"/>
          <w:szCs w:val="21"/>
        </w:rPr>
        <w:t>36. 其他规定</w:t>
      </w:r>
    </w:p>
    <w:p>
      <w:pPr>
        <w:pStyle w:val="16"/>
        <w:adjustRightInd w:val="0"/>
        <w:snapToGrid w:val="0"/>
        <w:spacing w:line="360" w:lineRule="auto"/>
        <w:ind w:firstLine="420" w:firstLineChars="200"/>
        <w:rPr>
          <w:sz w:val="21"/>
          <w:szCs w:val="21"/>
        </w:rPr>
      </w:pPr>
      <w:r>
        <w:rPr>
          <w:rFonts w:hint="eastAsia"/>
          <w:sz w:val="21"/>
          <w:szCs w:val="21"/>
        </w:rPr>
        <w:t>36.1磋商文件的其他规定见投标须知前附表。</w:t>
      </w:r>
    </w:p>
    <w:p>
      <w:pPr>
        <w:pStyle w:val="36"/>
        <w:tabs>
          <w:tab w:val="left" w:pos="1779"/>
        </w:tabs>
        <w:spacing w:line="364" w:lineRule="auto"/>
        <w:ind w:left="0" w:right="1792" w:firstLine="0"/>
        <w:jc w:val="both"/>
        <w:rPr>
          <w:sz w:val="24"/>
        </w:rPr>
        <w:sectPr>
          <w:pgSz w:w="11910" w:h="16840"/>
          <w:pgMar w:top="1440" w:right="1080" w:bottom="1440" w:left="1080" w:header="906" w:footer="895" w:gutter="0"/>
          <w:cols w:space="720" w:num="1"/>
        </w:sectPr>
      </w:pPr>
      <w:r>
        <w:rPr>
          <w:sz w:val="24"/>
        </w:rPr>
        <w:t xml:space="preserve"> </w:t>
      </w:r>
    </w:p>
    <w:p>
      <w:pPr>
        <w:pStyle w:val="5"/>
        <w:widowControl/>
        <w:spacing w:line="450" w:lineRule="atLeast"/>
        <w:ind w:left="0" w:right="0" w:firstLine="3534" w:firstLineChars="1100"/>
        <w:jc w:val="both"/>
        <w:rPr>
          <w:ins w:id="8" w:author="胡智行" w:date="2021-09-23T18:56:00Z"/>
          <w:rFonts w:ascii="宋体" w:hAnsi="宋体" w:eastAsia="宋体" w:cs="宋体"/>
          <w:sz w:val="32"/>
          <w:szCs w:val="32"/>
        </w:rPr>
      </w:pPr>
      <w:ins w:id="9" w:author="胡智行" w:date="2021-09-23T18:56:00Z">
        <w:bookmarkStart w:id="79" w:name="第三部分___项目说明"/>
        <w:bookmarkEnd w:id="79"/>
        <w:bookmarkStart w:id="80" w:name="_Toc30430"/>
        <w:bookmarkStart w:id="81" w:name="_Toc9820"/>
        <w:bookmarkStart w:id="82" w:name="_Toc16744"/>
        <w:bookmarkStart w:id="83" w:name="_Toc12636"/>
        <w:r>
          <w:rPr>
            <w:rFonts w:ascii="宋体" w:hAnsi="宋体" w:eastAsia="宋体" w:cs="宋体"/>
            <w:sz w:val="32"/>
            <w:szCs w:val="32"/>
          </w:rPr>
          <w:t xml:space="preserve">第三部分 </w:t>
        </w:r>
      </w:ins>
      <w:ins w:id="10" w:author="胡智行" w:date="2021-09-23T18:56:00Z">
        <w:r>
          <w:rPr>
            <w:rFonts w:hint="eastAsia" w:ascii="宋体" w:hAnsi="宋体" w:eastAsia="宋体" w:cs="宋体"/>
            <w:sz w:val="32"/>
            <w:szCs w:val="32"/>
          </w:rPr>
          <w:t>服务内容</w:t>
        </w:r>
        <w:bookmarkEnd w:id="80"/>
      </w:ins>
    </w:p>
    <w:p>
      <w:pPr>
        <w:rPr>
          <w:ins w:id="11" w:author="胡智行" w:date="2021-09-23T18:56:00Z"/>
        </w:rPr>
      </w:pPr>
    </w:p>
    <w:p>
      <w:pPr>
        <w:pStyle w:val="36"/>
        <w:numPr>
          <w:ilvl w:val="0"/>
          <w:numId w:val="3"/>
        </w:numPr>
        <w:adjustRightInd w:val="0"/>
        <w:snapToGrid w:val="0"/>
        <w:spacing w:line="360" w:lineRule="auto"/>
        <w:outlineLvl w:val="1"/>
        <w:rPr>
          <w:ins w:id="12" w:author="胡智行" w:date="2021-09-23T18:56:00Z"/>
          <w:b/>
          <w:sz w:val="24"/>
        </w:rPr>
      </w:pPr>
      <w:ins w:id="13" w:author="胡智行" w:date="2021-09-23T18:56:00Z">
        <w:r>
          <w:rPr>
            <w:rFonts w:hint="eastAsia"/>
            <w:b/>
            <w:sz w:val="24"/>
          </w:rPr>
          <w:t>规划背景</w:t>
        </w:r>
      </w:ins>
    </w:p>
    <w:p>
      <w:pPr>
        <w:pStyle w:val="36"/>
        <w:numPr>
          <w:ilvl w:val="0"/>
          <w:numId w:val="4"/>
        </w:numPr>
        <w:adjustRightInd w:val="0"/>
        <w:snapToGrid w:val="0"/>
        <w:spacing w:line="360" w:lineRule="auto"/>
        <w:outlineLvl w:val="2"/>
        <w:rPr>
          <w:ins w:id="14" w:author="胡智行" w:date="2021-09-23T18:56:00Z"/>
          <w:b/>
          <w:szCs w:val="21"/>
        </w:rPr>
      </w:pPr>
      <w:ins w:id="15" w:author="胡智行" w:date="2021-09-23T18:56:00Z">
        <w:r>
          <w:rPr>
            <w:rFonts w:hint="eastAsia"/>
            <w:b/>
            <w:szCs w:val="21"/>
          </w:rPr>
          <w:t>国家战略新任务：“一带一路”战略下，新疆成为亚欧大陆的地理中心</w:t>
        </w:r>
      </w:ins>
    </w:p>
    <w:p>
      <w:pPr>
        <w:pStyle w:val="16"/>
        <w:adjustRightInd w:val="0"/>
        <w:snapToGrid w:val="0"/>
        <w:spacing w:line="360" w:lineRule="auto"/>
        <w:ind w:firstLine="420" w:firstLineChars="200"/>
        <w:rPr>
          <w:ins w:id="16" w:author="胡智行" w:date="2021-09-23T18:56:00Z"/>
          <w:sz w:val="21"/>
          <w:szCs w:val="21"/>
        </w:rPr>
      </w:pPr>
      <w:ins w:id="17" w:author="胡智行" w:date="2021-09-23T18:56:00Z">
        <w:r>
          <w:rPr>
            <w:rFonts w:hint="eastAsia"/>
            <w:sz w:val="21"/>
            <w:szCs w:val="21"/>
          </w:rPr>
          <w:t>在“一带一路”战略下，伊犁具有外接欧洲中亚、内联内地的区位条件，是“一带一路”上的重要桥头堡地区。伊犁州肩负着国家战略后方与战略前沿的双重使命。一方面围绕社会稳定和长治久安的总目标，以依法治疆、团结稳疆、文化润疆、富民兴疆、长期建疆为路径，推进农牧区等重点地区精准扶贫；另一方面发挥国家战略开放前沿作用，依托洲际贸易大通道枢纽作用，以推进丝绸之路经济带核心区建设为驱动，把新疆自身区域开放战略纳入国家向西开放的总体布局中，丰富对外开放载体，提升对外开放层次，创新开放经济体制，打造内陆开放和沿边开放的高地。</w:t>
        </w:r>
      </w:ins>
    </w:p>
    <w:p>
      <w:pPr>
        <w:pStyle w:val="36"/>
        <w:numPr>
          <w:ilvl w:val="0"/>
          <w:numId w:val="4"/>
        </w:numPr>
        <w:adjustRightInd w:val="0"/>
        <w:snapToGrid w:val="0"/>
        <w:spacing w:line="360" w:lineRule="auto"/>
        <w:outlineLvl w:val="2"/>
        <w:rPr>
          <w:ins w:id="18" w:author="胡智行" w:date="2021-09-23T18:56:00Z"/>
          <w:b/>
          <w:szCs w:val="21"/>
        </w:rPr>
      </w:pPr>
      <w:ins w:id="19" w:author="胡智行" w:date="2021-09-23T18:56:00Z">
        <w:r>
          <w:rPr>
            <w:b/>
            <w:szCs w:val="21"/>
          </w:rPr>
          <w:t>生态空间新格局：生态文明背景下，推动生态资源向生态资产转型</w:t>
        </w:r>
      </w:ins>
    </w:p>
    <w:p>
      <w:pPr>
        <w:pStyle w:val="16"/>
        <w:adjustRightInd w:val="0"/>
        <w:snapToGrid w:val="0"/>
        <w:spacing w:line="360" w:lineRule="auto"/>
        <w:ind w:firstLine="420" w:firstLineChars="200"/>
        <w:rPr>
          <w:ins w:id="20" w:author="胡智行" w:date="2021-09-23T18:56:00Z"/>
          <w:sz w:val="21"/>
          <w:szCs w:val="21"/>
        </w:rPr>
      </w:pPr>
      <w:ins w:id="21" w:author="胡智行" w:date="2021-09-23T18:56:00Z">
        <w:r>
          <w:rPr>
            <w:sz w:val="21"/>
            <w:szCs w:val="21"/>
          </w:rPr>
          <w:t>那拉提草原作为世界四大草原之一</w:t>
        </w:r>
      </w:ins>
      <w:ins w:id="22" w:author="胡智行" w:date="2021-09-23T18:56:00Z">
        <w:r>
          <w:rPr>
            <w:rFonts w:hint="eastAsia"/>
            <w:sz w:val="21"/>
            <w:szCs w:val="21"/>
          </w:rPr>
          <w:t>，</w:t>
        </w:r>
      </w:ins>
      <w:ins w:id="23" w:author="胡智行" w:date="2021-09-23T18:56:00Z">
        <w:r>
          <w:rPr>
            <w:sz w:val="21"/>
            <w:szCs w:val="21"/>
          </w:rPr>
          <w:t>同时也处于生态敏感地区</w:t>
        </w:r>
      </w:ins>
      <w:ins w:id="24" w:author="胡智行" w:date="2021-09-23T18:56:00Z">
        <w:r>
          <w:rPr>
            <w:rFonts w:hint="eastAsia"/>
            <w:sz w:val="21"/>
            <w:szCs w:val="21"/>
          </w:rPr>
          <w:t>，</w:t>
        </w:r>
      </w:ins>
      <w:ins w:id="25" w:author="胡智行" w:date="2021-09-23T18:56:00Z">
        <w:r>
          <w:rPr>
            <w:sz w:val="21"/>
            <w:szCs w:val="21"/>
          </w:rPr>
          <w:t>保护与发展的任务并存</w:t>
        </w:r>
      </w:ins>
      <w:ins w:id="26" w:author="胡智行" w:date="2021-09-23T18:56:00Z">
        <w:r>
          <w:rPr>
            <w:rFonts w:hint="eastAsia"/>
            <w:sz w:val="21"/>
            <w:szCs w:val="21"/>
          </w:rPr>
          <w:t>。</w:t>
        </w:r>
      </w:ins>
      <w:ins w:id="27" w:author="胡智行" w:date="2021-09-23T18:56:00Z">
        <w:r>
          <w:rPr>
            <w:sz w:val="21"/>
            <w:szCs w:val="21"/>
          </w:rPr>
          <w:t>一方面需要加强魅力景观区的生态保护协同</w:t>
        </w:r>
      </w:ins>
      <w:ins w:id="28" w:author="胡智行" w:date="2021-09-23T18:56:00Z">
        <w:r>
          <w:rPr>
            <w:rFonts w:hint="eastAsia"/>
            <w:sz w:val="21"/>
            <w:szCs w:val="21"/>
          </w:rPr>
          <w:t>，</w:t>
        </w:r>
      </w:ins>
      <w:ins w:id="29" w:author="胡智行" w:date="2021-09-23T18:56:00Z">
        <w:r>
          <w:rPr>
            <w:sz w:val="21"/>
            <w:szCs w:val="21"/>
          </w:rPr>
          <w:t>以整体保护自然资源</w:t>
        </w:r>
      </w:ins>
      <w:ins w:id="30" w:author="胡智行" w:date="2021-09-23T18:56:00Z">
        <w:r>
          <w:rPr>
            <w:rFonts w:hint="eastAsia"/>
            <w:sz w:val="21"/>
            <w:szCs w:val="21"/>
          </w:rPr>
          <w:t>、文化资源和人居环境为原则，制定适应地方发展实际的各类管控边界，并通过统一的生态补偿、转移支付等方式支持生态环境保护，为旅游发展提供良好的本底条件。另一方面，更需要创新城镇与乡村的特色发展路径，利用资源优势，推进旅游业与新经济等产业发展，建设跨区域旅游服务平台，加强小镇风貌建设，加强公共服务设施配套建设，强化区域交通互联互通，完成旅游交通网络。</w:t>
        </w:r>
      </w:ins>
    </w:p>
    <w:p>
      <w:pPr>
        <w:pStyle w:val="36"/>
        <w:numPr>
          <w:ilvl w:val="0"/>
          <w:numId w:val="4"/>
        </w:numPr>
        <w:adjustRightInd w:val="0"/>
        <w:snapToGrid w:val="0"/>
        <w:spacing w:line="360" w:lineRule="auto"/>
        <w:outlineLvl w:val="2"/>
        <w:rPr>
          <w:ins w:id="31" w:author="胡智行" w:date="2021-09-23T18:56:00Z"/>
          <w:b/>
          <w:szCs w:val="21"/>
        </w:rPr>
      </w:pPr>
      <w:ins w:id="32" w:author="胡智行" w:date="2021-09-23T18:56:00Z">
        <w:r>
          <w:rPr>
            <w:b/>
            <w:szCs w:val="21"/>
          </w:rPr>
          <w:t>经济转型新动力：面向休闲消费时代，那拉提谋求发展新机遇</w:t>
        </w:r>
      </w:ins>
    </w:p>
    <w:p>
      <w:pPr>
        <w:pStyle w:val="16"/>
        <w:adjustRightInd w:val="0"/>
        <w:snapToGrid w:val="0"/>
        <w:spacing w:line="360" w:lineRule="auto"/>
        <w:ind w:firstLine="420" w:firstLineChars="200"/>
        <w:rPr>
          <w:ins w:id="33" w:author="胡智行" w:date="2021-09-23T18:56:00Z"/>
          <w:sz w:val="21"/>
          <w:szCs w:val="21"/>
        </w:rPr>
      </w:pPr>
      <w:ins w:id="34" w:author="胡智行" w:date="2021-09-23T18:56:00Z">
        <w:r>
          <w:rPr>
            <w:rFonts w:hint="eastAsia"/>
            <w:sz w:val="21"/>
            <w:szCs w:val="21"/>
          </w:rPr>
          <w:t>在稳增长、调结构、促改革、惠民生的新时代背景下，文化和旅游业肩负高质量发展的历史使命。</w:t>
        </w:r>
      </w:ins>
      <w:ins w:id="35" w:author="胡智行" w:date="2021-09-23T18:56:00Z">
        <w:r>
          <w:rPr>
            <w:sz w:val="21"/>
            <w:szCs w:val="21"/>
          </w:rPr>
          <w:t>旅游业作为那拉提最具竞争力的特色产业</w:t>
        </w:r>
      </w:ins>
      <w:ins w:id="36" w:author="胡智行" w:date="2021-09-23T18:56:00Z">
        <w:r>
          <w:rPr>
            <w:rFonts w:hint="eastAsia"/>
            <w:sz w:val="21"/>
            <w:szCs w:val="21"/>
          </w:rPr>
          <w:t>，</w:t>
        </w:r>
      </w:ins>
      <w:ins w:id="37" w:author="胡智行" w:date="2021-09-23T18:56:00Z">
        <w:r>
          <w:rPr>
            <w:sz w:val="21"/>
            <w:szCs w:val="21"/>
          </w:rPr>
          <w:t>近年来旅游业取得长足的发展</w:t>
        </w:r>
      </w:ins>
      <w:ins w:id="38" w:author="胡智行" w:date="2021-09-23T18:56:00Z">
        <w:r>
          <w:rPr>
            <w:rFonts w:hint="eastAsia"/>
            <w:sz w:val="21"/>
            <w:szCs w:val="21"/>
          </w:rPr>
          <w:t>，</w:t>
        </w:r>
      </w:ins>
      <w:ins w:id="39" w:author="胡智行" w:date="2021-09-23T18:56:00Z">
        <w:r>
          <w:rPr>
            <w:sz w:val="21"/>
            <w:szCs w:val="21"/>
          </w:rPr>
          <w:t>建议结合国家魅力景观区的发展机遇</w:t>
        </w:r>
      </w:ins>
      <w:ins w:id="40" w:author="胡智行" w:date="2021-09-23T18:56:00Z">
        <w:r>
          <w:rPr>
            <w:rFonts w:hint="eastAsia"/>
            <w:sz w:val="21"/>
            <w:szCs w:val="21"/>
          </w:rPr>
          <w:t>，</w:t>
        </w:r>
      </w:ins>
      <w:ins w:id="41" w:author="胡智行" w:date="2021-09-23T18:56:00Z">
        <w:r>
          <w:rPr>
            <w:sz w:val="21"/>
            <w:szCs w:val="21"/>
          </w:rPr>
          <w:t>衔接天山廊道世界遗产旅游带</w:t>
        </w:r>
      </w:ins>
      <w:ins w:id="42" w:author="胡智行" w:date="2021-09-23T18:56:00Z">
        <w:r>
          <w:rPr>
            <w:rFonts w:hint="eastAsia"/>
            <w:sz w:val="21"/>
            <w:szCs w:val="21"/>
          </w:rPr>
          <w:t>，</w:t>
        </w:r>
      </w:ins>
      <w:ins w:id="43" w:author="胡智行" w:date="2021-09-23T18:56:00Z">
        <w:r>
          <w:rPr>
            <w:sz w:val="21"/>
            <w:szCs w:val="21"/>
          </w:rPr>
          <w:t>不断探索旅游业发展新思路</w:t>
        </w:r>
      </w:ins>
      <w:ins w:id="44" w:author="胡智行" w:date="2021-09-23T18:56:00Z">
        <w:r>
          <w:rPr>
            <w:rFonts w:hint="eastAsia"/>
            <w:sz w:val="21"/>
            <w:szCs w:val="21"/>
          </w:rPr>
          <w:t>，</w:t>
        </w:r>
      </w:ins>
      <w:ins w:id="45" w:author="胡智行" w:date="2021-09-23T18:56:00Z">
        <w:r>
          <w:rPr>
            <w:sz w:val="21"/>
            <w:szCs w:val="21"/>
          </w:rPr>
          <w:t>着力打造民俗文化旅游</w:t>
        </w:r>
      </w:ins>
      <w:ins w:id="46" w:author="胡智行" w:date="2021-09-23T18:56:00Z">
        <w:r>
          <w:rPr>
            <w:rFonts w:hint="eastAsia"/>
            <w:sz w:val="21"/>
            <w:szCs w:val="21"/>
          </w:rPr>
          <w:t>、草原观光旅游等具有鲜明特色的主题旅游，通过旅游业稳步发展，推动生态资源向生态资产转型。</w:t>
        </w:r>
      </w:ins>
    </w:p>
    <w:p>
      <w:pPr>
        <w:pStyle w:val="36"/>
        <w:numPr>
          <w:ilvl w:val="0"/>
          <w:numId w:val="4"/>
        </w:numPr>
        <w:adjustRightInd w:val="0"/>
        <w:snapToGrid w:val="0"/>
        <w:spacing w:line="360" w:lineRule="auto"/>
        <w:outlineLvl w:val="2"/>
        <w:rPr>
          <w:ins w:id="47" w:author="胡智行" w:date="2021-09-23T18:56:00Z"/>
          <w:b/>
          <w:szCs w:val="21"/>
        </w:rPr>
      </w:pPr>
      <w:ins w:id="48" w:author="胡智行" w:date="2021-09-23T18:56:00Z">
        <w:r>
          <w:rPr>
            <w:b/>
            <w:szCs w:val="21"/>
          </w:rPr>
          <w:t>空间治理新要求：国土空间构建下，积极建立全域空间规划体系</w:t>
        </w:r>
      </w:ins>
    </w:p>
    <w:p>
      <w:pPr>
        <w:pStyle w:val="16"/>
        <w:adjustRightInd w:val="0"/>
        <w:snapToGrid w:val="0"/>
        <w:spacing w:line="360" w:lineRule="auto"/>
        <w:ind w:firstLine="420" w:firstLineChars="200"/>
        <w:rPr>
          <w:ins w:id="49" w:author="胡智行" w:date="2021-09-23T18:56:00Z"/>
          <w:sz w:val="21"/>
          <w:szCs w:val="21"/>
        </w:rPr>
      </w:pPr>
      <w:ins w:id="50" w:author="胡智行" w:date="2021-09-23T18:56:00Z">
        <w:r>
          <w:rPr>
            <w:rFonts w:hint="eastAsia"/>
            <w:sz w:val="21"/>
            <w:szCs w:val="21"/>
          </w:rPr>
          <w:t>乡镇级空间单元处于我国国土空间规划“国家—省—市—县—乡镇”五级体系的最基础环节，直面社会矛盾和经济利益冲突焦点，是生态文明建设指引、全域管控与城乡发展的最终落脚点。乡镇国土空间规划以实现各类国土空间要素精准落地为目的，以建立乡镇全域“一张蓝图”为主要工作内容，是“五级三类”国土空间规划编制体系的最基本组成部分。</w:t>
        </w:r>
      </w:ins>
    </w:p>
    <w:p>
      <w:pPr>
        <w:pStyle w:val="16"/>
        <w:adjustRightInd w:val="0"/>
        <w:snapToGrid w:val="0"/>
        <w:spacing w:line="360" w:lineRule="auto"/>
        <w:ind w:firstLine="420" w:firstLineChars="200"/>
        <w:rPr>
          <w:ins w:id="51" w:author="胡智行" w:date="2021-09-23T18:56:00Z"/>
          <w:sz w:val="21"/>
          <w:szCs w:val="21"/>
        </w:rPr>
      </w:pPr>
      <w:ins w:id="52" w:author="胡智行" w:date="2021-09-23T18:56:00Z">
        <w:r>
          <w:rPr>
            <w:sz w:val="21"/>
            <w:szCs w:val="21"/>
          </w:rPr>
          <w:t>目前伊犁州</w:t>
        </w:r>
      </w:ins>
      <w:ins w:id="53" w:author="胡智行" w:date="2021-09-23T18:56:00Z">
        <w:r>
          <w:rPr>
            <w:rFonts w:hint="eastAsia"/>
            <w:sz w:val="21"/>
            <w:szCs w:val="21"/>
          </w:rPr>
          <w:t>、</w:t>
        </w:r>
      </w:ins>
      <w:ins w:id="54" w:author="胡智行" w:date="2021-09-23T18:56:00Z">
        <w:r>
          <w:rPr>
            <w:sz w:val="21"/>
            <w:szCs w:val="21"/>
          </w:rPr>
          <w:t>新源县国土空间规划已经全面启动</w:t>
        </w:r>
      </w:ins>
      <w:ins w:id="55" w:author="胡智行" w:date="2021-09-23T18:56:00Z">
        <w:r>
          <w:rPr>
            <w:rFonts w:hint="eastAsia"/>
            <w:sz w:val="21"/>
            <w:szCs w:val="21"/>
          </w:rPr>
          <w:t>，</w:t>
        </w:r>
      </w:ins>
      <w:ins w:id="56" w:author="胡智行" w:date="2021-09-23T18:56:00Z">
        <w:r>
          <w:rPr>
            <w:sz w:val="21"/>
            <w:szCs w:val="21"/>
          </w:rPr>
          <w:t>更加强调全域一盘棋的发展理念</w:t>
        </w:r>
      </w:ins>
      <w:ins w:id="57" w:author="胡智行" w:date="2021-09-23T18:56:00Z">
        <w:r>
          <w:rPr>
            <w:rFonts w:hint="eastAsia"/>
            <w:sz w:val="21"/>
            <w:szCs w:val="21"/>
          </w:rPr>
          <w:t>，</w:t>
        </w:r>
      </w:ins>
      <w:ins w:id="58" w:author="胡智行" w:date="2021-09-23T18:56:00Z">
        <w:r>
          <w:rPr>
            <w:sz w:val="21"/>
            <w:szCs w:val="21"/>
          </w:rPr>
          <w:t>强调生态优先</w:t>
        </w:r>
      </w:ins>
      <w:ins w:id="59" w:author="胡智行" w:date="2021-09-23T18:56:00Z">
        <w:r>
          <w:rPr>
            <w:rFonts w:hint="eastAsia"/>
            <w:sz w:val="21"/>
            <w:szCs w:val="21"/>
          </w:rPr>
          <w:t>，</w:t>
        </w:r>
      </w:ins>
      <w:ins w:id="60" w:author="胡智行" w:date="2021-09-23T18:56:00Z">
        <w:r>
          <w:rPr>
            <w:sz w:val="21"/>
            <w:szCs w:val="21"/>
          </w:rPr>
          <w:t>集约发展</w:t>
        </w:r>
      </w:ins>
      <w:ins w:id="61" w:author="胡智行" w:date="2021-09-23T18:56:00Z">
        <w:r>
          <w:rPr>
            <w:rFonts w:hint="eastAsia"/>
            <w:sz w:val="21"/>
            <w:szCs w:val="21"/>
          </w:rPr>
          <w:t>，</w:t>
        </w:r>
      </w:ins>
      <w:ins w:id="62" w:author="胡智行" w:date="2021-09-23T18:56:00Z">
        <w:r>
          <w:rPr>
            <w:sz w:val="21"/>
            <w:szCs w:val="21"/>
          </w:rPr>
          <w:t>划定城镇开发边界</w:t>
        </w:r>
      </w:ins>
      <w:ins w:id="63" w:author="胡智行" w:date="2021-09-23T18:56:00Z">
        <w:r>
          <w:rPr>
            <w:rFonts w:hint="eastAsia"/>
            <w:sz w:val="21"/>
            <w:szCs w:val="21"/>
          </w:rPr>
          <w:t>、</w:t>
        </w:r>
      </w:ins>
      <w:ins w:id="64" w:author="胡智行" w:date="2021-09-23T18:56:00Z">
        <w:r>
          <w:rPr>
            <w:sz w:val="21"/>
            <w:szCs w:val="21"/>
          </w:rPr>
          <w:t>永久基本农田保护线和生态保护红线</w:t>
        </w:r>
      </w:ins>
      <w:ins w:id="65" w:author="胡智行" w:date="2021-09-23T18:56:00Z">
        <w:r>
          <w:rPr>
            <w:rFonts w:hint="eastAsia"/>
            <w:sz w:val="21"/>
            <w:szCs w:val="21"/>
          </w:rPr>
          <w:t>。</w:t>
        </w:r>
      </w:ins>
      <w:ins w:id="66" w:author="胡智行" w:date="2021-09-23T18:56:00Z">
        <w:r>
          <w:rPr>
            <w:sz w:val="21"/>
            <w:szCs w:val="21"/>
          </w:rPr>
          <w:t>那拉提作为其中最具特色的区域</w:t>
        </w:r>
      </w:ins>
      <w:ins w:id="67" w:author="胡智行" w:date="2021-09-23T18:56:00Z">
        <w:r>
          <w:rPr>
            <w:rFonts w:hint="eastAsia"/>
            <w:sz w:val="21"/>
            <w:szCs w:val="21"/>
          </w:rPr>
          <w:t>，</w:t>
        </w:r>
      </w:ins>
      <w:ins w:id="68" w:author="胡智行" w:date="2021-09-23T18:56:00Z">
        <w:r>
          <w:rPr>
            <w:sz w:val="21"/>
            <w:szCs w:val="21"/>
          </w:rPr>
          <w:t>需要从自身资源要素统筹和未来发展方向出发</w:t>
        </w:r>
      </w:ins>
      <w:ins w:id="69" w:author="胡智行" w:date="2021-09-23T18:56:00Z">
        <w:r>
          <w:rPr>
            <w:rFonts w:hint="eastAsia"/>
            <w:sz w:val="21"/>
            <w:szCs w:val="21"/>
          </w:rPr>
          <w:t>，</w:t>
        </w:r>
      </w:ins>
      <w:ins w:id="70" w:author="胡智行" w:date="2021-09-23T18:56:00Z">
        <w:r>
          <w:rPr>
            <w:sz w:val="21"/>
            <w:szCs w:val="21"/>
          </w:rPr>
          <w:t>协调上位规划</w:t>
        </w:r>
      </w:ins>
      <w:ins w:id="71" w:author="胡智行" w:date="2021-09-23T18:56:00Z">
        <w:r>
          <w:rPr>
            <w:rFonts w:hint="eastAsia"/>
            <w:sz w:val="21"/>
            <w:szCs w:val="21"/>
          </w:rPr>
          <w:t>，</w:t>
        </w:r>
      </w:ins>
      <w:ins w:id="72" w:author="胡智行" w:date="2021-09-23T18:56:00Z">
        <w:r>
          <w:rPr>
            <w:sz w:val="21"/>
            <w:szCs w:val="21"/>
          </w:rPr>
          <w:t>共同形成上下联动</w:t>
        </w:r>
      </w:ins>
      <w:ins w:id="73" w:author="胡智行" w:date="2021-09-23T18:56:00Z">
        <w:r>
          <w:rPr>
            <w:rFonts w:hint="eastAsia"/>
            <w:sz w:val="21"/>
            <w:szCs w:val="21"/>
          </w:rPr>
          <w:t>、</w:t>
        </w:r>
      </w:ins>
      <w:ins w:id="74" w:author="胡智行" w:date="2021-09-23T18:56:00Z">
        <w:r>
          <w:rPr>
            <w:sz w:val="21"/>
            <w:szCs w:val="21"/>
          </w:rPr>
          <w:t>纵向传导</w:t>
        </w:r>
      </w:ins>
      <w:ins w:id="75" w:author="胡智行" w:date="2021-09-23T18:56:00Z">
        <w:r>
          <w:rPr>
            <w:rFonts w:hint="eastAsia"/>
            <w:sz w:val="21"/>
            <w:szCs w:val="21"/>
          </w:rPr>
          <w:t>、</w:t>
        </w:r>
      </w:ins>
      <w:ins w:id="76" w:author="胡智行" w:date="2021-09-23T18:56:00Z">
        <w:r>
          <w:rPr>
            <w:sz w:val="21"/>
            <w:szCs w:val="21"/>
          </w:rPr>
          <w:t>良性互动的规划编制体系</w:t>
        </w:r>
      </w:ins>
      <w:ins w:id="77" w:author="胡智行" w:date="2021-09-23T18:56:00Z">
        <w:r>
          <w:rPr>
            <w:rFonts w:hint="eastAsia"/>
            <w:sz w:val="21"/>
            <w:szCs w:val="21"/>
          </w:rPr>
          <w:t>。</w:t>
        </w:r>
      </w:ins>
    </w:p>
    <w:p>
      <w:pPr>
        <w:pStyle w:val="16"/>
        <w:adjustRightInd w:val="0"/>
        <w:snapToGrid w:val="0"/>
        <w:spacing w:line="360" w:lineRule="auto"/>
        <w:rPr>
          <w:ins w:id="78" w:author="胡智行" w:date="2021-09-23T18:56:00Z"/>
        </w:rPr>
      </w:pPr>
    </w:p>
    <w:p>
      <w:pPr>
        <w:pStyle w:val="16"/>
        <w:adjustRightInd w:val="0"/>
        <w:snapToGrid w:val="0"/>
        <w:spacing w:line="360" w:lineRule="auto"/>
        <w:rPr>
          <w:ins w:id="79" w:author="胡智行" w:date="2021-09-23T18:56:00Z"/>
        </w:rPr>
      </w:pPr>
    </w:p>
    <w:p>
      <w:pPr>
        <w:pStyle w:val="36"/>
        <w:numPr>
          <w:ilvl w:val="0"/>
          <w:numId w:val="3"/>
        </w:numPr>
        <w:adjustRightInd w:val="0"/>
        <w:snapToGrid w:val="0"/>
        <w:spacing w:line="360" w:lineRule="auto"/>
        <w:outlineLvl w:val="1"/>
        <w:rPr>
          <w:ins w:id="80" w:author="胡智行" w:date="2021-09-23T18:56:00Z"/>
          <w:b/>
          <w:sz w:val="24"/>
        </w:rPr>
      </w:pPr>
      <w:ins w:id="81" w:author="胡智行" w:date="2021-09-23T18:56:00Z">
        <w:r>
          <w:rPr>
            <w:rFonts w:hint="eastAsia"/>
            <w:b/>
            <w:sz w:val="24"/>
          </w:rPr>
          <w:t>规划名称</w:t>
        </w:r>
      </w:ins>
    </w:p>
    <w:p>
      <w:pPr>
        <w:pStyle w:val="16"/>
        <w:adjustRightInd w:val="0"/>
        <w:snapToGrid w:val="0"/>
        <w:spacing w:line="360" w:lineRule="auto"/>
        <w:ind w:firstLine="420" w:firstLineChars="200"/>
        <w:rPr>
          <w:ins w:id="82" w:author="胡智行" w:date="2021-09-23T18:56:00Z"/>
          <w:sz w:val="21"/>
          <w:szCs w:val="21"/>
        </w:rPr>
      </w:pPr>
      <w:ins w:id="83" w:author="胡智行" w:date="2021-09-23T18:56:00Z">
        <w:r>
          <w:rPr>
            <w:rFonts w:hint="eastAsia"/>
            <w:sz w:val="21"/>
            <w:szCs w:val="21"/>
          </w:rPr>
          <w:t>伊犁州</w:t>
        </w:r>
        <w:bookmarkStart w:id="84" w:name="_Hlk83300489"/>
        <w:r>
          <w:rPr>
            <w:rFonts w:hint="eastAsia"/>
            <w:sz w:val="21"/>
            <w:szCs w:val="21"/>
          </w:rPr>
          <w:t>那拉提景镇</w:t>
        </w:r>
        <w:bookmarkEnd w:id="84"/>
        <w:r>
          <w:rPr>
            <w:rFonts w:hint="eastAsia"/>
            <w:sz w:val="21"/>
            <w:szCs w:val="21"/>
          </w:rPr>
          <w:t>国土空间规划（2</w:t>
        </w:r>
      </w:ins>
      <w:ins w:id="84" w:author="胡智行" w:date="2021-09-23T18:56:00Z">
        <w:r>
          <w:rPr>
            <w:sz w:val="21"/>
            <w:szCs w:val="21"/>
          </w:rPr>
          <w:t>021-2035</w:t>
        </w:r>
      </w:ins>
      <w:ins w:id="85" w:author="胡智行" w:date="2021-09-23T18:56:00Z">
        <w:r>
          <w:rPr>
            <w:rFonts w:hint="eastAsia"/>
            <w:sz w:val="21"/>
            <w:szCs w:val="21"/>
          </w:rPr>
          <w:t>）</w:t>
        </w:r>
      </w:ins>
    </w:p>
    <w:p>
      <w:pPr>
        <w:pStyle w:val="16"/>
        <w:adjustRightInd w:val="0"/>
        <w:snapToGrid w:val="0"/>
        <w:spacing w:line="360" w:lineRule="auto"/>
        <w:ind w:firstLine="420" w:firstLineChars="200"/>
        <w:rPr>
          <w:ins w:id="86" w:author="胡智行" w:date="2021-09-23T18:56:00Z"/>
          <w:sz w:val="21"/>
          <w:szCs w:val="21"/>
        </w:rPr>
      </w:pPr>
    </w:p>
    <w:p>
      <w:pPr>
        <w:pStyle w:val="36"/>
        <w:numPr>
          <w:ilvl w:val="0"/>
          <w:numId w:val="3"/>
        </w:numPr>
        <w:adjustRightInd w:val="0"/>
        <w:snapToGrid w:val="0"/>
        <w:spacing w:line="360" w:lineRule="auto"/>
        <w:outlineLvl w:val="1"/>
        <w:rPr>
          <w:ins w:id="87" w:author="胡智行" w:date="2021-09-23T18:56:00Z"/>
          <w:b/>
          <w:sz w:val="24"/>
        </w:rPr>
      </w:pPr>
      <w:ins w:id="88" w:author="胡智行" w:date="2021-09-23T18:56:00Z">
        <w:r>
          <w:rPr>
            <w:rFonts w:hint="eastAsia"/>
            <w:b/>
            <w:sz w:val="24"/>
          </w:rPr>
          <w:t>项目范围</w:t>
        </w:r>
      </w:ins>
    </w:p>
    <w:p>
      <w:pPr>
        <w:pStyle w:val="16"/>
        <w:adjustRightInd w:val="0"/>
        <w:snapToGrid w:val="0"/>
        <w:spacing w:line="360" w:lineRule="auto"/>
        <w:ind w:firstLine="420" w:firstLineChars="200"/>
        <w:rPr>
          <w:ins w:id="89" w:author="胡智行" w:date="2021-09-23T18:56:00Z"/>
          <w:sz w:val="21"/>
          <w:szCs w:val="21"/>
        </w:rPr>
      </w:pPr>
      <w:ins w:id="90" w:author="胡智行" w:date="2021-09-23T18:56:00Z">
        <w:r>
          <w:rPr>
            <w:rFonts w:hint="eastAsia"/>
            <w:sz w:val="21"/>
            <w:szCs w:val="21"/>
          </w:rPr>
          <w:t>规划范围分为两个层次，</w:t>
        </w:r>
      </w:ins>
    </w:p>
    <w:p>
      <w:pPr>
        <w:pStyle w:val="16"/>
        <w:adjustRightInd w:val="0"/>
        <w:snapToGrid w:val="0"/>
        <w:spacing w:line="360" w:lineRule="auto"/>
        <w:ind w:firstLine="420" w:firstLineChars="200"/>
        <w:rPr>
          <w:ins w:id="91" w:author="胡智行" w:date="2021-09-23T18:56:00Z"/>
          <w:sz w:val="21"/>
          <w:szCs w:val="21"/>
        </w:rPr>
      </w:pPr>
      <w:ins w:id="92" w:author="胡智行" w:date="2021-09-23T18:56:00Z">
        <w:r>
          <w:rPr>
            <w:rFonts w:hint="eastAsia"/>
            <w:sz w:val="21"/>
            <w:szCs w:val="21"/>
          </w:rPr>
          <w:t>1、全域</w:t>
        </w:r>
      </w:ins>
    </w:p>
    <w:p>
      <w:pPr>
        <w:pStyle w:val="16"/>
        <w:adjustRightInd w:val="0"/>
        <w:snapToGrid w:val="0"/>
        <w:spacing w:line="360" w:lineRule="auto"/>
        <w:ind w:firstLine="420" w:firstLineChars="200"/>
        <w:rPr>
          <w:ins w:id="93" w:author="胡智行" w:date="2021-09-23T18:56:00Z"/>
          <w:sz w:val="21"/>
          <w:szCs w:val="21"/>
        </w:rPr>
      </w:pPr>
      <w:ins w:id="94" w:author="胡智行" w:date="2021-09-23T18:56:00Z">
        <w:r>
          <w:rPr>
            <w:rFonts w:hint="eastAsia"/>
            <w:sz w:val="21"/>
            <w:szCs w:val="21"/>
          </w:rPr>
          <w:t>包含那拉提镇域，那拉提风景名胜区范围。规划面积约2</w:t>
        </w:r>
      </w:ins>
      <w:ins w:id="95" w:author="胡智行" w:date="2021-09-23T18:56:00Z">
        <w:r>
          <w:rPr>
            <w:sz w:val="21"/>
            <w:szCs w:val="21"/>
          </w:rPr>
          <w:t>200</w:t>
        </w:r>
      </w:ins>
      <w:ins w:id="96" w:author="胡智行" w:date="2021-09-23T18:56:00Z">
        <w:r>
          <w:rPr>
            <w:rFonts w:hint="eastAsia"/>
            <w:sz w:val="21"/>
            <w:szCs w:val="21"/>
          </w:rPr>
          <w:t>平方公里。</w:t>
        </w:r>
      </w:ins>
    </w:p>
    <w:p>
      <w:pPr>
        <w:pStyle w:val="16"/>
        <w:adjustRightInd w:val="0"/>
        <w:snapToGrid w:val="0"/>
        <w:spacing w:line="360" w:lineRule="auto"/>
        <w:ind w:firstLine="420" w:firstLineChars="200"/>
        <w:rPr>
          <w:ins w:id="97" w:author="胡智行" w:date="2021-09-23T18:56:00Z"/>
          <w:sz w:val="21"/>
          <w:szCs w:val="21"/>
        </w:rPr>
      </w:pPr>
      <w:ins w:id="98" w:author="胡智行" w:date="2021-09-23T18:56:00Z">
        <w:r>
          <w:rPr>
            <w:rFonts w:hint="eastAsia"/>
            <w:sz w:val="21"/>
            <w:szCs w:val="21"/>
          </w:rPr>
          <w:t>2、镇区</w:t>
        </w:r>
      </w:ins>
    </w:p>
    <w:p>
      <w:pPr>
        <w:pStyle w:val="16"/>
        <w:adjustRightInd w:val="0"/>
        <w:snapToGrid w:val="0"/>
        <w:spacing w:line="360" w:lineRule="auto"/>
        <w:ind w:firstLine="420" w:firstLineChars="200"/>
        <w:rPr>
          <w:ins w:id="99" w:author="胡智行" w:date="2021-09-23T18:56:00Z"/>
          <w:sz w:val="21"/>
          <w:szCs w:val="21"/>
        </w:rPr>
      </w:pPr>
      <w:ins w:id="100" w:author="胡智行" w:date="2021-09-23T18:56:00Z">
        <w:r>
          <w:rPr>
            <w:rFonts w:hint="eastAsia"/>
            <w:sz w:val="21"/>
            <w:szCs w:val="21"/>
          </w:rPr>
          <w:t>规划面积及范围根据开发边界划定后综合研究确定。</w:t>
        </w:r>
      </w:ins>
    </w:p>
    <w:p>
      <w:pPr>
        <w:pStyle w:val="16"/>
        <w:adjustRightInd w:val="0"/>
        <w:snapToGrid w:val="0"/>
        <w:spacing w:line="360" w:lineRule="auto"/>
        <w:ind w:firstLine="420" w:firstLineChars="200"/>
        <w:rPr>
          <w:ins w:id="101" w:author="胡智行" w:date="2021-09-23T18:56:00Z"/>
          <w:sz w:val="21"/>
          <w:szCs w:val="21"/>
        </w:rPr>
      </w:pPr>
    </w:p>
    <w:p>
      <w:pPr>
        <w:pStyle w:val="36"/>
        <w:numPr>
          <w:ilvl w:val="0"/>
          <w:numId w:val="3"/>
        </w:numPr>
        <w:adjustRightInd w:val="0"/>
        <w:snapToGrid w:val="0"/>
        <w:spacing w:line="360" w:lineRule="auto"/>
        <w:outlineLvl w:val="1"/>
        <w:rPr>
          <w:ins w:id="102" w:author="胡智行" w:date="2021-09-23T18:56:00Z"/>
          <w:b/>
          <w:sz w:val="24"/>
        </w:rPr>
      </w:pPr>
      <w:ins w:id="103" w:author="胡智行" w:date="2021-09-23T18:56:00Z">
        <w:r>
          <w:rPr>
            <w:rFonts w:hint="eastAsia"/>
            <w:b/>
            <w:sz w:val="24"/>
          </w:rPr>
          <w:t>主要任务</w:t>
        </w:r>
      </w:ins>
    </w:p>
    <w:p>
      <w:pPr>
        <w:pStyle w:val="16"/>
        <w:adjustRightInd w:val="0"/>
        <w:snapToGrid w:val="0"/>
        <w:spacing w:line="360" w:lineRule="auto"/>
        <w:ind w:firstLine="420" w:firstLineChars="200"/>
        <w:rPr>
          <w:ins w:id="104" w:author="胡智行" w:date="2021-09-23T18:56:00Z"/>
          <w:sz w:val="21"/>
          <w:szCs w:val="21"/>
        </w:rPr>
      </w:pPr>
      <w:ins w:id="105" w:author="胡智行" w:date="2021-09-23T18:56:00Z">
        <w:r>
          <w:rPr>
            <w:rFonts w:hint="eastAsia"/>
            <w:sz w:val="21"/>
            <w:szCs w:val="21"/>
          </w:rPr>
          <w:t>根据国家有关政策的明确要求，确定本次那拉提景镇国土空间规划主要任务。主要任务内容包括：</w:t>
        </w:r>
      </w:ins>
    </w:p>
    <w:p>
      <w:pPr>
        <w:pStyle w:val="16"/>
        <w:adjustRightInd w:val="0"/>
        <w:snapToGrid w:val="0"/>
        <w:spacing w:line="360" w:lineRule="auto"/>
        <w:ind w:firstLine="420" w:firstLineChars="200"/>
        <w:rPr>
          <w:ins w:id="106" w:author="胡智行" w:date="2021-09-23T18:56:00Z"/>
          <w:sz w:val="21"/>
          <w:szCs w:val="21"/>
        </w:rPr>
      </w:pPr>
      <w:ins w:id="107" w:author="胡智行" w:date="2021-09-23T18:56:00Z">
        <w:r>
          <w:rPr>
            <w:rFonts w:hint="eastAsia"/>
            <w:sz w:val="21"/>
            <w:szCs w:val="21"/>
          </w:rPr>
          <w:t>（1）现状基础分析和评价，综合研判那拉提在旅游服务、经济社会、国土空间保护开发、生态修复与国土整治等方面的机遇挑战；</w:t>
        </w:r>
      </w:ins>
    </w:p>
    <w:p>
      <w:pPr>
        <w:pStyle w:val="16"/>
        <w:adjustRightInd w:val="0"/>
        <w:snapToGrid w:val="0"/>
        <w:spacing w:line="360" w:lineRule="auto"/>
        <w:ind w:firstLine="420" w:firstLineChars="200"/>
        <w:rPr>
          <w:ins w:id="108" w:author="胡智行" w:date="2021-09-23T18:56:00Z"/>
          <w:sz w:val="21"/>
          <w:szCs w:val="21"/>
        </w:rPr>
      </w:pPr>
      <w:ins w:id="109" w:author="胡智行" w:date="2021-09-23T18:56:00Z">
        <w:r>
          <w:rPr>
            <w:rFonts w:hint="eastAsia"/>
            <w:sz w:val="21"/>
            <w:szCs w:val="21"/>
          </w:rPr>
          <w:t>（</w:t>
        </w:r>
      </w:ins>
      <w:ins w:id="110" w:author="胡智行" w:date="2021-09-23T18:56:00Z">
        <w:r>
          <w:rPr>
            <w:sz w:val="21"/>
            <w:szCs w:val="21"/>
          </w:rPr>
          <w:t>2</w:t>
        </w:r>
      </w:ins>
      <w:ins w:id="111" w:author="胡智行" w:date="2021-09-23T18:56:00Z">
        <w:r>
          <w:rPr>
            <w:rFonts w:hint="eastAsia"/>
            <w:sz w:val="21"/>
            <w:szCs w:val="21"/>
          </w:rPr>
          <w:t>）明确战略目标定位和控制指标体系，提出那拉提景镇全域空间发展战略；</w:t>
        </w:r>
      </w:ins>
    </w:p>
    <w:p>
      <w:pPr>
        <w:pStyle w:val="16"/>
        <w:adjustRightInd w:val="0"/>
        <w:snapToGrid w:val="0"/>
        <w:spacing w:line="360" w:lineRule="auto"/>
        <w:ind w:firstLine="420" w:firstLineChars="200"/>
        <w:rPr>
          <w:ins w:id="112" w:author="胡智行" w:date="2021-09-23T18:56:00Z"/>
          <w:sz w:val="21"/>
          <w:szCs w:val="21"/>
        </w:rPr>
      </w:pPr>
      <w:ins w:id="113" w:author="胡智行" w:date="2021-09-23T18:56:00Z">
        <w:r>
          <w:rPr>
            <w:rFonts w:hint="eastAsia"/>
            <w:sz w:val="21"/>
            <w:szCs w:val="21"/>
          </w:rPr>
          <w:t>（</w:t>
        </w:r>
      </w:ins>
      <w:ins w:id="114" w:author="胡智行" w:date="2021-09-23T18:56:00Z">
        <w:r>
          <w:rPr>
            <w:sz w:val="21"/>
            <w:szCs w:val="21"/>
          </w:rPr>
          <w:t>3</w:t>
        </w:r>
      </w:ins>
      <w:ins w:id="115" w:author="胡智行" w:date="2021-09-23T18:56:00Z">
        <w:r>
          <w:rPr>
            <w:rFonts w:hint="eastAsia"/>
            <w:sz w:val="21"/>
            <w:szCs w:val="21"/>
          </w:rPr>
          <w:t>）落实三区三线及用途管制，结合州级县级管控要求，落实“双评价”，落实三条控制线及国土空间规划分区，提出分区分级分类的管制要求和具体措施；</w:t>
        </w:r>
      </w:ins>
    </w:p>
    <w:p>
      <w:pPr>
        <w:pStyle w:val="16"/>
        <w:adjustRightInd w:val="0"/>
        <w:snapToGrid w:val="0"/>
        <w:spacing w:line="360" w:lineRule="auto"/>
        <w:ind w:firstLine="420" w:firstLineChars="200"/>
        <w:rPr>
          <w:ins w:id="116" w:author="胡智行" w:date="2021-09-23T18:56:00Z"/>
          <w:sz w:val="21"/>
          <w:szCs w:val="21"/>
        </w:rPr>
      </w:pPr>
      <w:ins w:id="117" w:author="胡智行" w:date="2021-09-23T18:56:00Z">
        <w:r>
          <w:rPr>
            <w:rFonts w:hint="eastAsia"/>
            <w:sz w:val="21"/>
            <w:szCs w:val="21"/>
          </w:rPr>
          <w:t>（</w:t>
        </w:r>
      </w:ins>
      <w:ins w:id="118" w:author="胡智行" w:date="2021-09-23T18:56:00Z">
        <w:r>
          <w:rPr>
            <w:sz w:val="21"/>
            <w:szCs w:val="21"/>
          </w:rPr>
          <w:t>4</w:t>
        </w:r>
      </w:ins>
      <w:ins w:id="119" w:author="胡智行" w:date="2021-09-23T18:56:00Z">
        <w:r>
          <w:rPr>
            <w:rFonts w:hint="eastAsia"/>
            <w:sz w:val="21"/>
            <w:szCs w:val="21"/>
          </w:rPr>
          <w:t>）优化国土空间开发保护格局，落实功能空间布局，构建区域协调格局、城乡空间结构、产业发展布局、生态修复格局、乡村振兴格局等重大格局；</w:t>
        </w:r>
      </w:ins>
    </w:p>
    <w:p>
      <w:pPr>
        <w:pStyle w:val="16"/>
        <w:adjustRightInd w:val="0"/>
        <w:snapToGrid w:val="0"/>
        <w:spacing w:line="360" w:lineRule="auto"/>
        <w:ind w:firstLine="420" w:firstLineChars="200"/>
        <w:rPr>
          <w:ins w:id="120" w:author="胡智行" w:date="2021-09-23T18:56:00Z"/>
          <w:sz w:val="21"/>
          <w:szCs w:val="21"/>
        </w:rPr>
      </w:pPr>
      <w:ins w:id="121" w:author="胡智行" w:date="2021-09-23T18:56:00Z">
        <w:r>
          <w:rPr>
            <w:rFonts w:hint="eastAsia"/>
            <w:sz w:val="21"/>
            <w:szCs w:val="21"/>
          </w:rPr>
          <w:t>（</w:t>
        </w:r>
      </w:ins>
      <w:ins w:id="122" w:author="胡智行" w:date="2021-09-23T18:56:00Z">
        <w:r>
          <w:rPr>
            <w:sz w:val="21"/>
            <w:szCs w:val="21"/>
          </w:rPr>
          <w:t>5</w:t>
        </w:r>
      </w:ins>
      <w:ins w:id="123" w:author="胡智行" w:date="2021-09-23T18:56:00Z">
        <w:r>
          <w:rPr>
            <w:rFonts w:hint="eastAsia"/>
            <w:sz w:val="21"/>
            <w:szCs w:val="21"/>
          </w:rPr>
          <w:t>）强化自然资源保护与利用，深化细化各类自然资源要素管控边界、保护范围，提出管控措施；</w:t>
        </w:r>
      </w:ins>
    </w:p>
    <w:p>
      <w:pPr>
        <w:pStyle w:val="16"/>
        <w:adjustRightInd w:val="0"/>
        <w:snapToGrid w:val="0"/>
        <w:spacing w:line="360" w:lineRule="auto"/>
        <w:ind w:firstLine="420" w:firstLineChars="200"/>
        <w:rPr>
          <w:ins w:id="124" w:author="胡智行" w:date="2021-09-23T18:56:00Z"/>
          <w:sz w:val="21"/>
          <w:szCs w:val="21"/>
        </w:rPr>
      </w:pPr>
      <w:ins w:id="125" w:author="胡智行" w:date="2021-09-23T18:56:00Z">
        <w:r>
          <w:rPr>
            <w:rFonts w:hint="eastAsia"/>
            <w:sz w:val="21"/>
            <w:szCs w:val="21"/>
          </w:rPr>
          <w:t>（6）推进全域土地整治，推动乡村空间布局、产业结构、村庄形态的转型升级，促进乡村土地资源空间科学合理布局、节约集约与有序开发利用；</w:t>
        </w:r>
      </w:ins>
    </w:p>
    <w:p>
      <w:pPr>
        <w:pStyle w:val="16"/>
        <w:adjustRightInd w:val="0"/>
        <w:snapToGrid w:val="0"/>
        <w:spacing w:line="360" w:lineRule="auto"/>
        <w:ind w:firstLine="420" w:firstLineChars="200"/>
        <w:rPr>
          <w:ins w:id="126" w:author="胡智行" w:date="2021-09-23T18:56:00Z"/>
          <w:sz w:val="21"/>
          <w:szCs w:val="21"/>
        </w:rPr>
      </w:pPr>
      <w:ins w:id="127" w:author="胡智行" w:date="2021-09-23T18:56:00Z">
        <w:r>
          <w:rPr>
            <w:rFonts w:hint="eastAsia"/>
            <w:sz w:val="21"/>
            <w:szCs w:val="21"/>
          </w:rPr>
          <w:t>（7）完善支撑体系建设，确定全域重大基础设施、公共服务设施、综合防灾减灾设施布局，在镇区层面细化用地布局、加强镇区空间品质建设，高质量建设配套设施服务景区；</w:t>
        </w:r>
      </w:ins>
    </w:p>
    <w:p>
      <w:pPr>
        <w:pStyle w:val="16"/>
        <w:adjustRightInd w:val="0"/>
        <w:snapToGrid w:val="0"/>
        <w:spacing w:line="360" w:lineRule="auto"/>
        <w:ind w:firstLine="420" w:firstLineChars="200"/>
        <w:rPr>
          <w:ins w:id="128" w:author="胡智行" w:date="2021-09-23T18:56:00Z"/>
          <w:sz w:val="21"/>
          <w:szCs w:val="21"/>
        </w:rPr>
      </w:pPr>
      <w:ins w:id="129" w:author="胡智行" w:date="2021-09-23T18:56:00Z">
        <w:r>
          <w:rPr>
            <w:rFonts w:hint="eastAsia"/>
            <w:sz w:val="21"/>
            <w:szCs w:val="21"/>
          </w:rPr>
          <w:t>（8）强化规划传导机制，落实规划“一张图”建设，加强规划的落地性，向上承接上位规划、向下指引村庄规划、详细规划；</w:t>
        </w:r>
      </w:ins>
    </w:p>
    <w:p>
      <w:pPr>
        <w:pStyle w:val="16"/>
        <w:adjustRightInd w:val="0"/>
        <w:snapToGrid w:val="0"/>
        <w:spacing w:line="360" w:lineRule="auto"/>
        <w:ind w:firstLine="420" w:firstLineChars="200"/>
        <w:rPr>
          <w:ins w:id="130" w:author="胡智行" w:date="2021-09-23T18:56:00Z"/>
          <w:sz w:val="21"/>
          <w:szCs w:val="21"/>
        </w:rPr>
      </w:pPr>
      <w:ins w:id="131" w:author="胡智行" w:date="2021-09-23T18:56:00Z">
        <w:r>
          <w:rPr>
            <w:rFonts w:hint="eastAsia"/>
            <w:sz w:val="21"/>
            <w:szCs w:val="21"/>
          </w:rPr>
          <w:t>（9）</w:t>
        </w:r>
      </w:ins>
      <w:ins w:id="132" w:author="胡智行" w:date="2021-09-23T18:56:00Z">
        <w:r>
          <w:rPr>
            <w:sz w:val="21"/>
            <w:szCs w:val="21"/>
          </w:rPr>
          <w:t>提出体制机制创新方案、配套政策体系和重大行动计划。</w:t>
        </w:r>
      </w:ins>
    </w:p>
    <w:p>
      <w:pPr>
        <w:pStyle w:val="16"/>
        <w:adjustRightInd w:val="0"/>
        <w:snapToGrid w:val="0"/>
        <w:spacing w:line="360" w:lineRule="auto"/>
        <w:ind w:firstLine="420" w:firstLineChars="200"/>
        <w:rPr>
          <w:ins w:id="133" w:author="胡智行" w:date="2021-09-23T18:56:00Z"/>
          <w:sz w:val="21"/>
          <w:szCs w:val="21"/>
        </w:rPr>
      </w:pPr>
    </w:p>
    <w:p>
      <w:pPr>
        <w:pStyle w:val="36"/>
        <w:numPr>
          <w:ilvl w:val="0"/>
          <w:numId w:val="3"/>
        </w:numPr>
        <w:adjustRightInd w:val="0"/>
        <w:snapToGrid w:val="0"/>
        <w:spacing w:line="360" w:lineRule="auto"/>
        <w:outlineLvl w:val="1"/>
        <w:rPr>
          <w:ins w:id="134" w:author="胡智行" w:date="2021-09-23T18:56:00Z"/>
          <w:b/>
          <w:sz w:val="24"/>
        </w:rPr>
      </w:pPr>
      <w:ins w:id="135" w:author="胡智行" w:date="2021-09-23T18:56:00Z">
        <w:r>
          <w:rPr>
            <w:rFonts w:hint="eastAsia"/>
            <w:b/>
            <w:sz w:val="24"/>
          </w:rPr>
          <w:t>编制原则</w:t>
        </w:r>
      </w:ins>
    </w:p>
    <w:p>
      <w:pPr>
        <w:pStyle w:val="36"/>
        <w:numPr>
          <w:ilvl w:val="0"/>
          <w:numId w:val="5"/>
        </w:numPr>
        <w:adjustRightInd w:val="0"/>
        <w:snapToGrid w:val="0"/>
        <w:spacing w:line="360" w:lineRule="auto"/>
        <w:outlineLvl w:val="2"/>
        <w:rPr>
          <w:ins w:id="136" w:author="胡智行" w:date="2021-09-23T18:56:00Z"/>
          <w:b/>
          <w:szCs w:val="21"/>
        </w:rPr>
      </w:pPr>
      <w:ins w:id="137" w:author="胡智行" w:date="2021-09-23T18:56:00Z">
        <w:r>
          <w:rPr>
            <w:rFonts w:hint="eastAsia"/>
            <w:b/>
            <w:szCs w:val="21"/>
          </w:rPr>
          <w:t xml:space="preserve"> 坚持生态优先，全面促进人与自然和谐共生</w:t>
        </w:r>
      </w:ins>
    </w:p>
    <w:p>
      <w:pPr>
        <w:pStyle w:val="16"/>
        <w:adjustRightInd w:val="0"/>
        <w:snapToGrid w:val="0"/>
        <w:spacing w:line="360" w:lineRule="auto"/>
        <w:ind w:firstLine="420" w:firstLineChars="200"/>
        <w:rPr>
          <w:ins w:id="138" w:author="胡智行" w:date="2021-09-23T18:56:00Z"/>
          <w:sz w:val="21"/>
          <w:szCs w:val="21"/>
        </w:rPr>
      </w:pPr>
      <w:ins w:id="139" w:author="胡智行" w:date="2021-09-23T18:56:00Z">
        <w:r>
          <w:rPr>
            <w:rFonts w:hint="eastAsia"/>
            <w:sz w:val="21"/>
            <w:szCs w:val="21"/>
          </w:rPr>
          <w:t>在规划思想上和价值导向上必须落实“人与自然和谐共生”、“绿水青山就是金山银山”、“山水林田湖草是生命共同体”等生态文明要求和方针，优先保护那拉提大美生态资源本底，在严格的生态保护制度下进行低冲击旅游资源开发。</w:t>
        </w:r>
      </w:ins>
    </w:p>
    <w:p>
      <w:pPr>
        <w:pStyle w:val="36"/>
        <w:numPr>
          <w:ilvl w:val="0"/>
          <w:numId w:val="5"/>
        </w:numPr>
        <w:adjustRightInd w:val="0"/>
        <w:snapToGrid w:val="0"/>
        <w:spacing w:line="360" w:lineRule="auto"/>
        <w:outlineLvl w:val="2"/>
        <w:rPr>
          <w:ins w:id="140" w:author="胡智行" w:date="2021-09-23T18:56:00Z"/>
          <w:b/>
          <w:szCs w:val="21"/>
        </w:rPr>
      </w:pPr>
      <w:ins w:id="141" w:author="胡智行" w:date="2021-09-23T18:56:00Z">
        <w:r>
          <w:rPr>
            <w:rFonts w:hint="eastAsia"/>
            <w:b/>
            <w:szCs w:val="21"/>
          </w:rPr>
          <w:t xml:space="preserve"> 坚持全域覆盖，统一管制所有国土空间用途</w:t>
        </w:r>
      </w:ins>
    </w:p>
    <w:p>
      <w:pPr>
        <w:pStyle w:val="16"/>
        <w:adjustRightInd w:val="0"/>
        <w:snapToGrid w:val="0"/>
        <w:spacing w:line="360" w:lineRule="auto"/>
        <w:ind w:firstLine="420" w:firstLineChars="200"/>
        <w:rPr>
          <w:ins w:id="142" w:author="胡智行" w:date="2021-09-23T18:56:00Z"/>
          <w:sz w:val="21"/>
          <w:szCs w:val="21"/>
        </w:rPr>
      </w:pPr>
      <w:ins w:id="143" w:author="胡智行" w:date="2021-09-23T18:56:00Z">
        <w:r>
          <w:rPr>
            <w:rFonts w:hint="eastAsia"/>
            <w:sz w:val="21"/>
            <w:szCs w:val="21"/>
          </w:rPr>
          <w:t>系统全面摸清并分析那拉提国土空间本底条件，依据上位资源环境承载能力评价和国土空间开发适宜性评价等，结合划定城镇、农业、生态空间及生态保护红线、永久基本农田保护红线、城镇开发边界，并以此为载体统筹协调各类空间管控措施，整合形成那拉提“多规合一”的空间规划。</w:t>
        </w:r>
      </w:ins>
    </w:p>
    <w:p>
      <w:pPr>
        <w:pStyle w:val="36"/>
        <w:numPr>
          <w:ilvl w:val="0"/>
          <w:numId w:val="5"/>
        </w:numPr>
        <w:adjustRightInd w:val="0"/>
        <w:snapToGrid w:val="0"/>
        <w:spacing w:line="360" w:lineRule="auto"/>
        <w:outlineLvl w:val="2"/>
        <w:rPr>
          <w:ins w:id="144" w:author="胡智行" w:date="2021-09-23T18:56:00Z"/>
          <w:b/>
          <w:szCs w:val="21"/>
        </w:rPr>
      </w:pPr>
      <w:ins w:id="145" w:author="胡智行" w:date="2021-09-23T18:56:00Z">
        <w:r>
          <w:rPr>
            <w:rFonts w:hint="eastAsia"/>
            <w:b/>
            <w:szCs w:val="21"/>
          </w:rPr>
          <w:t xml:space="preserve"> 坚持因地制宜，分类分级引导空间有序开发</w:t>
        </w:r>
      </w:ins>
    </w:p>
    <w:p>
      <w:pPr>
        <w:pStyle w:val="16"/>
        <w:adjustRightInd w:val="0"/>
        <w:snapToGrid w:val="0"/>
        <w:spacing w:line="360" w:lineRule="auto"/>
        <w:ind w:firstLine="420" w:firstLineChars="200"/>
        <w:rPr>
          <w:ins w:id="146" w:author="胡智行" w:date="2021-09-23T18:56:00Z"/>
          <w:sz w:val="21"/>
          <w:szCs w:val="21"/>
        </w:rPr>
      </w:pPr>
      <w:ins w:id="147" w:author="胡智行" w:date="2021-09-23T18:56:00Z">
        <w:r>
          <w:rPr>
            <w:rFonts w:hint="eastAsia"/>
            <w:sz w:val="21"/>
            <w:szCs w:val="21"/>
          </w:rPr>
          <w:t>结合那拉提地方发展实际开展各项工作，突出自然人文地方特色，根据国土空间本底条件评价结果，科学设计不同类型空间开发与保护的目标、任务、开发建设指引与管控措施，制定完善管制规则，引导国土空间适度有序开发。</w:t>
        </w:r>
      </w:ins>
    </w:p>
    <w:p>
      <w:pPr>
        <w:pStyle w:val="36"/>
        <w:numPr>
          <w:ilvl w:val="0"/>
          <w:numId w:val="5"/>
        </w:numPr>
        <w:adjustRightInd w:val="0"/>
        <w:snapToGrid w:val="0"/>
        <w:spacing w:line="360" w:lineRule="auto"/>
        <w:outlineLvl w:val="2"/>
        <w:rPr>
          <w:ins w:id="148" w:author="胡智行" w:date="2021-09-23T18:56:00Z"/>
          <w:b/>
          <w:szCs w:val="21"/>
        </w:rPr>
      </w:pPr>
      <w:ins w:id="149" w:author="胡智行" w:date="2021-09-23T18:56:00Z">
        <w:r>
          <w:rPr>
            <w:rFonts w:hint="eastAsia"/>
            <w:b/>
            <w:szCs w:val="21"/>
          </w:rPr>
          <w:t xml:space="preserve"> 坚持共谋共治，科学合理配置各类城乡要素资源</w:t>
        </w:r>
      </w:ins>
    </w:p>
    <w:p>
      <w:pPr>
        <w:pStyle w:val="16"/>
        <w:adjustRightInd w:val="0"/>
        <w:snapToGrid w:val="0"/>
        <w:spacing w:line="360" w:lineRule="auto"/>
        <w:ind w:firstLine="420" w:firstLineChars="200"/>
        <w:rPr>
          <w:ins w:id="150" w:author="胡智行" w:date="2021-09-23T18:56:00Z"/>
          <w:sz w:val="21"/>
          <w:szCs w:val="21"/>
        </w:rPr>
      </w:pPr>
      <w:ins w:id="151" w:author="胡智行" w:date="2021-09-23T18:56:00Z">
        <w:r>
          <w:rPr>
            <w:rFonts w:hint="eastAsia"/>
            <w:sz w:val="21"/>
            <w:szCs w:val="21"/>
          </w:rPr>
          <w:t>同时运用好政府与市场，协调各类空间需求的利益关系，充分发挥市场在空间资源配置的决定性作用。坚持自上而下与自下而上双向统筹，要扩大和创新公众参与方式方法，统筹高效配置各类要素资源，促进经济增长、社会和谐、生态优美。</w:t>
        </w:r>
      </w:ins>
    </w:p>
    <w:p>
      <w:pPr>
        <w:pStyle w:val="16"/>
        <w:adjustRightInd w:val="0"/>
        <w:snapToGrid w:val="0"/>
        <w:spacing w:line="360" w:lineRule="auto"/>
        <w:rPr>
          <w:ins w:id="152" w:author="胡智行" w:date="2021-09-23T18:56:00Z"/>
        </w:rPr>
      </w:pPr>
    </w:p>
    <w:p>
      <w:pPr>
        <w:pStyle w:val="2"/>
        <w:ind w:left="0" w:leftChars="0" w:firstLine="480"/>
        <w:rPr>
          <w:ins w:id="153" w:author="胡智行" w:date="2021-09-23T18:56:00Z"/>
        </w:rPr>
      </w:pPr>
    </w:p>
    <w:p>
      <w:pPr>
        <w:pStyle w:val="36"/>
        <w:numPr>
          <w:ilvl w:val="0"/>
          <w:numId w:val="3"/>
        </w:numPr>
        <w:adjustRightInd w:val="0"/>
        <w:snapToGrid w:val="0"/>
        <w:spacing w:line="360" w:lineRule="auto"/>
        <w:outlineLvl w:val="1"/>
        <w:rPr>
          <w:ins w:id="154" w:author="胡智行" w:date="2021-09-23T18:56:00Z"/>
          <w:b/>
          <w:sz w:val="24"/>
        </w:rPr>
      </w:pPr>
      <w:ins w:id="155" w:author="胡智行" w:date="2021-09-23T18:56:00Z">
        <w:r>
          <w:rPr>
            <w:rFonts w:hint="eastAsia"/>
            <w:b/>
            <w:sz w:val="24"/>
          </w:rPr>
          <w:t>成果要求</w:t>
        </w:r>
      </w:ins>
    </w:p>
    <w:p>
      <w:pPr>
        <w:pStyle w:val="16"/>
        <w:adjustRightInd w:val="0"/>
        <w:snapToGrid w:val="0"/>
        <w:spacing w:line="360" w:lineRule="auto"/>
        <w:ind w:firstLine="420" w:firstLineChars="200"/>
        <w:rPr>
          <w:ins w:id="156" w:author="胡智行" w:date="2021-09-23T18:56:00Z"/>
          <w:sz w:val="21"/>
          <w:szCs w:val="21"/>
        </w:rPr>
      </w:pPr>
      <w:ins w:id="157" w:author="胡智行" w:date="2021-09-23T18:56:00Z">
        <w:r>
          <w:rPr>
            <w:rFonts w:hint="eastAsia"/>
            <w:sz w:val="21"/>
            <w:szCs w:val="21"/>
          </w:rPr>
          <w:t>那拉提镇国土空间规划成果包含规划文本、图件、数据库及附件，涉及的文、图、表、数应相辅相成，衔接一致。</w:t>
        </w:r>
      </w:ins>
    </w:p>
    <w:p>
      <w:pPr>
        <w:pStyle w:val="36"/>
        <w:numPr>
          <w:ilvl w:val="0"/>
          <w:numId w:val="6"/>
        </w:numPr>
        <w:adjustRightInd w:val="0"/>
        <w:snapToGrid w:val="0"/>
        <w:spacing w:line="360" w:lineRule="auto"/>
        <w:outlineLvl w:val="2"/>
        <w:rPr>
          <w:ins w:id="158" w:author="胡智行" w:date="2021-09-23T18:56:00Z"/>
          <w:b/>
          <w:szCs w:val="21"/>
        </w:rPr>
      </w:pPr>
      <w:ins w:id="159" w:author="胡智行" w:date="2021-09-23T18:56:00Z">
        <w:r>
          <w:rPr>
            <w:b/>
            <w:szCs w:val="21"/>
          </w:rPr>
          <w:t>规划文本</w:t>
        </w:r>
      </w:ins>
    </w:p>
    <w:p>
      <w:pPr>
        <w:pStyle w:val="16"/>
        <w:adjustRightInd w:val="0"/>
        <w:snapToGrid w:val="0"/>
        <w:spacing w:line="360" w:lineRule="auto"/>
        <w:ind w:firstLine="420" w:firstLineChars="200"/>
        <w:rPr>
          <w:ins w:id="160" w:author="胡智行" w:date="2021-09-23T18:56:00Z"/>
          <w:sz w:val="21"/>
          <w:szCs w:val="21"/>
        </w:rPr>
      </w:pPr>
      <w:ins w:id="161" w:author="胡智行" w:date="2021-09-23T18:56:00Z">
        <w:r>
          <w:rPr>
            <w:rFonts w:hint="eastAsia"/>
            <w:sz w:val="21"/>
            <w:szCs w:val="21"/>
          </w:rPr>
          <w:t>规划文本应当以条款格式表述规划结论，应明确表达规划强制性内容。包括文本条文、必要的表格。文本条文应法条化，表述准确规范，简明扼要，突出政策性、针对性和规定性。</w:t>
        </w:r>
      </w:ins>
    </w:p>
    <w:p>
      <w:pPr>
        <w:pStyle w:val="36"/>
        <w:numPr>
          <w:ilvl w:val="0"/>
          <w:numId w:val="6"/>
        </w:numPr>
        <w:adjustRightInd w:val="0"/>
        <w:snapToGrid w:val="0"/>
        <w:spacing w:line="360" w:lineRule="auto"/>
        <w:outlineLvl w:val="2"/>
        <w:rPr>
          <w:ins w:id="162" w:author="胡智行" w:date="2021-09-23T18:56:00Z"/>
          <w:b/>
          <w:szCs w:val="21"/>
        </w:rPr>
      </w:pPr>
      <w:ins w:id="163" w:author="胡智行" w:date="2021-09-23T18:56:00Z">
        <w:r>
          <w:rPr>
            <w:b/>
            <w:szCs w:val="21"/>
          </w:rPr>
          <w:t>规划图件</w:t>
        </w:r>
      </w:ins>
    </w:p>
    <w:p>
      <w:pPr>
        <w:pStyle w:val="16"/>
        <w:adjustRightInd w:val="0"/>
        <w:snapToGrid w:val="0"/>
        <w:spacing w:line="360" w:lineRule="auto"/>
        <w:ind w:firstLine="420" w:firstLineChars="200"/>
        <w:rPr>
          <w:ins w:id="164" w:author="胡智行" w:date="2021-09-23T18:56:00Z"/>
          <w:sz w:val="21"/>
          <w:szCs w:val="21"/>
        </w:rPr>
      </w:pPr>
      <w:ins w:id="165" w:author="胡智行" w:date="2021-09-23T18:56:00Z">
        <w:r>
          <w:rPr>
            <w:rFonts w:hint="eastAsia"/>
            <w:sz w:val="21"/>
            <w:szCs w:val="21"/>
          </w:rPr>
          <w:t>规划图件统一采用</w:t>
        </w:r>
      </w:ins>
      <w:ins w:id="166" w:author="胡智行" w:date="2021-09-23T18:56:00Z">
        <w:r>
          <w:rPr>
            <w:sz w:val="21"/>
            <w:szCs w:val="21"/>
          </w:rPr>
          <w:t>2000国家大地坐标系作为空间基准，以第三次全国国土调查成果作为现状基础数据。图件应符合相关制图规范要求，明确标示项目名称、图名、图号、比例尺、图例、绘制时间、规划编制单位名称等。</w:t>
        </w:r>
      </w:ins>
    </w:p>
    <w:p>
      <w:pPr>
        <w:pStyle w:val="36"/>
        <w:numPr>
          <w:ilvl w:val="0"/>
          <w:numId w:val="6"/>
        </w:numPr>
        <w:adjustRightInd w:val="0"/>
        <w:snapToGrid w:val="0"/>
        <w:spacing w:line="360" w:lineRule="auto"/>
        <w:outlineLvl w:val="2"/>
        <w:rPr>
          <w:ins w:id="167" w:author="胡智行" w:date="2021-09-23T18:56:00Z"/>
          <w:b/>
          <w:szCs w:val="21"/>
        </w:rPr>
      </w:pPr>
      <w:ins w:id="168" w:author="胡智行" w:date="2021-09-23T18:56:00Z">
        <w:r>
          <w:rPr>
            <w:b/>
            <w:szCs w:val="21"/>
          </w:rPr>
          <w:t>规划数据库</w:t>
        </w:r>
      </w:ins>
    </w:p>
    <w:p>
      <w:pPr>
        <w:pStyle w:val="16"/>
        <w:adjustRightInd w:val="0"/>
        <w:snapToGrid w:val="0"/>
        <w:spacing w:line="360" w:lineRule="auto"/>
        <w:ind w:firstLine="420" w:firstLineChars="200"/>
        <w:rPr>
          <w:ins w:id="169" w:author="胡智行" w:date="2021-09-23T18:56:00Z"/>
          <w:sz w:val="21"/>
          <w:szCs w:val="21"/>
        </w:rPr>
      </w:pPr>
      <w:ins w:id="170" w:author="胡智行" w:date="2021-09-23T18:56:00Z">
        <w:r>
          <w:rPr>
            <w:rFonts w:hint="eastAsia"/>
            <w:sz w:val="21"/>
            <w:szCs w:val="21"/>
          </w:rPr>
          <w:t>规划数据库包括基础空间数据和属性数据，按照统一的国土空间规划数据库标准与规划编制工作同步建设、同步报批，形成国土空间规划“一张图”。</w:t>
        </w:r>
      </w:ins>
    </w:p>
    <w:p>
      <w:pPr>
        <w:pStyle w:val="36"/>
        <w:numPr>
          <w:ilvl w:val="0"/>
          <w:numId w:val="6"/>
        </w:numPr>
        <w:adjustRightInd w:val="0"/>
        <w:snapToGrid w:val="0"/>
        <w:spacing w:line="360" w:lineRule="auto"/>
        <w:outlineLvl w:val="2"/>
        <w:rPr>
          <w:ins w:id="171" w:author="胡智行" w:date="2021-09-23T18:56:00Z"/>
          <w:b/>
          <w:szCs w:val="21"/>
        </w:rPr>
      </w:pPr>
      <w:ins w:id="172" w:author="胡智行" w:date="2021-09-23T18:56:00Z">
        <w:r>
          <w:rPr>
            <w:b/>
            <w:szCs w:val="21"/>
          </w:rPr>
          <w:t>附件</w:t>
        </w:r>
      </w:ins>
    </w:p>
    <w:p>
      <w:pPr>
        <w:pStyle w:val="16"/>
        <w:adjustRightInd w:val="0"/>
        <w:snapToGrid w:val="0"/>
        <w:spacing w:line="360" w:lineRule="auto"/>
        <w:ind w:firstLine="420" w:firstLineChars="200"/>
        <w:rPr>
          <w:ins w:id="173" w:author="胡智行" w:date="2021-09-23T18:56:00Z"/>
          <w:sz w:val="21"/>
          <w:szCs w:val="21"/>
        </w:rPr>
      </w:pPr>
      <w:ins w:id="174" w:author="胡智行" w:date="2021-09-23T18:56:00Z">
        <w:r>
          <w:rPr>
            <w:rFonts w:hint="eastAsia"/>
            <w:sz w:val="21"/>
            <w:szCs w:val="21"/>
          </w:rPr>
          <w:t>附件是对规划文本的补充解释，包括规划说明及相关图件。</w:t>
        </w:r>
      </w:ins>
    </w:p>
    <w:bookmarkEnd w:id="81"/>
    <w:bookmarkEnd w:id="82"/>
    <w:bookmarkEnd w:id="83"/>
    <w:p>
      <w:pPr>
        <w:pStyle w:val="6"/>
        <w:spacing w:before="87"/>
        <w:ind w:left="0"/>
        <w:jc w:val="center"/>
        <w:rPr>
          <w:rFonts w:ascii="宋体" w:hAnsi="宋体" w:eastAsia="宋体" w:cs="宋体"/>
          <w:sz w:val="30"/>
          <w:szCs w:val="30"/>
        </w:rPr>
      </w:pPr>
      <w:bookmarkStart w:id="85" w:name="_Toc24138"/>
      <w:bookmarkStart w:id="86" w:name="_Toc24984"/>
      <w:bookmarkStart w:id="87" w:name="_Toc1533"/>
    </w:p>
    <w:p>
      <w:pPr>
        <w:pStyle w:val="6"/>
        <w:spacing w:before="87"/>
        <w:ind w:left="0"/>
        <w:jc w:val="center"/>
        <w:rPr>
          <w:rFonts w:ascii="宋体" w:hAnsi="宋体" w:eastAsia="宋体" w:cs="宋体"/>
          <w:sz w:val="30"/>
          <w:szCs w:val="30"/>
        </w:rPr>
      </w:pPr>
    </w:p>
    <w:p>
      <w:pPr>
        <w:pStyle w:val="6"/>
        <w:spacing w:before="87"/>
        <w:ind w:left="0"/>
        <w:jc w:val="center"/>
        <w:rPr>
          <w:rFonts w:ascii="宋体" w:hAnsi="宋体" w:eastAsia="宋体" w:cs="宋体"/>
          <w:sz w:val="30"/>
          <w:szCs w:val="30"/>
        </w:rPr>
      </w:pPr>
    </w:p>
    <w:p>
      <w:pPr>
        <w:pStyle w:val="6"/>
        <w:spacing w:before="87"/>
        <w:ind w:left="0"/>
        <w:jc w:val="center"/>
        <w:rPr>
          <w:rFonts w:ascii="宋体" w:hAnsi="宋体" w:eastAsia="宋体" w:cs="宋体"/>
          <w:sz w:val="30"/>
          <w:szCs w:val="30"/>
        </w:rPr>
      </w:pPr>
    </w:p>
    <w:p>
      <w:pPr>
        <w:pStyle w:val="6"/>
        <w:spacing w:before="87"/>
        <w:ind w:left="0"/>
        <w:jc w:val="center"/>
        <w:rPr>
          <w:rFonts w:ascii="宋体" w:hAnsi="宋体" w:eastAsia="宋体" w:cs="宋体"/>
          <w:sz w:val="30"/>
          <w:szCs w:val="30"/>
        </w:rPr>
      </w:pPr>
      <w:bookmarkStart w:id="88" w:name="_Toc13800"/>
      <w:r>
        <w:rPr>
          <w:rFonts w:hint="eastAsia" w:ascii="宋体" w:hAnsi="宋体" w:eastAsia="宋体" w:cs="宋体"/>
          <w:sz w:val="30"/>
          <w:szCs w:val="30"/>
        </w:rPr>
        <w:t>第四部分 评审方法</w:t>
      </w:r>
      <w:bookmarkEnd w:id="85"/>
      <w:bookmarkEnd w:id="86"/>
      <w:bookmarkEnd w:id="87"/>
      <w:bookmarkEnd w:id="88"/>
    </w:p>
    <w:p>
      <w:pPr>
        <w:pStyle w:val="13"/>
        <w:spacing w:before="73" w:line="364" w:lineRule="auto"/>
        <w:ind w:right="1713"/>
      </w:pPr>
      <w:r>
        <w:rPr>
          <w:rFonts w:hint="eastAsia"/>
          <w:lang w:val="en-US"/>
        </w:rPr>
        <w:t>评</w:t>
      </w:r>
      <w:r>
        <w:t>分细则如下：</w:t>
      </w:r>
    </w:p>
    <w:tbl>
      <w:tblPr>
        <w:tblStyle w:val="28"/>
        <w:tblW w:w="10398" w:type="dxa"/>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5"/>
        <w:gridCol w:w="966"/>
        <w:gridCol w:w="1880"/>
        <w:gridCol w:w="4859"/>
        <w:gridCol w:w="1135"/>
        <w:gridCol w:w="11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71" w:type="dxa"/>
            <w:gridSpan w:val="2"/>
            <w:vMerge w:val="restart"/>
            <w:vAlign w:val="center"/>
          </w:tcPr>
          <w:p>
            <w:pPr>
              <w:pStyle w:val="37"/>
              <w:spacing w:before="76"/>
              <w:jc w:val="center"/>
              <w:rPr>
                <w:sz w:val="24"/>
              </w:rPr>
            </w:pPr>
            <w:r>
              <w:rPr>
                <w:rFonts w:hint="eastAsia"/>
                <w:sz w:val="24"/>
              </w:rPr>
              <w:t>评分因素</w:t>
            </w:r>
          </w:p>
        </w:tc>
        <w:tc>
          <w:tcPr>
            <w:tcW w:w="1880" w:type="dxa"/>
            <w:vMerge w:val="restart"/>
            <w:vAlign w:val="center"/>
          </w:tcPr>
          <w:p>
            <w:pPr>
              <w:pStyle w:val="37"/>
              <w:spacing w:before="76"/>
              <w:jc w:val="center"/>
              <w:rPr>
                <w:sz w:val="24"/>
              </w:rPr>
            </w:pPr>
            <w:r>
              <w:rPr>
                <w:rFonts w:hint="eastAsia"/>
                <w:sz w:val="24"/>
              </w:rPr>
              <w:t>评分点</w:t>
            </w:r>
          </w:p>
        </w:tc>
        <w:tc>
          <w:tcPr>
            <w:tcW w:w="4859" w:type="dxa"/>
            <w:vMerge w:val="restart"/>
            <w:vAlign w:val="center"/>
          </w:tcPr>
          <w:p>
            <w:pPr>
              <w:pStyle w:val="37"/>
              <w:spacing w:before="76"/>
              <w:jc w:val="center"/>
              <w:rPr>
                <w:sz w:val="24"/>
              </w:rPr>
            </w:pPr>
            <w:r>
              <w:rPr>
                <w:rFonts w:hint="eastAsia"/>
                <w:sz w:val="24"/>
              </w:rPr>
              <w:t>评分标准</w:t>
            </w:r>
          </w:p>
        </w:tc>
        <w:tc>
          <w:tcPr>
            <w:tcW w:w="2288" w:type="dxa"/>
            <w:gridSpan w:val="2"/>
          </w:tcPr>
          <w:p>
            <w:pPr>
              <w:pStyle w:val="37"/>
              <w:spacing w:before="76"/>
              <w:jc w:val="center"/>
              <w:rPr>
                <w:sz w:val="24"/>
              </w:rPr>
            </w:pPr>
            <w:r>
              <w:rPr>
                <w:rFonts w:hint="eastAsia"/>
                <w:sz w:val="24"/>
              </w:rPr>
              <w:t>评审意见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1371" w:type="dxa"/>
            <w:gridSpan w:val="2"/>
            <w:vMerge w:val="continue"/>
            <w:tcBorders>
              <w:top w:val="nil"/>
            </w:tcBorders>
          </w:tcPr>
          <w:p>
            <w:pPr>
              <w:rPr>
                <w:sz w:val="2"/>
                <w:szCs w:val="2"/>
              </w:rPr>
            </w:pPr>
          </w:p>
        </w:tc>
        <w:tc>
          <w:tcPr>
            <w:tcW w:w="1880" w:type="dxa"/>
            <w:vMerge w:val="continue"/>
            <w:tcBorders>
              <w:top w:val="nil"/>
            </w:tcBorders>
          </w:tcPr>
          <w:p>
            <w:pPr>
              <w:rPr>
                <w:sz w:val="2"/>
                <w:szCs w:val="2"/>
              </w:rPr>
            </w:pPr>
          </w:p>
        </w:tc>
        <w:tc>
          <w:tcPr>
            <w:tcW w:w="4859" w:type="dxa"/>
            <w:vMerge w:val="continue"/>
            <w:tcBorders>
              <w:top w:val="nil"/>
            </w:tcBorders>
          </w:tcPr>
          <w:p>
            <w:pPr>
              <w:rPr>
                <w:sz w:val="2"/>
                <w:szCs w:val="2"/>
              </w:rPr>
            </w:pPr>
          </w:p>
        </w:tc>
        <w:tc>
          <w:tcPr>
            <w:tcW w:w="1135" w:type="dxa"/>
          </w:tcPr>
          <w:p>
            <w:pPr>
              <w:pStyle w:val="37"/>
              <w:spacing w:before="1"/>
              <w:jc w:val="center"/>
              <w:rPr>
                <w:rFonts w:ascii="微软雅黑"/>
                <w:bCs/>
                <w:sz w:val="24"/>
                <w:szCs w:val="24"/>
                <w:lang w:val="en-US"/>
              </w:rPr>
            </w:pPr>
            <w:r>
              <w:rPr>
                <w:rFonts w:hint="eastAsia" w:ascii="微软雅黑"/>
                <w:bCs/>
                <w:sz w:val="24"/>
                <w:szCs w:val="24"/>
                <w:lang w:val="en-US"/>
              </w:rPr>
              <w:t>是</w:t>
            </w:r>
          </w:p>
        </w:tc>
        <w:tc>
          <w:tcPr>
            <w:tcW w:w="1153" w:type="dxa"/>
          </w:tcPr>
          <w:p>
            <w:pPr>
              <w:pStyle w:val="37"/>
              <w:spacing w:before="1"/>
              <w:jc w:val="center"/>
              <w:rPr>
                <w:rFonts w:ascii="微软雅黑"/>
                <w:bCs/>
                <w:sz w:val="24"/>
                <w:szCs w:val="24"/>
              </w:rPr>
            </w:pPr>
            <w:r>
              <w:rPr>
                <w:rFonts w:hint="eastAsia" w:ascii="微软雅黑"/>
                <w:bCs/>
                <w:sz w:val="24"/>
                <w:szCs w:val="24"/>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405" w:type="dxa"/>
            <w:vMerge w:val="restart"/>
          </w:tcPr>
          <w:p>
            <w:pPr>
              <w:pStyle w:val="37"/>
              <w:rPr>
                <w:rFonts w:ascii="微软雅黑"/>
                <w:b/>
                <w:sz w:val="24"/>
              </w:rPr>
            </w:pPr>
          </w:p>
          <w:p>
            <w:pPr>
              <w:pStyle w:val="37"/>
              <w:rPr>
                <w:rFonts w:ascii="微软雅黑"/>
                <w:b/>
                <w:sz w:val="24"/>
              </w:rPr>
            </w:pPr>
          </w:p>
          <w:p>
            <w:pPr>
              <w:pStyle w:val="37"/>
              <w:rPr>
                <w:rFonts w:ascii="微软雅黑"/>
                <w:b/>
                <w:sz w:val="24"/>
              </w:rPr>
            </w:pPr>
          </w:p>
          <w:p>
            <w:pPr>
              <w:pStyle w:val="37"/>
              <w:rPr>
                <w:rFonts w:ascii="微软雅黑"/>
                <w:b/>
                <w:sz w:val="24"/>
              </w:rPr>
            </w:pPr>
          </w:p>
          <w:p>
            <w:pPr>
              <w:pStyle w:val="37"/>
              <w:rPr>
                <w:rFonts w:ascii="微软雅黑"/>
                <w:b/>
                <w:sz w:val="24"/>
              </w:rPr>
            </w:pPr>
          </w:p>
          <w:p>
            <w:pPr>
              <w:pStyle w:val="37"/>
              <w:rPr>
                <w:rFonts w:ascii="微软雅黑"/>
                <w:b/>
                <w:sz w:val="24"/>
              </w:rPr>
            </w:pPr>
          </w:p>
          <w:p>
            <w:pPr>
              <w:pStyle w:val="37"/>
              <w:rPr>
                <w:rFonts w:ascii="微软雅黑"/>
                <w:b/>
                <w:sz w:val="24"/>
              </w:rPr>
            </w:pPr>
          </w:p>
          <w:p>
            <w:pPr>
              <w:pStyle w:val="37"/>
              <w:rPr>
                <w:rFonts w:ascii="微软雅黑"/>
                <w:b/>
                <w:sz w:val="24"/>
              </w:rPr>
            </w:pPr>
          </w:p>
          <w:p>
            <w:pPr>
              <w:pStyle w:val="37"/>
              <w:spacing w:before="2"/>
              <w:rPr>
                <w:rFonts w:ascii="微软雅黑"/>
                <w:b/>
                <w:sz w:val="30"/>
              </w:rPr>
            </w:pPr>
          </w:p>
          <w:p>
            <w:pPr>
              <w:pStyle w:val="37"/>
              <w:spacing w:line="242" w:lineRule="auto"/>
              <w:ind w:left="102" w:right="34"/>
              <w:jc w:val="both"/>
              <w:rPr>
                <w:sz w:val="24"/>
              </w:rPr>
            </w:pPr>
            <w:r>
              <w:rPr>
                <w:sz w:val="24"/>
              </w:rPr>
              <w:t>初步评审</w:t>
            </w:r>
          </w:p>
        </w:tc>
        <w:tc>
          <w:tcPr>
            <w:tcW w:w="966" w:type="dxa"/>
            <w:vMerge w:val="restart"/>
          </w:tcPr>
          <w:p>
            <w:pPr>
              <w:pStyle w:val="37"/>
              <w:rPr>
                <w:rFonts w:ascii="微软雅黑"/>
                <w:b/>
                <w:sz w:val="24"/>
              </w:rPr>
            </w:pPr>
          </w:p>
          <w:p>
            <w:pPr>
              <w:pStyle w:val="37"/>
              <w:rPr>
                <w:rFonts w:ascii="微软雅黑"/>
                <w:b/>
                <w:sz w:val="24"/>
              </w:rPr>
            </w:pPr>
          </w:p>
          <w:p>
            <w:pPr>
              <w:pStyle w:val="37"/>
              <w:rPr>
                <w:rFonts w:ascii="微软雅黑"/>
                <w:b/>
                <w:sz w:val="24"/>
              </w:rPr>
            </w:pPr>
          </w:p>
          <w:p>
            <w:pPr>
              <w:pStyle w:val="37"/>
              <w:rPr>
                <w:rFonts w:ascii="微软雅黑"/>
                <w:b/>
                <w:sz w:val="24"/>
              </w:rPr>
            </w:pPr>
          </w:p>
          <w:p>
            <w:pPr>
              <w:pStyle w:val="37"/>
              <w:rPr>
                <w:rFonts w:ascii="微软雅黑"/>
                <w:b/>
                <w:sz w:val="24"/>
              </w:rPr>
            </w:pPr>
          </w:p>
          <w:p>
            <w:pPr>
              <w:pStyle w:val="37"/>
              <w:spacing w:line="242" w:lineRule="auto"/>
              <w:ind w:right="82"/>
              <w:jc w:val="center"/>
              <w:rPr>
                <w:sz w:val="24"/>
              </w:rPr>
            </w:pPr>
            <w:r>
              <w:rPr>
                <w:rFonts w:hint="eastAsia"/>
                <w:sz w:val="24"/>
              </w:rPr>
              <w:t>资格检查</w:t>
            </w:r>
          </w:p>
        </w:tc>
        <w:tc>
          <w:tcPr>
            <w:tcW w:w="1880" w:type="dxa"/>
            <w:vAlign w:val="center"/>
          </w:tcPr>
          <w:p>
            <w:pPr>
              <w:pStyle w:val="37"/>
              <w:spacing w:before="76"/>
              <w:ind w:left="72"/>
              <w:jc w:val="center"/>
              <w:rPr>
                <w:sz w:val="24"/>
              </w:rPr>
            </w:pPr>
            <w:r>
              <w:rPr>
                <w:rFonts w:hint="eastAsia"/>
                <w:sz w:val="24"/>
              </w:rPr>
              <w:t>营业执照</w:t>
            </w:r>
          </w:p>
        </w:tc>
        <w:tc>
          <w:tcPr>
            <w:tcW w:w="4859" w:type="dxa"/>
            <w:vAlign w:val="center"/>
          </w:tcPr>
          <w:p>
            <w:pPr>
              <w:pStyle w:val="37"/>
              <w:spacing w:before="76"/>
              <w:ind w:left="72"/>
              <w:jc w:val="center"/>
              <w:rPr>
                <w:sz w:val="24"/>
              </w:rPr>
            </w:pPr>
            <w:r>
              <w:rPr>
                <w:sz w:val="24"/>
              </w:rPr>
              <w:t>是否具备有效的营业执照</w:t>
            </w:r>
          </w:p>
        </w:tc>
        <w:tc>
          <w:tcPr>
            <w:tcW w:w="1135" w:type="dxa"/>
          </w:tcPr>
          <w:p>
            <w:pPr>
              <w:pStyle w:val="37"/>
              <w:spacing w:before="1"/>
              <w:jc w:val="center"/>
              <w:rPr>
                <w:rFonts w:ascii="微软雅黑"/>
                <w:bCs/>
                <w:sz w:val="24"/>
                <w:szCs w:val="24"/>
              </w:rPr>
            </w:pPr>
          </w:p>
        </w:tc>
        <w:tc>
          <w:tcPr>
            <w:tcW w:w="1153" w:type="dxa"/>
          </w:tcPr>
          <w:p>
            <w:pPr>
              <w:pStyle w:val="37"/>
              <w:spacing w:before="1"/>
              <w:jc w:val="center"/>
              <w:rPr>
                <w:rFonts w:ascii="微软雅黑"/>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405" w:type="dxa"/>
            <w:vMerge w:val="continue"/>
          </w:tcPr>
          <w:p>
            <w:pPr>
              <w:rPr>
                <w:sz w:val="2"/>
                <w:szCs w:val="2"/>
              </w:rPr>
            </w:pPr>
          </w:p>
        </w:tc>
        <w:tc>
          <w:tcPr>
            <w:tcW w:w="966" w:type="dxa"/>
            <w:vMerge w:val="continue"/>
            <w:tcBorders>
              <w:top w:val="nil"/>
            </w:tcBorders>
          </w:tcPr>
          <w:p>
            <w:pPr>
              <w:rPr>
                <w:sz w:val="2"/>
                <w:szCs w:val="2"/>
              </w:rPr>
            </w:pPr>
          </w:p>
        </w:tc>
        <w:tc>
          <w:tcPr>
            <w:tcW w:w="1880" w:type="dxa"/>
            <w:vAlign w:val="center"/>
          </w:tcPr>
          <w:p>
            <w:pPr>
              <w:pStyle w:val="37"/>
              <w:spacing w:before="76"/>
              <w:ind w:left="72"/>
              <w:jc w:val="center"/>
              <w:rPr>
                <w:sz w:val="24"/>
              </w:rPr>
            </w:pPr>
            <w:r>
              <w:rPr>
                <w:sz w:val="24"/>
              </w:rPr>
              <w:t>授权委托人或法定代表人证明</w:t>
            </w:r>
          </w:p>
        </w:tc>
        <w:tc>
          <w:tcPr>
            <w:tcW w:w="4859" w:type="dxa"/>
            <w:vAlign w:val="center"/>
          </w:tcPr>
          <w:p>
            <w:pPr>
              <w:pStyle w:val="37"/>
              <w:spacing w:before="76"/>
              <w:ind w:left="72"/>
              <w:jc w:val="center"/>
              <w:rPr>
                <w:sz w:val="24"/>
              </w:rPr>
            </w:pPr>
            <w:r>
              <w:rPr>
                <w:rFonts w:hint="eastAsia"/>
                <w:sz w:val="24"/>
              </w:rPr>
              <w:t>是否提供法人授权委托书(法人提供法定代表人身份证明)、被授权人身份证复印件加盖公章</w:t>
            </w:r>
          </w:p>
        </w:tc>
        <w:tc>
          <w:tcPr>
            <w:tcW w:w="1135" w:type="dxa"/>
          </w:tcPr>
          <w:p>
            <w:pPr>
              <w:pStyle w:val="37"/>
              <w:spacing w:before="1"/>
              <w:jc w:val="center"/>
              <w:rPr>
                <w:rFonts w:ascii="微软雅黑"/>
                <w:bCs/>
                <w:sz w:val="24"/>
                <w:szCs w:val="24"/>
              </w:rPr>
            </w:pPr>
          </w:p>
        </w:tc>
        <w:tc>
          <w:tcPr>
            <w:tcW w:w="1153" w:type="dxa"/>
          </w:tcPr>
          <w:p>
            <w:pPr>
              <w:pStyle w:val="37"/>
              <w:spacing w:before="1"/>
              <w:jc w:val="center"/>
              <w:rPr>
                <w:rFonts w:ascii="微软雅黑"/>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405" w:type="dxa"/>
            <w:vMerge w:val="continue"/>
          </w:tcPr>
          <w:p>
            <w:pPr>
              <w:rPr>
                <w:sz w:val="2"/>
                <w:szCs w:val="2"/>
              </w:rPr>
            </w:pPr>
          </w:p>
        </w:tc>
        <w:tc>
          <w:tcPr>
            <w:tcW w:w="966" w:type="dxa"/>
            <w:vMerge w:val="continue"/>
            <w:tcBorders>
              <w:top w:val="nil"/>
            </w:tcBorders>
          </w:tcPr>
          <w:p>
            <w:pPr>
              <w:rPr>
                <w:sz w:val="2"/>
                <w:szCs w:val="2"/>
              </w:rPr>
            </w:pPr>
          </w:p>
        </w:tc>
        <w:tc>
          <w:tcPr>
            <w:tcW w:w="1880" w:type="dxa"/>
            <w:vAlign w:val="center"/>
          </w:tcPr>
          <w:p>
            <w:pPr>
              <w:pStyle w:val="37"/>
              <w:spacing w:before="76"/>
              <w:ind w:left="72"/>
              <w:jc w:val="center"/>
              <w:rPr>
                <w:sz w:val="24"/>
              </w:rPr>
            </w:pPr>
            <w:r>
              <w:rPr>
                <w:rFonts w:hint="eastAsia"/>
                <w:sz w:val="24"/>
              </w:rPr>
              <w:t>投标保证金</w:t>
            </w:r>
          </w:p>
        </w:tc>
        <w:tc>
          <w:tcPr>
            <w:tcW w:w="4859" w:type="dxa"/>
            <w:vAlign w:val="center"/>
          </w:tcPr>
          <w:p>
            <w:pPr>
              <w:pStyle w:val="37"/>
              <w:spacing w:before="76"/>
              <w:jc w:val="both"/>
              <w:rPr>
                <w:sz w:val="24"/>
              </w:rPr>
            </w:pPr>
            <w:r>
              <w:rPr>
                <w:rFonts w:hint="eastAsia"/>
                <w:sz w:val="24"/>
              </w:rPr>
              <w:t>是否提供投标保证金汇款凭证或银行回单；</w:t>
            </w:r>
          </w:p>
        </w:tc>
        <w:tc>
          <w:tcPr>
            <w:tcW w:w="1135" w:type="dxa"/>
          </w:tcPr>
          <w:p>
            <w:pPr>
              <w:pStyle w:val="37"/>
              <w:rPr>
                <w:rFonts w:ascii="Times New Roman"/>
                <w:sz w:val="24"/>
              </w:rPr>
            </w:pPr>
          </w:p>
        </w:tc>
        <w:tc>
          <w:tcPr>
            <w:tcW w:w="1153" w:type="dxa"/>
          </w:tcPr>
          <w:p>
            <w:pPr>
              <w:pStyle w:val="37"/>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05" w:type="dxa"/>
            <w:vMerge w:val="continue"/>
          </w:tcPr>
          <w:p>
            <w:pPr>
              <w:rPr>
                <w:sz w:val="2"/>
                <w:szCs w:val="2"/>
              </w:rPr>
            </w:pPr>
          </w:p>
        </w:tc>
        <w:tc>
          <w:tcPr>
            <w:tcW w:w="966" w:type="dxa"/>
            <w:vMerge w:val="continue"/>
            <w:tcBorders>
              <w:top w:val="nil"/>
            </w:tcBorders>
          </w:tcPr>
          <w:p>
            <w:pPr>
              <w:rPr>
                <w:sz w:val="2"/>
                <w:szCs w:val="2"/>
              </w:rPr>
            </w:pPr>
          </w:p>
        </w:tc>
        <w:tc>
          <w:tcPr>
            <w:tcW w:w="1880" w:type="dxa"/>
            <w:vAlign w:val="center"/>
          </w:tcPr>
          <w:p>
            <w:pPr>
              <w:pStyle w:val="37"/>
              <w:spacing w:before="76"/>
              <w:ind w:left="72"/>
              <w:jc w:val="center"/>
              <w:rPr>
                <w:sz w:val="24"/>
              </w:rPr>
            </w:pPr>
            <w:r>
              <w:rPr>
                <w:sz w:val="24"/>
              </w:rPr>
              <w:t>财务审计报告</w:t>
            </w:r>
          </w:p>
        </w:tc>
        <w:tc>
          <w:tcPr>
            <w:tcW w:w="4859" w:type="dxa"/>
            <w:vAlign w:val="center"/>
          </w:tcPr>
          <w:p>
            <w:pPr>
              <w:pStyle w:val="37"/>
              <w:spacing w:before="76"/>
              <w:ind w:left="72"/>
              <w:jc w:val="center"/>
              <w:rPr>
                <w:sz w:val="24"/>
              </w:rPr>
            </w:pPr>
            <w:r>
              <w:rPr>
                <w:rFonts w:hint="eastAsia"/>
                <w:sz w:val="24"/>
              </w:rPr>
              <w:t>是否提供20</w:t>
            </w:r>
            <w:r>
              <w:rPr>
                <w:rFonts w:hint="eastAsia"/>
                <w:sz w:val="24"/>
                <w:lang w:val="en-US"/>
              </w:rPr>
              <w:t>20</w:t>
            </w:r>
            <w:r>
              <w:rPr>
                <w:rFonts w:hint="eastAsia"/>
                <w:sz w:val="24"/>
              </w:rPr>
              <w:t>年财务审计报告</w:t>
            </w:r>
          </w:p>
        </w:tc>
        <w:tc>
          <w:tcPr>
            <w:tcW w:w="1135" w:type="dxa"/>
          </w:tcPr>
          <w:p>
            <w:pPr>
              <w:pStyle w:val="37"/>
              <w:rPr>
                <w:rFonts w:ascii="Times New Roman"/>
                <w:sz w:val="24"/>
              </w:rPr>
            </w:pPr>
          </w:p>
        </w:tc>
        <w:tc>
          <w:tcPr>
            <w:tcW w:w="1153" w:type="dxa"/>
          </w:tcPr>
          <w:p>
            <w:pPr>
              <w:pStyle w:val="37"/>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05" w:type="dxa"/>
            <w:vMerge w:val="continue"/>
          </w:tcPr>
          <w:p>
            <w:pPr>
              <w:rPr>
                <w:sz w:val="2"/>
                <w:szCs w:val="2"/>
              </w:rPr>
            </w:pPr>
          </w:p>
        </w:tc>
        <w:tc>
          <w:tcPr>
            <w:tcW w:w="966" w:type="dxa"/>
            <w:vMerge w:val="continue"/>
            <w:tcBorders>
              <w:top w:val="nil"/>
            </w:tcBorders>
          </w:tcPr>
          <w:p>
            <w:pPr>
              <w:rPr>
                <w:sz w:val="2"/>
                <w:szCs w:val="2"/>
              </w:rPr>
            </w:pPr>
          </w:p>
        </w:tc>
        <w:tc>
          <w:tcPr>
            <w:tcW w:w="1880" w:type="dxa"/>
            <w:vAlign w:val="center"/>
          </w:tcPr>
          <w:p>
            <w:pPr>
              <w:pStyle w:val="37"/>
              <w:spacing w:before="76"/>
              <w:ind w:left="72"/>
              <w:jc w:val="center"/>
              <w:rPr>
                <w:sz w:val="24"/>
                <w:highlight w:val="yellow"/>
              </w:rPr>
            </w:pPr>
            <w:r>
              <w:rPr>
                <w:rFonts w:hint="eastAsia"/>
                <w:sz w:val="24"/>
              </w:rPr>
              <w:t>完税证明</w:t>
            </w:r>
          </w:p>
        </w:tc>
        <w:tc>
          <w:tcPr>
            <w:tcW w:w="4859" w:type="dxa"/>
            <w:vAlign w:val="center"/>
          </w:tcPr>
          <w:p>
            <w:pPr>
              <w:pStyle w:val="37"/>
              <w:spacing w:before="76"/>
              <w:ind w:left="72"/>
              <w:jc w:val="center"/>
              <w:rPr>
                <w:sz w:val="24"/>
                <w:highlight w:val="yellow"/>
              </w:rPr>
            </w:pPr>
            <w:r>
              <w:rPr>
                <w:rFonts w:hint="eastAsia"/>
                <w:sz w:val="24"/>
              </w:rPr>
              <w:t>是否提供近半年</w:t>
            </w:r>
            <w:ins w:id="175" w:author="胡智行" w:date="2021-09-23T18:59:00Z">
              <w:r>
                <w:rPr>
                  <w:rFonts w:hint="eastAsia"/>
                  <w:sz w:val="24"/>
                </w:rPr>
                <w:t>（半年内任意一月）</w:t>
              </w:r>
            </w:ins>
            <w:r>
              <w:rPr>
                <w:rFonts w:hint="eastAsia"/>
                <w:sz w:val="24"/>
              </w:rPr>
              <w:t>完税证明</w:t>
            </w:r>
          </w:p>
        </w:tc>
        <w:tc>
          <w:tcPr>
            <w:tcW w:w="1135" w:type="dxa"/>
          </w:tcPr>
          <w:p>
            <w:pPr>
              <w:pStyle w:val="37"/>
              <w:rPr>
                <w:rFonts w:ascii="Times New Roman"/>
                <w:sz w:val="24"/>
              </w:rPr>
            </w:pPr>
          </w:p>
        </w:tc>
        <w:tc>
          <w:tcPr>
            <w:tcW w:w="1153" w:type="dxa"/>
          </w:tcPr>
          <w:p>
            <w:pPr>
              <w:pStyle w:val="37"/>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6" w:hRule="atLeast"/>
        </w:trPr>
        <w:tc>
          <w:tcPr>
            <w:tcW w:w="405" w:type="dxa"/>
            <w:vMerge w:val="continue"/>
          </w:tcPr>
          <w:p>
            <w:pPr>
              <w:rPr>
                <w:sz w:val="2"/>
                <w:szCs w:val="2"/>
              </w:rPr>
            </w:pPr>
          </w:p>
        </w:tc>
        <w:tc>
          <w:tcPr>
            <w:tcW w:w="966" w:type="dxa"/>
            <w:vMerge w:val="continue"/>
            <w:tcBorders>
              <w:top w:val="nil"/>
            </w:tcBorders>
          </w:tcPr>
          <w:p>
            <w:pPr>
              <w:rPr>
                <w:sz w:val="2"/>
                <w:szCs w:val="2"/>
              </w:rPr>
            </w:pPr>
          </w:p>
        </w:tc>
        <w:tc>
          <w:tcPr>
            <w:tcW w:w="1880" w:type="dxa"/>
            <w:vAlign w:val="center"/>
          </w:tcPr>
          <w:p>
            <w:pPr>
              <w:pStyle w:val="37"/>
              <w:spacing w:before="76"/>
              <w:ind w:left="72"/>
              <w:jc w:val="center"/>
              <w:rPr>
                <w:sz w:val="24"/>
              </w:rPr>
            </w:pPr>
          </w:p>
          <w:p>
            <w:pPr>
              <w:pStyle w:val="37"/>
              <w:spacing w:before="76"/>
              <w:ind w:left="72"/>
              <w:jc w:val="center"/>
              <w:rPr>
                <w:sz w:val="24"/>
              </w:rPr>
            </w:pPr>
            <w:r>
              <w:rPr>
                <w:rFonts w:hint="eastAsia"/>
                <w:sz w:val="24"/>
              </w:rPr>
              <w:t>无不良信息记录</w:t>
            </w:r>
          </w:p>
        </w:tc>
        <w:tc>
          <w:tcPr>
            <w:tcW w:w="4859" w:type="dxa"/>
            <w:vAlign w:val="center"/>
          </w:tcPr>
          <w:p>
            <w:pPr>
              <w:pStyle w:val="37"/>
              <w:spacing w:before="76"/>
              <w:ind w:left="72"/>
              <w:jc w:val="center"/>
              <w:rPr>
                <w:sz w:val="24"/>
              </w:rPr>
            </w:pPr>
            <w:r>
              <w:rPr>
                <w:rFonts w:hint="eastAsia"/>
                <w:sz w:val="24"/>
              </w:rPr>
              <w:t>参加政府采购活动近3年内，在经营活动中没有重大违法记录；“信用中国”网站（www.creditchina.gov.cn）、中国政府采购网</w:t>
            </w:r>
          </w:p>
          <w:p>
            <w:pPr>
              <w:pStyle w:val="37"/>
              <w:spacing w:before="76"/>
              <w:ind w:left="72"/>
              <w:jc w:val="center"/>
              <w:rPr>
                <w:sz w:val="24"/>
              </w:rPr>
            </w:pPr>
            <w:r>
              <w:rPr>
                <w:rFonts w:hint="eastAsia"/>
                <w:sz w:val="24"/>
              </w:rPr>
              <w:t>（www.ccgp.gov.cn ）未被列入失信被执行人、重大税收违法案件当事人名单、政府采购严重违法失信行为记录名单的（网站查询的截图）</w:t>
            </w:r>
          </w:p>
        </w:tc>
        <w:tc>
          <w:tcPr>
            <w:tcW w:w="1135" w:type="dxa"/>
          </w:tcPr>
          <w:p>
            <w:pPr>
              <w:pStyle w:val="37"/>
              <w:rPr>
                <w:rFonts w:ascii="Times New Roman"/>
                <w:sz w:val="24"/>
              </w:rPr>
            </w:pPr>
          </w:p>
        </w:tc>
        <w:tc>
          <w:tcPr>
            <w:tcW w:w="1153" w:type="dxa"/>
          </w:tcPr>
          <w:p>
            <w:pPr>
              <w:pStyle w:val="37"/>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05" w:type="dxa"/>
            <w:vMerge w:val="continue"/>
          </w:tcPr>
          <w:p>
            <w:pPr>
              <w:rPr>
                <w:sz w:val="2"/>
                <w:szCs w:val="2"/>
              </w:rPr>
            </w:pPr>
          </w:p>
        </w:tc>
        <w:tc>
          <w:tcPr>
            <w:tcW w:w="966" w:type="dxa"/>
            <w:vMerge w:val="restart"/>
          </w:tcPr>
          <w:p>
            <w:pPr>
              <w:pStyle w:val="37"/>
              <w:rPr>
                <w:rFonts w:ascii="微软雅黑"/>
                <w:b/>
                <w:sz w:val="24"/>
              </w:rPr>
            </w:pPr>
          </w:p>
          <w:p>
            <w:pPr>
              <w:pStyle w:val="37"/>
              <w:spacing w:before="15"/>
              <w:rPr>
                <w:rFonts w:ascii="微软雅黑"/>
                <w:b/>
              </w:rPr>
            </w:pPr>
          </w:p>
          <w:p>
            <w:pPr>
              <w:pStyle w:val="37"/>
              <w:spacing w:line="242" w:lineRule="auto"/>
              <w:ind w:left="188" w:right="82" w:hanging="92"/>
              <w:rPr>
                <w:sz w:val="24"/>
              </w:rPr>
            </w:pPr>
            <w:r>
              <w:rPr>
                <w:rFonts w:hint="eastAsia"/>
                <w:sz w:val="24"/>
              </w:rPr>
              <w:t>符合性检查</w:t>
            </w:r>
          </w:p>
        </w:tc>
        <w:tc>
          <w:tcPr>
            <w:tcW w:w="1880" w:type="dxa"/>
            <w:vAlign w:val="center"/>
          </w:tcPr>
          <w:p>
            <w:pPr>
              <w:pStyle w:val="37"/>
              <w:spacing w:before="76"/>
              <w:ind w:left="72"/>
              <w:jc w:val="center"/>
              <w:rPr>
                <w:sz w:val="24"/>
              </w:rPr>
            </w:pPr>
            <w:r>
              <w:rPr>
                <w:rFonts w:hint="eastAsia"/>
                <w:sz w:val="24"/>
              </w:rPr>
              <w:t>投标人名称</w:t>
            </w:r>
          </w:p>
        </w:tc>
        <w:tc>
          <w:tcPr>
            <w:tcW w:w="4859" w:type="dxa"/>
            <w:vAlign w:val="center"/>
          </w:tcPr>
          <w:p>
            <w:pPr>
              <w:pStyle w:val="37"/>
              <w:spacing w:before="76"/>
              <w:jc w:val="both"/>
              <w:rPr>
                <w:sz w:val="24"/>
              </w:rPr>
            </w:pPr>
            <w:r>
              <w:rPr>
                <w:rFonts w:hint="eastAsia"/>
                <w:sz w:val="24"/>
              </w:rPr>
              <w:t>是否与营业执照、税务登记证、资质证书一致</w:t>
            </w:r>
          </w:p>
        </w:tc>
        <w:tc>
          <w:tcPr>
            <w:tcW w:w="1135" w:type="dxa"/>
          </w:tcPr>
          <w:p>
            <w:pPr>
              <w:pStyle w:val="37"/>
              <w:rPr>
                <w:rFonts w:ascii="Times New Roman"/>
                <w:sz w:val="24"/>
              </w:rPr>
            </w:pPr>
          </w:p>
        </w:tc>
        <w:tc>
          <w:tcPr>
            <w:tcW w:w="1153" w:type="dxa"/>
          </w:tcPr>
          <w:p>
            <w:pPr>
              <w:pStyle w:val="37"/>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trPr>
        <w:tc>
          <w:tcPr>
            <w:tcW w:w="405" w:type="dxa"/>
            <w:vMerge w:val="continue"/>
          </w:tcPr>
          <w:p>
            <w:pPr>
              <w:rPr>
                <w:sz w:val="2"/>
                <w:szCs w:val="2"/>
              </w:rPr>
            </w:pPr>
          </w:p>
        </w:tc>
        <w:tc>
          <w:tcPr>
            <w:tcW w:w="966" w:type="dxa"/>
            <w:vMerge w:val="continue"/>
          </w:tcPr>
          <w:p>
            <w:pPr>
              <w:rPr>
                <w:sz w:val="2"/>
                <w:szCs w:val="2"/>
              </w:rPr>
            </w:pPr>
          </w:p>
        </w:tc>
        <w:tc>
          <w:tcPr>
            <w:tcW w:w="1880" w:type="dxa"/>
            <w:vAlign w:val="center"/>
          </w:tcPr>
          <w:p>
            <w:pPr>
              <w:pStyle w:val="37"/>
              <w:spacing w:before="76"/>
              <w:ind w:left="72"/>
              <w:jc w:val="center"/>
              <w:rPr>
                <w:sz w:val="24"/>
              </w:rPr>
            </w:pPr>
            <w:r>
              <w:rPr>
                <w:rFonts w:hint="eastAsia"/>
                <w:sz w:val="24"/>
              </w:rPr>
              <w:t>投标文件签署</w:t>
            </w:r>
          </w:p>
        </w:tc>
        <w:tc>
          <w:tcPr>
            <w:tcW w:w="4859" w:type="dxa"/>
            <w:vAlign w:val="center"/>
          </w:tcPr>
          <w:p>
            <w:pPr>
              <w:pStyle w:val="37"/>
              <w:spacing w:before="76"/>
              <w:jc w:val="both"/>
              <w:rPr>
                <w:sz w:val="24"/>
              </w:rPr>
            </w:pPr>
            <w:r>
              <w:rPr>
                <w:rFonts w:hint="eastAsia"/>
                <w:sz w:val="24"/>
              </w:rPr>
              <w:t>符合文件要求在规定区域加盖单位公章</w:t>
            </w:r>
          </w:p>
        </w:tc>
        <w:tc>
          <w:tcPr>
            <w:tcW w:w="1135" w:type="dxa"/>
          </w:tcPr>
          <w:p>
            <w:pPr>
              <w:pStyle w:val="37"/>
              <w:rPr>
                <w:rFonts w:ascii="Times New Roman"/>
                <w:sz w:val="24"/>
              </w:rPr>
            </w:pPr>
          </w:p>
        </w:tc>
        <w:tc>
          <w:tcPr>
            <w:tcW w:w="1153" w:type="dxa"/>
          </w:tcPr>
          <w:p>
            <w:pPr>
              <w:pStyle w:val="37"/>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trPr>
        <w:tc>
          <w:tcPr>
            <w:tcW w:w="405" w:type="dxa"/>
            <w:vMerge w:val="continue"/>
          </w:tcPr>
          <w:p>
            <w:pPr>
              <w:rPr>
                <w:sz w:val="2"/>
                <w:szCs w:val="2"/>
              </w:rPr>
            </w:pPr>
          </w:p>
        </w:tc>
        <w:tc>
          <w:tcPr>
            <w:tcW w:w="966" w:type="dxa"/>
            <w:vMerge w:val="continue"/>
          </w:tcPr>
          <w:p>
            <w:pPr>
              <w:rPr>
                <w:sz w:val="2"/>
                <w:szCs w:val="2"/>
              </w:rPr>
            </w:pPr>
          </w:p>
        </w:tc>
        <w:tc>
          <w:tcPr>
            <w:tcW w:w="1880" w:type="dxa"/>
            <w:vAlign w:val="center"/>
          </w:tcPr>
          <w:p>
            <w:pPr>
              <w:pStyle w:val="37"/>
              <w:spacing w:before="76"/>
              <w:ind w:left="72"/>
              <w:jc w:val="center"/>
              <w:rPr>
                <w:sz w:val="24"/>
              </w:rPr>
            </w:pPr>
            <w:r>
              <w:rPr>
                <w:rFonts w:hint="eastAsia"/>
                <w:sz w:val="24"/>
              </w:rPr>
              <w:t>投标有效期</w:t>
            </w:r>
          </w:p>
        </w:tc>
        <w:tc>
          <w:tcPr>
            <w:tcW w:w="4859" w:type="dxa"/>
            <w:vAlign w:val="center"/>
          </w:tcPr>
          <w:p>
            <w:pPr>
              <w:pStyle w:val="37"/>
              <w:spacing w:before="76"/>
              <w:jc w:val="both"/>
              <w:rPr>
                <w:sz w:val="24"/>
              </w:rPr>
            </w:pPr>
            <w:r>
              <w:rPr>
                <w:rFonts w:hint="eastAsia"/>
                <w:sz w:val="24"/>
              </w:rPr>
              <w:t>符合供应商须知前附表的规定</w:t>
            </w:r>
          </w:p>
        </w:tc>
        <w:tc>
          <w:tcPr>
            <w:tcW w:w="1135" w:type="dxa"/>
          </w:tcPr>
          <w:p>
            <w:pPr>
              <w:pStyle w:val="37"/>
              <w:rPr>
                <w:rFonts w:ascii="Times New Roman"/>
                <w:sz w:val="24"/>
              </w:rPr>
            </w:pPr>
          </w:p>
        </w:tc>
        <w:tc>
          <w:tcPr>
            <w:tcW w:w="1153" w:type="dxa"/>
          </w:tcPr>
          <w:p>
            <w:pPr>
              <w:pStyle w:val="37"/>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405" w:type="dxa"/>
            <w:vMerge w:val="continue"/>
          </w:tcPr>
          <w:p>
            <w:pPr>
              <w:rPr>
                <w:sz w:val="2"/>
                <w:szCs w:val="2"/>
              </w:rPr>
            </w:pPr>
          </w:p>
        </w:tc>
        <w:tc>
          <w:tcPr>
            <w:tcW w:w="966" w:type="dxa"/>
            <w:vMerge w:val="continue"/>
          </w:tcPr>
          <w:p>
            <w:pPr>
              <w:rPr>
                <w:sz w:val="2"/>
                <w:szCs w:val="2"/>
              </w:rPr>
            </w:pPr>
          </w:p>
        </w:tc>
        <w:tc>
          <w:tcPr>
            <w:tcW w:w="1880" w:type="dxa"/>
            <w:vAlign w:val="center"/>
          </w:tcPr>
          <w:p>
            <w:pPr>
              <w:jc w:val="center"/>
              <w:rPr>
                <w:sz w:val="24"/>
              </w:rPr>
            </w:pPr>
            <w:r>
              <w:rPr>
                <w:rFonts w:hint="eastAsia"/>
              </w:rPr>
              <w:t>报价唯一</w:t>
            </w:r>
          </w:p>
        </w:tc>
        <w:tc>
          <w:tcPr>
            <w:tcW w:w="4859" w:type="dxa"/>
            <w:vAlign w:val="center"/>
          </w:tcPr>
          <w:p>
            <w:pPr>
              <w:pStyle w:val="37"/>
              <w:spacing w:before="76"/>
              <w:ind w:left="72"/>
              <w:jc w:val="center"/>
              <w:rPr>
                <w:sz w:val="24"/>
              </w:rPr>
            </w:pPr>
            <w:r>
              <w:rPr>
                <w:rFonts w:hint="eastAsia"/>
                <w:sz w:val="24"/>
              </w:rPr>
              <w:t>其报价未超过采购预算金额，且只有一个有效报价，不得提交选择性报价。</w:t>
            </w:r>
          </w:p>
        </w:tc>
        <w:tc>
          <w:tcPr>
            <w:tcW w:w="1135" w:type="dxa"/>
          </w:tcPr>
          <w:p>
            <w:pPr>
              <w:pStyle w:val="37"/>
              <w:rPr>
                <w:rFonts w:ascii="Times New Roman"/>
                <w:sz w:val="24"/>
              </w:rPr>
            </w:pPr>
          </w:p>
        </w:tc>
        <w:tc>
          <w:tcPr>
            <w:tcW w:w="1153" w:type="dxa"/>
          </w:tcPr>
          <w:p>
            <w:pPr>
              <w:pStyle w:val="37"/>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405" w:type="dxa"/>
            <w:vMerge w:val="continue"/>
          </w:tcPr>
          <w:p>
            <w:pPr>
              <w:rPr>
                <w:sz w:val="2"/>
                <w:szCs w:val="2"/>
              </w:rPr>
            </w:pPr>
          </w:p>
        </w:tc>
        <w:tc>
          <w:tcPr>
            <w:tcW w:w="966" w:type="dxa"/>
            <w:vMerge w:val="continue"/>
          </w:tcPr>
          <w:p>
            <w:pPr>
              <w:rPr>
                <w:sz w:val="2"/>
                <w:szCs w:val="2"/>
              </w:rPr>
            </w:pPr>
          </w:p>
        </w:tc>
        <w:tc>
          <w:tcPr>
            <w:tcW w:w="1880" w:type="dxa"/>
          </w:tcPr>
          <w:p>
            <w:pPr>
              <w:pStyle w:val="37"/>
              <w:spacing w:before="76" w:line="242" w:lineRule="auto"/>
              <w:ind w:right="177"/>
              <w:jc w:val="center"/>
              <w:rPr>
                <w:sz w:val="24"/>
              </w:rPr>
            </w:pPr>
            <w:r>
              <w:rPr>
                <w:spacing w:val="-53"/>
                <w:sz w:val="24"/>
              </w:rPr>
              <w:t>其他</w:t>
            </w:r>
          </w:p>
        </w:tc>
        <w:tc>
          <w:tcPr>
            <w:tcW w:w="4859" w:type="dxa"/>
          </w:tcPr>
          <w:p>
            <w:pPr>
              <w:pStyle w:val="37"/>
              <w:ind w:left="72"/>
              <w:jc w:val="center"/>
              <w:rPr>
                <w:sz w:val="24"/>
              </w:rPr>
            </w:pPr>
            <w:r>
              <w:rPr>
                <w:rFonts w:hint="eastAsia"/>
                <w:sz w:val="24"/>
              </w:rPr>
              <w:t>投标文件未附有采购人不能接受的附加条件及法律、法规和招标文件规定的其他无效情形。</w:t>
            </w:r>
          </w:p>
        </w:tc>
        <w:tc>
          <w:tcPr>
            <w:tcW w:w="1135" w:type="dxa"/>
          </w:tcPr>
          <w:p>
            <w:pPr>
              <w:pStyle w:val="37"/>
              <w:rPr>
                <w:rFonts w:ascii="Times New Roman"/>
                <w:sz w:val="24"/>
              </w:rPr>
            </w:pPr>
          </w:p>
        </w:tc>
        <w:tc>
          <w:tcPr>
            <w:tcW w:w="1153" w:type="dxa"/>
          </w:tcPr>
          <w:p>
            <w:pPr>
              <w:pStyle w:val="37"/>
              <w:rPr>
                <w:rFonts w:ascii="Times New Roman"/>
                <w:sz w:val="24"/>
              </w:rPr>
            </w:pPr>
          </w:p>
        </w:tc>
      </w:tr>
    </w:tbl>
    <w:p>
      <w:pPr>
        <w:pStyle w:val="13"/>
        <w:spacing w:before="73" w:line="364" w:lineRule="auto"/>
        <w:ind w:right="1713"/>
        <w:sectPr>
          <w:pgSz w:w="11910" w:h="16840"/>
          <w:pgMar w:top="1440" w:right="1080" w:bottom="1440" w:left="1080" w:header="906" w:footer="895" w:gutter="0"/>
          <w:cols w:space="720" w:num="1"/>
        </w:sectPr>
      </w:pPr>
      <w:r>
        <mc:AlternateContent>
          <mc:Choice Requires="wps">
            <w:drawing>
              <wp:anchor distT="0" distB="0" distL="114300" distR="114300" simplePos="0" relativeHeight="251661312" behindDoc="0" locked="0" layoutInCell="1" allowOverlap="1">
                <wp:simplePos x="0" y="0"/>
                <wp:positionH relativeFrom="page">
                  <wp:posOffset>4023360</wp:posOffset>
                </wp:positionH>
                <wp:positionV relativeFrom="paragraph">
                  <wp:posOffset>2839720</wp:posOffset>
                </wp:positionV>
                <wp:extent cx="2454910" cy="354393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2454910" cy="3543935"/>
                        </a:xfrm>
                        <a:prstGeom prst="rect">
                          <a:avLst/>
                        </a:prstGeom>
                        <a:noFill/>
                        <a:ln>
                          <a:noFill/>
                        </a:ln>
                      </wps:spPr>
                      <wps:txbx>
                        <w:txbxContent>
                          <w:p>
                            <w:pPr>
                              <w:pStyle w:val="13"/>
                            </w:pPr>
                          </w:p>
                        </w:txbxContent>
                      </wps:txbx>
                      <wps:bodyPr lIns="0" tIns="0" rIns="0" bIns="0" upright="1"/>
                    </wps:wsp>
                  </a:graphicData>
                </a:graphic>
              </wp:anchor>
            </w:drawing>
          </mc:Choice>
          <mc:Fallback>
            <w:pict>
              <v:shape id="文本框 16" o:spid="_x0000_s1026" o:spt="202" type="#_x0000_t202" style="position:absolute;left:0pt;margin-left:316.8pt;margin-top:223.6pt;height:279.05pt;width:193.3pt;mso-position-horizontal-relative:page;z-index:251661312;mso-width-relative:page;mso-height-relative:page;" filled="f" stroked="f" coordsize="21600,21600" o:gfxdata="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y1sy2gAAAA0BAAAPAAAAAAAAAAEAIAAAACIAAABkcnMvZG93bnJldi54bWxQ&#10;SwECFAAUAAAACACHTuJAhFzcyrwBAAB0AwAADgAAAAAAAAABACAAAAApAQAAZHJzL2Uyb0RvYy54&#10;bWxQSwUGAAAAAAYABgBZAQAAVwUAAAAA&#10;">
                <v:fill on="f" focussize="0,0"/>
                <v:stroke on="f"/>
                <v:imagedata o:title=""/>
                <o:lock v:ext="edit" aspectratio="f"/>
                <v:textbox inset="0mm,0mm,0mm,0mm">
                  <w:txbxContent>
                    <w:p>
                      <w:pPr>
                        <w:pStyle w:val="13"/>
                      </w:pPr>
                    </w:p>
                  </w:txbxContent>
                </v:textbox>
              </v:shape>
            </w:pict>
          </mc:Fallback>
        </mc:AlternateContent>
      </w:r>
    </w:p>
    <w:p>
      <w:pPr>
        <w:jc w:val="center"/>
        <w:rPr>
          <w:rFonts w:ascii="Times New Roman"/>
          <w:b/>
          <w:bCs/>
          <w:sz w:val="32"/>
          <w:szCs w:val="40"/>
        </w:rPr>
      </w:pPr>
      <w:r>
        <w:rPr>
          <w:rFonts w:hint="eastAsia" w:ascii="Times New Roman"/>
          <w:b/>
          <w:bCs/>
          <w:sz w:val="32"/>
          <w:szCs w:val="40"/>
        </w:rPr>
        <w:t>评分细则</w:t>
      </w:r>
    </w:p>
    <w:p>
      <w:pPr>
        <w:pStyle w:val="11"/>
        <w:ind w:firstLine="0"/>
      </w:pPr>
    </w:p>
    <w:p>
      <w:pPr>
        <w:pStyle w:val="11"/>
        <w:ind w:firstLine="0"/>
      </w:pPr>
    </w:p>
    <w:tbl>
      <w:tblPr>
        <w:tblStyle w:val="28"/>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813"/>
        <w:gridCol w:w="835"/>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shd w:val="clear" w:color="auto" w:fill="auto"/>
            <w:vAlign w:val="center"/>
          </w:tcPr>
          <w:p>
            <w:pPr>
              <w:pStyle w:val="37"/>
              <w:spacing w:before="76"/>
              <w:ind w:left="72"/>
              <w:jc w:val="center"/>
              <w:rPr>
                <w:sz w:val="24"/>
              </w:rPr>
            </w:pPr>
            <w:r>
              <w:rPr>
                <w:rFonts w:hint="eastAsia"/>
                <w:sz w:val="24"/>
              </w:rPr>
              <w:t>序号</w:t>
            </w:r>
          </w:p>
        </w:tc>
        <w:tc>
          <w:tcPr>
            <w:tcW w:w="1813" w:type="dxa"/>
            <w:shd w:val="clear" w:color="auto" w:fill="auto"/>
            <w:vAlign w:val="center"/>
          </w:tcPr>
          <w:p>
            <w:pPr>
              <w:pStyle w:val="37"/>
              <w:spacing w:before="76"/>
              <w:ind w:left="72"/>
              <w:jc w:val="center"/>
              <w:rPr>
                <w:sz w:val="24"/>
              </w:rPr>
            </w:pPr>
            <w:r>
              <w:rPr>
                <w:rFonts w:hint="eastAsia"/>
                <w:sz w:val="24"/>
              </w:rPr>
              <w:t>考核项目</w:t>
            </w:r>
          </w:p>
        </w:tc>
        <w:tc>
          <w:tcPr>
            <w:tcW w:w="835" w:type="dxa"/>
            <w:shd w:val="clear" w:color="auto" w:fill="auto"/>
            <w:vAlign w:val="center"/>
          </w:tcPr>
          <w:p>
            <w:pPr>
              <w:pStyle w:val="37"/>
              <w:spacing w:before="76"/>
              <w:ind w:left="72"/>
              <w:jc w:val="center"/>
              <w:rPr>
                <w:sz w:val="24"/>
              </w:rPr>
            </w:pPr>
            <w:r>
              <w:rPr>
                <w:rFonts w:hint="eastAsia"/>
                <w:sz w:val="24"/>
              </w:rPr>
              <w:t>分数</w:t>
            </w:r>
          </w:p>
        </w:tc>
        <w:tc>
          <w:tcPr>
            <w:tcW w:w="6659" w:type="dxa"/>
            <w:shd w:val="clear" w:color="auto" w:fill="auto"/>
            <w:vAlign w:val="center"/>
          </w:tcPr>
          <w:p>
            <w:pPr>
              <w:pStyle w:val="37"/>
              <w:spacing w:before="76"/>
              <w:ind w:left="72"/>
              <w:jc w:val="center"/>
              <w:rPr>
                <w:sz w:val="24"/>
              </w:rPr>
            </w:pPr>
            <w:r>
              <w:rPr>
                <w:rFonts w:hint="eastAsia"/>
                <w:sz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shd w:val="clear" w:color="auto" w:fill="auto"/>
            <w:vAlign w:val="center"/>
          </w:tcPr>
          <w:p>
            <w:pPr>
              <w:pStyle w:val="37"/>
              <w:spacing w:before="76"/>
              <w:ind w:left="72"/>
              <w:jc w:val="center"/>
              <w:rPr>
                <w:sz w:val="24"/>
              </w:rPr>
            </w:pPr>
            <w:r>
              <w:rPr>
                <w:rFonts w:hint="eastAsia"/>
                <w:sz w:val="24"/>
              </w:rPr>
              <w:t>报价部分</w:t>
            </w:r>
            <w:ins w:id="176" w:author="胡智行" w:date="2021-09-23T14:39:00Z">
              <w:r>
                <w:rPr>
                  <w:sz w:val="24"/>
                  <w:lang w:val="en-US"/>
                </w:rPr>
                <w:t>10</w:t>
              </w:r>
            </w:ins>
            <w:r>
              <w:rPr>
                <w:rFonts w:hint="eastAsia"/>
                <w:sz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5" w:hRule="atLeast"/>
          <w:jc w:val="center"/>
        </w:trPr>
        <w:tc>
          <w:tcPr>
            <w:tcW w:w="746" w:type="dxa"/>
            <w:tcBorders>
              <w:top w:val="single" w:color="auto" w:sz="4" w:space="0"/>
              <w:bottom w:val="single" w:color="auto" w:sz="4" w:space="0"/>
            </w:tcBorders>
            <w:shd w:val="clear" w:color="auto" w:fill="auto"/>
            <w:vAlign w:val="center"/>
          </w:tcPr>
          <w:p>
            <w:pPr>
              <w:pStyle w:val="37"/>
              <w:spacing w:before="76"/>
              <w:ind w:left="72"/>
              <w:jc w:val="center"/>
              <w:rPr>
                <w:sz w:val="24"/>
              </w:rPr>
            </w:pPr>
            <w:r>
              <w:rPr>
                <w:sz w:val="24"/>
              </w:rPr>
              <w:t>1</w:t>
            </w:r>
          </w:p>
        </w:tc>
        <w:tc>
          <w:tcPr>
            <w:tcW w:w="1813" w:type="dxa"/>
            <w:tcBorders>
              <w:top w:val="single" w:color="auto" w:sz="4" w:space="0"/>
              <w:bottom w:val="single" w:color="auto" w:sz="4" w:space="0"/>
            </w:tcBorders>
            <w:shd w:val="clear" w:color="auto" w:fill="auto"/>
            <w:vAlign w:val="center"/>
          </w:tcPr>
          <w:p>
            <w:pPr>
              <w:pStyle w:val="37"/>
              <w:spacing w:before="76"/>
              <w:ind w:left="72"/>
              <w:jc w:val="center"/>
              <w:rPr>
                <w:sz w:val="24"/>
              </w:rPr>
            </w:pPr>
            <w:r>
              <w:rPr>
                <w:rFonts w:hint="eastAsia"/>
                <w:sz w:val="24"/>
              </w:rPr>
              <w:t>报价</w:t>
            </w:r>
          </w:p>
        </w:tc>
        <w:tc>
          <w:tcPr>
            <w:tcW w:w="835" w:type="dxa"/>
            <w:tcBorders>
              <w:top w:val="single" w:color="auto" w:sz="4" w:space="0"/>
              <w:bottom w:val="single" w:color="auto" w:sz="4" w:space="0"/>
            </w:tcBorders>
            <w:shd w:val="clear" w:color="auto" w:fill="auto"/>
            <w:vAlign w:val="center"/>
          </w:tcPr>
          <w:p>
            <w:pPr>
              <w:pStyle w:val="37"/>
              <w:spacing w:before="76"/>
              <w:ind w:left="72"/>
              <w:jc w:val="center"/>
              <w:rPr>
                <w:sz w:val="24"/>
              </w:rPr>
            </w:pPr>
            <w:ins w:id="177" w:author="胡智行" w:date="2021-09-23T14:39:00Z">
              <w:r>
                <w:rPr>
                  <w:rFonts w:hint="eastAsia"/>
                  <w:sz w:val="24"/>
                  <w:lang w:val="en-US"/>
                </w:rPr>
                <w:t>10</w:t>
              </w:r>
            </w:ins>
            <w:r>
              <w:rPr>
                <w:rFonts w:hint="eastAsia"/>
                <w:sz w:val="24"/>
              </w:rPr>
              <w:t>分</w:t>
            </w:r>
          </w:p>
        </w:tc>
        <w:tc>
          <w:tcPr>
            <w:tcW w:w="6659" w:type="dxa"/>
            <w:tcBorders>
              <w:top w:val="single" w:color="auto" w:sz="4" w:space="0"/>
              <w:bottom w:val="single" w:color="auto" w:sz="4" w:space="0"/>
            </w:tcBorders>
            <w:shd w:val="clear" w:color="auto" w:fill="auto"/>
          </w:tcPr>
          <w:p>
            <w:pPr>
              <w:pStyle w:val="37"/>
              <w:spacing w:before="76"/>
              <w:ind w:left="72"/>
              <w:jc w:val="center"/>
              <w:rPr>
                <w:sz w:val="24"/>
              </w:rPr>
            </w:pPr>
            <w:r>
              <w:rPr>
                <w:rFonts w:hint="eastAsia"/>
                <w:sz w:val="24"/>
              </w:rPr>
              <w:t>综合评分法中的价格分统一采用低价优先法计算，即满足招标要求且投标价格最低的投标报价为评标基准价，其价格分为满分。其他投标人的价格分统一按照下列公式计算：投标报价得分=(评标基准价／投标报价)×</w:t>
            </w:r>
            <w:ins w:id="178" w:author="胡智行" w:date="2021-09-23T19:02:00Z">
              <w:r>
                <w:rPr>
                  <w:rFonts w:hint="eastAsia"/>
                  <w:sz w:val="24"/>
                </w:rPr>
                <w:t>10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9" w:hRule="atLeast"/>
          <w:jc w:val="center"/>
          <w:ins w:id="179" w:author="胡智行" w:date="2021-09-23T14:41:00Z"/>
        </w:trPr>
        <w:tc>
          <w:tcPr>
            <w:tcW w:w="10053" w:type="dxa"/>
            <w:gridSpan w:val="4"/>
            <w:tcBorders>
              <w:top w:val="single" w:color="auto" w:sz="4" w:space="0"/>
              <w:bottom w:val="single" w:color="auto" w:sz="4" w:space="0"/>
            </w:tcBorders>
            <w:shd w:val="clear" w:color="auto" w:fill="auto"/>
            <w:vAlign w:val="center"/>
          </w:tcPr>
          <w:p>
            <w:pPr>
              <w:pStyle w:val="37"/>
              <w:spacing w:before="76"/>
              <w:ind w:left="72"/>
              <w:jc w:val="center"/>
              <w:rPr>
                <w:ins w:id="180" w:author="胡智行" w:date="2021-09-23T14:41:00Z"/>
                <w:sz w:val="24"/>
              </w:rPr>
            </w:pPr>
            <w:ins w:id="181" w:author="胡智行" w:date="2021-09-23T14:41:00Z">
              <w:r>
                <w:rPr>
                  <w:sz w:val="24"/>
                </w:rPr>
                <w:t>投标人综合评价</w:t>
              </w:r>
            </w:ins>
            <w:ins w:id="182" w:author="胡智行" w:date="2021-09-23T19:02:00Z">
              <w:r>
                <w:rPr>
                  <w:sz w:val="24"/>
                </w:rPr>
                <w:t>50</w:t>
              </w:r>
            </w:ins>
            <w:ins w:id="183" w:author="胡智行" w:date="2021-09-23T14:42:00Z">
              <w:r>
                <w:rPr>
                  <w:sz w:val="24"/>
                </w:rPr>
                <w:t>分</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5" w:hRule="atLeast"/>
          <w:jc w:val="center"/>
          <w:ins w:id="184" w:author="胡智行" w:date="2021-09-23T14:41:00Z"/>
        </w:trPr>
        <w:tc>
          <w:tcPr>
            <w:tcW w:w="746" w:type="dxa"/>
            <w:tcBorders>
              <w:top w:val="single" w:color="auto" w:sz="4" w:space="0"/>
              <w:bottom w:val="single" w:color="auto" w:sz="4" w:space="0"/>
            </w:tcBorders>
            <w:shd w:val="clear" w:color="auto" w:fill="auto"/>
            <w:vAlign w:val="center"/>
          </w:tcPr>
          <w:p>
            <w:pPr>
              <w:pStyle w:val="37"/>
              <w:spacing w:before="76"/>
              <w:ind w:left="72"/>
              <w:jc w:val="center"/>
              <w:rPr>
                <w:ins w:id="185" w:author="胡智行" w:date="2021-09-23T14:41:00Z"/>
                <w:sz w:val="24"/>
              </w:rPr>
            </w:pPr>
            <w:r>
              <w:rPr>
                <w:rFonts w:hint="eastAsia"/>
                <w:sz w:val="24"/>
              </w:rPr>
              <w:t>2</w:t>
            </w:r>
          </w:p>
        </w:tc>
        <w:tc>
          <w:tcPr>
            <w:tcW w:w="1813" w:type="dxa"/>
            <w:tcBorders>
              <w:top w:val="single" w:color="auto" w:sz="4" w:space="0"/>
              <w:bottom w:val="single" w:color="auto" w:sz="4" w:space="0"/>
            </w:tcBorders>
            <w:shd w:val="clear" w:color="auto" w:fill="auto"/>
            <w:vAlign w:val="center"/>
          </w:tcPr>
          <w:p>
            <w:pPr>
              <w:pStyle w:val="37"/>
              <w:spacing w:before="76"/>
              <w:ind w:left="72"/>
              <w:jc w:val="center"/>
              <w:rPr>
                <w:ins w:id="186" w:author="胡智行" w:date="2021-09-23T14:41:00Z"/>
                <w:sz w:val="24"/>
              </w:rPr>
            </w:pPr>
            <w:ins w:id="187" w:author="胡智行" w:date="2021-09-23T14:43:00Z">
              <w:r>
                <w:rPr>
                  <w:rFonts w:hint="eastAsia"/>
                  <w:sz w:val="24"/>
                </w:rPr>
                <w:t>企业业绩</w:t>
              </w:r>
            </w:ins>
          </w:p>
        </w:tc>
        <w:tc>
          <w:tcPr>
            <w:tcW w:w="835" w:type="dxa"/>
            <w:tcBorders>
              <w:top w:val="single" w:color="auto" w:sz="4" w:space="0"/>
              <w:bottom w:val="single" w:color="auto" w:sz="4" w:space="0"/>
            </w:tcBorders>
            <w:shd w:val="clear" w:color="auto" w:fill="auto"/>
            <w:vAlign w:val="center"/>
          </w:tcPr>
          <w:p>
            <w:pPr>
              <w:pStyle w:val="37"/>
              <w:spacing w:before="76"/>
              <w:ind w:left="72"/>
              <w:jc w:val="center"/>
              <w:rPr>
                <w:ins w:id="188" w:author="胡智行" w:date="2021-09-23T14:41:00Z"/>
                <w:sz w:val="24"/>
                <w:lang w:val="en-US"/>
              </w:rPr>
            </w:pPr>
            <w:ins w:id="189" w:author="胡智行" w:date="2021-09-23T14:43:00Z">
              <w:r>
                <w:rPr>
                  <w:rFonts w:hint="eastAsia"/>
                  <w:sz w:val="24"/>
                  <w:lang w:val="en-US"/>
                </w:rPr>
                <w:t>12分</w:t>
              </w:r>
            </w:ins>
          </w:p>
        </w:tc>
        <w:tc>
          <w:tcPr>
            <w:tcW w:w="6659" w:type="dxa"/>
            <w:tcBorders>
              <w:top w:val="single" w:color="auto" w:sz="4" w:space="0"/>
              <w:bottom w:val="single" w:color="auto" w:sz="4" w:space="0"/>
            </w:tcBorders>
            <w:shd w:val="clear" w:color="auto" w:fill="auto"/>
            <w:vAlign w:val="bottom"/>
          </w:tcPr>
          <w:p>
            <w:pPr>
              <w:pStyle w:val="37"/>
              <w:spacing w:before="76"/>
              <w:ind w:left="72"/>
              <w:jc w:val="center"/>
              <w:rPr>
                <w:ins w:id="190" w:author="胡智行" w:date="2021-09-23T14:41:00Z"/>
                <w:sz w:val="24"/>
              </w:rPr>
            </w:pPr>
            <w:ins w:id="191" w:author="胡智行" w:date="2021-09-23T14:42:00Z">
              <w:r>
                <w:rPr>
                  <w:rFonts w:hint="eastAsia"/>
                  <w:sz w:val="24"/>
                </w:rPr>
                <w:t>投标人2017年1月1日以来（以合同签订日期为准）参与过的县（市）级以上国土空间总体规划业绩的，每有一个得1.5分，本项最高得12分。没有不得分。（以上相关业绩需提供相关证明文件，包括合同、中标通知书或其他证明文件等扫描件）</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5" w:hRule="atLeast"/>
          <w:jc w:val="center"/>
          <w:ins w:id="192" w:author="胡智行" w:date="2021-09-23T14:41:00Z"/>
        </w:trPr>
        <w:tc>
          <w:tcPr>
            <w:tcW w:w="746" w:type="dxa"/>
            <w:tcBorders>
              <w:top w:val="single" w:color="auto" w:sz="4" w:space="0"/>
              <w:bottom w:val="single" w:color="auto" w:sz="4" w:space="0"/>
            </w:tcBorders>
            <w:shd w:val="clear" w:color="auto" w:fill="auto"/>
            <w:vAlign w:val="center"/>
          </w:tcPr>
          <w:p>
            <w:pPr>
              <w:pStyle w:val="37"/>
              <w:spacing w:before="76"/>
              <w:ind w:left="72"/>
              <w:jc w:val="center"/>
              <w:rPr>
                <w:ins w:id="193" w:author="胡智行" w:date="2021-09-23T14:41:00Z"/>
                <w:sz w:val="24"/>
              </w:rPr>
            </w:pPr>
            <w:r>
              <w:rPr>
                <w:rFonts w:hint="eastAsia"/>
                <w:sz w:val="24"/>
              </w:rPr>
              <w:t>3</w:t>
            </w:r>
          </w:p>
        </w:tc>
        <w:tc>
          <w:tcPr>
            <w:tcW w:w="1813" w:type="dxa"/>
            <w:tcBorders>
              <w:top w:val="single" w:color="auto" w:sz="4" w:space="0"/>
              <w:bottom w:val="single" w:color="auto" w:sz="4" w:space="0"/>
            </w:tcBorders>
            <w:shd w:val="clear" w:color="auto" w:fill="auto"/>
            <w:vAlign w:val="center"/>
          </w:tcPr>
          <w:p>
            <w:pPr>
              <w:pStyle w:val="37"/>
              <w:spacing w:before="76"/>
              <w:ind w:left="72"/>
              <w:jc w:val="center"/>
              <w:rPr>
                <w:ins w:id="194" w:author="胡智行" w:date="2021-09-23T14:41:00Z"/>
                <w:sz w:val="24"/>
              </w:rPr>
            </w:pPr>
            <w:ins w:id="195" w:author="胡智行" w:date="2021-09-23T14:53:00Z">
              <w:r>
                <w:rPr>
                  <w:rFonts w:hint="eastAsia"/>
                  <w:sz w:val="24"/>
                </w:rPr>
                <w:t>企业获奖情况</w:t>
              </w:r>
            </w:ins>
          </w:p>
        </w:tc>
        <w:tc>
          <w:tcPr>
            <w:tcW w:w="835" w:type="dxa"/>
            <w:tcBorders>
              <w:top w:val="single" w:color="auto" w:sz="4" w:space="0"/>
              <w:bottom w:val="single" w:color="auto" w:sz="4" w:space="0"/>
            </w:tcBorders>
            <w:shd w:val="clear" w:color="auto" w:fill="auto"/>
            <w:vAlign w:val="center"/>
          </w:tcPr>
          <w:p>
            <w:pPr>
              <w:pStyle w:val="37"/>
              <w:spacing w:before="76"/>
              <w:ind w:left="72"/>
              <w:jc w:val="center"/>
              <w:rPr>
                <w:ins w:id="196" w:author="胡智行" w:date="2021-09-23T14:41:00Z"/>
                <w:sz w:val="24"/>
              </w:rPr>
            </w:pPr>
            <w:ins w:id="197" w:author="胡智行" w:date="2021-09-23T14:53:00Z">
              <w:r>
                <w:rPr>
                  <w:rFonts w:hint="eastAsia"/>
                  <w:sz w:val="24"/>
                </w:rPr>
                <w:t>1</w:t>
              </w:r>
            </w:ins>
            <w:r>
              <w:rPr>
                <w:sz w:val="24"/>
              </w:rPr>
              <w:t>7</w:t>
            </w:r>
            <w:ins w:id="198" w:author="胡智行" w:date="2021-09-23T14:53:00Z">
              <w:r>
                <w:rPr>
                  <w:rFonts w:hint="eastAsia"/>
                  <w:sz w:val="24"/>
                </w:rPr>
                <w:t>分</w:t>
              </w:r>
            </w:ins>
          </w:p>
        </w:tc>
        <w:tc>
          <w:tcPr>
            <w:tcW w:w="6659" w:type="dxa"/>
            <w:tcBorders>
              <w:top w:val="single" w:color="auto" w:sz="4" w:space="0"/>
              <w:bottom w:val="single" w:color="auto" w:sz="4" w:space="0"/>
            </w:tcBorders>
            <w:shd w:val="clear" w:color="auto" w:fill="auto"/>
          </w:tcPr>
          <w:p>
            <w:pPr>
              <w:pStyle w:val="37"/>
              <w:spacing w:before="76"/>
              <w:ind w:left="72"/>
              <w:jc w:val="center"/>
              <w:rPr>
                <w:ins w:id="199" w:author="胡智行" w:date="2021-09-23T14:41:00Z"/>
                <w:sz w:val="24"/>
              </w:rPr>
            </w:pPr>
            <w:ins w:id="200" w:author="胡智行" w:date="2021-09-23T14:45:00Z">
              <w:r>
                <w:rPr>
                  <w:rFonts w:hint="eastAsia"/>
                  <w:sz w:val="24"/>
                </w:rPr>
                <w:t>投标人2017年1月1日以来（以获奖证书或获奖文件日期为准）总体规划、城镇体系规划获得全国优秀城乡规划设计奖，每有一个得</w:t>
              </w:r>
            </w:ins>
            <w:ins w:id="201" w:author="胡智行" w:date="2021-09-23T19:03:00Z">
              <w:r>
                <w:rPr>
                  <w:rFonts w:hint="eastAsia"/>
                  <w:sz w:val="24"/>
                </w:rPr>
                <w:t>3</w:t>
              </w:r>
            </w:ins>
            <w:ins w:id="202" w:author="胡智行" w:date="2021-09-23T14:45:00Z">
              <w:r>
                <w:rPr>
                  <w:rFonts w:hint="eastAsia"/>
                  <w:sz w:val="24"/>
                </w:rPr>
                <w:t>分，最高得</w:t>
              </w:r>
            </w:ins>
            <w:ins w:id="203" w:author="胡智行" w:date="2021-09-23T19:03:00Z">
              <w:r>
                <w:rPr>
                  <w:rFonts w:hint="eastAsia"/>
                  <w:sz w:val="24"/>
                </w:rPr>
                <w:t>9</w:t>
              </w:r>
            </w:ins>
            <w:ins w:id="204" w:author="胡智行" w:date="2021-09-23T14:45:00Z">
              <w:r>
                <w:rPr>
                  <w:rFonts w:hint="eastAsia"/>
                  <w:sz w:val="24"/>
                </w:rPr>
                <w:t>分；总体规划、城镇体系规划获得省级优秀工程设计奖，每有一个得2分，最高得</w:t>
              </w:r>
            </w:ins>
            <w:r>
              <w:rPr>
                <w:sz w:val="24"/>
              </w:rPr>
              <w:t>8</w:t>
            </w:r>
            <w:ins w:id="205" w:author="胡智行" w:date="2021-09-23T14:45:00Z">
              <w:r>
                <w:rPr>
                  <w:rFonts w:hint="eastAsia"/>
                  <w:sz w:val="24"/>
                </w:rPr>
                <w:t>分。本项最高得1</w:t>
              </w:r>
            </w:ins>
            <w:ins w:id="206" w:author="胡智行" w:date="2021-09-23T19:03:00Z">
              <w:r>
                <w:rPr>
                  <w:rFonts w:hint="eastAsia"/>
                  <w:sz w:val="24"/>
                </w:rPr>
                <w:t>5</w:t>
              </w:r>
            </w:ins>
            <w:ins w:id="207" w:author="胡智行" w:date="2021-09-23T14:45:00Z">
              <w:r>
                <w:rPr>
                  <w:rFonts w:hint="eastAsia"/>
                  <w:sz w:val="24"/>
                </w:rPr>
                <w:t>分，同一项目获得多个奖项的，仅按上述奖项中最高奖项计分。没有不得分。（提供相关获奖证书或获奖文件扫描件）</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6" w:hRule="atLeast"/>
          <w:jc w:val="center"/>
          <w:ins w:id="208" w:author="胡智行" w:date="2021-09-23T14:41:00Z"/>
        </w:trPr>
        <w:tc>
          <w:tcPr>
            <w:tcW w:w="746" w:type="dxa"/>
            <w:tcBorders>
              <w:top w:val="single" w:color="auto" w:sz="4" w:space="0"/>
              <w:bottom w:val="single" w:color="auto" w:sz="4" w:space="0"/>
            </w:tcBorders>
            <w:shd w:val="clear" w:color="auto" w:fill="auto"/>
            <w:vAlign w:val="center"/>
          </w:tcPr>
          <w:p>
            <w:pPr>
              <w:pStyle w:val="37"/>
              <w:spacing w:before="76"/>
              <w:ind w:left="72"/>
              <w:jc w:val="center"/>
              <w:rPr>
                <w:ins w:id="209" w:author="胡智行" w:date="2021-09-23T14:41:00Z"/>
                <w:sz w:val="24"/>
              </w:rPr>
            </w:pPr>
            <w:r>
              <w:rPr>
                <w:rFonts w:hint="eastAsia"/>
                <w:sz w:val="24"/>
              </w:rPr>
              <w:t>4</w:t>
            </w:r>
          </w:p>
        </w:tc>
        <w:tc>
          <w:tcPr>
            <w:tcW w:w="1813" w:type="dxa"/>
            <w:tcBorders>
              <w:top w:val="single" w:color="auto" w:sz="4" w:space="0"/>
              <w:bottom w:val="single" w:color="auto" w:sz="4" w:space="0"/>
            </w:tcBorders>
            <w:shd w:val="clear" w:color="auto" w:fill="auto"/>
            <w:vAlign w:val="center"/>
          </w:tcPr>
          <w:p>
            <w:pPr>
              <w:pStyle w:val="37"/>
              <w:spacing w:before="76"/>
              <w:ind w:left="72"/>
              <w:jc w:val="center"/>
              <w:rPr>
                <w:ins w:id="210" w:author="胡智行" w:date="2021-09-23T14:41:00Z"/>
                <w:sz w:val="24"/>
              </w:rPr>
            </w:pPr>
            <w:ins w:id="211" w:author="胡智行" w:date="2021-09-23T14:53:00Z">
              <w:r>
                <w:rPr>
                  <w:rFonts w:hint="eastAsia"/>
                  <w:sz w:val="24"/>
                </w:rPr>
                <w:t>企业其他要求</w:t>
              </w:r>
            </w:ins>
          </w:p>
        </w:tc>
        <w:tc>
          <w:tcPr>
            <w:tcW w:w="835" w:type="dxa"/>
            <w:tcBorders>
              <w:top w:val="single" w:color="auto" w:sz="4" w:space="0"/>
              <w:bottom w:val="single" w:color="auto" w:sz="4" w:space="0"/>
            </w:tcBorders>
            <w:shd w:val="clear" w:color="auto" w:fill="auto"/>
            <w:vAlign w:val="center"/>
          </w:tcPr>
          <w:p>
            <w:pPr>
              <w:pStyle w:val="37"/>
              <w:spacing w:before="76"/>
              <w:ind w:left="72"/>
              <w:jc w:val="center"/>
              <w:rPr>
                <w:ins w:id="212" w:author="胡智行" w:date="2021-09-23T14:41:00Z"/>
                <w:sz w:val="24"/>
              </w:rPr>
            </w:pPr>
            <w:ins w:id="213" w:author="胡智行" w:date="2021-09-23T14:53:00Z">
              <w:r>
                <w:rPr>
                  <w:rFonts w:hint="eastAsia"/>
                  <w:sz w:val="24"/>
                </w:rPr>
                <w:t>3分</w:t>
              </w:r>
            </w:ins>
          </w:p>
        </w:tc>
        <w:tc>
          <w:tcPr>
            <w:tcW w:w="6659" w:type="dxa"/>
            <w:tcBorders>
              <w:top w:val="single" w:color="auto" w:sz="4" w:space="0"/>
              <w:bottom w:val="single" w:color="auto" w:sz="4" w:space="0"/>
            </w:tcBorders>
            <w:shd w:val="clear" w:color="auto" w:fill="auto"/>
          </w:tcPr>
          <w:p>
            <w:pPr>
              <w:pStyle w:val="37"/>
              <w:spacing w:before="76"/>
              <w:ind w:left="72"/>
              <w:jc w:val="center"/>
              <w:rPr>
                <w:ins w:id="214" w:author="胡智行" w:date="2021-09-23T14:41:00Z"/>
                <w:sz w:val="24"/>
              </w:rPr>
            </w:pPr>
            <w:ins w:id="215" w:author="胡智行" w:date="2021-09-23T14:45:00Z">
              <w:r>
                <w:rPr>
                  <w:rFonts w:hint="eastAsia"/>
                  <w:sz w:val="24"/>
                </w:rPr>
                <w:t>投标人具备有效的质量管理体系、环境管理体系、职业健康安全管理体系证书的，每提供一个得1分，满分3分。没有不得分。（提供相关证书扫描件）。</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5" w:hRule="atLeast"/>
          <w:jc w:val="center"/>
          <w:ins w:id="216" w:author="胡智行" w:date="2021-09-23T14:40:00Z"/>
        </w:trPr>
        <w:tc>
          <w:tcPr>
            <w:tcW w:w="746" w:type="dxa"/>
            <w:tcBorders>
              <w:top w:val="single" w:color="auto" w:sz="4" w:space="0"/>
              <w:bottom w:val="single" w:color="auto" w:sz="4" w:space="0"/>
            </w:tcBorders>
            <w:shd w:val="clear" w:color="auto" w:fill="auto"/>
            <w:vAlign w:val="center"/>
          </w:tcPr>
          <w:p>
            <w:pPr>
              <w:rPr>
                <w:ins w:id="217" w:author="胡智行" w:date="2021-09-23T14:40:00Z"/>
                <w:sz w:val="24"/>
              </w:rPr>
            </w:pPr>
            <w:r>
              <w:rPr>
                <w:rFonts w:hint="eastAsia"/>
                <w:sz w:val="24"/>
              </w:rPr>
              <w:t>5</w:t>
            </w:r>
          </w:p>
        </w:tc>
        <w:tc>
          <w:tcPr>
            <w:tcW w:w="1813" w:type="dxa"/>
            <w:tcBorders>
              <w:top w:val="single" w:color="auto" w:sz="4" w:space="0"/>
              <w:bottom w:val="single" w:color="auto" w:sz="4" w:space="0"/>
            </w:tcBorders>
            <w:shd w:val="clear" w:color="auto" w:fill="auto"/>
            <w:vAlign w:val="center"/>
          </w:tcPr>
          <w:p>
            <w:pPr>
              <w:rPr>
                <w:ins w:id="218" w:author="胡智行" w:date="2021-09-23T14:40:00Z"/>
                <w:sz w:val="24"/>
              </w:rPr>
            </w:pPr>
            <w:ins w:id="219" w:author="胡智行" w:date="2021-09-23T14:59:00Z">
              <w:r>
                <w:rPr>
                  <w:rFonts w:hint="eastAsia"/>
                  <w:sz w:val="24"/>
                </w:rPr>
                <w:t>项目负责人要求</w:t>
              </w:r>
            </w:ins>
          </w:p>
        </w:tc>
        <w:tc>
          <w:tcPr>
            <w:tcW w:w="835" w:type="dxa"/>
            <w:tcBorders>
              <w:top w:val="single" w:color="auto" w:sz="4" w:space="0"/>
              <w:bottom w:val="single" w:color="auto" w:sz="4" w:space="0"/>
            </w:tcBorders>
            <w:shd w:val="clear" w:color="auto" w:fill="auto"/>
            <w:vAlign w:val="center"/>
          </w:tcPr>
          <w:p>
            <w:pPr>
              <w:rPr>
                <w:ins w:id="220" w:author="胡智行" w:date="2021-09-23T14:40:00Z"/>
                <w:sz w:val="24"/>
              </w:rPr>
            </w:pPr>
            <w:ins w:id="221" w:author="胡智行" w:date="2021-09-23T19:03:00Z">
              <w:r>
                <w:rPr>
                  <w:sz w:val="24"/>
                </w:rPr>
                <w:t>10</w:t>
              </w:r>
            </w:ins>
            <w:ins w:id="222" w:author="胡智行" w:date="2021-09-23T14:59:00Z">
              <w:r>
                <w:rPr>
                  <w:rFonts w:hint="eastAsia"/>
                  <w:sz w:val="24"/>
                </w:rPr>
                <w:t>分</w:t>
              </w:r>
            </w:ins>
          </w:p>
        </w:tc>
        <w:tc>
          <w:tcPr>
            <w:tcW w:w="6659" w:type="dxa"/>
            <w:tcBorders>
              <w:top w:val="single" w:color="auto" w:sz="4" w:space="0"/>
              <w:bottom w:val="single" w:color="auto" w:sz="4" w:space="0"/>
            </w:tcBorders>
            <w:shd w:val="clear" w:color="auto" w:fill="auto"/>
          </w:tcPr>
          <w:p>
            <w:pPr>
              <w:rPr>
                <w:ins w:id="223" w:author="胡智行" w:date="2021-09-23T14:55:00Z"/>
                <w:sz w:val="24"/>
              </w:rPr>
            </w:pPr>
            <w:ins w:id="224" w:author="胡智行" w:date="2021-09-23T14:55:00Z">
              <w:r>
                <w:rPr>
                  <w:rFonts w:hint="eastAsia"/>
                  <w:sz w:val="24"/>
                </w:rPr>
                <w:t>项目负责人资质：项目负责人具有正高职称（研究员级或教授级）得</w:t>
              </w:r>
            </w:ins>
            <w:ins w:id="225" w:author="胡智行" w:date="2021-09-23T14:55:00Z">
              <w:r>
                <w:rPr>
                  <w:sz w:val="24"/>
                </w:rPr>
                <w:t>2分</w:t>
              </w:r>
            </w:ins>
            <w:ins w:id="226" w:author="胡智行" w:date="2021-09-23T14:55:00Z">
              <w:r>
                <w:rPr>
                  <w:rFonts w:hint="eastAsia"/>
                  <w:sz w:val="24"/>
                </w:rPr>
                <w:t>。未提供不得分。</w:t>
              </w:r>
            </w:ins>
            <w:ins w:id="227" w:author="胡智行" w:date="2021-09-23T14:55:00Z">
              <w:r>
                <w:rPr>
                  <w:sz w:val="24"/>
                </w:rPr>
                <w:t xml:space="preserve">                                </w:t>
              </w:r>
            </w:ins>
          </w:p>
          <w:p>
            <w:pPr>
              <w:rPr>
                <w:ins w:id="228" w:author="胡智行" w:date="2021-09-23T14:40:00Z"/>
                <w:sz w:val="24"/>
              </w:rPr>
            </w:pPr>
            <w:ins w:id="229" w:author="胡智行" w:date="2021-09-23T14:55:00Z">
              <w:r>
                <w:rPr>
                  <w:rFonts w:hint="eastAsia"/>
                  <w:sz w:val="24"/>
                </w:rPr>
                <w:t>项目负责人获奖：项目负责人</w:t>
              </w:r>
            </w:ins>
            <w:ins w:id="230" w:author="胡智行" w:date="2021-09-23T14:55:00Z">
              <w:r>
                <w:rPr>
                  <w:sz w:val="24"/>
                </w:rPr>
                <w:t>2017年1月1日（以获奖证书或获奖文件日期为准）起至今，主持参与的城乡规划项目获得过省级及以上奖项的，每项得</w:t>
              </w:r>
            </w:ins>
            <w:ins w:id="231" w:author="胡智行" w:date="2021-09-23T19:03:00Z">
              <w:r>
                <w:rPr>
                  <w:sz w:val="24"/>
                </w:rPr>
                <w:t>2</w:t>
              </w:r>
            </w:ins>
            <w:ins w:id="232" w:author="胡智行" w:date="2021-09-23T14:55:00Z">
              <w:r>
                <w:rPr>
                  <w:sz w:val="24"/>
                </w:rPr>
                <w:t>分；本项最高得</w:t>
              </w:r>
            </w:ins>
            <w:ins w:id="233" w:author="胡智行" w:date="2021-09-23T19:03:00Z">
              <w:r>
                <w:rPr>
                  <w:sz w:val="24"/>
                </w:rPr>
                <w:t>8</w:t>
              </w:r>
            </w:ins>
            <w:ins w:id="234" w:author="胡智行" w:date="2021-09-23T14:55:00Z">
              <w:r>
                <w:rPr>
                  <w:sz w:val="24"/>
                </w:rPr>
                <w:t>分。</w:t>
              </w:r>
            </w:ins>
            <w:ins w:id="235" w:author="胡智行" w:date="2021-09-23T14:55:00Z">
              <w:r>
                <w:rPr>
                  <w:rFonts w:hint="eastAsia"/>
                  <w:sz w:val="24"/>
                </w:rPr>
                <w:t>（提供相关职称、获奖证书扫描件，同时提供项目负责人</w:t>
              </w:r>
            </w:ins>
            <w:ins w:id="236" w:author="胡智行" w:date="2021-09-23T14:55:00Z">
              <w:r>
                <w:rPr>
                  <w:sz w:val="24"/>
                </w:rPr>
                <w:t>202</w:t>
              </w:r>
            </w:ins>
            <w:ins w:id="237" w:author="胡智行" w:date="2021-09-23T15:03:00Z">
              <w:r>
                <w:rPr>
                  <w:sz w:val="24"/>
                </w:rPr>
                <w:t>1</w:t>
              </w:r>
            </w:ins>
            <w:ins w:id="238" w:author="胡智行" w:date="2021-09-23T14:55:00Z">
              <w:r>
                <w:rPr>
                  <w:rFonts w:hint="eastAsia"/>
                  <w:sz w:val="24"/>
                </w:rPr>
                <w:t>年</w:t>
              </w:r>
            </w:ins>
            <w:r>
              <w:rPr>
                <w:sz w:val="24"/>
              </w:rPr>
              <w:t>3</w:t>
            </w:r>
            <w:ins w:id="239" w:author="胡智行" w:date="2021-09-23T14:55:00Z">
              <w:r>
                <w:rPr>
                  <w:rFonts w:hint="eastAsia"/>
                  <w:sz w:val="24"/>
                </w:rPr>
                <w:t>月至</w:t>
              </w:r>
            </w:ins>
            <w:ins w:id="240" w:author="胡智行" w:date="2021-09-23T14:55:00Z">
              <w:r>
                <w:rPr>
                  <w:sz w:val="24"/>
                </w:rPr>
                <w:t>2021年</w:t>
              </w:r>
            </w:ins>
            <w:ins w:id="241" w:author="胡智行" w:date="2021-09-23T14:56:00Z">
              <w:r>
                <w:rPr>
                  <w:sz w:val="24"/>
                </w:rPr>
                <w:t>8</w:t>
              </w:r>
            </w:ins>
            <w:ins w:id="242" w:author="胡智行" w:date="2021-09-23T14:55:00Z">
              <w:r>
                <w:rPr>
                  <w:rFonts w:hint="eastAsia"/>
                  <w:sz w:val="24"/>
                </w:rPr>
                <w:t>月单位为其缴纳的社保证明材料</w:t>
              </w:r>
            </w:ins>
            <w:ins w:id="243" w:author="胡智行" w:date="2021-09-23T19:05:00Z">
              <w:r>
                <w:rPr>
                  <w:rFonts w:hint="eastAsia"/>
                  <w:sz w:val="24"/>
                </w:rPr>
                <w:t>，获奖材料需提供项目获奖证明文件复印件并加盖投标人公章，且项目负责人为获奖人员排名前</w:t>
              </w:r>
            </w:ins>
            <w:ins w:id="244" w:author="胡智行" w:date="2021-09-23T19:05:00Z">
              <w:r>
                <w:rPr>
                  <w:sz w:val="24"/>
                </w:rPr>
                <w:t>4，否则视为无效</w:t>
              </w:r>
            </w:ins>
            <w:ins w:id="245" w:author="胡智行" w:date="2021-09-23T14:55:00Z">
              <w:r>
                <w:rPr>
                  <w:rFonts w:hint="eastAsia"/>
                  <w:sz w:val="24"/>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5" w:hRule="atLeast"/>
          <w:jc w:val="center"/>
          <w:ins w:id="246" w:author="胡智行" w:date="2021-09-23T14:40:00Z"/>
        </w:trPr>
        <w:tc>
          <w:tcPr>
            <w:tcW w:w="746" w:type="dxa"/>
            <w:tcBorders>
              <w:top w:val="single" w:color="auto" w:sz="4" w:space="0"/>
              <w:bottom w:val="single" w:color="auto" w:sz="4" w:space="0"/>
            </w:tcBorders>
            <w:shd w:val="clear" w:color="auto" w:fill="auto"/>
            <w:vAlign w:val="center"/>
          </w:tcPr>
          <w:p>
            <w:pPr>
              <w:rPr>
                <w:ins w:id="247" w:author="胡智行" w:date="2021-09-23T14:40:00Z"/>
              </w:rPr>
            </w:pPr>
            <w:r>
              <w:rPr>
                <w:rFonts w:hint="eastAsia"/>
              </w:rPr>
              <w:t>6</w:t>
            </w:r>
          </w:p>
        </w:tc>
        <w:tc>
          <w:tcPr>
            <w:tcW w:w="1813" w:type="dxa"/>
            <w:tcBorders>
              <w:top w:val="single" w:color="auto" w:sz="4" w:space="0"/>
              <w:bottom w:val="single" w:color="auto" w:sz="4" w:space="0"/>
            </w:tcBorders>
            <w:shd w:val="clear" w:color="auto" w:fill="auto"/>
            <w:vAlign w:val="center"/>
          </w:tcPr>
          <w:p>
            <w:pPr>
              <w:rPr>
                <w:ins w:id="248" w:author="胡智行" w:date="2021-09-23T14:40:00Z"/>
              </w:rPr>
            </w:pPr>
            <w:ins w:id="249" w:author="胡智行" w:date="2021-09-23T14:59:00Z">
              <w:r>
                <w:rPr>
                  <w:rFonts w:hint="eastAsia"/>
                </w:rPr>
                <w:t>技术团队要求</w:t>
              </w:r>
            </w:ins>
          </w:p>
        </w:tc>
        <w:tc>
          <w:tcPr>
            <w:tcW w:w="835" w:type="dxa"/>
            <w:tcBorders>
              <w:top w:val="single" w:color="auto" w:sz="4" w:space="0"/>
              <w:bottom w:val="single" w:color="auto" w:sz="4" w:space="0"/>
            </w:tcBorders>
            <w:shd w:val="clear" w:color="auto" w:fill="auto"/>
            <w:vAlign w:val="center"/>
          </w:tcPr>
          <w:p>
            <w:pPr>
              <w:rPr>
                <w:ins w:id="250" w:author="胡智行" w:date="2021-09-23T14:40:00Z"/>
              </w:rPr>
            </w:pPr>
            <w:ins w:id="251" w:author="胡智行" w:date="2021-09-23T14:58:00Z">
              <w:r>
                <w:rPr/>
                <w:t>4分</w:t>
              </w:r>
            </w:ins>
          </w:p>
        </w:tc>
        <w:tc>
          <w:tcPr>
            <w:tcW w:w="6659" w:type="dxa"/>
            <w:tcBorders>
              <w:top w:val="single" w:color="auto" w:sz="4" w:space="0"/>
              <w:bottom w:val="single" w:color="auto" w:sz="4" w:space="0"/>
            </w:tcBorders>
            <w:shd w:val="clear" w:color="auto" w:fill="auto"/>
          </w:tcPr>
          <w:p>
            <w:pPr>
              <w:rPr>
                <w:ins w:id="252" w:author="胡智行" w:date="2021-09-23T14:40:00Z"/>
              </w:rPr>
            </w:pPr>
            <w:ins w:id="253" w:author="胡智行" w:date="2021-09-23T14:55:00Z">
              <w:r>
                <w:rPr>
                  <w:rFonts w:hint="eastAsia"/>
                </w:rPr>
                <w:t>项目组成员（不含项目负责人）需配备规划、市政、交通、土地、景观专业人员，满足要求得</w:t>
              </w:r>
            </w:ins>
            <w:ins w:id="254" w:author="胡智行" w:date="2021-09-23T14:55:00Z">
              <w:r>
                <w:rPr/>
                <w:t>4分，否则不得分。</w:t>
              </w:r>
            </w:ins>
            <w:ins w:id="255" w:author="胡智行" w:date="2021-09-23T14:55:00Z">
              <w:r>
                <w:rPr>
                  <w:rFonts w:hint="eastAsia"/>
                </w:rPr>
                <w:t>（提供相关执业资格证书扫描件，同时提供项目组成员（不含项目负责人）</w:t>
              </w:r>
            </w:ins>
            <w:ins w:id="256" w:author="胡智行" w:date="2021-09-23T14:57:00Z">
              <w:r>
                <w:rPr/>
                <w:t>202</w:t>
              </w:r>
            </w:ins>
            <w:ins w:id="257" w:author="胡智行" w:date="2021-09-23T15:03:00Z">
              <w:r>
                <w:rPr/>
                <w:t>1</w:t>
              </w:r>
            </w:ins>
            <w:ins w:id="258" w:author="胡智行" w:date="2021-09-23T14:57:00Z">
              <w:r>
                <w:rPr>
                  <w:rFonts w:hint="eastAsia"/>
                </w:rPr>
                <w:t>年</w:t>
              </w:r>
            </w:ins>
            <w:r>
              <w:t>3</w:t>
            </w:r>
            <w:ins w:id="259" w:author="胡智行" w:date="2021-09-23T14:57:00Z">
              <w:r>
                <w:rPr>
                  <w:rFonts w:hint="eastAsia"/>
                </w:rPr>
                <w:t>月至</w:t>
              </w:r>
            </w:ins>
            <w:ins w:id="260" w:author="胡智行" w:date="2021-09-23T14:57:00Z">
              <w:r>
                <w:rPr/>
                <w:t>2021年8</w:t>
              </w:r>
            </w:ins>
            <w:ins w:id="261" w:author="胡智行" w:date="2021-09-23T14:57:00Z">
              <w:r>
                <w:rPr>
                  <w:rFonts w:hint="eastAsia"/>
                </w:rPr>
                <w:t>月</w:t>
              </w:r>
            </w:ins>
            <w:ins w:id="262" w:author="胡智行" w:date="2021-09-23T14:55:00Z">
              <w:r>
                <w:rPr>
                  <w:rFonts w:hint="eastAsia"/>
                </w:rPr>
                <w:t>单位为其缴纳的社保证明材料）</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5" w:hRule="atLeast"/>
          <w:jc w:val="center"/>
          <w:ins w:id="263" w:author="Crazy俊" w:date="2021-09-26T16:51:00Z"/>
        </w:trPr>
        <w:tc>
          <w:tcPr>
            <w:tcW w:w="746" w:type="dxa"/>
            <w:tcBorders>
              <w:top w:val="single" w:color="auto" w:sz="4" w:space="0"/>
              <w:bottom w:val="single" w:color="auto" w:sz="4" w:space="0"/>
            </w:tcBorders>
            <w:shd w:val="clear" w:color="auto" w:fill="auto"/>
            <w:vAlign w:val="center"/>
          </w:tcPr>
          <w:p>
            <w:pPr>
              <w:rPr>
                <w:ins w:id="264" w:author="Crazy俊" w:date="2021-09-26T16:51:00Z"/>
              </w:rPr>
            </w:pPr>
            <w:r>
              <w:rPr>
                <w:rFonts w:hint="eastAsia"/>
              </w:rPr>
              <w:t>7</w:t>
            </w:r>
          </w:p>
        </w:tc>
        <w:tc>
          <w:tcPr>
            <w:tcW w:w="1813" w:type="dxa"/>
            <w:tcBorders>
              <w:top w:val="single" w:color="auto" w:sz="4" w:space="0"/>
              <w:bottom w:val="single" w:color="auto" w:sz="4" w:space="0"/>
            </w:tcBorders>
            <w:shd w:val="clear" w:color="auto" w:fill="auto"/>
            <w:vAlign w:val="center"/>
          </w:tcPr>
          <w:p>
            <w:pPr>
              <w:rPr>
                <w:ins w:id="265" w:author="Crazy俊" w:date="2021-09-26T16:51:00Z"/>
              </w:rPr>
            </w:pPr>
            <w:ins w:id="266" w:author="Crazy俊" w:date="2021-09-26T16:51:00Z">
              <w:r>
                <w:rPr>
                  <w:rFonts w:hint="eastAsia"/>
                  <w:lang w:val="en-US"/>
                </w:rPr>
                <w:t>后续</w:t>
              </w:r>
            </w:ins>
            <w:ins w:id="267" w:author="Crazy俊" w:date="2021-09-26T16:51:00Z">
              <w:r>
                <w:rPr>
                  <w:rFonts w:hint="eastAsia"/>
                </w:rPr>
                <w:t>服务承诺</w:t>
              </w:r>
            </w:ins>
          </w:p>
        </w:tc>
        <w:tc>
          <w:tcPr>
            <w:tcW w:w="835" w:type="dxa"/>
            <w:tcBorders>
              <w:top w:val="single" w:color="auto" w:sz="4" w:space="0"/>
              <w:bottom w:val="single" w:color="auto" w:sz="4" w:space="0"/>
            </w:tcBorders>
            <w:shd w:val="clear" w:color="auto" w:fill="auto"/>
            <w:vAlign w:val="center"/>
          </w:tcPr>
          <w:p>
            <w:pPr>
              <w:rPr>
                <w:ins w:id="268" w:author="Crazy俊" w:date="2021-09-26T16:51:00Z"/>
                <w:lang w:val="en-US"/>
              </w:rPr>
            </w:pPr>
            <w:r>
              <w:rPr>
                <w:lang w:val="en-US"/>
              </w:rPr>
              <w:t>4</w:t>
            </w:r>
            <w:ins w:id="269" w:author="Crazy俊" w:date="2021-09-26T16:51:00Z">
              <w:r>
                <w:rPr>
                  <w:rFonts w:hint="eastAsia"/>
                  <w:lang w:val="en-US"/>
                </w:rPr>
                <w:t>分</w:t>
              </w:r>
            </w:ins>
          </w:p>
        </w:tc>
        <w:tc>
          <w:tcPr>
            <w:tcW w:w="6659" w:type="dxa"/>
            <w:tcBorders>
              <w:top w:val="single" w:color="auto" w:sz="4" w:space="0"/>
              <w:bottom w:val="single" w:color="auto" w:sz="4" w:space="0"/>
            </w:tcBorders>
            <w:shd w:val="clear" w:color="auto" w:fill="auto"/>
          </w:tcPr>
          <w:p>
            <w:pPr>
              <w:rPr>
                <w:ins w:id="270" w:author="Crazy俊" w:date="2021-09-26T16:51:00Z"/>
              </w:rPr>
            </w:pPr>
            <w:ins w:id="271" w:author="Crazy俊" w:date="2021-09-26T16:51:00Z">
              <w:r>
                <w:rPr>
                  <w:rFonts w:hint="eastAsia"/>
                </w:rPr>
                <w:t>承诺有良好的职业道德，遵守法律，服从管理，自觉接受监督，服务承诺合理可行、针对性强</w:t>
              </w:r>
            </w:ins>
            <w:ins w:id="272" w:author="Crazy俊" w:date="2021-09-26T16:51:00Z">
              <w:r>
                <w:rPr>
                  <w:rFonts w:hint="eastAsia"/>
                  <w:lang w:val="en-US"/>
                </w:rPr>
                <w:t>得</w:t>
              </w:r>
            </w:ins>
            <w:r>
              <w:rPr>
                <w:lang w:val="en-US"/>
              </w:rPr>
              <w:t>4</w:t>
            </w:r>
            <w:ins w:id="273" w:author="Crazy俊" w:date="2021-09-26T16:51:00Z">
              <w:r>
                <w:rPr>
                  <w:rFonts w:hint="eastAsia"/>
                </w:rPr>
                <w:t>分；服务承诺较为完善、基本可行</w:t>
              </w:r>
            </w:ins>
            <w:ins w:id="274" w:author="Crazy俊" w:date="2021-09-26T16:51:00Z">
              <w:r>
                <w:rPr>
                  <w:rFonts w:hint="eastAsia"/>
                  <w:lang w:val="en-US"/>
                </w:rPr>
                <w:t>得4</w:t>
              </w:r>
            </w:ins>
            <w:ins w:id="275" w:author="Crazy俊" w:date="2021-09-26T16:51:00Z">
              <w:r>
                <w:rPr>
                  <w:rFonts w:hint="eastAsia"/>
                </w:rPr>
                <w:t>分；服务承诺不够完善一般1</w:t>
              </w:r>
            </w:ins>
            <w:ins w:id="276" w:author="Crazy俊" w:date="2021-09-26T16:51:00Z">
              <w:r>
                <w:rPr>
                  <w:rFonts w:hint="eastAsia"/>
                  <w:lang w:val="en-US"/>
                </w:rPr>
                <w:t>-2</w:t>
              </w:r>
            </w:ins>
            <w:ins w:id="277" w:author="Crazy俊" w:date="2021-09-26T16:51:00Z">
              <w:r>
                <w:rPr>
                  <w:rFonts w:hint="eastAsia"/>
                </w:rPr>
                <w:t>分；服务承诺较差的或者没有服务承诺的不得分。</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8" w:hRule="atLeast"/>
          <w:jc w:val="center"/>
        </w:trPr>
        <w:tc>
          <w:tcPr>
            <w:tcW w:w="10053" w:type="dxa"/>
            <w:gridSpan w:val="4"/>
            <w:tcBorders>
              <w:top w:val="single" w:color="auto" w:sz="4" w:space="0"/>
              <w:bottom w:val="single" w:color="auto" w:sz="4" w:space="0"/>
            </w:tcBorders>
            <w:shd w:val="clear" w:color="auto" w:fill="auto"/>
            <w:vAlign w:val="center"/>
          </w:tcPr>
          <w:p>
            <w:pPr>
              <w:jc w:val="center"/>
            </w:pPr>
            <w:r>
              <w:rPr>
                <w:rFonts w:hint="eastAsia"/>
              </w:rPr>
              <w:t>技术</w:t>
            </w:r>
            <w:ins w:id="278" w:author="胡智行" w:date="2021-09-23T15:03:00Z">
              <w:r>
                <w:rPr>
                  <w:rFonts w:hint="eastAsia"/>
                </w:rPr>
                <w:t>服务方案评价</w:t>
              </w:r>
            </w:ins>
            <w:ins w:id="279" w:author="胡智行" w:date="2021-09-23T15:03:00Z">
              <w:r>
                <w:rPr/>
                <w:t>40</w:t>
              </w:r>
            </w:ins>
            <w:ins w:id="280" w:author="胡智行" w:date="2021-09-23T15:03:00Z">
              <w:r>
                <w:rPr>
                  <w:rFonts w:hint="eastAsia"/>
                </w:rPr>
                <w:t>分</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746" w:type="dxa"/>
            <w:tcBorders>
              <w:top w:val="single" w:color="auto" w:sz="4" w:space="0"/>
              <w:bottom w:val="single" w:color="auto" w:sz="4" w:space="0"/>
            </w:tcBorders>
            <w:shd w:val="clear" w:color="auto" w:fill="auto"/>
            <w:vAlign w:val="center"/>
          </w:tcPr>
          <w:p>
            <w:r>
              <w:t>8</w:t>
            </w:r>
          </w:p>
        </w:tc>
        <w:tc>
          <w:tcPr>
            <w:tcW w:w="1813" w:type="dxa"/>
            <w:tcBorders>
              <w:top w:val="single" w:color="auto" w:sz="4" w:space="0"/>
              <w:bottom w:val="single" w:color="auto" w:sz="4" w:space="0"/>
            </w:tcBorders>
            <w:shd w:val="clear" w:color="auto" w:fill="auto"/>
            <w:vAlign w:val="center"/>
          </w:tcPr>
          <w:p>
            <w:ins w:id="281" w:author="胡智行" w:date="2021-09-23T15:17:00Z">
              <w:r>
                <w:rPr>
                  <w:rFonts w:hint="eastAsia"/>
                </w:rPr>
                <w:t>项目认知</w:t>
              </w:r>
            </w:ins>
          </w:p>
        </w:tc>
        <w:tc>
          <w:tcPr>
            <w:tcW w:w="835" w:type="dxa"/>
            <w:tcBorders>
              <w:top w:val="single" w:color="auto" w:sz="4" w:space="0"/>
              <w:bottom w:val="single" w:color="auto" w:sz="4" w:space="0"/>
            </w:tcBorders>
            <w:shd w:val="clear" w:color="auto" w:fill="auto"/>
            <w:vAlign w:val="center"/>
          </w:tcPr>
          <w:p>
            <w:r>
              <w:t>1</w:t>
            </w:r>
            <w:ins w:id="282" w:author="胡智行" w:date="2021-09-23T15:24:00Z">
              <w:r>
                <w:rPr/>
                <w:t>0</w:t>
              </w:r>
            </w:ins>
            <w:r>
              <w:rPr>
                <w:rFonts w:hint="eastAsia"/>
              </w:rPr>
              <w:t>分</w:t>
            </w:r>
          </w:p>
        </w:tc>
        <w:tc>
          <w:tcPr>
            <w:tcW w:w="6659" w:type="dxa"/>
            <w:tcBorders>
              <w:top w:val="single" w:color="auto" w:sz="4" w:space="0"/>
              <w:bottom w:val="single" w:color="auto" w:sz="4" w:space="0"/>
            </w:tcBorders>
            <w:shd w:val="clear" w:color="auto" w:fill="auto"/>
          </w:tcPr>
          <w:p>
            <w:pPr>
              <w:rPr>
                <w:ins w:id="283" w:author="胡智行" w:date="2021-09-23T15:20:00Z"/>
              </w:rPr>
            </w:pPr>
            <w:ins w:id="284" w:author="胡智行" w:date="2021-09-23T15:18:00Z">
              <w:r>
                <w:rPr>
                  <w:rFonts w:hint="eastAsia"/>
                </w:rPr>
                <w:t>考察投标人对那拉提总体发展情况的认知，对那拉提发展基础、现状问题和发展条件的认知，对项目工作内容和目的的认知，是否符合当地实际</w:t>
              </w:r>
            </w:ins>
            <w:ins w:id="285" w:author="胡智行" w:date="2021-09-23T15:19:00Z">
              <w:r>
                <w:rPr>
                  <w:rFonts w:hint="eastAsia"/>
                </w:rPr>
                <w:t>和宏观发展要求。</w:t>
              </w:r>
            </w:ins>
          </w:p>
          <w:p>
            <w:ins w:id="286" w:author="胡智行" w:date="2021-09-23T15:19:00Z">
              <w:r>
                <w:rPr>
                  <w:rFonts w:hint="eastAsia"/>
                </w:rPr>
                <w:t>优</w:t>
              </w:r>
            </w:ins>
            <w:ins w:id="287" w:author="胡智行" w:date="2021-09-23T15:19:00Z">
              <w:r>
                <w:rPr/>
                <w:t>10分，良好8分，中等6分，一般4分，差2分，没有内容不得分。</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51" w:hRule="atLeast"/>
          <w:jc w:val="center"/>
        </w:trPr>
        <w:tc>
          <w:tcPr>
            <w:tcW w:w="746" w:type="dxa"/>
            <w:tcBorders>
              <w:top w:val="single" w:color="auto" w:sz="4" w:space="0"/>
              <w:bottom w:val="single" w:color="auto" w:sz="4" w:space="0"/>
            </w:tcBorders>
            <w:shd w:val="clear" w:color="auto" w:fill="auto"/>
            <w:vAlign w:val="center"/>
          </w:tcPr>
          <w:p>
            <w:pPr>
              <w:rPr>
                <w:lang w:val="en-US"/>
              </w:rPr>
            </w:pPr>
            <w:r>
              <w:rPr>
                <w:lang w:val="en-US"/>
              </w:rPr>
              <w:t>9</w:t>
            </w:r>
          </w:p>
        </w:tc>
        <w:tc>
          <w:tcPr>
            <w:tcW w:w="1813" w:type="dxa"/>
            <w:tcBorders>
              <w:top w:val="single" w:color="auto" w:sz="4" w:space="0"/>
              <w:bottom w:val="single" w:color="auto" w:sz="4" w:space="0"/>
            </w:tcBorders>
            <w:shd w:val="clear" w:color="auto" w:fill="auto"/>
            <w:vAlign w:val="center"/>
          </w:tcPr>
          <w:p>
            <w:ins w:id="288" w:author="胡智行" w:date="2021-09-23T15:17:00Z">
              <w:r>
                <w:rPr>
                  <w:rFonts w:hint="eastAsia"/>
                </w:rPr>
                <w:t>整体思路</w:t>
              </w:r>
            </w:ins>
          </w:p>
        </w:tc>
        <w:tc>
          <w:tcPr>
            <w:tcW w:w="835" w:type="dxa"/>
            <w:tcBorders>
              <w:top w:val="single" w:color="auto" w:sz="4" w:space="0"/>
              <w:bottom w:val="single" w:color="auto" w:sz="4" w:space="0"/>
            </w:tcBorders>
            <w:shd w:val="clear" w:color="auto" w:fill="auto"/>
            <w:vAlign w:val="center"/>
          </w:tcPr>
          <w:p>
            <w:r>
              <w:t>1</w:t>
            </w:r>
            <w:ins w:id="289" w:author="胡智行" w:date="2021-09-23T15:24:00Z">
              <w:r>
                <w:rPr/>
                <w:t>0</w:t>
              </w:r>
            </w:ins>
            <w:r>
              <w:rPr>
                <w:rFonts w:hint="eastAsia"/>
              </w:rPr>
              <w:t>分</w:t>
            </w:r>
          </w:p>
        </w:tc>
        <w:tc>
          <w:tcPr>
            <w:tcW w:w="6659" w:type="dxa"/>
            <w:tcBorders>
              <w:top w:val="single" w:color="auto" w:sz="4" w:space="0"/>
              <w:bottom w:val="single" w:color="auto" w:sz="4" w:space="0"/>
            </w:tcBorders>
            <w:shd w:val="clear" w:color="auto" w:fill="auto"/>
          </w:tcPr>
          <w:p>
            <w:pPr>
              <w:rPr>
                <w:ins w:id="290" w:author="胡智行" w:date="2021-09-23T15:20:00Z"/>
              </w:rPr>
            </w:pPr>
            <w:ins w:id="291" w:author="胡智行" w:date="2021-09-23T15:20:00Z">
              <w:r>
                <w:rPr>
                  <w:rFonts w:hint="eastAsia"/>
                </w:rPr>
                <w:t>根据投标人对本次规划任务的理解，规划分析思路、方法是否科学，提出的研究内容是否全面，对重点、难点的把握是否准确等方面进行对比打分。</w:t>
              </w:r>
            </w:ins>
          </w:p>
          <w:p>
            <w:ins w:id="292" w:author="胡智行" w:date="2021-09-23T15:20:00Z">
              <w:r>
                <w:rPr>
                  <w:rFonts w:hint="eastAsia"/>
                </w:rPr>
                <w:t>优</w:t>
              </w:r>
            </w:ins>
            <w:ins w:id="293" w:author="胡智行" w:date="2021-09-23T15:20:00Z">
              <w:r>
                <w:rPr/>
                <w:t>10分，良好8分，中等6分，一般4分，差2分，没有内容不得分。</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2" w:hRule="atLeast"/>
          <w:jc w:val="center"/>
        </w:trPr>
        <w:tc>
          <w:tcPr>
            <w:tcW w:w="746" w:type="dxa"/>
            <w:tcBorders>
              <w:top w:val="single" w:color="auto" w:sz="4" w:space="0"/>
              <w:bottom w:val="single" w:color="auto" w:sz="4" w:space="0"/>
            </w:tcBorders>
            <w:shd w:val="clear" w:color="auto" w:fill="auto"/>
            <w:vAlign w:val="center"/>
          </w:tcPr>
          <w:p>
            <w:r>
              <w:rPr>
                <w:lang w:val="en-US"/>
              </w:rPr>
              <w:t>10</w:t>
            </w:r>
          </w:p>
        </w:tc>
        <w:tc>
          <w:tcPr>
            <w:tcW w:w="1813" w:type="dxa"/>
            <w:tcBorders>
              <w:top w:val="single" w:color="auto" w:sz="4" w:space="0"/>
              <w:bottom w:val="single" w:color="auto" w:sz="4" w:space="0"/>
            </w:tcBorders>
            <w:shd w:val="clear" w:color="auto" w:fill="auto"/>
            <w:vAlign w:val="center"/>
          </w:tcPr>
          <w:p>
            <w:ins w:id="294" w:author="胡智行" w:date="2021-09-23T15:17:00Z">
              <w:r>
                <w:rPr>
                  <w:rFonts w:hint="eastAsia"/>
                </w:rPr>
                <w:t>主要内容与分析策略</w:t>
              </w:r>
            </w:ins>
          </w:p>
        </w:tc>
        <w:tc>
          <w:tcPr>
            <w:tcW w:w="835" w:type="dxa"/>
            <w:tcBorders>
              <w:top w:val="single" w:color="auto" w:sz="4" w:space="0"/>
              <w:bottom w:val="single" w:color="auto" w:sz="4" w:space="0"/>
            </w:tcBorders>
            <w:shd w:val="clear" w:color="auto" w:fill="auto"/>
            <w:vAlign w:val="center"/>
          </w:tcPr>
          <w:p>
            <w:r>
              <w:t>1</w:t>
            </w:r>
            <w:ins w:id="295" w:author="胡智行" w:date="2021-09-23T15:24:00Z">
              <w:r>
                <w:rPr/>
                <w:t>5</w:t>
              </w:r>
            </w:ins>
            <w:r>
              <w:rPr>
                <w:rFonts w:hint="eastAsia"/>
              </w:rPr>
              <w:t>分</w:t>
            </w:r>
          </w:p>
        </w:tc>
        <w:tc>
          <w:tcPr>
            <w:tcW w:w="6659" w:type="dxa"/>
            <w:tcBorders>
              <w:top w:val="single" w:color="auto" w:sz="4" w:space="0"/>
              <w:bottom w:val="single" w:color="auto" w:sz="4" w:space="0"/>
            </w:tcBorders>
            <w:shd w:val="clear" w:color="auto" w:fill="auto"/>
          </w:tcPr>
          <w:p>
            <w:pPr>
              <w:rPr>
                <w:ins w:id="296" w:author="胡智行" w:date="2021-09-23T15:21:00Z"/>
              </w:rPr>
            </w:pPr>
            <w:ins w:id="297" w:author="胡智行" w:date="2021-09-23T15:20:00Z">
              <w:r>
                <w:rPr>
                  <w:rFonts w:hint="eastAsia"/>
                </w:rPr>
                <w:t>评委委员会根据各投标人针对本次规划涉及的战略目标、三线划定、空间分区管控、建设规模、人口规模、产业布局</w:t>
              </w:r>
            </w:ins>
            <w:ins w:id="298" w:author="胡智行" w:date="2021-09-23T15:23:00Z">
              <w:r>
                <w:rPr>
                  <w:rFonts w:hint="eastAsia"/>
                </w:rPr>
                <w:t>、旅游发展策略</w:t>
              </w:r>
            </w:ins>
            <w:ins w:id="299" w:author="胡智行" w:date="2021-09-23T15:24:00Z">
              <w:r>
                <w:rPr>
                  <w:rFonts w:hint="eastAsia"/>
                </w:rPr>
                <w:t>、生态管控</w:t>
              </w:r>
            </w:ins>
            <w:ins w:id="300" w:author="胡智行" w:date="2021-09-23T15:20:00Z">
              <w:r>
                <w:rPr>
                  <w:rFonts w:hint="eastAsia"/>
                </w:rPr>
                <w:t>等主要内容是否进行重点分析，并提出明确的策略</w:t>
              </w:r>
            </w:ins>
            <w:ins w:id="301" w:author="胡智行" w:date="2021-09-23T15:21:00Z">
              <w:r>
                <w:rPr>
                  <w:rFonts w:hint="eastAsia"/>
                </w:rPr>
                <w:t>。</w:t>
              </w:r>
            </w:ins>
          </w:p>
          <w:p>
            <w:ins w:id="302" w:author="胡智行" w:date="2021-09-23T15:21:00Z">
              <w:r>
                <w:rPr>
                  <w:rFonts w:hint="eastAsia"/>
                </w:rPr>
                <w:t>优</w:t>
              </w:r>
            </w:ins>
            <w:ins w:id="303" w:author="胡智行" w:date="2021-09-23T15:21:00Z">
              <w:r>
                <w:rPr/>
                <w:t>1</w:t>
              </w:r>
            </w:ins>
            <w:ins w:id="304" w:author="胡智行" w:date="2021-09-23T15:25:00Z">
              <w:r>
                <w:rPr/>
                <w:t>5</w:t>
              </w:r>
            </w:ins>
            <w:ins w:id="305" w:author="胡智行" w:date="2021-09-23T15:21:00Z">
              <w:r>
                <w:rPr/>
                <w:t>分，良好</w:t>
              </w:r>
            </w:ins>
            <w:ins w:id="306" w:author="胡智行" w:date="2021-09-23T15:25:00Z">
              <w:r>
                <w:rPr/>
                <w:t>12</w:t>
              </w:r>
            </w:ins>
            <w:ins w:id="307" w:author="胡智行" w:date="2021-09-23T15:21:00Z">
              <w:r>
                <w:rPr/>
                <w:t>分，中等</w:t>
              </w:r>
            </w:ins>
            <w:ins w:id="308" w:author="胡智行" w:date="2021-09-23T15:25:00Z">
              <w:r>
                <w:rPr/>
                <w:t>8</w:t>
              </w:r>
            </w:ins>
            <w:ins w:id="309" w:author="胡智行" w:date="2021-09-23T15:21:00Z">
              <w:r>
                <w:rPr/>
                <w:t>分，差</w:t>
              </w:r>
            </w:ins>
            <w:ins w:id="310" w:author="胡智行" w:date="2021-09-23T15:25:00Z">
              <w:r>
                <w:rPr/>
                <w:t>4</w:t>
              </w:r>
            </w:ins>
            <w:ins w:id="311" w:author="胡智行" w:date="2021-09-23T15:21:00Z">
              <w:r>
                <w:rPr/>
                <w:t>分，没有内容不得分。</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94" w:hRule="atLeast"/>
          <w:jc w:val="center"/>
        </w:trPr>
        <w:tc>
          <w:tcPr>
            <w:tcW w:w="746" w:type="dxa"/>
            <w:tcBorders>
              <w:top w:val="single" w:color="auto" w:sz="4" w:space="0"/>
              <w:bottom w:val="single" w:color="auto" w:sz="4" w:space="0"/>
            </w:tcBorders>
            <w:shd w:val="clear" w:color="auto" w:fill="auto"/>
            <w:vAlign w:val="center"/>
          </w:tcPr>
          <w:p>
            <w:pPr>
              <w:rPr>
                <w:lang w:val="en-US"/>
              </w:rPr>
            </w:pPr>
            <w:r>
              <w:rPr>
                <w:lang w:val="en-US"/>
              </w:rPr>
              <w:t>11</w:t>
            </w:r>
          </w:p>
        </w:tc>
        <w:tc>
          <w:tcPr>
            <w:tcW w:w="1813" w:type="dxa"/>
            <w:tcBorders>
              <w:top w:val="single" w:color="auto" w:sz="4" w:space="0"/>
              <w:bottom w:val="single" w:color="auto" w:sz="4" w:space="0"/>
            </w:tcBorders>
            <w:shd w:val="clear" w:color="auto" w:fill="auto"/>
            <w:vAlign w:val="center"/>
          </w:tcPr>
          <w:p>
            <w:ins w:id="312" w:author="胡智行" w:date="2021-09-23T15:17:00Z">
              <w:r>
                <w:rPr>
                  <w:rFonts w:hint="eastAsia"/>
                </w:rPr>
                <w:t>进度安排</w:t>
              </w:r>
            </w:ins>
          </w:p>
        </w:tc>
        <w:tc>
          <w:tcPr>
            <w:tcW w:w="835" w:type="dxa"/>
            <w:tcBorders>
              <w:top w:val="single" w:color="auto" w:sz="4" w:space="0"/>
              <w:bottom w:val="single" w:color="auto" w:sz="4" w:space="0"/>
            </w:tcBorders>
            <w:shd w:val="clear" w:color="auto" w:fill="auto"/>
            <w:vAlign w:val="center"/>
          </w:tcPr>
          <w:p>
            <w:ins w:id="313" w:author="胡智行" w:date="2021-09-23T15:25:00Z">
              <w:r>
                <w:rPr/>
                <w:t>5</w:t>
              </w:r>
            </w:ins>
            <w:r>
              <w:rPr>
                <w:rFonts w:hint="eastAsia"/>
              </w:rPr>
              <w:t>分</w:t>
            </w:r>
          </w:p>
        </w:tc>
        <w:tc>
          <w:tcPr>
            <w:tcW w:w="6659" w:type="dxa"/>
            <w:tcBorders>
              <w:top w:val="single" w:color="auto" w:sz="4" w:space="0"/>
              <w:bottom w:val="single" w:color="auto" w:sz="4" w:space="0"/>
            </w:tcBorders>
            <w:shd w:val="clear" w:color="auto" w:fill="auto"/>
          </w:tcPr>
          <w:p>
            <w:pPr>
              <w:rPr>
                <w:ins w:id="314" w:author="胡智行" w:date="2021-09-23T15:21:00Z"/>
              </w:rPr>
            </w:pPr>
            <w:ins w:id="315" w:author="胡智行" w:date="2021-09-23T15:21:00Z">
              <w:r>
                <w:rPr>
                  <w:rFonts w:hint="eastAsia"/>
                </w:rPr>
                <w:t>考察投标人拟定的时间进度是否符合要求，是否能保障各项措施是否齐全，能否全面响应招标文件要求等内容。</w:t>
              </w:r>
            </w:ins>
          </w:p>
          <w:p>
            <w:ins w:id="316" w:author="胡智行" w:date="2021-09-23T15:21:00Z">
              <w:r>
                <w:rPr>
                  <w:rFonts w:hint="eastAsia"/>
                </w:rPr>
                <w:t>优（</w:t>
              </w:r>
            </w:ins>
            <w:ins w:id="317" w:author="胡智行" w:date="2021-09-23T15:25:00Z">
              <w:r>
                <w:rPr/>
                <w:t>5</w:t>
              </w:r>
            </w:ins>
            <w:ins w:id="318" w:author="胡智行" w:date="2021-09-23T15:21:00Z">
              <w:r>
                <w:rPr/>
                <w:t>分），良好（3分），一般（2分），差（1分）没有内容不得分。</w:t>
              </w:r>
            </w:ins>
          </w:p>
        </w:tc>
      </w:tr>
    </w:tbl>
    <w:p>
      <w:pPr>
        <w:pStyle w:val="13"/>
        <w:spacing w:before="3"/>
        <w:ind w:firstLine="520" w:firstLineChars="200"/>
        <w:rPr>
          <w:rFonts w:ascii="Times New Roman"/>
          <w:sz w:val="26"/>
        </w:rPr>
      </w:pPr>
    </w:p>
    <w:p>
      <w:pPr>
        <w:spacing w:line="400" w:lineRule="atLeast"/>
        <w:ind w:left="480" w:hanging="480" w:hanging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page">
                  <wp:posOffset>1094105</wp:posOffset>
                </wp:positionH>
                <wp:positionV relativeFrom="paragraph">
                  <wp:posOffset>-1508760</wp:posOffset>
                </wp:positionV>
                <wp:extent cx="0" cy="1303020"/>
                <wp:effectExtent l="4445" t="0" r="14605" b="11430"/>
                <wp:wrapNone/>
                <wp:docPr id="2" name="直线 18"/>
                <wp:cNvGraphicFramePr/>
                <a:graphic xmlns:a="http://schemas.openxmlformats.org/drawingml/2006/main">
                  <a:graphicData uri="http://schemas.microsoft.com/office/word/2010/wordprocessingShape">
                    <wps:wsp>
                      <wps:cNvCnPr/>
                      <wps:spPr>
                        <a:xfrm>
                          <a:off x="0" y="0"/>
                          <a:ext cx="0" cy="1303020"/>
                        </a:xfrm>
                        <a:prstGeom prst="line">
                          <a:avLst/>
                        </a:prstGeom>
                        <a:ln w="9144" cap="flat" cmpd="sng">
                          <a:solidFill>
                            <a:srgbClr val="FFFFFF"/>
                          </a:solidFill>
                          <a:prstDash val="solid"/>
                          <a:headEnd type="none" w="med" len="med"/>
                          <a:tailEnd type="none" w="med" len="med"/>
                        </a:ln>
                      </wps:spPr>
                      <wps:bodyPr/>
                    </wps:wsp>
                  </a:graphicData>
                </a:graphic>
              </wp:anchor>
            </w:drawing>
          </mc:Choice>
          <mc:Fallback>
            <w:pict>
              <v:line id="直线 18" o:spid="_x0000_s1026" o:spt="20" style="position:absolute;left:0pt;margin-left:86.15pt;margin-top:-118.8pt;height:102.6pt;width:0pt;mso-position-horizontal-relative:page;z-index:251662336;mso-width-relative:page;mso-height-relative:page;" filled="f" stroked="t" coordsize="21600,21600" o:gfxdata="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fuESvYAAAADAEA&#10;AA8AAAAAAAAAAQAgAAAAIgAAAGRycy9kb3ducmV2LnhtbFBLAQIUABQAAAAIAIdO4kAGKuXI4QEA&#10;ANADAAAOAAAAAAAAAAEAIAAAACcBAABkcnMvZTJvRG9jLnhtbFBLBQYAAAAABgAGAFkBAAB6BQAA&#10;AAA=&#10;">
                <v:fill on="f" focussize="0,0"/>
                <v:stroke weight="0.72pt" color="#FFFFFF" joinstyle="round"/>
                <v:imagedata o:title=""/>
                <o:lock v:ext="edit" aspectratio="f"/>
              </v:line>
            </w:pict>
          </mc:Fallback>
        </mc:AlternateContent>
      </w:r>
      <w:r>
        <w:rPr>
          <w:rFonts w:hint="eastAsia" w:asciiTheme="minorEastAsia" w:hAnsiTheme="minorEastAsia" w:eastAsiaTheme="minorEastAsia" w:cstheme="minorEastAsia"/>
          <w:color w:val="000000" w:themeColor="text1"/>
          <w:sz w:val="24"/>
          <w14:textFill>
            <w14:solidFill>
              <w14:schemeClr w14:val="tx1"/>
            </w14:solidFill>
          </w14:textFill>
        </w:rPr>
        <w:t xml:space="preserve">1、经评标委员会认可小、微企业产品和产品报价后，投标人相应产品政策计算公式如下： </w:t>
      </w:r>
    </w:p>
    <w:p>
      <w:pPr>
        <w:spacing w:line="400" w:lineRule="atLeast"/>
        <w:ind w:left="480" w:hanging="480" w:hanging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中小微企业产品价格扣除后的投标人报价=投标人总报价-中小微企业产品报价*扣除幅度。（以价格扣除后的投标人报价作为评审依据） </w:t>
      </w:r>
    </w:p>
    <w:p>
      <w:pPr>
        <w:spacing w:line="400" w:lineRule="atLeast"/>
        <w:ind w:left="480" w:hanging="480" w:hanging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 </w:t>
      </w:r>
    </w:p>
    <w:p>
      <w:pPr>
        <w:spacing w:line="400" w:lineRule="atLeast"/>
        <w:ind w:left="480" w:hanging="480" w:hanging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 </w:t>
      </w:r>
    </w:p>
    <w:p>
      <w:pPr>
        <w:spacing w:line="400" w:lineRule="atLeast"/>
        <w:ind w:left="480" w:hanging="480" w:hanging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4、在任何评标环节中，需评标委员会就某项评审结论做出表决的，由评标委员会全体成员按照少数服从多数的原则，以记名投票方式表决。 </w:t>
      </w:r>
    </w:p>
    <w:p>
      <w:pPr>
        <w:spacing w:before="1"/>
        <w:rPr>
          <w:sz w:val="24"/>
        </w:rPr>
      </w:pPr>
    </w:p>
    <w:p>
      <w:pPr>
        <w:spacing w:line="400" w:lineRule="atLeast"/>
        <w:ind w:left="703" w:hanging="703" w:hangingChars="25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磋商程序</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1</w:t>
      </w:r>
      <w:r>
        <w:rPr>
          <w:rFonts w:hint="eastAsia" w:asciiTheme="minorEastAsia" w:hAnsiTheme="minorEastAsia" w:eastAsiaTheme="minorEastAsia" w:cstheme="minorEastAsia"/>
          <w:sz w:val="24"/>
        </w:rPr>
        <w:t xml:space="preserve">．磋商小组组成及职责 </w:t>
      </w:r>
    </w:p>
    <w:p>
      <w:pPr>
        <w:spacing w:line="400" w:lineRule="atLeast"/>
        <w:ind w:left="480" w:hanging="480" w:hangingChars="20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lang w:val="en-US"/>
        </w:rPr>
        <w:t>1</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color w:val="000000" w:themeColor="text1"/>
          <w:sz w:val="24"/>
          <w14:textFill>
            <w14:solidFill>
              <w14:schemeClr w14:val="tx1"/>
            </w14:solidFill>
          </w14:textFill>
        </w:rPr>
        <w:t>磋商小组组成：在磋商开始前，组建磋商小组共</w:t>
      </w:r>
      <w:r>
        <w:rPr>
          <w:rFonts w:hint="eastAsia" w:asciiTheme="minorEastAsia" w:hAnsiTheme="minorEastAsia" w:eastAsiaTheme="minorEastAsia" w:cstheme="minorEastAsia"/>
          <w:color w:val="000000" w:themeColor="text1"/>
          <w:sz w:val="24"/>
          <w:lang w:val="en-US"/>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人组成，磋商小组成员由采购人代表及有关技术、经济等方面的专家组成，其中技术、经济类专家人数不少于总人数的 2/3。</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1</w:t>
      </w:r>
      <w:r>
        <w:rPr>
          <w:rFonts w:hint="eastAsia" w:asciiTheme="minorEastAsia" w:hAnsiTheme="minorEastAsia" w:eastAsiaTheme="minorEastAsia" w:cstheme="minorEastAsia"/>
          <w:sz w:val="24"/>
        </w:rPr>
        <w:t>.2、磋商小组职责</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1</w:t>
      </w:r>
      <w:r>
        <w:rPr>
          <w:rFonts w:hint="eastAsia" w:asciiTheme="minorEastAsia" w:hAnsiTheme="minorEastAsia" w:eastAsiaTheme="minorEastAsia" w:cstheme="minorEastAsia"/>
          <w:sz w:val="24"/>
        </w:rPr>
        <w:t>.2.1、准时参加磋商评审会议。</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1</w:t>
      </w:r>
      <w:r>
        <w:rPr>
          <w:rFonts w:hint="eastAsia" w:asciiTheme="minorEastAsia" w:hAnsiTheme="minorEastAsia" w:eastAsiaTheme="minorEastAsia" w:cstheme="minorEastAsia"/>
          <w:sz w:val="24"/>
        </w:rPr>
        <w:t>.2.2、确定合格的供应商参加磋商。</w:t>
      </w:r>
    </w:p>
    <w:p>
      <w:pPr>
        <w:spacing w:line="40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供应商提供相应的资格审查证件资料</w:t>
      </w:r>
      <w:ins w:id="319" w:author="Crazy俊" w:date="2021-09-26T16:54:00Z">
        <w:r>
          <w:rPr>
            <w:rFonts w:hint="eastAsia" w:asciiTheme="minorEastAsia" w:hAnsiTheme="minorEastAsia" w:eastAsiaTheme="minorEastAsia" w:cstheme="minorEastAsia"/>
            <w:sz w:val="24"/>
          </w:rPr>
          <w:t>原件或加盖公章</w:t>
        </w:r>
      </w:ins>
      <w:ins w:id="320" w:author="胡智行" w:date="2021-09-23T13:05:00Z">
        <w:r>
          <w:rPr>
            <w:rFonts w:hint="eastAsia" w:asciiTheme="minorEastAsia" w:hAnsiTheme="minorEastAsia" w:eastAsiaTheme="minorEastAsia" w:cstheme="minorEastAsia"/>
            <w:sz w:val="24"/>
          </w:rPr>
          <w:t>复印件</w:t>
        </w:r>
      </w:ins>
      <w:r>
        <w:rPr>
          <w:rFonts w:hint="eastAsia" w:asciiTheme="minorEastAsia" w:hAnsiTheme="minorEastAsia" w:eastAsiaTheme="minorEastAsia" w:cstheme="minorEastAsia"/>
          <w:sz w:val="24"/>
        </w:rPr>
        <w:t>由磋商小组核查（详见前附表）。满足要求的投标人为有效投标人。不满足要求的,其投标将予以拒绝。上述证件的公证件，本次招标不予认可。</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1</w:t>
      </w:r>
      <w:r>
        <w:rPr>
          <w:rFonts w:hint="eastAsia" w:asciiTheme="minorEastAsia" w:hAnsiTheme="minorEastAsia" w:eastAsiaTheme="minorEastAsia" w:cstheme="minorEastAsia"/>
          <w:sz w:val="24"/>
        </w:rPr>
        <w:t>.2.3、审查供应商的磋商响应文件并做出评价。</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1</w:t>
      </w:r>
      <w:r>
        <w:rPr>
          <w:rFonts w:hint="eastAsia" w:asciiTheme="minorEastAsia" w:hAnsiTheme="minorEastAsia" w:eastAsiaTheme="minorEastAsia" w:cstheme="minorEastAsia"/>
          <w:sz w:val="24"/>
        </w:rPr>
        <w:t>.2.4、要求供应商解释或者澄清其磋商响应文件。</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1</w:t>
      </w:r>
      <w:r>
        <w:rPr>
          <w:rFonts w:hint="eastAsia" w:asciiTheme="minorEastAsia" w:hAnsiTheme="minorEastAsia" w:eastAsiaTheme="minorEastAsia" w:cstheme="minorEastAsia"/>
          <w:sz w:val="24"/>
        </w:rPr>
        <w:t xml:space="preserve">.2.5、编写磋商评审报告。 </w:t>
      </w:r>
    </w:p>
    <w:p>
      <w:pPr>
        <w:spacing w:line="400" w:lineRule="atLeast"/>
        <w:ind w:left="600" w:hanging="600" w:hanging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.磋商活动将按以下七个步骤进行：</w:t>
      </w:r>
    </w:p>
    <w:p>
      <w:pPr>
        <w:spacing w:line="360" w:lineRule="auto"/>
        <w:ind w:left="600" w:hanging="600" w:hanging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（1）标前会议；</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（2）初步评审；</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（3）澄清说明或补证；</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（4）磋商小组所有成员集中与单一供应商分别进行磋商；</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（5）最后报价</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（6）详细评审（包括技术标评定、商务标评定）；</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（7）按照评审得分由高到低顺序推荐3名以上成交候选供应商，并编写评审报告。</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.2 磋商时，供应商应在密封的磋商响应文件之外随身携带磋商代表授权委托书原件及其身份证原件及磋商文件规定的其他内容。本次磋商按磋商文件中磋商邀请规定的时间地点进行磋商，将邀请供应商的法定代表人或其授权委托人准时参加磋商会。</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.3宣布磋商响应文件开启顺序。</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.4 磋商时检查磋商响应文件密封情况。</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.5 磋商原则在磋商会议上宣布。</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.6 对采购方的纪律要求</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采购方不得泄露磋商活动中应当保密的情况和资料，不得与供应商串通损害国家利益、社会公共利益或者他人合法权益。</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.7对供应商的纪律要求</w:t>
      </w:r>
    </w:p>
    <w:p>
      <w:pPr>
        <w:spacing w:line="40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.8 对与磋商活动有关的工作人员的纪律要求</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.9对磋商小组成员要求磋商纪律</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.9.1磋商小组应当依照有关法律法规的规定，按照磋商文件确定的磋商标准和办法客观、公正的对磋商响应文件提出评审意见。磋商文件设有规定的磋商标准和方法不得作为磋商依据。</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.9.2磋商小组成员不得私下接触供应商，不得收受供应商给予的财务或者其他好处，不得向采购方征询确定成交方意向。</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.9.3不得接受任何单位或个人明示或暗示提出的倾向或排斥特定供应商的要求。</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2</w:t>
      </w:r>
      <w:r>
        <w:rPr>
          <w:rFonts w:hint="eastAsia" w:asciiTheme="minorEastAsia" w:hAnsiTheme="minorEastAsia" w:eastAsiaTheme="minorEastAsia" w:cstheme="minorEastAsia"/>
          <w:sz w:val="24"/>
        </w:rPr>
        <w:t>.9.4不得有其他不客观，不公正履行职务的行为。</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3</w:t>
      </w:r>
      <w:r>
        <w:rPr>
          <w:rFonts w:hint="eastAsia" w:asciiTheme="minorEastAsia" w:hAnsiTheme="minorEastAsia" w:eastAsiaTheme="minorEastAsia" w:cstheme="minorEastAsia"/>
          <w:sz w:val="24"/>
        </w:rPr>
        <w:t>．磋商过程</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3</w:t>
      </w:r>
      <w:r>
        <w:rPr>
          <w:rFonts w:hint="eastAsia" w:asciiTheme="minorEastAsia" w:hAnsiTheme="minorEastAsia" w:eastAsiaTheme="minorEastAsia" w:cstheme="minorEastAsia"/>
          <w:sz w:val="24"/>
        </w:rPr>
        <w:t>.1 磋商的依据为磋商文件和磋商响应文件。</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3</w:t>
      </w:r>
      <w:r>
        <w:rPr>
          <w:rFonts w:hint="eastAsia" w:asciiTheme="minorEastAsia" w:hAnsiTheme="minorEastAsia" w:eastAsiaTheme="minorEastAsia" w:cstheme="minorEastAsia"/>
          <w:sz w:val="24"/>
        </w:rPr>
        <w:t>.2 磋商后磋商小组审查磋商响应文件是否完整，是否有计算错误，要求的保证金是否提供，文件是否恰当地签署。</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3</w:t>
      </w:r>
      <w:r>
        <w:rPr>
          <w:rFonts w:hint="eastAsia" w:asciiTheme="minorEastAsia" w:hAnsiTheme="minorEastAsia" w:eastAsiaTheme="minorEastAsia" w:cstheme="minorEastAsia"/>
          <w:sz w:val="24"/>
        </w:rPr>
        <w:t>.3 在对磋商响应文件进行详细评估之前，监督人员或招标代理机构将依据供应商提供的资格证明文件审查供应商的财务、技术和生产能力。如果确定供应商无资格履行合同，其投标将被拒绝。</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3</w:t>
      </w:r>
      <w:r>
        <w:rPr>
          <w:rFonts w:hint="eastAsia" w:asciiTheme="minorEastAsia" w:hAnsiTheme="minorEastAsia" w:eastAsiaTheme="minorEastAsia" w:cstheme="minorEastAsia"/>
          <w:sz w:val="24"/>
        </w:rPr>
        <w:t xml:space="preserve">.4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4</w:t>
      </w:r>
      <w:r>
        <w:rPr>
          <w:rFonts w:hint="eastAsia" w:asciiTheme="minorEastAsia" w:hAnsiTheme="minorEastAsia" w:eastAsiaTheme="minorEastAsia" w:cstheme="minorEastAsia"/>
          <w:sz w:val="24"/>
        </w:rPr>
        <w:t>．磋商响应文件的澄清</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4</w:t>
      </w:r>
      <w:r>
        <w:rPr>
          <w:rFonts w:hint="eastAsia" w:asciiTheme="minorEastAsia" w:hAnsiTheme="minorEastAsia" w:eastAsiaTheme="minorEastAsia" w:cstheme="minorEastAsia"/>
          <w:sz w:val="24"/>
        </w:rPr>
        <w:t>.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4</w:t>
      </w:r>
      <w:r>
        <w:rPr>
          <w:rFonts w:hint="eastAsia" w:asciiTheme="minorEastAsia" w:hAnsiTheme="minorEastAsia" w:eastAsiaTheme="minorEastAsia" w:cstheme="minorEastAsia"/>
          <w:sz w:val="24"/>
        </w:rPr>
        <w:t>.2 要澄清的答复应是书面的，但不得对磋商内容进行实质性修改。澄清文件须由供应商法人代表或法人授权代表签字和/或加盖公章并作为磋商响应文件的组成部分。</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4</w:t>
      </w:r>
      <w:r>
        <w:rPr>
          <w:rFonts w:hint="eastAsia" w:asciiTheme="minorEastAsia" w:hAnsiTheme="minorEastAsia" w:eastAsiaTheme="minorEastAsia" w:cstheme="minorEastAsia"/>
          <w:sz w:val="24"/>
        </w:rPr>
        <w:t>.3 磋商结束后，磋商小组要求所有参加磋商的供应商在规定的时间内进行最后报价。</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5</w:t>
      </w:r>
      <w:r>
        <w:rPr>
          <w:rFonts w:hint="eastAsia" w:asciiTheme="minorEastAsia" w:hAnsiTheme="minorEastAsia" w:eastAsiaTheme="minorEastAsia" w:cstheme="minorEastAsia"/>
          <w:sz w:val="24"/>
        </w:rPr>
        <w:t>．确定成交供应商的办法</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5</w:t>
      </w:r>
      <w:r>
        <w:rPr>
          <w:rFonts w:hint="eastAsia" w:asciiTheme="minorEastAsia" w:hAnsiTheme="minorEastAsia" w:eastAsiaTheme="minorEastAsia" w:cstheme="minorEastAsia"/>
          <w:sz w:val="24"/>
        </w:rPr>
        <w:t>.1磋商小组按照磋商文件要求对磋商响应文件中重要技术指标以及技术、经济和商务上要求的其它重要内容进行审核。</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5</w:t>
      </w:r>
      <w:r>
        <w:rPr>
          <w:rFonts w:hint="eastAsia" w:asciiTheme="minorEastAsia" w:hAnsiTheme="minorEastAsia" w:eastAsiaTheme="minorEastAsia" w:cstheme="minorEastAsia"/>
          <w:sz w:val="24"/>
        </w:rPr>
        <w:t>.2磋商小组和供应商磋商过程中作出的书面承诺是否符合磋商文件中对质量、技术、经济和服务的要求。</w:t>
      </w:r>
    </w:p>
    <w:p>
      <w:pPr>
        <w:spacing w:line="4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5</w:t>
      </w:r>
      <w:r>
        <w:rPr>
          <w:rFonts w:hint="eastAsia" w:asciiTheme="minorEastAsia" w:hAnsiTheme="minorEastAsia" w:eastAsiaTheme="minorEastAsia" w:cstheme="minorEastAsia"/>
          <w:sz w:val="24"/>
        </w:rPr>
        <w:t>.3经磋商确定最终采购需求和提交最终报价的供应商后，由磋商小组采用综合评分法对提交最终报价的供应商的响应文件和最终报价进行综合评分。</w:t>
      </w:r>
    </w:p>
    <w:p>
      <w:pPr>
        <w:spacing w:line="400" w:lineRule="atLeast"/>
        <w:rPr>
          <w:rFonts w:asciiTheme="minorEastAsia" w:hAnsiTheme="minorEastAsia" w:eastAsiaTheme="minorEastAsia" w:cstheme="minorEastAsia"/>
          <w:sz w:val="24"/>
        </w:rPr>
        <w:sectPr>
          <w:pgSz w:w="11910" w:h="16840"/>
          <w:pgMar w:top="1440" w:right="1080" w:bottom="1440" w:left="1080" w:header="906" w:footer="895" w:gutter="0"/>
          <w:cols w:space="720" w:num="1"/>
        </w:sectPr>
      </w:pPr>
    </w:p>
    <w:p>
      <w:pPr>
        <w:pStyle w:val="6"/>
        <w:spacing w:before="5"/>
      </w:pPr>
      <w:bookmarkStart w:id="89" w:name="第五部分___政府采购合同"/>
      <w:bookmarkEnd w:id="89"/>
      <w:bookmarkStart w:id="90" w:name="_Toc20603"/>
      <w:bookmarkStart w:id="91" w:name="_Toc10306"/>
      <w:bookmarkStart w:id="92" w:name="_Toc566"/>
      <w:bookmarkStart w:id="93" w:name="_Toc31050"/>
      <w:r>
        <w:t>第五部分 政府采购合同</w:t>
      </w:r>
      <w:bookmarkEnd w:id="90"/>
      <w:bookmarkEnd w:id="91"/>
      <w:bookmarkEnd w:id="92"/>
      <w:bookmarkEnd w:id="93"/>
      <w:r>
        <w:rPr>
          <w:w w:val="167"/>
        </w:rPr>
        <w:t xml:space="preserve"> </w:t>
      </w:r>
    </w:p>
    <w:p>
      <w:pPr>
        <w:pStyle w:val="13"/>
        <w:rPr>
          <w:b/>
          <w:sz w:val="20"/>
        </w:rPr>
      </w:pPr>
    </w:p>
    <w:p>
      <w:pPr>
        <w:rPr>
          <w:sz w:val="24"/>
          <w:u w:val="single"/>
        </w:rPr>
      </w:pPr>
      <w:r>
        <w:rPr>
          <w:rFonts w:hint="eastAsia"/>
          <w:sz w:val="24"/>
        </w:rPr>
        <w:t>合同编号：</w:t>
      </w:r>
      <w:r>
        <w:rPr>
          <w:rFonts w:hint="eastAsia"/>
          <w:sz w:val="24"/>
          <w:u w:val="single"/>
        </w:rPr>
        <w:t xml:space="preserve">           </w:t>
      </w:r>
    </w:p>
    <w:p>
      <w:pPr>
        <w:spacing w:line="480" w:lineRule="auto"/>
        <w:jc w:val="center"/>
        <w:rPr>
          <w:b/>
          <w:sz w:val="28"/>
          <w:szCs w:val="28"/>
        </w:rPr>
      </w:pPr>
    </w:p>
    <w:p>
      <w:pPr>
        <w:spacing w:line="480" w:lineRule="auto"/>
        <w:jc w:val="center"/>
        <w:rPr>
          <w:b/>
          <w:sz w:val="28"/>
          <w:szCs w:val="28"/>
        </w:rPr>
      </w:pPr>
    </w:p>
    <w:p>
      <w:pPr>
        <w:spacing w:line="480" w:lineRule="auto"/>
        <w:jc w:val="center"/>
        <w:rPr>
          <w:b/>
          <w:sz w:val="28"/>
          <w:szCs w:val="28"/>
        </w:rPr>
      </w:pPr>
    </w:p>
    <w:p>
      <w:pPr>
        <w:spacing w:line="480" w:lineRule="auto"/>
        <w:jc w:val="center"/>
        <w:rPr>
          <w:b/>
          <w:sz w:val="44"/>
          <w:szCs w:val="44"/>
        </w:rPr>
      </w:pPr>
      <w:r>
        <w:rPr>
          <w:rFonts w:hint="eastAsia"/>
          <w:b/>
          <w:sz w:val="44"/>
          <w:szCs w:val="44"/>
        </w:rPr>
        <w:t>政府采购合同参考范本</w:t>
      </w:r>
    </w:p>
    <w:p>
      <w:pPr>
        <w:spacing w:line="480" w:lineRule="auto"/>
        <w:jc w:val="center"/>
        <w:outlineLvl w:val="0"/>
        <w:rPr>
          <w:b/>
          <w:sz w:val="24"/>
        </w:rPr>
      </w:pPr>
      <w:bookmarkStart w:id="94" w:name="_Toc9637"/>
      <w:bookmarkStart w:id="95" w:name="_Toc27090"/>
      <w:bookmarkStart w:id="96" w:name="_Toc15014"/>
      <w:r>
        <w:rPr>
          <w:rFonts w:hint="eastAsia"/>
          <w:b/>
          <w:sz w:val="24"/>
        </w:rPr>
        <w:t>（服务类）</w:t>
      </w:r>
      <w:bookmarkEnd w:id="94"/>
      <w:bookmarkEnd w:id="95"/>
      <w:bookmarkEnd w:id="96"/>
    </w:p>
    <w:p>
      <w:pPr>
        <w:pStyle w:val="46"/>
        <w:ind w:firstLine="0"/>
        <w:rPr>
          <w:rFonts w:hAnsi="宋体" w:eastAsia="宋体" w:cs="宋体"/>
          <w:szCs w:val="24"/>
        </w:rPr>
      </w:pPr>
    </w:p>
    <w:p>
      <w:pPr>
        <w:pStyle w:val="46"/>
        <w:ind w:firstLine="0"/>
        <w:rPr>
          <w:rFonts w:hAnsi="宋体" w:eastAsia="宋体" w:cs="宋体"/>
          <w:szCs w:val="24"/>
        </w:rPr>
      </w:pPr>
    </w:p>
    <w:p>
      <w:pPr>
        <w:pStyle w:val="46"/>
        <w:ind w:firstLine="0"/>
        <w:rPr>
          <w:rFonts w:hAnsi="宋体" w:eastAsia="宋体" w:cs="宋体"/>
          <w:szCs w:val="24"/>
        </w:rPr>
      </w:pPr>
    </w:p>
    <w:p>
      <w:pPr>
        <w:pStyle w:val="46"/>
        <w:ind w:firstLine="0"/>
        <w:jc w:val="center"/>
        <w:outlineLvl w:val="0"/>
        <w:rPr>
          <w:rFonts w:hAnsi="宋体" w:eastAsia="宋体" w:cs="宋体"/>
          <w:b/>
          <w:szCs w:val="24"/>
        </w:rPr>
      </w:pPr>
      <w:bookmarkStart w:id="97" w:name="_Toc10478"/>
      <w:bookmarkStart w:id="98" w:name="_Toc29604"/>
      <w:bookmarkStart w:id="99" w:name="_Toc29394"/>
      <w:r>
        <w:rPr>
          <w:rFonts w:hint="eastAsia" w:hAnsi="宋体" w:eastAsia="宋体" w:cs="宋体"/>
          <w:b/>
          <w:szCs w:val="24"/>
        </w:rPr>
        <w:t>第一部分 合同书</w:t>
      </w:r>
      <w:bookmarkEnd w:id="97"/>
      <w:bookmarkEnd w:id="98"/>
      <w:bookmarkEnd w:id="99"/>
    </w:p>
    <w:p>
      <w:pPr>
        <w:pStyle w:val="46"/>
        <w:ind w:firstLine="0"/>
        <w:rPr>
          <w:rFonts w:hAnsi="宋体" w:eastAsia="宋体" w:cs="宋体"/>
          <w:szCs w:val="24"/>
        </w:rPr>
      </w:pPr>
    </w:p>
    <w:p>
      <w:pPr>
        <w:pStyle w:val="46"/>
        <w:ind w:firstLine="0"/>
        <w:rPr>
          <w:rFonts w:hAnsi="宋体" w:eastAsia="宋体" w:cs="宋体"/>
          <w:szCs w:val="24"/>
        </w:rPr>
      </w:pPr>
    </w:p>
    <w:p>
      <w:pPr>
        <w:spacing w:before="120" w:line="22" w:lineRule="atLeast"/>
        <w:rPr>
          <w:sz w:val="24"/>
        </w:rPr>
      </w:pPr>
    </w:p>
    <w:p>
      <w:pPr>
        <w:spacing w:before="120" w:line="22" w:lineRule="atLeast"/>
        <w:ind w:left="960"/>
        <w:rPr>
          <w:sz w:val="24"/>
        </w:rPr>
      </w:pPr>
      <w:r>
        <w:rPr>
          <w:rFonts w:hint="eastAsia"/>
          <w:sz w:val="24"/>
        </w:rPr>
        <w:t>项目名称：</w:t>
      </w:r>
      <w:r>
        <w:rPr>
          <w:rFonts w:hint="eastAsia"/>
          <w:sz w:val="24"/>
          <w:u w:val="single"/>
        </w:rPr>
        <w:t xml:space="preserve">                                   </w:t>
      </w:r>
    </w:p>
    <w:p>
      <w:pPr>
        <w:pStyle w:val="47"/>
        <w:spacing w:before="120" w:line="22" w:lineRule="atLeast"/>
        <w:rPr>
          <w:rFonts w:ascii="宋体" w:eastAsia="宋体"/>
          <w:szCs w:val="24"/>
        </w:rPr>
      </w:pPr>
    </w:p>
    <w:p>
      <w:pPr>
        <w:pStyle w:val="47"/>
        <w:spacing w:before="120" w:line="22" w:lineRule="atLeast"/>
        <w:rPr>
          <w:rFonts w:ascii="宋体" w:eastAsia="宋体"/>
          <w:szCs w:val="24"/>
        </w:rPr>
      </w:pPr>
    </w:p>
    <w:p/>
    <w:p>
      <w:pPr>
        <w:spacing w:before="120" w:line="22" w:lineRule="atLeast"/>
        <w:ind w:left="960"/>
        <w:rPr>
          <w:sz w:val="24"/>
          <w:u w:val="single"/>
        </w:rPr>
      </w:pPr>
      <w:r>
        <w:rPr>
          <w:rFonts w:hint="eastAsia"/>
          <w:sz w:val="24"/>
        </w:rPr>
        <w:t>甲方：</w:t>
      </w:r>
      <w:r>
        <w:rPr>
          <w:rFonts w:hint="eastAsia"/>
          <w:sz w:val="24"/>
          <w:u w:val="single"/>
        </w:rPr>
        <w:t xml:space="preserve">                                       </w:t>
      </w:r>
    </w:p>
    <w:p>
      <w:pPr>
        <w:spacing w:before="120" w:line="22" w:lineRule="atLeast"/>
        <w:rPr>
          <w:sz w:val="24"/>
        </w:rPr>
      </w:pPr>
    </w:p>
    <w:p>
      <w:pPr>
        <w:spacing w:before="120" w:line="22" w:lineRule="atLeast"/>
        <w:ind w:left="960"/>
        <w:rPr>
          <w:sz w:val="24"/>
          <w:u w:val="single"/>
        </w:rPr>
      </w:pPr>
      <w:r>
        <w:rPr>
          <w:rFonts w:hint="eastAsia"/>
          <w:sz w:val="24"/>
        </w:rPr>
        <w:t>乙方：</w:t>
      </w:r>
      <w:r>
        <w:rPr>
          <w:rFonts w:hint="eastAsia"/>
          <w:sz w:val="24"/>
          <w:u w:val="single"/>
        </w:rPr>
        <w:t xml:space="preserve">                                       </w:t>
      </w:r>
    </w:p>
    <w:p>
      <w:pPr>
        <w:spacing w:before="120" w:line="22" w:lineRule="atLeast"/>
        <w:rPr>
          <w:sz w:val="24"/>
        </w:rPr>
      </w:pPr>
    </w:p>
    <w:p>
      <w:pPr>
        <w:spacing w:before="120" w:line="22" w:lineRule="atLeast"/>
        <w:ind w:firstLine="960" w:firstLineChars="400"/>
        <w:rPr>
          <w:sz w:val="24"/>
          <w:u w:val="single"/>
        </w:rPr>
      </w:pPr>
      <w:r>
        <w:rPr>
          <w:rFonts w:hint="eastAsia"/>
          <w:sz w:val="24"/>
        </w:rPr>
        <w:t>签订地：</w:t>
      </w:r>
      <w:r>
        <w:rPr>
          <w:rFonts w:hint="eastAsia"/>
          <w:sz w:val="24"/>
          <w:u w:val="single"/>
        </w:rPr>
        <w:t xml:space="preserve">                                     </w:t>
      </w:r>
    </w:p>
    <w:p>
      <w:pPr>
        <w:spacing w:before="120" w:line="22" w:lineRule="atLeast"/>
        <w:rPr>
          <w:sz w:val="24"/>
        </w:rPr>
      </w:pPr>
    </w:p>
    <w:p>
      <w:pPr>
        <w:spacing w:before="120" w:line="22" w:lineRule="atLeast"/>
        <w:ind w:firstLine="960" w:firstLineChars="400"/>
        <w:rPr>
          <w:sz w:val="24"/>
          <w:u w:val="single"/>
        </w:rPr>
      </w:pPr>
      <w:r>
        <w:rPr>
          <w:rFonts w:hint="eastAsia"/>
          <w:sz w:val="24"/>
        </w:rPr>
        <w:t>签订日期：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adjustRightInd w:val="0"/>
        <w:spacing w:line="600" w:lineRule="exact"/>
        <w:ind w:firstLine="640"/>
        <w:jc w:val="center"/>
        <w:rPr>
          <w:sz w:val="24"/>
        </w:rPr>
        <w:sectPr>
          <w:headerReference r:id="rId4" w:type="default"/>
          <w:pgSz w:w="11907" w:h="16840"/>
          <w:pgMar w:top="1440" w:right="1080" w:bottom="1440" w:left="1080" w:header="851" w:footer="851" w:gutter="0"/>
          <w:cols w:space="720" w:num="1"/>
          <w:docGrid w:linePitch="462" w:charSpace="0"/>
        </w:sectPr>
      </w:pPr>
    </w:p>
    <w:p>
      <w:pPr>
        <w:spacing w:line="560" w:lineRule="exact"/>
        <w:ind w:firstLine="480" w:firstLineChars="200"/>
        <w:rPr>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（采购人名称）   </w:t>
      </w:r>
      <w:r>
        <w:rPr>
          <w:rFonts w:hint="eastAsia"/>
          <w:sz w:val="24"/>
        </w:rPr>
        <w:t>以</w:t>
      </w:r>
      <w:r>
        <w:rPr>
          <w:rFonts w:hint="eastAsia"/>
          <w:sz w:val="24"/>
          <w:u w:val="single"/>
        </w:rPr>
        <w:t xml:space="preserve">   （政府采购方式）  </w:t>
      </w:r>
      <w:r>
        <w:rPr>
          <w:rFonts w:hint="eastAsia"/>
          <w:sz w:val="24"/>
        </w:rPr>
        <w:t>对</w:t>
      </w:r>
      <w:r>
        <w:rPr>
          <w:rFonts w:hint="eastAsia"/>
          <w:sz w:val="24"/>
          <w:u w:val="single"/>
        </w:rPr>
        <w:t xml:space="preserve">   （同前页项目名称）   </w:t>
      </w:r>
      <w:r>
        <w:rPr>
          <w:rFonts w:hint="eastAsia"/>
          <w:sz w:val="24"/>
        </w:rPr>
        <w:t>项目进行了采购。经</w:t>
      </w:r>
      <w:r>
        <w:rPr>
          <w:rFonts w:hint="eastAsia"/>
          <w:sz w:val="24"/>
          <w:u w:val="single"/>
        </w:rPr>
        <w:t xml:space="preserve">   （相关评定主体名称）   </w:t>
      </w:r>
      <w:r>
        <w:rPr>
          <w:rFonts w:hint="eastAsia"/>
          <w:sz w:val="24"/>
        </w:rPr>
        <w:t>评定，</w:t>
      </w:r>
      <w:r>
        <w:rPr>
          <w:rFonts w:hint="eastAsia"/>
          <w:sz w:val="24"/>
          <w:u w:val="single"/>
        </w:rPr>
        <w:t xml:space="preserve">   （中标供应商名称） </w:t>
      </w:r>
      <w:r>
        <w:rPr>
          <w:rFonts w:hint="eastAsia"/>
          <w:sz w:val="24"/>
        </w:rPr>
        <w:t>为该项目中标供应商。现于中标通知书发出之日起三十日内，按照采购文件确定的事项签订本合同。</w:t>
      </w:r>
    </w:p>
    <w:p>
      <w:pPr>
        <w:spacing w:line="560" w:lineRule="exact"/>
        <w:ind w:firstLine="480" w:firstLineChars="200"/>
        <w:rPr>
          <w:sz w:val="24"/>
        </w:rPr>
      </w:pPr>
      <w:r>
        <w:rPr>
          <w:rFonts w:hint="eastAsia"/>
          <w:sz w:val="24"/>
        </w:rPr>
        <w:t>根据《中华人民共和国合同法》、《中华人民共和国政府采购法》等相关法律法规之规定，按照平等、自愿、公平和诚实信用的原则，经</w:t>
      </w:r>
      <w:r>
        <w:rPr>
          <w:rFonts w:hint="eastAsia"/>
          <w:sz w:val="24"/>
          <w:u w:val="single"/>
        </w:rPr>
        <w:t xml:space="preserve">   （采购人名称）   </w:t>
      </w:r>
      <w:r>
        <w:rPr>
          <w:rFonts w:hint="eastAsia"/>
          <w:sz w:val="24"/>
        </w:rPr>
        <w:t>(以下简称：甲方)和</w:t>
      </w:r>
      <w:r>
        <w:rPr>
          <w:rFonts w:hint="eastAsia"/>
          <w:sz w:val="24"/>
          <w:u w:val="single"/>
        </w:rPr>
        <w:t xml:space="preserve">   （中标供应商名称）   </w:t>
      </w:r>
      <w:r>
        <w:rPr>
          <w:rFonts w:hint="eastAsia"/>
          <w:sz w:val="24"/>
        </w:rPr>
        <w:t>(以下简称：乙方)协商一致，约定以下合同条款，以兹共同遵守、全面履行。</w:t>
      </w:r>
    </w:p>
    <w:p>
      <w:pPr>
        <w:spacing w:line="560" w:lineRule="exact"/>
        <w:ind w:firstLine="482" w:firstLineChars="200"/>
        <w:outlineLvl w:val="1"/>
        <w:rPr>
          <w:sz w:val="24"/>
        </w:rPr>
      </w:pPr>
      <w:bookmarkStart w:id="100" w:name="_Toc28855"/>
      <w:bookmarkStart w:id="101" w:name="_Toc19139"/>
      <w:bookmarkStart w:id="102" w:name="_Toc22967"/>
      <w:bookmarkStart w:id="103" w:name="_Toc20421"/>
      <w:bookmarkStart w:id="104" w:name="_Toc19273"/>
      <w:bookmarkStart w:id="105" w:name="_Toc15367"/>
      <w:r>
        <w:rPr>
          <w:rFonts w:hint="eastAsia"/>
          <w:b/>
          <w:sz w:val="24"/>
        </w:rPr>
        <w:t>1.1 合同组成部分</w:t>
      </w:r>
      <w:bookmarkEnd w:id="100"/>
      <w:bookmarkEnd w:id="101"/>
      <w:bookmarkEnd w:id="102"/>
      <w:bookmarkEnd w:id="103"/>
      <w:bookmarkEnd w:id="104"/>
      <w:bookmarkEnd w:id="105"/>
    </w:p>
    <w:p>
      <w:pPr>
        <w:spacing w:line="560" w:lineRule="exact"/>
        <w:ind w:firstLine="480" w:firstLineChars="200"/>
        <w:rPr>
          <w:sz w:val="24"/>
        </w:rPr>
      </w:pPr>
      <w:r>
        <w:rPr>
          <w:rFonts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sz w:val="24"/>
        </w:rPr>
      </w:pPr>
      <w:r>
        <w:rPr>
          <w:rFonts w:hint="eastAsia"/>
          <w:sz w:val="24"/>
        </w:rPr>
        <w:t>1.1.1 本合同及其补充合同、变更协议；</w:t>
      </w:r>
    </w:p>
    <w:p>
      <w:pPr>
        <w:spacing w:line="560" w:lineRule="exact"/>
        <w:ind w:firstLine="480" w:firstLineChars="200"/>
        <w:rPr>
          <w:sz w:val="24"/>
        </w:rPr>
      </w:pPr>
      <w:r>
        <w:rPr>
          <w:rFonts w:hint="eastAsia"/>
          <w:sz w:val="24"/>
        </w:rPr>
        <w:t>1.1.2 中标通知书；</w:t>
      </w:r>
    </w:p>
    <w:p>
      <w:pPr>
        <w:spacing w:line="560" w:lineRule="exact"/>
        <w:ind w:firstLine="480" w:firstLineChars="200"/>
        <w:rPr>
          <w:sz w:val="24"/>
        </w:rPr>
      </w:pPr>
      <w:r>
        <w:rPr>
          <w:rFonts w:hint="eastAsia"/>
          <w:sz w:val="24"/>
        </w:rPr>
        <w:t>1.1.3 投标文件（含澄清或者说明文件）；</w:t>
      </w:r>
    </w:p>
    <w:p>
      <w:pPr>
        <w:spacing w:line="560" w:lineRule="exact"/>
        <w:ind w:firstLine="480" w:firstLineChars="200"/>
        <w:rPr>
          <w:sz w:val="24"/>
        </w:rPr>
      </w:pPr>
      <w:r>
        <w:rPr>
          <w:rFonts w:hint="eastAsia"/>
          <w:sz w:val="24"/>
        </w:rPr>
        <w:t>1.1.4 招标文件（含澄清或者修改文件）；</w:t>
      </w:r>
    </w:p>
    <w:p>
      <w:pPr>
        <w:spacing w:line="560" w:lineRule="exact"/>
        <w:ind w:firstLine="480" w:firstLineChars="200"/>
        <w:rPr>
          <w:sz w:val="24"/>
        </w:rPr>
      </w:pPr>
      <w:r>
        <w:rPr>
          <w:rFonts w:hint="eastAsia"/>
          <w:sz w:val="24"/>
        </w:rPr>
        <w:t>1.1.5 其他相关采购文件。</w:t>
      </w:r>
    </w:p>
    <w:p>
      <w:pPr>
        <w:spacing w:line="560" w:lineRule="exact"/>
        <w:ind w:firstLine="482" w:firstLineChars="200"/>
        <w:outlineLvl w:val="1"/>
        <w:rPr>
          <w:b/>
          <w:sz w:val="24"/>
        </w:rPr>
      </w:pPr>
      <w:bookmarkStart w:id="106" w:name="_Toc2918"/>
      <w:bookmarkStart w:id="107" w:name="_Toc22185"/>
      <w:bookmarkStart w:id="108" w:name="_Toc6311"/>
      <w:bookmarkStart w:id="109" w:name="_Toc18585"/>
      <w:bookmarkStart w:id="110" w:name="_Toc6773"/>
      <w:bookmarkStart w:id="111" w:name="_Toc17642"/>
      <w:r>
        <w:rPr>
          <w:rFonts w:hint="eastAsia"/>
          <w:b/>
          <w:sz w:val="24"/>
        </w:rPr>
        <w:t>1.2 标的</w:t>
      </w:r>
      <w:bookmarkEnd w:id="106"/>
      <w:bookmarkEnd w:id="107"/>
      <w:bookmarkEnd w:id="108"/>
      <w:bookmarkEnd w:id="109"/>
      <w:bookmarkEnd w:id="110"/>
      <w:bookmarkEnd w:id="111"/>
    </w:p>
    <w:p>
      <w:pPr>
        <w:spacing w:line="560" w:lineRule="exact"/>
        <w:ind w:firstLine="480" w:firstLineChars="200"/>
        <w:rPr>
          <w:sz w:val="24"/>
          <w:u w:val="single"/>
        </w:rPr>
      </w:pPr>
      <w:r>
        <w:rPr>
          <w:rFonts w:hint="eastAsia"/>
          <w:sz w:val="24"/>
        </w:rPr>
        <w:t>1.2.1 标的名称：</w:t>
      </w:r>
      <w:r>
        <w:rPr>
          <w:rFonts w:hint="eastAsia"/>
          <w:sz w:val="24"/>
          <w:u w:val="single"/>
        </w:rPr>
        <w:t xml:space="preserve">                                                </w:t>
      </w:r>
      <w:r>
        <w:rPr>
          <w:rFonts w:hint="eastAsia"/>
          <w:sz w:val="24"/>
        </w:rPr>
        <w:t>；</w:t>
      </w:r>
    </w:p>
    <w:p>
      <w:pPr>
        <w:spacing w:line="560" w:lineRule="exact"/>
        <w:ind w:firstLine="480" w:firstLineChars="200"/>
        <w:rPr>
          <w:sz w:val="24"/>
          <w:u w:val="single"/>
        </w:rPr>
      </w:pPr>
      <w:r>
        <w:rPr>
          <w:rFonts w:hint="eastAsia"/>
          <w:sz w:val="24"/>
        </w:rPr>
        <w:t>1.2.2 标的数量：</w:t>
      </w:r>
      <w:r>
        <w:rPr>
          <w:rFonts w:hint="eastAsia"/>
          <w:sz w:val="24"/>
          <w:u w:val="single"/>
        </w:rPr>
        <w:t xml:space="preserve">                                                </w:t>
      </w:r>
      <w:r>
        <w:rPr>
          <w:rFonts w:hint="eastAsia"/>
          <w:sz w:val="24"/>
        </w:rPr>
        <w:t>；</w:t>
      </w:r>
    </w:p>
    <w:p>
      <w:pPr>
        <w:spacing w:line="560" w:lineRule="exact"/>
        <w:ind w:firstLine="480" w:firstLineChars="200"/>
        <w:rPr>
          <w:sz w:val="24"/>
        </w:rPr>
      </w:pPr>
      <w:r>
        <w:rPr>
          <w:rFonts w:hint="eastAsia"/>
          <w:sz w:val="24"/>
        </w:rPr>
        <w:t>1.2.3 标的质量：</w:t>
      </w:r>
      <w:r>
        <w:rPr>
          <w:rFonts w:hint="eastAsia"/>
          <w:sz w:val="24"/>
          <w:u w:val="single"/>
        </w:rPr>
        <w:t xml:space="preserve">　　　　　　　　　                      　      </w:t>
      </w:r>
      <w:r>
        <w:rPr>
          <w:rFonts w:hint="eastAsia"/>
          <w:sz w:val="24"/>
        </w:rPr>
        <w:t>。</w:t>
      </w:r>
    </w:p>
    <w:p>
      <w:pPr>
        <w:spacing w:line="560" w:lineRule="exact"/>
        <w:ind w:firstLine="482" w:firstLineChars="200"/>
        <w:outlineLvl w:val="1"/>
        <w:rPr>
          <w:b/>
          <w:sz w:val="24"/>
        </w:rPr>
      </w:pPr>
      <w:bookmarkStart w:id="112" w:name="_Toc5635"/>
      <w:bookmarkStart w:id="113" w:name="_Toc1386"/>
      <w:bookmarkStart w:id="114" w:name="_Toc13918"/>
      <w:bookmarkStart w:id="115" w:name="_Toc4929"/>
      <w:bookmarkStart w:id="116" w:name="_Toc1649"/>
      <w:bookmarkStart w:id="117" w:name="_Toc21124"/>
      <w:r>
        <w:rPr>
          <w:rFonts w:hint="eastAsia"/>
          <w:b/>
          <w:sz w:val="24"/>
        </w:rPr>
        <w:t>1.3 价款</w:t>
      </w:r>
      <w:bookmarkEnd w:id="112"/>
      <w:bookmarkEnd w:id="113"/>
      <w:bookmarkEnd w:id="114"/>
      <w:bookmarkEnd w:id="115"/>
      <w:bookmarkEnd w:id="116"/>
      <w:bookmarkEnd w:id="117"/>
    </w:p>
    <w:p>
      <w:pPr>
        <w:spacing w:line="560" w:lineRule="exact"/>
        <w:ind w:firstLine="480" w:firstLineChars="200"/>
        <w:rPr>
          <w:sz w:val="24"/>
        </w:rPr>
      </w:pPr>
      <w:r>
        <w:rPr>
          <w:rFonts w:hint="eastAsia"/>
          <w:sz w:val="24"/>
        </w:rPr>
        <w:t>本合同总价为：￥</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元人民币）。</w:t>
      </w:r>
    </w:p>
    <w:p>
      <w:pPr>
        <w:spacing w:line="560" w:lineRule="exact"/>
        <w:ind w:firstLine="480" w:firstLineChars="200"/>
        <w:rPr>
          <w:sz w:val="24"/>
          <w:u w:val="single"/>
        </w:rPr>
      </w:pPr>
      <w:r>
        <w:rPr>
          <w:rFonts w:hint="eastAsia"/>
          <w:sz w:val="24"/>
        </w:rPr>
        <w:t>分项价格：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8"/>
              <w:spacing w:line="560" w:lineRule="exact"/>
              <w:jc w:val="center"/>
              <w:rPr>
                <w:rFonts w:hAnsi="宋体" w:eastAsia="宋体" w:cs="宋体"/>
                <w:color w:val="000000"/>
                <w:sz w:val="24"/>
                <w:szCs w:val="24"/>
              </w:rPr>
            </w:pPr>
            <w:r>
              <w:rPr>
                <w:rFonts w:hint="eastAsia" w:hAnsi="宋体" w:eastAsia="宋体" w:cs="宋体"/>
                <w:color w:val="000000"/>
                <w:sz w:val="24"/>
                <w:szCs w:val="24"/>
              </w:rPr>
              <w:t>序号</w:t>
            </w:r>
          </w:p>
        </w:tc>
        <w:tc>
          <w:tcPr>
            <w:tcW w:w="3402" w:type="dxa"/>
            <w:vAlign w:val="center"/>
          </w:tcPr>
          <w:p>
            <w:pPr>
              <w:pStyle w:val="48"/>
              <w:spacing w:line="560" w:lineRule="exact"/>
              <w:ind w:firstLine="200"/>
              <w:jc w:val="center"/>
              <w:rPr>
                <w:rFonts w:hAnsi="宋体" w:eastAsia="宋体" w:cs="宋体"/>
                <w:color w:val="000000"/>
                <w:sz w:val="24"/>
                <w:szCs w:val="24"/>
              </w:rPr>
            </w:pPr>
            <w:r>
              <w:rPr>
                <w:rFonts w:hint="eastAsia" w:hAnsi="宋体" w:eastAsia="宋体" w:cs="宋体"/>
                <w:color w:val="000000"/>
                <w:sz w:val="24"/>
                <w:szCs w:val="24"/>
              </w:rPr>
              <w:t>分项名称</w:t>
            </w:r>
          </w:p>
        </w:tc>
        <w:tc>
          <w:tcPr>
            <w:tcW w:w="2552" w:type="dxa"/>
            <w:vAlign w:val="center"/>
          </w:tcPr>
          <w:p>
            <w:pPr>
              <w:pStyle w:val="48"/>
              <w:spacing w:line="560" w:lineRule="exact"/>
              <w:jc w:val="center"/>
              <w:rPr>
                <w:rFonts w:hAnsi="宋体" w:eastAsia="宋体" w:cs="宋体"/>
                <w:color w:val="000000"/>
                <w:sz w:val="24"/>
                <w:szCs w:val="24"/>
              </w:rPr>
            </w:pPr>
            <w:r>
              <w:rPr>
                <w:rFonts w:hint="eastAsia" w:hAnsi="宋体" w:eastAsia="宋体" w:cs="宋体"/>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8"/>
              <w:spacing w:line="560" w:lineRule="exact"/>
              <w:ind w:firstLine="200"/>
              <w:jc w:val="center"/>
              <w:rPr>
                <w:rFonts w:hAnsi="宋体" w:eastAsia="宋体" w:cs="宋体"/>
                <w:color w:val="000000"/>
                <w:sz w:val="24"/>
                <w:szCs w:val="24"/>
              </w:rPr>
            </w:pPr>
          </w:p>
        </w:tc>
        <w:tc>
          <w:tcPr>
            <w:tcW w:w="3402" w:type="dxa"/>
            <w:vAlign w:val="center"/>
          </w:tcPr>
          <w:p>
            <w:pPr>
              <w:pStyle w:val="48"/>
              <w:spacing w:line="560" w:lineRule="exact"/>
              <w:ind w:firstLine="200"/>
              <w:jc w:val="center"/>
              <w:rPr>
                <w:rFonts w:hAnsi="宋体" w:eastAsia="宋体" w:cs="宋体"/>
                <w:color w:val="000000"/>
                <w:sz w:val="24"/>
                <w:szCs w:val="24"/>
              </w:rPr>
            </w:pPr>
          </w:p>
        </w:tc>
        <w:tc>
          <w:tcPr>
            <w:tcW w:w="2552" w:type="dxa"/>
            <w:vAlign w:val="center"/>
          </w:tcPr>
          <w:p>
            <w:pPr>
              <w:pStyle w:val="48"/>
              <w:spacing w:line="560" w:lineRule="exact"/>
              <w:ind w:firstLine="200"/>
              <w:jc w:val="center"/>
              <w:rPr>
                <w:rFonts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8"/>
              <w:spacing w:line="560" w:lineRule="exact"/>
              <w:ind w:firstLine="200"/>
              <w:jc w:val="center"/>
              <w:rPr>
                <w:rFonts w:hAnsi="宋体" w:eastAsia="宋体" w:cs="宋体"/>
                <w:color w:val="000000"/>
                <w:sz w:val="24"/>
                <w:szCs w:val="24"/>
              </w:rPr>
            </w:pPr>
          </w:p>
        </w:tc>
        <w:tc>
          <w:tcPr>
            <w:tcW w:w="3402" w:type="dxa"/>
            <w:vAlign w:val="center"/>
          </w:tcPr>
          <w:p>
            <w:pPr>
              <w:pStyle w:val="48"/>
              <w:spacing w:line="560" w:lineRule="exact"/>
              <w:ind w:firstLine="200"/>
              <w:jc w:val="center"/>
              <w:rPr>
                <w:rFonts w:hAnsi="宋体" w:eastAsia="宋体" w:cs="宋体"/>
                <w:color w:val="000000"/>
                <w:sz w:val="24"/>
                <w:szCs w:val="24"/>
              </w:rPr>
            </w:pPr>
          </w:p>
        </w:tc>
        <w:tc>
          <w:tcPr>
            <w:tcW w:w="2552" w:type="dxa"/>
            <w:vAlign w:val="center"/>
          </w:tcPr>
          <w:p>
            <w:pPr>
              <w:pStyle w:val="48"/>
              <w:spacing w:line="560" w:lineRule="exact"/>
              <w:ind w:firstLine="200"/>
              <w:jc w:val="center"/>
              <w:rPr>
                <w:rFonts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8"/>
              <w:spacing w:line="560" w:lineRule="exact"/>
              <w:ind w:firstLine="200"/>
              <w:jc w:val="center"/>
              <w:rPr>
                <w:rFonts w:hAnsi="宋体" w:eastAsia="宋体" w:cs="宋体"/>
                <w:color w:val="000000"/>
                <w:sz w:val="24"/>
                <w:szCs w:val="24"/>
              </w:rPr>
            </w:pPr>
          </w:p>
        </w:tc>
        <w:tc>
          <w:tcPr>
            <w:tcW w:w="3402" w:type="dxa"/>
            <w:vAlign w:val="center"/>
          </w:tcPr>
          <w:p>
            <w:pPr>
              <w:pStyle w:val="48"/>
              <w:spacing w:line="560" w:lineRule="exact"/>
              <w:ind w:firstLine="200"/>
              <w:jc w:val="center"/>
              <w:rPr>
                <w:rFonts w:hAnsi="宋体" w:eastAsia="宋体" w:cs="宋体"/>
                <w:color w:val="000000"/>
                <w:sz w:val="24"/>
                <w:szCs w:val="24"/>
              </w:rPr>
            </w:pPr>
          </w:p>
        </w:tc>
        <w:tc>
          <w:tcPr>
            <w:tcW w:w="2552" w:type="dxa"/>
            <w:vAlign w:val="center"/>
          </w:tcPr>
          <w:p>
            <w:pPr>
              <w:pStyle w:val="48"/>
              <w:spacing w:line="560" w:lineRule="exact"/>
              <w:ind w:firstLine="200"/>
              <w:jc w:val="center"/>
              <w:rPr>
                <w:rFonts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8"/>
              <w:spacing w:line="560" w:lineRule="exact"/>
              <w:ind w:firstLine="200"/>
              <w:jc w:val="center"/>
              <w:rPr>
                <w:rFonts w:hAnsi="宋体" w:eastAsia="宋体" w:cs="宋体"/>
                <w:color w:val="000000"/>
                <w:sz w:val="24"/>
                <w:szCs w:val="24"/>
              </w:rPr>
            </w:pPr>
          </w:p>
        </w:tc>
        <w:tc>
          <w:tcPr>
            <w:tcW w:w="3402" w:type="dxa"/>
            <w:vAlign w:val="center"/>
          </w:tcPr>
          <w:p>
            <w:pPr>
              <w:pStyle w:val="48"/>
              <w:spacing w:line="560" w:lineRule="exact"/>
              <w:ind w:firstLine="200"/>
              <w:jc w:val="center"/>
              <w:rPr>
                <w:rFonts w:hAnsi="宋体" w:eastAsia="宋体" w:cs="宋体"/>
                <w:color w:val="000000"/>
                <w:sz w:val="24"/>
                <w:szCs w:val="24"/>
              </w:rPr>
            </w:pPr>
          </w:p>
        </w:tc>
        <w:tc>
          <w:tcPr>
            <w:tcW w:w="2552" w:type="dxa"/>
            <w:vAlign w:val="center"/>
          </w:tcPr>
          <w:p>
            <w:pPr>
              <w:pStyle w:val="48"/>
              <w:spacing w:line="560" w:lineRule="exact"/>
              <w:ind w:firstLine="200"/>
              <w:jc w:val="center"/>
              <w:rPr>
                <w:rFonts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48"/>
              <w:spacing w:line="560" w:lineRule="exact"/>
              <w:ind w:firstLine="200"/>
              <w:jc w:val="center"/>
              <w:rPr>
                <w:rFonts w:hAnsi="宋体" w:eastAsia="宋体" w:cs="宋体"/>
                <w:color w:val="000000"/>
                <w:sz w:val="24"/>
                <w:szCs w:val="24"/>
              </w:rPr>
            </w:pPr>
            <w:r>
              <w:rPr>
                <w:rFonts w:hint="eastAsia" w:hAnsi="宋体" w:eastAsia="宋体" w:cs="宋体"/>
                <w:color w:val="000000"/>
                <w:sz w:val="24"/>
                <w:szCs w:val="24"/>
              </w:rPr>
              <w:t>总价</w:t>
            </w:r>
          </w:p>
        </w:tc>
        <w:tc>
          <w:tcPr>
            <w:tcW w:w="2552" w:type="dxa"/>
            <w:vAlign w:val="center"/>
          </w:tcPr>
          <w:p>
            <w:pPr>
              <w:pStyle w:val="48"/>
              <w:spacing w:line="560" w:lineRule="exact"/>
              <w:ind w:firstLine="200"/>
              <w:jc w:val="center"/>
              <w:rPr>
                <w:rFonts w:hAnsi="宋体" w:eastAsia="宋体" w:cs="宋体"/>
                <w:color w:val="000000"/>
                <w:sz w:val="24"/>
                <w:szCs w:val="24"/>
              </w:rPr>
            </w:pPr>
          </w:p>
        </w:tc>
      </w:tr>
    </w:tbl>
    <w:p>
      <w:pPr>
        <w:spacing w:line="560" w:lineRule="exact"/>
        <w:ind w:firstLine="482" w:firstLineChars="200"/>
        <w:outlineLvl w:val="1"/>
        <w:rPr>
          <w:b/>
          <w:sz w:val="24"/>
        </w:rPr>
      </w:pPr>
      <w:bookmarkStart w:id="118" w:name="_Toc30506"/>
      <w:bookmarkStart w:id="119" w:name="_Toc3654"/>
      <w:bookmarkStart w:id="120" w:name="_Toc30158"/>
      <w:bookmarkStart w:id="121" w:name="_Toc14993"/>
      <w:bookmarkStart w:id="122" w:name="_Toc26916"/>
      <w:bookmarkStart w:id="123" w:name="_Toc1307"/>
      <w:r>
        <w:rPr>
          <w:rFonts w:hint="eastAsia"/>
          <w:b/>
          <w:sz w:val="24"/>
        </w:rPr>
        <w:t>1.4 付款方式和发票开具方式</w:t>
      </w:r>
      <w:bookmarkEnd w:id="118"/>
      <w:bookmarkEnd w:id="119"/>
      <w:bookmarkEnd w:id="120"/>
      <w:bookmarkEnd w:id="121"/>
      <w:bookmarkEnd w:id="122"/>
      <w:bookmarkEnd w:id="123"/>
    </w:p>
    <w:p>
      <w:pPr>
        <w:spacing w:line="560" w:lineRule="exact"/>
        <w:ind w:firstLine="480" w:firstLineChars="200"/>
        <w:rPr>
          <w:sz w:val="24"/>
        </w:rPr>
      </w:pPr>
      <w:r>
        <w:rPr>
          <w:rFonts w:hint="eastAsia"/>
          <w:sz w:val="24"/>
        </w:rPr>
        <w:t>1.4.1付款方式：</w:t>
      </w:r>
      <w:r>
        <w:rPr>
          <w:rFonts w:hint="eastAsia"/>
          <w:sz w:val="24"/>
          <w:u w:val="single"/>
        </w:rPr>
        <w:t xml:space="preserve">                                                </w:t>
      </w:r>
      <w:r>
        <w:rPr>
          <w:rFonts w:hint="eastAsia"/>
          <w:sz w:val="24"/>
        </w:rPr>
        <w:t>；</w:t>
      </w:r>
    </w:p>
    <w:p>
      <w:pPr>
        <w:spacing w:line="560" w:lineRule="exact"/>
        <w:ind w:firstLine="480" w:firstLineChars="200"/>
        <w:rPr>
          <w:sz w:val="24"/>
        </w:rPr>
      </w:pPr>
      <w:r>
        <w:rPr>
          <w:rFonts w:hint="eastAsia"/>
          <w:sz w:val="24"/>
        </w:rPr>
        <w:t>1.4.2 发票开具方式：</w:t>
      </w:r>
      <w:r>
        <w:rPr>
          <w:rFonts w:hint="eastAsia"/>
          <w:sz w:val="24"/>
          <w:u w:val="single"/>
        </w:rPr>
        <w:t xml:space="preserve">                                            </w:t>
      </w:r>
      <w:r>
        <w:rPr>
          <w:rFonts w:hint="eastAsia"/>
          <w:sz w:val="24"/>
        </w:rPr>
        <w:t>。</w:t>
      </w:r>
    </w:p>
    <w:p>
      <w:pPr>
        <w:spacing w:line="560" w:lineRule="exact"/>
        <w:ind w:firstLine="482" w:firstLineChars="200"/>
        <w:outlineLvl w:val="1"/>
        <w:rPr>
          <w:b/>
          <w:sz w:val="24"/>
        </w:rPr>
      </w:pPr>
      <w:bookmarkStart w:id="124" w:name="_Toc3625"/>
      <w:bookmarkStart w:id="125" w:name="_Toc4760"/>
      <w:bookmarkStart w:id="126" w:name="_Toc8772"/>
      <w:bookmarkStart w:id="127" w:name="_Toc11108"/>
      <w:bookmarkStart w:id="128" w:name="_Toc31421"/>
      <w:bookmarkStart w:id="129" w:name="_Toc1486"/>
      <w:r>
        <w:rPr>
          <w:rFonts w:hint="eastAsia"/>
          <w:b/>
          <w:sz w:val="24"/>
        </w:rPr>
        <w:t>1.5 履行期限、地点和方式</w:t>
      </w:r>
      <w:bookmarkEnd w:id="124"/>
      <w:bookmarkEnd w:id="125"/>
      <w:bookmarkEnd w:id="126"/>
      <w:bookmarkEnd w:id="127"/>
      <w:bookmarkEnd w:id="128"/>
      <w:bookmarkEnd w:id="129"/>
    </w:p>
    <w:p>
      <w:pPr>
        <w:spacing w:line="560" w:lineRule="exact"/>
        <w:ind w:firstLine="480" w:firstLineChars="200"/>
        <w:rPr>
          <w:sz w:val="24"/>
          <w:u w:val="single"/>
        </w:rPr>
      </w:pPr>
      <w:r>
        <w:rPr>
          <w:rFonts w:hint="eastAsia"/>
          <w:sz w:val="24"/>
        </w:rPr>
        <w:t>1.5.1 履行期限：</w:t>
      </w:r>
      <w:r>
        <w:rPr>
          <w:rFonts w:hint="eastAsia"/>
          <w:sz w:val="24"/>
          <w:u w:val="single"/>
        </w:rPr>
        <w:t xml:space="preserve">                                                </w:t>
      </w:r>
      <w:r>
        <w:rPr>
          <w:rFonts w:hint="eastAsia"/>
          <w:sz w:val="24"/>
        </w:rPr>
        <w:t>；</w:t>
      </w:r>
    </w:p>
    <w:p>
      <w:pPr>
        <w:spacing w:line="560" w:lineRule="exact"/>
        <w:ind w:firstLine="480" w:firstLineChars="200"/>
        <w:rPr>
          <w:sz w:val="24"/>
        </w:rPr>
      </w:pPr>
      <w:r>
        <w:rPr>
          <w:rFonts w:hint="eastAsia"/>
          <w:sz w:val="24"/>
        </w:rPr>
        <w:t>1.5.2 履行地点：</w:t>
      </w:r>
      <w:r>
        <w:rPr>
          <w:rFonts w:hint="eastAsia"/>
          <w:sz w:val="24"/>
          <w:u w:val="single"/>
        </w:rPr>
        <w:t xml:space="preserve">                                                </w:t>
      </w:r>
      <w:r>
        <w:rPr>
          <w:rFonts w:hint="eastAsia"/>
          <w:sz w:val="24"/>
        </w:rPr>
        <w:t>；</w:t>
      </w:r>
    </w:p>
    <w:p>
      <w:pPr>
        <w:spacing w:line="560" w:lineRule="exact"/>
        <w:ind w:firstLine="480" w:firstLineChars="200"/>
        <w:rPr>
          <w:sz w:val="24"/>
        </w:rPr>
      </w:pPr>
      <w:r>
        <w:rPr>
          <w:rFonts w:hint="eastAsia"/>
          <w:sz w:val="24"/>
        </w:rPr>
        <w:t>1.5.3 履行方式：</w:t>
      </w:r>
      <w:r>
        <w:rPr>
          <w:rFonts w:hint="eastAsia"/>
          <w:sz w:val="24"/>
          <w:u w:val="single"/>
        </w:rPr>
        <w:t xml:space="preserve">　　　　　　　　　                      　      </w:t>
      </w:r>
      <w:r>
        <w:rPr>
          <w:rFonts w:hint="eastAsia"/>
          <w:sz w:val="24"/>
        </w:rPr>
        <w:t>。</w:t>
      </w:r>
    </w:p>
    <w:p>
      <w:pPr>
        <w:spacing w:line="560" w:lineRule="exact"/>
        <w:ind w:firstLine="482" w:firstLineChars="200"/>
        <w:outlineLvl w:val="1"/>
        <w:rPr>
          <w:sz w:val="24"/>
          <w:u w:val="single"/>
        </w:rPr>
      </w:pPr>
      <w:bookmarkStart w:id="130" w:name="_Toc2375"/>
      <w:bookmarkStart w:id="131" w:name="_Toc5698"/>
      <w:bookmarkStart w:id="132" w:name="_Toc8586"/>
      <w:bookmarkStart w:id="133" w:name="_Toc24662"/>
      <w:bookmarkStart w:id="134" w:name="_Toc3079"/>
      <w:bookmarkStart w:id="135" w:name="_Toc31307"/>
      <w:r>
        <w:rPr>
          <w:rFonts w:hint="eastAsia"/>
          <w:b/>
          <w:sz w:val="24"/>
        </w:rPr>
        <w:t>1.6 违约责任</w:t>
      </w:r>
      <w:bookmarkEnd w:id="130"/>
      <w:bookmarkEnd w:id="131"/>
      <w:bookmarkEnd w:id="132"/>
      <w:bookmarkEnd w:id="133"/>
      <w:bookmarkEnd w:id="134"/>
      <w:bookmarkEnd w:id="135"/>
    </w:p>
    <w:p>
      <w:pPr>
        <w:spacing w:line="560" w:lineRule="exact"/>
        <w:ind w:firstLine="480" w:firstLineChars="200"/>
        <w:rPr>
          <w:sz w:val="24"/>
        </w:rPr>
      </w:pPr>
      <w:r>
        <w:rPr>
          <w:rFonts w:hint="eastAsia"/>
          <w:sz w:val="24"/>
        </w:rPr>
        <w:t>1.6.1 除不可抗力外，如果乙方没有按照本合同约定的期限、地点和方式履行，那么甲方可要求乙方支付违约金，违约金按每迟延履行一日的应提供而未提供服务价格的</w:t>
      </w:r>
      <w:r>
        <w:rPr>
          <w:rFonts w:hint="eastAsia"/>
          <w:sz w:val="24"/>
          <w:u w:val="single"/>
        </w:rPr>
        <w:t xml:space="preserve">    </w:t>
      </w:r>
      <w:r>
        <w:rPr>
          <w:rFonts w:hint="eastAsia"/>
          <w:sz w:val="24"/>
        </w:rPr>
        <w:t>%计算，最高限额为本合同总价的</w:t>
      </w:r>
      <w:r>
        <w:rPr>
          <w:rFonts w:hint="eastAsia"/>
          <w:sz w:val="24"/>
          <w:u w:val="single"/>
        </w:rPr>
        <w:t xml:space="preserve">     </w:t>
      </w:r>
      <w:r>
        <w:rPr>
          <w:rFonts w:hint="eastAsia"/>
          <w:sz w:val="24"/>
        </w:rPr>
        <w:t>%；迟延履行的违约金计算数额达到前述最高限额之日起，甲方有权在要求乙方支付违约金的同时，书面通知乙方解除本合同；</w:t>
      </w:r>
    </w:p>
    <w:p>
      <w:pPr>
        <w:spacing w:line="560" w:lineRule="exact"/>
        <w:ind w:firstLine="480" w:firstLineChars="200"/>
        <w:rPr>
          <w:sz w:val="24"/>
        </w:rPr>
      </w:pPr>
      <w:r>
        <w:rPr>
          <w:rFonts w:hint="eastAsia"/>
          <w:sz w:val="24"/>
        </w:rPr>
        <w:t>1.6.2 除不可抗力外，如果甲方没有按照本合同约定的付款方式付款，那么乙方可要求甲方支付违约金，违约金按每迟延付款一日的应付而未付款的</w:t>
      </w:r>
      <w:r>
        <w:rPr>
          <w:rFonts w:hint="eastAsia"/>
          <w:sz w:val="24"/>
          <w:u w:val="single"/>
        </w:rPr>
        <w:t xml:space="preserve">    </w:t>
      </w:r>
      <w:r>
        <w:rPr>
          <w:rFonts w:hint="eastAsia"/>
          <w:sz w:val="24"/>
        </w:rPr>
        <w:t>%计算，最高限额为本合同总价的</w:t>
      </w:r>
      <w:r>
        <w:rPr>
          <w:rFonts w:hint="eastAsia"/>
          <w:sz w:val="24"/>
          <w:u w:val="single"/>
        </w:rPr>
        <w:t xml:space="preserve">     </w:t>
      </w:r>
      <w:r>
        <w:rPr>
          <w:rFonts w:hint="eastAsia"/>
          <w:sz w:val="24"/>
        </w:rPr>
        <w:t>%；迟延付款的违约金计算数额达到前述最高限额之日起，乙方有权在要求甲方支付违约金的同时，书面通知甲方解除本合同；</w:t>
      </w:r>
    </w:p>
    <w:p>
      <w:pPr>
        <w:spacing w:line="560" w:lineRule="exact"/>
        <w:ind w:firstLine="480" w:firstLineChars="200"/>
        <w:rPr>
          <w:sz w:val="24"/>
        </w:rPr>
      </w:pPr>
      <w:r>
        <w:rPr>
          <w:rFonts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sz w:val="24"/>
        </w:rPr>
      </w:pPr>
      <w:r>
        <w:rPr>
          <w:rFonts w:hint="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sz w:val="24"/>
        </w:rPr>
      </w:pPr>
      <w:r>
        <w:rPr>
          <w:rFonts w:hint="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sz w:val="24"/>
        </w:rPr>
      </w:pPr>
      <w:r>
        <w:rPr>
          <w:rFonts w:hint="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1"/>
        <w:rPr>
          <w:b/>
          <w:sz w:val="24"/>
        </w:rPr>
      </w:pPr>
      <w:bookmarkStart w:id="136" w:name="_Toc13058"/>
      <w:bookmarkStart w:id="137" w:name="_Toc30329"/>
      <w:bookmarkStart w:id="138" w:name="_Toc26807"/>
      <w:bookmarkStart w:id="139" w:name="_Toc18683"/>
      <w:bookmarkStart w:id="140" w:name="_Toc9497"/>
      <w:bookmarkStart w:id="141" w:name="_Toc32454"/>
      <w:r>
        <w:rPr>
          <w:rFonts w:hint="eastAsia"/>
          <w:b/>
          <w:sz w:val="24"/>
        </w:rPr>
        <w:t>1.7 合同争议的解决</w:t>
      </w:r>
      <w:bookmarkEnd w:id="136"/>
      <w:bookmarkEnd w:id="137"/>
      <w:bookmarkEnd w:id="138"/>
      <w:bookmarkEnd w:id="139"/>
      <w:bookmarkEnd w:id="140"/>
      <w:bookmarkEnd w:id="141"/>
    </w:p>
    <w:p>
      <w:pPr>
        <w:spacing w:line="560" w:lineRule="exact"/>
        <w:ind w:right="-440" w:rightChars="-200" w:firstLine="480" w:firstLineChars="200"/>
        <w:rPr>
          <w:sz w:val="24"/>
        </w:rPr>
      </w:pPr>
      <w:r>
        <w:rPr>
          <w:rFonts w:hint="eastAsia"/>
          <w:sz w:val="24"/>
        </w:rPr>
        <w:t>本合同履行过程中发生的任何争议，双方当事人均可通过和解或者调解解决；不愿和解、调解或者和解、调解不成的，可以选择下列第</w:t>
      </w:r>
      <w:r>
        <w:rPr>
          <w:rFonts w:hint="eastAsia"/>
          <w:sz w:val="24"/>
          <w:u w:val="single"/>
        </w:rPr>
        <w:t xml:space="preserve">    </w:t>
      </w:r>
      <w:r>
        <w:rPr>
          <w:rFonts w:hint="eastAsia"/>
          <w:sz w:val="24"/>
        </w:rPr>
        <w:t>种方式解决：</w:t>
      </w:r>
    </w:p>
    <w:p>
      <w:pPr>
        <w:spacing w:line="560" w:lineRule="exact"/>
        <w:ind w:right="-440" w:rightChars="-200" w:firstLine="480" w:firstLineChars="200"/>
        <w:rPr>
          <w:sz w:val="24"/>
        </w:rPr>
      </w:pPr>
      <w:r>
        <w:rPr>
          <w:rFonts w:hint="eastAsia"/>
          <w:sz w:val="24"/>
        </w:rPr>
        <w:t>1.7.1 将争议提交</w:t>
      </w:r>
      <w:r>
        <w:rPr>
          <w:rFonts w:hint="eastAsia"/>
          <w:sz w:val="24"/>
          <w:u w:val="single"/>
        </w:rPr>
        <w:t xml:space="preserve">              </w:t>
      </w:r>
      <w:r>
        <w:rPr>
          <w:rFonts w:hint="eastAsia"/>
          <w:sz w:val="24"/>
        </w:rPr>
        <w:t>仲裁委员会依申请仲裁时其现行有效的仲裁规则裁决；</w:t>
      </w:r>
    </w:p>
    <w:p>
      <w:pPr>
        <w:spacing w:line="560" w:lineRule="exact"/>
        <w:ind w:firstLine="480" w:firstLineChars="200"/>
        <w:rPr>
          <w:sz w:val="24"/>
        </w:rPr>
      </w:pPr>
      <w:r>
        <w:rPr>
          <w:rFonts w:hint="eastAsia"/>
          <w:sz w:val="24"/>
        </w:rPr>
        <w:t>1.7.2 向</w:t>
      </w:r>
      <w:r>
        <w:rPr>
          <w:rFonts w:hint="eastAsia"/>
          <w:sz w:val="24"/>
          <w:u w:val="single"/>
        </w:rPr>
        <w:t xml:space="preserve">   （被告住所地、合同履行地、合同签订地、原告住所地、标的物所在地等与争议有实际联系的地点中选出的人民法院名称）    </w:t>
      </w:r>
      <w:r>
        <w:rPr>
          <w:rFonts w:hint="eastAsia"/>
          <w:sz w:val="24"/>
        </w:rPr>
        <w:t>人民法院起诉。</w:t>
      </w:r>
    </w:p>
    <w:p>
      <w:pPr>
        <w:spacing w:line="560" w:lineRule="exact"/>
        <w:ind w:firstLine="482" w:firstLineChars="200"/>
        <w:outlineLvl w:val="1"/>
        <w:rPr>
          <w:b/>
          <w:sz w:val="24"/>
        </w:rPr>
      </w:pPr>
      <w:bookmarkStart w:id="142" w:name="_Toc12273"/>
      <w:bookmarkStart w:id="143" w:name="_Toc16417"/>
      <w:bookmarkStart w:id="144" w:name="_Toc15827"/>
      <w:bookmarkStart w:id="145" w:name="_Toc23784"/>
      <w:bookmarkStart w:id="146" w:name="_Toc6273"/>
      <w:bookmarkStart w:id="147" w:name="_Toc26227"/>
      <w:r>
        <w:rPr>
          <w:rFonts w:hint="eastAsia"/>
          <w:b/>
          <w:sz w:val="24"/>
        </w:rPr>
        <w:t>1.8 合同生效</w:t>
      </w:r>
      <w:bookmarkEnd w:id="142"/>
      <w:bookmarkEnd w:id="143"/>
      <w:bookmarkEnd w:id="144"/>
      <w:bookmarkEnd w:id="145"/>
      <w:bookmarkEnd w:id="146"/>
      <w:bookmarkEnd w:id="147"/>
    </w:p>
    <w:p>
      <w:pPr>
        <w:spacing w:line="560" w:lineRule="exact"/>
        <w:ind w:firstLine="480" w:firstLineChars="200"/>
        <w:rPr>
          <w:b/>
          <w:sz w:val="24"/>
        </w:rPr>
      </w:pPr>
      <w:r>
        <w:rPr>
          <w:rFonts w:hint="eastAsia"/>
          <w:sz w:val="24"/>
        </w:rPr>
        <w:t>本合同自双方当事人盖章或者签字时生效。</w:t>
      </w:r>
    </w:p>
    <w:p>
      <w:pPr>
        <w:adjustRightInd w:val="0"/>
        <w:spacing w:line="560" w:lineRule="exact"/>
        <w:rPr>
          <w:sz w:val="24"/>
        </w:rPr>
      </w:pPr>
    </w:p>
    <w:p>
      <w:pPr>
        <w:adjustRightInd w:val="0"/>
        <w:spacing w:line="560" w:lineRule="exact"/>
        <w:outlineLvl w:val="1"/>
        <w:rPr>
          <w:sz w:val="24"/>
        </w:rPr>
      </w:pPr>
      <w:r>
        <w:rPr>
          <w:rFonts w:hint="eastAsia"/>
          <w:b/>
          <w:sz w:val="24"/>
        </w:rPr>
        <w:t>甲方</w:t>
      </w:r>
      <w:r>
        <w:rPr>
          <w:rFonts w:hint="eastAsia"/>
          <w:sz w:val="24"/>
        </w:rPr>
        <w:t xml:space="preserve">：                             </w:t>
      </w:r>
      <w:r>
        <w:rPr>
          <w:rFonts w:hint="eastAsia"/>
          <w:b/>
          <w:sz w:val="24"/>
        </w:rPr>
        <w:t xml:space="preserve">      乙方</w:t>
      </w:r>
      <w:r>
        <w:rPr>
          <w:rFonts w:hint="eastAsia"/>
          <w:sz w:val="24"/>
        </w:rPr>
        <w:t>：</w:t>
      </w:r>
    </w:p>
    <w:p>
      <w:pPr>
        <w:adjustRightInd w:val="0"/>
        <w:spacing w:line="560" w:lineRule="exact"/>
        <w:rPr>
          <w:sz w:val="24"/>
        </w:rPr>
      </w:pPr>
      <w:r>
        <w:rPr>
          <w:rFonts w:hint="eastAsia"/>
          <w:sz w:val="24"/>
        </w:rPr>
        <w:t>统一社会信用代码：                        统一社会信用代码或身份证号码：</w:t>
      </w:r>
    </w:p>
    <w:p>
      <w:pPr>
        <w:adjustRightInd w:val="0"/>
        <w:spacing w:line="560" w:lineRule="exact"/>
        <w:rPr>
          <w:sz w:val="24"/>
        </w:rPr>
      </w:pPr>
    </w:p>
    <w:p>
      <w:pPr>
        <w:adjustRightInd w:val="0"/>
        <w:spacing w:line="560" w:lineRule="exact"/>
        <w:rPr>
          <w:sz w:val="24"/>
        </w:rPr>
      </w:pPr>
      <w:r>
        <w:rPr>
          <w:rFonts w:hint="eastAsia"/>
          <w:sz w:val="24"/>
        </w:rPr>
        <w:t>住所：                                   住所：</w:t>
      </w:r>
    </w:p>
    <w:p>
      <w:pPr>
        <w:adjustRightInd w:val="0"/>
        <w:spacing w:line="560" w:lineRule="exact"/>
        <w:rPr>
          <w:sz w:val="24"/>
        </w:rPr>
      </w:pPr>
      <w:r>
        <w:rPr>
          <w:rFonts w:hint="eastAsia"/>
          <w:sz w:val="24"/>
        </w:rPr>
        <w:t>法定代表人或                             法定代表人</w:t>
      </w:r>
    </w:p>
    <w:p>
      <w:pPr>
        <w:adjustRightInd w:val="0"/>
        <w:spacing w:line="560" w:lineRule="exact"/>
        <w:rPr>
          <w:sz w:val="24"/>
        </w:rPr>
      </w:pPr>
      <w:r>
        <w:rPr>
          <w:rFonts w:hint="eastAsia"/>
          <w:sz w:val="24"/>
        </w:rPr>
        <w:t xml:space="preserve">授权代表（签字）：                        或授权代表（签字）: </w:t>
      </w:r>
    </w:p>
    <w:p>
      <w:pPr>
        <w:adjustRightInd w:val="0"/>
        <w:spacing w:line="560" w:lineRule="exact"/>
        <w:rPr>
          <w:sz w:val="24"/>
        </w:rPr>
      </w:pPr>
      <w:r>
        <w:rPr>
          <w:rFonts w:hint="eastAsia"/>
          <w:sz w:val="24"/>
        </w:rPr>
        <w:t>联系人：                                 联系人：</w:t>
      </w:r>
    </w:p>
    <w:p>
      <w:pPr>
        <w:adjustRightInd w:val="0"/>
        <w:spacing w:line="560" w:lineRule="exact"/>
        <w:rPr>
          <w:sz w:val="24"/>
        </w:rPr>
      </w:pPr>
      <w:r>
        <w:rPr>
          <w:rFonts w:hint="eastAsia"/>
          <w:sz w:val="24"/>
        </w:rPr>
        <w:t>约定送达地址：                           约定送达地址：</w:t>
      </w:r>
    </w:p>
    <w:p>
      <w:pPr>
        <w:adjustRightInd w:val="0"/>
        <w:spacing w:line="560" w:lineRule="exact"/>
        <w:rPr>
          <w:sz w:val="24"/>
        </w:rPr>
      </w:pPr>
      <w:r>
        <w:rPr>
          <w:rFonts w:hint="eastAsia"/>
          <w:sz w:val="24"/>
        </w:rPr>
        <w:t>邮政编码：                               邮政编码：</w:t>
      </w:r>
    </w:p>
    <w:p>
      <w:pPr>
        <w:adjustRightInd w:val="0"/>
        <w:spacing w:line="560" w:lineRule="exact"/>
        <w:rPr>
          <w:sz w:val="24"/>
        </w:rPr>
      </w:pPr>
      <w:r>
        <w:rPr>
          <w:rFonts w:hint="eastAsia"/>
          <w:sz w:val="24"/>
        </w:rPr>
        <w:t xml:space="preserve">电话:                                    电话: </w:t>
      </w:r>
    </w:p>
    <w:p>
      <w:pPr>
        <w:adjustRightInd w:val="0"/>
        <w:spacing w:line="560" w:lineRule="exact"/>
        <w:rPr>
          <w:sz w:val="24"/>
        </w:rPr>
      </w:pPr>
      <w:r>
        <w:rPr>
          <w:rFonts w:hint="eastAsia"/>
          <w:sz w:val="24"/>
        </w:rPr>
        <w:t>传真:                                    传真:</w:t>
      </w:r>
    </w:p>
    <w:p>
      <w:pPr>
        <w:adjustRightInd w:val="0"/>
        <w:spacing w:line="560" w:lineRule="exact"/>
        <w:rPr>
          <w:sz w:val="24"/>
        </w:rPr>
      </w:pPr>
      <w:r>
        <w:rPr>
          <w:rFonts w:hint="eastAsia"/>
          <w:sz w:val="24"/>
        </w:rPr>
        <w:t>电子邮箱：                               电子邮箱：</w:t>
      </w:r>
    </w:p>
    <w:p>
      <w:pPr>
        <w:adjustRightInd w:val="0"/>
        <w:spacing w:line="560" w:lineRule="exact"/>
        <w:rPr>
          <w:sz w:val="24"/>
        </w:rPr>
      </w:pPr>
      <w:r>
        <w:rPr>
          <w:rFonts w:hint="eastAsia"/>
          <w:sz w:val="24"/>
        </w:rPr>
        <w:t xml:space="preserve">开户银行：                               开户银行： </w:t>
      </w:r>
    </w:p>
    <w:p>
      <w:pPr>
        <w:adjustRightInd w:val="0"/>
        <w:spacing w:line="560" w:lineRule="exact"/>
        <w:rPr>
          <w:sz w:val="24"/>
        </w:rPr>
      </w:pPr>
      <w:r>
        <w:rPr>
          <w:rFonts w:hint="eastAsia"/>
          <w:sz w:val="24"/>
        </w:rPr>
        <w:t xml:space="preserve">开户名称：                               开户名称： </w:t>
      </w:r>
    </w:p>
    <w:p>
      <w:pPr>
        <w:adjustRightInd w:val="0"/>
        <w:spacing w:line="560" w:lineRule="exact"/>
        <w:rPr>
          <w:sz w:val="24"/>
        </w:rPr>
      </w:pPr>
      <w:r>
        <w:rPr>
          <w:rFonts w:hint="eastAsia"/>
          <w:sz w:val="24"/>
        </w:rPr>
        <w:t>开户账号：                               开户账号：</w:t>
      </w:r>
    </w:p>
    <w:p>
      <w:pPr>
        <w:widowControl/>
        <w:spacing w:line="560" w:lineRule="exact"/>
        <w:rPr>
          <w:b/>
        </w:rPr>
      </w:pPr>
      <w:bookmarkStart w:id="148" w:name="_Toc331685783"/>
    </w:p>
    <w:p>
      <w:pPr>
        <w:widowControl/>
        <w:spacing w:line="560" w:lineRule="exact"/>
        <w:rPr>
          <w:b/>
        </w:rPr>
      </w:pPr>
    </w:p>
    <w:p>
      <w:pPr>
        <w:widowControl/>
        <w:spacing w:line="560" w:lineRule="exact"/>
        <w:rPr>
          <w:b/>
          <w:sz w:val="24"/>
        </w:rPr>
      </w:pPr>
    </w:p>
    <w:p>
      <w:pPr>
        <w:widowControl/>
        <w:spacing w:line="560" w:lineRule="exact"/>
        <w:rPr>
          <w:b/>
          <w:sz w:val="24"/>
        </w:rPr>
      </w:pPr>
    </w:p>
    <w:p>
      <w:pPr>
        <w:widowControl/>
        <w:spacing w:line="560" w:lineRule="exact"/>
        <w:rPr>
          <w:b/>
          <w:sz w:val="24"/>
        </w:rPr>
      </w:pPr>
    </w:p>
    <w:p>
      <w:pPr>
        <w:widowControl/>
        <w:spacing w:line="560" w:lineRule="exact"/>
        <w:rPr>
          <w:b/>
          <w:sz w:val="24"/>
        </w:rPr>
      </w:pPr>
    </w:p>
    <w:p>
      <w:pPr>
        <w:pStyle w:val="13"/>
        <w:rPr>
          <w:b/>
        </w:rPr>
      </w:pPr>
    </w:p>
    <w:p>
      <w:pPr>
        <w:pStyle w:val="13"/>
        <w:rPr>
          <w:b/>
        </w:rPr>
      </w:pPr>
    </w:p>
    <w:p>
      <w:pPr>
        <w:pStyle w:val="13"/>
        <w:rPr>
          <w:b/>
        </w:rPr>
      </w:pPr>
    </w:p>
    <w:p>
      <w:pPr>
        <w:pStyle w:val="13"/>
        <w:rPr>
          <w:b/>
        </w:rPr>
      </w:pPr>
    </w:p>
    <w:p>
      <w:pPr>
        <w:pStyle w:val="13"/>
        <w:rPr>
          <w:b/>
        </w:rPr>
      </w:pPr>
    </w:p>
    <w:p>
      <w:pPr>
        <w:pStyle w:val="13"/>
        <w:rPr>
          <w:b/>
        </w:rPr>
      </w:pPr>
    </w:p>
    <w:p>
      <w:pPr>
        <w:pStyle w:val="13"/>
        <w:rPr>
          <w:b/>
        </w:rPr>
      </w:pPr>
    </w:p>
    <w:p>
      <w:pPr>
        <w:pStyle w:val="46"/>
        <w:spacing w:line="560" w:lineRule="exact"/>
        <w:ind w:firstLine="200"/>
        <w:jc w:val="center"/>
        <w:outlineLvl w:val="0"/>
        <w:rPr>
          <w:rFonts w:hAnsi="宋体" w:eastAsia="宋体" w:cs="宋体"/>
          <w:b/>
          <w:szCs w:val="24"/>
        </w:rPr>
      </w:pPr>
      <w:bookmarkStart w:id="149" w:name="_Toc24988"/>
      <w:bookmarkStart w:id="150" w:name="_Toc9598"/>
      <w:bookmarkStart w:id="151" w:name="_Toc650"/>
      <w:r>
        <w:rPr>
          <w:rFonts w:hint="eastAsia" w:hAnsi="宋体" w:eastAsia="宋体" w:cs="宋体"/>
          <w:b/>
          <w:szCs w:val="24"/>
        </w:rPr>
        <w:t>第二部分 合同一般条款</w:t>
      </w:r>
      <w:bookmarkEnd w:id="148"/>
      <w:bookmarkEnd w:id="149"/>
      <w:bookmarkEnd w:id="150"/>
      <w:bookmarkEnd w:id="151"/>
    </w:p>
    <w:p>
      <w:pPr>
        <w:spacing w:line="560" w:lineRule="exact"/>
        <w:ind w:firstLine="482" w:firstLineChars="200"/>
        <w:outlineLvl w:val="1"/>
        <w:rPr>
          <w:b/>
          <w:sz w:val="24"/>
        </w:rPr>
      </w:pPr>
      <w:bookmarkStart w:id="152" w:name="_Ref467379109"/>
      <w:bookmarkStart w:id="153" w:name="_Toc279701240"/>
      <w:bookmarkStart w:id="154" w:name="_Toc22671"/>
      <w:bookmarkStart w:id="155" w:name="_Toc14021"/>
      <w:bookmarkStart w:id="156" w:name="_Toc25079"/>
      <w:bookmarkStart w:id="157" w:name="_Toc19680"/>
      <w:bookmarkStart w:id="158" w:name="_Toc487900349"/>
      <w:bookmarkStart w:id="159" w:name="_Ref467379195"/>
      <w:bookmarkStart w:id="160" w:name="_Ref467379094"/>
      <w:bookmarkStart w:id="161" w:name="_Ref467378404"/>
      <w:bookmarkStart w:id="162" w:name="_Ref467379225"/>
      <w:bookmarkStart w:id="163" w:name="_Ref467379205"/>
      <w:bookmarkStart w:id="164" w:name="_Toc31297"/>
      <w:bookmarkStart w:id="165" w:name="_Ref467378499"/>
      <w:bookmarkStart w:id="166" w:name="_Ref467378463"/>
      <w:bookmarkStart w:id="167" w:name="_Toc259093669"/>
      <w:bookmarkStart w:id="168" w:name="_Toc5228"/>
      <w:bookmarkStart w:id="169" w:name="_Ref467379214"/>
      <w:bookmarkStart w:id="170" w:name="_Ref467379101"/>
      <w:r>
        <w:rPr>
          <w:rFonts w:hint="eastAsia"/>
          <w:b/>
          <w:sz w:val="24"/>
        </w:rPr>
        <w:t>2.1 定义</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line="560" w:lineRule="exact"/>
        <w:ind w:firstLine="480" w:firstLineChars="200"/>
        <w:rPr>
          <w:sz w:val="24"/>
        </w:rPr>
      </w:pPr>
      <w:r>
        <w:rPr>
          <w:rFonts w:hint="eastAsia"/>
          <w:sz w:val="24"/>
        </w:rPr>
        <w:t>本合同中的下列词语应按以下内容进行解释：</w:t>
      </w:r>
    </w:p>
    <w:p>
      <w:pPr>
        <w:spacing w:line="560" w:lineRule="exact"/>
        <w:ind w:firstLine="480" w:firstLineChars="200"/>
        <w:rPr>
          <w:sz w:val="24"/>
        </w:rPr>
      </w:pPr>
      <w:r>
        <w:rPr>
          <w:rFonts w:hint="eastAsia"/>
          <w:sz w:val="24"/>
        </w:rPr>
        <w:t>2.1.1 “合同”系指采购人和中标供应商签订的载明双方当事人所达成的协议，并包括所有的附件、附录和构成合同的其他文件。</w:t>
      </w:r>
    </w:p>
    <w:p>
      <w:pPr>
        <w:spacing w:line="560" w:lineRule="exact"/>
        <w:ind w:firstLine="480" w:firstLineChars="200"/>
        <w:rPr>
          <w:sz w:val="24"/>
        </w:rPr>
      </w:pPr>
      <w:r>
        <w:rPr>
          <w:rFonts w:hint="eastAsia"/>
          <w:sz w:val="24"/>
        </w:rPr>
        <w:t>2.1.2 “合同价”系指根据合同约定，中标供应商在完全履行合同义务后，采购人应支付给中标供应商的价格。</w:t>
      </w:r>
    </w:p>
    <w:p>
      <w:pPr>
        <w:spacing w:line="560" w:lineRule="exact"/>
        <w:ind w:firstLine="480" w:firstLineChars="200"/>
        <w:rPr>
          <w:sz w:val="24"/>
        </w:rPr>
      </w:pPr>
      <w:r>
        <w:rPr>
          <w:rFonts w:hint="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sz w:val="24"/>
        </w:rPr>
      </w:pPr>
      <w:bookmarkStart w:id="171" w:name="_Ref467378840"/>
      <w:r>
        <w:rPr>
          <w:rFonts w:hint="eastAsia"/>
          <w:sz w:val="24"/>
        </w:rPr>
        <w:t>2.1.4 “甲方”系指与中标供应商签署合同的采购人</w:t>
      </w:r>
      <w:bookmarkEnd w:id="171"/>
      <w:r>
        <w:rPr>
          <w:rFonts w:hint="eastAsia"/>
          <w:sz w:val="24"/>
        </w:rPr>
        <w:t>；采购人委托采购代理机构代表其与乙方签订合同的，采购人的授权委托书作为合同附件。</w:t>
      </w:r>
    </w:p>
    <w:p>
      <w:pPr>
        <w:spacing w:line="560" w:lineRule="exact"/>
        <w:ind w:firstLine="480" w:firstLineChars="200"/>
        <w:rPr>
          <w:sz w:val="24"/>
        </w:rPr>
      </w:pPr>
      <w:bookmarkStart w:id="172" w:name="_Ref467379400"/>
      <w:r>
        <w:rPr>
          <w:rFonts w:hint="eastAsia"/>
          <w:sz w:val="24"/>
        </w:rPr>
        <w:t>2.1.5 “乙方”系指根据合同约定提供服务的中标供应商</w:t>
      </w:r>
      <w:bookmarkEnd w:id="172"/>
      <w:r>
        <w:rPr>
          <w:rFonts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sz w:val="24"/>
        </w:rPr>
      </w:pPr>
      <w:bookmarkStart w:id="173" w:name="_Ref467379436"/>
      <w:r>
        <w:rPr>
          <w:rFonts w:hint="eastAsia"/>
          <w:sz w:val="24"/>
        </w:rPr>
        <w:t>2.1.6 “现场”系指合同约定提供服务的地点。</w:t>
      </w:r>
      <w:bookmarkEnd w:id="173"/>
    </w:p>
    <w:p>
      <w:pPr>
        <w:spacing w:line="560" w:lineRule="exact"/>
        <w:ind w:firstLine="482" w:firstLineChars="200"/>
        <w:outlineLvl w:val="1"/>
        <w:rPr>
          <w:b/>
          <w:sz w:val="24"/>
        </w:rPr>
      </w:pPr>
      <w:bookmarkStart w:id="174" w:name="_Toc31402"/>
      <w:bookmarkStart w:id="175" w:name="_Toc23289"/>
      <w:bookmarkStart w:id="176" w:name="_Toc259093670"/>
      <w:bookmarkStart w:id="177" w:name="_Toc12047"/>
      <w:bookmarkStart w:id="178" w:name="_Toc279701241"/>
      <w:bookmarkStart w:id="179" w:name="_Toc3769"/>
      <w:bookmarkStart w:id="180" w:name="_Toc16752"/>
      <w:bookmarkStart w:id="181" w:name="_Toc487900350"/>
      <w:bookmarkStart w:id="182" w:name="_Toc19539"/>
      <w:r>
        <w:rPr>
          <w:rFonts w:hint="eastAsia"/>
          <w:b/>
          <w:sz w:val="24"/>
        </w:rPr>
        <w:t>2.2 技术规范</w:t>
      </w:r>
      <w:bookmarkEnd w:id="174"/>
      <w:bookmarkEnd w:id="175"/>
      <w:bookmarkEnd w:id="176"/>
      <w:bookmarkEnd w:id="177"/>
      <w:bookmarkEnd w:id="178"/>
      <w:bookmarkEnd w:id="179"/>
      <w:bookmarkEnd w:id="180"/>
      <w:bookmarkEnd w:id="181"/>
      <w:bookmarkEnd w:id="182"/>
    </w:p>
    <w:p>
      <w:pPr>
        <w:spacing w:line="560" w:lineRule="exact"/>
        <w:ind w:firstLine="480" w:firstLineChars="200"/>
        <w:rPr>
          <w:sz w:val="24"/>
        </w:rPr>
      </w:pPr>
      <w:r>
        <w:rPr>
          <w:rFonts w:hint="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1"/>
        <w:rPr>
          <w:b/>
          <w:sz w:val="24"/>
        </w:rPr>
      </w:pPr>
      <w:bookmarkStart w:id="183" w:name="_Toc487900351"/>
      <w:bookmarkStart w:id="184" w:name="_Toc259093671"/>
      <w:bookmarkStart w:id="185" w:name="_Toc27945"/>
      <w:bookmarkStart w:id="186" w:name="_Toc9161"/>
      <w:bookmarkStart w:id="187" w:name="_Toc12412"/>
      <w:bookmarkStart w:id="188" w:name="_Toc8980"/>
      <w:bookmarkStart w:id="189" w:name="_Toc4133"/>
      <w:bookmarkStart w:id="190" w:name="_Toc279701242"/>
      <w:bookmarkStart w:id="191" w:name="_Toc13673"/>
      <w:r>
        <w:rPr>
          <w:rFonts w:hint="eastAsia"/>
          <w:b/>
          <w:sz w:val="24"/>
        </w:rPr>
        <w:t>2.3 知识产权</w:t>
      </w:r>
      <w:bookmarkEnd w:id="183"/>
      <w:bookmarkEnd w:id="184"/>
      <w:bookmarkEnd w:id="185"/>
      <w:bookmarkEnd w:id="186"/>
      <w:bookmarkEnd w:id="187"/>
      <w:bookmarkEnd w:id="188"/>
      <w:bookmarkEnd w:id="189"/>
      <w:bookmarkEnd w:id="190"/>
      <w:bookmarkEnd w:id="191"/>
    </w:p>
    <w:p>
      <w:pPr>
        <w:spacing w:line="560" w:lineRule="exact"/>
        <w:ind w:firstLine="480" w:firstLineChars="200"/>
        <w:rPr>
          <w:sz w:val="24"/>
        </w:rPr>
      </w:pPr>
      <w:r>
        <w:rPr>
          <w:rFonts w:hint="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sz w:val="24"/>
        </w:rPr>
      </w:pPr>
      <w:r>
        <w:rPr>
          <w:rFonts w:hint="eastAsia"/>
          <w:sz w:val="24"/>
        </w:rPr>
        <w:t>2.3.2 合同涉及技术成果的归属和收益的分成办法的，详见</w:t>
      </w:r>
      <w:r>
        <w:rPr>
          <w:rFonts w:hint="eastAsia"/>
          <w:b/>
          <w:i/>
          <w:sz w:val="24"/>
          <w:u w:val="single"/>
        </w:rPr>
        <w:t>合同专用条款</w:t>
      </w:r>
      <w:r>
        <w:rPr>
          <w:rFonts w:hint="eastAsia"/>
          <w:sz w:val="24"/>
        </w:rPr>
        <w:t>。</w:t>
      </w:r>
    </w:p>
    <w:p>
      <w:pPr>
        <w:spacing w:line="560" w:lineRule="exact"/>
        <w:ind w:firstLine="482" w:firstLineChars="200"/>
        <w:outlineLvl w:val="1"/>
        <w:rPr>
          <w:b/>
          <w:sz w:val="24"/>
        </w:rPr>
      </w:pPr>
      <w:r>
        <w:rPr>
          <w:rFonts w:hint="eastAsia"/>
          <w:b/>
          <w:sz w:val="24"/>
        </w:rPr>
        <w:t>2.4 履约检查和问题反馈</w:t>
      </w:r>
    </w:p>
    <w:p>
      <w:pPr>
        <w:spacing w:line="560" w:lineRule="exact"/>
        <w:ind w:firstLine="480" w:firstLineChars="200"/>
        <w:rPr>
          <w:sz w:val="24"/>
        </w:rPr>
      </w:pPr>
      <w:bookmarkStart w:id="192" w:name="_Ref467379657"/>
      <w:r>
        <w:rPr>
          <w:rFonts w:hint="eastAsia"/>
          <w:sz w:val="24"/>
        </w:rPr>
        <w:t>2.4.1</w:t>
      </w:r>
      <w:bookmarkEnd w:id="192"/>
      <w:bookmarkStart w:id="193" w:name="_Toc186431854"/>
      <w:bookmarkStart w:id="194" w:name="_Toc279701247"/>
      <w:bookmarkStart w:id="195" w:name="_Toc487900357"/>
      <w:bookmarkStart w:id="196" w:name="_Ref467379807"/>
      <w:bookmarkStart w:id="197" w:name="_Toc259093676"/>
      <w:bookmarkStart w:id="198" w:name="_Ref467379793"/>
      <w:r>
        <w:rPr>
          <w:rFonts w:hint="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sz w:val="24"/>
        </w:rPr>
      </w:pPr>
      <w:r>
        <w:rPr>
          <w:rFonts w:hint="eastAsia"/>
          <w:sz w:val="24"/>
        </w:rPr>
        <w:t>2.4.2 合同履行期间，甲方有权将履行过程中出现的问题反馈给乙方，双方当事人应以书面形式约定需要完善和改进的内容</w:t>
      </w:r>
      <w:bookmarkEnd w:id="193"/>
      <w:bookmarkStart w:id="199" w:name="_Toc186431855"/>
      <w:r>
        <w:rPr>
          <w:rFonts w:hint="eastAsia"/>
          <w:sz w:val="24"/>
        </w:rPr>
        <w:t>。</w:t>
      </w:r>
    </w:p>
    <w:bookmarkEnd w:id="199"/>
    <w:p>
      <w:pPr>
        <w:spacing w:line="560" w:lineRule="exact"/>
        <w:ind w:firstLine="482" w:firstLineChars="200"/>
        <w:outlineLvl w:val="1"/>
        <w:rPr>
          <w:b/>
          <w:sz w:val="24"/>
        </w:rPr>
      </w:pPr>
      <w:bookmarkStart w:id="200" w:name="_Toc32670"/>
      <w:bookmarkStart w:id="201" w:name="_Toc31233"/>
      <w:bookmarkStart w:id="202" w:name="_Toc22011"/>
      <w:bookmarkStart w:id="203" w:name="_Toc15447"/>
      <w:bookmarkStart w:id="204" w:name="_Toc26555"/>
      <w:bookmarkStart w:id="205" w:name="_Toc7401"/>
      <w:r>
        <w:rPr>
          <w:rFonts w:hint="eastAsia"/>
          <w:b/>
          <w:sz w:val="24"/>
        </w:rPr>
        <w:t>2.5 结算方式和付款条件</w:t>
      </w:r>
      <w:bookmarkEnd w:id="194"/>
      <w:bookmarkEnd w:id="195"/>
      <w:bookmarkEnd w:id="196"/>
      <w:bookmarkEnd w:id="197"/>
      <w:bookmarkEnd w:id="198"/>
      <w:bookmarkEnd w:id="200"/>
      <w:bookmarkEnd w:id="201"/>
      <w:bookmarkEnd w:id="202"/>
      <w:bookmarkEnd w:id="203"/>
      <w:bookmarkEnd w:id="204"/>
      <w:bookmarkEnd w:id="205"/>
    </w:p>
    <w:p>
      <w:pPr>
        <w:spacing w:line="560" w:lineRule="exact"/>
        <w:ind w:firstLine="480" w:firstLineChars="200"/>
        <w:outlineLvl w:val="1"/>
        <w:rPr>
          <w:sz w:val="24"/>
        </w:rPr>
      </w:pPr>
      <w:r>
        <w:rPr>
          <w:rFonts w:hint="eastAsia"/>
          <w:sz w:val="24"/>
        </w:rPr>
        <w:t>详见</w:t>
      </w:r>
      <w:r>
        <w:rPr>
          <w:rFonts w:hint="eastAsia"/>
          <w:b/>
          <w:i/>
          <w:sz w:val="24"/>
          <w:u w:val="single"/>
        </w:rPr>
        <w:t>合同专用条款</w:t>
      </w:r>
      <w:r>
        <w:rPr>
          <w:rFonts w:hint="eastAsia"/>
          <w:sz w:val="24"/>
        </w:rPr>
        <w:t>。</w:t>
      </w:r>
    </w:p>
    <w:p>
      <w:pPr>
        <w:spacing w:line="560" w:lineRule="exact"/>
        <w:ind w:firstLine="482" w:firstLineChars="200"/>
        <w:outlineLvl w:val="1"/>
        <w:rPr>
          <w:b/>
          <w:sz w:val="24"/>
        </w:rPr>
      </w:pPr>
      <w:bookmarkStart w:id="206" w:name="_Toc259093677"/>
      <w:bookmarkStart w:id="207" w:name="_Ref467379852"/>
      <w:bookmarkStart w:id="208" w:name="_Toc279701248"/>
      <w:bookmarkStart w:id="209" w:name="_Toc487900358"/>
      <w:bookmarkStart w:id="210" w:name="_Ref467379923"/>
      <w:bookmarkStart w:id="211" w:name="_Ref467379863"/>
      <w:bookmarkStart w:id="212" w:name="_Toc13467"/>
      <w:bookmarkStart w:id="213" w:name="_Toc13154"/>
      <w:bookmarkStart w:id="214" w:name="_Toc18990"/>
      <w:bookmarkStart w:id="215" w:name="_Toc30507"/>
      <w:bookmarkStart w:id="216" w:name="_Toc16163"/>
      <w:bookmarkStart w:id="217" w:name="_Toc14447"/>
      <w:r>
        <w:rPr>
          <w:rFonts w:hint="eastAsia"/>
          <w:b/>
          <w:sz w:val="24"/>
        </w:rPr>
        <w:t>2.6 技术资料</w:t>
      </w:r>
      <w:bookmarkEnd w:id="206"/>
      <w:bookmarkEnd w:id="207"/>
      <w:bookmarkEnd w:id="208"/>
      <w:bookmarkEnd w:id="209"/>
      <w:bookmarkEnd w:id="210"/>
      <w:bookmarkEnd w:id="211"/>
      <w:r>
        <w:rPr>
          <w:rFonts w:hint="eastAsia"/>
          <w:b/>
          <w:sz w:val="24"/>
        </w:rPr>
        <w:t>和保密义务</w:t>
      </w:r>
      <w:bookmarkEnd w:id="212"/>
      <w:bookmarkEnd w:id="213"/>
      <w:bookmarkEnd w:id="214"/>
      <w:bookmarkEnd w:id="215"/>
      <w:bookmarkEnd w:id="216"/>
      <w:bookmarkEnd w:id="217"/>
    </w:p>
    <w:p>
      <w:pPr>
        <w:spacing w:line="560" w:lineRule="exact"/>
        <w:ind w:firstLine="480" w:firstLineChars="200"/>
        <w:rPr>
          <w:sz w:val="24"/>
        </w:rPr>
      </w:pPr>
      <w:r>
        <w:rPr>
          <w:rFonts w:hint="eastAsia"/>
          <w:sz w:val="24"/>
        </w:rPr>
        <w:t>2.6.1 乙方有权依据合同约定和项目需要，向甲方了解有关情况，调阅有关资料等，甲方应予积极配合；</w:t>
      </w:r>
    </w:p>
    <w:p>
      <w:pPr>
        <w:spacing w:line="560" w:lineRule="exact"/>
        <w:ind w:firstLine="480" w:firstLineChars="200"/>
        <w:rPr>
          <w:sz w:val="24"/>
        </w:rPr>
      </w:pPr>
      <w:r>
        <w:rPr>
          <w:rFonts w:hint="eastAsia"/>
          <w:sz w:val="24"/>
        </w:rPr>
        <w:t>2.6.2 乙方有义务妥善保管和保护由甲方提供的前款信息和资料等；</w:t>
      </w:r>
    </w:p>
    <w:p>
      <w:pPr>
        <w:spacing w:line="560" w:lineRule="exact"/>
        <w:ind w:firstLine="480" w:firstLineChars="200"/>
        <w:rPr>
          <w:sz w:val="24"/>
        </w:rPr>
      </w:pPr>
      <w:r>
        <w:rPr>
          <w:rFonts w:hint="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1"/>
        <w:rPr>
          <w:b/>
          <w:sz w:val="24"/>
        </w:rPr>
      </w:pPr>
      <w:bookmarkStart w:id="218" w:name="_Toc19069"/>
      <w:bookmarkStart w:id="219" w:name="_Toc27320"/>
      <w:bookmarkStart w:id="220" w:name="_Toc487900362"/>
      <w:bookmarkStart w:id="221" w:name="_Toc279701252"/>
      <w:bookmarkStart w:id="222" w:name="_Toc259093681"/>
      <w:r>
        <w:rPr>
          <w:rFonts w:hint="eastAsia"/>
          <w:b/>
          <w:sz w:val="24"/>
        </w:rPr>
        <w:t>2.7 质量保证</w:t>
      </w:r>
      <w:bookmarkEnd w:id="218"/>
      <w:bookmarkEnd w:id="219"/>
    </w:p>
    <w:p>
      <w:pPr>
        <w:spacing w:line="560" w:lineRule="exact"/>
        <w:ind w:firstLine="480" w:firstLineChars="200"/>
        <w:rPr>
          <w:sz w:val="24"/>
        </w:rPr>
      </w:pPr>
      <w:r>
        <w:rPr>
          <w:rFonts w:hint="eastAsia"/>
          <w:sz w:val="24"/>
        </w:rPr>
        <w:t>2.7.1 乙方应建立和完善履行合同的内部质量保证体系，并提供相关内部规章制度给甲方，以便甲方进行监督检查；</w:t>
      </w:r>
    </w:p>
    <w:p>
      <w:pPr>
        <w:spacing w:line="560" w:lineRule="exact"/>
        <w:ind w:right="590" w:rightChars="268" w:firstLine="480" w:firstLineChars="200"/>
        <w:rPr>
          <w:sz w:val="24"/>
        </w:rPr>
      </w:pPr>
      <w:r>
        <w:rPr>
          <w:rFonts w:hint="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1"/>
        <w:rPr>
          <w:b/>
          <w:sz w:val="24"/>
        </w:rPr>
      </w:pPr>
      <w:bookmarkStart w:id="223" w:name="_Toc22267"/>
      <w:bookmarkStart w:id="224" w:name="_Toc9600"/>
      <w:r>
        <w:rPr>
          <w:rFonts w:hint="eastAsia"/>
          <w:b/>
          <w:sz w:val="24"/>
        </w:rPr>
        <w:t>2.8 延迟</w:t>
      </w:r>
      <w:bookmarkEnd w:id="220"/>
      <w:bookmarkEnd w:id="221"/>
      <w:bookmarkEnd w:id="222"/>
      <w:r>
        <w:rPr>
          <w:rFonts w:hint="eastAsia"/>
          <w:b/>
          <w:sz w:val="24"/>
        </w:rPr>
        <w:t>履行</w:t>
      </w:r>
      <w:bookmarkEnd w:id="223"/>
      <w:bookmarkEnd w:id="224"/>
    </w:p>
    <w:p>
      <w:pPr>
        <w:spacing w:line="560" w:lineRule="exact"/>
        <w:ind w:firstLine="480" w:firstLineChars="200"/>
        <w:rPr>
          <w:sz w:val="24"/>
        </w:rPr>
      </w:pPr>
      <w:r>
        <w:rPr>
          <w:rFonts w:hint="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1"/>
        <w:rPr>
          <w:b/>
          <w:sz w:val="24"/>
        </w:rPr>
      </w:pPr>
      <w:bookmarkStart w:id="225" w:name="_Toc8116"/>
      <w:bookmarkStart w:id="226" w:name="_Toc10611"/>
      <w:bookmarkStart w:id="227" w:name="_Toc279701254"/>
      <w:bookmarkStart w:id="228" w:name="_Toc259093683"/>
      <w:bookmarkStart w:id="229" w:name="_Toc487900364"/>
      <w:bookmarkStart w:id="230" w:name="_Ref467378121"/>
      <w:r>
        <w:rPr>
          <w:rFonts w:hint="eastAsia"/>
          <w:b/>
          <w:sz w:val="24"/>
        </w:rPr>
        <w:t>2.9 合同变更</w:t>
      </w:r>
      <w:bookmarkEnd w:id="225"/>
      <w:bookmarkEnd w:id="226"/>
    </w:p>
    <w:p>
      <w:pPr>
        <w:spacing w:line="560" w:lineRule="exact"/>
        <w:ind w:firstLine="480" w:firstLineChars="200"/>
        <w:rPr>
          <w:sz w:val="24"/>
        </w:rPr>
      </w:pPr>
      <w:r>
        <w:rPr>
          <w:rFonts w:hint="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sz w:val="24"/>
        </w:rPr>
      </w:pPr>
      <w:r>
        <w:rPr>
          <w:rFonts w:hint="eastAsia"/>
          <w:sz w:val="24"/>
        </w:rPr>
        <w:t>2.9.2 合同继续履行将损害国家利益和社会公共利益的，双方当事人应当以书面形式变更合同。有过错的一方应当承担赔偿责任，双方当事人都有过错的，各自承担相应的责任。</w:t>
      </w:r>
      <w:bookmarkStart w:id="231" w:name="_Toc259093688"/>
      <w:bookmarkStart w:id="232" w:name="_Toc279701259"/>
      <w:bookmarkStart w:id="233" w:name="_Toc487900369"/>
    </w:p>
    <w:p>
      <w:pPr>
        <w:spacing w:line="560" w:lineRule="exact"/>
        <w:ind w:firstLine="482" w:firstLineChars="200"/>
        <w:outlineLvl w:val="1"/>
        <w:rPr>
          <w:b/>
          <w:sz w:val="24"/>
        </w:rPr>
      </w:pPr>
      <w:bookmarkStart w:id="234" w:name="_Toc21830"/>
      <w:bookmarkStart w:id="235" w:name="_Toc4896"/>
      <w:bookmarkStart w:id="236" w:name="_Toc23368"/>
      <w:bookmarkStart w:id="237" w:name="_Toc10663"/>
      <w:bookmarkStart w:id="238" w:name="_Toc42"/>
      <w:bookmarkStart w:id="239" w:name="_Toc26689"/>
      <w:r>
        <w:rPr>
          <w:rFonts w:hint="eastAsia"/>
          <w:b/>
          <w:sz w:val="24"/>
        </w:rPr>
        <w:t>2.10 合同转让</w:t>
      </w:r>
      <w:bookmarkEnd w:id="231"/>
      <w:bookmarkEnd w:id="232"/>
      <w:bookmarkEnd w:id="233"/>
      <w:r>
        <w:rPr>
          <w:rFonts w:hint="eastAsia"/>
          <w:b/>
          <w:sz w:val="24"/>
        </w:rPr>
        <w:t>和分包</w:t>
      </w:r>
      <w:bookmarkEnd w:id="234"/>
      <w:bookmarkEnd w:id="235"/>
      <w:bookmarkEnd w:id="236"/>
      <w:bookmarkEnd w:id="237"/>
      <w:bookmarkEnd w:id="238"/>
      <w:bookmarkEnd w:id="239"/>
    </w:p>
    <w:p>
      <w:pPr>
        <w:spacing w:line="560" w:lineRule="exact"/>
        <w:ind w:firstLine="480" w:firstLineChars="200"/>
        <w:rPr>
          <w:sz w:val="24"/>
        </w:rPr>
      </w:pPr>
      <w:r>
        <w:rPr>
          <w:rFonts w:hint="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1"/>
        <w:rPr>
          <w:b/>
          <w:sz w:val="24"/>
        </w:rPr>
      </w:pPr>
      <w:bookmarkStart w:id="240" w:name="_Toc32494"/>
      <w:bookmarkStart w:id="241" w:name="_Toc14371"/>
      <w:bookmarkStart w:id="242" w:name="_Toc11694"/>
      <w:bookmarkStart w:id="243" w:name="_Toc26633"/>
      <w:bookmarkStart w:id="244" w:name="_Toc25571"/>
      <w:bookmarkStart w:id="245" w:name="_Toc4720"/>
      <w:r>
        <w:rPr>
          <w:rFonts w:hint="eastAsia"/>
          <w:b/>
          <w:sz w:val="24"/>
        </w:rPr>
        <w:t>2.11 不可抗力</w:t>
      </w:r>
      <w:bookmarkEnd w:id="240"/>
      <w:bookmarkEnd w:id="241"/>
      <w:bookmarkEnd w:id="242"/>
      <w:bookmarkEnd w:id="243"/>
      <w:bookmarkEnd w:id="244"/>
      <w:bookmarkEnd w:id="245"/>
    </w:p>
    <w:p>
      <w:pPr>
        <w:spacing w:line="560" w:lineRule="exact"/>
        <w:ind w:firstLine="480" w:firstLineChars="200"/>
        <w:rPr>
          <w:sz w:val="24"/>
        </w:rPr>
      </w:pPr>
      <w:r>
        <w:rPr>
          <w:rFonts w:hint="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sz w:val="24"/>
        </w:rPr>
      </w:pPr>
      <w:r>
        <w:rPr>
          <w:rFonts w:hint="eastAsia"/>
          <w:sz w:val="24"/>
        </w:rPr>
        <w:t>2.11.2 因不可抗力致使不能实现合同目的的，当事人可以解除合同；</w:t>
      </w:r>
    </w:p>
    <w:p>
      <w:pPr>
        <w:spacing w:line="560" w:lineRule="exact"/>
        <w:ind w:firstLine="480" w:firstLineChars="200"/>
        <w:rPr>
          <w:sz w:val="24"/>
        </w:rPr>
      </w:pPr>
      <w:r>
        <w:rPr>
          <w:rFonts w:hint="eastAsia"/>
          <w:sz w:val="24"/>
        </w:rPr>
        <w:t>2.11.3 因不可抗力致使合同有变更必要的，双方当事人应在</w:t>
      </w:r>
      <w:r>
        <w:rPr>
          <w:rFonts w:hint="eastAsia"/>
          <w:b/>
          <w:i/>
          <w:sz w:val="24"/>
          <w:u w:val="single"/>
        </w:rPr>
        <w:t>合同专用条款</w:t>
      </w:r>
      <w:r>
        <w:rPr>
          <w:rFonts w:hint="eastAsia"/>
          <w:sz w:val="24"/>
        </w:rPr>
        <w:t>约定时间内以书面形式变更合同；</w:t>
      </w:r>
    </w:p>
    <w:p>
      <w:pPr>
        <w:spacing w:line="560" w:lineRule="exact"/>
        <w:ind w:firstLine="480" w:firstLineChars="200"/>
        <w:rPr>
          <w:sz w:val="24"/>
        </w:rPr>
      </w:pPr>
      <w:r>
        <w:rPr>
          <w:rFonts w:hint="eastAsia"/>
          <w:sz w:val="24"/>
        </w:rPr>
        <w:t>2.11.4受不可抗力影响的一方在不可抗力发生后，应在</w:t>
      </w:r>
      <w:r>
        <w:rPr>
          <w:rFonts w:hint="eastAsia"/>
          <w:b/>
          <w:i/>
          <w:sz w:val="24"/>
          <w:u w:val="single"/>
        </w:rPr>
        <w:t>合同专用条款</w:t>
      </w:r>
      <w:r>
        <w:rPr>
          <w:rFonts w:hint="eastAsia"/>
          <w:sz w:val="24"/>
        </w:rPr>
        <w:t>约定时间内以书面形式通知对方当事人，并在</w:t>
      </w:r>
      <w:r>
        <w:rPr>
          <w:rFonts w:hint="eastAsia"/>
          <w:b/>
          <w:i/>
          <w:sz w:val="24"/>
          <w:u w:val="single"/>
        </w:rPr>
        <w:t>合同专用条款</w:t>
      </w:r>
      <w:r>
        <w:rPr>
          <w:rFonts w:hint="eastAsia"/>
          <w:sz w:val="24"/>
        </w:rPr>
        <w:t>约定时间内，将有关部门出具的证明文件送达对方当事人。</w:t>
      </w:r>
    </w:p>
    <w:p>
      <w:pPr>
        <w:spacing w:line="560" w:lineRule="exact"/>
        <w:ind w:firstLine="482" w:firstLineChars="200"/>
        <w:outlineLvl w:val="1"/>
        <w:rPr>
          <w:b/>
          <w:sz w:val="24"/>
        </w:rPr>
      </w:pPr>
      <w:bookmarkStart w:id="246" w:name="_Toc279701255"/>
      <w:bookmarkStart w:id="247" w:name="_Toc25783"/>
      <w:bookmarkStart w:id="248" w:name="_Toc3638"/>
      <w:bookmarkStart w:id="249" w:name="_Toc259093684"/>
      <w:bookmarkStart w:id="250" w:name="_Toc23854"/>
      <w:bookmarkStart w:id="251" w:name="_Toc24465"/>
      <w:bookmarkStart w:id="252" w:name="_Toc487900365"/>
      <w:bookmarkStart w:id="253" w:name="_Toc14115"/>
      <w:bookmarkStart w:id="254" w:name="_Toc28351"/>
      <w:r>
        <w:rPr>
          <w:rFonts w:hint="eastAsia"/>
          <w:b/>
          <w:sz w:val="24"/>
        </w:rPr>
        <w:t>2.12 税费</w:t>
      </w:r>
      <w:bookmarkEnd w:id="246"/>
      <w:bookmarkEnd w:id="247"/>
      <w:bookmarkEnd w:id="248"/>
      <w:bookmarkEnd w:id="249"/>
      <w:bookmarkEnd w:id="250"/>
      <w:bookmarkEnd w:id="251"/>
      <w:bookmarkEnd w:id="252"/>
      <w:bookmarkEnd w:id="253"/>
      <w:bookmarkEnd w:id="254"/>
    </w:p>
    <w:p>
      <w:pPr>
        <w:spacing w:line="560" w:lineRule="exact"/>
        <w:ind w:firstLine="480" w:firstLineChars="200"/>
        <w:rPr>
          <w:sz w:val="24"/>
        </w:rPr>
      </w:pPr>
      <w:r>
        <w:rPr>
          <w:rFonts w:hint="eastAsia"/>
          <w:sz w:val="24"/>
        </w:rPr>
        <w:t>与合同有关的一切税费，均按照中华人民共和国法律的相关规定缴纳。</w:t>
      </w:r>
    </w:p>
    <w:p>
      <w:pPr>
        <w:spacing w:line="560" w:lineRule="exact"/>
        <w:ind w:firstLine="482" w:firstLineChars="200"/>
        <w:outlineLvl w:val="1"/>
        <w:rPr>
          <w:b/>
          <w:sz w:val="24"/>
        </w:rPr>
      </w:pPr>
      <w:bookmarkStart w:id="255" w:name="_Toc487900368"/>
      <w:bookmarkStart w:id="256" w:name="_Toc14814"/>
      <w:bookmarkStart w:id="257" w:name="_Toc7315"/>
      <w:bookmarkStart w:id="258" w:name="_Toc259093687"/>
      <w:bookmarkStart w:id="259" w:name="_Toc279701258"/>
      <w:bookmarkStart w:id="260" w:name="_Toc30105"/>
      <w:bookmarkStart w:id="261" w:name="_Toc27600"/>
      <w:bookmarkStart w:id="262" w:name="_Toc25525"/>
      <w:bookmarkStart w:id="263" w:name="_Toc26883"/>
      <w:r>
        <w:rPr>
          <w:rFonts w:hint="eastAsia"/>
          <w:b/>
          <w:sz w:val="24"/>
        </w:rPr>
        <w:t>2.13 乙方破产</w:t>
      </w:r>
      <w:bookmarkEnd w:id="255"/>
      <w:bookmarkEnd w:id="256"/>
      <w:bookmarkEnd w:id="257"/>
      <w:bookmarkEnd w:id="258"/>
      <w:bookmarkEnd w:id="259"/>
      <w:bookmarkEnd w:id="260"/>
      <w:bookmarkEnd w:id="261"/>
      <w:bookmarkEnd w:id="262"/>
      <w:bookmarkEnd w:id="263"/>
    </w:p>
    <w:p>
      <w:pPr>
        <w:spacing w:line="560" w:lineRule="exact"/>
        <w:ind w:firstLine="480" w:firstLineChars="200"/>
        <w:rPr>
          <w:sz w:val="24"/>
        </w:rPr>
      </w:pPr>
      <w:r>
        <w:rPr>
          <w:rFonts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1"/>
        <w:rPr>
          <w:b/>
          <w:sz w:val="24"/>
        </w:rPr>
      </w:pPr>
      <w:bookmarkStart w:id="264" w:name="_Toc23323"/>
      <w:bookmarkStart w:id="265" w:name="_Toc2016"/>
      <w:bookmarkStart w:id="266" w:name="_Toc1123"/>
      <w:bookmarkStart w:id="267" w:name="_Toc7301"/>
      <w:r>
        <w:rPr>
          <w:rFonts w:hint="eastAsia"/>
          <w:b/>
          <w:sz w:val="24"/>
        </w:rPr>
        <w:t>2.14 合同中止、终止</w:t>
      </w:r>
      <w:bookmarkEnd w:id="264"/>
      <w:bookmarkEnd w:id="265"/>
      <w:bookmarkEnd w:id="266"/>
      <w:bookmarkEnd w:id="267"/>
    </w:p>
    <w:p>
      <w:pPr>
        <w:spacing w:line="560" w:lineRule="exact"/>
        <w:ind w:firstLine="480" w:firstLineChars="200"/>
        <w:rPr>
          <w:sz w:val="24"/>
        </w:rPr>
      </w:pPr>
      <w:r>
        <w:rPr>
          <w:rFonts w:hint="eastAsia"/>
          <w:sz w:val="24"/>
        </w:rPr>
        <w:t>2.14.1 双方当事人不得擅自中止或者终止合同；</w:t>
      </w:r>
    </w:p>
    <w:p>
      <w:pPr>
        <w:spacing w:line="560" w:lineRule="exact"/>
        <w:ind w:firstLine="480" w:firstLineChars="200"/>
        <w:rPr>
          <w:sz w:val="24"/>
        </w:rPr>
      </w:pPr>
      <w:r>
        <w:rPr>
          <w:rFonts w:hint="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1"/>
        <w:rPr>
          <w:b/>
          <w:sz w:val="24"/>
        </w:rPr>
      </w:pPr>
      <w:bookmarkStart w:id="268" w:name="_Toc6298"/>
      <w:bookmarkStart w:id="269" w:name="_Toc1969"/>
      <w:bookmarkStart w:id="270" w:name="_Toc17363"/>
      <w:bookmarkStart w:id="271" w:name="_Toc14525"/>
      <w:r>
        <w:rPr>
          <w:rFonts w:hint="eastAsia"/>
          <w:b/>
          <w:sz w:val="24"/>
        </w:rPr>
        <w:t>2.15 检验和验收</w:t>
      </w:r>
      <w:bookmarkEnd w:id="268"/>
      <w:bookmarkEnd w:id="269"/>
      <w:bookmarkEnd w:id="270"/>
      <w:bookmarkEnd w:id="271"/>
    </w:p>
    <w:p>
      <w:pPr>
        <w:tabs>
          <w:tab w:val="left" w:pos="360"/>
          <w:tab w:val="left" w:pos="540"/>
          <w:tab w:val="left" w:pos="1080"/>
        </w:tabs>
        <w:spacing w:line="560" w:lineRule="exact"/>
        <w:ind w:firstLine="480" w:firstLineChars="200"/>
        <w:rPr>
          <w:sz w:val="24"/>
        </w:rPr>
      </w:pPr>
      <w:r>
        <w:rPr>
          <w:rFonts w:hint="eastAsia"/>
          <w:sz w:val="24"/>
        </w:rPr>
        <w:t>2.15.1 乙方按照</w:t>
      </w:r>
      <w:r>
        <w:rPr>
          <w:rFonts w:hint="eastAsia"/>
          <w:b/>
          <w:i/>
          <w:sz w:val="24"/>
          <w:u w:val="single"/>
        </w:rPr>
        <w:t>合同专用条款</w:t>
      </w:r>
      <w:r>
        <w:rPr>
          <w:rFonts w:hint="eastAsia"/>
          <w:sz w:val="24"/>
        </w:rPr>
        <w:t>的约定，定期提交服务报告，甲方按照</w:t>
      </w:r>
      <w:r>
        <w:rPr>
          <w:rFonts w:hint="eastAsia"/>
          <w:b/>
          <w:i/>
          <w:sz w:val="24"/>
          <w:u w:val="single"/>
        </w:rPr>
        <w:t>合同专用条款</w:t>
      </w:r>
      <w:r>
        <w:rPr>
          <w:rFonts w:hint="eastAsia"/>
          <w:sz w:val="24"/>
        </w:rPr>
        <w:t>的约定进行定期验收；</w:t>
      </w:r>
    </w:p>
    <w:p>
      <w:pPr>
        <w:tabs>
          <w:tab w:val="left" w:pos="360"/>
          <w:tab w:val="left" w:pos="540"/>
          <w:tab w:val="left" w:pos="1080"/>
        </w:tabs>
        <w:spacing w:line="560" w:lineRule="exact"/>
        <w:ind w:firstLine="480" w:firstLineChars="200"/>
        <w:rPr>
          <w:sz w:val="24"/>
        </w:rPr>
      </w:pPr>
      <w:r>
        <w:rPr>
          <w:rFonts w:hint="eastAsia"/>
          <w:sz w:val="24"/>
        </w:rPr>
        <w:t>2.15.2 合同期满或者履行完毕后，甲方有权组织对乙方履约的验收，即：按照合同约定的标准，组织对乙方履约情况的验收，并出具验收书；向社会公众提供的公共服务项目，验收时应当邀请服务对象参与并出具意见，验收结果应当向社会公告；</w:t>
      </w:r>
    </w:p>
    <w:p>
      <w:pPr>
        <w:pStyle w:val="11"/>
      </w:pPr>
    </w:p>
    <w:p>
      <w:pPr>
        <w:tabs>
          <w:tab w:val="left" w:pos="360"/>
          <w:tab w:val="left" w:pos="540"/>
          <w:tab w:val="left" w:pos="1080"/>
        </w:tabs>
        <w:spacing w:line="560" w:lineRule="exact"/>
        <w:ind w:firstLine="480" w:firstLineChars="200"/>
        <w:rPr>
          <w:sz w:val="24"/>
        </w:rPr>
      </w:pPr>
      <w:r>
        <w:rPr>
          <w:rFonts w:hint="eastAsia"/>
          <w:sz w:val="24"/>
        </w:rPr>
        <w:t>2.15.3 检验和验收标准、程序等具体内容以及前述验收书的效力详见</w:t>
      </w:r>
      <w:r>
        <w:rPr>
          <w:rFonts w:hint="eastAsia"/>
          <w:b/>
          <w:i/>
          <w:sz w:val="24"/>
          <w:u w:val="single"/>
        </w:rPr>
        <w:t>合同专用条款</w:t>
      </w:r>
      <w:r>
        <w:rPr>
          <w:rFonts w:hint="eastAsia"/>
          <w:i/>
          <w:sz w:val="24"/>
        </w:rPr>
        <w:t>。</w:t>
      </w:r>
    </w:p>
    <w:bookmarkEnd w:id="227"/>
    <w:bookmarkEnd w:id="228"/>
    <w:bookmarkEnd w:id="229"/>
    <w:bookmarkEnd w:id="230"/>
    <w:p>
      <w:pPr>
        <w:spacing w:line="560" w:lineRule="exact"/>
        <w:ind w:firstLine="482" w:firstLineChars="200"/>
        <w:outlineLvl w:val="1"/>
        <w:rPr>
          <w:b/>
          <w:sz w:val="24"/>
        </w:rPr>
      </w:pPr>
      <w:bookmarkStart w:id="272" w:name="_Toc259093690"/>
      <w:bookmarkStart w:id="273" w:name="_Toc487900371"/>
      <w:bookmarkStart w:id="274" w:name="_Toc279701261"/>
      <w:bookmarkStart w:id="275" w:name="_Toc31892"/>
      <w:bookmarkStart w:id="276" w:name="_Toc25198"/>
      <w:bookmarkStart w:id="277" w:name="_Toc9808"/>
      <w:bookmarkStart w:id="278" w:name="_Toc12666"/>
      <w:bookmarkStart w:id="279" w:name="_Toc2308"/>
      <w:bookmarkStart w:id="280" w:name="_Toc10218"/>
      <w:r>
        <w:rPr>
          <w:rFonts w:hint="eastAsia"/>
          <w:b/>
          <w:sz w:val="24"/>
        </w:rPr>
        <w:t>2.16 通知</w:t>
      </w:r>
      <w:bookmarkEnd w:id="272"/>
      <w:bookmarkEnd w:id="273"/>
      <w:bookmarkEnd w:id="274"/>
      <w:r>
        <w:rPr>
          <w:rFonts w:hint="eastAsia"/>
          <w:b/>
          <w:sz w:val="24"/>
        </w:rPr>
        <w:t>和送达</w:t>
      </w:r>
      <w:bookmarkEnd w:id="275"/>
      <w:bookmarkEnd w:id="276"/>
      <w:bookmarkEnd w:id="277"/>
      <w:bookmarkEnd w:id="278"/>
      <w:bookmarkEnd w:id="279"/>
      <w:bookmarkEnd w:id="280"/>
    </w:p>
    <w:p>
      <w:pPr>
        <w:spacing w:line="560" w:lineRule="exact"/>
        <w:ind w:firstLine="480" w:firstLineChars="200"/>
        <w:rPr>
          <w:sz w:val="24"/>
        </w:rPr>
      </w:pPr>
      <w:bookmarkStart w:id="281" w:name="_Toc7073"/>
      <w:bookmarkStart w:id="282" w:name="_Toc29220"/>
      <w:bookmarkStart w:id="283" w:name="_Toc259093691"/>
      <w:bookmarkStart w:id="284" w:name="_Toc487900372"/>
      <w:bookmarkStart w:id="285" w:name="_Toc279701262"/>
      <w:r>
        <w:rPr>
          <w:rFonts w:hint="eastAsia"/>
          <w:sz w:val="24"/>
        </w:rPr>
        <w:t>2.16.1 任何一方因履行合同而以合同第一部分尾部所列明的</w:t>
      </w:r>
      <w:r>
        <w:rPr>
          <w:rFonts w:hint="eastAsia"/>
          <w:sz w:val="24"/>
          <w:u w:val="single"/>
        </w:rPr>
        <w:t xml:space="preserve">          </w:t>
      </w:r>
      <w:r>
        <w:rPr>
          <w:rFonts w:hint="eastAsia"/>
          <w:sz w:val="24"/>
        </w:rPr>
        <w:t>发出的所有通知、文件、材料，均视为已向对方当事人送达；任何一方变更上述送达方式或者地址的，应于</w:t>
      </w:r>
      <w:r>
        <w:rPr>
          <w:rFonts w:hint="eastAsia"/>
          <w:sz w:val="24"/>
          <w:u w:val="single"/>
        </w:rPr>
        <w:t xml:space="preserve">   </w:t>
      </w:r>
      <w:r>
        <w:rPr>
          <w:rFonts w:hint="eastAsia"/>
          <w:sz w:val="24"/>
        </w:rPr>
        <w:t>个工作日内书面通知对方当事人，在对方当事人收到有关变更通知之前，变更前的约定送达方式或者地址仍视为有效。</w:t>
      </w:r>
      <w:bookmarkEnd w:id="281"/>
      <w:bookmarkEnd w:id="282"/>
    </w:p>
    <w:p>
      <w:pPr>
        <w:spacing w:line="560" w:lineRule="exact"/>
        <w:ind w:firstLine="480" w:firstLineChars="200"/>
        <w:rPr>
          <w:sz w:val="24"/>
        </w:rPr>
      </w:pPr>
      <w:bookmarkStart w:id="286" w:name="_Toc27674"/>
      <w:bookmarkStart w:id="287" w:name="_Toc18401"/>
      <w:r>
        <w:rPr>
          <w:rFonts w:hint="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6"/>
      <w:bookmarkEnd w:id="287"/>
    </w:p>
    <w:bookmarkEnd w:id="283"/>
    <w:bookmarkEnd w:id="284"/>
    <w:bookmarkEnd w:id="285"/>
    <w:p>
      <w:pPr>
        <w:spacing w:line="560" w:lineRule="exact"/>
        <w:ind w:firstLine="482" w:firstLineChars="200"/>
        <w:outlineLvl w:val="1"/>
        <w:rPr>
          <w:b/>
          <w:sz w:val="24"/>
        </w:rPr>
      </w:pPr>
      <w:bookmarkStart w:id="288" w:name="_Toc27644"/>
      <w:bookmarkStart w:id="289" w:name="_Toc28906"/>
      <w:bookmarkStart w:id="290" w:name="_Toc279701263"/>
      <w:bookmarkStart w:id="291" w:name="_Toc259093692"/>
      <w:bookmarkStart w:id="292" w:name="_Toc12254"/>
      <w:bookmarkStart w:id="293" w:name="_Toc5063"/>
      <w:bookmarkStart w:id="294" w:name="_Toc487900373"/>
      <w:bookmarkStart w:id="295" w:name="_Toc9407"/>
      <w:bookmarkStart w:id="296" w:name="_Toc20808"/>
      <w:r>
        <w:rPr>
          <w:rFonts w:hint="eastAsia"/>
          <w:b/>
          <w:sz w:val="24"/>
        </w:rPr>
        <w:t>2.17 合同使用的文字和适用的法律</w:t>
      </w:r>
      <w:bookmarkEnd w:id="288"/>
      <w:bookmarkEnd w:id="289"/>
      <w:bookmarkEnd w:id="290"/>
      <w:bookmarkEnd w:id="291"/>
      <w:bookmarkEnd w:id="292"/>
      <w:bookmarkEnd w:id="293"/>
      <w:bookmarkEnd w:id="294"/>
      <w:bookmarkEnd w:id="295"/>
      <w:bookmarkEnd w:id="296"/>
    </w:p>
    <w:p>
      <w:pPr>
        <w:spacing w:line="560" w:lineRule="exact"/>
        <w:ind w:firstLine="480" w:firstLineChars="200"/>
        <w:rPr>
          <w:sz w:val="24"/>
        </w:rPr>
      </w:pPr>
      <w:r>
        <w:rPr>
          <w:rFonts w:hint="eastAsia"/>
          <w:sz w:val="24"/>
        </w:rPr>
        <w:t>2.17.1 合同使用汉语书就、变更和解释；</w:t>
      </w:r>
    </w:p>
    <w:p>
      <w:pPr>
        <w:spacing w:line="560" w:lineRule="exact"/>
        <w:ind w:firstLine="480" w:firstLineChars="200"/>
        <w:rPr>
          <w:sz w:val="24"/>
        </w:rPr>
      </w:pPr>
      <w:r>
        <w:rPr>
          <w:rFonts w:hint="eastAsia"/>
          <w:sz w:val="24"/>
        </w:rPr>
        <w:t>2.17.2 合同适用中华人民共和国法律。</w:t>
      </w:r>
    </w:p>
    <w:p>
      <w:pPr>
        <w:spacing w:line="560" w:lineRule="exact"/>
        <w:ind w:firstLine="482" w:firstLineChars="200"/>
        <w:outlineLvl w:val="1"/>
        <w:rPr>
          <w:b/>
          <w:sz w:val="24"/>
        </w:rPr>
      </w:pPr>
      <w:bookmarkStart w:id="297" w:name="_Toc27127"/>
      <w:bookmarkStart w:id="298" w:name="_Toc19875"/>
      <w:bookmarkStart w:id="299" w:name="_Toc27403"/>
      <w:bookmarkStart w:id="300" w:name="_Toc22266"/>
      <w:bookmarkStart w:id="301" w:name="_Toc279701264"/>
      <w:bookmarkStart w:id="302" w:name="_Toc30096"/>
      <w:bookmarkStart w:id="303" w:name="_Toc259093693"/>
      <w:bookmarkStart w:id="304" w:name="_Toc1492"/>
      <w:bookmarkStart w:id="305" w:name="_Toc487900374"/>
      <w:r>
        <w:rPr>
          <w:rFonts w:hint="eastAsia"/>
          <w:b/>
          <w:sz w:val="24"/>
        </w:rPr>
        <w:t>2.18 履约保证金</w:t>
      </w:r>
      <w:bookmarkEnd w:id="297"/>
      <w:bookmarkEnd w:id="298"/>
      <w:bookmarkEnd w:id="299"/>
      <w:bookmarkEnd w:id="300"/>
      <w:bookmarkEnd w:id="301"/>
      <w:bookmarkEnd w:id="302"/>
      <w:bookmarkEnd w:id="303"/>
      <w:bookmarkEnd w:id="304"/>
    </w:p>
    <w:p>
      <w:pPr>
        <w:spacing w:line="560" w:lineRule="exact"/>
        <w:ind w:firstLine="480" w:firstLineChars="200"/>
        <w:rPr>
          <w:sz w:val="24"/>
        </w:rPr>
      </w:pPr>
      <w:r>
        <w:rPr>
          <w:rFonts w:hint="eastAsia"/>
          <w:sz w:val="24"/>
        </w:rPr>
        <w:t>2.18.1 采购文件要求乙方提交履约保证金的，乙方应按</w:t>
      </w:r>
      <w:r>
        <w:rPr>
          <w:rFonts w:hint="eastAsia"/>
          <w:b/>
          <w:i/>
          <w:sz w:val="24"/>
          <w:u w:val="single"/>
        </w:rPr>
        <w:t>合同专用条款</w:t>
      </w:r>
      <w:r>
        <w:rPr>
          <w:rFonts w:hint="eastAsia"/>
          <w:sz w:val="24"/>
        </w:rPr>
        <w:t>约定的方式，以支票、汇票、本票或者金融机构、担保机构出具的保函等非现金形式，提交不超过合同价10%的履约保证金；</w:t>
      </w:r>
    </w:p>
    <w:p>
      <w:pPr>
        <w:spacing w:line="560" w:lineRule="exact"/>
        <w:ind w:firstLine="480" w:firstLineChars="200"/>
        <w:rPr>
          <w:sz w:val="24"/>
        </w:rPr>
      </w:pPr>
      <w:r>
        <w:rPr>
          <w:rFonts w:hint="eastAsia"/>
          <w:sz w:val="24"/>
        </w:rPr>
        <w:t>2.18.2 履约保证金在</w:t>
      </w:r>
      <w:r>
        <w:rPr>
          <w:rFonts w:hint="eastAsia"/>
          <w:b/>
          <w:i/>
          <w:sz w:val="24"/>
          <w:u w:val="single"/>
        </w:rPr>
        <w:t>合同专用条款</w:t>
      </w:r>
      <w:r>
        <w:rPr>
          <w:rFonts w:hint="eastAsia"/>
          <w:sz w:val="24"/>
        </w:rPr>
        <w:t>约定期间内不予退还或者应完全有效，前述约定期间届满之日起</w:t>
      </w:r>
      <w:r>
        <w:rPr>
          <w:rFonts w:hint="eastAsia"/>
          <w:sz w:val="24"/>
          <w:u w:val="single"/>
        </w:rPr>
        <w:t xml:space="preserve">    </w:t>
      </w:r>
      <w:r>
        <w:rPr>
          <w:rFonts w:hint="eastAsia"/>
          <w:sz w:val="24"/>
        </w:rPr>
        <w:t>个工作日内，甲方应将履约保证金退还乙方；</w:t>
      </w:r>
    </w:p>
    <w:p>
      <w:pPr>
        <w:spacing w:line="560" w:lineRule="exact"/>
        <w:ind w:firstLine="480" w:firstLineChars="200"/>
        <w:rPr>
          <w:sz w:val="24"/>
        </w:rPr>
      </w:pPr>
      <w:r>
        <w:rPr>
          <w:rFonts w:hint="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05"/>
    <w:p>
      <w:pPr>
        <w:spacing w:line="560" w:lineRule="exact"/>
        <w:ind w:firstLine="482" w:firstLineChars="200"/>
        <w:outlineLvl w:val="1"/>
        <w:rPr>
          <w:b/>
          <w:sz w:val="24"/>
        </w:rPr>
      </w:pPr>
      <w:r>
        <w:rPr>
          <w:rFonts w:hint="eastAsia"/>
          <w:b/>
          <w:sz w:val="24"/>
        </w:rPr>
        <w:t>2.19 合同份数</w:t>
      </w:r>
    </w:p>
    <w:p>
      <w:pPr>
        <w:spacing w:line="560" w:lineRule="exact"/>
        <w:ind w:firstLine="480" w:firstLineChars="200"/>
        <w:outlineLvl w:val="1"/>
        <w:rPr>
          <w:sz w:val="24"/>
        </w:rPr>
      </w:pPr>
      <w:r>
        <w:rPr>
          <w:rFonts w:hint="eastAsia"/>
          <w:sz w:val="24"/>
        </w:rPr>
        <w:t>合同份数按</w:t>
      </w:r>
      <w:r>
        <w:rPr>
          <w:rFonts w:hint="eastAsia"/>
          <w:b/>
          <w:i/>
          <w:sz w:val="24"/>
          <w:u w:val="single"/>
        </w:rPr>
        <w:t>合同专用条款</w:t>
      </w:r>
      <w:r>
        <w:rPr>
          <w:rFonts w:hint="eastAsia"/>
          <w:sz w:val="24"/>
        </w:rPr>
        <w:t>规定，每份均具有同等法律效力。</w:t>
      </w:r>
    </w:p>
    <w:p>
      <w:pPr>
        <w:spacing w:line="317" w:lineRule="exact"/>
        <w:rPr>
          <w:sz w:val="28"/>
        </w:rPr>
      </w:pPr>
      <w:r>
        <w:rPr>
          <w:rFonts w:hint="eastAsia"/>
          <w:szCs w:val="24"/>
        </w:rPr>
        <w:br w:type="page"/>
      </w:r>
    </w:p>
    <w:p>
      <w:pPr>
        <w:spacing w:line="317" w:lineRule="exact"/>
        <w:rPr>
          <w:sz w:val="28"/>
        </w:rPr>
        <w:sectPr>
          <w:pgSz w:w="11910" w:h="16840"/>
          <w:pgMar w:top="1440" w:right="1080" w:bottom="1440" w:left="1080" w:header="906" w:footer="895" w:gutter="0"/>
          <w:cols w:space="720" w:num="1"/>
        </w:sectPr>
      </w:pPr>
    </w:p>
    <w:p>
      <w:pPr>
        <w:pStyle w:val="13"/>
        <w:spacing w:before="11"/>
        <w:rPr>
          <w:sz w:val="29"/>
        </w:rPr>
      </w:pPr>
    </w:p>
    <w:p>
      <w:pPr>
        <w:spacing w:line="602" w:lineRule="exact"/>
        <w:ind w:left="422" w:right="441"/>
        <w:jc w:val="center"/>
        <w:outlineLvl w:val="0"/>
        <w:rPr>
          <w:b/>
          <w:sz w:val="30"/>
          <w:szCs w:val="30"/>
        </w:rPr>
      </w:pPr>
      <w:bookmarkStart w:id="306" w:name="_Toc23645"/>
      <w:bookmarkStart w:id="307" w:name="_Toc4851"/>
      <w:bookmarkStart w:id="308" w:name="_Toc21071"/>
      <w:r>
        <w:rPr>
          <w:rFonts w:hint="eastAsia"/>
          <w:b/>
          <w:sz w:val="30"/>
          <w:szCs w:val="30"/>
        </w:rPr>
        <w:t>（附件一）节能、环境标志产品优惠明细表</w:t>
      </w:r>
      <w:bookmarkEnd w:id="306"/>
      <w:bookmarkEnd w:id="307"/>
      <w:bookmarkEnd w:id="308"/>
    </w:p>
    <w:p>
      <w:pPr>
        <w:pStyle w:val="10"/>
        <w:spacing w:line="440" w:lineRule="exact"/>
        <w:ind w:left="422" w:right="440"/>
        <w:jc w:val="center"/>
      </w:pPr>
      <w:r>
        <w:t>(</w:t>
      </w:r>
      <w:r>
        <w:rPr>
          <w:rFonts w:hint="eastAsia"/>
        </w:rPr>
        <w:t>若有，请如实填写</w:t>
      </w:r>
      <w:r>
        <w:t>)</w:t>
      </w:r>
    </w:p>
    <w:p/>
    <w:tbl>
      <w:tblPr>
        <w:tblStyle w:val="28"/>
        <w:tblpPr w:leftFromText="180" w:rightFromText="180" w:vertAnchor="text" w:horzAnchor="page" w:tblpX="1264" w:tblpY="4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518"/>
        <w:gridCol w:w="1628"/>
        <w:gridCol w:w="1074"/>
        <w:gridCol w:w="1683"/>
        <w:gridCol w:w="1772"/>
        <w:gridCol w:w="705"/>
        <w:gridCol w:w="735"/>
        <w:gridCol w:w="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860" w:type="dxa"/>
          </w:tcPr>
          <w:p>
            <w:pPr>
              <w:pStyle w:val="37"/>
              <w:spacing w:before="11"/>
              <w:rPr>
                <w:sz w:val="25"/>
              </w:rPr>
            </w:pPr>
          </w:p>
          <w:p>
            <w:pPr>
              <w:pStyle w:val="37"/>
              <w:spacing w:line="343" w:lineRule="auto"/>
              <w:ind w:left="310" w:right="179" w:hanging="120"/>
              <w:rPr>
                <w:sz w:val="24"/>
              </w:rPr>
            </w:pPr>
            <w:r>
              <w:rPr>
                <w:rFonts w:hint="eastAsia"/>
                <w:sz w:val="24"/>
              </w:rPr>
              <w:t>制造商</w:t>
            </w:r>
          </w:p>
        </w:tc>
        <w:tc>
          <w:tcPr>
            <w:tcW w:w="518" w:type="dxa"/>
          </w:tcPr>
          <w:p>
            <w:pPr>
              <w:pStyle w:val="37"/>
              <w:spacing w:before="11"/>
              <w:rPr>
                <w:sz w:val="25"/>
              </w:rPr>
            </w:pPr>
          </w:p>
          <w:p>
            <w:pPr>
              <w:pStyle w:val="37"/>
              <w:spacing w:line="343" w:lineRule="auto"/>
              <w:ind w:left="139" w:right="128"/>
              <w:rPr>
                <w:sz w:val="24"/>
              </w:rPr>
            </w:pPr>
            <w:r>
              <w:rPr>
                <w:rFonts w:hint="eastAsia"/>
                <w:sz w:val="24"/>
              </w:rPr>
              <w:t>品牌</w:t>
            </w:r>
          </w:p>
        </w:tc>
        <w:tc>
          <w:tcPr>
            <w:tcW w:w="1628" w:type="dxa"/>
          </w:tcPr>
          <w:p>
            <w:pPr>
              <w:pStyle w:val="37"/>
              <w:spacing w:before="11"/>
              <w:rPr>
                <w:sz w:val="25"/>
              </w:rPr>
            </w:pPr>
          </w:p>
          <w:p>
            <w:pPr>
              <w:pStyle w:val="37"/>
              <w:spacing w:line="343" w:lineRule="auto"/>
              <w:ind w:left="454" w:right="43" w:hanging="346"/>
              <w:rPr>
                <w:sz w:val="24"/>
              </w:rPr>
            </w:pPr>
            <w:r>
              <w:rPr>
                <w:rFonts w:hint="eastAsia"/>
                <w:sz w:val="24"/>
              </w:rPr>
              <w:t>产品名称、规格型号</w:t>
            </w:r>
          </w:p>
        </w:tc>
        <w:tc>
          <w:tcPr>
            <w:tcW w:w="1074" w:type="dxa"/>
          </w:tcPr>
          <w:p>
            <w:pPr>
              <w:pStyle w:val="37"/>
              <w:spacing w:line="440" w:lineRule="exact"/>
              <w:ind w:left="177" w:right="166"/>
              <w:jc w:val="both"/>
              <w:rPr>
                <w:sz w:val="24"/>
              </w:rPr>
            </w:pPr>
            <w:r>
              <w:rPr>
                <w:rFonts w:hint="eastAsia"/>
                <w:sz w:val="24"/>
              </w:rPr>
              <w:t>节字标志认证证书号</w:t>
            </w:r>
          </w:p>
        </w:tc>
        <w:tc>
          <w:tcPr>
            <w:tcW w:w="1683" w:type="dxa"/>
          </w:tcPr>
          <w:p>
            <w:pPr>
              <w:pStyle w:val="37"/>
              <w:spacing w:line="440" w:lineRule="exact"/>
              <w:ind w:left="121" w:right="109"/>
              <w:jc w:val="center"/>
              <w:rPr>
                <w:sz w:val="24"/>
              </w:rPr>
            </w:pPr>
            <w:r>
              <w:rPr>
                <w:rFonts w:hint="eastAsia"/>
                <w:sz w:val="24"/>
              </w:rPr>
              <w:t>节能产品认证证书有效截止日期</w:t>
            </w:r>
          </w:p>
        </w:tc>
        <w:tc>
          <w:tcPr>
            <w:tcW w:w="1772" w:type="dxa"/>
          </w:tcPr>
          <w:p>
            <w:pPr>
              <w:pStyle w:val="37"/>
              <w:spacing w:line="440" w:lineRule="exact"/>
              <w:ind w:left="161" w:right="150"/>
              <w:jc w:val="center"/>
              <w:rPr>
                <w:sz w:val="24"/>
              </w:rPr>
            </w:pPr>
            <w:r>
              <w:rPr>
                <w:rFonts w:hint="eastAsia"/>
                <w:sz w:val="24"/>
              </w:rPr>
              <w:t>产品所在节能产品政府采购清单页码</w:t>
            </w:r>
          </w:p>
        </w:tc>
        <w:tc>
          <w:tcPr>
            <w:tcW w:w="705" w:type="dxa"/>
          </w:tcPr>
          <w:p>
            <w:pPr>
              <w:pStyle w:val="37"/>
              <w:rPr>
                <w:sz w:val="24"/>
              </w:rPr>
            </w:pPr>
          </w:p>
          <w:p>
            <w:pPr>
              <w:pStyle w:val="37"/>
              <w:spacing w:before="1"/>
              <w:rPr>
                <w:sz w:val="19"/>
              </w:rPr>
            </w:pPr>
          </w:p>
          <w:p>
            <w:pPr>
              <w:pStyle w:val="37"/>
              <w:ind w:left="117"/>
              <w:rPr>
                <w:sz w:val="24"/>
              </w:rPr>
            </w:pPr>
            <w:r>
              <w:rPr>
                <w:rFonts w:hint="eastAsia"/>
                <w:sz w:val="24"/>
              </w:rPr>
              <w:t>单位</w:t>
            </w:r>
          </w:p>
        </w:tc>
        <w:tc>
          <w:tcPr>
            <w:tcW w:w="735" w:type="dxa"/>
          </w:tcPr>
          <w:p>
            <w:pPr>
              <w:pStyle w:val="37"/>
              <w:spacing w:before="11"/>
              <w:rPr>
                <w:sz w:val="25"/>
              </w:rPr>
            </w:pPr>
          </w:p>
          <w:p>
            <w:pPr>
              <w:pStyle w:val="37"/>
              <w:spacing w:line="343" w:lineRule="auto"/>
              <w:ind w:left="189" w:right="177"/>
              <w:rPr>
                <w:sz w:val="24"/>
              </w:rPr>
            </w:pPr>
            <w:r>
              <w:rPr>
                <w:rFonts w:hint="eastAsia"/>
                <w:sz w:val="24"/>
              </w:rPr>
              <w:t>数量</w:t>
            </w:r>
          </w:p>
        </w:tc>
        <w:tc>
          <w:tcPr>
            <w:tcW w:w="555" w:type="dxa"/>
          </w:tcPr>
          <w:p>
            <w:pPr>
              <w:pStyle w:val="37"/>
              <w:rPr>
                <w:sz w:val="24"/>
              </w:rPr>
            </w:pPr>
          </w:p>
          <w:p>
            <w:pPr>
              <w:pStyle w:val="37"/>
              <w:spacing w:before="1"/>
              <w:rPr>
                <w:sz w:val="19"/>
              </w:rPr>
            </w:pPr>
          </w:p>
          <w:p>
            <w:pPr>
              <w:pStyle w:val="37"/>
              <w:ind w:left="136"/>
              <w:rPr>
                <w:sz w:val="24"/>
              </w:rPr>
            </w:pPr>
            <w:r>
              <w:rPr>
                <w:rFonts w:hint="eastAsia"/>
                <w:sz w:val="24"/>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0" w:type="dxa"/>
          </w:tcPr>
          <w:p>
            <w:pPr>
              <w:pStyle w:val="37"/>
              <w:rPr>
                <w:rFonts w:ascii="Times New Roman"/>
                <w:sz w:val="24"/>
              </w:rPr>
            </w:pPr>
          </w:p>
        </w:tc>
        <w:tc>
          <w:tcPr>
            <w:tcW w:w="518" w:type="dxa"/>
          </w:tcPr>
          <w:p>
            <w:pPr>
              <w:pStyle w:val="37"/>
              <w:rPr>
                <w:rFonts w:ascii="Times New Roman"/>
                <w:sz w:val="24"/>
              </w:rPr>
            </w:pPr>
          </w:p>
        </w:tc>
        <w:tc>
          <w:tcPr>
            <w:tcW w:w="1628" w:type="dxa"/>
          </w:tcPr>
          <w:p>
            <w:pPr>
              <w:pStyle w:val="37"/>
              <w:rPr>
                <w:rFonts w:ascii="Times New Roman"/>
                <w:sz w:val="24"/>
              </w:rPr>
            </w:pPr>
          </w:p>
        </w:tc>
        <w:tc>
          <w:tcPr>
            <w:tcW w:w="1074" w:type="dxa"/>
          </w:tcPr>
          <w:p>
            <w:pPr>
              <w:pStyle w:val="37"/>
              <w:rPr>
                <w:rFonts w:ascii="Times New Roman"/>
                <w:sz w:val="24"/>
              </w:rPr>
            </w:pPr>
          </w:p>
        </w:tc>
        <w:tc>
          <w:tcPr>
            <w:tcW w:w="1683" w:type="dxa"/>
          </w:tcPr>
          <w:p>
            <w:pPr>
              <w:pStyle w:val="37"/>
              <w:rPr>
                <w:rFonts w:ascii="Times New Roman"/>
                <w:sz w:val="24"/>
              </w:rPr>
            </w:pPr>
          </w:p>
        </w:tc>
        <w:tc>
          <w:tcPr>
            <w:tcW w:w="1772" w:type="dxa"/>
          </w:tcPr>
          <w:p>
            <w:pPr>
              <w:pStyle w:val="37"/>
              <w:rPr>
                <w:rFonts w:ascii="Times New Roman"/>
                <w:sz w:val="24"/>
              </w:rPr>
            </w:pPr>
          </w:p>
        </w:tc>
        <w:tc>
          <w:tcPr>
            <w:tcW w:w="705" w:type="dxa"/>
          </w:tcPr>
          <w:p>
            <w:pPr>
              <w:pStyle w:val="37"/>
              <w:rPr>
                <w:rFonts w:ascii="Times New Roman"/>
                <w:sz w:val="24"/>
              </w:rPr>
            </w:pPr>
          </w:p>
        </w:tc>
        <w:tc>
          <w:tcPr>
            <w:tcW w:w="735" w:type="dxa"/>
          </w:tcPr>
          <w:p>
            <w:pPr>
              <w:pStyle w:val="37"/>
              <w:rPr>
                <w:rFonts w:ascii="Times New Roman"/>
                <w:sz w:val="24"/>
              </w:rPr>
            </w:pPr>
          </w:p>
        </w:tc>
        <w:tc>
          <w:tcPr>
            <w:tcW w:w="555" w:type="dxa"/>
          </w:tcPr>
          <w:p>
            <w:pPr>
              <w:pStyle w:val="3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0" w:type="dxa"/>
          </w:tcPr>
          <w:p>
            <w:pPr>
              <w:pStyle w:val="37"/>
              <w:rPr>
                <w:rFonts w:ascii="Times New Roman"/>
                <w:sz w:val="24"/>
              </w:rPr>
            </w:pPr>
          </w:p>
        </w:tc>
        <w:tc>
          <w:tcPr>
            <w:tcW w:w="518" w:type="dxa"/>
          </w:tcPr>
          <w:p>
            <w:pPr>
              <w:pStyle w:val="37"/>
              <w:rPr>
                <w:rFonts w:ascii="Times New Roman"/>
                <w:sz w:val="24"/>
              </w:rPr>
            </w:pPr>
          </w:p>
        </w:tc>
        <w:tc>
          <w:tcPr>
            <w:tcW w:w="1628" w:type="dxa"/>
          </w:tcPr>
          <w:p>
            <w:pPr>
              <w:pStyle w:val="37"/>
              <w:rPr>
                <w:rFonts w:ascii="Times New Roman"/>
                <w:sz w:val="24"/>
              </w:rPr>
            </w:pPr>
          </w:p>
        </w:tc>
        <w:tc>
          <w:tcPr>
            <w:tcW w:w="1074" w:type="dxa"/>
          </w:tcPr>
          <w:p>
            <w:pPr>
              <w:pStyle w:val="37"/>
              <w:rPr>
                <w:rFonts w:ascii="Times New Roman"/>
                <w:sz w:val="24"/>
              </w:rPr>
            </w:pPr>
          </w:p>
        </w:tc>
        <w:tc>
          <w:tcPr>
            <w:tcW w:w="1683" w:type="dxa"/>
          </w:tcPr>
          <w:p>
            <w:pPr>
              <w:pStyle w:val="37"/>
              <w:rPr>
                <w:rFonts w:ascii="Times New Roman"/>
                <w:sz w:val="24"/>
              </w:rPr>
            </w:pPr>
          </w:p>
        </w:tc>
        <w:tc>
          <w:tcPr>
            <w:tcW w:w="1772" w:type="dxa"/>
          </w:tcPr>
          <w:p>
            <w:pPr>
              <w:pStyle w:val="37"/>
              <w:rPr>
                <w:rFonts w:ascii="Times New Roman"/>
                <w:sz w:val="24"/>
              </w:rPr>
            </w:pPr>
          </w:p>
        </w:tc>
        <w:tc>
          <w:tcPr>
            <w:tcW w:w="705" w:type="dxa"/>
          </w:tcPr>
          <w:p>
            <w:pPr>
              <w:pStyle w:val="37"/>
              <w:rPr>
                <w:rFonts w:ascii="Times New Roman"/>
                <w:sz w:val="24"/>
              </w:rPr>
            </w:pPr>
          </w:p>
        </w:tc>
        <w:tc>
          <w:tcPr>
            <w:tcW w:w="735" w:type="dxa"/>
          </w:tcPr>
          <w:p>
            <w:pPr>
              <w:pStyle w:val="37"/>
              <w:rPr>
                <w:rFonts w:ascii="Times New Roman"/>
                <w:sz w:val="24"/>
              </w:rPr>
            </w:pPr>
          </w:p>
        </w:tc>
        <w:tc>
          <w:tcPr>
            <w:tcW w:w="555" w:type="dxa"/>
          </w:tcPr>
          <w:p>
            <w:pPr>
              <w:pStyle w:val="3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763" w:type="dxa"/>
            <w:gridSpan w:val="5"/>
          </w:tcPr>
          <w:p>
            <w:pPr>
              <w:pStyle w:val="37"/>
              <w:spacing w:before="175"/>
              <w:ind w:left="108"/>
              <w:rPr>
                <w:sz w:val="24"/>
              </w:rPr>
            </w:pPr>
            <w:r>
              <w:rPr>
                <w:rFonts w:hint="eastAsia"/>
                <w:sz w:val="24"/>
              </w:rPr>
              <w:t>合计金额</w:t>
            </w:r>
          </w:p>
        </w:tc>
        <w:tc>
          <w:tcPr>
            <w:tcW w:w="3767" w:type="dxa"/>
            <w:gridSpan w:val="4"/>
          </w:tcPr>
          <w:p>
            <w:pPr>
              <w:pStyle w:val="37"/>
              <w:rPr>
                <w:rFonts w:ascii="Times New Roman"/>
                <w:sz w:val="24"/>
              </w:rPr>
            </w:pPr>
          </w:p>
        </w:tc>
      </w:tr>
    </w:tbl>
    <w:p>
      <w:pPr>
        <w:pStyle w:val="36"/>
        <w:tabs>
          <w:tab w:val="left" w:pos="1235"/>
          <w:tab w:val="left" w:pos="6033"/>
          <w:tab w:val="left" w:pos="8193"/>
        </w:tabs>
        <w:spacing w:before="0"/>
        <w:ind w:left="0" w:firstLine="0"/>
        <w:outlineLvl w:val="0"/>
        <w:rPr>
          <w:sz w:val="24"/>
        </w:rPr>
      </w:pPr>
      <w:bookmarkStart w:id="309" w:name="_Toc16040"/>
      <w:bookmarkStart w:id="310" w:name="_Toc1641"/>
      <w:bookmarkStart w:id="311" w:name="_Toc10575"/>
      <w:r>
        <w:rPr>
          <w:rFonts w:hint="eastAsia"/>
          <w:sz w:val="24"/>
        </w:rPr>
        <w:t>（</w:t>
      </w:r>
      <w:r>
        <w:rPr>
          <w:sz w:val="24"/>
          <w:lang w:val="en-US"/>
        </w:rPr>
        <w:t>1</w:t>
      </w:r>
      <w:r>
        <w:rPr>
          <w:rFonts w:hint="eastAsia"/>
          <w:sz w:val="24"/>
        </w:rPr>
        <w:t>）节能产品明细清单</w:t>
      </w:r>
      <w:r>
        <w:rPr>
          <w:sz w:val="24"/>
          <w:lang w:val="en-US"/>
        </w:rPr>
        <w:t xml:space="preserve">    </w:t>
      </w:r>
      <w:r>
        <w:rPr>
          <w:rFonts w:hint="eastAsia"/>
          <w:sz w:val="24"/>
        </w:rPr>
        <w:t>报价货币种类</w:t>
      </w:r>
      <w:r>
        <w:rPr>
          <w:sz w:val="24"/>
          <w:u w:val="single"/>
        </w:rPr>
        <w:t xml:space="preserve"> </w:t>
      </w:r>
      <w:r>
        <w:rPr>
          <w:sz w:val="24"/>
          <w:u w:val="single"/>
        </w:rPr>
        <w:tab/>
      </w:r>
      <w:r>
        <w:rPr>
          <w:sz w:val="24"/>
          <w:u w:val="single"/>
          <w:lang w:val="en-US"/>
        </w:rPr>
        <w:t xml:space="preserve"> </w:t>
      </w:r>
      <w:r>
        <w:rPr>
          <w:rFonts w:hint="eastAsia"/>
          <w:sz w:val="24"/>
        </w:rPr>
        <w:t>金额单位：元</w:t>
      </w:r>
      <w:bookmarkEnd w:id="309"/>
      <w:bookmarkEnd w:id="310"/>
      <w:bookmarkEnd w:id="311"/>
    </w:p>
    <w:p>
      <w:pPr>
        <w:tabs>
          <w:tab w:val="left" w:pos="246"/>
        </w:tabs>
        <w:outlineLvl w:val="0"/>
        <w:rPr>
          <w:sz w:val="24"/>
        </w:rPr>
      </w:pPr>
      <w:bookmarkStart w:id="312" w:name="_Toc10568"/>
      <w:bookmarkStart w:id="313" w:name="_Toc29525"/>
      <w:bookmarkStart w:id="314" w:name="_Toc27132"/>
      <w:r>
        <w:rPr>
          <w:rFonts w:hint="eastAsia"/>
          <w:sz w:val="24"/>
        </w:rPr>
        <w:t>（</w:t>
      </w:r>
      <w:r>
        <w:rPr>
          <w:sz w:val="24"/>
        </w:rPr>
        <w:t>2</w:t>
      </w:r>
      <w:r>
        <w:rPr>
          <w:rFonts w:hint="eastAsia"/>
          <w:sz w:val="24"/>
        </w:rPr>
        <w:t>）环保产品明细清单</w:t>
      </w:r>
      <w:r>
        <w:rPr>
          <w:sz w:val="24"/>
        </w:rPr>
        <w:tab/>
      </w:r>
      <w:r>
        <w:rPr>
          <w:rFonts w:hint="eastAsia"/>
          <w:sz w:val="24"/>
        </w:rPr>
        <w:t>报价货币种类</w:t>
      </w:r>
      <w:r>
        <w:rPr>
          <w:sz w:val="24"/>
          <w:u w:val="single"/>
        </w:rPr>
        <w:t xml:space="preserve"> </w:t>
      </w:r>
      <w:r>
        <w:rPr>
          <w:sz w:val="24"/>
          <w:u w:val="single"/>
        </w:rPr>
        <w:tab/>
      </w:r>
      <w:r>
        <w:rPr>
          <w:rFonts w:hint="eastAsia"/>
          <w:sz w:val="24"/>
        </w:rPr>
        <w:t>金额单位：元</w:t>
      </w:r>
      <w:bookmarkEnd w:id="312"/>
      <w:bookmarkEnd w:id="313"/>
      <w:bookmarkEnd w:id="314"/>
    </w:p>
    <w:tbl>
      <w:tblPr>
        <w:tblStyle w:val="28"/>
        <w:tblpPr w:leftFromText="180" w:rightFromText="180" w:vertAnchor="text" w:horzAnchor="page" w:tblpX="1324" w:tblpY="16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855"/>
        <w:gridCol w:w="1159"/>
        <w:gridCol w:w="1496"/>
        <w:gridCol w:w="1498"/>
        <w:gridCol w:w="1888"/>
        <w:gridCol w:w="605"/>
        <w:gridCol w:w="678"/>
        <w:gridCol w:w="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855" w:type="dxa"/>
          </w:tcPr>
          <w:p>
            <w:pPr>
              <w:pStyle w:val="37"/>
              <w:spacing w:before="11"/>
              <w:rPr>
                <w:sz w:val="25"/>
              </w:rPr>
            </w:pPr>
          </w:p>
          <w:p>
            <w:pPr>
              <w:pStyle w:val="37"/>
              <w:spacing w:line="343" w:lineRule="auto"/>
              <w:ind w:left="307" w:right="175" w:hanging="120"/>
              <w:rPr>
                <w:sz w:val="24"/>
              </w:rPr>
            </w:pPr>
            <w:r>
              <w:rPr>
                <w:rFonts w:hint="eastAsia"/>
                <w:sz w:val="24"/>
              </w:rPr>
              <w:t>制造商</w:t>
            </w:r>
          </w:p>
        </w:tc>
        <w:tc>
          <w:tcPr>
            <w:tcW w:w="855" w:type="dxa"/>
          </w:tcPr>
          <w:p>
            <w:pPr>
              <w:pStyle w:val="37"/>
              <w:rPr>
                <w:sz w:val="24"/>
              </w:rPr>
            </w:pPr>
          </w:p>
          <w:p>
            <w:pPr>
              <w:pStyle w:val="37"/>
              <w:spacing w:before="1"/>
              <w:rPr>
                <w:sz w:val="19"/>
              </w:rPr>
            </w:pPr>
          </w:p>
          <w:p>
            <w:pPr>
              <w:pStyle w:val="37"/>
              <w:ind w:left="187"/>
              <w:rPr>
                <w:sz w:val="24"/>
              </w:rPr>
            </w:pPr>
            <w:r>
              <w:rPr>
                <w:rFonts w:hint="eastAsia"/>
                <w:sz w:val="24"/>
              </w:rPr>
              <w:t>品牌</w:t>
            </w:r>
          </w:p>
        </w:tc>
        <w:tc>
          <w:tcPr>
            <w:tcW w:w="1159" w:type="dxa"/>
          </w:tcPr>
          <w:p>
            <w:pPr>
              <w:pStyle w:val="37"/>
              <w:spacing w:line="440" w:lineRule="exact"/>
              <w:ind w:left="108" w:right="97"/>
              <w:jc w:val="center"/>
              <w:rPr>
                <w:sz w:val="24"/>
              </w:rPr>
            </w:pPr>
            <w:r>
              <w:rPr>
                <w:rFonts w:hint="eastAsia"/>
                <w:sz w:val="24"/>
              </w:rPr>
              <w:t>产品名</w:t>
            </w:r>
            <w:r>
              <w:rPr>
                <w:rFonts w:hint="eastAsia"/>
                <w:spacing w:val="-10"/>
                <w:sz w:val="24"/>
              </w:rPr>
              <w:t>称、规格</w:t>
            </w:r>
            <w:r>
              <w:rPr>
                <w:rFonts w:hint="eastAsia"/>
                <w:sz w:val="24"/>
              </w:rPr>
              <w:t>型号</w:t>
            </w:r>
          </w:p>
        </w:tc>
        <w:tc>
          <w:tcPr>
            <w:tcW w:w="1496" w:type="dxa"/>
          </w:tcPr>
          <w:p>
            <w:pPr>
              <w:pStyle w:val="37"/>
              <w:spacing w:line="440" w:lineRule="exact"/>
              <w:ind w:left="147" w:right="136"/>
              <w:jc w:val="center"/>
              <w:rPr>
                <w:sz w:val="24"/>
              </w:rPr>
            </w:pPr>
            <w:r>
              <w:rPr>
                <w:rFonts w:hint="eastAsia"/>
                <w:sz w:val="24"/>
              </w:rPr>
              <w:t>中国环境标志认证证书编号</w:t>
            </w:r>
          </w:p>
        </w:tc>
        <w:tc>
          <w:tcPr>
            <w:tcW w:w="1498" w:type="dxa"/>
          </w:tcPr>
          <w:p>
            <w:pPr>
              <w:pStyle w:val="37"/>
              <w:spacing w:before="11"/>
              <w:rPr>
                <w:sz w:val="25"/>
              </w:rPr>
            </w:pPr>
          </w:p>
          <w:p>
            <w:pPr>
              <w:pStyle w:val="37"/>
              <w:spacing w:line="343" w:lineRule="auto"/>
              <w:ind w:left="149" w:right="138"/>
              <w:rPr>
                <w:sz w:val="24"/>
              </w:rPr>
            </w:pPr>
            <w:r>
              <w:rPr>
                <w:rFonts w:hint="eastAsia"/>
                <w:sz w:val="24"/>
              </w:rPr>
              <w:t>认证证书有效截止日期</w:t>
            </w:r>
          </w:p>
        </w:tc>
        <w:tc>
          <w:tcPr>
            <w:tcW w:w="1888" w:type="dxa"/>
          </w:tcPr>
          <w:p>
            <w:pPr>
              <w:pStyle w:val="37"/>
              <w:spacing w:line="440" w:lineRule="exact"/>
              <w:ind w:left="223" w:right="212"/>
              <w:jc w:val="both"/>
              <w:rPr>
                <w:sz w:val="24"/>
              </w:rPr>
            </w:pPr>
            <w:r>
              <w:rPr>
                <w:rFonts w:hint="eastAsia"/>
                <w:sz w:val="24"/>
              </w:rPr>
              <w:t>产品所在环境标志产品政府采购清单页码</w:t>
            </w:r>
          </w:p>
        </w:tc>
        <w:tc>
          <w:tcPr>
            <w:tcW w:w="605" w:type="dxa"/>
          </w:tcPr>
          <w:p>
            <w:pPr>
              <w:pStyle w:val="37"/>
              <w:spacing w:before="11"/>
              <w:rPr>
                <w:sz w:val="25"/>
              </w:rPr>
            </w:pPr>
          </w:p>
          <w:p>
            <w:pPr>
              <w:pStyle w:val="37"/>
              <w:spacing w:line="343" w:lineRule="auto"/>
              <w:ind w:left="182" w:right="170"/>
              <w:rPr>
                <w:sz w:val="24"/>
              </w:rPr>
            </w:pPr>
            <w:r>
              <w:rPr>
                <w:rFonts w:hint="eastAsia"/>
                <w:sz w:val="24"/>
              </w:rPr>
              <w:t>单位</w:t>
            </w:r>
          </w:p>
        </w:tc>
        <w:tc>
          <w:tcPr>
            <w:tcW w:w="678" w:type="dxa"/>
          </w:tcPr>
          <w:p>
            <w:pPr>
              <w:pStyle w:val="37"/>
              <w:spacing w:before="11"/>
              <w:rPr>
                <w:sz w:val="25"/>
              </w:rPr>
            </w:pPr>
          </w:p>
          <w:p>
            <w:pPr>
              <w:pStyle w:val="37"/>
              <w:spacing w:line="343" w:lineRule="auto"/>
              <w:ind w:left="218" w:right="207"/>
              <w:rPr>
                <w:sz w:val="24"/>
              </w:rPr>
            </w:pPr>
            <w:r>
              <w:rPr>
                <w:rFonts w:hint="eastAsia"/>
                <w:sz w:val="24"/>
              </w:rPr>
              <w:t>数量</w:t>
            </w:r>
          </w:p>
        </w:tc>
        <w:tc>
          <w:tcPr>
            <w:tcW w:w="466" w:type="dxa"/>
          </w:tcPr>
          <w:p>
            <w:pPr>
              <w:pStyle w:val="37"/>
              <w:rPr>
                <w:sz w:val="24"/>
              </w:rPr>
            </w:pPr>
          </w:p>
          <w:p>
            <w:pPr>
              <w:pStyle w:val="37"/>
              <w:spacing w:before="1"/>
              <w:rPr>
                <w:sz w:val="19"/>
              </w:rPr>
            </w:pPr>
          </w:p>
          <w:p>
            <w:pPr>
              <w:pStyle w:val="37"/>
              <w:ind w:left="170"/>
              <w:rPr>
                <w:sz w:val="24"/>
              </w:rPr>
            </w:pPr>
            <w:r>
              <w:rPr>
                <w:rFonts w:hint="eastAsia"/>
                <w:sz w:val="24"/>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5" w:type="dxa"/>
          </w:tcPr>
          <w:p>
            <w:pPr>
              <w:pStyle w:val="37"/>
              <w:rPr>
                <w:rFonts w:ascii="Times New Roman"/>
              </w:rPr>
            </w:pPr>
          </w:p>
        </w:tc>
        <w:tc>
          <w:tcPr>
            <w:tcW w:w="855" w:type="dxa"/>
          </w:tcPr>
          <w:p>
            <w:pPr>
              <w:pStyle w:val="37"/>
              <w:rPr>
                <w:rFonts w:ascii="Times New Roman"/>
              </w:rPr>
            </w:pPr>
          </w:p>
        </w:tc>
        <w:tc>
          <w:tcPr>
            <w:tcW w:w="1159" w:type="dxa"/>
          </w:tcPr>
          <w:p>
            <w:pPr>
              <w:pStyle w:val="37"/>
              <w:rPr>
                <w:rFonts w:ascii="Times New Roman"/>
              </w:rPr>
            </w:pPr>
          </w:p>
        </w:tc>
        <w:tc>
          <w:tcPr>
            <w:tcW w:w="1496" w:type="dxa"/>
          </w:tcPr>
          <w:p>
            <w:pPr>
              <w:pStyle w:val="37"/>
              <w:rPr>
                <w:rFonts w:ascii="Times New Roman"/>
              </w:rPr>
            </w:pPr>
          </w:p>
        </w:tc>
        <w:tc>
          <w:tcPr>
            <w:tcW w:w="1498" w:type="dxa"/>
          </w:tcPr>
          <w:p>
            <w:pPr>
              <w:pStyle w:val="37"/>
              <w:rPr>
                <w:rFonts w:ascii="Times New Roman"/>
              </w:rPr>
            </w:pPr>
          </w:p>
        </w:tc>
        <w:tc>
          <w:tcPr>
            <w:tcW w:w="1888" w:type="dxa"/>
          </w:tcPr>
          <w:p>
            <w:pPr>
              <w:pStyle w:val="37"/>
              <w:rPr>
                <w:rFonts w:ascii="Times New Roman"/>
              </w:rPr>
            </w:pPr>
          </w:p>
        </w:tc>
        <w:tc>
          <w:tcPr>
            <w:tcW w:w="605" w:type="dxa"/>
          </w:tcPr>
          <w:p>
            <w:pPr>
              <w:pStyle w:val="37"/>
              <w:rPr>
                <w:rFonts w:ascii="Times New Roman"/>
              </w:rPr>
            </w:pPr>
          </w:p>
        </w:tc>
        <w:tc>
          <w:tcPr>
            <w:tcW w:w="678" w:type="dxa"/>
          </w:tcPr>
          <w:p>
            <w:pPr>
              <w:pStyle w:val="37"/>
              <w:rPr>
                <w:rFonts w:ascii="Times New Roman"/>
              </w:rPr>
            </w:pPr>
          </w:p>
        </w:tc>
        <w:tc>
          <w:tcPr>
            <w:tcW w:w="466" w:type="dxa"/>
          </w:tcPr>
          <w:p>
            <w:pPr>
              <w:pStyle w:val="37"/>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5" w:type="dxa"/>
          </w:tcPr>
          <w:p>
            <w:pPr>
              <w:pStyle w:val="37"/>
              <w:rPr>
                <w:rFonts w:ascii="Times New Roman"/>
              </w:rPr>
            </w:pPr>
          </w:p>
        </w:tc>
        <w:tc>
          <w:tcPr>
            <w:tcW w:w="855" w:type="dxa"/>
          </w:tcPr>
          <w:p>
            <w:pPr>
              <w:pStyle w:val="37"/>
              <w:rPr>
                <w:rFonts w:ascii="Times New Roman"/>
              </w:rPr>
            </w:pPr>
          </w:p>
        </w:tc>
        <w:tc>
          <w:tcPr>
            <w:tcW w:w="1159" w:type="dxa"/>
          </w:tcPr>
          <w:p>
            <w:pPr>
              <w:pStyle w:val="37"/>
              <w:rPr>
                <w:rFonts w:ascii="Times New Roman"/>
              </w:rPr>
            </w:pPr>
          </w:p>
        </w:tc>
        <w:tc>
          <w:tcPr>
            <w:tcW w:w="1496" w:type="dxa"/>
          </w:tcPr>
          <w:p>
            <w:pPr>
              <w:pStyle w:val="37"/>
              <w:rPr>
                <w:rFonts w:ascii="Times New Roman"/>
              </w:rPr>
            </w:pPr>
          </w:p>
        </w:tc>
        <w:tc>
          <w:tcPr>
            <w:tcW w:w="1498" w:type="dxa"/>
          </w:tcPr>
          <w:p>
            <w:pPr>
              <w:pStyle w:val="37"/>
              <w:rPr>
                <w:rFonts w:ascii="Times New Roman"/>
              </w:rPr>
            </w:pPr>
          </w:p>
        </w:tc>
        <w:tc>
          <w:tcPr>
            <w:tcW w:w="1888" w:type="dxa"/>
          </w:tcPr>
          <w:p>
            <w:pPr>
              <w:pStyle w:val="37"/>
              <w:rPr>
                <w:rFonts w:ascii="Times New Roman"/>
              </w:rPr>
            </w:pPr>
          </w:p>
        </w:tc>
        <w:tc>
          <w:tcPr>
            <w:tcW w:w="605" w:type="dxa"/>
          </w:tcPr>
          <w:p>
            <w:pPr>
              <w:pStyle w:val="37"/>
              <w:rPr>
                <w:rFonts w:ascii="Times New Roman"/>
              </w:rPr>
            </w:pPr>
          </w:p>
        </w:tc>
        <w:tc>
          <w:tcPr>
            <w:tcW w:w="678" w:type="dxa"/>
          </w:tcPr>
          <w:p>
            <w:pPr>
              <w:pStyle w:val="37"/>
              <w:rPr>
                <w:rFonts w:ascii="Times New Roman"/>
              </w:rPr>
            </w:pPr>
          </w:p>
        </w:tc>
        <w:tc>
          <w:tcPr>
            <w:tcW w:w="466" w:type="dxa"/>
          </w:tcPr>
          <w:p>
            <w:pPr>
              <w:pStyle w:val="37"/>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863" w:type="dxa"/>
            <w:gridSpan w:val="5"/>
          </w:tcPr>
          <w:p>
            <w:pPr>
              <w:pStyle w:val="37"/>
              <w:spacing w:before="175"/>
              <w:ind w:left="108"/>
              <w:rPr>
                <w:sz w:val="24"/>
              </w:rPr>
            </w:pPr>
            <w:r>
              <w:rPr>
                <w:rFonts w:hint="eastAsia"/>
                <w:sz w:val="24"/>
              </w:rPr>
              <w:t>合计金额</w:t>
            </w:r>
          </w:p>
        </w:tc>
        <w:tc>
          <w:tcPr>
            <w:tcW w:w="3637" w:type="dxa"/>
            <w:gridSpan w:val="4"/>
          </w:tcPr>
          <w:p>
            <w:pPr>
              <w:pStyle w:val="37"/>
              <w:rPr>
                <w:rFonts w:ascii="Times New Roman"/>
              </w:rPr>
            </w:pPr>
          </w:p>
        </w:tc>
      </w:tr>
    </w:tbl>
    <w:p/>
    <w:p>
      <w:pPr>
        <w:pStyle w:val="23"/>
        <w:rPr>
          <w:sz w:val="22"/>
        </w:rPr>
      </w:pPr>
    </w:p>
    <w:p>
      <w:pPr>
        <w:pStyle w:val="13"/>
      </w:pPr>
      <w:r>
        <w:rPr>
          <w:rFonts w:hint="eastAsia"/>
        </w:rPr>
        <w:t>注：</w:t>
      </w:r>
    </w:p>
    <w:p>
      <w:pPr>
        <w:pStyle w:val="10"/>
        <w:keepNext w:val="0"/>
        <w:keepLines w:val="0"/>
        <w:spacing w:before="0" w:line="360" w:lineRule="auto"/>
      </w:pPr>
      <w:r>
        <w:t>1</w:t>
      </w:r>
      <w:r>
        <w:rPr>
          <w:spacing w:val="-3"/>
        </w:rPr>
        <w:t xml:space="preserve"> </w:t>
      </w:r>
      <w:r>
        <w:rPr>
          <w:rFonts w:hint="eastAsia"/>
          <w:spacing w:val="-3"/>
        </w:rPr>
        <w:t>、空调机、照明产品</w:t>
      </w:r>
      <w:r>
        <w:rPr>
          <w:rFonts w:hint="eastAsia"/>
          <w:spacing w:val="9"/>
        </w:rPr>
        <w:t>（</w:t>
      </w:r>
      <w:r>
        <w:rPr>
          <w:rFonts w:hint="eastAsia"/>
          <w:spacing w:val="8"/>
        </w:rPr>
        <w:t>包括双端荧光灯、自镇流荧光灯、单端荧光灯、管形荧光灯镇流</w:t>
      </w:r>
      <w:r>
        <w:rPr>
          <w:rFonts w:hint="eastAsia"/>
          <w:spacing w:val="4"/>
        </w:rPr>
        <w:t>器</w:t>
      </w:r>
      <w:r>
        <w:rPr>
          <w:rFonts w:hint="eastAsia"/>
          <w:spacing w:val="-116"/>
        </w:rPr>
        <w:t>）</w:t>
      </w:r>
      <w:r>
        <w:rPr>
          <w:rFonts w:hint="eastAsia"/>
          <w:spacing w:val="2"/>
        </w:rPr>
        <w:t>、电视机、电热水器、计算机、打印机、显示器、便器、水嘴等九类产品为政府强制采购节能产品。</w:t>
      </w:r>
    </w:p>
    <w:p>
      <w:pPr>
        <w:pStyle w:val="10"/>
        <w:keepNext w:val="0"/>
        <w:keepLines w:val="0"/>
        <w:spacing w:before="0" w:line="360" w:lineRule="auto"/>
      </w:pPr>
      <w:r>
        <w:t>2</w:t>
      </w:r>
      <w:r>
        <w:rPr>
          <w:rFonts w:hint="eastAsia"/>
        </w:rPr>
        <w:t>、若无货物属于优先采购节能、环境标志产品的，则不填写此表。</w:t>
      </w:r>
    </w:p>
    <w:p>
      <w:pPr>
        <w:pStyle w:val="13"/>
        <w:rPr>
          <w:b/>
        </w:rPr>
      </w:pPr>
    </w:p>
    <w:p>
      <w:pPr>
        <w:pStyle w:val="13"/>
      </w:pPr>
      <w:r>
        <w:rPr>
          <w:rFonts w:hint="eastAsia"/>
        </w:rPr>
        <w:t>供应商（盖单位章）：</w:t>
      </w:r>
    </w:p>
    <w:p>
      <w:pPr>
        <w:pStyle w:val="13"/>
        <w:tabs>
          <w:tab w:val="left" w:pos="2433"/>
          <w:tab w:val="left" w:pos="3153"/>
          <w:tab w:val="left" w:pos="3753"/>
          <w:tab w:val="left" w:pos="5128"/>
        </w:tabs>
      </w:pPr>
      <w:r>
        <w:rPr>
          <w:rFonts w:hint="eastAsia"/>
        </w:rPr>
        <w:t>法定代表人或其委托代理人签字：</w:t>
      </w:r>
      <w:r>
        <w:rPr>
          <w:u w:val="single"/>
        </w:rPr>
        <w:t xml:space="preserve"> </w:t>
      </w:r>
      <w:r>
        <w:rPr>
          <w:u w:val="single"/>
        </w:rPr>
        <w:tab/>
      </w:r>
      <w:r>
        <w:rPr>
          <w:u w:val="single"/>
        </w:rPr>
        <w:t xml:space="preserve"> </w:t>
      </w:r>
      <w:r>
        <w:rPr>
          <w:rFonts w:hint="eastAsia"/>
        </w:rPr>
        <w:t>日期：</w:t>
      </w:r>
      <w:r>
        <w:rPr>
          <w:u w:val="single"/>
        </w:rPr>
        <w:t xml:space="preserve"> </w:t>
      </w:r>
      <w:r>
        <w:rPr>
          <w:u w:val="single"/>
        </w:rPr>
        <w:tab/>
      </w:r>
      <w:r>
        <w:rPr>
          <w:rFonts w:hint="eastAsia"/>
        </w:rPr>
        <w:t>年</w:t>
      </w:r>
      <w:r>
        <w:rPr>
          <w:u w:val="single"/>
        </w:rPr>
        <w:t xml:space="preserve"> </w:t>
      </w:r>
      <w:r>
        <w:rPr>
          <w:u w:val="single"/>
        </w:rPr>
        <w:tab/>
      </w:r>
      <w:r>
        <w:rPr>
          <w:rFonts w:hint="eastAsia"/>
        </w:rPr>
        <w:t>月</w:t>
      </w:r>
      <w:r>
        <w:rPr>
          <w:u w:val="single"/>
        </w:rPr>
        <w:t xml:space="preserve"> </w:t>
      </w:r>
      <w:r>
        <w:rPr>
          <w:u w:val="single"/>
        </w:rPr>
        <w:tab/>
      </w:r>
      <w:r>
        <w:rPr>
          <w:rFonts w:hint="eastAsia"/>
        </w:rPr>
        <w:t>日</w:t>
      </w:r>
    </w:p>
    <w:p>
      <w:pPr>
        <w:pStyle w:val="13"/>
        <w:spacing w:before="2"/>
        <w:rPr>
          <w:b/>
          <w:bCs/>
          <w:sz w:val="30"/>
          <w:szCs w:val="30"/>
        </w:rPr>
      </w:pPr>
    </w:p>
    <w:p>
      <w:pPr>
        <w:pStyle w:val="13"/>
        <w:spacing w:before="2"/>
        <w:rPr>
          <w:b/>
          <w:bCs/>
          <w:sz w:val="30"/>
          <w:szCs w:val="30"/>
        </w:rPr>
      </w:pPr>
    </w:p>
    <w:p>
      <w:pPr>
        <w:pStyle w:val="13"/>
        <w:spacing w:before="2"/>
        <w:rPr>
          <w:b/>
          <w:bCs/>
          <w:sz w:val="30"/>
          <w:szCs w:val="30"/>
        </w:rPr>
      </w:pPr>
    </w:p>
    <w:p>
      <w:pPr>
        <w:spacing w:line="560" w:lineRule="exact"/>
        <w:ind w:left="422" w:right="465"/>
        <w:jc w:val="center"/>
        <w:outlineLvl w:val="0"/>
        <w:rPr>
          <w:rFonts w:ascii="Source Han Sans HW" w:eastAsia="Source Han Sans HW"/>
          <w:b/>
          <w:sz w:val="32"/>
        </w:rPr>
      </w:pPr>
      <w:bookmarkStart w:id="315" w:name="_Toc27589"/>
      <w:bookmarkStart w:id="316" w:name="_Toc20761"/>
      <w:bookmarkStart w:id="317" w:name="_Toc22937"/>
      <w:r>
        <w:rPr>
          <w:rFonts w:hint="eastAsia"/>
          <w:b/>
          <w:sz w:val="30"/>
          <w:szCs w:val="30"/>
        </w:rPr>
        <w:t>（附件二）节能、环境标志产品证明材料</w:t>
      </w:r>
      <w:bookmarkEnd w:id="315"/>
      <w:bookmarkEnd w:id="316"/>
      <w:bookmarkEnd w:id="317"/>
    </w:p>
    <w:p>
      <w:pPr>
        <w:pStyle w:val="13"/>
        <w:spacing w:before="10"/>
        <w:rPr>
          <w:rFonts w:ascii="Source Han Sans HW"/>
          <w:b/>
          <w:sz w:val="22"/>
        </w:rPr>
      </w:pPr>
    </w:p>
    <w:p>
      <w:pPr>
        <w:pStyle w:val="13"/>
        <w:numPr>
          <w:ilvl w:val="0"/>
          <w:numId w:val="7"/>
        </w:numPr>
      </w:pPr>
      <w:r>
        <w:rPr>
          <w:rFonts w:hint="eastAsia"/>
        </w:rPr>
        <w:t>节能产品：应在</w:t>
      </w:r>
      <w:r>
        <w:fldChar w:fldCharType="begin"/>
      </w:r>
      <w:r>
        <w:instrText xml:space="preserve"> HYPERLINK "http://www.ccgp.gov.cn/" \h </w:instrText>
      </w:r>
      <w:r>
        <w:fldChar w:fldCharType="separate"/>
      </w:r>
      <w:r>
        <w:rPr>
          <w:rFonts w:hint="eastAsia"/>
        </w:rPr>
        <w:t>中国政府采购网（</w:t>
      </w:r>
      <w:r>
        <w:t xml:space="preserve"> ht tp://www.ccgp.gov.cn</w:t>
      </w:r>
      <w:r>
        <w:fldChar w:fldCharType="end"/>
      </w:r>
      <w:r>
        <w:t xml:space="preserve"> </w:t>
      </w:r>
      <w:r>
        <w:rPr>
          <w:rFonts w:hint="eastAsia"/>
        </w:rPr>
        <w:t>）</w:t>
      </w:r>
      <w:r>
        <w:fldChar w:fldCharType="begin"/>
      </w:r>
      <w:r>
        <w:instrText xml:space="preserve"> HYPERLINK "http://hzs.ndrc.gov.cn/" \h </w:instrText>
      </w:r>
      <w:r>
        <w:fldChar w:fldCharType="separate"/>
      </w:r>
      <w:r>
        <w:rPr>
          <w:rFonts w:hint="eastAsia"/>
        </w:rPr>
        <w:t>国家发展改革委网站（</w:t>
      </w:r>
      <w:r>
        <w:t xml:space="preserve"> http://hzs.ndrc.gov.cn</w:t>
      </w:r>
      <w:r>
        <w:fldChar w:fldCharType="end"/>
      </w:r>
      <w:r>
        <w:t xml:space="preserve"> </w:t>
      </w:r>
      <w:r>
        <w:rPr>
          <w:rFonts w:hint="eastAsia"/>
        </w:rPr>
        <w:t>）中国质量认证心网站（</w:t>
      </w:r>
      <w:r>
        <w:t xml:space="preserve"> </w:t>
      </w:r>
      <w:r>
        <w:fldChar w:fldCharType="begin"/>
      </w:r>
      <w:r>
        <w:instrText xml:space="preserve"> HYPERLINK "http://www.cqc.com.cn/" \h </w:instrText>
      </w:r>
      <w:r>
        <w:fldChar w:fldCharType="separate"/>
      </w:r>
      <w:r>
        <w:t>http://www.cqc.com.cn</w:t>
      </w:r>
      <w:r>
        <w:fldChar w:fldCharType="end"/>
      </w:r>
      <w:r>
        <w:t xml:space="preserve"> </w:t>
      </w:r>
      <w:r>
        <w:rPr>
          <w:rFonts w:hint="eastAsia"/>
        </w:rPr>
        <w:t>）。</w:t>
      </w:r>
    </w:p>
    <w:p>
      <w:pPr>
        <w:pStyle w:val="13"/>
        <w:numPr>
          <w:ilvl w:val="0"/>
          <w:numId w:val="7"/>
        </w:numPr>
      </w:pPr>
      <w:r>
        <w:rPr>
          <w:rFonts w:hint="eastAsia"/>
        </w:rPr>
        <w:t>环境标志产品：应在</w:t>
      </w:r>
      <w:r>
        <w:fldChar w:fldCharType="begin"/>
      </w:r>
      <w:r>
        <w:instrText xml:space="preserve"> HYPERLINK "http://www.ccgp.gov.cn/" \h </w:instrText>
      </w:r>
      <w:r>
        <w:fldChar w:fldCharType="separate"/>
      </w:r>
      <w:r>
        <w:rPr>
          <w:rFonts w:hint="eastAsia"/>
        </w:rPr>
        <w:t>中国政府采购网（</w:t>
      </w:r>
      <w:r>
        <w:t xml:space="preserve"> http://www.ccgp.gov.cn</w:t>
      </w:r>
      <w:r>
        <w:fldChar w:fldCharType="end"/>
      </w:r>
      <w:r>
        <w:t xml:space="preserve"> </w:t>
      </w:r>
      <w:r>
        <w:rPr>
          <w:rFonts w:hint="eastAsia"/>
        </w:rPr>
        <w:t>）国家环境保护部网（</w:t>
      </w:r>
      <w:r>
        <w:t xml:space="preserve"> </w:t>
      </w:r>
      <w:r>
        <w:fldChar w:fldCharType="begin"/>
      </w:r>
      <w:r>
        <w:instrText xml:space="preserve"> HYPERLINK "http://www.sepa.gov.cn/" \h </w:instrText>
      </w:r>
      <w:r>
        <w:fldChar w:fldCharType="separate"/>
      </w:r>
      <w:r>
        <w:t>http://www.sepa.gov.cn</w:t>
      </w:r>
      <w:r>
        <w:fldChar w:fldCharType="end"/>
      </w:r>
      <w:r>
        <w:t xml:space="preserve"> </w:t>
      </w:r>
      <w:r>
        <w:rPr>
          <w:rFonts w:hint="eastAsia"/>
        </w:rPr>
        <w:t>）中国绿色采购网（</w:t>
      </w:r>
      <w:r>
        <w:t xml:space="preserve"> </w:t>
      </w:r>
      <w:r>
        <w:fldChar w:fldCharType="begin"/>
      </w:r>
      <w:r>
        <w:instrText xml:space="preserve"> HYPERLINK "http://www.cgpn.cn/" \h </w:instrText>
      </w:r>
      <w:r>
        <w:fldChar w:fldCharType="separate"/>
      </w:r>
      <w:r>
        <w:t>http://www.cgpn.cn</w:t>
      </w:r>
      <w:r>
        <w:fldChar w:fldCharType="end"/>
      </w:r>
      <w:r>
        <w:t xml:space="preserve"> </w:t>
      </w:r>
      <w:r>
        <w:rPr>
          <w:rFonts w:hint="eastAsia"/>
        </w:rPr>
        <w:t>）</w:t>
      </w:r>
      <w:r>
        <w:rPr>
          <w:rFonts w:hint="eastAsia"/>
          <w:spacing w:val="-4"/>
        </w:rPr>
        <w:t>属优先采购节能、环境标志产品须从以上权威媒体网站上下载的网页公告、目录清单、</w:t>
      </w:r>
      <w:r>
        <w:rPr>
          <w:rFonts w:hint="eastAsia"/>
        </w:rPr>
        <w:t>证书等，并注出所在位置。</w:t>
      </w:r>
    </w:p>
    <w:p>
      <w:pPr>
        <w:pStyle w:val="13"/>
        <w:sectPr>
          <w:headerReference r:id="rId5" w:type="default"/>
          <w:footerReference r:id="rId7" w:type="default"/>
          <w:headerReference r:id="rId6" w:type="even"/>
          <w:footerReference r:id="rId8" w:type="even"/>
          <w:pgSz w:w="11910" w:h="16840"/>
          <w:pgMar w:top="1440" w:right="1080" w:bottom="1440" w:left="1080" w:header="879" w:footer="1063" w:gutter="0"/>
          <w:cols w:space="720" w:num="1"/>
          <w:docGrid w:linePitch="1" w:charSpace="0"/>
        </w:sectPr>
      </w:pPr>
      <w:r>
        <w:t>3.</w:t>
      </w:r>
      <w:r>
        <w:rPr>
          <w:rFonts w:hint="eastAsia"/>
        </w:rPr>
        <w:t>证明材料加盖供应商公章。</w:t>
      </w:r>
    </w:p>
    <w:p>
      <w:pPr>
        <w:pStyle w:val="13"/>
        <w:rPr>
          <w:sz w:val="27"/>
        </w:rPr>
      </w:pPr>
    </w:p>
    <w:p>
      <w:pPr>
        <w:ind w:left="422" w:right="441"/>
        <w:jc w:val="center"/>
        <w:outlineLvl w:val="0"/>
        <w:rPr>
          <w:rFonts w:ascii="Source Han Sans HW" w:eastAsia="Source Han Sans HW"/>
          <w:b/>
          <w:sz w:val="32"/>
        </w:rPr>
      </w:pPr>
      <w:bookmarkStart w:id="318" w:name="_Toc17189"/>
      <w:bookmarkStart w:id="319" w:name="_Toc18461"/>
      <w:bookmarkStart w:id="320" w:name="_Toc18916"/>
      <w:r>
        <w:rPr>
          <w:rFonts w:hint="eastAsia"/>
          <w:b/>
          <w:sz w:val="30"/>
          <w:szCs w:val="30"/>
        </w:rPr>
        <w:t>（附件三）《投标人企业类型声明函》</w:t>
      </w:r>
      <w:bookmarkEnd w:id="318"/>
      <w:bookmarkEnd w:id="319"/>
      <w:bookmarkEnd w:id="320"/>
    </w:p>
    <w:p>
      <w:pPr>
        <w:spacing w:before="233"/>
        <w:ind w:left="422" w:right="441"/>
        <w:jc w:val="center"/>
        <w:outlineLvl w:val="0"/>
        <w:rPr>
          <w:b/>
          <w:sz w:val="30"/>
          <w:szCs w:val="30"/>
        </w:rPr>
      </w:pPr>
      <w:bookmarkStart w:id="321" w:name="_Toc3778"/>
      <w:bookmarkStart w:id="322" w:name="_Toc5441"/>
      <w:bookmarkStart w:id="323" w:name="_Toc32637"/>
      <w:r>
        <w:rPr>
          <w:rFonts w:hint="eastAsia"/>
          <w:b/>
          <w:sz w:val="30"/>
          <w:szCs w:val="30"/>
        </w:rPr>
        <w:t>中小企业生产或销售的产品优惠明细表</w:t>
      </w:r>
      <w:bookmarkEnd w:id="321"/>
      <w:bookmarkEnd w:id="322"/>
      <w:bookmarkEnd w:id="323"/>
    </w:p>
    <w:p>
      <w:pPr>
        <w:pStyle w:val="13"/>
        <w:spacing w:before="10"/>
        <w:rPr>
          <w:rFonts w:ascii="Source Han Sans HW"/>
          <w:b/>
          <w:sz w:val="22"/>
        </w:rPr>
      </w:pPr>
    </w:p>
    <w:p>
      <w:pPr>
        <w:pStyle w:val="13"/>
        <w:ind w:left="422" w:right="441"/>
        <w:jc w:val="center"/>
        <w:outlineLvl w:val="1"/>
      </w:pPr>
      <w:r>
        <w:rPr>
          <w:rFonts w:hint="eastAsia"/>
        </w:rPr>
        <w:t>（若有，请如实填写）</w:t>
      </w:r>
    </w:p>
    <w:tbl>
      <w:tblPr>
        <w:tblStyle w:val="28"/>
        <w:tblpPr w:leftFromText="180" w:rightFromText="180" w:vertAnchor="text" w:horzAnchor="page" w:tblpX="1094" w:tblpY="258"/>
        <w:tblOverlap w:val="never"/>
        <w:tblW w:w="9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2012"/>
        <w:gridCol w:w="1123"/>
        <w:gridCol w:w="1050"/>
        <w:gridCol w:w="1348"/>
        <w:gridCol w:w="1348"/>
        <w:gridCol w:w="1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167" w:type="dxa"/>
          </w:tcPr>
          <w:p>
            <w:pPr>
              <w:pStyle w:val="37"/>
              <w:spacing w:before="7"/>
              <w:rPr>
                <w:rFonts w:ascii="Times New Roman"/>
                <w:sz w:val="27"/>
              </w:rPr>
            </w:pPr>
          </w:p>
          <w:p>
            <w:pPr>
              <w:pStyle w:val="37"/>
              <w:ind w:left="10"/>
              <w:jc w:val="center"/>
              <w:rPr>
                <w:sz w:val="24"/>
              </w:rPr>
            </w:pPr>
            <w:r>
              <w:rPr>
                <w:sz w:val="24"/>
              </w:rPr>
              <w:t>1</w:t>
            </w:r>
          </w:p>
        </w:tc>
        <w:tc>
          <w:tcPr>
            <w:tcW w:w="2012" w:type="dxa"/>
          </w:tcPr>
          <w:p>
            <w:pPr>
              <w:pStyle w:val="37"/>
              <w:spacing w:before="7"/>
              <w:rPr>
                <w:rFonts w:ascii="Times New Roman"/>
                <w:sz w:val="27"/>
              </w:rPr>
            </w:pPr>
          </w:p>
          <w:p>
            <w:pPr>
              <w:pStyle w:val="37"/>
              <w:ind w:left="10"/>
              <w:jc w:val="center"/>
              <w:rPr>
                <w:sz w:val="24"/>
              </w:rPr>
            </w:pPr>
            <w:r>
              <w:rPr>
                <w:sz w:val="24"/>
              </w:rPr>
              <w:t>2</w:t>
            </w:r>
          </w:p>
        </w:tc>
        <w:tc>
          <w:tcPr>
            <w:tcW w:w="1123" w:type="dxa"/>
          </w:tcPr>
          <w:p>
            <w:pPr>
              <w:pStyle w:val="37"/>
              <w:spacing w:before="7"/>
              <w:rPr>
                <w:rFonts w:ascii="Times New Roman"/>
                <w:sz w:val="27"/>
              </w:rPr>
            </w:pPr>
          </w:p>
          <w:p>
            <w:pPr>
              <w:pStyle w:val="37"/>
              <w:ind w:left="9"/>
              <w:jc w:val="center"/>
              <w:rPr>
                <w:sz w:val="24"/>
              </w:rPr>
            </w:pPr>
            <w:r>
              <w:rPr>
                <w:sz w:val="24"/>
              </w:rPr>
              <w:t>3</w:t>
            </w:r>
          </w:p>
        </w:tc>
        <w:tc>
          <w:tcPr>
            <w:tcW w:w="1050" w:type="dxa"/>
          </w:tcPr>
          <w:p>
            <w:pPr>
              <w:pStyle w:val="37"/>
              <w:spacing w:before="7"/>
              <w:rPr>
                <w:rFonts w:ascii="Times New Roman"/>
                <w:sz w:val="27"/>
              </w:rPr>
            </w:pPr>
          </w:p>
          <w:p>
            <w:pPr>
              <w:pStyle w:val="37"/>
              <w:ind w:left="10"/>
              <w:jc w:val="center"/>
              <w:rPr>
                <w:sz w:val="24"/>
              </w:rPr>
            </w:pPr>
            <w:r>
              <w:rPr>
                <w:sz w:val="24"/>
              </w:rPr>
              <w:t>4</w:t>
            </w:r>
          </w:p>
        </w:tc>
        <w:tc>
          <w:tcPr>
            <w:tcW w:w="1348" w:type="dxa"/>
          </w:tcPr>
          <w:p>
            <w:pPr>
              <w:pStyle w:val="37"/>
              <w:spacing w:before="7"/>
              <w:rPr>
                <w:rFonts w:ascii="Times New Roman"/>
                <w:sz w:val="27"/>
              </w:rPr>
            </w:pPr>
          </w:p>
          <w:p>
            <w:pPr>
              <w:pStyle w:val="37"/>
              <w:ind w:left="10"/>
              <w:jc w:val="center"/>
              <w:rPr>
                <w:sz w:val="24"/>
              </w:rPr>
            </w:pPr>
            <w:r>
              <w:rPr>
                <w:sz w:val="24"/>
              </w:rPr>
              <w:t>5</w:t>
            </w:r>
          </w:p>
        </w:tc>
        <w:tc>
          <w:tcPr>
            <w:tcW w:w="1348" w:type="dxa"/>
          </w:tcPr>
          <w:p>
            <w:pPr>
              <w:pStyle w:val="37"/>
              <w:spacing w:before="7"/>
              <w:rPr>
                <w:rFonts w:ascii="Times New Roman"/>
                <w:sz w:val="27"/>
              </w:rPr>
            </w:pPr>
          </w:p>
          <w:p>
            <w:pPr>
              <w:pStyle w:val="37"/>
              <w:ind w:left="9"/>
              <w:jc w:val="center"/>
              <w:rPr>
                <w:sz w:val="24"/>
              </w:rPr>
            </w:pPr>
            <w:r>
              <w:rPr>
                <w:sz w:val="24"/>
              </w:rPr>
              <w:t>6</w:t>
            </w:r>
          </w:p>
        </w:tc>
        <w:tc>
          <w:tcPr>
            <w:tcW w:w="1487" w:type="dxa"/>
          </w:tcPr>
          <w:p>
            <w:pPr>
              <w:pStyle w:val="37"/>
              <w:spacing w:before="7"/>
              <w:rPr>
                <w:rFonts w:ascii="Times New Roman"/>
                <w:sz w:val="27"/>
              </w:rPr>
            </w:pPr>
          </w:p>
          <w:p>
            <w:pPr>
              <w:pStyle w:val="37"/>
              <w:ind w:left="9"/>
              <w:jc w:val="center"/>
              <w:rPr>
                <w:sz w:val="24"/>
              </w:rPr>
            </w:pPr>
            <w:r>
              <w:rPr>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167" w:type="dxa"/>
            <w:tcBorders>
              <w:bottom w:val="single" w:color="000000" w:sz="6" w:space="0"/>
            </w:tcBorders>
            <w:vAlign w:val="center"/>
          </w:tcPr>
          <w:p>
            <w:pPr>
              <w:pStyle w:val="37"/>
              <w:jc w:val="center"/>
              <w:rPr>
                <w:rFonts w:ascii="Times New Roman"/>
                <w:sz w:val="24"/>
              </w:rPr>
            </w:pPr>
          </w:p>
          <w:p>
            <w:pPr>
              <w:pStyle w:val="37"/>
              <w:ind w:right="-29"/>
              <w:jc w:val="center"/>
              <w:rPr>
                <w:sz w:val="24"/>
              </w:rPr>
            </w:pPr>
            <w:r>
              <w:rPr>
                <w:rFonts w:hint="eastAsia"/>
                <w:sz w:val="24"/>
              </w:rPr>
              <w:t>标段</w:t>
            </w:r>
          </w:p>
          <w:p>
            <w:pPr>
              <w:pStyle w:val="37"/>
              <w:ind w:left="108" w:right="-29"/>
              <w:jc w:val="center"/>
              <w:rPr>
                <w:sz w:val="24"/>
              </w:rPr>
            </w:pPr>
            <w:r>
              <w:rPr>
                <w:rFonts w:hint="eastAsia"/>
                <w:sz w:val="24"/>
              </w:rPr>
              <w:t>（包</w:t>
            </w:r>
            <w:r>
              <w:rPr>
                <w:rFonts w:hint="eastAsia"/>
                <w:spacing w:val="-13"/>
                <w:sz w:val="24"/>
              </w:rPr>
              <w:t>）</w:t>
            </w:r>
          </w:p>
        </w:tc>
        <w:tc>
          <w:tcPr>
            <w:tcW w:w="2012" w:type="dxa"/>
          </w:tcPr>
          <w:p>
            <w:pPr>
              <w:pStyle w:val="37"/>
              <w:spacing w:before="10"/>
              <w:rPr>
                <w:rFonts w:ascii="Times New Roman"/>
                <w:sz w:val="28"/>
              </w:rPr>
            </w:pPr>
          </w:p>
          <w:p>
            <w:pPr>
              <w:pStyle w:val="37"/>
              <w:spacing w:line="343" w:lineRule="auto"/>
              <w:ind w:left="525" w:right="155" w:hanging="360"/>
              <w:rPr>
                <w:sz w:val="24"/>
              </w:rPr>
            </w:pPr>
            <w:r>
              <w:rPr>
                <w:rFonts w:hint="eastAsia"/>
                <w:sz w:val="24"/>
              </w:rPr>
              <w:t>小型和微型企业产品名称</w:t>
            </w:r>
          </w:p>
        </w:tc>
        <w:tc>
          <w:tcPr>
            <w:tcW w:w="1123" w:type="dxa"/>
          </w:tcPr>
          <w:p>
            <w:pPr>
              <w:pStyle w:val="37"/>
              <w:rPr>
                <w:rFonts w:ascii="Times New Roman"/>
                <w:sz w:val="24"/>
              </w:rPr>
            </w:pPr>
          </w:p>
          <w:p>
            <w:pPr>
              <w:pStyle w:val="37"/>
              <w:rPr>
                <w:rFonts w:ascii="Times New Roman"/>
                <w:sz w:val="24"/>
              </w:rPr>
            </w:pPr>
          </w:p>
          <w:p>
            <w:pPr>
              <w:pStyle w:val="37"/>
              <w:ind w:left="180" w:right="171"/>
              <w:jc w:val="center"/>
              <w:rPr>
                <w:sz w:val="24"/>
              </w:rPr>
            </w:pPr>
            <w:r>
              <w:rPr>
                <w:rFonts w:hint="eastAsia"/>
                <w:sz w:val="24"/>
              </w:rPr>
              <w:t>数量</w:t>
            </w:r>
          </w:p>
        </w:tc>
        <w:tc>
          <w:tcPr>
            <w:tcW w:w="1050" w:type="dxa"/>
          </w:tcPr>
          <w:p>
            <w:pPr>
              <w:pStyle w:val="37"/>
              <w:spacing w:before="10"/>
              <w:rPr>
                <w:rFonts w:ascii="Times New Roman"/>
                <w:sz w:val="28"/>
              </w:rPr>
            </w:pPr>
          </w:p>
          <w:p>
            <w:pPr>
              <w:pStyle w:val="37"/>
              <w:ind w:left="145" w:right="135"/>
              <w:jc w:val="center"/>
              <w:rPr>
                <w:sz w:val="24"/>
              </w:rPr>
            </w:pPr>
            <w:r>
              <w:rPr>
                <w:rFonts w:hint="eastAsia"/>
                <w:sz w:val="24"/>
              </w:rPr>
              <w:t>报价</w:t>
            </w:r>
          </w:p>
          <w:p>
            <w:pPr>
              <w:pStyle w:val="37"/>
              <w:spacing w:before="132"/>
              <w:ind w:left="145" w:right="135"/>
              <w:jc w:val="center"/>
              <w:rPr>
                <w:sz w:val="24"/>
              </w:rPr>
            </w:pPr>
            <w:r>
              <w:rPr>
                <w:rFonts w:hint="eastAsia"/>
                <w:sz w:val="24"/>
              </w:rPr>
              <w:t>（元）</w:t>
            </w:r>
          </w:p>
        </w:tc>
        <w:tc>
          <w:tcPr>
            <w:tcW w:w="1348" w:type="dxa"/>
          </w:tcPr>
          <w:p>
            <w:pPr>
              <w:pStyle w:val="37"/>
              <w:spacing w:before="112" w:line="343" w:lineRule="auto"/>
              <w:ind w:left="194" w:right="183"/>
              <w:jc w:val="center"/>
              <w:rPr>
                <w:sz w:val="24"/>
              </w:rPr>
            </w:pPr>
            <w:r>
              <w:rPr>
                <w:rFonts w:hint="eastAsia"/>
                <w:spacing w:val="-5"/>
                <w:sz w:val="24"/>
              </w:rPr>
              <w:t>价格评审扣除金额</w:t>
            </w:r>
          </w:p>
          <w:p>
            <w:pPr>
              <w:pStyle w:val="37"/>
              <w:spacing w:line="305" w:lineRule="exact"/>
              <w:ind w:left="193" w:right="183"/>
              <w:jc w:val="center"/>
              <w:rPr>
                <w:sz w:val="24"/>
              </w:rPr>
            </w:pPr>
            <w:r>
              <w:rPr>
                <w:rFonts w:hint="eastAsia"/>
                <w:sz w:val="24"/>
              </w:rPr>
              <w:t>（元）</w:t>
            </w:r>
          </w:p>
        </w:tc>
        <w:tc>
          <w:tcPr>
            <w:tcW w:w="1348" w:type="dxa"/>
          </w:tcPr>
          <w:p>
            <w:pPr>
              <w:pStyle w:val="37"/>
              <w:spacing w:before="10"/>
              <w:rPr>
                <w:rFonts w:ascii="Times New Roman"/>
                <w:sz w:val="28"/>
              </w:rPr>
            </w:pPr>
          </w:p>
          <w:p>
            <w:pPr>
              <w:pStyle w:val="37"/>
              <w:spacing w:line="343" w:lineRule="auto"/>
              <w:ind w:left="433" w:right="183" w:hanging="240"/>
              <w:rPr>
                <w:sz w:val="24"/>
              </w:rPr>
            </w:pPr>
            <w:r>
              <w:rPr>
                <w:rFonts w:hint="eastAsia"/>
                <w:sz w:val="24"/>
              </w:rPr>
              <w:t>品牌型号规格</w:t>
            </w:r>
          </w:p>
        </w:tc>
        <w:tc>
          <w:tcPr>
            <w:tcW w:w="1487" w:type="dxa"/>
          </w:tcPr>
          <w:p>
            <w:pPr>
              <w:pStyle w:val="37"/>
              <w:spacing w:before="10"/>
              <w:rPr>
                <w:rFonts w:ascii="Times New Roman"/>
                <w:sz w:val="28"/>
              </w:rPr>
            </w:pPr>
          </w:p>
          <w:p>
            <w:pPr>
              <w:pStyle w:val="37"/>
              <w:jc w:val="center"/>
              <w:rPr>
                <w:sz w:val="24"/>
              </w:rPr>
            </w:pPr>
            <w:r>
              <w:rPr>
                <w:rFonts w:hint="eastAsia"/>
                <w:sz w:val="24"/>
              </w:rPr>
              <w:t>制造商全称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167" w:type="dxa"/>
            <w:tcBorders>
              <w:top w:val="single" w:color="000000" w:sz="6" w:space="0"/>
              <w:bottom w:val="single" w:color="000000" w:sz="6" w:space="0"/>
            </w:tcBorders>
          </w:tcPr>
          <w:p>
            <w:pPr>
              <w:pStyle w:val="37"/>
              <w:rPr>
                <w:rFonts w:ascii="Times New Roman"/>
                <w:sz w:val="24"/>
              </w:rPr>
            </w:pPr>
          </w:p>
        </w:tc>
        <w:tc>
          <w:tcPr>
            <w:tcW w:w="2012" w:type="dxa"/>
          </w:tcPr>
          <w:p>
            <w:pPr>
              <w:pStyle w:val="37"/>
              <w:rPr>
                <w:rFonts w:ascii="Times New Roman"/>
                <w:sz w:val="24"/>
              </w:rPr>
            </w:pPr>
          </w:p>
        </w:tc>
        <w:tc>
          <w:tcPr>
            <w:tcW w:w="1123" w:type="dxa"/>
          </w:tcPr>
          <w:p>
            <w:pPr>
              <w:pStyle w:val="37"/>
              <w:rPr>
                <w:rFonts w:ascii="Times New Roman"/>
                <w:sz w:val="24"/>
              </w:rPr>
            </w:pPr>
          </w:p>
        </w:tc>
        <w:tc>
          <w:tcPr>
            <w:tcW w:w="1050" w:type="dxa"/>
          </w:tcPr>
          <w:p>
            <w:pPr>
              <w:pStyle w:val="37"/>
              <w:rPr>
                <w:rFonts w:ascii="Times New Roman"/>
                <w:sz w:val="24"/>
              </w:rPr>
            </w:pPr>
          </w:p>
        </w:tc>
        <w:tc>
          <w:tcPr>
            <w:tcW w:w="1348" w:type="dxa"/>
          </w:tcPr>
          <w:p>
            <w:pPr>
              <w:pStyle w:val="37"/>
              <w:rPr>
                <w:rFonts w:ascii="Times New Roman"/>
                <w:sz w:val="24"/>
              </w:rPr>
            </w:pPr>
          </w:p>
        </w:tc>
        <w:tc>
          <w:tcPr>
            <w:tcW w:w="1348" w:type="dxa"/>
          </w:tcPr>
          <w:p>
            <w:pPr>
              <w:pStyle w:val="37"/>
              <w:rPr>
                <w:rFonts w:ascii="Times New Roman"/>
                <w:sz w:val="24"/>
              </w:rPr>
            </w:pPr>
          </w:p>
        </w:tc>
        <w:tc>
          <w:tcPr>
            <w:tcW w:w="1487" w:type="dxa"/>
          </w:tcPr>
          <w:p>
            <w:pPr>
              <w:pStyle w:val="3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167" w:type="dxa"/>
            <w:tcBorders>
              <w:top w:val="single" w:color="000000" w:sz="6" w:space="0"/>
              <w:bottom w:val="single" w:color="000000" w:sz="6" w:space="0"/>
            </w:tcBorders>
          </w:tcPr>
          <w:p>
            <w:pPr>
              <w:pStyle w:val="37"/>
              <w:rPr>
                <w:rFonts w:ascii="Times New Roman"/>
                <w:sz w:val="24"/>
              </w:rPr>
            </w:pPr>
          </w:p>
        </w:tc>
        <w:tc>
          <w:tcPr>
            <w:tcW w:w="2012" w:type="dxa"/>
          </w:tcPr>
          <w:p>
            <w:pPr>
              <w:pStyle w:val="37"/>
              <w:rPr>
                <w:rFonts w:ascii="Times New Roman"/>
                <w:sz w:val="24"/>
              </w:rPr>
            </w:pPr>
          </w:p>
        </w:tc>
        <w:tc>
          <w:tcPr>
            <w:tcW w:w="1123" w:type="dxa"/>
          </w:tcPr>
          <w:p>
            <w:pPr>
              <w:pStyle w:val="37"/>
              <w:rPr>
                <w:rFonts w:ascii="Times New Roman"/>
                <w:sz w:val="24"/>
              </w:rPr>
            </w:pPr>
          </w:p>
        </w:tc>
        <w:tc>
          <w:tcPr>
            <w:tcW w:w="1050" w:type="dxa"/>
          </w:tcPr>
          <w:p>
            <w:pPr>
              <w:pStyle w:val="37"/>
              <w:rPr>
                <w:rFonts w:ascii="Times New Roman"/>
                <w:sz w:val="24"/>
              </w:rPr>
            </w:pPr>
          </w:p>
        </w:tc>
        <w:tc>
          <w:tcPr>
            <w:tcW w:w="1348" w:type="dxa"/>
          </w:tcPr>
          <w:p>
            <w:pPr>
              <w:pStyle w:val="37"/>
              <w:rPr>
                <w:rFonts w:ascii="Times New Roman"/>
                <w:sz w:val="24"/>
              </w:rPr>
            </w:pPr>
          </w:p>
        </w:tc>
        <w:tc>
          <w:tcPr>
            <w:tcW w:w="1348" w:type="dxa"/>
          </w:tcPr>
          <w:p>
            <w:pPr>
              <w:pStyle w:val="37"/>
              <w:rPr>
                <w:rFonts w:ascii="Times New Roman"/>
                <w:sz w:val="24"/>
              </w:rPr>
            </w:pPr>
          </w:p>
        </w:tc>
        <w:tc>
          <w:tcPr>
            <w:tcW w:w="1487" w:type="dxa"/>
          </w:tcPr>
          <w:p>
            <w:pPr>
              <w:pStyle w:val="3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1167" w:type="dxa"/>
            <w:tcBorders>
              <w:top w:val="single" w:color="000000" w:sz="6" w:space="0"/>
            </w:tcBorders>
          </w:tcPr>
          <w:p>
            <w:pPr>
              <w:pStyle w:val="37"/>
              <w:rPr>
                <w:rFonts w:ascii="Times New Roman"/>
                <w:sz w:val="24"/>
              </w:rPr>
            </w:pPr>
          </w:p>
        </w:tc>
        <w:tc>
          <w:tcPr>
            <w:tcW w:w="8368" w:type="dxa"/>
            <w:gridSpan w:val="6"/>
          </w:tcPr>
          <w:p>
            <w:pPr>
              <w:pStyle w:val="37"/>
              <w:spacing w:before="9"/>
              <w:rPr>
                <w:rFonts w:ascii="Times New Roman"/>
                <w:sz w:val="27"/>
              </w:rPr>
            </w:pPr>
          </w:p>
          <w:p>
            <w:pPr>
              <w:pStyle w:val="37"/>
              <w:tabs>
                <w:tab w:val="left" w:pos="3587"/>
              </w:tabs>
              <w:ind w:left="107"/>
              <w:rPr>
                <w:sz w:val="24"/>
              </w:rPr>
            </w:pPr>
            <w:r>
              <w:rPr>
                <w:rFonts w:hint="eastAsia"/>
                <w:sz w:val="24"/>
              </w:rPr>
              <w:t>本标段（包）总计：</w:t>
            </w:r>
            <w:r>
              <w:rPr>
                <w:sz w:val="24"/>
              </w:rPr>
              <w:tab/>
            </w:r>
            <w:r>
              <w:rPr>
                <w:rFonts w:hint="eastAsia"/>
                <w:sz w:val="24"/>
              </w:rPr>
              <w:t>（元）</w:t>
            </w:r>
          </w:p>
        </w:tc>
      </w:tr>
    </w:tbl>
    <w:p>
      <w:pPr>
        <w:pStyle w:val="13"/>
        <w:tabs>
          <w:tab w:val="left" w:pos="8931"/>
        </w:tabs>
        <w:jc w:val="center"/>
      </w:pPr>
    </w:p>
    <w:p>
      <w:pPr>
        <w:pStyle w:val="13"/>
        <w:tabs>
          <w:tab w:val="left" w:pos="8931"/>
        </w:tabs>
        <w:jc w:val="center"/>
        <w:outlineLvl w:val="1"/>
      </w:pPr>
      <w:r>
        <w:rPr>
          <w:rFonts w:hint="eastAsia"/>
        </w:rPr>
        <w:t>报价货币种类：</w:t>
      </w:r>
      <w:r>
        <w:rPr>
          <w:u w:val="single"/>
        </w:rPr>
        <w:t xml:space="preserve"> </w:t>
      </w:r>
      <w:r>
        <w:rPr>
          <w:u w:val="single"/>
        </w:rPr>
        <w:tab/>
      </w:r>
    </w:p>
    <w:p>
      <w:pPr>
        <w:pStyle w:val="13"/>
      </w:pPr>
    </w:p>
    <w:p>
      <w:pPr>
        <w:pStyle w:val="13"/>
      </w:pPr>
      <w:r>
        <w:rPr>
          <w:rFonts w:hint="eastAsia"/>
        </w:rPr>
        <w:t>注：</w:t>
      </w:r>
    </w:p>
    <w:p>
      <w:pPr>
        <w:pStyle w:val="13"/>
      </w:pPr>
      <w:r>
        <w:rPr>
          <w:spacing w:val="7"/>
        </w:rPr>
        <w:t>1</w:t>
      </w:r>
      <w:r>
        <w:rPr>
          <w:rFonts w:hint="eastAsia"/>
        </w:rPr>
        <w:t>、当一个标段（包）内有多个属于小型和微型企业的产品时，</w:t>
      </w:r>
      <w:r>
        <w:t xml:space="preserve"> </w:t>
      </w:r>
      <w:r>
        <w:rPr>
          <w:rFonts w:hint="eastAsia"/>
        </w:rPr>
        <w:t>供应商应按序号详细填写。</w:t>
      </w:r>
    </w:p>
    <w:p>
      <w:pPr>
        <w:pStyle w:val="13"/>
      </w:pPr>
      <w:r>
        <w:t>2</w:t>
      </w:r>
      <w:r>
        <w:rPr>
          <w:rFonts w:hint="eastAsia"/>
        </w:rPr>
        <w:t>、栏目</w:t>
      </w:r>
      <w:r>
        <w:t xml:space="preserve"> 5=</w:t>
      </w:r>
      <w:r>
        <w:rPr>
          <w:rFonts w:hint="eastAsia"/>
        </w:rPr>
        <w:t>栏目</w:t>
      </w:r>
      <w:r>
        <w:t xml:space="preserve"> 4</w:t>
      </w:r>
      <w:r>
        <w:rPr>
          <w:rFonts w:hint="eastAsia"/>
        </w:rPr>
        <w:t>×招标文件规定的价格扣除比率的优惠幅度。</w:t>
      </w:r>
    </w:p>
    <w:p>
      <w:pPr>
        <w:pStyle w:val="13"/>
      </w:pPr>
      <w:r>
        <w:t>3</w:t>
      </w:r>
      <w:r>
        <w:rPr>
          <w:rFonts w:hint="eastAsia"/>
        </w:rPr>
        <w:t>、若所供应的产品不具备此类评审优惠条件，本</w:t>
      </w:r>
      <w:r>
        <w:t>?</w:t>
      </w:r>
      <w:r>
        <w:rPr>
          <w:rFonts w:hint="eastAsia"/>
        </w:rPr>
        <w:t>°中小价格扣除明细表</w:t>
      </w:r>
      <w:r>
        <w:t>?</w:t>
      </w:r>
      <w:r>
        <w:rPr>
          <w:rFonts w:hint="eastAsia"/>
        </w:rPr>
        <w:t>±</w:t>
      </w:r>
      <w:r>
        <w:t xml:space="preserve"> </w:t>
      </w:r>
      <w:r>
        <w:rPr>
          <w:rFonts w:hint="eastAsia"/>
        </w:rPr>
        <w:t>不必填写。</w:t>
      </w:r>
    </w:p>
    <w:p>
      <w:pPr>
        <w:pStyle w:val="13"/>
      </w:pPr>
    </w:p>
    <w:p>
      <w:pPr>
        <w:pStyle w:val="13"/>
        <w:tabs>
          <w:tab w:val="left" w:pos="8471"/>
          <w:tab w:val="left" w:pos="9191"/>
          <w:tab w:val="left" w:pos="9791"/>
        </w:tabs>
        <w:jc w:val="right"/>
        <w:rPr>
          <w:spacing w:val="-18"/>
        </w:rPr>
      </w:pPr>
      <w:r>
        <w:rPr>
          <w:rFonts w:hint="eastAsia"/>
        </w:rPr>
        <w:t>供应商（盖单位章</w:t>
      </w:r>
      <w:r>
        <w:rPr>
          <w:rFonts w:hint="eastAsia"/>
          <w:spacing w:val="-9"/>
        </w:rPr>
        <w:t>）：</w:t>
      </w:r>
      <w:r>
        <w:rPr>
          <w:rFonts w:hint="eastAsia"/>
        </w:rPr>
        <w:t>法定代表人或其委托代理人签字</w:t>
      </w:r>
      <w:r>
        <w:rPr>
          <w:rFonts w:hint="eastAsia"/>
          <w:spacing w:val="-18"/>
        </w:rPr>
        <w:t>：</w:t>
      </w:r>
    </w:p>
    <w:p>
      <w:pPr>
        <w:pStyle w:val="13"/>
        <w:tabs>
          <w:tab w:val="left" w:pos="8471"/>
          <w:tab w:val="left" w:pos="9191"/>
          <w:tab w:val="left" w:pos="9791"/>
        </w:tabs>
        <w:jc w:val="right"/>
      </w:pP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pStyle w:val="13"/>
        <w:rPr>
          <w:sz w:val="23"/>
        </w:rPr>
      </w:pPr>
    </w:p>
    <w:p>
      <w:pPr>
        <w:tabs>
          <w:tab w:val="left" w:pos="2519"/>
        </w:tabs>
        <w:spacing w:line="559" w:lineRule="exact"/>
        <w:ind w:right="19"/>
        <w:jc w:val="center"/>
        <w:rPr>
          <w:rFonts w:ascii="Source Han Sans HW" w:eastAsia="Source Han Sans HW"/>
          <w:b/>
          <w:sz w:val="32"/>
        </w:rPr>
      </w:pPr>
    </w:p>
    <w:p>
      <w:pPr>
        <w:tabs>
          <w:tab w:val="left" w:pos="2519"/>
        </w:tabs>
        <w:spacing w:line="559" w:lineRule="exact"/>
        <w:ind w:right="19"/>
        <w:jc w:val="center"/>
        <w:rPr>
          <w:rFonts w:ascii="Source Han Sans HW" w:eastAsia="Source Han Sans HW"/>
          <w:b/>
          <w:sz w:val="32"/>
        </w:rPr>
      </w:pPr>
    </w:p>
    <w:p>
      <w:pPr>
        <w:tabs>
          <w:tab w:val="left" w:pos="2519"/>
        </w:tabs>
        <w:spacing w:line="559" w:lineRule="exact"/>
        <w:ind w:right="19"/>
        <w:jc w:val="center"/>
        <w:rPr>
          <w:rFonts w:ascii="Source Han Sans HW" w:eastAsia="Source Han Sans HW"/>
          <w:b/>
          <w:sz w:val="32"/>
        </w:rPr>
      </w:pPr>
    </w:p>
    <w:p>
      <w:pPr>
        <w:tabs>
          <w:tab w:val="left" w:pos="2519"/>
        </w:tabs>
        <w:spacing w:line="559" w:lineRule="exact"/>
        <w:ind w:right="19"/>
        <w:jc w:val="center"/>
        <w:rPr>
          <w:b/>
          <w:sz w:val="30"/>
          <w:szCs w:val="30"/>
        </w:rPr>
      </w:pPr>
      <w:bookmarkStart w:id="324" w:name="_Toc28222"/>
    </w:p>
    <w:p>
      <w:pPr>
        <w:tabs>
          <w:tab w:val="left" w:pos="2519"/>
        </w:tabs>
        <w:spacing w:line="559" w:lineRule="exact"/>
        <w:ind w:right="19"/>
        <w:jc w:val="center"/>
        <w:rPr>
          <w:b/>
          <w:sz w:val="30"/>
          <w:szCs w:val="30"/>
        </w:rPr>
      </w:pPr>
    </w:p>
    <w:p>
      <w:pPr>
        <w:tabs>
          <w:tab w:val="left" w:pos="2519"/>
        </w:tabs>
        <w:spacing w:line="559" w:lineRule="exact"/>
        <w:ind w:right="19"/>
        <w:jc w:val="center"/>
        <w:rPr>
          <w:b/>
          <w:sz w:val="30"/>
          <w:szCs w:val="30"/>
        </w:rPr>
      </w:pPr>
    </w:p>
    <w:p>
      <w:pPr>
        <w:tabs>
          <w:tab w:val="left" w:pos="2519"/>
        </w:tabs>
        <w:spacing w:line="559" w:lineRule="exact"/>
        <w:ind w:right="19"/>
        <w:jc w:val="center"/>
        <w:outlineLvl w:val="0"/>
        <w:rPr>
          <w:b/>
          <w:sz w:val="30"/>
          <w:szCs w:val="30"/>
        </w:rPr>
      </w:pPr>
      <w:bookmarkStart w:id="325" w:name="_Toc27828"/>
      <w:bookmarkStart w:id="326" w:name="_Toc16092"/>
      <w:r>
        <w:rPr>
          <w:rFonts w:hint="eastAsia"/>
          <w:b/>
          <w:sz w:val="30"/>
          <w:szCs w:val="30"/>
        </w:rPr>
        <w:t>（附件四）中小微企业声明函</w:t>
      </w:r>
      <w:bookmarkEnd w:id="324"/>
      <w:bookmarkEnd w:id="325"/>
      <w:bookmarkEnd w:id="326"/>
    </w:p>
    <w:p>
      <w:pPr>
        <w:pStyle w:val="13"/>
        <w:spacing w:before="3"/>
        <w:jc w:val="center"/>
        <w:outlineLvl w:val="1"/>
      </w:pPr>
      <w:r>
        <w:rPr>
          <w:rFonts w:hint="eastAsia"/>
        </w:rPr>
        <w:t>（中小微企业适用）</w:t>
      </w:r>
    </w:p>
    <w:p>
      <w:pPr>
        <w:pStyle w:val="13"/>
        <w:spacing w:before="3"/>
        <w:ind w:firstLine="480" w:firstLineChars="200"/>
      </w:pPr>
      <w:r>
        <w:rPr>
          <w:rFonts w:hint="eastAsia"/>
          <w:lang w:val="en-US"/>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pStyle w:val="13"/>
        <w:spacing w:before="3"/>
      </w:pPr>
      <w:r>
        <w:rPr>
          <w:rFonts w:hint="eastAsia"/>
          <w:lang w:val="en-US"/>
        </w:rPr>
        <w:t xml:space="preserve">1. （标的名称） ，属于（采购文件中明确的所属行业）行业；制造商为（企业名称），从业人员   人，营业收入为     万元，资产总额为     万元1，属于（中型企业、小型企业、微型企业）； </w:t>
      </w:r>
    </w:p>
    <w:p>
      <w:pPr>
        <w:pStyle w:val="13"/>
        <w:spacing w:before="3"/>
      </w:pPr>
      <w:r>
        <w:rPr>
          <w:rFonts w:hint="eastAsia"/>
          <w:lang w:val="en-US"/>
        </w:rPr>
        <w:t xml:space="preserve">2. （标的名称） ，属于（采购文件中明确的所属行业）行业；制造商为（企业名称），从业人员   人，营业收入为     万元，资产总额为     万元1，属于（中型企业、小型企业、微型企业）； </w:t>
      </w:r>
    </w:p>
    <w:p>
      <w:pPr>
        <w:pStyle w:val="13"/>
        <w:spacing w:before="3"/>
      </w:pPr>
      <w:r>
        <w:rPr>
          <w:rFonts w:hint="eastAsia"/>
          <w:lang w:val="en-US"/>
        </w:rPr>
        <w:t>……</w:t>
      </w:r>
    </w:p>
    <w:p>
      <w:pPr>
        <w:pStyle w:val="13"/>
        <w:spacing w:before="3"/>
      </w:pPr>
      <w:r>
        <w:rPr>
          <w:rFonts w:hint="eastAsia"/>
          <w:lang w:val="en-US"/>
        </w:rPr>
        <w:t>以上企业，不属于大企业的分支机构，不存在控股股东为大企业的情形，也不存在与大企业的负责人为同一人的情形。</w:t>
      </w:r>
    </w:p>
    <w:p>
      <w:pPr>
        <w:pStyle w:val="13"/>
        <w:spacing w:before="3"/>
      </w:pPr>
      <w:r>
        <w:rPr>
          <w:rFonts w:hint="eastAsia"/>
          <w:lang w:val="en-US"/>
        </w:rPr>
        <w:t xml:space="preserve">本企业对上述声明内容的真实性负责。如有虚假，将依法承担相应责任。 </w:t>
      </w:r>
    </w:p>
    <w:p>
      <w:pPr>
        <w:pStyle w:val="13"/>
        <w:spacing w:before="3"/>
      </w:pPr>
      <w:r>
        <w:rPr>
          <w:rFonts w:hint="eastAsia"/>
          <w:lang w:val="en-US"/>
        </w:rPr>
        <w:t xml:space="preserve">企业名称（盖章）： </w:t>
      </w:r>
    </w:p>
    <w:p>
      <w:pPr>
        <w:pStyle w:val="13"/>
        <w:spacing w:before="3"/>
        <w:rPr>
          <w:lang w:val="en-US"/>
        </w:rPr>
      </w:pPr>
      <w:r>
        <w:rPr>
          <w:rFonts w:hint="eastAsia"/>
          <w:lang w:val="en-US"/>
        </w:rPr>
        <w:t xml:space="preserve">日 期： </w:t>
      </w:r>
    </w:p>
    <w:p>
      <w:pPr>
        <w:pStyle w:val="13"/>
        <w:spacing w:before="3"/>
        <w:rPr>
          <w:lang w:val="en-US"/>
        </w:rPr>
      </w:pPr>
      <w:r>
        <w:rPr>
          <w:rFonts w:hint="eastAsia"/>
          <w:lang w:val="en-US"/>
        </w:rPr>
        <w:t xml:space="preserve">                                                                                 </w:t>
      </w:r>
    </w:p>
    <w:p>
      <w:pPr>
        <w:pStyle w:val="13"/>
        <w:spacing w:before="3"/>
        <w:rPr>
          <w:lang w:val="en-US"/>
        </w:rPr>
      </w:pPr>
      <w:r>
        <w:rPr>
          <w:rFonts w:hint="eastAsia"/>
          <w:lang w:val="en-US"/>
        </w:rPr>
        <w:t>1从业人员、营业收入、资产总额填报上一年度数据，无上一年度数据的新成立企业可不填报。</w:t>
      </w:r>
    </w:p>
    <w:p>
      <w:pPr>
        <w:pStyle w:val="13"/>
        <w:spacing w:before="3"/>
      </w:pPr>
      <w:r>
        <w:rPr>
          <w:rFonts w:hint="eastAsia"/>
        </w:rPr>
        <w:t>说明：1、填写前请认真阅读《工业和信息化部、国家统计局、国家发展和改革委员会、财政部关于印发中小企业划型标准规定的通知》（工信部联企业[2011]300号）和《财政部 工业和信息化部关于印发＜政府采购促进中小企业发展办法＞的通知》(财库[20</w:t>
      </w:r>
      <w:r>
        <w:rPr>
          <w:rFonts w:hint="eastAsia"/>
          <w:lang w:val="en-US"/>
        </w:rPr>
        <w:t>20</w:t>
      </w:r>
      <w:r>
        <w:rPr>
          <w:rFonts w:hint="eastAsia"/>
        </w:rPr>
        <w:t>]</w:t>
      </w:r>
      <w:r>
        <w:rPr>
          <w:rFonts w:hint="eastAsia"/>
          <w:lang w:val="en-US"/>
        </w:rPr>
        <w:t>46</w:t>
      </w:r>
      <w:r>
        <w:rPr>
          <w:rFonts w:hint="eastAsia"/>
        </w:rPr>
        <w:t>号)相关规定。</w:t>
      </w:r>
    </w:p>
    <w:p>
      <w:pPr>
        <w:pStyle w:val="13"/>
        <w:spacing w:before="3"/>
      </w:pPr>
      <w:r>
        <w:rPr>
          <w:rFonts w:hint="eastAsia"/>
        </w:rPr>
        <w:t>2、中小企业部分提供其他中小企业制造货物的应另附说明，并与报价一栏表保持一致。</w:t>
      </w:r>
    </w:p>
    <w:p>
      <w:pPr>
        <w:pStyle w:val="13"/>
        <w:spacing w:before="3"/>
        <w:rPr>
          <w:lang w:val="en-US"/>
        </w:rPr>
      </w:pPr>
      <w:r>
        <w:rPr>
          <w:rFonts w:hint="eastAsia"/>
          <w:lang w:val="en-US"/>
        </w:rPr>
        <w:t>3、未按上述要求提供、填写的，评审时不予以考虑。</w:t>
      </w:r>
    </w:p>
    <w:p>
      <w:pPr>
        <w:pStyle w:val="13"/>
        <w:spacing w:before="3"/>
      </w:pPr>
    </w:p>
    <w:p>
      <w:pPr>
        <w:pStyle w:val="13"/>
        <w:spacing w:before="3"/>
        <w:jc w:val="center"/>
        <w:outlineLvl w:val="1"/>
      </w:pPr>
      <w:r>
        <w:t xml:space="preserve">                    </w:t>
      </w:r>
      <w:r>
        <w:rPr>
          <w:rFonts w:hint="eastAsia"/>
        </w:rPr>
        <w:t>企业名称（盖公章）：</w:t>
      </w:r>
    </w:p>
    <w:p>
      <w:pPr>
        <w:pStyle w:val="13"/>
        <w:spacing w:before="3"/>
        <w:jc w:val="center"/>
        <w:outlineLvl w:val="1"/>
      </w:pPr>
      <w:r>
        <w:rPr>
          <w:rFonts w:hint="eastAsia"/>
        </w:rPr>
        <w:t>法定代表人（负责人）或其授权代表</w:t>
      </w:r>
      <w:r>
        <w:t>(</w:t>
      </w:r>
      <w:r>
        <w:rPr>
          <w:rFonts w:hint="eastAsia"/>
        </w:rPr>
        <w:t>签字</w:t>
      </w:r>
      <w:r>
        <w:t>)</w:t>
      </w:r>
      <w:r>
        <w:rPr>
          <w:rFonts w:hint="eastAsia"/>
        </w:rPr>
        <w:t>：</w:t>
      </w:r>
    </w:p>
    <w:p>
      <w:pPr>
        <w:pStyle w:val="13"/>
        <w:spacing w:before="3"/>
        <w:jc w:val="center"/>
        <w:outlineLvl w:val="1"/>
      </w:pPr>
      <w:r>
        <w:t xml:space="preserve">                                </w:t>
      </w:r>
      <w:r>
        <w:rPr>
          <w:rFonts w:hint="eastAsia"/>
        </w:rPr>
        <w:t>日</w:t>
      </w:r>
      <w:r>
        <w:t xml:space="preserve">  </w:t>
      </w:r>
      <w:r>
        <w:rPr>
          <w:rFonts w:hint="eastAsia"/>
        </w:rPr>
        <w:t>期：</w:t>
      </w:r>
    </w:p>
    <w:p>
      <w:pPr>
        <w:pStyle w:val="13"/>
        <w:spacing w:before="3"/>
        <w:ind w:firstLine="482" w:firstLineChars="200"/>
        <w:rPr>
          <w:b/>
          <w:bCs/>
        </w:rPr>
      </w:pPr>
      <w:r>
        <w:rPr>
          <w:rFonts w:hint="eastAsia"/>
          <w:b/>
          <w:bCs/>
        </w:rPr>
        <w:t>注：小型、微型企业资格证明文件</w:t>
      </w:r>
    </w:p>
    <w:p>
      <w:pPr>
        <w:pStyle w:val="13"/>
        <w:spacing w:before="3"/>
        <w:ind w:firstLine="482" w:firstLineChars="200"/>
        <w:rPr>
          <w:b/>
          <w:bCs/>
        </w:rPr>
      </w:pPr>
      <w:r>
        <w:rPr>
          <w:b/>
          <w:bCs/>
        </w:rPr>
        <w:t>(1)</w:t>
      </w:r>
      <w:r>
        <w:rPr>
          <w:rFonts w:hint="eastAsia"/>
          <w:b/>
          <w:bCs/>
        </w:rPr>
        <w:t>提供该小型、或微型企业上一年度审计报告清晰的复印件。</w:t>
      </w:r>
    </w:p>
    <w:p>
      <w:pPr>
        <w:pStyle w:val="13"/>
        <w:spacing w:before="3"/>
        <w:ind w:firstLine="482" w:firstLineChars="200"/>
        <w:rPr>
          <w:b/>
          <w:bCs/>
        </w:rPr>
      </w:pPr>
      <w:r>
        <w:rPr>
          <w:b/>
          <w:bCs/>
        </w:rPr>
        <w:t>(2)</w:t>
      </w:r>
      <w:r>
        <w:rPr>
          <w:rFonts w:hint="eastAsia"/>
          <w:b/>
          <w:bCs/>
        </w:rPr>
        <w:t>其他证明文件。证明文件内容自定，并需加盖证明单位的公章。其中内容应能充分反映出：根据《工业和信息化部、国家统计局、国家发展和改革委员会、财政部关于印发中小企业划型标准规定的通知》（工信部联企业</w:t>
      </w:r>
      <w:r>
        <w:rPr>
          <w:b/>
          <w:bCs/>
        </w:rPr>
        <w:t xml:space="preserve">[2011]300 </w:t>
      </w:r>
      <w:r>
        <w:rPr>
          <w:rFonts w:hint="eastAsia"/>
          <w:b/>
          <w:bCs/>
        </w:rPr>
        <w:t>号）中的相关规定，该企业属于小型、或微型企业，并提供相关证明资料。</w:t>
      </w:r>
    </w:p>
    <w:p>
      <w:pPr>
        <w:pStyle w:val="13"/>
        <w:spacing w:before="3"/>
        <w:ind w:firstLine="482" w:firstLineChars="200"/>
      </w:pPr>
      <w:r>
        <w:rPr>
          <w:rFonts w:hint="eastAsia"/>
          <w:b/>
          <w:bCs/>
        </w:rPr>
        <w:t>（若投标文件中无上述证明文件，则在评审时不考虑对该小、微企业的相关优惠。）</w:t>
      </w:r>
    </w:p>
    <w:p>
      <w:pPr>
        <w:ind w:left="267" w:right="625"/>
        <w:jc w:val="center"/>
        <w:rPr>
          <w:rFonts w:ascii="Source Han Sans HW" w:eastAsia="Source Han Sans HW"/>
          <w:b/>
          <w:sz w:val="32"/>
        </w:rPr>
      </w:pPr>
    </w:p>
    <w:p>
      <w:pPr>
        <w:ind w:left="267" w:right="625"/>
        <w:jc w:val="center"/>
        <w:rPr>
          <w:rFonts w:ascii="Source Han Sans HW" w:eastAsia="Source Han Sans HW"/>
          <w:b/>
          <w:sz w:val="32"/>
        </w:rPr>
      </w:pPr>
    </w:p>
    <w:p>
      <w:pPr>
        <w:pStyle w:val="27"/>
        <w:ind w:firstLine="320"/>
        <w:rPr>
          <w:rFonts w:ascii="Source Han Sans HW" w:eastAsia="Source Han Sans HW"/>
          <w:b/>
          <w:sz w:val="32"/>
        </w:rPr>
      </w:pPr>
    </w:p>
    <w:p>
      <w:pPr>
        <w:pStyle w:val="27"/>
        <w:ind w:firstLine="320"/>
        <w:rPr>
          <w:rFonts w:ascii="Source Han Sans HW" w:eastAsia="Source Han Sans HW"/>
          <w:b/>
          <w:sz w:val="32"/>
        </w:rPr>
      </w:pPr>
    </w:p>
    <w:p>
      <w:pPr>
        <w:pStyle w:val="27"/>
        <w:ind w:firstLine="320"/>
        <w:rPr>
          <w:rFonts w:ascii="Source Han Sans HW" w:eastAsia="Source Han Sans HW"/>
          <w:b/>
          <w:sz w:val="32"/>
        </w:rPr>
      </w:pPr>
    </w:p>
    <w:p>
      <w:pPr>
        <w:spacing w:line="600" w:lineRule="auto"/>
        <w:ind w:left="267" w:right="625"/>
        <w:jc w:val="center"/>
        <w:outlineLvl w:val="0"/>
        <w:rPr>
          <w:b/>
          <w:sz w:val="30"/>
          <w:szCs w:val="30"/>
        </w:rPr>
      </w:pPr>
      <w:bookmarkStart w:id="327" w:name="_Toc19760"/>
      <w:bookmarkStart w:id="328" w:name="_Toc22198"/>
      <w:bookmarkStart w:id="329" w:name="_Toc11580"/>
      <w:r>
        <w:rPr>
          <w:rFonts w:hint="eastAsia"/>
          <w:b/>
          <w:sz w:val="30"/>
          <w:szCs w:val="30"/>
        </w:rPr>
        <w:t>（附件五）监狱企业声明函</w:t>
      </w:r>
      <w:bookmarkEnd w:id="327"/>
      <w:bookmarkEnd w:id="328"/>
      <w:bookmarkEnd w:id="329"/>
    </w:p>
    <w:p>
      <w:pPr>
        <w:pStyle w:val="13"/>
        <w:spacing w:line="600" w:lineRule="auto"/>
        <w:jc w:val="center"/>
        <w:outlineLvl w:val="1"/>
      </w:pPr>
      <w:r>
        <w:rPr>
          <w:rFonts w:hint="eastAsia"/>
        </w:rPr>
        <w:t>（监狱企业适用）</w:t>
      </w:r>
    </w:p>
    <w:p>
      <w:pPr>
        <w:spacing w:line="600" w:lineRule="auto"/>
        <w:ind w:firstLine="480" w:firstLineChars="200"/>
        <w:rPr>
          <w:sz w:val="24"/>
          <w:szCs w:val="24"/>
        </w:rPr>
      </w:pPr>
      <w:r>
        <w:rPr>
          <w:rFonts w:hint="eastAsia"/>
          <w:sz w:val="24"/>
          <w:szCs w:val="24"/>
        </w:rPr>
        <w:t>本公司郑重声明，根据《关于政府采购支持监狱企业发展有关问题的通知》（财库</w:t>
      </w:r>
      <w:r>
        <w:rPr>
          <w:sz w:val="24"/>
          <w:szCs w:val="24"/>
        </w:rPr>
        <w:t xml:space="preserve">[2014]68 </w:t>
      </w:r>
      <w:r>
        <w:rPr>
          <w:rFonts w:hint="eastAsia"/>
          <w:sz w:val="24"/>
          <w:szCs w:val="24"/>
        </w:rPr>
        <w:t>号）的规定，本公司为监狱企业。</w:t>
      </w:r>
    </w:p>
    <w:p>
      <w:pPr>
        <w:spacing w:line="600" w:lineRule="auto"/>
        <w:ind w:firstLine="480" w:firstLineChars="200"/>
        <w:rPr>
          <w:sz w:val="24"/>
          <w:szCs w:val="24"/>
        </w:rPr>
      </w:pPr>
      <w:r>
        <w:rPr>
          <w:rFonts w:hint="eastAsia"/>
          <w:sz w:val="24"/>
          <w:szCs w:val="24"/>
        </w:rPr>
        <w:t>本公司参加</w:t>
      </w:r>
      <w:r>
        <w:rPr>
          <w:rFonts w:hint="eastAsia"/>
          <w:sz w:val="24"/>
          <w:szCs w:val="24"/>
          <w:u w:val="single"/>
          <w:lang w:val="en-US"/>
        </w:rPr>
        <w:t xml:space="preserve">                  </w:t>
      </w:r>
      <w:r>
        <w:rPr>
          <w:rFonts w:hint="eastAsia"/>
          <w:sz w:val="24"/>
          <w:szCs w:val="24"/>
        </w:rPr>
        <w:t>单位的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项目采购活动，采购活动提供本企业（填写制造的货物，由本企业承担工程、提供服务）。</w:t>
      </w:r>
      <w:r>
        <w:rPr>
          <w:sz w:val="24"/>
          <w:szCs w:val="24"/>
        </w:rPr>
        <w:t xml:space="preserve">  </w:t>
      </w:r>
    </w:p>
    <w:p>
      <w:pPr>
        <w:spacing w:line="600" w:lineRule="auto"/>
        <w:ind w:firstLine="480" w:firstLineChars="200"/>
        <w:rPr>
          <w:sz w:val="24"/>
          <w:szCs w:val="24"/>
        </w:rPr>
      </w:pPr>
      <w:r>
        <w:rPr>
          <w:rFonts w:hint="eastAsia"/>
          <w:sz w:val="24"/>
          <w:szCs w:val="24"/>
        </w:rPr>
        <w:t>本条所称货物不包括使用大型企业注册商标的货物和服务。</w:t>
      </w:r>
    </w:p>
    <w:p>
      <w:pPr>
        <w:spacing w:line="600" w:lineRule="auto"/>
        <w:ind w:firstLine="480" w:firstLineChars="200"/>
        <w:rPr>
          <w:sz w:val="24"/>
          <w:szCs w:val="24"/>
        </w:rPr>
      </w:pPr>
      <w:r>
        <w:rPr>
          <w:rFonts w:hint="eastAsia"/>
          <w:sz w:val="24"/>
          <w:szCs w:val="24"/>
        </w:rPr>
        <w:t>本公司对上述声明的真实性负责。如有虚假，将依法承担相应责任。</w:t>
      </w:r>
    </w:p>
    <w:p>
      <w:pPr>
        <w:spacing w:line="600" w:lineRule="auto"/>
        <w:rPr>
          <w:sz w:val="24"/>
          <w:szCs w:val="24"/>
        </w:rPr>
      </w:pPr>
    </w:p>
    <w:p>
      <w:pPr>
        <w:spacing w:line="600" w:lineRule="auto"/>
        <w:rPr>
          <w:sz w:val="24"/>
          <w:szCs w:val="24"/>
        </w:rPr>
      </w:pPr>
    </w:p>
    <w:p>
      <w:pPr>
        <w:spacing w:line="600" w:lineRule="auto"/>
        <w:jc w:val="center"/>
        <w:outlineLvl w:val="1"/>
        <w:rPr>
          <w:sz w:val="24"/>
          <w:szCs w:val="24"/>
        </w:rPr>
      </w:pPr>
      <w:r>
        <w:rPr>
          <w:sz w:val="24"/>
          <w:szCs w:val="24"/>
        </w:rPr>
        <w:t xml:space="preserve">                       </w:t>
      </w:r>
      <w:r>
        <w:rPr>
          <w:rFonts w:hint="eastAsia"/>
          <w:sz w:val="24"/>
          <w:szCs w:val="24"/>
        </w:rPr>
        <w:t>企业名称（盖公章）：</w:t>
      </w:r>
    </w:p>
    <w:p>
      <w:pPr>
        <w:spacing w:line="600" w:lineRule="auto"/>
        <w:jc w:val="center"/>
        <w:outlineLvl w:val="1"/>
        <w:rPr>
          <w:sz w:val="24"/>
          <w:szCs w:val="24"/>
        </w:rPr>
      </w:pPr>
      <w:r>
        <w:rPr>
          <w:sz w:val="24"/>
          <w:szCs w:val="24"/>
        </w:rPr>
        <w:t xml:space="preserve">  </w:t>
      </w:r>
      <w:r>
        <w:rPr>
          <w:rFonts w:hint="eastAsia"/>
          <w:sz w:val="24"/>
          <w:szCs w:val="24"/>
        </w:rPr>
        <w:t>法定代表人（负责人）或其授权代表</w:t>
      </w:r>
      <w:r>
        <w:rPr>
          <w:sz w:val="24"/>
          <w:szCs w:val="24"/>
        </w:rPr>
        <w:t>(</w:t>
      </w:r>
      <w:r>
        <w:rPr>
          <w:rFonts w:hint="eastAsia"/>
          <w:sz w:val="24"/>
          <w:szCs w:val="24"/>
        </w:rPr>
        <w:t>签字</w:t>
      </w:r>
      <w:r>
        <w:rPr>
          <w:sz w:val="24"/>
          <w:szCs w:val="24"/>
        </w:rPr>
        <w:t>)</w:t>
      </w:r>
      <w:r>
        <w:rPr>
          <w:rFonts w:hint="eastAsia"/>
          <w:sz w:val="24"/>
          <w:szCs w:val="24"/>
        </w:rPr>
        <w:t>：</w:t>
      </w:r>
    </w:p>
    <w:p>
      <w:pPr>
        <w:spacing w:line="600" w:lineRule="auto"/>
        <w:jc w:val="center"/>
        <w:outlineLvl w:val="1"/>
        <w:rPr>
          <w:sz w:val="24"/>
          <w:szCs w:val="24"/>
        </w:rPr>
      </w:pPr>
      <w:r>
        <w:rPr>
          <w:sz w:val="24"/>
          <w:szCs w:val="24"/>
        </w:rPr>
        <w:t xml:space="preserve">                              </w:t>
      </w:r>
      <w:r>
        <w:rPr>
          <w:rFonts w:hint="eastAsia"/>
          <w:sz w:val="24"/>
          <w:szCs w:val="24"/>
        </w:rPr>
        <w:t>日</w:t>
      </w:r>
      <w:r>
        <w:rPr>
          <w:sz w:val="24"/>
          <w:szCs w:val="24"/>
        </w:rPr>
        <w:t xml:space="preserve">      </w:t>
      </w:r>
      <w:r>
        <w:rPr>
          <w:rFonts w:hint="eastAsia"/>
          <w:sz w:val="24"/>
          <w:szCs w:val="24"/>
        </w:rPr>
        <w:t>期：</w:t>
      </w:r>
    </w:p>
    <w:p>
      <w:pPr>
        <w:pStyle w:val="13"/>
        <w:spacing w:before="12"/>
        <w:rPr>
          <w:sz w:val="16"/>
          <w:u w:val="single"/>
        </w:rPr>
      </w:pPr>
    </w:p>
    <w:p>
      <w:pPr>
        <w:ind w:left="422" w:right="453"/>
        <w:jc w:val="center"/>
        <w:rPr>
          <w:b/>
          <w:sz w:val="30"/>
          <w:szCs w:val="30"/>
        </w:rPr>
      </w:pPr>
    </w:p>
    <w:p>
      <w:pPr>
        <w:ind w:left="422" w:right="453"/>
        <w:jc w:val="center"/>
        <w:rPr>
          <w:b/>
          <w:sz w:val="30"/>
          <w:szCs w:val="30"/>
        </w:rPr>
      </w:pPr>
    </w:p>
    <w:p>
      <w:pPr>
        <w:ind w:left="422" w:right="453"/>
        <w:jc w:val="center"/>
        <w:rPr>
          <w:b/>
          <w:sz w:val="30"/>
          <w:szCs w:val="30"/>
        </w:rPr>
      </w:pPr>
    </w:p>
    <w:p>
      <w:pPr>
        <w:ind w:left="422" w:right="453"/>
        <w:jc w:val="center"/>
        <w:rPr>
          <w:b/>
          <w:sz w:val="30"/>
          <w:szCs w:val="30"/>
        </w:rPr>
      </w:pPr>
    </w:p>
    <w:p>
      <w:pPr>
        <w:ind w:left="422" w:right="453"/>
        <w:jc w:val="center"/>
        <w:rPr>
          <w:b/>
          <w:sz w:val="30"/>
          <w:szCs w:val="30"/>
        </w:rPr>
      </w:pPr>
    </w:p>
    <w:p>
      <w:pPr>
        <w:ind w:left="422" w:right="453"/>
        <w:jc w:val="center"/>
        <w:rPr>
          <w:b/>
          <w:sz w:val="30"/>
          <w:szCs w:val="30"/>
        </w:rPr>
      </w:pPr>
    </w:p>
    <w:p>
      <w:pPr>
        <w:ind w:left="422" w:right="453"/>
        <w:jc w:val="center"/>
        <w:outlineLvl w:val="0"/>
        <w:rPr>
          <w:rFonts w:ascii="Source Han Sans HW" w:eastAsia="Source Han Sans HW"/>
          <w:b/>
          <w:sz w:val="32"/>
        </w:rPr>
      </w:pPr>
      <w:bookmarkStart w:id="330" w:name="_Toc12461"/>
      <w:bookmarkStart w:id="331" w:name="_Toc32763"/>
      <w:bookmarkStart w:id="332" w:name="_Toc12499"/>
      <w:r>
        <w:rPr>
          <w:rFonts w:hint="eastAsia"/>
          <w:b/>
          <w:sz w:val="30"/>
          <w:szCs w:val="30"/>
        </w:rPr>
        <w:t>（附件六）残疾人福利性单位声明函</w:t>
      </w:r>
      <w:bookmarkEnd w:id="330"/>
      <w:bookmarkEnd w:id="331"/>
      <w:bookmarkEnd w:id="332"/>
    </w:p>
    <w:p>
      <w:pPr>
        <w:pStyle w:val="13"/>
        <w:spacing w:before="10"/>
        <w:rPr>
          <w:rFonts w:ascii="Source Han Sans HW"/>
          <w:b/>
          <w:sz w:val="22"/>
        </w:rPr>
      </w:pPr>
    </w:p>
    <w:p>
      <w:pPr>
        <w:pStyle w:val="13"/>
        <w:spacing w:before="12" w:line="600" w:lineRule="auto"/>
        <w:ind w:firstLine="528" w:firstLineChars="200"/>
        <w:rPr>
          <w:spacing w:val="12"/>
        </w:rPr>
      </w:pPr>
      <w:r>
        <w:rPr>
          <w:rFonts w:hint="eastAsia"/>
          <w:spacing w:val="12"/>
        </w:rPr>
        <w:t>本单位郑重声明，根据《财政部</w:t>
      </w:r>
      <w:r>
        <w:rPr>
          <w:spacing w:val="12"/>
        </w:rPr>
        <w:t xml:space="preserve"> </w:t>
      </w:r>
      <w:r>
        <w:rPr>
          <w:rFonts w:hint="eastAsia"/>
          <w:spacing w:val="12"/>
        </w:rPr>
        <w:t>民政部</w:t>
      </w:r>
      <w:r>
        <w:rPr>
          <w:spacing w:val="12"/>
        </w:rPr>
        <w:t xml:space="preserve"> </w:t>
      </w:r>
      <w:r>
        <w:rPr>
          <w:rFonts w:hint="eastAsia"/>
          <w:spacing w:val="12"/>
        </w:rPr>
        <w:t>中国残疾人联合会关于促进残疾人就业政府采购政策的通知》（财库〔</w:t>
      </w:r>
      <w:r>
        <w:rPr>
          <w:spacing w:val="12"/>
        </w:rPr>
        <w:t>2017</w:t>
      </w:r>
      <w:r>
        <w:rPr>
          <w:rFonts w:hint="eastAsia"/>
          <w:spacing w:val="12"/>
        </w:rPr>
        <w:t>〕</w:t>
      </w:r>
      <w:r>
        <w:rPr>
          <w:spacing w:val="12"/>
        </w:rPr>
        <w:t>141</w:t>
      </w:r>
      <w:r>
        <w:rPr>
          <w:rFonts w:hint="eastAsia"/>
          <w:spacing w:val="12"/>
        </w:rPr>
        <w:t>号）的规定，本单位为符合条件的残疾人福利性单位，且本单位参加</w:t>
      </w:r>
      <w:r>
        <w:rPr>
          <w:spacing w:val="12"/>
          <w:u w:val="single"/>
        </w:rPr>
        <w:t xml:space="preserve">       </w:t>
      </w:r>
      <w:r>
        <w:rPr>
          <w:rFonts w:hint="eastAsia"/>
          <w:spacing w:val="12"/>
        </w:rPr>
        <w:t>单位的</w:t>
      </w:r>
      <w:r>
        <w:rPr>
          <w:spacing w:val="12"/>
          <w:u w:val="single"/>
        </w:rPr>
        <w:tab/>
      </w:r>
      <w:r>
        <w:rPr>
          <w:spacing w:val="12"/>
          <w:u w:val="single"/>
        </w:rPr>
        <w:t xml:space="preserve">    </w:t>
      </w:r>
      <w:r>
        <w:rPr>
          <w:rFonts w:hint="eastAsia"/>
          <w:spacing w:val="12"/>
        </w:rPr>
        <w:t>项目采购活动提供本单位制造的货物（由本单位承担工程</w:t>
      </w:r>
      <w:r>
        <w:rPr>
          <w:spacing w:val="12"/>
        </w:rPr>
        <w:t>/</w:t>
      </w:r>
      <w:r>
        <w:rPr>
          <w:rFonts w:hint="eastAsia"/>
          <w:spacing w:val="12"/>
        </w:rPr>
        <w:t>提供服务），或者提供其他残疾人福利性单位制造的货物（不包括使用非残疾人福利性单位注册商标的货物）。</w:t>
      </w:r>
    </w:p>
    <w:p>
      <w:pPr>
        <w:pStyle w:val="13"/>
        <w:spacing w:before="12" w:line="600" w:lineRule="auto"/>
        <w:rPr>
          <w:spacing w:val="12"/>
        </w:rPr>
      </w:pPr>
      <w:r>
        <w:rPr>
          <w:rFonts w:hint="eastAsia"/>
          <w:spacing w:val="12"/>
        </w:rPr>
        <w:t>本单位对上述声明的真实性负责。如有虚假，将依法承担相应责任。</w:t>
      </w:r>
    </w:p>
    <w:p>
      <w:pPr>
        <w:pStyle w:val="13"/>
        <w:spacing w:before="12" w:line="600" w:lineRule="auto"/>
        <w:rPr>
          <w:spacing w:val="12"/>
        </w:rPr>
      </w:pPr>
    </w:p>
    <w:p>
      <w:pPr>
        <w:pStyle w:val="13"/>
        <w:spacing w:before="12" w:line="600" w:lineRule="auto"/>
        <w:rPr>
          <w:spacing w:val="12"/>
        </w:rPr>
      </w:pPr>
      <w:r>
        <w:rPr>
          <w:rFonts w:hint="eastAsia"/>
          <w:spacing w:val="12"/>
        </w:rPr>
        <w:t>单位名称（盖章）：</w:t>
      </w:r>
      <w:r>
        <w:rPr>
          <w:spacing w:val="12"/>
        </w:rPr>
        <w:t xml:space="preserve"> </w:t>
      </w:r>
    </w:p>
    <w:p>
      <w:pPr>
        <w:pStyle w:val="13"/>
        <w:spacing w:before="12" w:line="600" w:lineRule="auto"/>
      </w:pPr>
      <w:r>
        <w:rPr>
          <w:rFonts w:hint="eastAsia"/>
          <w:spacing w:val="12"/>
        </w:rPr>
        <w:t>日期：</w:t>
      </w:r>
    </w:p>
    <w:p>
      <w:pPr>
        <w:ind w:left="422" w:right="36"/>
        <w:jc w:val="center"/>
        <w:outlineLvl w:val="0"/>
        <w:rPr>
          <w:b/>
          <w:sz w:val="30"/>
          <w:szCs w:val="30"/>
        </w:rPr>
      </w:pPr>
      <w:bookmarkStart w:id="333" w:name="_Toc5123"/>
      <w:bookmarkStart w:id="334" w:name="_Toc18698"/>
      <w:bookmarkStart w:id="335" w:name="_Toc24883"/>
      <w:r>
        <w:rPr>
          <w:rFonts w:hint="eastAsia"/>
          <w:b/>
          <w:sz w:val="30"/>
          <w:szCs w:val="30"/>
        </w:rPr>
        <w:t>（附件七）中小企业证明材料</w:t>
      </w:r>
      <w:bookmarkEnd w:id="333"/>
      <w:bookmarkEnd w:id="334"/>
      <w:bookmarkEnd w:id="335"/>
    </w:p>
    <w:p>
      <w:pPr>
        <w:pStyle w:val="13"/>
        <w:spacing w:before="11" w:line="720" w:lineRule="auto"/>
        <w:rPr>
          <w:b/>
          <w:sz w:val="22"/>
        </w:rPr>
      </w:pPr>
    </w:p>
    <w:p>
      <w:pPr>
        <w:pStyle w:val="13"/>
        <w:spacing w:line="720" w:lineRule="auto"/>
        <w:outlineLvl w:val="0"/>
      </w:pPr>
      <w:bookmarkStart w:id="336" w:name="_Toc10947"/>
      <w:bookmarkStart w:id="337" w:name="_Toc22514"/>
      <w:bookmarkStart w:id="338" w:name="_Toc10592"/>
      <w:r>
        <w:t>1.</w:t>
      </w:r>
      <w:r>
        <w:rPr>
          <w:rFonts w:hint="eastAsia"/>
        </w:rPr>
        <w:t>供应商工商行政注册地管理部门出具的小微企业证明材料；</w:t>
      </w:r>
      <w:bookmarkEnd w:id="336"/>
      <w:bookmarkEnd w:id="337"/>
      <w:bookmarkEnd w:id="338"/>
    </w:p>
    <w:p>
      <w:pPr>
        <w:pStyle w:val="13"/>
        <w:spacing w:line="720" w:lineRule="auto"/>
        <w:outlineLvl w:val="0"/>
      </w:pPr>
      <w:bookmarkStart w:id="339" w:name="_Toc20206"/>
      <w:bookmarkStart w:id="340" w:name="_Toc6040"/>
      <w:bookmarkStart w:id="341" w:name="_Toc9967"/>
      <w:r>
        <w:t>2.</w:t>
      </w:r>
      <w:r>
        <w:rPr>
          <w:rFonts w:hint="eastAsia"/>
        </w:rPr>
        <w:t>所代理产品生产厂家的属地主管部门出具的小微企业证明材料；</w:t>
      </w:r>
      <w:bookmarkEnd w:id="339"/>
      <w:bookmarkEnd w:id="340"/>
      <w:bookmarkEnd w:id="341"/>
    </w:p>
    <w:p>
      <w:pPr>
        <w:pStyle w:val="13"/>
        <w:spacing w:line="720" w:lineRule="auto"/>
        <w:outlineLvl w:val="0"/>
      </w:pPr>
      <w:bookmarkStart w:id="342" w:name="_Toc16564"/>
      <w:bookmarkStart w:id="343" w:name="_Toc6400"/>
      <w:bookmarkStart w:id="344" w:name="_Toc10515"/>
      <w:r>
        <w:t>3.</w:t>
      </w:r>
      <w:r>
        <w:rPr>
          <w:rFonts w:hint="eastAsia"/>
        </w:rPr>
        <w:t>证明材料加盖供应商公章。</w:t>
      </w:r>
      <w:bookmarkEnd w:id="342"/>
      <w:bookmarkEnd w:id="343"/>
      <w:bookmarkEnd w:id="344"/>
    </w:p>
    <w:p>
      <w:pPr>
        <w:pStyle w:val="13"/>
        <w:spacing w:line="720" w:lineRule="auto"/>
      </w:pPr>
    </w:p>
    <w:p>
      <w:pPr>
        <w:pStyle w:val="13"/>
        <w:spacing w:line="720" w:lineRule="auto"/>
      </w:pPr>
    </w:p>
    <w:p>
      <w:pPr>
        <w:ind w:left="422" w:right="441"/>
        <w:rPr>
          <w:b/>
          <w:sz w:val="30"/>
          <w:szCs w:val="30"/>
        </w:rPr>
      </w:pPr>
    </w:p>
    <w:p>
      <w:pPr>
        <w:spacing w:line="480" w:lineRule="auto"/>
        <w:ind w:left="422" w:right="441"/>
        <w:jc w:val="center"/>
        <w:outlineLvl w:val="0"/>
        <w:rPr>
          <w:b/>
          <w:sz w:val="30"/>
          <w:szCs w:val="30"/>
        </w:rPr>
      </w:pPr>
      <w:bookmarkStart w:id="345" w:name="_Toc22238"/>
      <w:bookmarkStart w:id="346" w:name="_Toc11174"/>
      <w:bookmarkStart w:id="347" w:name="_Toc17864"/>
      <w:r>
        <w:rPr>
          <w:rFonts w:hint="eastAsia"/>
          <w:b/>
          <w:sz w:val="30"/>
          <w:szCs w:val="30"/>
        </w:rPr>
        <w:t>（附件八）信用记录</w:t>
      </w:r>
      <w:bookmarkEnd w:id="345"/>
      <w:bookmarkEnd w:id="346"/>
      <w:bookmarkEnd w:id="347"/>
    </w:p>
    <w:p>
      <w:pPr>
        <w:pStyle w:val="13"/>
        <w:spacing w:before="16" w:line="480" w:lineRule="auto"/>
        <w:ind w:left="618" w:right="170"/>
        <w:jc w:val="center"/>
        <w:outlineLvl w:val="1"/>
      </w:pPr>
      <w:r>
        <w:rPr>
          <w:rFonts w:hint="eastAsia"/>
        </w:rPr>
        <w:t>（复印件并加盖供应商单位公章）</w:t>
      </w:r>
    </w:p>
    <w:p>
      <w:pPr>
        <w:pStyle w:val="13"/>
        <w:spacing w:line="600" w:lineRule="auto"/>
        <w:ind w:firstLine="480" w:firstLineChars="200"/>
      </w:pPr>
      <w:r>
        <w:rPr>
          <w:rFonts w:hint="eastAsia"/>
        </w:rPr>
        <w:t>依据财库</w:t>
      </w:r>
      <w:r>
        <w:t xml:space="preserve">[2016]125 </w:t>
      </w:r>
      <w:r>
        <w:rPr>
          <w:rFonts w:hint="eastAsia"/>
        </w:rPr>
        <w:t>号文件规定，供应商须符合《关于在政府采购活动中查询及使用信用记录有关问题的通知》的相关要求，即具有良好的信用记录。</w:t>
      </w:r>
    </w:p>
    <w:p>
      <w:pPr>
        <w:spacing w:line="600" w:lineRule="auto"/>
        <w:rPr>
          <w:sz w:val="24"/>
          <w:szCs w:val="24"/>
        </w:rPr>
      </w:pPr>
      <w:r>
        <w:rPr>
          <w:rFonts w:hint="eastAsia"/>
          <w:sz w:val="24"/>
          <w:szCs w:val="24"/>
        </w:rPr>
        <w:t>供应商须提供本单位近</w:t>
      </w:r>
      <w:r>
        <w:rPr>
          <w:sz w:val="24"/>
          <w:szCs w:val="24"/>
        </w:rPr>
        <w:t xml:space="preserve"> 3 </w:t>
      </w:r>
      <w:r>
        <w:rPr>
          <w:rFonts w:hint="eastAsia"/>
          <w:sz w:val="24"/>
          <w:szCs w:val="24"/>
        </w:rPr>
        <w:t>年（自公告发布之日起至递交投标文件截止日前）“信用中国”网站（</w:t>
      </w:r>
      <w:r>
        <w:rPr>
          <w:sz w:val="24"/>
          <w:szCs w:val="24"/>
        </w:rPr>
        <w:t>www.creditchina.gov.cn</w:t>
      </w:r>
      <w:r>
        <w:rPr>
          <w:rFonts w:hint="eastAsia"/>
          <w:sz w:val="24"/>
          <w:szCs w:val="24"/>
        </w:rPr>
        <w:t>）及中国政府采购网（</w:t>
      </w:r>
      <w:r>
        <w:rPr>
          <w:sz w:val="24"/>
          <w:szCs w:val="24"/>
        </w:rPr>
        <w:t>www.ccgp.gov.cn</w:t>
      </w:r>
      <w:r>
        <w:rPr>
          <w:rFonts w:hint="eastAsia"/>
          <w:sz w:val="24"/>
          <w:szCs w:val="24"/>
        </w:rPr>
        <w:t>）已公布的信用记录查询截图。</w:t>
      </w:r>
    </w:p>
    <w:p>
      <w:pPr>
        <w:spacing w:line="600" w:lineRule="auto"/>
        <w:rPr>
          <w:sz w:val="24"/>
          <w:szCs w:val="24"/>
        </w:rPr>
      </w:pPr>
      <w:r>
        <w:rPr>
          <w:rFonts w:hint="eastAsia"/>
          <w:sz w:val="24"/>
          <w:szCs w:val="24"/>
        </w:rPr>
        <w:t>查询信息包含：</w:t>
      </w:r>
    </w:p>
    <w:p>
      <w:pPr>
        <w:spacing w:line="600" w:lineRule="auto"/>
        <w:outlineLvl w:val="1"/>
        <w:rPr>
          <w:sz w:val="24"/>
          <w:szCs w:val="24"/>
        </w:rPr>
      </w:pPr>
      <w:r>
        <w:rPr>
          <w:sz w:val="24"/>
          <w:szCs w:val="24"/>
        </w:rPr>
        <w:t>1</w:t>
      </w:r>
      <w:r>
        <w:rPr>
          <w:rFonts w:hint="eastAsia"/>
          <w:sz w:val="24"/>
          <w:szCs w:val="24"/>
        </w:rPr>
        <w:t>）被列入失信被执行人</w:t>
      </w:r>
    </w:p>
    <w:p>
      <w:pPr>
        <w:spacing w:line="600" w:lineRule="auto"/>
        <w:outlineLvl w:val="1"/>
        <w:rPr>
          <w:sz w:val="24"/>
          <w:szCs w:val="24"/>
        </w:rPr>
      </w:pPr>
      <w:r>
        <w:rPr>
          <w:sz w:val="24"/>
          <w:szCs w:val="24"/>
        </w:rPr>
        <w:t>2</w:t>
      </w:r>
      <w:r>
        <w:rPr>
          <w:rFonts w:hint="eastAsia"/>
          <w:sz w:val="24"/>
          <w:szCs w:val="24"/>
        </w:rPr>
        <w:t>）重大税收违法案件当事人名单的供应商</w:t>
      </w:r>
    </w:p>
    <w:p>
      <w:pPr>
        <w:spacing w:line="600" w:lineRule="auto"/>
        <w:outlineLvl w:val="1"/>
        <w:rPr>
          <w:sz w:val="24"/>
          <w:szCs w:val="24"/>
        </w:rPr>
      </w:pPr>
      <w:r>
        <w:rPr>
          <w:sz w:val="24"/>
          <w:szCs w:val="24"/>
        </w:rPr>
        <w:t>3</w:t>
      </w:r>
      <w:r>
        <w:rPr>
          <w:rFonts w:hint="eastAsia"/>
          <w:sz w:val="24"/>
          <w:szCs w:val="24"/>
        </w:rPr>
        <w:t>）列入政府采购严重违法失信行为记录名单</w:t>
      </w:r>
    </w:p>
    <w:p>
      <w:pPr>
        <w:spacing w:line="600" w:lineRule="auto"/>
        <w:rPr>
          <w:sz w:val="24"/>
          <w:szCs w:val="24"/>
        </w:rPr>
        <w:sectPr>
          <w:pgSz w:w="11910" w:h="16840"/>
          <w:pgMar w:top="1440" w:right="1080" w:bottom="1440" w:left="1080" w:header="879" w:footer="1063" w:gutter="0"/>
          <w:cols w:space="720" w:num="1"/>
          <w:docGrid w:linePitch="1" w:charSpace="0"/>
        </w:sectPr>
      </w:pPr>
      <w:r>
        <w:rPr>
          <w:rFonts w:hint="eastAsia"/>
          <w:sz w:val="24"/>
          <w:szCs w:val="24"/>
        </w:rPr>
        <w:t>注：网站搜索页输入供应商名称，查询相关信息，提供网页打印件（网页打印件须为招标文件发布之日起至首次提交投标文件截止时间内从上述网站中打印），打印件需显示打印日期及相关查询结果。</w:t>
      </w:r>
    </w:p>
    <w:p>
      <w:pPr>
        <w:ind w:left="422" w:right="441"/>
        <w:jc w:val="center"/>
        <w:outlineLvl w:val="0"/>
        <w:rPr>
          <w:b/>
          <w:sz w:val="30"/>
          <w:szCs w:val="30"/>
        </w:rPr>
      </w:pPr>
      <w:bookmarkStart w:id="348" w:name="第六部分___投标文件格式"/>
      <w:bookmarkEnd w:id="348"/>
      <w:bookmarkStart w:id="349" w:name="_Toc25161"/>
      <w:bookmarkStart w:id="350" w:name="_Toc26450"/>
      <w:bookmarkStart w:id="351" w:name="_Toc10312"/>
      <w:bookmarkStart w:id="352" w:name="_Toc18690"/>
      <w:r>
        <w:rPr>
          <w:rFonts w:hint="eastAsia"/>
          <w:b/>
          <w:sz w:val="30"/>
          <w:szCs w:val="30"/>
        </w:rPr>
        <w:t>（附件九）服务承诺书</w:t>
      </w:r>
      <w:bookmarkEnd w:id="349"/>
      <w:bookmarkEnd w:id="350"/>
      <w:bookmarkEnd w:id="351"/>
    </w:p>
    <w:p>
      <w:pPr>
        <w:pStyle w:val="13"/>
        <w:spacing w:before="10"/>
        <w:rPr>
          <w:rFonts w:ascii="Source Han Sans HW"/>
          <w:b/>
          <w:sz w:val="22"/>
        </w:rPr>
      </w:pPr>
    </w:p>
    <w:p>
      <w:pPr>
        <w:pStyle w:val="13"/>
      </w:pPr>
      <w:r>
        <w:rPr>
          <w:rFonts w:hint="eastAsia"/>
        </w:rPr>
        <w:t>致</w:t>
      </w:r>
      <w:r>
        <w:rPr>
          <w:rFonts w:hint="eastAsia"/>
          <w:u w:val="single"/>
        </w:rPr>
        <w:t>：</w:t>
      </w:r>
      <w:r>
        <w:rPr>
          <w:rFonts w:hint="eastAsia"/>
          <w:u w:val="single"/>
          <w:lang w:val="en-US"/>
        </w:rPr>
        <w:t xml:space="preserve">              </w:t>
      </w:r>
      <w:r>
        <w:rPr>
          <w:rFonts w:hint="eastAsia"/>
          <w:lang w:val="en-US"/>
        </w:rPr>
        <w:t xml:space="preserve"> </w:t>
      </w:r>
      <w:r>
        <w:rPr>
          <w:rFonts w:hint="eastAsia"/>
        </w:rPr>
        <w:t>：</w:t>
      </w:r>
    </w:p>
    <w:p>
      <w:pPr>
        <w:pStyle w:val="13"/>
        <w:ind w:firstLine="480" w:firstLineChars="200"/>
      </w:pPr>
      <w:r>
        <w:rPr>
          <w:rFonts w:hint="eastAsia"/>
        </w:rPr>
        <w:t>投标人若在本次招标工作中中标，将按招标文件的规定，精心组织、加强管理，严格按合同约定保质保量的供应。具体承诺如下：</w:t>
      </w:r>
    </w:p>
    <w:p>
      <w:pPr>
        <w:pStyle w:val="13"/>
        <w:numPr>
          <w:ilvl w:val="0"/>
          <w:numId w:val="8"/>
        </w:numPr>
        <w:ind w:firstLine="480" w:firstLineChars="200"/>
        <w:rPr>
          <w:u w:val="single"/>
        </w:rPr>
      </w:pPr>
      <w:r>
        <w:t xml:space="preserve"> </w:t>
      </w:r>
      <w:r>
        <w:rPr>
          <w:rFonts w:hint="eastAsia"/>
        </w:rPr>
        <w:t>具备开具与营业执照企业名称相符的</w:t>
      </w:r>
      <w:r>
        <w:rPr>
          <w:rFonts w:hint="eastAsia"/>
          <w:b/>
        </w:rPr>
        <w:t>正规发票及发票税务稽查单并加盖公章、财务专用章或发票专用章</w:t>
      </w:r>
      <w:r>
        <w:rPr>
          <w:rFonts w:hint="eastAsia"/>
        </w:rPr>
        <w:t>：</w:t>
      </w:r>
      <w:r>
        <w:rPr>
          <w:u w:val="single"/>
        </w:rPr>
        <w:t xml:space="preserve">                                                           </w:t>
      </w:r>
    </w:p>
    <w:p>
      <w:pPr>
        <w:pStyle w:val="13"/>
        <w:rPr>
          <w:u w:val="single"/>
        </w:rPr>
      </w:pPr>
      <w:r>
        <w:rPr>
          <w:u w:val="single"/>
        </w:rPr>
        <w:t xml:space="preserve">                                                                             </w:t>
      </w:r>
    </w:p>
    <w:p>
      <w:pPr>
        <w:pStyle w:val="13"/>
        <w:numPr>
          <w:ilvl w:val="0"/>
          <w:numId w:val="8"/>
        </w:numPr>
        <w:tabs>
          <w:tab w:val="left" w:pos="10326"/>
        </w:tabs>
        <w:ind w:firstLine="480" w:firstLineChars="200"/>
        <w:rPr>
          <w:u w:val="single"/>
        </w:rPr>
      </w:pPr>
      <w:r>
        <w:rPr>
          <w:rFonts w:hint="eastAsia"/>
        </w:rPr>
        <w:t>质量承诺：</w:t>
      </w:r>
      <w:r>
        <w:rPr>
          <w:u w:val="single"/>
        </w:rPr>
        <w:t xml:space="preserve">                                               </w:t>
      </w:r>
    </w:p>
    <w:p>
      <w:pPr>
        <w:pStyle w:val="13"/>
        <w:tabs>
          <w:tab w:val="left" w:pos="10326"/>
        </w:tabs>
        <w:rPr>
          <w:u w:val="single"/>
        </w:rPr>
      </w:pPr>
      <w:r>
        <w:rPr>
          <w:u w:val="single"/>
        </w:rPr>
        <w:t xml:space="preserve">                                                                            </w:t>
      </w:r>
    </w:p>
    <w:p>
      <w:pPr>
        <w:pStyle w:val="13"/>
        <w:ind w:firstLine="448" w:firstLineChars="200"/>
      </w:pPr>
      <w:r>
        <w:rPr>
          <w:rFonts w:hint="eastAsia"/>
          <w:spacing w:val="-8"/>
        </w:rPr>
        <w:t>三、价格承诺：</w:t>
      </w:r>
      <w:r>
        <w:rPr>
          <w:spacing w:val="-13"/>
          <w:u w:val="single"/>
        </w:rPr>
        <w:t>1.</w:t>
      </w:r>
      <w:r>
        <w:rPr>
          <w:rFonts w:hint="eastAsia"/>
          <w:spacing w:val="-2"/>
          <w:u w:val="single"/>
        </w:rPr>
        <w:t>我方承诺如果中标后，供应价格严格按照招标文件所要求的价格执行；</w:t>
      </w:r>
    </w:p>
    <w:p>
      <w:pPr>
        <w:pStyle w:val="13"/>
        <w:tabs>
          <w:tab w:val="left" w:pos="9873"/>
        </w:tabs>
        <w:ind w:firstLine="480" w:firstLineChars="200"/>
      </w:pPr>
      <w:r>
        <w:rPr>
          <w:u w:val="single"/>
        </w:rPr>
        <w:t>2....</w:t>
      </w:r>
      <w:r>
        <w:rPr>
          <w:u w:val="single"/>
        </w:rPr>
        <w:tab/>
      </w:r>
    </w:p>
    <w:p>
      <w:pPr>
        <w:pStyle w:val="13"/>
        <w:ind w:firstLine="480" w:firstLineChars="200"/>
        <w:rPr>
          <w:u w:val="single"/>
        </w:rPr>
      </w:pPr>
      <w:r>
        <w:rPr>
          <w:rFonts w:hint="eastAsia"/>
        </w:rPr>
        <w:t>四、服务承诺：</w:t>
      </w:r>
      <w:r>
        <w:rPr>
          <w:u w:val="single"/>
        </w:rPr>
        <w:t xml:space="preserve">                                                                 </w:t>
      </w:r>
    </w:p>
    <w:p>
      <w:pPr>
        <w:pStyle w:val="13"/>
        <w:rPr>
          <w:u w:val="single"/>
        </w:rPr>
      </w:pPr>
      <w:r>
        <w:rPr>
          <w:u w:val="single"/>
        </w:rPr>
        <w:t xml:space="preserve">                                                                              </w:t>
      </w:r>
    </w:p>
    <w:p>
      <w:pPr>
        <w:pStyle w:val="13"/>
        <w:numPr>
          <w:ilvl w:val="0"/>
          <w:numId w:val="9"/>
        </w:numPr>
        <w:ind w:firstLine="480" w:firstLineChars="200"/>
        <w:rPr>
          <w:u w:val="single"/>
        </w:rPr>
      </w:pPr>
      <w:r>
        <w:rPr>
          <w:rFonts w:hint="eastAsia"/>
        </w:rPr>
        <w:t>服务联系人及联系电话</w:t>
      </w:r>
      <w:r>
        <w:rPr>
          <w:rFonts w:hint="eastAsia"/>
          <w:u w:val="single"/>
        </w:rPr>
        <w:t>：</w:t>
      </w:r>
      <w:r>
        <w:rPr>
          <w:u w:val="single"/>
        </w:rPr>
        <w:t xml:space="preserve">                                                    </w:t>
      </w:r>
    </w:p>
    <w:p>
      <w:pPr>
        <w:pStyle w:val="13"/>
        <w:rPr>
          <w:u w:val="single"/>
        </w:rPr>
      </w:pPr>
      <w:r>
        <w:rPr>
          <w:u w:val="single"/>
        </w:rPr>
        <w:t xml:space="preserve">                                                                              </w:t>
      </w:r>
    </w:p>
    <w:p>
      <w:pPr>
        <w:pStyle w:val="13"/>
        <w:ind w:firstLine="480" w:firstLineChars="200"/>
      </w:pPr>
      <w:r>
        <w:rPr>
          <w:rFonts w:hint="eastAsia"/>
        </w:rPr>
        <w:t>六、其他承诺：</w:t>
      </w:r>
    </w:p>
    <w:p>
      <w:pPr>
        <w:pStyle w:val="13"/>
        <w:ind w:firstLine="480" w:firstLineChars="200"/>
        <w:outlineLvl w:val="0"/>
      </w:pPr>
      <w:bookmarkStart w:id="353" w:name="_Toc18153"/>
      <w:bookmarkStart w:id="354" w:name="_Toc17088"/>
      <w:bookmarkStart w:id="355" w:name="_Toc32091"/>
      <w:r>
        <w:rPr>
          <w:rFonts w:hint="eastAsia"/>
        </w:rPr>
        <w:t>（一）货物的质量标准</w:t>
      </w:r>
      <w:bookmarkEnd w:id="353"/>
      <w:bookmarkEnd w:id="354"/>
      <w:bookmarkEnd w:id="355"/>
    </w:p>
    <w:p>
      <w:pPr>
        <w:pStyle w:val="13"/>
        <w:ind w:firstLine="480" w:firstLineChars="200"/>
      </w:pPr>
      <w:r>
        <w:rPr>
          <w:rFonts w:hint="eastAsia"/>
        </w:rPr>
        <w:t>1、中标方保证合同货物其质量、规格及技术特征符合合同及相关规范规定的要求；</w:t>
      </w:r>
    </w:p>
    <w:p>
      <w:pPr>
        <w:pStyle w:val="13"/>
        <w:ind w:firstLine="480" w:firstLineChars="200"/>
      </w:pPr>
      <w:r>
        <w:rPr>
          <w:rFonts w:hint="eastAsia"/>
        </w:rPr>
        <w:t>2、中标方保证合同项下提供的货物不侵犯任何第三方的专利或商标或版权。否则，中标人须承担对第三方的专利或版权的侵权责任并承担因此而发生的所有费用。</w:t>
      </w:r>
    </w:p>
    <w:p>
      <w:pPr>
        <w:pStyle w:val="13"/>
        <w:ind w:firstLine="480" w:firstLineChars="200"/>
      </w:pPr>
      <w:r>
        <w:rPr>
          <w:rFonts w:hint="eastAsia"/>
        </w:rPr>
        <w:t>3、中标方提供的设备材料必须满足国家、地方有关质量技术标准、规范、规程要求，其品牌、规格、型号须经采购人最终书面确认，并附有设备材料出厂合格证、法定技术质量检测部门出具的检测报告等质量证明。</w:t>
      </w:r>
    </w:p>
    <w:p>
      <w:pPr>
        <w:pStyle w:val="13"/>
        <w:ind w:firstLine="480" w:firstLineChars="200"/>
      </w:pPr>
      <w:r>
        <w:rPr>
          <w:rFonts w:hint="eastAsia"/>
        </w:rPr>
        <w:t>4、招标文件中规定的各项技术规格均不指定某种特定的专利技术、商标、名称、设计、原产地或供应者等，如果出现某种特定描述时仅为说明拟招标货物的技术规格，投标人在投标时可理解为“或相当于”。但投标人在不得低于此项要求，并且使评标委员会满意，否则其投标将被拒绝。</w:t>
      </w:r>
    </w:p>
    <w:p>
      <w:pPr>
        <w:pStyle w:val="13"/>
        <w:ind w:firstLine="480" w:firstLineChars="200"/>
        <w:outlineLvl w:val="0"/>
      </w:pPr>
      <w:bookmarkStart w:id="356" w:name="_Toc21794"/>
      <w:bookmarkStart w:id="357" w:name="_Toc5084"/>
      <w:bookmarkStart w:id="358" w:name="_Toc26629"/>
      <w:r>
        <w:rPr>
          <w:rFonts w:hint="eastAsia"/>
        </w:rPr>
        <w:t>（二）验收标准和方法</w:t>
      </w:r>
      <w:bookmarkEnd w:id="356"/>
      <w:bookmarkEnd w:id="357"/>
      <w:bookmarkEnd w:id="358"/>
    </w:p>
    <w:p>
      <w:pPr>
        <w:pStyle w:val="13"/>
        <w:ind w:firstLine="480" w:firstLineChars="200"/>
      </w:pPr>
      <w:r>
        <w:rPr>
          <w:rFonts w:hint="eastAsia"/>
        </w:rPr>
        <w:t>投标人应在技术标中列出执行相应的标准以及标准的文本和验收方法</w:t>
      </w:r>
    </w:p>
    <w:p>
      <w:pPr>
        <w:pStyle w:val="13"/>
        <w:ind w:firstLine="480" w:firstLineChars="200"/>
      </w:pPr>
      <w:r>
        <w:rPr>
          <w:rFonts w:hint="eastAsia"/>
        </w:rPr>
        <w:t>1、由采购人认可的其他国家的其他权威标准。这些标准应为最新标准，投标人应及时提供给采购人（国外标准应翻译成中文）</w:t>
      </w:r>
    </w:p>
    <w:p>
      <w:pPr>
        <w:pStyle w:val="13"/>
        <w:ind w:firstLine="480" w:firstLineChars="200"/>
      </w:pPr>
      <w:r>
        <w:rPr>
          <w:rFonts w:hint="eastAsia"/>
        </w:rPr>
        <w:t>2、投标人遵守不仅限于此规格书中的标准时，要求及时解释清楚，获得采购人认可后，投标人推荐的标准和制造规范才能等效或适用于此技术规格书。</w:t>
      </w:r>
    </w:p>
    <w:p>
      <w:pPr>
        <w:pStyle w:val="13"/>
        <w:ind w:firstLine="480" w:firstLineChars="200"/>
        <w:outlineLvl w:val="0"/>
      </w:pPr>
      <w:bookmarkStart w:id="359" w:name="_Toc7677"/>
      <w:bookmarkStart w:id="360" w:name="_Toc28667"/>
      <w:bookmarkStart w:id="361" w:name="_Toc19381"/>
      <w:r>
        <w:rPr>
          <w:rFonts w:hint="eastAsia"/>
        </w:rPr>
        <w:t>（三）调试及技术服务要求</w:t>
      </w:r>
      <w:bookmarkEnd w:id="359"/>
      <w:bookmarkEnd w:id="360"/>
      <w:bookmarkEnd w:id="361"/>
    </w:p>
    <w:p>
      <w:pPr>
        <w:pStyle w:val="13"/>
        <w:ind w:firstLine="480" w:firstLineChars="200"/>
      </w:pPr>
      <w:r>
        <w:rPr>
          <w:rFonts w:hint="eastAsia"/>
        </w:rPr>
        <w:t>1、中标方负责合同项下货物的包装运输、调试及售后服务等工作内容，一切费用由中标方负责。</w:t>
      </w:r>
    </w:p>
    <w:p>
      <w:pPr>
        <w:pStyle w:val="13"/>
        <w:ind w:firstLine="480" w:firstLineChars="200"/>
      </w:pPr>
      <w:r>
        <w:rPr>
          <w:rFonts w:hint="eastAsia"/>
        </w:rPr>
        <w:t xml:space="preserve">2、费用 </w:t>
      </w:r>
    </w:p>
    <w:p>
      <w:pPr>
        <w:pStyle w:val="13"/>
        <w:ind w:firstLine="480" w:firstLineChars="200"/>
      </w:pPr>
      <w:r>
        <w:rPr>
          <w:rFonts w:hint="eastAsia"/>
        </w:rPr>
        <w:t xml:space="preserve"> 1）在保修期内，免费提供一切服务。 </w:t>
      </w:r>
    </w:p>
    <w:p>
      <w:pPr>
        <w:pStyle w:val="13"/>
        <w:ind w:firstLine="480" w:firstLineChars="200"/>
      </w:pPr>
      <w:r>
        <w:rPr>
          <w:rFonts w:hint="eastAsia"/>
        </w:rPr>
        <w:t xml:space="preserve"> 2）保修期满后，仅收取需更换的零配件的材料费。</w:t>
      </w:r>
    </w:p>
    <w:p>
      <w:pPr>
        <w:pStyle w:val="13"/>
        <w:ind w:firstLine="480" w:firstLineChars="200"/>
        <w:outlineLvl w:val="0"/>
      </w:pPr>
      <w:bookmarkStart w:id="362" w:name="_Toc23186"/>
      <w:bookmarkStart w:id="363" w:name="_Toc849"/>
      <w:bookmarkStart w:id="364" w:name="_Toc25954"/>
      <w:r>
        <w:rPr>
          <w:rFonts w:hint="eastAsia"/>
        </w:rPr>
        <w:t>（四）售后服务的要求</w:t>
      </w:r>
      <w:bookmarkEnd w:id="362"/>
      <w:bookmarkEnd w:id="363"/>
      <w:bookmarkEnd w:id="364"/>
    </w:p>
    <w:p>
      <w:pPr>
        <w:pStyle w:val="13"/>
        <w:ind w:firstLine="480" w:firstLineChars="200"/>
        <w:rPr>
          <w:lang w:val="en-US"/>
        </w:rPr>
      </w:pPr>
      <w:r>
        <w:rPr>
          <w:rFonts w:hint="eastAsia"/>
          <w:lang w:val="en-US"/>
        </w:rPr>
        <w:t>1、全部设备整机质保1年，维护保养每年两次，终身维修服务。质保期内维修必须由生产厂家而非经销商维修。</w:t>
      </w:r>
    </w:p>
    <w:p>
      <w:pPr>
        <w:pStyle w:val="13"/>
        <w:ind w:firstLine="480" w:firstLineChars="200"/>
        <w:rPr>
          <w:lang w:val="en-US"/>
        </w:rPr>
      </w:pPr>
      <w:r>
        <w:rPr>
          <w:rFonts w:hint="eastAsia"/>
          <w:lang w:val="en-US"/>
        </w:rPr>
        <w:t>2、中标货物注册证应与投标时所提供的产品注册证须一致。</w:t>
      </w:r>
    </w:p>
    <w:p>
      <w:pPr>
        <w:pStyle w:val="13"/>
        <w:ind w:firstLine="480" w:firstLineChars="200"/>
        <w:rPr>
          <w:lang w:val="en-US"/>
        </w:rPr>
      </w:pPr>
      <w:r>
        <w:rPr>
          <w:rFonts w:hint="eastAsia"/>
          <w:lang w:val="en-US"/>
        </w:rPr>
        <w:t>3、中标产品所产生的一切费用（包含安装所需材料等）由中标商承担，供货方负责派厂家合格的工程师到现场进行设备安装、调试，达到正常运作要求，保证买方正常使用。提供完整的使用手册。</w:t>
      </w:r>
    </w:p>
    <w:p>
      <w:pPr>
        <w:pStyle w:val="13"/>
        <w:ind w:firstLine="480" w:firstLineChars="200"/>
        <w:rPr>
          <w:lang w:val="en-US"/>
        </w:rPr>
      </w:pPr>
      <w:r>
        <w:rPr>
          <w:rFonts w:hint="eastAsia"/>
          <w:lang w:val="en-US"/>
        </w:rPr>
        <w:t>4、维修投标速度：如2小时内无法通过电话或远程维修解决问题，维修人员必须在接到故障报告24小时内到达医院。</w:t>
      </w:r>
    </w:p>
    <w:p>
      <w:pPr>
        <w:pStyle w:val="13"/>
        <w:ind w:firstLine="480" w:firstLineChars="200"/>
        <w:rPr>
          <w:lang w:val="en-US"/>
        </w:rPr>
      </w:pPr>
      <w:r>
        <w:rPr>
          <w:rFonts w:hint="eastAsia"/>
          <w:lang w:val="en-US"/>
        </w:rPr>
        <w:t>5、所有设备提供人员培训，教会为止。提供原厂维修培训，并提供产品维修手册和专业维修工具一套。</w:t>
      </w:r>
    </w:p>
    <w:p>
      <w:pPr>
        <w:pStyle w:val="13"/>
        <w:ind w:firstLine="480" w:firstLineChars="200"/>
        <w:rPr>
          <w:lang w:val="en-US"/>
        </w:rPr>
      </w:pPr>
      <w:r>
        <w:rPr>
          <w:rFonts w:hint="eastAsia"/>
          <w:lang w:val="en-US"/>
        </w:rPr>
        <w:t>6、投标产品属于医疗器械范畴的，必须具有医疗器械注册证（备案证）</w:t>
      </w:r>
    </w:p>
    <w:p>
      <w:pPr>
        <w:pStyle w:val="13"/>
        <w:ind w:firstLine="480" w:firstLineChars="200"/>
      </w:pPr>
    </w:p>
    <w:p>
      <w:pPr>
        <w:pStyle w:val="13"/>
        <w:ind w:firstLine="480" w:firstLineChars="200"/>
        <w:outlineLvl w:val="0"/>
      </w:pPr>
      <w:bookmarkStart w:id="365" w:name="_Toc8945"/>
      <w:bookmarkStart w:id="366" w:name="_Toc32350"/>
      <w:bookmarkStart w:id="367" w:name="_Toc29625"/>
      <w:r>
        <w:rPr>
          <w:rFonts w:hint="eastAsia"/>
        </w:rPr>
        <w:t>（五）合同签订后须提交下列文件：</w:t>
      </w:r>
      <w:bookmarkEnd w:id="365"/>
      <w:bookmarkEnd w:id="366"/>
      <w:bookmarkEnd w:id="367"/>
    </w:p>
    <w:p>
      <w:pPr>
        <w:pStyle w:val="13"/>
        <w:ind w:firstLine="480" w:firstLineChars="200"/>
      </w:pPr>
      <w:r>
        <w:rPr>
          <w:rFonts w:hint="eastAsia"/>
        </w:rPr>
        <w:t>1、中标方须在合同签订后，制订出提交货物、维保服务的进度表，此进度表应为采购人所认可，并应符合项目需要。</w:t>
      </w:r>
    </w:p>
    <w:p>
      <w:pPr>
        <w:pStyle w:val="13"/>
        <w:ind w:firstLine="480" w:firstLineChars="200"/>
      </w:pPr>
      <w:r>
        <w:rPr>
          <w:rFonts w:hint="eastAsia"/>
        </w:rPr>
        <w:t>2、招标人与中标方签订合同后（或供货时），中标方须向招标人提供下列资料，并同时报同级政府采购监督管理部门备案，如中标方未按要求提交的，招标人有权终止本合同，并补偿因此对招标人造成的损失：</w:t>
      </w:r>
    </w:p>
    <w:p>
      <w:pPr>
        <w:pStyle w:val="13"/>
        <w:ind w:firstLine="1440" w:firstLineChars="600"/>
      </w:pPr>
      <w:r>
        <w:rPr>
          <w:rFonts w:hint="eastAsia"/>
        </w:rPr>
        <w:t>（1）产品说明书；</w:t>
      </w:r>
    </w:p>
    <w:p>
      <w:pPr>
        <w:pStyle w:val="13"/>
        <w:ind w:firstLine="1440" w:firstLineChars="600"/>
      </w:pPr>
      <w:r>
        <w:rPr>
          <w:rFonts w:hint="eastAsia"/>
        </w:rPr>
        <w:t>（2）产品检测报告；</w:t>
      </w:r>
    </w:p>
    <w:p>
      <w:pPr>
        <w:pStyle w:val="13"/>
        <w:ind w:firstLine="1440" w:firstLineChars="600"/>
      </w:pPr>
      <w:r>
        <w:rPr>
          <w:rFonts w:hint="eastAsia"/>
        </w:rPr>
        <w:t>（3）产品报关单；</w:t>
      </w:r>
    </w:p>
    <w:p>
      <w:pPr>
        <w:pStyle w:val="13"/>
        <w:ind w:firstLine="1440" w:firstLineChars="600"/>
      </w:pPr>
      <w:r>
        <w:rPr>
          <w:rFonts w:hint="eastAsia"/>
        </w:rPr>
        <w:t xml:space="preserve">（4）各种产品的装配部件图及组装图应详细标明具体标示、编号、数量、材料等； </w:t>
      </w:r>
    </w:p>
    <w:p>
      <w:pPr>
        <w:pStyle w:val="13"/>
        <w:ind w:firstLine="1440" w:firstLineChars="600"/>
      </w:pPr>
      <w:r>
        <w:rPr>
          <w:rFonts w:hint="eastAsia"/>
        </w:rPr>
        <w:t>（5）中标方认为有必要提供的其他进口产品证明文件和技术资料。</w:t>
      </w:r>
    </w:p>
    <w:p>
      <w:pPr>
        <w:pStyle w:val="13"/>
        <w:ind w:firstLine="1440" w:firstLineChars="600"/>
      </w:pPr>
      <w:r>
        <w:rPr>
          <w:rFonts w:hint="eastAsia"/>
        </w:rPr>
        <w:t>特此承诺！</w:t>
      </w:r>
    </w:p>
    <w:p>
      <w:pPr>
        <w:pStyle w:val="6"/>
        <w:spacing w:line="599" w:lineRule="exact"/>
      </w:pPr>
    </w:p>
    <w:p>
      <w:pPr>
        <w:pStyle w:val="6"/>
        <w:spacing w:line="599" w:lineRule="exact"/>
      </w:pPr>
    </w:p>
    <w:p>
      <w:pPr>
        <w:pStyle w:val="6"/>
        <w:spacing w:line="599" w:lineRule="exact"/>
      </w:pPr>
    </w:p>
    <w:p>
      <w:pPr>
        <w:pStyle w:val="6"/>
        <w:spacing w:line="599" w:lineRule="exact"/>
      </w:pPr>
    </w:p>
    <w:p>
      <w:pPr>
        <w:pStyle w:val="6"/>
        <w:spacing w:line="599" w:lineRule="exact"/>
      </w:pPr>
    </w:p>
    <w:p>
      <w:pPr>
        <w:pStyle w:val="6"/>
        <w:spacing w:line="599" w:lineRule="exact"/>
      </w:pPr>
    </w:p>
    <w:p>
      <w:pPr>
        <w:pStyle w:val="6"/>
        <w:spacing w:line="599" w:lineRule="exact"/>
      </w:pPr>
    </w:p>
    <w:p>
      <w:pPr>
        <w:pStyle w:val="6"/>
        <w:spacing w:line="599" w:lineRule="exact"/>
      </w:pPr>
    </w:p>
    <w:p>
      <w:pPr>
        <w:pStyle w:val="6"/>
        <w:spacing w:line="599" w:lineRule="exact"/>
      </w:pPr>
    </w:p>
    <w:p>
      <w:pPr>
        <w:pStyle w:val="6"/>
        <w:spacing w:line="599" w:lineRule="exact"/>
      </w:pPr>
    </w:p>
    <w:p>
      <w:pPr>
        <w:pStyle w:val="6"/>
        <w:spacing w:line="599" w:lineRule="exact"/>
        <w:ind w:left="0"/>
        <w:jc w:val="center"/>
      </w:pPr>
      <w:bookmarkStart w:id="368" w:name="_Toc31181"/>
      <w:bookmarkStart w:id="369" w:name="_Toc25182"/>
    </w:p>
    <w:p>
      <w:pPr>
        <w:pStyle w:val="6"/>
        <w:spacing w:line="599" w:lineRule="exact"/>
        <w:ind w:left="0"/>
        <w:jc w:val="center"/>
      </w:pPr>
      <w:bookmarkStart w:id="370" w:name="_Toc3068"/>
      <w:r>
        <w:t>第六部分 投标文件格式</w:t>
      </w:r>
      <w:bookmarkEnd w:id="352"/>
      <w:bookmarkEnd w:id="368"/>
      <w:bookmarkEnd w:id="369"/>
      <w:bookmarkEnd w:id="370"/>
    </w:p>
    <w:p>
      <w:pPr>
        <w:pStyle w:val="13"/>
        <w:spacing w:before="1"/>
        <w:rPr>
          <w:sz w:val="17"/>
        </w:rPr>
      </w:pPr>
    </w:p>
    <w:p>
      <w:pPr>
        <w:pStyle w:val="7"/>
        <w:ind w:left="0"/>
      </w:pPr>
      <w:bookmarkStart w:id="371" w:name="一、投标文件封面"/>
      <w:bookmarkEnd w:id="371"/>
      <w:bookmarkStart w:id="372" w:name="一、投标文件格式"/>
      <w:bookmarkEnd w:id="372"/>
      <w:bookmarkStart w:id="373" w:name="_Toc1493"/>
      <w:bookmarkStart w:id="374" w:name="_Toc4812"/>
      <w:r>
        <w:t>一、投标文件封面</w:t>
      </w:r>
      <w:bookmarkEnd w:id="373"/>
      <w:bookmarkEnd w:id="374"/>
    </w:p>
    <w:p>
      <w:pPr>
        <w:pStyle w:val="13"/>
        <w:rPr>
          <w:rFonts w:ascii="Microsoft JhengHei"/>
          <w:b/>
          <w:sz w:val="20"/>
        </w:rPr>
      </w:pPr>
    </w:p>
    <w:p>
      <w:pPr>
        <w:pStyle w:val="13"/>
        <w:rPr>
          <w:rFonts w:ascii="Microsoft JhengHei"/>
          <w:b/>
          <w:sz w:val="20"/>
        </w:rPr>
      </w:pPr>
    </w:p>
    <w:p>
      <w:pPr>
        <w:adjustRightInd w:val="0"/>
        <w:snapToGrid w:val="0"/>
        <w:spacing w:line="400" w:lineRule="atLeast"/>
        <w:jc w:val="center"/>
        <w:rPr>
          <w:bCs/>
          <w:sz w:val="52"/>
          <w:szCs w:val="52"/>
        </w:rPr>
      </w:pPr>
      <w:bookmarkStart w:id="375" w:name="二、资格审查材料"/>
      <w:bookmarkEnd w:id="375"/>
    </w:p>
    <w:p>
      <w:pPr>
        <w:adjustRightInd w:val="0"/>
        <w:snapToGrid w:val="0"/>
        <w:spacing w:line="400" w:lineRule="atLeast"/>
        <w:jc w:val="center"/>
        <w:rPr>
          <w:bCs/>
          <w:sz w:val="52"/>
          <w:szCs w:val="52"/>
        </w:rPr>
      </w:pPr>
      <w:r>
        <w:rPr>
          <w:rFonts w:hint="eastAsia"/>
          <w:bCs/>
          <w:sz w:val="52"/>
          <w:szCs w:val="52"/>
        </w:rPr>
        <w:t>投 标 文 件</w:t>
      </w:r>
    </w:p>
    <w:p>
      <w:pPr>
        <w:snapToGrid w:val="0"/>
        <w:spacing w:before="156" w:beforeLines="50" w:after="50"/>
        <w:jc w:val="center"/>
        <w:outlineLvl w:val="1"/>
        <w:rPr>
          <w:b/>
          <w:bCs/>
          <w:sz w:val="28"/>
          <w:szCs w:val="28"/>
        </w:rPr>
      </w:pPr>
      <w:r>
        <w:rPr>
          <w:rFonts w:hint="eastAsia"/>
          <w:b/>
          <w:bCs/>
          <w:sz w:val="28"/>
          <w:szCs w:val="28"/>
        </w:rPr>
        <w:t>（正本/副本）</w:t>
      </w:r>
    </w:p>
    <w:p>
      <w:pPr>
        <w:spacing w:before="312" w:beforeLines="100"/>
        <w:jc w:val="center"/>
        <w:rPr>
          <w:b/>
          <w:bCs/>
          <w:sz w:val="28"/>
          <w:szCs w:val="28"/>
        </w:rPr>
      </w:pPr>
    </w:p>
    <w:p>
      <w:pPr>
        <w:spacing w:before="312" w:beforeLines="100"/>
        <w:jc w:val="center"/>
        <w:rPr>
          <w:b/>
          <w:sz w:val="44"/>
          <w:szCs w:val="44"/>
        </w:rPr>
      </w:pPr>
    </w:p>
    <w:p>
      <w:pPr>
        <w:rPr>
          <w:sz w:val="28"/>
          <w:szCs w:val="28"/>
        </w:rPr>
      </w:pPr>
    </w:p>
    <w:p>
      <w:pPr>
        <w:snapToGrid w:val="0"/>
        <w:spacing w:before="312" w:beforeLines="100" w:after="312" w:afterLines="100" w:line="360" w:lineRule="auto"/>
        <w:ind w:firstLine="993" w:firstLineChars="412"/>
        <w:rPr>
          <w:b/>
          <w:bCs/>
          <w:sz w:val="24"/>
        </w:rPr>
      </w:pPr>
      <w:r>
        <w:rPr>
          <w:rFonts w:hint="eastAsia"/>
          <w:b/>
          <w:bCs/>
          <w:sz w:val="24"/>
        </w:rPr>
        <w:t>项目名称：</w:t>
      </w:r>
      <w:r>
        <w:rPr>
          <w:rFonts w:hint="eastAsia"/>
          <w:b/>
          <w:bCs/>
          <w:sz w:val="24"/>
          <w:u w:val="single"/>
        </w:rPr>
        <w:t xml:space="preserve">                                   </w:t>
      </w:r>
      <w:r>
        <w:rPr>
          <w:rFonts w:hint="eastAsia"/>
          <w:b/>
          <w:bCs/>
          <w:sz w:val="24"/>
        </w:rPr>
        <w:t xml:space="preserve"> </w:t>
      </w:r>
    </w:p>
    <w:p>
      <w:pPr>
        <w:snapToGrid w:val="0"/>
        <w:spacing w:before="312" w:beforeLines="100" w:after="312" w:afterLines="100" w:line="360" w:lineRule="auto"/>
        <w:ind w:firstLine="985" w:firstLineChars="409"/>
        <w:rPr>
          <w:b/>
          <w:bCs/>
          <w:sz w:val="24"/>
        </w:rPr>
      </w:pPr>
      <w:r>
        <w:rPr>
          <w:rFonts w:hint="eastAsia"/>
          <w:b/>
          <w:bCs/>
          <w:sz w:val="24"/>
        </w:rPr>
        <w:t>项目编号：</w:t>
      </w:r>
      <w:r>
        <w:rPr>
          <w:rFonts w:hint="eastAsia"/>
          <w:b/>
          <w:bCs/>
          <w:sz w:val="24"/>
          <w:u w:val="single"/>
        </w:rPr>
        <w:t xml:space="preserve">                                   </w:t>
      </w:r>
      <w:r>
        <w:rPr>
          <w:b/>
          <w:bCs/>
          <w:sz w:val="24"/>
        </w:rPr>
        <w:t xml:space="preserve"> </w:t>
      </w:r>
    </w:p>
    <w:p>
      <w:pPr>
        <w:snapToGrid w:val="0"/>
        <w:spacing w:before="312" w:beforeLines="100" w:after="312" w:afterLines="100" w:line="360" w:lineRule="auto"/>
        <w:ind w:firstLine="985" w:firstLineChars="409"/>
        <w:rPr>
          <w:b/>
          <w:bCs/>
          <w:sz w:val="24"/>
          <w:u w:val="single"/>
        </w:rPr>
      </w:pPr>
      <w:r>
        <w:rPr>
          <w:rFonts w:hint="eastAsia"/>
          <w:b/>
          <w:bCs/>
          <w:sz w:val="24"/>
        </w:rPr>
        <w:t>招标内容：</w:t>
      </w:r>
      <w:r>
        <w:rPr>
          <w:rFonts w:hint="eastAsia"/>
          <w:b/>
          <w:bCs/>
          <w:sz w:val="24"/>
          <w:u w:val="single"/>
        </w:rPr>
        <w:t xml:space="preserve">                                   </w:t>
      </w:r>
    </w:p>
    <w:p>
      <w:pPr>
        <w:pStyle w:val="11"/>
        <w:snapToGrid w:val="0"/>
        <w:spacing w:before="312" w:beforeLines="100" w:after="312" w:afterLines="100" w:line="360" w:lineRule="auto"/>
        <w:ind w:firstLine="981" w:firstLineChars="407"/>
        <w:rPr>
          <w:b/>
          <w:bCs/>
          <w:sz w:val="24"/>
          <w:szCs w:val="24"/>
        </w:rPr>
      </w:pPr>
      <w:r>
        <w:rPr>
          <w:rFonts w:hint="eastAsia"/>
          <w:b/>
          <w:bCs/>
          <w:sz w:val="24"/>
          <w:szCs w:val="24"/>
        </w:rPr>
        <w:t>投标人名称：</w:t>
      </w:r>
      <w:r>
        <w:rPr>
          <w:rFonts w:hint="eastAsia"/>
          <w:b/>
          <w:bCs/>
          <w:sz w:val="24"/>
          <w:szCs w:val="24"/>
          <w:u w:val="single"/>
        </w:rPr>
        <w:t xml:space="preserve">                      （</w:t>
      </w:r>
      <w:r>
        <w:rPr>
          <w:rFonts w:hint="eastAsia"/>
          <w:b/>
          <w:bCs/>
          <w:sz w:val="24"/>
          <w:szCs w:val="24"/>
        </w:rPr>
        <w:t>加盖公章）</w:t>
      </w:r>
    </w:p>
    <w:p>
      <w:pPr>
        <w:pStyle w:val="11"/>
        <w:snapToGrid w:val="0"/>
        <w:spacing w:before="312" w:beforeLines="100" w:after="312" w:afterLines="100" w:line="360" w:lineRule="auto"/>
        <w:ind w:firstLine="985" w:firstLineChars="409"/>
        <w:rPr>
          <w:b/>
          <w:bCs/>
          <w:sz w:val="24"/>
          <w:szCs w:val="24"/>
          <w:u w:val="single"/>
        </w:rPr>
      </w:pPr>
      <w:r>
        <w:rPr>
          <w:rFonts w:hint="eastAsia"/>
          <w:b/>
          <w:bCs/>
          <w:sz w:val="24"/>
          <w:szCs w:val="24"/>
        </w:rPr>
        <w:t>投标人地址：</w:t>
      </w:r>
      <w:r>
        <w:rPr>
          <w:rFonts w:hint="eastAsia"/>
          <w:b/>
          <w:bCs/>
          <w:sz w:val="24"/>
          <w:szCs w:val="24"/>
          <w:u w:val="single"/>
        </w:rPr>
        <w:t xml:space="preserve">                                 </w:t>
      </w:r>
    </w:p>
    <w:p>
      <w:pPr>
        <w:pStyle w:val="11"/>
        <w:snapToGrid w:val="0"/>
        <w:spacing w:before="312" w:beforeLines="100" w:after="312" w:afterLines="100" w:line="360" w:lineRule="auto"/>
        <w:ind w:firstLine="985" w:firstLineChars="409"/>
        <w:rPr>
          <w:b/>
          <w:bCs/>
          <w:sz w:val="24"/>
          <w:szCs w:val="24"/>
          <w:u w:val="single"/>
        </w:rPr>
      </w:pPr>
      <w:r>
        <w:rPr>
          <w:rFonts w:hint="eastAsia"/>
          <w:b/>
          <w:bCs/>
          <w:sz w:val="24"/>
          <w:szCs w:val="24"/>
        </w:rPr>
        <w:t>投标联系人：</w:t>
      </w:r>
      <w:r>
        <w:rPr>
          <w:rFonts w:hint="eastAsia"/>
          <w:b/>
          <w:bCs/>
          <w:sz w:val="24"/>
          <w:szCs w:val="24"/>
          <w:u w:val="single"/>
        </w:rPr>
        <w:t xml:space="preserve">             </w:t>
      </w:r>
    </w:p>
    <w:p>
      <w:pPr>
        <w:pStyle w:val="11"/>
        <w:snapToGrid w:val="0"/>
        <w:spacing w:before="312" w:beforeLines="100" w:after="312" w:afterLines="100" w:line="360" w:lineRule="auto"/>
        <w:ind w:firstLine="985" w:firstLineChars="409"/>
        <w:rPr>
          <w:b/>
          <w:bCs/>
          <w:sz w:val="24"/>
          <w:szCs w:val="24"/>
          <w:u w:val="single"/>
        </w:rPr>
      </w:pPr>
      <w:r>
        <w:rPr>
          <w:rFonts w:hint="eastAsia"/>
          <w:b/>
          <w:bCs/>
          <w:sz w:val="24"/>
          <w:szCs w:val="24"/>
        </w:rPr>
        <w:t>电话:</w:t>
      </w:r>
      <w:r>
        <w:rPr>
          <w:rFonts w:hint="eastAsia"/>
          <w:b/>
          <w:bCs/>
          <w:sz w:val="24"/>
          <w:szCs w:val="24"/>
          <w:u w:val="single"/>
        </w:rPr>
        <w:t xml:space="preserve">               </w:t>
      </w:r>
    </w:p>
    <w:p>
      <w:pPr>
        <w:snapToGrid w:val="0"/>
        <w:spacing w:before="156" w:beforeLines="50" w:after="50"/>
        <w:ind w:firstLine="628" w:firstLineChars="262"/>
        <w:rPr>
          <w:bCs/>
          <w:sz w:val="24"/>
        </w:rPr>
      </w:pPr>
    </w:p>
    <w:p>
      <w:pPr>
        <w:adjustRightInd w:val="0"/>
        <w:snapToGrid w:val="0"/>
        <w:spacing w:before="156" w:beforeLines="50" w:after="156" w:afterLines="50" w:line="360" w:lineRule="auto"/>
        <w:jc w:val="right"/>
        <w:rPr>
          <w:b/>
          <w:sz w:val="32"/>
          <w:szCs w:val="32"/>
        </w:rPr>
      </w:pPr>
      <w:r>
        <w:rPr>
          <w:bCs/>
          <w:sz w:val="24"/>
        </w:rPr>
        <w:t xml:space="preserve">     </w:t>
      </w:r>
      <w:bookmarkStart w:id="376" w:name="_Toc430714682"/>
      <w:r>
        <w:rPr>
          <w:rFonts w:hint="eastAsia"/>
          <w:bCs/>
          <w:sz w:val="24"/>
        </w:rPr>
        <w:t>年</w:t>
      </w:r>
      <w:r>
        <w:rPr>
          <w:bCs/>
          <w:sz w:val="24"/>
        </w:rPr>
        <w:t xml:space="preserve">  </w:t>
      </w:r>
      <w:r>
        <w:rPr>
          <w:rFonts w:hint="eastAsia"/>
          <w:bCs/>
          <w:sz w:val="24"/>
        </w:rPr>
        <w:t xml:space="preserve"> 月</w:t>
      </w:r>
      <w:r>
        <w:rPr>
          <w:bCs/>
          <w:sz w:val="24"/>
        </w:rPr>
        <w:t xml:space="preserve">  </w:t>
      </w:r>
      <w:r>
        <w:rPr>
          <w:rFonts w:hint="eastAsia"/>
          <w:bCs/>
          <w:sz w:val="24"/>
        </w:rPr>
        <w:t xml:space="preserve"> 日</w:t>
      </w:r>
      <w:bookmarkEnd w:id="376"/>
    </w:p>
    <w:p>
      <w:pPr>
        <w:spacing w:line="360" w:lineRule="exact"/>
        <w:sectPr>
          <w:pgSz w:w="11906" w:h="16838"/>
          <w:pgMar w:top="1440" w:right="1080" w:bottom="1440" w:left="1080" w:header="851" w:footer="992" w:gutter="0"/>
          <w:cols w:space="720" w:num="1"/>
          <w:docGrid w:type="lines" w:linePitch="312" w:charSpace="0"/>
        </w:sectPr>
      </w:pPr>
    </w:p>
    <w:p>
      <w:pPr>
        <w:pStyle w:val="7"/>
      </w:pPr>
      <w:bookmarkStart w:id="377" w:name="_Toc635"/>
      <w:bookmarkStart w:id="378" w:name="_Toc29259"/>
      <w:r>
        <w:t>二、资格审查材料</w:t>
      </w:r>
      <w:bookmarkEnd w:id="377"/>
      <w:bookmarkEnd w:id="378"/>
    </w:p>
    <w:p>
      <w:pPr>
        <w:pStyle w:val="13"/>
        <w:rPr>
          <w:rFonts w:ascii="Microsoft JhengHei"/>
          <w:b/>
          <w:sz w:val="20"/>
        </w:rPr>
      </w:pPr>
    </w:p>
    <w:p>
      <w:pPr>
        <w:pStyle w:val="13"/>
        <w:rPr>
          <w:rFonts w:ascii="Microsoft JhengHei"/>
          <w:b/>
          <w:sz w:val="20"/>
        </w:rPr>
      </w:pPr>
    </w:p>
    <w:p>
      <w:pPr>
        <w:pStyle w:val="13"/>
        <w:rPr>
          <w:rFonts w:ascii="Microsoft JhengHei"/>
          <w:b/>
          <w:sz w:val="20"/>
        </w:rPr>
      </w:pPr>
    </w:p>
    <w:p>
      <w:pPr>
        <w:pStyle w:val="13"/>
        <w:rPr>
          <w:rFonts w:ascii="Microsoft JhengHei"/>
          <w:b/>
          <w:sz w:val="20"/>
        </w:rPr>
      </w:pPr>
    </w:p>
    <w:p>
      <w:pPr>
        <w:pStyle w:val="13"/>
        <w:rPr>
          <w:rFonts w:ascii="Microsoft JhengHei"/>
          <w:b/>
          <w:sz w:val="20"/>
        </w:rPr>
      </w:pPr>
    </w:p>
    <w:p>
      <w:pPr>
        <w:pStyle w:val="13"/>
        <w:rPr>
          <w:rFonts w:ascii="Microsoft JhengHei"/>
          <w:b/>
          <w:sz w:val="20"/>
        </w:rPr>
      </w:pPr>
    </w:p>
    <w:p>
      <w:pPr>
        <w:pStyle w:val="13"/>
        <w:spacing w:before="7"/>
        <w:rPr>
          <w:rFonts w:ascii="Microsoft JhengHei"/>
          <w:b/>
          <w:sz w:val="10"/>
        </w:rPr>
      </w:pPr>
    </w:p>
    <w:p>
      <w:pPr>
        <w:rPr>
          <w:rFonts w:ascii="Microsoft JhengHei"/>
          <w:sz w:val="10"/>
        </w:rPr>
        <w:sectPr>
          <w:pgSz w:w="11910" w:h="16840"/>
          <w:pgMar w:top="1440" w:right="1080" w:bottom="1440" w:left="1080" w:header="906" w:footer="895" w:gutter="0"/>
          <w:cols w:space="720" w:num="1"/>
        </w:sectPr>
      </w:pPr>
    </w:p>
    <w:p>
      <w:pPr>
        <w:pStyle w:val="7"/>
      </w:pPr>
      <w:bookmarkStart w:id="379" w:name="一、☆营业执照、组织机构代码证、税务登记证"/>
      <w:bookmarkEnd w:id="379"/>
      <w:bookmarkStart w:id="380" w:name="_Toc24374"/>
      <w:bookmarkStart w:id="381" w:name="_Toc23576"/>
      <w:r>
        <w:rPr>
          <w:rFonts w:hint="eastAsia"/>
          <w:w w:val="105"/>
        </w:rPr>
        <w:t>三</w:t>
      </w:r>
      <w:r>
        <w:rPr>
          <w:w w:val="105"/>
        </w:rPr>
        <w:t>、☆营业执照、组织机构代码证、税务登记证</w:t>
      </w:r>
      <w:bookmarkEnd w:id="380"/>
      <w:bookmarkEnd w:id="381"/>
    </w:p>
    <w:p>
      <w:pPr>
        <w:spacing w:before="169" w:line="417" w:lineRule="auto"/>
        <w:ind w:left="818" w:right="1793" w:firstLine="559"/>
        <w:rPr>
          <w:sz w:val="28"/>
        </w:rPr>
      </w:pPr>
      <w:r>
        <w:rPr>
          <w:spacing w:val="-10"/>
          <w:sz w:val="28"/>
        </w:rPr>
        <w:t>说明：此处上传营业执照、组织机构代码证、税务登记证，如三</w:t>
      </w:r>
      <w:r>
        <w:rPr>
          <w:spacing w:val="-3"/>
          <w:sz w:val="28"/>
        </w:rPr>
        <w:t xml:space="preserve">证合一，只需要导入营业执照即可。 </w:t>
      </w:r>
    </w:p>
    <w:p>
      <w:pPr>
        <w:pStyle w:val="13"/>
        <w:rPr>
          <w:sz w:val="20"/>
        </w:rPr>
      </w:pPr>
    </w:p>
    <w:p>
      <w:pPr>
        <w:pStyle w:val="13"/>
        <w:rPr>
          <w:sz w:val="20"/>
        </w:rPr>
      </w:pPr>
    </w:p>
    <w:p>
      <w:pPr>
        <w:pStyle w:val="13"/>
        <w:rPr>
          <w:sz w:val="20"/>
        </w:rPr>
      </w:pPr>
    </w:p>
    <w:p>
      <w:pPr>
        <w:pStyle w:val="13"/>
        <w:spacing w:before="6"/>
        <w:rPr>
          <w:sz w:val="16"/>
        </w:rPr>
      </w:pPr>
    </w:p>
    <w:p>
      <w:pPr>
        <w:rPr>
          <w:sz w:val="16"/>
        </w:rPr>
        <w:sectPr>
          <w:pgSz w:w="11910" w:h="16840"/>
          <w:pgMar w:top="1440" w:right="1080" w:bottom="1440" w:left="1080" w:header="906" w:footer="895" w:gutter="0"/>
          <w:cols w:space="720" w:num="1"/>
        </w:sectPr>
      </w:pPr>
    </w:p>
    <w:p>
      <w:pPr>
        <w:adjustRightInd w:val="0"/>
        <w:snapToGrid w:val="0"/>
        <w:spacing w:line="360" w:lineRule="auto"/>
        <w:ind w:right="24"/>
        <w:jc w:val="center"/>
        <w:outlineLvl w:val="1"/>
        <w:rPr>
          <w:rFonts w:ascii="Microsoft JhengHei" w:hAnsi="Microsoft JhengHei" w:eastAsia="Microsoft JhengHei" w:cs="Microsoft JhengHei"/>
          <w:b/>
          <w:bCs/>
          <w:w w:val="105"/>
          <w:sz w:val="32"/>
          <w:szCs w:val="32"/>
        </w:rPr>
      </w:pPr>
      <w:bookmarkStart w:id="382" w:name="二、☆法定代表人身份证明及授权委托书"/>
      <w:bookmarkEnd w:id="382"/>
      <w:r>
        <w:rPr>
          <w:rFonts w:hint="eastAsia" w:ascii="Microsoft JhengHei" w:hAnsi="Microsoft JhengHei" w:eastAsia="Microsoft JhengHei" w:cs="Microsoft JhengHei"/>
          <w:b/>
          <w:bCs/>
          <w:w w:val="105"/>
          <w:sz w:val="32"/>
          <w:szCs w:val="32"/>
        </w:rPr>
        <w:t>四、法定代表人授权书(委托代理人参加招标)</w:t>
      </w:r>
    </w:p>
    <w:p>
      <w:pPr>
        <w:adjustRightInd w:val="0"/>
        <w:snapToGrid w:val="0"/>
        <w:spacing w:line="360" w:lineRule="auto"/>
        <w:jc w:val="center"/>
        <w:rPr>
          <w:b/>
          <w:sz w:val="28"/>
          <w:szCs w:val="28"/>
        </w:rPr>
      </w:pPr>
    </w:p>
    <w:p>
      <w:pPr>
        <w:spacing w:line="560" w:lineRule="exact"/>
        <w:ind w:firstLine="570"/>
        <w:rPr>
          <w:szCs w:val="21"/>
        </w:rPr>
      </w:pPr>
      <w:r>
        <w:rPr>
          <w:rFonts w:hint="eastAsia"/>
          <w:szCs w:val="21"/>
        </w:rPr>
        <w:t>本人</w:t>
      </w:r>
      <w:r>
        <w:rPr>
          <w:rFonts w:hint="eastAsia"/>
          <w:szCs w:val="21"/>
          <w:u w:val="single"/>
        </w:rPr>
        <w:t xml:space="preserve"> （姓名）</w:t>
      </w:r>
      <w:r>
        <w:rPr>
          <w:rFonts w:hint="eastAsia"/>
          <w:szCs w:val="21"/>
        </w:rPr>
        <w:t>系</w:t>
      </w:r>
      <w:r>
        <w:rPr>
          <w:rFonts w:hint="eastAsia"/>
          <w:szCs w:val="21"/>
          <w:u w:val="single"/>
        </w:rPr>
        <w:t>（授权单位名称）</w:t>
      </w:r>
      <w:r>
        <w:rPr>
          <w:rFonts w:hint="eastAsia"/>
          <w:szCs w:val="21"/>
        </w:rPr>
        <w:t>的法定代表人，现委托</w:t>
      </w:r>
      <w:r>
        <w:rPr>
          <w:rFonts w:hint="eastAsia"/>
          <w:szCs w:val="21"/>
          <w:u w:val="single"/>
        </w:rPr>
        <w:t>（姓名）</w:t>
      </w:r>
      <w:r>
        <w:rPr>
          <w:rFonts w:hint="eastAsia"/>
          <w:szCs w:val="21"/>
        </w:rPr>
        <w:t>为我方代理人。代理人根据授权，以我的名义签署、澄清、说明、补正、递交、撤回、修改</w:t>
      </w:r>
      <w:r>
        <w:rPr>
          <w:rFonts w:hint="eastAsia"/>
          <w:szCs w:val="21"/>
          <w:u w:val="single"/>
        </w:rPr>
        <w:t xml:space="preserve">（项目名称）    </w:t>
      </w:r>
      <w:r>
        <w:rPr>
          <w:rFonts w:hint="eastAsia"/>
          <w:szCs w:val="21"/>
        </w:rPr>
        <w:t>标段投标文件、鉴定合同和处理有关事宜，其法律后果由我方承担。</w:t>
      </w:r>
    </w:p>
    <w:p>
      <w:pPr>
        <w:spacing w:line="560" w:lineRule="exact"/>
        <w:ind w:firstLine="570"/>
        <w:rPr>
          <w:szCs w:val="21"/>
          <w:u w:val="single"/>
        </w:rPr>
      </w:pPr>
      <w:r>
        <w:rPr>
          <w:rFonts w:hint="eastAsia"/>
          <w:szCs w:val="21"/>
        </w:rPr>
        <w:t>委托期限：</w:t>
      </w:r>
      <w:r>
        <w:rPr>
          <w:rFonts w:hint="eastAsia"/>
          <w:szCs w:val="21"/>
          <w:u w:val="single"/>
        </w:rPr>
        <w:t xml:space="preserve">                                 。</w:t>
      </w:r>
    </w:p>
    <w:p>
      <w:pPr>
        <w:spacing w:line="560" w:lineRule="exact"/>
        <w:ind w:firstLine="570"/>
        <w:rPr>
          <w:szCs w:val="21"/>
        </w:rPr>
      </w:pPr>
      <w:r>
        <w:rPr>
          <w:rFonts w:hint="eastAsia"/>
          <w:szCs w:val="21"/>
        </w:rPr>
        <w:t>代理人无转委托权。</w:t>
      </w:r>
    </w:p>
    <w:p>
      <w:pPr>
        <w:pStyle w:val="16"/>
        <w:spacing w:line="560" w:lineRule="exact"/>
        <w:ind w:right="-553" w:firstLine="570"/>
        <w:rPr>
          <w:sz w:val="21"/>
          <w:szCs w:val="21"/>
          <w:u w:val="single"/>
        </w:rPr>
      </w:pPr>
      <w:r>
        <w:rPr>
          <w:rFonts w:hint="eastAsia"/>
          <w:sz w:val="21"/>
          <w:szCs w:val="21"/>
        </w:rPr>
        <w:t>代理人:</w:t>
      </w:r>
      <w:r>
        <w:rPr>
          <w:rFonts w:hint="eastAsia"/>
          <w:sz w:val="21"/>
          <w:szCs w:val="21"/>
          <w:u w:val="single"/>
        </w:rPr>
        <w:t xml:space="preserve">             </w:t>
      </w:r>
      <w:r>
        <w:rPr>
          <w:rFonts w:hint="eastAsia"/>
          <w:sz w:val="21"/>
          <w:szCs w:val="21"/>
        </w:rPr>
        <w:t>。性别:</w:t>
      </w:r>
      <w:r>
        <w:rPr>
          <w:rFonts w:hint="eastAsia"/>
          <w:sz w:val="21"/>
          <w:szCs w:val="21"/>
          <w:u w:val="single"/>
        </w:rPr>
        <w:t xml:space="preserve">            </w:t>
      </w:r>
      <w:r>
        <w:rPr>
          <w:rFonts w:hint="eastAsia"/>
          <w:sz w:val="21"/>
          <w:szCs w:val="21"/>
        </w:rPr>
        <w:t xml:space="preserve"> 。年龄:</w:t>
      </w:r>
      <w:r>
        <w:rPr>
          <w:rFonts w:hint="eastAsia"/>
          <w:sz w:val="21"/>
          <w:szCs w:val="21"/>
          <w:u w:val="single"/>
        </w:rPr>
        <w:t xml:space="preserve">            </w:t>
      </w:r>
      <w:r>
        <w:rPr>
          <w:rFonts w:hint="eastAsia"/>
          <w:sz w:val="21"/>
          <w:szCs w:val="21"/>
        </w:rPr>
        <w:t>。</w:t>
      </w:r>
    </w:p>
    <w:p>
      <w:pPr>
        <w:pStyle w:val="16"/>
        <w:spacing w:line="560" w:lineRule="exact"/>
        <w:ind w:right="-553" w:firstLine="570"/>
        <w:rPr>
          <w:b/>
          <w:sz w:val="21"/>
          <w:szCs w:val="21"/>
        </w:rPr>
      </w:pPr>
      <w:r>
        <w:rPr>
          <w:rFonts w:hint="eastAsia"/>
          <w:sz w:val="21"/>
          <w:szCs w:val="21"/>
        </w:rPr>
        <w:t>部门:</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w:t>
      </w:r>
    </w:p>
    <w:tbl>
      <w:tblPr>
        <w:tblStyle w:val="2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0"/>
        <w:gridCol w:w="5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5100" w:type="dxa"/>
          </w:tcPr>
          <w:p>
            <w:pPr>
              <w:tabs>
                <w:tab w:val="left" w:pos="0"/>
              </w:tabs>
              <w:spacing w:line="560" w:lineRule="exact"/>
              <w:rPr>
                <w:szCs w:val="21"/>
              </w:rPr>
            </w:pPr>
          </w:p>
          <w:p>
            <w:pPr>
              <w:tabs>
                <w:tab w:val="left" w:pos="0"/>
              </w:tabs>
              <w:spacing w:line="560" w:lineRule="exact"/>
              <w:rPr>
                <w:szCs w:val="21"/>
              </w:rPr>
            </w:pPr>
            <w:r>
              <w:rPr>
                <w:rFonts w:hint="eastAsia"/>
                <w:szCs w:val="21"/>
              </w:rPr>
              <w:t>法定代表人身份证复印件（正面）</w:t>
            </w:r>
          </w:p>
        </w:tc>
        <w:tc>
          <w:tcPr>
            <w:tcW w:w="5010" w:type="dxa"/>
          </w:tcPr>
          <w:p>
            <w:pPr>
              <w:tabs>
                <w:tab w:val="left" w:pos="0"/>
              </w:tabs>
              <w:spacing w:line="560" w:lineRule="exact"/>
              <w:rPr>
                <w:szCs w:val="21"/>
              </w:rPr>
            </w:pPr>
          </w:p>
          <w:p>
            <w:pPr>
              <w:tabs>
                <w:tab w:val="left" w:pos="0"/>
              </w:tabs>
              <w:spacing w:line="560" w:lineRule="exact"/>
              <w:rPr>
                <w:szCs w:val="21"/>
              </w:rPr>
            </w:pPr>
            <w:r>
              <w:rPr>
                <w:rFonts w:hint="eastAsia"/>
                <w:szCs w:val="21"/>
              </w:rPr>
              <w:t>代理人身份证复印件（正面）</w:t>
            </w:r>
          </w:p>
        </w:tc>
      </w:tr>
    </w:tbl>
    <w:p>
      <w:pPr>
        <w:tabs>
          <w:tab w:val="left" w:pos="0"/>
        </w:tabs>
        <w:spacing w:line="560" w:lineRule="exact"/>
        <w:rPr>
          <w:szCs w:val="21"/>
        </w:rPr>
      </w:pPr>
      <w:r>
        <w:rPr>
          <w:rFonts w:hint="eastAsia"/>
          <w:szCs w:val="21"/>
        </w:rPr>
        <w:t xml:space="preserve">                         供应商：（盖企业法人公章）</w:t>
      </w:r>
    </w:p>
    <w:p>
      <w:pPr>
        <w:tabs>
          <w:tab w:val="left" w:pos="0"/>
        </w:tabs>
        <w:spacing w:line="560" w:lineRule="exact"/>
        <w:rPr>
          <w:szCs w:val="21"/>
        </w:rPr>
      </w:pPr>
      <w:r>
        <w:rPr>
          <w:rFonts w:hint="eastAsia"/>
          <w:szCs w:val="21"/>
        </w:rPr>
        <w:t xml:space="preserve">                         法定代表人：（签字）</w:t>
      </w:r>
    </w:p>
    <w:p>
      <w:pPr>
        <w:tabs>
          <w:tab w:val="left" w:pos="0"/>
        </w:tabs>
        <w:spacing w:line="560" w:lineRule="exact"/>
        <w:rPr>
          <w:szCs w:val="21"/>
        </w:rPr>
      </w:pPr>
      <w:r>
        <w:rPr>
          <w:rFonts w:hint="eastAsia"/>
          <w:szCs w:val="21"/>
        </w:rPr>
        <w:t xml:space="preserve">                         委托代理人：（签字）</w:t>
      </w:r>
    </w:p>
    <w:p>
      <w:pPr>
        <w:tabs>
          <w:tab w:val="left" w:pos="0"/>
        </w:tabs>
        <w:spacing w:line="560" w:lineRule="exact"/>
        <w:rPr>
          <w:szCs w:val="21"/>
        </w:rPr>
      </w:pPr>
      <w:r>
        <w:rPr>
          <w:rFonts w:hint="eastAsia"/>
          <w:szCs w:val="21"/>
        </w:rPr>
        <w:t xml:space="preserve">                         单位地址：</w:t>
      </w:r>
    </w:p>
    <w:p>
      <w:pPr>
        <w:tabs>
          <w:tab w:val="left" w:pos="0"/>
        </w:tabs>
        <w:spacing w:line="560" w:lineRule="exact"/>
        <w:rPr>
          <w:szCs w:val="21"/>
        </w:rPr>
      </w:pPr>
      <w:r>
        <w:rPr>
          <w:rFonts w:hint="eastAsia"/>
          <w:szCs w:val="21"/>
        </w:rPr>
        <w:t xml:space="preserve">                         电话：</w:t>
      </w:r>
    </w:p>
    <w:p>
      <w:pPr>
        <w:tabs>
          <w:tab w:val="left" w:pos="0"/>
        </w:tabs>
        <w:spacing w:line="560" w:lineRule="exact"/>
        <w:rPr>
          <w:szCs w:val="21"/>
        </w:rPr>
      </w:pPr>
      <w:r>
        <w:rPr>
          <w:rFonts w:hint="eastAsia"/>
          <w:szCs w:val="21"/>
        </w:rPr>
        <w:t xml:space="preserve">                         传真：</w:t>
      </w:r>
    </w:p>
    <w:p>
      <w:pPr>
        <w:tabs>
          <w:tab w:val="left" w:pos="0"/>
        </w:tabs>
        <w:spacing w:line="560" w:lineRule="exact"/>
        <w:rPr>
          <w:szCs w:val="21"/>
        </w:rPr>
      </w:pPr>
      <w:r>
        <w:rPr>
          <w:rFonts w:hint="eastAsia"/>
          <w:szCs w:val="21"/>
        </w:rPr>
        <w:t xml:space="preserve">                          邮政编号：</w:t>
      </w:r>
    </w:p>
    <w:p>
      <w:pPr>
        <w:tabs>
          <w:tab w:val="left" w:pos="0"/>
        </w:tabs>
        <w:spacing w:line="560" w:lineRule="exact"/>
        <w:ind w:firstLine="3630" w:firstLineChars="1650"/>
        <w:rPr>
          <w:szCs w:val="21"/>
        </w:rPr>
      </w:pPr>
      <w:r>
        <w:rPr>
          <w:rFonts w:hint="eastAsia"/>
          <w:szCs w:val="21"/>
        </w:rPr>
        <w:t xml:space="preserve"> 二0一</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auto"/>
        <w:ind w:firstLine="480"/>
      </w:pPr>
      <w:r>
        <w:rPr>
          <w:rFonts w:hint="eastAsia"/>
        </w:rPr>
        <w:t>注：此委托书除每份资格审查申请文件必须装订外，还应单独携带一份原件在递交投标文件时查验，否则投标文件将被拒绝接受。</w:t>
      </w:r>
    </w:p>
    <w:p>
      <w:pPr>
        <w:pStyle w:val="13"/>
        <w:rPr>
          <w:rFonts w:ascii="微软雅黑"/>
          <w:b/>
          <w:sz w:val="20"/>
        </w:rPr>
      </w:pPr>
    </w:p>
    <w:p>
      <w:pPr>
        <w:pStyle w:val="13"/>
        <w:spacing w:before="1"/>
        <w:rPr>
          <w:rFonts w:ascii="微软雅黑"/>
          <w:b/>
          <w:sz w:val="21"/>
        </w:rPr>
      </w:pPr>
    </w:p>
    <w:p>
      <w:pPr>
        <w:pStyle w:val="7"/>
        <w:jc w:val="center"/>
      </w:pPr>
      <w:bookmarkStart w:id="383" w:name="三、☆投标保证金"/>
      <w:bookmarkEnd w:id="383"/>
      <w:bookmarkStart w:id="384" w:name="_Toc27191"/>
      <w:bookmarkStart w:id="385" w:name="_Toc7105"/>
      <w:r>
        <w:rPr>
          <w:rFonts w:hint="eastAsia" w:eastAsia="宋体"/>
          <w:w w:val="105"/>
        </w:rPr>
        <w:t>五</w:t>
      </w:r>
      <w:r>
        <w:rPr>
          <w:w w:val="105"/>
        </w:rPr>
        <w:t>、☆投标保证金</w:t>
      </w:r>
      <w:bookmarkEnd w:id="384"/>
      <w:bookmarkEnd w:id="385"/>
    </w:p>
    <w:p>
      <w:pPr>
        <w:pStyle w:val="13"/>
        <w:spacing w:before="116"/>
        <w:ind w:left="818"/>
      </w:pPr>
      <w:r>
        <w:rPr>
          <w:rFonts w:hint="eastAsia" w:ascii="微软雅黑" w:eastAsia="微软雅黑"/>
          <w:b/>
          <w:w w:val="167"/>
        </w:rPr>
        <w:t xml:space="preserve">   </w:t>
      </w:r>
      <w:r>
        <w:t xml:space="preserve">说明：此处上传投标保证金缴纳证明文件； </w:t>
      </w:r>
    </w:p>
    <w:p>
      <w:pPr>
        <w:pStyle w:val="13"/>
        <w:spacing w:before="160"/>
        <w:ind w:left="818"/>
      </w:pPr>
      <w:r>
        <w:t xml:space="preserve"> </w:t>
      </w: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spacing w:before="7"/>
        <w:rPr>
          <w:sz w:val="17"/>
        </w:rPr>
      </w:pPr>
    </w:p>
    <w:p>
      <w:pPr>
        <w:rPr>
          <w:sz w:val="17"/>
        </w:rPr>
        <w:sectPr>
          <w:pgSz w:w="11910" w:h="16840"/>
          <w:pgMar w:top="1440" w:right="1080" w:bottom="1440" w:left="1080" w:header="906" w:footer="895" w:gutter="0"/>
          <w:cols w:space="720" w:num="1"/>
        </w:sectPr>
      </w:pPr>
    </w:p>
    <w:p>
      <w:pPr>
        <w:pStyle w:val="7"/>
        <w:spacing w:line="254" w:lineRule="auto"/>
        <w:ind w:right="1755"/>
        <w:jc w:val="center"/>
      </w:pPr>
      <w:bookmarkStart w:id="386" w:name="四、中、小微企业声明函（中、小、微型企业产品价格需扣除的须提供）"/>
      <w:bookmarkEnd w:id="386"/>
      <w:bookmarkStart w:id="387" w:name="_Toc3101"/>
      <w:bookmarkStart w:id="388" w:name="_Toc11289"/>
      <w:r>
        <w:rPr>
          <w:rFonts w:hint="eastAsia" w:eastAsia="宋体"/>
        </w:rPr>
        <w:t>六、</w:t>
      </w:r>
      <w:r>
        <w:t>中、小微企业声明函（中、小、微型企业产品价格需扣除的须提供）</w:t>
      </w:r>
      <w:bookmarkEnd w:id="387"/>
      <w:bookmarkEnd w:id="388"/>
    </w:p>
    <w:p>
      <w:pPr>
        <w:pStyle w:val="9"/>
        <w:spacing w:before="4"/>
        <w:ind w:left="1939" w:right="2698"/>
        <w:jc w:val="center"/>
      </w:pPr>
      <w:r>
        <w:t>中小企业声明函</w:t>
      </w:r>
      <w:r>
        <w:rPr>
          <w:w w:val="167"/>
        </w:rPr>
        <w:t xml:space="preserve"> </w:t>
      </w:r>
    </w:p>
    <w:p>
      <w:pPr>
        <w:spacing w:before="123"/>
        <w:ind w:left="818"/>
        <w:rPr>
          <w:sz w:val="21"/>
        </w:rPr>
      </w:pPr>
      <w:r>
        <w:rPr>
          <w:sz w:val="21"/>
        </w:rPr>
        <w:t>项目编号、包号：</w:t>
      </w:r>
      <w:r>
        <w:rPr>
          <w:sz w:val="21"/>
          <w:u w:val="single"/>
        </w:rPr>
        <w:t xml:space="preserve">                 </w:t>
      </w:r>
      <w:r>
        <w:rPr>
          <w:sz w:val="21"/>
        </w:rPr>
        <w:t xml:space="preserve"> </w:t>
      </w:r>
    </w:p>
    <w:p>
      <w:pPr>
        <w:pStyle w:val="13"/>
        <w:spacing w:before="1"/>
        <w:rPr>
          <w:sz w:val="18"/>
        </w:rPr>
      </w:pPr>
    </w:p>
    <w:p>
      <w:pPr>
        <w:pStyle w:val="13"/>
        <w:tabs>
          <w:tab w:val="left" w:leader="underscore" w:pos="5350"/>
        </w:tabs>
        <w:spacing w:before="66" w:line="364" w:lineRule="auto"/>
        <w:ind w:left="818" w:right="1794" w:firstLine="503"/>
      </w:pPr>
      <w:r>
        <w:rPr>
          <w:spacing w:val="16"/>
        </w:rPr>
        <w:t>本公司郑</w:t>
      </w:r>
      <w:r>
        <w:rPr>
          <w:spacing w:val="14"/>
        </w:rPr>
        <w:t>重</w:t>
      </w:r>
      <w:r>
        <w:rPr>
          <w:spacing w:val="16"/>
        </w:rPr>
        <w:t>声明</w:t>
      </w:r>
      <w:r>
        <w:rPr>
          <w:spacing w:val="14"/>
        </w:rPr>
        <w:t>，</w:t>
      </w:r>
      <w:r>
        <w:rPr>
          <w:spacing w:val="16"/>
        </w:rPr>
        <w:t>根据《政府</w:t>
      </w:r>
      <w:r>
        <w:rPr>
          <w:spacing w:val="14"/>
        </w:rPr>
        <w:t>采</w:t>
      </w:r>
      <w:r>
        <w:rPr>
          <w:spacing w:val="16"/>
        </w:rPr>
        <w:t>购促</w:t>
      </w:r>
      <w:r>
        <w:rPr>
          <w:spacing w:val="14"/>
        </w:rPr>
        <w:t>进中</w:t>
      </w:r>
      <w:r>
        <w:rPr>
          <w:spacing w:val="16"/>
        </w:rPr>
        <w:t>小企业发</w:t>
      </w:r>
      <w:r>
        <w:rPr>
          <w:spacing w:val="14"/>
        </w:rPr>
        <w:t>展</w:t>
      </w:r>
      <w:r>
        <w:rPr>
          <w:spacing w:val="16"/>
        </w:rPr>
        <w:t>暂行</w:t>
      </w:r>
      <w:r>
        <w:rPr>
          <w:spacing w:val="14"/>
        </w:rPr>
        <w:t>办</w:t>
      </w:r>
      <w:r>
        <w:rPr>
          <w:spacing w:val="16"/>
        </w:rPr>
        <w:t>法</w:t>
      </w:r>
      <w:r>
        <w:rPr>
          <w:spacing w:val="-111"/>
        </w:rPr>
        <w:t>》</w:t>
      </w:r>
      <w:r>
        <w:rPr>
          <w:spacing w:val="16"/>
        </w:rPr>
        <w:t>（财</w:t>
      </w:r>
      <w:r>
        <w:t>库</w:t>
      </w:r>
      <w:r>
        <w:rPr>
          <w:spacing w:val="4"/>
        </w:rPr>
        <w:t>[2011]181</w:t>
      </w:r>
      <w:r>
        <w:rPr>
          <w:spacing w:val="10"/>
        </w:rPr>
        <w:t xml:space="preserve"> </w:t>
      </w:r>
      <w:r>
        <w:rPr>
          <w:spacing w:val="12"/>
        </w:rPr>
        <w:t>号）的规定，本公司为</w:t>
      </w:r>
      <w:r>
        <w:rPr>
          <w:spacing w:val="12"/>
        </w:rPr>
        <w:tab/>
      </w:r>
      <w:r>
        <w:rPr>
          <w:spacing w:val="12"/>
        </w:rPr>
        <w:t>（请填写：中型、小型、微型）</w:t>
      </w:r>
      <w:r>
        <w:rPr>
          <w:spacing w:val="-6"/>
        </w:rPr>
        <w:t>企</w:t>
      </w:r>
    </w:p>
    <w:p>
      <w:pPr>
        <w:pStyle w:val="13"/>
        <w:spacing w:before="2"/>
        <w:ind w:left="818"/>
      </w:pPr>
      <w:r>
        <w:t xml:space="preserve">业。即，本公司同时满足以下条件： </w:t>
      </w:r>
    </w:p>
    <w:p>
      <w:pPr>
        <w:pStyle w:val="36"/>
        <w:numPr>
          <w:ilvl w:val="0"/>
          <w:numId w:val="10"/>
        </w:numPr>
        <w:tabs>
          <w:tab w:val="left" w:pos="1574"/>
          <w:tab w:val="left" w:leader="underscore" w:pos="4346"/>
        </w:tabs>
        <w:spacing w:before="161" w:line="364" w:lineRule="auto"/>
        <w:ind w:right="1792" w:firstLine="503"/>
        <w:jc w:val="both"/>
        <w:rPr>
          <w:sz w:val="24"/>
        </w:rPr>
      </w:pPr>
      <w:r>
        <w:rPr>
          <w:spacing w:val="12"/>
          <w:sz w:val="24"/>
        </w:rPr>
        <w:t>根据《工业和信息化部、国家统计局</w:t>
      </w:r>
      <w:r>
        <w:rPr>
          <w:spacing w:val="9"/>
          <w:sz w:val="24"/>
        </w:rPr>
        <w:t>、</w:t>
      </w:r>
      <w:r>
        <w:rPr>
          <w:spacing w:val="12"/>
          <w:sz w:val="24"/>
        </w:rPr>
        <w:t>国家发展和改革委员会、财</w:t>
      </w:r>
      <w:r>
        <w:rPr>
          <w:spacing w:val="-3"/>
          <w:sz w:val="24"/>
        </w:rPr>
        <w:t>政</w:t>
      </w:r>
      <w:r>
        <w:rPr>
          <w:spacing w:val="12"/>
          <w:sz w:val="24"/>
        </w:rPr>
        <w:t>部关于印发中小企业划型标准规定的通</w:t>
      </w:r>
      <w:r>
        <w:rPr>
          <w:spacing w:val="14"/>
          <w:sz w:val="24"/>
        </w:rPr>
        <w:t>知</w:t>
      </w:r>
      <w:r>
        <w:rPr>
          <w:spacing w:val="-149"/>
          <w:sz w:val="24"/>
        </w:rPr>
        <w:t>》</w:t>
      </w:r>
      <w:r>
        <w:rPr>
          <w:spacing w:val="12"/>
          <w:sz w:val="24"/>
        </w:rPr>
        <w:t>（工信部联企</w:t>
      </w:r>
      <w:r>
        <w:rPr>
          <w:spacing w:val="15"/>
          <w:sz w:val="24"/>
        </w:rPr>
        <w:t>业</w:t>
      </w:r>
      <w:r>
        <w:rPr>
          <w:spacing w:val="4"/>
          <w:sz w:val="24"/>
        </w:rPr>
        <w:t>[2011]300</w:t>
      </w:r>
      <w:r>
        <w:rPr>
          <w:spacing w:val="-49"/>
          <w:sz w:val="24"/>
        </w:rPr>
        <w:t xml:space="preserve"> </w:t>
      </w:r>
      <w:r>
        <w:rPr>
          <w:spacing w:val="11"/>
          <w:sz w:val="24"/>
        </w:rPr>
        <w:t>号</w:t>
      </w:r>
      <w:r>
        <w:rPr>
          <w:spacing w:val="-22"/>
          <w:sz w:val="24"/>
        </w:rPr>
        <w:t>）</w:t>
      </w:r>
      <w:r>
        <w:rPr>
          <w:sz w:val="24"/>
        </w:rPr>
        <w:t>规</w:t>
      </w:r>
      <w:r>
        <w:rPr>
          <w:spacing w:val="12"/>
          <w:sz w:val="24"/>
        </w:rPr>
        <w:t>定的划分标准，本公司为</w:t>
      </w:r>
      <w:r>
        <w:rPr>
          <w:spacing w:val="12"/>
          <w:sz w:val="24"/>
        </w:rPr>
        <w:tab/>
      </w:r>
      <w:r>
        <w:rPr>
          <w:spacing w:val="12"/>
          <w:sz w:val="24"/>
        </w:rPr>
        <w:t>（请填写：中型、小型、微型）企业</w:t>
      </w:r>
      <w:r>
        <w:rPr>
          <w:spacing w:val="13"/>
          <w:sz w:val="24"/>
        </w:rPr>
        <w:t>。</w:t>
      </w:r>
      <w:r>
        <w:rPr>
          <w:sz w:val="24"/>
        </w:rPr>
        <w:t xml:space="preserve"> </w:t>
      </w:r>
    </w:p>
    <w:p>
      <w:pPr>
        <w:pStyle w:val="36"/>
        <w:numPr>
          <w:ilvl w:val="0"/>
          <w:numId w:val="10"/>
        </w:numPr>
        <w:tabs>
          <w:tab w:val="left" w:pos="1584"/>
          <w:tab w:val="left" w:leader="underscore" w:pos="5212"/>
        </w:tabs>
        <w:spacing w:before="2"/>
        <w:ind w:left="1583" w:hanging="262"/>
        <w:jc w:val="both"/>
        <w:rPr>
          <w:sz w:val="24"/>
        </w:rPr>
      </w:pPr>
      <w:r>
        <w:rPr>
          <w:spacing w:val="21"/>
          <w:sz w:val="24"/>
        </w:rPr>
        <w:t>本</w:t>
      </w:r>
      <w:r>
        <w:rPr>
          <w:spacing w:val="23"/>
          <w:sz w:val="24"/>
        </w:rPr>
        <w:t>公</w:t>
      </w:r>
      <w:r>
        <w:rPr>
          <w:spacing w:val="21"/>
          <w:sz w:val="24"/>
        </w:rPr>
        <w:t>司参</w:t>
      </w:r>
      <w:r>
        <w:rPr>
          <w:spacing w:val="23"/>
          <w:sz w:val="24"/>
        </w:rPr>
        <w:t>加</w:t>
      </w:r>
      <w:r>
        <w:rPr>
          <w:spacing w:val="6"/>
          <w:sz w:val="24"/>
        </w:rPr>
        <w:t>______</w:t>
      </w:r>
      <w:r>
        <w:rPr>
          <w:spacing w:val="21"/>
          <w:sz w:val="24"/>
        </w:rPr>
        <w:t>单位的</w:t>
      </w:r>
      <w:r>
        <w:rPr>
          <w:spacing w:val="21"/>
          <w:sz w:val="24"/>
        </w:rPr>
        <w:tab/>
      </w:r>
      <w:r>
        <w:rPr>
          <w:spacing w:val="21"/>
          <w:sz w:val="24"/>
        </w:rPr>
        <w:t>项目采购活</w:t>
      </w:r>
      <w:r>
        <w:rPr>
          <w:spacing w:val="23"/>
          <w:sz w:val="24"/>
        </w:rPr>
        <w:t>动</w:t>
      </w:r>
      <w:r>
        <w:rPr>
          <w:spacing w:val="21"/>
          <w:sz w:val="24"/>
        </w:rPr>
        <w:t>提供本企业制造的</w:t>
      </w:r>
      <w:r>
        <w:rPr>
          <w:sz w:val="24"/>
        </w:rPr>
        <w:t>货</w:t>
      </w:r>
    </w:p>
    <w:p>
      <w:pPr>
        <w:pStyle w:val="13"/>
        <w:tabs>
          <w:tab w:val="left" w:leader="underscore" w:pos="7118"/>
        </w:tabs>
        <w:spacing w:before="160"/>
        <w:ind w:left="818"/>
      </w:pPr>
      <w:r>
        <w:rPr>
          <w:spacing w:val="12"/>
        </w:rPr>
        <w:t>物，由本企业承担工程、提供服务，或者提供其他</w:t>
      </w:r>
      <w:r>
        <w:rPr>
          <w:spacing w:val="12"/>
        </w:rPr>
        <w:tab/>
      </w:r>
      <w:r>
        <w:rPr>
          <w:spacing w:val="12"/>
        </w:rPr>
        <w:t>（请填写：中型</w:t>
      </w:r>
      <w:r>
        <w:t>、</w:t>
      </w:r>
    </w:p>
    <w:p>
      <w:pPr>
        <w:pStyle w:val="13"/>
        <w:spacing w:before="161" w:line="364" w:lineRule="auto"/>
        <w:ind w:left="818" w:right="1812"/>
      </w:pPr>
      <w:r>
        <w:t xml:space="preserve">小型、微型）企业制造的货物。本条所称货物不包括使用大型企业注册商标的货物。 </w:t>
      </w:r>
    </w:p>
    <w:p>
      <w:pPr>
        <w:pStyle w:val="13"/>
        <w:spacing w:before="1"/>
        <w:ind w:left="1322"/>
      </w:pPr>
      <w:r>
        <w:t xml:space="preserve">本公司对上述声明的真实性负责。如有虚假，将依法承担相应责任。 </w:t>
      </w:r>
    </w:p>
    <w:p>
      <w:pPr>
        <w:pStyle w:val="13"/>
        <w:spacing w:before="161"/>
        <w:ind w:left="2831"/>
        <w:jc w:val="center"/>
      </w:pPr>
      <w:r>
        <w:t xml:space="preserve"> </w:t>
      </w:r>
    </w:p>
    <w:p>
      <w:pPr>
        <w:pStyle w:val="13"/>
        <w:spacing w:before="160"/>
        <w:ind w:right="1673"/>
        <w:jc w:val="right"/>
      </w:pPr>
      <w:r>
        <w:t xml:space="preserve">年 月 日 </w:t>
      </w:r>
    </w:p>
    <w:p>
      <w:pPr>
        <w:jc w:val="right"/>
        <w:sectPr>
          <w:pgSz w:w="11910" w:h="16840"/>
          <w:pgMar w:top="1440" w:right="1080" w:bottom="1440" w:left="1080" w:header="906" w:footer="895" w:gutter="0"/>
          <w:cols w:space="720" w:num="1"/>
        </w:sectPr>
      </w:pPr>
    </w:p>
    <w:p>
      <w:pPr>
        <w:pStyle w:val="7"/>
        <w:jc w:val="center"/>
      </w:pPr>
      <w:bookmarkStart w:id="389" w:name="五、供应商认为有必要提供的声明及文件资料"/>
      <w:bookmarkEnd w:id="389"/>
      <w:bookmarkStart w:id="390" w:name="_Toc30275"/>
      <w:bookmarkStart w:id="391" w:name="_Toc7650"/>
      <w:r>
        <w:rPr>
          <w:rFonts w:hint="eastAsia" w:eastAsia="宋体"/>
        </w:rPr>
        <w:t>七</w:t>
      </w:r>
      <w:r>
        <w:t>、供应商认为有必要提供的声明及文件资料</w:t>
      </w:r>
      <w:bookmarkEnd w:id="390"/>
      <w:bookmarkEnd w:id="391"/>
    </w:p>
    <w:p>
      <w:pPr>
        <w:pStyle w:val="13"/>
        <w:spacing w:before="36"/>
        <w:ind w:left="818"/>
      </w:pPr>
      <w:r>
        <w:t xml:space="preserve">① 供应商自觉抵制政府采购领域商业贿赂行为承诺书； </w:t>
      </w:r>
    </w:p>
    <w:p>
      <w:pPr>
        <w:pStyle w:val="13"/>
        <w:spacing w:before="5"/>
        <w:ind w:left="818"/>
      </w:pPr>
      <w:r>
        <w:t xml:space="preserve">② 节能产品、环境标志产品证明文件； </w:t>
      </w:r>
    </w:p>
    <w:p>
      <w:pPr>
        <w:pStyle w:val="13"/>
        <w:spacing w:before="4" w:line="369" w:lineRule="auto"/>
        <w:ind w:left="818" w:right="7705"/>
      </w:pPr>
      <w:r>
        <w:t xml:space="preserve">③ 类似项目业绩表； 附：类似项目业绩表 </w:t>
      </w:r>
    </w:p>
    <w:p>
      <w:pPr>
        <w:pStyle w:val="13"/>
        <w:spacing w:before="25"/>
        <w:ind w:left="818"/>
      </w:pPr>
      <w:r>
        <w:rPr>
          <w:spacing w:val="-1"/>
        </w:rPr>
        <w:t>采购项目编号：</w:t>
      </w:r>
      <w:r>
        <w:rPr>
          <w:spacing w:val="-1"/>
          <w:u w:val="single"/>
        </w:rPr>
        <w:t xml:space="preserve">                             </w:t>
      </w:r>
      <w:r>
        <w:rPr>
          <w:spacing w:val="1"/>
          <w:u w:val="single"/>
        </w:rPr>
        <w:t xml:space="preserve"> </w:t>
      </w:r>
      <w:r>
        <w:t xml:space="preserve">      </w:t>
      </w:r>
    </w:p>
    <w:p>
      <w:pPr>
        <w:pStyle w:val="13"/>
        <w:rPr>
          <w:sz w:val="10"/>
        </w:rPr>
      </w:pPr>
    </w:p>
    <w:p>
      <w:pPr>
        <w:pStyle w:val="13"/>
        <w:spacing w:before="66" w:after="31"/>
        <w:ind w:left="818"/>
      </w:pPr>
      <w:r>
        <w:rPr>
          <w:spacing w:val="-1"/>
        </w:rPr>
        <w:t>采购项目名称：</w:t>
      </w:r>
      <w:r>
        <w:rPr>
          <w:spacing w:val="-1"/>
          <w:u w:val="single"/>
        </w:rPr>
        <w:t xml:space="preserve">                             </w:t>
      </w:r>
      <w:r>
        <w:rPr>
          <w:spacing w:val="1"/>
          <w:u w:val="single"/>
        </w:rPr>
        <w:t xml:space="preserve"> </w:t>
      </w:r>
      <w:r>
        <w:t xml:space="preserve"> </w:t>
      </w:r>
    </w:p>
    <w:tbl>
      <w:tblPr>
        <w:tblStyle w:val="28"/>
        <w:tblW w:w="0" w:type="auto"/>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7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908" w:type="dxa"/>
          </w:tcPr>
          <w:p>
            <w:pPr>
              <w:pStyle w:val="37"/>
              <w:spacing w:before="88"/>
              <w:ind w:left="272" w:right="145"/>
              <w:jc w:val="center"/>
              <w:rPr>
                <w:sz w:val="24"/>
              </w:rPr>
            </w:pPr>
            <w:r>
              <w:rPr>
                <w:sz w:val="24"/>
              </w:rPr>
              <w:t xml:space="preserve">项目名称 </w:t>
            </w:r>
          </w:p>
        </w:tc>
        <w:tc>
          <w:tcPr>
            <w:tcW w:w="7202" w:type="dxa"/>
          </w:tcPr>
          <w:p>
            <w:pPr>
              <w:pStyle w:val="37"/>
              <w:tabs>
                <w:tab w:val="left" w:pos="2373"/>
              </w:tabs>
              <w:ind w:left="107"/>
              <w:rPr>
                <w:sz w:val="24"/>
              </w:rPr>
            </w:pPr>
            <w:r>
              <w:rPr>
                <w:sz w:val="24"/>
              </w:rPr>
              <w:t xml:space="preserve"> </w:t>
            </w:r>
            <w:r>
              <w:rPr>
                <w:sz w:val="24"/>
              </w:rPr>
              <w:tab/>
            </w: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08" w:type="dxa"/>
          </w:tcPr>
          <w:p>
            <w:pPr>
              <w:pStyle w:val="37"/>
              <w:spacing w:before="76"/>
              <w:ind w:left="272" w:right="145"/>
              <w:jc w:val="center"/>
              <w:rPr>
                <w:sz w:val="24"/>
              </w:rPr>
            </w:pPr>
            <w:r>
              <w:rPr>
                <w:sz w:val="24"/>
              </w:rPr>
              <w:t xml:space="preserve">项目单位名称 </w:t>
            </w:r>
          </w:p>
        </w:tc>
        <w:tc>
          <w:tcPr>
            <w:tcW w:w="7202" w:type="dxa"/>
          </w:tcPr>
          <w:p>
            <w:pPr>
              <w:pStyle w:val="37"/>
              <w:spacing w:line="307" w:lineRule="exact"/>
              <w:ind w:right="3469"/>
              <w:jc w:val="right"/>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08" w:type="dxa"/>
          </w:tcPr>
          <w:p>
            <w:pPr>
              <w:pStyle w:val="37"/>
              <w:ind w:left="112"/>
              <w:rPr>
                <w:sz w:val="24"/>
              </w:rPr>
            </w:pPr>
            <w:r>
              <w:rPr>
                <w:sz w:val="24"/>
              </w:rPr>
              <w:t>项目单位联系人</w:t>
            </w:r>
          </w:p>
          <w:p>
            <w:pPr>
              <w:pStyle w:val="37"/>
              <w:spacing w:before="4" w:line="292" w:lineRule="exact"/>
              <w:ind w:left="112" w:right="-29"/>
              <w:rPr>
                <w:sz w:val="24"/>
              </w:rPr>
            </w:pPr>
            <w:r>
              <w:rPr>
                <w:spacing w:val="-1"/>
                <w:sz w:val="24"/>
              </w:rPr>
              <w:t xml:space="preserve">姓名及联系方式 </w:t>
            </w:r>
          </w:p>
        </w:tc>
        <w:tc>
          <w:tcPr>
            <w:tcW w:w="7202" w:type="dxa"/>
          </w:tcPr>
          <w:p>
            <w:pPr>
              <w:pStyle w:val="37"/>
              <w:ind w:right="3469"/>
              <w:jc w:val="right"/>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08" w:type="dxa"/>
          </w:tcPr>
          <w:p>
            <w:pPr>
              <w:pStyle w:val="37"/>
              <w:spacing w:before="155"/>
              <w:ind w:left="272" w:right="145"/>
              <w:jc w:val="center"/>
              <w:rPr>
                <w:sz w:val="24"/>
              </w:rPr>
            </w:pPr>
            <w:r>
              <w:rPr>
                <w:sz w:val="24"/>
              </w:rPr>
              <w:t xml:space="preserve">合同金额 </w:t>
            </w:r>
          </w:p>
        </w:tc>
        <w:tc>
          <w:tcPr>
            <w:tcW w:w="7202" w:type="dxa"/>
          </w:tcPr>
          <w:p>
            <w:pPr>
              <w:pStyle w:val="37"/>
              <w:ind w:right="3469"/>
              <w:jc w:val="right"/>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08" w:type="dxa"/>
          </w:tcPr>
          <w:p>
            <w:pPr>
              <w:pStyle w:val="37"/>
              <w:spacing w:line="307" w:lineRule="exact"/>
              <w:ind w:left="272" w:right="145"/>
              <w:jc w:val="center"/>
              <w:rPr>
                <w:sz w:val="24"/>
              </w:rPr>
            </w:pPr>
            <w:r>
              <w:rPr>
                <w:sz w:val="24"/>
              </w:rPr>
              <w:t xml:space="preserve">项目负责人 </w:t>
            </w:r>
          </w:p>
          <w:p>
            <w:pPr>
              <w:pStyle w:val="37"/>
              <w:spacing w:before="4" w:line="292" w:lineRule="exact"/>
              <w:ind w:left="272" w:right="145"/>
              <w:jc w:val="center"/>
              <w:rPr>
                <w:sz w:val="24"/>
              </w:rPr>
            </w:pPr>
            <w:r>
              <w:rPr>
                <w:sz w:val="24"/>
              </w:rPr>
              <w:t xml:space="preserve">姓名 </w:t>
            </w:r>
          </w:p>
        </w:tc>
        <w:tc>
          <w:tcPr>
            <w:tcW w:w="7202" w:type="dxa"/>
          </w:tcPr>
          <w:p>
            <w:pPr>
              <w:pStyle w:val="37"/>
              <w:spacing w:line="307" w:lineRule="exact"/>
              <w:ind w:right="3469"/>
              <w:jc w:val="right"/>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8" w:type="dxa"/>
          </w:tcPr>
          <w:p>
            <w:pPr>
              <w:pStyle w:val="37"/>
              <w:spacing w:before="79"/>
              <w:ind w:left="272" w:right="145"/>
              <w:jc w:val="center"/>
              <w:rPr>
                <w:sz w:val="24"/>
              </w:rPr>
            </w:pPr>
            <w:r>
              <w:rPr>
                <w:sz w:val="24"/>
              </w:rPr>
              <w:t xml:space="preserve">项目实施时间 </w:t>
            </w:r>
          </w:p>
        </w:tc>
        <w:tc>
          <w:tcPr>
            <w:tcW w:w="7202" w:type="dxa"/>
          </w:tcPr>
          <w:p>
            <w:pPr>
              <w:pStyle w:val="37"/>
              <w:spacing w:line="307" w:lineRule="exact"/>
              <w:ind w:right="3469"/>
              <w:jc w:val="right"/>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1908" w:type="dxa"/>
          </w:tcPr>
          <w:p>
            <w:pPr>
              <w:pStyle w:val="37"/>
              <w:rPr>
                <w:sz w:val="24"/>
              </w:rPr>
            </w:pPr>
          </w:p>
          <w:p>
            <w:pPr>
              <w:pStyle w:val="37"/>
              <w:rPr>
                <w:sz w:val="24"/>
              </w:rPr>
            </w:pPr>
          </w:p>
          <w:p>
            <w:pPr>
              <w:pStyle w:val="37"/>
              <w:spacing w:before="11"/>
              <w:rPr>
                <w:sz w:val="35"/>
              </w:rPr>
            </w:pPr>
          </w:p>
          <w:p>
            <w:pPr>
              <w:pStyle w:val="37"/>
              <w:spacing w:before="1"/>
              <w:ind w:left="272" w:right="145"/>
              <w:jc w:val="center"/>
              <w:rPr>
                <w:sz w:val="24"/>
              </w:rPr>
            </w:pPr>
            <w:r>
              <w:rPr>
                <w:sz w:val="24"/>
              </w:rPr>
              <w:t xml:space="preserve">项目内容说明 </w:t>
            </w:r>
          </w:p>
        </w:tc>
        <w:tc>
          <w:tcPr>
            <w:tcW w:w="7202" w:type="dxa"/>
          </w:tcPr>
          <w:p>
            <w:pPr>
              <w:pStyle w:val="37"/>
              <w:spacing w:line="307" w:lineRule="exact"/>
              <w:ind w:right="3469"/>
              <w:jc w:val="right"/>
              <w:rPr>
                <w:sz w:val="24"/>
              </w:rPr>
            </w:pPr>
            <w:r>
              <w:rPr>
                <w:sz w:val="24"/>
              </w:rPr>
              <w:t xml:space="preserve"> </w:t>
            </w:r>
          </w:p>
        </w:tc>
      </w:tr>
    </w:tbl>
    <w:p>
      <w:pPr>
        <w:pStyle w:val="13"/>
        <w:spacing w:before="79" w:line="364" w:lineRule="auto"/>
        <w:ind w:left="818" w:right="1798"/>
      </w:pPr>
      <w:r>
        <w:t xml:space="preserve">说明：1．每个合同须单独附表，并附上相关证明材料，否则专家在评审时将不予采信； </w:t>
      </w:r>
    </w:p>
    <w:p>
      <w:pPr>
        <w:pStyle w:val="13"/>
        <w:spacing w:before="1" w:line="364" w:lineRule="auto"/>
        <w:ind w:left="818" w:right="1800" w:firstLine="719"/>
      </w:pPr>
      <w:r>
        <w:t xml:space="preserve">2．项目内容请详细说明所承担的具体工作内容，如：网络建设、系统集成、软件开发、网站建设等； </w:t>
      </w:r>
    </w:p>
    <w:p>
      <w:pPr>
        <w:pStyle w:val="13"/>
        <w:spacing w:before="83"/>
        <w:ind w:left="818"/>
      </w:pPr>
      <w:r>
        <w:t>投标人法定代表人（电子签名</w:t>
      </w:r>
      <w:r>
        <w:rPr>
          <w:spacing w:val="-120"/>
        </w:rPr>
        <w:t>）</w:t>
      </w:r>
      <w:r>
        <w:t>：</w:t>
      </w:r>
      <w:r>
        <w:rPr>
          <w:u w:val="single"/>
        </w:rPr>
        <w:t xml:space="preserve">                  </w:t>
      </w:r>
      <w:r>
        <w:t xml:space="preserve"> </w:t>
      </w:r>
    </w:p>
    <w:p>
      <w:pPr>
        <w:pStyle w:val="13"/>
        <w:spacing w:before="10"/>
        <w:rPr>
          <w:sz w:val="9"/>
        </w:rPr>
      </w:pPr>
    </w:p>
    <w:p>
      <w:pPr>
        <w:pStyle w:val="13"/>
        <w:spacing w:before="67"/>
        <w:ind w:left="818"/>
      </w:pPr>
      <w:r>
        <w:t>投标人名称</w:t>
      </w:r>
      <w:r>
        <w:rPr>
          <w:spacing w:val="-1"/>
        </w:rPr>
        <w:t>（</w:t>
      </w:r>
      <w:r>
        <w:t>电子签章</w:t>
      </w:r>
      <w:r>
        <w:rPr>
          <w:spacing w:val="-120"/>
        </w:rPr>
        <w:t>）</w:t>
      </w:r>
      <w:r>
        <w:t>：</w:t>
      </w:r>
      <w:r>
        <w:rPr>
          <w:u w:val="single"/>
        </w:rPr>
        <w:t xml:space="preserve">                       </w:t>
      </w:r>
      <w:r>
        <w:t xml:space="preserve"> </w:t>
      </w:r>
    </w:p>
    <w:p>
      <w:pPr>
        <w:pStyle w:val="13"/>
        <w:spacing w:before="10"/>
        <w:rPr>
          <w:sz w:val="9"/>
        </w:rPr>
      </w:pPr>
    </w:p>
    <w:p>
      <w:pPr>
        <w:pStyle w:val="13"/>
        <w:spacing w:before="66"/>
        <w:ind w:left="818"/>
      </w:pPr>
      <w:r>
        <w:t>日 期 ：</w:t>
      </w:r>
      <w:r>
        <w:rPr>
          <w:u w:val="single"/>
        </w:rPr>
        <w:t xml:space="preserve"> </w:t>
      </w:r>
      <w:r>
        <w:t>年 月</w:t>
      </w:r>
      <w:r>
        <w:rPr>
          <w:spacing w:val="59"/>
        </w:rPr>
        <w:t xml:space="preserve"> 日 </w:t>
      </w:r>
    </w:p>
    <w:p>
      <w:pPr>
        <w:pStyle w:val="13"/>
        <w:spacing w:before="34"/>
        <w:ind w:left="818"/>
      </w:pPr>
      <w:r>
        <w:t xml:space="preserve"> </w:t>
      </w:r>
    </w:p>
    <w:p>
      <w:pPr>
        <w:sectPr>
          <w:pgSz w:w="11910" w:h="16840"/>
          <w:pgMar w:top="1440" w:right="1080" w:bottom="1440" w:left="1080" w:header="906" w:footer="895" w:gutter="0"/>
          <w:cols w:space="720" w:num="1"/>
        </w:sectPr>
      </w:pPr>
    </w:p>
    <w:p>
      <w:pPr>
        <w:ind w:left="422" w:right="441"/>
        <w:jc w:val="center"/>
        <w:outlineLvl w:val="1"/>
        <w:rPr>
          <w:b/>
          <w:sz w:val="30"/>
          <w:szCs w:val="30"/>
        </w:rPr>
      </w:pPr>
      <w:bookmarkStart w:id="392" w:name="六、不参与围标串标承诺书"/>
      <w:bookmarkEnd w:id="392"/>
      <w:bookmarkStart w:id="393" w:name="_Toc18834"/>
      <w:bookmarkStart w:id="394" w:name="_Toc32490"/>
      <w:r>
        <w:rPr>
          <w:rFonts w:hint="eastAsia"/>
          <w:b/>
          <w:sz w:val="30"/>
          <w:szCs w:val="30"/>
        </w:rPr>
        <w:t>八、</w:t>
      </w:r>
      <w:bookmarkEnd w:id="393"/>
      <w:r>
        <w:rPr>
          <w:rFonts w:hint="eastAsia"/>
          <w:b/>
          <w:sz w:val="30"/>
          <w:szCs w:val="30"/>
        </w:rPr>
        <w:t>投标单位（供应商</w:t>
      </w:r>
      <w:r>
        <w:rPr>
          <w:rFonts w:hint="eastAsia"/>
          <w:b/>
          <w:spacing w:val="-149"/>
          <w:sz w:val="30"/>
          <w:szCs w:val="30"/>
        </w:rPr>
        <w:t>）</w:t>
      </w:r>
      <w:r>
        <w:rPr>
          <w:rFonts w:hint="eastAsia"/>
          <w:b/>
          <w:sz w:val="30"/>
          <w:szCs w:val="30"/>
        </w:rPr>
        <w:t>《反商业贿赂承诺书》</w:t>
      </w:r>
      <w:bookmarkEnd w:id="394"/>
    </w:p>
    <w:p>
      <w:pPr>
        <w:pStyle w:val="23"/>
        <w:rPr>
          <w:b/>
          <w:sz w:val="30"/>
          <w:szCs w:val="30"/>
        </w:rPr>
      </w:pPr>
    </w:p>
    <w:p>
      <w:pPr>
        <w:pStyle w:val="23"/>
        <w:rPr>
          <w:b/>
          <w:sz w:val="30"/>
          <w:szCs w:val="30"/>
        </w:rPr>
      </w:pPr>
    </w:p>
    <w:p>
      <w:pPr>
        <w:pStyle w:val="13"/>
        <w:spacing w:line="720" w:lineRule="auto"/>
        <w:ind w:firstLine="480" w:firstLineChars="200"/>
      </w:pPr>
      <w:r>
        <w:rPr>
          <w:rFonts w:hint="eastAsia"/>
        </w:rPr>
        <w:t>我公司承诺在</w:t>
      </w:r>
      <w:r>
        <w:rPr>
          <w:rFonts w:hint="eastAsia"/>
          <w:u w:val="single"/>
        </w:rPr>
        <w:t>（项目名称、项目编号、项目包号）</w:t>
      </w:r>
      <w:r>
        <w:rPr>
          <w:rFonts w:hint="eastAsia"/>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3"/>
        <w:spacing w:line="720" w:lineRule="auto"/>
      </w:pPr>
    </w:p>
    <w:p>
      <w:pPr>
        <w:pStyle w:val="13"/>
        <w:spacing w:line="720" w:lineRule="auto"/>
      </w:pPr>
      <w:r>
        <w:rPr>
          <w:rFonts w:hint="eastAsia"/>
        </w:rPr>
        <w:t>公司法人代表：</w:t>
      </w:r>
      <w:r>
        <w:t xml:space="preserve"> </w:t>
      </w:r>
    </w:p>
    <w:p>
      <w:pPr>
        <w:pStyle w:val="13"/>
        <w:spacing w:line="720" w:lineRule="auto"/>
      </w:pPr>
      <w:r>
        <w:rPr>
          <w:rFonts w:hint="eastAsia"/>
        </w:rPr>
        <w:t>法人授权代表：</w:t>
      </w:r>
      <w:r>
        <w:t xml:space="preserve"> </w:t>
      </w:r>
    </w:p>
    <w:p>
      <w:pPr>
        <w:pStyle w:val="13"/>
        <w:spacing w:line="720" w:lineRule="auto"/>
      </w:pPr>
      <w:r>
        <w:rPr>
          <w:rFonts w:hint="eastAsia"/>
        </w:rPr>
        <w:t>日期：</w:t>
      </w:r>
    </w:p>
    <w:p>
      <w:pPr>
        <w:pStyle w:val="13"/>
        <w:tabs>
          <w:tab w:val="left" w:pos="1631"/>
          <w:tab w:val="left" w:pos="2231"/>
        </w:tabs>
        <w:spacing w:before="1"/>
        <w:ind w:left="1031"/>
        <w:jc w:val="center"/>
      </w:pPr>
    </w:p>
    <w:p>
      <w:pPr>
        <w:jc w:val="center"/>
        <w:sectPr>
          <w:pgSz w:w="11910" w:h="16840"/>
          <w:pgMar w:top="1440" w:right="1080" w:bottom="1440" w:left="1080" w:header="906" w:footer="895" w:gutter="0"/>
          <w:cols w:space="720" w:num="1"/>
        </w:sectPr>
      </w:pPr>
    </w:p>
    <w:p>
      <w:pPr>
        <w:pStyle w:val="7"/>
        <w:jc w:val="center"/>
      </w:pPr>
      <w:bookmarkStart w:id="395" w:name="七、2018年至2019年财务审计报告"/>
      <w:bookmarkEnd w:id="395"/>
      <w:bookmarkStart w:id="396" w:name="_Toc25243"/>
      <w:bookmarkStart w:id="397" w:name="_Toc17869"/>
      <w:r>
        <w:rPr>
          <w:rFonts w:hint="eastAsia" w:eastAsia="宋体"/>
        </w:rPr>
        <w:t>九</w:t>
      </w:r>
      <w:r>
        <w:t>、 2</w:t>
      </w:r>
      <w:r>
        <w:rPr>
          <w:rFonts w:hint="eastAsia" w:eastAsia="宋体"/>
          <w:lang w:val="en-US"/>
        </w:rPr>
        <w:t>020</w:t>
      </w:r>
      <w:r>
        <w:t>年财务审计报告</w:t>
      </w:r>
      <w:bookmarkEnd w:id="396"/>
      <w:bookmarkEnd w:id="397"/>
    </w:p>
    <w:p>
      <w:pPr>
        <w:pStyle w:val="13"/>
        <w:rPr>
          <w:rFonts w:ascii="Microsoft JhengHei"/>
          <w:b/>
          <w:sz w:val="20"/>
        </w:rPr>
      </w:pPr>
    </w:p>
    <w:p>
      <w:pPr>
        <w:pStyle w:val="13"/>
        <w:rPr>
          <w:rFonts w:ascii="Microsoft JhengHei"/>
          <w:b/>
          <w:sz w:val="20"/>
        </w:rPr>
      </w:pPr>
    </w:p>
    <w:p>
      <w:pPr>
        <w:pStyle w:val="13"/>
        <w:rPr>
          <w:rFonts w:ascii="Microsoft JhengHei"/>
          <w:b/>
          <w:sz w:val="20"/>
        </w:rPr>
      </w:pPr>
    </w:p>
    <w:p>
      <w:pPr>
        <w:pStyle w:val="13"/>
        <w:rPr>
          <w:rFonts w:ascii="Microsoft JhengHei"/>
          <w:b/>
          <w:sz w:val="20"/>
        </w:rPr>
      </w:pPr>
    </w:p>
    <w:p>
      <w:pPr>
        <w:pStyle w:val="13"/>
        <w:rPr>
          <w:rFonts w:ascii="Microsoft JhengHei"/>
          <w:b/>
          <w:sz w:val="20"/>
        </w:rPr>
      </w:pPr>
    </w:p>
    <w:p>
      <w:pPr>
        <w:pStyle w:val="13"/>
        <w:rPr>
          <w:rFonts w:ascii="Microsoft JhengHei"/>
          <w:b/>
          <w:sz w:val="20"/>
        </w:rPr>
      </w:pPr>
    </w:p>
    <w:p>
      <w:pPr>
        <w:pStyle w:val="13"/>
        <w:spacing w:before="7"/>
        <w:rPr>
          <w:rFonts w:ascii="Microsoft JhengHei"/>
          <w:b/>
          <w:sz w:val="10"/>
        </w:rPr>
      </w:pPr>
    </w:p>
    <w:p>
      <w:pPr>
        <w:rPr>
          <w:rFonts w:ascii="Microsoft JhengHei"/>
          <w:sz w:val="10"/>
        </w:rPr>
        <w:sectPr>
          <w:pgSz w:w="11910" w:h="16840"/>
          <w:pgMar w:top="1440" w:right="1080" w:bottom="1440" w:left="1080" w:header="906" w:footer="895" w:gutter="0"/>
          <w:cols w:space="720" w:num="1"/>
        </w:sectPr>
      </w:pPr>
    </w:p>
    <w:p>
      <w:pPr>
        <w:pStyle w:val="7"/>
        <w:jc w:val="center"/>
      </w:pPr>
      <w:bookmarkStart w:id="398" w:name="八、近半年完税证明"/>
      <w:bookmarkEnd w:id="398"/>
      <w:bookmarkStart w:id="399" w:name="_Toc31544"/>
      <w:bookmarkStart w:id="400" w:name="_Toc25945"/>
      <w:r>
        <w:rPr>
          <w:rFonts w:hint="eastAsia" w:eastAsia="宋体"/>
        </w:rPr>
        <w:t>十</w:t>
      </w:r>
      <w:r>
        <w:t>、近半年完税证明</w:t>
      </w:r>
      <w:bookmarkEnd w:id="399"/>
      <w:bookmarkEnd w:id="400"/>
    </w:p>
    <w:p>
      <w:pPr>
        <w:spacing w:before="59"/>
        <w:ind w:left="818"/>
        <w:rPr>
          <w:sz w:val="21"/>
        </w:rPr>
      </w:pPr>
      <w:r>
        <w:rPr>
          <w:sz w:val="21"/>
        </w:rPr>
        <w:t>说明：此处上传近半年完税证明。</w:t>
      </w: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spacing w:before="6"/>
        <w:rPr>
          <w:sz w:val="21"/>
        </w:rPr>
      </w:pPr>
    </w:p>
    <w:p>
      <w:pPr>
        <w:rPr>
          <w:sz w:val="21"/>
        </w:rPr>
        <w:sectPr>
          <w:pgSz w:w="11910" w:h="16840"/>
          <w:pgMar w:top="1440" w:right="1080" w:bottom="1440" w:left="1080" w:header="906" w:footer="895" w:gutter="0"/>
          <w:cols w:space="720" w:num="1"/>
        </w:sectPr>
      </w:pPr>
    </w:p>
    <w:p>
      <w:pPr>
        <w:pStyle w:val="7"/>
        <w:jc w:val="center"/>
        <w:rPr>
          <w:rFonts w:eastAsia="宋体"/>
          <w:highlight w:val="yellow"/>
          <w:lang w:val="en-US"/>
        </w:rPr>
      </w:pPr>
      <w:bookmarkStart w:id="401" w:name="九、保安服务许可证"/>
      <w:bookmarkEnd w:id="401"/>
      <w:bookmarkStart w:id="402" w:name="_Toc12178"/>
      <w:bookmarkStart w:id="403" w:name="_Toc19744"/>
      <w:r>
        <w:rPr>
          <w:rFonts w:hint="eastAsia" w:eastAsia="宋体"/>
        </w:rPr>
        <w:t>十一、</w:t>
      </w:r>
      <w:bookmarkEnd w:id="402"/>
      <w:bookmarkEnd w:id="403"/>
      <w:r>
        <w:rPr>
          <w:rFonts w:hint="eastAsia" w:eastAsia="宋体"/>
          <w:lang w:val="en-US"/>
        </w:rPr>
        <w:t>负责人证书，资质证书</w:t>
      </w: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spacing w:before="6"/>
        <w:rPr>
          <w:sz w:val="21"/>
        </w:rPr>
      </w:pPr>
    </w:p>
    <w:p>
      <w:pPr>
        <w:rPr>
          <w:sz w:val="21"/>
        </w:rPr>
        <w:sectPr>
          <w:pgSz w:w="11910" w:h="16840"/>
          <w:pgMar w:top="1440" w:right="1080" w:bottom="1440" w:left="1080" w:header="906" w:footer="895" w:gutter="0"/>
          <w:cols w:space="720" w:num="1"/>
        </w:sectPr>
      </w:pPr>
    </w:p>
    <w:p>
      <w:pPr>
        <w:pStyle w:val="7"/>
        <w:jc w:val="center"/>
      </w:pPr>
      <w:bookmarkStart w:id="404" w:name="十、无不良行为信息记录"/>
      <w:bookmarkEnd w:id="404"/>
      <w:bookmarkStart w:id="405" w:name="_Toc7846"/>
      <w:bookmarkStart w:id="406" w:name="_Toc6518"/>
      <w:r>
        <w:rPr>
          <w:rFonts w:hint="eastAsia" w:eastAsia="宋体"/>
        </w:rPr>
        <w:t>十二</w:t>
      </w:r>
      <w:r>
        <w:t>、无不良行为信息记录</w:t>
      </w:r>
      <w:bookmarkEnd w:id="405"/>
      <w:bookmarkEnd w:id="406"/>
    </w:p>
    <w:p>
      <w:pPr>
        <w:pStyle w:val="13"/>
        <w:spacing w:before="15"/>
        <w:rPr>
          <w:rFonts w:ascii="Microsoft JhengHei"/>
          <w:b/>
          <w:sz w:val="22"/>
        </w:rPr>
      </w:pPr>
    </w:p>
    <w:p>
      <w:pPr>
        <w:pStyle w:val="4"/>
        <w:ind w:left="818" w:right="-15"/>
      </w:pPr>
      <w:r>
        <w:t>参加政府采购活动前三年内在经营活动中没有重大违法记录的声明</w:t>
      </w:r>
      <w:r>
        <w:rPr>
          <w:w w:val="168"/>
        </w:rPr>
        <w:t xml:space="preserve"> </w:t>
      </w:r>
      <w:r>
        <w:rPr>
          <w:spacing w:val="-2"/>
          <w:w w:val="168"/>
        </w:rPr>
        <w:t xml:space="preserve"> </w:t>
      </w:r>
      <w:r>
        <w:rPr>
          <w:w w:val="168"/>
        </w:rPr>
        <w:t xml:space="preserve"> </w:t>
      </w:r>
      <w:r>
        <w:rPr>
          <w:spacing w:val="-2"/>
          <w:w w:val="168"/>
        </w:rPr>
        <w:t xml:space="preserve"> </w:t>
      </w:r>
      <w:r>
        <w:rPr>
          <w:w w:val="168"/>
        </w:rPr>
        <w:t xml:space="preserve">  </w:t>
      </w:r>
      <w:r>
        <w:rPr>
          <w:spacing w:val="-2"/>
          <w:w w:val="168"/>
        </w:rPr>
        <w:t xml:space="preserve"> </w:t>
      </w:r>
      <w:r>
        <w:rPr>
          <w:w w:val="168"/>
        </w:rPr>
        <w:t xml:space="preserve">  </w:t>
      </w:r>
      <w:r>
        <w:rPr>
          <w:spacing w:val="-2"/>
          <w:w w:val="168"/>
        </w:rPr>
        <w:t xml:space="preserve"> </w:t>
      </w:r>
      <w:r>
        <w:rPr>
          <w:w w:val="168"/>
        </w:rPr>
        <w:t xml:space="preserve"> </w:t>
      </w:r>
      <w:r>
        <w:rPr>
          <w:spacing w:val="-2"/>
          <w:w w:val="168"/>
        </w:rPr>
        <w:t xml:space="preserve"> </w:t>
      </w:r>
      <w:r>
        <w:rPr>
          <w:w w:val="168"/>
        </w:rPr>
        <w:t xml:space="preserve">  </w:t>
      </w:r>
    </w:p>
    <w:p>
      <w:pPr>
        <w:pStyle w:val="13"/>
        <w:spacing w:before="4"/>
        <w:rPr>
          <w:rFonts w:ascii="微软雅黑"/>
          <w:b/>
          <w:sz w:val="17"/>
        </w:rPr>
      </w:pPr>
    </w:p>
    <w:p>
      <w:pPr>
        <w:pStyle w:val="13"/>
        <w:spacing w:before="66"/>
        <w:ind w:left="818"/>
      </w:pPr>
      <w:r>
        <w:t>致 ：</w:t>
      </w:r>
      <w:r>
        <w:rPr>
          <w:spacing w:val="119"/>
          <w:u w:val="single"/>
        </w:rPr>
        <w:t xml:space="preserve"> </w:t>
      </w:r>
      <w:r>
        <w:t xml:space="preserve">( 采 购 代 理 机 构 ) </w:t>
      </w:r>
    </w:p>
    <w:p>
      <w:pPr>
        <w:pStyle w:val="13"/>
        <w:spacing w:before="161" w:line="364" w:lineRule="auto"/>
        <w:ind w:left="818" w:right="70"/>
      </w:pPr>
      <w:r>
        <w:t xml:space="preserve">    我单位在参加采购活动前三年内在经营活动中没有政府采购法第二十二条第一款第(五)项所称重大违法记录，包括： </w:t>
      </w:r>
    </w:p>
    <w:p>
      <w:pPr>
        <w:pStyle w:val="13"/>
        <w:spacing w:before="161" w:line="364" w:lineRule="auto"/>
        <w:ind w:left="818" w:right="70"/>
      </w:pPr>
      <w:r>
        <w:t xml:space="preserve">(一)我单位或者其法定代表人、董事、监事、高级管理人员因经营活动中的违法行为受到行政处罚，但警告和罚款额在三万元以下的行政处罚除外； </w:t>
      </w:r>
    </w:p>
    <w:p>
      <w:pPr>
        <w:pStyle w:val="13"/>
        <w:spacing w:before="161" w:line="364" w:lineRule="auto"/>
        <w:ind w:left="818" w:right="70"/>
      </w:pPr>
      <w:r>
        <w:t xml:space="preserve">(二)我单位或者其法定代表人、董事、监事、高级管理人员因经营活动中的违法行为受到刑事处罚。 </w:t>
      </w:r>
    </w:p>
    <w:p>
      <w:pPr>
        <w:pStyle w:val="13"/>
        <w:spacing w:before="161" w:line="364" w:lineRule="auto"/>
        <w:ind w:left="818" w:right="70"/>
      </w:pPr>
      <w:r>
        <w:t xml:space="preserve">特此声明!   </w:t>
      </w:r>
    </w:p>
    <w:p>
      <w:pPr>
        <w:pStyle w:val="13"/>
        <w:spacing w:before="161" w:line="364" w:lineRule="auto"/>
        <w:ind w:left="818" w:right="70"/>
      </w:pPr>
      <w:r>
        <w:t xml:space="preserve"> </w:t>
      </w:r>
    </w:p>
    <w:p>
      <w:pPr>
        <w:pStyle w:val="13"/>
        <w:spacing w:before="161" w:line="364" w:lineRule="auto"/>
        <w:ind w:left="818" w:right="70"/>
      </w:pPr>
      <w:r>
        <w:t xml:space="preserve">投 标 人 名 称 ：           ( 电 子 签 章 ) 法 定 代 表 人 ： ( 电 子 签 名 ) </w:t>
      </w:r>
    </w:p>
    <w:p>
      <w:pPr>
        <w:pStyle w:val="13"/>
        <w:spacing w:before="161" w:line="364" w:lineRule="auto"/>
        <w:ind w:left="818" w:right="70"/>
      </w:pPr>
      <w:r>
        <w:t xml:space="preserve">日 期 ： 年 月 日 </w:t>
      </w: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spacing w:before="8"/>
        <w:rPr>
          <w:sz w:val="18"/>
        </w:rPr>
      </w:pPr>
    </w:p>
    <w:p>
      <w:pPr>
        <w:spacing w:line="278" w:lineRule="auto"/>
        <w:ind w:left="818" w:right="70"/>
        <w:jc w:val="both"/>
        <w:rPr>
          <w:sz w:val="21"/>
        </w:rPr>
      </w:pPr>
      <w:r>
        <w:rPr>
          <w:spacing w:val="-4"/>
          <w:sz w:val="21"/>
        </w:rPr>
        <w:t>“信用中国”网站</w:t>
      </w:r>
      <w:r>
        <w:rPr>
          <w:spacing w:val="-3"/>
          <w:sz w:val="21"/>
        </w:rPr>
        <w:t>（</w:t>
      </w:r>
      <w:r>
        <w:fldChar w:fldCharType="begin"/>
      </w:r>
      <w:r>
        <w:instrText xml:space="preserve"> HYPERLINK "http://www.creditchina.gov.cn/" \h </w:instrText>
      </w:r>
      <w:r>
        <w:fldChar w:fldCharType="separate"/>
      </w:r>
      <w:r>
        <w:rPr>
          <w:rFonts w:ascii="Times New Roman" w:hAnsi="Times New Roman" w:eastAsia="Times New Roman"/>
          <w:spacing w:val="-3"/>
          <w:sz w:val="21"/>
        </w:rPr>
        <w:t>www.creditchina.gov.cn</w:t>
      </w:r>
      <w:r>
        <w:rPr>
          <w:rFonts w:ascii="Times New Roman" w:hAnsi="Times New Roman" w:eastAsia="Times New Roman"/>
          <w:spacing w:val="-3"/>
          <w:sz w:val="21"/>
        </w:rPr>
        <w:fldChar w:fldCharType="end"/>
      </w:r>
      <w:r>
        <w:rPr>
          <w:spacing w:val="-3"/>
          <w:sz w:val="21"/>
        </w:rPr>
        <w:t>）中未被列入失信被执行人和重大税收违法案件</w:t>
      </w:r>
      <w:r>
        <w:rPr>
          <w:spacing w:val="-7"/>
          <w:sz w:val="21"/>
        </w:rPr>
        <w:t>当事人名单和政府采购严重违法失信行为记录名单的网站查询截图</w:t>
      </w:r>
      <w:r>
        <w:rPr>
          <w:sz w:val="21"/>
        </w:rPr>
        <w:t>（</w:t>
      </w:r>
      <w:r>
        <w:rPr>
          <w:spacing w:val="-3"/>
          <w:sz w:val="21"/>
        </w:rPr>
        <w:t>网站截图须自采购文件发布之日起至投标截止时间从上述网站中打印</w:t>
      </w:r>
      <w:r>
        <w:rPr>
          <w:spacing w:val="-106"/>
          <w:sz w:val="21"/>
        </w:rPr>
        <w:t>）</w:t>
      </w:r>
      <w:r>
        <w:rPr>
          <w:sz w:val="21"/>
        </w:rPr>
        <w:t>；</w:t>
      </w:r>
    </w:p>
    <w:p>
      <w:pPr>
        <w:pStyle w:val="13"/>
        <w:rPr>
          <w:sz w:val="20"/>
        </w:rPr>
      </w:pPr>
    </w:p>
    <w:p>
      <w:pPr>
        <w:pStyle w:val="13"/>
        <w:rPr>
          <w:sz w:val="20"/>
        </w:rPr>
      </w:pPr>
    </w:p>
    <w:p>
      <w:pPr>
        <w:pStyle w:val="13"/>
        <w:rPr>
          <w:sz w:val="20"/>
        </w:rPr>
      </w:pPr>
    </w:p>
    <w:p>
      <w:pPr>
        <w:pStyle w:val="13"/>
        <w:rPr>
          <w:sz w:val="20"/>
        </w:rPr>
      </w:pPr>
    </w:p>
    <w:p>
      <w:pPr>
        <w:spacing w:before="134" w:line="278" w:lineRule="auto"/>
        <w:ind w:left="818" w:right="70"/>
        <w:rPr>
          <w:rFonts w:ascii="Microsoft JhengHei"/>
          <w:sz w:val="10"/>
        </w:rPr>
        <w:sectPr>
          <w:pgSz w:w="11910" w:h="16840"/>
          <w:pgMar w:top="1440" w:right="1080" w:bottom="1440" w:left="1080" w:header="906" w:footer="895" w:gutter="0"/>
          <w:cols w:space="720" w:num="1"/>
        </w:sectPr>
      </w:pPr>
      <w:r>
        <w:rPr>
          <w:sz w:val="21"/>
        </w:rPr>
        <w:t>中国政府采购网（</w:t>
      </w:r>
      <w:r>
        <w:fldChar w:fldCharType="begin"/>
      </w:r>
      <w:r>
        <w:instrText xml:space="preserve"> HYPERLINK "http://www.ccgp.gov.cn/" \h </w:instrText>
      </w:r>
      <w:r>
        <w:fldChar w:fldCharType="separate"/>
      </w:r>
      <w:r>
        <w:rPr>
          <w:rFonts w:ascii="Times New Roman" w:eastAsia="Times New Roman"/>
          <w:sz w:val="21"/>
        </w:rPr>
        <w:t>www.ccgp.gov.cn</w:t>
      </w:r>
      <w:r>
        <w:rPr>
          <w:rFonts w:ascii="Times New Roman" w:eastAsia="Times New Roman"/>
          <w:sz w:val="21"/>
        </w:rPr>
        <w:fldChar w:fldCharType="end"/>
      </w:r>
      <w:r>
        <w:rPr>
          <w:sz w:val="21"/>
        </w:rPr>
        <w:t>）</w:t>
      </w:r>
      <w:r>
        <w:rPr>
          <w:spacing w:val="-1"/>
          <w:sz w:val="21"/>
        </w:rPr>
        <w:t>中未被列入政府采购严重违法失信行为记录名单的网</w:t>
      </w:r>
      <w:r>
        <w:rPr>
          <w:spacing w:val="-2"/>
          <w:sz w:val="21"/>
        </w:rPr>
        <w:t>站查询截图</w:t>
      </w:r>
      <w:r>
        <w:rPr>
          <w:sz w:val="21"/>
        </w:rPr>
        <w:t>（</w:t>
      </w:r>
      <w:r>
        <w:rPr>
          <w:spacing w:val="-3"/>
          <w:sz w:val="21"/>
        </w:rPr>
        <w:t>网站截图须自采购文件发布之日起至投标截止时间从上述网站中打印</w:t>
      </w:r>
      <w:r>
        <w:rPr>
          <w:spacing w:val="-106"/>
          <w:sz w:val="21"/>
        </w:rPr>
        <w:t>）</w:t>
      </w:r>
      <w:bookmarkStart w:id="407" w:name="三、商务文件"/>
      <w:bookmarkEnd w:id="407"/>
    </w:p>
    <w:p>
      <w:pPr>
        <w:pStyle w:val="7"/>
        <w:ind w:left="0"/>
        <w:jc w:val="center"/>
      </w:pPr>
      <w:bookmarkStart w:id="408" w:name="一、☆投标函"/>
      <w:bookmarkEnd w:id="408"/>
      <w:bookmarkStart w:id="409" w:name="_Toc28256"/>
      <w:bookmarkStart w:id="410" w:name="_Toc7593"/>
      <w:r>
        <w:rPr>
          <w:rFonts w:hint="eastAsia" w:eastAsia="宋体"/>
          <w:w w:val="105"/>
        </w:rPr>
        <w:t>十三</w:t>
      </w:r>
      <w:r>
        <w:rPr>
          <w:w w:val="105"/>
        </w:rPr>
        <w:t>、☆投标函</w:t>
      </w:r>
      <w:bookmarkEnd w:id="409"/>
      <w:bookmarkEnd w:id="410"/>
    </w:p>
    <w:p>
      <w:pPr>
        <w:pStyle w:val="13"/>
        <w:spacing w:before="116"/>
        <w:ind w:left="818"/>
      </w:pPr>
      <w:r>
        <w:t xml:space="preserve"> </w:t>
      </w:r>
      <w:r>
        <w:rPr>
          <w:u w:val="single"/>
        </w:rPr>
        <w:t xml:space="preserve">                    </w:t>
      </w:r>
      <w:r>
        <w:t xml:space="preserve">： </w:t>
      </w:r>
    </w:p>
    <w:p>
      <w:pPr>
        <w:pStyle w:val="13"/>
        <w:spacing w:before="160" w:line="364" w:lineRule="auto"/>
        <w:ind w:left="818" w:right="70"/>
        <w:jc w:val="both"/>
      </w:pPr>
      <w:r>
        <w:t xml:space="preserve">     </w:t>
      </w:r>
      <w:r>
        <w:rPr>
          <w:u w:val="single"/>
        </w:rPr>
        <w:t xml:space="preserve">                    </w:t>
      </w:r>
      <w:r>
        <w:t xml:space="preserve"> ( 投 标 人 名 称 ) 授 权</w:t>
      </w:r>
      <w:r>
        <w:rPr>
          <w:u w:val="single"/>
        </w:rPr>
        <w:t xml:space="preserve">        </w:t>
      </w:r>
      <w:r>
        <w:t>( 投 标 人授权代理人姓名)</w:t>
      </w:r>
      <w:r>
        <w:rPr>
          <w:u w:val="single"/>
        </w:rPr>
        <w:t xml:space="preserve">                     </w:t>
      </w:r>
      <w:r>
        <w:t>(职务、职称)为我方代表，参加贵方组织的</w:t>
      </w:r>
      <w:r>
        <w:rPr>
          <w:u w:val="single"/>
        </w:rPr>
        <w:t xml:space="preserve">                     </w:t>
      </w:r>
      <w:r>
        <w:t xml:space="preserve"> (项目名称、项目编号、包号)招标的有关活动，并对此项目进行投标。为此： </w:t>
      </w:r>
    </w:p>
    <w:p>
      <w:pPr>
        <w:pStyle w:val="13"/>
        <w:spacing w:before="160" w:line="364" w:lineRule="auto"/>
        <w:ind w:left="818" w:right="70"/>
        <w:jc w:val="both"/>
      </w:pPr>
      <w:r>
        <w:t xml:space="preserve">1、我方同意在本项目招标文件中规定的投标有效期内遵守本投标文件中的承诺且在此期限期满之前均具有约束力。 </w:t>
      </w:r>
    </w:p>
    <w:p>
      <w:pPr>
        <w:pStyle w:val="13"/>
        <w:spacing w:before="160" w:line="364" w:lineRule="auto"/>
        <w:ind w:left="818" w:right="70"/>
        <w:jc w:val="both"/>
      </w:pPr>
      <w:r>
        <w:t xml:space="preserve">2、我方承诺已经具备《中华人民共和国政府采购法》中规定的参加政府采购活动的供应商应当具备的条件： </w:t>
      </w:r>
    </w:p>
    <w:p>
      <w:pPr>
        <w:pStyle w:val="13"/>
        <w:spacing w:before="160" w:line="364" w:lineRule="auto"/>
        <w:ind w:left="818" w:right="70"/>
        <w:jc w:val="both"/>
      </w:pPr>
      <w:r>
        <w:t xml:space="preserve">具有独立承担民事责任的能力； </w:t>
      </w:r>
    </w:p>
    <w:p>
      <w:pPr>
        <w:pStyle w:val="13"/>
        <w:spacing w:before="160" w:line="364" w:lineRule="auto"/>
        <w:ind w:left="818" w:right="70"/>
        <w:jc w:val="both"/>
      </w:pPr>
      <w:r>
        <w:t xml:space="preserve">具有良好的商业信誉和健全的财务会计制度； </w:t>
      </w:r>
    </w:p>
    <w:p>
      <w:pPr>
        <w:pStyle w:val="13"/>
        <w:spacing w:before="160" w:line="364" w:lineRule="auto"/>
        <w:ind w:left="818" w:right="70"/>
        <w:jc w:val="both"/>
      </w:pPr>
      <w:r>
        <w:t xml:space="preserve">具有履行合同所必需的设备和专业技术能力； </w:t>
      </w:r>
    </w:p>
    <w:p>
      <w:pPr>
        <w:pStyle w:val="13"/>
        <w:spacing w:before="160" w:line="364" w:lineRule="auto"/>
        <w:ind w:left="818" w:right="70"/>
        <w:jc w:val="both"/>
      </w:pPr>
      <w:r>
        <w:t xml:space="preserve">有依法缴纳税收和社会保障资金的良好记录； </w:t>
      </w:r>
    </w:p>
    <w:p>
      <w:pPr>
        <w:pStyle w:val="13"/>
        <w:spacing w:before="160" w:line="364" w:lineRule="auto"/>
        <w:ind w:left="818" w:right="70"/>
        <w:jc w:val="both"/>
      </w:pPr>
      <w:r>
        <w:t xml:space="preserve">参加此项采购活动前三年内，在经营活动中没有重大违法记录； </w:t>
      </w:r>
    </w:p>
    <w:p>
      <w:pPr>
        <w:pStyle w:val="13"/>
        <w:spacing w:before="160" w:line="364" w:lineRule="auto"/>
        <w:ind w:left="818" w:right="70"/>
        <w:jc w:val="both"/>
      </w:pPr>
      <w:r>
        <w:t xml:space="preserve">法律、行政法规规定的其他条件。 </w:t>
      </w:r>
    </w:p>
    <w:p>
      <w:pPr>
        <w:pStyle w:val="13"/>
        <w:spacing w:before="160" w:line="364" w:lineRule="auto"/>
        <w:ind w:left="818" w:right="70"/>
        <w:jc w:val="both"/>
      </w:pPr>
      <w:r>
        <w:t xml:space="preserve">3、提供投标人须知规定的全部投标文件，包括在兵团公共资源交易平台上传加密电子投标文件一份，提交未加密电子投标文件有效光盘三份。 </w:t>
      </w:r>
    </w:p>
    <w:p>
      <w:pPr>
        <w:pStyle w:val="13"/>
        <w:spacing w:before="160" w:line="364" w:lineRule="auto"/>
        <w:ind w:left="818" w:right="70"/>
        <w:jc w:val="both"/>
      </w:pPr>
      <w:r>
        <w:t xml:space="preserve">4、按招标文件要求提供和交付的货物及相关服务的投标报价详见开标一览表。 </w:t>
      </w:r>
    </w:p>
    <w:p>
      <w:pPr>
        <w:pStyle w:val="13"/>
        <w:spacing w:before="160" w:line="364" w:lineRule="auto"/>
        <w:ind w:left="818" w:right="70"/>
        <w:jc w:val="both"/>
      </w:pPr>
      <w:r>
        <w:t xml:space="preserve">5、保证忠实地执行双方所签订的合同，并承担合同规定的责任和义务。 </w:t>
      </w:r>
    </w:p>
    <w:p>
      <w:pPr>
        <w:pStyle w:val="13"/>
        <w:spacing w:before="160" w:line="364" w:lineRule="auto"/>
        <w:ind w:left="818" w:right="70"/>
        <w:jc w:val="both"/>
      </w:pPr>
      <w:r>
        <w:t>6、我方承诺完全满足和</w:t>
      </w:r>
      <w:r>
        <w:rPr>
          <w:rFonts w:hint="eastAsia"/>
        </w:rPr>
        <w:t>投标</w:t>
      </w:r>
      <w:r>
        <w:t xml:space="preserve">招标文件中的各项技术和服务要求，若有偏差，已在投标文件偏离表中予以明确特别说明。 </w:t>
      </w:r>
    </w:p>
    <w:p>
      <w:pPr>
        <w:pStyle w:val="13"/>
        <w:spacing w:before="160" w:line="364" w:lineRule="auto"/>
        <w:ind w:left="818" w:right="70"/>
        <w:jc w:val="both"/>
      </w:pPr>
      <w:r>
        <w:t xml:space="preserve">7、我方承诺：完全理解投标报价若超过项目预算时，投标将被拒绝。 </w:t>
      </w:r>
    </w:p>
    <w:p>
      <w:pPr>
        <w:pStyle w:val="13"/>
        <w:spacing w:before="160" w:line="364" w:lineRule="auto"/>
        <w:ind w:left="818" w:right="70"/>
        <w:jc w:val="both"/>
      </w:pPr>
      <w:r>
        <w:t xml:space="preserve">8、我方承诺：与在本项目中设计编制技术规格的机构及其附属机构无任何直接隶属关系和利益关联。 </w:t>
      </w:r>
    </w:p>
    <w:p>
      <w:pPr>
        <w:pStyle w:val="13"/>
        <w:spacing w:before="160" w:line="364" w:lineRule="auto"/>
        <w:ind w:left="818" w:right="70"/>
        <w:jc w:val="both"/>
      </w:pPr>
      <w:r>
        <w:t xml:space="preserve">9、如果在开标后规定的投标有效期内撤回投标，我方的投标保证金可被贵方没收。 </w:t>
      </w:r>
    </w:p>
    <w:p>
      <w:pPr>
        <w:pStyle w:val="13"/>
        <w:spacing w:before="160" w:line="364" w:lineRule="auto"/>
        <w:ind w:left="818" w:right="70"/>
        <w:jc w:val="both"/>
      </w:pPr>
      <w:r>
        <w:t xml:space="preserve">10、我方完全理解贵方不一定接受最低价的投标或收到的任何投标。 </w:t>
      </w:r>
    </w:p>
    <w:p>
      <w:pPr>
        <w:sectPr>
          <w:pgSz w:w="11910" w:h="16840"/>
          <w:pgMar w:top="1440" w:right="1080" w:bottom="1440" w:left="1080" w:header="906" w:footer="895" w:gutter="0"/>
          <w:cols w:space="720" w:num="1"/>
        </w:sectPr>
      </w:pPr>
    </w:p>
    <w:p>
      <w:pPr>
        <w:pStyle w:val="13"/>
        <w:spacing w:before="118" w:line="364" w:lineRule="auto"/>
        <w:ind w:left="18" w:right="70" w:hanging="18"/>
        <w:jc w:val="both"/>
      </w:pPr>
      <w:r>
        <w:t xml:space="preserve">11、我方承诺：投标文件所提供的一切资料及新疆兵团公共资源交易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 </w:t>
      </w:r>
    </w:p>
    <w:p>
      <w:pPr>
        <w:pStyle w:val="13"/>
        <w:spacing w:before="118" w:line="364" w:lineRule="auto"/>
        <w:ind w:left="18" w:right="70" w:hanging="18"/>
        <w:jc w:val="both"/>
      </w:pPr>
      <w:r>
        <w:t xml:space="preserve">12、我方已详细审核全部投标文件，包括投标文件修改书（如有的话）、参考资料及有关附件，确认无误。 </w:t>
      </w:r>
    </w:p>
    <w:p>
      <w:pPr>
        <w:pStyle w:val="13"/>
        <w:spacing w:before="118" w:line="364" w:lineRule="auto"/>
        <w:ind w:left="18" w:right="70" w:hanging="18"/>
        <w:jc w:val="both"/>
      </w:pPr>
      <w:r>
        <w:t xml:space="preserve">13、我方承诺：采购人若需追加采购本项目招标文件所列货物及相关服务的，在不改变合同其他实质性条款的前提下，按相同或更优惠的折扣率保证供货。 </w:t>
      </w:r>
    </w:p>
    <w:p>
      <w:pPr>
        <w:pStyle w:val="13"/>
        <w:spacing w:before="118" w:line="364" w:lineRule="auto"/>
        <w:ind w:left="18" w:right="70" w:hanging="18"/>
        <w:jc w:val="both"/>
      </w:pPr>
      <w:r>
        <w:t xml:space="preserve">14、我方承诺：如所报货物属国家强制认证产品的，均已通过认证且在有效期内，否则，由此产生的一切法律责任由我方承担。 </w:t>
      </w:r>
    </w:p>
    <w:p>
      <w:pPr>
        <w:pStyle w:val="13"/>
        <w:spacing w:before="118" w:line="364" w:lineRule="auto"/>
        <w:ind w:left="18" w:right="70" w:hanging="18"/>
        <w:jc w:val="both"/>
      </w:pPr>
      <w:r>
        <w:t xml:space="preserve">15、我方承诺：接受招标文件中的全部条款且无任何异议，保证遵守招标文件的规定。 </w:t>
      </w:r>
    </w:p>
    <w:p>
      <w:pPr>
        <w:pStyle w:val="13"/>
        <w:spacing w:before="118" w:line="364" w:lineRule="auto"/>
        <w:ind w:left="18" w:right="70" w:hanging="18"/>
        <w:jc w:val="both"/>
      </w:pPr>
      <w:r>
        <w:t xml:space="preserve">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 依法追究刑事责任： </w:t>
      </w:r>
    </w:p>
    <w:p>
      <w:pPr>
        <w:pStyle w:val="13"/>
        <w:spacing w:before="118" w:line="364" w:lineRule="auto"/>
        <w:ind w:left="18" w:right="70" w:hanging="18"/>
        <w:jc w:val="both"/>
      </w:pPr>
      <w:r>
        <w:t xml:space="preserve">提供虚假材料谋取中标、成交的； </w:t>
      </w:r>
    </w:p>
    <w:p>
      <w:pPr>
        <w:pStyle w:val="13"/>
        <w:spacing w:before="118" w:line="364" w:lineRule="auto"/>
        <w:ind w:left="18" w:right="70" w:hanging="18"/>
        <w:jc w:val="both"/>
      </w:pPr>
      <w:r>
        <w:t xml:space="preserve">采取不正当手段诋毁、排挤其他供应商的； </w:t>
      </w:r>
    </w:p>
    <w:p>
      <w:pPr>
        <w:pStyle w:val="13"/>
        <w:spacing w:before="118" w:line="364" w:lineRule="auto"/>
        <w:ind w:left="18" w:right="70" w:hanging="18"/>
        <w:jc w:val="both"/>
      </w:pPr>
      <w:r>
        <w:t xml:space="preserve">与采购人、其他供应商或者采购代理机构工作人员恶意串通的； </w:t>
      </w:r>
    </w:p>
    <w:p>
      <w:pPr>
        <w:pStyle w:val="13"/>
        <w:spacing w:before="118" w:line="364" w:lineRule="auto"/>
        <w:ind w:left="18" w:right="70" w:hanging="18"/>
        <w:jc w:val="both"/>
      </w:pPr>
      <w:r>
        <w:t xml:space="preserve">向采购人、采购代理机构工作人员行贿或者提供其他不正当利益的； </w:t>
      </w:r>
    </w:p>
    <w:p>
      <w:pPr>
        <w:pStyle w:val="13"/>
        <w:spacing w:before="118" w:line="364" w:lineRule="auto"/>
        <w:ind w:left="18" w:right="70" w:hanging="18"/>
        <w:jc w:val="both"/>
      </w:pPr>
      <w:r>
        <w:t>在采购过程中与采购人进行协商</w:t>
      </w:r>
      <w:r>
        <w:rPr>
          <w:rFonts w:hint="eastAsia"/>
        </w:rPr>
        <w:t>招标</w:t>
      </w:r>
      <w:r>
        <w:t xml:space="preserve">的； </w:t>
      </w:r>
    </w:p>
    <w:p>
      <w:pPr>
        <w:pStyle w:val="13"/>
        <w:spacing w:before="118" w:line="364" w:lineRule="auto"/>
        <w:ind w:left="18" w:right="70" w:hanging="18"/>
        <w:jc w:val="both"/>
      </w:pPr>
      <w:r>
        <w:t xml:space="preserve">拒绝有关部门监督检查或提供虚假情况的。 </w:t>
      </w:r>
    </w:p>
    <w:p>
      <w:pPr>
        <w:pStyle w:val="13"/>
        <w:spacing w:before="118" w:line="364" w:lineRule="auto"/>
        <w:ind w:left="18" w:right="70" w:hanging="18"/>
        <w:jc w:val="both"/>
      </w:pPr>
      <w:r>
        <w:t xml:space="preserve">    17、 </w:t>
      </w:r>
    </w:p>
    <w:p>
      <w:pPr>
        <w:pStyle w:val="13"/>
        <w:spacing w:before="99"/>
        <w:ind w:left="1298"/>
      </w:pPr>
      <w:r>
        <w:t xml:space="preserve">与本投标有关的一切往来通讯请寄： </w:t>
      </w:r>
    </w:p>
    <w:p>
      <w:pPr>
        <w:pStyle w:val="13"/>
        <w:tabs>
          <w:tab w:val="left" w:pos="3458"/>
          <w:tab w:val="left" w:pos="8259"/>
        </w:tabs>
        <w:spacing w:before="160" w:line="364" w:lineRule="auto"/>
        <w:ind w:left="1298" w:right="2544"/>
      </w:pPr>
      <w:r>
        <w:t>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t xml:space="preserve"> 邮编：</w:t>
      </w:r>
      <w:r>
        <w:rPr>
          <w:rFonts w:ascii="Times New Roman" w:eastAsia="Times New Roman"/>
          <w:u w:val="single"/>
        </w:rPr>
        <w:t xml:space="preserve"> </w:t>
      </w:r>
      <w:r>
        <w:rPr>
          <w:rFonts w:ascii="Times New Roman" w:eastAsia="Times New Roman"/>
          <w:u w:val="single"/>
        </w:rPr>
        <w:tab/>
      </w:r>
      <w:r>
        <w:t xml:space="preserve">   </w:t>
      </w:r>
    </w:p>
    <w:p>
      <w:pPr>
        <w:pStyle w:val="13"/>
        <w:tabs>
          <w:tab w:val="left" w:pos="3458"/>
        </w:tabs>
        <w:spacing w:before="2"/>
        <w:ind w:left="1298"/>
      </w:pPr>
      <w:r>
        <w:t>电话：</w:t>
      </w:r>
      <w:r>
        <w:rPr>
          <w:rFonts w:ascii="Times New Roman" w:eastAsia="Times New Roman"/>
          <w:u w:val="single"/>
        </w:rPr>
        <w:t xml:space="preserve"> </w:t>
      </w:r>
      <w:r>
        <w:rPr>
          <w:rFonts w:ascii="Times New Roman" w:eastAsia="Times New Roman"/>
          <w:u w:val="single"/>
        </w:rPr>
        <w:tab/>
      </w:r>
      <w:r>
        <w:t xml:space="preserve">   </w:t>
      </w:r>
    </w:p>
    <w:p>
      <w:pPr>
        <w:sectPr>
          <w:pgSz w:w="11910" w:h="16840"/>
          <w:pgMar w:top="1440" w:right="1080" w:bottom="1440" w:left="1080" w:header="906" w:footer="895" w:gutter="0"/>
          <w:cols w:space="720" w:num="1"/>
        </w:sectPr>
      </w:pPr>
    </w:p>
    <w:p>
      <w:pPr>
        <w:pStyle w:val="13"/>
        <w:tabs>
          <w:tab w:val="left" w:pos="3458"/>
        </w:tabs>
        <w:spacing w:before="118"/>
        <w:ind w:left="1298"/>
      </w:pPr>
      <w:r>
        <w:t>传真：</w:t>
      </w:r>
      <w:r>
        <w:rPr>
          <w:rFonts w:ascii="Times New Roman" w:eastAsia="Times New Roman"/>
          <w:u w:val="single"/>
        </w:rPr>
        <w:t xml:space="preserve"> </w:t>
      </w:r>
      <w:r>
        <w:rPr>
          <w:rFonts w:ascii="Times New Roman" w:eastAsia="Times New Roman"/>
          <w:u w:val="single"/>
        </w:rPr>
        <w:tab/>
      </w:r>
      <w:r>
        <w:t xml:space="preserve"> </w:t>
      </w:r>
    </w:p>
    <w:p>
      <w:pPr>
        <w:pStyle w:val="13"/>
        <w:spacing w:before="161"/>
        <w:ind w:left="1298"/>
      </w:pPr>
      <w:r>
        <w:t>投标人法定代表人或授权代理人联系电话，e-mail：</w:t>
      </w:r>
      <w:r>
        <w:rPr>
          <w:u w:val="single"/>
        </w:rPr>
        <w:t xml:space="preserve">                   </w:t>
      </w:r>
      <w:r>
        <w:t xml:space="preserve">               </w:t>
      </w:r>
    </w:p>
    <w:p>
      <w:pPr>
        <w:pStyle w:val="13"/>
      </w:pPr>
    </w:p>
    <w:p>
      <w:pPr>
        <w:pStyle w:val="13"/>
        <w:rPr>
          <w:sz w:val="19"/>
        </w:rPr>
      </w:pPr>
    </w:p>
    <w:p>
      <w:pPr>
        <w:pStyle w:val="9"/>
        <w:spacing w:line="254" w:lineRule="auto"/>
        <w:ind w:left="1300" w:right="6390" w:hanging="20"/>
      </w:pPr>
      <w:r>
        <w:t>投标人法定代表人电子签名： 投标人公章：</w:t>
      </w:r>
      <w:r>
        <w:rPr>
          <w:w w:val="167"/>
        </w:rPr>
        <w:t xml:space="preserve"> </w:t>
      </w:r>
    </w:p>
    <w:p>
      <w:pPr>
        <w:pStyle w:val="13"/>
        <w:tabs>
          <w:tab w:val="left" w:pos="1237"/>
        </w:tabs>
        <w:spacing w:before="75"/>
        <w:ind w:left="818"/>
      </w:pPr>
      <w:r>
        <w:t xml:space="preserve"> </w:t>
      </w:r>
      <w:r>
        <w:tab/>
      </w:r>
      <w:r>
        <w:t xml:space="preserve"> 日 期 ： </w:t>
      </w:r>
    </w:p>
    <w:p>
      <w:pPr>
        <w:pStyle w:val="13"/>
        <w:spacing w:before="161"/>
        <w:ind w:left="818"/>
      </w:pPr>
      <w:r>
        <w:t xml:space="preserve"> </w:t>
      </w:r>
    </w:p>
    <w:p>
      <w:pPr>
        <w:pStyle w:val="9"/>
        <w:spacing w:before="83" w:line="254" w:lineRule="auto"/>
        <w:ind w:right="1790"/>
      </w:pPr>
      <w:r>
        <w:t>说明：除可填报项目外，对本投标函的任何修改将被视为非实质性</w:t>
      </w:r>
      <w:r>
        <w:rPr>
          <w:rFonts w:hint="eastAsia"/>
        </w:rPr>
        <w:t>投标</w:t>
      </w:r>
      <w:r>
        <w:t>投标， 从而导致该投标被拒绝。</w:t>
      </w:r>
      <w:r>
        <w:rPr>
          <w:w w:val="167"/>
        </w:rPr>
        <w:t xml:space="preserve"> </w:t>
      </w:r>
    </w:p>
    <w:p>
      <w:pPr>
        <w:spacing w:before="29"/>
        <w:ind w:left="818"/>
        <w:rPr>
          <w:rFonts w:ascii="微软雅黑"/>
          <w:b/>
          <w:sz w:val="21"/>
        </w:rPr>
      </w:pPr>
      <w:r>
        <w:rPr>
          <w:rFonts w:ascii="微软雅黑"/>
          <w:b/>
          <w:w w:val="168"/>
          <w:sz w:val="21"/>
        </w:rPr>
        <w:t xml:space="preserve"> </w:t>
      </w:r>
    </w:p>
    <w:p>
      <w:pPr>
        <w:rPr>
          <w:rFonts w:ascii="微软雅黑"/>
          <w:sz w:val="21"/>
        </w:rPr>
        <w:sectPr>
          <w:pgSz w:w="11910" w:h="16840"/>
          <w:pgMar w:top="1440" w:right="1080" w:bottom="1440" w:left="1080" w:header="906" w:footer="895" w:gutter="0"/>
          <w:cols w:space="720" w:num="1"/>
        </w:sectPr>
      </w:pPr>
    </w:p>
    <w:p>
      <w:pPr>
        <w:pStyle w:val="7"/>
        <w:jc w:val="center"/>
      </w:pPr>
      <w:bookmarkStart w:id="411" w:name="二、☆开标一览表"/>
      <w:bookmarkEnd w:id="411"/>
      <w:bookmarkStart w:id="412" w:name="_Toc17829"/>
      <w:bookmarkStart w:id="413" w:name="_Toc13074"/>
      <w:r>
        <w:rPr>
          <w:rFonts w:hint="eastAsia" w:eastAsia="宋体"/>
          <w:w w:val="105"/>
        </w:rPr>
        <w:t>十四</w:t>
      </w:r>
      <w:r>
        <w:rPr>
          <w:w w:val="105"/>
        </w:rPr>
        <w:t>、☆开标一览表</w:t>
      </w:r>
      <w:bookmarkEnd w:id="412"/>
      <w:bookmarkEnd w:id="413"/>
    </w:p>
    <w:p>
      <w:pPr>
        <w:pStyle w:val="13"/>
        <w:spacing w:before="39" w:line="295" w:lineRule="auto"/>
        <w:ind w:right="4986"/>
        <w:outlineLvl w:val="1"/>
      </w:pPr>
      <w:r>
        <w:t>项目编号：</w:t>
      </w:r>
      <w:r>
        <w:rPr>
          <w:u w:val="single"/>
        </w:rPr>
        <w:t xml:space="preserve">                           </w:t>
      </w:r>
      <w:r>
        <w:rPr>
          <w:spacing w:val="1"/>
          <w:u w:val="single"/>
        </w:rPr>
        <w:t xml:space="preserve"> </w:t>
      </w:r>
      <w:r>
        <w:t xml:space="preserve"> </w:t>
      </w:r>
    </w:p>
    <w:p>
      <w:pPr>
        <w:pStyle w:val="13"/>
        <w:spacing w:before="90"/>
        <w:rPr>
          <w:sz w:val="29"/>
        </w:rPr>
      </w:pPr>
      <w:r>
        <w:rPr>
          <w:spacing w:val="-1"/>
        </w:rPr>
        <w:t>项目名称：</w:t>
      </w:r>
      <w:r>
        <w:rPr>
          <w:spacing w:val="-1"/>
          <w:u w:val="single"/>
        </w:rPr>
        <w:t xml:space="preserve">                           </w:t>
      </w:r>
      <w:r>
        <w:rPr>
          <w:spacing w:val="1"/>
          <w:u w:val="single"/>
        </w:rPr>
        <w:t xml:space="preserve"> </w:t>
      </w:r>
      <w:r>
        <w:rPr>
          <w:w w:val="96"/>
          <w:sz w:val="29"/>
        </w:rPr>
        <w:t xml:space="preserve"> </w:t>
      </w:r>
    </w:p>
    <w:p>
      <w:pPr>
        <w:pStyle w:val="13"/>
        <w:spacing w:before="4"/>
        <w:rPr>
          <w:sz w:val="6"/>
        </w:rPr>
      </w:pPr>
    </w:p>
    <w:tbl>
      <w:tblPr>
        <w:tblStyle w:val="28"/>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1"/>
        <w:gridCol w:w="4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4271" w:type="dxa"/>
            <w:vAlign w:val="center"/>
          </w:tcPr>
          <w:p>
            <w:pPr>
              <w:pStyle w:val="37"/>
              <w:spacing w:before="79"/>
              <w:ind w:left="107"/>
              <w:jc w:val="center"/>
              <w:rPr>
                <w:sz w:val="24"/>
              </w:rPr>
            </w:pPr>
            <w:r>
              <w:rPr>
                <w:sz w:val="24"/>
              </w:rPr>
              <w:t>投标</w:t>
            </w:r>
            <w:r>
              <w:rPr>
                <w:rFonts w:hint="eastAsia"/>
                <w:sz w:val="24"/>
              </w:rPr>
              <w:t>报</w:t>
            </w:r>
            <w:r>
              <w:rPr>
                <w:sz w:val="24"/>
              </w:rPr>
              <w:t>价</w:t>
            </w:r>
          </w:p>
        </w:tc>
        <w:tc>
          <w:tcPr>
            <w:tcW w:w="4268" w:type="dxa"/>
            <w:vAlign w:val="center"/>
          </w:tcPr>
          <w:p>
            <w:pPr>
              <w:pStyle w:val="44"/>
              <w:jc w:val="both"/>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大写：</w:t>
            </w:r>
          </w:p>
          <w:p>
            <w:pPr>
              <w:pStyle w:val="37"/>
              <w:spacing w:before="79"/>
              <w:jc w:val="both"/>
              <w:rPr>
                <w:sz w:val="24"/>
              </w:rPr>
            </w:pPr>
            <w:r>
              <w:rPr>
                <w:rFonts w:hint="eastAsia"/>
                <w:color w:val="000000" w:themeColor="text1"/>
                <w:sz w:val="21"/>
                <w:szCs w:val="21"/>
                <w14:textFill>
                  <w14:solidFill>
                    <w14:schemeClr w14:val="tx1"/>
                  </w14:solidFill>
                </w14:textFill>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4271" w:type="dxa"/>
            <w:vAlign w:val="center"/>
          </w:tcPr>
          <w:p>
            <w:pPr>
              <w:pStyle w:val="37"/>
              <w:spacing w:before="79"/>
              <w:ind w:left="107"/>
              <w:jc w:val="center"/>
              <w:rPr>
                <w:sz w:val="24"/>
              </w:rPr>
            </w:pPr>
            <w:r>
              <w:rPr>
                <w:sz w:val="24"/>
              </w:rPr>
              <w:t>服务期限</w:t>
            </w:r>
          </w:p>
        </w:tc>
        <w:tc>
          <w:tcPr>
            <w:tcW w:w="4268" w:type="dxa"/>
            <w:vAlign w:val="center"/>
          </w:tcPr>
          <w:p>
            <w:pPr>
              <w:pStyle w:val="37"/>
              <w:spacing w:before="79"/>
              <w:ind w:left="105"/>
              <w:jc w:val="center"/>
              <w:rPr>
                <w:sz w:val="24"/>
              </w:rPr>
            </w:pPr>
            <w:r>
              <w:rPr>
                <w:rFonts w:hint="eastAsia"/>
                <w:sz w:val="24"/>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539" w:type="dxa"/>
            <w:gridSpan w:val="2"/>
            <w:vAlign w:val="center"/>
          </w:tcPr>
          <w:p>
            <w:pPr>
              <w:pStyle w:val="37"/>
              <w:spacing w:before="79"/>
              <w:ind w:left="105"/>
              <w:jc w:val="center"/>
              <w:rPr>
                <w:sz w:val="24"/>
              </w:rPr>
            </w:pPr>
            <w:r>
              <w:rPr>
                <w:rFonts w:hint="eastAsia"/>
                <w:sz w:val="24"/>
              </w:rPr>
              <w:t>备注</w:t>
            </w:r>
          </w:p>
        </w:tc>
      </w:tr>
    </w:tbl>
    <w:p>
      <w:pPr>
        <w:pStyle w:val="13"/>
        <w:spacing w:before="80"/>
        <w:ind w:left="818"/>
      </w:pPr>
      <w:r>
        <w:t xml:space="preserve"> </w:t>
      </w:r>
    </w:p>
    <w:p>
      <w:pPr>
        <w:pStyle w:val="13"/>
        <w:spacing w:before="160" w:line="364" w:lineRule="auto"/>
        <w:ind w:left="818" w:right="70"/>
        <w:rPr>
          <w:color w:val="000000" w:themeColor="text1"/>
          <w:sz w:val="21"/>
          <w:szCs w:val="21"/>
          <w14:textFill>
            <w14:solidFill>
              <w14:schemeClr w14:val="tx1"/>
            </w14:solidFill>
          </w14:textFill>
        </w:rPr>
      </w:pPr>
      <w:r>
        <w:t xml:space="preserve">说明：1、投标人严格按照规定的格式填写。投标总价为优惠后报价，并作为评审及定标的依据。 </w:t>
      </w:r>
      <w:r>
        <w:rPr>
          <w:rFonts w:hint="eastAsia"/>
          <w:lang w:val="en-US"/>
        </w:rPr>
        <w:t>2、</w:t>
      </w:r>
      <w:r>
        <w:rPr>
          <w:spacing w:val="-10"/>
        </w:rPr>
        <w:t>任何有选择或有条件的投标总价或表中某一包填写多个报价，均将导致投标</w:t>
      </w:r>
      <w:r>
        <w:t>被</w:t>
      </w:r>
      <w:r>
        <w:rPr>
          <w:rFonts w:hint="eastAsia"/>
        </w:rPr>
        <w:t>。</w:t>
      </w:r>
      <w:r>
        <w:rPr>
          <w:rFonts w:hint="eastAsia"/>
          <w:lang w:val="en-US"/>
        </w:rPr>
        <w:t>3、</w:t>
      </w:r>
      <w:r>
        <w:rPr>
          <w:rFonts w:hint="eastAsia"/>
          <w:color w:val="000000" w:themeColor="text1"/>
          <w:sz w:val="21"/>
          <w:szCs w:val="21"/>
          <w14:textFill>
            <w14:solidFill>
              <w14:schemeClr w14:val="tx1"/>
            </w14:solidFill>
          </w14:textFill>
        </w:rPr>
        <w:t>当大小写不一致时以大写为准</w:t>
      </w:r>
    </w:p>
    <w:p>
      <w:pPr>
        <w:pStyle w:val="13"/>
        <w:spacing w:before="2" w:line="364" w:lineRule="auto"/>
        <w:ind w:left="818" w:right="1795"/>
      </w:pPr>
    </w:p>
    <w:p>
      <w:pPr>
        <w:spacing w:line="364" w:lineRule="auto"/>
      </w:pPr>
    </w:p>
    <w:p>
      <w:pPr>
        <w:pStyle w:val="45"/>
        <w:widowControl w:val="0"/>
        <w:spacing w:line="48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w:t>
      </w:r>
    </w:p>
    <w:p>
      <w:pPr>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投标单位（盖章）：</w:t>
      </w:r>
    </w:p>
    <w:p>
      <w:pPr>
        <w:spacing w:line="360" w:lineRule="auto"/>
        <w:rPr>
          <w:color w:val="000000" w:themeColor="text1"/>
          <w:szCs w:val="21"/>
          <w14:textFill>
            <w14:solidFill>
              <w14:schemeClr w14:val="tx1"/>
            </w14:solidFill>
          </w14:textFill>
        </w:rPr>
      </w:pPr>
    </w:p>
    <w:p>
      <w:pPr>
        <w:adjustRightInd w:val="0"/>
        <w:snapToGrid w:val="0"/>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法定代表人或其</w:t>
      </w:r>
    </w:p>
    <w:p>
      <w:pPr>
        <w:adjustRightInd w:val="0"/>
        <w:snapToGrid w:val="0"/>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授权委托人：（签字或盖章）</w:t>
      </w:r>
    </w:p>
    <w:p>
      <w:pPr>
        <w:adjustRightInd w:val="0"/>
        <w:snapToGrid w:val="0"/>
        <w:spacing w:line="360" w:lineRule="auto"/>
        <w:rPr>
          <w:color w:val="000000" w:themeColor="text1"/>
          <w:szCs w:val="21"/>
          <w14:textFill>
            <w14:solidFill>
              <w14:schemeClr w14:val="tx1"/>
            </w14:solidFill>
          </w14:textFill>
        </w:rPr>
      </w:pPr>
    </w:p>
    <w:p>
      <w:pPr>
        <w:spacing w:line="560" w:lineRule="exact"/>
        <w:ind w:left="422" w:right="441"/>
        <w:jc w:val="center"/>
        <w:outlineLvl w:val="0"/>
        <w:rPr>
          <w:color w:val="000000" w:themeColor="text1"/>
          <w:szCs w:val="21"/>
          <w14:textFill>
            <w14:solidFill>
              <w14:schemeClr w14:val="tx1"/>
            </w14:solidFill>
          </w14:textFill>
        </w:rPr>
      </w:pPr>
      <w:bookmarkStart w:id="414" w:name="_Toc30775"/>
      <w:bookmarkStart w:id="415" w:name="_Toc1818"/>
      <w:bookmarkStart w:id="416" w:name="_Toc19717"/>
      <w:r>
        <w:rPr>
          <w:rFonts w:hint="eastAsia"/>
          <w:color w:val="000000" w:themeColor="text1"/>
          <w:szCs w:val="21"/>
          <w14:textFill>
            <w14:solidFill>
              <w14:schemeClr w14:val="tx1"/>
            </w14:solidFill>
          </w14:textFill>
        </w:rPr>
        <w:t>日期：    年   月   日</w:t>
      </w:r>
      <w:bookmarkEnd w:id="414"/>
      <w:bookmarkEnd w:id="415"/>
      <w:bookmarkEnd w:id="416"/>
    </w:p>
    <w:p>
      <w:pPr>
        <w:pStyle w:val="13"/>
        <w:sectPr>
          <w:pgSz w:w="11910" w:h="16840"/>
          <w:pgMar w:top="1440" w:right="1080" w:bottom="1440" w:left="1080" w:header="906" w:footer="895" w:gutter="0"/>
          <w:cols w:space="720" w:num="1"/>
        </w:sectPr>
      </w:pPr>
    </w:p>
    <w:p>
      <w:pPr>
        <w:pStyle w:val="7"/>
        <w:jc w:val="center"/>
      </w:pPr>
      <w:bookmarkStart w:id="417" w:name="三、☆投标报价明细表"/>
      <w:bookmarkEnd w:id="417"/>
      <w:bookmarkStart w:id="418" w:name="_Toc14452"/>
      <w:bookmarkStart w:id="419" w:name="_Toc8021"/>
      <w:r>
        <w:rPr>
          <w:rFonts w:hint="eastAsia" w:eastAsia="宋体"/>
          <w:w w:val="105"/>
        </w:rPr>
        <w:t>十五</w:t>
      </w:r>
      <w:r>
        <w:rPr>
          <w:w w:val="105"/>
        </w:rPr>
        <w:t>、☆投标报价明细表</w:t>
      </w:r>
      <w:bookmarkEnd w:id="418"/>
      <w:bookmarkEnd w:id="419"/>
    </w:p>
    <w:p>
      <w:pPr>
        <w:spacing w:before="136"/>
        <w:ind w:left="818"/>
        <w:rPr>
          <w:sz w:val="21"/>
        </w:rPr>
      </w:pPr>
      <w:r>
        <w:rPr>
          <w:sz w:val="21"/>
        </w:rPr>
        <w:t xml:space="preserve">项 目 编 号 、 包 号 ： 价 格 单 位 ： 元 </w:t>
      </w:r>
    </w:p>
    <w:p>
      <w:pPr>
        <w:pStyle w:val="13"/>
        <w:spacing w:before="1"/>
        <w:rPr>
          <w:sz w:val="17"/>
        </w:rPr>
      </w:pPr>
    </w:p>
    <w:tbl>
      <w:tblPr>
        <w:tblStyle w:val="28"/>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587"/>
        <w:gridCol w:w="1702"/>
        <w:gridCol w:w="1561"/>
        <w:gridCol w:w="2164"/>
        <w:gridCol w:w="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90" w:type="dxa"/>
          </w:tcPr>
          <w:p>
            <w:pPr>
              <w:pStyle w:val="37"/>
              <w:spacing w:before="6"/>
              <w:rPr>
                <w:sz w:val="24"/>
              </w:rPr>
            </w:pPr>
          </w:p>
          <w:p>
            <w:pPr>
              <w:pStyle w:val="37"/>
              <w:ind w:left="153"/>
              <w:rPr>
                <w:sz w:val="24"/>
              </w:rPr>
            </w:pPr>
            <w:r>
              <w:rPr>
                <w:sz w:val="24"/>
              </w:rPr>
              <w:t xml:space="preserve">序号 </w:t>
            </w:r>
          </w:p>
        </w:tc>
        <w:tc>
          <w:tcPr>
            <w:tcW w:w="1587" w:type="dxa"/>
          </w:tcPr>
          <w:p>
            <w:pPr>
              <w:pStyle w:val="37"/>
              <w:spacing w:before="6"/>
              <w:rPr>
                <w:sz w:val="24"/>
              </w:rPr>
            </w:pPr>
          </w:p>
          <w:p>
            <w:pPr>
              <w:pStyle w:val="37"/>
              <w:ind w:left="311"/>
              <w:rPr>
                <w:sz w:val="24"/>
              </w:rPr>
            </w:pPr>
            <w:r>
              <w:rPr>
                <w:sz w:val="24"/>
              </w:rPr>
              <w:t xml:space="preserve">报价项目 </w:t>
            </w:r>
          </w:p>
        </w:tc>
        <w:tc>
          <w:tcPr>
            <w:tcW w:w="1702" w:type="dxa"/>
          </w:tcPr>
          <w:p>
            <w:pPr>
              <w:pStyle w:val="37"/>
              <w:spacing w:before="6"/>
              <w:rPr>
                <w:sz w:val="24"/>
              </w:rPr>
            </w:pPr>
          </w:p>
          <w:p>
            <w:pPr>
              <w:pStyle w:val="37"/>
              <w:ind w:left="608"/>
              <w:rPr>
                <w:sz w:val="24"/>
              </w:rPr>
            </w:pPr>
            <w:r>
              <w:rPr>
                <w:sz w:val="24"/>
              </w:rPr>
              <w:t xml:space="preserve">内容 </w:t>
            </w:r>
          </w:p>
        </w:tc>
        <w:tc>
          <w:tcPr>
            <w:tcW w:w="1561" w:type="dxa"/>
          </w:tcPr>
          <w:p>
            <w:pPr>
              <w:pStyle w:val="37"/>
              <w:spacing w:before="6"/>
              <w:rPr>
                <w:sz w:val="24"/>
              </w:rPr>
            </w:pPr>
          </w:p>
          <w:p>
            <w:pPr>
              <w:pStyle w:val="37"/>
              <w:ind w:left="536"/>
              <w:rPr>
                <w:sz w:val="24"/>
              </w:rPr>
            </w:pPr>
            <w:r>
              <w:rPr>
                <w:sz w:val="24"/>
              </w:rPr>
              <w:t xml:space="preserve">总价 </w:t>
            </w:r>
          </w:p>
        </w:tc>
        <w:tc>
          <w:tcPr>
            <w:tcW w:w="2164" w:type="dxa"/>
          </w:tcPr>
          <w:p>
            <w:pPr>
              <w:pStyle w:val="37"/>
              <w:spacing w:before="79"/>
              <w:ind w:left="636" w:right="518"/>
              <w:jc w:val="center"/>
              <w:rPr>
                <w:sz w:val="24"/>
              </w:rPr>
            </w:pPr>
            <w:r>
              <w:rPr>
                <w:sz w:val="24"/>
              </w:rPr>
              <w:t xml:space="preserve">取费标准 </w:t>
            </w:r>
          </w:p>
          <w:p>
            <w:pPr>
              <w:pStyle w:val="37"/>
              <w:spacing w:before="160"/>
              <w:ind w:left="635" w:right="518"/>
              <w:jc w:val="center"/>
              <w:rPr>
                <w:sz w:val="24"/>
              </w:rPr>
            </w:pPr>
            <w:r>
              <w:rPr>
                <w:sz w:val="24"/>
              </w:rPr>
              <w:t xml:space="preserve">说明 </w:t>
            </w:r>
          </w:p>
        </w:tc>
        <w:tc>
          <w:tcPr>
            <w:tcW w:w="728" w:type="dxa"/>
          </w:tcPr>
          <w:p>
            <w:pPr>
              <w:pStyle w:val="37"/>
              <w:spacing w:before="6"/>
              <w:rPr>
                <w:sz w:val="24"/>
              </w:rPr>
            </w:pPr>
          </w:p>
          <w:p>
            <w:pPr>
              <w:pStyle w:val="37"/>
              <w:ind w:left="119" w:right="-15"/>
              <w:rPr>
                <w:sz w:val="24"/>
              </w:rPr>
            </w:pPr>
            <w:r>
              <w:rPr>
                <w:sz w:val="24"/>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37"/>
              <w:spacing w:before="2"/>
              <w:ind w:left="107"/>
              <w:rPr>
                <w:rFonts w:ascii="微软雅黑"/>
                <w:b/>
                <w:sz w:val="24"/>
              </w:rPr>
            </w:pPr>
            <w:r>
              <w:rPr>
                <w:rFonts w:ascii="微软雅黑"/>
                <w:b/>
                <w:w w:val="167"/>
                <w:sz w:val="24"/>
              </w:rPr>
              <w:t xml:space="preserve"> </w:t>
            </w:r>
          </w:p>
        </w:tc>
        <w:tc>
          <w:tcPr>
            <w:tcW w:w="1587" w:type="dxa"/>
          </w:tcPr>
          <w:p>
            <w:pPr>
              <w:pStyle w:val="37"/>
              <w:spacing w:before="2"/>
              <w:ind w:left="107"/>
              <w:rPr>
                <w:rFonts w:ascii="微软雅黑"/>
                <w:b/>
                <w:sz w:val="24"/>
              </w:rPr>
            </w:pPr>
            <w:r>
              <w:rPr>
                <w:rFonts w:ascii="微软雅黑"/>
                <w:b/>
                <w:w w:val="167"/>
                <w:sz w:val="24"/>
              </w:rPr>
              <w:t xml:space="preserve"> </w:t>
            </w:r>
          </w:p>
        </w:tc>
        <w:tc>
          <w:tcPr>
            <w:tcW w:w="1702" w:type="dxa"/>
          </w:tcPr>
          <w:p>
            <w:pPr>
              <w:pStyle w:val="37"/>
              <w:spacing w:before="2"/>
              <w:ind w:left="107"/>
              <w:rPr>
                <w:rFonts w:ascii="微软雅黑"/>
                <w:b/>
                <w:sz w:val="24"/>
              </w:rPr>
            </w:pPr>
            <w:r>
              <w:rPr>
                <w:rFonts w:ascii="微软雅黑"/>
                <w:b/>
                <w:w w:val="167"/>
                <w:sz w:val="24"/>
              </w:rPr>
              <w:t xml:space="preserve"> </w:t>
            </w:r>
          </w:p>
        </w:tc>
        <w:tc>
          <w:tcPr>
            <w:tcW w:w="1561" w:type="dxa"/>
          </w:tcPr>
          <w:p>
            <w:pPr>
              <w:pStyle w:val="37"/>
              <w:spacing w:before="2"/>
              <w:ind w:left="104"/>
              <w:rPr>
                <w:rFonts w:ascii="微软雅黑"/>
                <w:b/>
                <w:sz w:val="24"/>
              </w:rPr>
            </w:pPr>
            <w:r>
              <w:rPr>
                <w:rFonts w:ascii="微软雅黑"/>
                <w:b/>
                <w:w w:val="167"/>
                <w:sz w:val="24"/>
              </w:rPr>
              <w:t xml:space="preserve"> </w:t>
            </w:r>
          </w:p>
        </w:tc>
        <w:tc>
          <w:tcPr>
            <w:tcW w:w="2164" w:type="dxa"/>
          </w:tcPr>
          <w:p>
            <w:pPr>
              <w:pStyle w:val="37"/>
              <w:spacing w:before="2"/>
              <w:ind w:left="103"/>
              <w:rPr>
                <w:rFonts w:ascii="微软雅黑"/>
                <w:b/>
                <w:sz w:val="24"/>
              </w:rPr>
            </w:pPr>
            <w:r>
              <w:rPr>
                <w:rFonts w:ascii="微软雅黑"/>
                <w:b/>
                <w:w w:val="167"/>
                <w:sz w:val="24"/>
              </w:rPr>
              <w:t xml:space="preserve"> </w:t>
            </w:r>
          </w:p>
        </w:tc>
        <w:tc>
          <w:tcPr>
            <w:tcW w:w="728" w:type="dxa"/>
          </w:tcPr>
          <w:p>
            <w:pPr>
              <w:pStyle w:val="37"/>
              <w:spacing w:before="2"/>
              <w:ind w:left="105"/>
              <w:rPr>
                <w:rFonts w:ascii="微软雅黑"/>
                <w:b/>
                <w:sz w:val="24"/>
              </w:rPr>
            </w:pPr>
            <w:r>
              <w:rPr>
                <w:rFonts w:ascii="微软雅黑"/>
                <w:b/>
                <w:w w:val="167"/>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37"/>
              <w:spacing w:before="2"/>
              <w:ind w:left="107"/>
              <w:rPr>
                <w:rFonts w:ascii="微软雅黑"/>
                <w:b/>
                <w:sz w:val="24"/>
              </w:rPr>
            </w:pPr>
            <w:r>
              <w:rPr>
                <w:rFonts w:ascii="微软雅黑"/>
                <w:b/>
                <w:w w:val="167"/>
                <w:sz w:val="24"/>
              </w:rPr>
              <w:t xml:space="preserve"> </w:t>
            </w:r>
          </w:p>
        </w:tc>
        <w:tc>
          <w:tcPr>
            <w:tcW w:w="1587" w:type="dxa"/>
          </w:tcPr>
          <w:p>
            <w:pPr>
              <w:pStyle w:val="37"/>
              <w:spacing w:before="2"/>
              <w:ind w:left="107"/>
              <w:rPr>
                <w:rFonts w:ascii="微软雅黑"/>
                <w:b/>
                <w:sz w:val="24"/>
              </w:rPr>
            </w:pPr>
            <w:r>
              <w:rPr>
                <w:rFonts w:ascii="微软雅黑"/>
                <w:b/>
                <w:w w:val="167"/>
                <w:sz w:val="24"/>
              </w:rPr>
              <w:t xml:space="preserve"> </w:t>
            </w:r>
          </w:p>
        </w:tc>
        <w:tc>
          <w:tcPr>
            <w:tcW w:w="1702" w:type="dxa"/>
          </w:tcPr>
          <w:p>
            <w:pPr>
              <w:pStyle w:val="37"/>
              <w:spacing w:before="2"/>
              <w:ind w:left="107"/>
              <w:rPr>
                <w:rFonts w:ascii="微软雅黑"/>
                <w:b/>
                <w:sz w:val="24"/>
              </w:rPr>
            </w:pPr>
            <w:r>
              <w:rPr>
                <w:rFonts w:ascii="微软雅黑"/>
                <w:b/>
                <w:w w:val="167"/>
                <w:sz w:val="24"/>
              </w:rPr>
              <w:t xml:space="preserve"> </w:t>
            </w:r>
          </w:p>
        </w:tc>
        <w:tc>
          <w:tcPr>
            <w:tcW w:w="1561" w:type="dxa"/>
          </w:tcPr>
          <w:p>
            <w:pPr>
              <w:pStyle w:val="37"/>
              <w:spacing w:before="2"/>
              <w:ind w:left="104"/>
              <w:rPr>
                <w:rFonts w:ascii="微软雅黑"/>
                <w:b/>
                <w:sz w:val="24"/>
              </w:rPr>
            </w:pPr>
            <w:r>
              <w:rPr>
                <w:rFonts w:ascii="微软雅黑"/>
                <w:b/>
                <w:w w:val="167"/>
                <w:sz w:val="24"/>
              </w:rPr>
              <w:t xml:space="preserve"> </w:t>
            </w:r>
          </w:p>
        </w:tc>
        <w:tc>
          <w:tcPr>
            <w:tcW w:w="2164" w:type="dxa"/>
          </w:tcPr>
          <w:p>
            <w:pPr>
              <w:pStyle w:val="37"/>
              <w:spacing w:before="2"/>
              <w:ind w:left="103"/>
              <w:rPr>
                <w:rFonts w:ascii="微软雅黑"/>
                <w:b/>
                <w:sz w:val="24"/>
              </w:rPr>
            </w:pPr>
            <w:r>
              <w:rPr>
                <w:rFonts w:ascii="微软雅黑"/>
                <w:b/>
                <w:w w:val="167"/>
                <w:sz w:val="24"/>
              </w:rPr>
              <w:t xml:space="preserve"> </w:t>
            </w:r>
          </w:p>
        </w:tc>
        <w:tc>
          <w:tcPr>
            <w:tcW w:w="728" w:type="dxa"/>
          </w:tcPr>
          <w:p>
            <w:pPr>
              <w:pStyle w:val="37"/>
              <w:spacing w:before="2"/>
              <w:ind w:left="105"/>
              <w:rPr>
                <w:rFonts w:ascii="微软雅黑"/>
                <w:b/>
                <w:sz w:val="24"/>
              </w:rPr>
            </w:pPr>
            <w:r>
              <w:rPr>
                <w:rFonts w:ascii="微软雅黑"/>
                <w:b/>
                <w:w w:val="167"/>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90" w:type="dxa"/>
          </w:tcPr>
          <w:p>
            <w:pPr>
              <w:pStyle w:val="37"/>
              <w:spacing w:before="4"/>
              <w:ind w:left="107"/>
              <w:rPr>
                <w:rFonts w:ascii="微软雅黑"/>
                <w:b/>
                <w:sz w:val="24"/>
              </w:rPr>
            </w:pPr>
            <w:r>
              <w:rPr>
                <w:rFonts w:ascii="微软雅黑"/>
                <w:b/>
                <w:w w:val="167"/>
                <w:sz w:val="24"/>
              </w:rPr>
              <w:t xml:space="preserve"> </w:t>
            </w:r>
          </w:p>
        </w:tc>
        <w:tc>
          <w:tcPr>
            <w:tcW w:w="1587" w:type="dxa"/>
          </w:tcPr>
          <w:p>
            <w:pPr>
              <w:pStyle w:val="37"/>
              <w:spacing w:before="4"/>
              <w:ind w:left="107"/>
              <w:rPr>
                <w:rFonts w:ascii="微软雅黑"/>
                <w:b/>
                <w:sz w:val="24"/>
              </w:rPr>
            </w:pPr>
            <w:r>
              <w:rPr>
                <w:rFonts w:ascii="微软雅黑"/>
                <w:b/>
                <w:w w:val="167"/>
                <w:sz w:val="24"/>
              </w:rPr>
              <w:t xml:space="preserve"> </w:t>
            </w:r>
          </w:p>
        </w:tc>
        <w:tc>
          <w:tcPr>
            <w:tcW w:w="1702" w:type="dxa"/>
          </w:tcPr>
          <w:p>
            <w:pPr>
              <w:pStyle w:val="37"/>
              <w:spacing w:before="4"/>
              <w:ind w:left="107"/>
              <w:rPr>
                <w:rFonts w:ascii="微软雅黑"/>
                <w:b/>
                <w:sz w:val="24"/>
              </w:rPr>
            </w:pPr>
            <w:r>
              <w:rPr>
                <w:rFonts w:ascii="微软雅黑"/>
                <w:b/>
                <w:w w:val="167"/>
                <w:sz w:val="24"/>
              </w:rPr>
              <w:t xml:space="preserve"> </w:t>
            </w:r>
          </w:p>
        </w:tc>
        <w:tc>
          <w:tcPr>
            <w:tcW w:w="1561" w:type="dxa"/>
          </w:tcPr>
          <w:p>
            <w:pPr>
              <w:pStyle w:val="37"/>
              <w:spacing w:before="4"/>
              <w:ind w:left="104"/>
              <w:rPr>
                <w:rFonts w:ascii="微软雅黑"/>
                <w:b/>
                <w:sz w:val="24"/>
              </w:rPr>
            </w:pPr>
            <w:r>
              <w:rPr>
                <w:rFonts w:ascii="微软雅黑"/>
                <w:b/>
                <w:w w:val="167"/>
                <w:sz w:val="24"/>
              </w:rPr>
              <w:t xml:space="preserve"> </w:t>
            </w:r>
          </w:p>
        </w:tc>
        <w:tc>
          <w:tcPr>
            <w:tcW w:w="2164" w:type="dxa"/>
          </w:tcPr>
          <w:p>
            <w:pPr>
              <w:pStyle w:val="37"/>
              <w:spacing w:before="4"/>
              <w:ind w:left="103"/>
              <w:rPr>
                <w:rFonts w:ascii="微软雅黑"/>
                <w:b/>
                <w:sz w:val="24"/>
              </w:rPr>
            </w:pPr>
            <w:r>
              <w:rPr>
                <w:rFonts w:ascii="微软雅黑"/>
                <w:b/>
                <w:w w:val="167"/>
                <w:sz w:val="24"/>
              </w:rPr>
              <w:t xml:space="preserve"> </w:t>
            </w:r>
          </w:p>
        </w:tc>
        <w:tc>
          <w:tcPr>
            <w:tcW w:w="728" w:type="dxa"/>
          </w:tcPr>
          <w:p>
            <w:pPr>
              <w:pStyle w:val="37"/>
              <w:spacing w:before="4"/>
              <w:ind w:left="105"/>
              <w:rPr>
                <w:rFonts w:ascii="微软雅黑"/>
                <w:b/>
                <w:sz w:val="24"/>
              </w:rPr>
            </w:pPr>
            <w:r>
              <w:rPr>
                <w:rFonts w:ascii="微软雅黑"/>
                <w:b/>
                <w:w w:val="167"/>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90" w:type="dxa"/>
          </w:tcPr>
          <w:p>
            <w:pPr>
              <w:pStyle w:val="37"/>
              <w:spacing w:before="3"/>
              <w:ind w:left="107"/>
              <w:rPr>
                <w:rFonts w:ascii="微软雅黑"/>
                <w:b/>
                <w:sz w:val="24"/>
              </w:rPr>
            </w:pPr>
            <w:r>
              <w:rPr>
                <w:rFonts w:ascii="微软雅黑"/>
                <w:b/>
                <w:w w:val="167"/>
                <w:sz w:val="24"/>
              </w:rPr>
              <w:t xml:space="preserve"> </w:t>
            </w:r>
          </w:p>
        </w:tc>
        <w:tc>
          <w:tcPr>
            <w:tcW w:w="1587" w:type="dxa"/>
          </w:tcPr>
          <w:p>
            <w:pPr>
              <w:pStyle w:val="37"/>
              <w:spacing w:before="3"/>
              <w:ind w:left="107"/>
              <w:rPr>
                <w:rFonts w:ascii="微软雅黑"/>
                <w:b/>
                <w:sz w:val="24"/>
              </w:rPr>
            </w:pPr>
            <w:r>
              <w:rPr>
                <w:rFonts w:ascii="微软雅黑"/>
                <w:b/>
                <w:w w:val="167"/>
                <w:sz w:val="24"/>
              </w:rPr>
              <w:t xml:space="preserve"> </w:t>
            </w:r>
          </w:p>
        </w:tc>
        <w:tc>
          <w:tcPr>
            <w:tcW w:w="1702" w:type="dxa"/>
          </w:tcPr>
          <w:p>
            <w:pPr>
              <w:pStyle w:val="37"/>
              <w:spacing w:before="3"/>
              <w:ind w:left="107"/>
              <w:rPr>
                <w:rFonts w:ascii="微软雅黑"/>
                <w:b/>
                <w:sz w:val="24"/>
              </w:rPr>
            </w:pPr>
            <w:r>
              <w:rPr>
                <w:rFonts w:ascii="微软雅黑"/>
                <w:b/>
                <w:w w:val="167"/>
                <w:sz w:val="24"/>
              </w:rPr>
              <w:t xml:space="preserve"> </w:t>
            </w:r>
          </w:p>
        </w:tc>
        <w:tc>
          <w:tcPr>
            <w:tcW w:w="1561" w:type="dxa"/>
          </w:tcPr>
          <w:p>
            <w:pPr>
              <w:pStyle w:val="37"/>
              <w:spacing w:before="3"/>
              <w:ind w:left="104"/>
              <w:rPr>
                <w:rFonts w:ascii="微软雅黑"/>
                <w:b/>
                <w:sz w:val="24"/>
              </w:rPr>
            </w:pPr>
            <w:r>
              <w:rPr>
                <w:rFonts w:ascii="微软雅黑"/>
                <w:b/>
                <w:w w:val="167"/>
                <w:sz w:val="24"/>
              </w:rPr>
              <w:t xml:space="preserve"> </w:t>
            </w:r>
          </w:p>
        </w:tc>
        <w:tc>
          <w:tcPr>
            <w:tcW w:w="2164" w:type="dxa"/>
          </w:tcPr>
          <w:p>
            <w:pPr>
              <w:pStyle w:val="37"/>
              <w:spacing w:before="3"/>
              <w:ind w:left="103"/>
              <w:rPr>
                <w:rFonts w:ascii="微软雅黑"/>
                <w:b/>
                <w:sz w:val="24"/>
              </w:rPr>
            </w:pPr>
            <w:r>
              <w:rPr>
                <w:rFonts w:ascii="微软雅黑"/>
                <w:b/>
                <w:w w:val="167"/>
                <w:sz w:val="24"/>
              </w:rPr>
              <w:t xml:space="preserve"> </w:t>
            </w:r>
          </w:p>
        </w:tc>
        <w:tc>
          <w:tcPr>
            <w:tcW w:w="728" w:type="dxa"/>
          </w:tcPr>
          <w:p>
            <w:pPr>
              <w:pStyle w:val="37"/>
              <w:spacing w:before="3"/>
              <w:ind w:left="105"/>
              <w:rPr>
                <w:rFonts w:ascii="微软雅黑"/>
                <w:b/>
                <w:sz w:val="24"/>
              </w:rPr>
            </w:pPr>
            <w:r>
              <w:rPr>
                <w:rFonts w:ascii="微软雅黑"/>
                <w:b/>
                <w:w w:val="167"/>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37"/>
              <w:spacing w:before="2"/>
              <w:ind w:left="107"/>
              <w:rPr>
                <w:rFonts w:ascii="微软雅黑"/>
                <w:b/>
                <w:sz w:val="24"/>
              </w:rPr>
            </w:pPr>
            <w:r>
              <w:rPr>
                <w:rFonts w:ascii="微软雅黑"/>
                <w:b/>
                <w:w w:val="167"/>
                <w:sz w:val="24"/>
              </w:rPr>
              <w:t xml:space="preserve"> </w:t>
            </w:r>
          </w:p>
        </w:tc>
        <w:tc>
          <w:tcPr>
            <w:tcW w:w="1587" w:type="dxa"/>
          </w:tcPr>
          <w:p>
            <w:pPr>
              <w:pStyle w:val="37"/>
              <w:spacing w:before="2"/>
              <w:ind w:left="107"/>
              <w:rPr>
                <w:rFonts w:ascii="微软雅黑"/>
                <w:b/>
                <w:sz w:val="24"/>
              </w:rPr>
            </w:pPr>
            <w:r>
              <w:rPr>
                <w:rFonts w:ascii="微软雅黑"/>
                <w:b/>
                <w:w w:val="167"/>
                <w:sz w:val="24"/>
              </w:rPr>
              <w:t xml:space="preserve"> </w:t>
            </w:r>
          </w:p>
        </w:tc>
        <w:tc>
          <w:tcPr>
            <w:tcW w:w="1702" w:type="dxa"/>
          </w:tcPr>
          <w:p>
            <w:pPr>
              <w:pStyle w:val="37"/>
              <w:spacing w:before="2"/>
              <w:ind w:left="107"/>
              <w:rPr>
                <w:rFonts w:ascii="微软雅黑"/>
                <w:b/>
                <w:sz w:val="24"/>
              </w:rPr>
            </w:pPr>
            <w:r>
              <w:rPr>
                <w:rFonts w:ascii="微软雅黑"/>
                <w:b/>
                <w:w w:val="167"/>
                <w:sz w:val="24"/>
              </w:rPr>
              <w:t xml:space="preserve"> </w:t>
            </w:r>
          </w:p>
        </w:tc>
        <w:tc>
          <w:tcPr>
            <w:tcW w:w="1561" w:type="dxa"/>
          </w:tcPr>
          <w:p>
            <w:pPr>
              <w:pStyle w:val="37"/>
              <w:spacing w:before="2"/>
              <w:ind w:left="104"/>
              <w:rPr>
                <w:rFonts w:ascii="微软雅黑"/>
                <w:b/>
                <w:sz w:val="24"/>
              </w:rPr>
            </w:pPr>
            <w:r>
              <w:rPr>
                <w:rFonts w:ascii="微软雅黑"/>
                <w:b/>
                <w:w w:val="167"/>
                <w:sz w:val="24"/>
              </w:rPr>
              <w:t xml:space="preserve"> </w:t>
            </w:r>
          </w:p>
        </w:tc>
        <w:tc>
          <w:tcPr>
            <w:tcW w:w="2164" w:type="dxa"/>
          </w:tcPr>
          <w:p>
            <w:pPr>
              <w:pStyle w:val="37"/>
              <w:spacing w:before="2"/>
              <w:ind w:left="103"/>
              <w:rPr>
                <w:rFonts w:ascii="微软雅黑"/>
                <w:b/>
                <w:sz w:val="24"/>
              </w:rPr>
            </w:pPr>
            <w:r>
              <w:rPr>
                <w:rFonts w:ascii="微软雅黑"/>
                <w:b/>
                <w:w w:val="167"/>
                <w:sz w:val="24"/>
              </w:rPr>
              <w:t xml:space="preserve"> </w:t>
            </w:r>
          </w:p>
        </w:tc>
        <w:tc>
          <w:tcPr>
            <w:tcW w:w="728" w:type="dxa"/>
          </w:tcPr>
          <w:p>
            <w:pPr>
              <w:pStyle w:val="37"/>
              <w:spacing w:before="2"/>
              <w:ind w:left="105"/>
              <w:rPr>
                <w:rFonts w:ascii="微软雅黑"/>
                <w:b/>
                <w:sz w:val="24"/>
              </w:rPr>
            </w:pPr>
            <w:r>
              <w:rPr>
                <w:rFonts w:ascii="微软雅黑"/>
                <w:b/>
                <w:w w:val="167"/>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37"/>
              <w:spacing w:before="2"/>
              <w:ind w:left="107"/>
              <w:rPr>
                <w:rFonts w:ascii="微软雅黑"/>
                <w:b/>
                <w:sz w:val="24"/>
              </w:rPr>
            </w:pPr>
            <w:r>
              <w:rPr>
                <w:rFonts w:ascii="微软雅黑"/>
                <w:b/>
                <w:w w:val="167"/>
                <w:sz w:val="24"/>
              </w:rPr>
              <w:t xml:space="preserve"> </w:t>
            </w:r>
          </w:p>
        </w:tc>
        <w:tc>
          <w:tcPr>
            <w:tcW w:w="1587" w:type="dxa"/>
          </w:tcPr>
          <w:p>
            <w:pPr>
              <w:pStyle w:val="37"/>
              <w:spacing w:before="2"/>
              <w:ind w:left="107"/>
              <w:rPr>
                <w:rFonts w:ascii="微软雅黑"/>
                <w:b/>
                <w:sz w:val="24"/>
              </w:rPr>
            </w:pPr>
            <w:r>
              <w:rPr>
                <w:rFonts w:ascii="微软雅黑"/>
                <w:b/>
                <w:w w:val="167"/>
                <w:sz w:val="24"/>
              </w:rPr>
              <w:t xml:space="preserve"> </w:t>
            </w:r>
          </w:p>
        </w:tc>
        <w:tc>
          <w:tcPr>
            <w:tcW w:w="1702" w:type="dxa"/>
          </w:tcPr>
          <w:p>
            <w:pPr>
              <w:pStyle w:val="37"/>
              <w:spacing w:before="2"/>
              <w:ind w:left="107"/>
              <w:rPr>
                <w:rFonts w:ascii="微软雅黑"/>
                <w:b/>
                <w:sz w:val="24"/>
              </w:rPr>
            </w:pPr>
            <w:r>
              <w:rPr>
                <w:rFonts w:ascii="微软雅黑"/>
                <w:b/>
                <w:w w:val="167"/>
                <w:sz w:val="24"/>
              </w:rPr>
              <w:t xml:space="preserve"> </w:t>
            </w:r>
          </w:p>
        </w:tc>
        <w:tc>
          <w:tcPr>
            <w:tcW w:w="1561" w:type="dxa"/>
          </w:tcPr>
          <w:p>
            <w:pPr>
              <w:pStyle w:val="37"/>
              <w:spacing w:before="2"/>
              <w:ind w:left="104"/>
              <w:rPr>
                <w:rFonts w:ascii="微软雅黑"/>
                <w:b/>
                <w:sz w:val="24"/>
              </w:rPr>
            </w:pPr>
            <w:r>
              <w:rPr>
                <w:rFonts w:ascii="微软雅黑"/>
                <w:b/>
                <w:w w:val="167"/>
                <w:sz w:val="24"/>
              </w:rPr>
              <w:t xml:space="preserve"> </w:t>
            </w:r>
          </w:p>
        </w:tc>
        <w:tc>
          <w:tcPr>
            <w:tcW w:w="2164" w:type="dxa"/>
          </w:tcPr>
          <w:p>
            <w:pPr>
              <w:pStyle w:val="37"/>
              <w:spacing w:before="2"/>
              <w:ind w:left="103"/>
              <w:rPr>
                <w:rFonts w:ascii="微软雅黑"/>
                <w:b/>
                <w:sz w:val="24"/>
              </w:rPr>
            </w:pPr>
            <w:r>
              <w:rPr>
                <w:rFonts w:ascii="微软雅黑"/>
                <w:b/>
                <w:w w:val="167"/>
                <w:sz w:val="24"/>
              </w:rPr>
              <w:t xml:space="preserve"> </w:t>
            </w:r>
          </w:p>
        </w:tc>
        <w:tc>
          <w:tcPr>
            <w:tcW w:w="728" w:type="dxa"/>
          </w:tcPr>
          <w:p>
            <w:pPr>
              <w:pStyle w:val="37"/>
              <w:spacing w:before="2"/>
              <w:ind w:left="105"/>
              <w:rPr>
                <w:rFonts w:ascii="微软雅黑"/>
                <w:b/>
                <w:sz w:val="24"/>
              </w:rPr>
            </w:pPr>
            <w:r>
              <w:rPr>
                <w:rFonts w:ascii="微软雅黑"/>
                <w:b/>
                <w:w w:val="167"/>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37"/>
              <w:spacing w:before="2"/>
              <w:ind w:left="107"/>
              <w:rPr>
                <w:rFonts w:ascii="微软雅黑"/>
                <w:b/>
                <w:sz w:val="24"/>
              </w:rPr>
            </w:pPr>
            <w:r>
              <w:rPr>
                <w:rFonts w:ascii="微软雅黑"/>
                <w:b/>
                <w:w w:val="167"/>
                <w:sz w:val="24"/>
              </w:rPr>
              <w:t xml:space="preserve"> </w:t>
            </w:r>
          </w:p>
        </w:tc>
        <w:tc>
          <w:tcPr>
            <w:tcW w:w="1587" w:type="dxa"/>
          </w:tcPr>
          <w:p>
            <w:pPr>
              <w:pStyle w:val="37"/>
              <w:spacing w:before="2"/>
              <w:ind w:left="107"/>
              <w:rPr>
                <w:rFonts w:ascii="微软雅黑"/>
                <w:b/>
                <w:sz w:val="24"/>
              </w:rPr>
            </w:pPr>
            <w:r>
              <w:rPr>
                <w:rFonts w:ascii="微软雅黑"/>
                <w:b/>
                <w:w w:val="167"/>
                <w:sz w:val="24"/>
              </w:rPr>
              <w:t xml:space="preserve"> </w:t>
            </w:r>
          </w:p>
        </w:tc>
        <w:tc>
          <w:tcPr>
            <w:tcW w:w="1702" w:type="dxa"/>
          </w:tcPr>
          <w:p>
            <w:pPr>
              <w:pStyle w:val="37"/>
              <w:spacing w:before="2"/>
              <w:ind w:left="107"/>
              <w:rPr>
                <w:rFonts w:ascii="微软雅黑"/>
                <w:b/>
                <w:sz w:val="24"/>
              </w:rPr>
            </w:pPr>
            <w:r>
              <w:rPr>
                <w:rFonts w:ascii="微软雅黑"/>
                <w:b/>
                <w:w w:val="167"/>
                <w:sz w:val="24"/>
              </w:rPr>
              <w:t xml:space="preserve"> </w:t>
            </w:r>
          </w:p>
        </w:tc>
        <w:tc>
          <w:tcPr>
            <w:tcW w:w="1561" w:type="dxa"/>
          </w:tcPr>
          <w:p>
            <w:pPr>
              <w:pStyle w:val="37"/>
              <w:spacing w:before="2"/>
              <w:ind w:left="104"/>
              <w:rPr>
                <w:rFonts w:ascii="微软雅黑"/>
                <w:b/>
                <w:sz w:val="24"/>
              </w:rPr>
            </w:pPr>
            <w:r>
              <w:rPr>
                <w:rFonts w:ascii="微软雅黑"/>
                <w:b/>
                <w:w w:val="167"/>
                <w:sz w:val="24"/>
              </w:rPr>
              <w:t xml:space="preserve"> </w:t>
            </w:r>
          </w:p>
        </w:tc>
        <w:tc>
          <w:tcPr>
            <w:tcW w:w="2164" w:type="dxa"/>
          </w:tcPr>
          <w:p>
            <w:pPr>
              <w:pStyle w:val="37"/>
              <w:spacing w:before="2"/>
              <w:ind w:left="103"/>
              <w:rPr>
                <w:rFonts w:ascii="微软雅黑"/>
                <w:b/>
                <w:sz w:val="24"/>
              </w:rPr>
            </w:pPr>
            <w:r>
              <w:rPr>
                <w:rFonts w:ascii="微软雅黑"/>
                <w:b/>
                <w:w w:val="167"/>
                <w:sz w:val="24"/>
              </w:rPr>
              <w:t xml:space="preserve"> </w:t>
            </w:r>
          </w:p>
        </w:tc>
        <w:tc>
          <w:tcPr>
            <w:tcW w:w="728" w:type="dxa"/>
          </w:tcPr>
          <w:p>
            <w:pPr>
              <w:pStyle w:val="37"/>
              <w:spacing w:before="2"/>
              <w:ind w:left="105"/>
              <w:rPr>
                <w:rFonts w:ascii="微软雅黑"/>
                <w:b/>
                <w:sz w:val="24"/>
              </w:rPr>
            </w:pPr>
            <w:r>
              <w:rPr>
                <w:rFonts w:ascii="微软雅黑"/>
                <w:b/>
                <w:w w:val="167"/>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37"/>
              <w:spacing w:before="2"/>
              <w:ind w:left="107"/>
              <w:rPr>
                <w:rFonts w:ascii="微软雅黑"/>
                <w:b/>
                <w:sz w:val="24"/>
              </w:rPr>
            </w:pPr>
            <w:r>
              <w:rPr>
                <w:rFonts w:ascii="微软雅黑"/>
                <w:b/>
                <w:w w:val="167"/>
                <w:sz w:val="24"/>
              </w:rPr>
              <w:t xml:space="preserve"> </w:t>
            </w:r>
          </w:p>
        </w:tc>
        <w:tc>
          <w:tcPr>
            <w:tcW w:w="1587" w:type="dxa"/>
          </w:tcPr>
          <w:p>
            <w:pPr>
              <w:pStyle w:val="37"/>
              <w:spacing w:before="2"/>
              <w:ind w:left="107"/>
              <w:rPr>
                <w:rFonts w:ascii="微软雅黑"/>
                <w:b/>
                <w:sz w:val="24"/>
              </w:rPr>
            </w:pPr>
            <w:r>
              <w:rPr>
                <w:rFonts w:ascii="微软雅黑"/>
                <w:b/>
                <w:w w:val="167"/>
                <w:sz w:val="24"/>
              </w:rPr>
              <w:t xml:space="preserve"> </w:t>
            </w:r>
          </w:p>
        </w:tc>
        <w:tc>
          <w:tcPr>
            <w:tcW w:w="1702" w:type="dxa"/>
          </w:tcPr>
          <w:p>
            <w:pPr>
              <w:pStyle w:val="37"/>
              <w:spacing w:before="2"/>
              <w:ind w:left="107"/>
              <w:rPr>
                <w:rFonts w:ascii="微软雅黑"/>
                <w:b/>
                <w:sz w:val="24"/>
              </w:rPr>
            </w:pPr>
            <w:r>
              <w:rPr>
                <w:rFonts w:ascii="微软雅黑"/>
                <w:b/>
                <w:w w:val="167"/>
                <w:sz w:val="24"/>
              </w:rPr>
              <w:t xml:space="preserve"> </w:t>
            </w:r>
          </w:p>
        </w:tc>
        <w:tc>
          <w:tcPr>
            <w:tcW w:w="1561" w:type="dxa"/>
          </w:tcPr>
          <w:p>
            <w:pPr>
              <w:pStyle w:val="37"/>
              <w:spacing w:before="2"/>
              <w:ind w:left="104"/>
              <w:rPr>
                <w:rFonts w:ascii="微软雅黑"/>
                <w:b/>
                <w:sz w:val="24"/>
              </w:rPr>
            </w:pPr>
            <w:r>
              <w:rPr>
                <w:rFonts w:ascii="微软雅黑"/>
                <w:b/>
                <w:w w:val="167"/>
                <w:sz w:val="24"/>
              </w:rPr>
              <w:t xml:space="preserve"> </w:t>
            </w:r>
          </w:p>
        </w:tc>
        <w:tc>
          <w:tcPr>
            <w:tcW w:w="2164" w:type="dxa"/>
          </w:tcPr>
          <w:p>
            <w:pPr>
              <w:pStyle w:val="37"/>
              <w:spacing w:before="2"/>
              <w:ind w:left="103"/>
              <w:rPr>
                <w:rFonts w:ascii="微软雅黑"/>
                <w:b/>
                <w:sz w:val="24"/>
              </w:rPr>
            </w:pPr>
            <w:r>
              <w:rPr>
                <w:rFonts w:ascii="微软雅黑"/>
                <w:b/>
                <w:w w:val="167"/>
                <w:sz w:val="24"/>
              </w:rPr>
              <w:t xml:space="preserve"> </w:t>
            </w:r>
          </w:p>
        </w:tc>
        <w:tc>
          <w:tcPr>
            <w:tcW w:w="728" w:type="dxa"/>
          </w:tcPr>
          <w:p>
            <w:pPr>
              <w:pStyle w:val="37"/>
              <w:spacing w:before="2"/>
              <w:ind w:left="105"/>
              <w:rPr>
                <w:rFonts w:ascii="微软雅黑"/>
                <w:b/>
                <w:sz w:val="24"/>
              </w:rPr>
            </w:pPr>
            <w:r>
              <w:rPr>
                <w:rFonts w:ascii="微软雅黑"/>
                <w:b/>
                <w:w w:val="167"/>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377" w:type="dxa"/>
            <w:gridSpan w:val="2"/>
          </w:tcPr>
          <w:p>
            <w:pPr>
              <w:pStyle w:val="37"/>
              <w:spacing w:before="81"/>
              <w:ind w:left="107"/>
              <w:rPr>
                <w:sz w:val="24"/>
              </w:rPr>
            </w:pPr>
            <w:r>
              <w:rPr>
                <w:sz w:val="24"/>
              </w:rPr>
              <w:t xml:space="preserve">总计 </w:t>
            </w:r>
          </w:p>
        </w:tc>
        <w:tc>
          <w:tcPr>
            <w:tcW w:w="6155" w:type="dxa"/>
            <w:gridSpan w:val="4"/>
          </w:tcPr>
          <w:p>
            <w:pPr>
              <w:pStyle w:val="37"/>
              <w:spacing w:before="4"/>
              <w:ind w:left="107"/>
              <w:rPr>
                <w:rFonts w:ascii="微软雅黑"/>
                <w:b/>
                <w:sz w:val="24"/>
              </w:rPr>
            </w:pPr>
            <w:r>
              <w:rPr>
                <w:rFonts w:ascii="微软雅黑"/>
                <w:b/>
                <w:w w:val="167"/>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377" w:type="dxa"/>
            <w:gridSpan w:val="2"/>
            <w:tcBorders>
              <w:bottom w:val="nil"/>
            </w:tcBorders>
          </w:tcPr>
          <w:p>
            <w:pPr>
              <w:pStyle w:val="37"/>
              <w:rPr>
                <w:rFonts w:ascii="Times New Roman"/>
              </w:rPr>
            </w:pPr>
          </w:p>
        </w:tc>
        <w:tc>
          <w:tcPr>
            <w:tcW w:w="6155" w:type="dxa"/>
            <w:gridSpan w:val="4"/>
            <w:tcBorders>
              <w:bottom w:val="nil"/>
            </w:tcBorders>
          </w:tcPr>
          <w:p>
            <w:pPr>
              <w:pStyle w:val="37"/>
              <w:spacing w:before="79"/>
              <w:ind w:left="107"/>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77" w:type="dxa"/>
            <w:gridSpan w:val="2"/>
            <w:tcBorders>
              <w:top w:val="nil"/>
              <w:bottom w:val="nil"/>
            </w:tcBorders>
          </w:tcPr>
          <w:p>
            <w:pPr>
              <w:pStyle w:val="37"/>
              <w:rPr>
                <w:rFonts w:ascii="Times New Roman"/>
              </w:rPr>
            </w:pPr>
          </w:p>
        </w:tc>
        <w:tc>
          <w:tcPr>
            <w:tcW w:w="6155" w:type="dxa"/>
            <w:gridSpan w:val="4"/>
            <w:tcBorders>
              <w:top w:val="nil"/>
              <w:bottom w:val="nil"/>
            </w:tcBorders>
          </w:tcPr>
          <w:p>
            <w:pPr>
              <w:pStyle w:val="37"/>
              <w:spacing w:before="80"/>
              <w:ind w:left="107"/>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77" w:type="dxa"/>
            <w:gridSpan w:val="2"/>
            <w:tcBorders>
              <w:top w:val="nil"/>
              <w:bottom w:val="nil"/>
            </w:tcBorders>
          </w:tcPr>
          <w:p>
            <w:pPr>
              <w:pStyle w:val="37"/>
              <w:rPr>
                <w:rFonts w:ascii="Times New Roman"/>
              </w:rPr>
            </w:pPr>
          </w:p>
        </w:tc>
        <w:tc>
          <w:tcPr>
            <w:tcW w:w="6155" w:type="dxa"/>
            <w:gridSpan w:val="4"/>
            <w:tcBorders>
              <w:top w:val="nil"/>
              <w:bottom w:val="nil"/>
            </w:tcBorders>
          </w:tcPr>
          <w:p>
            <w:pPr>
              <w:pStyle w:val="37"/>
              <w:spacing w:before="80"/>
              <w:ind w:left="107"/>
              <w:rPr>
                <w:sz w:val="24"/>
              </w:rPr>
            </w:pPr>
            <w:r>
              <w:rPr>
                <w:sz w:val="24"/>
              </w:rPr>
              <w:t>（ 大 写 ）</w:t>
            </w:r>
            <w:r>
              <w:rPr>
                <w:sz w:val="24"/>
                <w:u w:val="single"/>
              </w:rPr>
              <w:t xml:space="preserve"> </w:t>
            </w:r>
            <w:r>
              <w:rPr>
                <w:sz w:val="24"/>
              </w:rPr>
              <w:t xml:space="preserve">元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77" w:type="dxa"/>
            <w:gridSpan w:val="2"/>
            <w:tcBorders>
              <w:top w:val="nil"/>
              <w:bottom w:val="nil"/>
            </w:tcBorders>
          </w:tcPr>
          <w:p>
            <w:pPr>
              <w:pStyle w:val="37"/>
              <w:spacing w:before="80"/>
              <w:ind w:left="707"/>
              <w:rPr>
                <w:rFonts w:ascii="微软雅黑" w:eastAsia="微软雅黑"/>
                <w:b/>
                <w:sz w:val="24"/>
              </w:rPr>
            </w:pPr>
            <w:r>
              <w:rPr>
                <w:sz w:val="24"/>
              </w:rPr>
              <w:t>投标总价</w:t>
            </w:r>
            <w:r>
              <w:rPr>
                <w:rFonts w:hint="eastAsia" w:ascii="微软雅黑" w:eastAsia="微软雅黑"/>
                <w:b/>
                <w:w w:val="167"/>
                <w:sz w:val="24"/>
              </w:rPr>
              <w:t xml:space="preserve"> </w:t>
            </w:r>
          </w:p>
        </w:tc>
        <w:tc>
          <w:tcPr>
            <w:tcW w:w="6155" w:type="dxa"/>
            <w:gridSpan w:val="4"/>
            <w:tcBorders>
              <w:top w:val="nil"/>
              <w:bottom w:val="nil"/>
            </w:tcBorders>
          </w:tcPr>
          <w:p>
            <w:pPr>
              <w:pStyle w:val="37"/>
              <w:spacing w:before="80"/>
              <w:ind w:left="107"/>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77" w:type="dxa"/>
            <w:gridSpan w:val="2"/>
            <w:tcBorders>
              <w:top w:val="nil"/>
              <w:bottom w:val="nil"/>
            </w:tcBorders>
          </w:tcPr>
          <w:p>
            <w:pPr>
              <w:pStyle w:val="37"/>
              <w:rPr>
                <w:rFonts w:ascii="Times New Roman"/>
              </w:rPr>
            </w:pPr>
          </w:p>
        </w:tc>
        <w:tc>
          <w:tcPr>
            <w:tcW w:w="6155" w:type="dxa"/>
            <w:gridSpan w:val="4"/>
            <w:tcBorders>
              <w:top w:val="nil"/>
              <w:bottom w:val="nil"/>
            </w:tcBorders>
          </w:tcPr>
          <w:p>
            <w:pPr>
              <w:pStyle w:val="37"/>
              <w:spacing w:before="80"/>
              <w:ind w:left="107"/>
              <w:rPr>
                <w:sz w:val="24"/>
              </w:rPr>
            </w:pPr>
            <w:r>
              <w:rPr>
                <w:sz w:val="24"/>
              </w:rPr>
              <w:t>（ 小 写 ）</w:t>
            </w:r>
            <w:r>
              <w:rPr>
                <w:sz w:val="24"/>
                <w:u w:val="single"/>
              </w:rPr>
              <w:t xml:space="preserve"> </w:t>
            </w:r>
            <w:r>
              <w:rPr>
                <w:sz w:val="24"/>
              </w:rPr>
              <w:t xml:space="preserve">元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77" w:type="dxa"/>
            <w:gridSpan w:val="2"/>
            <w:tcBorders>
              <w:top w:val="nil"/>
              <w:bottom w:val="nil"/>
            </w:tcBorders>
          </w:tcPr>
          <w:p>
            <w:pPr>
              <w:pStyle w:val="37"/>
              <w:rPr>
                <w:rFonts w:ascii="Times New Roman"/>
              </w:rPr>
            </w:pPr>
          </w:p>
        </w:tc>
        <w:tc>
          <w:tcPr>
            <w:tcW w:w="6155" w:type="dxa"/>
            <w:gridSpan w:val="4"/>
            <w:tcBorders>
              <w:top w:val="nil"/>
              <w:bottom w:val="nil"/>
            </w:tcBorders>
          </w:tcPr>
          <w:p>
            <w:pPr>
              <w:pStyle w:val="37"/>
              <w:spacing w:before="80"/>
              <w:ind w:left="107"/>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77" w:type="dxa"/>
            <w:gridSpan w:val="2"/>
            <w:tcBorders>
              <w:top w:val="nil"/>
            </w:tcBorders>
          </w:tcPr>
          <w:p>
            <w:pPr>
              <w:pStyle w:val="37"/>
              <w:rPr>
                <w:rFonts w:ascii="Times New Roman"/>
              </w:rPr>
            </w:pPr>
          </w:p>
        </w:tc>
        <w:tc>
          <w:tcPr>
            <w:tcW w:w="6155" w:type="dxa"/>
            <w:gridSpan w:val="4"/>
            <w:tcBorders>
              <w:top w:val="nil"/>
            </w:tcBorders>
          </w:tcPr>
          <w:p>
            <w:pPr>
              <w:pStyle w:val="37"/>
              <w:spacing w:before="80"/>
              <w:ind w:left="107"/>
              <w:rPr>
                <w:sz w:val="24"/>
              </w:rPr>
            </w:pPr>
            <w:r>
              <w:rPr>
                <w:sz w:val="24"/>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77" w:type="dxa"/>
            <w:gridSpan w:val="2"/>
          </w:tcPr>
          <w:p>
            <w:pPr>
              <w:pStyle w:val="37"/>
              <w:spacing w:before="79"/>
              <w:ind w:left="987" w:right="859"/>
              <w:jc w:val="center"/>
              <w:rPr>
                <w:sz w:val="24"/>
              </w:rPr>
            </w:pPr>
            <w:r>
              <w:rPr>
                <w:sz w:val="24"/>
              </w:rPr>
              <w:t xml:space="preserve">备注 </w:t>
            </w:r>
          </w:p>
        </w:tc>
        <w:tc>
          <w:tcPr>
            <w:tcW w:w="6155" w:type="dxa"/>
            <w:gridSpan w:val="4"/>
          </w:tcPr>
          <w:p>
            <w:pPr>
              <w:pStyle w:val="37"/>
              <w:spacing w:before="2"/>
              <w:ind w:left="107"/>
              <w:rPr>
                <w:rFonts w:ascii="微软雅黑"/>
                <w:b/>
                <w:sz w:val="24"/>
              </w:rPr>
            </w:pPr>
            <w:r>
              <w:rPr>
                <w:rFonts w:ascii="微软雅黑"/>
                <w:b/>
                <w:w w:val="167"/>
                <w:sz w:val="24"/>
              </w:rPr>
              <w:t xml:space="preserve"> </w:t>
            </w:r>
          </w:p>
        </w:tc>
      </w:tr>
    </w:tbl>
    <w:p>
      <w:pPr>
        <w:pStyle w:val="13"/>
        <w:spacing w:before="79"/>
        <w:ind w:left="818"/>
      </w:pPr>
      <w:r>
        <w:t xml:space="preserve">说明：1、投标人必须填写报价明细表，否则将导致投标被拒绝。 </w:t>
      </w:r>
    </w:p>
    <w:p>
      <w:pPr>
        <w:pStyle w:val="13"/>
        <w:spacing w:before="160"/>
        <w:ind w:left="1538"/>
      </w:pPr>
      <w:r>
        <w:t xml:space="preserve">2、报价分析表中的“投标总价”应等于“开标一览表”中的“投标总价”。 </w:t>
      </w:r>
    </w:p>
    <w:p>
      <w:pPr>
        <w:pStyle w:val="13"/>
        <w:spacing w:before="161" w:line="302" w:lineRule="auto"/>
        <w:ind w:left="818" w:right="5065" w:firstLine="719"/>
      </w:pPr>
      <w:r>
        <w:t>3、报价项目填报不下的，可自行扩展。年 月 日</w:t>
      </w:r>
    </w:p>
    <w:p>
      <w:pPr>
        <w:spacing w:line="302" w:lineRule="auto"/>
        <w:sectPr>
          <w:pgSz w:w="11910" w:h="16840"/>
          <w:pgMar w:top="1440" w:right="1080" w:bottom="1440" w:left="1080" w:header="906" w:footer="895" w:gutter="0"/>
          <w:cols w:space="720" w:num="1"/>
        </w:sectPr>
      </w:pPr>
    </w:p>
    <w:p>
      <w:pPr>
        <w:pStyle w:val="7"/>
        <w:jc w:val="center"/>
      </w:pPr>
      <w:bookmarkStart w:id="420" w:name="四、☆服务承诺书"/>
      <w:bookmarkEnd w:id="420"/>
      <w:bookmarkStart w:id="421" w:name="_Toc27035"/>
      <w:bookmarkStart w:id="422" w:name="_Toc28911"/>
      <w:r>
        <w:rPr>
          <w:rFonts w:hint="eastAsia" w:eastAsia="宋体"/>
          <w:w w:val="105"/>
        </w:rPr>
        <w:t>十六</w:t>
      </w:r>
      <w:r>
        <w:rPr>
          <w:w w:val="105"/>
        </w:rPr>
        <w:t>、☆服务承诺书</w:t>
      </w:r>
      <w:bookmarkEnd w:id="421"/>
      <w:bookmarkEnd w:id="422"/>
    </w:p>
    <w:p>
      <w:pPr>
        <w:pStyle w:val="13"/>
        <w:spacing w:before="116"/>
        <w:ind w:left="1058"/>
      </w:pPr>
      <w:r>
        <w:t xml:space="preserve">说明：此处上传服务承诺书； </w:t>
      </w:r>
      <w:r>
        <w:rPr>
          <w:rFonts w:hint="eastAsia"/>
        </w:rPr>
        <w:t>（格式自拟）</w:t>
      </w:r>
    </w:p>
    <w:p>
      <w:pPr>
        <w:pStyle w:val="13"/>
        <w:spacing w:before="160"/>
        <w:ind w:left="1058"/>
      </w:pPr>
      <w:r>
        <w:t xml:space="preserve"> </w:t>
      </w: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spacing w:before="7"/>
        <w:rPr>
          <w:sz w:val="17"/>
        </w:rPr>
      </w:pPr>
    </w:p>
    <w:p>
      <w:pPr>
        <w:rPr>
          <w:sz w:val="17"/>
        </w:rPr>
        <w:sectPr>
          <w:footerReference r:id="rId9" w:type="default"/>
          <w:pgSz w:w="11910" w:h="16840"/>
          <w:pgMar w:top="1440" w:right="1080" w:bottom="1440" w:left="1080" w:header="906" w:footer="975" w:gutter="0"/>
          <w:pgNumType w:start="70"/>
          <w:cols w:space="720" w:num="1"/>
        </w:sectPr>
      </w:pPr>
    </w:p>
    <w:p>
      <w:pPr>
        <w:pStyle w:val="7"/>
        <w:jc w:val="center"/>
      </w:pPr>
      <w:bookmarkStart w:id="423" w:name="五、商务条款偏离说明表"/>
      <w:bookmarkEnd w:id="423"/>
      <w:bookmarkStart w:id="424" w:name="_Toc24885"/>
      <w:bookmarkStart w:id="425" w:name="_Toc8727"/>
      <w:r>
        <w:rPr>
          <w:rFonts w:hint="eastAsia" w:eastAsia="宋体"/>
        </w:rPr>
        <w:t>十七</w:t>
      </w:r>
      <w:r>
        <w:t>、商务条款偏离说明表</w:t>
      </w:r>
      <w:bookmarkEnd w:id="424"/>
      <w:bookmarkEnd w:id="425"/>
    </w:p>
    <w:p>
      <w:pPr>
        <w:pStyle w:val="8"/>
        <w:spacing w:before="157"/>
        <w:ind w:left="3573" w:firstLine="0"/>
      </w:pPr>
      <w:r>
        <w:t>商务</w:t>
      </w:r>
      <w:r>
        <w:rPr>
          <w:rFonts w:hint="eastAsia"/>
        </w:rPr>
        <w:t>投标</w:t>
      </w:r>
      <w:r>
        <w:t xml:space="preserve">、偏离说明表 </w:t>
      </w:r>
    </w:p>
    <w:p>
      <w:pPr>
        <w:spacing w:before="141" w:line="336" w:lineRule="auto"/>
        <w:ind w:left="818" w:right="3103"/>
        <w:rPr>
          <w:sz w:val="28"/>
        </w:rPr>
      </w:pPr>
      <w:r>
        <mc:AlternateContent>
          <mc:Choice Requires="wps">
            <w:drawing>
              <wp:anchor distT="0" distB="0" distL="114300" distR="114300" simplePos="0" relativeHeight="251663360" behindDoc="0" locked="0" layoutInCell="1" allowOverlap="1">
                <wp:simplePos x="0" y="0"/>
                <wp:positionH relativeFrom="page">
                  <wp:posOffset>1069975</wp:posOffset>
                </wp:positionH>
                <wp:positionV relativeFrom="paragraph">
                  <wp:posOffset>648335</wp:posOffset>
                </wp:positionV>
                <wp:extent cx="5425440" cy="5487035"/>
                <wp:effectExtent l="0" t="0" r="0" b="0"/>
                <wp:wrapNone/>
                <wp:docPr id="3" name="文本框 21"/>
                <wp:cNvGraphicFramePr/>
                <a:graphic xmlns:a="http://schemas.openxmlformats.org/drawingml/2006/main">
                  <a:graphicData uri="http://schemas.microsoft.com/office/word/2010/wordprocessingShape">
                    <wps:wsp>
                      <wps:cNvSpPr txBox="1"/>
                      <wps:spPr>
                        <a:xfrm>
                          <a:off x="0" y="0"/>
                          <a:ext cx="5425440" cy="5487035"/>
                        </a:xfrm>
                        <a:prstGeom prst="rect">
                          <a:avLst/>
                        </a:prstGeom>
                        <a:noFill/>
                        <a:ln>
                          <a:noFill/>
                        </a:ln>
                      </wps:spPr>
                      <wps:txbx>
                        <w:txbxContent>
                          <w:tbl>
                            <w:tblPr>
                              <w:tblStyle w:val="2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2713"/>
                              <w:gridCol w:w="2590"/>
                              <w:gridCol w:w="2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0" w:hRule="atLeast"/>
                              </w:trPr>
                              <w:tc>
                                <w:tcPr>
                                  <w:tcW w:w="526" w:type="dxa"/>
                                </w:tcPr>
                                <w:p>
                                  <w:pPr>
                                    <w:pStyle w:val="37"/>
                                    <w:spacing w:line="500" w:lineRule="exact"/>
                                    <w:ind w:left="107" w:right="-15"/>
                                    <w:rPr>
                                      <w:sz w:val="28"/>
                                    </w:rPr>
                                  </w:pPr>
                                  <w:r>
                                    <w:rPr>
                                      <w:sz w:val="28"/>
                                    </w:rPr>
                                    <w:t xml:space="preserve">序号 </w:t>
                                  </w:r>
                                </w:p>
                              </w:tc>
                              <w:tc>
                                <w:tcPr>
                                  <w:tcW w:w="2713" w:type="dxa"/>
                                </w:tcPr>
                                <w:p>
                                  <w:pPr>
                                    <w:pStyle w:val="37"/>
                                    <w:spacing w:before="11"/>
                                    <w:rPr>
                                      <w:sz w:val="28"/>
                                    </w:rPr>
                                  </w:pPr>
                                </w:p>
                                <w:p>
                                  <w:pPr>
                                    <w:pStyle w:val="37"/>
                                    <w:ind w:left="234"/>
                                    <w:rPr>
                                      <w:sz w:val="28"/>
                                    </w:rPr>
                                  </w:pPr>
                                  <w:r>
                                    <w:rPr>
                                      <w:sz w:val="28"/>
                                    </w:rPr>
                                    <w:t xml:space="preserve">招标文件要求部分 </w:t>
                                  </w:r>
                                </w:p>
                              </w:tc>
                              <w:tc>
                                <w:tcPr>
                                  <w:tcW w:w="2590" w:type="dxa"/>
                                </w:tcPr>
                                <w:p>
                                  <w:pPr>
                                    <w:pStyle w:val="37"/>
                                    <w:spacing w:line="500" w:lineRule="exact"/>
                                    <w:ind w:left="730" w:right="585"/>
                                    <w:rPr>
                                      <w:sz w:val="28"/>
                                    </w:rPr>
                                  </w:pPr>
                                  <w:r>
                                    <w:rPr>
                                      <w:sz w:val="28"/>
                                    </w:rPr>
                                    <w:t>投标服务</w:t>
                                  </w:r>
                                  <w:r>
                                    <w:rPr>
                                      <w:rFonts w:hint="eastAsia"/>
                                      <w:sz w:val="28"/>
                                    </w:rPr>
                                    <w:t>投标</w:t>
                                  </w:r>
                                  <w:r>
                                    <w:rPr>
                                      <w:sz w:val="28"/>
                                    </w:rPr>
                                    <w:t xml:space="preserve">部分 </w:t>
                                  </w:r>
                                </w:p>
                              </w:tc>
                              <w:tc>
                                <w:tcPr>
                                  <w:tcW w:w="2701" w:type="dxa"/>
                                </w:tcPr>
                                <w:p>
                                  <w:pPr>
                                    <w:pStyle w:val="37"/>
                                    <w:spacing w:before="11"/>
                                    <w:rPr>
                                      <w:sz w:val="28"/>
                                    </w:rPr>
                                  </w:pPr>
                                </w:p>
                                <w:p>
                                  <w:pPr>
                                    <w:pStyle w:val="37"/>
                                    <w:ind w:left="786"/>
                                    <w:rPr>
                                      <w:sz w:val="28"/>
                                    </w:rPr>
                                  </w:pPr>
                                  <w:r>
                                    <w:rPr>
                                      <w:sz w:val="28"/>
                                    </w:rPr>
                                    <w:t xml:space="preserve">偏离说明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26" w:type="dxa"/>
                                  <w:tcBorders>
                                    <w:bottom w:val="single" w:color="000000" w:sz="6" w:space="0"/>
                                  </w:tcBorders>
                                </w:tcPr>
                                <w:p>
                                  <w:pPr>
                                    <w:pStyle w:val="37"/>
                                    <w:spacing w:before="245"/>
                                    <w:ind w:left="107"/>
                                    <w:rPr>
                                      <w:sz w:val="28"/>
                                    </w:rPr>
                                  </w:pPr>
                                  <w:r>
                                    <w:rPr>
                                      <w:sz w:val="28"/>
                                    </w:rPr>
                                    <w:t xml:space="preserve">1 </w:t>
                                  </w:r>
                                </w:p>
                              </w:tc>
                              <w:tc>
                                <w:tcPr>
                                  <w:tcW w:w="2713" w:type="dxa"/>
                                  <w:tcBorders>
                                    <w:bottom w:val="single" w:color="000000" w:sz="6" w:space="0"/>
                                  </w:tcBorders>
                                </w:tcPr>
                                <w:p>
                                  <w:pPr>
                                    <w:pStyle w:val="37"/>
                                    <w:spacing w:before="245"/>
                                    <w:ind w:left="107"/>
                                    <w:rPr>
                                      <w:sz w:val="28"/>
                                    </w:rPr>
                                  </w:pPr>
                                  <w:r>
                                    <w:rPr>
                                      <w:sz w:val="28"/>
                                    </w:rPr>
                                    <w:t xml:space="preserve"> </w:t>
                                  </w:r>
                                </w:p>
                              </w:tc>
                              <w:tc>
                                <w:tcPr>
                                  <w:tcW w:w="2590" w:type="dxa"/>
                                  <w:tcBorders>
                                    <w:bottom w:val="single" w:color="000000" w:sz="6" w:space="0"/>
                                  </w:tcBorders>
                                </w:tcPr>
                                <w:p>
                                  <w:pPr>
                                    <w:pStyle w:val="37"/>
                                    <w:spacing w:before="245"/>
                                    <w:ind w:left="104"/>
                                    <w:rPr>
                                      <w:sz w:val="28"/>
                                    </w:rPr>
                                  </w:pPr>
                                  <w:r>
                                    <w:rPr>
                                      <w:sz w:val="28"/>
                                    </w:rPr>
                                    <w:t xml:space="preserve"> </w:t>
                                  </w:r>
                                </w:p>
                              </w:tc>
                              <w:tc>
                                <w:tcPr>
                                  <w:tcW w:w="2701" w:type="dxa"/>
                                  <w:tcBorders>
                                    <w:bottom w:val="single" w:color="000000" w:sz="6" w:space="0"/>
                                  </w:tcBorders>
                                </w:tcPr>
                                <w:p>
                                  <w:pPr>
                                    <w:pStyle w:val="37"/>
                                    <w:spacing w:before="245"/>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Borders>
                                    <w:top w:val="single" w:color="000000" w:sz="6" w:space="0"/>
                                  </w:tcBorders>
                                </w:tcPr>
                                <w:p>
                                  <w:pPr>
                                    <w:pStyle w:val="37"/>
                                    <w:spacing w:before="245"/>
                                    <w:ind w:left="107"/>
                                    <w:rPr>
                                      <w:sz w:val="28"/>
                                    </w:rPr>
                                  </w:pPr>
                                  <w:r>
                                    <w:rPr>
                                      <w:sz w:val="28"/>
                                    </w:rPr>
                                    <w:t xml:space="preserve">2 </w:t>
                                  </w:r>
                                </w:p>
                              </w:tc>
                              <w:tc>
                                <w:tcPr>
                                  <w:tcW w:w="2713" w:type="dxa"/>
                                  <w:tcBorders>
                                    <w:top w:val="single" w:color="000000" w:sz="6" w:space="0"/>
                                  </w:tcBorders>
                                </w:tcPr>
                                <w:p>
                                  <w:pPr>
                                    <w:pStyle w:val="37"/>
                                    <w:spacing w:before="245"/>
                                    <w:ind w:left="107"/>
                                    <w:rPr>
                                      <w:sz w:val="28"/>
                                    </w:rPr>
                                  </w:pPr>
                                  <w:r>
                                    <w:rPr>
                                      <w:sz w:val="28"/>
                                    </w:rPr>
                                    <w:t xml:space="preserve"> </w:t>
                                  </w:r>
                                </w:p>
                              </w:tc>
                              <w:tc>
                                <w:tcPr>
                                  <w:tcW w:w="2590" w:type="dxa"/>
                                  <w:tcBorders>
                                    <w:top w:val="single" w:color="000000" w:sz="6" w:space="0"/>
                                  </w:tcBorders>
                                </w:tcPr>
                                <w:p>
                                  <w:pPr>
                                    <w:pStyle w:val="37"/>
                                    <w:spacing w:before="245"/>
                                    <w:ind w:left="104"/>
                                    <w:rPr>
                                      <w:sz w:val="28"/>
                                    </w:rPr>
                                  </w:pPr>
                                  <w:r>
                                    <w:rPr>
                                      <w:sz w:val="28"/>
                                    </w:rPr>
                                    <w:t xml:space="preserve"> </w:t>
                                  </w:r>
                                </w:p>
                              </w:tc>
                              <w:tc>
                                <w:tcPr>
                                  <w:tcW w:w="2701" w:type="dxa"/>
                                  <w:tcBorders>
                                    <w:top w:val="single" w:color="000000" w:sz="6" w:space="0"/>
                                  </w:tcBorders>
                                </w:tcPr>
                                <w:p>
                                  <w:pPr>
                                    <w:pStyle w:val="37"/>
                                    <w:spacing w:before="245"/>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37"/>
                                    <w:spacing w:before="245"/>
                                    <w:ind w:left="107"/>
                                    <w:rPr>
                                      <w:sz w:val="28"/>
                                    </w:rPr>
                                  </w:pPr>
                                  <w:r>
                                    <w:rPr>
                                      <w:sz w:val="28"/>
                                    </w:rPr>
                                    <w:t xml:space="preserve">3 </w:t>
                                  </w:r>
                                </w:p>
                              </w:tc>
                              <w:tc>
                                <w:tcPr>
                                  <w:tcW w:w="2713" w:type="dxa"/>
                                </w:tcPr>
                                <w:p>
                                  <w:pPr>
                                    <w:pStyle w:val="37"/>
                                    <w:spacing w:before="245"/>
                                    <w:ind w:left="107"/>
                                    <w:rPr>
                                      <w:sz w:val="28"/>
                                    </w:rPr>
                                  </w:pPr>
                                  <w:r>
                                    <w:rPr>
                                      <w:sz w:val="28"/>
                                    </w:rPr>
                                    <w:t xml:space="preserve"> </w:t>
                                  </w:r>
                                </w:p>
                              </w:tc>
                              <w:tc>
                                <w:tcPr>
                                  <w:tcW w:w="2590" w:type="dxa"/>
                                </w:tcPr>
                                <w:p>
                                  <w:pPr>
                                    <w:pStyle w:val="37"/>
                                    <w:spacing w:before="245"/>
                                    <w:ind w:left="104"/>
                                    <w:rPr>
                                      <w:sz w:val="28"/>
                                    </w:rPr>
                                  </w:pPr>
                                  <w:r>
                                    <w:rPr>
                                      <w:sz w:val="28"/>
                                    </w:rPr>
                                    <w:t xml:space="preserve"> </w:t>
                                  </w:r>
                                </w:p>
                              </w:tc>
                              <w:tc>
                                <w:tcPr>
                                  <w:tcW w:w="2701" w:type="dxa"/>
                                </w:tcPr>
                                <w:p>
                                  <w:pPr>
                                    <w:pStyle w:val="37"/>
                                    <w:spacing w:before="245"/>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37"/>
                                    <w:spacing w:before="248"/>
                                    <w:ind w:left="107"/>
                                    <w:rPr>
                                      <w:sz w:val="28"/>
                                    </w:rPr>
                                  </w:pPr>
                                  <w:r>
                                    <w:rPr>
                                      <w:sz w:val="28"/>
                                    </w:rPr>
                                    <w:t xml:space="preserve">4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37"/>
                                    <w:spacing w:before="248"/>
                                    <w:ind w:left="107"/>
                                    <w:rPr>
                                      <w:sz w:val="28"/>
                                    </w:rPr>
                                  </w:pPr>
                                  <w:r>
                                    <w:rPr>
                                      <w:sz w:val="28"/>
                                    </w:rPr>
                                    <w:t xml:space="preserve">5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37"/>
                                    <w:spacing w:before="248"/>
                                    <w:ind w:left="107"/>
                                    <w:rPr>
                                      <w:sz w:val="28"/>
                                    </w:rPr>
                                  </w:pPr>
                                  <w:r>
                                    <w:rPr>
                                      <w:sz w:val="28"/>
                                    </w:rPr>
                                    <w:t xml:space="preserve">6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37"/>
                                    <w:spacing w:before="248"/>
                                    <w:ind w:left="107"/>
                                    <w:rPr>
                                      <w:sz w:val="28"/>
                                    </w:rPr>
                                  </w:pPr>
                                  <w:r>
                                    <w:rPr>
                                      <w:sz w:val="28"/>
                                    </w:rPr>
                                    <w:t xml:space="preserve">7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37"/>
                                    <w:spacing w:before="248"/>
                                    <w:ind w:left="107"/>
                                    <w:rPr>
                                      <w:sz w:val="28"/>
                                    </w:rPr>
                                  </w:pPr>
                                  <w:r>
                                    <w:rPr>
                                      <w:sz w:val="28"/>
                                    </w:rPr>
                                    <w:t xml:space="preserve">8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37"/>
                                    <w:spacing w:before="248"/>
                                    <w:ind w:left="107"/>
                                    <w:rPr>
                                      <w:sz w:val="28"/>
                                    </w:rPr>
                                  </w:pPr>
                                  <w:r>
                                    <w:rPr>
                                      <w:sz w:val="28"/>
                                    </w:rPr>
                                    <w:t xml:space="preserve">9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37"/>
                                    <w:spacing w:before="247"/>
                                    <w:ind w:left="107" w:right="-15"/>
                                    <w:rPr>
                                      <w:sz w:val="28"/>
                                    </w:rPr>
                                  </w:pPr>
                                  <w:r>
                                    <w:rPr>
                                      <w:sz w:val="28"/>
                                    </w:rPr>
                                    <w:t xml:space="preserve">… </w:t>
                                  </w:r>
                                </w:p>
                              </w:tc>
                              <w:tc>
                                <w:tcPr>
                                  <w:tcW w:w="2713" w:type="dxa"/>
                                </w:tcPr>
                                <w:p>
                                  <w:pPr>
                                    <w:pStyle w:val="37"/>
                                    <w:spacing w:before="247"/>
                                    <w:ind w:left="107"/>
                                    <w:rPr>
                                      <w:sz w:val="28"/>
                                    </w:rPr>
                                  </w:pPr>
                                  <w:r>
                                    <w:rPr>
                                      <w:sz w:val="28"/>
                                    </w:rPr>
                                    <w:t xml:space="preserve"> </w:t>
                                  </w:r>
                                </w:p>
                              </w:tc>
                              <w:tc>
                                <w:tcPr>
                                  <w:tcW w:w="2590" w:type="dxa"/>
                                </w:tcPr>
                                <w:p>
                                  <w:pPr>
                                    <w:pStyle w:val="37"/>
                                    <w:spacing w:before="247"/>
                                    <w:ind w:left="104"/>
                                    <w:rPr>
                                      <w:sz w:val="28"/>
                                    </w:rPr>
                                  </w:pPr>
                                  <w:r>
                                    <w:rPr>
                                      <w:sz w:val="28"/>
                                    </w:rPr>
                                    <w:t xml:space="preserve"> </w:t>
                                  </w:r>
                                </w:p>
                              </w:tc>
                              <w:tc>
                                <w:tcPr>
                                  <w:tcW w:w="2701" w:type="dxa"/>
                                </w:tcPr>
                                <w:p>
                                  <w:pPr>
                                    <w:pStyle w:val="37"/>
                                    <w:spacing w:before="247"/>
                                    <w:ind w:left="104"/>
                                    <w:rPr>
                                      <w:sz w:val="28"/>
                                    </w:rPr>
                                  </w:pPr>
                                  <w:r>
                                    <w:rPr>
                                      <w:sz w:val="28"/>
                                    </w:rPr>
                                    <w:t xml:space="preserve"> </w:t>
                                  </w:r>
                                </w:p>
                              </w:tc>
                            </w:tr>
                          </w:tbl>
                          <w:p>
                            <w:pPr>
                              <w:pStyle w:val="13"/>
                            </w:pPr>
                          </w:p>
                        </w:txbxContent>
                      </wps:txbx>
                      <wps:bodyPr lIns="0" tIns="0" rIns="0" bIns="0" upright="1"/>
                    </wps:wsp>
                  </a:graphicData>
                </a:graphic>
              </wp:anchor>
            </w:drawing>
          </mc:Choice>
          <mc:Fallback>
            <w:pict>
              <v:shape id="文本框 21" o:spid="_x0000_s1026" o:spt="202" type="#_x0000_t202" style="position:absolute;left:0pt;margin-left:84.25pt;margin-top:51.05pt;height:432.05pt;width:427.2pt;mso-position-horizontal-relative:page;z-index:251663360;mso-width-relative:page;mso-height-relative:page;" filled="f" stroked="f" coordsize="21600,21600" o:gfxdata="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ar7jvZAAAADAEAAA8AAAAAAAAAAQAgAAAAIgAAAGRycy9kb3ducmV2LnhtbFBL&#10;AQIUABQAAAAIAIdO4kBVdI4vvAEAAHQDAAAOAAAAAAAAAAEAIAAAACgBAABkcnMvZTJvRG9jLnht&#10;bFBLBQYAAAAABgAGAFkBAABWBQAAAAA=&#10;">
                <v:fill on="f" focussize="0,0"/>
                <v:stroke on="f"/>
                <v:imagedata o:title=""/>
                <o:lock v:ext="edit" aspectratio="f"/>
                <v:textbox inset="0mm,0mm,0mm,0mm">
                  <w:txbxContent>
                    <w:tbl>
                      <w:tblPr>
                        <w:tblStyle w:val="2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2713"/>
                        <w:gridCol w:w="2590"/>
                        <w:gridCol w:w="2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526" w:type="dxa"/>
                          </w:tcPr>
                          <w:p>
                            <w:pPr>
                              <w:pStyle w:val="37"/>
                              <w:spacing w:line="500" w:lineRule="exact"/>
                              <w:ind w:left="107" w:right="-15"/>
                              <w:rPr>
                                <w:sz w:val="28"/>
                              </w:rPr>
                            </w:pPr>
                            <w:r>
                              <w:rPr>
                                <w:sz w:val="28"/>
                              </w:rPr>
                              <w:t xml:space="preserve">序号 </w:t>
                            </w:r>
                          </w:p>
                        </w:tc>
                        <w:tc>
                          <w:tcPr>
                            <w:tcW w:w="2713" w:type="dxa"/>
                          </w:tcPr>
                          <w:p>
                            <w:pPr>
                              <w:pStyle w:val="37"/>
                              <w:spacing w:before="11"/>
                              <w:rPr>
                                <w:sz w:val="28"/>
                              </w:rPr>
                            </w:pPr>
                          </w:p>
                          <w:p>
                            <w:pPr>
                              <w:pStyle w:val="37"/>
                              <w:ind w:left="234"/>
                              <w:rPr>
                                <w:sz w:val="28"/>
                              </w:rPr>
                            </w:pPr>
                            <w:r>
                              <w:rPr>
                                <w:sz w:val="28"/>
                              </w:rPr>
                              <w:t xml:space="preserve">招标文件要求部分 </w:t>
                            </w:r>
                          </w:p>
                        </w:tc>
                        <w:tc>
                          <w:tcPr>
                            <w:tcW w:w="2590" w:type="dxa"/>
                          </w:tcPr>
                          <w:p>
                            <w:pPr>
                              <w:pStyle w:val="37"/>
                              <w:spacing w:line="500" w:lineRule="exact"/>
                              <w:ind w:left="730" w:right="585"/>
                              <w:rPr>
                                <w:sz w:val="28"/>
                              </w:rPr>
                            </w:pPr>
                            <w:r>
                              <w:rPr>
                                <w:sz w:val="28"/>
                              </w:rPr>
                              <w:t>投标服务</w:t>
                            </w:r>
                            <w:r>
                              <w:rPr>
                                <w:rFonts w:hint="eastAsia"/>
                                <w:sz w:val="28"/>
                              </w:rPr>
                              <w:t>投标</w:t>
                            </w:r>
                            <w:r>
                              <w:rPr>
                                <w:sz w:val="28"/>
                              </w:rPr>
                              <w:t xml:space="preserve">部分 </w:t>
                            </w:r>
                          </w:p>
                        </w:tc>
                        <w:tc>
                          <w:tcPr>
                            <w:tcW w:w="2701" w:type="dxa"/>
                          </w:tcPr>
                          <w:p>
                            <w:pPr>
                              <w:pStyle w:val="37"/>
                              <w:spacing w:before="11"/>
                              <w:rPr>
                                <w:sz w:val="28"/>
                              </w:rPr>
                            </w:pPr>
                          </w:p>
                          <w:p>
                            <w:pPr>
                              <w:pStyle w:val="37"/>
                              <w:ind w:left="786"/>
                              <w:rPr>
                                <w:sz w:val="28"/>
                              </w:rPr>
                            </w:pPr>
                            <w:r>
                              <w:rPr>
                                <w:sz w:val="28"/>
                              </w:rPr>
                              <w:t xml:space="preserve">偏离说明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26" w:type="dxa"/>
                            <w:tcBorders>
                              <w:bottom w:val="single" w:color="000000" w:sz="6" w:space="0"/>
                            </w:tcBorders>
                          </w:tcPr>
                          <w:p>
                            <w:pPr>
                              <w:pStyle w:val="37"/>
                              <w:spacing w:before="245"/>
                              <w:ind w:left="107"/>
                              <w:rPr>
                                <w:sz w:val="28"/>
                              </w:rPr>
                            </w:pPr>
                            <w:r>
                              <w:rPr>
                                <w:sz w:val="28"/>
                              </w:rPr>
                              <w:t xml:space="preserve">1 </w:t>
                            </w:r>
                          </w:p>
                        </w:tc>
                        <w:tc>
                          <w:tcPr>
                            <w:tcW w:w="2713" w:type="dxa"/>
                            <w:tcBorders>
                              <w:bottom w:val="single" w:color="000000" w:sz="6" w:space="0"/>
                            </w:tcBorders>
                          </w:tcPr>
                          <w:p>
                            <w:pPr>
                              <w:pStyle w:val="37"/>
                              <w:spacing w:before="245"/>
                              <w:ind w:left="107"/>
                              <w:rPr>
                                <w:sz w:val="28"/>
                              </w:rPr>
                            </w:pPr>
                            <w:r>
                              <w:rPr>
                                <w:sz w:val="28"/>
                              </w:rPr>
                              <w:t xml:space="preserve"> </w:t>
                            </w:r>
                          </w:p>
                        </w:tc>
                        <w:tc>
                          <w:tcPr>
                            <w:tcW w:w="2590" w:type="dxa"/>
                            <w:tcBorders>
                              <w:bottom w:val="single" w:color="000000" w:sz="6" w:space="0"/>
                            </w:tcBorders>
                          </w:tcPr>
                          <w:p>
                            <w:pPr>
                              <w:pStyle w:val="37"/>
                              <w:spacing w:before="245"/>
                              <w:ind w:left="104"/>
                              <w:rPr>
                                <w:sz w:val="28"/>
                              </w:rPr>
                            </w:pPr>
                            <w:r>
                              <w:rPr>
                                <w:sz w:val="28"/>
                              </w:rPr>
                              <w:t xml:space="preserve"> </w:t>
                            </w:r>
                          </w:p>
                        </w:tc>
                        <w:tc>
                          <w:tcPr>
                            <w:tcW w:w="2701" w:type="dxa"/>
                            <w:tcBorders>
                              <w:bottom w:val="single" w:color="000000" w:sz="6" w:space="0"/>
                            </w:tcBorders>
                          </w:tcPr>
                          <w:p>
                            <w:pPr>
                              <w:pStyle w:val="37"/>
                              <w:spacing w:before="245"/>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Borders>
                              <w:top w:val="single" w:color="000000" w:sz="6" w:space="0"/>
                            </w:tcBorders>
                          </w:tcPr>
                          <w:p>
                            <w:pPr>
                              <w:pStyle w:val="37"/>
                              <w:spacing w:before="245"/>
                              <w:ind w:left="107"/>
                              <w:rPr>
                                <w:sz w:val="28"/>
                              </w:rPr>
                            </w:pPr>
                            <w:r>
                              <w:rPr>
                                <w:sz w:val="28"/>
                              </w:rPr>
                              <w:t xml:space="preserve">2 </w:t>
                            </w:r>
                          </w:p>
                        </w:tc>
                        <w:tc>
                          <w:tcPr>
                            <w:tcW w:w="2713" w:type="dxa"/>
                            <w:tcBorders>
                              <w:top w:val="single" w:color="000000" w:sz="6" w:space="0"/>
                            </w:tcBorders>
                          </w:tcPr>
                          <w:p>
                            <w:pPr>
                              <w:pStyle w:val="37"/>
                              <w:spacing w:before="245"/>
                              <w:ind w:left="107"/>
                              <w:rPr>
                                <w:sz w:val="28"/>
                              </w:rPr>
                            </w:pPr>
                            <w:r>
                              <w:rPr>
                                <w:sz w:val="28"/>
                              </w:rPr>
                              <w:t xml:space="preserve"> </w:t>
                            </w:r>
                          </w:p>
                        </w:tc>
                        <w:tc>
                          <w:tcPr>
                            <w:tcW w:w="2590" w:type="dxa"/>
                            <w:tcBorders>
                              <w:top w:val="single" w:color="000000" w:sz="6" w:space="0"/>
                            </w:tcBorders>
                          </w:tcPr>
                          <w:p>
                            <w:pPr>
                              <w:pStyle w:val="37"/>
                              <w:spacing w:before="245"/>
                              <w:ind w:left="104"/>
                              <w:rPr>
                                <w:sz w:val="28"/>
                              </w:rPr>
                            </w:pPr>
                            <w:r>
                              <w:rPr>
                                <w:sz w:val="28"/>
                              </w:rPr>
                              <w:t xml:space="preserve"> </w:t>
                            </w:r>
                          </w:p>
                        </w:tc>
                        <w:tc>
                          <w:tcPr>
                            <w:tcW w:w="2701" w:type="dxa"/>
                            <w:tcBorders>
                              <w:top w:val="single" w:color="000000" w:sz="6" w:space="0"/>
                            </w:tcBorders>
                          </w:tcPr>
                          <w:p>
                            <w:pPr>
                              <w:pStyle w:val="37"/>
                              <w:spacing w:before="245"/>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37"/>
                              <w:spacing w:before="245"/>
                              <w:ind w:left="107"/>
                              <w:rPr>
                                <w:sz w:val="28"/>
                              </w:rPr>
                            </w:pPr>
                            <w:r>
                              <w:rPr>
                                <w:sz w:val="28"/>
                              </w:rPr>
                              <w:t xml:space="preserve">3 </w:t>
                            </w:r>
                          </w:p>
                        </w:tc>
                        <w:tc>
                          <w:tcPr>
                            <w:tcW w:w="2713" w:type="dxa"/>
                          </w:tcPr>
                          <w:p>
                            <w:pPr>
                              <w:pStyle w:val="37"/>
                              <w:spacing w:before="245"/>
                              <w:ind w:left="107"/>
                              <w:rPr>
                                <w:sz w:val="28"/>
                              </w:rPr>
                            </w:pPr>
                            <w:r>
                              <w:rPr>
                                <w:sz w:val="28"/>
                              </w:rPr>
                              <w:t xml:space="preserve"> </w:t>
                            </w:r>
                          </w:p>
                        </w:tc>
                        <w:tc>
                          <w:tcPr>
                            <w:tcW w:w="2590" w:type="dxa"/>
                          </w:tcPr>
                          <w:p>
                            <w:pPr>
                              <w:pStyle w:val="37"/>
                              <w:spacing w:before="245"/>
                              <w:ind w:left="104"/>
                              <w:rPr>
                                <w:sz w:val="28"/>
                              </w:rPr>
                            </w:pPr>
                            <w:r>
                              <w:rPr>
                                <w:sz w:val="28"/>
                              </w:rPr>
                              <w:t xml:space="preserve"> </w:t>
                            </w:r>
                          </w:p>
                        </w:tc>
                        <w:tc>
                          <w:tcPr>
                            <w:tcW w:w="2701" w:type="dxa"/>
                          </w:tcPr>
                          <w:p>
                            <w:pPr>
                              <w:pStyle w:val="37"/>
                              <w:spacing w:before="245"/>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37"/>
                              <w:spacing w:before="248"/>
                              <w:ind w:left="107"/>
                              <w:rPr>
                                <w:sz w:val="28"/>
                              </w:rPr>
                            </w:pPr>
                            <w:r>
                              <w:rPr>
                                <w:sz w:val="28"/>
                              </w:rPr>
                              <w:t xml:space="preserve">4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37"/>
                              <w:spacing w:before="248"/>
                              <w:ind w:left="107"/>
                              <w:rPr>
                                <w:sz w:val="28"/>
                              </w:rPr>
                            </w:pPr>
                            <w:r>
                              <w:rPr>
                                <w:sz w:val="28"/>
                              </w:rPr>
                              <w:t xml:space="preserve">5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37"/>
                              <w:spacing w:before="248"/>
                              <w:ind w:left="107"/>
                              <w:rPr>
                                <w:sz w:val="28"/>
                              </w:rPr>
                            </w:pPr>
                            <w:r>
                              <w:rPr>
                                <w:sz w:val="28"/>
                              </w:rPr>
                              <w:t xml:space="preserve">6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37"/>
                              <w:spacing w:before="248"/>
                              <w:ind w:left="107"/>
                              <w:rPr>
                                <w:sz w:val="28"/>
                              </w:rPr>
                            </w:pPr>
                            <w:r>
                              <w:rPr>
                                <w:sz w:val="28"/>
                              </w:rPr>
                              <w:t xml:space="preserve">7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37"/>
                              <w:spacing w:before="248"/>
                              <w:ind w:left="107"/>
                              <w:rPr>
                                <w:sz w:val="28"/>
                              </w:rPr>
                            </w:pPr>
                            <w:r>
                              <w:rPr>
                                <w:sz w:val="28"/>
                              </w:rPr>
                              <w:t xml:space="preserve">8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37"/>
                              <w:spacing w:before="248"/>
                              <w:ind w:left="107"/>
                              <w:rPr>
                                <w:sz w:val="28"/>
                              </w:rPr>
                            </w:pPr>
                            <w:r>
                              <w:rPr>
                                <w:sz w:val="28"/>
                              </w:rPr>
                              <w:t xml:space="preserve">9 </w:t>
                            </w:r>
                          </w:p>
                        </w:tc>
                        <w:tc>
                          <w:tcPr>
                            <w:tcW w:w="2713" w:type="dxa"/>
                          </w:tcPr>
                          <w:p>
                            <w:pPr>
                              <w:pStyle w:val="37"/>
                              <w:spacing w:before="248"/>
                              <w:ind w:left="107"/>
                              <w:rPr>
                                <w:sz w:val="28"/>
                              </w:rPr>
                            </w:pPr>
                            <w:r>
                              <w:rPr>
                                <w:sz w:val="28"/>
                              </w:rPr>
                              <w:t xml:space="preserve"> </w:t>
                            </w:r>
                          </w:p>
                        </w:tc>
                        <w:tc>
                          <w:tcPr>
                            <w:tcW w:w="2590" w:type="dxa"/>
                          </w:tcPr>
                          <w:p>
                            <w:pPr>
                              <w:pStyle w:val="37"/>
                              <w:spacing w:before="248"/>
                              <w:ind w:left="104"/>
                              <w:rPr>
                                <w:sz w:val="28"/>
                              </w:rPr>
                            </w:pPr>
                            <w:r>
                              <w:rPr>
                                <w:sz w:val="28"/>
                              </w:rPr>
                              <w:t xml:space="preserve"> </w:t>
                            </w:r>
                          </w:p>
                        </w:tc>
                        <w:tc>
                          <w:tcPr>
                            <w:tcW w:w="2701" w:type="dxa"/>
                          </w:tcPr>
                          <w:p>
                            <w:pPr>
                              <w:pStyle w:val="37"/>
                              <w:spacing w:before="248"/>
                              <w:ind w:left="104"/>
                              <w:rPr>
                                <w:sz w:val="28"/>
                              </w:rPr>
                            </w:pPr>
                            <w:r>
                              <w:rPr>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37"/>
                              <w:spacing w:before="247"/>
                              <w:ind w:left="107" w:right="-15"/>
                              <w:rPr>
                                <w:sz w:val="28"/>
                              </w:rPr>
                            </w:pPr>
                            <w:r>
                              <w:rPr>
                                <w:sz w:val="28"/>
                              </w:rPr>
                              <w:t xml:space="preserve">… </w:t>
                            </w:r>
                          </w:p>
                        </w:tc>
                        <w:tc>
                          <w:tcPr>
                            <w:tcW w:w="2713" w:type="dxa"/>
                          </w:tcPr>
                          <w:p>
                            <w:pPr>
                              <w:pStyle w:val="37"/>
                              <w:spacing w:before="247"/>
                              <w:ind w:left="107"/>
                              <w:rPr>
                                <w:sz w:val="28"/>
                              </w:rPr>
                            </w:pPr>
                            <w:r>
                              <w:rPr>
                                <w:sz w:val="28"/>
                              </w:rPr>
                              <w:t xml:space="preserve"> </w:t>
                            </w:r>
                          </w:p>
                        </w:tc>
                        <w:tc>
                          <w:tcPr>
                            <w:tcW w:w="2590" w:type="dxa"/>
                          </w:tcPr>
                          <w:p>
                            <w:pPr>
                              <w:pStyle w:val="37"/>
                              <w:spacing w:before="247"/>
                              <w:ind w:left="104"/>
                              <w:rPr>
                                <w:sz w:val="28"/>
                              </w:rPr>
                            </w:pPr>
                            <w:r>
                              <w:rPr>
                                <w:sz w:val="28"/>
                              </w:rPr>
                              <w:t xml:space="preserve"> </w:t>
                            </w:r>
                          </w:p>
                        </w:tc>
                        <w:tc>
                          <w:tcPr>
                            <w:tcW w:w="2701" w:type="dxa"/>
                          </w:tcPr>
                          <w:p>
                            <w:pPr>
                              <w:pStyle w:val="37"/>
                              <w:spacing w:before="247"/>
                              <w:ind w:left="104"/>
                              <w:rPr>
                                <w:sz w:val="28"/>
                              </w:rPr>
                            </w:pPr>
                            <w:r>
                              <w:rPr>
                                <w:sz w:val="28"/>
                              </w:rPr>
                              <w:t xml:space="preserve"> </w:t>
                            </w:r>
                          </w:p>
                        </w:tc>
                      </w:tr>
                    </w:tbl>
                    <w:p>
                      <w:pPr>
                        <w:pStyle w:val="13"/>
                      </w:pPr>
                    </w:p>
                  </w:txbxContent>
                </v:textbox>
              </v:shape>
            </w:pict>
          </mc:Fallback>
        </mc:AlternateContent>
      </w:r>
      <w:r>
        <w:rPr>
          <w:spacing w:val="-2"/>
          <w:sz w:val="28"/>
        </w:rPr>
        <w:t>采购项目编号：</w:t>
      </w:r>
      <w:r>
        <w:rPr>
          <w:spacing w:val="-2"/>
          <w:sz w:val="28"/>
          <w:u w:val="single"/>
        </w:rPr>
        <w:t xml:space="preserve">                             </w:t>
      </w:r>
      <w:r>
        <w:rPr>
          <w:spacing w:val="-2"/>
          <w:sz w:val="28"/>
        </w:rPr>
        <w:t xml:space="preserve">      采购项目名称：</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pacing w:val="1"/>
          <w:sz w:val="28"/>
          <w:u w:val="single"/>
        </w:rPr>
        <w:t xml:space="preserve"> </w:t>
      </w:r>
      <w:r>
        <w:rPr>
          <w:sz w:val="28"/>
        </w:rPr>
        <w:t xml:space="preserve"> </w:t>
      </w: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rPr>
          <w:sz w:val="28"/>
        </w:rPr>
      </w:pPr>
    </w:p>
    <w:p>
      <w:pPr>
        <w:pStyle w:val="13"/>
        <w:spacing w:before="2"/>
        <w:rPr>
          <w:sz w:val="30"/>
        </w:rPr>
      </w:pPr>
    </w:p>
    <w:p>
      <w:pPr>
        <w:spacing w:line="333" w:lineRule="auto"/>
        <w:ind w:left="818" w:right="3384"/>
        <w:rPr>
          <w:sz w:val="28"/>
        </w:rPr>
      </w:pPr>
      <w:r>
        <w:rPr>
          <w:spacing w:val="-3"/>
          <w:sz w:val="28"/>
        </w:rPr>
        <w:t>投标人法定代表人</w:t>
      </w:r>
      <w:r>
        <w:rPr>
          <w:sz w:val="28"/>
        </w:rPr>
        <w:t>（</w:t>
      </w:r>
      <w:r>
        <w:rPr>
          <w:spacing w:val="-1"/>
          <w:sz w:val="28"/>
        </w:rPr>
        <w:t>电子签名</w:t>
      </w:r>
      <w:r>
        <w:rPr>
          <w:spacing w:val="-142"/>
          <w:sz w:val="28"/>
        </w:rPr>
        <w:t>）</w:t>
      </w:r>
      <w:r>
        <w:rPr>
          <w:sz w:val="28"/>
        </w:rPr>
        <w:t>：</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z w:val="28"/>
        </w:rPr>
        <w:t xml:space="preserve"> </w:t>
      </w:r>
      <w:r>
        <w:rPr>
          <w:spacing w:val="-1"/>
          <w:sz w:val="28"/>
        </w:rPr>
        <w:t>投标人名称</w:t>
      </w:r>
      <w:r>
        <w:rPr>
          <w:sz w:val="28"/>
        </w:rPr>
        <w:t>（</w:t>
      </w:r>
      <w:r>
        <w:rPr>
          <w:spacing w:val="-2"/>
          <w:sz w:val="28"/>
        </w:rPr>
        <w:t>电子签章</w:t>
      </w:r>
      <w:r>
        <w:rPr>
          <w:spacing w:val="-142"/>
          <w:sz w:val="28"/>
        </w:rPr>
        <w:t>）</w:t>
      </w:r>
      <w:r>
        <w:rPr>
          <w:spacing w:val="-1"/>
          <w:sz w:val="28"/>
        </w:rPr>
        <w:t>：</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u w:val="single"/>
        </w:rPr>
        <w:t xml:space="preserve"> </w:t>
      </w:r>
      <w:r>
        <w:rPr>
          <w:spacing w:val="-2"/>
          <w:sz w:val="28"/>
          <w:u w:val="single"/>
        </w:rPr>
        <w:t xml:space="preserve"> </w:t>
      </w:r>
      <w:r>
        <w:rPr>
          <w:sz w:val="28"/>
        </w:rPr>
        <w:t xml:space="preserve"> </w:t>
      </w:r>
      <w:r>
        <w:rPr>
          <w:spacing w:val="-1"/>
          <w:sz w:val="28"/>
        </w:rPr>
        <w:t>日 期 ：</w:t>
      </w:r>
      <w:r>
        <w:rPr>
          <w:spacing w:val="-3"/>
          <w:sz w:val="28"/>
          <w:u w:val="single"/>
        </w:rPr>
        <w:t xml:space="preserve"> </w:t>
      </w:r>
      <w:r>
        <w:rPr>
          <w:sz w:val="28"/>
        </w:rPr>
        <w:t>年 月</w:t>
      </w:r>
      <w:r>
        <w:rPr>
          <w:spacing w:val="8"/>
          <w:sz w:val="28"/>
        </w:rPr>
        <w:t xml:space="preserve"> 日 </w:t>
      </w:r>
    </w:p>
    <w:p>
      <w:pPr>
        <w:pStyle w:val="13"/>
        <w:spacing w:line="270" w:lineRule="exact"/>
        <w:ind w:left="818"/>
      </w:pPr>
      <w:r>
        <w:t xml:space="preserve"> </w:t>
      </w:r>
    </w:p>
    <w:p>
      <w:pPr>
        <w:pStyle w:val="13"/>
        <w:spacing w:before="160"/>
        <w:ind w:left="818"/>
      </w:pPr>
      <w:r>
        <w:t xml:space="preserve"> </w:t>
      </w:r>
    </w:p>
    <w:p>
      <w:pPr>
        <w:pStyle w:val="13"/>
        <w:spacing w:before="161"/>
        <w:ind w:left="818"/>
      </w:pPr>
      <w:r>
        <w:t xml:space="preserve"> </w:t>
      </w:r>
    </w:p>
    <w:p>
      <w:pPr>
        <w:sectPr>
          <w:pgSz w:w="11910" w:h="16840"/>
          <w:pgMar w:top="1440" w:right="1080" w:bottom="1440" w:left="1080" w:header="906" w:footer="975" w:gutter="0"/>
          <w:cols w:space="720" w:num="1"/>
        </w:sectPr>
      </w:pPr>
    </w:p>
    <w:p>
      <w:pPr>
        <w:pStyle w:val="7"/>
        <w:jc w:val="center"/>
      </w:pPr>
      <w:bookmarkStart w:id="426" w:name="一、投标人自行编写的技术文件"/>
      <w:bookmarkEnd w:id="426"/>
      <w:bookmarkStart w:id="427" w:name="四、技术文件"/>
      <w:bookmarkEnd w:id="427"/>
      <w:bookmarkStart w:id="428" w:name="_Toc28427"/>
      <w:bookmarkStart w:id="429" w:name="_Toc5889"/>
      <w:r>
        <w:rPr>
          <w:rFonts w:hint="eastAsia" w:eastAsia="宋体"/>
        </w:rPr>
        <w:t>十八</w:t>
      </w:r>
      <w:r>
        <w:t>、投标人自行编写的技术文件</w:t>
      </w:r>
      <w:bookmarkEnd w:id="428"/>
      <w:bookmarkEnd w:id="429"/>
    </w:p>
    <w:p>
      <w:pPr>
        <w:jc w:val="center"/>
        <w:sectPr>
          <w:pgSz w:w="11910" w:h="16840"/>
          <w:pgMar w:top="1440" w:right="1080" w:bottom="1440" w:left="1080" w:header="906" w:footer="975" w:gutter="0"/>
          <w:cols w:space="720" w:num="1"/>
        </w:sectPr>
      </w:pPr>
      <w:r>
        <w:t>说明：此处上传</w:t>
      </w:r>
      <w:r>
        <w:rPr>
          <w:rFonts w:hint="eastAsia"/>
        </w:rPr>
        <w:t>技术文件</w:t>
      </w:r>
      <w:r>
        <w:t xml:space="preserve">； </w:t>
      </w:r>
      <w:r>
        <w:rPr>
          <w:rFonts w:hint="eastAsia"/>
        </w:rPr>
        <w:t>（格式自拟）</w:t>
      </w:r>
    </w:p>
    <w:p>
      <w:pPr>
        <w:pStyle w:val="7"/>
        <w:ind w:left="0"/>
        <w:jc w:val="center"/>
      </w:pPr>
      <w:bookmarkStart w:id="430" w:name="一、投标人自行编写的服务文件"/>
      <w:bookmarkEnd w:id="430"/>
      <w:bookmarkStart w:id="431" w:name="五、服务文件"/>
      <w:bookmarkEnd w:id="431"/>
      <w:bookmarkStart w:id="432" w:name="_Toc447"/>
      <w:bookmarkStart w:id="433" w:name="_Toc6339"/>
      <w:r>
        <w:rPr>
          <w:rFonts w:hint="eastAsia" w:eastAsia="宋体"/>
        </w:rPr>
        <w:t>十九</w:t>
      </w:r>
      <w:r>
        <w:t>、投标人自行编写的服务文件</w:t>
      </w:r>
      <w:bookmarkEnd w:id="432"/>
      <w:bookmarkEnd w:id="433"/>
    </w:p>
    <w:p/>
    <w:p>
      <w:pPr>
        <w:jc w:val="center"/>
        <w:rPr>
          <w:rFonts w:hint="eastAsia"/>
        </w:rPr>
        <w:sectPr>
          <w:pgSz w:w="11910" w:h="16840"/>
          <w:pgMar w:top="1440" w:right="1080" w:bottom="1440" w:left="1080" w:header="906" w:footer="975" w:gutter="0"/>
          <w:cols w:space="720" w:num="1"/>
        </w:sectPr>
      </w:pPr>
      <w:r>
        <w:t>说明：此处</w:t>
      </w:r>
      <w:r>
        <w:rPr>
          <w:rFonts w:hint="eastAsia"/>
        </w:rPr>
        <w:t>上传后续服务承诺</w:t>
      </w:r>
      <w:r>
        <w:t xml:space="preserve">； </w:t>
      </w:r>
      <w:r>
        <w:rPr>
          <w:rFonts w:hint="eastAsia"/>
        </w:rPr>
        <w:t>（格式自拟）</w:t>
      </w:r>
    </w:p>
    <w:p>
      <w:pPr>
        <w:spacing w:line="488" w:lineRule="exact"/>
        <w:ind w:left="422" w:right="441"/>
        <w:jc w:val="center"/>
        <w:outlineLvl w:val="1"/>
        <w:rPr>
          <w:b/>
          <w:sz w:val="30"/>
          <w:szCs w:val="30"/>
        </w:rPr>
      </w:pPr>
      <w:bookmarkStart w:id="434" w:name="_Toc26895"/>
      <w:r>
        <w:rPr>
          <w:rFonts w:hint="eastAsia"/>
          <w:b/>
          <w:sz w:val="30"/>
          <w:szCs w:val="30"/>
        </w:rPr>
        <w:t>二十、其它有利投标的资料</w:t>
      </w:r>
      <w:bookmarkEnd w:id="434"/>
    </w:p>
    <w:p>
      <w:pPr>
        <w:pStyle w:val="12"/>
        <w:rPr>
          <w:rFonts w:ascii="宋体" w:hAnsi="宋体"/>
          <w:b/>
          <w:sz w:val="30"/>
          <w:szCs w:val="30"/>
        </w:rPr>
      </w:pPr>
    </w:p>
    <w:p/>
    <w:p>
      <w:pPr>
        <w:pStyle w:val="13"/>
        <w:spacing w:before="3"/>
        <w:rPr>
          <w:sz w:val="20"/>
        </w:rPr>
      </w:pPr>
      <w:r>
        <mc:AlternateContent>
          <mc:Choice Requires="wps">
            <w:drawing>
              <wp:anchor distT="0" distB="0" distL="114300" distR="114300" simplePos="0" relativeHeight="251664384" behindDoc="1" locked="0" layoutInCell="1" allowOverlap="1">
                <wp:simplePos x="0" y="0"/>
                <wp:positionH relativeFrom="page">
                  <wp:posOffset>1173480</wp:posOffset>
                </wp:positionH>
                <wp:positionV relativeFrom="paragraph">
                  <wp:posOffset>221615</wp:posOffset>
                </wp:positionV>
                <wp:extent cx="0" cy="176530"/>
                <wp:effectExtent l="31750" t="0" r="44450" b="13970"/>
                <wp:wrapTopAndBottom/>
                <wp:docPr id="4" name="直线 22"/>
                <wp:cNvGraphicFramePr/>
                <a:graphic xmlns:a="http://schemas.openxmlformats.org/drawingml/2006/main">
                  <a:graphicData uri="http://schemas.microsoft.com/office/word/2010/wordprocessingShape">
                    <wps:wsp>
                      <wps:cNvCnPr/>
                      <wps:spPr>
                        <a:xfrm>
                          <a:off x="0" y="0"/>
                          <a:ext cx="0" cy="176530"/>
                        </a:xfrm>
                        <a:prstGeom prst="line">
                          <a:avLst/>
                        </a:prstGeom>
                        <a:ln w="64007" cap="flat" cmpd="sng">
                          <a:solidFill>
                            <a:srgbClr val="FFFFFF"/>
                          </a:solidFill>
                          <a:prstDash val="solid"/>
                          <a:headEnd type="none" w="med" len="med"/>
                          <a:tailEnd type="none" w="med" len="med"/>
                        </a:ln>
                      </wps:spPr>
                      <wps:bodyPr/>
                    </wps:wsp>
                  </a:graphicData>
                </a:graphic>
              </wp:anchor>
            </w:drawing>
          </mc:Choice>
          <mc:Fallback>
            <w:pict>
              <v:line id="直线 22" o:spid="_x0000_s1026" o:spt="20" style="position:absolute;left:0pt;margin-left:92.4pt;margin-top:17.45pt;height:13.9pt;width:0pt;mso-position-horizontal-relative:page;mso-wrap-distance-bottom:0pt;mso-wrap-distance-top:0pt;z-index:-251652096;mso-width-relative:page;mso-height-relative:page;" filled="f" stroked="t" coordsize="21600,21600" o:gfxdata="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R5qgLVAAAACQEAAA8A&#10;AAAAAAAAAQAgAAAAIgAAAGRycy9kb3ducmV2LnhtbFBLAQIUABQAAAAIAIdO4kD+fUfX4QEAANAD&#10;AAAOAAAAAAAAAAEAIAAAACQBAABkcnMvZTJvRG9jLnhtbFBLBQYAAAAABgAGAFkBAAB3BQAAAAA=&#10;">
                <v:fill on="f" focussize="0,0"/>
                <v:stroke weight="5.03992125984252pt" color="#FFFFFF" joinstyle="round"/>
                <v:imagedata o:title=""/>
                <o:lock v:ext="edit" aspectratio="f"/>
                <w10:wrap type="topAndBottom"/>
              </v:line>
            </w:pict>
          </mc:Fallback>
        </mc:AlternateContent>
      </w:r>
    </w:p>
    <w:sectPr>
      <w:pgSz w:w="11910" w:h="16840"/>
      <w:pgMar w:top="1440" w:right="1080" w:bottom="1440" w:left="1080" w:header="906"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Source Han Sans HW">
    <w:altName w:val="Yu Gothic"/>
    <w:panose1 w:val="00000000000000000000"/>
    <w:charset w:val="80"/>
    <w:family w:val="swiss"/>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9933305</wp:posOffset>
              </wp:positionV>
              <wp:extent cx="167005" cy="1397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05pt;margin-top:782.15pt;height:11pt;width:13.15pt;mso-position-horizontal-relative:page;mso-position-vertical-relative:page;z-index:-251657216;mso-width-relative:page;mso-height-relative:page;" filled="f" stroked="f" coordsize="21600,21600" o:gfxdata="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W7OiHbAAAADQEAAA8AAAAAAAAAAQAgAAAAIgAAAGRycy9kb3ducmV2LnhtbFBLAQIU&#10;ABQAAAAIAIdO4kAwRh8WtwEAAHEDAAAOAAAAAAAAAAEAIAAAACoBAABkcnMvZTJvRG9jLnhtbFBL&#10;BQYAAAAABgAGAFkBAABTBQ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23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9nusoBAACbAwAADgAAAGRycy9lMm9Eb2MueG1srVNNrtMwEN4jcQfL&#10;e+q0IKi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X1HiuMWBX75/u/z4dfn5laye&#10;v8gN6gPUmHcXMDMNb/yAazP7AZ1Z96CizV9URDCO7T1f2yuHRER+tF6t1xWGBMbmC+Kz++chQnor&#10;vSXZaGjE+ZW28tN7SGPqnJKrOX+rjSkzNO4vB2JmD8vcR47ZSsN+mATtfXtGPT2OvqEON50S885h&#10;Z/OWzEacjf1sHEPUhw6pLQsvCK+PCUkUbrnCCDsVxpkVddN+5aX4816y7v+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29nusoBAACbAwAADgAAAAAAAAABACAAAAAeAQAAZHJzL2Uyb0Rv&#10;Yy54bWxQSwUGAAAAAAYABgBZAQAAWg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23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zGJsoBAACb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xbE7bnHgl+/fLj9+XX5+JauX&#10;r3KD+gA15t0FzEzDWz/g2sx+QGfWPaho8xcVEYxje8/X9sohEZEfrVfrdYUhgbH5gvjs4XmIkN5J&#10;b0k2GhpxfqWt/PQB0pg6p+Rqzt9qY8oMjfvLgZjZwzL3kWO20rAfJkF7355RT4+jb6jDTafEvHfY&#10;2bwlsxFnYz8bxxD1oUNqy8ILwptjQhKFW64wwk6FcWZF3bRfeSn+vJesh39q+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fzGJsoBAACbAwAADgAAAAAAAAABACAAAAAeAQAAZHJzL2Uyb0Rv&#10;Yy54bWxQSwUGAAAAAAYABgBZAQAAWg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9933305</wp:posOffset>
              </wp:positionV>
              <wp:extent cx="170180" cy="1397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70180"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71</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05pt;margin-top:782.15pt;height:11pt;width:13.4pt;mso-position-horizontal-relative:page;mso-position-vertical-relative:page;z-index:-251656192;mso-width-relative:page;mso-height-relative:page;" filled="f" stroked="f" coordsize="21600,21600" o:gfxdata="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LFj7vbAAAADQEAAA8AAAAAAAAAAQAgAAAAIgAAAGRycy9kb3ducmV2LnhtbFBL&#10;AQIUABQAAAAIAIdO4kCTMXFbugEAAHEDAAAOAAAAAAAAAAEAIAAAACoBAABkcnMvZTJvRG9jLnht&#10;bFBLBQYAAAAABgAGAFkBAABWBQ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8A12D"/>
    <w:multiLevelType w:val="singleLevel"/>
    <w:tmpl w:val="9648A12D"/>
    <w:lvl w:ilvl="0" w:tentative="0">
      <w:start w:val="1"/>
      <w:numFmt w:val="chineseCounting"/>
      <w:suff w:val="nothing"/>
      <w:lvlText w:val="%1、"/>
      <w:lvlJc w:val="left"/>
      <w:rPr>
        <w:rFonts w:hint="eastAsia" w:cs="Times New Roman"/>
      </w:rPr>
    </w:lvl>
  </w:abstractNum>
  <w:abstractNum w:abstractNumId="1">
    <w:nsid w:val="A3AF43F8"/>
    <w:multiLevelType w:val="singleLevel"/>
    <w:tmpl w:val="A3AF43F8"/>
    <w:lvl w:ilvl="0" w:tentative="0">
      <w:start w:val="1"/>
      <w:numFmt w:val="chineseCounting"/>
      <w:suff w:val="nothing"/>
      <w:lvlText w:val="%1、"/>
      <w:lvlJc w:val="left"/>
      <w:rPr>
        <w:rFonts w:hint="eastAsia"/>
      </w:rPr>
    </w:lvl>
  </w:abstractNum>
  <w:abstractNum w:abstractNumId="2">
    <w:nsid w:val="A3D6213A"/>
    <w:multiLevelType w:val="singleLevel"/>
    <w:tmpl w:val="A3D6213A"/>
    <w:lvl w:ilvl="0" w:tentative="0">
      <w:start w:val="5"/>
      <w:numFmt w:val="chineseCounting"/>
      <w:suff w:val="nothing"/>
      <w:lvlText w:val="%1、"/>
      <w:lvlJc w:val="left"/>
      <w:rPr>
        <w:rFonts w:hint="eastAsia" w:cs="Times New Roman"/>
      </w:rPr>
    </w:lvl>
  </w:abstractNum>
  <w:abstractNum w:abstractNumId="3">
    <w:nsid w:val="F4B5D9F5"/>
    <w:multiLevelType w:val="multilevel"/>
    <w:tmpl w:val="F4B5D9F5"/>
    <w:lvl w:ilvl="0" w:tentative="0">
      <w:start w:val="0"/>
      <w:numFmt w:val="bullet"/>
      <w:lvlText w:val="☐"/>
      <w:lvlJc w:val="left"/>
      <w:pPr>
        <w:ind w:left="348" w:hanging="241"/>
      </w:pPr>
      <w:rPr>
        <w:rFonts w:hint="default" w:ascii="MS Mincho" w:hAnsi="MS Mincho" w:eastAsia="MS Mincho" w:cs="MS Mincho"/>
        <w:w w:val="100"/>
        <w:sz w:val="22"/>
        <w:szCs w:val="22"/>
        <w:lang w:val="zh-CN" w:eastAsia="zh-CN" w:bidi="zh-CN"/>
      </w:rPr>
    </w:lvl>
    <w:lvl w:ilvl="1" w:tentative="0">
      <w:start w:val="0"/>
      <w:numFmt w:val="bullet"/>
      <w:lvlText w:val="•"/>
      <w:lvlJc w:val="left"/>
      <w:pPr>
        <w:ind w:left="937" w:hanging="241"/>
      </w:pPr>
      <w:rPr>
        <w:rFonts w:hint="default"/>
        <w:lang w:val="zh-CN" w:eastAsia="zh-CN" w:bidi="zh-CN"/>
      </w:rPr>
    </w:lvl>
    <w:lvl w:ilvl="2" w:tentative="0">
      <w:start w:val="0"/>
      <w:numFmt w:val="bullet"/>
      <w:lvlText w:val="•"/>
      <w:lvlJc w:val="left"/>
      <w:pPr>
        <w:ind w:left="1534" w:hanging="241"/>
      </w:pPr>
      <w:rPr>
        <w:rFonts w:hint="default"/>
        <w:lang w:val="zh-CN" w:eastAsia="zh-CN" w:bidi="zh-CN"/>
      </w:rPr>
    </w:lvl>
    <w:lvl w:ilvl="3" w:tentative="0">
      <w:start w:val="0"/>
      <w:numFmt w:val="bullet"/>
      <w:lvlText w:val="•"/>
      <w:lvlJc w:val="left"/>
      <w:pPr>
        <w:ind w:left="2131" w:hanging="241"/>
      </w:pPr>
      <w:rPr>
        <w:rFonts w:hint="default"/>
        <w:lang w:val="zh-CN" w:eastAsia="zh-CN" w:bidi="zh-CN"/>
      </w:rPr>
    </w:lvl>
    <w:lvl w:ilvl="4" w:tentative="0">
      <w:start w:val="0"/>
      <w:numFmt w:val="bullet"/>
      <w:lvlText w:val="•"/>
      <w:lvlJc w:val="left"/>
      <w:pPr>
        <w:ind w:left="2729" w:hanging="241"/>
      </w:pPr>
      <w:rPr>
        <w:rFonts w:hint="default"/>
        <w:lang w:val="zh-CN" w:eastAsia="zh-CN" w:bidi="zh-CN"/>
      </w:rPr>
    </w:lvl>
    <w:lvl w:ilvl="5" w:tentative="0">
      <w:start w:val="0"/>
      <w:numFmt w:val="bullet"/>
      <w:lvlText w:val="•"/>
      <w:lvlJc w:val="left"/>
      <w:pPr>
        <w:ind w:left="3326" w:hanging="241"/>
      </w:pPr>
      <w:rPr>
        <w:rFonts w:hint="default"/>
        <w:lang w:val="zh-CN" w:eastAsia="zh-CN" w:bidi="zh-CN"/>
      </w:rPr>
    </w:lvl>
    <w:lvl w:ilvl="6" w:tentative="0">
      <w:start w:val="0"/>
      <w:numFmt w:val="bullet"/>
      <w:lvlText w:val="•"/>
      <w:lvlJc w:val="left"/>
      <w:pPr>
        <w:ind w:left="3923" w:hanging="241"/>
      </w:pPr>
      <w:rPr>
        <w:rFonts w:hint="default"/>
        <w:lang w:val="zh-CN" w:eastAsia="zh-CN" w:bidi="zh-CN"/>
      </w:rPr>
    </w:lvl>
    <w:lvl w:ilvl="7" w:tentative="0">
      <w:start w:val="0"/>
      <w:numFmt w:val="bullet"/>
      <w:lvlText w:val="•"/>
      <w:lvlJc w:val="left"/>
      <w:pPr>
        <w:ind w:left="4521" w:hanging="241"/>
      </w:pPr>
      <w:rPr>
        <w:rFonts w:hint="default"/>
        <w:lang w:val="zh-CN" w:eastAsia="zh-CN" w:bidi="zh-CN"/>
      </w:rPr>
    </w:lvl>
    <w:lvl w:ilvl="8" w:tentative="0">
      <w:start w:val="0"/>
      <w:numFmt w:val="bullet"/>
      <w:lvlText w:val="•"/>
      <w:lvlJc w:val="left"/>
      <w:pPr>
        <w:ind w:left="5118" w:hanging="241"/>
      </w:pPr>
      <w:rPr>
        <w:rFonts w:hint="default"/>
        <w:lang w:val="zh-CN" w:eastAsia="zh-CN" w:bidi="zh-CN"/>
      </w:rPr>
    </w:lvl>
  </w:abstractNum>
  <w:abstractNum w:abstractNumId="4">
    <w:nsid w:val="0F486B32"/>
    <w:multiLevelType w:val="multilevel"/>
    <w:tmpl w:val="0F486B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3A0B63"/>
    <w:multiLevelType w:val="singleLevel"/>
    <w:tmpl w:val="3B3A0B63"/>
    <w:lvl w:ilvl="0" w:tentative="0">
      <w:start w:val="1"/>
      <w:numFmt w:val="decimal"/>
      <w:lvlText w:val="%1."/>
      <w:lvlJc w:val="left"/>
      <w:pPr>
        <w:tabs>
          <w:tab w:val="left" w:pos="312"/>
        </w:tabs>
      </w:pPr>
      <w:rPr>
        <w:rFonts w:cs="Times New Roman"/>
      </w:rPr>
    </w:lvl>
  </w:abstractNum>
  <w:abstractNum w:abstractNumId="6">
    <w:nsid w:val="3DA930BE"/>
    <w:multiLevelType w:val="multilevel"/>
    <w:tmpl w:val="3DA930BE"/>
    <w:lvl w:ilvl="0" w:tentative="0">
      <w:start w:val="1"/>
      <w:numFmt w:val="decimal"/>
      <w:lvlText w:val="%1."/>
      <w:lvlJc w:val="left"/>
      <w:pPr>
        <w:ind w:left="240" w:hanging="2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FD1431"/>
    <w:multiLevelType w:val="multilevel"/>
    <w:tmpl w:val="3FFD1431"/>
    <w:lvl w:ilvl="0" w:tentative="0">
      <w:start w:val="1"/>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FFFB1A7"/>
    <w:multiLevelType w:val="multilevel"/>
    <w:tmpl w:val="5FFFB1A7"/>
    <w:lvl w:ilvl="0" w:tentative="0">
      <w:start w:val="1"/>
      <w:numFmt w:val="decimal"/>
      <w:lvlText w:val="%1."/>
      <w:lvlJc w:val="left"/>
      <w:pPr>
        <w:ind w:left="818" w:hanging="252"/>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1830" w:hanging="252"/>
      </w:pPr>
      <w:rPr>
        <w:rFonts w:hint="default"/>
        <w:lang w:val="zh-CN" w:eastAsia="zh-CN" w:bidi="zh-CN"/>
      </w:rPr>
    </w:lvl>
    <w:lvl w:ilvl="2" w:tentative="0">
      <w:start w:val="0"/>
      <w:numFmt w:val="bullet"/>
      <w:lvlText w:val="•"/>
      <w:lvlJc w:val="left"/>
      <w:pPr>
        <w:ind w:left="2841" w:hanging="252"/>
      </w:pPr>
      <w:rPr>
        <w:rFonts w:hint="default"/>
        <w:lang w:val="zh-CN" w:eastAsia="zh-CN" w:bidi="zh-CN"/>
      </w:rPr>
    </w:lvl>
    <w:lvl w:ilvl="3" w:tentative="0">
      <w:start w:val="0"/>
      <w:numFmt w:val="bullet"/>
      <w:lvlText w:val="•"/>
      <w:lvlJc w:val="left"/>
      <w:pPr>
        <w:ind w:left="3851" w:hanging="252"/>
      </w:pPr>
      <w:rPr>
        <w:rFonts w:hint="default"/>
        <w:lang w:val="zh-CN" w:eastAsia="zh-CN" w:bidi="zh-CN"/>
      </w:rPr>
    </w:lvl>
    <w:lvl w:ilvl="4" w:tentative="0">
      <w:start w:val="0"/>
      <w:numFmt w:val="bullet"/>
      <w:lvlText w:val="•"/>
      <w:lvlJc w:val="left"/>
      <w:pPr>
        <w:ind w:left="4862" w:hanging="252"/>
      </w:pPr>
      <w:rPr>
        <w:rFonts w:hint="default"/>
        <w:lang w:val="zh-CN" w:eastAsia="zh-CN" w:bidi="zh-CN"/>
      </w:rPr>
    </w:lvl>
    <w:lvl w:ilvl="5" w:tentative="0">
      <w:start w:val="0"/>
      <w:numFmt w:val="bullet"/>
      <w:lvlText w:val="•"/>
      <w:lvlJc w:val="left"/>
      <w:pPr>
        <w:ind w:left="5873" w:hanging="252"/>
      </w:pPr>
      <w:rPr>
        <w:rFonts w:hint="default"/>
        <w:lang w:val="zh-CN" w:eastAsia="zh-CN" w:bidi="zh-CN"/>
      </w:rPr>
    </w:lvl>
    <w:lvl w:ilvl="6" w:tentative="0">
      <w:start w:val="0"/>
      <w:numFmt w:val="bullet"/>
      <w:lvlText w:val="•"/>
      <w:lvlJc w:val="left"/>
      <w:pPr>
        <w:ind w:left="6883" w:hanging="252"/>
      </w:pPr>
      <w:rPr>
        <w:rFonts w:hint="default"/>
        <w:lang w:val="zh-CN" w:eastAsia="zh-CN" w:bidi="zh-CN"/>
      </w:rPr>
    </w:lvl>
    <w:lvl w:ilvl="7" w:tentative="0">
      <w:start w:val="0"/>
      <w:numFmt w:val="bullet"/>
      <w:lvlText w:val="•"/>
      <w:lvlJc w:val="left"/>
      <w:pPr>
        <w:ind w:left="7894" w:hanging="252"/>
      </w:pPr>
      <w:rPr>
        <w:rFonts w:hint="default"/>
        <w:lang w:val="zh-CN" w:eastAsia="zh-CN" w:bidi="zh-CN"/>
      </w:rPr>
    </w:lvl>
    <w:lvl w:ilvl="8" w:tentative="0">
      <w:start w:val="0"/>
      <w:numFmt w:val="bullet"/>
      <w:lvlText w:val="•"/>
      <w:lvlJc w:val="left"/>
      <w:pPr>
        <w:ind w:left="8905" w:hanging="252"/>
      </w:pPr>
      <w:rPr>
        <w:rFonts w:hint="default"/>
        <w:lang w:val="zh-CN" w:eastAsia="zh-CN" w:bidi="zh-CN"/>
      </w:rPr>
    </w:lvl>
  </w:abstractNum>
  <w:abstractNum w:abstractNumId="9">
    <w:nsid w:val="73C52368"/>
    <w:multiLevelType w:val="multilevel"/>
    <w:tmpl w:val="73C523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7"/>
  </w:num>
  <w:num w:numId="4">
    <w:abstractNumId w:val="9"/>
  </w:num>
  <w:num w:numId="5">
    <w:abstractNumId w:val="6"/>
  </w:num>
  <w:num w:numId="6">
    <w:abstractNumId w:val="4"/>
  </w:num>
  <w:num w:numId="7">
    <w:abstractNumId w:val="5"/>
  </w:num>
  <w:num w:numId="8">
    <w:abstractNumId w:val="0"/>
  </w:num>
  <w:num w:numId="9">
    <w:abstractNumId w:val="2"/>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razy俊">
    <w15:presenceInfo w15:providerId="None" w15:userId="Crazy俊"/>
  </w15:person>
  <w15:person w15:author="胡智行">
    <w15:presenceInfo w15:providerId="AD" w15:userId="S-1-5-21-113094324-2630908786-847431672-5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AB"/>
    <w:rsid w:val="000306AB"/>
    <w:rsid w:val="00103200"/>
    <w:rsid w:val="002463CD"/>
    <w:rsid w:val="002C4486"/>
    <w:rsid w:val="00317A28"/>
    <w:rsid w:val="0040438C"/>
    <w:rsid w:val="004B17AC"/>
    <w:rsid w:val="0053257F"/>
    <w:rsid w:val="00585685"/>
    <w:rsid w:val="005B1D03"/>
    <w:rsid w:val="00611D6B"/>
    <w:rsid w:val="006F57A0"/>
    <w:rsid w:val="00775A56"/>
    <w:rsid w:val="007F19FA"/>
    <w:rsid w:val="00844800"/>
    <w:rsid w:val="009674E5"/>
    <w:rsid w:val="009914CA"/>
    <w:rsid w:val="009E15E6"/>
    <w:rsid w:val="00A25BBE"/>
    <w:rsid w:val="00AE2214"/>
    <w:rsid w:val="00BA04A6"/>
    <w:rsid w:val="00BE64D4"/>
    <w:rsid w:val="00C42E59"/>
    <w:rsid w:val="00D33E2B"/>
    <w:rsid w:val="00D80695"/>
    <w:rsid w:val="00DA451F"/>
    <w:rsid w:val="00E412B4"/>
    <w:rsid w:val="00E968D9"/>
    <w:rsid w:val="00EF1C12"/>
    <w:rsid w:val="00F43F84"/>
    <w:rsid w:val="012A0375"/>
    <w:rsid w:val="015A73CA"/>
    <w:rsid w:val="01A12397"/>
    <w:rsid w:val="02054652"/>
    <w:rsid w:val="02B93A44"/>
    <w:rsid w:val="02F51126"/>
    <w:rsid w:val="03146B71"/>
    <w:rsid w:val="034D3C19"/>
    <w:rsid w:val="04111BCA"/>
    <w:rsid w:val="056118CF"/>
    <w:rsid w:val="06F01170"/>
    <w:rsid w:val="07A52181"/>
    <w:rsid w:val="07ED7B0A"/>
    <w:rsid w:val="096B6705"/>
    <w:rsid w:val="09D42E27"/>
    <w:rsid w:val="0B1D37FE"/>
    <w:rsid w:val="0BAE29E7"/>
    <w:rsid w:val="0C46699B"/>
    <w:rsid w:val="0CBA4394"/>
    <w:rsid w:val="0E207923"/>
    <w:rsid w:val="0E706431"/>
    <w:rsid w:val="0EAC1623"/>
    <w:rsid w:val="0EB55705"/>
    <w:rsid w:val="0F0D4BF5"/>
    <w:rsid w:val="0FD74C3D"/>
    <w:rsid w:val="107A423B"/>
    <w:rsid w:val="108056F9"/>
    <w:rsid w:val="10C937F0"/>
    <w:rsid w:val="11075FCD"/>
    <w:rsid w:val="125F18F2"/>
    <w:rsid w:val="1271133E"/>
    <w:rsid w:val="12CB0D27"/>
    <w:rsid w:val="12D959D6"/>
    <w:rsid w:val="131E2D01"/>
    <w:rsid w:val="135E55F3"/>
    <w:rsid w:val="138D7259"/>
    <w:rsid w:val="14315B57"/>
    <w:rsid w:val="14461871"/>
    <w:rsid w:val="145E3CBB"/>
    <w:rsid w:val="14686F39"/>
    <w:rsid w:val="146A40EF"/>
    <w:rsid w:val="14CD0795"/>
    <w:rsid w:val="14FB7252"/>
    <w:rsid w:val="15615698"/>
    <w:rsid w:val="15E0590F"/>
    <w:rsid w:val="1629110D"/>
    <w:rsid w:val="16AF1E26"/>
    <w:rsid w:val="176B7F89"/>
    <w:rsid w:val="17895FD0"/>
    <w:rsid w:val="17A276C9"/>
    <w:rsid w:val="183C3087"/>
    <w:rsid w:val="187A3A86"/>
    <w:rsid w:val="18D92F68"/>
    <w:rsid w:val="19936CA2"/>
    <w:rsid w:val="19D72626"/>
    <w:rsid w:val="1AF82FCB"/>
    <w:rsid w:val="1B1208A6"/>
    <w:rsid w:val="1BA14311"/>
    <w:rsid w:val="1C2A47DD"/>
    <w:rsid w:val="1C440247"/>
    <w:rsid w:val="1D50131F"/>
    <w:rsid w:val="1D5A435D"/>
    <w:rsid w:val="1D6A4030"/>
    <w:rsid w:val="1DA31335"/>
    <w:rsid w:val="1E5C2F1E"/>
    <w:rsid w:val="1ED81519"/>
    <w:rsid w:val="1FB3381F"/>
    <w:rsid w:val="1FE2425F"/>
    <w:rsid w:val="1FFD0514"/>
    <w:rsid w:val="20665273"/>
    <w:rsid w:val="21316930"/>
    <w:rsid w:val="23765917"/>
    <w:rsid w:val="23873874"/>
    <w:rsid w:val="253469E3"/>
    <w:rsid w:val="261B0F77"/>
    <w:rsid w:val="268F2C87"/>
    <w:rsid w:val="27DF55FD"/>
    <w:rsid w:val="28BD468C"/>
    <w:rsid w:val="296F30AC"/>
    <w:rsid w:val="2A146EF7"/>
    <w:rsid w:val="2A2C7662"/>
    <w:rsid w:val="2A4D6A94"/>
    <w:rsid w:val="2A80311E"/>
    <w:rsid w:val="2A907B6B"/>
    <w:rsid w:val="2AEE0E2D"/>
    <w:rsid w:val="2B88501A"/>
    <w:rsid w:val="2BBD1907"/>
    <w:rsid w:val="2C0C0BD8"/>
    <w:rsid w:val="2C3E3DBA"/>
    <w:rsid w:val="2D995075"/>
    <w:rsid w:val="2DB26224"/>
    <w:rsid w:val="2EDC5B50"/>
    <w:rsid w:val="2FEC0B1C"/>
    <w:rsid w:val="30896174"/>
    <w:rsid w:val="30E17A29"/>
    <w:rsid w:val="31267417"/>
    <w:rsid w:val="31491327"/>
    <w:rsid w:val="31E51306"/>
    <w:rsid w:val="326242C5"/>
    <w:rsid w:val="328F33B7"/>
    <w:rsid w:val="32921EB2"/>
    <w:rsid w:val="35CC3B5D"/>
    <w:rsid w:val="368F0D33"/>
    <w:rsid w:val="37BE472C"/>
    <w:rsid w:val="37BF28FF"/>
    <w:rsid w:val="380E6C57"/>
    <w:rsid w:val="38EC33B0"/>
    <w:rsid w:val="398F756B"/>
    <w:rsid w:val="39A35EEE"/>
    <w:rsid w:val="39C83796"/>
    <w:rsid w:val="3A1C5BCC"/>
    <w:rsid w:val="3A2468AD"/>
    <w:rsid w:val="3A5B5E0B"/>
    <w:rsid w:val="3A6449D6"/>
    <w:rsid w:val="3A963292"/>
    <w:rsid w:val="3AF10517"/>
    <w:rsid w:val="3BFA3458"/>
    <w:rsid w:val="3CE77656"/>
    <w:rsid w:val="3CFA7E9E"/>
    <w:rsid w:val="3E0B6D05"/>
    <w:rsid w:val="3E836553"/>
    <w:rsid w:val="3E9E47AB"/>
    <w:rsid w:val="3F2253C9"/>
    <w:rsid w:val="3F7F721E"/>
    <w:rsid w:val="42031A07"/>
    <w:rsid w:val="4205734A"/>
    <w:rsid w:val="43CB52B4"/>
    <w:rsid w:val="4478516E"/>
    <w:rsid w:val="44957292"/>
    <w:rsid w:val="44CF23E8"/>
    <w:rsid w:val="47DB427A"/>
    <w:rsid w:val="48604CC0"/>
    <w:rsid w:val="48CA2CAC"/>
    <w:rsid w:val="48E7470F"/>
    <w:rsid w:val="48FF7D88"/>
    <w:rsid w:val="4902403C"/>
    <w:rsid w:val="495826BD"/>
    <w:rsid w:val="4ACA2956"/>
    <w:rsid w:val="4B9200D3"/>
    <w:rsid w:val="4D16229F"/>
    <w:rsid w:val="4FA83EBC"/>
    <w:rsid w:val="4FF14681"/>
    <w:rsid w:val="504265A0"/>
    <w:rsid w:val="505B736D"/>
    <w:rsid w:val="505F46E5"/>
    <w:rsid w:val="51897995"/>
    <w:rsid w:val="518B3951"/>
    <w:rsid w:val="51FC54E2"/>
    <w:rsid w:val="523830B4"/>
    <w:rsid w:val="52D342D8"/>
    <w:rsid w:val="534C3679"/>
    <w:rsid w:val="54941833"/>
    <w:rsid w:val="54BE0937"/>
    <w:rsid w:val="55136597"/>
    <w:rsid w:val="55475208"/>
    <w:rsid w:val="55D649BB"/>
    <w:rsid w:val="56294922"/>
    <w:rsid w:val="566246BF"/>
    <w:rsid w:val="5684096C"/>
    <w:rsid w:val="578B3710"/>
    <w:rsid w:val="57CF368E"/>
    <w:rsid w:val="590374B1"/>
    <w:rsid w:val="592441C0"/>
    <w:rsid w:val="59AC15CD"/>
    <w:rsid w:val="59EA2956"/>
    <w:rsid w:val="5A8805F7"/>
    <w:rsid w:val="5CBE29EA"/>
    <w:rsid w:val="5D574DFD"/>
    <w:rsid w:val="5D9A3BBA"/>
    <w:rsid w:val="5E33025F"/>
    <w:rsid w:val="5E456B8F"/>
    <w:rsid w:val="5E555DE3"/>
    <w:rsid w:val="5F655CE5"/>
    <w:rsid w:val="60071733"/>
    <w:rsid w:val="60ED72B9"/>
    <w:rsid w:val="611748C6"/>
    <w:rsid w:val="612E1B58"/>
    <w:rsid w:val="613E412D"/>
    <w:rsid w:val="61FE74AE"/>
    <w:rsid w:val="627A2743"/>
    <w:rsid w:val="62CA153E"/>
    <w:rsid w:val="648C06A4"/>
    <w:rsid w:val="64C17074"/>
    <w:rsid w:val="64E77938"/>
    <w:rsid w:val="64F81942"/>
    <w:rsid w:val="656A38A3"/>
    <w:rsid w:val="660B13CA"/>
    <w:rsid w:val="664D23EA"/>
    <w:rsid w:val="66B602CE"/>
    <w:rsid w:val="66C05EC1"/>
    <w:rsid w:val="680B4D82"/>
    <w:rsid w:val="689116B3"/>
    <w:rsid w:val="68A04C8A"/>
    <w:rsid w:val="68D03420"/>
    <w:rsid w:val="68D15F80"/>
    <w:rsid w:val="68DB2CAE"/>
    <w:rsid w:val="69142E64"/>
    <w:rsid w:val="6D1149BE"/>
    <w:rsid w:val="6D3F4AA1"/>
    <w:rsid w:val="6EAB475F"/>
    <w:rsid w:val="6F6327F2"/>
    <w:rsid w:val="703438C6"/>
    <w:rsid w:val="7039701E"/>
    <w:rsid w:val="704F1CF8"/>
    <w:rsid w:val="71611593"/>
    <w:rsid w:val="717340FA"/>
    <w:rsid w:val="73A948A2"/>
    <w:rsid w:val="73E01FA9"/>
    <w:rsid w:val="743E627A"/>
    <w:rsid w:val="747B77D6"/>
    <w:rsid w:val="747F7FCA"/>
    <w:rsid w:val="7499345C"/>
    <w:rsid w:val="74F462DD"/>
    <w:rsid w:val="754255EE"/>
    <w:rsid w:val="75A82BAE"/>
    <w:rsid w:val="75B34117"/>
    <w:rsid w:val="76172119"/>
    <w:rsid w:val="768D2C80"/>
    <w:rsid w:val="76F0184B"/>
    <w:rsid w:val="773D408A"/>
    <w:rsid w:val="77416601"/>
    <w:rsid w:val="785F78FA"/>
    <w:rsid w:val="79855F61"/>
    <w:rsid w:val="79BE081A"/>
    <w:rsid w:val="7A0D75E3"/>
    <w:rsid w:val="7A3C7BA0"/>
    <w:rsid w:val="7AB23E91"/>
    <w:rsid w:val="7AC97345"/>
    <w:rsid w:val="7B211255"/>
    <w:rsid w:val="7B9435F0"/>
    <w:rsid w:val="7BD975CC"/>
    <w:rsid w:val="7C266331"/>
    <w:rsid w:val="7C501BE2"/>
    <w:rsid w:val="7C970CB4"/>
    <w:rsid w:val="7D67335D"/>
    <w:rsid w:val="7DF55715"/>
    <w:rsid w:val="7E17751C"/>
    <w:rsid w:val="7F4B6D38"/>
    <w:rsid w:val="7F65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ind w:left="2080" w:right="2695"/>
      <w:jc w:val="center"/>
      <w:outlineLvl w:val="0"/>
    </w:pPr>
    <w:rPr>
      <w:rFonts w:ascii="微软雅黑" w:hAnsi="微软雅黑" w:eastAsia="微软雅黑" w:cs="微软雅黑"/>
      <w:b/>
      <w:bCs/>
      <w:sz w:val="72"/>
      <w:szCs w:val="72"/>
    </w:rPr>
  </w:style>
  <w:style w:type="paragraph" w:styleId="6">
    <w:name w:val="heading 2"/>
    <w:basedOn w:val="1"/>
    <w:next w:val="1"/>
    <w:qFormat/>
    <w:uiPriority w:val="1"/>
    <w:pPr>
      <w:ind w:left="2894"/>
      <w:outlineLvl w:val="1"/>
    </w:pPr>
    <w:rPr>
      <w:rFonts w:ascii="微软雅黑" w:hAnsi="微软雅黑" w:eastAsia="微软雅黑" w:cs="微软雅黑"/>
      <w:b/>
      <w:bCs/>
      <w:sz w:val="36"/>
      <w:szCs w:val="36"/>
    </w:rPr>
  </w:style>
  <w:style w:type="paragraph" w:styleId="7">
    <w:name w:val="heading 3"/>
    <w:basedOn w:val="1"/>
    <w:next w:val="1"/>
    <w:qFormat/>
    <w:uiPriority w:val="1"/>
    <w:pPr>
      <w:spacing w:before="38"/>
      <w:ind w:left="818"/>
      <w:outlineLvl w:val="2"/>
    </w:pPr>
    <w:rPr>
      <w:rFonts w:ascii="Microsoft JhengHei" w:hAnsi="Microsoft JhengHei" w:eastAsia="Microsoft JhengHei" w:cs="Microsoft JhengHei"/>
      <w:b/>
      <w:bCs/>
      <w:sz w:val="32"/>
      <w:szCs w:val="32"/>
    </w:rPr>
  </w:style>
  <w:style w:type="paragraph" w:styleId="4">
    <w:name w:val="heading 4"/>
    <w:basedOn w:val="1"/>
    <w:next w:val="1"/>
    <w:qFormat/>
    <w:uiPriority w:val="1"/>
    <w:pPr>
      <w:spacing w:line="488" w:lineRule="exact"/>
      <w:ind w:left="1863"/>
      <w:outlineLvl w:val="3"/>
    </w:pPr>
    <w:rPr>
      <w:rFonts w:ascii="微软雅黑" w:hAnsi="微软雅黑" w:eastAsia="微软雅黑" w:cs="微软雅黑"/>
      <w:b/>
      <w:bCs/>
      <w:sz w:val="28"/>
      <w:szCs w:val="28"/>
    </w:rPr>
  </w:style>
  <w:style w:type="paragraph" w:styleId="8">
    <w:name w:val="heading 5"/>
    <w:basedOn w:val="1"/>
    <w:next w:val="1"/>
    <w:qFormat/>
    <w:uiPriority w:val="1"/>
    <w:pPr>
      <w:ind w:left="818" w:firstLine="559"/>
      <w:outlineLvl w:val="4"/>
    </w:pPr>
    <w:rPr>
      <w:sz w:val="28"/>
      <w:szCs w:val="28"/>
    </w:rPr>
  </w:style>
  <w:style w:type="paragraph" w:styleId="9">
    <w:name w:val="heading 6"/>
    <w:basedOn w:val="1"/>
    <w:next w:val="1"/>
    <w:qFormat/>
    <w:uiPriority w:val="1"/>
    <w:pPr>
      <w:ind w:left="818"/>
      <w:outlineLvl w:val="5"/>
    </w:pPr>
    <w:rPr>
      <w:rFonts w:ascii="微软雅黑" w:hAnsi="微软雅黑" w:eastAsia="微软雅黑" w:cs="微软雅黑"/>
      <w:b/>
      <w:bCs/>
      <w:sz w:val="24"/>
      <w:szCs w:val="24"/>
    </w:rPr>
  </w:style>
  <w:style w:type="paragraph" w:styleId="10">
    <w:name w:val="heading 7"/>
    <w:basedOn w:val="1"/>
    <w:next w:val="1"/>
    <w:qFormat/>
    <w:uiPriority w:val="99"/>
    <w:pPr>
      <w:keepNext/>
      <w:keepLines/>
      <w:spacing w:before="240" w:after="64" w:line="320" w:lineRule="atLeast"/>
      <w:outlineLvl w:val="6"/>
    </w:pPr>
    <w:rPr>
      <w:b/>
      <w:bCs/>
      <w:sz w:val="24"/>
      <w:szCs w:val="24"/>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adjustRightInd/>
      <w:spacing w:after="120" w:line="300" w:lineRule="auto"/>
      <w:ind w:left="420" w:leftChars="200" w:firstLine="200" w:firstLineChars="200"/>
      <w:textAlignment w:val="auto"/>
    </w:pPr>
    <w:rPr>
      <w:rFonts w:ascii="Times New Roman" w:hAnsi="Times New Roman"/>
      <w:kern w:val="2"/>
      <w:sz w:val="24"/>
    </w:rPr>
  </w:style>
  <w:style w:type="paragraph" w:styleId="3">
    <w:name w:val="Body Text Indent"/>
    <w:basedOn w:val="1"/>
    <w:next w:val="4"/>
    <w:qFormat/>
    <w:uiPriority w:val="0"/>
    <w:pPr>
      <w:adjustRightInd w:val="0"/>
      <w:spacing w:line="360" w:lineRule="auto"/>
      <w:ind w:firstLine="420"/>
      <w:textAlignment w:val="baseline"/>
    </w:pPr>
    <w:rPr>
      <w:rFonts w:ascii="Courier New" w:hAnsi="Courier New"/>
      <w:szCs w:val="20"/>
    </w:rPr>
  </w:style>
  <w:style w:type="paragraph" w:styleId="11">
    <w:name w:val="Normal Indent"/>
    <w:basedOn w:val="1"/>
    <w:qFormat/>
    <w:uiPriority w:val="0"/>
    <w:pPr>
      <w:widowControl/>
      <w:ind w:firstLine="420"/>
    </w:pPr>
    <w:rPr>
      <w:sz w:val="20"/>
      <w:szCs w:val="20"/>
    </w:rPr>
  </w:style>
  <w:style w:type="paragraph" w:styleId="12">
    <w:name w:val="toa heading"/>
    <w:basedOn w:val="1"/>
    <w:next w:val="1"/>
    <w:qFormat/>
    <w:uiPriority w:val="0"/>
    <w:pPr>
      <w:spacing w:before="120"/>
    </w:pPr>
    <w:rPr>
      <w:rFonts w:ascii="Arial" w:hAnsi="Arial"/>
      <w:sz w:val="24"/>
      <w:szCs w:val="21"/>
    </w:rPr>
  </w:style>
  <w:style w:type="paragraph" w:styleId="13">
    <w:name w:val="Body Text"/>
    <w:basedOn w:val="1"/>
    <w:qFormat/>
    <w:uiPriority w:val="1"/>
    <w:rPr>
      <w:sz w:val="24"/>
      <w:szCs w:val="24"/>
    </w:rPr>
  </w:style>
  <w:style w:type="paragraph" w:styleId="14">
    <w:name w:val="toc 5"/>
    <w:basedOn w:val="1"/>
    <w:next w:val="1"/>
    <w:qFormat/>
    <w:uiPriority w:val="1"/>
    <w:pPr>
      <w:spacing w:before="43"/>
      <w:ind w:left="1658"/>
    </w:pPr>
    <w:rPr>
      <w:sz w:val="21"/>
      <w:szCs w:val="21"/>
    </w:rPr>
  </w:style>
  <w:style w:type="paragraph" w:styleId="15">
    <w:name w:val="toc 3"/>
    <w:basedOn w:val="1"/>
    <w:next w:val="1"/>
    <w:qFormat/>
    <w:uiPriority w:val="1"/>
    <w:pPr>
      <w:spacing w:before="43"/>
      <w:ind w:left="1238"/>
    </w:pPr>
    <w:rPr>
      <w:sz w:val="21"/>
      <w:szCs w:val="21"/>
    </w:rPr>
  </w:style>
  <w:style w:type="paragraph" w:styleId="16">
    <w:name w:val="Plain Text"/>
    <w:basedOn w:val="1"/>
    <w:link w:val="54"/>
    <w:qFormat/>
    <w:uiPriority w:val="0"/>
    <w:rPr>
      <w:sz w:val="24"/>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53"/>
    <w:qFormat/>
    <w:uiPriority w:val="0"/>
    <w:rPr>
      <w:sz w:val="18"/>
      <w:szCs w:val="18"/>
    </w:rPr>
  </w:style>
  <w:style w:type="paragraph" w:styleId="19">
    <w:name w:val="footer"/>
    <w:basedOn w:val="1"/>
    <w:qFormat/>
    <w:uiPriority w:val="0"/>
    <w:pPr>
      <w:tabs>
        <w:tab w:val="center" w:pos="4153"/>
        <w:tab w:val="right" w:pos="8306"/>
      </w:tabs>
      <w:snapToGrid w:val="0"/>
    </w:pPr>
    <w:rPr>
      <w:sz w:val="18"/>
    </w:rPr>
  </w:style>
  <w:style w:type="paragraph" w:styleId="20">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1"/>
    <w:pPr>
      <w:spacing w:line="312" w:lineRule="exact"/>
      <w:ind w:right="1801"/>
      <w:jc w:val="right"/>
    </w:pPr>
    <w:rPr>
      <w:rFonts w:ascii="微软雅黑" w:hAnsi="微软雅黑" w:eastAsia="微软雅黑" w:cs="微软雅黑"/>
      <w:b/>
      <w:bCs/>
      <w:sz w:val="21"/>
      <w:szCs w:val="21"/>
    </w:rPr>
  </w:style>
  <w:style w:type="paragraph" w:styleId="22">
    <w:name w:val="toc 4"/>
    <w:basedOn w:val="1"/>
    <w:next w:val="1"/>
    <w:qFormat/>
    <w:uiPriority w:val="1"/>
    <w:pPr>
      <w:spacing w:line="312" w:lineRule="exact"/>
      <w:ind w:left="1658"/>
    </w:pPr>
    <w:rPr>
      <w:rFonts w:ascii="微软雅黑" w:hAnsi="微软雅黑" w:eastAsia="微软雅黑" w:cs="微软雅黑"/>
      <w:b/>
      <w:bCs/>
      <w:sz w:val="21"/>
      <w:szCs w:val="21"/>
    </w:rPr>
  </w:style>
  <w:style w:type="paragraph" w:styleId="23">
    <w:name w:val="footnote text"/>
    <w:basedOn w:val="1"/>
    <w:qFormat/>
    <w:uiPriority w:val="99"/>
    <w:pPr>
      <w:snapToGrid w:val="0"/>
    </w:pPr>
    <w:rPr>
      <w:kern w:val="2"/>
      <w:sz w:val="18"/>
    </w:rPr>
  </w:style>
  <w:style w:type="paragraph" w:styleId="24">
    <w:name w:val="toc 6"/>
    <w:basedOn w:val="1"/>
    <w:next w:val="1"/>
    <w:qFormat/>
    <w:uiPriority w:val="1"/>
    <w:pPr>
      <w:spacing w:line="312" w:lineRule="exact"/>
      <w:ind w:left="1658"/>
    </w:pPr>
    <w:rPr>
      <w:rFonts w:ascii="微软雅黑" w:hAnsi="微软雅黑" w:eastAsia="微软雅黑" w:cs="微软雅黑"/>
      <w:b/>
      <w:bCs/>
      <w:i/>
    </w:rPr>
  </w:style>
  <w:style w:type="paragraph" w:styleId="25">
    <w:name w:val="toc 2"/>
    <w:basedOn w:val="1"/>
    <w:next w:val="1"/>
    <w:qFormat/>
    <w:uiPriority w:val="1"/>
    <w:pPr>
      <w:spacing w:line="312" w:lineRule="exact"/>
      <w:ind w:left="818"/>
    </w:pPr>
    <w:rPr>
      <w:rFonts w:ascii="微软雅黑" w:hAnsi="微软雅黑" w:eastAsia="微软雅黑" w:cs="微软雅黑"/>
      <w:b/>
      <w:bCs/>
      <w:sz w:val="21"/>
      <w:szCs w:val="21"/>
    </w:rPr>
  </w:style>
  <w:style w:type="paragraph" w:styleId="26">
    <w:name w:val="Normal (Web)"/>
    <w:basedOn w:val="1"/>
    <w:qFormat/>
    <w:uiPriority w:val="0"/>
    <w:pPr>
      <w:spacing w:before="100" w:beforeAutospacing="1" w:after="100" w:afterAutospacing="1"/>
    </w:pPr>
    <w:rPr>
      <w:rFonts w:cs="Times New Roman"/>
      <w:sz w:val="24"/>
      <w:lang w:val="en-US" w:bidi="ar-SA"/>
    </w:rPr>
  </w:style>
  <w:style w:type="paragraph" w:styleId="27">
    <w:name w:val="Body Text First Indent"/>
    <w:basedOn w:val="13"/>
    <w:qFormat/>
    <w:uiPriority w:val="0"/>
    <w:pPr>
      <w:ind w:firstLine="420" w:firstLineChars="1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99"/>
    <w:rPr>
      <w:rFonts w:cs="Times New Roman"/>
    </w:rPr>
  </w:style>
  <w:style w:type="character" w:styleId="33">
    <w:name w:val="HTML Sample"/>
    <w:basedOn w:val="30"/>
    <w:qFormat/>
    <w:uiPriority w:val="0"/>
    <w:rPr>
      <w:rFonts w:ascii="Courier New" w:hAnsi="Courier New"/>
    </w:rPr>
  </w:style>
  <w:style w:type="paragraph" w:customStyle="1" w:styleId="34">
    <w:name w:val="样式 首行缩进:  2 字符"/>
    <w:basedOn w:val="1"/>
    <w:qFormat/>
    <w:uiPriority w:val="99"/>
    <w:pPr>
      <w:ind w:firstLine="560"/>
    </w:p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spacing w:before="1"/>
      <w:ind w:left="818" w:firstLine="479"/>
    </w:pPr>
  </w:style>
  <w:style w:type="paragraph" w:customStyle="1" w:styleId="37">
    <w:name w:val="Table Paragraph"/>
    <w:basedOn w:val="1"/>
    <w:qFormat/>
    <w:uiPriority w:val="1"/>
  </w:style>
  <w:style w:type="paragraph" w:customStyle="1" w:styleId="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p0"/>
    <w:basedOn w:val="1"/>
    <w:qFormat/>
    <w:uiPriority w:val="0"/>
    <w:pPr>
      <w:widowControl/>
    </w:pPr>
    <w:rPr>
      <w:szCs w:val="21"/>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3">
    <w:name w:val="首行缩进"/>
    <w:basedOn w:val="1"/>
    <w:qFormat/>
    <w:uiPriority w:val="99"/>
    <w:pPr>
      <w:ind w:firstLine="480" w:firstLineChars="200"/>
    </w:pPr>
  </w:style>
  <w:style w:type="paragraph" w:customStyle="1" w:styleId="44">
    <w:name w:val="Default Text"/>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5">
    <w:name w:val="È±Ê¡ÎÄ±¾"/>
    <w:basedOn w:val="1"/>
    <w:qFormat/>
    <w:uiPriority w:val="0"/>
    <w:pPr>
      <w:widowControl/>
      <w:overflowPunct w:val="0"/>
      <w:adjustRightInd w:val="0"/>
      <w:textAlignment w:val="baseline"/>
    </w:pPr>
    <w:rPr>
      <w:sz w:val="24"/>
    </w:rPr>
  </w:style>
  <w:style w:type="paragraph" w:customStyle="1" w:styleId="46">
    <w:name w:val="正文缩进1"/>
    <w:basedOn w:val="1"/>
    <w:qFormat/>
    <w:uiPriority w:val="0"/>
    <w:pPr>
      <w:adjustRightInd w:val="0"/>
      <w:ind w:firstLine="420"/>
    </w:pPr>
    <w:rPr>
      <w:rFonts w:hAnsiTheme="minorHAnsi" w:eastAsiaTheme="minorEastAsia" w:cstheme="minorBidi"/>
      <w:sz w:val="24"/>
    </w:rPr>
  </w:style>
  <w:style w:type="paragraph" w:customStyle="1" w:styleId="47">
    <w:name w:val="索引 11"/>
    <w:basedOn w:val="1"/>
    <w:next w:val="1"/>
    <w:qFormat/>
    <w:uiPriority w:val="0"/>
    <w:pPr>
      <w:spacing w:line="360" w:lineRule="auto"/>
    </w:pPr>
    <w:rPr>
      <w:rFonts w:ascii="仿宋_GB2312" w:eastAsia="仿宋_GB2312"/>
      <w:sz w:val="24"/>
      <w:szCs w:val="20"/>
    </w:rPr>
  </w:style>
  <w:style w:type="paragraph" w:customStyle="1" w:styleId="48">
    <w:name w:val="纯文本1"/>
    <w:basedOn w:val="1"/>
    <w:qFormat/>
    <w:uiPriority w:val="0"/>
    <w:rPr>
      <w:rFonts w:hAnsi="Courier New" w:eastAsiaTheme="minorEastAsia" w:cstheme="minorBidi"/>
    </w:rPr>
  </w:style>
  <w:style w:type="character" w:customStyle="1" w:styleId="49">
    <w:name w:val="font41"/>
    <w:basedOn w:val="30"/>
    <w:qFormat/>
    <w:uiPriority w:val="0"/>
    <w:rPr>
      <w:rFonts w:hint="eastAsia" w:ascii="宋体" w:hAnsi="宋体" w:eastAsia="宋体" w:cs="宋体"/>
      <w:color w:val="000000"/>
      <w:sz w:val="22"/>
      <w:szCs w:val="22"/>
      <w:u w:val="single"/>
    </w:rPr>
  </w:style>
  <w:style w:type="character" w:customStyle="1" w:styleId="50">
    <w:name w:val="font11"/>
    <w:basedOn w:val="30"/>
    <w:qFormat/>
    <w:uiPriority w:val="0"/>
    <w:rPr>
      <w:rFonts w:hint="eastAsia" w:ascii="宋体" w:hAnsi="宋体" w:eastAsia="宋体" w:cs="宋体"/>
      <w:color w:val="000000"/>
      <w:sz w:val="22"/>
      <w:szCs w:val="22"/>
      <w:u w:val="none"/>
    </w:rPr>
  </w:style>
  <w:style w:type="paragraph" w:customStyle="1" w:styleId="51">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52">
    <w:name w:val="Other|1"/>
    <w:basedOn w:val="1"/>
    <w:qFormat/>
    <w:uiPriority w:val="0"/>
    <w:pPr>
      <w:autoSpaceDE/>
      <w:autoSpaceDN/>
      <w:spacing w:line="480" w:lineRule="auto"/>
      <w:ind w:firstLine="400"/>
    </w:pPr>
    <w:rPr>
      <w:lang w:val="zh-TW" w:eastAsia="zh-TW" w:bidi="zh-TW"/>
    </w:rPr>
  </w:style>
  <w:style w:type="character" w:customStyle="1" w:styleId="53">
    <w:name w:val="批注框文本 字符"/>
    <w:basedOn w:val="30"/>
    <w:link w:val="18"/>
    <w:qFormat/>
    <w:uiPriority w:val="0"/>
    <w:rPr>
      <w:rFonts w:ascii="宋体" w:hAnsi="宋体" w:cs="宋体"/>
      <w:sz w:val="18"/>
      <w:szCs w:val="18"/>
      <w:lang w:val="zh-CN" w:bidi="zh-CN"/>
    </w:rPr>
  </w:style>
  <w:style w:type="character" w:customStyle="1" w:styleId="54">
    <w:name w:val="纯文本 字符"/>
    <w:basedOn w:val="30"/>
    <w:link w:val="16"/>
    <w:qFormat/>
    <w:uiPriority w:val="0"/>
    <w:rPr>
      <w:rFonts w:ascii="宋体" w:hAnsi="宋体" w:cs="宋体"/>
      <w:sz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32156</Words>
  <Characters>34068</Characters>
  <Lines>296</Lines>
  <Paragraphs>83</Paragraphs>
  <TotalTime>7</TotalTime>
  <ScaleCrop>false</ScaleCrop>
  <LinksUpToDate>false</LinksUpToDate>
  <CharactersWithSpaces>38023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2021-09-27T07:03:00Z</dcterms:created>
  <dc:creator>王峰</dc:creator>
  <cp:lastModifiedBy>Crazy俊</cp:lastModifiedBy>
  <dcterms:modified xsi:type="dcterms:W3CDTF">2021-11-24T10:51:54Z</dcterms:modified>
  <dc:title>滨州市政府采购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Word 2013</vt:lpwstr>
  </property>
  <property fmtid="{D5CDD505-2E9C-101B-9397-08002B2CF9AE}" pid="4" name="LastSaved">
    <vt:filetime>2021-07-01T00:00:00Z</vt:filetime>
  </property>
  <property fmtid="{D5CDD505-2E9C-101B-9397-08002B2CF9AE}" pid="5" name="KSOProductBuildVer">
    <vt:lpwstr>2052-11.1.0.10938</vt:lpwstr>
  </property>
  <property fmtid="{D5CDD505-2E9C-101B-9397-08002B2CF9AE}" pid="6" name="ICV">
    <vt:lpwstr>EA5BA0D5BD1B4F98AC451E8CB99EACD1</vt:lpwstr>
  </property>
</Properties>
</file>