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6"/>
          <w:szCs w:val="36"/>
          <w:highlight w:val="none"/>
        </w:rPr>
        <w:t>竞争性磋商</w:t>
      </w:r>
      <w:r>
        <w:rPr>
          <w:rFonts w:hint="eastAsia" w:ascii="宋体" w:hAnsi="宋体" w:eastAsia="宋体" w:cs="宋体"/>
          <w:b/>
          <w:color w:val="auto"/>
          <w:sz w:val="36"/>
          <w:szCs w:val="36"/>
          <w:highlight w:val="none"/>
          <w:lang w:val="en-US" w:eastAsia="zh-CN"/>
        </w:rPr>
        <w:t>公告</w:t>
      </w:r>
    </w:p>
    <w:p>
      <w:pPr>
        <w:rPr>
          <w:rFonts w:hint="eastAsia" w:ascii="宋体" w:hAnsi="宋体" w:eastAsia="宋体" w:cs="宋体"/>
          <w:color w:val="auto"/>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single"/>
        </w:rPr>
        <w:t>管护能力建</w:t>
      </w:r>
      <w:r>
        <w:rPr>
          <w:rFonts w:hint="eastAsia" w:ascii="宋体" w:hAnsi="宋体" w:eastAsia="宋体" w:cs="宋体"/>
          <w:color w:val="auto"/>
          <w:sz w:val="28"/>
          <w:szCs w:val="28"/>
          <w:highlight w:val="none"/>
          <w:u w:val="single"/>
          <w:lang w:val="en-US" w:eastAsia="zh-CN"/>
        </w:rPr>
        <w:t>设一标段</w:t>
      </w:r>
      <w:r>
        <w:rPr>
          <w:rFonts w:hint="eastAsia" w:ascii="宋体" w:hAnsi="宋体" w:eastAsia="宋体" w:cs="宋体"/>
          <w:color w:val="auto"/>
          <w:sz w:val="28"/>
          <w:szCs w:val="28"/>
          <w:highlight w:val="none"/>
        </w:rPr>
        <w:t>的潜在投标人应在</w:t>
      </w:r>
      <w:r>
        <w:rPr>
          <w:rFonts w:hint="eastAsia" w:ascii="宋体" w:hAnsi="宋体" w:eastAsia="宋体" w:cs="宋体"/>
          <w:color w:val="auto"/>
          <w:sz w:val="28"/>
          <w:szCs w:val="28"/>
          <w:highlight w:val="none"/>
          <w:u w:val="single"/>
        </w:rPr>
        <w:t>新疆尚水工程咨询管理有限公司（新疆阿勒泰市解放路14-5号)</w:t>
      </w:r>
      <w:r>
        <w:rPr>
          <w:rFonts w:hint="eastAsia" w:ascii="宋体" w:hAnsi="宋体" w:eastAsia="宋体" w:cs="宋体"/>
          <w:color w:val="auto"/>
          <w:sz w:val="28"/>
          <w:szCs w:val="28"/>
          <w:highlight w:val="none"/>
        </w:rPr>
        <w:t>获取招标文件，并于</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bCs/>
          <w:color w:val="auto"/>
          <w:sz w:val="28"/>
          <w:szCs w:val="28"/>
          <w:highlight w:val="none"/>
          <w:u w:val="single"/>
        </w:rPr>
        <w:t>年</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06</w:t>
      </w:r>
      <w:r>
        <w:rPr>
          <w:rFonts w:hint="eastAsia" w:ascii="宋体" w:hAnsi="宋体" w:eastAsia="宋体" w:cs="宋体"/>
          <w:bCs/>
          <w:color w:val="auto"/>
          <w:sz w:val="28"/>
          <w:szCs w:val="28"/>
          <w:highlight w:val="none"/>
          <w:u w:val="single"/>
        </w:rPr>
        <w:t>日</w:t>
      </w:r>
      <w:r>
        <w:rPr>
          <w:rFonts w:hint="eastAsia" w:ascii="宋体" w:hAnsi="宋体" w:cs="宋体"/>
          <w:bCs/>
          <w:color w:val="auto"/>
          <w:sz w:val="28"/>
          <w:szCs w:val="28"/>
          <w:highlight w:val="none"/>
          <w:u w:val="single"/>
          <w:lang w:val="en-US" w:eastAsia="zh-CN"/>
        </w:rPr>
        <w:t>16</w:t>
      </w:r>
      <w:r>
        <w:rPr>
          <w:rFonts w:hint="eastAsia" w:ascii="宋体" w:hAnsi="宋体" w:eastAsia="宋体" w:cs="宋体"/>
          <w:bCs/>
          <w:color w:val="auto"/>
          <w:sz w:val="28"/>
          <w:szCs w:val="28"/>
          <w:highlight w:val="none"/>
          <w:u w:val="single"/>
        </w:rPr>
        <w:t>点30分</w:t>
      </w:r>
      <w:r>
        <w:rPr>
          <w:rFonts w:hint="eastAsia" w:ascii="宋体" w:hAnsi="宋体" w:eastAsia="宋体" w:cs="宋体"/>
          <w:bCs/>
          <w:color w:val="auto"/>
          <w:sz w:val="28"/>
          <w:szCs w:val="28"/>
          <w:highlight w:val="none"/>
          <w:u w:val="none"/>
        </w:rPr>
        <w:t>（北京时间）前递交投标文件</w:t>
      </w:r>
      <w:r>
        <w:rPr>
          <w:rFonts w:hint="eastAsia" w:ascii="宋体" w:hAnsi="宋体" w:eastAsia="宋体" w:cs="宋体"/>
          <w:color w:val="auto"/>
          <w:sz w:val="28"/>
          <w:szCs w:val="28"/>
          <w:highlight w:val="none"/>
          <w:u w:val="none"/>
        </w:rPr>
        <w:t>。</w:t>
      </w:r>
    </w:p>
    <w:p>
      <w:pPr>
        <w:rPr>
          <w:rFonts w:hint="eastAsia" w:ascii="宋体" w:hAnsi="宋体" w:eastAsia="宋体" w:cs="宋体"/>
          <w:color w:val="auto"/>
        </w:rPr>
      </w:pPr>
    </w:p>
    <w:p>
      <w:pPr>
        <w:pStyle w:val="4"/>
        <w:spacing w:line="360" w:lineRule="auto"/>
        <w:rPr>
          <w:rFonts w:hint="eastAsia" w:ascii="宋体" w:hAnsi="宋体" w:eastAsia="宋体" w:cs="宋体"/>
          <w:b w:val="0"/>
          <w:color w:val="auto"/>
          <w:sz w:val="28"/>
          <w:szCs w:val="28"/>
        </w:rPr>
      </w:pPr>
      <w:bookmarkStart w:id="0" w:name="_Toc28359089"/>
      <w:bookmarkStart w:id="1" w:name="_Toc35393798"/>
      <w:bookmarkStart w:id="2" w:name="_Toc35393629"/>
      <w:bookmarkStart w:id="3" w:name="_Toc28359012"/>
      <w:r>
        <w:rPr>
          <w:rFonts w:hint="eastAsia" w:ascii="宋体" w:hAnsi="宋体" w:eastAsia="宋体" w:cs="宋体"/>
          <w:b w:val="0"/>
          <w:color w:val="auto"/>
          <w:sz w:val="28"/>
          <w:szCs w:val="28"/>
        </w:rPr>
        <w:t>一、项目基本情况</w:t>
      </w:r>
      <w:bookmarkEnd w:id="0"/>
      <w:bookmarkEnd w:id="1"/>
      <w:bookmarkEnd w:id="2"/>
      <w:bookmarkEnd w:id="3"/>
    </w:p>
    <w:p>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highlight w:val="none"/>
        </w:rPr>
        <w:t>ZFCG-XJSS-20210</w:t>
      </w:r>
      <w:r>
        <w:rPr>
          <w:rFonts w:hint="eastAsia" w:ascii="宋体" w:hAnsi="宋体" w:eastAsia="宋体" w:cs="宋体"/>
          <w:color w:val="auto"/>
          <w:sz w:val="28"/>
          <w:szCs w:val="28"/>
          <w:highlight w:val="none"/>
          <w:lang w:val="en-US" w:eastAsia="zh-CN"/>
        </w:rPr>
        <w:t>98</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项目名称：管护能力建</w:t>
      </w:r>
      <w:r>
        <w:rPr>
          <w:rFonts w:hint="eastAsia" w:ascii="宋体" w:hAnsi="宋体" w:eastAsia="宋体" w:cs="宋体"/>
          <w:color w:val="auto"/>
          <w:sz w:val="28"/>
          <w:szCs w:val="28"/>
          <w:lang w:val="en-US" w:eastAsia="zh-CN"/>
        </w:rPr>
        <w:t>设一标段</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采购方式：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竞争性谈判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竞争性磋商 </w:t>
      </w:r>
      <w:r>
        <w:rPr>
          <w:rFonts w:hint="eastAsia" w:ascii="宋体" w:hAnsi="宋体" w:cs="宋体"/>
          <w:color w:val="auto"/>
          <w:sz w:val="28"/>
          <w:szCs w:val="28"/>
          <w:lang w:eastAsia="zh-CN"/>
        </w:rPr>
        <w:t>□</w:t>
      </w:r>
      <w:r>
        <w:rPr>
          <w:rFonts w:hint="eastAsia" w:ascii="宋体" w:hAnsi="宋体" w:eastAsia="宋体" w:cs="宋体"/>
          <w:color w:val="auto"/>
          <w:sz w:val="28"/>
          <w:szCs w:val="28"/>
        </w:rPr>
        <w:t>询价</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预算金额：</w:t>
      </w:r>
      <w:r>
        <w:rPr>
          <w:rFonts w:hint="eastAsia" w:ascii="宋体" w:hAnsi="宋体" w:eastAsia="宋体" w:cs="宋体"/>
          <w:color w:val="auto"/>
          <w:sz w:val="28"/>
          <w:szCs w:val="28"/>
          <w:lang w:val="en-US" w:eastAsia="zh-CN"/>
        </w:rPr>
        <w:t>77万元</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最高限价：</w:t>
      </w:r>
      <w:r>
        <w:rPr>
          <w:rFonts w:hint="eastAsia" w:ascii="宋体" w:hAnsi="宋体" w:eastAsia="宋体" w:cs="宋体"/>
          <w:color w:val="auto"/>
          <w:sz w:val="28"/>
          <w:szCs w:val="28"/>
          <w:lang w:val="en-US" w:eastAsia="zh-CN"/>
        </w:rPr>
        <w:t>详见招标文件</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采购需求：</w:t>
      </w:r>
      <w:r>
        <w:rPr>
          <w:rFonts w:hint="eastAsia" w:ascii="宋体" w:hAnsi="宋体" w:eastAsia="宋体" w:cs="宋体"/>
          <w:color w:val="auto"/>
          <w:sz w:val="28"/>
          <w:szCs w:val="28"/>
          <w:lang w:val="en-US" w:eastAsia="zh-CN"/>
        </w:rPr>
        <w:t>采购设备一批</w:t>
      </w:r>
    </w:p>
    <w:p>
      <w:pPr>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合同履行期限：</w:t>
      </w:r>
      <w:r>
        <w:rPr>
          <w:rFonts w:hint="eastAsia" w:ascii="宋体" w:hAnsi="宋体" w:eastAsia="宋体" w:cs="宋体"/>
          <w:color w:val="auto"/>
          <w:sz w:val="28"/>
          <w:szCs w:val="28"/>
          <w:lang w:val="en-US" w:eastAsia="zh-CN"/>
        </w:rPr>
        <w:t>详见招标文件</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w:t>
      </w:r>
      <w:r>
        <w:rPr>
          <w:rFonts w:hint="eastAsia" w:ascii="宋体" w:hAnsi="宋体" w:eastAsia="宋体" w:cs="宋体"/>
          <w:color w:val="auto"/>
          <w:sz w:val="28"/>
          <w:szCs w:val="28"/>
          <w:lang w:val="en-US" w:eastAsia="zh-CN"/>
        </w:rPr>
        <w:t>不</w:t>
      </w:r>
      <w:r>
        <w:rPr>
          <w:rFonts w:hint="eastAsia" w:ascii="宋体" w:hAnsi="宋体" w:eastAsia="宋体" w:cs="宋体"/>
          <w:color w:val="auto"/>
          <w:sz w:val="28"/>
          <w:szCs w:val="28"/>
        </w:rPr>
        <w:t>接受联合体。</w:t>
      </w:r>
    </w:p>
    <w:p>
      <w:pPr>
        <w:pStyle w:val="4"/>
        <w:spacing w:line="360" w:lineRule="auto"/>
        <w:rPr>
          <w:rFonts w:hint="eastAsia" w:ascii="宋体" w:hAnsi="宋体" w:eastAsia="宋体" w:cs="宋体"/>
          <w:b w:val="0"/>
          <w:color w:val="auto"/>
          <w:sz w:val="28"/>
          <w:szCs w:val="28"/>
        </w:rPr>
      </w:pPr>
      <w:bookmarkStart w:id="4" w:name="_Toc35393799"/>
      <w:bookmarkStart w:id="5" w:name="_Toc28359090"/>
      <w:bookmarkStart w:id="6" w:name="_Toc28359013"/>
      <w:bookmarkStart w:id="7" w:name="_Toc35393630"/>
      <w:r>
        <w:rPr>
          <w:rFonts w:hint="eastAsia" w:ascii="宋体" w:hAnsi="宋体" w:eastAsia="宋体" w:cs="宋体"/>
          <w:b w:val="0"/>
          <w:color w:val="auto"/>
          <w:sz w:val="28"/>
          <w:szCs w:val="28"/>
        </w:rPr>
        <w:t>二、申请人的资格要求：</w:t>
      </w:r>
      <w:bookmarkEnd w:id="4"/>
      <w:bookmarkEnd w:id="5"/>
      <w:bookmarkEnd w:id="6"/>
      <w:bookmarkEnd w:id="7"/>
    </w:p>
    <w:p>
      <w:pPr>
        <w:ind w:firstLine="560" w:firstLineChars="200"/>
        <w:rPr>
          <w:rFonts w:hint="eastAsia" w:ascii="宋体" w:hAnsi="宋体" w:eastAsia="宋体" w:cs="宋体"/>
          <w:color w:val="auto"/>
          <w:sz w:val="28"/>
          <w:szCs w:val="28"/>
        </w:rPr>
      </w:pPr>
      <w:bookmarkStart w:id="8" w:name="_Toc28359014"/>
      <w:bookmarkStart w:id="9" w:name="_Toc28359091"/>
      <w:bookmarkStart w:id="10" w:name="_Toc35393800"/>
      <w:bookmarkStart w:id="11" w:name="_Toc35393631"/>
      <w:r>
        <w:rPr>
          <w:rFonts w:hint="eastAsia" w:ascii="宋体" w:hAnsi="宋体" w:eastAsia="宋体" w:cs="宋体"/>
          <w:color w:val="auto"/>
          <w:sz w:val="28"/>
          <w:szCs w:val="28"/>
        </w:rPr>
        <w:t>1.满足《中华人民共和国政府采购法》第二十二条规定；</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2.落实政府采购政策需满足的资格要求：</w:t>
      </w:r>
      <w:r>
        <w:rPr>
          <w:rFonts w:hint="eastAsia" w:ascii="宋体" w:hAnsi="宋体" w:eastAsia="宋体" w:cs="宋体"/>
          <w:color w:val="auto"/>
          <w:sz w:val="28"/>
          <w:szCs w:val="28"/>
          <w:lang w:val="en-US" w:eastAsia="zh-CN"/>
        </w:rPr>
        <w:t>1、《财政部国家发展改革委关于印发〈节能产品政府采购实施意见〉的通知》(财库〔2004〕185号);2、《财政部环保总局关于环境标志产品政府采购实施的意见》(财库〔2006〕90号)；3、《政府采购促进中小企业发展暂行办法》(财库〔2011〕181号)；4、</w:t>
      </w:r>
      <w:r>
        <w:rPr>
          <w:rFonts w:hint="eastAsia" w:ascii="宋体" w:hAnsi="宋体" w:eastAsia="宋体" w:cs="宋体"/>
          <w:color w:val="auto"/>
          <w:sz w:val="28"/>
          <w:szCs w:val="28"/>
        </w:rPr>
        <w:t>《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.本项目的特定资格要求：</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须提供有效的营业执照，</w:t>
      </w:r>
      <w:r>
        <w:rPr>
          <w:rFonts w:hint="eastAsia" w:ascii="宋体" w:hAnsi="宋体" w:eastAsia="宋体" w:cs="宋体"/>
          <w:color w:val="auto"/>
          <w:sz w:val="28"/>
          <w:szCs w:val="28"/>
        </w:rPr>
        <w:t>；</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3.2</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具有良好的商业信誉和完税证明，投标企业提供近一年度的财务审计报告（不适用于新成立的企业）；</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3.3</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具有依法缴纳税收和社会保障资金的良好记录，投标企业</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lang w:eastAsia="zh-CN"/>
        </w:rPr>
        <w:t>被授权委托人提供</w:t>
      </w:r>
      <w:r>
        <w:rPr>
          <w:rFonts w:hint="eastAsia" w:ascii="宋体" w:hAnsi="宋体" w:eastAsia="宋体" w:cs="宋体"/>
          <w:color w:val="auto"/>
          <w:sz w:val="28"/>
          <w:szCs w:val="28"/>
          <w:lang w:val="en-US" w:eastAsia="zh-CN"/>
        </w:rPr>
        <w:t>近三个月</w:t>
      </w:r>
      <w:r>
        <w:rPr>
          <w:rFonts w:hint="eastAsia" w:ascii="宋体" w:hAnsi="宋体" w:eastAsia="宋体" w:cs="宋体"/>
          <w:color w:val="auto"/>
          <w:sz w:val="28"/>
          <w:szCs w:val="28"/>
          <w:lang w:eastAsia="zh-CN"/>
        </w:rPr>
        <w:t>本单位缴纳的社保证明；</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3.4.投标企业在“信用中国”（www.creditchina.gov.cn）和中国政府采购网（www.ccgp.gov.cn）网站上未被列入失信被执行人、重大税收违法案件当事人名单以及政府采购严重违法失信行为记录名单；</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3.5.企业负责人为同一人或者存在直接控股、管理关系的不同投标人，不得同时参加本项目的政府采购活动。否则，皆取消投标资格。</w:t>
      </w:r>
    </w:p>
    <w:p>
      <w:pPr>
        <w:pStyle w:val="4"/>
        <w:spacing w:line="360" w:lineRule="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三、获取采购文件</w:t>
      </w:r>
      <w:bookmarkEnd w:id="8"/>
      <w:bookmarkEnd w:id="9"/>
      <w:bookmarkEnd w:id="10"/>
      <w:bookmarkEnd w:id="11"/>
    </w:p>
    <w:p>
      <w:pPr>
        <w:spacing w:line="360" w:lineRule="auto"/>
        <w:ind w:firstLine="540"/>
        <w:rPr>
          <w:rFonts w:hint="eastAsia" w:ascii="宋体" w:hAnsi="宋体" w:eastAsia="宋体" w:cs="宋体"/>
          <w:b w:val="0"/>
          <w:bCs w:val="0"/>
          <w:color w:val="auto"/>
          <w:kern w:val="2"/>
          <w:sz w:val="28"/>
          <w:szCs w:val="28"/>
          <w:lang w:val="en-US" w:eastAsia="zh-CN" w:bidi="ar-SA"/>
        </w:rPr>
      </w:pPr>
      <w:bookmarkStart w:id="12" w:name="_Toc28359097"/>
      <w:bookmarkStart w:id="13" w:name="_Toc35393638"/>
      <w:bookmarkStart w:id="14" w:name="_Toc35393807"/>
      <w:bookmarkStart w:id="15" w:name="_Toc28359020"/>
      <w:r>
        <w:rPr>
          <w:rFonts w:hint="eastAsia" w:ascii="宋体" w:hAnsi="宋体" w:eastAsia="宋体" w:cs="宋体"/>
          <w:b w:val="0"/>
          <w:bCs w:val="0"/>
          <w:color w:val="auto"/>
          <w:kern w:val="2"/>
          <w:sz w:val="28"/>
          <w:szCs w:val="28"/>
          <w:lang w:val="en-US" w:eastAsia="zh-CN" w:bidi="ar-SA"/>
        </w:rPr>
        <w:t>时间：</w:t>
      </w:r>
      <w:r>
        <w:rPr>
          <w:rFonts w:hint="eastAsia" w:ascii="宋体" w:hAnsi="宋体" w:eastAsia="宋体" w:cs="宋体"/>
          <w:b w:val="0"/>
          <w:bCs w:val="0"/>
          <w:color w:val="auto"/>
          <w:kern w:val="2"/>
          <w:sz w:val="28"/>
          <w:szCs w:val="28"/>
          <w:u w:val="single"/>
          <w:lang w:val="en-US" w:eastAsia="zh-CN" w:bidi="ar-SA"/>
        </w:rPr>
        <w:t xml:space="preserve"> 2021</w:t>
      </w:r>
      <w:r>
        <w:rPr>
          <w:rFonts w:hint="eastAsia" w:ascii="宋体" w:hAnsi="宋体" w:eastAsia="宋体" w:cs="宋体"/>
          <w:b w:val="0"/>
          <w:bCs w:val="0"/>
          <w:color w:val="auto"/>
          <w:kern w:val="2"/>
          <w:sz w:val="28"/>
          <w:szCs w:val="28"/>
          <w:lang w:val="en-US" w:eastAsia="zh-CN" w:bidi="ar-SA"/>
        </w:rPr>
        <w:t>年</w:t>
      </w:r>
      <w:r>
        <w:rPr>
          <w:rFonts w:hint="eastAsia" w:ascii="宋体" w:hAnsi="宋体" w:eastAsia="宋体" w:cs="宋体"/>
          <w:b w:val="0"/>
          <w:bCs w:val="0"/>
          <w:color w:val="auto"/>
          <w:kern w:val="2"/>
          <w:sz w:val="28"/>
          <w:szCs w:val="28"/>
          <w:u w:val="single"/>
          <w:lang w:val="en-US" w:eastAsia="zh-CN" w:bidi="ar-SA"/>
        </w:rPr>
        <w:t>11</w:t>
      </w:r>
      <w:r>
        <w:rPr>
          <w:rFonts w:hint="eastAsia" w:ascii="宋体" w:hAnsi="宋体" w:eastAsia="宋体" w:cs="宋体"/>
          <w:b w:val="0"/>
          <w:bCs w:val="0"/>
          <w:color w:val="auto"/>
          <w:kern w:val="2"/>
          <w:sz w:val="28"/>
          <w:szCs w:val="28"/>
          <w:lang w:val="en-US" w:eastAsia="zh-CN" w:bidi="ar-SA"/>
        </w:rPr>
        <w:t>月</w:t>
      </w:r>
      <w:r>
        <w:rPr>
          <w:rFonts w:hint="eastAsia" w:ascii="宋体" w:hAnsi="宋体" w:eastAsia="宋体" w:cs="宋体"/>
          <w:b w:val="0"/>
          <w:bCs w:val="0"/>
          <w:color w:val="auto"/>
          <w:kern w:val="2"/>
          <w:sz w:val="28"/>
          <w:szCs w:val="28"/>
          <w:u w:val="single"/>
          <w:lang w:val="en-US" w:eastAsia="zh-CN" w:bidi="ar-SA"/>
        </w:rPr>
        <w:t>2</w:t>
      </w:r>
      <w:r>
        <w:rPr>
          <w:rFonts w:hint="eastAsia" w:ascii="宋体" w:hAnsi="宋体" w:cs="宋体"/>
          <w:b w:val="0"/>
          <w:bCs w:val="0"/>
          <w:color w:val="auto"/>
          <w:kern w:val="2"/>
          <w:sz w:val="28"/>
          <w:szCs w:val="28"/>
          <w:u w:val="single"/>
          <w:lang w:val="en-US" w:eastAsia="zh-CN" w:bidi="ar-SA"/>
        </w:rPr>
        <w:t>4</w:t>
      </w:r>
      <w:r>
        <w:rPr>
          <w:rFonts w:hint="eastAsia" w:ascii="宋体" w:hAnsi="宋体" w:eastAsia="宋体" w:cs="宋体"/>
          <w:b w:val="0"/>
          <w:bCs w:val="0"/>
          <w:color w:val="auto"/>
          <w:kern w:val="2"/>
          <w:sz w:val="28"/>
          <w:szCs w:val="28"/>
          <w:lang w:val="en-US" w:eastAsia="zh-CN" w:bidi="ar-SA"/>
        </w:rPr>
        <w:t>日至</w:t>
      </w:r>
      <w:r>
        <w:rPr>
          <w:rFonts w:hint="eastAsia" w:ascii="宋体" w:hAnsi="宋体" w:eastAsia="宋体" w:cs="宋体"/>
          <w:b w:val="0"/>
          <w:bCs w:val="0"/>
          <w:color w:val="auto"/>
          <w:kern w:val="2"/>
          <w:sz w:val="28"/>
          <w:szCs w:val="28"/>
          <w:u w:val="single"/>
          <w:lang w:val="en-US" w:eastAsia="zh-CN" w:bidi="ar-SA"/>
        </w:rPr>
        <w:t>2021</w:t>
      </w:r>
      <w:r>
        <w:rPr>
          <w:rFonts w:hint="eastAsia" w:ascii="宋体" w:hAnsi="宋体" w:eastAsia="宋体" w:cs="宋体"/>
          <w:b w:val="0"/>
          <w:bCs w:val="0"/>
          <w:color w:val="auto"/>
          <w:kern w:val="2"/>
          <w:sz w:val="28"/>
          <w:szCs w:val="28"/>
          <w:lang w:val="en-US" w:eastAsia="zh-CN" w:bidi="ar-SA"/>
        </w:rPr>
        <w:t>年</w:t>
      </w:r>
      <w:r>
        <w:rPr>
          <w:rFonts w:hint="eastAsia" w:ascii="宋体" w:hAnsi="宋体" w:cs="宋体"/>
          <w:b w:val="0"/>
          <w:bCs w:val="0"/>
          <w:color w:val="auto"/>
          <w:kern w:val="2"/>
          <w:sz w:val="28"/>
          <w:szCs w:val="28"/>
          <w:u w:val="single"/>
          <w:lang w:val="en-US" w:eastAsia="zh-CN" w:bidi="ar-SA"/>
        </w:rPr>
        <w:t>12</w:t>
      </w:r>
      <w:r>
        <w:rPr>
          <w:rFonts w:hint="eastAsia" w:ascii="宋体" w:hAnsi="宋体" w:eastAsia="宋体" w:cs="宋体"/>
          <w:b w:val="0"/>
          <w:bCs w:val="0"/>
          <w:color w:val="auto"/>
          <w:kern w:val="2"/>
          <w:sz w:val="28"/>
          <w:szCs w:val="28"/>
          <w:lang w:val="en-US" w:eastAsia="zh-CN" w:bidi="ar-SA"/>
        </w:rPr>
        <w:t>月</w:t>
      </w:r>
      <w:r>
        <w:rPr>
          <w:rFonts w:hint="eastAsia" w:ascii="宋体" w:hAnsi="宋体" w:cs="宋体"/>
          <w:b w:val="0"/>
          <w:bCs w:val="0"/>
          <w:color w:val="auto"/>
          <w:kern w:val="2"/>
          <w:sz w:val="28"/>
          <w:szCs w:val="28"/>
          <w:u w:val="single"/>
          <w:lang w:val="en-US" w:eastAsia="zh-CN" w:bidi="ar-SA"/>
        </w:rPr>
        <w:t>01</w:t>
      </w:r>
      <w:r>
        <w:rPr>
          <w:rFonts w:hint="eastAsia" w:ascii="宋体" w:hAnsi="宋体" w:eastAsia="宋体" w:cs="宋体"/>
          <w:b w:val="0"/>
          <w:bCs w:val="0"/>
          <w:color w:val="auto"/>
          <w:kern w:val="2"/>
          <w:sz w:val="28"/>
          <w:szCs w:val="28"/>
          <w:lang w:val="en-US" w:eastAsia="zh-CN" w:bidi="ar-SA"/>
        </w:rPr>
        <w:t>日，每天上午</w:t>
      </w:r>
      <w:r>
        <w:rPr>
          <w:rFonts w:hint="eastAsia" w:ascii="宋体" w:hAnsi="宋体" w:eastAsia="宋体" w:cs="宋体"/>
          <w:b w:val="0"/>
          <w:bCs w:val="0"/>
          <w:color w:val="auto"/>
          <w:kern w:val="2"/>
          <w:sz w:val="28"/>
          <w:szCs w:val="28"/>
          <w:u w:val="single"/>
          <w:lang w:val="en-US" w:eastAsia="zh-CN" w:bidi="ar-SA"/>
        </w:rPr>
        <w:t>10:00</w:t>
      </w:r>
      <w:r>
        <w:rPr>
          <w:rFonts w:hint="eastAsia" w:ascii="宋体" w:hAnsi="宋体" w:eastAsia="宋体" w:cs="宋体"/>
          <w:b w:val="0"/>
          <w:bCs w:val="0"/>
          <w:color w:val="auto"/>
          <w:kern w:val="2"/>
          <w:sz w:val="28"/>
          <w:szCs w:val="28"/>
          <w:lang w:val="en-US" w:eastAsia="zh-CN" w:bidi="ar-SA"/>
        </w:rPr>
        <w:t>至</w:t>
      </w:r>
      <w:r>
        <w:rPr>
          <w:rFonts w:hint="eastAsia" w:ascii="宋体" w:hAnsi="宋体" w:eastAsia="宋体" w:cs="宋体"/>
          <w:b w:val="0"/>
          <w:bCs w:val="0"/>
          <w:color w:val="auto"/>
          <w:kern w:val="2"/>
          <w:sz w:val="28"/>
          <w:szCs w:val="28"/>
          <w:u w:val="single"/>
          <w:lang w:val="en-US" w:eastAsia="zh-CN" w:bidi="ar-SA"/>
        </w:rPr>
        <w:t>14:00</w:t>
      </w:r>
      <w:r>
        <w:rPr>
          <w:rFonts w:hint="eastAsia" w:ascii="宋体" w:hAnsi="宋体" w:eastAsia="宋体" w:cs="宋体"/>
          <w:b w:val="0"/>
          <w:bCs w:val="0"/>
          <w:color w:val="auto"/>
          <w:kern w:val="2"/>
          <w:sz w:val="28"/>
          <w:szCs w:val="28"/>
          <w:lang w:val="en-US" w:eastAsia="zh-CN" w:bidi="ar-SA"/>
        </w:rPr>
        <w:t>，下午</w:t>
      </w:r>
      <w:r>
        <w:rPr>
          <w:rFonts w:hint="eastAsia" w:ascii="宋体" w:hAnsi="宋体" w:eastAsia="宋体" w:cs="宋体"/>
          <w:b w:val="0"/>
          <w:bCs w:val="0"/>
          <w:color w:val="auto"/>
          <w:kern w:val="2"/>
          <w:sz w:val="28"/>
          <w:szCs w:val="28"/>
          <w:u w:val="single"/>
          <w:lang w:val="en-US" w:eastAsia="zh-CN" w:bidi="ar-SA"/>
        </w:rPr>
        <w:t>16:00</w:t>
      </w:r>
      <w:r>
        <w:rPr>
          <w:rFonts w:hint="eastAsia" w:ascii="宋体" w:hAnsi="宋体" w:eastAsia="宋体" w:cs="宋体"/>
          <w:b w:val="0"/>
          <w:bCs w:val="0"/>
          <w:color w:val="auto"/>
          <w:kern w:val="2"/>
          <w:sz w:val="28"/>
          <w:szCs w:val="28"/>
          <w:lang w:val="en-US" w:eastAsia="zh-CN" w:bidi="ar-SA"/>
        </w:rPr>
        <w:t>至</w:t>
      </w:r>
      <w:r>
        <w:rPr>
          <w:rFonts w:hint="eastAsia" w:ascii="宋体" w:hAnsi="宋体" w:eastAsia="宋体" w:cs="宋体"/>
          <w:b w:val="0"/>
          <w:bCs w:val="0"/>
          <w:color w:val="auto"/>
          <w:kern w:val="2"/>
          <w:sz w:val="28"/>
          <w:szCs w:val="28"/>
          <w:u w:val="single"/>
          <w:lang w:val="en-US" w:eastAsia="zh-CN" w:bidi="ar-SA"/>
        </w:rPr>
        <w:t>19:30</w:t>
      </w:r>
      <w:r>
        <w:rPr>
          <w:rFonts w:hint="eastAsia" w:ascii="宋体" w:hAnsi="宋体" w:eastAsia="宋体" w:cs="宋体"/>
          <w:b w:val="0"/>
          <w:bCs w:val="0"/>
          <w:color w:val="auto"/>
          <w:kern w:val="2"/>
          <w:sz w:val="28"/>
          <w:szCs w:val="28"/>
          <w:lang w:val="en-US" w:eastAsia="zh-CN" w:bidi="ar-SA"/>
        </w:rPr>
        <w:t>（北京时间，法定节假日除外）</w:t>
      </w:r>
    </w:p>
    <w:p>
      <w:pPr>
        <w:spacing w:line="360" w:lineRule="auto"/>
        <w:ind w:firstLine="54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地点：新疆尚水工程咨询管理有限公司（新疆阿勒泰市解放路14-5号)</w:t>
      </w:r>
    </w:p>
    <w:p>
      <w:pPr>
        <w:spacing w:line="360" w:lineRule="auto"/>
        <w:ind w:firstLine="54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方式：报名参加本项目的投标单位请于规定时间内，携带报名资料，到新疆尚水工程咨询管理有限公司（新疆阿勒泰市解放路14-5号)报名并领取招标文件。</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售价：300元</w:t>
      </w:r>
    </w:p>
    <w:p>
      <w:pPr>
        <w:rPr>
          <w:rFonts w:hint="eastAsia" w:ascii="宋体" w:hAnsi="宋体" w:eastAsia="宋体" w:cs="宋体"/>
          <w:color w:val="auto"/>
          <w:sz w:val="28"/>
          <w:szCs w:val="28"/>
          <w:lang w:val="en-US" w:eastAsia="zh-CN"/>
        </w:rPr>
      </w:pPr>
      <w:bookmarkStart w:id="16" w:name="_Toc28359005"/>
      <w:bookmarkStart w:id="17" w:name="_Toc28359082"/>
      <w:bookmarkStart w:id="18" w:name="_Toc35393793"/>
      <w:bookmarkStart w:id="19" w:name="_Toc35393624"/>
      <w:r>
        <w:rPr>
          <w:rFonts w:hint="eastAsia" w:ascii="宋体" w:hAnsi="宋体" w:eastAsia="宋体" w:cs="宋体"/>
          <w:color w:val="auto"/>
          <w:sz w:val="28"/>
          <w:szCs w:val="28"/>
          <w:lang w:val="en-US" w:eastAsia="zh-CN"/>
        </w:rPr>
        <w:t>四、提交投标文件</w:t>
      </w:r>
      <w:bookmarkEnd w:id="16"/>
      <w:bookmarkEnd w:id="17"/>
      <w:r>
        <w:rPr>
          <w:rFonts w:hint="eastAsia" w:ascii="宋体" w:hAnsi="宋体" w:eastAsia="宋体" w:cs="宋体"/>
          <w:color w:val="auto"/>
          <w:sz w:val="28"/>
          <w:szCs w:val="28"/>
          <w:lang w:val="en-US" w:eastAsia="zh-CN"/>
        </w:rPr>
        <w:t>截止时间、开标时间和地点</w:t>
      </w:r>
      <w:bookmarkEnd w:id="18"/>
      <w:bookmarkEnd w:id="19"/>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时间： 2021年12月</w:t>
      </w:r>
      <w:r>
        <w:rPr>
          <w:rFonts w:hint="eastAsia" w:ascii="宋体" w:hAnsi="宋体" w:cs="宋体"/>
          <w:color w:val="auto"/>
          <w:sz w:val="28"/>
          <w:szCs w:val="28"/>
          <w:lang w:val="en-US" w:eastAsia="zh-CN"/>
        </w:rPr>
        <w:t>06</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16</w:t>
      </w:r>
      <w:r>
        <w:rPr>
          <w:rFonts w:hint="eastAsia" w:ascii="宋体" w:hAnsi="宋体" w:eastAsia="宋体" w:cs="宋体"/>
          <w:color w:val="auto"/>
          <w:sz w:val="28"/>
          <w:szCs w:val="28"/>
          <w:lang w:val="en-US" w:eastAsia="zh-CN"/>
        </w:rPr>
        <w:t>点30分（北京时间）</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地点：新疆尚水咨询管理有限公司二楼会议室</w:t>
      </w:r>
    </w:p>
    <w:p>
      <w:pPr>
        <w:rPr>
          <w:rFonts w:hint="eastAsia" w:ascii="宋体" w:hAnsi="宋体" w:eastAsia="宋体" w:cs="宋体"/>
          <w:color w:val="auto"/>
          <w:sz w:val="28"/>
          <w:szCs w:val="28"/>
          <w:lang w:val="en-US" w:eastAsia="zh-CN"/>
        </w:rPr>
      </w:pPr>
      <w:bookmarkStart w:id="20" w:name="_Toc35393625"/>
      <w:bookmarkStart w:id="21" w:name="_Toc35393794"/>
      <w:bookmarkStart w:id="22" w:name="_Toc28359007"/>
      <w:bookmarkStart w:id="23" w:name="_Toc28359084"/>
      <w:r>
        <w:rPr>
          <w:rFonts w:hint="eastAsia" w:ascii="宋体" w:hAnsi="宋体" w:eastAsia="宋体" w:cs="宋体"/>
          <w:color w:val="auto"/>
          <w:sz w:val="28"/>
          <w:szCs w:val="28"/>
          <w:lang w:val="en-US" w:eastAsia="zh-CN"/>
        </w:rPr>
        <w:t>五、公告期限</w:t>
      </w:r>
      <w:bookmarkEnd w:id="20"/>
      <w:bookmarkEnd w:id="21"/>
      <w:bookmarkEnd w:id="22"/>
      <w:bookmarkEnd w:id="23"/>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自本公告发布之日起5个工作日。</w:t>
      </w:r>
      <w:bookmarkStart w:id="32" w:name="_GoBack"/>
      <w:bookmarkEnd w:id="32"/>
    </w:p>
    <w:p>
      <w:pPr>
        <w:rPr>
          <w:rFonts w:hint="eastAsia" w:ascii="宋体" w:hAnsi="宋体" w:eastAsia="宋体" w:cs="宋体"/>
          <w:color w:val="auto"/>
          <w:sz w:val="28"/>
          <w:szCs w:val="28"/>
          <w:lang w:val="en-US" w:eastAsia="zh-CN"/>
        </w:rPr>
      </w:pPr>
      <w:bookmarkStart w:id="24" w:name="_Toc35393626"/>
      <w:bookmarkStart w:id="25" w:name="_Toc35393795"/>
      <w:r>
        <w:rPr>
          <w:rFonts w:hint="eastAsia" w:ascii="宋体" w:hAnsi="宋体" w:eastAsia="宋体" w:cs="宋体"/>
          <w:color w:val="auto"/>
          <w:sz w:val="28"/>
          <w:szCs w:val="28"/>
          <w:lang w:val="en-US" w:eastAsia="zh-CN"/>
        </w:rPr>
        <w:t>六、其他补充事宜</w:t>
      </w:r>
      <w:bookmarkEnd w:id="24"/>
      <w:bookmarkEnd w:id="25"/>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须提供的报名材料：以下证明文件需提供原件和加盖投标人单位公章的复印件一式三份：①法定代表人身份证原件或法定代表人授权委托书原件及委托代理人身份证原件、委托代理人社保证明；②营业执照原件；③投标企业近一年财务审计报告；④需提供“信用中国”网站和中国政府采购网的查询结果的打印截图（查询日期不早于本公告发布之日）。</w:t>
      </w:r>
    </w:p>
    <w:p>
      <w:pPr>
        <w:rPr>
          <w:rFonts w:hint="eastAsia" w:ascii="宋体" w:hAnsi="宋体" w:eastAsia="宋体" w:cs="宋体"/>
          <w:color w:val="auto"/>
          <w:sz w:val="28"/>
          <w:szCs w:val="28"/>
          <w:lang w:val="en-US" w:eastAsia="zh-CN"/>
        </w:rPr>
      </w:pPr>
      <w:bookmarkStart w:id="26" w:name="_Toc35393796"/>
      <w:bookmarkStart w:id="27" w:name="_Toc28359008"/>
      <w:bookmarkStart w:id="28" w:name="_Toc28359085"/>
      <w:bookmarkStart w:id="29" w:name="_Toc35393627"/>
      <w:r>
        <w:rPr>
          <w:rFonts w:hint="eastAsia" w:ascii="宋体" w:hAnsi="宋体" w:eastAsia="宋体" w:cs="宋体"/>
          <w:color w:val="auto"/>
          <w:sz w:val="28"/>
          <w:szCs w:val="28"/>
          <w:lang w:val="en-US" w:eastAsia="zh-CN"/>
        </w:rPr>
        <w:t>七、对本次招标提出询问，请按以下方式联系。</w:t>
      </w:r>
      <w:bookmarkEnd w:id="26"/>
      <w:bookmarkEnd w:id="27"/>
      <w:bookmarkEnd w:id="28"/>
      <w:bookmarkEnd w:id="29"/>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1.采购人信息</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称：喀纳斯景区管理委员林业局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址：喀纳斯景区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 系 人：王东海</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联系方式：</w:t>
      </w:r>
      <w:bookmarkStart w:id="30" w:name="_Toc28359009"/>
      <w:bookmarkStart w:id="31" w:name="_Toc28359086"/>
      <w:r>
        <w:rPr>
          <w:rFonts w:hint="eastAsia" w:ascii="宋体" w:hAnsi="宋体" w:eastAsia="宋体" w:cs="宋体"/>
          <w:color w:val="auto"/>
          <w:sz w:val="28"/>
          <w:szCs w:val="28"/>
          <w:lang w:val="en-US" w:eastAsia="zh-CN"/>
        </w:rPr>
        <w:t>18799010888</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2.采购代理机构信息</w:t>
      </w:r>
      <w:bookmarkEnd w:id="30"/>
      <w:bookmarkEnd w:id="31"/>
      <w:r>
        <w:rPr>
          <w:rFonts w:hint="eastAsia" w:ascii="宋体" w:hAnsi="宋体" w:eastAsia="宋体" w:cs="宋体"/>
          <w:color w:val="auto"/>
          <w:sz w:val="28"/>
          <w:szCs w:val="28"/>
          <w:lang w:val="en-US" w:eastAsia="zh-CN"/>
        </w:rPr>
        <w:t xml:space="preserve">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称：：新疆尚水工程咨询管理有限公司</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 新疆阿勒泰市解放路14-5号</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联 系 人：沈齐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联系方式：18309060900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3.项目联系方式</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联 系 人：沈齐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联系方式：18309060900 </w:t>
      </w:r>
    </w:p>
    <w:p>
      <w:pPr>
        <w:ind w:firstLine="560" w:firstLineChars="200"/>
        <w:rPr>
          <w:rFonts w:hint="eastAsia" w:ascii="宋体" w:hAnsi="宋体" w:eastAsia="宋体" w:cs="宋体"/>
          <w:color w:val="auto"/>
          <w:sz w:val="28"/>
          <w:szCs w:val="28"/>
        </w:rPr>
      </w:pPr>
    </w:p>
    <w:bookmarkEnd w:id="12"/>
    <w:bookmarkEnd w:id="13"/>
    <w:bookmarkEnd w:id="14"/>
    <w:bookmarkEnd w:id="15"/>
    <w:p>
      <w:pPr>
        <w:ind w:firstLine="560" w:firstLineChars="200"/>
        <w:rPr>
          <w:rFonts w:hint="eastAsia" w:ascii="宋体" w:hAnsi="宋体" w:eastAsia="宋体" w:cs="宋体"/>
          <w:color w:val="auto"/>
          <w:sz w:val="28"/>
          <w:szCs w:val="28"/>
        </w:rPr>
      </w:pPr>
    </w:p>
    <w:p>
      <w:pPr>
        <w:ind w:firstLine="560" w:firstLineChars="200"/>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B127E"/>
    <w:rsid w:val="452B127E"/>
    <w:rsid w:val="4D3E0C47"/>
    <w:rsid w:val="4E2470E3"/>
    <w:rsid w:val="626F0205"/>
    <w:rsid w:val="76546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iPriority w:val="0"/>
    <w:pPr>
      <w:keepNext/>
      <w:keepLines/>
      <w:widowControl w:val="0"/>
      <w:spacing w:before="260" w:beforeLines="0" w:after="260" w:afterLines="0" w:line="415" w:lineRule="auto"/>
      <w:outlineLvl w:val="1"/>
    </w:pPr>
    <w:rPr>
      <w:rFonts w:ascii="Arial" w:hAnsi="Arial" w:eastAsia="黑体" w:cs="Times New Roman"/>
      <w:b/>
      <w:bCs/>
      <w:kern w:val="2"/>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eastAsia="黑体"/>
      <w:b/>
      <w:bCs/>
      <w:spacing w:val="20"/>
      <w:kern w:val="52"/>
      <w:sz w:val="56"/>
    </w:rPr>
  </w:style>
  <w:style w:type="paragraph" w:styleId="3">
    <w:name w:val="Date"/>
    <w:basedOn w:val="1"/>
    <w:next w:val="1"/>
    <w:unhideWhenUsed/>
    <w:qFormat/>
    <w:uiPriority w:val="99"/>
    <w:pPr>
      <w:ind w:left="100" w:leftChars="2500"/>
    </w:p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2021-11-22T09:59:00Z</dcterms:created>
  <dc:creator>马冰蕾</dc:creator>
  <cp:lastModifiedBy>马冰蕾</cp:lastModifiedBy>
  <dcterms:modified xsi:type="dcterms:W3CDTF">2021-11-23T11:08:12Z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67D86B0828314554B1811A37F02E82CC</vt:lpwstr>
  </property>
</Properties>
</file>