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木垒县鸣沙山胡杨林景区建设项目（天文设备采购项目）</w:t>
      </w:r>
      <w:r>
        <w:rPr>
          <w:rFonts w:hint="eastAsia" w:ascii="仿宋_GB2312" w:hAnsi="仿宋_GB2312" w:eastAsia="仿宋_GB2312" w:cs="仿宋_GB2312"/>
          <w:b/>
          <w:bCs/>
          <w:sz w:val="36"/>
          <w:szCs w:val="36"/>
          <w:lang w:val="en-US" w:eastAsia="zh-CN"/>
        </w:rPr>
        <w:t>招标</w:t>
      </w:r>
      <w:r>
        <w:rPr>
          <w:rFonts w:hint="eastAsia" w:ascii="仿宋_GB2312" w:hAnsi="仿宋_GB2312" w:eastAsia="仿宋_GB2312" w:cs="仿宋_GB2312"/>
          <w:b/>
          <w:bCs/>
          <w:sz w:val="36"/>
          <w:szCs w:val="36"/>
          <w:lang w:eastAsia="zh-CN"/>
        </w:rPr>
        <w:t>公告</w:t>
      </w:r>
    </w:p>
    <w:p>
      <w:pPr>
        <w:pStyle w:val="2"/>
        <w:rPr>
          <w:rFonts w:hint="eastAsia"/>
          <w:lang w:eastAsia="zh-CN"/>
        </w:rPr>
      </w:pPr>
    </w:p>
    <w:tbl>
      <w:tblPr>
        <w:tblStyle w:val="6"/>
        <w:tblW w:w="8522"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8522" w:type="dxa"/>
            <w:tcBorders>
              <w:tl2br w:val="nil"/>
              <w:tr2bl w:val="nil"/>
            </w:tcBorders>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项目概况</w:t>
            </w:r>
            <w:r>
              <w:rPr>
                <w:rFonts w:hint="eastAsia" w:ascii="仿宋" w:hAnsi="仿宋" w:eastAsia="仿宋" w:cs="仿宋"/>
                <w:color w:val="000000" w:themeColor="text1"/>
                <w:sz w:val="24"/>
                <w:szCs w:val="24"/>
                <w14:textFill>
                  <w14:solidFill>
                    <w14:schemeClr w14:val="tx1"/>
                  </w14:solidFill>
                </w14:textFill>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木垒县鸣沙山胡杨林景区建设项目（天文设备采购项目）</w:t>
            </w:r>
            <w:r>
              <w:rPr>
                <w:rFonts w:hint="eastAsia" w:ascii="仿宋" w:hAnsi="仿宋" w:eastAsia="仿宋" w:cs="仿宋"/>
                <w:color w:val="000000" w:themeColor="text1"/>
                <w:sz w:val="24"/>
                <w:szCs w:val="24"/>
                <w14:textFill>
                  <w14:solidFill>
                    <w14:schemeClr w14:val="tx1"/>
                  </w14:solidFill>
                </w14:textFill>
              </w:rPr>
              <w:t>的潜在投标人应在</w:t>
            </w:r>
            <w:r>
              <w:rPr>
                <w:rFonts w:hint="eastAsia" w:ascii="仿宋" w:hAnsi="仿宋" w:eastAsia="仿宋" w:cs="仿宋"/>
                <w:color w:val="000000" w:themeColor="text1"/>
                <w:sz w:val="24"/>
                <w:szCs w:val="24"/>
                <w:lang w:eastAsia="zh-CN"/>
                <w14:textFill>
                  <w14:solidFill>
                    <w14:schemeClr w14:val="tx1"/>
                  </w14:solidFill>
                </w14:textFill>
              </w:rPr>
              <w:t>在政采云平台https://www.zcygov.cn/获取招标文件，并于2021年12月</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日 11：</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lang w:eastAsia="zh-CN"/>
                <w14:textFill>
                  <w14:solidFill>
                    <w14:schemeClr w14:val="tx1"/>
                  </w14:solidFill>
                </w14:textFill>
              </w:rPr>
              <w:t>0（北京时间）前递交投标文件。</w:t>
            </w:r>
          </w:p>
        </w:tc>
      </w:tr>
    </w:tbl>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一、项目基本情况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项目编号：</w:t>
      </w:r>
      <w:r>
        <w:rPr>
          <w:rFonts w:hint="eastAsia" w:ascii="仿宋" w:hAnsi="仿宋" w:eastAsia="仿宋" w:cs="仿宋"/>
          <w:sz w:val="24"/>
          <w:szCs w:val="24"/>
          <w:lang w:val="en-US" w:eastAsia="zh-CN"/>
        </w:rPr>
        <w:t>YM</w:t>
      </w:r>
      <w:r>
        <w:rPr>
          <w:rFonts w:hint="eastAsia" w:ascii="仿宋" w:hAnsi="仿宋" w:eastAsia="仿宋" w:cs="仿宋"/>
          <w:sz w:val="24"/>
          <w:szCs w:val="24"/>
        </w:rPr>
        <w:t>ZB-2021-</w:t>
      </w:r>
      <w:r>
        <w:rPr>
          <w:rFonts w:hint="eastAsia" w:ascii="仿宋" w:hAnsi="仿宋" w:eastAsia="仿宋" w:cs="仿宋"/>
          <w:sz w:val="24"/>
          <w:szCs w:val="24"/>
          <w:lang w:val="en-US" w:eastAsia="zh-CN"/>
        </w:rPr>
        <w:t>14</w:t>
      </w:r>
      <w:r>
        <w:rPr>
          <w:rFonts w:hint="eastAsia" w:ascii="仿宋" w:hAnsi="仿宋" w:eastAsia="仿宋" w:cs="仿宋"/>
          <w:sz w:val="24"/>
          <w:szCs w:val="24"/>
        </w:rPr>
        <w:t>-CG</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木垒县鸣沙山胡杨林景区建设项目（天文设备采购项目）</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采购方式：</w:t>
      </w:r>
      <w:r>
        <w:rPr>
          <w:rFonts w:hint="eastAsia" w:ascii="仿宋" w:hAnsi="仿宋" w:eastAsia="仿宋" w:cs="仿宋"/>
          <w:sz w:val="24"/>
          <w:szCs w:val="24"/>
          <w:lang w:val="en-US" w:eastAsia="zh-CN"/>
        </w:rPr>
        <w:t>公开招标</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sz w:val="24"/>
          <w:szCs w:val="24"/>
        </w:rPr>
        <w:t>预算金额（元）</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3200000.00</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最高限价（元）：3100000.00</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采购需求：</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标项名称:木垒县鸣沙山胡杨林景区建设项目（天文设备采购项目）</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数量:不限</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预算金额（元）:3200000.00</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简要规格描述或项目基本概况介绍、用途：购置天文望远镜、天文专业电脑及软件、直播设备、展品商品、教学及展示设备等（具体内容详见招标文件）。</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备注：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合同履约期限：</w:t>
      </w:r>
      <w:r>
        <w:rPr>
          <w:rFonts w:hint="default" w:ascii="仿宋" w:hAnsi="仿宋" w:eastAsia="仿宋" w:cs="仿宋"/>
          <w:color w:val="000000" w:themeColor="text1"/>
          <w:kern w:val="0"/>
          <w:sz w:val="24"/>
          <w:szCs w:val="24"/>
          <w:highlight w:val="none"/>
          <w:lang w:val="en-US" w:eastAsia="zh-CN" w:bidi="ar-SA"/>
          <w14:textFill>
            <w14:solidFill>
              <w14:schemeClr w14:val="tx1"/>
            </w14:solidFill>
          </w14:textFill>
        </w:rPr>
        <w:t>合同签订后</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90</w:t>
      </w:r>
      <w:r>
        <w:rPr>
          <w:rFonts w:hint="default" w:ascii="仿宋" w:hAnsi="仿宋" w:eastAsia="仿宋" w:cs="仿宋"/>
          <w:color w:val="000000" w:themeColor="text1"/>
          <w:kern w:val="0"/>
          <w:sz w:val="24"/>
          <w:szCs w:val="24"/>
          <w:highlight w:val="none"/>
          <w:lang w:val="en-US" w:eastAsia="zh-CN" w:bidi="ar-SA"/>
          <w14:textFill>
            <w14:solidFill>
              <w14:schemeClr w14:val="tx1"/>
            </w14:solidFill>
          </w14:textFill>
        </w:rPr>
        <w:t>天内交货</w:t>
      </w:r>
      <w:r>
        <w:rPr>
          <w:rFonts w:hint="default" w:ascii="仿宋_GB2312" w:hAnsi="宋体" w:eastAsia="仿宋_GB2312" w:cs="仿宋_GB2312"/>
          <w:i w:val="0"/>
          <w:iCs w:val="0"/>
          <w:caps w:val="0"/>
          <w:color w:val="383838"/>
          <w:spacing w:val="0"/>
          <w:sz w:val="24"/>
          <w:szCs w:val="24"/>
          <w:shd w:val="clear" w:fill="FFFFFF"/>
          <w:vertAlign w:val="baseline"/>
        </w:rPr>
        <w:t>，</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具体时间甲乙双方自行约定。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本项目（否）接受联合体投标。</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firstLine="0"/>
        <w:jc w:val="both"/>
        <w:textAlignment w:val="baseline"/>
        <w:rPr>
          <w:rFonts w:hint="default"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1.满足《中华人民共和国政府采购法》第二十二条规定</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1.1</w:t>
      </w:r>
      <w:r>
        <w:rPr>
          <w:rFonts w:hint="default" w:ascii="仿宋" w:hAnsi="仿宋" w:eastAsia="仿宋" w:cs="仿宋"/>
          <w:color w:val="000000" w:themeColor="text1"/>
          <w:sz w:val="24"/>
          <w:szCs w:val="24"/>
          <w14:textFill>
            <w14:solidFill>
              <w14:schemeClr w14:val="tx1"/>
            </w14:solidFill>
          </w14:textFill>
        </w:rPr>
        <w:t>具有独立承担民事责任的能力;</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default" w:ascii="仿宋" w:hAnsi="仿宋" w:eastAsia="仿宋" w:cs="仿宋"/>
          <w:color w:val="000000" w:themeColor="text1"/>
          <w:sz w:val="24"/>
          <w:szCs w:val="24"/>
          <w14:textFill>
            <w14:solidFill>
              <w14:schemeClr w14:val="tx1"/>
            </w14:solidFill>
          </w14:textFill>
        </w:rPr>
        <w:t>具有良好的商业信誉和健全的财务会计制度;</w:t>
      </w:r>
      <w:r>
        <w:rPr>
          <w:rFonts w:hint="eastAsia" w:ascii="仿宋" w:hAnsi="仿宋" w:eastAsia="仿宋" w:cs="仿宋"/>
          <w:color w:val="000000" w:themeColor="text1"/>
          <w:sz w:val="24"/>
          <w:szCs w:val="24"/>
          <w:lang w:val="en-US" w:eastAsia="zh-CN"/>
          <w14:textFill>
            <w14:solidFill>
              <w14:schemeClr w14:val="tx1"/>
            </w14:solidFill>
          </w14:textFill>
        </w:rPr>
        <w:t>1.3</w:t>
      </w:r>
      <w:r>
        <w:rPr>
          <w:rFonts w:hint="default" w:ascii="仿宋" w:hAnsi="仿宋" w:eastAsia="仿宋" w:cs="仿宋"/>
          <w:color w:val="000000" w:themeColor="text1"/>
          <w:sz w:val="24"/>
          <w:szCs w:val="24"/>
          <w14:textFill>
            <w14:solidFill>
              <w14:schemeClr w14:val="tx1"/>
            </w14:solidFill>
          </w14:textFill>
        </w:rPr>
        <w:t>具有履行合同所必需的设备和专业技术能力;</w:t>
      </w:r>
      <w:r>
        <w:rPr>
          <w:rFonts w:hint="eastAsia" w:ascii="仿宋" w:hAnsi="仿宋" w:eastAsia="仿宋" w:cs="仿宋"/>
          <w:color w:val="000000" w:themeColor="text1"/>
          <w:sz w:val="24"/>
          <w:szCs w:val="24"/>
          <w:lang w:val="en-US" w:eastAsia="zh-CN"/>
          <w14:textFill>
            <w14:solidFill>
              <w14:schemeClr w14:val="tx1"/>
            </w14:solidFill>
          </w14:textFill>
        </w:rPr>
        <w:t>1.4</w:t>
      </w:r>
      <w:r>
        <w:rPr>
          <w:rFonts w:hint="default" w:ascii="仿宋" w:hAnsi="仿宋" w:eastAsia="仿宋" w:cs="仿宋"/>
          <w:color w:val="000000" w:themeColor="text1"/>
          <w:sz w:val="24"/>
          <w:szCs w:val="24"/>
          <w14:textFill>
            <w14:solidFill>
              <w14:schemeClr w14:val="tx1"/>
            </w14:solidFill>
          </w14:textFill>
        </w:rPr>
        <w:t>有依法缴纳税收和社会保障资金的良好记录;</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default" w:ascii="仿宋" w:hAnsi="仿宋" w:eastAsia="仿宋" w:cs="仿宋"/>
          <w:color w:val="000000" w:themeColor="text1"/>
          <w:sz w:val="24"/>
          <w:szCs w:val="24"/>
          <w14:textFill>
            <w14:solidFill>
              <w14:schemeClr w14:val="tx1"/>
            </w14:solidFill>
          </w14:textFill>
        </w:rPr>
        <w:t>参加政府采购活动前三年内，在经营活动中没有重大违法记录;</w:t>
      </w:r>
      <w:r>
        <w:rPr>
          <w:rFonts w:hint="eastAsia" w:ascii="仿宋" w:hAnsi="仿宋" w:eastAsia="仿宋" w:cs="仿宋"/>
          <w:color w:val="000000" w:themeColor="text1"/>
          <w:sz w:val="24"/>
          <w:szCs w:val="24"/>
          <w:lang w:val="en-US" w:eastAsia="zh-CN"/>
          <w14:textFill>
            <w14:solidFill>
              <w14:schemeClr w14:val="tx1"/>
            </w14:solidFill>
          </w14:textFill>
        </w:rPr>
        <w:t>1.6</w:t>
      </w:r>
      <w:r>
        <w:rPr>
          <w:rFonts w:hint="default" w:ascii="仿宋" w:hAnsi="仿宋" w:eastAsia="仿宋" w:cs="仿宋"/>
          <w:color w:val="000000" w:themeColor="text1"/>
          <w:sz w:val="24"/>
          <w:szCs w:val="24"/>
          <w14:textFill>
            <w14:solidFill>
              <w14:schemeClr w14:val="tx1"/>
            </w14:solidFill>
          </w14:textFill>
        </w:rPr>
        <w:t>法律、行政法规规定的其他条件。</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2.落实政府采购政策需满足的资格要求：2.1财政部、国家发展改革委《关于印发《节能产品政府采购实施意见》的通知》（财库[2004]185号文）； 2.2《财政部、环保总局关于环境标志产品政府采购实施的意见》（财库[2006]90号）；2.3《国务院办公厅关于建立政府强制采购节能产品制度的通知》（国办发[2007]51号）；2.4《关于调整优化节能产品、环境标志产品政府采购执行机制的通知》（财库[2019]9号）；2.5财政部、工业和信息化部《关于印发《政府采购促进中小企业展暂行办法》的通知》（财库[2011]181号文）；2.6 财政部、民政部、中国残疾人联合会《关于促进残疾人就业政府采购政策的通知》（财库[2017]141号）；2.7财政部、司法部《关于政府采购支持监狱企业发展有关问题的通知》（财库[2014]68号文）。</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3.本项目的特定资格要求：</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(1)符合《中华人民共和国政府采购法》第二十二条规定条件。 </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(2)供应商需在中华人民共和国境内注册，具有信誉良好的独立法人资格，事业单位法人证书或工商营业执照通过年检合格有效</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且营业执照经营范围符合本次招标相关要求。</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)不允许进口产品参加本项目的采购活动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)供应商</w:t>
      </w:r>
      <w:r>
        <w:rPr>
          <w:rFonts w:hint="eastAsia" w:ascii="仿宋" w:hAnsi="仿宋" w:eastAsia="仿宋" w:cs="仿宋"/>
          <w:color w:val="000000" w:themeColor="text1"/>
          <w:sz w:val="24"/>
          <w:szCs w:val="24"/>
          <w:lang w:val="en-US" w:eastAsia="zh-CN"/>
          <w14:textFill>
            <w14:solidFill>
              <w14:schemeClr w14:val="tx1"/>
            </w14:solidFill>
          </w14:textFill>
        </w:rPr>
        <w:t>近三年</w:t>
      </w:r>
      <w:r>
        <w:rPr>
          <w:rFonts w:hint="eastAsia" w:ascii="仿宋" w:hAnsi="仿宋" w:eastAsia="仿宋" w:cs="仿宋"/>
          <w:color w:val="000000" w:themeColor="text1"/>
          <w:sz w:val="24"/>
          <w:szCs w:val="24"/>
          <w14:textFill>
            <w14:solidFill>
              <w14:schemeClr w14:val="tx1"/>
            </w14:solidFill>
          </w14:textFill>
        </w:rPr>
        <w:t>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以网页</w:t>
      </w:r>
      <w:r>
        <w:rPr>
          <w:rFonts w:hint="eastAsia" w:ascii="仿宋" w:hAnsi="仿宋" w:eastAsia="仿宋" w:cs="仿宋"/>
          <w:color w:val="000000" w:themeColor="text1"/>
          <w:sz w:val="24"/>
          <w:szCs w:val="24"/>
          <w:lang w:val="en-US" w:eastAsia="zh-CN"/>
          <w14:textFill>
            <w14:solidFill>
              <w14:schemeClr w14:val="tx1"/>
            </w14:solidFill>
          </w14:textFill>
        </w:rPr>
        <w:t>打印</w:t>
      </w:r>
      <w:r>
        <w:rPr>
          <w:rFonts w:hint="eastAsia" w:ascii="仿宋" w:hAnsi="仿宋" w:eastAsia="仿宋" w:cs="仿宋"/>
          <w:color w:val="000000" w:themeColor="text1"/>
          <w:sz w:val="24"/>
          <w:szCs w:val="24"/>
          <w14:textFill>
            <w14:solidFill>
              <w14:schemeClr w14:val="tx1"/>
            </w14:solidFill>
          </w14:textFill>
        </w:rPr>
        <w:t>（需显示查询时间</w:t>
      </w:r>
      <w:r>
        <w:rPr>
          <w:rFonts w:hint="eastAsia" w:ascii="仿宋" w:hAnsi="仿宋" w:eastAsia="仿宋" w:cs="仿宋"/>
          <w:color w:val="000000" w:themeColor="text1"/>
          <w:sz w:val="24"/>
          <w:szCs w:val="24"/>
          <w:lang w:val="en-US" w:eastAsia="zh-CN"/>
          <w14:textFill>
            <w14:solidFill>
              <w14:schemeClr w14:val="tx1"/>
            </w14:solidFill>
          </w14:textFill>
        </w:rPr>
        <w:t>及网址</w:t>
      </w:r>
      <w:r>
        <w:rPr>
          <w:rFonts w:hint="eastAsia" w:ascii="仿宋" w:hAnsi="仿宋" w:eastAsia="仿宋" w:cs="仿宋"/>
          <w:color w:val="000000" w:themeColor="text1"/>
          <w:sz w:val="24"/>
          <w:szCs w:val="24"/>
          <w14:textFill>
            <w14:solidFill>
              <w14:schemeClr w14:val="tx1"/>
            </w14:solidFill>
          </w14:textFill>
        </w:rPr>
        <w:t>）加盖供应商公章为准。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)单位负责人为同一人或者存在直接控股、管理关系的不同供应商，不得参加同一合同项下的政府采购活动。 除单一来源采购项目外，为采购项目提供整体设计、规范编制或者项目管理、监理、检测等服务的供应商，不得再参加该采购项目的其他采购活动。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三、获取</w:t>
      </w:r>
      <w:r>
        <w:rPr>
          <w:rFonts w:hint="eastAsia" w:ascii="仿宋" w:hAnsi="仿宋" w:eastAsia="仿宋" w:cs="仿宋"/>
          <w:b/>
          <w:bCs/>
          <w:color w:val="000000" w:themeColor="text1"/>
          <w:sz w:val="24"/>
          <w:szCs w:val="24"/>
          <w:lang w:eastAsia="zh-CN"/>
          <w14:textFill>
            <w14:solidFill>
              <w14:schemeClr w14:val="tx1"/>
            </w14:solidFill>
          </w14:textFill>
        </w:rPr>
        <w:t>采购</w:t>
      </w:r>
      <w:r>
        <w:rPr>
          <w:rFonts w:hint="eastAsia" w:ascii="仿宋" w:hAnsi="仿宋" w:eastAsia="仿宋" w:cs="仿宋"/>
          <w:b/>
          <w:bCs/>
          <w:color w:val="000000" w:themeColor="text1"/>
          <w:sz w:val="24"/>
          <w:szCs w:val="24"/>
          <w14:textFill>
            <w14:solidFill>
              <w14:schemeClr w14:val="tx1"/>
            </w14:solidFill>
          </w14:textFill>
        </w:rPr>
        <w:t>文件</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3.1时间：2021年11月1</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日至2021年11月1</w:t>
      </w:r>
      <w:r>
        <w:rPr>
          <w:rFonts w:hint="eastAsia" w:ascii="仿宋" w:hAnsi="仿宋" w:eastAsia="仿宋" w:cs="仿宋"/>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14:textFill>
            <w14:solidFill>
              <w14:schemeClr w14:val="tx1"/>
            </w14:solidFill>
          </w14:textFill>
        </w:rPr>
        <w:t>日，每天上午10:00至14:00，下午15:30至19:00（北京时间，法定节假日除外）</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3.2地点：政采云平台https://www.zcygov.cn/</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3.3方式：投标单位登陆政采云平台https://www.zcygov.cn/在线申请获取招标文件（登录政府采购云平台→采购项目→获取采购文件→申请），审核通过后可下载招标文件，如有操作性问题，可与政采云在线客服进行咨询，咨询电话400-881-7190或加入“政采云新疆网超供应商服务十七群”群得钉钉号：32569183。</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3.4获取采购文件应上传：法人授权委托书（提供法人及委托人身份证，加盖单位公章，法人及委托人签章）、被委托人须为在职人员，且提供近半年被委托人社保缴费明细、若单位法人报名，需上传法人证明、法人身份证复印件、企业近半年社保缴费明细，营业执照，“信用中国”网站及“中国政府采购网”查询结果。以上资料必须加盖单位公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3.5售价：200元/份，售后不退（开标现场缴纳招标文件费）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w:t>
      </w:r>
      <w:r>
        <w:rPr>
          <w:rFonts w:hint="eastAsia" w:ascii="仿宋" w:hAnsi="仿宋" w:eastAsia="仿宋" w:cs="仿宋"/>
          <w:b/>
          <w:bCs/>
          <w:color w:val="000000" w:themeColor="text1"/>
          <w:sz w:val="24"/>
          <w:szCs w:val="24"/>
          <w:lang w:val="en-US" w:eastAsia="zh-CN"/>
          <w14:textFill>
            <w14:solidFill>
              <w14:schemeClr w14:val="tx1"/>
            </w14:solidFill>
          </w14:textFill>
        </w:rPr>
        <w:t>响应文件提交</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截止时间：2021年</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日 1</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00</w:t>
      </w:r>
      <w:r>
        <w:rPr>
          <w:rFonts w:hint="eastAsia" w:ascii="仿宋" w:hAnsi="仿宋" w:eastAsia="仿宋" w:cs="仿宋"/>
          <w:color w:val="000000" w:themeColor="text1"/>
          <w:sz w:val="24"/>
          <w:szCs w:val="24"/>
          <w14:textFill>
            <w14:solidFill>
              <w14:schemeClr w14:val="tx1"/>
            </w14:solidFill>
          </w14:textFill>
        </w:rPr>
        <w:t>（北京时间）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地点：电子投标文件：投标人应将电子投标文件上传到“政采云（https://www.zcygov.cn/）”平台。 纸质投标文件：投标文件三份（一正两副）以密封形式递交至昌吉州公共资源交易大厅三厅（昌吉市宁边西路与世纪大道交汇处，科技馆负一层）</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五、响应文件开启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开启</w:t>
      </w:r>
      <w:r>
        <w:rPr>
          <w:rFonts w:hint="eastAsia" w:ascii="仿宋" w:hAnsi="仿宋" w:eastAsia="仿宋" w:cs="仿宋"/>
          <w:color w:val="000000" w:themeColor="text1"/>
          <w:sz w:val="24"/>
          <w:szCs w:val="24"/>
          <w14:textFill>
            <w14:solidFill>
              <w14:schemeClr w14:val="tx1"/>
            </w14:solidFill>
          </w14:textFill>
        </w:rPr>
        <w:t>时间：2021年</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日 1</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00</w:t>
      </w:r>
      <w:r>
        <w:rPr>
          <w:rFonts w:hint="eastAsia" w:ascii="仿宋" w:hAnsi="仿宋" w:eastAsia="仿宋" w:cs="仿宋"/>
          <w:color w:val="000000" w:themeColor="text1"/>
          <w:sz w:val="24"/>
          <w:szCs w:val="24"/>
          <w14:textFill>
            <w14:solidFill>
              <w14:schemeClr w14:val="tx1"/>
            </w14:solidFill>
          </w14:textFill>
        </w:rPr>
        <w:t>（北京时间）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地点：电子投标文件：投标人应将电子投标文件上传到“政采云（https://www.zcygov.cn/）”平台。 纸质投标文件：投标文件三份（一正两副）以密封形式递交至昌吉州公共资源交易大厅三厅（昌吉市宁边西路与世纪大道交汇处，科技馆负一层）</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六</w:t>
      </w:r>
      <w:r>
        <w:rPr>
          <w:rFonts w:hint="eastAsia" w:ascii="仿宋" w:hAnsi="仿宋" w:eastAsia="仿宋" w:cs="仿宋"/>
          <w:b/>
          <w:bCs/>
          <w:color w:val="000000" w:themeColor="text1"/>
          <w:sz w:val="24"/>
          <w:szCs w:val="24"/>
          <w14:textFill>
            <w14:solidFill>
              <w14:schemeClr w14:val="tx1"/>
            </w14:solidFill>
          </w14:textFill>
        </w:rPr>
        <w:t>、公告期限</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自本公告发布之日起</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个工作日。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七</w:t>
      </w:r>
      <w:r>
        <w:rPr>
          <w:rFonts w:hint="eastAsia" w:ascii="仿宋" w:hAnsi="仿宋" w:eastAsia="仿宋" w:cs="仿宋"/>
          <w:b/>
          <w:bCs/>
          <w:color w:val="000000" w:themeColor="text1"/>
          <w:sz w:val="24"/>
          <w:szCs w:val="24"/>
          <w14:textFill>
            <w14:solidFill>
              <w14:schemeClr w14:val="tx1"/>
            </w14:solidFill>
          </w14:textFill>
        </w:rPr>
        <w:t>、其他补充事宜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、需缴纳投标保证金：</w:t>
      </w:r>
      <w:r>
        <w:rPr>
          <w:rFonts w:hint="eastAsia" w:ascii="仿宋" w:hAnsi="仿宋" w:eastAsia="仿宋" w:cs="仿宋"/>
          <w:color w:val="000000" w:themeColor="text1"/>
          <w:sz w:val="24"/>
          <w:szCs w:val="24"/>
          <w:highlight w:val="none"/>
          <w:lang w:val="en-US" w:eastAsia="zh-CN"/>
          <w14:textFill>
            <w14:solidFill>
              <w14:schemeClr w14:val="tx1"/>
            </w14:solidFill>
          </w14:textFill>
        </w:rPr>
        <w:t>陆万元整</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60000</w:t>
      </w:r>
      <w:r>
        <w:rPr>
          <w:rFonts w:hint="eastAsia" w:ascii="仿宋" w:hAnsi="仿宋" w:eastAsia="仿宋" w:cs="仿宋"/>
          <w:color w:val="000000" w:themeColor="text1"/>
          <w:sz w:val="24"/>
          <w:szCs w:val="24"/>
          <w:highlight w:val="none"/>
          <w14:textFill>
            <w14:solidFill>
              <w14:schemeClr w14:val="tx1"/>
            </w14:solidFill>
          </w14:textFill>
        </w:rPr>
        <w:t>元）</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投标保证金的缴纳时间为（2021年</w:t>
      </w:r>
      <w:r>
        <w:rPr>
          <w:rFonts w:hint="eastAsia" w:ascii="仿宋" w:hAnsi="仿宋" w:eastAsia="仿宋" w:cs="仿宋"/>
          <w:color w:val="000000" w:themeColor="text1"/>
          <w:sz w:val="24"/>
          <w:szCs w:val="24"/>
          <w:lang w:val="en-US" w:eastAsia="zh-CN"/>
          <w14:textFill>
            <w14:solidFill>
              <w14:schemeClr w14:val="tx1"/>
            </w14:solidFill>
          </w14:textFill>
        </w:rPr>
        <w:t>11</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日10:00时－2021年</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日1</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0分），投标人应充分考虑资金到账时间，在规定的时限前自行办妥投标保证金缴纳手续，投标保证金的缴付时间以电汇凭证和网银对账单上的时间为准，超过缴纳的时限缴纳投标保证金视为</w:t>
      </w:r>
      <w:r>
        <w:rPr>
          <w:rFonts w:hint="eastAsia" w:ascii="仿宋" w:hAnsi="仿宋" w:eastAsia="仿宋" w:cs="仿宋"/>
          <w:color w:val="000000" w:themeColor="text1"/>
          <w:sz w:val="24"/>
          <w:szCs w:val="24"/>
          <w:lang w:val="en-US" w:eastAsia="zh-CN"/>
          <w14:textFill>
            <w14:solidFill>
              <w14:schemeClr w14:val="tx1"/>
            </w14:solidFill>
          </w14:textFill>
        </w:rPr>
        <w:t>投标</w:t>
      </w:r>
      <w:r>
        <w:rPr>
          <w:rFonts w:hint="eastAsia" w:ascii="仿宋" w:hAnsi="仿宋" w:eastAsia="仿宋" w:cs="仿宋"/>
          <w:color w:val="000000" w:themeColor="text1"/>
          <w:sz w:val="24"/>
          <w:szCs w:val="24"/>
          <w14:textFill>
            <w14:solidFill>
              <w14:schemeClr w14:val="tx1"/>
            </w14:solidFill>
          </w14:textFill>
        </w:rPr>
        <w:t>无效。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color w:val="000000" w:themeColor="text1"/>
          <w:sz w:val="24"/>
          <w:szCs w:val="24"/>
          <w:lang w:val="en-US" w:eastAsia="zh-CN"/>
          <w14:textFill>
            <w14:solidFill>
              <w14:schemeClr w14:val="tx1"/>
            </w14:solidFill>
          </w14:textFill>
        </w:rPr>
        <w:t>7.2、</w:t>
      </w:r>
      <w:r>
        <w:rPr>
          <w:rFonts w:hint="eastAsia" w:ascii="仿宋" w:hAnsi="仿宋" w:eastAsia="仿宋" w:cs="仿宋"/>
          <w:color w:val="000000" w:themeColor="text1"/>
          <w:sz w:val="24"/>
          <w:szCs w:val="24"/>
          <w14:textFill>
            <w14:solidFill>
              <w14:schemeClr w14:val="tx1"/>
            </w14:solidFill>
          </w14:textFill>
        </w:rPr>
        <w:t>投标保证金必须由投标单位基本帐户</w:t>
      </w:r>
      <w:r>
        <w:rPr>
          <w:rFonts w:hint="eastAsia" w:ascii="仿宋" w:hAnsi="仿宋" w:eastAsia="仿宋" w:cs="仿宋"/>
          <w:sz w:val="24"/>
          <w:szCs w:val="24"/>
        </w:rPr>
        <w:t>汇至</w:t>
      </w:r>
      <w:r>
        <w:rPr>
          <w:rFonts w:hint="eastAsia" w:ascii="仿宋" w:hAnsi="仿宋" w:eastAsia="仿宋" w:cs="仿宋"/>
          <w:sz w:val="24"/>
          <w:szCs w:val="24"/>
          <w:lang w:eastAsia="zh-CN"/>
        </w:rPr>
        <w:t>新疆宇迈工程咨询有限公司</w:t>
      </w:r>
      <w:r>
        <w:rPr>
          <w:rFonts w:hint="eastAsia" w:ascii="仿宋" w:hAnsi="仿宋" w:eastAsia="仿宋" w:cs="仿宋"/>
          <w:sz w:val="24"/>
          <w:szCs w:val="24"/>
        </w:rPr>
        <w:t>（账户单位：</w:t>
      </w:r>
      <w:r>
        <w:rPr>
          <w:rFonts w:hint="eastAsia" w:ascii="仿宋" w:hAnsi="仿宋" w:eastAsia="仿宋" w:cs="仿宋"/>
          <w:sz w:val="24"/>
          <w:szCs w:val="24"/>
          <w:lang w:eastAsia="zh-CN"/>
        </w:rPr>
        <w:t>新疆宇迈工程咨询有限公司，</w:t>
      </w:r>
      <w:r>
        <w:rPr>
          <w:rFonts w:hint="eastAsia" w:ascii="仿宋" w:hAnsi="仿宋" w:eastAsia="仿宋" w:cs="仿宋"/>
          <w:sz w:val="24"/>
          <w:szCs w:val="24"/>
        </w:rPr>
        <w:t>开户行：新疆昌吉农村商业银行股份有限公司农业园区支行，账号：806260012010102096085），不得以现金和其他形式缴纳，不得以分公司、办事处或其他机构名义缴纳，投标人在缴纳投标保证金时，需在进帐凭证上明确资金用途和项目名称，并注明联系人及电话，以便查对核实。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7.3、需要投标人在“政采云（https://www.zcygov.cn/）”平台上传电子投标文件，并在投标截止时间前在开标现场按招标文件要求递交纸质投标文件三份（一正两副），且纸质投标文件内容与电子投标文件完全一致，缺一不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、发布公告的媒介：本次招标公告在</w:t>
      </w:r>
      <w:r>
        <w:rPr>
          <w:rFonts w:hint="eastAsia" w:ascii="仿宋" w:hAnsi="仿宋" w:eastAsia="仿宋" w:cs="仿宋"/>
          <w:sz w:val="24"/>
          <w:szCs w:val="24"/>
          <w:lang w:eastAsia="zh-CN"/>
        </w:rPr>
        <w:t>新疆政府采购网、昌吉州公共资源交易网</w:t>
      </w:r>
      <w:r>
        <w:rPr>
          <w:rFonts w:hint="eastAsia" w:ascii="仿宋" w:hAnsi="仿宋" w:eastAsia="仿宋" w:cs="仿宋"/>
          <w:sz w:val="24"/>
          <w:szCs w:val="24"/>
          <w:lang w:val="en-US" w:eastAsia="zh-CN"/>
        </w:rPr>
        <w:t>上</w:t>
      </w:r>
      <w:r>
        <w:rPr>
          <w:rFonts w:hint="eastAsia" w:ascii="仿宋" w:hAnsi="仿宋" w:eastAsia="仿宋" w:cs="仿宋"/>
          <w:sz w:val="24"/>
          <w:szCs w:val="24"/>
        </w:rPr>
        <w:t>发布。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、对本次采购提出询问，请按以下方式联系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名 称：</w:t>
      </w:r>
      <w:r>
        <w:rPr>
          <w:rFonts w:hint="eastAsia" w:ascii="仿宋" w:hAnsi="仿宋" w:eastAsia="仿宋" w:cs="仿宋"/>
          <w:sz w:val="24"/>
          <w:szCs w:val="24"/>
          <w:lang w:val="en-US" w:eastAsia="zh-CN"/>
        </w:rPr>
        <w:t>木垒哈萨克自治县文化体育广播电视和旅游局</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地 址：</w:t>
      </w:r>
      <w:r>
        <w:rPr>
          <w:rFonts w:hint="eastAsia" w:ascii="仿宋" w:hAnsi="仿宋" w:eastAsia="仿宋" w:cs="仿宋"/>
          <w:sz w:val="24"/>
          <w:szCs w:val="24"/>
          <w:lang w:val="en-US" w:eastAsia="zh-CN"/>
        </w:rPr>
        <w:t>木垒哈萨克自治县文化体育广播电视和旅游局</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13779257881</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新疆宇迈工程咨询有限公司</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地 址：新疆昌吉回族自治州昌吉市屯河路时代广场A座1</w:t>
      </w:r>
      <w:r>
        <w:rPr>
          <w:rFonts w:hint="eastAsia" w:ascii="仿宋" w:hAnsi="仿宋" w:eastAsia="仿宋" w:cs="仿宋"/>
          <w:sz w:val="24"/>
          <w:szCs w:val="24"/>
          <w:lang w:val="en-US" w:eastAsia="zh-CN"/>
        </w:rPr>
        <w:t>306</w:t>
      </w:r>
      <w:r>
        <w:rPr>
          <w:rFonts w:hint="eastAsia" w:ascii="仿宋" w:hAnsi="仿宋" w:eastAsia="仿宋" w:cs="仿宋"/>
          <w:sz w:val="24"/>
          <w:szCs w:val="24"/>
        </w:rPr>
        <w:t xml:space="preserve">室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13399940226</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同级政府采购监督管理部门名称：木垒哈萨克自治县政府采购办公室</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rPr>
      </w:pPr>
      <w:r>
        <w:rPr>
          <w:rFonts w:hint="eastAsia" w:ascii="仿宋" w:hAnsi="仿宋" w:eastAsia="仿宋" w:cs="仿宋"/>
          <w:sz w:val="24"/>
          <w:szCs w:val="24"/>
        </w:rPr>
        <w:t>联系人：李俊萍</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监督投诉电话：0994-482</w:t>
      </w:r>
      <w:r>
        <w:rPr>
          <w:rFonts w:hint="eastAsia" w:ascii="仿宋" w:hAnsi="仿宋" w:eastAsia="仿宋" w:cs="仿宋"/>
          <w:sz w:val="24"/>
          <w:szCs w:val="24"/>
          <w:lang w:val="en-US" w:eastAsia="zh-CN"/>
        </w:rPr>
        <w:t>6632</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rPr>
      </w:pPr>
      <w:r>
        <w:rPr>
          <w:rFonts w:hint="eastAsia" w:ascii="仿宋" w:hAnsi="仿宋" w:eastAsia="仿宋" w:cs="仿宋"/>
          <w:sz w:val="24"/>
          <w:szCs w:val="24"/>
        </w:rPr>
        <w:t>地址：木垒哈萨克自治县</w:t>
      </w:r>
    </w:p>
    <w:p>
      <w:pPr>
        <w:rPr>
          <w:rFonts w:hint="eastAsia" w:eastAsia="宋体"/>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B69BB"/>
    <w:multiLevelType w:val="singleLevel"/>
    <w:tmpl w:val="EFCB69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B5E78"/>
    <w:rsid w:val="01862150"/>
    <w:rsid w:val="031F61B6"/>
    <w:rsid w:val="03362F6B"/>
    <w:rsid w:val="04F01D49"/>
    <w:rsid w:val="05B355F5"/>
    <w:rsid w:val="066E1D4E"/>
    <w:rsid w:val="0AD56E64"/>
    <w:rsid w:val="0E8974C8"/>
    <w:rsid w:val="0F9B5687"/>
    <w:rsid w:val="10455730"/>
    <w:rsid w:val="115C0BF3"/>
    <w:rsid w:val="11B701F0"/>
    <w:rsid w:val="12D13E0C"/>
    <w:rsid w:val="1A453E83"/>
    <w:rsid w:val="1B171674"/>
    <w:rsid w:val="1C8357A5"/>
    <w:rsid w:val="201723DC"/>
    <w:rsid w:val="20255909"/>
    <w:rsid w:val="211076ED"/>
    <w:rsid w:val="21F61786"/>
    <w:rsid w:val="22721B56"/>
    <w:rsid w:val="257C4143"/>
    <w:rsid w:val="26A7746C"/>
    <w:rsid w:val="26EC2A46"/>
    <w:rsid w:val="2D921456"/>
    <w:rsid w:val="2F1605C2"/>
    <w:rsid w:val="30E65CF2"/>
    <w:rsid w:val="33464690"/>
    <w:rsid w:val="3392320C"/>
    <w:rsid w:val="34C11176"/>
    <w:rsid w:val="35102324"/>
    <w:rsid w:val="36C223F4"/>
    <w:rsid w:val="36DB15E5"/>
    <w:rsid w:val="387B0C4A"/>
    <w:rsid w:val="3A501258"/>
    <w:rsid w:val="3A870AEA"/>
    <w:rsid w:val="3C9349F9"/>
    <w:rsid w:val="3D520A5D"/>
    <w:rsid w:val="3FA11F02"/>
    <w:rsid w:val="41D966D7"/>
    <w:rsid w:val="41F0511F"/>
    <w:rsid w:val="432B7142"/>
    <w:rsid w:val="434500E5"/>
    <w:rsid w:val="45F5731C"/>
    <w:rsid w:val="46764F67"/>
    <w:rsid w:val="46E659AA"/>
    <w:rsid w:val="4BE05DBE"/>
    <w:rsid w:val="4BE90005"/>
    <w:rsid w:val="4BFF5C66"/>
    <w:rsid w:val="4F4061A4"/>
    <w:rsid w:val="50020DB7"/>
    <w:rsid w:val="504E49C1"/>
    <w:rsid w:val="5105150C"/>
    <w:rsid w:val="532D2022"/>
    <w:rsid w:val="55230D77"/>
    <w:rsid w:val="57C74024"/>
    <w:rsid w:val="59B8500D"/>
    <w:rsid w:val="5A3D418D"/>
    <w:rsid w:val="5C1C0C58"/>
    <w:rsid w:val="5F2D4DC7"/>
    <w:rsid w:val="60C3099E"/>
    <w:rsid w:val="64245ED6"/>
    <w:rsid w:val="6BAC21D9"/>
    <w:rsid w:val="6C3313C8"/>
    <w:rsid w:val="6CE46881"/>
    <w:rsid w:val="6DCC7D8E"/>
    <w:rsid w:val="6E082286"/>
    <w:rsid w:val="6F706B43"/>
    <w:rsid w:val="71EC7535"/>
    <w:rsid w:val="75FD3214"/>
    <w:rsid w:val="76852821"/>
    <w:rsid w:val="7768099B"/>
    <w:rsid w:val="77EF3834"/>
    <w:rsid w:val="78805231"/>
    <w:rsid w:val="789256CC"/>
    <w:rsid w:val="79440575"/>
    <w:rsid w:val="7A793E4A"/>
    <w:rsid w:val="7AD46F6B"/>
    <w:rsid w:val="7CC56051"/>
    <w:rsid w:val="7CED3A8B"/>
    <w:rsid w:val="7CF22A40"/>
    <w:rsid w:val="7D004A19"/>
    <w:rsid w:val="7F3E68F6"/>
    <w:rsid w:val="7FD13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tabs>
        <w:tab w:val="right" w:leader="dot" w:pos="8834"/>
      </w:tabs>
      <w:spacing w:line="440" w:lineRule="exact"/>
      <w:jc w:val="left"/>
    </w:pPr>
    <w:rPr>
      <w:rFonts w:eastAsia="新宋体"/>
      <w:sz w:val="28"/>
    </w:rPr>
  </w:style>
  <w:style w:type="paragraph" w:styleId="4">
    <w:name w:val="Normal (Web)"/>
    <w:basedOn w:val="1"/>
    <w:qFormat/>
    <w:uiPriority w:val="0"/>
    <w:pPr>
      <w:widowControl/>
      <w:jc w:val="left"/>
    </w:pPr>
    <w:rPr>
      <w:rFonts w:ascii="宋体" w:hAnsi="宋体" w:cs="宋体"/>
      <w:kern w:val="0"/>
      <w:sz w:val="24"/>
      <w:szCs w:val="2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2848</Words>
  <Characters>3288</Characters>
  <Lines>0</Lines>
  <Paragraphs>0</Paragraphs>
  <TotalTime>6</TotalTime>
  <ScaleCrop>false</ScaleCrop>
  <LinksUpToDate>false</LinksUpToDate>
  <CharactersWithSpaces>3316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2021-05-17T04:10:00Z</dcterms:created>
  <dc:creator>Administrator</dc:creator>
  <cp:lastModifiedBy>夏若有来时</cp:lastModifiedBy>
  <dcterms:modified xsi:type="dcterms:W3CDTF">2021-11-15T08:32:04Z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A38AEBFC8797474CB476A60FF38C09C8</vt:lpwstr>
  </property>
</Properties>
</file>