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jc w:val="center"/>
        <w:textAlignment w:val="auto"/>
        <w:rPr>
          <w:rFonts w:hint="eastAsia" w:cs="宋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bookmarkStart w:id="0" w:name="_Toc1833"/>
      <w:bookmarkStart w:id="1" w:name="_Toc10054"/>
      <w:r>
        <w:rPr>
          <w:rFonts w:hint="eastAsia" w:cs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竞争性磋商公告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受采购单位:昌吉回族自治州国有资产监督管理委员会委托代理机构:新疆昌盛方略项目管理有限公司对采购编号:CSFLZB2021-069-FW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-03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项目名称: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昌吉州国有企业年终财务审计项目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第三</w:t>
      </w:r>
      <w:bookmarkStart w:id="2" w:name="_GoBack"/>
      <w:r>
        <w:rPr>
          <w:rFonts w:hint="eastAsia" w:cs="宋体"/>
          <w:color w:val="000000"/>
          <w:sz w:val="24"/>
          <w:szCs w:val="24"/>
          <w:lang w:val="en-US" w:eastAsia="zh-CN"/>
        </w:rPr>
        <w:t>标项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组织采购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>
      <w:pPr>
        <w:pStyle w:val="8"/>
        <w:shd w:val="clear" w:color="auto"/>
        <w:spacing w:before="255" w:beforeAutospacing="0" w:after="255" w:afterAutospacing="0" w:line="360" w:lineRule="auto"/>
        <w:jc w:val="both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一、项目基本情况</w:t>
      </w:r>
    </w:p>
    <w:bookmarkEnd w:id="2"/>
    <w:p>
      <w:pPr>
        <w:pStyle w:val="8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昌吉州国有企业年终财务审计项目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第三标项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采购方式：竞争性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磋商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hint="default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采购内容和要求：本项目采购分为3个标项</w:t>
      </w:r>
    </w:p>
    <w:tbl>
      <w:tblPr>
        <w:tblStyle w:val="11"/>
        <w:tblW w:w="903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151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151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分包内容</w:t>
            </w:r>
          </w:p>
        </w:tc>
        <w:tc>
          <w:tcPr>
            <w:tcW w:w="1909" w:type="dxa"/>
          </w:tcPr>
          <w:p>
            <w:pPr>
              <w:pStyle w:val="8"/>
              <w:spacing w:before="0" w:beforeAutospacing="0" w:after="0" w:afterAutospacing="0" w:line="360" w:lineRule="auto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8"/>
              <w:spacing w:before="0" w:beforeAutospacing="0" w:after="0" w:afterAutospacing="0" w:line="360" w:lineRule="auto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昌吉州国有企业年终财务审计项目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第三标项</w:t>
            </w:r>
          </w:p>
        </w:tc>
        <w:tc>
          <w:tcPr>
            <w:tcW w:w="5151" w:type="dxa"/>
          </w:tcPr>
          <w:p>
            <w:pPr>
              <w:pStyle w:val="8"/>
              <w:spacing w:before="0" w:beforeAutospacing="0" w:after="0" w:afterAutospacing="0" w:line="360" w:lineRule="auto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对监管的国有企业昌吉州文化旅游投资集团有限公司共计</w:t>
            </w: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家，合并资产总额为</w:t>
            </w: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20.8</w:t>
            </w: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</w:t>
            </w: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昌吉州园林宾馆有限责任公司共计</w:t>
            </w: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合并资产总额为</w:t>
            </w: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亿元，进行2021年度财务审计。</w:t>
            </w:r>
          </w:p>
        </w:tc>
        <w:tc>
          <w:tcPr>
            <w:tcW w:w="1909" w:type="dxa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default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12万元</w:t>
            </w:r>
          </w:p>
        </w:tc>
      </w:tr>
    </w:tbl>
    <w:p>
      <w:pPr>
        <w:pStyle w:val="9"/>
        <w:spacing w:line="360" w:lineRule="auto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要求：最终中标的第三方中介机构应严格按照审计准则、会计准则等相关制度的要求，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val="en-US" w:eastAsia="zh-CN"/>
        </w:rPr>
        <w:t>出具审计报告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yellow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val="en-US" w:eastAsia="zh-CN"/>
        </w:rPr>
        <w:t>管理建议书。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期限：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2022年1月20日前完成约定的审计工作，并出具审计报告和管理建议书。（成交通知书签发后，5日内与采购人签订服务约定书） </w:t>
      </w:r>
    </w:p>
    <w:p>
      <w:pPr>
        <w:pStyle w:val="8"/>
        <w:spacing w:before="0" w:beforeAutospacing="0" w:after="0" w:afterAutospacing="0" w:line="360" w:lineRule="auto"/>
        <w:ind w:firstLine="720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质量要求：符合现行国家相关法律法规、标准和规范等，成果资料完整、真实准确、依据清晰。审计成果资料，达到招标人使用要求，服务工作优质高效。 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本项目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接受联合体投标。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二、申请人的资格要求：</w:t>
      </w:r>
    </w:p>
    <w:p>
      <w:pPr>
        <w:pStyle w:val="8"/>
        <w:shd w:val="clear"/>
        <w:spacing w:before="0" w:beforeAutospacing="0" w:after="0" w:afterAutospacing="0" w:line="360" w:lineRule="auto"/>
        <w:rPr>
          <w:rFonts w:hint="eastAsia" w:eastAsia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1.满足《中华人民共和国政府采购法》第二十二条规定；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.本项目的特定资格要求：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1）投标人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独立法人合格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有效的营业执照；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2）投标人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具有会计师事务所执业证书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并在人员、设备、资金等方面具有承担本项目的能力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投标人同时具有类似审计业绩两项。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3）投标审计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项目负责人必须具有注册会计师证书，且在有效期内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项目负责人同时具有类似审计业绩一项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4）投标人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参加政府采购活动前三年内，在经营活动中没有重大违法记录，在“信用中国”网站（www.creditchina.gov.cn）、中国政府采购网（www.ccgp.gov.cn）没有被列入失信被执行人、重大税收违法案件当事人名单、政府采购严重违法失信行为记录名单及其他不符合规定条件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hint="default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3.单位负责人为同一人或者存在直接控股、管理关系的不同供应商，不得参加同一合同项下的政府采购活动.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注：（1）投标人可选择其中一个或多个标段进行投标，最多只能中取其中1个标段。投标人选择多个标段投标的，应分标段制作、封装及投递投标文件。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（2）投标人必须按标段对所投标段内所有内容进行整体报价，不得缺项漏项，且不得超最高限价，否则其投标文件按无效投标处理。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三、获取采购文件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FF"/>
          <w:szCs w:val="24"/>
          <w:highlight w:val="yellow"/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 时间：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日，每天上午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:00至1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:00，下午1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0至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（北京时间，法定节假日除外）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新疆昌盛方略项目管理有限公司（昌吉市西外环南路832号尚都社区国投大厦1幢14楼1421）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shd w:val="clear"/>
        <w:spacing w:before="0" w:beforeAutospacing="0" w:after="0" w:afterAutospacing="0" w:line="360" w:lineRule="auto"/>
        <w:ind w:firstLine="720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现场领取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hd w:val="clear"/>
        <w:spacing w:before="0" w:beforeAutospacing="0" w:after="0" w:afterAutospacing="0" w:line="360" w:lineRule="auto"/>
        <w:rPr>
          <w:rFonts w:hint="default" w:eastAsia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售价（元）：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300元/份（现金缴纳）</w:t>
      </w:r>
    </w:p>
    <w:p>
      <w:pPr>
        <w:pStyle w:val="8"/>
        <w:shd w:val="clear" w:color="auto"/>
        <w:spacing w:before="255" w:beforeAutospacing="0" w:after="255" w:afterAutospacing="0" w:line="360" w:lineRule="auto"/>
        <w:ind w:firstLine="482" w:firstLineChars="200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四、响应文件提交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截止时间：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地点：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新疆昌盛方略项目管理有限公司（昌吉市西外环南路832号尚都社区国投大厦1幢14楼142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  </w:t>
      </w:r>
    </w:p>
    <w:p>
      <w:pPr>
        <w:pStyle w:val="8"/>
        <w:shd w:val="clear" w:color="auto"/>
        <w:spacing w:before="255" w:beforeAutospacing="0" w:after="255" w:afterAutospacing="0" w:line="360" w:lineRule="auto"/>
        <w:ind w:firstLine="482" w:firstLineChars="200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五、响应文件开启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 xml:space="preserve"> 开启时间：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color w:val="000000" w:themeColor="text1"/>
          <w:szCs w:val="24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8"/>
        <w:shd w:val="clear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地点：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新疆昌盛方略项目管理有限公司（昌吉市西外环南路832号尚都社区国投大厦1幢14楼142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8"/>
        <w:shd w:val="clear" w:color="auto"/>
        <w:spacing w:before="255" w:beforeAutospacing="0" w:after="255" w:afterAutospacing="0" w:line="360" w:lineRule="auto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六、公告期限</w:t>
      </w:r>
    </w:p>
    <w:p>
      <w:pPr>
        <w:pStyle w:val="8"/>
        <w:shd w:val="clear" w:color="auto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自本公告发布之日起5个工作日。</w:t>
      </w:r>
    </w:p>
    <w:p>
      <w:pPr>
        <w:pStyle w:val="8"/>
        <w:numPr>
          <w:ilvl w:val="0"/>
          <w:numId w:val="1"/>
        </w:numPr>
        <w:shd w:val="clear" w:color="auto"/>
        <w:spacing w:before="255" w:beforeAutospacing="0" w:after="255" w:afterAutospacing="0" w:line="360" w:lineRule="auto"/>
        <w:jc w:val="both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其他补充事宜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numPr>
          <w:ilvl w:val="0"/>
          <w:numId w:val="0"/>
        </w:numPr>
        <w:shd w:val="clear" w:color="auto"/>
        <w:spacing w:before="255" w:beforeAutospacing="0" w:after="255" w:afterAutospacing="0"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请符合要求的潜在投标人于2021年11月</w:t>
      </w:r>
      <w:r>
        <w:rPr>
          <w:rFonts w:hint="eastAsia" w:cs="宋体"/>
          <w:color w:val="0000FF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日10：00至2021年1</w:t>
      </w:r>
      <w:r>
        <w:rPr>
          <w:rFonts w:hint="eastAsia" w:cs="宋体"/>
          <w:color w:val="0000FF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月</w:t>
      </w:r>
      <w:r>
        <w:rPr>
          <w:rFonts w:hint="eastAsia" w:cs="宋体"/>
          <w:color w:val="0000FF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日19：00（北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京时间）持法人授权委托书、委托人身份证、营业执照副本、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会计师事务所执业证书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注册会计师证书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到新疆昌盛方略项目管理有限公司（昌吉市西外环南路国投大厦1幢1421）报名及获取招标文件。以上资料请提供复印件</w:t>
      </w:r>
      <w:r>
        <w:rPr>
          <w:rFonts w:hint="eastAsia" w:cs="宋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套加盖单位公章，并携带原件确认。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2、领取文件的同时需缴纳投标保证金，投标保证金：</w:t>
      </w:r>
    </w:p>
    <w:p>
      <w:pPr>
        <w:pStyle w:val="6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昌吉州国有企业年终财务审计项目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第三标项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投标保证金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贰仟肆佰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元整（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2400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.00元）。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投标保证金的缴纳时间为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（2021年11月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日10时00分－2021年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日19时00分）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，投标人应充分考虑资金到账时间，在规定的时限前自行办妥投标保证金缴纳手续，投标保证金的缴付时间以电汇凭证和网银对账单上的时间为准，超过缴纳的时限缴纳投标保证金视为报名无效。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3、投标保证金必须采用电汇或网银转帐的方式，由投标单位基本帐户汇至新疆昌盛方略项目管理有限公司（账户单位：新疆昌盛方略项目管理有限公司，开户行：新疆昌吉农村商业银行股份有限公司天山北路支行，账号：806010012010110433857，开户行号：402885000459），不得以现金和其他形式缴纳，不得以分公司、办事处或其他机构名义缴纳，投标人在缴纳投标保证金时，需在进帐凭证上明确资金用途和投标项目名称，并注明联系人及电话，以便查对核实。 </w:t>
      </w:r>
    </w:p>
    <w:p>
      <w:pPr>
        <w:pStyle w:val="8"/>
        <w:shd w:val="clear" w:color="auto"/>
        <w:spacing w:before="255" w:beforeAutospacing="0" w:after="255" w:afterAutospacing="0" w:line="360" w:lineRule="auto"/>
        <w:jc w:val="both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八、凡对本次招标提出询问，请按以下方式联系</w:t>
      </w:r>
    </w:p>
    <w:p>
      <w:pPr>
        <w:pStyle w:val="8"/>
        <w:spacing w:before="0" w:beforeAutospacing="0" w:after="0" w:afterAutospacing="0" w:line="360" w:lineRule="auto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1.采购人信息</w:t>
      </w:r>
    </w:p>
    <w:p>
      <w:pPr>
        <w:pStyle w:val="8"/>
        <w:spacing w:before="0" w:beforeAutospacing="0" w:after="0" w:afterAutospacing="0" w:line="360" w:lineRule="auto"/>
        <w:rPr>
          <w:rFonts w:hint="default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名    称：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昌吉回族自治州国有资产监督管理委员会</w:t>
      </w:r>
    </w:p>
    <w:p>
      <w:pPr>
        <w:pStyle w:val="8"/>
        <w:spacing w:before="0" w:beforeAutospacing="0" w:after="0" w:afterAutospacing="0" w:line="360" w:lineRule="auto"/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    址：</w:t>
      </w:r>
      <w:r>
        <w:rPr>
          <w:rFonts w:hint="eastAsia" w:cs="宋体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昌吉市乌伊西路45号 </w:t>
      </w:r>
    </w:p>
    <w:p>
      <w:pPr>
        <w:pStyle w:val="8"/>
        <w:spacing w:before="0" w:beforeAutospacing="0" w:after="0" w:afterAutospacing="0" w:line="360" w:lineRule="auto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项目联系人：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邵丽婷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项目联系方式：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18109949067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2.采购代理机构信息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名    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新疆昌盛方略项目管理有限公司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pacing w:before="0" w:beforeAutospacing="0" w:after="0" w:afterAutospacing="0" w:line="360" w:lineRule="auto"/>
        <w:rPr>
          <w:rFonts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   地    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昌吉市西外环南路国投大厦1幢1421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8"/>
        <w:spacing w:before="75" w:beforeAutospacing="0" w:after="75" w:afterAutospacing="0" w:line="360" w:lineRule="auto"/>
        <w:ind w:firstLine="720"/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伊丽霏</w:t>
      </w: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    </w:t>
      </w:r>
    </w:p>
    <w:p>
      <w:pPr>
        <w:pStyle w:val="8"/>
        <w:spacing w:before="75" w:beforeAutospacing="0" w:after="75" w:afterAutospacing="0" w:line="360" w:lineRule="auto"/>
        <w:ind w:firstLine="720"/>
        <w:rPr>
          <w:rFonts w:hint="default" w:eastAsia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项目联系方式：0994-</w:t>
      </w:r>
      <w:r>
        <w:rPr>
          <w:rFonts w:hint="eastAsia" w:cs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8165002</w:t>
      </w:r>
    </w:p>
    <w:p>
      <w:pPr>
        <w:pStyle w:val="8"/>
        <w:tabs>
          <w:tab w:val="left" w:pos="3470"/>
        </w:tabs>
        <w:spacing w:before="75" w:beforeAutospacing="0" w:after="75" w:afterAutospacing="0" w:line="360" w:lineRule="auto"/>
        <w:rPr>
          <w:rFonts w:hint="eastAsia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6FC81"/>
    <w:multiLevelType w:val="singleLevel"/>
    <w:tmpl w:val="E1E6FC8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40A2"/>
    <w:rsid w:val="0E413AD3"/>
    <w:rsid w:val="1C222AB3"/>
    <w:rsid w:val="1F9F1EED"/>
    <w:rsid w:val="490A5B8D"/>
    <w:rsid w:val="600F1CBA"/>
    <w:rsid w:val="62254B7F"/>
    <w:rsid w:val="797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4">
    <w:name w:val="heading 2"/>
    <w:basedOn w:val="5"/>
    <w:next w:val="1"/>
    <w:qFormat/>
    <w:uiPriority w:val="0"/>
    <w:pPr>
      <w:keepNext/>
      <w:keepLines/>
      <w:spacing w:before="260" w:after="260"/>
      <w:contextualSpacing/>
      <w:outlineLvl w:val="1"/>
    </w:pPr>
    <w:rPr>
      <w:rFonts w:ascii="宋体"/>
      <w:szCs w:val="28"/>
    </w:rPr>
  </w:style>
  <w:style w:type="paragraph" w:styleId="5">
    <w:name w:val="heading 3"/>
    <w:basedOn w:val="1"/>
    <w:next w:val="1"/>
    <w:qFormat/>
    <w:uiPriority w:val="0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/>
      <w:b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6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7">
    <w:name w:val="Body Text Indent"/>
    <w:basedOn w:val="1"/>
    <w:next w:val="1"/>
    <w:semiHidden/>
    <w:qFormat/>
    <w:uiPriority w:val="99"/>
    <w:pPr>
      <w:spacing w:after="120"/>
      <w:ind w:left="420" w:leftChars="20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2021-11-22T13:53:00Z</dcterms:created>
  <dc:creator>inspiron</dc:creator>
  <cp:lastModifiedBy>a_a</cp:lastModifiedBy>
  <dcterms:modified xsi:type="dcterms:W3CDTF">2021-11-23T03:23:19Z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