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insoku w:val="0"/>
        <w:overflowPunct w:val="0"/>
        <w:spacing w:before="0" w:line="580" w:lineRule="exact"/>
        <w:ind w:left="74" w:right="-58"/>
        <w:rPr>
          <w:rFonts w:hint="eastAsia" w:ascii="宋体" w:hAnsi="宋体" w:eastAsia="宋体" w:cs="宋体"/>
          <w:b/>
          <w:bCs/>
          <w:color w:val="auto"/>
          <w:sz w:val="32"/>
          <w:szCs w:val="32"/>
          <w:highlight w:val="none"/>
        </w:rPr>
      </w:pPr>
    </w:p>
    <w:p>
      <w:pPr>
        <w:pStyle w:val="8"/>
        <w:kinsoku w:val="0"/>
        <w:overflowPunct w:val="0"/>
        <w:spacing w:before="0" w:line="580" w:lineRule="exact"/>
        <w:ind w:left="0" w:right="-58"/>
        <w:rPr>
          <w:rFonts w:hint="eastAsia" w:ascii="宋体" w:hAnsi="宋体" w:eastAsia="宋体" w:cs="宋体"/>
          <w:b/>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1124" w:firstLineChars="200"/>
        <w:jc w:val="center"/>
        <w:textAlignment w:val="auto"/>
        <w:rPr>
          <w:rFonts w:hint="eastAsia" w:asciiTheme="majorEastAsia" w:hAnsiTheme="majorEastAsia" w:eastAsiaTheme="majorEastAsia" w:cstheme="majorEastAsia"/>
          <w:b/>
          <w:bCs/>
          <w:color w:val="auto"/>
          <w:sz w:val="56"/>
          <w:szCs w:val="56"/>
          <w:highlight w:val="none"/>
        </w:rPr>
      </w:pPr>
      <w:r>
        <w:rPr>
          <w:rFonts w:hint="eastAsia" w:asciiTheme="majorEastAsia" w:hAnsiTheme="majorEastAsia" w:eastAsiaTheme="majorEastAsia" w:cstheme="majorEastAsia"/>
          <w:b/>
          <w:bCs/>
          <w:color w:val="auto"/>
          <w:sz w:val="56"/>
          <w:szCs w:val="56"/>
          <w:highlight w:val="none"/>
        </w:rPr>
        <w:t>新疆维吾尔自治区文化馆建设</w:t>
      </w:r>
    </w:p>
    <w:p>
      <w:pPr>
        <w:keepNext w:val="0"/>
        <w:keepLines w:val="0"/>
        <w:pageBreakBefore w:val="0"/>
        <w:widowControl w:val="0"/>
        <w:kinsoku/>
        <w:wordWrap/>
        <w:overflowPunct/>
        <w:topLinePunct w:val="0"/>
        <w:autoSpaceDE/>
        <w:autoSpaceDN/>
        <w:bidi w:val="0"/>
        <w:adjustRightInd/>
        <w:snapToGrid/>
        <w:spacing w:line="240" w:lineRule="auto"/>
        <w:ind w:firstLine="1124" w:firstLineChars="200"/>
        <w:jc w:val="center"/>
        <w:textAlignment w:val="auto"/>
        <w:rPr>
          <w:rFonts w:hint="eastAsia" w:asciiTheme="majorEastAsia" w:hAnsiTheme="majorEastAsia" w:eastAsiaTheme="majorEastAsia" w:cstheme="majorEastAsia"/>
          <w:b/>
          <w:bCs/>
          <w:color w:val="auto"/>
          <w:sz w:val="56"/>
          <w:szCs w:val="56"/>
          <w:highlight w:val="none"/>
          <w:lang w:eastAsia="zh-CN"/>
        </w:rPr>
      </w:pPr>
      <w:r>
        <w:rPr>
          <w:rFonts w:hint="eastAsia" w:asciiTheme="majorEastAsia" w:hAnsiTheme="majorEastAsia" w:eastAsiaTheme="majorEastAsia" w:cstheme="majorEastAsia"/>
          <w:b/>
          <w:bCs/>
          <w:color w:val="auto"/>
          <w:sz w:val="56"/>
          <w:szCs w:val="56"/>
          <w:highlight w:val="none"/>
        </w:rPr>
        <w:t>录音棚项目</w:t>
      </w:r>
      <w:r>
        <w:rPr>
          <w:rFonts w:hint="eastAsia" w:asciiTheme="majorEastAsia" w:hAnsiTheme="majorEastAsia" w:eastAsiaTheme="majorEastAsia" w:cstheme="majorEastAsia"/>
          <w:b/>
          <w:bCs/>
          <w:color w:val="auto"/>
          <w:sz w:val="56"/>
          <w:szCs w:val="56"/>
          <w:highlight w:val="none"/>
          <w:lang w:eastAsia="zh-CN"/>
        </w:rPr>
        <w:t>（二次）</w:t>
      </w:r>
    </w:p>
    <w:p>
      <w:pPr>
        <w:pStyle w:val="22"/>
        <w:rPr>
          <w:rFonts w:hint="eastAsia" w:asciiTheme="majorEastAsia" w:hAnsiTheme="majorEastAsia" w:eastAsiaTheme="majorEastAsia" w:cstheme="majorEastAsia"/>
          <w:b/>
          <w:bCs/>
          <w:color w:val="auto"/>
          <w:sz w:val="56"/>
          <w:szCs w:val="56"/>
          <w:highlight w:val="none"/>
        </w:rPr>
      </w:pPr>
    </w:p>
    <w:p>
      <w:pPr>
        <w:pStyle w:val="22"/>
        <w:ind w:left="0" w:leftChars="0" w:firstLine="0" w:firstLineChars="0"/>
        <w:rPr>
          <w:rFonts w:hint="eastAsia" w:asciiTheme="majorEastAsia" w:hAnsiTheme="majorEastAsia" w:eastAsiaTheme="majorEastAsia" w:cstheme="majorEastAsia"/>
          <w:b/>
          <w:bCs/>
          <w:color w:val="auto"/>
          <w:sz w:val="56"/>
          <w:szCs w:val="56"/>
          <w:highlight w:val="none"/>
          <w:lang w:eastAsia="zh-CN"/>
        </w:rPr>
      </w:pPr>
    </w:p>
    <w:p>
      <w:pPr>
        <w:pStyle w:val="22"/>
        <w:rPr>
          <w:rFonts w:hint="eastAsia" w:asciiTheme="majorEastAsia" w:hAnsiTheme="majorEastAsia" w:eastAsiaTheme="majorEastAsia" w:cstheme="majorEastAsia"/>
          <w:b/>
          <w:bCs/>
          <w:color w:val="auto"/>
          <w:sz w:val="56"/>
          <w:szCs w:val="56"/>
          <w:highlight w:val="none"/>
          <w:lang w:eastAsia="zh-CN"/>
        </w:rPr>
      </w:pPr>
    </w:p>
    <w:p>
      <w:pPr>
        <w:ind w:firstLine="1446" w:firstLineChars="200"/>
        <w:jc w:val="center"/>
        <w:rPr>
          <w:rFonts w:hint="eastAsia"/>
          <w:b/>
          <w:bCs/>
          <w:color w:val="auto"/>
          <w:sz w:val="72"/>
          <w:szCs w:val="72"/>
          <w:highlight w:val="none"/>
        </w:rPr>
      </w:pPr>
      <w:r>
        <w:rPr>
          <w:rFonts w:hint="eastAsia"/>
          <w:b/>
          <w:bCs/>
          <w:color w:val="auto"/>
          <w:sz w:val="72"/>
          <w:szCs w:val="72"/>
          <w:highlight w:val="none"/>
          <w:lang w:eastAsia="zh-CN"/>
        </w:rPr>
        <w:t>竞争性磋商</w:t>
      </w:r>
      <w:r>
        <w:rPr>
          <w:rFonts w:hint="eastAsia"/>
          <w:b/>
          <w:bCs/>
          <w:color w:val="auto"/>
          <w:sz w:val="72"/>
          <w:szCs w:val="72"/>
          <w:highlight w:val="none"/>
        </w:rPr>
        <w:t>文件</w:t>
      </w:r>
    </w:p>
    <w:p>
      <w:pPr>
        <w:ind w:firstLine="560" w:firstLineChars="200"/>
        <w:jc w:val="center"/>
        <w:rPr>
          <w:rFonts w:hint="default" w:eastAsia="宋体"/>
          <w:color w:val="auto"/>
          <w:sz w:val="28"/>
          <w:szCs w:val="28"/>
          <w:highlight w:val="none"/>
          <w:lang w:val="en-US" w:eastAsia="zh-CN"/>
        </w:rPr>
      </w:pPr>
      <w:r>
        <w:rPr>
          <w:rFonts w:hint="eastAsia"/>
          <w:color w:val="auto"/>
          <w:sz w:val="28"/>
          <w:szCs w:val="28"/>
          <w:highlight w:val="none"/>
        </w:rPr>
        <w:t>项目编号：XJXECWLMQ-20210</w:t>
      </w:r>
      <w:r>
        <w:rPr>
          <w:rFonts w:hint="eastAsia"/>
          <w:color w:val="auto"/>
          <w:sz w:val="28"/>
          <w:szCs w:val="28"/>
          <w:highlight w:val="none"/>
          <w:lang w:val="en-US" w:eastAsia="zh-CN"/>
        </w:rPr>
        <w:t>41</w:t>
      </w:r>
    </w:p>
    <w:p>
      <w:pPr>
        <w:pStyle w:val="6"/>
        <w:rPr>
          <w:rFonts w:hint="eastAsia" w:ascii="宋体" w:hAnsi="宋体" w:eastAsia="宋体" w:cs="宋体"/>
          <w:color w:val="auto"/>
          <w:highlight w:val="none"/>
        </w:rPr>
      </w:pPr>
    </w:p>
    <w:p>
      <w:pPr>
        <w:pStyle w:val="7"/>
        <w:ind w:left="0" w:leftChars="0" w:firstLine="420" w:firstLineChars="20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drawing>
          <wp:inline distT="0" distB="0" distL="114300" distR="114300">
            <wp:extent cx="1787525" cy="1371600"/>
            <wp:effectExtent l="0" t="0" r="3175" b="0"/>
            <wp:docPr id="124"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 descr="1"/>
                    <pic:cNvPicPr>
                      <a:picLocks noChangeAspect="1"/>
                    </pic:cNvPicPr>
                  </pic:nvPicPr>
                  <pic:blipFill>
                    <a:blip r:embed="rId11"/>
                    <a:stretch>
                      <a:fillRect/>
                    </a:stretch>
                  </pic:blipFill>
                  <pic:spPr>
                    <a:xfrm>
                      <a:off x="0" y="0"/>
                      <a:ext cx="1787525" cy="1371600"/>
                    </a:xfrm>
                    <a:prstGeom prst="rect">
                      <a:avLst/>
                    </a:prstGeom>
                    <a:noFill/>
                    <a:ln>
                      <a:noFill/>
                    </a:ln>
                  </pic:spPr>
                </pic:pic>
              </a:graphicData>
            </a:graphic>
          </wp:inline>
        </w:drawing>
      </w: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pStyle w:val="6"/>
        <w:ind w:firstLine="360"/>
        <w:rPr>
          <w:rFonts w:hint="eastAsia" w:ascii="宋体" w:hAnsi="宋体" w:eastAsia="宋体" w:cs="宋体"/>
          <w:color w:val="auto"/>
          <w:sz w:val="18"/>
          <w:szCs w:val="18"/>
          <w:highlight w:val="none"/>
        </w:rPr>
      </w:pPr>
    </w:p>
    <w:p>
      <w:pPr>
        <w:pStyle w:val="7"/>
        <w:rPr>
          <w:rFonts w:hint="eastAsia" w:ascii="宋体" w:hAnsi="宋体" w:eastAsia="宋体" w:cs="宋体"/>
          <w:color w:val="auto"/>
          <w:sz w:val="18"/>
          <w:szCs w:val="18"/>
          <w:highlight w:val="none"/>
        </w:rPr>
      </w:pPr>
    </w:p>
    <w:p>
      <w:pPr>
        <w:rPr>
          <w:rFonts w:hint="eastAsia" w:ascii="宋体" w:hAnsi="宋体" w:eastAsia="宋体" w:cs="宋体"/>
          <w:color w:val="auto"/>
          <w:sz w:val="18"/>
          <w:szCs w:val="18"/>
          <w:highlight w:val="none"/>
        </w:rPr>
      </w:pPr>
    </w:p>
    <w:p>
      <w:pPr>
        <w:pStyle w:val="8"/>
        <w:rPr>
          <w:rFonts w:hint="eastAsia" w:ascii="宋体" w:hAnsi="宋体" w:eastAsia="宋体" w:cs="宋体"/>
          <w:color w:val="auto"/>
          <w:sz w:val="18"/>
          <w:szCs w:val="18"/>
          <w:highlight w:val="none"/>
        </w:rPr>
      </w:pPr>
    </w:p>
    <w:p>
      <w:pPr>
        <w:rPr>
          <w:rFonts w:hint="eastAsia" w:ascii="宋体" w:hAnsi="宋体" w:eastAsia="宋体" w:cs="宋体"/>
          <w:color w:val="auto"/>
          <w:sz w:val="18"/>
          <w:szCs w:val="18"/>
          <w:highlight w:val="none"/>
        </w:rPr>
      </w:pPr>
    </w:p>
    <w:p>
      <w:pPr>
        <w:pStyle w:val="8"/>
        <w:rPr>
          <w:rFonts w:hint="eastAsia" w:ascii="宋体" w:hAnsi="宋体" w:eastAsia="宋体" w:cs="宋体"/>
          <w:color w:val="auto"/>
          <w:sz w:val="18"/>
          <w:szCs w:val="18"/>
          <w:highlight w:val="none"/>
        </w:rPr>
      </w:pPr>
    </w:p>
    <w:p>
      <w:pPr>
        <w:rPr>
          <w:rFonts w:hint="eastAsia" w:ascii="宋体" w:hAnsi="宋体" w:eastAsia="宋体" w:cs="宋体"/>
          <w:color w:val="auto"/>
          <w:sz w:val="18"/>
          <w:szCs w:val="18"/>
          <w:highlight w:val="none"/>
        </w:rPr>
      </w:pPr>
    </w:p>
    <w:p>
      <w:pPr>
        <w:rPr>
          <w:rFonts w:hint="eastAsia" w:ascii="宋体" w:hAnsi="宋体" w:eastAsia="宋体" w:cs="宋体"/>
          <w:color w:val="auto"/>
          <w:sz w:val="18"/>
          <w:szCs w:val="18"/>
          <w:highlight w:val="none"/>
        </w:rPr>
      </w:pPr>
    </w:p>
    <w:p>
      <w:pPr>
        <w:pStyle w:val="8"/>
        <w:ind w:left="0" w:leftChars="0" w:firstLine="0" w:firstLineChars="0"/>
        <w:rPr>
          <w:rFonts w:hint="eastAsia"/>
          <w:color w:val="auto"/>
          <w:highlight w:val="none"/>
        </w:rPr>
      </w:pPr>
    </w:p>
    <w:p>
      <w:pPr>
        <w:pStyle w:val="6"/>
        <w:ind w:firstLine="360"/>
        <w:rPr>
          <w:rFonts w:hint="eastAsia" w:ascii="宋体" w:hAnsi="宋体" w:eastAsia="宋体" w:cs="宋体"/>
          <w:color w:val="auto"/>
          <w:sz w:val="18"/>
          <w:szCs w:val="18"/>
          <w:highlight w:val="none"/>
        </w:rPr>
      </w:pPr>
    </w:p>
    <w:p>
      <w:pPr>
        <w:pStyle w:val="6"/>
        <w:ind w:firstLine="360"/>
        <w:rPr>
          <w:rFonts w:hint="eastAsia" w:ascii="宋体" w:hAnsi="宋体" w:eastAsia="宋体" w:cs="宋体"/>
          <w:color w:val="auto"/>
          <w:sz w:val="18"/>
          <w:szCs w:val="18"/>
          <w:highlight w:val="none"/>
        </w:rPr>
      </w:pPr>
    </w:p>
    <w:p>
      <w:pPr>
        <w:pStyle w:val="6"/>
        <w:spacing w:line="360" w:lineRule="auto"/>
        <w:ind w:left="420" w:leftChars="200" w:firstLine="643" w:firstLineChars="200"/>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lang w:eastAsia="zh-CN"/>
        </w:rPr>
        <w:t>采</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购</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人</w:t>
      </w:r>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新疆维吾尔自治区文化馆</w:t>
      </w:r>
      <w:r>
        <w:rPr>
          <w:rFonts w:hint="eastAsia" w:ascii="宋体" w:hAnsi="宋体" w:eastAsia="宋体" w:cs="宋体"/>
          <w:b/>
          <w:bCs/>
          <w:color w:val="auto"/>
          <w:sz w:val="32"/>
          <w:szCs w:val="32"/>
          <w:highlight w:val="none"/>
          <w:u w:val="none"/>
          <w:lang w:val="en-US" w:eastAsia="zh-CN"/>
        </w:rPr>
        <w:t xml:space="preserve"> </w:t>
      </w:r>
    </w:p>
    <w:p>
      <w:pPr>
        <w:spacing w:line="360" w:lineRule="auto"/>
        <w:ind w:left="420" w:leftChars="200" w:firstLine="643" w:firstLineChars="200"/>
        <w:rPr>
          <w:rFonts w:hint="eastAsia" w:ascii="宋体" w:hAnsi="宋体" w:eastAsia="宋体" w:cs="宋体"/>
          <w:b/>
          <w:bCs/>
          <w:color w:val="auto"/>
          <w:sz w:val="32"/>
          <w:szCs w:val="32"/>
          <w:highlight w:val="none"/>
          <w:u w:val="none"/>
        </w:rPr>
      </w:pPr>
      <w:r>
        <w:rPr>
          <w:rFonts w:hint="eastAsia" w:ascii="宋体" w:hAnsi="宋体" w:eastAsia="宋体" w:cs="宋体"/>
          <w:b/>
          <w:bCs/>
          <w:color w:val="auto"/>
          <w:sz w:val="32"/>
          <w:szCs w:val="32"/>
          <w:highlight w:val="none"/>
          <w:u w:val="none"/>
          <w:lang w:eastAsia="zh-CN"/>
        </w:rPr>
        <w:t>采购</w:t>
      </w:r>
      <w:r>
        <w:rPr>
          <w:rFonts w:hint="eastAsia" w:ascii="宋体" w:hAnsi="宋体" w:eastAsia="宋体" w:cs="宋体"/>
          <w:b/>
          <w:bCs/>
          <w:color w:val="auto"/>
          <w:sz w:val="32"/>
          <w:szCs w:val="32"/>
          <w:highlight w:val="none"/>
          <w:u w:val="none"/>
        </w:rPr>
        <w:t xml:space="preserve">代理机构：新疆信尔成工程项目管理有限公司  </w:t>
      </w:r>
    </w:p>
    <w:p>
      <w:pPr>
        <w:spacing w:line="360" w:lineRule="auto"/>
        <w:ind w:left="420" w:leftChars="200" w:firstLine="643" w:firstLineChars="200"/>
        <w:jc w:val="center"/>
        <w:rPr>
          <w:rFonts w:hint="eastAsia" w:ascii="宋体" w:hAnsi="宋体" w:eastAsia="宋体" w:cs="宋体"/>
          <w:color w:val="auto"/>
          <w:szCs w:val="21"/>
          <w:highlight w:val="none"/>
          <w:u w:val="none"/>
        </w:rPr>
      </w:pPr>
      <w:r>
        <w:rPr>
          <w:rFonts w:hint="eastAsia" w:ascii="宋体" w:hAnsi="宋体" w:eastAsia="宋体" w:cs="宋体"/>
          <w:b/>
          <w:bCs/>
          <w:color w:val="auto"/>
          <w:sz w:val="32"/>
          <w:szCs w:val="32"/>
          <w:highlight w:val="none"/>
          <w:u w:val="none"/>
          <w:lang w:val="en-US" w:eastAsia="zh-CN"/>
        </w:rPr>
        <w:t>202</w:t>
      </w:r>
      <w:r>
        <w:rPr>
          <w:rFonts w:hint="eastAsia" w:ascii="宋体" w:hAnsi="宋体" w:cs="宋体"/>
          <w:b/>
          <w:bCs/>
          <w:color w:val="auto"/>
          <w:sz w:val="32"/>
          <w:szCs w:val="32"/>
          <w:highlight w:val="none"/>
          <w:u w:val="none"/>
          <w:lang w:val="en-US" w:eastAsia="zh-CN"/>
        </w:rPr>
        <w:t>1</w:t>
      </w:r>
      <w:r>
        <w:rPr>
          <w:rFonts w:hint="eastAsia" w:ascii="宋体" w:hAnsi="宋体" w:eastAsia="宋体" w:cs="宋体"/>
          <w:b/>
          <w:bCs/>
          <w:color w:val="auto"/>
          <w:sz w:val="32"/>
          <w:szCs w:val="32"/>
          <w:highlight w:val="none"/>
          <w:u w:val="none"/>
          <w:lang w:val="en-US" w:eastAsia="zh-CN"/>
        </w:rPr>
        <w:t>年</w:t>
      </w:r>
      <w:r>
        <w:rPr>
          <w:rFonts w:hint="eastAsia" w:ascii="宋体" w:hAnsi="宋体" w:cs="宋体"/>
          <w:b/>
          <w:bCs/>
          <w:color w:val="auto"/>
          <w:sz w:val="32"/>
          <w:szCs w:val="32"/>
          <w:highlight w:val="none"/>
          <w:u w:val="none"/>
          <w:lang w:val="en-US" w:eastAsia="zh-CN"/>
        </w:rPr>
        <w:t>10</w:t>
      </w:r>
      <w:r>
        <w:rPr>
          <w:rFonts w:hint="eastAsia" w:ascii="宋体" w:hAnsi="宋体" w:eastAsia="宋体" w:cs="宋体"/>
          <w:b/>
          <w:bCs/>
          <w:color w:val="auto"/>
          <w:sz w:val="32"/>
          <w:szCs w:val="32"/>
          <w:highlight w:val="none"/>
          <w:u w:val="none"/>
          <w:lang w:val="en-US" w:eastAsia="zh-CN"/>
        </w:rPr>
        <w:t>月</w:t>
      </w:r>
      <w:bookmarkStart w:id="0" w:name="_Toc179632527"/>
      <w:bookmarkStart w:id="1" w:name="_Toc363119275"/>
    </w:p>
    <w:bookmarkEnd w:id="0"/>
    <w:bookmarkEnd w:id="1"/>
    <w:p>
      <w:pPr>
        <w:pStyle w:val="8"/>
        <w:kinsoku w:val="0"/>
        <w:overflowPunct w:val="0"/>
        <w:spacing w:before="0"/>
        <w:ind w:left="0"/>
        <w:rPr>
          <w:rFonts w:hint="eastAsia" w:ascii="宋体" w:hAnsi="宋体" w:eastAsia="宋体" w:cs="宋体"/>
          <w:b/>
          <w:bCs/>
          <w:color w:val="auto"/>
          <w:sz w:val="20"/>
          <w:szCs w:val="20"/>
          <w:highlight w:val="none"/>
        </w:rPr>
      </w:pPr>
    </w:p>
    <w:p>
      <w:pPr>
        <w:pStyle w:val="8"/>
        <w:kinsoku w:val="0"/>
        <w:overflowPunct w:val="0"/>
        <w:spacing w:before="0"/>
        <w:ind w:left="0"/>
        <w:rPr>
          <w:rFonts w:hint="eastAsia" w:ascii="宋体" w:hAnsi="宋体" w:eastAsia="宋体" w:cs="宋体"/>
          <w:b/>
          <w:bCs/>
          <w:color w:val="auto"/>
          <w:sz w:val="20"/>
          <w:szCs w:val="20"/>
          <w:highlight w:val="none"/>
        </w:rPr>
      </w:pPr>
    </w:p>
    <w:p>
      <w:pPr>
        <w:pStyle w:val="8"/>
        <w:kinsoku w:val="0"/>
        <w:overflowPunct w:val="0"/>
        <w:spacing w:before="0"/>
        <w:ind w:left="0"/>
        <w:rPr>
          <w:rFonts w:hint="eastAsia" w:ascii="宋体" w:hAnsi="宋体" w:eastAsia="宋体" w:cs="宋体"/>
          <w:b/>
          <w:bCs/>
          <w:color w:val="auto"/>
          <w:sz w:val="20"/>
          <w:szCs w:val="20"/>
          <w:highlight w:val="none"/>
        </w:rPr>
      </w:pPr>
    </w:p>
    <w:p>
      <w:pPr>
        <w:pStyle w:val="8"/>
        <w:tabs>
          <w:tab w:val="left" w:pos="1204"/>
        </w:tabs>
        <w:kinsoku w:val="0"/>
        <w:overflowPunct w:val="0"/>
        <w:spacing w:before="0" w:line="501" w:lineRule="exact"/>
        <w:ind w:left="1"/>
        <w:jc w:val="center"/>
        <w:rPr>
          <w:rFonts w:hint="eastAsia" w:ascii="宋体" w:hAnsi="宋体" w:eastAsia="宋体" w:cs="宋体"/>
          <w:b/>
          <w:bCs/>
          <w:color w:val="auto"/>
          <w:w w:val="95"/>
          <w:sz w:val="36"/>
          <w:szCs w:val="36"/>
          <w:highlight w:val="none"/>
        </w:rPr>
        <w:sectPr>
          <w:headerReference r:id="rId4" w:type="first"/>
          <w:footerReference r:id="rId6" w:type="first"/>
          <w:headerReference r:id="rId3" w:type="default"/>
          <w:footerReference r:id="rId5" w:type="default"/>
          <w:pgSz w:w="11910" w:h="16840"/>
          <w:pgMar w:top="1040" w:right="1137" w:bottom="960" w:left="1080" w:header="763" w:footer="766" w:gutter="0"/>
          <w:pgBorders>
            <w:top w:val="none" w:sz="0" w:space="0"/>
            <w:left w:val="none" w:sz="0" w:space="0"/>
            <w:bottom w:val="none" w:sz="0" w:space="0"/>
            <w:right w:val="none" w:sz="0" w:space="0"/>
          </w:pgBorders>
          <w:pgNumType w:fmt="numberInDash" w:start="0"/>
          <w:cols w:space="720" w:num="1"/>
          <w:titlePg/>
          <w:docGrid w:linePitch="286" w:charSpace="0"/>
        </w:sectPr>
      </w:pPr>
    </w:p>
    <w:p>
      <w:pPr>
        <w:pStyle w:val="8"/>
        <w:tabs>
          <w:tab w:val="left" w:pos="1204"/>
        </w:tabs>
        <w:kinsoku w:val="0"/>
        <w:overflowPunct w:val="0"/>
        <w:spacing w:before="0" w:line="501" w:lineRule="exact"/>
        <w:ind w:left="1" w:firstLine="687" w:firstLineChars="200"/>
        <w:jc w:val="center"/>
        <w:rPr>
          <w:rFonts w:hint="eastAsia" w:ascii="宋体" w:hAnsi="宋体" w:eastAsia="宋体" w:cs="宋体"/>
          <w:color w:val="auto"/>
          <w:sz w:val="36"/>
          <w:szCs w:val="36"/>
          <w:highlight w:val="none"/>
        </w:rPr>
      </w:pPr>
      <w:r>
        <w:rPr>
          <w:rFonts w:hint="eastAsia" w:ascii="宋体" w:hAnsi="宋体" w:eastAsia="宋体" w:cs="宋体"/>
          <w:b/>
          <w:bCs/>
          <w:color w:val="auto"/>
          <w:w w:val="95"/>
          <w:sz w:val="36"/>
          <w:szCs w:val="36"/>
          <w:highlight w:val="none"/>
        </w:rPr>
        <w:t>目</w:t>
      </w:r>
      <w:r>
        <w:rPr>
          <w:rFonts w:hint="eastAsia" w:ascii="宋体" w:hAnsi="宋体" w:eastAsia="宋体" w:cs="宋体"/>
          <w:b/>
          <w:bCs/>
          <w:color w:val="auto"/>
          <w:w w:val="95"/>
          <w:sz w:val="36"/>
          <w:szCs w:val="36"/>
          <w:highlight w:val="none"/>
        </w:rPr>
        <w:tab/>
      </w:r>
      <w:r>
        <w:rPr>
          <w:rFonts w:hint="eastAsia" w:ascii="宋体" w:hAnsi="宋体" w:eastAsia="宋体" w:cs="宋体"/>
          <w:b/>
          <w:bCs/>
          <w:color w:val="auto"/>
          <w:sz w:val="36"/>
          <w:szCs w:val="36"/>
          <w:highlight w:val="none"/>
        </w:rPr>
        <w:t>录</w:t>
      </w:r>
    </w:p>
    <w:p>
      <w:pPr>
        <w:pStyle w:val="12"/>
        <w:tabs>
          <w:tab w:val="right" w:leader="dot" w:pos="9541"/>
          <w:tab w:val="clear" w:pos="9400"/>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_Toc6155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第一章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投标邀请书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_Toc6155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2"/>
        <w:tabs>
          <w:tab w:val="right" w:leader="dot" w:pos="9541"/>
          <w:tab w:val="clear" w:pos="9400"/>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_Toc15730 </w:instrText>
      </w:r>
      <w:r>
        <w:rPr>
          <w:rFonts w:hint="eastAsia" w:ascii="宋体" w:hAnsi="宋体" w:eastAsia="宋体" w:cs="宋体"/>
          <w:color w:val="auto"/>
          <w:highlight w:val="none"/>
        </w:rPr>
        <w:fldChar w:fldCharType="separate"/>
      </w:r>
      <w:r>
        <w:rPr>
          <w:rFonts w:hint="eastAsia" w:ascii="华文中宋" w:hAnsi="华文中宋" w:eastAsia="华文中宋"/>
          <w:color w:val="auto"/>
          <w:highlight w:val="none"/>
        </w:rPr>
        <w:t>竞争性磋商公告</w:t>
      </w:r>
      <w:r>
        <w:rPr>
          <w:color w:val="auto"/>
          <w:highlight w:val="none"/>
        </w:rPr>
        <w:tab/>
      </w:r>
      <w:r>
        <w:rPr>
          <w:color w:val="auto"/>
          <w:highlight w:val="none"/>
        </w:rPr>
        <w:fldChar w:fldCharType="begin"/>
      </w:r>
      <w:r>
        <w:rPr>
          <w:color w:val="auto"/>
          <w:highlight w:val="none"/>
        </w:rPr>
        <w:instrText xml:space="preserve"> PAGEREF _Toc15730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highlight w:val="none"/>
        </w:rPr>
        <w:fldChar w:fldCharType="end"/>
      </w:r>
    </w:p>
    <w:p>
      <w:pPr>
        <w:pStyle w:val="12"/>
        <w:tabs>
          <w:tab w:val="right" w:pos="2400"/>
          <w:tab w:val="right" w:leader="dot" w:pos="9541"/>
          <w:tab w:val="clear" w:pos="9400"/>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_Toc25669 </w:instrText>
      </w:r>
      <w:r>
        <w:rPr>
          <w:rFonts w:hint="eastAsia" w:ascii="宋体" w:hAnsi="宋体" w:eastAsia="宋体" w:cs="宋体"/>
          <w:color w:val="auto"/>
          <w:highlight w:val="none"/>
        </w:rPr>
        <w:fldChar w:fldCharType="separate"/>
      </w:r>
      <w:r>
        <w:rPr>
          <w:rFonts w:hint="eastAsia" w:ascii="华文中宋" w:hAnsi="华文中宋" w:eastAsia="华文中宋"/>
          <w:color w:val="auto"/>
          <w:highlight w:val="none"/>
        </w:rPr>
        <w:t>第二章</w:t>
      </w:r>
      <w:r>
        <w:rPr>
          <w:rFonts w:hint="eastAsia" w:ascii="华文中宋" w:hAnsi="华文中宋" w:eastAsia="华文中宋"/>
          <w:color w:val="auto"/>
          <w:highlight w:val="none"/>
        </w:rPr>
        <w:tab/>
      </w:r>
      <w:r>
        <w:rPr>
          <w:rFonts w:hint="eastAsia" w:ascii="华文中宋" w:hAnsi="华文中宋" w:eastAsia="华文中宋"/>
          <w:color w:val="auto"/>
          <w:highlight w:val="none"/>
          <w:lang w:val="en-US" w:eastAsia="zh-CN"/>
        </w:rPr>
        <w:t xml:space="preserve"> </w:t>
      </w:r>
      <w:r>
        <w:rPr>
          <w:rFonts w:hint="eastAsia" w:ascii="宋体" w:hAnsi="宋体" w:eastAsia="宋体" w:cs="宋体"/>
          <w:color w:val="auto"/>
          <w:highlight w:val="none"/>
        </w:rPr>
        <w:t>供应商须知及前附表</w:t>
      </w:r>
      <w:r>
        <w:rPr>
          <w:color w:val="auto"/>
          <w:highlight w:val="none"/>
        </w:rPr>
        <w:tab/>
      </w:r>
      <w:r>
        <w:rPr>
          <w:color w:val="auto"/>
          <w:highlight w:val="none"/>
        </w:rPr>
        <w:fldChar w:fldCharType="begin"/>
      </w:r>
      <w:r>
        <w:rPr>
          <w:color w:val="auto"/>
          <w:highlight w:val="none"/>
        </w:rPr>
        <w:instrText xml:space="preserve"> PAGEREF _Toc25669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9541"/>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_Toc7077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_Toc7077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9541"/>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_Toc24361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（二）供应商须知</w:t>
      </w:r>
      <w:r>
        <w:rPr>
          <w:color w:val="auto"/>
          <w:highlight w:val="none"/>
        </w:rPr>
        <w:tab/>
      </w:r>
      <w:r>
        <w:rPr>
          <w:color w:val="auto"/>
          <w:highlight w:val="none"/>
        </w:rPr>
        <w:fldChar w:fldCharType="begin"/>
      </w:r>
      <w:r>
        <w:rPr>
          <w:color w:val="auto"/>
          <w:highlight w:val="none"/>
        </w:rPr>
        <w:instrText xml:space="preserve"> PAGEREF _Toc24361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9541"/>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_Toc20516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（三）《竞争性磋商文件》</w:t>
      </w:r>
      <w:r>
        <w:rPr>
          <w:color w:val="auto"/>
          <w:highlight w:val="none"/>
        </w:rPr>
        <w:tab/>
      </w:r>
      <w:r>
        <w:rPr>
          <w:color w:val="auto"/>
          <w:highlight w:val="none"/>
        </w:rPr>
        <w:fldChar w:fldCharType="begin"/>
      </w:r>
      <w:r>
        <w:rPr>
          <w:color w:val="auto"/>
          <w:highlight w:val="none"/>
        </w:rPr>
        <w:instrText xml:space="preserve"> PAGEREF _Toc20516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9541"/>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_Toc8528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（四）《磋商响应性文件》的编制</w:t>
      </w:r>
      <w:r>
        <w:rPr>
          <w:color w:val="auto"/>
          <w:highlight w:val="none"/>
        </w:rPr>
        <w:tab/>
      </w:r>
      <w:r>
        <w:rPr>
          <w:color w:val="auto"/>
          <w:highlight w:val="none"/>
        </w:rPr>
        <w:fldChar w:fldCharType="begin"/>
      </w:r>
      <w:r>
        <w:rPr>
          <w:color w:val="auto"/>
          <w:highlight w:val="none"/>
        </w:rPr>
        <w:instrText xml:space="preserve"> PAGEREF _Toc8528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9541"/>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_Toc32099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（五）磋商响应性文件的提交及相关事项</w:t>
      </w:r>
      <w:r>
        <w:rPr>
          <w:color w:val="auto"/>
          <w:highlight w:val="none"/>
        </w:rPr>
        <w:tab/>
      </w:r>
      <w:r>
        <w:rPr>
          <w:color w:val="auto"/>
          <w:highlight w:val="none"/>
        </w:rPr>
        <w:fldChar w:fldCharType="begin"/>
      </w:r>
      <w:r>
        <w:rPr>
          <w:color w:val="auto"/>
          <w:highlight w:val="none"/>
        </w:rPr>
        <w:instrText xml:space="preserve"> PAGEREF _Toc32099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9541"/>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_Toc1690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磋商</w:t>
      </w:r>
      <w:r>
        <w:rPr>
          <w:color w:val="auto"/>
          <w:highlight w:val="none"/>
        </w:rPr>
        <w:tab/>
      </w:r>
      <w:r>
        <w:rPr>
          <w:color w:val="auto"/>
          <w:highlight w:val="none"/>
        </w:rPr>
        <w:fldChar w:fldCharType="begin"/>
      </w:r>
      <w:r>
        <w:rPr>
          <w:color w:val="auto"/>
          <w:highlight w:val="none"/>
        </w:rPr>
        <w:instrText xml:space="preserve"> PAGEREF _Toc1690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9541"/>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_Toc11796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七</w:t>
      </w:r>
      <w:r>
        <w:rPr>
          <w:rFonts w:hint="eastAsia" w:ascii="宋体" w:hAnsi="宋体" w:eastAsia="宋体" w:cs="宋体"/>
          <w:color w:val="auto"/>
          <w:highlight w:val="none"/>
        </w:rPr>
        <w:t>）定标</w:t>
      </w:r>
      <w:r>
        <w:rPr>
          <w:color w:val="auto"/>
          <w:highlight w:val="none"/>
        </w:rPr>
        <w:tab/>
      </w:r>
      <w:r>
        <w:rPr>
          <w:color w:val="auto"/>
          <w:highlight w:val="none"/>
        </w:rPr>
        <w:fldChar w:fldCharType="begin"/>
      </w:r>
      <w:r>
        <w:rPr>
          <w:color w:val="auto"/>
          <w:highlight w:val="none"/>
        </w:rPr>
        <w:instrText xml:space="preserve"> PAGEREF _Toc11796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9541"/>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_Toc23542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八</w:t>
      </w:r>
      <w:r>
        <w:rPr>
          <w:rFonts w:hint="eastAsia" w:ascii="宋体" w:hAnsi="宋体" w:eastAsia="宋体" w:cs="宋体"/>
          <w:color w:val="auto"/>
          <w:highlight w:val="none"/>
        </w:rPr>
        <w:t>）合同签订及履行</w:t>
      </w:r>
      <w:r>
        <w:rPr>
          <w:color w:val="auto"/>
          <w:highlight w:val="none"/>
        </w:rPr>
        <w:tab/>
      </w:r>
      <w:r>
        <w:rPr>
          <w:color w:val="auto"/>
          <w:highlight w:val="none"/>
        </w:rPr>
        <w:fldChar w:fldCharType="begin"/>
      </w:r>
      <w:r>
        <w:rPr>
          <w:color w:val="auto"/>
          <w:highlight w:val="none"/>
        </w:rPr>
        <w:instrText xml:space="preserve"> PAGEREF _Toc23542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9541"/>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_Toc23631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九</w:t>
      </w:r>
      <w:r>
        <w:rPr>
          <w:rFonts w:hint="eastAsia" w:ascii="宋体" w:hAnsi="宋体" w:eastAsia="宋体" w:cs="宋体"/>
          <w:color w:val="auto"/>
          <w:highlight w:val="none"/>
        </w:rPr>
        <w:t>）重新招标和不再招标</w:t>
      </w:r>
      <w:r>
        <w:rPr>
          <w:color w:val="auto"/>
          <w:highlight w:val="none"/>
        </w:rPr>
        <w:tab/>
      </w:r>
      <w:r>
        <w:rPr>
          <w:color w:val="auto"/>
          <w:highlight w:val="none"/>
        </w:rPr>
        <w:fldChar w:fldCharType="begin"/>
      </w:r>
      <w:r>
        <w:rPr>
          <w:color w:val="auto"/>
          <w:highlight w:val="none"/>
        </w:rPr>
        <w:instrText xml:space="preserve"> PAGEREF _Toc23631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9541"/>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_Toc6269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（十）纪律和监督</w:t>
      </w:r>
      <w:r>
        <w:rPr>
          <w:color w:val="auto"/>
          <w:highlight w:val="none"/>
        </w:rPr>
        <w:tab/>
      </w:r>
      <w:r>
        <w:rPr>
          <w:color w:val="auto"/>
          <w:highlight w:val="none"/>
        </w:rPr>
        <w:fldChar w:fldCharType="begin"/>
      </w:r>
      <w:r>
        <w:rPr>
          <w:color w:val="auto"/>
          <w:highlight w:val="none"/>
        </w:rPr>
        <w:instrText xml:space="preserve"> PAGEREF _Toc6269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9541"/>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_Toc23224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（十</w:t>
      </w:r>
      <w:r>
        <w:rPr>
          <w:rFonts w:hint="eastAsia" w:ascii="宋体" w:hAnsi="宋体" w:eastAsia="宋体" w:cs="宋体"/>
          <w:color w:val="auto"/>
          <w:highlight w:val="none"/>
          <w:lang w:eastAsia="zh-CN"/>
        </w:rPr>
        <w:t>一</w:t>
      </w:r>
      <w:r>
        <w:rPr>
          <w:rFonts w:hint="eastAsia" w:ascii="宋体" w:hAnsi="宋体" w:eastAsia="宋体" w:cs="宋体"/>
          <w:color w:val="auto"/>
          <w:highlight w:val="none"/>
        </w:rPr>
        <w:t>）无效投标</w:t>
      </w:r>
      <w:r>
        <w:rPr>
          <w:color w:val="auto"/>
          <w:highlight w:val="none"/>
        </w:rPr>
        <w:tab/>
      </w:r>
      <w:r>
        <w:rPr>
          <w:color w:val="auto"/>
          <w:highlight w:val="none"/>
        </w:rPr>
        <w:fldChar w:fldCharType="begin"/>
      </w:r>
      <w:r>
        <w:rPr>
          <w:color w:val="auto"/>
          <w:highlight w:val="none"/>
        </w:rPr>
        <w:instrText xml:space="preserve"> PAGEREF _Toc23224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9541"/>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_Toc25703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（十</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）废标</w:t>
      </w:r>
      <w:r>
        <w:rPr>
          <w:color w:val="auto"/>
          <w:highlight w:val="none"/>
        </w:rPr>
        <w:tab/>
      </w:r>
      <w:r>
        <w:rPr>
          <w:color w:val="auto"/>
          <w:highlight w:val="none"/>
        </w:rPr>
        <w:fldChar w:fldCharType="begin"/>
      </w:r>
      <w:r>
        <w:rPr>
          <w:color w:val="auto"/>
          <w:highlight w:val="none"/>
        </w:rPr>
        <w:instrText xml:space="preserve"> PAGEREF _Toc25703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9541"/>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_Toc30761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（十</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）质疑和投诉</w:t>
      </w:r>
      <w:r>
        <w:rPr>
          <w:color w:val="auto"/>
          <w:highlight w:val="none"/>
        </w:rPr>
        <w:tab/>
      </w:r>
      <w:r>
        <w:rPr>
          <w:color w:val="auto"/>
          <w:highlight w:val="none"/>
        </w:rPr>
        <w:fldChar w:fldCharType="begin"/>
      </w:r>
      <w:r>
        <w:rPr>
          <w:color w:val="auto"/>
          <w:highlight w:val="none"/>
        </w:rPr>
        <w:instrText xml:space="preserve"> PAGEREF _Toc30761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highlight w:val="none"/>
        </w:rPr>
        <w:fldChar w:fldCharType="end"/>
      </w:r>
    </w:p>
    <w:p>
      <w:pPr>
        <w:pStyle w:val="12"/>
        <w:tabs>
          <w:tab w:val="right" w:leader="dot" w:pos="9541"/>
          <w:tab w:val="clear" w:pos="9400"/>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_Toc1184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highlight w:val="none"/>
        </w:rPr>
        <w:t>第三章</w:t>
      </w:r>
      <w:r>
        <w:rPr>
          <w:rFonts w:hint="eastAsia" w:ascii="宋体" w:hAnsi="宋体" w:eastAsia="宋体" w:cs="宋体"/>
          <w:color w:val="auto"/>
          <w:spacing w:val="1"/>
          <w:highlight w:val="none"/>
          <w:lang w:val="en-US" w:eastAsia="zh-CN"/>
        </w:rPr>
        <w:t xml:space="preserve"> </w:t>
      </w:r>
      <w:r>
        <w:rPr>
          <w:rFonts w:hint="eastAsia" w:ascii="宋体" w:hAnsi="宋体" w:eastAsia="宋体" w:cs="宋体"/>
          <w:color w:val="auto"/>
          <w:spacing w:val="1"/>
          <w:highlight w:val="none"/>
        </w:rPr>
        <w:t>评标办法</w:t>
      </w:r>
      <w:r>
        <w:rPr>
          <w:color w:val="auto"/>
          <w:highlight w:val="none"/>
        </w:rPr>
        <w:tab/>
      </w:r>
      <w:r>
        <w:rPr>
          <w:color w:val="auto"/>
          <w:highlight w:val="none"/>
        </w:rPr>
        <w:fldChar w:fldCharType="begin"/>
      </w:r>
      <w:r>
        <w:rPr>
          <w:color w:val="auto"/>
          <w:highlight w:val="none"/>
        </w:rPr>
        <w:instrText xml:space="preserve"> PAGEREF _Toc1184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highlight w:val="none"/>
        </w:rPr>
        <w:fldChar w:fldCharType="end"/>
      </w:r>
    </w:p>
    <w:p>
      <w:pPr>
        <w:pStyle w:val="12"/>
        <w:tabs>
          <w:tab w:val="right" w:leader="dot" w:pos="9541"/>
          <w:tab w:val="clear" w:pos="9400"/>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_Toc14707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highlight w:val="none"/>
        </w:rPr>
        <w:t>第四章 磋商内容</w:t>
      </w:r>
      <w:r>
        <w:rPr>
          <w:color w:val="auto"/>
          <w:highlight w:val="none"/>
        </w:rPr>
        <w:tab/>
      </w:r>
      <w:r>
        <w:rPr>
          <w:color w:val="auto"/>
          <w:highlight w:val="none"/>
        </w:rPr>
        <w:fldChar w:fldCharType="begin"/>
      </w:r>
      <w:r>
        <w:rPr>
          <w:color w:val="auto"/>
          <w:highlight w:val="none"/>
        </w:rPr>
        <w:instrText xml:space="preserve"> PAGEREF _Toc14707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eastAsia="宋体" w:cs="宋体"/>
          <w:color w:val="auto"/>
          <w:highlight w:val="none"/>
        </w:rPr>
        <w:fldChar w:fldCharType="end"/>
      </w:r>
    </w:p>
    <w:p>
      <w:pPr>
        <w:pStyle w:val="12"/>
        <w:tabs>
          <w:tab w:val="right" w:pos="2400"/>
          <w:tab w:val="right" w:leader="dot" w:pos="9541"/>
          <w:tab w:val="clear" w:pos="9400"/>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_Toc14342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第五章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ab/>
      </w:r>
      <w:r>
        <w:rPr>
          <w:rFonts w:hint="eastAsia" w:ascii="宋体" w:hAnsi="宋体" w:eastAsia="宋体" w:cs="宋体"/>
          <w:color w:val="auto"/>
          <w:highlight w:val="none"/>
        </w:rPr>
        <w:t>合同条款及合同格式</w:t>
      </w:r>
      <w:r>
        <w:rPr>
          <w:color w:val="auto"/>
          <w:highlight w:val="none"/>
        </w:rPr>
        <w:tab/>
      </w:r>
      <w:r>
        <w:rPr>
          <w:color w:val="auto"/>
          <w:highlight w:val="none"/>
        </w:rPr>
        <w:fldChar w:fldCharType="begin"/>
      </w:r>
      <w:r>
        <w:rPr>
          <w:color w:val="auto"/>
          <w:highlight w:val="none"/>
        </w:rPr>
        <w:instrText xml:space="preserve"> PAGEREF _Toc14342 </w:instrText>
      </w:r>
      <w:r>
        <w:rPr>
          <w:color w:val="auto"/>
          <w:highlight w:val="none"/>
        </w:rPr>
        <w:fldChar w:fldCharType="separate"/>
      </w:r>
      <w:r>
        <w:rPr>
          <w:color w:val="auto"/>
          <w:highlight w:val="none"/>
        </w:rPr>
        <w:t>53</w:t>
      </w:r>
      <w:r>
        <w:rPr>
          <w:color w:val="auto"/>
          <w:highlight w:val="none"/>
        </w:rPr>
        <w:fldChar w:fldCharType="end"/>
      </w:r>
      <w:r>
        <w:rPr>
          <w:rFonts w:hint="eastAsia" w:ascii="宋体" w:hAnsi="宋体" w:eastAsia="宋体" w:cs="宋体"/>
          <w:color w:val="auto"/>
          <w:highlight w:val="none"/>
        </w:rPr>
        <w:fldChar w:fldCharType="end"/>
      </w:r>
    </w:p>
    <w:p>
      <w:pPr>
        <w:pStyle w:val="12"/>
        <w:tabs>
          <w:tab w:val="right" w:pos="2400"/>
          <w:tab w:val="right" w:leader="dot" w:pos="9541"/>
          <w:tab w:val="clear" w:pos="9400"/>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_Toc8733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highlight w:val="none"/>
        </w:rPr>
        <w:t>第六章</w:t>
      </w:r>
      <w:r>
        <w:rPr>
          <w:rFonts w:hint="eastAsia" w:ascii="宋体" w:hAnsi="宋体" w:eastAsia="宋体" w:cs="宋体"/>
          <w:color w:val="auto"/>
          <w:spacing w:val="1"/>
          <w:highlight w:val="none"/>
        </w:rPr>
        <w:tab/>
      </w:r>
      <w:r>
        <w:rPr>
          <w:rFonts w:hint="eastAsia" w:ascii="宋体" w:hAnsi="宋体" w:cs="宋体"/>
          <w:color w:val="auto"/>
          <w:w w:val="95"/>
          <w:highlight w:val="none"/>
          <w:lang w:val="en-US" w:eastAsia="zh-CN"/>
        </w:rPr>
        <w:t xml:space="preserve"> </w:t>
      </w:r>
      <w:r>
        <w:rPr>
          <w:rFonts w:hint="eastAsia" w:ascii="宋体" w:hAnsi="宋体" w:eastAsia="宋体" w:cs="宋体"/>
          <w:color w:val="auto"/>
          <w:highlight w:val="none"/>
        </w:rPr>
        <w:t>磋商响应性文件格式</w:t>
      </w:r>
      <w:r>
        <w:rPr>
          <w:color w:val="auto"/>
          <w:highlight w:val="none"/>
        </w:rPr>
        <w:tab/>
      </w:r>
      <w:r>
        <w:rPr>
          <w:color w:val="auto"/>
          <w:highlight w:val="none"/>
        </w:rPr>
        <w:fldChar w:fldCharType="begin"/>
      </w:r>
      <w:r>
        <w:rPr>
          <w:color w:val="auto"/>
          <w:highlight w:val="none"/>
        </w:rPr>
        <w:instrText xml:space="preserve"> PAGEREF _Toc8733 </w:instrText>
      </w:r>
      <w:r>
        <w:rPr>
          <w:color w:val="auto"/>
          <w:highlight w:val="none"/>
        </w:rPr>
        <w:fldChar w:fldCharType="separate"/>
      </w:r>
      <w:r>
        <w:rPr>
          <w:color w:val="auto"/>
          <w:highlight w:val="none"/>
        </w:rPr>
        <w:t>57</w:t>
      </w:r>
      <w:r>
        <w:rPr>
          <w:color w:val="auto"/>
          <w:highlight w:val="none"/>
        </w:rPr>
        <w:fldChar w:fldCharType="end"/>
      </w:r>
      <w:r>
        <w:rPr>
          <w:rFonts w:hint="eastAsia" w:ascii="宋体" w:hAnsi="宋体" w:eastAsia="宋体" w:cs="宋体"/>
          <w:color w:val="auto"/>
          <w:highlight w:val="none"/>
        </w:rPr>
        <w:fldChar w:fldCharType="end"/>
      </w:r>
    </w:p>
    <w:p>
      <w:pPr>
        <w:pStyle w:val="3"/>
        <w:ind w:firstLine="643" w:firstLineChars="200"/>
        <w:rPr>
          <w:rFonts w:hint="eastAsia" w:ascii="宋体" w:hAnsi="宋体" w:eastAsia="宋体" w:cs="宋体"/>
          <w:color w:val="auto"/>
          <w:highlight w:val="none"/>
        </w:rPr>
      </w:pPr>
      <w:r>
        <w:rPr>
          <w:rFonts w:hint="eastAsia" w:ascii="宋体" w:hAnsi="宋体" w:eastAsia="宋体" w:cs="宋体"/>
          <w:color w:val="auto"/>
          <w:highlight w:val="none"/>
        </w:rPr>
        <w:fldChar w:fldCharType="end"/>
      </w:r>
      <w:bookmarkStart w:id="2" w:name="_Toc6155"/>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宋体" w:hAnsi="宋体" w:eastAsia="宋体" w:cs="宋体"/>
          <w:color w:val="auto"/>
          <w:w w:val="95"/>
          <w:highlight w:val="none"/>
        </w:rPr>
        <w:t>第一章</w:t>
      </w:r>
      <w:r>
        <w:rPr>
          <w:rFonts w:hint="eastAsia" w:ascii="宋体" w:hAnsi="宋体" w:eastAsia="宋体" w:cs="宋体"/>
          <w:color w:val="auto"/>
          <w:highlight w:val="none"/>
        </w:rPr>
        <w:t>投标邀请书</w:t>
      </w:r>
      <w:bookmarkEnd w:id="2"/>
    </w:p>
    <w:p>
      <w:pPr>
        <w:pStyle w:val="3"/>
        <w:tabs>
          <w:tab w:val="left" w:pos="0"/>
        </w:tabs>
        <w:autoSpaceDE w:val="0"/>
        <w:autoSpaceDN w:val="0"/>
        <w:adjustRightInd w:val="0"/>
        <w:spacing w:before="0" w:after="0" w:line="360" w:lineRule="auto"/>
        <w:ind w:firstLine="643" w:firstLineChars="200"/>
        <w:jc w:val="center"/>
        <w:rPr>
          <w:rFonts w:ascii="华文中宋" w:hAnsi="华文中宋" w:eastAsia="华文中宋"/>
          <w:color w:val="auto"/>
          <w:highlight w:val="none"/>
        </w:rPr>
      </w:pPr>
      <w:bookmarkStart w:id="3" w:name="_Toc15730"/>
      <w:bookmarkStart w:id="4" w:name="_Toc35393797"/>
      <w:bookmarkStart w:id="5" w:name="_Toc28359011"/>
      <w:r>
        <w:rPr>
          <w:rFonts w:hint="eastAsia" w:ascii="华文中宋" w:hAnsi="华文中宋" w:eastAsia="华文中宋"/>
          <w:color w:val="auto"/>
          <w:highlight w:val="none"/>
        </w:rPr>
        <w:t>竞争性磋商公告</w:t>
      </w:r>
      <w:bookmarkEnd w:id="3"/>
      <w:bookmarkEnd w:id="4"/>
      <w:bookmarkEnd w:id="5"/>
    </w:p>
    <w:p>
      <w:pPr>
        <w:rPr>
          <w:color w:val="auto"/>
          <w:highlight w:val="none"/>
        </w:rPr>
      </w:pP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val="en-US" w:eastAsia="zh-CN"/>
        </w:rPr>
        <w:t>新疆维吾尔自治区文化馆建设录音棚项目（二次）</w:t>
      </w:r>
      <w:r>
        <w:rPr>
          <w:rFonts w:hint="eastAsia" w:ascii="宋体" w:hAnsi="宋体" w:eastAsia="宋体" w:cs="宋体"/>
          <w:color w:val="auto"/>
          <w:sz w:val="28"/>
          <w:szCs w:val="28"/>
          <w:highlight w:val="none"/>
        </w:rPr>
        <w:t>采购项目的潜在供应商应在</w:t>
      </w:r>
      <w:r>
        <w:rPr>
          <w:rFonts w:hint="eastAsia" w:ascii="宋体" w:hAnsi="宋体" w:eastAsia="宋体" w:cs="宋体"/>
          <w:color w:val="auto"/>
          <w:sz w:val="28"/>
          <w:szCs w:val="28"/>
          <w:highlight w:val="none"/>
          <w:u w:val="single"/>
        </w:rPr>
        <w:t>新疆维吾尔自治区乌鲁木齐市水磨沟区会展大道1119号大成尔雅生活广场第一栋第十八层A座1806号房</w:t>
      </w:r>
      <w:r>
        <w:rPr>
          <w:rFonts w:hint="eastAsia" w:ascii="宋体" w:hAnsi="宋体" w:eastAsia="宋体" w:cs="宋体"/>
          <w:color w:val="auto"/>
          <w:sz w:val="28"/>
          <w:szCs w:val="28"/>
          <w:highlight w:val="none"/>
        </w:rPr>
        <w:t>获取采购文件，并于</w:t>
      </w:r>
      <w:r>
        <w:rPr>
          <w:rFonts w:hint="eastAsia" w:ascii="宋体" w:hAnsi="宋体" w:eastAsia="宋体" w:cs="宋体"/>
          <w:color w:val="auto"/>
          <w:sz w:val="28"/>
          <w:szCs w:val="28"/>
          <w:highlight w:val="none"/>
          <w:u w:val="single"/>
          <w:lang w:val="en-US" w:eastAsia="zh-CN"/>
        </w:rPr>
        <w:t>2021</w:t>
      </w:r>
      <w:r>
        <w:rPr>
          <w:rFonts w:hint="eastAsia" w:ascii="宋体" w:hAnsi="宋体" w:eastAsia="宋体" w:cs="宋体"/>
          <w:color w:val="auto"/>
          <w:sz w:val="28"/>
          <w:szCs w:val="28"/>
          <w:highlight w:val="none"/>
          <w:u w:val="single"/>
        </w:rPr>
        <w:t>年</w:t>
      </w:r>
      <w:r>
        <w:rPr>
          <w:rFonts w:hint="eastAsia" w:ascii="宋体" w:hAnsi="宋体" w:cs="宋体"/>
          <w:color w:val="auto"/>
          <w:sz w:val="28"/>
          <w:szCs w:val="28"/>
          <w:highlight w:val="none"/>
          <w:u w:val="single"/>
          <w:lang w:val="en-US" w:eastAsia="zh-CN"/>
        </w:rPr>
        <w:t>12</w:t>
      </w:r>
      <w:r>
        <w:rPr>
          <w:rFonts w:hint="eastAsia" w:ascii="宋体" w:hAnsi="宋体" w:eastAsia="宋体" w:cs="宋体"/>
          <w:color w:val="auto"/>
          <w:sz w:val="28"/>
          <w:szCs w:val="28"/>
          <w:highlight w:val="none"/>
          <w:u w:val="single"/>
        </w:rPr>
        <w:t>月</w:t>
      </w:r>
      <w:r>
        <w:rPr>
          <w:rFonts w:hint="eastAsia" w:ascii="宋体" w:hAnsi="宋体" w:cs="宋体"/>
          <w:color w:val="auto"/>
          <w:sz w:val="28"/>
          <w:szCs w:val="28"/>
          <w:highlight w:val="none"/>
          <w:u w:val="single"/>
          <w:lang w:val="en-US" w:eastAsia="zh-CN"/>
        </w:rPr>
        <w:t>07</w:t>
      </w:r>
      <w:r>
        <w:rPr>
          <w:rFonts w:hint="eastAsia" w:ascii="宋体" w:hAnsi="宋体" w:eastAsia="宋体" w:cs="宋体"/>
          <w:color w:val="auto"/>
          <w:sz w:val="28"/>
          <w:szCs w:val="28"/>
          <w:highlight w:val="none"/>
          <w:u w:val="single"/>
        </w:rPr>
        <w:t>日</w:t>
      </w:r>
      <w:r>
        <w:rPr>
          <w:rFonts w:hint="eastAsia" w:ascii="宋体" w:hAnsi="宋体" w:eastAsia="宋体" w:cs="宋体"/>
          <w:color w:val="auto"/>
          <w:sz w:val="28"/>
          <w:szCs w:val="28"/>
          <w:highlight w:val="none"/>
          <w:u w:val="single"/>
          <w:lang w:val="en-US" w:eastAsia="zh-CN"/>
        </w:rPr>
        <w:t>11</w:t>
      </w:r>
      <w:r>
        <w:rPr>
          <w:rFonts w:hint="eastAsia" w:ascii="宋体" w:hAnsi="宋体" w:eastAsia="宋体" w:cs="宋体"/>
          <w:color w:val="auto"/>
          <w:sz w:val="28"/>
          <w:szCs w:val="28"/>
          <w:highlight w:val="none"/>
          <w:u w:val="single"/>
        </w:rPr>
        <w:t>点</w:t>
      </w:r>
      <w:r>
        <w:rPr>
          <w:rFonts w:hint="eastAsia" w:ascii="宋体" w:hAnsi="宋体" w:eastAsia="宋体" w:cs="宋体"/>
          <w:color w:val="auto"/>
          <w:sz w:val="28"/>
          <w:szCs w:val="28"/>
          <w:highlight w:val="none"/>
          <w:u w:val="single"/>
          <w:lang w:val="en-US" w:eastAsia="zh-CN"/>
        </w:rPr>
        <w:t>00</w:t>
      </w:r>
      <w:r>
        <w:rPr>
          <w:rFonts w:hint="eastAsia" w:ascii="宋体" w:hAnsi="宋体" w:eastAsia="宋体" w:cs="宋体"/>
          <w:color w:val="auto"/>
          <w:sz w:val="28"/>
          <w:szCs w:val="28"/>
          <w:highlight w:val="none"/>
          <w:u w:val="single"/>
        </w:rPr>
        <w:t>分</w:t>
      </w:r>
      <w:r>
        <w:rPr>
          <w:rFonts w:hint="eastAsia" w:ascii="宋体" w:hAnsi="宋体" w:eastAsia="宋体" w:cs="宋体"/>
          <w:bCs/>
          <w:color w:val="auto"/>
          <w:sz w:val="28"/>
          <w:szCs w:val="28"/>
          <w:highlight w:val="none"/>
        </w:rPr>
        <w:t>（北京时间）前提交响应文件</w:t>
      </w:r>
      <w:r>
        <w:rPr>
          <w:rFonts w:hint="eastAsia" w:ascii="宋体" w:hAnsi="宋体" w:eastAsia="宋体" w:cs="宋体"/>
          <w:color w:val="auto"/>
          <w:sz w:val="28"/>
          <w:szCs w:val="28"/>
          <w:highlight w:val="none"/>
        </w:rPr>
        <w:t>。</w:t>
      </w:r>
    </w:p>
    <w:p>
      <w:pPr>
        <w:rPr>
          <w:color w:val="auto"/>
          <w:highlight w:val="none"/>
        </w:rPr>
      </w:pPr>
    </w:p>
    <w:p>
      <w:pPr>
        <w:spacing w:line="360" w:lineRule="auto"/>
        <w:ind w:firstLine="562" w:firstLineChars="200"/>
        <w:jc w:val="left"/>
        <w:outlineLvl w:val="9"/>
        <w:rPr>
          <w:rFonts w:ascii="黑体" w:hAnsi="黑体" w:cs="宋体"/>
          <w:b/>
          <w:bCs w:val="0"/>
          <w:color w:val="auto"/>
          <w:sz w:val="28"/>
          <w:szCs w:val="28"/>
          <w:highlight w:val="none"/>
        </w:rPr>
      </w:pPr>
      <w:bookmarkStart w:id="6" w:name="_Toc28359089"/>
      <w:bookmarkStart w:id="7" w:name="_Toc28359012"/>
      <w:bookmarkStart w:id="8" w:name="_Toc35393629"/>
      <w:bookmarkStart w:id="9" w:name="_Toc35393798"/>
      <w:r>
        <w:rPr>
          <w:rFonts w:hint="eastAsia" w:ascii="黑体" w:hAnsi="黑体" w:cs="宋体"/>
          <w:b/>
          <w:bCs w:val="0"/>
          <w:color w:val="auto"/>
          <w:sz w:val="28"/>
          <w:szCs w:val="28"/>
          <w:highlight w:val="none"/>
        </w:rPr>
        <w:t>一、项目基本情况</w:t>
      </w:r>
      <w:bookmarkEnd w:id="6"/>
      <w:bookmarkEnd w:id="7"/>
      <w:bookmarkEnd w:id="8"/>
      <w:bookmarkEnd w:id="9"/>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b w:val="0"/>
          <w:bCs w:val="0"/>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项目编号：</w:t>
      </w:r>
      <w:r>
        <w:rPr>
          <w:rFonts w:hint="eastAsia" w:ascii="宋体" w:hAnsi="宋体" w:eastAsia="宋体" w:cs="宋体"/>
          <w:b w:val="0"/>
          <w:bCs w:val="0"/>
          <w:i w:val="0"/>
          <w:iCs w:val="0"/>
          <w:color w:val="auto"/>
          <w:sz w:val="24"/>
          <w:szCs w:val="24"/>
          <w:highlight w:val="none"/>
          <w:lang w:val="en-US" w:eastAsia="zh-CN"/>
        </w:rPr>
        <w:t>XJXECWLMQ-20210</w:t>
      </w:r>
      <w:r>
        <w:rPr>
          <w:rFonts w:hint="eastAsia" w:ascii="宋体" w:hAnsi="宋体" w:cs="宋体"/>
          <w:b w:val="0"/>
          <w:bCs w:val="0"/>
          <w:i w:val="0"/>
          <w:iCs w:val="0"/>
          <w:color w:val="auto"/>
          <w:sz w:val="24"/>
          <w:szCs w:val="24"/>
          <w:highlight w:val="none"/>
          <w:lang w:val="en-US" w:eastAsia="zh-CN"/>
        </w:rPr>
        <w:t>33</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项目名称：</w:t>
      </w:r>
      <w:r>
        <w:rPr>
          <w:rFonts w:hint="eastAsia" w:ascii="宋体" w:hAnsi="宋体" w:cs="宋体"/>
          <w:b w:val="0"/>
          <w:bCs w:val="0"/>
          <w:i w:val="0"/>
          <w:iCs w:val="0"/>
          <w:color w:val="auto"/>
          <w:sz w:val="24"/>
          <w:szCs w:val="24"/>
          <w:highlight w:val="none"/>
          <w:lang w:val="en-US" w:eastAsia="zh-CN"/>
        </w:rPr>
        <w:t>新疆维吾尔自治区文化馆建设录音棚项目（二次）</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采购方式：</w:t>
      </w:r>
      <w:r>
        <w:rPr>
          <w:rFonts w:hint="eastAsia" w:ascii="宋体" w:hAnsi="宋体" w:eastAsia="宋体" w:cs="宋体"/>
          <w:b w:val="0"/>
          <w:bCs w:val="0"/>
          <w:i w:val="0"/>
          <w:iCs w:val="0"/>
          <w:color w:val="auto"/>
          <w:sz w:val="24"/>
          <w:szCs w:val="24"/>
          <w:highlight w:val="none"/>
          <w:lang w:val="en-US" w:eastAsia="zh-CN"/>
        </w:rPr>
        <w:t xml:space="preserve">□竞争性谈判 </w:t>
      </w:r>
      <w:r>
        <w:rPr>
          <w:rFonts w:hint="eastAsia" w:ascii="宋体" w:hAnsi="宋体" w:eastAsia="宋体" w:cs="宋体"/>
          <w:b w:val="0"/>
          <w:bCs w:val="0"/>
          <w:i w:val="0"/>
          <w:iCs w:val="0"/>
          <w:color w:val="auto"/>
          <w:sz w:val="24"/>
          <w:szCs w:val="24"/>
          <w:highlight w:val="none"/>
          <w:lang w:val="en-US" w:eastAsia="zh-CN"/>
        </w:rPr>
        <w:sym w:font="Wingdings 2" w:char="0052"/>
      </w:r>
      <w:r>
        <w:rPr>
          <w:rFonts w:hint="eastAsia" w:ascii="宋体" w:hAnsi="宋体" w:eastAsia="宋体" w:cs="宋体"/>
          <w:b w:val="0"/>
          <w:bCs w:val="0"/>
          <w:i w:val="0"/>
          <w:iCs w:val="0"/>
          <w:color w:val="auto"/>
          <w:sz w:val="24"/>
          <w:szCs w:val="24"/>
          <w:highlight w:val="none"/>
          <w:lang w:val="en-US" w:eastAsia="zh-CN"/>
        </w:rPr>
        <w:t>竞争性磋商 □询价</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预算金额：</w:t>
      </w:r>
      <w:r>
        <w:rPr>
          <w:rFonts w:hint="eastAsia" w:ascii="宋体" w:hAnsi="宋体" w:cs="宋体"/>
          <w:b w:val="0"/>
          <w:bCs w:val="0"/>
          <w:i w:val="0"/>
          <w:iCs w:val="0"/>
          <w:color w:val="auto"/>
          <w:sz w:val="24"/>
          <w:szCs w:val="24"/>
          <w:highlight w:val="none"/>
          <w:lang w:val="en-US" w:eastAsia="zh-CN"/>
        </w:rPr>
        <w:t>30.00万元</w:t>
      </w:r>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最高限价：</w:t>
      </w:r>
      <w:r>
        <w:rPr>
          <w:rFonts w:hint="eastAsia" w:ascii="宋体" w:hAnsi="宋体" w:cs="宋体"/>
          <w:b w:val="0"/>
          <w:bCs w:val="0"/>
          <w:i w:val="0"/>
          <w:iCs w:val="0"/>
          <w:color w:val="auto"/>
          <w:sz w:val="24"/>
          <w:szCs w:val="24"/>
          <w:highlight w:val="none"/>
          <w:lang w:val="en-US" w:eastAsia="zh-CN"/>
        </w:rPr>
        <w:t>30.00万元</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采购需求：</w:t>
      </w:r>
      <w:r>
        <w:rPr>
          <w:rFonts w:hint="eastAsia" w:ascii="宋体" w:hAnsi="宋体" w:cs="宋体"/>
          <w:b w:val="0"/>
          <w:bCs w:val="0"/>
          <w:i w:val="0"/>
          <w:iCs w:val="0"/>
          <w:color w:val="auto"/>
          <w:sz w:val="24"/>
          <w:szCs w:val="24"/>
          <w:highlight w:val="none"/>
          <w:lang w:val="en-US" w:eastAsia="zh-CN"/>
        </w:rPr>
        <w:t>为了满足文化馆业务干部对录音和作曲的需求，我馆在2楼琴房改建为多功能录音棚，主要用于人声录制、馆内的小型乐队和小组合唱录制、兼做音频后期制作及作曲等</w:t>
      </w:r>
      <w:r>
        <w:rPr>
          <w:rFonts w:hint="eastAsia" w:ascii="宋体" w:hAnsi="宋体" w:eastAsia="宋体" w:cs="宋体"/>
          <w:b w:val="0"/>
          <w:bCs w:val="0"/>
          <w:i w:val="0"/>
          <w:iCs w:val="0"/>
          <w:color w:val="auto"/>
          <w:sz w:val="24"/>
          <w:szCs w:val="24"/>
          <w:highlight w:val="none"/>
          <w:lang w:val="en-US" w:eastAsia="zh-CN"/>
        </w:rPr>
        <w:t>（详细说明见磋商文件）。</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合同履行期限：</w:t>
      </w:r>
      <w:r>
        <w:rPr>
          <w:rFonts w:hint="eastAsia" w:ascii="宋体" w:hAnsi="宋体" w:cs="宋体"/>
          <w:b w:val="0"/>
          <w:bCs w:val="0"/>
          <w:i w:val="0"/>
          <w:iCs w:val="0"/>
          <w:color w:val="auto"/>
          <w:sz w:val="24"/>
          <w:szCs w:val="24"/>
          <w:highlight w:val="none"/>
          <w:lang w:val="en-US" w:eastAsia="zh-CN"/>
        </w:rPr>
        <w:t>签订合同后，30天内</w:t>
      </w:r>
      <w:r>
        <w:rPr>
          <w:rFonts w:hint="eastAsia" w:ascii="宋体" w:hAnsi="宋体" w:cs="宋体"/>
          <w:bCs/>
          <w:color w:val="auto"/>
          <w:sz w:val="24"/>
          <w:highlight w:val="none"/>
        </w:rPr>
        <w:t>供货安装调试完毕</w:t>
      </w:r>
      <w:r>
        <w:rPr>
          <w:rFonts w:hint="eastAsia" w:ascii="宋体" w:hAnsi="宋体" w:cs="宋体"/>
          <w:b w:val="0"/>
          <w:bCs w:val="0"/>
          <w:i w:val="0"/>
          <w:iCs w:val="0"/>
          <w:color w:val="auto"/>
          <w:sz w:val="24"/>
          <w:szCs w:val="24"/>
          <w:highlight w:val="none"/>
          <w:lang w:val="en-US" w:eastAsia="zh-CN"/>
        </w:rPr>
        <w:t>并验收合格</w:t>
      </w:r>
      <w:r>
        <w:rPr>
          <w:rFonts w:hint="eastAsia" w:ascii="宋体" w:hAnsi="宋体" w:eastAsia="宋体" w:cs="宋体"/>
          <w:b w:val="0"/>
          <w:bCs w:val="0"/>
          <w:i w:val="0"/>
          <w:iCs w:val="0"/>
          <w:color w:val="auto"/>
          <w:sz w:val="24"/>
          <w:szCs w:val="24"/>
          <w:highlight w:val="none"/>
          <w:lang w:val="en-US"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本项目不接受联合体。</w:t>
      </w:r>
    </w:p>
    <w:p>
      <w:pPr>
        <w:spacing w:line="360" w:lineRule="auto"/>
        <w:ind w:firstLine="562" w:firstLineChars="200"/>
        <w:jc w:val="both"/>
        <w:outlineLvl w:val="9"/>
        <w:rPr>
          <w:rFonts w:ascii="黑体" w:hAnsi="黑体" w:cs="宋体"/>
          <w:b/>
          <w:bCs w:val="0"/>
          <w:color w:val="auto"/>
          <w:sz w:val="28"/>
          <w:szCs w:val="28"/>
          <w:highlight w:val="none"/>
        </w:rPr>
      </w:pPr>
      <w:bookmarkStart w:id="10" w:name="_Toc28359013"/>
      <w:bookmarkStart w:id="11" w:name="_Toc35393630"/>
      <w:bookmarkStart w:id="12" w:name="_Toc28359090"/>
      <w:bookmarkStart w:id="13" w:name="_Toc35393799"/>
      <w:r>
        <w:rPr>
          <w:rFonts w:hint="eastAsia" w:ascii="黑体" w:hAnsi="黑体" w:cs="宋体"/>
          <w:b/>
          <w:bCs w:val="0"/>
          <w:color w:val="auto"/>
          <w:sz w:val="28"/>
          <w:szCs w:val="28"/>
          <w:highlight w:val="none"/>
        </w:rPr>
        <w:t>二、申请人的资格要求：</w:t>
      </w:r>
      <w:bookmarkEnd w:id="10"/>
      <w:bookmarkEnd w:id="11"/>
      <w:bookmarkEnd w:id="12"/>
      <w:bookmarkEnd w:id="13"/>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cs="宋体"/>
          <w:b/>
          <w:bCs/>
          <w:i w:val="0"/>
          <w:iCs w:val="0"/>
          <w:color w:val="auto"/>
          <w:sz w:val="24"/>
          <w:szCs w:val="24"/>
          <w:highlight w:val="none"/>
          <w:lang w:eastAsia="zh-CN"/>
        </w:rPr>
      </w:pPr>
      <w:bookmarkStart w:id="14" w:name="_Toc28359014"/>
      <w:bookmarkStart w:id="15" w:name="_Toc28359091"/>
      <w:bookmarkStart w:id="16" w:name="_Toc35393800"/>
      <w:bookmarkStart w:id="17" w:name="_Toc35393631"/>
      <w:r>
        <w:rPr>
          <w:rFonts w:hint="eastAsia" w:ascii="宋体" w:hAnsi="宋体" w:eastAsia="宋体" w:cs="宋体"/>
          <w:b/>
          <w:bCs/>
          <w:i w:val="0"/>
          <w:iCs w:val="0"/>
          <w:color w:val="auto"/>
          <w:sz w:val="24"/>
          <w:szCs w:val="24"/>
          <w:highlight w:val="none"/>
        </w:rPr>
        <w:t>1.满足《中华人民共和国政府采购法》第二十二条规定</w:t>
      </w:r>
      <w:r>
        <w:rPr>
          <w:rFonts w:hint="eastAsia" w:ascii="宋体" w:hAnsi="宋体" w:cs="宋体"/>
          <w:b/>
          <w:bCs/>
          <w:i w:val="0"/>
          <w:iCs w:val="0"/>
          <w:color w:val="auto"/>
          <w:sz w:val="24"/>
          <w:szCs w:val="24"/>
          <w:highlight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u w:val="none"/>
        </w:rPr>
        <w:t>（1）</w:t>
      </w:r>
      <w:r>
        <w:rPr>
          <w:rFonts w:hint="eastAsia" w:ascii="宋体" w:hAnsi="宋体" w:eastAsia="宋体" w:cs="宋体"/>
          <w:b w:val="0"/>
          <w:bCs w:val="0"/>
          <w:i w:val="0"/>
          <w:iCs w:val="0"/>
          <w:color w:val="auto"/>
          <w:sz w:val="24"/>
          <w:szCs w:val="24"/>
          <w:highlight w:val="none"/>
          <w:lang w:val="en-US" w:eastAsia="zh-CN"/>
        </w:rPr>
        <w:t>依法注册、具有合法的法人资格及独立承担民事责任的能力；</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u w:val="none"/>
        </w:rPr>
        <w:t>（</w:t>
      </w:r>
      <w:r>
        <w:rPr>
          <w:rFonts w:hint="eastAsia" w:ascii="宋体" w:hAnsi="宋体" w:cs="宋体"/>
          <w:b w:val="0"/>
          <w:bCs w:val="0"/>
          <w:i w:val="0"/>
          <w:iCs w:val="0"/>
          <w:color w:val="auto"/>
          <w:sz w:val="24"/>
          <w:szCs w:val="24"/>
          <w:highlight w:val="none"/>
          <w:u w:val="none"/>
          <w:lang w:val="en-US" w:eastAsia="zh-CN"/>
        </w:rPr>
        <w:t>2</w:t>
      </w:r>
      <w:r>
        <w:rPr>
          <w:rFonts w:hint="eastAsia" w:ascii="宋体" w:hAnsi="宋体" w:eastAsia="宋体" w:cs="宋体"/>
          <w:b w:val="0"/>
          <w:bCs w:val="0"/>
          <w:i w:val="0"/>
          <w:iCs w:val="0"/>
          <w:color w:val="auto"/>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具有良好的商业信誉和健全的财务会计制度；</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u w:val="none"/>
        </w:rPr>
        <w:t>（</w:t>
      </w:r>
      <w:r>
        <w:rPr>
          <w:rFonts w:hint="eastAsia" w:ascii="宋体" w:hAnsi="宋体" w:cs="宋体"/>
          <w:b w:val="0"/>
          <w:bCs w:val="0"/>
          <w:i w:val="0"/>
          <w:iCs w:val="0"/>
          <w:color w:val="auto"/>
          <w:sz w:val="24"/>
          <w:szCs w:val="24"/>
          <w:highlight w:val="none"/>
          <w:u w:val="none"/>
          <w:lang w:val="en-US" w:eastAsia="zh-CN"/>
        </w:rPr>
        <w:t>3</w:t>
      </w:r>
      <w:r>
        <w:rPr>
          <w:rFonts w:hint="eastAsia" w:ascii="宋体" w:hAnsi="宋体" w:eastAsia="宋体" w:cs="宋体"/>
          <w:b w:val="0"/>
          <w:bCs w:val="0"/>
          <w:i w:val="0"/>
          <w:iCs w:val="0"/>
          <w:color w:val="auto"/>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有依法缴纳税收和社会保障资金的良好纪录；</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u w:val="none"/>
        </w:rPr>
        <w:t>（</w:t>
      </w:r>
      <w:r>
        <w:rPr>
          <w:rFonts w:hint="eastAsia" w:ascii="宋体" w:hAnsi="宋体" w:cs="宋体"/>
          <w:b w:val="0"/>
          <w:bCs w:val="0"/>
          <w:i w:val="0"/>
          <w:iCs w:val="0"/>
          <w:color w:val="auto"/>
          <w:sz w:val="24"/>
          <w:szCs w:val="24"/>
          <w:highlight w:val="none"/>
          <w:u w:val="none"/>
          <w:lang w:val="en-US" w:eastAsia="zh-CN"/>
        </w:rPr>
        <w:t>4</w:t>
      </w:r>
      <w:r>
        <w:rPr>
          <w:rFonts w:hint="eastAsia" w:ascii="宋体" w:hAnsi="宋体" w:eastAsia="宋体" w:cs="宋体"/>
          <w:b w:val="0"/>
          <w:bCs w:val="0"/>
          <w:i w:val="0"/>
          <w:iCs w:val="0"/>
          <w:color w:val="auto"/>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具有履行合同所必需的专业技术能力；</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u w:val="none"/>
        </w:rPr>
        <w:t>（</w:t>
      </w:r>
      <w:r>
        <w:rPr>
          <w:rFonts w:hint="eastAsia" w:ascii="宋体" w:hAnsi="宋体" w:cs="宋体"/>
          <w:b w:val="0"/>
          <w:bCs w:val="0"/>
          <w:i w:val="0"/>
          <w:iCs w:val="0"/>
          <w:color w:val="auto"/>
          <w:sz w:val="24"/>
          <w:szCs w:val="24"/>
          <w:highlight w:val="none"/>
          <w:u w:val="none"/>
          <w:lang w:val="en-US" w:eastAsia="zh-CN"/>
        </w:rPr>
        <w:t>5</w:t>
      </w:r>
      <w:r>
        <w:rPr>
          <w:rFonts w:hint="eastAsia" w:ascii="宋体" w:hAnsi="宋体" w:eastAsia="宋体" w:cs="宋体"/>
          <w:b w:val="0"/>
          <w:bCs w:val="0"/>
          <w:i w:val="0"/>
          <w:iCs w:val="0"/>
          <w:color w:val="auto"/>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参加采购活动前三年内，在经营活动中没有重大违法记录；</w:t>
      </w:r>
    </w:p>
    <w:p>
      <w:pPr>
        <w:pageBreakBefore w:val="0"/>
        <w:widowControl w:val="0"/>
        <w:kinsoku/>
        <w:wordWrap/>
        <w:overflowPunct/>
        <w:topLinePunct w:val="0"/>
        <w:bidi w:val="0"/>
        <w:snapToGrid/>
        <w:spacing w:line="360" w:lineRule="auto"/>
        <w:ind w:left="0" w:leftChars="0" w:firstLine="480" w:firstLineChars="200"/>
        <w:textAlignment w:val="auto"/>
        <w:rPr>
          <w:rFonts w:hint="eastAsia"/>
          <w:color w:val="auto"/>
          <w:highlight w:val="none"/>
          <w:lang w:eastAsia="zh-CN"/>
        </w:rPr>
      </w:pPr>
      <w:r>
        <w:rPr>
          <w:rFonts w:hint="eastAsia" w:ascii="宋体" w:hAnsi="宋体" w:eastAsia="宋体" w:cs="宋体"/>
          <w:b w:val="0"/>
          <w:bCs w:val="0"/>
          <w:i w:val="0"/>
          <w:iCs w:val="0"/>
          <w:color w:val="auto"/>
          <w:sz w:val="24"/>
          <w:szCs w:val="24"/>
          <w:highlight w:val="none"/>
          <w:u w:val="none"/>
        </w:rPr>
        <w:t>（</w:t>
      </w:r>
      <w:r>
        <w:rPr>
          <w:rFonts w:hint="eastAsia" w:ascii="宋体" w:hAnsi="宋体" w:cs="宋体"/>
          <w:b w:val="0"/>
          <w:bCs w:val="0"/>
          <w:i w:val="0"/>
          <w:iCs w:val="0"/>
          <w:color w:val="auto"/>
          <w:sz w:val="24"/>
          <w:szCs w:val="24"/>
          <w:highlight w:val="none"/>
          <w:u w:val="none"/>
          <w:lang w:val="en-US" w:eastAsia="zh-CN"/>
        </w:rPr>
        <w:t>6</w:t>
      </w:r>
      <w:r>
        <w:rPr>
          <w:rFonts w:hint="eastAsia" w:ascii="宋体" w:hAnsi="宋体" w:eastAsia="宋体" w:cs="宋体"/>
          <w:b w:val="0"/>
          <w:bCs w:val="0"/>
          <w:i w:val="0"/>
          <w:iCs w:val="0"/>
          <w:color w:val="auto"/>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符合国家有关法律法规的规定；</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2.落实政府采购政策需满足的资格要求：</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 xml:space="preserve">（1）采购政策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 xml:space="preserve">政府采购应当优先采购本国货物、工程和服务，并执行节能产品、环境标志产品、中小企业、残疾人福利性单位、监狱企业等适宜本项目的政府采购政策。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 xml:space="preserve">（2）政策依据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1）财政部、国家发展改革委、生态环境部、市场监管总局《关于调整优化节能产品、环境标志产品政府采购执行机制的通知》（财库[2019]9号文）；</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2）财政部、生态环境部《关于印发环境标志产品政府采购品目清单的通知》（财库[2019]18号文）；</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 xml:space="preserve">3）财政部、发展改革委《关于印发节能产品政府采购品目清单的通知》（财库[2019]19号文）；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 xml:space="preserve">4）市场监管总局《市场监管总局关于发布参与实施政府采购节能产品、环境标志产品认证机构名录的公告》（2019年第16号）；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5）财政部、工业和信息化部关于印发《政府采购促进中小企业发展管理办法》的通知（财库﹝2020﹞46 号）；</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6）财政部、民政部、中国残疾人联合会《关于促进残疾人就业政府采购政策的通知》（财库[2017]141号）；</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7）财政部、司法部《关于政府采购支持监狱企业发展有关问题的通知》（财库[2014]68号文）。</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3.本项目的特</w:t>
      </w:r>
      <w:r>
        <w:rPr>
          <w:rFonts w:hint="eastAsia" w:ascii="宋体" w:hAnsi="宋体" w:eastAsia="宋体" w:cs="宋体"/>
          <w:b/>
          <w:bCs/>
          <w:i w:val="0"/>
          <w:iCs w:val="0"/>
          <w:color w:val="auto"/>
          <w:sz w:val="24"/>
          <w:szCs w:val="24"/>
          <w:highlight w:val="none"/>
          <w:lang w:val="en-US" w:eastAsia="zh-CN"/>
        </w:rPr>
        <w:t>定资</w:t>
      </w:r>
      <w:r>
        <w:rPr>
          <w:rFonts w:hint="eastAsia" w:ascii="宋体" w:hAnsi="宋体" w:eastAsia="宋体" w:cs="宋体"/>
          <w:b/>
          <w:bCs/>
          <w:i w:val="0"/>
          <w:iCs w:val="0"/>
          <w:color w:val="auto"/>
          <w:sz w:val="24"/>
          <w:szCs w:val="24"/>
          <w:highlight w:val="none"/>
        </w:rPr>
        <w:t>格要求</w:t>
      </w:r>
      <w:r>
        <w:rPr>
          <w:rFonts w:hint="eastAsia" w:ascii="宋体" w:hAnsi="宋体" w:eastAsia="宋体" w:cs="宋体"/>
          <w:i w:val="0"/>
          <w:iCs w:val="0"/>
          <w:color w:val="auto"/>
          <w:sz w:val="24"/>
          <w:szCs w:val="24"/>
          <w:highlight w:val="none"/>
        </w:rPr>
        <w:t>：</w:t>
      </w:r>
    </w:p>
    <w:p>
      <w:pPr>
        <w:pageBreakBefore w:val="0"/>
        <w:widowControl w:val="0"/>
        <w:kinsoku/>
        <w:wordWrap/>
        <w:overflowPunct/>
        <w:topLinePunct w:val="0"/>
        <w:bidi w:val="0"/>
        <w:snapToGrid/>
        <w:spacing w:line="360" w:lineRule="auto"/>
        <w:ind w:left="0" w:leftChars="0" w:firstLine="480" w:firstLineChars="200"/>
        <w:textAlignment w:val="auto"/>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rPr>
        <w:t>（</w:t>
      </w:r>
      <w:r>
        <w:rPr>
          <w:rFonts w:hint="eastAsia" w:ascii="宋体" w:hAnsi="宋体" w:eastAsia="宋体" w:cs="宋体"/>
          <w:i w:val="0"/>
          <w:iCs w:val="0"/>
          <w:color w:val="auto"/>
          <w:sz w:val="24"/>
          <w:szCs w:val="24"/>
          <w:highlight w:val="none"/>
          <w:u w:val="none"/>
          <w:lang w:val="en-US" w:eastAsia="zh-CN"/>
        </w:rPr>
        <w:t>1</w:t>
      </w:r>
      <w:r>
        <w:rPr>
          <w:rFonts w:hint="eastAsia" w:ascii="宋体" w:hAnsi="宋体" w:eastAsia="宋体" w:cs="宋体"/>
          <w:i w:val="0"/>
          <w:iCs w:val="0"/>
          <w:color w:val="auto"/>
          <w:sz w:val="24"/>
          <w:szCs w:val="24"/>
          <w:highlight w:val="none"/>
          <w:u w:val="none"/>
        </w:rPr>
        <w:t>）</w:t>
      </w:r>
      <w:r>
        <w:rPr>
          <w:rFonts w:hint="eastAsia" w:ascii="宋体" w:hAnsi="宋体"/>
          <w:bCs/>
          <w:color w:val="auto"/>
          <w:sz w:val="24"/>
          <w:szCs w:val="24"/>
          <w:highlight w:val="none"/>
          <w:lang w:eastAsia="zh-CN"/>
        </w:rPr>
        <w:t>供应商</w:t>
      </w:r>
      <w:r>
        <w:rPr>
          <w:rFonts w:hint="eastAsia" w:ascii="宋体" w:hAnsi="宋体"/>
          <w:bCs/>
          <w:color w:val="auto"/>
          <w:sz w:val="24"/>
          <w:szCs w:val="24"/>
          <w:highlight w:val="none"/>
        </w:rPr>
        <w:t>需在中华人民共和国境内注册，具有</w:t>
      </w:r>
      <w:r>
        <w:rPr>
          <w:rFonts w:hint="eastAsia" w:ascii="宋体" w:hAnsi="宋体" w:cs="宋体"/>
          <w:bCs/>
          <w:color w:val="auto"/>
          <w:sz w:val="24"/>
          <w:szCs w:val="24"/>
          <w:highlight w:val="none"/>
        </w:rPr>
        <w:t>信誉良好的</w:t>
      </w:r>
      <w:r>
        <w:rPr>
          <w:rFonts w:hint="eastAsia" w:ascii="宋体" w:hAnsi="宋体"/>
          <w:bCs/>
          <w:color w:val="auto"/>
          <w:sz w:val="24"/>
          <w:szCs w:val="24"/>
          <w:highlight w:val="none"/>
        </w:rPr>
        <w:t>独立法人资格，</w:t>
      </w:r>
      <w:r>
        <w:rPr>
          <w:rFonts w:hint="eastAsia" w:ascii="宋体" w:hAnsi="宋体" w:cs="宋体"/>
          <w:bCs/>
          <w:color w:val="auto"/>
          <w:sz w:val="24"/>
          <w:szCs w:val="24"/>
          <w:highlight w:val="none"/>
        </w:rPr>
        <w:t>事业单位法人证书或工商营业执照通过年检合格有效</w:t>
      </w:r>
      <w:r>
        <w:rPr>
          <w:rFonts w:hint="eastAsia" w:ascii="宋体" w:hAnsi="宋体" w:eastAsia="宋体" w:cs="宋体"/>
          <w:i w:val="0"/>
          <w:iCs w:val="0"/>
          <w:color w:val="auto"/>
          <w:sz w:val="24"/>
          <w:szCs w:val="24"/>
          <w:highlight w:val="none"/>
          <w:u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rPr>
        <w:t>（</w:t>
      </w:r>
      <w:r>
        <w:rPr>
          <w:rFonts w:hint="eastAsia" w:ascii="宋体" w:hAnsi="宋体" w:cs="宋体"/>
          <w:i w:val="0"/>
          <w:iCs w:val="0"/>
          <w:color w:val="auto"/>
          <w:sz w:val="24"/>
          <w:szCs w:val="24"/>
          <w:highlight w:val="none"/>
          <w:u w:val="none"/>
          <w:lang w:val="en-US" w:eastAsia="zh-CN"/>
        </w:rPr>
        <w:t>2</w:t>
      </w:r>
      <w:r>
        <w:rPr>
          <w:rFonts w:hint="eastAsia" w:ascii="宋体" w:hAnsi="宋体" w:eastAsia="宋体" w:cs="宋体"/>
          <w:i w:val="0"/>
          <w:iCs w:val="0"/>
          <w:color w:val="auto"/>
          <w:sz w:val="24"/>
          <w:szCs w:val="24"/>
          <w:highlight w:val="none"/>
          <w:u w:val="none"/>
        </w:rPr>
        <w:t>）供应商应在“信用中国”网站（</w:t>
      </w:r>
      <w:r>
        <w:rPr>
          <w:rFonts w:hint="eastAsia"/>
          <w:color w:val="auto"/>
          <w:highlight w:val="none"/>
        </w:rPr>
        <w:t>www.creditchina.gov.cn）</w:t>
      </w:r>
      <w:r>
        <w:rPr>
          <w:rFonts w:hint="eastAsia" w:ascii="宋体" w:hAnsi="宋体" w:eastAsia="宋体" w:cs="宋体"/>
          <w:i w:val="0"/>
          <w:iCs w:val="0"/>
          <w:color w:val="auto"/>
          <w:sz w:val="24"/>
          <w:szCs w:val="24"/>
          <w:highlight w:val="none"/>
          <w:u w:val="none"/>
        </w:rPr>
        <w:t>未被列入失信被执行人记录、重大税收违法案件当事人名单且在中国政府采购网</w:t>
      </w:r>
      <w:r>
        <w:rPr>
          <w:rFonts w:hint="eastAsia"/>
          <w:color w:val="auto"/>
          <w:highlight w:val="none"/>
        </w:rPr>
        <w:t>（www.ccgp.gov.cn）</w:t>
      </w:r>
      <w:r>
        <w:rPr>
          <w:rFonts w:hint="eastAsia" w:ascii="宋体" w:hAnsi="宋体" w:eastAsia="宋体" w:cs="宋体"/>
          <w:i w:val="0"/>
          <w:iCs w:val="0"/>
          <w:color w:val="auto"/>
          <w:sz w:val="24"/>
          <w:szCs w:val="24"/>
          <w:highlight w:val="none"/>
          <w:u w:val="none"/>
        </w:rPr>
        <w:t>没有相关主体政府采购严重违法失信行为记录（被禁止在一定期限内参加政府采购活动但期限届满的除外）（查询日期为从采购文件发售之日起至投标截止日前）</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以网页截图</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需显示查询时间）</w:t>
      </w:r>
      <w:r>
        <w:rPr>
          <w:rFonts w:hint="eastAsia" w:ascii="宋体" w:hAnsi="宋体" w:eastAsia="宋体" w:cs="宋体"/>
          <w:i w:val="0"/>
          <w:iCs w:val="0"/>
          <w:color w:val="auto"/>
          <w:sz w:val="24"/>
          <w:szCs w:val="24"/>
          <w:highlight w:val="none"/>
          <w:u w:val="none"/>
        </w:rPr>
        <w:t>加盖投标人公章为准</w:t>
      </w:r>
      <w:r>
        <w:rPr>
          <w:rFonts w:hint="eastAsia" w:ascii="宋体" w:hAnsi="宋体" w:eastAsia="宋体" w:cs="宋体"/>
          <w:i w:val="0"/>
          <w:iCs w:val="0"/>
          <w:color w:val="auto"/>
          <w:sz w:val="24"/>
          <w:szCs w:val="24"/>
          <w:highlight w:val="none"/>
          <w:u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w:t>
      </w:r>
      <w:r>
        <w:rPr>
          <w:rFonts w:hint="eastAsia" w:ascii="宋体" w:hAnsi="宋体" w:cs="宋体"/>
          <w:i w:val="0"/>
          <w:iCs w:val="0"/>
          <w:color w:val="auto"/>
          <w:sz w:val="24"/>
          <w:szCs w:val="24"/>
          <w:highlight w:val="none"/>
          <w:u w:val="none"/>
          <w:lang w:val="en-US" w:eastAsia="zh-CN"/>
        </w:rPr>
        <w:t>3</w:t>
      </w:r>
      <w:r>
        <w:rPr>
          <w:rFonts w:hint="eastAsia" w:ascii="宋体" w:hAnsi="宋体" w:eastAsia="宋体" w:cs="宋体"/>
          <w:i w:val="0"/>
          <w:iCs w:val="0"/>
          <w:color w:val="auto"/>
          <w:sz w:val="24"/>
          <w:szCs w:val="24"/>
          <w:highlight w:val="none"/>
          <w:u w:val="none"/>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r>
        <w:rPr>
          <w:rFonts w:hint="eastAsia" w:ascii="宋体" w:hAnsi="宋体" w:eastAsia="宋体" w:cs="宋体"/>
          <w:i w:val="0"/>
          <w:iCs w:val="0"/>
          <w:color w:val="auto"/>
          <w:sz w:val="24"/>
          <w:szCs w:val="24"/>
          <w:highlight w:val="none"/>
          <w:u w:val="none"/>
          <w:lang w:eastAsia="zh-CN"/>
        </w:rPr>
        <w:t>。</w:t>
      </w:r>
    </w:p>
    <w:p>
      <w:pPr>
        <w:spacing w:line="360" w:lineRule="auto"/>
        <w:ind w:firstLine="562" w:firstLineChars="200"/>
        <w:jc w:val="both"/>
        <w:outlineLvl w:val="9"/>
        <w:rPr>
          <w:rFonts w:ascii="黑体" w:hAnsi="黑体" w:cs="宋体"/>
          <w:b/>
          <w:bCs w:val="0"/>
          <w:color w:val="auto"/>
          <w:sz w:val="28"/>
          <w:szCs w:val="28"/>
          <w:highlight w:val="none"/>
        </w:rPr>
      </w:pPr>
      <w:r>
        <w:rPr>
          <w:rFonts w:hint="eastAsia" w:ascii="黑体" w:hAnsi="黑体" w:cs="宋体"/>
          <w:b/>
          <w:bCs w:val="0"/>
          <w:color w:val="auto"/>
          <w:sz w:val="28"/>
          <w:szCs w:val="28"/>
          <w:highlight w:val="none"/>
        </w:rPr>
        <w:t>三、获取采购文件</w:t>
      </w:r>
      <w:bookmarkEnd w:id="14"/>
      <w:bookmarkEnd w:id="15"/>
      <w:bookmarkEnd w:id="16"/>
      <w:bookmarkEnd w:id="17"/>
    </w:p>
    <w:p>
      <w:pPr>
        <w:spacing w:line="360" w:lineRule="auto"/>
        <w:ind w:firstLine="482" w:firstLineChars="200"/>
        <w:rPr>
          <w:rFonts w:ascii="仿宋" w:hAnsi="仿宋" w:eastAsia="仿宋" w:cs="宋体"/>
          <w:color w:val="auto"/>
          <w:sz w:val="28"/>
          <w:szCs w:val="28"/>
          <w:highlight w:val="none"/>
        </w:rPr>
      </w:pPr>
      <w:r>
        <w:rPr>
          <w:rFonts w:hint="eastAsia" w:ascii="宋体" w:hAnsi="宋体" w:eastAsia="宋体" w:cs="宋体"/>
          <w:b/>
          <w:bCs/>
          <w:color w:val="auto"/>
          <w:sz w:val="24"/>
          <w:szCs w:val="24"/>
          <w:highlight w:val="none"/>
        </w:rPr>
        <w:t>时间：</w:t>
      </w:r>
      <w:r>
        <w:rPr>
          <w:rFonts w:hint="eastAsia" w:ascii="宋体" w:hAnsi="宋体" w:eastAsia="宋体" w:cs="宋体"/>
          <w:i w:val="0"/>
          <w:iCs w:val="0"/>
          <w:color w:val="auto"/>
          <w:sz w:val="24"/>
          <w:szCs w:val="24"/>
          <w:highlight w:val="none"/>
          <w:u w:val="single"/>
          <w:lang w:val="en-US" w:eastAsia="zh-CN"/>
        </w:rPr>
        <w:t>202</w:t>
      </w:r>
      <w:r>
        <w:rPr>
          <w:rFonts w:hint="eastAsia" w:ascii="宋体" w:hAnsi="宋体"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年</w:t>
      </w:r>
      <w:r>
        <w:rPr>
          <w:rFonts w:hint="eastAsia" w:ascii="宋体" w:hAnsi="宋体" w:cs="宋体"/>
          <w:i w:val="0"/>
          <w:iCs w:val="0"/>
          <w:color w:val="auto"/>
          <w:sz w:val="24"/>
          <w:szCs w:val="24"/>
          <w:highlight w:val="none"/>
          <w:u w:val="single"/>
          <w:lang w:val="en-US" w:eastAsia="zh-CN"/>
        </w:rPr>
        <w:t>11</w:t>
      </w:r>
      <w:r>
        <w:rPr>
          <w:rFonts w:hint="eastAsia" w:ascii="宋体" w:hAnsi="宋体" w:eastAsia="宋体" w:cs="宋体"/>
          <w:i w:val="0"/>
          <w:iCs w:val="0"/>
          <w:color w:val="auto"/>
          <w:sz w:val="24"/>
          <w:szCs w:val="24"/>
          <w:highlight w:val="none"/>
          <w:u w:val="single"/>
        </w:rPr>
        <w:t>月</w:t>
      </w:r>
      <w:r>
        <w:rPr>
          <w:rFonts w:hint="eastAsia" w:ascii="宋体" w:hAnsi="宋体" w:cs="宋体"/>
          <w:i w:val="0"/>
          <w:iCs w:val="0"/>
          <w:color w:val="auto"/>
          <w:sz w:val="24"/>
          <w:szCs w:val="24"/>
          <w:highlight w:val="none"/>
          <w:u w:val="single"/>
          <w:lang w:val="en-US" w:eastAsia="zh-CN"/>
        </w:rPr>
        <w:t>25</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rPr>
        <w:t>至</w:t>
      </w:r>
      <w:r>
        <w:rPr>
          <w:rFonts w:hint="eastAsia" w:ascii="宋体" w:hAnsi="宋体" w:eastAsia="宋体" w:cs="宋体"/>
          <w:i w:val="0"/>
          <w:iCs w:val="0"/>
          <w:color w:val="auto"/>
          <w:sz w:val="24"/>
          <w:szCs w:val="24"/>
          <w:highlight w:val="none"/>
          <w:u w:val="single"/>
          <w:lang w:val="en-US" w:eastAsia="zh-CN"/>
        </w:rPr>
        <w:t>202</w:t>
      </w:r>
      <w:r>
        <w:rPr>
          <w:rFonts w:hint="eastAsia" w:ascii="宋体" w:hAnsi="宋体"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年</w:t>
      </w:r>
      <w:r>
        <w:rPr>
          <w:rFonts w:hint="eastAsia" w:ascii="宋体" w:hAnsi="宋体" w:cs="宋体"/>
          <w:i w:val="0"/>
          <w:iCs w:val="0"/>
          <w:color w:val="auto"/>
          <w:sz w:val="24"/>
          <w:szCs w:val="24"/>
          <w:highlight w:val="none"/>
          <w:u w:val="single"/>
          <w:lang w:val="en-US" w:eastAsia="zh-CN"/>
        </w:rPr>
        <w:t>12</w:t>
      </w:r>
      <w:r>
        <w:rPr>
          <w:rFonts w:hint="eastAsia" w:ascii="宋体" w:hAnsi="宋体" w:eastAsia="宋体" w:cs="宋体"/>
          <w:i w:val="0"/>
          <w:iCs w:val="0"/>
          <w:color w:val="auto"/>
          <w:sz w:val="24"/>
          <w:szCs w:val="24"/>
          <w:highlight w:val="none"/>
          <w:u w:val="single"/>
        </w:rPr>
        <w:t>月</w:t>
      </w:r>
      <w:r>
        <w:rPr>
          <w:rFonts w:hint="eastAsia" w:ascii="宋体" w:hAnsi="宋体" w:cs="宋体"/>
          <w:i w:val="0"/>
          <w:iCs w:val="0"/>
          <w:color w:val="auto"/>
          <w:sz w:val="24"/>
          <w:szCs w:val="24"/>
          <w:highlight w:val="none"/>
          <w:u w:val="single"/>
          <w:lang w:val="en-US" w:eastAsia="zh-CN"/>
        </w:rPr>
        <w:t>01</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rPr>
        <w:t>，每天上午</w:t>
      </w:r>
      <w:r>
        <w:rPr>
          <w:rFonts w:hint="eastAsia" w:ascii="宋体" w:hAnsi="宋体" w:eastAsia="宋体" w:cs="宋体"/>
          <w:i w:val="0"/>
          <w:iCs w:val="0"/>
          <w:color w:val="auto"/>
          <w:sz w:val="24"/>
          <w:szCs w:val="24"/>
          <w:highlight w:val="none"/>
          <w:u w:val="single"/>
          <w:lang w:val="en-US" w:eastAsia="zh-CN"/>
        </w:rPr>
        <w:t xml:space="preserve"> 10:00</w:t>
      </w:r>
      <w:r>
        <w:rPr>
          <w:rFonts w:hint="eastAsia" w:ascii="宋体" w:hAnsi="宋体" w:eastAsia="宋体" w:cs="宋体"/>
          <w:i w:val="0"/>
          <w:iCs w:val="0"/>
          <w:color w:val="auto"/>
          <w:sz w:val="24"/>
          <w:szCs w:val="24"/>
          <w:highlight w:val="none"/>
        </w:rPr>
        <w:t>至</w:t>
      </w:r>
      <w:r>
        <w:rPr>
          <w:rFonts w:hint="eastAsia" w:ascii="宋体" w:hAnsi="宋体" w:eastAsia="宋体" w:cs="宋体"/>
          <w:i w:val="0"/>
          <w:iCs w:val="0"/>
          <w:color w:val="auto"/>
          <w:sz w:val="24"/>
          <w:szCs w:val="24"/>
          <w:highlight w:val="none"/>
          <w:u w:val="single"/>
          <w:lang w:val="en-US" w:eastAsia="zh-CN"/>
        </w:rPr>
        <w:t>13:30</w:t>
      </w:r>
      <w:r>
        <w:rPr>
          <w:rFonts w:hint="eastAsia" w:ascii="宋体" w:hAnsi="宋体" w:eastAsia="宋体" w:cs="宋体"/>
          <w:i w:val="0"/>
          <w:iCs w:val="0"/>
          <w:color w:val="auto"/>
          <w:sz w:val="24"/>
          <w:szCs w:val="24"/>
          <w:highlight w:val="none"/>
        </w:rPr>
        <w:t>，下午</w:t>
      </w:r>
      <w:r>
        <w:rPr>
          <w:rFonts w:hint="eastAsia" w:ascii="宋体" w:hAnsi="宋体" w:eastAsia="宋体" w:cs="宋体"/>
          <w:i w:val="0"/>
          <w:iCs w:val="0"/>
          <w:color w:val="auto"/>
          <w:sz w:val="24"/>
          <w:szCs w:val="24"/>
          <w:highlight w:val="none"/>
          <w:u w:val="single"/>
          <w:lang w:val="en-US" w:eastAsia="zh-CN"/>
        </w:rPr>
        <w:t>15:30</w:t>
      </w:r>
      <w:r>
        <w:rPr>
          <w:rFonts w:hint="eastAsia" w:ascii="宋体" w:hAnsi="宋体" w:eastAsia="宋体" w:cs="宋体"/>
          <w:i w:val="0"/>
          <w:iCs w:val="0"/>
          <w:color w:val="auto"/>
          <w:sz w:val="24"/>
          <w:szCs w:val="24"/>
          <w:highlight w:val="none"/>
        </w:rPr>
        <w:t>至</w:t>
      </w:r>
      <w:r>
        <w:rPr>
          <w:rFonts w:hint="eastAsia" w:ascii="宋体" w:hAnsi="宋体" w:eastAsia="宋体" w:cs="宋体"/>
          <w:i w:val="0"/>
          <w:iCs w:val="0"/>
          <w:color w:val="auto"/>
          <w:sz w:val="24"/>
          <w:szCs w:val="24"/>
          <w:highlight w:val="none"/>
          <w:u w:val="single"/>
          <w:lang w:val="en-US" w:eastAsia="zh-CN"/>
        </w:rPr>
        <w:t>19:30</w:t>
      </w:r>
      <w:r>
        <w:rPr>
          <w:rFonts w:hint="eastAsia" w:ascii="宋体" w:hAnsi="宋体" w:eastAsia="宋体" w:cs="宋体"/>
          <w:i w:val="0"/>
          <w:iCs w:val="0"/>
          <w:color w:val="auto"/>
          <w:sz w:val="24"/>
          <w:szCs w:val="24"/>
          <w:highlight w:val="none"/>
        </w:rPr>
        <w:t>（北京时间，法定节假日除外 ）</w:t>
      </w:r>
    </w:p>
    <w:p>
      <w:pPr>
        <w:spacing w:line="360" w:lineRule="auto"/>
        <w:ind w:firstLine="482" w:firstLineChars="200"/>
        <w:rPr>
          <w:rFonts w:hint="eastAsia" w:ascii="宋体" w:hAnsi="宋体" w:eastAsia="宋体" w:cs="宋体"/>
          <w:i w:val="0"/>
          <w:iCs w:val="0"/>
          <w:color w:val="auto"/>
          <w:sz w:val="24"/>
          <w:szCs w:val="24"/>
          <w:highlight w:val="none"/>
          <w:lang w:eastAsia="zh-CN"/>
        </w:rPr>
      </w:pPr>
      <w:r>
        <w:rPr>
          <w:rFonts w:hint="eastAsia" w:ascii="宋体" w:hAnsi="宋体" w:eastAsia="宋体" w:cs="宋体"/>
          <w:b/>
          <w:bCs/>
          <w:color w:val="auto"/>
          <w:sz w:val="24"/>
          <w:szCs w:val="24"/>
          <w:highlight w:val="none"/>
        </w:rPr>
        <w:t>地点：</w:t>
      </w:r>
      <w:r>
        <w:rPr>
          <w:rFonts w:hint="eastAsia" w:ascii="宋体" w:hAnsi="宋体" w:eastAsia="宋体" w:cs="宋体"/>
          <w:i w:val="0"/>
          <w:iCs w:val="0"/>
          <w:color w:val="auto"/>
          <w:sz w:val="24"/>
          <w:szCs w:val="24"/>
          <w:highlight w:val="none"/>
        </w:rPr>
        <w:t>新疆乌鲁木齐市水磨沟区会展大道1119号大成尔雅第一栋第十八层A座1806号房</w:t>
      </w:r>
    </w:p>
    <w:p>
      <w:pPr>
        <w:spacing w:line="360" w:lineRule="auto"/>
        <w:ind w:firstLine="482" w:firstLineChars="200"/>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方式：</w:t>
      </w:r>
      <w:r>
        <w:rPr>
          <w:rFonts w:hint="eastAsia" w:ascii="宋体" w:hAnsi="宋体" w:eastAsia="宋体" w:cs="宋体"/>
          <w:i w:val="0"/>
          <w:iCs w:val="0"/>
          <w:color w:val="auto"/>
          <w:sz w:val="24"/>
          <w:szCs w:val="24"/>
          <w:highlight w:val="none"/>
          <w:lang w:val="en-US" w:eastAsia="zh-CN"/>
        </w:rPr>
        <w:t>领取磋商文件时</w:t>
      </w:r>
      <w:r>
        <w:rPr>
          <w:rFonts w:hint="eastAsia" w:ascii="宋体" w:hAnsi="宋体" w:eastAsia="宋体" w:cs="宋体"/>
          <w:i w:val="0"/>
          <w:iCs w:val="0"/>
          <w:color w:val="auto"/>
          <w:sz w:val="24"/>
          <w:szCs w:val="24"/>
          <w:highlight w:val="none"/>
        </w:rPr>
        <w:t>需携带</w:t>
      </w:r>
      <w:r>
        <w:rPr>
          <w:rFonts w:hint="eastAsia" w:ascii="宋体" w:hAnsi="宋体" w:eastAsia="宋体" w:cs="宋体"/>
          <w:i w:val="0"/>
          <w:iCs w:val="0"/>
          <w:color w:val="auto"/>
          <w:sz w:val="24"/>
          <w:szCs w:val="24"/>
          <w:highlight w:val="none"/>
          <w:lang w:val="en-US" w:eastAsia="zh-CN"/>
        </w:rPr>
        <w:t>以下</w:t>
      </w:r>
      <w:r>
        <w:rPr>
          <w:rFonts w:hint="eastAsia" w:ascii="宋体" w:hAnsi="宋体" w:eastAsia="宋体" w:cs="宋体"/>
          <w:i w:val="0"/>
          <w:iCs w:val="0"/>
          <w:color w:val="auto"/>
          <w:sz w:val="24"/>
          <w:szCs w:val="24"/>
          <w:highlight w:val="none"/>
        </w:rPr>
        <w:t>原件（能通过互联网或者相关信息系统查询的信息除外）查验、加盖公章的 A4 纸复印件</w:t>
      </w:r>
      <w:r>
        <w:rPr>
          <w:rFonts w:hint="eastAsia" w:ascii="宋体" w:hAnsi="宋体" w:cs="宋体"/>
          <w:i w:val="0"/>
          <w:iCs w:val="0"/>
          <w:color w:val="auto"/>
          <w:sz w:val="24"/>
          <w:szCs w:val="24"/>
          <w:highlight w:val="none"/>
          <w:lang w:eastAsia="zh-CN"/>
        </w:rPr>
        <w:t>一</w:t>
      </w:r>
      <w:r>
        <w:rPr>
          <w:rFonts w:hint="eastAsia" w:ascii="宋体" w:hAnsi="宋体" w:eastAsia="宋体" w:cs="宋体"/>
          <w:i w:val="0"/>
          <w:iCs w:val="0"/>
          <w:color w:val="auto"/>
          <w:sz w:val="24"/>
          <w:szCs w:val="24"/>
          <w:highlight w:val="none"/>
        </w:rPr>
        <w:t>套，复印件为单面复印，按先后顺序装订，不接受公证件。</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（1）法人授权委托书和被授权人有效身份证（法人直接参加的需出示法人</w:t>
      </w:r>
      <w:r>
        <w:rPr>
          <w:rFonts w:hint="eastAsia" w:ascii="宋体" w:hAnsi="宋体" w:eastAsia="宋体" w:cs="宋体"/>
          <w:i w:val="0"/>
          <w:iCs w:val="0"/>
          <w:color w:val="auto"/>
          <w:sz w:val="24"/>
          <w:szCs w:val="24"/>
          <w:highlight w:val="none"/>
          <w:lang w:eastAsia="zh-CN"/>
        </w:rPr>
        <w:t>身份证明及</w:t>
      </w:r>
      <w:r>
        <w:rPr>
          <w:rFonts w:hint="eastAsia" w:ascii="宋体" w:hAnsi="宋体" w:eastAsia="宋体" w:cs="宋体"/>
          <w:i w:val="0"/>
          <w:iCs w:val="0"/>
          <w:color w:val="auto"/>
          <w:sz w:val="24"/>
          <w:szCs w:val="24"/>
          <w:highlight w:val="none"/>
        </w:rPr>
        <w:t>身份证原件）；</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（2）</w:t>
      </w:r>
      <w:r>
        <w:rPr>
          <w:rFonts w:hint="eastAsia" w:ascii="宋体" w:hAnsi="宋体" w:eastAsia="宋体" w:cs="宋体"/>
          <w:color w:val="auto"/>
          <w:sz w:val="24"/>
          <w:szCs w:val="24"/>
          <w:highlight w:val="none"/>
          <w:lang w:eastAsia="zh-CN"/>
        </w:rPr>
        <w:t>供应商为企业法人应提供合法有效的标识有统一社会信用代码的营业执照</w:t>
      </w:r>
      <w:r>
        <w:rPr>
          <w:rFonts w:hint="eastAsia" w:ascii="宋体" w:hAnsi="宋体" w:eastAsia="宋体" w:cs="宋体"/>
          <w:i w:val="0"/>
          <w:iCs w:val="0"/>
          <w:color w:val="auto"/>
          <w:sz w:val="24"/>
          <w:szCs w:val="24"/>
          <w:highlight w:val="none"/>
          <w:lang w:eastAsia="zh-CN"/>
        </w:rPr>
        <w:t>；事业法人应提供事业单位法人证书；其他组织应提供合法登记证明文件；</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特定资格：</w:t>
      </w:r>
      <w:r>
        <w:rPr>
          <w:rFonts w:hint="eastAsia" w:ascii="宋体" w:hAnsi="宋体" w:cs="宋体"/>
          <w:color w:val="auto"/>
          <w:sz w:val="24"/>
          <w:szCs w:val="24"/>
          <w:highlight w:val="none"/>
          <w:lang w:val="en-US"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）社会保障资金缴纳证明：供应商提供近半年内已缴存的至少一个月的社会保障资金缴存单据或社保机构开具的社会保险参保缴费情况证明，依法不需要缴纳社会保障资金的供应商应提供相关文件证明；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财务状况报告：供应商提供近1年的财务审计报告（至少包括审计报告、资产负债表和利润表，成立时间至提交投标文件截止时间不足一年的可提供成立后任意时段的资产负债表），或其开标前三个月内基本存款账户开户银行出具的资信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）税收缴纳证明：供应商提供近半年内已缴纳的至少一个月的纳税证明或完税证明，纳税证明或完税证明上应有代收机构或税务机关的公章，依法免税的供应商应提供相关文件证明；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）供应商应具备良好的商业信誉，提供参加政府采购活动前3年内在经营活动中没有重大违法记录的书面声明；</w:t>
      </w:r>
    </w:p>
    <w:p>
      <w:pPr>
        <w:pageBreakBefore w:val="0"/>
        <w:widowControl w:val="0"/>
        <w:kinsoku/>
        <w:wordWrap/>
        <w:overflowPunct/>
        <w:topLinePunct w:val="0"/>
        <w:bidi w:val="0"/>
        <w:snapToGrid/>
        <w:spacing w:line="360" w:lineRule="auto"/>
        <w:ind w:left="0" w:leftChars="0" w:firstLine="480" w:firstLineChars="200"/>
        <w:textAlignment w:val="auto"/>
        <w:rPr>
          <w:rFonts w:ascii="仿宋" w:hAnsi="仿宋" w:eastAsia="仿宋" w:cs="宋体"/>
          <w:color w:val="auto"/>
          <w:sz w:val="28"/>
          <w:szCs w:val="28"/>
          <w:highlight w:val="none"/>
          <w:u w:val="singl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none"/>
        </w:rPr>
        <w:t>供应商应在“信用中国”网站（</w:t>
      </w:r>
      <w:r>
        <w:rPr>
          <w:rFonts w:hint="eastAsia"/>
          <w:color w:val="auto"/>
          <w:highlight w:val="none"/>
        </w:rPr>
        <w:t>www.creditchina.gov.cn）</w:t>
      </w:r>
      <w:r>
        <w:rPr>
          <w:rFonts w:hint="eastAsia" w:ascii="宋体" w:hAnsi="宋体" w:eastAsia="宋体" w:cs="宋体"/>
          <w:i w:val="0"/>
          <w:iCs w:val="0"/>
          <w:color w:val="auto"/>
          <w:sz w:val="24"/>
          <w:szCs w:val="24"/>
          <w:highlight w:val="none"/>
          <w:u w:val="none"/>
        </w:rPr>
        <w:t>未被列入失信被执行人记录、重大税收违法案件当事人名单且在中国政府采购网</w:t>
      </w:r>
      <w:r>
        <w:rPr>
          <w:rFonts w:hint="eastAsia"/>
          <w:color w:val="auto"/>
          <w:highlight w:val="none"/>
        </w:rPr>
        <w:t>（www.ccgp.gov.cn）</w:t>
      </w:r>
      <w:r>
        <w:rPr>
          <w:rFonts w:hint="eastAsia" w:ascii="宋体" w:hAnsi="宋体" w:eastAsia="宋体" w:cs="宋体"/>
          <w:i w:val="0"/>
          <w:iCs w:val="0"/>
          <w:color w:val="auto"/>
          <w:sz w:val="24"/>
          <w:szCs w:val="24"/>
          <w:highlight w:val="none"/>
          <w:u w:val="none"/>
        </w:rPr>
        <w:t>没有相关主体政府采购严重违法失信行为记录（被禁止在一定期限内参加政府采购活动但期限届满的除外）（查询日期为从采购文件发售之日起至投标截止日前）</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以网页截图</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需显示查询时间）</w:t>
      </w:r>
      <w:r>
        <w:rPr>
          <w:rFonts w:hint="eastAsia" w:ascii="宋体" w:hAnsi="宋体" w:eastAsia="宋体" w:cs="宋体"/>
          <w:i w:val="0"/>
          <w:iCs w:val="0"/>
          <w:color w:val="auto"/>
          <w:sz w:val="24"/>
          <w:szCs w:val="24"/>
          <w:highlight w:val="none"/>
          <w:u w:val="none"/>
        </w:rPr>
        <w:t>加盖</w:t>
      </w:r>
      <w:r>
        <w:rPr>
          <w:rFonts w:hint="eastAsia" w:ascii="宋体" w:hAnsi="宋体" w:eastAsia="宋体" w:cs="宋体"/>
          <w:i w:val="0"/>
          <w:iCs w:val="0"/>
          <w:color w:val="auto"/>
          <w:sz w:val="24"/>
          <w:szCs w:val="24"/>
          <w:highlight w:val="none"/>
          <w:u w:val="none"/>
          <w:lang w:val="en-US" w:eastAsia="zh-CN"/>
        </w:rPr>
        <w:t>供应商</w:t>
      </w:r>
      <w:r>
        <w:rPr>
          <w:rFonts w:hint="eastAsia" w:ascii="宋体" w:hAnsi="宋体" w:eastAsia="宋体" w:cs="宋体"/>
          <w:i w:val="0"/>
          <w:iCs w:val="0"/>
          <w:color w:val="auto"/>
          <w:sz w:val="24"/>
          <w:szCs w:val="24"/>
          <w:highlight w:val="none"/>
          <w:u w:val="none"/>
        </w:rPr>
        <w:t>公章为准</w:t>
      </w:r>
      <w:r>
        <w:rPr>
          <w:rFonts w:hint="eastAsia" w:ascii="宋体" w:hAnsi="宋体" w:eastAsia="宋体" w:cs="宋体"/>
          <w:i w:val="0"/>
          <w:iCs w:val="0"/>
          <w:color w:val="auto"/>
          <w:sz w:val="24"/>
          <w:szCs w:val="24"/>
          <w:highlight w:val="none"/>
          <w:u w:val="none"/>
          <w:lang w:eastAsia="zh-CN"/>
        </w:rPr>
        <w:t>；</w:t>
      </w:r>
    </w:p>
    <w:p>
      <w:pPr>
        <w:spacing w:line="360" w:lineRule="auto"/>
        <w:ind w:firstLine="562" w:firstLineChars="200"/>
        <w:rPr>
          <w:rFonts w:ascii="仿宋" w:hAnsi="仿宋" w:eastAsia="仿宋" w:cs="宋体"/>
          <w:color w:val="auto"/>
          <w:sz w:val="28"/>
          <w:szCs w:val="28"/>
          <w:highlight w:val="none"/>
        </w:rPr>
      </w:pPr>
      <w:r>
        <w:rPr>
          <w:rFonts w:hint="eastAsia" w:ascii="宋体" w:hAnsi="宋体" w:eastAsia="宋体" w:cs="宋体"/>
          <w:b/>
          <w:bCs/>
          <w:color w:val="auto"/>
          <w:sz w:val="28"/>
          <w:szCs w:val="28"/>
          <w:highlight w:val="none"/>
        </w:rPr>
        <w:t>售价：</w:t>
      </w:r>
      <w:r>
        <w:rPr>
          <w:rFonts w:hint="eastAsia" w:ascii="宋体" w:hAnsi="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00元/本，逾期不售、售后不退。</w:t>
      </w:r>
    </w:p>
    <w:p>
      <w:pPr>
        <w:spacing w:line="360" w:lineRule="auto"/>
        <w:ind w:firstLine="562" w:firstLineChars="200"/>
        <w:jc w:val="left"/>
        <w:outlineLvl w:val="9"/>
        <w:rPr>
          <w:rFonts w:ascii="黑体" w:hAnsi="黑体" w:cs="宋体"/>
          <w:b/>
          <w:bCs w:val="0"/>
          <w:color w:val="auto"/>
          <w:sz w:val="28"/>
          <w:szCs w:val="28"/>
          <w:highlight w:val="none"/>
        </w:rPr>
      </w:pPr>
      <w:bookmarkStart w:id="18" w:name="_Toc35393632"/>
      <w:bookmarkStart w:id="19" w:name="_Toc28359092"/>
      <w:bookmarkStart w:id="20" w:name="_Toc35393801"/>
      <w:bookmarkStart w:id="21" w:name="_Toc28359015"/>
      <w:r>
        <w:rPr>
          <w:rFonts w:hint="eastAsia" w:ascii="黑体" w:hAnsi="黑体" w:cs="宋体"/>
          <w:b/>
          <w:bCs w:val="0"/>
          <w:color w:val="auto"/>
          <w:sz w:val="28"/>
          <w:szCs w:val="28"/>
          <w:highlight w:val="none"/>
        </w:rPr>
        <w:t>四、响应文件提交</w:t>
      </w:r>
      <w:bookmarkEnd w:id="18"/>
      <w:bookmarkEnd w:id="19"/>
      <w:bookmarkEnd w:id="20"/>
      <w:bookmarkEnd w:id="21"/>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
          <w:bCs/>
          <w:i w:val="0"/>
          <w:iCs w:val="0"/>
          <w:color w:val="auto"/>
          <w:sz w:val="24"/>
          <w:szCs w:val="24"/>
          <w:highlight w:val="none"/>
        </w:rPr>
        <w:t>截止时间：</w:t>
      </w:r>
      <w:r>
        <w:rPr>
          <w:rFonts w:hint="eastAsia" w:ascii="宋体" w:hAnsi="宋体" w:eastAsia="宋体" w:cs="宋体"/>
          <w:i w:val="0"/>
          <w:iCs w:val="0"/>
          <w:color w:val="auto"/>
          <w:sz w:val="24"/>
          <w:szCs w:val="24"/>
          <w:highlight w:val="none"/>
          <w:u w:val="single"/>
          <w:lang w:val="en-US" w:eastAsia="zh-CN"/>
        </w:rPr>
        <w:t>202</w:t>
      </w:r>
      <w:r>
        <w:rPr>
          <w:rFonts w:hint="eastAsia" w:ascii="宋体" w:hAnsi="宋体" w:cs="宋体"/>
          <w:i w:val="0"/>
          <w:iCs w:val="0"/>
          <w:color w:val="auto"/>
          <w:sz w:val="24"/>
          <w:szCs w:val="24"/>
          <w:highlight w:val="none"/>
          <w:u w:val="single"/>
          <w:lang w:val="en-US" w:eastAsia="zh-CN"/>
        </w:rPr>
        <w:t>1</w:t>
      </w:r>
      <w:r>
        <w:rPr>
          <w:rFonts w:hint="eastAsia" w:ascii="宋体" w:hAnsi="宋体" w:eastAsia="宋体" w:cs="宋体"/>
          <w:bCs/>
          <w:i w:val="0"/>
          <w:iCs w:val="0"/>
          <w:color w:val="auto"/>
          <w:sz w:val="24"/>
          <w:szCs w:val="24"/>
          <w:highlight w:val="none"/>
          <w:u w:val="single"/>
        </w:rPr>
        <w:t>年</w:t>
      </w:r>
      <w:r>
        <w:rPr>
          <w:rFonts w:hint="eastAsia" w:ascii="宋体" w:hAnsi="宋体" w:cs="宋体"/>
          <w:bCs/>
          <w:i w:val="0"/>
          <w:iCs w:val="0"/>
          <w:color w:val="auto"/>
          <w:sz w:val="24"/>
          <w:szCs w:val="24"/>
          <w:highlight w:val="none"/>
          <w:u w:val="single"/>
          <w:lang w:val="en-US" w:eastAsia="zh-CN"/>
        </w:rPr>
        <w:t>12</w:t>
      </w:r>
      <w:r>
        <w:rPr>
          <w:rFonts w:hint="eastAsia" w:ascii="宋体" w:hAnsi="宋体" w:eastAsia="宋体" w:cs="宋体"/>
          <w:bCs/>
          <w:i w:val="0"/>
          <w:iCs w:val="0"/>
          <w:color w:val="auto"/>
          <w:sz w:val="24"/>
          <w:szCs w:val="24"/>
          <w:highlight w:val="none"/>
          <w:u w:val="single"/>
        </w:rPr>
        <w:t>月</w:t>
      </w:r>
      <w:r>
        <w:rPr>
          <w:rFonts w:hint="eastAsia" w:ascii="宋体" w:hAnsi="宋体" w:cs="宋体"/>
          <w:bCs/>
          <w:i w:val="0"/>
          <w:iCs w:val="0"/>
          <w:color w:val="auto"/>
          <w:sz w:val="24"/>
          <w:szCs w:val="24"/>
          <w:highlight w:val="none"/>
          <w:u w:val="single"/>
          <w:lang w:val="en-US" w:eastAsia="zh-CN"/>
        </w:rPr>
        <w:t>07</w:t>
      </w:r>
      <w:r>
        <w:rPr>
          <w:rFonts w:hint="eastAsia" w:ascii="宋体" w:hAnsi="宋体" w:eastAsia="宋体" w:cs="宋体"/>
          <w:bCs/>
          <w:i w:val="0"/>
          <w:iCs w:val="0"/>
          <w:color w:val="auto"/>
          <w:sz w:val="24"/>
          <w:szCs w:val="24"/>
          <w:highlight w:val="none"/>
          <w:u w:val="single"/>
        </w:rPr>
        <w:t>日</w:t>
      </w:r>
      <w:r>
        <w:rPr>
          <w:rFonts w:hint="eastAsia" w:ascii="宋体" w:hAnsi="宋体" w:cs="宋体"/>
          <w:bCs/>
          <w:i w:val="0"/>
          <w:iCs w:val="0"/>
          <w:color w:val="auto"/>
          <w:sz w:val="24"/>
          <w:szCs w:val="24"/>
          <w:highlight w:val="none"/>
          <w:u w:val="single"/>
          <w:lang w:val="en-US" w:eastAsia="zh-CN"/>
        </w:rPr>
        <w:t>11</w:t>
      </w:r>
      <w:r>
        <w:rPr>
          <w:rFonts w:hint="eastAsia" w:ascii="宋体" w:hAnsi="宋体" w:eastAsia="宋体" w:cs="宋体"/>
          <w:bCs/>
          <w:i w:val="0"/>
          <w:iCs w:val="0"/>
          <w:color w:val="auto"/>
          <w:sz w:val="24"/>
          <w:szCs w:val="24"/>
          <w:highlight w:val="none"/>
          <w:u w:val="single"/>
        </w:rPr>
        <w:t>点</w:t>
      </w:r>
      <w:r>
        <w:rPr>
          <w:rFonts w:hint="eastAsia" w:ascii="宋体" w:hAnsi="宋体" w:cs="宋体"/>
          <w:bCs/>
          <w:i w:val="0"/>
          <w:iCs w:val="0"/>
          <w:color w:val="auto"/>
          <w:sz w:val="24"/>
          <w:szCs w:val="24"/>
          <w:highlight w:val="none"/>
          <w:u w:val="single"/>
          <w:lang w:val="en-US" w:eastAsia="zh-CN"/>
        </w:rPr>
        <w:t>0</w:t>
      </w:r>
      <w:r>
        <w:rPr>
          <w:rFonts w:hint="eastAsia" w:ascii="宋体" w:hAnsi="宋体" w:eastAsia="宋体" w:cs="宋体"/>
          <w:bCs/>
          <w:i w:val="0"/>
          <w:iCs w:val="0"/>
          <w:color w:val="auto"/>
          <w:sz w:val="24"/>
          <w:szCs w:val="24"/>
          <w:highlight w:val="none"/>
          <w:u w:val="single"/>
          <w:lang w:val="en-US" w:eastAsia="zh-CN"/>
        </w:rPr>
        <w:t>0</w:t>
      </w:r>
      <w:r>
        <w:rPr>
          <w:rFonts w:hint="eastAsia" w:ascii="宋体" w:hAnsi="宋体" w:eastAsia="宋体" w:cs="宋体"/>
          <w:bCs/>
          <w:i w:val="0"/>
          <w:iCs w:val="0"/>
          <w:color w:val="auto"/>
          <w:sz w:val="24"/>
          <w:szCs w:val="24"/>
          <w:highlight w:val="none"/>
          <w:u w:val="single"/>
        </w:rPr>
        <w:t>分</w:t>
      </w:r>
      <w:r>
        <w:rPr>
          <w:rFonts w:hint="eastAsia" w:ascii="宋体" w:hAnsi="宋体" w:eastAsia="宋体" w:cs="宋体"/>
          <w:bCs/>
          <w:i w:val="0"/>
          <w:iCs w:val="0"/>
          <w:color w:val="auto"/>
          <w:sz w:val="24"/>
          <w:szCs w:val="24"/>
          <w:highlight w:val="none"/>
        </w:rPr>
        <w:t>（北京时间）</w:t>
      </w:r>
    </w:p>
    <w:p>
      <w:pPr>
        <w:pageBreakBefore w:val="0"/>
        <w:widowControl w:val="0"/>
        <w:kinsoku/>
        <w:wordWrap/>
        <w:overflowPunct/>
        <w:topLinePunct w:val="0"/>
        <w:bidi w:val="0"/>
        <w:snapToGrid/>
        <w:spacing w:line="360" w:lineRule="auto"/>
        <w:ind w:left="0" w:leftChars="0" w:firstLine="482" w:firstLineChars="200"/>
        <w:textAlignment w:val="auto"/>
        <w:rPr>
          <w:rFonts w:ascii="仿宋" w:hAnsi="仿宋" w:eastAsia="仿宋"/>
          <w:bCs/>
          <w:color w:val="auto"/>
          <w:sz w:val="28"/>
          <w:szCs w:val="28"/>
          <w:highlight w:val="none"/>
          <w:u w:val="single"/>
        </w:rPr>
      </w:pPr>
      <w:r>
        <w:rPr>
          <w:rFonts w:hint="eastAsia" w:ascii="宋体" w:hAnsi="宋体" w:eastAsia="宋体" w:cs="宋体"/>
          <w:b/>
          <w:bCs/>
          <w:i w:val="0"/>
          <w:iCs w:val="0"/>
          <w:color w:val="auto"/>
          <w:sz w:val="24"/>
          <w:szCs w:val="24"/>
          <w:highlight w:val="none"/>
        </w:rPr>
        <w:t>地点：</w:t>
      </w:r>
      <w:r>
        <w:rPr>
          <w:rFonts w:hint="eastAsia" w:ascii="宋体" w:hAnsi="宋体" w:eastAsia="宋体" w:cs="宋体"/>
          <w:i w:val="0"/>
          <w:iCs w:val="0"/>
          <w:color w:val="auto"/>
          <w:sz w:val="24"/>
          <w:szCs w:val="24"/>
          <w:highlight w:val="none"/>
          <w:u w:val="none"/>
          <w:lang w:val="en-US" w:eastAsia="zh-CN"/>
        </w:rPr>
        <w:t xml:space="preserve"> 新疆乌鲁木齐市水磨沟区会展大道1119号大成尔雅B座（乌鲁木齐晚报大厦）七楼70</w:t>
      </w:r>
      <w:r>
        <w:rPr>
          <w:rFonts w:hint="eastAsia" w:ascii="宋体" w:hAnsi="宋体" w:cs="宋体"/>
          <w:i w:val="0"/>
          <w:iCs w:val="0"/>
          <w:color w:val="auto"/>
          <w:sz w:val="24"/>
          <w:szCs w:val="24"/>
          <w:highlight w:val="none"/>
          <w:u w:val="none"/>
          <w:lang w:val="en-US" w:eastAsia="zh-CN"/>
        </w:rPr>
        <w:t>1</w:t>
      </w:r>
      <w:r>
        <w:rPr>
          <w:rFonts w:hint="eastAsia" w:ascii="宋体" w:hAnsi="宋体" w:eastAsia="宋体" w:cs="宋体"/>
          <w:i w:val="0"/>
          <w:iCs w:val="0"/>
          <w:color w:val="auto"/>
          <w:sz w:val="24"/>
          <w:szCs w:val="24"/>
          <w:highlight w:val="none"/>
          <w:u w:val="none"/>
          <w:lang w:val="en-US" w:eastAsia="zh-CN"/>
        </w:rPr>
        <w:t>号房</w:t>
      </w:r>
    </w:p>
    <w:p>
      <w:pPr>
        <w:spacing w:line="360" w:lineRule="auto"/>
        <w:ind w:firstLine="562" w:firstLineChars="200"/>
        <w:jc w:val="both"/>
        <w:outlineLvl w:val="9"/>
        <w:rPr>
          <w:rFonts w:ascii="黑体" w:hAnsi="黑体" w:cs="宋体"/>
          <w:b/>
          <w:bCs w:val="0"/>
          <w:color w:val="auto"/>
          <w:sz w:val="28"/>
          <w:szCs w:val="28"/>
          <w:highlight w:val="none"/>
        </w:rPr>
      </w:pPr>
      <w:bookmarkStart w:id="22" w:name="_Toc28359093"/>
      <w:bookmarkStart w:id="23" w:name="_Toc35393802"/>
      <w:bookmarkStart w:id="24" w:name="_Toc35393633"/>
      <w:bookmarkStart w:id="25" w:name="_Toc28359016"/>
      <w:r>
        <w:rPr>
          <w:rFonts w:hint="eastAsia" w:ascii="黑体" w:hAnsi="黑体" w:cs="宋体"/>
          <w:b/>
          <w:bCs w:val="0"/>
          <w:color w:val="auto"/>
          <w:sz w:val="28"/>
          <w:szCs w:val="28"/>
          <w:highlight w:val="none"/>
        </w:rPr>
        <w:t>五、开启</w:t>
      </w:r>
      <w:bookmarkEnd w:id="22"/>
      <w:bookmarkEnd w:id="23"/>
      <w:bookmarkEnd w:id="24"/>
      <w:bookmarkEnd w:id="25"/>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Cs/>
          <w:i w:val="0"/>
          <w:iCs w:val="0"/>
          <w:color w:val="auto"/>
          <w:sz w:val="24"/>
          <w:szCs w:val="24"/>
          <w:highlight w:val="none"/>
          <w:u w:val="single"/>
        </w:rPr>
      </w:pPr>
      <w:bookmarkStart w:id="26" w:name="_Toc28359017"/>
      <w:bookmarkStart w:id="27" w:name="_Toc35393803"/>
      <w:bookmarkStart w:id="28" w:name="_Toc28359094"/>
      <w:bookmarkStart w:id="29" w:name="_Toc35393634"/>
      <w:r>
        <w:rPr>
          <w:rFonts w:hint="eastAsia" w:ascii="宋体" w:hAnsi="宋体" w:eastAsia="宋体" w:cs="宋体"/>
          <w:b/>
          <w:bCs/>
          <w:i w:val="0"/>
          <w:iCs w:val="0"/>
          <w:color w:val="auto"/>
          <w:sz w:val="24"/>
          <w:szCs w:val="24"/>
          <w:highlight w:val="none"/>
        </w:rPr>
        <w:t>时间：</w:t>
      </w:r>
      <w:r>
        <w:rPr>
          <w:rFonts w:hint="eastAsia" w:ascii="宋体" w:hAnsi="宋体" w:eastAsia="宋体" w:cs="宋体"/>
          <w:i w:val="0"/>
          <w:iCs w:val="0"/>
          <w:color w:val="auto"/>
          <w:sz w:val="24"/>
          <w:szCs w:val="24"/>
          <w:highlight w:val="none"/>
          <w:u w:val="single"/>
          <w:lang w:val="en-US" w:eastAsia="zh-CN"/>
        </w:rPr>
        <w:t>202</w:t>
      </w:r>
      <w:r>
        <w:rPr>
          <w:rFonts w:hint="eastAsia" w:ascii="宋体" w:hAnsi="宋体" w:cs="宋体"/>
          <w:i w:val="0"/>
          <w:iCs w:val="0"/>
          <w:color w:val="auto"/>
          <w:sz w:val="24"/>
          <w:szCs w:val="24"/>
          <w:highlight w:val="none"/>
          <w:u w:val="single"/>
          <w:lang w:val="en-US" w:eastAsia="zh-CN"/>
        </w:rPr>
        <w:t>1</w:t>
      </w:r>
      <w:r>
        <w:rPr>
          <w:rFonts w:hint="eastAsia" w:ascii="宋体" w:hAnsi="宋体" w:eastAsia="宋体" w:cs="宋体"/>
          <w:bCs/>
          <w:i w:val="0"/>
          <w:iCs w:val="0"/>
          <w:color w:val="auto"/>
          <w:sz w:val="24"/>
          <w:szCs w:val="24"/>
          <w:highlight w:val="none"/>
          <w:u w:val="single"/>
        </w:rPr>
        <w:t>年</w:t>
      </w:r>
      <w:r>
        <w:rPr>
          <w:rFonts w:hint="eastAsia" w:ascii="宋体" w:hAnsi="宋体" w:cs="宋体"/>
          <w:bCs/>
          <w:i w:val="0"/>
          <w:iCs w:val="0"/>
          <w:color w:val="auto"/>
          <w:sz w:val="24"/>
          <w:szCs w:val="24"/>
          <w:highlight w:val="none"/>
          <w:u w:val="single"/>
          <w:lang w:val="en-US" w:eastAsia="zh-CN"/>
        </w:rPr>
        <w:t>12</w:t>
      </w:r>
      <w:r>
        <w:rPr>
          <w:rFonts w:hint="eastAsia" w:ascii="宋体" w:hAnsi="宋体" w:eastAsia="宋体" w:cs="宋体"/>
          <w:bCs/>
          <w:i w:val="0"/>
          <w:iCs w:val="0"/>
          <w:color w:val="auto"/>
          <w:sz w:val="24"/>
          <w:szCs w:val="24"/>
          <w:highlight w:val="none"/>
          <w:u w:val="single"/>
        </w:rPr>
        <w:t>月</w:t>
      </w:r>
      <w:r>
        <w:rPr>
          <w:rFonts w:hint="eastAsia" w:ascii="宋体" w:hAnsi="宋体" w:cs="宋体"/>
          <w:bCs/>
          <w:i w:val="0"/>
          <w:iCs w:val="0"/>
          <w:color w:val="auto"/>
          <w:sz w:val="24"/>
          <w:szCs w:val="24"/>
          <w:highlight w:val="none"/>
          <w:u w:val="single"/>
          <w:lang w:val="en-US" w:eastAsia="zh-CN"/>
        </w:rPr>
        <w:t>07</w:t>
      </w:r>
      <w:r>
        <w:rPr>
          <w:rFonts w:hint="eastAsia" w:ascii="宋体" w:hAnsi="宋体" w:eastAsia="宋体" w:cs="宋体"/>
          <w:bCs/>
          <w:i w:val="0"/>
          <w:iCs w:val="0"/>
          <w:color w:val="auto"/>
          <w:sz w:val="24"/>
          <w:szCs w:val="24"/>
          <w:highlight w:val="none"/>
          <w:u w:val="single"/>
        </w:rPr>
        <w:t>日</w:t>
      </w:r>
      <w:r>
        <w:rPr>
          <w:rFonts w:hint="eastAsia" w:ascii="宋体" w:hAnsi="宋体" w:eastAsia="宋体" w:cs="宋体"/>
          <w:bCs/>
          <w:i w:val="0"/>
          <w:iCs w:val="0"/>
          <w:color w:val="auto"/>
          <w:sz w:val="24"/>
          <w:szCs w:val="24"/>
          <w:highlight w:val="none"/>
          <w:u w:val="single"/>
          <w:lang w:val="en-US" w:eastAsia="zh-CN"/>
        </w:rPr>
        <w:t>1</w:t>
      </w:r>
      <w:r>
        <w:rPr>
          <w:rFonts w:hint="eastAsia" w:ascii="宋体" w:hAnsi="宋体" w:cs="宋体"/>
          <w:bCs/>
          <w:i w:val="0"/>
          <w:iCs w:val="0"/>
          <w:color w:val="auto"/>
          <w:sz w:val="24"/>
          <w:szCs w:val="24"/>
          <w:highlight w:val="none"/>
          <w:u w:val="single"/>
          <w:lang w:val="en-US" w:eastAsia="zh-CN"/>
        </w:rPr>
        <w:t>1</w:t>
      </w:r>
      <w:r>
        <w:rPr>
          <w:rFonts w:hint="eastAsia" w:ascii="宋体" w:hAnsi="宋体" w:eastAsia="宋体" w:cs="宋体"/>
          <w:bCs/>
          <w:i w:val="0"/>
          <w:iCs w:val="0"/>
          <w:color w:val="auto"/>
          <w:sz w:val="24"/>
          <w:szCs w:val="24"/>
          <w:highlight w:val="none"/>
          <w:u w:val="single"/>
        </w:rPr>
        <w:t>点</w:t>
      </w:r>
      <w:r>
        <w:rPr>
          <w:rFonts w:hint="eastAsia" w:ascii="宋体" w:hAnsi="宋体" w:cs="宋体"/>
          <w:bCs/>
          <w:i w:val="0"/>
          <w:iCs w:val="0"/>
          <w:color w:val="auto"/>
          <w:sz w:val="24"/>
          <w:szCs w:val="24"/>
          <w:highlight w:val="none"/>
          <w:u w:val="single"/>
          <w:lang w:val="en-US" w:eastAsia="zh-CN"/>
        </w:rPr>
        <w:t>0</w:t>
      </w:r>
      <w:r>
        <w:rPr>
          <w:rFonts w:hint="eastAsia" w:ascii="宋体" w:hAnsi="宋体" w:eastAsia="宋体" w:cs="宋体"/>
          <w:bCs/>
          <w:i w:val="0"/>
          <w:iCs w:val="0"/>
          <w:color w:val="auto"/>
          <w:sz w:val="24"/>
          <w:szCs w:val="24"/>
          <w:highlight w:val="none"/>
          <w:u w:val="single"/>
          <w:lang w:val="en-US" w:eastAsia="zh-CN"/>
        </w:rPr>
        <w:t>0</w:t>
      </w:r>
      <w:r>
        <w:rPr>
          <w:rFonts w:hint="eastAsia" w:ascii="宋体" w:hAnsi="宋体" w:eastAsia="宋体" w:cs="宋体"/>
          <w:bCs/>
          <w:i w:val="0"/>
          <w:iCs w:val="0"/>
          <w:color w:val="auto"/>
          <w:sz w:val="24"/>
          <w:szCs w:val="24"/>
          <w:highlight w:val="none"/>
          <w:u w:val="single"/>
        </w:rPr>
        <w:t>分</w:t>
      </w:r>
      <w:r>
        <w:rPr>
          <w:rFonts w:hint="eastAsia" w:ascii="宋体" w:hAnsi="宋体" w:eastAsia="宋体" w:cs="宋体"/>
          <w:bCs/>
          <w:i w:val="0"/>
          <w:iCs w:val="0"/>
          <w:color w:val="auto"/>
          <w:sz w:val="24"/>
          <w:szCs w:val="24"/>
          <w:highlight w:val="none"/>
        </w:rPr>
        <w:t>（北京时间）</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rPr>
        <w:t>地点：</w:t>
      </w:r>
      <w:r>
        <w:rPr>
          <w:rFonts w:hint="eastAsia" w:ascii="宋体" w:hAnsi="宋体" w:eastAsia="宋体" w:cs="宋体"/>
          <w:i w:val="0"/>
          <w:iCs w:val="0"/>
          <w:color w:val="auto"/>
          <w:sz w:val="24"/>
          <w:szCs w:val="24"/>
          <w:highlight w:val="none"/>
          <w:u w:val="none"/>
          <w:lang w:val="en-US" w:eastAsia="zh-CN"/>
        </w:rPr>
        <w:t xml:space="preserve"> 新疆乌鲁木齐市水磨沟区会展大道1119号大成尔雅B座（乌鲁木齐晚报大厦）七楼70</w:t>
      </w:r>
      <w:r>
        <w:rPr>
          <w:rFonts w:hint="eastAsia" w:ascii="宋体" w:hAnsi="宋体" w:cs="宋体"/>
          <w:i w:val="0"/>
          <w:iCs w:val="0"/>
          <w:color w:val="auto"/>
          <w:sz w:val="24"/>
          <w:szCs w:val="24"/>
          <w:highlight w:val="none"/>
          <w:u w:val="none"/>
          <w:lang w:val="en-US" w:eastAsia="zh-CN"/>
        </w:rPr>
        <w:t>2</w:t>
      </w:r>
      <w:r>
        <w:rPr>
          <w:rFonts w:hint="eastAsia" w:ascii="宋体" w:hAnsi="宋体" w:eastAsia="宋体" w:cs="宋体"/>
          <w:i w:val="0"/>
          <w:iCs w:val="0"/>
          <w:color w:val="auto"/>
          <w:sz w:val="24"/>
          <w:szCs w:val="24"/>
          <w:highlight w:val="none"/>
          <w:u w:val="none"/>
          <w:lang w:val="en-US" w:eastAsia="zh-CN"/>
        </w:rPr>
        <w:t>号房</w:t>
      </w:r>
    </w:p>
    <w:p>
      <w:pPr>
        <w:spacing w:line="360" w:lineRule="auto"/>
        <w:ind w:firstLine="562" w:firstLineChars="200"/>
        <w:jc w:val="both"/>
        <w:outlineLvl w:val="9"/>
        <w:rPr>
          <w:rFonts w:hint="eastAsia" w:ascii="黑体" w:hAnsi="黑体" w:cs="宋体"/>
          <w:b/>
          <w:bCs w:val="0"/>
          <w:color w:val="auto"/>
          <w:sz w:val="28"/>
          <w:szCs w:val="28"/>
          <w:highlight w:val="none"/>
          <w:lang w:val="en-US" w:eastAsia="zh-CN"/>
        </w:rPr>
      </w:pPr>
      <w:r>
        <w:rPr>
          <w:rFonts w:hint="eastAsia" w:ascii="黑体" w:hAnsi="黑体" w:cs="宋体"/>
          <w:b/>
          <w:bCs w:val="0"/>
          <w:color w:val="auto"/>
          <w:sz w:val="28"/>
          <w:szCs w:val="28"/>
          <w:highlight w:val="none"/>
          <w:lang w:val="en-US" w:eastAsia="zh-CN"/>
        </w:rPr>
        <w:t>六、公告期限</w:t>
      </w:r>
      <w:bookmarkEnd w:id="26"/>
      <w:bookmarkEnd w:id="27"/>
      <w:bookmarkEnd w:id="28"/>
      <w:bookmarkEnd w:id="29"/>
    </w:p>
    <w:p>
      <w:pPr>
        <w:spacing w:line="240" w:lineRule="auto"/>
        <w:ind w:firstLine="480" w:firstLine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自本公告发布之日起3个工作日。</w:t>
      </w:r>
    </w:p>
    <w:p>
      <w:pPr>
        <w:spacing w:line="360" w:lineRule="auto"/>
        <w:ind w:firstLine="562" w:firstLineChars="200"/>
        <w:jc w:val="both"/>
        <w:outlineLvl w:val="9"/>
        <w:rPr>
          <w:rFonts w:hint="eastAsia" w:ascii="宋体" w:hAnsi="宋体" w:eastAsia="宋体" w:cs="宋体"/>
          <w:b w:val="0"/>
          <w:bCs w:val="0"/>
          <w:i w:val="0"/>
          <w:iCs w:val="0"/>
          <w:color w:val="auto"/>
          <w:kern w:val="2"/>
          <w:sz w:val="24"/>
          <w:szCs w:val="24"/>
          <w:highlight w:val="none"/>
          <w:u w:val="none"/>
          <w:lang w:val="en-US" w:eastAsia="zh-CN" w:bidi="ar-SA"/>
        </w:rPr>
      </w:pPr>
      <w:bookmarkStart w:id="30" w:name="_Toc35393635"/>
      <w:bookmarkStart w:id="31" w:name="_Toc35393804"/>
      <w:r>
        <w:rPr>
          <w:rFonts w:hint="eastAsia" w:ascii="黑体" w:hAnsi="黑体" w:cs="宋体"/>
          <w:b/>
          <w:bCs w:val="0"/>
          <w:color w:val="auto"/>
          <w:sz w:val="28"/>
          <w:szCs w:val="28"/>
          <w:highlight w:val="none"/>
          <w:lang w:val="en-US" w:eastAsia="zh-CN"/>
        </w:rPr>
        <w:t>七、其他补充事宜</w:t>
      </w:r>
      <w:bookmarkEnd w:id="30"/>
      <w:bookmarkEnd w:id="31"/>
      <w:r>
        <w:rPr>
          <w:rFonts w:hint="eastAsia" w:ascii="黑体" w:hAnsi="黑体" w:cs="宋体"/>
          <w:b/>
          <w:bCs w:val="0"/>
          <w:color w:val="auto"/>
          <w:sz w:val="28"/>
          <w:szCs w:val="28"/>
          <w:highlight w:val="none"/>
          <w:lang w:val="en-US" w:eastAsia="zh-CN"/>
        </w:rPr>
        <w:t xml:space="preserve">  </w:t>
      </w:r>
      <w:r>
        <w:rPr>
          <w:rFonts w:hint="eastAsia" w:ascii="宋体" w:hAnsi="宋体" w:eastAsia="宋体" w:cs="宋体"/>
          <w:b w:val="0"/>
          <w:bCs w:val="0"/>
          <w:i w:val="0"/>
          <w:iCs w:val="0"/>
          <w:color w:val="auto"/>
          <w:kern w:val="2"/>
          <w:sz w:val="24"/>
          <w:szCs w:val="24"/>
          <w:highlight w:val="none"/>
          <w:u w:val="none"/>
          <w:lang w:val="en-US" w:eastAsia="zh-CN" w:bidi="ar-SA"/>
        </w:rPr>
        <w:t>无</w:t>
      </w:r>
    </w:p>
    <w:p>
      <w:pPr>
        <w:spacing w:line="240" w:lineRule="auto"/>
        <w:ind w:firstLine="562" w:firstLineChars="200"/>
        <w:jc w:val="both"/>
        <w:outlineLvl w:val="9"/>
        <w:rPr>
          <w:rFonts w:ascii="黑体" w:hAnsi="黑体" w:cs="宋体"/>
          <w:b/>
          <w:bCs w:val="0"/>
          <w:color w:val="auto"/>
          <w:sz w:val="28"/>
          <w:szCs w:val="28"/>
          <w:highlight w:val="none"/>
        </w:rPr>
      </w:pPr>
      <w:bookmarkStart w:id="32" w:name="_Toc28359095"/>
      <w:bookmarkStart w:id="33" w:name="_Toc35393636"/>
      <w:bookmarkStart w:id="34" w:name="_Toc35393805"/>
      <w:bookmarkStart w:id="35" w:name="_Toc28359018"/>
      <w:r>
        <w:rPr>
          <w:rFonts w:hint="eastAsia" w:ascii="黑体" w:hAnsi="黑体" w:cs="宋体"/>
          <w:b/>
          <w:bCs w:val="0"/>
          <w:color w:val="auto"/>
          <w:sz w:val="28"/>
          <w:szCs w:val="28"/>
          <w:highlight w:val="none"/>
        </w:rPr>
        <w:t>八、凡对本次采购提出询问，请按</w:t>
      </w:r>
      <w:r>
        <w:rPr>
          <w:rFonts w:ascii="黑体" w:hAnsi="黑体" w:cs="宋体"/>
          <w:b/>
          <w:bCs w:val="0"/>
          <w:color w:val="auto"/>
          <w:sz w:val="28"/>
          <w:szCs w:val="28"/>
          <w:highlight w:val="none"/>
        </w:rPr>
        <w:t>以下方式</w:t>
      </w:r>
      <w:r>
        <w:rPr>
          <w:rFonts w:hint="eastAsia" w:ascii="黑体" w:hAnsi="黑体" w:cs="宋体"/>
          <w:b/>
          <w:bCs w:val="0"/>
          <w:color w:val="auto"/>
          <w:sz w:val="28"/>
          <w:szCs w:val="28"/>
          <w:highlight w:val="none"/>
        </w:rPr>
        <w:t>联系。</w:t>
      </w:r>
      <w:bookmarkEnd w:id="32"/>
      <w:bookmarkEnd w:id="33"/>
      <w:bookmarkEnd w:id="34"/>
      <w:bookmarkEnd w:id="35"/>
    </w:p>
    <w:p>
      <w:pPr>
        <w:pStyle w:val="4"/>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b w:val="0"/>
          <w:i w:val="0"/>
          <w:iCs w:val="0"/>
          <w:color w:val="auto"/>
          <w:sz w:val="24"/>
          <w:szCs w:val="24"/>
          <w:highlight w:val="none"/>
        </w:rPr>
      </w:pPr>
      <w:bookmarkStart w:id="36" w:name="_Toc28359019"/>
      <w:bookmarkStart w:id="37" w:name="_Toc35393637"/>
      <w:bookmarkStart w:id="38" w:name="_Toc35393806"/>
      <w:bookmarkStart w:id="39" w:name="_Toc28359096"/>
      <w:r>
        <w:rPr>
          <w:rFonts w:hint="eastAsia" w:asciiTheme="minorEastAsia" w:hAnsiTheme="minorEastAsia" w:eastAsiaTheme="minorEastAsia" w:cstheme="minorEastAsia"/>
          <w:b w:val="0"/>
          <w:i w:val="0"/>
          <w:iCs w:val="0"/>
          <w:color w:val="auto"/>
          <w:sz w:val="24"/>
          <w:szCs w:val="24"/>
          <w:highlight w:val="none"/>
        </w:rPr>
        <w:t>1.采购人信息</w:t>
      </w:r>
      <w:bookmarkEnd w:id="36"/>
      <w:bookmarkEnd w:id="37"/>
      <w:bookmarkEnd w:id="38"/>
      <w:bookmarkEnd w:id="39"/>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u w:val="single"/>
        </w:rPr>
      </w:pPr>
      <w:r>
        <w:rPr>
          <w:rFonts w:hint="eastAsia" w:asciiTheme="minorEastAsia" w:hAnsiTheme="minorEastAsia" w:eastAsiaTheme="minorEastAsia" w:cstheme="minorEastAsia"/>
          <w:i w:val="0"/>
          <w:iCs w:val="0"/>
          <w:color w:val="auto"/>
          <w:sz w:val="24"/>
          <w:szCs w:val="24"/>
          <w:highlight w:val="none"/>
        </w:rPr>
        <w:t>名    称：</w:t>
      </w:r>
      <w:r>
        <w:rPr>
          <w:rFonts w:hint="eastAsia" w:asciiTheme="minorEastAsia" w:hAnsiTheme="minorEastAsia" w:eastAsiaTheme="minorEastAsia" w:cstheme="minorEastAsia"/>
          <w:i w:val="0"/>
          <w:iCs w:val="0"/>
          <w:color w:val="auto"/>
          <w:sz w:val="24"/>
          <w:szCs w:val="24"/>
          <w:highlight w:val="none"/>
          <w:u w:val="single"/>
        </w:rPr>
        <w:t>新疆维吾尔自治区文化馆</w:t>
      </w:r>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default" w:asciiTheme="minorEastAsia" w:hAnsiTheme="minorEastAsia" w:eastAsiaTheme="minorEastAsia" w:cstheme="minorEastAsia"/>
          <w:i w:val="0"/>
          <w:iCs w:val="0"/>
          <w:color w:val="auto"/>
          <w:sz w:val="24"/>
          <w:szCs w:val="24"/>
          <w:highlight w:val="none"/>
          <w:u w:val="single"/>
          <w:lang w:val="en-US" w:eastAsia="zh-CN"/>
        </w:rPr>
      </w:pPr>
      <w:r>
        <w:rPr>
          <w:rFonts w:hint="eastAsia" w:asciiTheme="minorEastAsia" w:hAnsiTheme="minorEastAsia" w:eastAsiaTheme="minorEastAsia" w:cstheme="minorEastAsia"/>
          <w:i w:val="0"/>
          <w:iCs w:val="0"/>
          <w:color w:val="auto"/>
          <w:sz w:val="24"/>
          <w:szCs w:val="24"/>
          <w:highlight w:val="none"/>
        </w:rPr>
        <w:t>地    址：</w:t>
      </w:r>
      <w:r>
        <w:rPr>
          <w:rFonts w:hint="eastAsia" w:asciiTheme="minorEastAsia" w:hAnsiTheme="minorEastAsia" w:eastAsiaTheme="minorEastAsia" w:cstheme="minorEastAsia"/>
          <w:i w:val="0"/>
          <w:iCs w:val="0"/>
          <w:color w:val="auto"/>
          <w:sz w:val="24"/>
          <w:szCs w:val="24"/>
          <w:highlight w:val="none"/>
          <w:u w:val="single"/>
          <w:lang w:val="en-US" w:eastAsia="zh-CN"/>
        </w:rPr>
        <w:t>乌鲁木齐市沙依巴克区友好北路167号</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w:t>
      </w:r>
      <w:r>
        <w:rPr>
          <w:rFonts w:hint="eastAsia" w:asciiTheme="minorEastAsia" w:hAnsiTheme="minorEastAsia" w:eastAsiaTheme="minorEastAsia" w:cstheme="minorEastAsia"/>
          <w:i w:val="0"/>
          <w:iCs w:val="0"/>
          <w:color w:val="auto"/>
          <w:sz w:val="24"/>
          <w:szCs w:val="24"/>
          <w:highlight w:val="none"/>
          <w:lang w:val="en-US" w:eastAsia="zh-CN"/>
        </w:rPr>
        <w:t xml:space="preserve"> </w:t>
      </w:r>
      <w:r>
        <w:rPr>
          <w:rFonts w:hint="eastAsia" w:asciiTheme="minorEastAsia" w:hAnsiTheme="minorEastAsia" w:eastAsiaTheme="minorEastAsia" w:cstheme="minorEastAsia"/>
          <w:i w:val="0"/>
          <w:iCs w:val="0"/>
          <w:color w:val="auto"/>
          <w:sz w:val="24"/>
          <w:szCs w:val="24"/>
          <w:highlight w:val="none"/>
        </w:rPr>
        <w:t>系</w:t>
      </w:r>
      <w:r>
        <w:rPr>
          <w:rFonts w:hint="eastAsia" w:asciiTheme="minorEastAsia" w:hAnsiTheme="minorEastAsia" w:eastAsiaTheme="minorEastAsia" w:cstheme="minorEastAsia"/>
          <w:i w:val="0"/>
          <w:iCs w:val="0"/>
          <w:color w:val="auto"/>
          <w:sz w:val="24"/>
          <w:szCs w:val="24"/>
          <w:highlight w:val="none"/>
          <w:lang w:val="en-US" w:eastAsia="zh-CN"/>
        </w:rPr>
        <w:t xml:space="preserve"> 人：</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阿不都热依木       </w:t>
      </w:r>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联系方式：</w:t>
      </w:r>
      <w:r>
        <w:rPr>
          <w:rFonts w:hint="eastAsia" w:asciiTheme="minorEastAsia" w:hAnsiTheme="minorEastAsia" w:eastAsiaTheme="minorEastAsia" w:cstheme="minorEastAsia"/>
          <w:i w:val="0"/>
          <w:iCs w:val="0"/>
          <w:color w:val="auto"/>
          <w:sz w:val="24"/>
          <w:szCs w:val="24"/>
          <w:highlight w:val="none"/>
          <w:u w:val="single"/>
          <w:lang w:val="en-US" w:eastAsia="zh-CN"/>
        </w:rPr>
        <w:t>13070443034</w:t>
      </w:r>
    </w:p>
    <w:p>
      <w:pPr>
        <w:pStyle w:val="4"/>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b w:val="0"/>
          <w:i w:val="0"/>
          <w:iCs w:val="0"/>
          <w:color w:val="auto"/>
          <w:sz w:val="24"/>
          <w:szCs w:val="24"/>
          <w:highlight w:val="none"/>
        </w:rPr>
      </w:pPr>
      <w:bookmarkStart w:id="40" w:name="_Toc35393638"/>
      <w:bookmarkStart w:id="41" w:name="_Toc28359020"/>
      <w:bookmarkStart w:id="42" w:name="_Toc35393807"/>
      <w:bookmarkStart w:id="43" w:name="_Toc28359097"/>
      <w:r>
        <w:rPr>
          <w:rFonts w:hint="eastAsia" w:asciiTheme="minorEastAsia" w:hAnsiTheme="minorEastAsia" w:eastAsiaTheme="minorEastAsia" w:cstheme="minorEastAsia"/>
          <w:b w:val="0"/>
          <w:i w:val="0"/>
          <w:iCs w:val="0"/>
          <w:color w:val="auto"/>
          <w:sz w:val="24"/>
          <w:szCs w:val="24"/>
          <w:highlight w:val="none"/>
        </w:rPr>
        <w:t>2.采购代理机构信息</w:t>
      </w:r>
      <w:bookmarkEnd w:id="40"/>
      <w:bookmarkEnd w:id="41"/>
      <w:bookmarkEnd w:id="42"/>
      <w:bookmarkEnd w:id="43"/>
    </w:p>
    <w:p>
      <w:pPr>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名    称：</w:t>
      </w:r>
      <w:r>
        <w:rPr>
          <w:rFonts w:hint="eastAsia" w:asciiTheme="minorEastAsia" w:hAnsiTheme="minorEastAsia" w:eastAsiaTheme="minorEastAsia" w:cstheme="minorEastAsia"/>
          <w:i w:val="0"/>
          <w:iCs w:val="0"/>
          <w:color w:val="auto"/>
          <w:sz w:val="24"/>
          <w:szCs w:val="24"/>
          <w:highlight w:val="none"/>
          <w:u w:val="single"/>
        </w:rPr>
        <w:t>新疆信尔成工程项目管理有限公司</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479" w:leftChars="228" w:firstLine="480" w:firstLineChars="2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地　　址：</w:t>
      </w:r>
      <w:r>
        <w:rPr>
          <w:rFonts w:hint="eastAsia" w:asciiTheme="minorEastAsia" w:hAnsiTheme="minorEastAsia" w:eastAsiaTheme="minorEastAsia" w:cstheme="minorEastAsia"/>
          <w:i w:val="0"/>
          <w:iCs w:val="0"/>
          <w:color w:val="auto"/>
          <w:sz w:val="24"/>
          <w:szCs w:val="24"/>
          <w:highlight w:val="none"/>
          <w:u w:val="single"/>
        </w:rPr>
        <w:t>新疆乌鲁木齐市水磨沟区会展大道1119号大成尔雅第一栋第十八层A座1806号房</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w:t>
      </w:r>
      <w:r>
        <w:rPr>
          <w:rFonts w:hint="eastAsia" w:asciiTheme="minorEastAsia" w:hAnsiTheme="minorEastAsia" w:eastAsiaTheme="minorEastAsia" w:cstheme="minorEastAsia"/>
          <w:i w:val="0"/>
          <w:iCs w:val="0"/>
          <w:color w:val="auto"/>
          <w:sz w:val="24"/>
          <w:szCs w:val="24"/>
          <w:highlight w:val="none"/>
          <w:lang w:val="en-US" w:eastAsia="zh-CN"/>
        </w:rPr>
        <w:t xml:space="preserve"> </w:t>
      </w:r>
      <w:r>
        <w:rPr>
          <w:rFonts w:hint="eastAsia" w:asciiTheme="minorEastAsia" w:hAnsiTheme="minorEastAsia" w:eastAsiaTheme="minorEastAsia" w:cstheme="minorEastAsia"/>
          <w:i w:val="0"/>
          <w:iCs w:val="0"/>
          <w:color w:val="auto"/>
          <w:sz w:val="24"/>
          <w:szCs w:val="24"/>
          <w:highlight w:val="none"/>
        </w:rPr>
        <w:t>系</w:t>
      </w:r>
      <w:r>
        <w:rPr>
          <w:rFonts w:hint="eastAsia" w:asciiTheme="minorEastAsia" w:hAnsiTheme="minorEastAsia" w:eastAsiaTheme="minorEastAsia" w:cstheme="minorEastAsia"/>
          <w:i w:val="0"/>
          <w:iCs w:val="0"/>
          <w:color w:val="auto"/>
          <w:sz w:val="24"/>
          <w:szCs w:val="24"/>
          <w:highlight w:val="none"/>
          <w:lang w:val="en-US" w:eastAsia="zh-CN"/>
        </w:rPr>
        <w:t xml:space="preserve"> 人：</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张玉伟      </w:t>
      </w:r>
    </w:p>
    <w:p>
      <w:pPr>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u w:val="single"/>
          <w:lang w:val="en-US" w:eastAsia="zh-CN"/>
        </w:rPr>
      </w:pPr>
      <w:r>
        <w:rPr>
          <w:rFonts w:hint="eastAsia" w:asciiTheme="minorEastAsia" w:hAnsiTheme="minorEastAsia" w:eastAsiaTheme="minorEastAsia" w:cstheme="minorEastAsia"/>
          <w:i w:val="0"/>
          <w:iCs w:val="0"/>
          <w:color w:val="auto"/>
          <w:sz w:val="24"/>
          <w:szCs w:val="24"/>
          <w:highlight w:val="none"/>
        </w:rPr>
        <w:t>联系方式：</w:t>
      </w:r>
      <w:r>
        <w:rPr>
          <w:rFonts w:hint="eastAsia" w:asciiTheme="minorEastAsia" w:hAnsiTheme="minorEastAsia" w:eastAsiaTheme="minorEastAsia" w:cstheme="minorEastAsia"/>
          <w:i w:val="0"/>
          <w:iCs w:val="0"/>
          <w:color w:val="auto"/>
          <w:sz w:val="24"/>
          <w:szCs w:val="24"/>
          <w:highlight w:val="none"/>
          <w:u w:val="single"/>
        </w:rPr>
        <w:t xml:space="preserve">18140907575 </w:t>
      </w:r>
    </w:p>
    <w:p>
      <w:pPr>
        <w:pStyle w:val="4"/>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b w:val="0"/>
          <w:i w:val="0"/>
          <w:iCs w:val="0"/>
          <w:color w:val="auto"/>
          <w:sz w:val="24"/>
          <w:szCs w:val="24"/>
          <w:highlight w:val="none"/>
        </w:rPr>
      </w:pPr>
      <w:r>
        <w:rPr>
          <w:rFonts w:hint="eastAsia" w:asciiTheme="minorEastAsia" w:hAnsiTheme="minorEastAsia" w:eastAsiaTheme="minorEastAsia" w:cstheme="minorEastAsia"/>
          <w:b w:val="0"/>
          <w:i w:val="0"/>
          <w:iCs w:val="0"/>
          <w:color w:val="auto"/>
          <w:sz w:val="24"/>
          <w:szCs w:val="24"/>
          <w:highlight w:val="none"/>
        </w:rPr>
        <w:t>3.项目联系方式</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i w:val="0"/>
          <w:iCs w:val="0"/>
          <w:color w:val="auto"/>
          <w:sz w:val="24"/>
          <w:szCs w:val="24"/>
          <w:highlight w:val="none"/>
          <w:u w:val="singl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项目联系人：</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张玉伟    </w:t>
      </w:r>
    </w:p>
    <w:p>
      <w:pPr>
        <w:spacing w:line="360" w:lineRule="auto"/>
        <w:ind w:firstLine="480" w:firstLineChars="200"/>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联系方式</w:t>
      </w:r>
      <w:r>
        <w:rPr>
          <w:rFonts w:hint="eastAsia" w:asciiTheme="minorEastAsia" w:hAnsiTheme="minorEastAsia" w:eastAsiaTheme="minorEastAsia" w:cstheme="minorEastAsia"/>
          <w:i w:val="0"/>
          <w:iCs w:val="0"/>
          <w:color w:val="auto"/>
          <w:sz w:val="24"/>
          <w:szCs w:val="24"/>
          <w:highlight w:val="none"/>
          <w:lang w:val="en-US" w:eastAsia="zh-CN"/>
        </w:rPr>
        <w:t>：</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szCs w:val="24"/>
          <w:highlight w:val="none"/>
          <w:u w:val="single"/>
        </w:rPr>
        <w:t>18140907575</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szCs w:val="24"/>
          <w:highlight w:val="none"/>
          <w:lang w:val="en-US" w:eastAsia="zh-CN"/>
        </w:rPr>
        <w:t xml:space="preserve">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rPr>
      </w:pPr>
      <w:bookmarkStart w:id="44" w:name="_Toc25669"/>
      <w:r>
        <w:rPr>
          <w:rFonts w:hint="eastAsia" w:ascii="宋体" w:hAnsi="宋体" w:eastAsia="宋体" w:cs="宋体"/>
          <w:color w:val="auto"/>
          <w:w w:val="95"/>
          <w:highlight w:val="none"/>
        </w:rPr>
        <w:br w:type="page"/>
      </w:r>
    </w:p>
    <w:p>
      <w:pPr>
        <w:pStyle w:val="3"/>
        <w:ind w:firstLine="611" w:firstLineChars="200"/>
        <w:rPr>
          <w:rFonts w:hint="eastAsia" w:ascii="宋体" w:hAnsi="宋体" w:eastAsia="宋体" w:cs="宋体"/>
          <w:color w:val="auto"/>
          <w:highlight w:val="none"/>
        </w:rPr>
      </w:pPr>
      <w:r>
        <w:rPr>
          <w:rFonts w:hint="eastAsia" w:ascii="宋体" w:hAnsi="宋体" w:eastAsia="宋体" w:cs="宋体"/>
          <w:color w:val="auto"/>
          <w:w w:val="95"/>
          <w:highlight w:val="none"/>
        </w:rPr>
        <w:t>第</w:t>
      </w:r>
      <w:bookmarkStart w:id="45" w:name="bookmark2"/>
      <w:bookmarkEnd w:id="45"/>
      <w:bookmarkStart w:id="46" w:name="（一）供应商须知前附表"/>
      <w:bookmarkEnd w:id="46"/>
      <w:r>
        <w:rPr>
          <w:rFonts w:hint="eastAsia" w:ascii="宋体" w:hAnsi="宋体" w:eastAsia="宋体" w:cs="宋体"/>
          <w:color w:val="auto"/>
          <w:w w:val="95"/>
          <w:highlight w:val="none"/>
        </w:rPr>
        <w:t>二章</w:t>
      </w:r>
      <w:r>
        <w:rPr>
          <w:rFonts w:hint="eastAsia" w:ascii="宋体" w:hAnsi="宋体" w:eastAsia="宋体" w:cs="宋体"/>
          <w:color w:val="auto"/>
          <w:w w:val="95"/>
          <w:highlight w:val="none"/>
        </w:rPr>
        <w:tab/>
      </w:r>
      <w:r>
        <w:rPr>
          <w:rFonts w:hint="eastAsia" w:ascii="宋体" w:hAnsi="宋体" w:eastAsia="宋体" w:cs="宋体"/>
          <w:color w:val="auto"/>
          <w:highlight w:val="none"/>
        </w:rPr>
        <w:t>供应商须知及前附表</w:t>
      </w:r>
      <w:bookmarkEnd w:id="44"/>
    </w:p>
    <w:p>
      <w:pPr>
        <w:pStyle w:val="4"/>
        <w:ind w:firstLine="643" w:firstLineChars="200"/>
        <w:rPr>
          <w:rFonts w:hint="eastAsia" w:ascii="宋体" w:hAnsi="宋体" w:eastAsia="宋体" w:cs="宋体"/>
          <w:color w:val="auto"/>
          <w:highlight w:val="none"/>
        </w:rPr>
      </w:pPr>
      <w:bookmarkStart w:id="47" w:name="_Toc7077"/>
      <w:r>
        <w:rPr>
          <w:rFonts w:hint="eastAsia" w:ascii="宋体" w:hAnsi="宋体" w:eastAsia="宋体" w:cs="宋体"/>
          <w:color w:val="auto"/>
          <w:highlight w:val="none"/>
        </w:rPr>
        <w:t>（一）供应商须知前附表</w:t>
      </w:r>
      <w:bookmarkEnd w:id="47"/>
    </w:p>
    <w:tbl>
      <w:tblPr>
        <w:tblStyle w:val="16"/>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8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exact"/>
          <w:jc w:val="center"/>
        </w:trPr>
        <w:tc>
          <w:tcPr>
            <w:tcW w:w="672" w:type="dxa"/>
            <w:noWrap w:val="0"/>
            <w:vAlign w:val="top"/>
          </w:tcPr>
          <w:p>
            <w:pPr>
              <w:pStyle w:val="24"/>
              <w:kinsoku w:val="0"/>
              <w:overflowPunct w:val="0"/>
              <w:spacing w:before="74"/>
              <w:ind w:left="130"/>
              <w:rPr>
                <w:rFonts w:hint="eastAsia" w:ascii="宋体" w:hAnsi="宋体" w:eastAsia="宋体" w:cs="宋体"/>
                <w:color w:val="auto"/>
                <w:highlight w:val="none"/>
              </w:rPr>
            </w:pPr>
            <w:r>
              <w:rPr>
                <w:rFonts w:hint="eastAsia" w:ascii="宋体" w:hAnsi="宋体" w:eastAsia="宋体" w:cs="宋体"/>
                <w:b/>
                <w:bCs/>
                <w:color w:val="auto"/>
                <w:highlight w:val="none"/>
              </w:rPr>
              <w:t>序号</w:t>
            </w:r>
          </w:p>
        </w:tc>
        <w:tc>
          <w:tcPr>
            <w:tcW w:w="8475" w:type="dxa"/>
            <w:tcBorders>
              <w:bottom w:val="single" w:color="auto" w:sz="4" w:space="0"/>
            </w:tcBorders>
            <w:noWrap w:val="0"/>
            <w:vAlign w:val="top"/>
          </w:tcPr>
          <w:p>
            <w:pPr>
              <w:pStyle w:val="24"/>
              <w:tabs>
                <w:tab w:val="left" w:pos="627"/>
                <w:tab w:val="left" w:pos="1227"/>
                <w:tab w:val="left" w:pos="1832"/>
              </w:tabs>
              <w:kinsoku w:val="0"/>
              <w:overflowPunct w:val="0"/>
              <w:spacing w:before="74"/>
              <w:ind w:left="25"/>
              <w:jc w:val="center"/>
              <w:rPr>
                <w:rFonts w:hint="eastAsia" w:ascii="宋体" w:hAnsi="宋体" w:eastAsia="宋体" w:cs="宋体"/>
                <w:color w:val="auto"/>
                <w:highlight w:val="none"/>
              </w:rPr>
            </w:pPr>
            <w:r>
              <w:rPr>
                <w:rFonts w:hint="eastAsia" w:ascii="宋体" w:hAnsi="宋体" w:eastAsia="宋体" w:cs="宋体"/>
                <w:b/>
                <w:bCs/>
                <w:color w:val="auto"/>
                <w:w w:val="95"/>
                <w:highlight w:val="none"/>
              </w:rPr>
              <w:t>内</w:t>
            </w:r>
            <w:r>
              <w:rPr>
                <w:rFonts w:hint="eastAsia" w:ascii="宋体" w:hAnsi="宋体" w:eastAsia="宋体" w:cs="宋体"/>
                <w:b/>
                <w:bCs/>
                <w:color w:val="auto"/>
                <w:w w:val="95"/>
                <w:highlight w:val="none"/>
              </w:rPr>
              <w:tab/>
            </w:r>
            <w:r>
              <w:rPr>
                <w:rFonts w:hint="eastAsia" w:ascii="宋体" w:hAnsi="宋体" w:eastAsia="宋体" w:cs="宋体"/>
                <w:b/>
                <w:bCs/>
                <w:color w:val="auto"/>
                <w:w w:val="95"/>
                <w:highlight w:val="none"/>
              </w:rPr>
              <w:t>容</w:t>
            </w:r>
            <w:r>
              <w:rPr>
                <w:rFonts w:hint="eastAsia" w:ascii="宋体" w:hAnsi="宋体" w:eastAsia="宋体" w:cs="宋体"/>
                <w:b/>
                <w:bCs/>
                <w:color w:val="auto"/>
                <w:w w:val="95"/>
                <w:highlight w:val="none"/>
              </w:rPr>
              <w:tab/>
            </w:r>
            <w:r>
              <w:rPr>
                <w:rFonts w:hint="eastAsia" w:ascii="宋体" w:hAnsi="宋体" w:eastAsia="宋体" w:cs="宋体"/>
                <w:b/>
                <w:bCs/>
                <w:color w:val="auto"/>
                <w:w w:val="95"/>
                <w:highlight w:val="none"/>
              </w:rPr>
              <w:t>规</w:t>
            </w:r>
            <w:r>
              <w:rPr>
                <w:rFonts w:hint="eastAsia" w:ascii="宋体" w:hAnsi="宋体" w:eastAsia="宋体" w:cs="宋体"/>
                <w:b/>
                <w:bCs/>
                <w:color w:val="auto"/>
                <w:w w:val="95"/>
                <w:highlight w:val="none"/>
              </w:rPr>
              <w:tab/>
            </w:r>
            <w:r>
              <w:rPr>
                <w:rFonts w:hint="eastAsia" w:ascii="宋体" w:hAnsi="宋体" w:eastAsia="宋体" w:cs="宋体"/>
                <w:b/>
                <w:bCs/>
                <w:color w:val="auto"/>
                <w:highlight w:val="none"/>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exact"/>
          <w:jc w:val="center"/>
        </w:trPr>
        <w:tc>
          <w:tcPr>
            <w:tcW w:w="672" w:type="dxa"/>
            <w:vMerge w:val="restart"/>
            <w:noWrap w:val="0"/>
            <w:vAlign w:val="center"/>
          </w:tcPr>
          <w:p>
            <w:pPr>
              <w:pStyle w:val="24"/>
              <w:kinsoku w:val="0"/>
              <w:overflowPunct w:val="0"/>
              <w:ind w:right="14"/>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475" w:type="dxa"/>
            <w:tcBorders>
              <w:bottom w:val="nil"/>
            </w:tcBorders>
            <w:noWrap w:val="0"/>
            <w:vAlign w:val="top"/>
          </w:tcPr>
          <w:p>
            <w:pPr>
              <w:pStyle w:val="24"/>
              <w:kinsoku w:val="0"/>
              <w:overflowPunct w:val="0"/>
              <w:spacing w:before="57"/>
              <w:ind w:left="102"/>
              <w:rPr>
                <w:rFonts w:hint="eastAsia" w:ascii="宋体" w:hAnsi="宋体" w:eastAsia="宋体" w:cs="宋体"/>
                <w:b/>
                <w:bCs/>
                <w:color w:val="auto"/>
                <w:highlight w:val="none"/>
              </w:rPr>
            </w:pPr>
            <w:r>
              <w:rPr>
                <w:rFonts w:hint="eastAsia" w:ascii="宋体" w:hAnsi="宋体" w:eastAsia="宋体" w:cs="宋体"/>
                <w:b/>
                <w:bCs/>
                <w:color w:val="auto"/>
                <w:highlight w:val="none"/>
              </w:rPr>
              <w:t>采 购 人：</w:t>
            </w:r>
            <w:r>
              <w:rPr>
                <w:rFonts w:hint="eastAsia" w:asciiTheme="minorEastAsia" w:hAnsiTheme="minorEastAsia" w:eastAsiaTheme="minorEastAsia" w:cstheme="minorEastAsia"/>
                <w:i w:val="0"/>
                <w:iCs w:val="0"/>
                <w:color w:val="auto"/>
                <w:sz w:val="24"/>
                <w:szCs w:val="24"/>
                <w:highlight w:val="none"/>
                <w:u w:val="none"/>
              </w:rPr>
              <w:t>新疆维吾尔自治区文化馆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exact"/>
          <w:jc w:val="center"/>
        </w:trPr>
        <w:tc>
          <w:tcPr>
            <w:tcW w:w="672" w:type="dxa"/>
            <w:vMerge w:val="continue"/>
            <w:noWrap w:val="0"/>
            <w:vAlign w:val="center"/>
          </w:tcPr>
          <w:p>
            <w:pPr>
              <w:pStyle w:val="24"/>
              <w:kinsoku w:val="0"/>
              <w:overflowPunct w:val="0"/>
              <w:spacing w:before="57"/>
              <w:ind w:left="102"/>
              <w:jc w:val="center"/>
              <w:rPr>
                <w:rFonts w:hint="eastAsia" w:ascii="宋体" w:hAnsi="宋体" w:eastAsia="宋体" w:cs="宋体"/>
                <w:color w:val="auto"/>
                <w:highlight w:val="none"/>
              </w:rPr>
            </w:pPr>
          </w:p>
        </w:tc>
        <w:tc>
          <w:tcPr>
            <w:tcW w:w="8475" w:type="dxa"/>
            <w:tcBorders>
              <w:top w:val="nil"/>
              <w:bottom w:val="nil"/>
            </w:tcBorders>
            <w:noWrap w:val="0"/>
            <w:vAlign w:val="top"/>
          </w:tcPr>
          <w:p>
            <w:pPr>
              <w:pStyle w:val="24"/>
              <w:kinsoku w:val="0"/>
              <w:overflowPunct w:val="0"/>
              <w:spacing w:before="57"/>
              <w:ind w:left="102" w:firstLine="482" w:firstLineChars="200"/>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地</w:t>
            </w:r>
            <w:r>
              <w:rPr>
                <w:rFonts w:hint="eastAsia" w:ascii="宋体" w:hAnsi="宋体" w:eastAsia="宋体" w:cs="宋体"/>
                <w:b/>
                <w:bCs/>
                <w:color w:val="auto"/>
                <w:highlight w:val="none"/>
                <w:u w:val="none"/>
              </w:rPr>
              <w:tab/>
            </w:r>
            <w:r>
              <w:rPr>
                <w:rFonts w:hint="eastAsia" w:ascii="宋体" w:hAnsi="宋体" w:eastAsia="宋体" w:cs="宋体"/>
                <w:b/>
                <w:bCs/>
                <w:color w:val="auto"/>
                <w:highlight w:val="none"/>
                <w:u w:val="none"/>
              </w:rPr>
              <w:t xml:space="preserve">   址：</w:t>
            </w:r>
            <w:r>
              <w:rPr>
                <w:rFonts w:hint="eastAsia" w:asciiTheme="minorEastAsia" w:hAnsiTheme="minorEastAsia" w:eastAsiaTheme="minorEastAsia" w:cstheme="minorEastAsia"/>
                <w:i w:val="0"/>
                <w:iCs w:val="0"/>
                <w:color w:val="auto"/>
                <w:sz w:val="24"/>
                <w:szCs w:val="24"/>
                <w:highlight w:val="none"/>
                <w:u w:val="none"/>
                <w:lang w:val="en-US" w:eastAsia="zh-CN"/>
              </w:rPr>
              <w:t>乌鲁木齐市沙依巴克区友好北路167号</w:t>
            </w:r>
            <w:r>
              <w:rPr>
                <w:rFonts w:hint="eastAsia" w:ascii="宋体" w:hAnsi="宋体" w:eastAsia="宋体" w:cs="宋体"/>
                <w:bCs/>
                <w:color w:val="auto"/>
                <w:szCs w:val="21"/>
                <w:highlight w:val="none"/>
                <w:u w:val="none"/>
              </w:rPr>
              <w:t xml:space="preserve">  </w:t>
            </w:r>
          </w:p>
          <w:p>
            <w:pPr>
              <w:pStyle w:val="24"/>
              <w:kinsoku w:val="0"/>
              <w:overflowPunct w:val="0"/>
              <w:spacing w:before="57"/>
              <w:ind w:left="102" w:firstLine="482" w:firstLineChars="200"/>
              <w:rPr>
                <w:rFonts w:hint="default" w:ascii="宋体" w:hAnsi="宋体" w:eastAsia="宋体" w:cs="宋体"/>
                <w:color w:val="auto"/>
                <w:highlight w:val="none"/>
                <w:u w:val="none"/>
                <w:lang w:val="en-US"/>
              </w:rPr>
            </w:pPr>
            <w:r>
              <w:rPr>
                <w:rFonts w:hint="eastAsia" w:ascii="宋体" w:hAnsi="宋体" w:eastAsia="宋体" w:cs="宋体"/>
                <w:b/>
                <w:bCs/>
                <w:color w:val="auto"/>
                <w:highlight w:val="none"/>
                <w:u w:val="none"/>
              </w:rPr>
              <w:t>联 系 人：</w:t>
            </w:r>
            <w:r>
              <w:rPr>
                <w:rFonts w:hint="eastAsia" w:asciiTheme="minorEastAsia" w:hAnsiTheme="minorEastAsia" w:eastAsiaTheme="minorEastAsia" w:cstheme="minorEastAsia"/>
                <w:i w:val="0"/>
                <w:iCs w:val="0"/>
                <w:color w:val="auto"/>
                <w:sz w:val="24"/>
                <w:szCs w:val="24"/>
                <w:highlight w:val="none"/>
                <w:u w:val="none"/>
                <w:lang w:val="en-US" w:eastAsia="zh-CN"/>
              </w:rPr>
              <w:t xml:space="preserve">阿不都热依木 </w:t>
            </w:r>
          </w:p>
          <w:p>
            <w:pPr>
              <w:pStyle w:val="24"/>
              <w:kinsoku w:val="0"/>
              <w:overflowPunct w:val="0"/>
              <w:spacing w:before="57"/>
              <w:ind w:left="102"/>
              <w:rPr>
                <w:rFonts w:hint="eastAsia" w:ascii="宋体" w:hAnsi="宋体" w:eastAsia="宋体" w:cs="宋体"/>
                <w:b/>
                <w:bCs/>
                <w:color w:val="auto"/>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exact"/>
          <w:jc w:val="center"/>
        </w:trPr>
        <w:tc>
          <w:tcPr>
            <w:tcW w:w="672" w:type="dxa"/>
            <w:vMerge w:val="continue"/>
            <w:noWrap w:val="0"/>
            <w:vAlign w:val="center"/>
          </w:tcPr>
          <w:p>
            <w:pPr>
              <w:pStyle w:val="24"/>
              <w:tabs>
                <w:tab w:val="left" w:pos="824"/>
              </w:tabs>
              <w:kinsoku w:val="0"/>
              <w:overflowPunct w:val="0"/>
              <w:spacing w:before="16" w:line="320" w:lineRule="auto"/>
              <w:ind w:left="102" w:right="4066"/>
              <w:jc w:val="center"/>
              <w:rPr>
                <w:rFonts w:hint="eastAsia" w:ascii="宋体" w:hAnsi="宋体" w:eastAsia="宋体" w:cs="宋体"/>
                <w:color w:val="auto"/>
                <w:highlight w:val="none"/>
              </w:rPr>
            </w:pPr>
          </w:p>
        </w:tc>
        <w:tc>
          <w:tcPr>
            <w:tcW w:w="8475" w:type="dxa"/>
            <w:tcBorders>
              <w:top w:val="nil"/>
              <w:bottom w:val="single" w:color="auto" w:sz="4" w:space="0"/>
            </w:tcBorders>
            <w:noWrap w:val="0"/>
            <w:vAlign w:val="top"/>
          </w:tcPr>
          <w:p>
            <w:pPr>
              <w:pStyle w:val="24"/>
              <w:kinsoku w:val="0"/>
              <w:overflowPunct w:val="0"/>
              <w:spacing w:before="57"/>
              <w:ind w:left="102"/>
              <w:rPr>
                <w:rFonts w:hint="default" w:ascii="宋体" w:hAnsi="宋体" w:eastAsia="宋体" w:cs="宋体"/>
                <w:b/>
                <w:bCs/>
                <w:color w:val="auto"/>
                <w:highlight w:val="none"/>
                <w:u w:val="none"/>
                <w:lang w:val="en-US" w:eastAsia="zh-CN"/>
              </w:rPr>
            </w:pPr>
            <w:r>
              <w:rPr>
                <w:rFonts w:hint="eastAsia" w:ascii="宋体" w:hAnsi="宋体" w:eastAsia="宋体" w:cs="宋体"/>
                <w:b/>
                <w:bCs/>
                <w:color w:val="auto"/>
                <w:highlight w:val="none"/>
                <w:u w:val="none"/>
              </w:rPr>
              <w:t>联系电话：</w:t>
            </w:r>
            <w:r>
              <w:rPr>
                <w:rFonts w:hint="eastAsia" w:asciiTheme="minorEastAsia" w:hAnsiTheme="minorEastAsia" w:eastAsiaTheme="minorEastAsia" w:cstheme="minorEastAsia"/>
                <w:i w:val="0"/>
                <w:iCs w:val="0"/>
                <w:color w:val="auto"/>
                <w:sz w:val="24"/>
                <w:szCs w:val="24"/>
                <w:highlight w:val="none"/>
                <w:u w:val="none"/>
                <w:lang w:val="en-US" w:eastAsia="zh-CN"/>
              </w:rPr>
              <w:t>13070443034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72" w:type="dxa"/>
            <w:vMerge w:val="restart"/>
            <w:noWrap w:val="0"/>
            <w:vAlign w:val="center"/>
          </w:tcPr>
          <w:p>
            <w:pPr>
              <w:pStyle w:val="24"/>
              <w:kinsoku w:val="0"/>
              <w:overflowPunct w:val="0"/>
              <w:ind w:right="14"/>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8475" w:type="dxa"/>
            <w:tcBorders>
              <w:bottom w:val="nil"/>
            </w:tcBorders>
            <w:noWrap w:val="0"/>
            <w:vAlign w:val="top"/>
          </w:tcPr>
          <w:p>
            <w:pPr>
              <w:pStyle w:val="24"/>
              <w:kinsoku w:val="0"/>
              <w:overflowPunct w:val="0"/>
              <w:spacing w:before="56"/>
              <w:ind w:left="102"/>
              <w:rPr>
                <w:rFonts w:hint="eastAsia" w:ascii="宋体" w:hAnsi="宋体" w:eastAsia="宋体" w:cs="宋体"/>
                <w:b/>
                <w:bCs/>
                <w:color w:val="auto"/>
                <w:highlight w:val="none"/>
              </w:rPr>
            </w:pPr>
            <w:r>
              <w:rPr>
                <w:rFonts w:hint="eastAsia" w:ascii="宋体" w:hAnsi="宋体" w:eastAsia="宋体" w:cs="宋体"/>
                <w:b/>
                <w:bCs/>
                <w:color w:val="auto"/>
                <w:highlight w:val="none"/>
              </w:rPr>
              <w:t>代理机构：</w:t>
            </w:r>
            <w:r>
              <w:rPr>
                <w:rFonts w:hint="eastAsia" w:ascii="宋体" w:hAnsi="宋体" w:eastAsia="宋体" w:cs="宋体"/>
                <w:color w:val="auto"/>
                <w:highlight w:val="none"/>
              </w:rPr>
              <w:t>新疆信尔成工程项目管理有限公司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exact"/>
          <w:jc w:val="center"/>
        </w:trPr>
        <w:tc>
          <w:tcPr>
            <w:tcW w:w="672" w:type="dxa"/>
            <w:vMerge w:val="continue"/>
            <w:noWrap w:val="0"/>
            <w:vAlign w:val="center"/>
          </w:tcPr>
          <w:p>
            <w:pPr>
              <w:pStyle w:val="24"/>
              <w:kinsoku w:val="0"/>
              <w:overflowPunct w:val="0"/>
              <w:spacing w:before="56"/>
              <w:ind w:left="102"/>
              <w:jc w:val="center"/>
              <w:rPr>
                <w:rFonts w:hint="eastAsia" w:ascii="宋体" w:hAnsi="宋体" w:eastAsia="宋体" w:cs="宋体"/>
                <w:color w:val="auto"/>
                <w:highlight w:val="none"/>
              </w:rPr>
            </w:pPr>
          </w:p>
        </w:tc>
        <w:tc>
          <w:tcPr>
            <w:tcW w:w="8475" w:type="dxa"/>
            <w:tcBorders>
              <w:top w:val="nil"/>
              <w:bottom w:val="nil"/>
            </w:tcBorders>
            <w:noWrap w:val="0"/>
            <w:vAlign w:val="top"/>
          </w:tcPr>
          <w:p>
            <w:pPr>
              <w:pStyle w:val="24"/>
              <w:kinsoku w:val="0"/>
              <w:overflowPunct w:val="0"/>
              <w:spacing w:before="56"/>
              <w:ind w:left="102"/>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地  </w:t>
            </w:r>
            <w:r>
              <w:rPr>
                <w:rFonts w:hint="eastAsia" w:ascii="宋体" w:hAnsi="宋体" w:eastAsia="宋体" w:cs="宋体"/>
                <w:b/>
                <w:bCs/>
                <w:color w:val="auto"/>
                <w:highlight w:val="none"/>
              </w:rPr>
              <w:tab/>
            </w:r>
            <w:r>
              <w:rPr>
                <w:rFonts w:hint="eastAsia" w:ascii="宋体" w:hAnsi="宋体" w:eastAsia="宋体" w:cs="宋体"/>
                <w:b/>
                <w:bCs/>
                <w:color w:val="auto"/>
                <w:highlight w:val="none"/>
              </w:rPr>
              <w:t>址：</w:t>
            </w:r>
            <w:r>
              <w:rPr>
                <w:rFonts w:hint="eastAsia" w:ascii="宋体" w:hAnsi="宋体" w:eastAsia="宋体" w:cs="宋体"/>
                <w:color w:val="auto"/>
                <w:highlight w:val="none"/>
              </w:rPr>
              <w:t>新疆维吾尔自治区乌鲁木齐市水磨沟区会展大道1119号大成尔雅生活广场第一栋第十八层A座1806号房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72" w:type="dxa"/>
            <w:vMerge w:val="continue"/>
            <w:noWrap w:val="0"/>
            <w:vAlign w:val="center"/>
          </w:tcPr>
          <w:p>
            <w:pPr>
              <w:pStyle w:val="24"/>
              <w:tabs>
                <w:tab w:val="left" w:pos="824"/>
              </w:tabs>
              <w:kinsoku w:val="0"/>
              <w:overflowPunct w:val="0"/>
              <w:spacing w:before="16"/>
              <w:ind w:left="102"/>
              <w:jc w:val="center"/>
              <w:rPr>
                <w:rFonts w:hint="eastAsia" w:ascii="宋体" w:hAnsi="宋体" w:eastAsia="宋体" w:cs="宋体"/>
                <w:color w:val="auto"/>
                <w:highlight w:val="none"/>
              </w:rPr>
            </w:pPr>
          </w:p>
        </w:tc>
        <w:tc>
          <w:tcPr>
            <w:tcW w:w="8475" w:type="dxa"/>
            <w:tcBorders>
              <w:top w:val="nil"/>
              <w:bottom w:val="nil"/>
            </w:tcBorders>
            <w:noWrap w:val="0"/>
            <w:vAlign w:val="top"/>
          </w:tcPr>
          <w:p>
            <w:pPr>
              <w:pStyle w:val="24"/>
              <w:kinsoku w:val="0"/>
              <w:overflowPunct w:val="0"/>
              <w:spacing w:before="56"/>
              <w:ind w:left="102"/>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联 系 人：</w:t>
            </w:r>
            <w:r>
              <w:rPr>
                <w:rFonts w:hint="eastAsia" w:ascii="宋体" w:hAnsi="宋体" w:cs="宋体"/>
                <w:color w:val="auto"/>
                <w:highlight w:val="none"/>
                <w:lang w:eastAsia="zh-CN"/>
              </w:rPr>
              <w:t>张玉伟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72" w:type="dxa"/>
            <w:vMerge w:val="continue"/>
            <w:noWrap w:val="0"/>
            <w:vAlign w:val="center"/>
          </w:tcPr>
          <w:p>
            <w:pPr>
              <w:pStyle w:val="24"/>
              <w:kinsoku w:val="0"/>
              <w:overflowPunct w:val="0"/>
              <w:spacing w:before="16"/>
              <w:ind w:left="102"/>
              <w:jc w:val="center"/>
              <w:rPr>
                <w:rFonts w:hint="eastAsia" w:ascii="宋体" w:hAnsi="宋体" w:eastAsia="宋体" w:cs="宋体"/>
                <w:color w:val="auto"/>
                <w:highlight w:val="none"/>
              </w:rPr>
            </w:pPr>
          </w:p>
        </w:tc>
        <w:tc>
          <w:tcPr>
            <w:tcW w:w="8475" w:type="dxa"/>
            <w:tcBorders>
              <w:top w:val="nil"/>
              <w:bottom w:val="single" w:color="auto" w:sz="4" w:space="0"/>
            </w:tcBorders>
            <w:noWrap w:val="0"/>
            <w:vAlign w:val="top"/>
          </w:tcPr>
          <w:p>
            <w:pPr>
              <w:pStyle w:val="24"/>
              <w:kinsoku w:val="0"/>
              <w:overflowPunct w:val="0"/>
              <w:spacing w:before="56"/>
              <w:ind w:left="102"/>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rPr>
              <w:t>联系电话：</w:t>
            </w:r>
            <w:r>
              <w:rPr>
                <w:rFonts w:hint="eastAsia" w:ascii="宋体" w:hAnsi="宋体" w:eastAsia="宋体" w:cs="宋体"/>
                <w:color w:val="auto"/>
                <w:highlight w:val="none"/>
              </w:rPr>
              <w:t>1</w:t>
            </w:r>
            <w:r>
              <w:rPr>
                <w:rFonts w:hint="eastAsia" w:ascii="宋体" w:hAnsi="宋体" w:cs="宋体"/>
                <w:color w:val="auto"/>
                <w:highlight w:val="none"/>
                <w:lang w:val="en-US" w:eastAsia="zh-CN"/>
              </w:rPr>
              <w:t>8140907575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72" w:type="dxa"/>
            <w:vMerge w:val="restart"/>
            <w:noWrap w:val="0"/>
            <w:vAlign w:val="center"/>
          </w:tcPr>
          <w:p>
            <w:pPr>
              <w:pStyle w:val="24"/>
              <w:kinsoku w:val="0"/>
              <w:overflowPunct w:val="0"/>
              <w:ind w:right="14"/>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8475" w:type="dxa"/>
            <w:tcBorders>
              <w:bottom w:val="nil"/>
            </w:tcBorders>
            <w:noWrap w:val="0"/>
            <w:vAlign w:val="top"/>
          </w:tcPr>
          <w:p>
            <w:pPr>
              <w:pStyle w:val="24"/>
              <w:kinsoku w:val="0"/>
              <w:overflowPunct w:val="0"/>
              <w:spacing w:before="56"/>
              <w:ind w:left="102"/>
              <w:rPr>
                <w:rFonts w:hint="eastAsia" w:ascii="宋体" w:hAnsi="宋体" w:eastAsia="宋体" w:cs="宋体"/>
                <w:color w:val="auto"/>
                <w:highlight w:val="none"/>
              </w:rPr>
            </w:pPr>
            <w:r>
              <w:rPr>
                <w:rFonts w:hint="eastAsia" w:ascii="宋体" w:hAnsi="宋体" w:eastAsia="宋体" w:cs="宋体"/>
                <w:b/>
                <w:bCs/>
                <w:color w:val="auto"/>
                <w:highlight w:val="none"/>
              </w:rPr>
              <w:t>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exact"/>
          <w:jc w:val="center"/>
        </w:trPr>
        <w:tc>
          <w:tcPr>
            <w:tcW w:w="672" w:type="dxa"/>
            <w:vMerge w:val="continue"/>
            <w:noWrap w:val="0"/>
            <w:vAlign w:val="center"/>
          </w:tcPr>
          <w:p>
            <w:pPr>
              <w:pStyle w:val="24"/>
              <w:kinsoku w:val="0"/>
              <w:overflowPunct w:val="0"/>
              <w:spacing w:before="56"/>
              <w:ind w:left="102"/>
              <w:jc w:val="center"/>
              <w:rPr>
                <w:rFonts w:hint="eastAsia" w:ascii="宋体" w:hAnsi="宋体" w:eastAsia="宋体" w:cs="宋体"/>
                <w:color w:val="auto"/>
                <w:highlight w:val="none"/>
              </w:rPr>
            </w:pPr>
          </w:p>
        </w:tc>
        <w:tc>
          <w:tcPr>
            <w:tcW w:w="8475" w:type="dxa"/>
            <w:tcBorders>
              <w:top w:val="nil"/>
              <w:bottom w:val="nil"/>
            </w:tcBorders>
            <w:noWrap w:val="0"/>
            <w:vAlign w:val="top"/>
          </w:tcPr>
          <w:p>
            <w:pPr>
              <w:pStyle w:val="24"/>
              <w:kinsoku w:val="0"/>
              <w:overflowPunct w:val="0"/>
              <w:spacing w:before="16" w:line="320" w:lineRule="auto"/>
              <w:ind w:left="1788" w:leftChars="48" w:right="77" w:hanging="1687" w:hangingChars="700"/>
              <w:rPr>
                <w:rFonts w:hint="eastAsia" w:ascii="宋体" w:hAnsi="宋体" w:eastAsia="宋体" w:cs="宋体"/>
                <w:b/>
                <w:bCs/>
                <w:color w:val="auto"/>
                <w:w w:val="95"/>
                <w:highlight w:val="none"/>
              </w:rPr>
            </w:pPr>
            <w:r>
              <w:rPr>
                <w:rFonts w:hint="eastAsia" w:ascii="宋体" w:hAnsi="宋体" w:eastAsia="宋体" w:cs="宋体"/>
                <w:b/>
                <w:bCs/>
                <w:color w:val="auto"/>
                <w:highlight w:val="none"/>
              </w:rPr>
              <w:t>1、项目名称：</w:t>
            </w:r>
            <w:r>
              <w:rPr>
                <w:rFonts w:hint="eastAsia" w:ascii="宋体" w:hAnsi="宋体" w:cs="宋体"/>
                <w:color w:val="auto"/>
                <w:highlight w:val="none"/>
                <w:lang w:eastAsia="zh-CN"/>
              </w:rPr>
              <w:t>新疆维吾尔自治区文化馆建设录音棚项目（二次）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72" w:type="dxa"/>
            <w:vMerge w:val="continue"/>
            <w:noWrap w:val="0"/>
            <w:vAlign w:val="center"/>
          </w:tcPr>
          <w:p>
            <w:pPr>
              <w:pStyle w:val="24"/>
              <w:kinsoku w:val="0"/>
              <w:overflowPunct w:val="0"/>
              <w:spacing w:before="16" w:line="320" w:lineRule="auto"/>
              <w:ind w:left="102" w:right="77"/>
              <w:jc w:val="center"/>
              <w:rPr>
                <w:rFonts w:hint="eastAsia" w:ascii="宋体" w:hAnsi="宋体" w:eastAsia="宋体" w:cs="宋体"/>
                <w:color w:val="auto"/>
                <w:highlight w:val="none"/>
              </w:rPr>
            </w:pPr>
          </w:p>
        </w:tc>
        <w:tc>
          <w:tcPr>
            <w:tcW w:w="8475" w:type="dxa"/>
            <w:tcBorders>
              <w:top w:val="nil"/>
            </w:tcBorders>
            <w:noWrap w:val="0"/>
            <w:vAlign w:val="top"/>
          </w:tcPr>
          <w:p>
            <w:pPr>
              <w:pStyle w:val="24"/>
              <w:kinsoku w:val="0"/>
              <w:overflowPunct w:val="0"/>
              <w:spacing w:before="16"/>
              <w:ind w:left="102"/>
              <w:rPr>
                <w:rFonts w:hint="default" w:ascii="宋体" w:hAnsi="宋体" w:eastAsia="宋体" w:cs="宋体"/>
                <w:color w:val="auto"/>
                <w:highlight w:val="none"/>
                <w:lang w:val="en-US"/>
              </w:rPr>
            </w:pPr>
            <w:r>
              <w:rPr>
                <w:rFonts w:hint="eastAsia" w:ascii="宋体" w:hAnsi="宋体" w:eastAsia="宋体" w:cs="宋体"/>
                <w:b/>
                <w:bCs/>
                <w:color w:val="auto"/>
                <w:highlight w:val="none"/>
              </w:rPr>
              <w:t>2、磋商文件编号：</w:t>
            </w:r>
            <w:r>
              <w:rPr>
                <w:rFonts w:hint="eastAsia" w:ascii="宋体" w:hAnsi="宋体" w:eastAsia="宋体" w:cs="宋体"/>
                <w:b w:val="0"/>
                <w:bCs w:val="0"/>
                <w:i w:val="0"/>
                <w:iCs w:val="0"/>
                <w:color w:val="auto"/>
                <w:sz w:val="24"/>
                <w:szCs w:val="24"/>
                <w:highlight w:val="none"/>
                <w:lang w:val="en-US" w:eastAsia="zh-CN"/>
              </w:rPr>
              <w:t>XJXECWLMQ-20210</w:t>
            </w:r>
            <w:r>
              <w:rPr>
                <w:rFonts w:hint="eastAsia" w:ascii="宋体" w:hAnsi="宋体" w:cs="宋体"/>
                <w:b w:val="0"/>
                <w:bCs w:val="0"/>
                <w:i w:val="0"/>
                <w:iCs w:val="0"/>
                <w:color w:val="auto"/>
                <w:sz w:val="24"/>
                <w:szCs w:val="24"/>
                <w:highlight w:val="none"/>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3" w:hRule="atLeast"/>
          <w:jc w:val="center"/>
        </w:trPr>
        <w:tc>
          <w:tcPr>
            <w:tcW w:w="672" w:type="dxa"/>
            <w:noWrap w:val="0"/>
            <w:vAlign w:val="center"/>
          </w:tcPr>
          <w:p>
            <w:pPr>
              <w:pStyle w:val="24"/>
              <w:kinsoku w:val="0"/>
              <w:overflowPunct w:val="0"/>
              <w:ind w:right="14"/>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8475" w:type="dxa"/>
            <w:noWrap w:val="0"/>
            <w:vAlign w:val="top"/>
          </w:tcPr>
          <w:p>
            <w:pPr>
              <w:pStyle w:val="24"/>
              <w:kinsoku w:val="0"/>
              <w:overflowPunct w:val="0"/>
              <w:spacing w:line="276" w:lineRule="exact"/>
              <w:ind w:left="102"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磋商内容：</w:t>
            </w:r>
          </w:p>
          <w:p>
            <w:pPr>
              <w:pStyle w:val="24"/>
              <w:kinsoku w:val="0"/>
              <w:overflowPunct w:val="0"/>
              <w:spacing w:before="8"/>
              <w:ind w:left="102"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1、主要磋商内容：</w:t>
            </w:r>
          </w:p>
          <w:p>
            <w:pPr>
              <w:pStyle w:val="24"/>
              <w:kinsoku w:val="0"/>
              <w:overflowPunct w:val="0"/>
              <w:spacing w:before="16"/>
              <w:ind w:left="102" w:firstLine="480" w:firstLineChars="200"/>
              <w:rPr>
                <w:rFonts w:hint="eastAsia" w:ascii="宋体" w:hAnsi="宋体" w:eastAsia="宋体" w:cs="宋体"/>
                <w:b w:val="0"/>
                <w:bCs w:val="0"/>
                <w:i w:val="0"/>
                <w:iCs w:val="0"/>
                <w:color w:val="auto"/>
                <w:sz w:val="24"/>
                <w:szCs w:val="24"/>
                <w:highlight w:val="none"/>
                <w:lang w:val="en-US" w:eastAsia="zh-CN"/>
              </w:rPr>
            </w:pPr>
            <w:r>
              <w:rPr>
                <w:rFonts w:hint="eastAsia" w:ascii="宋体" w:hAnsi="宋体" w:cs="宋体"/>
                <w:b w:val="0"/>
                <w:bCs w:val="0"/>
                <w:i w:val="0"/>
                <w:iCs w:val="0"/>
                <w:color w:val="auto"/>
                <w:sz w:val="24"/>
                <w:szCs w:val="24"/>
                <w:highlight w:val="none"/>
                <w:lang w:val="en-US" w:eastAsia="zh-CN"/>
              </w:rPr>
              <w:t>为了满足文化馆业务干部对录音和作曲的需求，我馆在2楼琴房改建为多功能录音棚，主要用于人声录制、馆内的小型乐队和小组合唱录制、兼做音频后期制作及作曲等</w:t>
            </w:r>
            <w:r>
              <w:rPr>
                <w:rFonts w:hint="eastAsia" w:ascii="宋体" w:hAnsi="宋体" w:eastAsia="宋体" w:cs="宋体"/>
                <w:b w:val="0"/>
                <w:bCs w:val="0"/>
                <w:i w:val="0"/>
                <w:iCs w:val="0"/>
                <w:color w:val="auto"/>
                <w:sz w:val="24"/>
                <w:szCs w:val="24"/>
                <w:highlight w:val="none"/>
                <w:lang w:val="en-US" w:eastAsia="zh-CN"/>
              </w:rPr>
              <w:t>（详细说明见磋商文件）。</w:t>
            </w:r>
          </w:p>
          <w:p>
            <w:pPr>
              <w:pStyle w:val="24"/>
              <w:kinsoku w:val="0"/>
              <w:overflowPunct w:val="0"/>
              <w:spacing w:before="16"/>
              <w:ind w:left="102"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2、服务期限：</w:t>
            </w:r>
            <w:r>
              <w:rPr>
                <w:rFonts w:hint="eastAsia" w:ascii="宋体" w:hAnsi="宋体" w:cs="宋体"/>
                <w:b w:val="0"/>
                <w:bCs w:val="0"/>
                <w:i w:val="0"/>
                <w:iCs w:val="0"/>
                <w:color w:val="auto"/>
                <w:sz w:val="24"/>
                <w:szCs w:val="24"/>
                <w:highlight w:val="none"/>
                <w:lang w:val="en-US" w:eastAsia="zh-CN"/>
              </w:rPr>
              <w:t>签订合同后，30天内</w:t>
            </w:r>
            <w:r>
              <w:rPr>
                <w:rFonts w:hint="eastAsia" w:ascii="宋体" w:hAnsi="宋体" w:cs="宋体"/>
                <w:bCs/>
                <w:color w:val="auto"/>
                <w:sz w:val="24"/>
                <w:highlight w:val="none"/>
              </w:rPr>
              <w:t>供货安装调试完毕</w:t>
            </w:r>
            <w:r>
              <w:rPr>
                <w:rFonts w:hint="eastAsia" w:ascii="宋体" w:hAnsi="宋体" w:cs="宋体"/>
                <w:b w:val="0"/>
                <w:bCs w:val="0"/>
                <w:i w:val="0"/>
                <w:iCs w:val="0"/>
                <w:color w:val="auto"/>
                <w:sz w:val="24"/>
                <w:szCs w:val="24"/>
                <w:highlight w:val="none"/>
                <w:lang w:val="en-US" w:eastAsia="zh-CN"/>
              </w:rPr>
              <w:t>并验收合格</w:t>
            </w:r>
            <w:r>
              <w:rPr>
                <w:rFonts w:hint="eastAsia" w:ascii="宋体" w:hAnsi="宋体" w:eastAsia="宋体" w:cs="宋体"/>
                <w:b w:val="0"/>
                <w:bCs w:val="0"/>
                <w:i w:val="0"/>
                <w:iCs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672" w:type="dxa"/>
            <w:noWrap w:val="0"/>
            <w:vAlign w:val="center"/>
          </w:tcPr>
          <w:p>
            <w:pPr>
              <w:pStyle w:val="24"/>
              <w:kinsoku w:val="0"/>
              <w:overflowPunct w:val="0"/>
              <w:ind w:right="14"/>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8475" w:type="dxa"/>
            <w:noWrap w:val="0"/>
            <w:vAlign w:val="top"/>
          </w:tcPr>
          <w:p>
            <w:pPr>
              <w:pStyle w:val="24"/>
              <w:kinsoku w:val="0"/>
              <w:overflowPunct w:val="0"/>
              <w:spacing w:before="122"/>
              <w:ind w:left="102"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项目采购预算：</w:t>
            </w:r>
            <w:r>
              <w:rPr>
                <w:rFonts w:hint="eastAsia" w:ascii="宋体" w:hAnsi="宋体" w:cs="宋体"/>
                <w:color w:val="auto"/>
                <w:highlight w:val="none"/>
                <w:lang w:val="en-US" w:eastAsia="zh-CN"/>
              </w:rPr>
              <w:t>300000</w:t>
            </w:r>
            <w:r>
              <w:rPr>
                <w:rFonts w:hint="eastAsia" w:ascii="宋体" w:hAnsi="宋体" w:eastAsia="宋体" w:cs="宋体"/>
                <w:color w:val="auto"/>
                <w:highlight w:val="none"/>
              </w:rPr>
              <w:t>.00</w:t>
            </w:r>
            <w:r>
              <w:rPr>
                <w:rFonts w:hint="eastAsia" w:ascii="宋体" w:hAnsi="宋体" w:eastAsia="宋体" w:cs="宋体"/>
                <w:color w:val="auto"/>
                <w:spacing w:val="-65"/>
                <w:highlight w:val="none"/>
              </w:rPr>
              <w:t xml:space="preserve"> </w:t>
            </w:r>
            <w:r>
              <w:rPr>
                <w:rFonts w:hint="eastAsia" w:ascii="宋体" w:hAnsi="宋体" w:eastAsia="宋体" w:cs="宋体"/>
                <w:color w:val="auto"/>
                <w:highlight w:val="none"/>
              </w:rPr>
              <w:t>元（大写</w:t>
            </w:r>
            <w:r>
              <w:rPr>
                <w:rFonts w:hint="eastAsia" w:ascii="宋体" w:hAnsi="宋体" w:cs="宋体"/>
                <w:color w:val="auto"/>
                <w:highlight w:val="none"/>
                <w:lang w:val="en-US" w:eastAsia="zh-CN"/>
              </w:rPr>
              <w:t>:叁拾万</w:t>
            </w:r>
            <w:r>
              <w:rPr>
                <w:rFonts w:hint="eastAsia" w:ascii="宋体" w:hAnsi="宋体" w:eastAsia="宋体" w:cs="宋体"/>
                <w:color w:val="auto"/>
                <w:highlight w:val="none"/>
              </w:rPr>
              <w:t>元整）</w:t>
            </w:r>
          </w:p>
          <w:p>
            <w:pPr>
              <w:pStyle w:val="24"/>
              <w:kinsoku w:val="0"/>
              <w:overflowPunct w:val="0"/>
              <w:spacing w:line="276" w:lineRule="exact"/>
              <w:ind w:left="102" w:firstLine="440" w:firstLineChars="200"/>
              <w:rPr>
                <w:rFonts w:hint="eastAsia" w:ascii="宋体" w:hAnsi="宋体" w:eastAsia="宋体" w:cs="宋体"/>
                <w:b/>
                <w:bCs/>
                <w:color w:val="auto"/>
                <w:highlight w:val="none"/>
              </w:rPr>
            </w:pPr>
            <w:r>
              <w:rPr>
                <w:rFonts w:hint="eastAsia" w:ascii="宋体" w:hAnsi="宋体" w:eastAsia="宋体" w:cs="宋体"/>
                <w:color w:val="auto"/>
                <w:sz w:val="22"/>
                <w:szCs w:val="22"/>
                <w:highlight w:val="none"/>
              </w:rPr>
              <w:t>★</w:t>
            </w:r>
            <w:r>
              <w:rPr>
                <w:rFonts w:hint="eastAsia" w:ascii="宋体" w:hAnsi="宋体" w:eastAsia="宋体" w:cs="宋体"/>
                <w:b/>
                <w:bCs/>
                <w:color w:val="auto"/>
                <w:highlight w:val="none"/>
              </w:rPr>
              <w:t>供应商的投标报价超过采购预算的按无效投标处理。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5" w:hRule="atLeast"/>
          <w:jc w:val="center"/>
        </w:trPr>
        <w:tc>
          <w:tcPr>
            <w:tcW w:w="672" w:type="dxa"/>
            <w:noWrap w:val="0"/>
            <w:vAlign w:val="center"/>
          </w:tcPr>
          <w:p>
            <w:pPr>
              <w:pStyle w:val="24"/>
              <w:kinsoku w:val="0"/>
              <w:overflowPunct w:val="0"/>
              <w:ind w:right="14"/>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8475" w:type="dxa"/>
            <w:noWrap w:val="0"/>
            <w:vAlign w:val="top"/>
          </w:tcPr>
          <w:p>
            <w:pPr>
              <w:pStyle w:val="24"/>
              <w:kinsoku w:val="0"/>
              <w:overflowPunct w:val="0"/>
              <w:spacing w:before="122"/>
              <w:ind w:left="102"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★1、</w:t>
            </w:r>
            <w:r>
              <w:rPr>
                <w:rFonts w:hint="eastAsia" w:ascii="宋体" w:hAnsi="宋体" w:cs="宋体"/>
                <w:b/>
                <w:bCs/>
                <w:color w:val="auto"/>
                <w:highlight w:val="none"/>
                <w:lang w:val="en-US" w:eastAsia="zh-CN"/>
              </w:rPr>
              <w:t>供应商</w:t>
            </w:r>
            <w:r>
              <w:rPr>
                <w:rFonts w:hint="eastAsia" w:ascii="宋体" w:hAnsi="宋体" w:eastAsia="宋体" w:cs="宋体"/>
                <w:b/>
                <w:bCs/>
                <w:color w:val="auto"/>
                <w:highlight w:val="none"/>
              </w:rPr>
              <w:t>资格要求：</w:t>
            </w:r>
          </w:p>
          <w:p>
            <w:pPr>
              <w:pStyle w:val="24"/>
              <w:kinsoku w:val="0"/>
              <w:overflowPunct w:val="0"/>
              <w:spacing w:before="122"/>
              <w:ind w:left="102"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（1）符合《中华人民共和国政府采购法》第二十二条的相关规定；</w:t>
            </w:r>
          </w:p>
          <w:p>
            <w:pPr>
              <w:pStyle w:val="24"/>
              <w:kinsoku w:val="0"/>
              <w:overflowPunct w:val="0"/>
              <w:spacing w:before="122"/>
              <w:ind w:left="102"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（2）在中华人民共和国境内注册的法人、其他组织或者自然人，且有承担本项目能力的供应商；</w:t>
            </w:r>
          </w:p>
          <w:p>
            <w:pPr>
              <w:pStyle w:val="24"/>
              <w:kinsoku w:val="0"/>
              <w:overflowPunct w:val="0"/>
              <w:spacing w:before="122"/>
              <w:ind w:left="102" w:firstLine="480" w:firstLineChars="200"/>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color w:val="auto"/>
                <w:sz w:val="24"/>
                <w:szCs w:val="24"/>
                <w:highlight w:val="none"/>
                <w:lang w:eastAsia="zh-CN"/>
              </w:rPr>
              <w:t>供应商为企业法人应提供合法有效的标识有统一社会信用代码的营业执照</w:t>
            </w:r>
            <w:r>
              <w:rPr>
                <w:rFonts w:hint="eastAsia" w:ascii="宋体" w:hAnsi="宋体" w:eastAsia="宋体" w:cs="宋体"/>
                <w:i w:val="0"/>
                <w:iCs w:val="0"/>
                <w:color w:val="auto"/>
                <w:sz w:val="24"/>
                <w:szCs w:val="24"/>
                <w:highlight w:val="none"/>
                <w:lang w:eastAsia="zh-CN"/>
              </w:rPr>
              <w:t>；事业法人应提供事业单位法人证书；其他组织应提供合法登记证明文件</w:t>
            </w:r>
            <w:r>
              <w:rPr>
                <w:rFonts w:hint="eastAsia" w:ascii="宋体" w:hAnsi="宋体" w:eastAsia="宋体" w:cs="宋体"/>
                <w:color w:val="auto"/>
                <w:highlight w:val="none"/>
              </w:rPr>
              <w:t>；</w:t>
            </w:r>
          </w:p>
          <w:p>
            <w:pPr>
              <w:pStyle w:val="24"/>
              <w:kinsoku w:val="0"/>
              <w:overflowPunct w:val="0"/>
              <w:spacing w:before="122"/>
              <w:ind w:left="102"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4</w:t>
            </w:r>
            <w:r>
              <w:rPr>
                <w:rFonts w:hint="eastAsia" w:ascii="宋体" w:hAnsi="宋体" w:eastAsia="宋体" w:cs="宋体"/>
                <w:color w:val="auto"/>
                <w:highlight w:val="none"/>
              </w:rPr>
              <w:t>）具有良好的商业信誉和健全的财务会计制度以及内部管理机制，且有较强的风险控制能力；</w:t>
            </w:r>
          </w:p>
          <w:p>
            <w:pPr>
              <w:pStyle w:val="24"/>
              <w:kinsoku w:val="0"/>
              <w:overflowPunct w:val="0"/>
              <w:spacing w:before="122"/>
              <w:ind w:left="102"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）财务稳健，资本充足率、不良贷款率、拨备覆盖率、流动性比例等指标达到监管标准；</w:t>
            </w:r>
          </w:p>
          <w:p>
            <w:pPr>
              <w:pStyle w:val="24"/>
              <w:kinsoku w:val="0"/>
              <w:overflowPunct w:val="0"/>
              <w:spacing w:before="122"/>
              <w:ind w:left="102"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6</w:t>
            </w:r>
            <w:r>
              <w:rPr>
                <w:rFonts w:hint="eastAsia" w:ascii="宋体" w:hAnsi="宋体" w:eastAsia="宋体" w:cs="宋体"/>
                <w:color w:val="auto"/>
                <w:highlight w:val="none"/>
              </w:rPr>
              <w:t>）经信用中国（</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"http://www.creditchina.gov.xn--cn)(www-0o3fu69vuosgftrgs7o1fgtwb3oo.ccgp.gov.xn--cn)-x33e002goji19wjl4almi/" \t "_blank"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www.creditchina.gov.cn）、中国政府采购网（www.ccgp.gov.cn）等渠道查询后</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，列入失信被执行人、重大税收违法案件当事人名单、政府采购严重违法失信行为记录名单的，取消投标资格。（提供“信用中国”网站无任何不良记录的查询截图并加盖公章）；</w:t>
            </w:r>
          </w:p>
          <w:p>
            <w:pPr>
              <w:pStyle w:val="24"/>
              <w:kinsoku w:val="0"/>
              <w:overflowPunct w:val="0"/>
              <w:spacing w:before="122"/>
              <w:ind w:left="102"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7</w:t>
            </w:r>
            <w:r>
              <w:rPr>
                <w:rFonts w:hint="eastAsia" w:ascii="宋体" w:hAnsi="宋体" w:eastAsia="宋体" w:cs="宋体"/>
                <w:color w:val="auto"/>
                <w:highlight w:val="none"/>
              </w:rPr>
              <w:t>）为充分保证完善的售后服务，本项目不接受联合体投标。</w:t>
            </w:r>
          </w:p>
          <w:p>
            <w:pPr>
              <w:pStyle w:val="24"/>
              <w:kinsoku w:val="0"/>
              <w:overflowPunct w:val="0"/>
              <w:spacing w:before="122"/>
              <w:ind w:left="102" w:firstLine="458" w:firstLineChars="200"/>
              <w:rPr>
                <w:rFonts w:hint="eastAsia" w:ascii="宋体" w:hAnsi="宋体" w:eastAsia="宋体" w:cs="宋体"/>
                <w:b/>
                <w:bCs/>
                <w:color w:val="auto"/>
                <w:w w:val="95"/>
                <w:highlight w:val="none"/>
              </w:rPr>
            </w:pPr>
            <w:r>
              <w:rPr>
                <w:rFonts w:hint="eastAsia" w:ascii="宋体" w:hAnsi="宋体" w:eastAsia="宋体" w:cs="宋体"/>
                <w:b/>
                <w:bCs/>
                <w:color w:val="auto"/>
                <w:w w:val="95"/>
                <w:highlight w:val="none"/>
              </w:rPr>
              <w:t>★</w:t>
            </w:r>
            <w:r>
              <w:rPr>
                <w:rFonts w:hint="eastAsia" w:ascii="宋体" w:hAnsi="宋体" w:eastAsia="宋体" w:cs="宋体"/>
                <w:b/>
                <w:bCs/>
                <w:color w:val="auto"/>
                <w:spacing w:val="1"/>
                <w:w w:val="95"/>
                <w:highlight w:val="none"/>
              </w:rPr>
              <w:t>2</w:t>
            </w:r>
            <w:r>
              <w:rPr>
                <w:rFonts w:hint="eastAsia" w:ascii="宋体" w:hAnsi="宋体" w:eastAsia="宋体" w:cs="宋体"/>
                <w:b/>
                <w:bCs/>
                <w:color w:val="auto"/>
                <w:w w:val="95"/>
                <w:highlight w:val="none"/>
              </w:rPr>
              <w:t>.响应人</w:t>
            </w:r>
            <w:r>
              <w:rPr>
                <w:rFonts w:hint="eastAsia" w:ascii="宋体" w:hAnsi="宋体" w:eastAsia="宋体" w:cs="宋体"/>
                <w:b/>
                <w:bCs/>
                <w:color w:val="auto"/>
                <w:spacing w:val="1"/>
                <w:w w:val="95"/>
                <w:highlight w:val="none"/>
              </w:rPr>
              <w:t>须</w:t>
            </w:r>
            <w:r>
              <w:rPr>
                <w:rFonts w:hint="eastAsia" w:ascii="宋体" w:hAnsi="宋体" w:eastAsia="宋体" w:cs="宋体"/>
                <w:b/>
                <w:bCs/>
                <w:color w:val="auto"/>
                <w:w w:val="95"/>
                <w:highlight w:val="none"/>
              </w:rPr>
              <w:t>递交</w:t>
            </w:r>
            <w:r>
              <w:rPr>
                <w:rFonts w:hint="eastAsia" w:ascii="宋体" w:hAnsi="宋体" w:eastAsia="宋体" w:cs="宋体"/>
                <w:b/>
                <w:bCs/>
                <w:color w:val="auto"/>
                <w:spacing w:val="1"/>
                <w:w w:val="95"/>
                <w:highlight w:val="none"/>
              </w:rPr>
              <w:t>备</w:t>
            </w:r>
            <w:r>
              <w:rPr>
                <w:rFonts w:hint="eastAsia" w:ascii="宋体" w:hAnsi="宋体" w:eastAsia="宋体" w:cs="宋体"/>
                <w:b/>
                <w:bCs/>
                <w:color w:val="auto"/>
                <w:w w:val="95"/>
                <w:highlight w:val="none"/>
              </w:rPr>
              <w:t>查</w:t>
            </w:r>
            <w:r>
              <w:rPr>
                <w:rFonts w:hint="eastAsia" w:ascii="宋体" w:hAnsi="宋体" w:eastAsia="宋体" w:cs="宋体"/>
                <w:b/>
                <w:bCs/>
                <w:color w:val="auto"/>
                <w:spacing w:val="1"/>
                <w:w w:val="95"/>
                <w:highlight w:val="none"/>
              </w:rPr>
              <w:t>的</w:t>
            </w:r>
            <w:r>
              <w:rPr>
                <w:rFonts w:hint="eastAsia" w:ascii="宋体" w:hAnsi="宋体" w:eastAsia="宋体" w:cs="宋体"/>
                <w:b/>
                <w:bCs/>
                <w:color w:val="auto"/>
                <w:w w:val="95"/>
                <w:highlight w:val="none"/>
              </w:rPr>
              <w:t>资质</w:t>
            </w:r>
            <w:r>
              <w:rPr>
                <w:rFonts w:hint="eastAsia" w:ascii="宋体" w:hAnsi="宋体" w:eastAsia="宋体" w:cs="宋体"/>
                <w:b/>
                <w:bCs/>
                <w:color w:val="auto"/>
                <w:spacing w:val="1"/>
                <w:w w:val="95"/>
                <w:highlight w:val="none"/>
              </w:rPr>
              <w:t>证</w:t>
            </w:r>
            <w:r>
              <w:rPr>
                <w:rFonts w:hint="eastAsia" w:ascii="宋体" w:hAnsi="宋体" w:eastAsia="宋体" w:cs="宋体"/>
                <w:b/>
                <w:bCs/>
                <w:color w:val="auto"/>
                <w:w w:val="95"/>
                <w:highlight w:val="none"/>
              </w:rPr>
              <w:t>书原</w:t>
            </w:r>
            <w:r>
              <w:rPr>
                <w:rFonts w:hint="eastAsia" w:ascii="宋体" w:hAnsi="宋体" w:eastAsia="宋体" w:cs="宋体"/>
                <w:b/>
                <w:bCs/>
                <w:color w:val="auto"/>
                <w:spacing w:val="-56"/>
                <w:w w:val="95"/>
                <w:highlight w:val="none"/>
              </w:rPr>
              <w:t>件</w:t>
            </w:r>
            <w:r>
              <w:rPr>
                <w:rFonts w:hint="eastAsia" w:ascii="宋体" w:hAnsi="宋体" w:eastAsia="宋体" w:cs="宋体"/>
                <w:b/>
                <w:bCs/>
                <w:color w:val="auto"/>
                <w:w w:val="95"/>
                <w:highlight w:val="none"/>
              </w:rPr>
              <w:t>（不提供视为无效磋商响应性文件）：</w:t>
            </w:r>
          </w:p>
          <w:p>
            <w:pPr>
              <w:keepNext w:val="0"/>
              <w:keepLines w:val="0"/>
              <w:pageBreakBefore w:val="0"/>
              <w:widowControl w:val="0"/>
              <w:kinsoku/>
              <w:wordWrap/>
              <w:overflowPunct/>
              <w:topLinePunct w:val="0"/>
              <w:bidi w:val="0"/>
              <w:snapToGrid/>
              <w:spacing w:line="400" w:lineRule="exact"/>
              <w:ind w:left="0" w:leftChars="0" w:right="0" w:rightChars="0"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宋体" w:hAnsi="宋体"/>
                <w:b/>
                <w:bCs/>
                <w:color w:val="auto"/>
                <w:sz w:val="24"/>
                <w:szCs w:val="24"/>
                <w:highlight w:val="none"/>
                <w:lang w:val="en-US" w:eastAsia="zh-CN"/>
              </w:rPr>
              <w:t>1</w:t>
            </w:r>
            <w:r>
              <w:rPr>
                <w:rFonts w:hint="eastAsia" w:asciiTheme="minorEastAsia" w:hAnsiTheme="minorEastAsia" w:eastAsiaTheme="minorEastAsia" w:cstheme="minorEastAsia"/>
                <w:b/>
                <w:bCs/>
                <w:color w:val="auto"/>
                <w:kern w:val="0"/>
                <w:sz w:val="24"/>
                <w:szCs w:val="24"/>
                <w:highlight w:val="none"/>
                <w:lang w:val="en-US" w:eastAsia="zh-CN"/>
              </w:rPr>
              <w:t>、</w:t>
            </w:r>
            <w:r>
              <w:rPr>
                <w:rFonts w:hint="eastAsia" w:ascii="宋体" w:hAnsi="宋体"/>
                <w:b/>
                <w:bCs/>
                <w:color w:val="auto"/>
                <w:sz w:val="24"/>
                <w:szCs w:val="24"/>
                <w:highlight w:val="none"/>
              </w:rPr>
              <w:t>法人授权委托书和被授权人有效身份证（法人直接参加的需出示法人身份</w:t>
            </w:r>
            <w:r>
              <w:rPr>
                <w:rFonts w:hint="eastAsia" w:ascii="宋体" w:hAnsi="宋体"/>
                <w:b/>
                <w:bCs/>
                <w:color w:val="auto"/>
                <w:sz w:val="24"/>
                <w:szCs w:val="24"/>
                <w:highlight w:val="none"/>
                <w:lang w:eastAsia="zh-CN"/>
              </w:rPr>
              <w:t>证明及身份</w:t>
            </w:r>
            <w:r>
              <w:rPr>
                <w:rFonts w:hint="eastAsia" w:ascii="宋体" w:hAnsi="宋体"/>
                <w:b/>
                <w:bCs/>
                <w:color w:val="auto"/>
                <w:sz w:val="24"/>
                <w:szCs w:val="24"/>
                <w:highlight w:val="none"/>
              </w:rPr>
              <w:t>证原件）</w:t>
            </w:r>
            <w:r>
              <w:rPr>
                <w:rFonts w:hint="eastAsia" w:asciiTheme="minorEastAsia" w:hAnsiTheme="minorEastAsia" w:eastAsiaTheme="minorEastAsia" w:cstheme="minorEastAsia"/>
                <w:b/>
                <w:bCs/>
                <w:color w:val="auto"/>
                <w:kern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left="0" w:leftChars="0" w:right="0" w:rightChars="0" w:firstLine="482" w:firstLineChars="200"/>
              <w:textAlignment w:val="auto"/>
              <w:rPr>
                <w:rFonts w:hint="eastAsia" w:ascii="宋体" w:hAnsi="宋体" w:eastAsia="宋体" w:cs="宋体"/>
                <w:b/>
                <w:bCs/>
                <w:i w:val="0"/>
                <w:iCs w:val="0"/>
                <w:color w:val="auto"/>
                <w:sz w:val="24"/>
                <w:szCs w:val="24"/>
                <w:highlight w:val="none"/>
                <w:u w:val="none"/>
                <w:lang w:eastAsia="zh-CN"/>
              </w:rPr>
            </w:pPr>
            <w:r>
              <w:rPr>
                <w:rFonts w:hint="eastAsia" w:asciiTheme="minorEastAsia" w:hAnsiTheme="minorEastAsia" w:eastAsiaTheme="minorEastAsia" w:cstheme="minorEastAsia"/>
                <w:b/>
                <w:bCs/>
                <w:color w:val="auto"/>
                <w:kern w:val="0"/>
                <w:sz w:val="24"/>
                <w:szCs w:val="24"/>
                <w:highlight w:val="none"/>
                <w:lang w:val="en-US" w:eastAsia="zh-CN"/>
              </w:rPr>
              <w:t>2、</w:t>
            </w:r>
            <w:r>
              <w:rPr>
                <w:rFonts w:hint="eastAsia" w:ascii="宋体" w:hAnsi="宋体" w:eastAsia="宋体" w:cs="宋体"/>
                <w:b/>
                <w:bCs/>
                <w:color w:val="auto"/>
                <w:sz w:val="24"/>
                <w:szCs w:val="24"/>
                <w:highlight w:val="none"/>
                <w:lang w:eastAsia="zh-CN"/>
              </w:rPr>
              <w:t>供应商为企业法人应提供合法有效的标识有统一社会信用代码的营业执照</w:t>
            </w:r>
            <w:r>
              <w:rPr>
                <w:rFonts w:hint="eastAsia" w:ascii="宋体" w:hAnsi="宋体" w:eastAsia="宋体" w:cs="宋体"/>
                <w:b/>
                <w:bCs/>
                <w:i w:val="0"/>
                <w:iCs w:val="0"/>
                <w:color w:val="auto"/>
                <w:sz w:val="24"/>
                <w:szCs w:val="24"/>
                <w:highlight w:val="none"/>
                <w:lang w:eastAsia="zh-CN"/>
              </w:rPr>
              <w:t>；事业法人应提供事业单位法人证书；其他组织应提供合法登记证明文件</w:t>
            </w:r>
            <w:r>
              <w:rPr>
                <w:rFonts w:hint="eastAsia" w:asciiTheme="minorEastAsia" w:hAnsiTheme="minorEastAsia" w:eastAsiaTheme="minorEastAsia" w:cstheme="minorEastAsia"/>
                <w:b/>
                <w:bCs/>
                <w:color w:val="auto"/>
                <w:kern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left="0" w:leftChars="0" w:right="0" w:rightChars="0" w:firstLine="482" w:firstLineChars="200"/>
              <w:textAlignment w:val="auto"/>
              <w:rPr>
                <w:rFonts w:hint="eastAsia" w:asciiTheme="minorEastAsia" w:hAnsiTheme="minorEastAsia" w:eastAsiaTheme="minorEastAsia" w:cstheme="minorEastAsia"/>
                <w:b/>
                <w:bCs/>
                <w:color w:val="auto"/>
                <w:kern w:val="0"/>
                <w:sz w:val="24"/>
                <w:szCs w:val="24"/>
                <w:highlight w:val="none"/>
                <w:lang w:val="zh-CN" w:eastAsia="zh-CN"/>
              </w:rPr>
            </w:pPr>
            <w:r>
              <w:rPr>
                <w:rFonts w:hint="eastAsia" w:ascii="宋体" w:hAnsi="宋体" w:cs="宋体"/>
                <w:b/>
                <w:bCs/>
                <w:i w:val="0"/>
                <w:iCs w:val="0"/>
                <w:color w:val="auto"/>
                <w:sz w:val="24"/>
                <w:szCs w:val="24"/>
                <w:highlight w:val="none"/>
                <w:u w:val="none"/>
                <w:lang w:val="en-US" w:eastAsia="zh-CN"/>
              </w:rPr>
              <w:t>3、</w:t>
            </w:r>
            <w:r>
              <w:rPr>
                <w:rFonts w:hint="eastAsia" w:asciiTheme="minorEastAsia" w:hAnsiTheme="minorEastAsia" w:eastAsiaTheme="minorEastAsia" w:cstheme="minorEastAsia"/>
                <w:b/>
                <w:bCs/>
                <w:color w:val="auto"/>
                <w:kern w:val="0"/>
                <w:sz w:val="24"/>
                <w:szCs w:val="24"/>
                <w:highlight w:val="none"/>
                <w:lang w:val="zh-CN" w:eastAsia="zh-CN"/>
              </w:rPr>
              <w:t>供应商</w:t>
            </w:r>
            <w:r>
              <w:rPr>
                <w:rFonts w:hint="eastAsia" w:ascii="宋体" w:hAnsi="宋体"/>
                <w:b/>
                <w:bCs/>
                <w:color w:val="auto"/>
                <w:sz w:val="24"/>
                <w:szCs w:val="24"/>
                <w:highlight w:val="none"/>
              </w:rPr>
              <w:t>提供近半年内已缴存的至少一个月的社会保障资金缴存单据或社保机构开具的社会保险参保缴费情况证明，依法不需要缴纳社会保障资金的投标人应提供相关文件证明</w:t>
            </w:r>
            <w:r>
              <w:rPr>
                <w:rFonts w:hint="eastAsia" w:asciiTheme="minorEastAsia" w:hAnsiTheme="minorEastAsia" w:eastAsiaTheme="minorEastAsia" w:cstheme="minorEastAsia"/>
                <w:b/>
                <w:bCs/>
                <w:color w:val="auto"/>
                <w:kern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right="0" w:rightChars="0" w:firstLine="482" w:firstLineChars="200"/>
              <w:textAlignment w:val="auto"/>
              <w:rPr>
                <w:rFonts w:hint="eastAsia" w:asciiTheme="minorEastAsia" w:hAnsiTheme="minorEastAsia" w:eastAsiaTheme="minorEastAsia" w:cstheme="minorEastAsia"/>
                <w:b/>
                <w:bCs/>
                <w:color w:val="auto"/>
                <w:kern w:val="0"/>
                <w:sz w:val="24"/>
                <w:szCs w:val="24"/>
                <w:highlight w:val="none"/>
                <w:lang w:val="zh-CN" w:eastAsia="zh-CN"/>
              </w:rPr>
            </w:pPr>
            <w:r>
              <w:rPr>
                <w:rFonts w:hint="eastAsia" w:asciiTheme="minorEastAsia" w:hAnsiTheme="minorEastAsia" w:eastAsiaTheme="minorEastAsia" w:cstheme="minorEastAsia"/>
                <w:b/>
                <w:bCs/>
                <w:color w:val="auto"/>
                <w:kern w:val="0"/>
                <w:sz w:val="24"/>
                <w:szCs w:val="24"/>
                <w:highlight w:val="none"/>
                <w:lang w:val="en-US" w:eastAsia="zh-CN"/>
              </w:rPr>
              <w:t>4、</w:t>
            </w:r>
            <w:r>
              <w:rPr>
                <w:rFonts w:hint="eastAsia" w:asciiTheme="minorEastAsia" w:hAnsiTheme="minorEastAsia" w:eastAsiaTheme="minorEastAsia" w:cstheme="minorEastAsia"/>
                <w:b/>
                <w:bCs/>
                <w:color w:val="auto"/>
                <w:kern w:val="0"/>
                <w:sz w:val="24"/>
                <w:szCs w:val="24"/>
                <w:highlight w:val="none"/>
                <w:lang w:val="zh-CN" w:eastAsia="zh-CN"/>
              </w:rPr>
              <w:t>2019年或</w:t>
            </w:r>
            <w:r>
              <w:rPr>
                <w:rFonts w:hint="eastAsia" w:asciiTheme="minorEastAsia" w:hAnsiTheme="minorEastAsia" w:eastAsiaTheme="minorEastAsia" w:cstheme="minorEastAsia"/>
                <w:b/>
                <w:bCs/>
                <w:color w:val="auto"/>
                <w:kern w:val="0"/>
                <w:sz w:val="24"/>
                <w:szCs w:val="24"/>
                <w:highlight w:val="none"/>
                <w:lang w:val="en-US" w:eastAsia="zh-CN"/>
              </w:rPr>
              <w:t>2020年</w:t>
            </w:r>
            <w:r>
              <w:rPr>
                <w:rFonts w:hint="eastAsia" w:asciiTheme="minorEastAsia" w:hAnsiTheme="minorEastAsia" w:eastAsiaTheme="minorEastAsia" w:cstheme="minorEastAsia"/>
                <w:b/>
                <w:bCs/>
                <w:color w:val="auto"/>
                <w:kern w:val="0"/>
                <w:sz w:val="24"/>
                <w:szCs w:val="24"/>
                <w:highlight w:val="none"/>
                <w:lang w:val="zh-CN" w:eastAsia="zh-CN"/>
              </w:rPr>
              <w:t>审计报告（供应商成立不足1年的，提供有关财务报表（不需审计））或基本开户银行出具的资信证明文件；</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5、</w:t>
            </w:r>
            <w:r>
              <w:rPr>
                <w:rFonts w:hint="eastAsia" w:asciiTheme="minorEastAsia" w:hAnsiTheme="minorEastAsia" w:eastAsiaTheme="minorEastAsia" w:cstheme="minorEastAsia"/>
                <w:b/>
                <w:bCs/>
                <w:color w:val="auto"/>
                <w:kern w:val="0"/>
                <w:sz w:val="24"/>
                <w:szCs w:val="24"/>
                <w:highlight w:val="none"/>
                <w:lang w:val="zh-CN" w:eastAsia="zh-CN"/>
              </w:rPr>
              <w:t>供应商</w:t>
            </w:r>
            <w:r>
              <w:rPr>
                <w:rFonts w:hint="eastAsia" w:ascii="宋体" w:hAnsi="宋体"/>
                <w:b/>
                <w:bCs/>
                <w:color w:val="auto"/>
                <w:sz w:val="24"/>
                <w:szCs w:val="24"/>
                <w:highlight w:val="none"/>
              </w:rPr>
              <w:t>提供近半年内已缴纳的至少一个月的纳税证明或完税证明，纳税证明或完税证明上应有代收机构或税务机关的公章，依法免税的投标人应提供相关文件证明；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firstLine="482" w:firstLineChars="200"/>
              <w:textAlignment w:val="auto"/>
              <w:rPr>
                <w:rFonts w:hint="eastAsia" w:asciiTheme="minorEastAsia" w:hAnsiTheme="minorEastAsia" w:eastAsiaTheme="minorEastAsia" w:cstheme="minorEastAsia"/>
                <w:b/>
                <w:bCs/>
                <w:color w:val="auto"/>
                <w:kern w:val="0"/>
                <w:sz w:val="24"/>
                <w:szCs w:val="24"/>
                <w:highlight w:val="none"/>
                <w:lang w:val="zh-CN" w:eastAsia="zh-CN"/>
              </w:rPr>
            </w:pPr>
            <w:r>
              <w:rPr>
                <w:rFonts w:hint="eastAsia" w:asciiTheme="minorEastAsia" w:hAnsiTheme="minorEastAsia" w:eastAsiaTheme="minorEastAsia" w:cstheme="minorEastAsia"/>
                <w:b/>
                <w:bCs/>
                <w:color w:val="auto"/>
                <w:kern w:val="0"/>
                <w:sz w:val="24"/>
                <w:szCs w:val="24"/>
                <w:highlight w:val="none"/>
                <w:lang w:val="en-US" w:eastAsia="zh-CN"/>
              </w:rPr>
              <w:t>6、</w:t>
            </w:r>
            <w:r>
              <w:rPr>
                <w:rFonts w:hint="eastAsia" w:asciiTheme="minorEastAsia" w:hAnsiTheme="minorEastAsia" w:eastAsiaTheme="minorEastAsia" w:cstheme="minorEastAsia"/>
                <w:b/>
                <w:bCs/>
                <w:color w:val="auto"/>
                <w:kern w:val="0"/>
                <w:sz w:val="24"/>
                <w:szCs w:val="24"/>
                <w:highlight w:val="none"/>
                <w:lang w:val="zh-CN" w:eastAsia="zh-CN"/>
              </w:rPr>
              <w:t>提供保证金缴纳</w:t>
            </w:r>
            <w:r>
              <w:rPr>
                <w:rFonts w:hint="eastAsia" w:asciiTheme="minorEastAsia" w:hAnsiTheme="minorEastAsia" w:eastAsiaTheme="minorEastAsia" w:cstheme="minorEastAsia"/>
                <w:b/>
                <w:bCs/>
                <w:color w:val="auto"/>
                <w:kern w:val="0"/>
                <w:sz w:val="24"/>
                <w:szCs w:val="24"/>
                <w:highlight w:val="none"/>
                <w:lang w:val="en-US" w:eastAsia="zh-CN"/>
              </w:rPr>
              <w:t>凭证</w:t>
            </w:r>
            <w:r>
              <w:rPr>
                <w:rFonts w:hint="eastAsia" w:asciiTheme="minorEastAsia" w:hAnsiTheme="minorEastAsia" w:eastAsiaTheme="minorEastAsia" w:cstheme="minorEastAsia"/>
                <w:b/>
                <w:bCs/>
                <w:color w:val="auto"/>
                <w:kern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left="0" w:leftChars="0" w:right="0" w:rightChars="0" w:firstLine="482" w:firstLineChars="200"/>
              <w:textAlignment w:val="auto"/>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lang w:val="zh-CN" w:eastAsia="zh-CN" w:bidi="ar-SA"/>
              </w:rPr>
              <w:t>参加政府采购活动前三年内，在经营活动中没有重大违法记录；近三年经营活动中没有重大违法记录声明函原件；</w:t>
            </w:r>
          </w:p>
          <w:p>
            <w:pPr>
              <w:pageBreakBefore w:val="0"/>
              <w:widowControl w:val="0"/>
              <w:kinsoku/>
              <w:wordWrap/>
              <w:overflowPunct/>
              <w:topLinePunct w:val="0"/>
              <w:bidi w:val="0"/>
              <w:snapToGrid/>
              <w:spacing w:line="360" w:lineRule="auto"/>
              <w:ind w:firstLine="482" w:firstLineChars="200"/>
              <w:textAlignment w:val="auto"/>
              <w:rPr>
                <w:rFonts w:hint="eastAsia" w:ascii="微软雅黑" w:hAnsi="微软雅黑" w:eastAsia="微软雅黑" w:cs="微软雅黑"/>
                <w:i w:val="0"/>
                <w:caps w:val="0"/>
                <w:color w:val="auto"/>
                <w:spacing w:val="0"/>
                <w:sz w:val="21"/>
                <w:szCs w:val="21"/>
                <w:highlight w:val="none"/>
              </w:rPr>
            </w:pPr>
            <w:r>
              <w:rPr>
                <w:rFonts w:hint="eastAsia" w:ascii="宋体" w:hAnsi="宋体" w:cs="宋体"/>
                <w:b/>
                <w:bCs/>
                <w:color w:val="auto"/>
                <w:kern w:val="0"/>
                <w:sz w:val="24"/>
                <w:szCs w:val="24"/>
                <w:highlight w:val="none"/>
                <w:lang w:val="en-US" w:eastAsia="zh-CN" w:bidi="ar-SA"/>
              </w:rPr>
              <w:t>8</w:t>
            </w:r>
            <w:r>
              <w:rPr>
                <w:rFonts w:hint="eastAsia" w:ascii="宋体" w:hAnsi="宋体" w:eastAsia="宋体" w:cs="宋体"/>
                <w:b/>
                <w:bCs/>
                <w:color w:val="auto"/>
                <w:kern w:val="0"/>
                <w:sz w:val="24"/>
                <w:szCs w:val="24"/>
                <w:highlight w:val="none"/>
                <w:lang w:val="en-US" w:eastAsia="zh-CN" w:bidi="ar-SA"/>
              </w:rPr>
              <w:t>、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供应商公章为准； 　</w:t>
            </w:r>
            <w:r>
              <w:rPr>
                <w:rFonts w:hint="eastAsia" w:ascii="微软雅黑" w:hAnsi="微软雅黑" w:eastAsia="微软雅黑" w:cs="微软雅黑"/>
                <w:i w:val="0"/>
                <w:caps w:val="0"/>
                <w:color w:val="auto"/>
                <w:spacing w:val="0"/>
                <w:sz w:val="31"/>
                <w:szCs w:val="31"/>
                <w:highlight w:val="none"/>
                <w:shd w:val="clear" w:fill="FFFFFF"/>
              </w:rPr>
              <w:t>　</w:t>
            </w:r>
          </w:p>
          <w:p>
            <w:pPr>
              <w:pStyle w:val="24"/>
              <w:kinsoku w:val="0"/>
              <w:overflowPunct w:val="0"/>
              <w:spacing w:before="122"/>
              <w:ind w:left="102"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备注：竞争性磋商文件涉及要求供应商在开标时所带的原件，请供应商在开标现场一次性提供。供应商提交的所有证明文件及材料必须清晰、准确、真实、有效；对于不提供或提供不真实或虚假资料者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4"/>
              <w:kinsoku w:val="0"/>
              <w:overflowPunct w:val="0"/>
              <w:ind w:right="14"/>
              <w:jc w:val="center"/>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8475" w:type="dxa"/>
            <w:noWrap w:val="0"/>
            <w:vAlign w:val="top"/>
          </w:tcPr>
          <w:p>
            <w:pPr>
              <w:pStyle w:val="24"/>
              <w:kinsoku w:val="0"/>
              <w:overflowPunct w:val="0"/>
              <w:spacing w:before="122"/>
              <w:ind w:left="102"/>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资格审查方式：</w:t>
            </w:r>
            <w:r>
              <w:rPr>
                <w:rFonts w:hint="eastAsia" w:ascii="宋体" w:hAnsi="宋体" w:cs="宋体"/>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noWrap w:val="0"/>
            <w:vAlign w:val="center"/>
          </w:tcPr>
          <w:p>
            <w:pPr>
              <w:pStyle w:val="24"/>
              <w:kinsoku w:val="0"/>
              <w:overflowPunct w:val="0"/>
              <w:spacing w:before="73"/>
              <w:ind w:right="14"/>
              <w:jc w:val="center"/>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8475" w:type="dxa"/>
            <w:noWrap w:val="0"/>
            <w:vAlign w:val="top"/>
          </w:tcPr>
          <w:p>
            <w:pPr>
              <w:pStyle w:val="24"/>
              <w:kinsoku w:val="0"/>
              <w:overflowPunct w:val="0"/>
              <w:spacing w:before="73"/>
              <w:ind w:left="102"/>
              <w:rPr>
                <w:rFonts w:hint="eastAsia" w:ascii="宋体" w:hAnsi="宋体" w:eastAsia="宋体" w:cs="宋体"/>
                <w:color w:val="auto"/>
                <w:highlight w:val="none"/>
              </w:rPr>
            </w:pPr>
            <w:r>
              <w:rPr>
                <w:rFonts w:hint="eastAsia" w:ascii="宋体" w:hAnsi="宋体" w:eastAsia="宋体" w:cs="宋体"/>
                <w:b/>
                <w:bCs/>
                <w:color w:val="auto"/>
                <w:highlight w:val="none"/>
              </w:rPr>
              <w:t>投标语言：</w:t>
            </w:r>
            <w:r>
              <w:rPr>
                <w:rFonts w:hint="eastAsia" w:ascii="宋体" w:hAnsi="宋体" w:eastAsia="宋体" w:cs="宋体"/>
                <w:color w:val="auto"/>
                <w:highlight w:val="none"/>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4"/>
              <w:kinsoku w:val="0"/>
              <w:overflowPunct w:val="0"/>
              <w:spacing w:before="72"/>
              <w:jc w:val="center"/>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8475" w:type="dxa"/>
            <w:noWrap w:val="0"/>
            <w:vAlign w:val="top"/>
          </w:tcPr>
          <w:p>
            <w:pPr>
              <w:pStyle w:val="24"/>
              <w:kinsoku w:val="0"/>
              <w:overflowPunct w:val="0"/>
              <w:spacing w:before="72"/>
              <w:ind w:left="102"/>
              <w:rPr>
                <w:rFonts w:hint="eastAsia" w:ascii="宋体" w:hAnsi="宋体" w:eastAsia="宋体" w:cs="宋体"/>
                <w:color w:val="auto"/>
                <w:highlight w:val="none"/>
              </w:rPr>
            </w:pPr>
            <w:r>
              <w:rPr>
                <w:rFonts w:hint="eastAsia" w:ascii="宋体" w:hAnsi="宋体" w:eastAsia="宋体" w:cs="宋体"/>
                <w:b/>
                <w:bCs/>
                <w:color w:val="auto"/>
                <w:highlight w:val="none"/>
              </w:rPr>
              <w:t>投标有效期：</w:t>
            </w:r>
            <w:r>
              <w:rPr>
                <w:rFonts w:hint="eastAsia" w:ascii="宋体" w:hAnsi="宋体" w:cs="宋体"/>
                <w:color w:val="auto"/>
                <w:highlight w:val="none"/>
                <w:lang w:val="en-US" w:eastAsia="zh-CN"/>
              </w:rPr>
              <w:t>9</w:t>
            </w:r>
            <w:r>
              <w:rPr>
                <w:rFonts w:hint="eastAsia" w:ascii="宋体" w:hAnsi="宋体" w:eastAsia="宋体" w:cs="宋体"/>
                <w:color w:val="auto"/>
                <w:highlight w:val="none"/>
              </w:rPr>
              <w:t>0</w:t>
            </w:r>
            <w:r>
              <w:rPr>
                <w:rFonts w:hint="eastAsia" w:ascii="宋体" w:hAnsi="宋体" w:eastAsia="宋体" w:cs="宋体"/>
                <w:color w:val="auto"/>
                <w:spacing w:val="-75"/>
                <w:highlight w:val="none"/>
              </w:rPr>
              <w:t xml:space="preserve"> </w:t>
            </w:r>
            <w:r>
              <w:rPr>
                <w:rFonts w:hint="eastAsia" w:ascii="宋体" w:hAnsi="宋体" w:eastAsia="宋体" w:cs="宋体"/>
                <w:color w:val="auto"/>
                <w:highlight w:val="none"/>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4"/>
              <w:kinsoku w:val="0"/>
              <w:overflowPunct w:val="0"/>
              <w:spacing w:before="74"/>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8475" w:type="dxa"/>
            <w:noWrap w:val="0"/>
            <w:vAlign w:val="top"/>
          </w:tcPr>
          <w:p>
            <w:pPr>
              <w:pStyle w:val="24"/>
              <w:kinsoku w:val="0"/>
              <w:overflowPunct w:val="0"/>
              <w:spacing w:before="74"/>
              <w:ind w:left="102"/>
              <w:rPr>
                <w:rFonts w:hint="eastAsia" w:ascii="宋体" w:hAnsi="宋体" w:eastAsia="宋体" w:cs="宋体"/>
                <w:color w:val="auto"/>
                <w:highlight w:val="none"/>
              </w:rPr>
            </w:pPr>
            <w:r>
              <w:rPr>
                <w:rFonts w:hint="eastAsia" w:ascii="宋体" w:hAnsi="宋体" w:eastAsia="宋体" w:cs="宋体"/>
                <w:b/>
                <w:bCs/>
                <w:color w:val="auto"/>
                <w:highlight w:val="none"/>
              </w:rPr>
              <w:t>投标截止时间：</w:t>
            </w:r>
            <w:r>
              <w:rPr>
                <w:rFonts w:hint="eastAsia" w:ascii="宋体" w:hAnsi="宋体" w:eastAsia="宋体" w:cs="宋体"/>
                <w:b/>
                <w:bCs/>
                <w:color w:val="auto"/>
                <w:spacing w:val="-3"/>
                <w:highlight w:val="none"/>
              </w:rPr>
              <w:t xml:space="preserve"> </w:t>
            </w:r>
            <w:r>
              <w:rPr>
                <w:rFonts w:hint="eastAsia" w:ascii="宋体" w:hAnsi="宋体" w:eastAsia="宋体" w:cs="宋体"/>
                <w:color w:val="auto"/>
                <w:highlight w:val="none"/>
              </w:rPr>
              <w:t>20</w:t>
            </w:r>
            <w:r>
              <w:rPr>
                <w:rFonts w:hint="eastAsia" w:ascii="宋体" w:hAnsi="宋体" w:cs="宋体"/>
                <w:color w:val="auto"/>
                <w:highlight w:val="none"/>
                <w:lang w:val="en-US" w:eastAsia="zh-CN"/>
              </w:rPr>
              <w:t>21</w:t>
            </w:r>
            <w:r>
              <w:rPr>
                <w:rFonts w:hint="eastAsia" w:ascii="宋体" w:hAnsi="宋体" w:eastAsia="宋体" w:cs="宋体"/>
                <w:color w:val="auto"/>
                <w:highlight w:val="none"/>
              </w:rPr>
              <w:t>年</w:t>
            </w:r>
            <w:r>
              <w:rPr>
                <w:rFonts w:hint="eastAsia" w:ascii="宋体" w:hAnsi="宋体" w:cs="宋体"/>
                <w:color w:val="auto"/>
                <w:highlight w:val="none"/>
                <w:lang w:val="en-US" w:eastAsia="zh-CN"/>
              </w:rPr>
              <w:t>11</w:t>
            </w:r>
            <w:r>
              <w:rPr>
                <w:rFonts w:hint="eastAsia" w:ascii="宋体" w:hAnsi="宋体" w:eastAsia="宋体" w:cs="宋体"/>
                <w:color w:val="auto"/>
                <w:highlight w:val="none"/>
              </w:rPr>
              <w:t>月</w:t>
            </w:r>
            <w:r>
              <w:rPr>
                <w:rFonts w:hint="eastAsia" w:ascii="宋体" w:hAnsi="宋体" w:cs="宋体"/>
                <w:color w:val="auto"/>
                <w:highlight w:val="none"/>
                <w:lang w:val="en-US" w:eastAsia="zh-CN"/>
              </w:rPr>
              <w:t>25</w:t>
            </w:r>
            <w:r>
              <w:rPr>
                <w:rFonts w:hint="eastAsia" w:ascii="宋体" w:hAnsi="宋体" w:eastAsia="宋体" w:cs="宋体"/>
                <w:color w:val="auto"/>
                <w:highlight w:val="none"/>
              </w:rPr>
              <w:t>日1</w:t>
            </w:r>
            <w:r>
              <w:rPr>
                <w:rFonts w:hint="eastAsia" w:ascii="宋体" w:hAnsi="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cs="宋体"/>
                <w:color w:val="auto"/>
                <w:highlight w:val="none"/>
                <w:lang w:val="en-US" w:eastAsia="zh-CN"/>
              </w:rPr>
              <w:t>0</w:t>
            </w:r>
            <w:r>
              <w:rPr>
                <w:rFonts w:hint="eastAsia" w:ascii="宋体" w:hAnsi="宋体" w:eastAsia="宋体" w:cs="宋体"/>
                <w:color w:val="auto"/>
                <w:highlight w:val="none"/>
              </w:rPr>
              <w:t>0</w:t>
            </w:r>
            <w:r>
              <w:rPr>
                <w:rFonts w:hint="eastAsia" w:ascii="宋体" w:hAnsi="宋体" w:eastAsia="宋体" w:cs="宋体"/>
                <w:color w:val="auto"/>
                <w:spacing w:val="-62"/>
                <w:highlight w:val="none"/>
              </w:rPr>
              <w:t xml:space="preserve"> </w:t>
            </w:r>
            <w:r>
              <w:rPr>
                <w:rFonts w:hint="eastAsia" w:ascii="宋体" w:hAnsi="宋体" w:eastAsia="宋体" w:cs="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4"/>
              <w:kinsoku w:val="0"/>
              <w:overflowPunct w:val="0"/>
              <w:spacing w:before="73"/>
              <w:jc w:val="center"/>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8475" w:type="dxa"/>
            <w:noWrap w:val="0"/>
            <w:vAlign w:val="top"/>
          </w:tcPr>
          <w:p>
            <w:pPr>
              <w:pStyle w:val="24"/>
              <w:kinsoku w:val="0"/>
              <w:overflowPunct w:val="0"/>
              <w:spacing w:before="73"/>
              <w:ind w:left="102"/>
              <w:rPr>
                <w:rFonts w:hint="eastAsia" w:ascii="宋体" w:hAnsi="宋体" w:eastAsia="宋体" w:cs="宋体"/>
                <w:color w:val="auto"/>
                <w:highlight w:val="none"/>
              </w:rPr>
            </w:pPr>
            <w:r>
              <w:rPr>
                <w:rFonts w:hint="eastAsia" w:ascii="宋体" w:hAnsi="宋体" w:eastAsia="宋体" w:cs="宋体"/>
                <w:b/>
                <w:bCs/>
                <w:color w:val="auto"/>
                <w:highlight w:val="none"/>
              </w:rPr>
              <w:t xml:space="preserve">是否退还磋商响应性文件：否（磋商文件售价 </w:t>
            </w:r>
            <w:r>
              <w:rPr>
                <w:rFonts w:hint="eastAsia" w:ascii="宋体" w:hAnsi="宋体" w:cs="宋体"/>
                <w:b/>
                <w:bCs/>
                <w:color w:val="auto"/>
                <w:highlight w:val="none"/>
                <w:lang w:val="en-US" w:eastAsia="zh-CN"/>
              </w:rPr>
              <w:t>3</w:t>
            </w:r>
            <w:r>
              <w:rPr>
                <w:rFonts w:hint="eastAsia" w:ascii="宋体" w:hAnsi="宋体" w:eastAsia="宋体" w:cs="宋体"/>
                <w:b/>
                <w:bCs/>
                <w:color w:val="auto"/>
                <w:highlight w:val="none"/>
              </w:rPr>
              <w:t>00元 ，</w:t>
            </w:r>
            <w:r>
              <w:rPr>
                <w:rFonts w:hint="eastAsia" w:ascii="宋体" w:hAnsi="宋体" w:cs="宋体"/>
                <w:b/>
                <w:bCs/>
                <w:color w:val="auto"/>
                <w:highlight w:val="none"/>
                <w:lang w:eastAsia="zh-CN"/>
              </w:rPr>
              <w:t>过期不售，售后不退</w:t>
            </w:r>
            <w:r>
              <w:rPr>
                <w:rFonts w:hint="eastAsia" w:ascii="宋体" w:hAnsi="宋体" w:eastAsia="宋体" w:cs="宋体"/>
                <w:b/>
                <w:bCs/>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4"/>
              <w:kinsoku w:val="0"/>
              <w:overflowPunct w:val="0"/>
              <w:spacing w:before="72"/>
              <w:jc w:val="center"/>
              <w:rPr>
                <w:rFonts w:hint="eastAsia" w:ascii="宋体" w:hAnsi="宋体" w:eastAsia="宋体" w:cs="宋体"/>
                <w:color w:val="auto"/>
                <w:highlight w:val="none"/>
              </w:rPr>
            </w:pPr>
            <w:r>
              <w:rPr>
                <w:rFonts w:hint="eastAsia" w:ascii="宋体" w:hAnsi="宋体" w:eastAsia="宋体" w:cs="宋体"/>
                <w:color w:val="auto"/>
                <w:highlight w:val="none"/>
              </w:rPr>
              <w:t>12</w:t>
            </w:r>
          </w:p>
        </w:tc>
        <w:tc>
          <w:tcPr>
            <w:tcW w:w="8475" w:type="dxa"/>
            <w:noWrap w:val="0"/>
            <w:vAlign w:val="top"/>
          </w:tcPr>
          <w:p>
            <w:pPr>
              <w:pStyle w:val="24"/>
              <w:kinsoku w:val="0"/>
              <w:overflowPunct w:val="0"/>
              <w:spacing w:before="72"/>
              <w:ind w:left="102"/>
              <w:rPr>
                <w:rFonts w:hint="eastAsia" w:ascii="宋体" w:hAnsi="宋体" w:eastAsia="宋体" w:cs="宋体"/>
                <w:color w:val="auto"/>
                <w:highlight w:val="none"/>
              </w:rPr>
            </w:pPr>
            <w:r>
              <w:rPr>
                <w:rFonts w:hint="eastAsia" w:ascii="宋体" w:hAnsi="宋体" w:eastAsia="宋体" w:cs="宋体"/>
                <w:b/>
                <w:bCs/>
                <w:color w:val="auto"/>
                <w:highlight w:val="none"/>
              </w:rPr>
              <w:t>联合投标：</w:t>
            </w:r>
            <w:r>
              <w:rPr>
                <w:rFonts w:hint="eastAsia" w:ascii="宋体" w:hAnsi="宋体" w:eastAsia="宋体" w:cs="宋体"/>
                <w:color w:val="auto"/>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4"/>
              <w:kinsoku w:val="0"/>
              <w:overflowPunct w:val="0"/>
              <w:spacing w:before="74"/>
              <w:jc w:val="center"/>
              <w:rPr>
                <w:rFonts w:hint="eastAsia" w:ascii="宋体" w:hAnsi="宋体" w:eastAsia="宋体" w:cs="宋体"/>
                <w:color w:val="auto"/>
                <w:highlight w:val="none"/>
              </w:rPr>
            </w:pPr>
            <w:r>
              <w:rPr>
                <w:rFonts w:hint="eastAsia" w:ascii="宋体" w:hAnsi="宋体" w:eastAsia="宋体" w:cs="宋体"/>
                <w:color w:val="auto"/>
                <w:highlight w:val="none"/>
              </w:rPr>
              <w:t>13</w:t>
            </w:r>
          </w:p>
        </w:tc>
        <w:tc>
          <w:tcPr>
            <w:tcW w:w="8475" w:type="dxa"/>
            <w:noWrap w:val="0"/>
            <w:vAlign w:val="top"/>
          </w:tcPr>
          <w:p>
            <w:pPr>
              <w:pStyle w:val="24"/>
              <w:kinsoku w:val="0"/>
              <w:overflowPunct w:val="0"/>
              <w:spacing w:before="74"/>
              <w:ind w:left="102"/>
              <w:rPr>
                <w:rFonts w:hint="eastAsia" w:ascii="宋体" w:hAnsi="宋体" w:eastAsia="宋体" w:cs="宋体"/>
                <w:color w:val="auto"/>
                <w:highlight w:val="none"/>
              </w:rPr>
            </w:pPr>
            <w:r>
              <w:rPr>
                <w:rFonts w:hint="eastAsia" w:ascii="宋体" w:hAnsi="宋体" w:eastAsia="宋体" w:cs="宋体"/>
                <w:b/>
                <w:bCs/>
                <w:color w:val="auto"/>
                <w:highlight w:val="none"/>
              </w:rPr>
              <w:t>投标报价货币</w:t>
            </w:r>
            <w:r>
              <w:rPr>
                <w:rFonts w:hint="eastAsia" w:ascii="宋体" w:hAnsi="宋体" w:eastAsia="宋体" w:cs="宋体"/>
                <w:color w:val="auto"/>
                <w:highlight w:val="none"/>
              </w:rPr>
              <w:t>:</w:t>
            </w:r>
            <w:r>
              <w:rPr>
                <w:rFonts w:hint="eastAsia" w:ascii="宋体" w:hAnsi="宋体" w:eastAsia="宋体" w:cs="宋体"/>
                <w:color w:val="auto"/>
                <w:spacing w:val="-15"/>
                <w:highlight w:val="none"/>
              </w:rPr>
              <w:t xml:space="preserve"> </w:t>
            </w:r>
            <w:r>
              <w:rPr>
                <w:rFonts w:hint="eastAsia" w:ascii="宋体" w:hAnsi="宋体" w:eastAsia="宋体" w:cs="宋体"/>
                <w:color w:val="auto"/>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4"/>
              <w:kinsoku w:val="0"/>
              <w:overflowPunct w:val="0"/>
              <w:spacing w:before="73"/>
              <w:jc w:val="center"/>
              <w:rPr>
                <w:rFonts w:hint="eastAsia" w:ascii="宋体" w:hAnsi="宋体" w:eastAsia="宋体" w:cs="宋体"/>
                <w:color w:val="auto"/>
                <w:highlight w:val="none"/>
              </w:rPr>
            </w:pPr>
            <w:r>
              <w:rPr>
                <w:rFonts w:hint="eastAsia" w:ascii="宋体" w:hAnsi="宋体" w:eastAsia="宋体" w:cs="宋体"/>
                <w:color w:val="auto"/>
                <w:highlight w:val="none"/>
              </w:rPr>
              <w:t>14</w:t>
            </w:r>
          </w:p>
        </w:tc>
        <w:tc>
          <w:tcPr>
            <w:tcW w:w="8475" w:type="dxa"/>
            <w:noWrap w:val="0"/>
            <w:vAlign w:val="top"/>
          </w:tcPr>
          <w:p>
            <w:pPr>
              <w:pStyle w:val="24"/>
              <w:kinsoku w:val="0"/>
              <w:overflowPunct w:val="0"/>
              <w:spacing w:before="73"/>
              <w:ind w:left="102"/>
              <w:rPr>
                <w:rFonts w:hint="eastAsia" w:ascii="宋体" w:hAnsi="宋体" w:eastAsia="宋体" w:cs="宋体"/>
                <w:color w:val="auto"/>
                <w:highlight w:val="none"/>
              </w:rPr>
            </w:pPr>
            <w:r>
              <w:rPr>
                <w:rFonts w:hint="eastAsia" w:ascii="宋体" w:hAnsi="宋体" w:eastAsia="宋体" w:cs="宋体"/>
                <w:b/>
                <w:bCs/>
                <w:color w:val="auto"/>
                <w:highlight w:val="none"/>
              </w:rPr>
              <w:t>采购方式：</w:t>
            </w:r>
            <w:r>
              <w:rPr>
                <w:rFonts w:hint="eastAsia" w:ascii="宋体" w:hAnsi="宋体" w:eastAsia="宋体" w:cs="宋体"/>
                <w:color w:val="auto"/>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4"/>
              <w:kinsoku w:val="0"/>
              <w:overflowPunct w:val="0"/>
              <w:spacing w:before="72"/>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8475" w:type="dxa"/>
            <w:noWrap w:val="0"/>
            <w:vAlign w:val="top"/>
          </w:tcPr>
          <w:p>
            <w:pPr>
              <w:pStyle w:val="24"/>
              <w:kinsoku w:val="0"/>
              <w:overflowPunct w:val="0"/>
              <w:spacing w:before="72"/>
              <w:ind w:left="102"/>
              <w:rPr>
                <w:rFonts w:hint="eastAsia" w:ascii="宋体" w:hAnsi="宋体" w:eastAsia="宋体" w:cs="宋体"/>
                <w:color w:val="auto"/>
                <w:highlight w:val="none"/>
              </w:rPr>
            </w:pPr>
            <w:r>
              <w:rPr>
                <w:rFonts w:hint="eastAsia" w:ascii="宋体" w:hAnsi="宋体" w:eastAsia="宋体" w:cs="宋体"/>
                <w:b/>
                <w:bCs/>
                <w:color w:val="auto"/>
                <w:highlight w:val="none"/>
              </w:rPr>
              <w:t>评标办法：</w:t>
            </w:r>
            <w:r>
              <w:rPr>
                <w:rFonts w:hint="eastAsia" w:ascii="宋体" w:hAnsi="宋体" w:eastAsia="宋体" w:cs="宋体"/>
                <w:color w:val="auto"/>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1" w:hRule="atLeast"/>
          <w:jc w:val="center"/>
        </w:trPr>
        <w:tc>
          <w:tcPr>
            <w:tcW w:w="672" w:type="dxa"/>
            <w:noWrap w:val="0"/>
            <w:vAlign w:val="center"/>
          </w:tcPr>
          <w:p>
            <w:pPr>
              <w:pStyle w:val="24"/>
              <w:kinsoku w:val="0"/>
              <w:overflowPunct w:val="0"/>
              <w:spacing w:before="201"/>
              <w:jc w:val="center"/>
              <w:rPr>
                <w:rFonts w:hint="eastAsia" w:ascii="宋体" w:hAnsi="宋体" w:eastAsia="宋体" w:cs="宋体"/>
                <w:color w:val="auto"/>
                <w:highlight w:val="none"/>
              </w:rPr>
            </w:pPr>
            <w:r>
              <w:rPr>
                <w:rFonts w:hint="eastAsia" w:ascii="宋体" w:hAnsi="宋体" w:eastAsia="宋体" w:cs="宋体"/>
                <w:color w:val="auto"/>
                <w:highlight w:val="none"/>
              </w:rPr>
              <w:t>16</w:t>
            </w:r>
          </w:p>
        </w:tc>
        <w:tc>
          <w:tcPr>
            <w:tcW w:w="8475" w:type="dxa"/>
            <w:noWrap w:val="0"/>
            <w:vAlign w:val="top"/>
          </w:tcPr>
          <w:p>
            <w:pPr>
              <w:pStyle w:val="24"/>
              <w:kinsoku w:val="0"/>
              <w:overflowPunct w:val="0"/>
              <w:spacing w:before="57"/>
              <w:ind w:left="102"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磋商小组的组建：/</w:t>
            </w:r>
          </w:p>
          <w:p>
            <w:pPr>
              <w:pStyle w:val="24"/>
              <w:kinsoku w:val="0"/>
              <w:overflowPunct w:val="0"/>
              <w:spacing w:before="16"/>
              <w:ind w:left="102"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磋商小组构成：</w:t>
            </w:r>
            <w:r>
              <w:rPr>
                <w:rFonts w:hint="eastAsia" w:ascii="宋体" w:hAnsi="宋体" w:eastAsia="宋体" w:cs="宋体"/>
                <w:color w:val="auto"/>
                <w:highlight w:val="none"/>
              </w:rPr>
              <w:t>共 3人，由</w:t>
            </w:r>
            <w:r>
              <w:rPr>
                <w:rFonts w:hint="eastAsia" w:ascii="宋体" w:hAnsi="宋体" w:cs="宋体"/>
                <w:color w:val="auto"/>
                <w:highlight w:val="none"/>
                <w:lang w:val="en-US" w:eastAsia="zh-CN"/>
              </w:rPr>
              <w:t>采购人</w:t>
            </w:r>
            <w:r>
              <w:rPr>
                <w:rFonts w:hint="eastAsia" w:ascii="宋体" w:hAnsi="宋体" w:cs="宋体"/>
                <w:color w:val="auto"/>
                <w:highlight w:val="none"/>
                <w:lang w:eastAsia="zh-CN"/>
              </w:rPr>
              <w:t>专家</w:t>
            </w:r>
            <w:r>
              <w:rPr>
                <w:rFonts w:hint="eastAsia" w:ascii="宋体" w:hAnsi="宋体" w:eastAsia="宋体" w:cs="宋体"/>
                <w:color w:val="auto"/>
                <w:highlight w:val="none"/>
              </w:rPr>
              <w:t>代表与技术、经济等方面的专家组成。</w:t>
            </w:r>
          </w:p>
          <w:p>
            <w:pPr>
              <w:pStyle w:val="24"/>
              <w:kinsoku w:val="0"/>
              <w:overflowPunct w:val="0"/>
              <w:spacing w:before="16"/>
              <w:ind w:left="102"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磋商小组确定方式：</w:t>
            </w:r>
            <w:r>
              <w:rPr>
                <w:rFonts w:hint="eastAsia" w:ascii="宋体" w:hAnsi="宋体" w:eastAsia="宋体" w:cs="宋体"/>
                <w:color w:val="auto"/>
                <w:highlight w:val="none"/>
              </w:rPr>
              <w:t>从专家库中随机抽取。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4"/>
              <w:kinsoku w:val="0"/>
              <w:overflowPunct w:val="0"/>
              <w:spacing w:before="72"/>
              <w:jc w:val="center"/>
              <w:rPr>
                <w:rFonts w:hint="eastAsia" w:ascii="宋体" w:hAnsi="宋体" w:eastAsia="宋体" w:cs="宋体"/>
                <w:color w:val="auto"/>
                <w:highlight w:val="none"/>
              </w:rPr>
            </w:pPr>
            <w:r>
              <w:rPr>
                <w:rFonts w:hint="eastAsia" w:ascii="宋体" w:hAnsi="宋体" w:eastAsia="宋体" w:cs="宋体"/>
                <w:color w:val="auto"/>
                <w:highlight w:val="none"/>
              </w:rPr>
              <w:t>17</w:t>
            </w:r>
          </w:p>
        </w:tc>
        <w:tc>
          <w:tcPr>
            <w:tcW w:w="8475" w:type="dxa"/>
            <w:noWrap w:val="0"/>
            <w:vAlign w:val="top"/>
          </w:tcPr>
          <w:p>
            <w:pPr>
              <w:pStyle w:val="24"/>
              <w:kinsoku w:val="0"/>
              <w:overflowPunct w:val="0"/>
              <w:spacing w:before="72"/>
              <w:ind w:left="102"/>
              <w:rPr>
                <w:rFonts w:hint="eastAsia" w:ascii="宋体" w:hAnsi="宋体" w:eastAsia="宋体" w:cs="宋体"/>
                <w:color w:val="auto"/>
                <w:highlight w:val="none"/>
              </w:rPr>
            </w:pPr>
            <w:r>
              <w:rPr>
                <w:rFonts w:hint="eastAsia" w:ascii="宋体" w:hAnsi="宋体" w:eastAsia="宋体" w:cs="宋体"/>
                <w:b/>
                <w:bCs/>
                <w:color w:val="auto"/>
                <w:highlight w:val="none"/>
              </w:rPr>
              <w:t>分包（转让）：</w:t>
            </w:r>
            <w:r>
              <w:rPr>
                <w:rFonts w:hint="eastAsia" w:ascii="宋体" w:hAnsi="宋体" w:eastAsia="宋体" w:cs="宋体"/>
                <w:color w:val="auto"/>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4"/>
              <w:kinsoku w:val="0"/>
              <w:overflowPunct w:val="0"/>
              <w:jc w:val="center"/>
              <w:rPr>
                <w:rFonts w:hint="eastAsia" w:ascii="宋体" w:hAnsi="宋体" w:eastAsia="宋体" w:cs="宋体"/>
                <w:color w:val="auto"/>
                <w:highlight w:val="none"/>
              </w:rPr>
            </w:pPr>
            <w:r>
              <w:rPr>
                <w:rFonts w:hint="eastAsia" w:ascii="宋体" w:hAnsi="宋体" w:eastAsia="宋体" w:cs="宋体"/>
                <w:color w:val="auto"/>
                <w:highlight w:val="none"/>
              </w:rPr>
              <w:t>18</w:t>
            </w:r>
          </w:p>
        </w:tc>
        <w:tc>
          <w:tcPr>
            <w:tcW w:w="8475" w:type="dxa"/>
            <w:noWrap w:val="0"/>
            <w:vAlign w:val="top"/>
          </w:tcPr>
          <w:p>
            <w:pPr>
              <w:pStyle w:val="24"/>
              <w:kinsoku w:val="0"/>
              <w:overflowPunct w:val="0"/>
              <w:spacing w:before="55"/>
              <w:ind w:left="102"/>
              <w:rPr>
                <w:rFonts w:hint="eastAsia" w:ascii="宋体" w:hAnsi="宋体" w:eastAsia="宋体" w:cs="宋体"/>
                <w:color w:val="auto"/>
                <w:highlight w:val="none"/>
                <w:lang w:eastAsia="zh-CN"/>
              </w:rPr>
            </w:pPr>
            <w:r>
              <w:rPr>
                <w:rFonts w:hint="eastAsia" w:ascii="宋体" w:hAnsi="宋体" w:eastAsia="宋体" w:cs="宋体"/>
                <w:b/>
                <w:bCs/>
                <w:color w:val="auto"/>
                <w:highlight w:val="none"/>
              </w:rPr>
              <w:t>考察现场、磋商前答疑会：</w:t>
            </w:r>
            <w:r>
              <w:rPr>
                <w:rFonts w:hint="eastAsia" w:ascii="宋体" w:hAnsi="宋体" w:cs="宋体"/>
                <w:b/>
                <w:bCs/>
                <w:color w:val="auto"/>
                <w:highlight w:val="none"/>
                <w:lang w:eastAsia="zh-CN"/>
              </w:rPr>
              <w:t>如有需要请自行前往现场踏勘（暂定于</w:t>
            </w:r>
            <w:r>
              <w:rPr>
                <w:rFonts w:hint="eastAsia" w:ascii="宋体" w:hAnsi="宋体" w:cs="宋体"/>
                <w:b/>
                <w:bCs/>
                <w:color w:val="auto"/>
                <w:highlight w:val="none"/>
                <w:lang w:val="en-US" w:eastAsia="zh-CN"/>
              </w:rPr>
              <w:t>2021年12月01日，上午 10:30至13:00，下午16:00至19:00，如有变动，已通知为准，请携带营业执照复印件和踏勘现场授权委托书（需附身份证），其它时间，概不接待。</w:t>
            </w:r>
            <w:r>
              <w:rPr>
                <w:rFonts w:hint="eastAsia" w:ascii="宋体" w:hAnsi="宋体" w:cs="宋体"/>
                <w:b/>
                <w:bCs/>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4"/>
              <w:kinsoku w:val="0"/>
              <w:overflowPunct w:val="0"/>
              <w:spacing w:before="73"/>
              <w:jc w:val="center"/>
              <w:rPr>
                <w:rFonts w:hint="eastAsia" w:ascii="宋体" w:hAnsi="宋体" w:eastAsia="宋体" w:cs="宋体"/>
                <w:color w:val="auto"/>
                <w:highlight w:val="none"/>
              </w:rPr>
            </w:pPr>
            <w:r>
              <w:rPr>
                <w:rFonts w:hint="eastAsia" w:ascii="宋体" w:hAnsi="宋体" w:eastAsia="宋体" w:cs="宋体"/>
                <w:color w:val="auto"/>
                <w:highlight w:val="none"/>
              </w:rPr>
              <w:t>19</w:t>
            </w:r>
          </w:p>
        </w:tc>
        <w:tc>
          <w:tcPr>
            <w:tcW w:w="8475" w:type="dxa"/>
            <w:noWrap w:val="0"/>
            <w:vAlign w:val="top"/>
          </w:tcPr>
          <w:p>
            <w:pPr>
              <w:pStyle w:val="24"/>
              <w:kinsoku w:val="0"/>
              <w:overflowPunct w:val="0"/>
              <w:spacing w:before="73"/>
              <w:ind w:left="102"/>
              <w:rPr>
                <w:rFonts w:hint="eastAsia" w:ascii="宋体" w:hAnsi="宋体" w:eastAsia="宋体" w:cs="宋体"/>
                <w:color w:val="auto"/>
                <w:highlight w:val="none"/>
              </w:rPr>
            </w:pPr>
            <w:r>
              <w:rPr>
                <w:rFonts w:hint="eastAsia" w:ascii="宋体" w:hAnsi="宋体" w:eastAsia="宋体" w:cs="宋体"/>
                <w:b/>
                <w:bCs/>
                <w:color w:val="auto"/>
                <w:highlight w:val="none"/>
              </w:rPr>
              <w:t>构成竞争性磋商文件的其他文件：</w:t>
            </w:r>
            <w:r>
              <w:rPr>
                <w:rFonts w:hint="eastAsia" w:ascii="宋体" w:hAnsi="宋体" w:eastAsia="宋体" w:cs="宋体"/>
                <w:color w:val="auto"/>
                <w:highlight w:val="none"/>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4"/>
              <w:kinsoku w:val="0"/>
              <w:overflowPunct w:val="0"/>
              <w:spacing w:before="73"/>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8475" w:type="dxa"/>
            <w:noWrap w:val="0"/>
            <w:vAlign w:val="top"/>
          </w:tcPr>
          <w:p>
            <w:pPr>
              <w:pStyle w:val="24"/>
              <w:kinsoku w:val="0"/>
              <w:overflowPunct w:val="0"/>
              <w:spacing w:before="57"/>
              <w:ind w:left="102"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投标保证金</w:t>
            </w:r>
          </w:p>
          <w:p>
            <w:pPr>
              <w:ind w:firstLine="480" w:firstLineChars="200"/>
              <w:rPr>
                <w:rFonts w:hint="eastAsia" w:ascii="宋体" w:hAnsi="宋体" w:cs="宋体" w:eastAsiaTheme="minorEastAsia"/>
                <w:color w:val="auto"/>
                <w:kern w:val="0"/>
                <w:sz w:val="24"/>
                <w:szCs w:val="24"/>
                <w:highlight w:val="none"/>
                <w:lang w:eastAsia="zh-CN"/>
              </w:rPr>
            </w:pPr>
            <w:r>
              <w:rPr>
                <w:rFonts w:hint="eastAsia" w:ascii="宋体" w:hAnsi="宋体" w:eastAsia="宋体" w:cs="宋体"/>
                <w:color w:val="auto"/>
                <w:kern w:val="0"/>
                <w:sz w:val="24"/>
                <w:szCs w:val="24"/>
                <w:highlight w:val="none"/>
              </w:rPr>
              <w:t>投标保证金的形式：电汇、转账等形式</w:t>
            </w:r>
            <w:r>
              <w:rPr>
                <w:rFonts w:hint="eastAsia" w:ascii="宋体" w:hAnsi="宋体" w:cs="宋体"/>
                <w:color w:val="auto"/>
                <w:kern w:val="0"/>
                <w:sz w:val="24"/>
                <w:szCs w:val="24"/>
                <w:highlight w:val="none"/>
                <w:lang w:eastAsia="zh-CN"/>
              </w:rPr>
              <w:t>，</w:t>
            </w:r>
            <w:r>
              <w:rPr>
                <w:rFonts w:hint="eastAsia" w:asciiTheme="minorEastAsia" w:hAnsiTheme="minorEastAsia" w:eastAsiaTheme="minorEastAsia" w:cstheme="minorEastAsia"/>
                <w:color w:val="auto"/>
                <w:sz w:val="24"/>
                <w:highlight w:val="none"/>
              </w:rPr>
              <w:t>均应从基本账户转出</w:t>
            </w:r>
            <w:r>
              <w:rPr>
                <w:rFonts w:hint="eastAsia" w:asciiTheme="minorEastAsia" w:hAnsiTheme="minorEastAsia" w:eastAsiaTheme="minorEastAsia" w:cstheme="minorEastAsia"/>
                <w:color w:val="auto"/>
                <w:sz w:val="24"/>
                <w:highlight w:val="none"/>
                <w:lang w:eastAsia="zh-CN"/>
              </w:rPr>
              <w:t>。</w:t>
            </w:r>
          </w:p>
          <w:p>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投标保证金的金额：</w:t>
            </w:r>
            <w:r>
              <w:rPr>
                <w:rFonts w:hint="eastAsia" w:ascii="宋体" w:hAnsi="宋体" w:cs="宋体"/>
                <w:color w:val="auto"/>
                <w:kern w:val="0"/>
                <w:sz w:val="24"/>
                <w:szCs w:val="24"/>
                <w:highlight w:val="none"/>
                <w:lang w:val="en-US" w:eastAsia="zh-CN"/>
              </w:rPr>
              <w:t>6000</w:t>
            </w:r>
            <w:r>
              <w:rPr>
                <w:rFonts w:hint="eastAsia" w:ascii="宋体" w:hAnsi="宋体" w:eastAsia="宋体" w:cs="宋体"/>
                <w:color w:val="auto"/>
                <w:kern w:val="0"/>
                <w:sz w:val="24"/>
                <w:szCs w:val="24"/>
                <w:highlight w:val="none"/>
              </w:rPr>
              <w:t>元（</w:t>
            </w:r>
            <w:r>
              <w:rPr>
                <w:rFonts w:hint="eastAsia" w:ascii="宋体" w:hAnsi="宋体" w:cs="宋体"/>
                <w:color w:val="auto"/>
                <w:kern w:val="0"/>
                <w:sz w:val="24"/>
                <w:szCs w:val="24"/>
                <w:highlight w:val="none"/>
                <w:lang w:val="en-US" w:eastAsia="zh-CN"/>
              </w:rPr>
              <w:t>陆仟</w:t>
            </w:r>
            <w:r>
              <w:rPr>
                <w:rFonts w:hint="eastAsia" w:ascii="宋体" w:hAnsi="宋体" w:eastAsia="宋体" w:cs="宋体"/>
                <w:color w:val="auto"/>
                <w:kern w:val="0"/>
                <w:sz w:val="24"/>
                <w:szCs w:val="24"/>
                <w:highlight w:val="none"/>
              </w:rPr>
              <w:t>圆整）</w:t>
            </w:r>
          </w:p>
          <w:p>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投标保证金必须在开标前一天缴纳至以下账号：</w:t>
            </w:r>
          </w:p>
          <w:p>
            <w:pPr>
              <w:pStyle w:val="24"/>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单位名称：新疆信尔成工程项目管理有限公司</w:t>
            </w:r>
          </w:p>
          <w:p>
            <w:pPr>
              <w:pStyle w:val="24"/>
              <w:spacing w:before="132" w:line="345" w:lineRule="auto"/>
              <w:ind w:right="152"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开户银行：中国工商银行股份有限公司乌鲁木齐长春路支行</w:t>
            </w:r>
          </w:p>
          <w:p>
            <w:pPr>
              <w:pStyle w:val="24"/>
              <w:spacing w:line="343" w:lineRule="auto"/>
              <w:ind w:right="1952"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银行账号：3002 0301 0910 0074 747 行号：102881003011</w:t>
            </w:r>
          </w:p>
          <w:p>
            <w:pPr>
              <w:ind w:firstLine="480" w:firstLineChars="200"/>
              <w:rPr>
                <w:rFonts w:hint="eastAsia" w:ascii="宋体" w:hAnsi="宋体" w:eastAsia="宋体" w:cs="宋体"/>
                <w:b/>
                <w:bCs/>
                <w:color w:val="auto"/>
                <w:highlight w:val="none"/>
              </w:rPr>
            </w:pPr>
            <w:r>
              <w:rPr>
                <w:rFonts w:hint="eastAsia" w:ascii="宋体" w:hAnsi="宋体" w:eastAsia="宋体" w:cs="宋体"/>
                <w:color w:val="auto"/>
                <w:kern w:val="0"/>
                <w:sz w:val="24"/>
                <w:szCs w:val="24"/>
                <w:highlight w:val="none"/>
              </w:rPr>
              <w:t>投标人办理保证金时，须注明“项目名称+投标保证金”（如字数超出规定字数可简写项目名称）。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4"/>
              <w:kinsoku w:val="0"/>
              <w:overflowPunct w:val="0"/>
              <w:spacing w:before="73"/>
              <w:jc w:val="center"/>
              <w:rPr>
                <w:rFonts w:hint="eastAsia" w:ascii="宋体" w:hAnsi="宋体" w:eastAsia="宋体" w:cs="宋体"/>
                <w:color w:val="auto"/>
                <w:highlight w:val="none"/>
              </w:rPr>
            </w:pPr>
            <w:r>
              <w:rPr>
                <w:rFonts w:hint="eastAsia" w:ascii="宋体" w:hAnsi="宋体" w:eastAsia="宋体" w:cs="宋体"/>
                <w:color w:val="auto"/>
                <w:highlight w:val="none"/>
              </w:rPr>
              <w:t>21</w:t>
            </w:r>
          </w:p>
        </w:tc>
        <w:tc>
          <w:tcPr>
            <w:tcW w:w="8475" w:type="dxa"/>
            <w:noWrap w:val="0"/>
            <w:vAlign w:val="top"/>
          </w:tcPr>
          <w:p>
            <w:pPr>
              <w:pStyle w:val="24"/>
              <w:kinsoku w:val="0"/>
              <w:overflowPunct w:val="0"/>
              <w:spacing w:before="57"/>
              <w:ind w:left="102"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投标保证金退还：</w:t>
            </w:r>
          </w:p>
          <w:p>
            <w:pPr>
              <w:pStyle w:val="24"/>
              <w:kinsoku w:val="0"/>
              <w:overflowPunct w:val="0"/>
              <w:spacing w:before="16"/>
              <w:ind w:left="582"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未中标供应商的投标保证金，在中标结果公示期满后</w:t>
            </w:r>
            <w:r>
              <w:rPr>
                <w:rFonts w:hint="eastAsia" w:ascii="宋体" w:hAnsi="宋体" w:eastAsia="宋体" w:cs="宋体"/>
                <w:color w:val="auto"/>
                <w:spacing w:val="-60"/>
                <w:highlight w:val="none"/>
              </w:rPr>
              <w:t xml:space="preserve"> </w:t>
            </w:r>
            <w:r>
              <w:rPr>
                <w:rFonts w:hint="eastAsia" w:ascii="宋体" w:hAnsi="宋体" w:eastAsia="宋体" w:cs="宋体"/>
                <w:color w:val="auto"/>
                <w:highlight w:val="none"/>
              </w:rPr>
              <w:t>5</w:t>
            </w:r>
            <w:r>
              <w:rPr>
                <w:rFonts w:hint="eastAsia" w:ascii="宋体" w:hAnsi="宋体" w:eastAsia="宋体" w:cs="宋体"/>
                <w:color w:val="auto"/>
                <w:spacing w:val="-60"/>
                <w:highlight w:val="none"/>
              </w:rPr>
              <w:t xml:space="preserve"> </w:t>
            </w:r>
            <w:r>
              <w:rPr>
                <w:rFonts w:hint="eastAsia" w:ascii="宋体" w:hAnsi="宋体" w:eastAsia="宋体" w:cs="宋体"/>
                <w:color w:val="auto"/>
                <w:highlight w:val="none"/>
              </w:rPr>
              <w:t>个工作日内由招</w:t>
            </w:r>
          </w:p>
          <w:p>
            <w:pPr>
              <w:pStyle w:val="24"/>
              <w:kinsoku w:val="0"/>
              <w:overflowPunct w:val="0"/>
              <w:spacing w:before="16"/>
              <w:ind w:left="102"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标代理机构退还。</w:t>
            </w:r>
          </w:p>
          <w:p>
            <w:pPr>
              <w:pStyle w:val="24"/>
              <w:kinsoku w:val="0"/>
              <w:overflowPunct w:val="0"/>
              <w:spacing w:before="16"/>
              <w:ind w:left="582"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中标供应商的投标保证金，在签订合同后</w:t>
            </w:r>
            <w:r>
              <w:rPr>
                <w:rFonts w:hint="eastAsia" w:ascii="宋体" w:hAnsi="宋体" w:eastAsia="宋体" w:cs="宋体"/>
                <w:color w:val="auto"/>
                <w:spacing w:val="-60"/>
                <w:highlight w:val="none"/>
              </w:rPr>
              <w:t xml:space="preserve"> </w:t>
            </w:r>
            <w:r>
              <w:rPr>
                <w:rFonts w:hint="eastAsia" w:ascii="宋体" w:hAnsi="宋体" w:eastAsia="宋体" w:cs="宋体"/>
                <w:color w:val="auto"/>
                <w:highlight w:val="none"/>
              </w:rPr>
              <w:t>5</w:t>
            </w:r>
            <w:r>
              <w:rPr>
                <w:rFonts w:hint="eastAsia" w:ascii="宋体" w:hAnsi="宋体" w:eastAsia="宋体" w:cs="宋体"/>
                <w:color w:val="auto"/>
                <w:spacing w:val="-60"/>
                <w:highlight w:val="none"/>
              </w:rPr>
              <w:t xml:space="preserve"> </w:t>
            </w:r>
            <w:r>
              <w:rPr>
                <w:rFonts w:hint="eastAsia" w:ascii="宋体" w:hAnsi="宋体" w:eastAsia="宋体" w:cs="宋体"/>
                <w:color w:val="auto"/>
                <w:highlight w:val="none"/>
              </w:rPr>
              <w:t>个工作日内由招标代理机构</w:t>
            </w:r>
          </w:p>
          <w:p>
            <w:pPr>
              <w:pStyle w:val="24"/>
              <w:kinsoku w:val="0"/>
              <w:overflowPunct w:val="0"/>
              <w:spacing w:before="16"/>
              <w:ind w:left="102"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退还。</w:t>
            </w:r>
          </w:p>
          <w:p>
            <w:pPr>
              <w:pStyle w:val="24"/>
              <w:kinsoku w:val="0"/>
              <w:overflowPunct w:val="0"/>
              <w:spacing w:before="16"/>
              <w:ind w:left="582"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如供应商有下列情形之一的，投标保证金不予退还</w:t>
            </w:r>
            <w:r>
              <w:rPr>
                <w:rFonts w:hint="eastAsia" w:ascii="宋体" w:hAnsi="宋体" w:eastAsia="宋体" w:cs="宋体"/>
                <w:color w:val="auto"/>
                <w:highlight w:val="none"/>
              </w:rPr>
              <w:t>：</w:t>
            </w:r>
          </w:p>
          <w:p>
            <w:pPr>
              <w:pStyle w:val="24"/>
              <w:kinsoku w:val="0"/>
              <w:overflowPunct w:val="0"/>
              <w:spacing w:before="16"/>
              <w:ind w:left="582"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(1)供应商未按规定的时间、地点参加投标或者开标后投标方撤标的；</w:t>
            </w:r>
          </w:p>
          <w:p>
            <w:pPr>
              <w:pStyle w:val="24"/>
              <w:kinsoku w:val="0"/>
              <w:overflowPunct w:val="0"/>
              <w:spacing w:before="16"/>
              <w:ind w:left="582"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(2)中标人在规定期限内未能按规定签订合同的；</w:t>
            </w:r>
          </w:p>
          <w:p>
            <w:pPr>
              <w:pStyle w:val="24"/>
              <w:kinsoku w:val="0"/>
              <w:overflowPunct w:val="0"/>
              <w:spacing w:before="16"/>
              <w:ind w:left="582"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(3)供应商在磋商响应性文件中提供虚假资质或证明材料</w:t>
            </w:r>
            <w:r>
              <w:rPr>
                <w:rFonts w:hint="eastAsia" w:ascii="宋体" w:hAnsi="宋体" w:eastAsia="宋体" w:cs="宋体"/>
                <w:color w:val="auto"/>
                <w:spacing w:val="-94"/>
                <w:highlight w:val="none"/>
              </w:rPr>
              <w:t>，</w:t>
            </w:r>
            <w:r>
              <w:rPr>
                <w:rFonts w:hint="eastAsia" w:ascii="宋体" w:hAnsi="宋体" w:eastAsia="宋体" w:cs="宋体"/>
                <w:color w:val="auto"/>
                <w:highlight w:val="none"/>
              </w:rPr>
              <w:t>进行无效投标</w:t>
            </w:r>
          </w:p>
          <w:p>
            <w:pPr>
              <w:pStyle w:val="24"/>
              <w:kinsoku w:val="0"/>
              <w:overflowPunct w:val="0"/>
              <w:spacing w:before="16"/>
              <w:ind w:left="102"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的；</w:t>
            </w:r>
          </w:p>
          <w:p>
            <w:pPr>
              <w:pStyle w:val="24"/>
              <w:kinsoku w:val="0"/>
              <w:overflowPunct w:val="0"/>
              <w:spacing w:before="57"/>
              <w:ind w:left="102"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(4)有证据证明供应商参与了串标、商业贿赂等违法、违规行为的；</w:t>
            </w:r>
          </w:p>
          <w:p>
            <w:pPr>
              <w:pStyle w:val="24"/>
              <w:kinsoku w:val="0"/>
              <w:overflowPunct w:val="0"/>
              <w:spacing w:before="23"/>
              <w:ind w:left="582"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spacing w:val="4"/>
                <w:kern w:val="2"/>
                <w:sz w:val="21"/>
                <w:szCs w:val="22"/>
                <w:highlight w:val="none"/>
              </w:rPr>
              <w:t xml:space="preserve"> </w:t>
            </w:r>
            <w:r>
              <w:rPr>
                <w:rFonts w:hint="eastAsia" w:ascii="宋体" w:hAnsi="宋体" w:eastAsia="宋体" w:cs="宋体"/>
                <w:color w:val="auto"/>
                <w:highlight w:val="none"/>
              </w:rPr>
              <w:t>缴纳投标保证金的供应商无正当理由不参加投标，且开标前</w:t>
            </w:r>
            <w:r>
              <w:rPr>
                <w:rFonts w:hint="eastAsia" w:ascii="宋体" w:hAnsi="宋体" w:eastAsia="宋体" w:cs="宋体"/>
                <w:color w:val="auto"/>
                <w:spacing w:val="-60"/>
                <w:highlight w:val="none"/>
              </w:rPr>
              <w:t xml:space="preserve"> </w:t>
            </w:r>
            <w:r>
              <w:rPr>
                <w:rFonts w:hint="eastAsia" w:ascii="宋体" w:hAnsi="宋体" w:eastAsia="宋体" w:cs="宋体"/>
                <w:color w:val="auto"/>
                <w:highlight w:val="none"/>
              </w:rPr>
              <w:t>24</w:t>
            </w:r>
            <w:r>
              <w:rPr>
                <w:rFonts w:hint="eastAsia" w:ascii="宋体" w:hAnsi="宋体" w:eastAsia="宋体" w:cs="宋体"/>
                <w:color w:val="auto"/>
                <w:spacing w:val="-60"/>
                <w:highlight w:val="none"/>
              </w:rPr>
              <w:t xml:space="preserve"> </w:t>
            </w:r>
            <w:r>
              <w:rPr>
                <w:rFonts w:hint="eastAsia" w:ascii="宋体" w:hAnsi="宋体" w:eastAsia="宋体" w:cs="宋体"/>
                <w:color w:val="auto"/>
                <w:highlight w:val="none"/>
              </w:rPr>
              <w:t>小时</w:t>
            </w:r>
          </w:p>
          <w:p>
            <w:pPr>
              <w:pStyle w:val="24"/>
              <w:kinsoku w:val="0"/>
              <w:overflowPunct w:val="0"/>
              <w:spacing w:before="16"/>
              <w:ind w:left="102"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之前未书面通知招标机构的；</w:t>
            </w:r>
          </w:p>
          <w:p>
            <w:pPr>
              <w:pStyle w:val="24"/>
              <w:kinsoku w:val="0"/>
              <w:overflowPunct w:val="0"/>
              <w:spacing w:before="16"/>
              <w:ind w:left="582"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(6)供应商被通知中标后</w:t>
            </w:r>
            <w:r>
              <w:rPr>
                <w:rFonts w:hint="eastAsia" w:ascii="宋体" w:hAnsi="宋体" w:eastAsia="宋体" w:cs="宋体"/>
                <w:color w:val="auto"/>
                <w:spacing w:val="-94"/>
                <w:highlight w:val="none"/>
              </w:rPr>
              <w:t>，</w:t>
            </w:r>
            <w:r>
              <w:rPr>
                <w:rFonts w:hint="eastAsia" w:ascii="宋体" w:hAnsi="宋体" w:eastAsia="宋体" w:cs="宋体"/>
                <w:color w:val="auto"/>
                <w:highlight w:val="none"/>
              </w:rPr>
              <w:t>不按规定的时间或拒绝按中标状态签订合同的</w:t>
            </w:r>
          </w:p>
          <w:p>
            <w:pPr>
              <w:pStyle w:val="24"/>
              <w:kinsoku w:val="0"/>
              <w:overflowPunct w:val="0"/>
              <w:spacing w:before="16"/>
              <w:ind w:left="102"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（即不按中标时规定的技术要求，投标报价，保修服务等签订合同）；</w:t>
            </w:r>
          </w:p>
          <w:p>
            <w:pPr>
              <w:pStyle w:val="24"/>
              <w:kinsoku w:val="0"/>
              <w:overflowPunct w:val="0"/>
              <w:spacing w:before="57"/>
              <w:ind w:left="102" w:firstLine="480" w:firstLineChars="200"/>
              <w:rPr>
                <w:rFonts w:hint="eastAsia" w:ascii="宋体" w:hAnsi="宋体" w:eastAsia="宋体" w:cs="宋体"/>
                <w:b/>
                <w:bCs/>
                <w:color w:val="auto"/>
                <w:highlight w:val="none"/>
              </w:rPr>
            </w:pPr>
            <w:r>
              <w:rPr>
                <w:rFonts w:hint="eastAsia" w:ascii="宋体" w:hAnsi="宋体" w:eastAsia="宋体" w:cs="宋体"/>
                <w:color w:val="auto"/>
                <w:highlight w:val="none"/>
              </w:rPr>
              <w:t>(7)《竞争性磋商文件》规定的其它情形。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4"/>
              <w:kinsoku w:val="0"/>
              <w:overflowPunct w:val="0"/>
              <w:spacing w:before="73"/>
              <w:jc w:val="center"/>
              <w:rPr>
                <w:rFonts w:hint="eastAsia" w:ascii="宋体" w:hAnsi="宋体" w:eastAsia="宋体" w:cs="宋体"/>
                <w:color w:val="auto"/>
                <w:highlight w:val="none"/>
              </w:rPr>
            </w:pPr>
            <w:r>
              <w:rPr>
                <w:rFonts w:hint="eastAsia" w:ascii="宋体" w:hAnsi="宋体" w:eastAsia="宋体" w:cs="宋体"/>
                <w:color w:val="auto"/>
                <w:highlight w:val="none"/>
              </w:rPr>
              <w:t>22</w:t>
            </w:r>
          </w:p>
        </w:tc>
        <w:tc>
          <w:tcPr>
            <w:tcW w:w="8475" w:type="dxa"/>
            <w:noWrap w:val="0"/>
            <w:vAlign w:val="top"/>
          </w:tcPr>
          <w:p>
            <w:pPr>
              <w:pStyle w:val="24"/>
              <w:kinsoku w:val="0"/>
              <w:overflowPunct w:val="0"/>
              <w:spacing w:before="56"/>
              <w:ind w:left="102"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《磋商响应性文件》递交份数、时间及地点：</w:t>
            </w:r>
          </w:p>
          <w:p>
            <w:pPr>
              <w:pStyle w:val="24"/>
              <w:kinsoku w:val="0"/>
              <w:overflowPunct w:val="0"/>
              <w:spacing w:before="16"/>
              <w:ind w:left="582" w:right="-34" w:firstLine="462" w:firstLineChars="200"/>
              <w:rPr>
                <w:rFonts w:hint="eastAsia" w:ascii="宋体" w:hAnsi="宋体" w:eastAsia="宋体" w:cs="宋体"/>
                <w:color w:val="auto"/>
                <w:highlight w:val="none"/>
              </w:rPr>
            </w:pPr>
            <w:r>
              <w:rPr>
                <w:rFonts w:hint="eastAsia" w:ascii="宋体" w:hAnsi="宋体" w:eastAsia="宋体" w:cs="宋体"/>
                <w:b/>
                <w:bCs/>
                <w:color w:val="auto"/>
                <w:spacing w:val="-5"/>
                <w:highlight w:val="none"/>
              </w:rPr>
              <w:t>1、份数：</w:t>
            </w:r>
            <w:r>
              <w:rPr>
                <w:rFonts w:hint="eastAsia" w:ascii="宋体" w:hAnsi="宋体" w:eastAsia="宋体" w:cs="宋体"/>
                <w:color w:val="auto"/>
                <w:spacing w:val="-4"/>
                <w:highlight w:val="none"/>
              </w:rPr>
              <w:t>正本</w:t>
            </w:r>
            <w:r>
              <w:rPr>
                <w:rFonts w:hint="eastAsia" w:ascii="宋体" w:hAnsi="宋体" w:eastAsia="宋体" w:cs="宋体"/>
                <w:color w:val="auto"/>
                <w:highlight w:val="none"/>
              </w:rPr>
              <w:t xml:space="preserve"> 1 份,副本</w:t>
            </w:r>
            <w:r>
              <w:rPr>
                <w:rFonts w:hint="eastAsia" w:ascii="宋体" w:hAnsi="宋体" w:cs="宋体"/>
                <w:color w:val="auto"/>
                <w:highlight w:val="none"/>
                <w:lang w:val="en-US" w:eastAsia="zh-CN"/>
              </w:rPr>
              <w:t>4</w:t>
            </w:r>
            <w:r>
              <w:rPr>
                <w:rFonts w:hint="eastAsia" w:ascii="宋体" w:hAnsi="宋体" w:eastAsia="宋体" w:cs="宋体"/>
                <w:color w:val="auto"/>
                <w:highlight w:val="none"/>
              </w:rPr>
              <w:t xml:space="preserve"> 份，电子版 </w:t>
            </w:r>
            <w:r>
              <w:rPr>
                <w:rFonts w:hint="eastAsia" w:ascii="宋体" w:hAnsi="宋体" w:cs="宋体"/>
                <w:color w:val="auto"/>
                <w:highlight w:val="none"/>
                <w:lang w:val="en-US" w:eastAsia="zh-CN"/>
              </w:rPr>
              <w:t>2</w:t>
            </w:r>
            <w:r>
              <w:rPr>
                <w:rFonts w:hint="eastAsia" w:ascii="宋体" w:hAnsi="宋体" w:eastAsia="宋体" w:cs="宋体"/>
                <w:color w:val="auto"/>
                <w:highlight w:val="none"/>
              </w:rPr>
              <w:t xml:space="preserve"> 份</w:t>
            </w:r>
            <w:r>
              <w:rPr>
                <w:rFonts w:hint="eastAsia" w:ascii="宋体" w:hAnsi="宋体" w:eastAsia="宋体" w:cs="宋体"/>
                <w:color w:val="auto"/>
                <w:spacing w:val="-6"/>
                <w:highlight w:val="none"/>
              </w:rPr>
              <w:t>（U</w:t>
            </w:r>
            <w:r>
              <w:rPr>
                <w:rFonts w:hint="eastAsia" w:ascii="宋体" w:hAnsi="宋体" w:eastAsia="宋体" w:cs="宋体"/>
                <w:color w:val="auto"/>
                <w:spacing w:val="-61"/>
                <w:highlight w:val="none"/>
              </w:rPr>
              <w:t xml:space="preserve"> </w:t>
            </w:r>
            <w:r>
              <w:rPr>
                <w:rFonts w:hint="eastAsia" w:ascii="宋体" w:hAnsi="宋体" w:eastAsia="宋体" w:cs="宋体"/>
                <w:color w:val="auto"/>
                <w:spacing w:val="-3"/>
                <w:highlight w:val="none"/>
              </w:rPr>
              <w:t>盘，含所有签章的正本扫描件、格式：PDF、一份），</w:t>
            </w:r>
            <w:r>
              <w:rPr>
                <w:rFonts w:hint="eastAsia" w:ascii="宋体" w:hAnsi="宋体" w:cs="宋体"/>
                <w:color w:val="auto"/>
                <w:spacing w:val="-3"/>
                <w:highlight w:val="none"/>
                <w:lang w:val="en-US" w:eastAsia="zh-CN"/>
              </w:rPr>
              <w:t>报价一览表1份，</w:t>
            </w:r>
            <w:r>
              <w:rPr>
                <w:rFonts w:hint="eastAsia" w:ascii="宋体" w:hAnsi="宋体" w:eastAsia="宋体" w:cs="宋体"/>
                <w:color w:val="auto"/>
                <w:highlight w:val="none"/>
              </w:rPr>
              <w:t>所有文件递交不退。</w:t>
            </w:r>
          </w:p>
          <w:p>
            <w:pPr>
              <w:pStyle w:val="24"/>
              <w:kinsoku w:val="0"/>
              <w:overflowPunct w:val="0"/>
              <w:spacing w:before="16"/>
              <w:ind w:left="582" w:firstLine="490" w:firstLineChars="200"/>
              <w:rPr>
                <w:rFonts w:hint="eastAsia" w:ascii="宋体" w:hAnsi="宋体" w:eastAsia="宋体" w:cs="宋体"/>
                <w:color w:val="auto"/>
                <w:highlight w:val="none"/>
              </w:rPr>
            </w:pPr>
            <w:r>
              <w:rPr>
                <w:rFonts w:hint="eastAsia" w:ascii="宋体" w:hAnsi="宋体" w:eastAsia="宋体" w:cs="宋体"/>
                <w:b/>
                <w:bCs/>
                <w:color w:val="auto"/>
                <w:spacing w:val="2"/>
                <w:highlight w:val="none"/>
              </w:rPr>
              <w:t>特</w:t>
            </w:r>
            <w:r>
              <w:rPr>
                <w:rFonts w:hint="eastAsia" w:ascii="宋体" w:hAnsi="宋体" w:eastAsia="宋体" w:cs="宋体"/>
                <w:b/>
                <w:bCs/>
                <w:color w:val="auto"/>
                <w:highlight w:val="none"/>
              </w:rPr>
              <w:t>别</w:t>
            </w:r>
            <w:r>
              <w:rPr>
                <w:rFonts w:hint="eastAsia" w:ascii="宋体" w:hAnsi="宋体" w:eastAsia="宋体" w:cs="宋体"/>
                <w:b/>
                <w:bCs/>
                <w:color w:val="auto"/>
                <w:spacing w:val="2"/>
                <w:highlight w:val="none"/>
              </w:rPr>
              <w:t>提示</w:t>
            </w:r>
            <w:r>
              <w:rPr>
                <w:rFonts w:hint="eastAsia" w:ascii="宋体" w:hAnsi="宋体" w:eastAsia="宋体" w:cs="宋体"/>
                <w:b/>
                <w:bCs/>
                <w:color w:val="auto"/>
                <w:spacing w:val="-30"/>
                <w:highlight w:val="none"/>
              </w:rPr>
              <w:t>：</w:t>
            </w:r>
            <w:r>
              <w:rPr>
                <w:rFonts w:hint="eastAsia" w:ascii="宋体" w:hAnsi="宋体" w:eastAsia="宋体" w:cs="宋体"/>
                <w:b/>
                <w:bCs/>
                <w:color w:val="auto"/>
                <w:spacing w:val="2"/>
                <w:highlight w:val="none"/>
              </w:rPr>
              <w:t>电</w:t>
            </w:r>
            <w:r>
              <w:rPr>
                <w:rFonts w:hint="eastAsia" w:ascii="宋体" w:hAnsi="宋体" w:eastAsia="宋体" w:cs="宋体"/>
                <w:b/>
                <w:bCs/>
                <w:color w:val="auto"/>
                <w:highlight w:val="none"/>
              </w:rPr>
              <w:t>子</w:t>
            </w:r>
            <w:r>
              <w:rPr>
                <w:rFonts w:hint="eastAsia" w:ascii="宋体" w:hAnsi="宋体" w:eastAsia="宋体" w:cs="宋体"/>
                <w:b/>
                <w:bCs/>
                <w:color w:val="auto"/>
                <w:spacing w:val="-28"/>
                <w:highlight w:val="none"/>
              </w:rPr>
              <w:t>版</w:t>
            </w:r>
            <w:r>
              <w:rPr>
                <w:rFonts w:hint="eastAsia" w:ascii="宋体" w:hAnsi="宋体" w:eastAsia="宋体" w:cs="宋体"/>
                <w:b/>
                <w:bCs/>
                <w:color w:val="auto"/>
                <w:highlight w:val="none"/>
              </w:rPr>
              <w:t>《</w:t>
            </w:r>
            <w:r>
              <w:rPr>
                <w:rFonts w:hint="eastAsia" w:ascii="宋体" w:hAnsi="宋体" w:eastAsia="宋体" w:cs="宋体"/>
                <w:b/>
                <w:bCs/>
                <w:color w:val="auto"/>
                <w:spacing w:val="2"/>
                <w:highlight w:val="none"/>
              </w:rPr>
              <w:t>磋</w:t>
            </w:r>
            <w:r>
              <w:rPr>
                <w:rFonts w:hint="eastAsia" w:ascii="宋体" w:hAnsi="宋体" w:eastAsia="宋体" w:cs="宋体"/>
                <w:b/>
                <w:bCs/>
                <w:color w:val="auto"/>
                <w:highlight w:val="none"/>
              </w:rPr>
              <w:t>商</w:t>
            </w:r>
            <w:r>
              <w:rPr>
                <w:rFonts w:hint="eastAsia" w:ascii="宋体" w:hAnsi="宋体" w:eastAsia="宋体" w:cs="宋体"/>
                <w:b/>
                <w:bCs/>
                <w:color w:val="auto"/>
                <w:spacing w:val="2"/>
                <w:highlight w:val="none"/>
              </w:rPr>
              <w:t>响应性</w:t>
            </w:r>
            <w:r>
              <w:rPr>
                <w:rFonts w:hint="eastAsia" w:ascii="宋体" w:hAnsi="宋体" w:eastAsia="宋体" w:cs="宋体"/>
                <w:b/>
                <w:bCs/>
                <w:color w:val="auto"/>
                <w:highlight w:val="none"/>
              </w:rPr>
              <w:t>文</w:t>
            </w:r>
            <w:r>
              <w:rPr>
                <w:rFonts w:hint="eastAsia" w:ascii="宋体" w:hAnsi="宋体" w:eastAsia="宋体" w:cs="宋体"/>
                <w:b/>
                <w:bCs/>
                <w:color w:val="auto"/>
                <w:spacing w:val="2"/>
                <w:highlight w:val="none"/>
              </w:rPr>
              <w:t>件</w:t>
            </w:r>
            <w:r>
              <w:rPr>
                <w:rFonts w:hint="eastAsia" w:ascii="宋体" w:hAnsi="宋体" w:eastAsia="宋体" w:cs="宋体"/>
                <w:b/>
                <w:bCs/>
                <w:color w:val="auto"/>
                <w:spacing w:val="-30"/>
                <w:highlight w:val="none"/>
              </w:rPr>
              <w:t>》</w:t>
            </w:r>
            <w:r>
              <w:rPr>
                <w:rFonts w:hint="eastAsia" w:ascii="宋体" w:hAnsi="宋体" w:eastAsia="宋体" w:cs="宋体"/>
                <w:b/>
                <w:bCs/>
                <w:color w:val="auto"/>
                <w:spacing w:val="2"/>
                <w:highlight w:val="none"/>
              </w:rPr>
              <w:t>必</w:t>
            </w:r>
            <w:r>
              <w:rPr>
                <w:rFonts w:hint="eastAsia" w:ascii="宋体" w:hAnsi="宋体" w:eastAsia="宋体" w:cs="宋体"/>
                <w:b/>
                <w:bCs/>
                <w:color w:val="auto"/>
                <w:highlight w:val="none"/>
              </w:rPr>
              <w:t>须</w:t>
            </w:r>
            <w:r>
              <w:rPr>
                <w:rFonts w:hint="eastAsia" w:ascii="宋体" w:hAnsi="宋体" w:eastAsia="宋体" w:cs="宋体"/>
                <w:b/>
                <w:bCs/>
                <w:color w:val="auto"/>
                <w:spacing w:val="2"/>
                <w:highlight w:val="none"/>
              </w:rPr>
              <w:t>与纸质</w:t>
            </w:r>
            <w:r>
              <w:rPr>
                <w:rFonts w:hint="eastAsia" w:ascii="宋体" w:hAnsi="宋体" w:eastAsia="宋体" w:cs="宋体"/>
                <w:b/>
                <w:bCs/>
                <w:color w:val="auto"/>
                <w:spacing w:val="-30"/>
                <w:highlight w:val="none"/>
              </w:rPr>
              <w:t>版</w:t>
            </w:r>
            <w:r>
              <w:rPr>
                <w:rFonts w:hint="eastAsia" w:ascii="宋体" w:hAnsi="宋体" w:eastAsia="宋体" w:cs="宋体"/>
                <w:b/>
                <w:bCs/>
                <w:color w:val="auto"/>
                <w:spacing w:val="2"/>
                <w:highlight w:val="none"/>
              </w:rPr>
              <w:t>《磋</w:t>
            </w:r>
            <w:r>
              <w:rPr>
                <w:rFonts w:hint="eastAsia" w:ascii="宋体" w:hAnsi="宋体" w:eastAsia="宋体" w:cs="宋体"/>
                <w:b/>
                <w:bCs/>
                <w:color w:val="auto"/>
                <w:highlight w:val="none"/>
              </w:rPr>
              <w:t>商</w:t>
            </w:r>
            <w:r>
              <w:rPr>
                <w:rFonts w:hint="eastAsia" w:ascii="宋体" w:hAnsi="宋体" w:eastAsia="宋体" w:cs="宋体"/>
                <w:b/>
                <w:bCs/>
                <w:color w:val="auto"/>
                <w:spacing w:val="2"/>
                <w:highlight w:val="none"/>
              </w:rPr>
              <w:t>响应性</w:t>
            </w:r>
            <w:r>
              <w:rPr>
                <w:rFonts w:hint="eastAsia" w:ascii="宋体" w:hAnsi="宋体" w:eastAsia="宋体" w:cs="宋体"/>
                <w:b/>
                <w:bCs/>
                <w:color w:val="auto"/>
                <w:highlight w:val="none"/>
              </w:rPr>
              <w:t>文件》</w:t>
            </w:r>
          </w:p>
          <w:p>
            <w:pPr>
              <w:pStyle w:val="24"/>
              <w:kinsoku w:val="0"/>
              <w:overflowPunct w:val="0"/>
              <w:spacing w:before="16"/>
              <w:ind w:left="102"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完全一致。</w:t>
            </w:r>
          </w:p>
          <w:p>
            <w:pPr>
              <w:pStyle w:val="24"/>
              <w:kinsoku w:val="0"/>
              <w:overflowPunct w:val="0"/>
              <w:spacing w:before="16"/>
              <w:ind w:left="582"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2、递交截止时间：</w:t>
            </w:r>
            <w:r>
              <w:rPr>
                <w:rFonts w:hint="eastAsia" w:ascii="宋体" w:hAnsi="宋体" w:eastAsia="宋体" w:cs="宋体"/>
                <w:color w:val="auto"/>
                <w:highlight w:val="none"/>
              </w:rPr>
              <w:t>20</w:t>
            </w:r>
            <w:r>
              <w:rPr>
                <w:rFonts w:hint="eastAsia" w:ascii="宋体" w:hAnsi="宋体" w:cs="宋体"/>
                <w:color w:val="auto"/>
                <w:highlight w:val="none"/>
                <w:lang w:val="en-US" w:eastAsia="zh-CN"/>
              </w:rPr>
              <w:t>21</w:t>
            </w:r>
            <w:r>
              <w:rPr>
                <w:rFonts w:hint="eastAsia" w:ascii="宋体" w:hAnsi="宋体" w:eastAsia="宋体" w:cs="宋体"/>
                <w:color w:val="auto"/>
                <w:highlight w:val="none"/>
              </w:rPr>
              <w:t>年</w:t>
            </w:r>
            <w:r>
              <w:rPr>
                <w:rFonts w:hint="eastAsia" w:ascii="宋体" w:hAnsi="宋体" w:cs="宋体"/>
                <w:color w:val="auto"/>
                <w:highlight w:val="none"/>
                <w:lang w:val="en-US" w:eastAsia="zh-CN"/>
              </w:rPr>
              <w:t>11</w:t>
            </w:r>
            <w:r>
              <w:rPr>
                <w:rFonts w:hint="eastAsia" w:ascii="宋体" w:hAnsi="宋体" w:eastAsia="宋体" w:cs="宋体"/>
                <w:color w:val="auto"/>
                <w:highlight w:val="none"/>
              </w:rPr>
              <w:t>月</w:t>
            </w:r>
            <w:r>
              <w:rPr>
                <w:rFonts w:hint="eastAsia" w:ascii="宋体" w:hAnsi="宋体" w:cs="宋体"/>
                <w:color w:val="auto"/>
                <w:highlight w:val="none"/>
                <w:lang w:val="en-US" w:eastAsia="zh-CN"/>
              </w:rPr>
              <w:t>25</w:t>
            </w:r>
            <w:r>
              <w:rPr>
                <w:rFonts w:hint="eastAsia" w:ascii="宋体" w:hAnsi="宋体" w:eastAsia="宋体" w:cs="宋体"/>
                <w:color w:val="auto"/>
                <w:highlight w:val="none"/>
              </w:rPr>
              <w:t>日</w:t>
            </w:r>
            <w:r>
              <w:rPr>
                <w:rFonts w:hint="eastAsia" w:ascii="宋体" w:hAnsi="宋体" w:cs="宋体"/>
                <w:color w:val="auto"/>
                <w:highlight w:val="none"/>
                <w:lang w:val="en-US" w:eastAsia="zh-CN"/>
              </w:rPr>
              <w:t>11</w:t>
            </w:r>
            <w:r>
              <w:rPr>
                <w:rFonts w:hint="eastAsia" w:ascii="宋体" w:hAnsi="宋体" w:eastAsia="宋体" w:cs="宋体"/>
                <w:color w:val="auto"/>
                <w:highlight w:val="none"/>
              </w:rPr>
              <w:t>:</w:t>
            </w:r>
            <w:r>
              <w:rPr>
                <w:rFonts w:hint="eastAsia" w:ascii="宋体" w:hAnsi="宋体" w:cs="宋体"/>
                <w:color w:val="auto"/>
                <w:highlight w:val="none"/>
                <w:lang w:val="en-US" w:eastAsia="zh-CN"/>
              </w:rPr>
              <w:t>0</w:t>
            </w:r>
            <w:r>
              <w:rPr>
                <w:rFonts w:hint="eastAsia" w:ascii="宋体" w:hAnsi="宋体" w:eastAsia="宋体" w:cs="宋体"/>
                <w:color w:val="auto"/>
                <w:highlight w:val="none"/>
              </w:rPr>
              <w:t xml:space="preserve">0 </w:t>
            </w:r>
            <w:r>
              <w:rPr>
                <w:rFonts w:hint="eastAsia" w:ascii="宋体" w:hAnsi="宋体" w:cs="宋体"/>
                <w:color w:val="auto"/>
                <w:highlight w:val="none"/>
                <w:lang w:eastAsia="zh-CN"/>
              </w:rPr>
              <w:t>分</w:t>
            </w:r>
            <w:r>
              <w:rPr>
                <w:rFonts w:hint="eastAsia" w:ascii="宋体" w:hAnsi="宋体" w:eastAsia="宋体" w:cs="宋体"/>
                <w:color w:val="auto"/>
                <w:highlight w:val="none"/>
              </w:rPr>
              <w:t>（北京时间）</w:t>
            </w:r>
          </w:p>
          <w:p>
            <w:pPr>
              <w:pStyle w:val="24"/>
              <w:kinsoku w:val="0"/>
              <w:overflowPunct w:val="0"/>
              <w:spacing w:before="16"/>
              <w:ind w:left="582"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3、递交地点：</w:t>
            </w:r>
            <w:r>
              <w:rPr>
                <w:rFonts w:hint="eastAsia" w:asciiTheme="minorEastAsia" w:hAnsiTheme="minorEastAsia" w:eastAsiaTheme="minorEastAsia" w:cstheme="minorEastAsia"/>
                <w:color w:val="auto"/>
                <w:sz w:val="24"/>
                <w:szCs w:val="24"/>
                <w:highlight w:val="none"/>
              </w:rPr>
              <w:t>新疆乌鲁木齐市水磨沟区会展大道1119号大成尔雅B座（乌鲁木齐晚报大厦）七楼70</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号房</w:t>
            </w:r>
            <w:r>
              <w:rPr>
                <w:rFonts w:hint="eastAsia" w:ascii="宋体" w:hAnsi="宋体" w:eastAsia="宋体" w:cs="宋体"/>
                <w:b/>
                <w:bCs/>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4"/>
              <w:kinsoku w:val="0"/>
              <w:overflowPunct w:val="0"/>
              <w:spacing w:before="73"/>
              <w:jc w:val="center"/>
              <w:rPr>
                <w:rFonts w:hint="eastAsia" w:ascii="宋体" w:hAnsi="宋体" w:eastAsia="宋体" w:cs="宋体"/>
                <w:color w:val="auto"/>
                <w:highlight w:val="none"/>
              </w:rPr>
            </w:pPr>
            <w:r>
              <w:rPr>
                <w:rFonts w:hint="eastAsia" w:ascii="宋体" w:hAnsi="宋体" w:eastAsia="宋体" w:cs="宋体"/>
                <w:color w:val="auto"/>
                <w:highlight w:val="none"/>
              </w:rPr>
              <w:t>23</w:t>
            </w:r>
          </w:p>
        </w:tc>
        <w:tc>
          <w:tcPr>
            <w:tcW w:w="8475" w:type="dxa"/>
            <w:noWrap w:val="0"/>
            <w:vAlign w:val="top"/>
          </w:tcPr>
          <w:p>
            <w:pPr>
              <w:pStyle w:val="24"/>
              <w:kinsoku w:val="0"/>
              <w:overflowPunct w:val="0"/>
              <w:spacing w:line="277" w:lineRule="exact"/>
              <w:ind w:left="102" w:firstLine="440" w:firstLineChars="200"/>
              <w:rPr>
                <w:rFonts w:hint="eastAsia" w:ascii="宋体" w:hAnsi="宋体" w:eastAsia="宋体" w:cs="宋体"/>
                <w:color w:val="auto"/>
                <w:highlight w:val="none"/>
              </w:rPr>
            </w:pPr>
            <w:r>
              <w:rPr>
                <w:rFonts w:hint="eastAsia" w:ascii="宋体" w:hAnsi="宋体" w:eastAsia="宋体" w:cs="宋体"/>
                <w:color w:val="auto"/>
                <w:sz w:val="22"/>
                <w:szCs w:val="22"/>
                <w:highlight w:val="none"/>
              </w:rPr>
              <w:t>★</w:t>
            </w:r>
            <w:r>
              <w:rPr>
                <w:rFonts w:hint="eastAsia" w:ascii="宋体" w:hAnsi="宋体" w:eastAsia="宋体" w:cs="宋体"/>
                <w:b/>
                <w:bCs/>
                <w:color w:val="auto"/>
                <w:highlight w:val="none"/>
              </w:rPr>
              <w:t>磋商响应性文件的密封和标记</w:t>
            </w:r>
          </w:p>
          <w:p>
            <w:pPr>
              <w:pStyle w:val="24"/>
              <w:kinsoku w:val="0"/>
              <w:overflowPunct w:val="0"/>
              <w:spacing w:before="38"/>
              <w:ind w:left="102" w:right="-43" w:firstLine="472" w:firstLineChars="200"/>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1、磋商响应性文件正本与副本应</w:t>
            </w:r>
            <w:r>
              <w:rPr>
                <w:rFonts w:hint="eastAsia" w:ascii="宋体" w:hAnsi="宋体" w:cs="宋体"/>
                <w:color w:val="auto"/>
                <w:spacing w:val="-2"/>
                <w:highlight w:val="none"/>
                <w:lang w:val="en-US" w:eastAsia="zh-CN"/>
              </w:rPr>
              <w:t>分别</w:t>
            </w:r>
            <w:r>
              <w:rPr>
                <w:rFonts w:hint="eastAsia" w:ascii="宋体" w:hAnsi="宋体" w:eastAsia="宋体" w:cs="宋体"/>
                <w:color w:val="auto"/>
                <w:spacing w:val="-2"/>
                <w:highlight w:val="none"/>
              </w:rPr>
              <w:t>密封，并加贴“密封”字样封条，在封套的封口处应加盖单位公章。供应商未按此要求采用其他包装的，将造成磋商响应性文件被拒收。</w:t>
            </w:r>
          </w:p>
          <w:p>
            <w:pPr>
              <w:pStyle w:val="24"/>
              <w:tabs>
                <w:tab w:val="left" w:pos="5415"/>
                <w:tab w:val="left" w:pos="6023"/>
                <w:tab w:val="left" w:pos="6627"/>
                <w:tab w:val="left" w:pos="7232"/>
                <w:tab w:val="left" w:pos="7839"/>
              </w:tabs>
              <w:kinsoku w:val="0"/>
              <w:overflowPunct w:val="0"/>
              <w:spacing w:before="38"/>
              <w:ind w:left="102" w:firstLine="472" w:firstLineChars="200"/>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2、在封套上注明项目名称、项目编号及“在</w:t>
            </w:r>
            <w:r>
              <w:rPr>
                <w:rFonts w:hint="eastAsia" w:ascii="宋体" w:hAnsi="宋体" w:eastAsia="宋体" w:cs="宋体"/>
                <w:color w:val="auto"/>
                <w:spacing w:val="-2"/>
                <w:highlight w:val="none"/>
              </w:rPr>
              <w:tab/>
            </w:r>
            <w:r>
              <w:rPr>
                <w:rFonts w:hint="eastAsia" w:ascii="宋体" w:hAnsi="宋体" w:eastAsia="宋体" w:cs="宋体"/>
                <w:color w:val="auto"/>
                <w:spacing w:val="-2"/>
                <w:highlight w:val="none"/>
              </w:rPr>
              <w:t>年</w:t>
            </w:r>
            <w:r>
              <w:rPr>
                <w:rFonts w:hint="eastAsia" w:ascii="宋体" w:hAnsi="宋体" w:eastAsia="宋体" w:cs="宋体"/>
                <w:color w:val="auto"/>
                <w:spacing w:val="-2"/>
                <w:highlight w:val="none"/>
              </w:rPr>
              <w:tab/>
            </w:r>
            <w:r>
              <w:rPr>
                <w:rFonts w:hint="eastAsia" w:ascii="宋体" w:hAnsi="宋体" w:eastAsia="宋体" w:cs="宋体"/>
                <w:color w:val="auto"/>
                <w:spacing w:val="-2"/>
                <w:highlight w:val="none"/>
              </w:rPr>
              <w:t>月</w:t>
            </w:r>
            <w:r>
              <w:rPr>
                <w:rFonts w:hint="eastAsia" w:ascii="宋体" w:hAnsi="宋体" w:eastAsia="宋体" w:cs="宋体"/>
                <w:color w:val="auto"/>
                <w:spacing w:val="-2"/>
                <w:highlight w:val="none"/>
              </w:rPr>
              <w:tab/>
            </w:r>
            <w:r>
              <w:rPr>
                <w:rFonts w:hint="eastAsia" w:ascii="宋体" w:hAnsi="宋体" w:eastAsia="宋体" w:cs="宋体"/>
                <w:color w:val="auto"/>
                <w:spacing w:val="-2"/>
                <w:highlight w:val="none"/>
              </w:rPr>
              <w:t>日</w:t>
            </w:r>
            <w:r>
              <w:rPr>
                <w:rFonts w:hint="eastAsia" w:ascii="宋体" w:hAnsi="宋体" w:eastAsia="宋体" w:cs="宋体"/>
                <w:color w:val="auto"/>
                <w:spacing w:val="-2"/>
                <w:highlight w:val="none"/>
              </w:rPr>
              <w:tab/>
            </w:r>
            <w:r>
              <w:rPr>
                <w:rFonts w:hint="eastAsia" w:ascii="宋体" w:hAnsi="宋体" w:eastAsia="宋体" w:cs="宋体"/>
                <w:color w:val="auto"/>
                <w:spacing w:val="-2"/>
                <w:highlight w:val="none"/>
              </w:rPr>
              <w:t>时</w:t>
            </w:r>
            <w:r>
              <w:rPr>
                <w:rFonts w:hint="eastAsia" w:ascii="宋体" w:hAnsi="宋体" w:eastAsia="宋体" w:cs="宋体"/>
                <w:color w:val="auto"/>
                <w:spacing w:val="-2"/>
                <w:highlight w:val="none"/>
              </w:rPr>
              <w:tab/>
            </w:r>
            <w:r>
              <w:rPr>
                <w:rFonts w:hint="eastAsia" w:ascii="宋体" w:hAnsi="宋体" w:eastAsia="宋体" w:cs="宋体"/>
                <w:color w:val="auto"/>
                <w:spacing w:val="-2"/>
                <w:highlight w:val="none"/>
              </w:rPr>
              <w:t>分之前不得启封”字样。</w:t>
            </w:r>
          </w:p>
          <w:p>
            <w:pPr>
              <w:pStyle w:val="24"/>
              <w:kinsoku w:val="0"/>
              <w:overflowPunct w:val="0"/>
              <w:spacing w:before="38"/>
              <w:ind w:left="102" w:firstLine="472" w:firstLineChars="200"/>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3、未按本章第 1 项或 2 项密封和加写标记的磋商响应性文件, 造成磋商响应性文件被拒收的不利后果由供应商自行承担。</w:t>
            </w:r>
          </w:p>
          <w:p>
            <w:pPr>
              <w:pStyle w:val="24"/>
              <w:kinsoku w:val="0"/>
              <w:overflowPunct w:val="0"/>
              <w:spacing w:before="86"/>
              <w:ind w:left="102" w:firstLine="472" w:firstLineChars="200"/>
              <w:rPr>
                <w:rFonts w:hint="eastAsia" w:ascii="宋体" w:hAnsi="宋体" w:eastAsia="宋体" w:cs="宋体"/>
                <w:color w:val="auto"/>
                <w:highlight w:val="none"/>
              </w:rPr>
            </w:pPr>
            <w:r>
              <w:rPr>
                <w:rFonts w:hint="eastAsia" w:ascii="宋体" w:hAnsi="宋体" w:eastAsia="宋体" w:cs="宋体"/>
                <w:color w:val="auto"/>
                <w:spacing w:val="-2"/>
                <w:highlight w:val="none"/>
              </w:rPr>
              <w:t>4、供应商必须将“电子版</w:t>
            </w:r>
            <w:r>
              <w:rPr>
                <w:rFonts w:hint="eastAsia" w:ascii="宋体" w:hAnsi="宋体" w:eastAsia="宋体" w:cs="宋体"/>
                <w:color w:val="auto"/>
                <w:spacing w:val="-60"/>
                <w:highlight w:val="none"/>
              </w:rPr>
              <w:t xml:space="preserve"> </w:t>
            </w:r>
            <w:r>
              <w:rPr>
                <w:rFonts w:hint="eastAsia" w:ascii="宋体" w:hAnsi="宋体" w:eastAsia="宋体" w:cs="宋体"/>
                <w:color w:val="auto"/>
                <w:highlight w:val="none"/>
              </w:rPr>
              <w:t>U</w:t>
            </w:r>
            <w:r>
              <w:rPr>
                <w:rFonts w:hint="eastAsia" w:ascii="宋体" w:hAnsi="宋体" w:eastAsia="宋体" w:cs="宋体"/>
                <w:color w:val="auto"/>
                <w:spacing w:val="-60"/>
                <w:highlight w:val="none"/>
              </w:rPr>
              <w:t xml:space="preserve"> </w:t>
            </w:r>
            <w:r>
              <w:rPr>
                <w:rFonts w:hint="eastAsia" w:ascii="宋体" w:hAnsi="宋体" w:eastAsia="宋体" w:cs="宋体"/>
                <w:color w:val="auto"/>
                <w:spacing w:val="-2"/>
                <w:highlight w:val="none"/>
              </w:rPr>
              <w:t>盘”与“</w:t>
            </w:r>
            <w:r>
              <w:rPr>
                <w:rFonts w:hint="eastAsia" w:ascii="宋体" w:hAnsi="宋体" w:eastAsia="宋体" w:cs="宋体"/>
                <w:color w:val="auto"/>
                <w:spacing w:val="-4"/>
                <w:highlight w:val="none"/>
              </w:rPr>
              <w:t>正本</w:t>
            </w:r>
            <w:r>
              <w:rPr>
                <w:rFonts w:hint="eastAsia" w:ascii="宋体" w:hAnsi="宋体" w:eastAsia="宋体" w:cs="宋体"/>
                <w:color w:val="auto"/>
                <w:spacing w:val="-2"/>
                <w:highlight w:val="none"/>
              </w:rPr>
              <w:t>”</w:t>
            </w:r>
            <w:r>
              <w:rPr>
                <w:rFonts w:hint="eastAsia" w:ascii="宋体" w:hAnsi="宋体" w:cs="宋体"/>
                <w:color w:val="auto"/>
                <w:spacing w:val="-2"/>
                <w:highlight w:val="none"/>
                <w:lang w:eastAsia="zh-CN"/>
              </w:rPr>
              <w:t>共同</w:t>
            </w:r>
            <w:r>
              <w:rPr>
                <w:rFonts w:hint="eastAsia" w:ascii="宋体" w:hAnsi="宋体" w:eastAsia="宋体" w:cs="宋体"/>
                <w:color w:val="auto"/>
                <w:spacing w:val="-2"/>
                <w:highlight w:val="none"/>
              </w:rPr>
              <w:t>密封提交，并在封面上注明</w:t>
            </w:r>
            <w:r>
              <w:rPr>
                <w:rFonts w:hint="eastAsia" w:ascii="宋体" w:hAnsi="宋体" w:eastAsia="宋体" w:cs="宋体"/>
                <w:color w:val="auto"/>
                <w:highlight w:val="none"/>
              </w:rPr>
              <w:t>项目名称</w:t>
            </w:r>
            <w:r>
              <w:rPr>
                <w:rFonts w:hint="eastAsia" w:ascii="宋体" w:hAnsi="宋体" w:eastAsia="宋体" w:cs="宋体"/>
                <w:color w:val="auto"/>
                <w:spacing w:val="-65"/>
                <w:highlight w:val="none"/>
              </w:rPr>
              <w:t>、</w:t>
            </w:r>
            <w:r>
              <w:rPr>
                <w:rFonts w:hint="eastAsia" w:ascii="宋体" w:hAnsi="宋体" w:eastAsia="宋体" w:cs="宋体"/>
                <w:color w:val="auto"/>
                <w:highlight w:val="none"/>
              </w:rPr>
              <w:t>项目编号</w:t>
            </w:r>
            <w:r>
              <w:rPr>
                <w:rFonts w:hint="eastAsia" w:ascii="宋体" w:hAnsi="宋体" w:eastAsia="宋体" w:cs="宋体"/>
                <w:color w:val="auto"/>
                <w:spacing w:val="-65"/>
                <w:highlight w:val="none"/>
              </w:rPr>
              <w:t>、</w:t>
            </w:r>
            <w:r>
              <w:rPr>
                <w:rFonts w:hint="eastAsia" w:ascii="宋体" w:hAnsi="宋体" w:eastAsia="宋体" w:cs="宋体"/>
                <w:color w:val="auto"/>
                <w:highlight w:val="none"/>
              </w:rPr>
              <w:t>投标单位名</w:t>
            </w:r>
            <w:r>
              <w:rPr>
                <w:rFonts w:hint="eastAsia" w:ascii="宋体" w:hAnsi="宋体" w:eastAsia="宋体" w:cs="宋体"/>
                <w:color w:val="auto"/>
                <w:spacing w:val="-63"/>
                <w:highlight w:val="none"/>
              </w:rPr>
              <w:t>称</w:t>
            </w:r>
            <w:r>
              <w:rPr>
                <w:rFonts w:hint="eastAsia" w:ascii="宋体" w:hAnsi="宋体" w:eastAsia="宋体" w:cs="宋体"/>
                <w:color w:val="auto"/>
                <w:highlight w:val="none"/>
              </w:rPr>
              <w:t>（并加盖公章</w:t>
            </w:r>
            <w:r>
              <w:rPr>
                <w:rFonts w:hint="eastAsia" w:ascii="宋体" w:hAnsi="宋体" w:eastAsia="宋体" w:cs="宋体"/>
                <w:color w:val="auto"/>
                <w:spacing w:val="-65"/>
                <w:highlight w:val="none"/>
              </w:rPr>
              <w:t>）</w:t>
            </w:r>
            <w:r>
              <w:rPr>
                <w:rFonts w:hint="eastAsia" w:ascii="宋体" w:hAnsi="宋体" w:eastAsia="宋体" w:cs="宋体"/>
                <w:color w:val="auto"/>
                <w:spacing w:val="-63"/>
                <w:highlight w:val="none"/>
              </w:rPr>
              <w:t>及</w:t>
            </w:r>
            <w:r>
              <w:rPr>
                <w:rFonts w:hint="eastAsia" w:ascii="宋体" w:hAnsi="宋体" w:eastAsia="宋体" w:cs="宋体"/>
                <w:color w:val="auto"/>
                <w:spacing w:val="-8"/>
                <w:highlight w:val="none"/>
              </w:rPr>
              <w:t>“</w:t>
            </w:r>
            <w:r>
              <w:rPr>
                <w:rFonts w:hint="eastAsia" w:ascii="宋体" w:hAnsi="宋体" w:eastAsia="宋体" w:cs="宋体"/>
                <w:color w:val="auto"/>
                <w:spacing w:val="-1"/>
                <w:highlight w:val="none"/>
              </w:rPr>
              <w:t>在</w:t>
            </w:r>
            <w:r>
              <w:rPr>
                <w:rFonts w:hint="eastAsia" w:ascii="宋体" w:hAnsi="宋体" w:eastAsia="宋体" w:cs="宋体"/>
                <w:color w:val="auto"/>
                <w:spacing w:val="-1"/>
                <w:highlight w:val="none"/>
                <w:u w:val="single"/>
              </w:rPr>
              <w:tab/>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spacing w:val="-1"/>
                <w:w w:val="95"/>
                <w:highlight w:val="none"/>
              </w:rPr>
              <w:t>年</w:t>
            </w:r>
            <w:r>
              <w:rPr>
                <w:rFonts w:hint="eastAsia" w:ascii="宋体" w:hAnsi="宋体" w:eastAsia="宋体" w:cs="宋体"/>
                <w:color w:val="auto"/>
                <w:spacing w:val="-1"/>
                <w:w w:val="95"/>
                <w:highlight w:val="none"/>
                <w:u w:val="single"/>
              </w:rPr>
              <w:tab/>
            </w:r>
            <w:r>
              <w:rPr>
                <w:rFonts w:hint="eastAsia" w:ascii="宋体" w:hAnsi="宋体" w:eastAsia="宋体" w:cs="宋体"/>
                <w:color w:val="auto"/>
                <w:spacing w:val="-1"/>
                <w:w w:val="95"/>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1"/>
                <w:highlight w:val="none"/>
              </w:rPr>
              <w:t>日</w:t>
            </w:r>
            <w:r>
              <w:rPr>
                <w:rFonts w:hint="eastAsia" w:ascii="宋体" w:hAnsi="宋体" w:eastAsia="宋体" w:cs="宋体"/>
                <w:color w:val="auto"/>
                <w:spacing w:val="-1"/>
                <w:highlight w:val="none"/>
                <w:u w:val="single"/>
              </w:rPr>
              <w:tab/>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spacing w:val="-1"/>
                <w:highlight w:val="none"/>
              </w:rPr>
              <w:t>时</w:t>
            </w:r>
            <w:r>
              <w:rPr>
                <w:rFonts w:hint="eastAsia" w:ascii="宋体" w:hAnsi="宋体" w:eastAsia="宋体" w:cs="宋体"/>
                <w:color w:val="auto"/>
                <w:spacing w:val="-1"/>
                <w:highlight w:val="none"/>
                <w:u w:val="single"/>
              </w:rPr>
              <w:tab/>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spacing w:val="-1"/>
                <w:highlight w:val="none"/>
              </w:rPr>
              <w:t>分之前不得启封”字样</w:t>
            </w:r>
            <w:r>
              <w:rPr>
                <w:rFonts w:hint="eastAsia" w:ascii="宋体" w:hAnsi="宋体" w:cs="宋体"/>
                <w:color w:val="auto"/>
                <w:spacing w:val="-1"/>
                <w:highlight w:val="none"/>
                <w:lang w:eastAsia="zh-CN"/>
              </w:rPr>
              <w:t>，</w:t>
            </w:r>
            <w:r>
              <w:rPr>
                <w:rFonts w:hint="eastAsia" w:ascii="宋体" w:hAnsi="宋体" w:cs="宋体"/>
                <w:color w:val="auto"/>
                <w:spacing w:val="-3"/>
                <w:highlight w:val="none"/>
                <w:lang w:val="en-US" w:eastAsia="zh-CN"/>
              </w:rPr>
              <w:t>报价</w:t>
            </w:r>
            <w:r>
              <w:rPr>
                <w:rFonts w:hint="eastAsia" w:ascii="宋体" w:hAnsi="宋体" w:cs="宋体"/>
                <w:color w:val="auto"/>
                <w:spacing w:val="-1"/>
                <w:highlight w:val="none"/>
                <w:lang w:val="en-US" w:eastAsia="zh-CN"/>
              </w:rPr>
              <w:t>一览表单独密封</w:t>
            </w:r>
            <w:r>
              <w:rPr>
                <w:rFonts w:hint="eastAsia" w:ascii="宋体" w:hAnsi="宋体" w:eastAsia="宋体" w:cs="宋体"/>
                <w:color w:val="auto"/>
                <w:spacing w:val="-1"/>
                <w:highlight w:val="none"/>
              </w:rPr>
              <w:t>。密封后粘贴密封条。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4"/>
              <w:kinsoku w:val="0"/>
              <w:overflowPunct w:val="0"/>
              <w:spacing w:before="73"/>
              <w:jc w:val="center"/>
              <w:rPr>
                <w:rFonts w:hint="eastAsia" w:ascii="宋体" w:hAnsi="宋体" w:eastAsia="宋体" w:cs="宋体"/>
                <w:color w:val="auto"/>
                <w:highlight w:val="none"/>
              </w:rPr>
            </w:pPr>
            <w:r>
              <w:rPr>
                <w:rFonts w:hint="eastAsia" w:ascii="宋体" w:hAnsi="宋体" w:eastAsia="宋体" w:cs="宋体"/>
                <w:color w:val="auto"/>
                <w:highlight w:val="none"/>
              </w:rPr>
              <w:t>24</w:t>
            </w:r>
          </w:p>
        </w:tc>
        <w:tc>
          <w:tcPr>
            <w:tcW w:w="8475" w:type="dxa"/>
            <w:noWrap w:val="0"/>
            <w:vAlign w:val="top"/>
          </w:tcPr>
          <w:p>
            <w:pPr>
              <w:pStyle w:val="24"/>
              <w:kinsoku w:val="0"/>
              <w:overflowPunct w:val="0"/>
              <w:spacing w:before="56"/>
              <w:ind w:firstLine="482" w:firstLineChars="200"/>
              <w:rPr>
                <w:rFonts w:hint="eastAsia" w:ascii="宋体" w:hAnsi="宋体" w:eastAsia="宋体" w:cs="宋体"/>
                <w:color w:val="auto"/>
                <w:highlight w:val="none"/>
                <w:lang w:eastAsia="zh-CN"/>
              </w:rPr>
            </w:pPr>
            <w:r>
              <w:rPr>
                <w:rFonts w:hint="eastAsia" w:ascii="宋体" w:hAnsi="宋体" w:eastAsia="宋体" w:cs="宋体"/>
                <w:b/>
                <w:bCs/>
                <w:color w:val="auto"/>
                <w:highlight w:val="none"/>
              </w:rPr>
              <w:t>开标时间及地点</w:t>
            </w:r>
            <w:r>
              <w:rPr>
                <w:rFonts w:hint="eastAsia" w:ascii="宋体" w:hAnsi="宋体" w:cs="宋体"/>
                <w:b/>
                <w:bCs/>
                <w:color w:val="auto"/>
                <w:highlight w:val="none"/>
                <w:lang w:eastAsia="zh-CN"/>
              </w:rPr>
              <w:t>：</w:t>
            </w:r>
          </w:p>
          <w:p>
            <w:pPr>
              <w:pStyle w:val="24"/>
              <w:kinsoku w:val="0"/>
              <w:overflowPunct w:val="0"/>
              <w:spacing w:before="38"/>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开标时间：</w:t>
            </w:r>
            <w:r>
              <w:rPr>
                <w:rFonts w:hint="eastAsia" w:ascii="宋体" w:hAnsi="宋体" w:eastAsia="宋体" w:cs="宋体"/>
                <w:color w:val="auto"/>
                <w:highlight w:val="none"/>
              </w:rPr>
              <w:t>同磋商响应性文件递交截止时间</w:t>
            </w:r>
          </w:p>
          <w:p>
            <w:pPr>
              <w:pStyle w:val="24"/>
              <w:kinsoku w:val="0"/>
              <w:overflowPunct w:val="0"/>
              <w:spacing w:before="38"/>
              <w:ind w:firstLine="474" w:firstLineChars="200"/>
              <w:rPr>
                <w:rFonts w:hint="eastAsia" w:ascii="宋体" w:hAnsi="宋体" w:eastAsia="宋体" w:cs="宋体"/>
                <w:color w:val="auto"/>
                <w:sz w:val="22"/>
                <w:szCs w:val="22"/>
                <w:highlight w:val="none"/>
              </w:rPr>
            </w:pPr>
            <w:r>
              <w:rPr>
                <w:rFonts w:hint="eastAsia" w:ascii="宋体" w:hAnsi="宋体" w:eastAsia="宋体" w:cs="宋体"/>
                <w:b/>
                <w:bCs/>
                <w:color w:val="auto"/>
                <w:spacing w:val="-2"/>
                <w:highlight w:val="none"/>
              </w:rPr>
              <w:t>开标地点：</w:t>
            </w:r>
            <w:r>
              <w:rPr>
                <w:rFonts w:hint="eastAsia" w:ascii="宋体" w:hAnsi="宋体" w:eastAsia="宋体" w:cs="宋体"/>
                <w:color w:val="auto"/>
                <w:highlight w:val="none"/>
              </w:rPr>
              <w:t>同磋商响应性文件递交地点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4"/>
              <w:kinsoku w:val="0"/>
              <w:overflowPunct w:val="0"/>
              <w:spacing w:before="73"/>
              <w:jc w:val="center"/>
              <w:rPr>
                <w:rFonts w:hint="eastAsia" w:ascii="宋体" w:hAnsi="宋体" w:eastAsia="宋体" w:cs="宋体"/>
                <w:color w:val="auto"/>
                <w:highlight w:val="none"/>
              </w:rPr>
            </w:pPr>
            <w:r>
              <w:rPr>
                <w:rFonts w:hint="eastAsia" w:ascii="宋体" w:hAnsi="宋体" w:eastAsia="宋体" w:cs="宋体"/>
                <w:color w:val="auto"/>
                <w:highlight w:val="none"/>
              </w:rPr>
              <w:t>25</w:t>
            </w:r>
          </w:p>
        </w:tc>
        <w:tc>
          <w:tcPr>
            <w:tcW w:w="8475" w:type="dxa"/>
            <w:noWrap w:val="0"/>
            <w:vAlign w:val="top"/>
          </w:tcPr>
          <w:p>
            <w:pPr>
              <w:pStyle w:val="24"/>
              <w:kinsoku w:val="0"/>
              <w:overflowPunct w:val="0"/>
              <w:spacing w:before="56"/>
              <w:ind w:left="102"/>
              <w:rPr>
                <w:rFonts w:hint="default" w:ascii="宋体" w:hAnsi="宋体" w:eastAsia="宋体" w:cs="宋体"/>
                <w:color w:val="auto"/>
                <w:highlight w:val="none"/>
                <w:lang w:val="en-US" w:eastAsia="zh-CN"/>
              </w:rPr>
            </w:pPr>
            <w:r>
              <w:rPr>
                <w:rFonts w:hint="eastAsia" w:ascii="宋体" w:hAnsi="宋体" w:eastAsia="宋体" w:cs="宋体"/>
                <w:b/>
                <w:bCs/>
                <w:color w:val="auto"/>
                <w:highlight w:val="none"/>
              </w:rPr>
              <w:t>付款方式：</w:t>
            </w:r>
            <w:r>
              <w:rPr>
                <w:rFonts w:hint="eastAsia" w:ascii="宋体" w:hAnsi="宋体" w:eastAsia="宋体" w:cs="宋体"/>
                <w:color w:val="auto"/>
                <w:highlight w:val="none"/>
                <w:lang w:val="en-US" w:eastAsia="zh-CN"/>
              </w:rPr>
              <w:t>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4"/>
              <w:kinsoku w:val="0"/>
              <w:overflowPunct w:val="0"/>
              <w:spacing w:before="73"/>
              <w:jc w:val="center"/>
              <w:rPr>
                <w:rFonts w:hint="eastAsia" w:ascii="宋体" w:hAnsi="宋体" w:eastAsia="宋体" w:cs="宋体"/>
                <w:color w:val="auto"/>
                <w:highlight w:val="none"/>
              </w:rPr>
            </w:pPr>
            <w:r>
              <w:rPr>
                <w:rFonts w:hint="eastAsia" w:ascii="宋体" w:hAnsi="宋体" w:eastAsia="宋体" w:cs="宋体"/>
                <w:color w:val="auto"/>
                <w:highlight w:val="none"/>
              </w:rPr>
              <w:t>26</w:t>
            </w:r>
          </w:p>
        </w:tc>
        <w:tc>
          <w:tcPr>
            <w:tcW w:w="8475" w:type="dxa"/>
            <w:noWrap w:val="0"/>
            <w:vAlign w:val="top"/>
          </w:tcPr>
          <w:p>
            <w:pPr>
              <w:pStyle w:val="24"/>
              <w:kinsoku w:val="0"/>
              <w:overflowPunct w:val="0"/>
              <w:spacing w:line="277" w:lineRule="exact"/>
              <w:ind w:left="102"/>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rPr>
              <w:t>★履约保证金：</w:t>
            </w:r>
            <w:r>
              <w:rPr>
                <w:rFonts w:hint="eastAsia" w:ascii="宋体" w:hAnsi="宋体" w:cs="宋体"/>
                <w:b/>
                <w:bCs/>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5" w:hRule="atLeast"/>
          <w:jc w:val="center"/>
        </w:trPr>
        <w:tc>
          <w:tcPr>
            <w:tcW w:w="672" w:type="dxa"/>
            <w:noWrap w:val="0"/>
            <w:vAlign w:val="center"/>
          </w:tcPr>
          <w:p>
            <w:pPr>
              <w:pStyle w:val="24"/>
              <w:kinsoku w:val="0"/>
              <w:overflowPunct w:val="0"/>
              <w:spacing w:before="73"/>
              <w:jc w:val="center"/>
              <w:rPr>
                <w:rFonts w:hint="eastAsia" w:ascii="宋体" w:hAnsi="宋体" w:eastAsia="宋体" w:cs="宋体"/>
                <w:color w:val="auto"/>
                <w:highlight w:val="none"/>
              </w:rPr>
            </w:pPr>
            <w:r>
              <w:rPr>
                <w:rFonts w:hint="eastAsia" w:ascii="宋体" w:hAnsi="宋体" w:eastAsia="宋体" w:cs="宋体"/>
                <w:color w:val="auto"/>
                <w:highlight w:val="none"/>
              </w:rPr>
              <w:t>27</w:t>
            </w:r>
          </w:p>
        </w:tc>
        <w:tc>
          <w:tcPr>
            <w:tcW w:w="8475" w:type="dxa"/>
            <w:noWrap w:val="0"/>
            <w:vAlign w:val="top"/>
          </w:tcPr>
          <w:p>
            <w:pPr>
              <w:pStyle w:val="24"/>
              <w:kinsoku w:val="0"/>
              <w:overflowPunct w:val="0"/>
              <w:spacing w:line="274" w:lineRule="exact"/>
              <w:ind w:left="102"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代理服务费</w:t>
            </w:r>
            <w:r>
              <w:rPr>
                <w:rFonts w:hint="eastAsia" w:ascii="宋体" w:hAnsi="宋体" w:eastAsia="宋体" w:cs="宋体"/>
                <w:color w:val="auto"/>
                <w:highlight w:val="none"/>
              </w:rPr>
              <w:t>：</w:t>
            </w:r>
          </w:p>
          <w:p>
            <w:pPr>
              <w:pStyle w:val="24"/>
              <w:kinsoku w:val="0"/>
              <w:overflowPunct w:val="0"/>
              <w:spacing w:line="276" w:lineRule="exact"/>
              <w:ind w:left="102" w:firstLine="472" w:firstLineChars="200"/>
              <w:rPr>
                <w:rFonts w:hint="eastAsia" w:ascii="宋体" w:hAnsi="宋体" w:eastAsia="宋体" w:cs="宋体"/>
                <w:color w:val="auto"/>
                <w:highlight w:val="none"/>
              </w:rPr>
            </w:pPr>
            <w:r>
              <w:rPr>
                <w:rFonts w:hint="eastAsia" w:ascii="宋体" w:hAnsi="宋体" w:eastAsia="宋体" w:cs="宋体"/>
                <w:color w:val="auto"/>
                <w:spacing w:val="-2"/>
                <w:highlight w:val="none"/>
              </w:rPr>
              <w:t>参照国家计委《招标代理服务收费管理暂行办法》(计价格﹝2002﹞1980 号)所规定</w:t>
            </w:r>
            <w:r>
              <w:rPr>
                <w:rFonts w:hint="eastAsia" w:ascii="宋体" w:hAnsi="宋体" w:cs="宋体"/>
                <w:color w:val="auto"/>
                <w:spacing w:val="-2"/>
                <w:highlight w:val="none"/>
                <w:lang w:val="en-US" w:eastAsia="zh-CN"/>
              </w:rPr>
              <w:t>及与采购方签订合同所规定的费率</w:t>
            </w:r>
            <w:r>
              <w:rPr>
                <w:rFonts w:hint="eastAsia" w:ascii="宋体" w:hAnsi="宋体" w:eastAsia="宋体" w:cs="宋体"/>
                <w:color w:val="auto"/>
                <w:spacing w:val="-2"/>
                <w:highlight w:val="none"/>
              </w:rPr>
              <w:t>取费，由中标人支付，该代理服务费在中标人领取中标通知书时向招标代理机构缴纳。此费由投标人综合考虑到投标报价中，不再单独列项。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4"/>
              <w:kinsoku w:val="0"/>
              <w:overflowPunct w:val="0"/>
              <w:spacing w:before="73"/>
              <w:jc w:val="center"/>
              <w:rPr>
                <w:rFonts w:hint="eastAsia" w:ascii="宋体" w:hAnsi="宋体" w:eastAsia="宋体" w:cs="宋体"/>
                <w:color w:val="auto"/>
                <w:highlight w:val="none"/>
              </w:rPr>
            </w:pPr>
            <w:r>
              <w:rPr>
                <w:rFonts w:hint="eastAsia" w:ascii="宋体" w:hAnsi="宋体" w:eastAsia="宋体" w:cs="宋体"/>
                <w:color w:val="auto"/>
                <w:highlight w:val="none"/>
              </w:rPr>
              <w:t>28</w:t>
            </w:r>
          </w:p>
        </w:tc>
        <w:tc>
          <w:tcPr>
            <w:tcW w:w="8475" w:type="dxa"/>
            <w:noWrap w:val="0"/>
            <w:vAlign w:val="top"/>
          </w:tcPr>
          <w:p>
            <w:pPr>
              <w:pStyle w:val="24"/>
              <w:kinsoku w:val="0"/>
              <w:overflowPunct w:val="0"/>
              <w:spacing w:line="277" w:lineRule="exact"/>
              <w:ind w:left="102"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采购项目需要落实的政府采购政策:</w:t>
            </w:r>
          </w:p>
          <w:p>
            <w:pPr>
              <w:pStyle w:val="24"/>
              <w:kinsoku w:val="0"/>
              <w:overflowPunct w:val="0"/>
              <w:spacing w:before="38"/>
              <w:ind w:left="102" w:firstLine="472" w:firstLineChars="200"/>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1、根据</w:t>
            </w:r>
            <w:r>
              <w:rPr>
                <w:rFonts w:hint="eastAsia" w:ascii="宋体" w:hAnsi="宋体" w:eastAsia="宋体" w:cs="宋体"/>
                <w:b w:val="0"/>
                <w:bCs w:val="0"/>
                <w:i w:val="0"/>
                <w:iCs w:val="0"/>
                <w:color w:val="auto"/>
                <w:sz w:val="24"/>
                <w:szCs w:val="24"/>
                <w:highlight w:val="none"/>
                <w:u w:val="none"/>
              </w:rPr>
              <w:t>《政府采购促进中小企业发展管理办法》（财库﹝2020﹞46 号）</w:t>
            </w:r>
            <w:r>
              <w:rPr>
                <w:rFonts w:hint="eastAsia" w:ascii="宋体" w:hAnsi="宋体" w:eastAsia="宋体" w:cs="宋体"/>
                <w:color w:val="auto"/>
                <w:spacing w:val="-2"/>
                <w:highlight w:val="none"/>
              </w:rPr>
              <w:t>和工信部联企业〔2011〕300 号文件规定，对小型和微型企业产品的价格给予 6%-10%的扣除，用扣除后的价格参与评审；大中型企业和其他自然人、法人或者其他组织与小型、微型企业组成联合体共同参加非专门面向中小企业的政府采购活动的，小微企业的合同金额占联合体协议合同总金额 30%以上的，给予联合体 2%-3%的价格扣除，用扣除后的价格参与评审。具体办法详见竞争性磋商文件评标办法和标准；</w:t>
            </w:r>
          </w:p>
          <w:p>
            <w:pPr>
              <w:pStyle w:val="24"/>
              <w:kinsoku w:val="0"/>
              <w:overflowPunct w:val="0"/>
              <w:spacing w:before="38"/>
              <w:ind w:left="102" w:firstLine="472" w:firstLineChars="200"/>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2、根据《财政部民政部中国残疾人联合会关于促进残疾人就业政府采购政策的通知》（财库【2017】141 号）文件规定，对满足价格扣除条件且在磋商响应性文件中提交了《残疾人福利性单位声明函》等证明文件的投标人，其投标报价扣除 6%-10%后参与评审。具体办法详见竞争性磋商文件评标办法和标准。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4"/>
              <w:kinsoku w:val="0"/>
              <w:overflowPunct w:val="0"/>
              <w:spacing w:before="73"/>
              <w:jc w:val="center"/>
              <w:rPr>
                <w:rFonts w:hint="eastAsia" w:ascii="宋体" w:hAnsi="宋体" w:eastAsia="宋体" w:cs="宋体"/>
                <w:color w:val="auto"/>
                <w:highlight w:val="none"/>
              </w:rPr>
            </w:pPr>
            <w:r>
              <w:rPr>
                <w:rFonts w:hint="eastAsia" w:ascii="宋体" w:hAnsi="宋体" w:eastAsia="宋体" w:cs="宋体"/>
                <w:color w:val="auto"/>
                <w:highlight w:val="none"/>
              </w:rPr>
              <w:t>29</w:t>
            </w:r>
          </w:p>
        </w:tc>
        <w:tc>
          <w:tcPr>
            <w:tcW w:w="8475" w:type="dxa"/>
            <w:noWrap w:val="0"/>
            <w:vAlign w:val="top"/>
          </w:tcPr>
          <w:p>
            <w:pPr>
              <w:pStyle w:val="24"/>
              <w:kinsoku w:val="0"/>
              <w:overflowPunct w:val="0"/>
              <w:spacing w:line="277" w:lineRule="exact"/>
              <w:ind w:left="102"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磋商响应性文件递交</w:t>
            </w:r>
            <w:bookmarkStart w:id="48" w:name="bookmark3"/>
            <w:bookmarkEnd w:id="48"/>
            <w:bookmarkStart w:id="49" w:name="（二）供应商须知"/>
            <w:bookmarkEnd w:id="49"/>
            <w:r>
              <w:rPr>
                <w:rFonts w:hint="eastAsia" w:ascii="宋体" w:hAnsi="宋体" w:eastAsia="宋体" w:cs="宋体"/>
                <w:b/>
                <w:bCs/>
                <w:color w:val="auto"/>
                <w:highlight w:val="none"/>
              </w:rPr>
              <w:t xml:space="preserve">要求： </w:t>
            </w:r>
          </w:p>
          <w:p>
            <w:pPr>
              <w:pStyle w:val="24"/>
              <w:kinsoku w:val="0"/>
              <w:overflowPunct w:val="0"/>
              <w:spacing w:before="38"/>
              <w:ind w:left="102" w:firstLine="472" w:firstLineChars="200"/>
              <w:rPr>
                <w:rFonts w:hint="eastAsia" w:ascii="宋体" w:hAnsi="宋体" w:eastAsia="宋体" w:cs="宋体"/>
                <w:color w:val="auto"/>
                <w:highlight w:val="none"/>
              </w:rPr>
            </w:pPr>
            <w:r>
              <w:rPr>
                <w:rFonts w:hint="eastAsia" w:ascii="宋体" w:hAnsi="宋体" w:eastAsia="宋体" w:cs="宋体"/>
                <w:color w:val="auto"/>
                <w:spacing w:val="-2"/>
                <w:highlight w:val="none"/>
              </w:rPr>
              <w:t>供应商参加磋商时，供应商的法定代表人或委托代理人在开标时必须到达现场，并提供授权委托书原件和有效的居民身份证备验，现场核查后，方可接收投标人的磋商响应性文件；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4"/>
              <w:kinsoku w:val="0"/>
              <w:overflowPunct w:val="0"/>
              <w:spacing w:before="73"/>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30</w:t>
            </w:r>
          </w:p>
        </w:tc>
        <w:tc>
          <w:tcPr>
            <w:tcW w:w="8475" w:type="dxa"/>
            <w:noWrap w:val="0"/>
            <w:vAlign w:val="top"/>
          </w:tcPr>
          <w:p>
            <w:pPr>
              <w:pStyle w:val="24"/>
              <w:kinsoku w:val="0"/>
              <w:overflowPunct w:val="0"/>
              <w:spacing w:before="38"/>
              <w:ind w:left="102" w:firstLine="472" w:firstLineChars="200"/>
              <w:rPr>
                <w:rFonts w:hint="eastAsia" w:ascii="宋体" w:hAnsi="宋体" w:eastAsia="宋体" w:cs="宋体"/>
                <w:color w:val="auto"/>
                <w:spacing w:val="-2"/>
                <w:highlight w:val="none"/>
                <w:lang w:eastAsia="zh-CN"/>
              </w:rPr>
            </w:pPr>
            <w:r>
              <w:rPr>
                <w:rFonts w:hint="eastAsia" w:ascii="宋体" w:hAnsi="宋体" w:cs="宋体"/>
                <w:color w:val="auto"/>
                <w:spacing w:val="-2"/>
                <w:highlight w:val="none"/>
                <w:lang w:eastAsia="zh-CN"/>
              </w:rPr>
              <w:t>关于放弃磋商：</w:t>
            </w:r>
            <w:r>
              <w:rPr>
                <w:rFonts w:hint="eastAsia" w:ascii="宋体" w:hAnsi="宋体" w:eastAsia="宋体" w:cs="宋体"/>
                <w:b w:val="0"/>
                <w:bCs w:val="0"/>
                <w:color w:val="auto"/>
                <w:kern w:val="0"/>
                <w:sz w:val="24"/>
                <w:szCs w:val="24"/>
                <w:highlight w:val="none"/>
                <w:lang w:val="en-US" w:eastAsia="zh-CN"/>
              </w:rPr>
              <w:t>供应商获取</w:t>
            </w:r>
            <w:r>
              <w:rPr>
                <w:rFonts w:hint="eastAsia" w:cs="宋体"/>
                <w:b w:val="0"/>
                <w:bCs w:val="0"/>
                <w:color w:val="auto"/>
                <w:kern w:val="0"/>
                <w:sz w:val="24"/>
                <w:szCs w:val="24"/>
                <w:highlight w:val="none"/>
                <w:lang w:val="en-US" w:eastAsia="zh-CN"/>
              </w:rPr>
              <w:t>磋商</w:t>
            </w:r>
            <w:r>
              <w:rPr>
                <w:rFonts w:hint="eastAsia" w:ascii="宋体" w:hAnsi="宋体" w:eastAsia="宋体" w:cs="宋体"/>
                <w:b w:val="0"/>
                <w:bCs w:val="0"/>
                <w:color w:val="auto"/>
                <w:kern w:val="0"/>
                <w:sz w:val="24"/>
                <w:szCs w:val="24"/>
                <w:highlight w:val="none"/>
                <w:lang w:val="en-US" w:eastAsia="zh-CN"/>
              </w:rPr>
              <w:t>文件后如放弃</w:t>
            </w:r>
            <w:r>
              <w:rPr>
                <w:rFonts w:hint="eastAsia" w:cs="宋体"/>
                <w:b w:val="0"/>
                <w:bCs w:val="0"/>
                <w:color w:val="auto"/>
                <w:kern w:val="0"/>
                <w:sz w:val="24"/>
                <w:szCs w:val="24"/>
                <w:highlight w:val="none"/>
                <w:lang w:val="en-US" w:eastAsia="zh-CN"/>
              </w:rPr>
              <w:t>磋商</w:t>
            </w:r>
            <w:r>
              <w:rPr>
                <w:rFonts w:hint="eastAsia" w:ascii="宋体" w:hAnsi="宋体" w:eastAsia="宋体" w:cs="宋体"/>
                <w:b w:val="0"/>
                <w:bCs w:val="0"/>
                <w:color w:val="auto"/>
                <w:kern w:val="0"/>
                <w:sz w:val="24"/>
                <w:szCs w:val="24"/>
                <w:highlight w:val="none"/>
                <w:lang w:val="en-US" w:eastAsia="zh-CN"/>
              </w:rPr>
              <w:t>，需在提交响应文件截止前</w:t>
            </w:r>
            <w:r>
              <w:rPr>
                <w:rFonts w:hint="eastAsia" w:ascii="宋体" w:hAnsi="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eastAsia="zh-CN"/>
              </w:rPr>
              <w:t>日提交书面弃标函</w:t>
            </w:r>
            <w:r>
              <w:rPr>
                <w:rFonts w:hint="eastAsia" w:ascii="宋体" w:hAnsi="宋体" w:eastAsia="宋体" w:cs="宋体"/>
                <w:b/>
                <w:bCs/>
                <w:color w:val="auto"/>
                <w:kern w:val="0"/>
                <w:sz w:val="24"/>
                <w:szCs w:val="24"/>
                <w:highlight w:val="none"/>
                <w:lang w:val="en-US" w:eastAsia="zh-CN"/>
              </w:rPr>
              <w:t>（如不然，将承担相应的失信</w:t>
            </w:r>
            <w:r>
              <w:rPr>
                <w:rFonts w:hint="eastAsia" w:cs="宋体"/>
                <w:b/>
                <w:bCs/>
                <w:color w:val="auto"/>
                <w:kern w:val="0"/>
                <w:sz w:val="24"/>
                <w:szCs w:val="24"/>
                <w:highlight w:val="none"/>
                <w:lang w:val="en-US" w:eastAsia="zh-CN"/>
              </w:rPr>
              <w:t>后</w:t>
            </w:r>
            <w:r>
              <w:rPr>
                <w:rFonts w:hint="eastAsia" w:ascii="宋体" w:hAnsi="宋体" w:eastAsia="宋体" w:cs="宋体"/>
                <w:b/>
                <w:bCs/>
                <w:color w:val="auto"/>
                <w:kern w:val="0"/>
                <w:sz w:val="24"/>
                <w:szCs w:val="24"/>
                <w:highlight w:val="none"/>
                <w:lang w:val="en-US" w:eastAsia="zh-CN"/>
              </w:rPr>
              <w:t>果）</w:t>
            </w:r>
            <w:r>
              <w:rPr>
                <w:rFonts w:hint="eastAsia" w:ascii="宋体" w:hAnsi="宋体" w:eastAsia="宋体" w:cs="宋体"/>
                <w:b w:val="0"/>
                <w:bCs w:val="0"/>
                <w:color w:val="auto"/>
                <w:kern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4"/>
              <w:kinsoku w:val="0"/>
              <w:overflowPunct w:val="0"/>
              <w:spacing w:before="73"/>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31</w:t>
            </w:r>
          </w:p>
        </w:tc>
        <w:tc>
          <w:tcPr>
            <w:tcW w:w="8475" w:type="dxa"/>
            <w:noWrap w:val="0"/>
            <w:vAlign w:val="top"/>
          </w:tcPr>
          <w:p>
            <w:pPr>
              <w:pStyle w:val="24"/>
              <w:kinsoku w:val="0"/>
              <w:overflowPunct w:val="0"/>
              <w:spacing w:before="38"/>
              <w:ind w:left="102" w:firstLine="472" w:firstLineChars="200"/>
              <w:rPr>
                <w:rFonts w:hint="eastAsia" w:ascii="宋体" w:hAnsi="宋体" w:cs="宋体"/>
                <w:color w:val="auto"/>
                <w:spacing w:val="-2"/>
                <w:highlight w:val="none"/>
                <w:lang w:eastAsia="zh-CN"/>
              </w:rPr>
            </w:pPr>
            <w:r>
              <w:rPr>
                <w:rFonts w:hint="eastAsia" w:ascii="宋体" w:hAnsi="宋体" w:cs="宋体"/>
                <w:color w:val="auto"/>
                <w:spacing w:val="-2"/>
                <w:highlight w:val="none"/>
                <w:lang w:eastAsia="zh-CN"/>
              </w:rPr>
              <w:t>接受答疑要求：供应商应在收到采购文件1天内，将需要答疑的问题以纸质的形式一并提交。采购人将对供应商疑问给予书面解答，供应商未按照以上时间提出答疑的或不自行查阅答疑的，造成错误理解和推论后果自负。</w:t>
            </w:r>
          </w:p>
        </w:tc>
      </w:tr>
    </w:tbl>
    <w:p>
      <w:pPr>
        <w:rPr>
          <w:rFonts w:hint="eastAsia" w:ascii="宋体" w:hAnsi="宋体" w:eastAsia="宋体" w:cs="宋体"/>
          <w:color w:val="auto"/>
          <w:highlight w:val="none"/>
        </w:rPr>
      </w:pPr>
    </w:p>
    <w:p>
      <w:pPr>
        <w:pStyle w:val="4"/>
        <w:ind w:firstLine="643"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50" w:name="_Toc24361"/>
      <w:r>
        <w:rPr>
          <w:rFonts w:hint="eastAsia" w:ascii="宋体" w:hAnsi="宋体" w:eastAsia="宋体" w:cs="宋体"/>
          <w:color w:val="auto"/>
          <w:highlight w:val="none"/>
        </w:rPr>
        <w:t>（二）供应商须知</w:t>
      </w:r>
      <w:bookmarkEnd w:id="50"/>
    </w:p>
    <w:p>
      <w:pPr>
        <w:pStyle w:val="8"/>
        <w:kinsoku w:val="0"/>
        <w:overflowPunct w:val="0"/>
        <w:spacing w:before="47" w:line="264" w:lineRule="auto"/>
        <w:ind w:right="5041"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1、综合说明</w:t>
      </w:r>
    </w:p>
    <w:p>
      <w:pPr>
        <w:pStyle w:val="8"/>
        <w:kinsoku w:val="0"/>
        <w:overflowPunct w:val="0"/>
        <w:spacing w:before="130" w:line="355" w:lineRule="auto"/>
        <w:ind w:left="0"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本项目按照《中华人民共和国政府采购法》、《中华人民共和国政府采购法实施条 例》、《政府采购货物和服务招标投标管理办法》、《政府购买服务管理办法（暂行）》、《政府采购竞争性磋商采购方式管理暂行办法》、《财政部关于政府采购竞争性磋商采购方式管理暂行办法有关问题的补充通知》及相关法规，已办理政府采购相关手续，并得到行业主管部门批准，现通过招标来择优选定为本项目提供服务的供应商。本竞争性磋商文件包括本文所列内容及按本须知发出的全部和补充资料。供应商应认真阅读本竞争性磋商文件中所有的事项、格式、条款、技术规范等实质性的条件和要求，并熟悉本招标项目的全部内容及与履行合同有关的全部内容，熟悉竞争性磋商文件的格式、条件和范围。供应商没有按照竞争性磋商文件的要求提交相关资料，或者供应商没有对竞争性磋商文件相关内容都做出实质性响应是供应商的风险，并可能导致其投标无效，其风险由投标供应商自行承担。</w:t>
      </w:r>
    </w:p>
    <w:p>
      <w:pPr>
        <w:pStyle w:val="8"/>
        <w:kinsoku w:val="0"/>
        <w:overflowPunct w:val="0"/>
        <w:spacing w:before="47" w:line="264" w:lineRule="auto"/>
        <w:ind w:right="5041"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2.适用范围</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本竞争性磋商文件仅适用于本次磋商所叙述的磋商项目。</w:t>
      </w:r>
    </w:p>
    <w:p>
      <w:pPr>
        <w:pStyle w:val="8"/>
        <w:kinsoku w:val="0"/>
        <w:overflowPunct w:val="0"/>
        <w:spacing w:before="38"/>
        <w:ind w:firstLine="478" w:firstLineChars="200"/>
        <w:rPr>
          <w:rFonts w:hint="eastAsia" w:ascii="宋体" w:hAnsi="宋体" w:eastAsia="宋体" w:cs="宋体"/>
          <w:color w:val="auto"/>
          <w:highlight w:val="none"/>
        </w:rPr>
      </w:pPr>
      <w:r>
        <w:rPr>
          <w:rFonts w:hint="eastAsia" w:ascii="宋体" w:hAnsi="宋体" w:eastAsia="宋体" w:cs="宋体"/>
          <w:b/>
          <w:bCs/>
          <w:color w:val="auto"/>
          <w:spacing w:val="-1"/>
          <w:highlight w:val="none"/>
        </w:rPr>
        <w:t>3.定义</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3.1 “政府采购当事人”系指在政府采购活动中享有权利和承担义务的各类主体，包括采购人、供应商和招标代理机构。</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3.2 “采购人”系指</w:t>
      </w:r>
      <w:r>
        <w:rPr>
          <w:rFonts w:hint="eastAsia" w:asciiTheme="minorEastAsia" w:hAnsiTheme="minorEastAsia" w:eastAsiaTheme="minorEastAsia" w:cstheme="minorEastAsia"/>
          <w:i w:val="0"/>
          <w:iCs w:val="0"/>
          <w:color w:val="auto"/>
          <w:sz w:val="24"/>
          <w:szCs w:val="24"/>
          <w:highlight w:val="none"/>
          <w:u w:val="none"/>
        </w:rPr>
        <w:t>新疆维吾尔自治区文化馆</w:t>
      </w:r>
      <w:r>
        <w:rPr>
          <w:rFonts w:hint="eastAsia" w:ascii="宋体" w:hAnsi="宋体" w:eastAsia="宋体" w:cs="宋体"/>
          <w:color w:val="auto"/>
          <w:spacing w:val="4"/>
          <w:highlight w:val="none"/>
        </w:rPr>
        <w:t>；</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3.3 “招标代理机构”系指</w:t>
      </w:r>
      <w:r>
        <w:rPr>
          <w:rFonts w:hint="eastAsia" w:asciiTheme="minorEastAsia" w:hAnsiTheme="minorEastAsia" w:eastAsiaTheme="minorEastAsia" w:cstheme="minorEastAsia"/>
          <w:color w:val="auto"/>
          <w:sz w:val="24"/>
          <w:highlight w:val="none"/>
        </w:rPr>
        <w:t>新疆信尔成工程项目管理有限公司</w:t>
      </w:r>
      <w:r>
        <w:rPr>
          <w:rFonts w:hint="eastAsia" w:ascii="宋体" w:hAnsi="宋体" w:eastAsia="宋体" w:cs="宋体"/>
          <w:color w:val="auto"/>
          <w:spacing w:val="4"/>
          <w:highlight w:val="none"/>
        </w:rPr>
        <w:t>；</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3.4 “供应商、磋商单位、响应人”系指符合本磋商项目资质要求，参加磋商竞争的法人机构或其他组织。</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3.5 “竞争性磋商文件”系指由采购人和招标代理机构发出的文本、文件，包括全部章节和附件及答疑会议纪要。</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3.6 “磋商响应性文件”系指供应商根据本《竞争性磋商文件》向采购人提交的全部文件。</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3.7 “采购文件”系指包括采购活动的记录、采购预算、竞争性磋商文件、磋商响应性文件、评标标准、评估报告、定标文件、合同文本、验收证明、质疑答复、投诉处理决定及其他有关文件、资料。</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3.8 “书面形式”系指任何手写、打印或印刷的各种函件，不包括电传、电报、传真、电子邮件。</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3.9 “货物”系指供应商中标后根据竞争性磋商文件和合同的规定须向采购人提供的各种形态和种类的货物。</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3.10 “服务”系指供应商中标后根据竞争性磋商文件和合同的规定承担有关的服务。</w:t>
      </w:r>
    </w:p>
    <w:p>
      <w:pPr>
        <w:pStyle w:val="8"/>
        <w:kinsoku w:val="0"/>
        <w:overflowPunct w:val="0"/>
        <w:spacing w:before="38"/>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4.合格的供应商</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4.1 具备“供应商须知前附表”第六款的基本条件；</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4.2 凡是符合国家工商行政管理部门登记审核，具有相应生产经营许可的，有一定技术实力和生产规模，并有能力提供招标货物的</w:t>
      </w:r>
      <w:r>
        <w:rPr>
          <w:rFonts w:hint="eastAsia" w:ascii="宋体" w:hAnsi="宋体" w:eastAsia="宋体" w:cs="宋体"/>
          <w:color w:val="auto"/>
          <w:spacing w:val="4"/>
          <w:highlight w:val="none"/>
          <w:lang w:eastAsia="zh-CN"/>
        </w:rPr>
        <w:t>供应商</w:t>
      </w:r>
      <w:r>
        <w:rPr>
          <w:rFonts w:hint="eastAsia" w:ascii="宋体" w:hAnsi="宋体" w:eastAsia="宋体" w:cs="宋体"/>
          <w:color w:val="auto"/>
          <w:spacing w:val="4"/>
          <w:highlight w:val="none"/>
        </w:rPr>
        <w:t>。</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4.3 投标单位不得直接或间接地与本次招标进行设计、编制规范和其他文件所委托的咨询公司或其附属机构有任何关联；</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4.4 投标单位与采购人存在利害关系可能影响招标公正性的法人、其他组织或个人，不得参加投标。单位负责人为同一人或者存在控股、管理关系的不同单位，不得参加同一标段投标或者未划分标段的同一招标项目投标；</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4.5 遵守国家有关的法律、法规和条例及《竞争性磋商文件》的规定。</w:t>
      </w:r>
    </w:p>
    <w:p>
      <w:pPr>
        <w:pStyle w:val="8"/>
        <w:kinsoku w:val="0"/>
        <w:overflowPunct w:val="0"/>
        <w:spacing w:before="151"/>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5.费用承担</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供应商应承担与招标代理活动有关的一切费用。不论招标的结果如何，招标代理机构和采购人在任何情况下均无义务和责任承担这些费用。</w:t>
      </w:r>
    </w:p>
    <w:p>
      <w:pPr>
        <w:pStyle w:val="8"/>
        <w:kinsoku w:val="0"/>
        <w:overflowPunct w:val="0"/>
        <w:spacing w:before="38"/>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6.</w:t>
      </w:r>
      <w:r>
        <w:rPr>
          <w:rFonts w:hint="eastAsia" w:ascii="宋体" w:hAnsi="宋体" w:eastAsia="宋体" w:cs="宋体"/>
          <w:color w:val="auto"/>
          <w:spacing w:val="4"/>
          <w:kern w:val="2"/>
          <w:sz w:val="21"/>
          <w:szCs w:val="22"/>
          <w:highlight w:val="none"/>
        </w:rPr>
        <w:t xml:space="preserve"> </w:t>
      </w:r>
      <w:r>
        <w:rPr>
          <w:rFonts w:hint="eastAsia" w:ascii="宋体" w:hAnsi="宋体" w:eastAsia="宋体" w:cs="宋体"/>
          <w:b/>
          <w:bCs/>
          <w:color w:val="auto"/>
          <w:highlight w:val="none"/>
        </w:rPr>
        <w:t>招标代理服务费</w:t>
      </w:r>
    </w:p>
    <w:p>
      <w:pPr>
        <w:pStyle w:val="8"/>
        <w:kinsoku w:val="0"/>
        <w:overflowPunct w:val="0"/>
        <w:spacing w:before="130" w:line="355" w:lineRule="auto"/>
        <w:ind w:right="7" w:firstLine="480" w:firstLineChars="200"/>
        <w:rPr>
          <w:rFonts w:hint="eastAsia" w:ascii="宋体" w:hAnsi="宋体" w:eastAsia="宋体" w:cs="宋体"/>
          <w:color w:val="auto"/>
          <w:spacing w:val="4"/>
          <w:highlight w:val="none"/>
        </w:rPr>
      </w:pPr>
      <w:r>
        <w:rPr>
          <w:rFonts w:hint="eastAsia" w:ascii="宋体" w:hAnsi="宋体" w:eastAsia="宋体" w:cs="宋体"/>
          <w:bCs/>
          <w:color w:val="auto"/>
          <w:highlight w:val="none"/>
        </w:rPr>
        <w:t>成交供应商</w:t>
      </w:r>
      <w:r>
        <w:rPr>
          <w:rFonts w:hint="eastAsia" w:ascii="宋体" w:hAnsi="宋体" w:eastAsia="宋体" w:cs="宋体"/>
          <w:color w:val="auto"/>
          <w:spacing w:val="4"/>
          <w:highlight w:val="none"/>
        </w:rPr>
        <w:t>应承担所有与准备和参加磋商有关的费用。不论磋商的结果如何，招标代理机构和采购人均无义务和责任承担这些费用；</w:t>
      </w:r>
    </w:p>
    <w:p>
      <w:pPr>
        <w:pStyle w:val="8"/>
        <w:kinsoku w:val="0"/>
        <w:overflowPunct w:val="0"/>
        <w:spacing w:before="130" w:line="355" w:lineRule="auto"/>
        <w:ind w:right="7"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成交供应商在领取《成交通知书》时须一次性付给采购代理单位采购代理服务费，招标代理服务费参照国家计委《招标代理服务收费管理暂行办法》(计价格﹝2002﹞1980 号)所规定取费。</w:t>
      </w:r>
    </w:p>
    <w:p>
      <w:pPr>
        <w:pStyle w:val="8"/>
        <w:kinsoku w:val="0"/>
        <w:overflowPunct w:val="0"/>
        <w:ind w:firstLine="486" w:firstLineChars="200"/>
        <w:rPr>
          <w:rFonts w:hint="eastAsia" w:ascii="宋体" w:hAnsi="宋体" w:eastAsia="宋体" w:cs="宋体"/>
          <w:b/>
          <w:bCs/>
          <w:color w:val="auto"/>
          <w:highlight w:val="none"/>
        </w:rPr>
      </w:pPr>
      <w:r>
        <w:rPr>
          <w:rFonts w:hint="eastAsia" w:ascii="宋体" w:hAnsi="宋体" w:eastAsia="宋体" w:cs="宋体"/>
          <w:b/>
          <w:bCs/>
          <w:color w:val="auto"/>
          <w:spacing w:val="1"/>
          <w:highlight w:val="none"/>
        </w:rPr>
        <w:t>7.</w:t>
      </w:r>
      <w:r>
        <w:rPr>
          <w:rFonts w:hint="eastAsia" w:ascii="宋体" w:hAnsi="宋体" w:eastAsia="宋体" w:cs="宋体"/>
          <w:b/>
          <w:bCs/>
          <w:color w:val="auto"/>
          <w:spacing w:val="-23"/>
          <w:highlight w:val="none"/>
        </w:rPr>
        <w:t xml:space="preserve"> </w:t>
      </w:r>
      <w:r>
        <w:rPr>
          <w:rFonts w:hint="eastAsia" w:ascii="宋体" w:hAnsi="宋体" w:eastAsia="宋体" w:cs="宋体"/>
          <w:b/>
          <w:bCs/>
          <w:color w:val="auto"/>
          <w:highlight w:val="none"/>
        </w:rPr>
        <w:t>踏勘现场和答疑会</w:t>
      </w:r>
    </w:p>
    <w:p>
      <w:pPr>
        <w:pStyle w:val="8"/>
        <w:kinsoku w:val="0"/>
        <w:overflowPunct w:val="0"/>
        <w:spacing w:before="151" w:line="357" w:lineRule="auto"/>
        <w:ind w:right="963" w:firstLine="482" w:firstLineChars="200"/>
        <w:rPr>
          <w:rFonts w:hint="eastAsia" w:ascii="宋体" w:hAnsi="宋体" w:eastAsia="宋体" w:cs="宋体"/>
          <w:color w:val="auto"/>
          <w:spacing w:val="4"/>
          <w:highlight w:val="none"/>
          <w:lang w:eastAsia="zh-CN"/>
        </w:rPr>
      </w:pPr>
      <w:r>
        <w:rPr>
          <w:rFonts w:hint="eastAsia" w:ascii="宋体" w:hAnsi="宋体" w:eastAsia="宋体" w:cs="宋体"/>
          <w:b/>
          <w:bCs/>
          <w:color w:val="auto"/>
          <w:highlight w:val="none"/>
          <w:lang w:eastAsia="zh-CN"/>
        </w:rPr>
        <w:t>如有需要请自行前往现场踏勘（暂定于</w:t>
      </w:r>
      <w:r>
        <w:rPr>
          <w:rFonts w:hint="eastAsia" w:ascii="宋体" w:hAnsi="宋体" w:eastAsia="宋体" w:cs="宋体"/>
          <w:b/>
          <w:bCs/>
          <w:color w:val="auto"/>
          <w:highlight w:val="none"/>
          <w:lang w:val="en-US" w:eastAsia="zh-CN"/>
        </w:rPr>
        <w:t>2021年12月01日，上午 10:30至13:00，下午16:00至19:00，如有变动，已通知为准，请携带营业执照复印件和踏勘现场授权委托书（需附身份证），其它时间，概不接待。</w:t>
      </w:r>
      <w:r>
        <w:rPr>
          <w:rFonts w:hint="eastAsia" w:ascii="宋体" w:hAnsi="宋体" w:eastAsia="宋体" w:cs="宋体"/>
          <w:b/>
          <w:bCs/>
          <w:color w:val="auto"/>
          <w:highlight w:val="none"/>
          <w:lang w:eastAsia="zh-CN"/>
        </w:rPr>
        <w:t>）</w:t>
      </w:r>
    </w:p>
    <w:p>
      <w:pPr>
        <w:pStyle w:val="8"/>
        <w:kinsoku w:val="0"/>
        <w:overflowPunct w:val="0"/>
        <w:spacing w:before="151" w:line="357" w:lineRule="auto"/>
        <w:ind w:right="963"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8．保密</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参与招标投标活动的各方应对竞争性磋商文件和磋商响应性文件中的商业和技术等秘密保密，违者应对由此造成的后果承担法律责任。</w:t>
      </w:r>
    </w:p>
    <w:p>
      <w:pPr>
        <w:pStyle w:val="8"/>
        <w:kinsoku w:val="0"/>
        <w:overflowPunct w:val="0"/>
        <w:spacing w:before="38"/>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9.</w:t>
      </w:r>
      <w:r>
        <w:rPr>
          <w:rFonts w:hint="eastAsia" w:ascii="宋体" w:hAnsi="宋体" w:eastAsia="宋体" w:cs="宋体"/>
          <w:b/>
          <w:bCs/>
          <w:color w:val="auto"/>
          <w:spacing w:val="-12"/>
          <w:highlight w:val="none"/>
        </w:rPr>
        <w:t xml:space="preserve"> </w:t>
      </w:r>
      <w:r>
        <w:rPr>
          <w:rFonts w:hint="eastAsia" w:ascii="宋体" w:hAnsi="宋体" w:eastAsia="宋体" w:cs="宋体"/>
          <w:b/>
          <w:bCs/>
          <w:color w:val="auto"/>
          <w:highlight w:val="none"/>
        </w:rPr>
        <w:t>适用法律</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本次政府采购，招标采购单位、供应商、磋商小组的相关行为均受《《中华人民共和国政府采购法》、《中华人民共和国政府采购法实施条例》、《政府采购货物和服务 招标投标管理办法》、《政府购买服务管理办法（暂行）》、《政府采购竞争性磋商采购方式管理暂行办法》和本项目采购人本级和上级财政部门政府采购有关规定的约束，其权利受到上述法律法规的保护。</w:t>
      </w:r>
    </w:p>
    <w:p>
      <w:pPr>
        <w:pStyle w:val="4"/>
        <w:ind w:firstLine="643" w:firstLineChars="200"/>
        <w:rPr>
          <w:rFonts w:hint="eastAsia" w:ascii="宋体" w:hAnsi="宋体" w:eastAsia="宋体" w:cs="宋体"/>
          <w:color w:val="auto"/>
          <w:highlight w:val="none"/>
        </w:rPr>
      </w:pPr>
      <w:bookmarkStart w:id="51" w:name="_Toc20516"/>
      <w:r>
        <w:rPr>
          <w:rFonts w:hint="eastAsia" w:ascii="宋体" w:hAnsi="宋体" w:eastAsia="宋体" w:cs="宋体"/>
          <w:color w:val="auto"/>
          <w:highlight w:val="none"/>
        </w:rPr>
        <w:t>（三）《竞争性磋商文件》</w:t>
      </w:r>
      <w:bookmarkEnd w:id="51"/>
    </w:p>
    <w:p>
      <w:pPr>
        <w:pStyle w:val="8"/>
        <w:kinsoku w:val="0"/>
        <w:overflowPunct w:val="0"/>
        <w:spacing w:before="122" w:line="357" w:lineRule="auto"/>
        <w:ind w:left="598" w:firstLine="482" w:firstLineChars="200"/>
        <w:rPr>
          <w:rFonts w:hint="eastAsia" w:ascii="宋体" w:hAnsi="宋体" w:eastAsia="宋体" w:cs="宋体"/>
          <w:b/>
          <w:bCs/>
          <w:color w:val="auto"/>
          <w:spacing w:val="27"/>
          <w:w w:val="99"/>
          <w:highlight w:val="none"/>
        </w:rPr>
      </w:pPr>
      <w:r>
        <w:rPr>
          <w:rFonts w:hint="eastAsia" w:ascii="宋体" w:hAnsi="宋体" w:eastAsia="宋体" w:cs="宋体"/>
          <w:b/>
          <w:bCs/>
          <w:color w:val="auto"/>
          <w:highlight w:val="none"/>
        </w:rPr>
        <w:t>1.《竞争性磋商文件》的组成</w:t>
      </w:r>
      <w:r>
        <w:rPr>
          <w:rFonts w:hint="eastAsia" w:ascii="宋体" w:hAnsi="宋体" w:eastAsia="宋体" w:cs="宋体"/>
          <w:b/>
          <w:bCs/>
          <w:color w:val="auto"/>
          <w:spacing w:val="27"/>
          <w:w w:val="99"/>
          <w:highlight w:val="none"/>
        </w:rPr>
        <w:t xml:space="preserve"> </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竞争性文件用以阐明招标项目所需的资质、技术、服务及报价等要求、招标投标程序、有关规定和注意事项以及合同主要条款等。本竞争性磋商文件包括以下内容,但不限于这些内容：</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1）投标邀请书</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2）供应商须知及前附表</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3）评标办法</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4）磋商内容</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bookmarkStart w:id="52" w:name="（四）《磋商响应性文件》的编制"/>
      <w:bookmarkEnd w:id="52"/>
      <w:bookmarkStart w:id="53" w:name="bookmark5"/>
      <w:bookmarkEnd w:id="53"/>
      <w:r>
        <w:rPr>
          <w:rFonts w:hint="eastAsia" w:ascii="宋体" w:hAnsi="宋体" w:eastAsia="宋体" w:cs="宋体"/>
          <w:color w:val="auto"/>
          <w:spacing w:val="4"/>
          <w:highlight w:val="none"/>
        </w:rPr>
        <w:t>5）合同条款及合同格式</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6）《磋商响应性文件》格式</w:t>
      </w:r>
    </w:p>
    <w:p>
      <w:pPr>
        <w:pStyle w:val="8"/>
        <w:kinsoku w:val="0"/>
        <w:overflowPunct w:val="0"/>
        <w:spacing w:line="355" w:lineRule="auto"/>
        <w:ind w:left="598" w:right="50" w:firstLine="482" w:firstLineChars="200"/>
        <w:rPr>
          <w:rFonts w:hint="eastAsia" w:ascii="宋体" w:hAnsi="宋体" w:eastAsia="宋体" w:cs="宋体"/>
          <w:b/>
          <w:bCs/>
          <w:color w:val="auto"/>
          <w:spacing w:val="27"/>
          <w:w w:val="99"/>
          <w:highlight w:val="none"/>
        </w:rPr>
      </w:pPr>
      <w:r>
        <w:rPr>
          <w:rFonts w:hint="eastAsia" w:ascii="宋体" w:hAnsi="宋体" w:eastAsia="宋体" w:cs="宋体"/>
          <w:b/>
          <w:bCs/>
          <w:color w:val="auto"/>
          <w:highlight w:val="none"/>
        </w:rPr>
        <w:t>2.《竞争性磋商文件》的澄清</w:t>
      </w:r>
      <w:r>
        <w:rPr>
          <w:rFonts w:hint="eastAsia" w:ascii="宋体" w:hAnsi="宋体" w:eastAsia="宋体" w:cs="宋体"/>
          <w:b/>
          <w:bCs/>
          <w:color w:val="auto"/>
          <w:spacing w:val="27"/>
          <w:w w:val="99"/>
          <w:highlight w:val="none"/>
        </w:rPr>
        <w:t xml:space="preserve"> </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供应商若对《竞争性磋商文件》有任何疑问，根据《政府采购货物和服务招标投标管理办法》相关规定，供应商应于投标截止日期 3 日前以书面形式向招标代理机构提出 澄清要求，送至招标代理机构。如认为有必要，招标代理机构将以书面形式予以澄清，同时将书面澄清文件向所有供应商发送。供应商在收到该澄清文件后，应于 1 日内以书面形式（加盖公章）向招标代理机构予以确认，该答复作为《竞争性磋商文件》的组成部分，具有同《竞争性磋商文件》同样的约束作用。未确认情况应当视为对竞争性磋商文件修改的知晓，也将视为对修改内容接受的默认。对于未在磋商响应性文件中对修改内容做实质性响应的，对其产生的不利因素由未确认者自行承担。</w:t>
      </w:r>
    </w:p>
    <w:p>
      <w:pPr>
        <w:pStyle w:val="8"/>
        <w:kinsoku w:val="0"/>
        <w:overflowPunct w:val="0"/>
        <w:spacing w:before="151" w:line="356" w:lineRule="auto"/>
        <w:ind w:right="10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bCs/>
          <w:color w:val="auto"/>
          <w:highlight w:val="none"/>
        </w:rPr>
        <w:t>3.《竞争性磋商文件》的修改</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3.1 投标截止期 3 日前，无论出于何种原因，招标采购单位可主动地或在解答供应商提出的澄清问题时对《竞争性磋商文件》进行修改，《竞争性磋商文件》的修改书将构成《竞争性磋商文件》的组成部分。</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3.2《竞争性磋商文件》的修改将以书面形式通知所有领取《竞争性磋商文件》的投标单位，并对其具有约束力。供应商在收到上述通知后，应于 1 日内以书面形式（加盖公章）向招标代理机构予以确认。未确认情况应当视为对竞争性磋商文件修改的知晓，也将视为对修改内容接受的默认。</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3.3 为使供应商在编制《磋商响应性文件》时有充分时间对《竞争性磋商文件》的修改部分进行研究，招标代理机构可自行决定是否延长投标截止日期和推迟开标时间，并通知全部供应商。</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3.4 供应商在应当领取竞争性磋商文件的 3 日内可对竞争性磋商文件的内容提出质 疑，招标采购单位按规定时间答复，超过时间的质疑将不予接受。</w:t>
      </w:r>
    </w:p>
    <w:p>
      <w:pPr>
        <w:pStyle w:val="4"/>
        <w:ind w:firstLine="643" w:firstLineChars="200"/>
        <w:rPr>
          <w:rFonts w:hint="eastAsia" w:ascii="宋体" w:hAnsi="宋体" w:eastAsia="宋体" w:cs="宋体"/>
          <w:color w:val="auto"/>
          <w:highlight w:val="none"/>
        </w:rPr>
      </w:pPr>
      <w:bookmarkStart w:id="54" w:name="_Toc8528"/>
      <w:r>
        <w:rPr>
          <w:rFonts w:hint="eastAsia" w:ascii="宋体" w:hAnsi="宋体" w:eastAsia="宋体" w:cs="宋体"/>
          <w:color w:val="auto"/>
          <w:highlight w:val="none"/>
        </w:rPr>
        <w:t>（四）《磋商响应性文件》的编制</w:t>
      </w:r>
      <w:bookmarkEnd w:id="54"/>
    </w:p>
    <w:p>
      <w:pPr>
        <w:pStyle w:val="8"/>
        <w:kinsoku w:val="0"/>
        <w:overflowPunct w:val="0"/>
        <w:spacing w:before="124"/>
        <w:ind w:firstLine="486" w:firstLineChars="200"/>
        <w:rPr>
          <w:rFonts w:hint="eastAsia" w:ascii="宋体" w:hAnsi="宋体" w:eastAsia="宋体" w:cs="宋体"/>
          <w:color w:val="auto"/>
          <w:highlight w:val="none"/>
        </w:rPr>
      </w:pPr>
      <w:r>
        <w:rPr>
          <w:rFonts w:hint="eastAsia" w:ascii="宋体" w:hAnsi="宋体" w:eastAsia="宋体" w:cs="宋体"/>
          <w:b/>
          <w:bCs/>
          <w:color w:val="auto"/>
          <w:spacing w:val="1"/>
          <w:highlight w:val="none"/>
        </w:rPr>
        <w:t>1.</w:t>
      </w:r>
      <w:r>
        <w:rPr>
          <w:rFonts w:hint="eastAsia" w:ascii="宋体" w:hAnsi="宋体" w:eastAsia="宋体" w:cs="宋体"/>
          <w:b/>
          <w:bCs/>
          <w:color w:val="auto"/>
          <w:spacing w:val="-22"/>
          <w:highlight w:val="none"/>
        </w:rPr>
        <w:t xml:space="preserve"> </w:t>
      </w:r>
      <w:r>
        <w:rPr>
          <w:rFonts w:hint="eastAsia" w:ascii="宋体" w:hAnsi="宋体" w:eastAsia="宋体" w:cs="宋体"/>
          <w:b/>
          <w:bCs/>
          <w:color w:val="auto"/>
          <w:highlight w:val="none"/>
        </w:rPr>
        <w:t>《磋商响应性文件》编制要求</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 xml:space="preserve">1.1 供应商应仔细阅读和充分理解《竞争性磋商文件》的所有内容，并按照《竞争性磋商文件》的“磋商响应性文件格式”规定及要求内容的格式提交完整的《磋商响应性文件》。磋商响应性文件应使用中文、编排有序，并按要求编制文件目录和页码，准确标明文件内容所在位置。供应商没有对竞争性磋商文件全面做出实质性响应是供应商的风险。没有按照竞争性磋商文件要求作出实质性响应的不利后果由供应商自行承担。 </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1.2 磋商响应性文件应字迹清楚，内容齐全，不得涂改和增删。如有修改错漏处，必须由供应商法定代表人或其授权代表签字。资格证明材料的复印件应是清晰可辨并加盖供应商鲜章。</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1.3 磋商响应性文件所提供的全部资料必须真实可靠。若磋商响应性文件填报的内容资料不详，或提供了虚假资料，其磋商响应性文件为无效磋商响应性文件。</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1.4 磋商响应性文件应严格按照竞争性磋商文件格式的要求提交，并按规定的统一 格式逐项填写，不准有空项；无相应内容可填的项应填写“无”、“没有相应指标”等明确的回答文字。</w:t>
      </w:r>
    </w:p>
    <w:p>
      <w:pPr>
        <w:pStyle w:val="8"/>
        <w:kinsoku w:val="0"/>
        <w:overflowPunct w:val="0"/>
        <w:spacing w:before="35"/>
        <w:ind w:firstLine="486" w:firstLineChars="200"/>
        <w:rPr>
          <w:rFonts w:hint="eastAsia" w:ascii="宋体" w:hAnsi="宋体" w:eastAsia="宋体" w:cs="宋体"/>
          <w:color w:val="auto"/>
          <w:highlight w:val="none"/>
        </w:rPr>
      </w:pPr>
      <w:r>
        <w:rPr>
          <w:rFonts w:hint="eastAsia" w:ascii="宋体" w:hAnsi="宋体" w:eastAsia="宋体" w:cs="宋体"/>
          <w:b/>
          <w:bCs/>
          <w:color w:val="auto"/>
          <w:spacing w:val="1"/>
          <w:highlight w:val="none"/>
        </w:rPr>
        <w:t>2.</w:t>
      </w:r>
      <w:r>
        <w:rPr>
          <w:rFonts w:hint="eastAsia" w:ascii="宋体" w:hAnsi="宋体" w:eastAsia="宋体" w:cs="宋体"/>
          <w:b/>
          <w:bCs/>
          <w:color w:val="auto"/>
          <w:spacing w:val="-19"/>
          <w:highlight w:val="none"/>
        </w:rPr>
        <w:t xml:space="preserve"> </w:t>
      </w:r>
      <w:r>
        <w:rPr>
          <w:rFonts w:hint="eastAsia" w:ascii="宋体" w:hAnsi="宋体" w:eastAsia="宋体" w:cs="宋体"/>
          <w:b/>
          <w:bCs/>
          <w:color w:val="auto"/>
          <w:highlight w:val="none"/>
        </w:rPr>
        <w:t>投标语言：</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2.1 专用术语外，与招标投标有关的磋商响应性文件、投标交换的文件和往来信件应均使用中文，必要时专用术语应附有中文注释。</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2.2 磋商响应性文件中如附有外文资料，必须逐一对应翻译成中文并加盖供应商公章后附在相关外文资料后面，否则，供应商的磋商响应性文件将作为无效投标处理。</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2.3 翻译的中文资料与外文资料如果出现差异和矛盾时，以中文为准。但不能故意错误翻译，否则供应商的磋商响应性文件将作为无效投标处理。</w:t>
      </w:r>
    </w:p>
    <w:p>
      <w:pPr>
        <w:pStyle w:val="8"/>
        <w:kinsoku w:val="0"/>
        <w:overflowPunct w:val="0"/>
        <w:spacing w:before="34" w:line="356" w:lineRule="auto"/>
        <w:ind w:left="0" w:right="50" w:firstLine="480" w:firstLineChars="200"/>
        <w:rPr>
          <w:rFonts w:hint="eastAsia" w:ascii="宋体" w:hAnsi="宋体" w:eastAsia="宋体" w:cs="宋体"/>
          <w:b/>
          <w:bCs/>
          <w:color w:val="auto"/>
          <w:spacing w:val="-2"/>
          <w:highlight w:val="none"/>
        </w:rPr>
      </w:pPr>
      <w:r>
        <w:rPr>
          <w:rFonts w:hint="eastAsia" w:ascii="宋体" w:hAnsi="宋体" w:eastAsia="宋体" w:cs="宋体"/>
          <w:color w:val="auto"/>
          <w:highlight w:val="none"/>
        </w:rPr>
        <w:t xml:space="preserve"> </w:t>
      </w:r>
      <w:r>
        <w:rPr>
          <w:rFonts w:hint="eastAsia" w:ascii="宋体" w:hAnsi="宋体" w:eastAsia="宋体" w:cs="宋体"/>
          <w:b/>
          <w:bCs/>
          <w:color w:val="auto"/>
          <w:spacing w:val="-2"/>
          <w:highlight w:val="none"/>
        </w:rPr>
        <w:t>3.计量单位：</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除工程规范中另有规定外，磋商响应性文件使用的度量衡单位，均应使用中华人民共和国法定计量单位。</w:t>
      </w:r>
    </w:p>
    <w:p>
      <w:pPr>
        <w:pStyle w:val="8"/>
        <w:kinsoku w:val="0"/>
        <w:overflowPunct w:val="0"/>
        <w:spacing w:before="37"/>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4.投标货币：</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本次招标项目的投标均以人民币报价。</w:t>
      </w:r>
    </w:p>
    <w:p>
      <w:pPr>
        <w:pStyle w:val="8"/>
        <w:kinsoku w:val="0"/>
        <w:overflowPunct w:val="0"/>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5.联合投标：</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本项目不接受联合体投标。</w:t>
      </w:r>
    </w:p>
    <w:p>
      <w:pPr>
        <w:pStyle w:val="8"/>
        <w:kinsoku w:val="0"/>
        <w:overflowPunct w:val="0"/>
        <w:spacing w:before="151"/>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6.知识产权</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6.1 供应商应保证在本项目使用的任何技术成果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6.2 采购人享有本项目实施过程中产生的知识成果及知识产权。</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6.3 供应商如欲在项目实施过程中采用自有知识成果，需在磋商响应性文件中声明，并提供相关知识产权证明文件。使用该知识成果后，供应商需提供开发接口和开发手册 等技术文档，并承诺提供无限期技术支持，采购人享有永久使用权。</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6.4 如采用供应商所不拥有的知识产权，则在投标报价中必须包括合法获取该知识产权的相关费用。</w:t>
      </w:r>
    </w:p>
    <w:p>
      <w:pPr>
        <w:pStyle w:val="8"/>
        <w:kinsoku w:val="0"/>
        <w:overflowPunct w:val="0"/>
        <w:spacing w:before="26"/>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7.《磋商响应性文件》的组成</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《磋商响应性文件》应由商务文件部分（包括资格证明文件）、技术文件部分（包括技术响应、服务方案等）、投标报价及其它部分组成，所有复印件须加盖公章。按如下顺序编制：</w:t>
      </w:r>
    </w:p>
    <w:p>
      <w:pPr>
        <w:pStyle w:val="8"/>
        <w:kinsoku w:val="0"/>
        <w:overflowPunct w:val="0"/>
        <w:spacing w:before="130" w:line="355" w:lineRule="auto"/>
        <w:ind w:right="7" w:firstLine="498" w:firstLineChars="200"/>
        <w:rPr>
          <w:rFonts w:hint="eastAsia" w:ascii="宋体" w:hAnsi="宋体" w:eastAsia="宋体" w:cs="宋体"/>
          <w:b/>
          <w:color w:val="auto"/>
          <w:spacing w:val="4"/>
          <w:highlight w:val="none"/>
        </w:rPr>
      </w:pPr>
      <w:r>
        <w:rPr>
          <w:rFonts w:hint="eastAsia" w:ascii="宋体" w:hAnsi="宋体" w:eastAsia="宋体" w:cs="宋体"/>
          <w:b/>
          <w:color w:val="auto"/>
          <w:spacing w:val="4"/>
          <w:highlight w:val="none"/>
        </w:rPr>
        <w:t>7.1  商务文件部分、投标报价部分应包括：</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(1)投标函；</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 xml:space="preserve">(2)法定代表人身份证明（附法定代表人身份证复印件）； </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 xml:space="preserve">(3)授权委托书（附被授权人身份证复印件）； </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 xml:space="preserve">(4)投标保证金缴纳凭证（复印件加盖公章）； </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(5</w:t>
      </w:r>
      <w:r>
        <w:rPr>
          <w:rFonts w:hint="eastAsia" w:ascii="宋体" w:hAnsi="宋体" w:eastAsia="宋体" w:cs="宋体"/>
          <w:color w:val="auto"/>
          <w:spacing w:val="4"/>
          <w:highlight w:val="none"/>
          <w:lang w:val="en-US" w:eastAsia="zh-CN"/>
        </w:rPr>
        <w:t xml:space="preserve"> </w:t>
      </w:r>
      <w:r>
        <w:rPr>
          <w:rFonts w:hint="eastAsia" w:ascii="宋体" w:hAnsi="宋体" w:eastAsia="宋体" w:cs="宋体"/>
          <w:color w:val="auto"/>
          <w:highlight w:val="none"/>
        </w:rPr>
        <w:t>报价一览表</w:t>
      </w:r>
      <w:r>
        <w:rPr>
          <w:rFonts w:hint="eastAsia" w:ascii="宋体" w:hAnsi="宋体" w:eastAsia="宋体" w:cs="宋体"/>
          <w:color w:val="auto"/>
          <w:spacing w:val="4"/>
          <w:highlight w:val="none"/>
        </w:rPr>
        <w:t>；</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 xml:space="preserve">(6)投标报价汇总表； </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(7)供应商基本情况；</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1）供应商基本情况表；</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2）营业执照副本、税务登记证、组织机构代码证、（三证合一的提供统一社会信用代码的营业执照）、公司资质证书（复印件加盖公章）；</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3）近1年财务状况报告相关材料（复印件加盖公章）；</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4）单位社会保障缴费证明（复印件加盖公章）；</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(8)</w:t>
      </w:r>
      <w:r>
        <w:rPr>
          <w:rFonts w:hint="eastAsia" w:ascii="宋体" w:hAnsi="宋体" w:eastAsia="宋体" w:cs="宋体"/>
          <w:b/>
          <w:bCs/>
          <w:color w:val="auto"/>
          <w:spacing w:val="4"/>
          <w:highlight w:val="none"/>
        </w:rPr>
        <w:t xml:space="preserve"> </w:t>
      </w:r>
      <w:r>
        <w:rPr>
          <w:rFonts w:hint="eastAsia" w:ascii="宋体" w:hAnsi="宋体" w:eastAsia="宋体" w:cs="宋体"/>
          <w:color w:val="auto"/>
          <w:spacing w:val="4"/>
          <w:highlight w:val="none"/>
        </w:rPr>
        <w:t xml:space="preserve">一般商务条款偏离表； </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 xml:space="preserve">(9)同类项目业绩介绍； </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(10)中小企业声明函（符合本声明函填写）；</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(11)残疾人福利性单位声明函（符合本声明函填写） ；</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(12)缴纳招标代理服务费承诺书；</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(13)退还保证金说明函；</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(14)其他商务资格证明资料（格式自定）。</w:t>
      </w:r>
    </w:p>
    <w:p>
      <w:pPr>
        <w:pStyle w:val="8"/>
        <w:kinsoku w:val="0"/>
        <w:overflowPunct w:val="0"/>
        <w:spacing w:before="130" w:line="355" w:lineRule="auto"/>
        <w:ind w:right="7" w:firstLine="498" w:firstLineChars="200"/>
        <w:rPr>
          <w:rFonts w:hint="eastAsia" w:ascii="宋体" w:hAnsi="宋体" w:eastAsia="宋体" w:cs="宋体"/>
          <w:b/>
          <w:color w:val="auto"/>
          <w:spacing w:val="4"/>
          <w:highlight w:val="none"/>
        </w:rPr>
      </w:pPr>
      <w:r>
        <w:rPr>
          <w:rFonts w:hint="eastAsia" w:ascii="宋体" w:hAnsi="宋体" w:eastAsia="宋体" w:cs="宋体"/>
          <w:b/>
          <w:color w:val="auto"/>
          <w:spacing w:val="4"/>
          <w:highlight w:val="none"/>
        </w:rPr>
        <w:t>7.2 技术文件部分应包括：</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(16)项目实施方案；</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(17)供应商认为需要提交的技术资料；</w:t>
      </w:r>
    </w:p>
    <w:p>
      <w:pPr>
        <w:pStyle w:val="8"/>
        <w:kinsoku w:val="0"/>
        <w:overflowPunct w:val="0"/>
        <w:spacing w:before="130" w:line="355" w:lineRule="auto"/>
        <w:ind w:right="7" w:firstLine="498" w:firstLineChars="200"/>
        <w:rPr>
          <w:rFonts w:hint="eastAsia" w:ascii="宋体" w:hAnsi="宋体" w:eastAsia="宋体" w:cs="宋体"/>
          <w:b/>
          <w:color w:val="auto"/>
          <w:spacing w:val="4"/>
          <w:highlight w:val="none"/>
        </w:rPr>
      </w:pPr>
      <w:r>
        <w:rPr>
          <w:rFonts w:hint="eastAsia" w:ascii="宋体" w:hAnsi="宋体" w:eastAsia="宋体" w:cs="宋体"/>
          <w:b/>
          <w:color w:val="auto"/>
          <w:spacing w:val="4"/>
          <w:highlight w:val="none"/>
        </w:rPr>
        <w:t>7.3 本次投标报价要求：</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7.3.1 总价格包括完成采购范围内全部内容采购及相关伴随服务全过程的全部费用。</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7.3.2 供应商只允许在《磋商响应性文件》中有一个报价，并且在合同履行过程中是固定不变的，任何有选择或可调整的报价将不予接受，并按无效投标处理。</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7.3.3 供应商的报价作为评标的重要依据之一，但并不是本项目采购人招标、评标确定中标供应商的唯一依据。拒绝不计成本的故意压低投标报价和恶意以低价投标的行为。</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7.3.4 本项目投标报价是在符合竞争性磋商文件对项目相关要求的情况下，以最大限度的折扣价或优惠后价格的体现。</w:t>
      </w:r>
    </w:p>
    <w:p>
      <w:pPr>
        <w:pStyle w:val="8"/>
        <w:kinsoku w:val="0"/>
        <w:overflowPunct w:val="0"/>
        <w:spacing w:before="36"/>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8.磋商响应性文件格式</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8.1 供应商应按《竞争性磋商文件》的内容与要求和第六章提供的格式编写其《磋商响应性文件》，供应商不得空留或缺少任何《竞争性磋商文件》要求填写的表格或提交的资料，未列出格式的部分供应商可自行编制。</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8.2 供应商提交的《磋商响应性文件》中全部资料必须真实可靠，并接受采购人、招标代理机构对其中任何资料进一步审查的要求。</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8.3 《磋商响应性文件》的封面及密封袋封面编制格式详见附件。</w:t>
      </w:r>
    </w:p>
    <w:p>
      <w:pPr>
        <w:pStyle w:val="8"/>
        <w:kinsoku w:val="0"/>
        <w:overflowPunct w:val="0"/>
        <w:spacing w:before="151"/>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9.投标有效期</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9.1 投标有效期见本须知前附表所规定的期限，在此期限内，供应商不得要求撤销或修改其磋商响应性文件。</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9.2 在特殊情况下，采购人在原定投标有效期内，可以根据需要以书面形式向供应商提出延长投标有效期的要求，对此要求供应商须以书面形式予以答复。供应商可以拒绝采购人这种要求</w:t>
      </w:r>
      <w:bookmarkStart w:id="55" w:name="bookmark6"/>
      <w:bookmarkEnd w:id="55"/>
      <w:bookmarkStart w:id="56" w:name="（五）磋商响应性文件的提交及相关事项"/>
      <w:bookmarkEnd w:id="56"/>
      <w:r>
        <w:rPr>
          <w:rFonts w:hint="eastAsia" w:ascii="宋体" w:hAnsi="宋体" w:eastAsia="宋体" w:cs="宋体"/>
          <w:color w:val="auto"/>
          <w:spacing w:val="4"/>
          <w:highlight w:val="none"/>
        </w:rPr>
        <w:t>，而不被没收投标保证金。同意延长投标有效期的供应商既不能要求也不允许修改其磋商响应性文件，但需要相应的延长投标担保的有效期，在延长的投标有效期内须知前附表第 21 条关于投标担保的退还与没收的规定仍然适用。</w:t>
      </w:r>
    </w:p>
    <w:p>
      <w:pPr>
        <w:pStyle w:val="8"/>
        <w:kinsoku w:val="0"/>
        <w:overflowPunct w:val="0"/>
        <w:spacing w:before="37"/>
        <w:ind w:firstLine="482" w:firstLineChars="200"/>
        <w:jc w:val="both"/>
        <w:rPr>
          <w:rFonts w:hint="eastAsia" w:ascii="宋体" w:hAnsi="宋体" w:eastAsia="宋体" w:cs="宋体"/>
          <w:color w:val="auto"/>
          <w:highlight w:val="none"/>
        </w:rPr>
      </w:pPr>
      <w:r>
        <w:rPr>
          <w:rFonts w:hint="eastAsia" w:ascii="宋体" w:hAnsi="宋体" w:eastAsia="宋体" w:cs="宋体"/>
          <w:b/>
          <w:bCs/>
          <w:color w:val="auto"/>
          <w:highlight w:val="none"/>
        </w:rPr>
        <w:t>10.投标保证金</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10.1投标保证金应用投标货币即人民币，并采用下列任何一种形式：</w:t>
      </w:r>
    </w:p>
    <w:p>
      <w:pPr>
        <w:pStyle w:val="8"/>
        <w:kinsoku w:val="0"/>
        <w:overflowPunct w:val="0"/>
        <w:spacing w:before="130" w:line="355" w:lineRule="auto"/>
        <w:ind w:right="7"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投标保证金的形式：电汇、转账等形式</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均应从基本账户转出</w:t>
      </w:r>
      <w:r>
        <w:rPr>
          <w:rFonts w:hint="eastAsia" w:ascii="宋体" w:hAnsi="宋体" w:eastAsia="宋体" w:cs="宋体"/>
          <w:color w:val="auto"/>
          <w:kern w:val="0"/>
          <w:sz w:val="24"/>
          <w:szCs w:val="24"/>
          <w:highlight w:val="none"/>
          <w:lang w:eastAsia="zh-CN"/>
        </w:rPr>
        <w:t>。</w:t>
      </w:r>
    </w:p>
    <w:p>
      <w:pPr>
        <w:pStyle w:val="8"/>
        <w:kinsoku w:val="0"/>
        <w:overflowPunct w:val="0"/>
        <w:spacing w:before="130" w:line="355" w:lineRule="auto"/>
        <w:ind w:right="7"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投标保证金的金额：</w:t>
      </w:r>
      <w:r>
        <w:rPr>
          <w:rFonts w:hint="eastAsia" w:ascii="宋体" w:hAnsi="宋体" w:cs="宋体"/>
          <w:color w:val="auto"/>
          <w:kern w:val="0"/>
          <w:sz w:val="24"/>
          <w:szCs w:val="24"/>
          <w:highlight w:val="none"/>
          <w:lang w:val="en-US" w:eastAsia="zh-CN"/>
        </w:rPr>
        <w:t>6000</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lang w:val="en-US" w:eastAsia="zh-CN"/>
        </w:rPr>
        <w:t>陆仟</w:t>
      </w:r>
      <w:r>
        <w:rPr>
          <w:rFonts w:hint="eastAsia" w:ascii="宋体" w:hAnsi="宋体" w:eastAsia="宋体" w:cs="宋体"/>
          <w:color w:val="auto"/>
          <w:kern w:val="0"/>
          <w:sz w:val="24"/>
          <w:szCs w:val="24"/>
          <w:highlight w:val="none"/>
        </w:rPr>
        <w:t>圆整）</w:t>
      </w:r>
    </w:p>
    <w:p>
      <w:pPr>
        <w:pStyle w:val="8"/>
        <w:kinsoku w:val="0"/>
        <w:overflowPunct w:val="0"/>
        <w:spacing w:before="130" w:line="355" w:lineRule="auto"/>
        <w:ind w:right="7"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投标保证金必须在投标文件递交截止时间前1个工作日确保到帐</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投标人未按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文件要求提交投标保证金的，投标文件无效</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至</w:t>
      </w:r>
      <w:r>
        <w:rPr>
          <w:rFonts w:hint="eastAsia" w:ascii="宋体" w:hAnsi="宋体" w:eastAsia="宋体" w:cs="宋体"/>
          <w:color w:val="auto"/>
          <w:kern w:val="0"/>
          <w:sz w:val="24"/>
          <w:szCs w:val="24"/>
          <w:highlight w:val="none"/>
        </w:rPr>
        <w:t>以下账号：</w:t>
      </w:r>
    </w:p>
    <w:p>
      <w:pPr>
        <w:pStyle w:val="8"/>
        <w:kinsoku w:val="0"/>
        <w:overflowPunct w:val="0"/>
        <w:spacing w:before="130" w:line="355" w:lineRule="auto"/>
        <w:ind w:right="7"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单位名称：新疆信尔成工程项目管理</w:t>
      </w:r>
      <w:r>
        <w:rPr>
          <w:rFonts w:hint="eastAsia" w:ascii="宋体" w:hAnsi="宋体" w:eastAsia="宋体" w:cs="宋体"/>
          <w:color w:val="auto"/>
          <w:kern w:val="0"/>
          <w:sz w:val="24"/>
          <w:szCs w:val="24"/>
          <w:highlight w:val="none"/>
          <w:lang w:eastAsia="zh-CN"/>
        </w:rPr>
        <w:t>有</w:t>
      </w:r>
      <w:r>
        <w:rPr>
          <w:rFonts w:hint="eastAsia" w:ascii="宋体" w:hAnsi="宋体" w:eastAsia="宋体" w:cs="宋体"/>
          <w:color w:val="auto"/>
          <w:kern w:val="0"/>
          <w:sz w:val="24"/>
          <w:szCs w:val="24"/>
          <w:highlight w:val="none"/>
        </w:rPr>
        <w:t>限公司</w:t>
      </w:r>
    </w:p>
    <w:p>
      <w:pPr>
        <w:pStyle w:val="8"/>
        <w:kinsoku w:val="0"/>
        <w:overflowPunct w:val="0"/>
        <w:spacing w:before="130" w:line="355" w:lineRule="auto"/>
        <w:ind w:right="7"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开户银行：中国工商银行股份有限公司乌鲁木齐长春路支行</w:t>
      </w:r>
    </w:p>
    <w:p>
      <w:pPr>
        <w:pStyle w:val="8"/>
        <w:kinsoku w:val="0"/>
        <w:overflowPunct w:val="0"/>
        <w:spacing w:before="130" w:line="355" w:lineRule="auto"/>
        <w:ind w:right="7"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银行账号：3002 0301 0910 0074 747</w:t>
      </w:r>
    </w:p>
    <w:p>
      <w:pPr>
        <w:pStyle w:val="8"/>
        <w:kinsoku w:val="0"/>
        <w:overflowPunct w:val="0"/>
        <w:spacing w:before="130" w:line="355" w:lineRule="auto"/>
        <w:ind w:right="7"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行号：102881003011</w:t>
      </w:r>
    </w:p>
    <w:p>
      <w:pPr>
        <w:pStyle w:val="8"/>
        <w:kinsoku w:val="0"/>
        <w:overflowPunct w:val="0"/>
        <w:spacing w:before="130" w:line="355" w:lineRule="auto"/>
        <w:ind w:right="7"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投标人办理保证金时，须注明“项目名称+投标保证金”（如字数超出规定字数可简写项目名称）。</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10.2投标保证金为磋商响应性文件的重要组成部分。未按规定提交投标保证金的供应商，将被视为无效投标而予以拒绝。</w:t>
      </w:r>
    </w:p>
    <w:p>
      <w:pPr>
        <w:pStyle w:val="8"/>
        <w:kinsoku w:val="0"/>
        <w:overflowPunct w:val="0"/>
        <w:spacing w:before="130" w:line="355" w:lineRule="auto"/>
        <w:ind w:right="7"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10.3成交人的投标保证金，在成交人按规定的金额付清招标代理服务费后予以无息退还。</w:t>
      </w:r>
    </w:p>
    <w:p>
      <w:pPr>
        <w:pStyle w:val="8"/>
        <w:kinsoku w:val="0"/>
        <w:overflowPunct w:val="0"/>
        <w:spacing w:before="38"/>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10.4</w:t>
      </w:r>
      <w:r>
        <w:rPr>
          <w:rFonts w:hint="eastAsia" w:ascii="宋体" w:hAnsi="宋体" w:eastAsia="宋体" w:cs="宋体"/>
          <w:color w:val="auto"/>
          <w:spacing w:val="-60"/>
          <w:highlight w:val="none"/>
        </w:rPr>
        <w:t xml:space="preserve"> </w:t>
      </w:r>
      <w:r>
        <w:rPr>
          <w:rFonts w:hint="eastAsia" w:ascii="宋体" w:hAnsi="宋体" w:eastAsia="宋体" w:cs="宋体"/>
          <w:color w:val="auto"/>
          <w:highlight w:val="none"/>
        </w:rPr>
        <w:t>投标保证金的</w:t>
      </w:r>
      <w:r>
        <w:rPr>
          <w:rFonts w:hint="eastAsia" w:ascii="宋体" w:hAnsi="宋体" w:eastAsia="宋体" w:cs="宋体"/>
          <w:color w:val="auto"/>
          <w:spacing w:val="4"/>
          <w:highlight w:val="none"/>
        </w:rPr>
        <w:t>缴纳</w:t>
      </w:r>
      <w:r>
        <w:rPr>
          <w:rFonts w:hint="eastAsia" w:ascii="宋体" w:hAnsi="宋体" w:eastAsia="宋体" w:cs="宋体"/>
          <w:color w:val="auto"/>
          <w:highlight w:val="none"/>
        </w:rPr>
        <w:t>和退付（详见“供应商须知前附表”）。</w:t>
      </w:r>
    </w:p>
    <w:p>
      <w:pPr>
        <w:pStyle w:val="8"/>
        <w:kinsoku w:val="0"/>
        <w:overflowPunct w:val="0"/>
        <w:spacing w:before="151"/>
        <w:ind w:firstLine="482" w:firstLineChars="200"/>
        <w:jc w:val="both"/>
        <w:rPr>
          <w:rFonts w:hint="eastAsia" w:ascii="宋体" w:hAnsi="宋体" w:eastAsia="宋体" w:cs="宋体"/>
          <w:color w:val="auto"/>
          <w:highlight w:val="none"/>
        </w:rPr>
      </w:pPr>
      <w:r>
        <w:rPr>
          <w:rFonts w:hint="eastAsia" w:ascii="宋体" w:hAnsi="宋体" w:eastAsia="宋体" w:cs="宋体"/>
          <w:b/>
          <w:bCs/>
          <w:color w:val="auto"/>
          <w:highlight w:val="none"/>
        </w:rPr>
        <w:t>11.磋商响应性文件的印制和签署</w:t>
      </w:r>
    </w:p>
    <w:p>
      <w:pPr>
        <w:pStyle w:val="8"/>
        <w:kinsoku w:val="0"/>
        <w:overflowPunct w:val="0"/>
        <w:spacing w:line="355" w:lineRule="auto"/>
        <w:ind w:right="234"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11.1</w:t>
      </w:r>
      <w:r>
        <w:rPr>
          <w:rFonts w:hint="eastAsia" w:ascii="宋体" w:hAnsi="宋体" w:eastAsia="宋体" w:cs="宋体"/>
          <w:color w:val="auto"/>
          <w:spacing w:val="-60"/>
          <w:highlight w:val="none"/>
        </w:rPr>
        <w:t xml:space="preserve"> </w:t>
      </w:r>
      <w:r>
        <w:rPr>
          <w:rFonts w:hint="eastAsia" w:ascii="宋体" w:hAnsi="宋体" w:eastAsia="宋体" w:cs="宋体"/>
          <w:color w:val="auto"/>
          <w:highlight w:val="none"/>
        </w:rPr>
        <w:t>供应商应</w:t>
      </w:r>
      <w:r>
        <w:rPr>
          <w:rFonts w:hint="eastAsia" w:ascii="宋体" w:hAnsi="宋体" w:eastAsia="宋体" w:cs="宋体"/>
          <w:color w:val="auto"/>
          <w:spacing w:val="-27"/>
          <w:highlight w:val="none"/>
        </w:rPr>
        <w:t>按</w:t>
      </w:r>
      <w:r>
        <w:rPr>
          <w:rFonts w:hint="eastAsia" w:ascii="宋体" w:hAnsi="宋体" w:eastAsia="宋体" w:cs="宋体"/>
          <w:color w:val="auto"/>
          <w:highlight w:val="none"/>
        </w:rPr>
        <w:t>“供应商须知前附表</w:t>
      </w:r>
      <w:r>
        <w:rPr>
          <w:rFonts w:hint="eastAsia" w:ascii="宋体" w:hAnsi="宋体" w:eastAsia="宋体" w:cs="宋体"/>
          <w:color w:val="auto"/>
          <w:spacing w:val="-27"/>
          <w:highlight w:val="none"/>
        </w:rPr>
        <w:t>”</w:t>
      </w:r>
      <w:r>
        <w:rPr>
          <w:rFonts w:hint="eastAsia" w:ascii="宋体" w:hAnsi="宋体" w:eastAsia="宋体" w:cs="宋体"/>
          <w:color w:val="auto"/>
          <w:highlight w:val="none"/>
        </w:rPr>
        <w:t>规定的份数提</w:t>
      </w:r>
      <w:r>
        <w:rPr>
          <w:rFonts w:hint="eastAsia" w:ascii="宋体" w:hAnsi="宋体" w:eastAsia="宋体" w:cs="宋体"/>
          <w:color w:val="auto"/>
          <w:spacing w:val="-29"/>
          <w:highlight w:val="none"/>
        </w:rPr>
        <w:t>交</w:t>
      </w:r>
      <w:r>
        <w:rPr>
          <w:rFonts w:hint="eastAsia" w:ascii="宋体" w:hAnsi="宋体" w:eastAsia="宋体" w:cs="宋体"/>
          <w:color w:val="auto"/>
          <w:highlight w:val="none"/>
        </w:rPr>
        <w:t>《磋商响应性文</w:t>
      </w:r>
      <w:r>
        <w:rPr>
          <w:rFonts w:hint="eastAsia" w:ascii="宋体" w:hAnsi="宋体" w:eastAsia="宋体" w:cs="宋体"/>
          <w:color w:val="auto"/>
          <w:spacing w:val="2"/>
          <w:highlight w:val="none"/>
        </w:rPr>
        <w:t>件</w:t>
      </w:r>
      <w:r>
        <w:rPr>
          <w:rFonts w:hint="eastAsia" w:ascii="宋体" w:hAnsi="宋体" w:eastAsia="宋体" w:cs="宋体"/>
          <w:color w:val="auto"/>
          <w:spacing w:val="-29"/>
          <w:highlight w:val="none"/>
        </w:rPr>
        <w:t>》</w:t>
      </w:r>
      <w:r>
        <w:rPr>
          <w:rFonts w:hint="eastAsia" w:ascii="宋体" w:hAnsi="宋体" w:eastAsia="宋体" w:cs="宋体"/>
          <w:color w:val="auto"/>
          <w:highlight w:val="none"/>
        </w:rPr>
        <w:t>一正</w:t>
      </w: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副</w:t>
      </w:r>
      <w:r>
        <w:rPr>
          <w:rFonts w:hint="eastAsia" w:ascii="宋体" w:hAnsi="宋体" w:eastAsia="宋体" w:cs="宋体"/>
          <w:color w:val="auto"/>
          <w:spacing w:val="-2"/>
          <w:highlight w:val="none"/>
        </w:rPr>
        <w:t>，</w:t>
      </w:r>
      <w:r>
        <w:rPr>
          <w:rFonts w:hint="eastAsia" w:ascii="宋体" w:hAnsi="宋体" w:eastAsia="宋体" w:cs="宋体"/>
          <w:color w:val="auto"/>
          <w:highlight w:val="none"/>
        </w:rPr>
        <w:t>电子版（正本扫描件、PDF格式）</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份。</w:t>
      </w:r>
    </w:p>
    <w:p>
      <w:pPr>
        <w:pStyle w:val="8"/>
        <w:kinsoku w:val="0"/>
        <w:overflowPunct w:val="0"/>
        <w:spacing w:before="38" w:line="356" w:lineRule="auto"/>
        <w:ind w:right="238"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11.2 《磋商响应性文件》的正本和副本均需打印或使用不褪色墨水笔书写，字迹</w:t>
      </w:r>
      <w:r>
        <w:rPr>
          <w:rFonts w:hint="eastAsia" w:ascii="宋体" w:hAnsi="宋体" w:eastAsia="宋体" w:cs="宋体"/>
          <w:color w:val="auto"/>
          <w:spacing w:val="-2"/>
          <w:highlight w:val="none"/>
        </w:rPr>
        <w:t>应清晰易于辨认，并应在《磋商响应性文件》封面的右上角清楚地注明“正本”或“副</w:t>
      </w:r>
      <w:r>
        <w:rPr>
          <w:rFonts w:hint="eastAsia" w:ascii="宋体" w:hAnsi="宋体" w:eastAsia="宋体" w:cs="宋体"/>
          <w:color w:val="auto"/>
          <w:highlight w:val="none"/>
        </w:rPr>
        <w:t>本”。正本和副本如有不一致之处，以正本为准。</w:t>
      </w:r>
    </w:p>
    <w:p>
      <w:pPr>
        <w:pStyle w:val="8"/>
        <w:kinsoku w:val="0"/>
        <w:overflowPunct w:val="0"/>
        <w:spacing w:before="37" w:line="355" w:lineRule="auto"/>
        <w:ind w:right="238"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11.3 《磋商响应性文件》的正本和副本均应在签字盖章处加盖投标单位公章，并</w:t>
      </w:r>
      <w:r>
        <w:rPr>
          <w:rFonts w:hint="eastAsia" w:ascii="宋体" w:hAnsi="宋体" w:eastAsia="宋体" w:cs="宋体"/>
          <w:color w:val="auto"/>
          <w:spacing w:val="-2"/>
          <w:highlight w:val="none"/>
        </w:rPr>
        <w:t>经法定代表人或被授权人签字或盖章的《磋商响应性文件》，《磋商响应性文件》中</w:t>
      </w:r>
      <w:r>
        <w:rPr>
          <w:rFonts w:hint="eastAsia" w:ascii="宋体" w:hAnsi="宋体" w:eastAsia="宋体" w:cs="宋体"/>
          <w:color w:val="auto"/>
          <w:highlight w:val="none"/>
        </w:rPr>
        <w:t>须同时提交“委托授权书”。</w:t>
      </w:r>
    </w:p>
    <w:p>
      <w:pPr>
        <w:pStyle w:val="8"/>
        <w:kinsoku w:val="0"/>
        <w:overflowPunct w:val="0"/>
        <w:spacing w:before="38" w:line="357" w:lineRule="auto"/>
        <w:ind w:right="238"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11.4 除供应商对错误处须修改外，全套《磋商响应性文件》应无涂改或行间插字</w:t>
      </w:r>
      <w:r>
        <w:rPr>
          <w:rFonts w:hint="eastAsia" w:ascii="宋体" w:hAnsi="宋体" w:eastAsia="宋体" w:cs="宋体"/>
          <w:color w:val="auto"/>
          <w:spacing w:val="-2"/>
          <w:highlight w:val="none"/>
        </w:rPr>
        <w:t>和增删。如有修改，修改处应由供应商加盖投标单位的印章或由《磋商响应性文件》签</w:t>
      </w:r>
      <w:r>
        <w:rPr>
          <w:rFonts w:hint="eastAsia" w:ascii="宋体" w:hAnsi="宋体" w:eastAsia="宋体" w:cs="宋体"/>
          <w:color w:val="auto"/>
          <w:highlight w:val="none"/>
        </w:rPr>
        <w:t>字人签字或盖章</w:t>
      </w:r>
      <w:r>
        <w:rPr>
          <w:rFonts w:hint="eastAsia" w:ascii="宋体" w:hAnsi="宋体" w:eastAsia="宋体" w:cs="宋体"/>
          <w:color w:val="auto"/>
          <w:spacing w:val="-27"/>
          <w:highlight w:val="none"/>
        </w:rPr>
        <w:t>。</w:t>
      </w:r>
      <w:r>
        <w:rPr>
          <w:rFonts w:hint="eastAsia" w:ascii="宋体" w:hAnsi="宋体" w:eastAsia="宋体" w:cs="宋体"/>
          <w:color w:val="auto"/>
          <w:highlight w:val="none"/>
        </w:rPr>
        <w:t>字迹潦草</w:t>
      </w:r>
      <w:r>
        <w:rPr>
          <w:rFonts w:hint="eastAsia" w:ascii="宋体" w:hAnsi="宋体" w:eastAsia="宋体" w:cs="宋体"/>
          <w:color w:val="auto"/>
          <w:spacing w:val="-24"/>
          <w:highlight w:val="none"/>
        </w:rPr>
        <w:t>、</w:t>
      </w:r>
      <w:r>
        <w:rPr>
          <w:rFonts w:hint="eastAsia" w:ascii="宋体" w:hAnsi="宋体" w:eastAsia="宋体" w:cs="宋体"/>
          <w:color w:val="auto"/>
          <w:highlight w:val="none"/>
        </w:rPr>
        <w:t>表达不清或可能导致非唯一理解的磋商响应性文件可能视为无效投标。</w:t>
      </w:r>
    </w:p>
    <w:p>
      <w:pPr>
        <w:pStyle w:val="8"/>
        <w:kinsoku w:val="0"/>
        <w:overflowPunct w:val="0"/>
        <w:spacing w:before="34" w:line="357" w:lineRule="auto"/>
        <w:ind w:right="30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11.5 《磋商响应性文件》的印制应采用70克以上的复印纸打印，采用胶装方式装订，即不可抽取调换内页的书式平装方式，无脱落无散页，有目录、有页码。</w:t>
      </w:r>
    </w:p>
    <w:p>
      <w:pPr>
        <w:pStyle w:val="8"/>
        <w:kinsoku w:val="0"/>
        <w:overflowPunct w:val="0"/>
        <w:spacing w:before="34" w:line="357" w:lineRule="auto"/>
        <w:ind w:right="30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11.6 《磋商响应性文件》应根据《竞争性磋商文件》的要求签署、盖章及密封，内容应完整详细，如有遗漏，将被视为无效投标。</w:t>
      </w:r>
    </w:p>
    <w:p>
      <w:pPr>
        <w:pStyle w:val="4"/>
        <w:ind w:firstLine="643" w:firstLineChars="200"/>
        <w:rPr>
          <w:rFonts w:hint="eastAsia" w:ascii="宋体" w:hAnsi="宋体" w:eastAsia="宋体" w:cs="宋体"/>
          <w:color w:val="auto"/>
          <w:highlight w:val="none"/>
        </w:rPr>
      </w:pPr>
      <w:bookmarkStart w:id="57" w:name="_Toc32099"/>
      <w:r>
        <w:rPr>
          <w:rFonts w:hint="eastAsia" w:ascii="宋体" w:hAnsi="宋体" w:eastAsia="宋体" w:cs="宋体"/>
          <w:color w:val="auto"/>
          <w:highlight w:val="none"/>
        </w:rPr>
        <w:t>（五）磋商响应性文件的提交及相关事项</w:t>
      </w:r>
      <w:bookmarkEnd w:id="57"/>
    </w:p>
    <w:p>
      <w:pPr>
        <w:pStyle w:val="8"/>
        <w:kinsoku w:val="0"/>
        <w:overflowPunct w:val="0"/>
        <w:spacing w:before="151"/>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1.磋商响应性文件的密封和标记</w:t>
      </w:r>
    </w:p>
    <w:p>
      <w:pPr>
        <w:pStyle w:val="8"/>
        <w:kinsoku w:val="0"/>
        <w:overflowPunct w:val="0"/>
        <w:spacing w:before="34" w:line="357" w:lineRule="auto"/>
        <w:ind w:right="30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1.1磋商响应性文件正本与副本应</w:t>
      </w:r>
      <w:r>
        <w:rPr>
          <w:rFonts w:hint="eastAsia" w:ascii="宋体" w:hAnsi="宋体" w:eastAsia="宋体" w:cs="宋体"/>
          <w:color w:val="auto"/>
          <w:highlight w:val="none"/>
          <w:lang w:val="en-US" w:eastAsia="zh-CN"/>
        </w:rPr>
        <w:t>分别</w:t>
      </w:r>
      <w:r>
        <w:rPr>
          <w:rFonts w:hint="eastAsia" w:ascii="宋体" w:hAnsi="宋体" w:eastAsia="宋体" w:cs="宋体"/>
          <w:color w:val="auto"/>
          <w:highlight w:val="none"/>
        </w:rPr>
        <w:t>密封，并加贴“密封”字样封条，在封套的封口处应加盖单位公章。供应商未按此要求采用其他包装的，将造成磋商响应性文件被拒收。</w:t>
      </w:r>
    </w:p>
    <w:p>
      <w:pPr>
        <w:pStyle w:val="8"/>
        <w:kinsoku w:val="0"/>
        <w:overflowPunct w:val="0"/>
        <w:spacing w:before="34" w:line="357" w:lineRule="auto"/>
        <w:ind w:right="30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1.2在封套上注明项目名称、项目编号及“在</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r>
        <w:rPr>
          <w:rFonts w:hint="eastAsia" w:ascii="宋体" w:hAnsi="宋体" w:eastAsia="宋体" w:cs="宋体"/>
          <w:color w:val="auto"/>
          <w:highlight w:val="none"/>
          <w:u w:val="single"/>
        </w:rPr>
        <w:tab/>
      </w:r>
      <w:r>
        <w:rPr>
          <w:rFonts w:hint="eastAsia" w:ascii="宋体" w:hAnsi="宋体" w:eastAsia="宋体" w:cs="宋体"/>
          <w:color w:val="auto"/>
          <w:highlight w:val="none"/>
        </w:rPr>
        <w:t>时</w:t>
      </w:r>
      <w:r>
        <w:rPr>
          <w:rFonts w:hint="eastAsia" w:ascii="宋体" w:hAnsi="宋体" w:eastAsia="宋体" w:cs="宋体"/>
          <w:color w:val="auto"/>
          <w:highlight w:val="none"/>
          <w:u w:val="single"/>
        </w:rPr>
        <w:tab/>
      </w:r>
      <w:r>
        <w:rPr>
          <w:rFonts w:hint="eastAsia" w:ascii="宋体" w:hAnsi="宋体" w:eastAsia="宋体" w:cs="宋体"/>
          <w:color w:val="auto"/>
          <w:highlight w:val="none"/>
        </w:rPr>
        <w:t>分之前不得启封”字样。</w:t>
      </w:r>
    </w:p>
    <w:p>
      <w:pPr>
        <w:pStyle w:val="8"/>
        <w:kinsoku w:val="0"/>
        <w:overflowPunct w:val="0"/>
        <w:spacing w:before="34" w:line="357" w:lineRule="auto"/>
        <w:ind w:right="30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1.3未按本章第1.1项或1.2项密封和加写标记的磋商响应性文件, 造成磋商响应性文件被拒收的不利后果由供应商自行承担。</w:t>
      </w:r>
    </w:p>
    <w:p>
      <w:pPr>
        <w:pStyle w:val="8"/>
        <w:kinsoku w:val="0"/>
        <w:overflowPunct w:val="0"/>
        <w:spacing w:before="34" w:line="357" w:lineRule="auto"/>
        <w:ind w:right="30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1.4供应商必须将“电子版U盘”与“</w:t>
      </w:r>
      <w:r>
        <w:rPr>
          <w:rFonts w:hint="eastAsia" w:ascii="宋体" w:hAnsi="宋体" w:eastAsia="宋体" w:cs="宋体"/>
          <w:color w:val="auto"/>
          <w:highlight w:val="none"/>
          <w:lang w:eastAsia="zh-CN"/>
        </w:rPr>
        <w:t>正本</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共同</w:t>
      </w:r>
      <w:r>
        <w:rPr>
          <w:rFonts w:hint="eastAsia" w:ascii="宋体" w:hAnsi="宋体" w:eastAsia="宋体" w:cs="宋体"/>
          <w:color w:val="auto"/>
          <w:highlight w:val="none"/>
        </w:rPr>
        <w:t>密封提交，</w:t>
      </w:r>
      <w:r>
        <w:rPr>
          <w:rFonts w:hint="eastAsia" w:ascii="宋体" w:hAnsi="宋体" w:eastAsia="宋体" w:cs="宋体"/>
          <w:color w:val="auto"/>
          <w:highlight w:val="none"/>
          <w:lang w:val="en-US" w:eastAsia="zh-CN"/>
        </w:rPr>
        <w:t>报价一览表单独密封，</w:t>
      </w:r>
      <w:r>
        <w:rPr>
          <w:rFonts w:hint="eastAsia" w:ascii="宋体" w:hAnsi="宋体" w:eastAsia="宋体" w:cs="宋体"/>
          <w:color w:val="auto"/>
          <w:highlight w:val="none"/>
        </w:rPr>
        <w:t>并在封面上注明项目名称、项目编号、投标单位名称（并加盖公章）及“在</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分之前不得启封”字样。密封后粘贴密封条。</w:t>
      </w:r>
    </w:p>
    <w:p>
      <w:pPr>
        <w:pStyle w:val="8"/>
        <w:kinsoku w:val="0"/>
        <w:overflowPunct w:val="0"/>
        <w:spacing w:before="34" w:line="357" w:lineRule="auto"/>
        <w:ind w:right="30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1.5 如果封口处未按要求密封和加写标记，招标代理机构对误投或过早启封概不负责。</w:t>
      </w:r>
    </w:p>
    <w:p>
      <w:pPr>
        <w:pStyle w:val="8"/>
        <w:kinsoku w:val="0"/>
        <w:overflowPunct w:val="0"/>
        <w:spacing w:before="151"/>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2.磋商响应性文件的提交</w:t>
      </w:r>
    </w:p>
    <w:p>
      <w:pPr>
        <w:pStyle w:val="8"/>
        <w:kinsoku w:val="0"/>
        <w:overflowPunct w:val="0"/>
        <w:spacing w:before="34" w:line="357" w:lineRule="auto"/>
        <w:ind w:right="30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2.1 供应商应按本须知前附表所规定的地点，于递交截止时间前提交磋商响应性文 件。</w:t>
      </w:r>
    </w:p>
    <w:p>
      <w:pPr>
        <w:pStyle w:val="8"/>
        <w:kinsoku w:val="0"/>
        <w:overflowPunct w:val="0"/>
        <w:spacing w:before="34" w:line="357" w:lineRule="auto"/>
        <w:ind w:right="30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2.2 投标截止时间为《竞争性磋商文件》“供应商须知前附表”中规定时间，逾期送达的、未按竞争性磋商文件要求密封的《磋商响应性文件》招标代理机构和采购人概不接受。</w:t>
      </w:r>
    </w:p>
    <w:p>
      <w:pPr>
        <w:pStyle w:val="8"/>
        <w:kinsoku w:val="0"/>
        <w:overflowPunct w:val="0"/>
        <w:spacing w:before="34" w:line="357" w:lineRule="auto"/>
        <w:ind w:right="30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2.3 采购人可按本须知规定以修改补充通知的方式，酌情延长提交磋商响应性文件 的截止时间。在此情况下，供应商的所有权利和义务以及供应商受制约的截止时间，均以延长后新的投标截止时间为准。</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2.4 到投标截止时间止，采购人收到的磋商响应性文件少于</w:t>
      </w:r>
      <w:r>
        <w:rPr>
          <w:rFonts w:hint="eastAsia" w:ascii="宋体" w:hAnsi="宋体" w:eastAsia="宋体" w:cs="宋体"/>
          <w:color w:val="auto"/>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color w:val="auto"/>
          <w:highlight w:val="none"/>
        </w:rPr>
        <w:t>规定的家数，采购人将依法重新组织招标。</w:t>
      </w:r>
    </w:p>
    <w:p>
      <w:pPr>
        <w:pStyle w:val="8"/>
        <w:kinsoku w:val="0"/>
        <w:overflowPunct w:val="0"/>
        <w:spacing w:before="34" w:line="357" w:lineRule="auto"/>
        <w:ind w:right="30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2.5 本次招标不接受邮寄的磋商响应性文件。</w:t>
      </w:r>
    </w:p>
    <w:p>
      <w:pPr>
        <w:pStyle w:val="8"/>
        <w:kinsoku w:val="0"/>
        <w:overflowPunct w:val="0"/>
        <w:spacing w:before="151"/>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3.投标截止时间 </w:t>
      </w:r>
    </w:p>
    <w:p>
      <w:pPr>
        <w:pStyle w:val="8"/>
        <w:kinsoku w:val="0"/>
        <w:overflowPunct w:val="0"/>
        <w:spacing w:before="34" w:line="357" w:lineRule="auto"/>
        <w:ind w:right="30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投标截止时间为“供应商须知前附表”中规定时间。</w:t>
      </w:r>
    </w:p>
    <w:p>
      <w:pPr>
        <w:pStyle w:val="8"/>
        <w:kinsoku w:val="0"/>
        <w:overflowPunct w:val="0"/>
        <w:spacing w:before="34" w:line="357" w:lineRule="auto"/>
        <w:ind w:left="598" w:right="101" w:firstLine="482" w:firstLineChars="200"/>
        <w:rPr>
          <w:rFonts w:hint="eastAsia" w:ascii="宋体" w:hAnsi="宋体" w:eastAsia="宋体" w:cs="宋体"/>
          <w:b/>
          <w:bCs/>
          <w:color w:val="auto"/>
          <w:spacing w:val="27"/>
          <w:w w:val="99"/>
          <w:highlight w:val="none"/>
        </w:rPr>
      </w:pPr>
      <w:r>
        <w:rPr>
          <w:rFonts w:hint="eastAsia" w:ascii="宋体" w:hAnsi="宋体" w:eastAsia="宋体" w:cs="宋体"/>
          <w:b/>
          <w:bCs/>
          <w:color w:val="auto"/>
          <w:highlight w:val="none"/>
        </w:rPr>
        <w:t>4.迟交的磋商响应性文件</w:t>
      </w:r>
      <w:r>
        <w:rPr>
          <w:rFonts w:hint="eastAsia" w:ascii="宋体" w:hAnsi="宋体" w:eastAsia="宋体" w:cs="宋体"/>
          <w:b/>
          <w:bCs/>
          <w:color w:val="auto"/>
          <w:spacing w:val="27"/>
          <w:w w:val="99"/>
          <w:highlight w:val="none"/>
        </w:rPr>
        <w:t xml:space="preserve"> </w:t>
      </w:r>
    </w:p>
    <w:p>
      <w:pPr>
        <w:pStyle w:val="8"/>
        <w:kinsoku w:val="0"/>
        <w:overflowPunct w:val="0"/>
        <w:spacing w:before="34" w:line="357" w:lineRule="auto"/>
        <w:ind w:right="30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采购人将拒绝并退回在其规定的截止时间后收到的任何磋商响应性文件。</w:t>
      </w:r>
    </w:p>
    <w:p>
      <w:pPr>
        <w:pStyle w:val="8"/>
        <w:kinsoku w:val="0"/>
        <w:overflowPunct w:val="0"/>
        <w:spacing w:before="34" w:line="357" w:lineRule="auto"/>
        <w:ind w:left="598" w:right="101"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5.磋商响应性文件的补充、修改与撤回</w:t>
      </w:r>
    </w:p>
    <w:p>
      <w:pPr>
        <w:pStyle w:val="8"/>
        <w:kinsoku w:val="0"/>
        <w:overflowPunct w:val="0"/>
        <w:spacing w:before="34" w:line="357" w:lineRule="auto"/>
        <w:ind w:right="30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5.1 供应商在提交磋商响应性文件以后，在规定的投标截止时间之前，可以书面形式补充修改或撤回已提交的磋商响应性文件，并以书面形式通知采购人。补充、修改的内容为磋商响应性文件的组成部分。</w:t>
      </w:r>
    </w:p>
    <w:p>
      <w:pPr>
        <w:pStyle w:val="8"/>
        <w:kinsoku w:val="0"/>
        <w:overflowPunct w:val="0"/>
        <w:spacing w:before="34" w:line="357" w:lineRule="auto"/>
        <w:ind w:right="30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5.2 供应商对磋商响应性文件的补充、修改，应按本须知有关规定密封、标记和提交，并在内外层磋商响应性文件密封袋上清楚标明“补充、修改”或“撤回”字样。</w:t>
      </w:r>
    </w:p>
    <w:p>
      <w:pPr>
        <w:pStyle w:val="8"/>
        <w:kinsoku w:val="0"/>
        <w:overflowPunct w:val="0"/>
        <w:spacing w:before="34" w:line="357" w:lineRule="auto"/>
        <w:ind w:right="30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5.3 在投标截止时间之后，供应商不得补充、修改磋商响应性文件。</w:t>
      </w:r>
    </w:p>
    <w:p>
      <w:pPr>
        <w:pStyle w:val="8"/>
        <w:kinsoku w:val="0"/>
        <w:overflowPunct w:val="0"/>
        <w:spacing w:before="34" w:line="357" w:lineRule="auto"/>
        <w:ind w:right="30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5.4 在投标截止时间至投标有效期满之前，供应商不得撤回其磋商响应性文件，否则其投标保证金将被没收。</w:t>
      </w:r>
    </w:p>
    <w:p>
      <w:pPr>
        <w:pStyle w:val="4"/>
        <w:ind w:firstLine="643" w:firstLineChars="200"/>
        <w:rPr>
          <w:rFonts w:hint="eastAsia" w:ascii="宋体" w:hAnsi="宋体" w:eastAsia="宋体" w:cs="宋体"/>
          <w:color w:val="auto"/>
          <w:highlight w:val="none"/>
          <w:lang w:eastAsia="zh-CN"/>
        </w:rPr>
      </w:pPr>
      <w:bookmarkStart w:id="58" w:name="_Toc1690"/>
      <w:r>
        <w:rPr>
          <w:rFonts w:hint="eastAsia" w:ascii="宋体" w:hAnsi="宋体" w:eastAsia="宋体" w:cs="宋体"/>
          <w:color w:val="auto"/>
          <w:highlight w:val="none"/>
        </w:rPr>
        <w:t>（</w:t>
      </w:r>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磋商</w:t>
      </w:r>
      <w:bookmarkEnd w:id="58"/>
    </w:p>
    <w:p>
      <w:pPr>
        <w:pStyle w:val="8"/>
        <w:kinsoku w:val="0"/>
        <w:overflowPunct w:val="0"/>
        <w:spacing w:before="35"/>
        <w:ind w:firstLine="486" w:firstLineChars="200"/>
        <w:rPr>
          <w:rFonts w:hint="eastAsia" w:ascii="宋体" w:hAnsi="宋体" w:eastAsia="宋体" w:cs="宋体"/>
          <w:b/>
          <w:bCs/>
          <w:color w:val="auto"/>
          <w:spacing w:val="1"/>
          <w:highlight w:val="none"/>
        </w:rPr>
      </w:pPr>
      <w:r>
        <w:rPr>
          <w:rFonts w:hint="eastAsia" w:ascii="宋体" w:hAnsi="宋体" w:eastAsia="宋体" w:cs="宋体"/>
          <w:b/>
          <w:bCs/>
          <w:color w:val="auto"/>
          <w:spacing w:val="1"/>
          <w:highlight w:val="none"/>
        </w:rPr>
        <w:t>1.磋商小组</w:t>
      </w:r>
    </w:p>
    <w:p>
      <w:pPr>
        <w:pStyle w:val="8"/>
        <w:tabs>
          <w:tab w:val="left" w:pos="1080"/>
        </w:tabs>
        <w:kinsoku w:val="0"/>
        <w:overflowPunct w:val="0"/>
        <w:spacing w:before="26" w:line="355" w:lineRule="auto"/>
        <w:ind w:right="23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1.1</w:t>
      </w:r>
      <w:r>
        <w:rPr>
          <w:rFonts w:hint="eastAsia" w:ascii="宋体" w:hAnsi="宋体" w:eastAsia="宋体" w:cs="宋体"/>
          <w:color w:val="auto"/>
          <w:highlight w:val="none"/>
        </w:rPr>
        <w:tab/>
      </w:r>
      <w:r>
        <w:rPr>
          <w:rFonts w:hint="eastAsia" w:ascii="宋体" w:hAnsi="宋体" w:eastAsia="宋体" w:cs="宋体"/>
          <w:color w:val="auto"/>
          <w:spacing w:val="1"/>
          <w:highlight w:val="none"/>
        </w:rPr>
        <w:t>评标由采购人依法组建的磋商小组负责。磋商小组由采购人熟悉相关业务</w:t>
      </w:r>
      <w:r>
        <w:rPr>
          <w:rFonts w:hint="eastAsia" w:ascii="宋体" w:hAnsi="宋体" w:eastAsia="宋体" w:cs="宋体"/>
          <w:color w:val="auto"/>
          <w:highlight w:val="none"/>
        </w:rPr>
        <w:t>的代表，以及有关技术、经济等方面的专家三人的单数组成。</w:t>
      </w:r>
    </w:p>
    <w:p>
      <w:pPr>
        <w:pStyle w:val="8"/>
        <w:tabs>
          <w:tab w:val="left" w:pos="1438"/>
        </w:tabs>
        <w:kinsoku w:val="0"/>
        <w:overflowPunct w:val="0"/>
        <w:spacing w:before="36"/>
        <w:ind w:left="598"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1.2 磋商小组成员有下列情形之一的，应当回避；</w:t>
      </w:r>
    </w:p>
    <w:p>
      <w:pPr>
        <w:pStyle w:val="8"/>
        <w:kinsoku w:val="0"/>
        <w:overflowPunct w:val="0"/>
        <w:ind w:left="598"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（1）采购人或供应商的主要负责人的近亲属。</w:t>
      </w:r>
    </w:p>
    <w:p>
      <w:pPr>
        <w:pStyle w:val="8"/>
        <w:kinsoku w:val="0"/>
        <w:overflowPunct w:val="0"/>
        <w:ind w:left="598"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（2）项目主管部门或者行政监督部门的人员。</w:t>
      </w:r>
    </w:p>
    <w:p>
      <w:pPr>
        <w:pStyle w:val="8"/>
        <w:kinsoku w:val="0"/>
        <w:overflowPunct w:val="0"/>
        <w:spacing w:before="151"/>
        <w:ind w:left="598"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（3）与供应商有经济利益关系，可能影响对投标公正评审的。</w:t>
      </w:r>
    </w:p>
    <w:p>
      <w:pPr>
        <w:pStyle w:val="8"/>
        <w:kinsoku w:val="0"/>
        <w:overflowPunct w:val="0"/>
        <w:spacing w:line="355" w:lineRule="auto"/>
        <w:ind w:right="50" w:firstLine="484" w:firstLineChars="200"/>
        <w:rPr>
          <w:rFonts w:hint="eastAsia" w:ascii="宋体" w:hAnsi="宋体" w:eastAsia="宋体" w:cs="宋体"/>
          <w:color w:val="auto"/>
          <w:highlight w:val="none"/>
        </w:rPr>
      </w:pPr>
      <w:r>
        <w:rPr>
          <w:rFonts w:hint="eastAsia" w:ascii="宋体" w:hAnsi="宋体" w:eastAsia="宋体" w:cs="宋体"/>
          <w:color w:val="auto"/>
          <w:spacing w:val="1"/>
          <w:highlight w:val="none"/>
        </w:rPr>
        <w:t>（4）曾因在招标、评标以及其他与招标投标有关活动中从事违法行为而受过行政</w:t>
      </w:r>
      <w:r>
        <w:rPr>
          <w:rFonts w:hint="eastAsia" w:ascii="宋体" w:hAnsi="宋体" w:eastAsia="宋体" w:cs="宋体"/>
          <w:color w:val="auto"/>
          <w:highlight w:val="none"/>
        </w:rPr>
        <w:t>处罚或刑事处罚的。</w:t>
      </w:r>
    </w:p>
    <w:p>
      <w:pPr>
        <w:pStyle w:val="8"/>
        <w:kinsoku w:val="0"/>
        <w:overflowPunct w:val="0"/>
        <w:spacing w:before="34" w:line="357" w:lineRule="auto"/>
        <w:ind w:right="30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（5）其它可能影响公正评标的情形。</w:t>
      </w:r>
    </w:p>
    <w:p>
      <w:pPr>
        <w:pStyle w:val="8"/>
        <w:kinsoku w:val="0"/>
        <w:overflowPunct w:val="0"/>
        <w:spacing w:before="35"/>
        <w:ind w:firstLine="486" w:firstLineChars="200"/>
        <w:rPr>
          <w:rFonts w:hint="eastAsia" w:ascii="宋体" w:hAnsi="宋体" w:eastAsia="宋体" w:cs="宋体"/>
          <w:b/>
          <w:bCs/>
          <w:color w:val="auto"/>
          <w:spacing w:val="1"/>
          <w:highlight w:val="none"/>
        </w:rPr>
      </w:pPr>
      <w:r>
        <w:rPr>
          <w:rFonts w:hint="eastAsia" w:ascii="宋体" w:hAnsi="宋体" w:eastAsia="宋体" w:cs="宋体"/>
          <w:b/>
          <w:bCs/>
          <w:color w:val="auto"/>
          <w:spacing w:val="1"/>
          <w:highlight w:val="none"/>
        </w:rPr>
        <w:t>2.评标原则</w:t>
      </w:r>
    </w:p>
    <w:p>
      <w:pPr>
        <w:pStyle w:val="8"/>
        <w:tabs>
          <w:tab w:val="left" w:pos="1080"/>
        </w:tabs>
        <w:kinsoku w:val="0"/>
        <w:overflowPunct w:val="0"/>
        <w:spacing w:before="26" w:line="355" w:lineRule="auto"/>
        <w:ind w:right="23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 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8"/>
        <w:tabs>
          <w:tab w:val="left" w:pos="1080"/>
        </w:tabs>
        <w:kinsoku w:val="0"/>
        <w:overflowPunct w:val="0"/>
        <w:spacing w:before="26" w:line="355" w:lineRule="auto"/>
        <w:ind w:right="23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 项目实施机构成立磋商小组，负责本次项目采购的磋商工作，磋商小组由业主代表与技术、经济等方面专家组成共3人以上组成，其中评审专家人数不得少于磋商小组成员总数的2/3。评审专家应当从政府采购评审庄家库内相关专业的专家名单中随机抽取，符合本办法（财库214号文）第三条第四项规定情形的项目，以及特殊情况。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pPr>
        <w:pStyle w:val="8"/>
        <w:tabs>
          <w:tab w:val="left" w:pos="1080"/>
        </w:tabs>
        <w:kinsoku w:val="0"/>
        <w:overflowPunct w:val="0"/>
        <w:spacing w:before="26" w:line="355" w:lineRule="auto"/>
        <w:ind w:right="23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8"/>
        <w:kinsoku w:val="0"/>
        <w:overflowPunct w:val="0"/>
        <w:spacing w:before="35" w:line="357" w:lineRule="auto"/>
        <w:ind w:right="238" w:firstLine="458" w:firstLineChars="200"/>
        <w:rPr>
          <w:rFonts w:hint="eastAsia" w:ascii="宋体" w:hAnsi="宋体" w:eastAsia="宋体" w:cs="宋体"/>
          <w:b/>
          <w:bCs/>
          <w:color w:val="auto"/>
          <w:spacing w:val="22"/>
          <w:w w:val="99"/>
          <w:highlight w:val="none"/>
        </w:rPr>
      </w:pPr>
      <w:r>
        <w:rPr>
          <w:rFonts w:hint="eastAsia" w:ascii="宋体" w:hAnsi="宋体" w:eastAsia="宋体" w:cs="宋体"/>
          <w:b/>
          <w:bCs/>
          <w:color w:val="auto"/>
          <w:w w:val="95"/>
          <w:highlight w:val="none"/>
        </w:rPr>
        <w:t>3.</w:t>
      </w:r>
      <w:r>
        <w:rPr>
          <w:rFonts w:hint="eastAsia" w:ascii="宋体" w:hAnsi="宋体" w:eastAsia="宋体" w:cs="宋体"/>
          <w:b/>
          <w:bCs/>
          <w:color w:val="auto"/>
          <w:highlight w:val="none"/>
        </w:rPr>
        <w:t>评标</w:t>
      </w:r>
      <w:r>
        <w:rPr>
          <w:rFonts w:hint="eastAsia" w:ascii="宋体" w:hAnsi="宋体" w:eastAsia="宋体" w:cs="宋体"/>
          <w:b/>
          <w:bCs/>
          <w:color w:val="auto"/>
          <w:spacing w:val="22"/>
          <w:w w:val="99"/>
          <w:highlight w:val="none"/>
        </w:rPr>
        <w:t xml:space="preserve"> </w:t>
      </w:r>
    </w:p>
    <w:p>
      <w:pPr>
        <w:pStyle w:val="8"/>
        <w:tabs>
          <w:tab w:val="left" w:pos="1080"/>
        </w:tabs>
        <w:kinsoku w:val="0"/>
        <w:overflowPunct w:val="0"/>
        <w:spacing w:before="26" w:line="355" w:lineRule="auto"/>
        <w:ind w:right="23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3.1磋商小组按照竞争性磋商文件中规定的方法、评审因素、标准和程序对磋商应性文件进行评审。竞争性磋商文件中没有规定的方法、评审因素和标准，不作为评标依据。 详见“评标办法”内容。</w:t>
      </w:r>
    </w:p>
    <w:p>
      <w:pPr>
        <w:pStyle w:val="8"/>
        <w:tabs>
          <w:tab w:val="left" w:pos="1080"/>
        </w:tabs>
        <w:kinsoku w:val="0"/>
        <w:overflowPunct w:val="0"/>
        <w:spacing w:before="26" w:line="355" w:lineRule="auto"/>
        <w:ind w:right="23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3.2评标过程严格保密。供应商对评委会的评标过程或合同授予决定施加影响的任何行为都可能导致其投标被拒绝。</w:t>
      </w:r>
    </w:p>
    <w:p>
      <w:pPr>
        <w:pStyle w:val="8"/>
        <w:tabs>
          <w:tab w:val="left" w:pos="1080"/>
        </w:tabs>
        <w:kinsoku w:val="0"/>
        <w:overflowPunct w:val="0"/>
        <w:spacing w:before="26" w:line="355" w:lineRule="auto"/>
        <w:ind w:right="23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3.3 在评标期间，评委会可要求供应商对其磋商响应性文件中非实质性的有关问题进行 澄清、说明或者补正。有关澄清、说明或者补正的要求和答复应以书面形式提交。供应 商的澄清、说明或者补正不得超出磋商响应性文件的范围或者改变磋商响应性文件的实 质性内容。</w:t>
      </w:r>
    </w:p>
    <w:p>
      <w:pPr>
        <w:pStyle w:val="8"/>
        <w:tabs>
          <w:tab w:val="left" w:pos="1080"/>
        </w:tabs>
        <w:kinsoku w:val="0"/>
        <w:overflowPunct w:val="0"/>
        <w:spacing w:before="26" w:line="355" w:lineRule="auto"/>
        <w:ind w:right="23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3.4 评委会认定实质性响应竞争性磋商文件的投标是磋商响应性文件与竞争性磋商文件 要求的全部条款、条件和规格相符，没有实质性负偏离。评委会评审磋商响应性文件的 响应性依据是磋商响应性文件本身的内容，而不寻求外部的证据。</w:t>
      </w:r>
    </w:p>
    <w:p>
      <w:pPr>
        <w:pStyle w:val="8"/>
        <w:tabs>
          <w:tab w:val="left" w:pos="1080"/>
        </w:tabs>
        <w:kinsoku w:val="0"/>
        <w:overflowPunct w:val="0"/>
        <w:spacing w:before="26" w:line="355" w:lineRule="auto"/>
        <w:ind w:right="23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3.5 如果磋商响应性文件没有实质性响应竞争性磋商文件的要求，评委会将予以拒绝。 供应商不得通过修正或撤消不合要求的偏离或保留从而使其投标成为实质性响应的投标。</w:t>
      </w:r>
    </w:p>
    <w:p>
      <w:pPr>
        <w:pStyle w:val="8"/>
        <w:tabs>
          <w:tab w:val="left" w:pos="1080"/>
        </w:tabs>
        <w:kinsoku w:val="0"/>
        <w:overflowPunct w:val="0"/>
        <w:spacing w:before="26" w:line="355" w:lineRule="auto"/>
        <w:ind w:right="23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3.6 评委会只对确定为实质性响应竞争性磋商文件要求的磋商响应性文件，根据竞争性 磋商文件的评审标准采用相同的评标程序、评分办法进行评价和比较。</w:t>
      </w:r>
    </w:p>
    <w:p>
      <w:pPr>
        <w:pStyle w:val="4"/>
        <w:ind w:firstLine="643" w:firstLineChars="200"/>
        <w:rPr>
          <w:rFonts w:hint="eastAsia" w:ascii="宋体" w:hAnsi="宋体" w:eastAsia="宋体" w:cs="宋体"/>
          <w:color w:val="auto"/>
          <w:highlight w:val="none"/>
        </w:rPr>
      </w:pPr>
      <w:bookmarkStart w:id="59" w:name="_Toc11796"/>
      <w:r>
        <w:rPr>
          <w:rFonts w:hint="eastAsia" w:ascii="宋体" w:hAnsi="宋体" w:eastAsia="宋体" w:cs="宋体"/>
          <w:color w:val="auto"/>
          <w:highlight w:val="none"/>
        </w:rPr>
        <w:t>（</w:t>
      </w:r>
      <w:r>
        <w:rPr>
          <w:rFonts w:hint="eastAsia" w:ascii="宋体" w:hAnsi="宋体" w:eastAsia="宋体" w:cs="宋体"/>
          <w:color w:val="auto"/>
          <w:highlight w:val="none"/>
          <w:lang w:eastAsia="zh-CN"/>
        </w:rPr>
        <w:t>七</w:t>
      </w:r>
      <w:r>
        <w:rPr>
          <w:rFonts w:hint="eastAsia" w:ascii="宋体" w:hAnsi="宋体" w:eastAsia="宋体" w:cs="宋体"/>
          <w:color w:val="auto"/>
          <w:highlight w:val="none"/>
        </w:rPr>
        <w:t>）定标</w:t>
      </w:r>
      <w:bookmarkEnd w:id="59"/>
    </w:p>
    <w:p>
      <w:pPr>
        <w:pStyle w:val="8"/>
        <w:kinsoku w:val="0"/>
        <w:overflowPunct w:val="0"/>
        <w:spacing w:before="35" w:line="357" w:lineRule="auto"/>
        <w:ind w:right="238" w:firstLine="458" w:firstLineChars="200"/>
        <w:rPr>
          <w:rFonts w:hint="eastAsia" w:ascii="宋体" w:hAnsi="宋体" w:eastAsia="宋体" w:cs="宋体"/>
          <w:b/>
          <w:bCs/>
          <w:color w:val="auto"/>
          <w:w w:val="95"/>
          <w:highlight w:val="none"/>
        </w:rPr>
      </w:pPr>
      <w:r>
        <w:rPr>
          <w:rFonts w:hint="eastAsia" w:ascii="宋体" w:hAnsi="宋体" w:eastAsia="宋体" w:cs="宋体"/>
          <w:b/>
          <w:bCs/>
          <w:color w:val="auto"/>
          <w:w w:val="95"/>
          <w:highlight w:val="none"/>
        </w:rPr>
        <w:t>1.定标</w:t>
      </w:r>
    </w:p>
    <w:p>
      <w:pPr>
        <w:spacing w:line="360" w:lineRule="auto"/>
        <w:ind w:firstLine="480" w:firstLineChars="200"/>
        <w:rPr>
          <w:rFonts w:hint="eastAsia" w:ascii="宋体" w:hAnsi="宋体" w:eastAsia="宋体" w:cs="宋体"/>
          <w:b/>
          <w:bCs/>
          <w:color w:val="auto"/>
          <w:w w:val="95"/>
          <w:kern w:val="0"/>
          <w:sz w:val="24"/>
          <w:szCs w:val="24"/>
          <w:highlight w:val="none"/>
        </w:rPr>
      </w:pPr>
      <w:r>
        <w:rPr>
          <w:rFonts w:hint="eastAsia" w:ascii="宋体" w:hAnsi="宋体" w:eastAsia="宋体" w:cs="宋体"/>
          <w:color w:val="auto"/>
          <w:sz w:val="24"/>
          <w:szCs w:val="24"/>
          <w:highlight w:val="none"/>
        </w:rPr>
        <w:t>1.1 定标原则：磋商小组按照公开、公平、公正、诚实信用的原则对待参与磋商的供应商的响应文件；经磋商确定最终采购需求和提交最后报价的供应商后，由磋商小组采用综合评分法对提交最后报价的供应商的响应文件和最后报价进行综合评分。</w:t>
      </w:r>
      <w:r>
        <w:rPr>
          <w:rFonts w:hint="eastAsia" w:ascii="宋体" w:hAnsi="宋体" w:eastAsia="宋体" w:cs="宋体"/>
          <w:color w:val="auto"/>
          <w:kern w:val="0"/>
          <w:sz w:val="24"/>
          <w:szCs w:val="24"/>
          <w:highlight w:val="none"/>
        </w:rPr>
        <w:t xml:space="preserve">能够最大限度满足竞争性磋商文件中规定的各项综合评价标准且得分最高（但投标价格低于成本价的除外）。 </w:t>
      </w:r>
    </w:p>
    <w:p>
      <w:pPr>
        <w:pStyle w:val="8"/>
        <w:tabs>
          <w:tab w:val="left" w:pos="1080"/>
        </w:tabs>
        <w:kinsoku w:val="0"/>
        <w:overflowPunct w:val="0"/>
        <w:spacing w:before="26" w:line="355" w:lineRule="auto"/>
        <w:ind w:right="23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1.2 定标方法：综合评分法。</w:t>
      </w:r>
    </w:p>
    <w:p>
      <w:pPr>
        <w:pStyle w:val="8"/>
        <w:tabs>
          <w:tab w:val="left" w:pos="1080"/>
        </w:tabs>
        <w:kinsoku w:val="0"/>
        <w:overflowPunct w:val="0"/>
        <w:spacing w:before="26" w:line="355" w:lineRule="auto"/>
        <w:ind w:right="23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 定标方式：根据评委会推荐的中标候选人名单，采购人确定中标人。</w:t>
      </w:r>
    </w:p>
    <w:p>
      <w:pPr>
        <w:pStyle w:val="8"/>
        <w:kinsoku w:val="0"/>
        <w:overflowPunct w:val="0"/>
        <w:spacing w:before="35" w:line="357" w:lineRule="auto"/>
        <w:ind w:right="238" w:firstLine="458" w:firstLineChars="200"/>
        <w:rPr>
          <w:rFonts w:hint="eastAsia" w:ascii="宋体" w:hAnsi="宋体" w:eastAsia="宋体" w:cs="宋体"/>
          <w:b/>
          <w:bCs/>
          <w:color w:val="auto"/>
          <w:w w:val="95"/>
          <w:highlight w:val="none"/>
        </w:rPr>
      </w:pPr>
      <w:r>
        <w:rPr>
          <w:rFonts w:hint="eastAsia" w:ascii="宋体" w:hAnsi="宋体" w:eastAsia="宋体" w:cs="宋体"/>
          <w:b/>
          <w:bCs/>
          <w:color w:val="auto"/>
          <w:w w:val="95"/>
          <w:highlight w:val="none"/>
        </w:rPr>
        <w:t>2.定标程序</w:t>
      </w:r>
    </w:p>
    <w:p>
      <w:pPr>
        <w:pStyle w:val="8"/>
        <w:tabs>
          <w:tab w:val="left" w:pos="1080"/>
        </w:tabs>
        <w:kinsoku w:val="0"/>
        <w:overflowPunct w:val="0"/>
        <w:spacing w:before="26" w:line="355" w:lineRule="auto"/>
        <w:ind w:right="23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 磋商小组按照综合评审打分结果由高到低排列顺序。综合得分相同的，按投标报价由低到高顺序排列。得分且投标报价相同的，按技术指标优劣顺序排列。前三名的供应商为拟中标候选人。</w:t>
      </w:r>
    </w:p>
    <w:p>
      <w:pPr>
        <w:pStyle w:val="8"/>
        <w:tabs>
          <w:tab w:val="left" w:pos="1080"/>
        </w:tabs>
        <w:kinsoku w:val="0"/>
        <w:overflowPunct w:val="0"/>
        <w:spacing w:before="26" w:line="355" w:lineRule="auto"/>
        <w:ind w:right="23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 采购人根据书面评标报告和被推荐的中标候选人，确定得分最高的供应商为拟中标供单位。</w:t>
      </w:r>
    </w:p>
    <w:p>
      <w:pPr>
        <w:pStyle w:val="8"/>
        <w:tabs>
          <w:tab w:val="left" w:pos="1080"/>
        </w:tabs>
        <w:kinsoku w:val="0"/>
        <w:overflowPunct w:val="0"/>
        <w:spacing w:before="26" w:line="355" w:lineRule="auto"/>
        <w:ind w:right="23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2.3</w:t>
      </w:r>
      <w:r>
        <w:rPr>
          <w:rFonts w:hint="eastAsia" w:ascii="宋体" w:hAnsi="宋体" w:eastAsia="宋体" w:cs="宋体"/>
          <w:color w:val="auto"/>
          <w:highlight w:val="none"/>
        </w:rPr>
        <w:t xml:space="preserve"> </w:t>
      </w:r>
      <w:r>
        <w:rPr>
          <w:rFonts w:hint="eastAsia" w:ascii="宋体" w:hAnsi="宋体" w:eastAsia="宋体" w:cs="宋体"/>
          <w:color w:val="auto"/>
          <w:sz w:val="24"/>
          <w:szCs w:val="24"/>
          <w:highlight w:val="none"/>
        </w:rPr>
        <w:t>中标结果在“新疆政府采购网” 上予以公告。同时向中标人发出中标通知书。</w:t>
      </w:r>
    </w:p>
    <w:p>
      <w:pPr>
        <w:pStyle w:val="8"/>
        <w:kinsoku w:val="0"/>
        <w:overflowPunct w:val="0"/>
        <w:spacing w:before="151"/>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3.中标通知书</w:t>
      </w:r>
    </w:p>
    <w:p>
      <w:pPr>
        <w:pStyle w:val="8"/>
        <w:tabs>
          <w:tab w:val="left" w:pos="1080"/>
        </w:tabs>
        <w:kinsoku w:val="0"/>
        <w:overflowPunct w:val="0"/>
        <w:spacing w:before="26" w:line="355" w:lineRule="auto"/>
        <w:ind w:right="23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3.1 中标结果在公示期满无质疑或投诉后，该结果将作为正式中标或签订《采购合同》的凭据。招标代理机构将以书面形式《中标通知书》通知中标的供应商其投标被接受。在该通知书发出三十日内，中标单位应与采购人签订采购合同。</w:t>
      </w:r>
    </w:p>
    <w:p>
      <w:pPr>
        <w:pStyle w:val="8"/>
        <w:tabs>
          <w:tab w:val="left" w:pos="1080"/>
        </w:tabs>
        <w:kinsoku w:val="0"/>
        <w:overflowPunct w:val="0"/>
        <w:spacing w:before="26" w:line="355" w:lineRule="auto"/>
        <w:ind w:right="23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 中标通知书为签订政府采购合同的依据，是合同的有效组成部分。</w:t>
      </w:r>
    </w:p>
    <w:p>
      <w:pPr>
        <w:pStyle w:val="8"/>
        <w:tabs>
          <w:tab w:val="left" w:pos="1080"/>
        </w:tabs>
        <w:kinsoku w:val="0"/>
        <w:overflowPunct w:val="0"/>
        <w:spacing w:before="26" w:line="355" w:lineRule="auto"/>
        <w:ind w:right="23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3.3 中标通知书对采购人和中标人均具有法律效力。中标通知书发出后，采购人改变中标结果，或者中标人无正当理由放弃中标的，应当承担相应的法律责任。</w:t>
      </w:r>
    </w:p>
    <w:p>
      <w:pPr>
        <w:pStyle w:val="8"/>
        <w:tabs>
          <w:tab w:val="left" w:pos="1080"/>
        </w:tabs>
        <w:kinsoku w:val="0"/>
        <w:overflowPunct w:val="0"/>
        <w:spacing w:before="26" w:line="355" w:lineRule="auto"/>
        <w:ind w:right="23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3.4 中标人的磋商响应性文件本应作为无效投标处理或者有政府采购法律法规规章制度规定的中标无效情形的，招标代理机构在取得有权主体的认定以后，应当宣布发出的中标通知书无效，并收回发出的中标通知书（中标人也应当缴回），依法重新确定中标人或者重新开展采购活动。</w:t>
      </w:r>
    </w:p>
    <w:p>
      <w:pPr>
        <w:pStyle w:val="4"/>
        <w:ind w:firstLine="643" w:firstLineChars="200"/>
        <w:rPr>
          <w:rFonts w:hint="eastAsia" w:ascii="宋体" w:hAnsi="宋体" w:eastAsia="宋体" w:cs="宋体"/>
          <w:color w:val="auto"/>
          <w:highlight w:val="none"/>
        </w:rPr>
      </w:pPr>
      <w:bookmarkStart w:id="60" w:name="_Toc23542"/>
      <w:r>
        <w:rPr>
          <w:rFonts w:hint="eastAsia" w:ascii="宋体" w:hAnsi="宋体" w:eastAsia="宋体" w:cs="宋体"/>
          <w:color w:val="auto"/>
          <w:highlight w:val="none"/>
        </w:rPr>
        <w:t>（</w:t>
      </w:r>
      <w:r>
        <w:rPr>
          <w:rFonts w:hint="eastAsia" w:ascii="宋体" w:hAnsi="宋体" w:eastAsia="宋体" w:cs="宋体"/>
          <w:color w:val="auto"/>
          <w:highlight w:val="none"/>
          <w:lang w:eastAsia="zh-CN"/>
        </w:rPr>
        <w:t>八</w:t>
      </w:r>
      <w:r>
        <w:rPr>
          <w:rFonts w:hint="eastAsia" w:ascii="宋体" w:hAnsi="宋体" w:eastAsia="宋体" w:cs="宋体"/>
          <w:color w:val="auto"/>
          <w:highlight w:val="none"/>
        </w:rPr>
        <w:t>）合同签订及履行</w:t>
      </w:r>
      <w:bookmarkEnd w:id="60"/>
    </w:p>
    <w:p>
      <w:pPr>
        <w:pStyle w:val="8"/>
        <w:kinsoku w:val="0"/>
        <w:overflowPunct w:val="0"/>
        <w:spacing w:before="151"/>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1.合同授予原则</w:t>
      </w:r>
    </w:p>
    <w:p>
      <w:pPr>
        <w:pStyle w:val="8"/>
        <w:tabs>
          <w:tab w:val="left" w:pos="1080"/>
        </w:tabs>
        <w:kinsoku w:val="0"/>
        <w:overflowPunct w:val="0"/>
        <w:spacing w:before="26" w:line="355" w:lineRule="auto"/>
        <w:ind w:right="23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1.1 采购人将把合同授予经磋商小组评议推荐，在法定公示时间后，收到《中标通知书》的投标单位。若因中标单位违约或因不可抗力等原因不能被授予合同，则合同将授予排序在该中标单位之后的下一个供应商，以此类推。</w:t>
      </w:r>
    </w:p>
    <w:p>
      <w:pPr>
        <w:pStyle w:val="8"/>
        <w:tabs>
          <w:tab w:val="left" w:pos="1080"/>
        </w:tabs>
        <w:kinsoku w:val="0"/>
        <w:overflowPunct w:val="0"/>
        <w:spacing w:before="26" w:line="355" w:lineRule="auto"/>
        <w:ind w:right="23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1.2 采购人保留在签订合同时调整方案需求和变动所购服务内容的权力。</w:t>
      </w:r>
    </w:p>
    <w:p>
      <w:pPr>
        <w:pStyle w:val="8"/>
        <w:tabs>
          <w:tab w:val="left" w:pos="1080"/>
        </w:tabs>
        <w:kinsoku w:val="0"/>
        <w:overflowPunct w:val="0"/>
        <w:spacing w:before="26" w:line="355" w:lineRule="auto"/>
        <w:ind w:right="23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 采购人不得向中标人提出任何不合理的要求，作为签订合同的条件，不得与中标人私下订立背离合同实质性内容的任何协议，所签订的合同不得对竞争性磋商文件和中标人磋商响应性文件作实质性修改。</w:t>
      </w:r>
    </w:p>
    <w:p>
      <w:pPr>
        <w:pStyle w:val="8"/>
        <w:tabs>
          <w:tab w:val="left" w:pos="1080"/>
        </w:tabs>
        <w:kinsoku w:val="0"/>
        <w:overflowPunct w:val="0"/>
        <w:spacing w:before="26" w:line="355" w:lineRule="auto"/>
        <w:ind w:right="23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1.4 中标人应当按照合同约定履行义务，完成中标项目的设计任务，不得将中标项目的转让（转包）给他人。</w:t>
      </w:r>
    </w:p>
    <w:p>
      <w:pPr>
        <w:pStyle w:val="8"/>
        <w:kinsoku w:val="0"/>
        <w:overflowPunct w:val="0"/>
        <w:spacing w:before="34"/>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2.合同的签署</w:t>
      </w:r>
    </w:p>
    <w:p>
      <w:pPr>
        <w:pStyle w:val="8"/>
        <w:tabs>
          <w:tab w:val="left" w:pos="1080"/>
        </w:tabs>
        <w:kinsoku w:val="0"/>
        <w:overflowPunct w:val="0"/>
        <w:spacing w:before="26" w:line="355" w:lineRule="auto"/>
        <w:ind w:right="23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 中标人依据《中标通知书》与采购人签订合同，签订时间为《中标通知书》发出之日起三十日内。</w:t>
      </w:r>
    </w:p>
    <w:p>
      <w:pPr>
        <w:pStyle w:val="8"/>
        <w:tabs>
          <w:tab w:val="left" w:pos="1080"/>
        </w:tabs>
        <w:kinsoku w:val="0"/>
        <w:overflowPunct w:val="0"/>
        <w:spacing w:before="26" w:line="355" w:lineRule="auto"/>
        <w:ind w:right="23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 中标单位按《中标通知书》中规定的时间和地点，在招标代理机构监督下，由法定代表人或授权代表与采购人签订合同。采购人与中标单位是合同权利与义务的直接全部责任承担人。所发出的《中标通知书》对采购人和中标单位具有同等法律效力。</w:t>
      </w:r>
    </w:p>
    <w:p>
      <w:pPr>
        <w:pStyle w:val="8"/>
        <w:tabs>
          <w:tab w:val="left" w:pos="1080"/>
        </w:tabs>
        <w:kinsoku w:val="0"/>
        <w:overflowPunct w:val="0"/>
        <w:spacing w:before="26" w:line="355" w:lineRule="auto"/>
        <w:ind w:right="23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中标通知书》发出后，采购人拒绝签订《采购合同》或擅自改变中标内容，按照《中华人民共和国合同法》定金罚则及损害赔偿的原则处罚并办理。若由于中标单位的原因逾期未与采购人签订采购合同的，将视为放弃中标，取消其中标资格并将按照《中华人民共和国政府采购法》相关规定进行处理。</w:t>
      </w:r>
    </w:p>
    <w:p>
      <w:pPr>
        <w:pStyle w:val="8"/>
        <w:kinsoku w:val="0"/>
        <w:overflowPunct w:val="0"/>
        <w:spacing w:before="37" w:line="357" w:lineRule="auto"/>
        <w:ind w:right="2481"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3.履行合同</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3.1 中标人与采购人签订合同后，合同双方应严格执行合同条款，履行合同规定的义务，保证合同的顺利完成。</w:t>
      </w:r>
    </w:p>
    <w:p>
      <w:pPr>
        <w:pStyle w:val="8"/>
        <w:kinsoku w:val="0"/>
        <w:overflowPunct w:val="0"/>
        <w:spacing w:before="34" w:line="355"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3.2 在合同履行过程中，如发生合同纠纷，合同双方应按照《合同法》的有关规定进行处理。</w:t>
      </w:r>
    </w:p>
    <w:p>
      <w:pPr>
        <w:pStyle w:val="4"/>
        <w:ind w:firstLine="643" w:firstLineChars="200"/>
        <w:rPr>
          <w:rFonts w:hint="eastAsia" w:ascii="宋体" w:hAnsi="宋体" w:eastAsia="宋体" w:cs="宋体"/>
          <w:color w:val="auto"/>
          <w:highlight w:val="none"/>
        </w:rPr>
      </w:pPr>
      <w:bookmarkStart w:id="61" w:name="_Toc23631"/>
      <w:r>
        <w:rPr>
          <w:rFonts w:hint="eastAsia" w:ascii="宋体" w:hAnsi="宋体" w:eastAsia="宋体" w:cs="宋体"/>
          <w:color w:val="auto"/>
          <w:highlight w:val="none"/>
        </w:rPr>
        <w:t>（</w:t>
      </w:r>
      <w:r>
        <w:rPr>
          <w:rFonts w:hint="eastAsia" w:ascii="宋体" w:hAnsi="宋体" w:eastAsia="宋体" w:cs="宋体"/>
          <w:color w:val="auto"/>
          <w:highlight w:val="none"/>
          <w:lang w:eastAsia="zh-CN"/>
        </w:rPr>
        <w:t>九</w:t>
      </w:r>
      <w:r>
        <w:rPr>
          <w:rFonts w:hint="eastAsia" w:ascii="宋体" w:hAnsi="宋体" w:eastAsia="宋体" w:cs="宋体"/>
          <w:color w:val="auto"/>
          <w:highlight w:val="none"/>
        </w:rPr>
        <w:t>）重新招标和不再招标</w:t>
      </w:r>
      <w:bookmarkEnd w:id="61"/>
    </w:p>
    <w:p>
      <w:pPr>
        <w:pStyle w:val="8"/>
        <w:kinsoku w:val="0"/>
        <w:overflowPunct w:val="0"/>
        <w:spacing w:before="37" w:line="357" w:lineRule="auto"/>
        <w:ind w:right="2481"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1．重新招标</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有下列情形之一的，采购人将重新招标：</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（1）投标截止时间止，供应商少于</w:t>
      </w:r>
      <w:r>
        <w:rPr>
          <w:rFonts w:hint="eastAsia" w:ascii="宋体" w:hAnsi="宋体" w:eastAsia="宋体" w:cs="宋体"/>
          <w:color w:val="auto"/>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color w:val="auto"/>
          <w:highlight w:val="none"/>
        </w:rPr>
        <w:t>规定的家数。</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（2）经磋商小组评审后否决所有投标的。 </w:t>
      </w:r>
    </w:p>
    <w:p>
      <w:pPr>
        <w:pStyle w:val="8"/>
        <w:kinsoku w:val="0"/>
        <w:overflowPunct w:val="0"/>
        <w:spacing w:line="357" w:lineRule="auto"/>
        <w:ind w:right="4044"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2．不再招标</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重新招标后供应商仍少于</w:t>
      </w:r>
      <w:r>
        <w:rPr>
          <w:rFonts w:hint="eastAsia" w:ascii="宋体" w:hAnsi="宋体" w:eastAsia="宋体" w:cs="宋体"/>
          <w:color w:val="auto"/>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color w:val="auto"/>
          <w:highlight w:val="none"/>
        </w:rPr>
        <w:t>规定的家数，或者所有投标被否决的，属于必须审批或核准的工程 建设、货物、服务项目，经原审批或核准部门批准后不再进行招标。</w:t>
      </w:r>
    </w:p>
    <w:p>
      <w:pPr>
        <w:pStyle w:val="4"/>
        <w:ind w:firstLine="643" w:firstLineChars="200"/>
        <w:rPr>
          <w:rFonts w:hint="eastAsia" w:ascii="宋体" w:hAnsi="宋体" w:eastAsia="宋体" w:cs="宋体"/>
          <w:color w:val="auto"/>
          <w:highlight w:val="none"/>
        </w:rPr>
      </w:pPr>
      <w:bookmarkStart w:id="62" w:name="_Toc6269"/>
      <w:r>
        <w:rPr>
          <w:rFonts w:hint="eastAsia" w:ascii="宋体" w:hAnsi="宋体" w:eastAsia="宋体" w:cs="宋体"/>
          <w:color w:val="auto"/>
          <w:highlight w:val="none"/>
        </w:rPr>
        <w:t>（十）纪律和监督</w:t>
      </w:r>
      <w:bookmarkEnd w:id="62"/>
    </w:p>
    <w:p>
      <w:pPr>
        <w:pStyle w:val="8"/>
        <w:kinsoku w:val="0"/>
        <w:overflowPunct w:val="0"/>
        <w:spacing w:line="357" w:lineRule="auto"/>
        <w:ind w:right="4044"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1．对采购人的纪律要求</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采购人不得泄漏招标投标活动中应当保密的情况和资料，不得与供应商串通损害国家利益、社会公共利益或者他人合法权益。下列行为视为采购人与供应商串通投标：</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(1）采购人在开标前开启磋商响应性文件，并将投标情况告知其它供应商，或者协助供应商撤换磋商响应性文件，更改报价；</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(2）采购人向供应商泄露标底；</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(3）采购人与供应商商定，投标时压低或抬高标价，中标后再给供应商或采购人额外补偿；</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(4）采购人预先内定中标人；</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(5）其它串通投标行为。</w:t>
      </w:r>
    </w:p>
    <w:p>
      <w:pPr>
        <w:pStyle w:val="8"/>
        <w:kinsoku w:val="0"/>
        <w:overflowPunct w:val="0"/>
        <w:spacing w:before="34" w:line="357" w:lineRule="auto"/>
        <w:ind w:right="178" w:firstLine="482" w:firstLineChars="200"/>
        <w:rPr>
          <w:rFonts w:hint="eastAsia" w:ascii="宋体" w:hAnsi="宋体" w:eastAsia="宋体" w:cs="宋体"/>
          <w:b/>
          <w:bCs/>
          <w:color w:val="auto"/>
          <w:spacing w:val="25"/>
          <w:w w:val="99"/>
          <w:highlight w:val="none"/>
        </w:rPr>
      </w:pPr>
      <w:r>
        <w:rPr>
          <w:rFonts w:hint="eastAsia" w:ascii="宋体" w:hAnsi="宋体" w:eastAsia="宋体" w:cs="宋体"/>
          <w:b/>
          <w:bCs/>
          <w:color w:val="auto"/>
          <w:highlight w:val="none"/>
        </w:rPr>
        <w:t>2.对供应商的纪律要求</w:t>
      </w:r>
      <w:r>
        <w:rPr>
          <w:rFonts w:hint="eastAsia" w:ascii="宋体" w:hAnsi="宋体" w:eastAsia="宋体" w:cs="宋体"/>
          <w:b/>
          <w:bCs/>
          <w:color w:val="auto"/>
          <w:spacing w:val="25"/>
          <w:w w:val="99"/>
          <w:highlight w:val="none"/>
        </w:rPr>
        <w:t xml:space="preserve"> </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供应商不得相互串通投标或者与采购人串通投标，不得向采购人或者磋商小组成员行贿谋取中标，不得以他人名义投标或者以其他方式弄虚作假骗取中标；供应商不得以任何方式干扰、影响评标工作；不得诋毁、排挤其他供应商；不得在招标过程中与招标采购单位进行协商谈判；不得拒绝有关部门的监督检查或者向监督检查部门提供虚假情况。</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2.1 下列行为视为以他人名义投标：</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（1）供应商挂靠其他单位；</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（2）供应商从其它单位通过转让或租借的方式获取资格或资质证书；</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（3）由其它单位及法定代表人在自己编制的磋商响应性文件上加盖印章或签字；</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（4）法律法规规定的其它情形。</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2.2 下列行为，视为允许他人以本单位名义承揽工程</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a) 供应商的法定代表人的委托代理人不是供应商本单位人员；</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b) 供应商拟在担任本项目的项目负责人或主要技术人员等不是本单位人员；</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c) 通过出租、出借资质证书或者收取管理费等方式允许他人以本单位名义承接工程；</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d) 投标保证金非投标单位银行基本账户转出，或虽由投标单位银行基本账户转出， 但先由非投标单位人员将投标保证金存入投标单位或有关个人账户，或以其他方式抵押的；</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e) 项目资金未实行项目资金专户分账管理或独立核算制度的；财务管理人员（财务主管和出纳）非本单位人员，或项目资金的使用未经项目经理本人签字、审批的；</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f) 中标后，实际由他人履行职责且他人非本单位人员的(项目负责人换为非本单位人员，或其他主要技术人员有 2 个及以上换为非本单位人员)；</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g) 法律法规规定的其它情形。上述条件中，供应商本单位人员，必须同时满足以下条件：</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（1）聘任合同必须由供应商单位与之签订，项目负责人的聘任合同投标前已执行合同一年以上；</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（2）与供应商单位有合法的工资关系，且投标前已连续支付工资一年以上；</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（3）供应商单位为其办理社会保险关系，政府人事或社保管理部门出具的有效证明其为本单位人员身份的文件。</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2.3 下列行为均视为供应商串通投标：</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2.3.1 供应商串通投标报价： </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a）供应商之间相互约定抬高或压低投标报价；</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b）供应商之间相互约定，在招标项目中分别以高、中、低价位报价； </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c）供应商之间先进行内部竞价，内定中标人，然后再参加投标； </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d）不同供应商的投标报价或报价组成异常一致的； </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e）供应商之间其它串通投标报价的行为。</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2.3.2 不同供应商磋商响应性文件的编制人或审核人为同一人或同一单位人员的；</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2.3.3 不同供应商磋商响应性文件的授权签署人为同一人或同一单位人员的；</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2.3.4 不同供应商委托同一人办理投标事宜的；</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2.3.5 不同供应商的磋商响应性文件相互混装的；</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2.3.6 不同供应商使用同一单位的资金缴纳投标保证金的；</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2.3.7 不同供应商的磋商响应性文件载明的项目成员出现相同人员的；</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2.3.8 不同供应商的磋商响应性文件内容存在非正常一致的；</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2.3.9 不同供应商的服务方案中专门针对本项目的内容基本雷同的；</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2.3.10 不同供应商的磋商响应性文件出现磋商小组认为不应当雷同的情况的；</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2.3.11 法律法规规章规定的其他围标串标行为。</w:t>
      </w:r>
    </w:p>
    <w:p>
      <w:pPr>
        <w:pStyle w:val="8"/>
        <w:kinsoku w:val="0"/>
        <w:overflowPunct w:val="0"/>
        <w:spacing w:before="26" w:line="355" w:lineRule="auto"/>
        <w:ind w:right="50"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3.对磋商小组成员的纪律要求</w:t>
      </w:r>
      <w:r>
        <w:rPr>
          <w:rFonts w:hint="eastAsia" w:ascii="宋体" w:hAnsi="宋体" w:eastAsia="宋体" w:cs="宋体"/>
          <w:color w:val="auto"/>
          <w:highlight w:val="none"/>
        </w:rPr>
        <w:t xml:space="preserve"> </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磋商小组成员不得收受他人的财物或者其他好处，不得向他人透漏对磋商响应性文件的评审和比较、中标候选人的推荐情况以及评标有关的其他情况。在评标活动中，磋商小组成员不得擅离职守，</w:t>
      </w:r>
      <w:bookmarkStart w:id="63" w:name="bookmark13"/>
      <w:bookmarkEnd w:id="63"/>
      <w:bookmarkStart w:id="64" w:name="（十三）废标"/>
      <w:bookmarkEnd w:id="64"/>
      <w:bookmarkStart w:id="65" w:name="bookmark14"/>
      <w:bookmarkEnd w:id="65"/>
      <w:bookmarkStart w:id="66" w:name="（十二）无效投标"/>
      <w:bookmarkEnd w:id="66"/>
      <w:r>
        <w:rPr>
          <w:rFonts w:hint="eastAsia" w:ascii="宋体" w:hAnsi="宋体" w:eastAsia="宋体" w:cs="宋体"/>
          <w:color w:val="auto"/>
          <w:highlight w:val="none"/>
        </w:rPr>
        <w:t>影响评标程序正常进行，不得使用“评标办法”没有规定的 评审因素和标准进行评标。</w:t>
      </w:r>
    </w:p>
    <w:p>
      <w:pPr>
        <w:pStyle w:val="8"/>
        <w:kinsoku w:val="0"/>
        <w:overflowPunct w:val="0"/>
        <w:spacing w:before="38" w:line="357" w:lineRule="auto"/>
        <w:ind w:right="50" w:firstLine="482" w:firstLineChars="200"/>
        <w:rPr>
          <w:rFonts w:hint="eastAsia" w:ascii="宋体" w:hAnsi="宋体" w:eastAsia="宋体" w:cs="宋体"/>
          <w:b/>
          <w:bCs/>
          <w:color w:val="auto"/>
          <w:spacing w:val="26"/>
          <w:w w:val="99"/>
          <w:highlight w:val="none"/>
        </w:rPr>
      </w:pPr>
      <w:r>
        <w:rPr>
          <w:rFonts w:hint="eastAsia" w:ascii="宋体" w:hAnsi="宋体" w:eastAsia="宋体" w:cs="宋体"/>
          <w:b/>
          <w:bCs/>
          <w:color w:val="auto"/>
          <w:highlight w:val="none"/>
        </w:rPr>
        <w:t>4.对与评标活动有关的工作人员的纪律要求</w:t>
      </w:r>
      <w:r>
        <w:rPr>
          <w:rFonts w:hint="eastAsia" w:ascii="宋体" w:hAnsi="宋体" w:eastAsia="宋体" w:cs="宋体"/>
          <w:b/>
          <w:bCs/>
          <w:color w:val="auto"/>
          <w:spacing w:val="26"/>
          <w:w w:val="99"/>
          <w:highlight w:val="none"/>
        </w:rPr>
        <w:t xml:space="preserve"> </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与评标活动有关的工作人员不得收受他人的财物或者其他好处，不得向他人透漏对标文件的评审和比较、中标候选人的推荐情况以及评标有关的其他情况。在评标活动中，与评标活动有关的工作人员不得擅离职守，影响评标程序正常进行。</w:t>
      </w:r>
    </w:p>
    <w:p>
      <w:pPr>
        <w:pStyle w:val="4"/>
        <w:ind w:firstLine="643" w:firstLineChars="200"/>
        <w:rPr>
          <w:rFonts w:hint="eastAsia" w:ascii="宋体" w:hAnsi="宋体" w:eastAsia="宋体" w:cs="宋体"/>
          <w:color w:val="auto"/>
          <w:highlight w:val="none"/>
        </w:rPr>
      </w:pPr>
      <w:bookmarkStart w:id="67" w:name="_Toc23224"/>
      <w:r>
        <w:rPr>
          <w:rFonts w:hint="eastAsia" w:ascii="宋体" w:hAnsi="宋体" w:eastAsia="宋体" w:cs="宋体"/>
          <w:color w:val="auto"/>
          <w:highlight w:val="none"/>
        </w:rPr>
        <w:t>（十</w:t>
      </w:r>
      <w:r>
        <w:rPr>
          <w:rFonts w:hint="eastAsia" w:ascii="宋体" w:hAnsi="宋体" w:eastAsia="宋体" w:cs="宋体"/>
          <w:color w:val="auto"/>
          <w:highlight w:val="none"/>
          <w:lang w:eastAsia="zh-CN"/>
        </w:rPr>
        <w:t>一</w:t>
      </w:r>
      <w:r>
        <w:rPr>
          <w:rFonts w:hint="eastAsia" w:ascii="宋体" w:hAnsi="宋体" w:eastAsia="宋体" w:cs="宋体"/>
          <w:color w:val="auto"/>
          <w:highlight w:val="none"/>
        </w:rPr>
        <w:t>）无效投标</w:t>
      </w:r>
      <w:bookmarkEnd w:id="67"/>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遇到下列情况之一时, 投标人的投标将被视为无效投标: </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1)未按照招标文件的规定提交投标保证金的；</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2)投标文件未按招标文件要求签署、盖章的；</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3)不具备招标文件中规定的资格要求的；</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4) 报价超过招标文件中规定的预算金额或者最高限价的；</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5) 投标文件含有采购人不能接受的附加条件的；</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6)法律、法规和招标文件规定的其他无效情形；</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7)有下列情形之一的，视为投标人串通投标，其投标无效： </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A、不同投标人的投标文件由同一单位或者个人编制； </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B、不同投标人委托同一单位或者个人办理投标事宜； </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C、不同投标人的投标文件载明的项目管理成员或者联系人员为同一人； </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D、不同投标人的投标文件异常一致或者投标报价呈规律性差异； </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E、不同投标人的投标文件相互混装； </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F、不同投标人的投标保证金从同一单位或者个人的账户转出。</w:t>
      </w:r>
    </w:p>
    <w:p>
      <w:pPr>
        <w:pStyle w:val="4"/>
        <w:ind w:firstLine="643" w:firstLineChars="200"/>
        <w:rPr>
          <w:rFonts w:hint="eastAsia" w:ascii="宋体" w:hAnsi="宋体" w:eastAsia="宋体" w:cs="宋体"/>
          <w:color w:val="auto"/>
          <w:highlight w:val="none"/>
        </w:rPr>
      </w:pPr>
      <w:bookmarkStart w:id="68" w:name="_Toc25703"/>
      <w:r>
        <w:rPr>
          <w:rFonts w:hint="eastAsia" w:ascii="宋体" w:hAnsi="宋体" w:eastAsia="宋体" w:cs="宋体"/>
          <w:color w:val="auto"/>
          <w:highlight w:val="none"/>
        </w:rPr>
        <w:t>（十</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）废标</w:t>
      </w:r>
      <w:bookmarkEnd w:id="68"/>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招标采购中，出现下列情形之一的，予以废标：</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（1）符合专业条件的投标单位或者对竞争性磋商文件作实质响应的投标单位不足</w:t>
      </w:r>
      <w:r>
        <w:rPr>
          <w:rFonts w:hint="eastAsia" w:ascii="宋体" w:hAnsi="宋体" w:eastAsia="宋体" w:cs="宋体"/>
          <w:color w:val="auto"/>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color w:val="auto"/>
          <w:highlight w:val="none"/>
        </w:rPr>
        <w:t>规定的家数；</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（2）出现影响采购公正的违法、违规行为的；</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（3）供应商的报价均超过了采购预算，采购人不能支付的；</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（4）因重大变故，采购任务取消的。废标后，招标代理机构应在发布公告相同的网站上公告，并公告废标的详细理由。</w:t>
      </w:r>
    </w:p>
    <w:p>
      <w:pPr>
        <w:pStyle w:val="4"/>
        <w:ind w:firstLine="643" w:firstLineChars="200"/>
        <w:rPr>
          <w:rFonts w:hint="eastAsia" w:ascii="宋体" w:hAnsi="宋体" w:eastAsia="宋体" w:cs="宋体"/>
          <w:color w:val="auto"/>
          <w:highlight w:val="none"/>
        </w:rPr>
      </w:pPr>
      <w:bookmarkStart w:id="69" w:name="_Toc30761"/>
      <w:r>
        <w:rPr>
          <w:rFonts w:hint="eastAsia" w:ascii="宋体" w:hAnsi="宋体" w:eastAsia="宋体" w:cs="宋体"/>
          <w:color w:val="auto"/>
          <w:highlight w:val="none"/>
        </w:rPr>
        <w:t>（十</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）质疑和投诉</w:t>
      </w:r>
      <w:bookmarkEnd w:id="69"/>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1.供应商对政府采购活动事项有疑问的，可以向采购人提出询问，采购人应当及时作出答复，但答复的内容不得涉及商业秘密。</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2.供应商认为竞争性磋商文件、采购过程和中标、中标结果使自己的权益受到损害的，可以在知道或者应知其权益受到损害之日起七个工作日内，以规范的格式，详实的证明材料以书面形式向采购人提出质疑。</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3.采购人应当在收到供应商的书面质疑后七个工作日内作出答复，并以书面形式通知质疑供应商和其他有关供应商，但答复的内容不得涉及商业秘密。</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4.采购人委托采购代理机构采购的，供应商可以向采购代理机构提出询问或者质疑，采购代理机构应当依照《中华人民共和国政府采购法》第五十一条、第五十三条的 规定就采购人委托授权范围内的事项作出答复。</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5.质疑供应商对采购人、采购代理机构的答复不满意或者采购人、采购代理机构未在规定的时间内作出答复的，可以在答复期满后十五个工作日内向同级政府采购监督管理部门投诉。</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6.政府采购监督管理部门应当在收到投诉后三十个工作日内，对投诉事项作出处理决定，并以书面形式通知投诉人和与投诉事项有关的当事人。</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7.政府采购监督管理部门在处理投诉事项期间，可以视具体情况书面通知采购人暂停采购活动，但暂停时间最长不得超过三十日。</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8.投诉人对政府采购监督管理部门的投诉处理决定不服或者政府采购监督管理部门逾期未作处理的，可以依法申请行政复议或者向人民法院提起行政诉讼。</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9.质疑、投诉书应当包括下列主要内容：</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（1）投诉人和被投诉人的名称、地址、电话等；</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（2）具体的投诉事项及事实依据；</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（3）提供有关质疑事项真实可靠的书面证明材料；</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（4）提起投诉的日期。 质疑、投诉书应当署名。质疑、投诉人为自然人的，应当由本人签字；质疑、投诉人为法人或者其他组织的，应当由法定代表人签字并加盖公章；质疑、投诉人为委托授 权人的应该出具针对本质疑、投诉事项的法人委托授权书。</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10.投诉人有下列情形之一的，属于虚假、恶意投诉，财政部门应当驳回投诉，将其列入不良行为记录名单，并依法予以处罚：</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（1）1 年内 3 次以上投诉均查无实据的；</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（2）捏造事实或者提供虚假投诉材料的。 </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11.澄清或质疑不予受理的情况有下列情形之一的，属于无效质疑，被质疑人不予受理，由此产生的影响由供应商自行承担：</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（1）不是参与该政府采购项目活动供应商的；</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（2）被质疑人为采购人或政府采购代理机构之外的；</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（3）所有质疑事项超过质疑有效期的；</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（4）以具有法律效力的文书送达之外方式提出的；</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（5）未按上述规定递交澄清或质疑函的；</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（6）其它不符合受理条件的情形。</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12.腐败和欺诈行为</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（1）定义 “腐败行为”系指提供、给予、接受或索取任何有价值的物品来影响招标代理机构和/或采购人在采购过程或合同实施过程中的行为。 “欺诈行为”系指为了影响采购过程或合同实施过程而谎报事实，损害招标代理机构和采购人的利益，包括供应商之间串通投标（递交《磋商响应性文件》之前和之后）， 人为地使投标丧失竞争性，剥夺采购人从自由公开竞争所能获得的权益。</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（2）如果招标代理机构和采购人认为供应商在本项目的竞争中有腐败或欺诈行为， 其投标将被拒绝。</w:t>
      </w:r>
    </w:p>
    <w:p>
      <w:pPr>
        <w:pStyle w:val="3"/>
        <w:ind w:firstLine="643" w:firstLineChars="200"/>
        <w:outlineLvl w:val="0"/>
        <w:rPr>
          <w:rFonts w:hint="eastAsia" w:ascii="宋体" w:hAnsi="宋体" w:eastAsia="宋体" w:cs="宋体"/>
          <w:color w:val="auto"/>
          <w:spacing w:val="1"/>
          <w:highlight w:val="none"/>
        </w:rPr>
      </w:pPr>
      <w:r>
        <w:rPr>
          <w:rFonts w:hint="eastAsia" w:ascii="宋体" w:hAnsi="宋体" w:eastAsia="宋体" w:cs="宋体"/>
          <w:color w:val="auto"/>
          <w:highlight w:val="none"/>
        </w:rPr>
        <w:br w:type="page"/>
      </w:r>
      <w:bookmarkStart w:id="70" w:name="_Toc1184"/>
      <w:r>
        <w:rPr>
          <w:rFonts w:hint="eastAsia" w:ascii="宋体" w:hAnsi="宋体" w:eastAsia="宋体" w:cs="宋体"/>
          <w:color w:val="auto"/>
          <w:spacing w:val="1"/>
          <w:highlight w:val="none"/>
        </w:rPr>
        <w:t>第三章评标办法</w:t>
      </w:r>
      <w:bookmarkEnd w:id="70"/>
    </w:p>
    <w:p>
      <w:pPr>
        <w:ind w:firstLine="482" w:firstLineChars="200"/>
        <w:jc w:val="both"/>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一、总则</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根据《中华人民共和国政府采购法》、《中华人民共和国政府采购法实施条例》、《政府购买服务管理办法（暂行）》、《政府采购竞争性磋商采购方式管理暂行办法》等法律规章，结合采购项目特点制定本评标办法。</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2.评标工作由招标代理机构负责组织，具体评标事务由招标代理机构依法组建的磋商小组负责。磋商小组成员人数不少于 3 人，为单数，其中技术、经济等方面的专家不少于成员总数的三分之二。磋商小组由有关技术、经济等方面的专家组成。</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3.评标工作应遵循公平、公正、科学及择优的原则，并以相同的评标程序和标准对待所有的供应商。</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4.磋商小组按照竞争性磋商文件规定的评标方法和标准进行评标，并独立履行下列职责：</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（1）审查磋商响应性文件是否符合竞争性磋商文件要求，并做出评价；</w:t>
      </w:r>
    </w:p>
    <w:p>
      <w:pPr>
        <w:pStyle w:val="8"/>
        <w:numPr>
          <w:ilvl w:val="0"/>
          <w:numId w:val="0"/>
        </w:numPr>
        <w:kinsoku w:val="0"/>
        <w:overflowPunct w:val="0"/>
        <w:spacing w:before="34" w:line="357" w:lineRule="auto"/>
        <w:ind w:left="598" w:leftChars="0" w:right="126" w:rightChars="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★（2）要求投标供应商对磋商响应性文件有关事项做出解释或者澄清；</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（3）推荐中标候选供应商名单，或者受采购人委托按照事先确定的办法直接确定中标单位；</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（4）向招标采购单位或者有关部门报告非法干预评标工作的行为。</w:t>
      </w:r>
    </w:p>
    <w:p>
      <w:pPr>
        <w:pStyle w:val="8"/>
        <w:kinsoku w:val="0"/>
        <w:overflowPunct w:val="0"/>
        <w:spacing w:before="38" w:line="357" w:lineRule="auto"/>
        <w:ind w:right="50"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二、评标、定标组织</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1.由磋商小组组织进行评标。</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2.磋商小组由业主代表与专家库随机抽取的专家共 3 人组成，磋商小组</w:t>
      </w:r>
      <w:r>
        <w:rPr>
          <w:rFonts w:hint="eastAsia" w:ascii="宋体" w:hAnsi="宋体" w:eastAsia="宋体" w:cs="宋体"/>
          <w:color w:val="auto"/>
          <w:highlight w:val="none"/>
          <w:lang w:eastAsia="zh-CN"/>
        </w:rPr>
        <w:t>组长</w:t>
      </w:r>
      <w:r>
        <w:rPr>
          <w:rFonts w:hint="eastAsia" w:ascii="宋体" w:hAnsi="宋体" w:eastAsia="宋体" w:cs="宋体"/>
          <w:color w:val="auto"/>
          <w:highlight w:val="none"/>
        </w:rPr>
        <w:t>由磋商小组成员共同推举产生，磋商小组</w:t>
      </w:r>
      <w:r>
        <w:rPr>
          <w:rFonts w:hint="eastAsia" w:ascii="宋体" w:hAnsi="宋体" w:eastAsia="宋体" w:cs="宋体"/>
          <w:color w:val="auto"/>
          <w:highlight w:val="none"/>
          <w:lang w:eastAsia="zh-CN"/>
        </w:rPr>
        <w:t>组长</w:t>
      </w:r>
      <w:r>
        <w:rPr>
          <w:rFonts w:hint="eastAsia" w:ascii="宋体" w:hAnsi="宋体" w:eastAsia="宋体" w:cs="宋体"/>
          <w:color w:val="auto"/>
          <w:highlight w:val="none"/>
        </w:rPr>
        <w:t>主持整个评标工作，与磋商小组的其他成员有同等的表决权。</w:t>
      </w:r>
    </w:p>
    <w:p>
      <w:pPr>
        <w:pStyle w:val="8"/>
        <w:kinsoku w:val="0"/>
        <w:overflowPunct w:val="0"/>
        <w:spacing w:before="38" w:line="357" w:lineRule="auto"/>
        <w:ind w:right="50"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三、评标原则</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1.磋商小组按照公平、公正、科学、择优的原则对待所有的供应商；</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2.磋商小组成员应当客观、公正地履行职责，遵守职业道德，对所提出的评审意见承担个人责任；磋商小组成员实行主动回避制度；磋商小组成员及工作人员对整个评标活动保密。</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3.磋商小组审查磋商响应性文件是否符合竞争性磋商文件的所有条款、条件和规定。</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4.评标只对实质上响应竞争性磋商文件要求的有效磋商响应性文件进行评审，响应的依据是磋商响应性文件本身的内容，而不寻求其它证据。 </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5.评标将依据竞争性磋商文件确定的标准和方法，结合磋商响应性文件及其补充文件进行，不得忽视磋商响应性文件的实质性内容进行评标。 </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6.评标活动依法进行，任何单位和个人不得非法干预、阻挠采购人采购代理机构的正常工作或者影响评标过程和结果。</w:t>
      </w:r>
    </w:p>
    <w:p>
      <w:pPr>
        <w:pStyle w:val="8"/>
        <w:kinsoku w:val="0"/>
        <w:overflowPunct w:val="0"/>
        <w:spacing w:before="38" w:line="357" w:lineRule="auto"/>
        <w:ind w:right="50"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四、评标方法</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本次采购项目定标采用“综合评分法”。“综合评分法”是指在最大限度地满足竞争性磋商文件实质性要求前提下，以投标报价、技术响应程度、售后服务、商务等综合实力多个因素作为评审指标，全面比较各磋商响应性文件质量、价格、供应商的售后服务、资信情况等因素客观地进行评审，使评审的结果能准确地反映供应商的实际情况，并将各指标量化计分，按总得分排列顺序，确定中标人的方法。总得分最高的供应商作为拟中标单位。</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2.采购人、招标代理机构不向供应商承诺最低价中标，不解释中标或落标原因，不退还磋商响应性文件。</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3.供应商申报的关于资质、业绩等文件和材料必须真实准确，不得弄虚作假。</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4.供应商不得以任何形式搜集评标机密，不得以任何形式干扰评标或授标工作。</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5.供应商在磋商响应性文件的评审、澄清、比较以及授予合同过程中对评标人员施加影响的任何行为，都将导致被取消投标资格。</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6.供应商应具备较强的技术力量及综合实力，在众多项目中业绩、信誉良好，并能确保本次招标采购的长远售后服务。</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7.磋商小组成员对需要共同认定的事项存在争议的，应当按照少数服从多数的原则作出结论。持不同意见的磋商小组成员应当在评标报告上签署不同意见及理由，否则视为同意评标报告。</w:t>
      </w:r>
    </w:p>
    <w:p>
      <w:pPr>
        <w:pStyle w:val="8"/>
        <w:kinsoku w:val="0"/>
        <w:overflowPunct w:val="0"/>
        <w:spacing w:before="38" w:line="357" w:lineRule="auto"/>
        <w:ind w:right="50"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五、评标过程的保密性 </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1.开标后，至到向中标人授予合同时止，凡与审查、澄清、评价和比较投标的有关资料以及授标意见等，均不得向供应商及与评标无关的其他人透露。 </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2.在评标过程中，如果供应商试图在磋商响应性文件审查、澄清、比较及授予合同方面向采购人施加任何影响，其投标将被拒绝。 </w:t>
      </w:r>
    </w:p>
    <w:p>
      <w:pPr>
        <w:pStyle w:val="8"/>
        <w:kinsoku w:val="0"/>
        <w:overflowPunct w:val="0"/>
        <w:spacing w:before="34" w:line="357" w:lineRule="auto"/>
        <w:ind w:right="126"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3.评标人员严格遵守国家的有关保密法律、法规的规定，严格自律，同时接受有关部门的监督、审查。</w:t>
      </w:r>
    </w:p>
    <w:p>
      <w:pPr>
        <w:pStyle w:val="8"/>
        <w:kinsoku w:val="0"/>
        <w:overflowPunct w:val="0"/>
        <w:spacing w:before="38" w:line="357" w:lineRule="auto"/>
        <w:ind w:right="50"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六、评标过程中磋商响应性文件的澄清</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为了公平、公正的对《磋商响应性文件》进行审查、评估和比较，磋商小组可以向投标供应商质疑，请供应商对有关情况作必要说明。供应商有责任按照磋商小组提出的质疑，指派专人进行答疑。重要问题供应商应以书面形式解答。但是澄清或者说明不得超过磋商响应性文件的范围或修改磋商响应性文件的实质性内容，解答文件作为《磋商响应性文件》的组成部分。《竞争性磋商文件》、《磋商响应性文件》及其澄清文件等，均作为签订合同的依据。若供应商对磋商小组提出的质疑不予答复，其不利后果由供应商自行承担。</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若磋商小组发现供应商的投标报价或主要单项货物报价明显低于同标段其它供应商投标报价或者在设有参考标底时明显低于参考标底价，使得其投标报价可能低于其个别成本的，应该要求该供应商作出书面说明并提供相关证明材料。如果供应商不能提供材料证明该项报价有效，磋商小组应当认定低于成本价竞标，否决其投标。如果供应商提供了证明材料，且磋商小组无法证明其无效的，磋商小组应当接受该项投标报价。</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磋商小组认为投标人的报价明显低于其他通过符合性审查投标人的报价，有可能影响产品质量或者不能诚信履约的，磋商小组有权要求其在评标现场合理的时间内提供书面说明，必要时提交相关证明材料；投标人如不能证明其报价合理性的，磋商小组应当将其作为无效投标处理。</w:t>
      </w:r>
    </w:p>
    <w:p>
      <w:pPr>
        <w:pStyle w:val="8"/>
        <w:kinsoku w:val="0"/>
        <w:overflowPunct w:val="0"/>
        <w:spacing w:before="38" w:line="357" w:lineRule="auto"/>
        <w:ind w:right="50"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七、会议组成成员的职责 </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1.采购人：在监督部门监督下，根据《中华人民共和国政府采购法》、《政府购买服务管理办法（暂行）》、《政府采购竞争性磋商采购方式管理暂行办法》规定构成磋商小组成员之一。</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招标代理机构：根据《中华人民共和国政府采购法》、《中华人民共和国政府采购法实施条例》、《政府购买服务管理办法（暂行）》等文件的规定，由代理机构工作人员组成，负责《竞争性磋商文件》的制作，对外联系，开标、评标的会务工作,整理并向磋商小组成员分发招标资料和《磋商响应性文件》；做好开标和评标会议记录；对评标过程中的原始文件进行归档；随时印发需要的文件资料,对各种咨询函件及档案文件的统收统发；负责对磋商小组推荐的拟中标结果进行审核。</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3.监督部门：根据国家有关法律、法规规定由规定部门对整个开标评标过程进行监督, 其他任何单位和个人不得参与或非法干预正常的评审工作和评审结果，保证评标的公正性,防止违法行为的产生。</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4.审核小组</w:t>
      </w:r>
      <w:r>
        <w:rPr>
          <w:rFonts w:hint="eastAsia" w:ascii="宋体" w:hAnsi="宋体" w:eastAsia="宋体" w:cs="宋体"/>
          <w:color w:val="auto"/>
          <w:spacing w:val="-27"/>
          <w:highlight w:val="none"/>
        </w:rPr>
        <w:t>：</w:t>
      </w:r>
      <w:r>
        <w:rPr>
          <w:rFonts w:hint="eastAsia" w:ascii="宋体" w:hAnsi="宋体" w:eastAsia="宋体" w:cs="宋体"/>
          <w:color w:val="auto"/>
          <w:highlight w:val="none"/>
        </w:rPr>
        <w:t>由监督部门和代理机构项目负责人共同组</w:t>
      </w:r>
      <w:r>
        <w:rPr>
          <w:rFonts w:hint="eastAsia" w:ascii="宋体" w:hAnsi="宋体" w:eastAsia="宋体" w:cs="宋体"/>
          <w:color w:val="auto"/>
          <w:spacing w:val="2"/>
          <w:highlight w:val="none"/>
        </w:rPr>
        <w:t>成</w:t>
      </w:r>
      <w:r>
        <w:rPr>
          <w:rFonts w:hint="eastAsia" w:ascii="宋体" w:hAnsi="宋体" w:eastAsia="宋体" w:cs="宋体"/>
          <w:color w:val="auto"/>
          <w:spacing w:val="-27"/>
          <w:highlight w:val="none"/>
        </w:rPr>
        <w:t>，</w:t>
      </w:r>
      <w:r>
        <w:rPr>
          <w:rFonts w:hint="eastAsia" w:ascii="宋体" w:hAnsi="宋体" w:eastAsia="宋体" w:cs="宋体"/>
          <w:color w:val="auto"/>
          <w:highlight w:val="none"/>
        </w:rPr>
        <w:t>负责对磋商小组填写的商务打分表和技术打分表最终统计结果进行审核，审核无误后由磋商小组签字确认。</w:t>
      </w:r>
    </w:p>
    <w:p>
      <w:pPr>
        <w:pStyle w:val="8"/>
        <w:kinsoku w:val="0"/>
        <w:overflowPunct w:val="0"/>
        <w:spacing w:before="38" w:line="357" w:lineRule="auto"/>
        <w:ind w:right="50"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八、定标方法：</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1.磋商小组以开标、评标情况为基本依据，对符合条件的《磋商响应性文件》及供应商进行综合评审打分，总分值设定为 100 分。</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2.投标报价得分由磋商小组按照价格分计算公式计算分值。</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3.商务部分由磋商小组共同评定唯一的得分。</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4.技术部分由磋商小组专家分别打分后，取平均分作为技术分最后得分。</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5.供应商综合评分最终总分值为商务部分、技术部分和投标报价三部分得分总和。</w:t>
      </w:r>
    </w:p>
    <w:p>
      <w:pPr>
        <w:pStyle w:val="8"/>
        <w:kinsoku w:val="0"/>
        <w:overflowPunct w:val="0"/>
        <w:spacing w:before="38" w:line="357" w:lineRule="auto"/>
        <w:ind w:right="50"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九、评标程序及标准（综合评分法）</w:t>
      </w:r>
    </w:p>
    <w:p>
      <w:pPr>
        <w:pStyle w:val="1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96" w:firstLineChars="200"/>
        <w:textAlignment w:val="auto"/>
        <w:outlineLvl w:val="9"/>
        <w:rPr>
          <w:rFonts w:hint="eastAsia"/>
          <w:color w:val="auto"/>
          <w:sz w:val="24"/>
          <w:szCs w:val="24"/>
          <w:highlight w:val="none"/>
        </w:rPr>
      </w:pPr>
      <w:r>
        <w:rPr>
          <w:rFonts w:hint="eastAsia"/>
          <w:color w:val="auto"/>
          <w:sz w:val="24"/>
          <w:szCs w:val="24"/>
          <w:highlight w:val="none"/>
        </w:rPr>
        <w:t>按照竞争性磋商响应文件初审、澄清有关问题、分别磋商、二次报价、比较与评审、推荐成交候选</w:t>
      </w:r>
      <w:r>
        <w:rPr>
          <w:rFonts w:hint="eastAsia"/>
          <w:color w:val="auto"/>
          <w:sz w:val="24"/>
          <w:szCs w:val="24"/>
          <w:highlight w:val="none"/>
          <w:lang w:eastAsia="zh-CN"/>
        </w:rPr>
        <w:t>人</w:t>
      </w:r>
      <w:r>
        <w:rPr>
          <w:rFonts w:hint="eastAsia"/>
          <w:color w:val="auto"/>
          <w:sz w:val="24"/>
          <w:szCs w:val="24"/>
          <w:highlight w:val="none"/>
        </w:rPr>
        <w:t>名单。在上一步评审中被认定为无效磋商者，不进入下一步的评审。</w:t>
      </w:r>
    </w:p>
    <w:p>
      <w:pPr>
        <w:rPr>
          <w:rFonts w:hint="eastAsia"/>
          <w:color w:val="auto"/>
          <w:highlight w:val="none"/>
        </w:rPr>
      </w:pPr>
    </w:p>
    <w:p>
      <w:pPr>
        <w:pStyle w:val="8"/>
        <w:kinsoku w:val="0"/>
        <w:overflowPunct w:val="0"/>
        <w:spacing w:before="38" w:line="357" w:lineRule="auto"/>
        <w:ind w:right="50"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1.初步评审（资格后审）：</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rightChars="0" w:firstLine="482"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sz w:val="24"/>
          <w:szCs w:val="24"/>
          <w:highlight w:val="none"/>
        </w:rPr>
        <w:t>1.1 资格性审查：</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将依据</w:t>
      </w:r>
      <w:r>
        <w:rPr>
          <w:rFonts w:hint="eastAsia" w:ascii="宋体" w:hAnsi="宋体" w:eastAsia="宋体" w:cs="宋体"/>
          <w:color w:val="auto"/>
          <w:sz w:val="24"/>
          <w:szCs w:val="24"/>
          <w:highlight w:val="none"/>
          <w:lang w:eastAsia="zh-CN"/>
        </w:rPr>
        <w:t>磋商响应</w:t>
      </w:r>
      <w:r>
        <w:rPr>
          <w:rFonts w:hint="eastAsia" w:ascii="宋体" w:hAnsi="宋体" w:eastAsia="宋体" w:cs="宋体"/>
          <w:color w:val="auto"/>
          <w:sz w:val="24"/>
          <w:szCs w:val="24"/>
          <w:highlight w:val="none"/>
        </w:rPr>
        <w:t>文件，按照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w:t>
      </w:r>
      <w:r>
        <w:rPr>
          <w:rFonts w:hint="eastAsia" w:ascii="宋体" w:hAnsi="宋体" w:eastAsia="宋体" w:cs="宋体"/>
          <w:color w:val="auto"/>
          <w:sz w:val="24"/>
          <w:szCs w:val="24"/>
          <w:highlight w:val="none"/>
          <w:lang w:eastAsia="zh-CN"/>
        </w:rPr>
        <w:t>“供应商须知</w:t>
      </w:r>
      <w:r>
        <w:rPr>
          <w:rFonts w:hint="eastAsia" w:ascii="宋体" w:hAnsi="宋体" w:cs="宋体"/>
          <w:color w:val="auto"/>
          <w:sz w:val="24"/>
          <w:szCs w:val="24"/>
          <w:highlight w:val="none"/>
          <w:lang w:eastAsia="zh-CN"/>
        </w:rPr>
        <w:t>前附表</w:t>
      </w:r>
      <w:r>
        <w:rPr>
          <w:rFonts w:hint="eastAsia" w:ascii="宋体" w:hAnsi="宋体" w:eastAsia="宋体" w:cs="宋体"/>
          <w:color w:val="auto"/>
          <w:sz w:val="24"/>
          <w:szCs w:val="24"/>
          <w:highlight w:val="none"/>
          <w:lang w:eastAsia="zh-CN"/>
        </w:rPr>
        <w:t>”第</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条所述</w:t>
      </w:r>
      <w:r>
        <w:rPr>
          <w:rFonts w:hint="eastAsia" w:ascii="宋体" w:hAnsi="宋体" w:eastAsia="宋体" w:cs="宋体"/>
          <w:color w:val="auto"/>
          <w:sz w:val="24"/>
          <w:szCs w:val="24"/>
          <w:highlight w:val="none"/>
          <w:lang w:eastAsia="zh-CN"/>
        </w:rPr>
        <w:t>资格要求进行资格审查，</w:t>
      </w:r>
      <w:r>
        <w:rPr>
          <w:rFonts w:hint="eastAsia" w:ascii="宋体" w:hAnsi="宋体" w:eastAsia="宋体" w:cs="宋体"/>
          <w:color w:val="auto"/>
          <w:sz w:val="24"/>
          <w:szCs w:val="24"/>
          <w:highlight w:val="none"/>
        </w:rPr>
        <w:t>有一项因素不符合审查标准的，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不能通过</w:t>
      </w:r>
      <w:r>
        <w:rPr>
          <w:rFonts w:hint="eastAsia" w:ascii="宋体" w:hAnsi="宋体" w:eastAsia="宋体" w:cs="宋体"/>
          <w:color w:val="auto"/>
          <w:sz w:val="24"/>
          <w:szCs w:val="24"/>
          <w:highlight w:val="none"/>
          <w:lang w:eastAsia="zh-CN"/>
        </w:rPr>
        <w:t>资格审查，其磋商无效</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有关资格证明材料的证书、证件原件备查。</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资格审查主要审查以下方面的内容（包括但不限于以下内容）：</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1、法人授权委托书和被授权人有效身份证（法人直接参加的需出示法人身份</w:t>
      </w:r>
      <w:r>
        <w:rPr>
          <w:rFonts w:hint="eastAsia" w:ascii="宋体" w:hAnsi="宋体" w:cs="宋体"/>
          <w:b/>
          <w:bCs/>
          <w:color w:val="auto"/>
          <w:kern w:val="0"/>
          <w:sz w:val="24"/>
          <w:szCs w:val="24"/>
          <w:highlight w:val="none"/>
          <w:lang w:val="en-US" w:eastAsia="zh-CN" w:bidi="ar-SA"/>
        </w:rPr>
        <w:t>证明及身份</w:t>
      </w:r>
      <w:r>
        <w:rPr>
          <w:rFonts w:hint="eastAsia" w:ascii="宋体" w:hAnsi="宋体" w:eastAsia="宋体" w:cs="宋体"/>
          <w:b/>
          <w:bCs/>
          <w:color w:val="auto"/>
          <w:kern w:val="0"/>
          <w:sz w:val="24"/>
          <w:szCs w:val="24"/>
          <w:highlight w:val="none"/>
          <w:lang w:val="en-US" w:eastAsia="zh-CN" w:bidi="ar-SA"/>
        </w:rPr>
        <w:t>证原件）</w:t>
      </w:r>
      <w:r>
        <w:rPr>
          <w:rFonts w:hint="eastAsia" w:ascii="宋体" w:hAnsi="宋体" w:eastAsia="宋体" w:cs="宋体"/>
          <w:b/>
          <w:bCs/>
          <w:color w:val="auto"/>
          <w:kern w:val="0"/>
          <w:sz w:val="24"/>
          <w:szCs w:val="24"/>
          <w:highlight w:val="none"/>
          <w:lang w:val="zh-CN" w:eastAsia="zh-CN" w:bidi="ar-SA"/>
        </w:rPr>
        <w:t>；</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en-US" w:eastAsia="zh-CN" w:bidi="ar-SA"/>
        </w:rPr>
        <w:t>2、</w:t>
      </w:r>
      <w:r>
        <w:rPr>
          <w:rFonts w:hint="eastAsia" w:ascii="宋体" w:hAnsi="宋体" w:eastAsia="宋体" w:cs="宋体"/>
          <w:b/>
          <w:bCs/>
          <w:color w:val="auto"/>
          <w:kern w:val="0"/>
          <w:sz w:val="24"/>
          <w:szCs w:val="24"/>
          <w:highlight w:val="none"/>
          <w:lang w:val="zh-CN" w:eastAsia="zh-CN" w:bidi="ar-SA"/>
        </w:rPr>
        <w:t>营业执照；</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color w:val="auto"/>
          <w:kern w:val="0"/>
          <w:sz w:val="24"/>
          <w:szCs w:val="24"/>
          <w:highlight w:val="none"/>
          <w:lang w:val="zh-CN" w:eastAsia="zh-CN" w:bidi="ar-SA"/>
        </w:rPr>
      </w:pPr>
      <w:r>
        <w:rPr>
          <w:rFonts w:hint="eastAsia" w:ascii="宋体" w:hAnsi="宋体" w:cs="宋体"/>
          <w:b/>
          <w:bCs/>
          <w:color w:val="auto"/>
          <w:kern w:val="0"/>
          <w:sz w:val="24"/>
          <w:szCs w:val="24"/>
          <w:highlight w:val="none"/>
          <w:lang w:val="en-US" w:eastAsia="zh-CN" w:bidi="ar-SA"/>
        </w:rPr>
        <w:t>3</w:t>
      </w:r>
      <w:r>
        <w:rPr>
          <w:rFonts w:hint="eastAsia" w:ascii="宋体" w:hAnsi="宋体" w:eastAsia="宋体" w:cs="宋体"/>
          <w:b/>
          <w:bCs/>
          <w:color w:val="auto"/>
          <w:kern w:val="0"/>
          <w:sz w:val="24"/>
          <w:szCs w:val="24"/>
          <w:highlight w:val="none"/>
          <w:lang w:val="en-US" w:eastAsia="zh-CN" w:bidi="ar-SA"/>
        </w:rPr>
        <w:t>、投标人提供近半年内已缴存的至少一个月的社会保障资金缴存单据或社保机构开具的社会保险参保缴费情况证明，依法不需要缴纳社会保障资金的投标人应提供相关文件证明</w:t>
      </w:r>
      <w:r>
        <w:rPr>
          <w:rFonts w:hint="eastAsia" w:ascii="宋体" w:hAnsi="宋体" w:eastAsia="宋体" w:cs="宋体"/>
          <w:b/>
          <w:bCs/>
          <w:color w:val="auto"/>
          <w:kern w:val="0"/>
          <w:sz w:val="24"/>
          <w:szCs w:val="24"/>
          <w:highlight w:val="none"/>
          <w:lang w:val="zh-CN" w:eastAsia="zh-CN" w:bidi="ar-SA"/>
        </w:rPr>
        <w:t>；</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color w:val="auto"/>
          <w:kern w:val="0"/>
          <w:sz w:val="24"/>
          <w:szCs w:val="24"/>
          <w:highlight w:val="none"/>
          <w:lang w:val="zh-CN" w:eastAsia="zh-CN" w:bidi="ar-SA"/>
        </w:rPr>
      </w:pPr>
      <w:r>
        <w:rPr>
          <w:rFonts w:hint="eastAsia" w:ascii="宋体" w:hAnsi="宋体" w:cs="宋体"/>
          <w:b/>
          <w:bCs/>
          <w:color w:val="auto"/>
          <w:kern w:val="0"/>
          <w:sz w:val="24"/>
          <w:szCs w:val="24"/>
          <w:highlight w:val="none"/>
          <w:lang w:val="en-US" w:eastAsia="zh-CN" w:bidi="ar-SA"/>
        </w:rPr>
        <w:t>4</w:t>
      </w:r>
      <w:r>
        <w:rPr>
          <w:rFonts w:hint="eastAsia" w:ascii="宋体" w:hAnsi="宋体" w:eastAsia="宋体" w:cs="宋体"/>
          <w:b/>
          <w:bCs/>
          <w:color w:val="auto"/>
          <w:kern w:val="0"/>
          <w:sz w:val="24"/>
          <w:szCs w:val="24"/>
          <w:highlight w:val="none"/>
          <w:lang w:val="en-US" w:eastAsia="zh-CN" w:bidi="ar-SA"/>
        </w:rPr>
        <w:t>、</w:t>
      </w:r>
      <w:r>
        <w:rPr>
          <w:rFonts w:hint="eastAsia" w:ascii="宋体" w:hAnsi="宋体" w:eastAsia="宋体" w:cs="宋体"/>
          <w:b/>
          <w:bCs/>
          <w:color w:val="auto"/>
          <w:kern w:val="0"/>
          <w:sz w:val="24"/>
          <w:szCs w:val="24"/>
          <w:highlight w:val="none"/>
          <w:lang w:val="zh-CN" w:eastAsia="zh-CN" w:bidi="ar-SA"/>
        </w:rPr>
        <w:t>2019年</w:t>
      </w:r>
      <w:r>
        <w:rPr>
          <w:rFonts w:hint="eastAsia" w:ascii="宋体" w:hAnsi="宋体" w:cs="宋体"/>
          <w:b/>
          <w:bCs/>
          <w:color w:val="auto"/>
          <w:kern w:val="0"/>
          <w:sz w:val="24"/>
          <w:szCs w:val="24"/>
          <w:highlight w:val="none"/>
          <w:lang w:val="zh-CN" w:eastAsia="zh-CN" w:bidi="ar-SA"/>
        </w:rPr>
        <w:t>或</w:t>
      </w:r>
      <w:r>
        <w:rPr>
          <w:rFonts w:hint="eastAsia" w:ascii="宋体" w:hAnsi="宋体" w:cs="宋体"/>
          <w:b/>
          <w:bCs/>
          <w:color w:val="auto"/>
          <w:kern w:val="0"/>
          <w:sz w:val="24"/>
          <w:szCs w:val="24"/>
          <w:highlight w:val="none"/>
          <w:lang w:val="en-US" w:eastAsia="zh-CN" w:bidi="ar-SA"/>
        </w:rPr>
        <w:t>2020年</w:t>
      </w:r>
      <w:r>
        <w:rPr>
          <w:rFonts w:hint="eastAsia" w:ascii="宋体" w:hAnsi="宋体" w:eastAsia="宋体" w:cs="宋体"/>
          <w:b/>
          <w:bCs/>
          <w:color w:val="auto"/>
          <w:kern w:val="0"/>
          <w:sz w:val="24"/>
          <w:szCs w:val="24"/>
          <w:highlight w:val="none"/>
          <w:lang w:val="zh-CN" w:eastAsia="zh-CN" w:bidi="ar-SA"/>
        </w:rPr>
        <w:t>审计报告（供应商成立不足1年的，提供有关财务报表（不需审计））或基本开户银行出具的资信证明文件；</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5</w:t>
      </w:r>
      <w:r>
        <w:rPr>
          <w:rFonts w:hint="eastAsia" w:ascii="宋体" w:hAnsi="宋体" w:eastAsia="宋体" w:cs="宋体"/>
          <w:b/>
          <w:bCs/>
          <w:color w:val="auto"/>
          <w:kern w:val="0"/>
          <w:sz w:val="24"/>
          <w:szCs w:val="24"/>
          <w:highlight w:val="none"/>
          <w:lang w:val="en-US" w:eastAsia="zh-CN" w:bidi="ar-SA"/>
        </w:rPr>
        <w:t>、投标人提供近半年内已缴纳的至少一个月的纳税证明或完税证明，纳税证明或完税证明上应有代收机构或税务机关的公章，依法免税的投标人应提供相关文件证明；</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color w:val="auto"/>
          <w:kern w:val="0"/>
          <w:sz w:val="24"/>
          <w:szCs w:val="24"/>
          <w:highlight w:val="none"/>
          <w:lang w:val="zh-CN" w:eastAsia="zh-CN" w:bidi="ar-SA"/>
        </w:rPr>
      </w:pPr>
      <w:r>
        <w:rPr>
          <w:rFonts w:hint="eastAsia" w:ascii="宋体" w:hAnsi="宋体" w:cs="宋体"/>
          <w:b/>
          <w:bCs/>
          <w:color w:val="auto"/>
          <w:kern w:val="0"/>
          <w:sz w:val="24"/>
          <w:szCs w:val="24"/>
          <w:highlight w:val="none"/>
          <w:lang w:val="en-US" w:eastAsia="zh-CN" w:bidi="ar-SA"/>
        </w:rPr>
        <w:t>6</w:t>
      </w:r>
      <w:r>
        <w:rPr>
          <w:rFonts w:hint="eastAsia" w:ascii="宋体" w:hAnsi="宋体" w:eastAsia="宋体" w:cs="宋体"/>
          <w:b/>
          <w:bCs/>
          <w:color w:val="auto"/>
          <w:kern w:val="0"/>
          <w:sz w:val="24"/>
          <w:szCs w:val="24"/>
          <w:highlight w:val="none"/>
          <w:lang w:val="en-US" w:eastAsia="zh-CN" w:bidi="ar-SA"/>
        </w:rPr>
        <w:t>、</w:t>
      </w:r>
      <w:r>
        <w:rPr>
          <w:rFonts w:hint="eastAsia" w:ascii="宋体" w:hAnsi="宋体" w:eastAsia="宋体" w:cs="宋体"/>
          <w:b/>
          <w:bCs/>
          <w:color w:val="auto"/>
          <w:kern w:val="0"/>
          <w:sz w:val="24"/>
          <w:szCs w:val="24"/>
          <w:highlight w:val="none"/>
          <w:lang w:val="zh-CN" w:eastAsia="zh-CN" w:bidi="ar-SA"/>
        </w:rPr>
        <w:t>提供保证金</w:t>
      </w:r>
      <w:r>
        <w:rPr>
          <w:rFonts w:hint="eastAsia" w:ascii="宋体" w:hAnsi="宋体" w:cs="宋体"/>
          <w:b/>
          <w:bCs/>
          <w:color w:val="auto"/>
          <w:kern w:val="0"/>
          <w:sz w:val="24"/>
          <w:szCs w:val="24"/>
          <w:highlight w:val="none"/>
          <w:lang w:val="zh-CN" w:eastAsia="zh-CN" w:bidi="ar-SA"/>
        </w:rPr>
        <w:t>缴纳</w:t>
      </w:r>
      <w:r>
        <w:rPr>
          <w:rFonts w:hint="eastAsia" w:ascii="宋体" w:hAnsi="宋体" w:eastAsia="宋体" w:cs="宋体"/>
          <w:b/>
          <w:bCs/>
          <w:color w:val="auto"/>
          <w:kern w:val="0"/>
          <w:sz w:val="24"/>
          <w:szCs w:val="24"/>
          <w:highlight w:val="none"/>
          <w:lang w:val="en-US" w:eastAsia="zh-CN" w:bidi="ar-SA"/>
        </w:rPr>
        <w:t>凭证</w:t>
      </w:r>
      <w:r>
        <w:rPr>
          <w:rFonts w:hint="eastAsia" w:ascii="宋体" w:hAnsi="宋体" w:eastAsia="宋体" w:cs="宋体"/>
          <w:b/>
          <w:bCs/>
          <w:color w:val="auto"/>
          <w:kern w:val="0"/>
          <w:sz w:val="24"/>
          <w:szCs w:val="24"/>
          <w:highlight w:val="none"/>
          <w:lang w:val="zh-CN" w:eastAsia="zh-CN" w:bidi="ar-SA"/>
        </w:rPr>
        <w:t>；</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color w:val="auto"/>
          <w:kern w:val="0"/>
          <w:sz w:val="24"/>
          <w:szCs w:val="24"/>
          <w:highlight w:val="none"/>
          <w:lang w:val="zh-CN" w:eastAsia="zh-CN" w:bidi="ar-SA"/>
        </w:rPr>
      </w:pPr>
      <w:r>
        <w:rPr>
          <w:rFonts w:hint="eastAsia" w:ascii="宋体" w:hAnsi="宋体" w:cs="宋体"/>
          <w:b/>
          <w:bCs/>
          <w:color w:val="auto"/>
          <w:kern w:val="0"/>
          <w:sz w:val="24"/>
          <w:szCs w:val="24"/>
          <w:highlight w:val="none"/>
          <w:lang w:val="en-US" w:eastAsia="zh-CN" w:bidi="ar-SA"/>
        </w:rPr>
        <w:t>7</w:t>
      </w:r>
      <w:r>
        <w:rPr>
          <w:rFonts w:hint="eastAsia" w:ascii="宋体" w:hAnsi="宋体" w:eastAsia="宋体" w:cs="宋体"/>
          <w:b/>
          <w:bCs/>
          <w:color w:val="auto"/>
          <w:kern w:val="0"/>
          <w:sz w:val="24"/>
          <w:szCs w:val="24"/>
          <w:highlight w:val="none"/>
          <w:lang w:val="en-US" w:eastAsia="zh-CN" w:bidi="ar-SA"/>
        </w:rPr>
        <w:t>、</w:t>
      </w:r>
      <w:r>
        <w:rPr>
          <w:rFonts w:hint="eastAsia" w:ascii="宋体" w:hAnsi="宋体" w:eastAsia="宋体" w:cs="宋体"/>
          <w:b/>
          <w:bCs/>
          <w:color w:val="auto"/>
          <w:kern w:val="0"/>
          <w:sz w:val="24"/>
          <w:szCs w:val="24"/>
          <w:highlight w:val="none"/>
          <w:lang w:val="zh-CN" w:eastAsia="zh-CN" w:bidi="ar-SA"/>
        </w:rPr>
        <w:t>参加政府采购活动前三年内，在经营活动中没有重大违法记录；近三年经营活动中没有重大违法记录声明函原件；</w:t>
      </w:r>
    </w:p>
    <w:p>
      <w:pPr>
        <w:pageBreakBefore w:val="0"/>
        <w:widowControl w:val="0"/>
        <w:kinsoku/>
        <w:wordWrap/>
        <w:overflowPunct/>
        <w:topLinePunct w:val="0"/>
        <w:bidi w:val="0"/>
        <w:snapToGrid/>
        <w:spacing w:line="360" w:lineRule="auto"/>
        <w:ind w:firstLine="482" w:firstLineChars="200"/>
        <w:textAlignment w:val="auto"/>
        <w:rPr>
          <w:rFonts w:hint="eastAsia" w:ascii="微软雅黑" w:hAnsi="微软雅黑" w:eastAsia="微软雅黑" w:cs="微软雅黑"/>
          <w:i w:val="0"/>
          <w:caps w:val="0"/>
          <w:color w:val="auto"/>
          <w:spacing w:val="0"/>
          <w:sz w:val="21"/>
          <w:szCs w:val="21"/>
          <w:highlight w:val="none"/>
        </w:rPr>
      </w:pPr>
      <w:r>
        <w:rPr>
          <w:rFonts w:hint="eastAsia" w:ascii="宋体" w:hAnsi="宋体" w:cs="宋体"/>
          <w:b/>
          <w:bCs/>
          <w:color w:val="auto"/>
          <w:kern w:val="0"/>
          <w:sz w:val="24"/>
          <w:szCs w:val="24"/>
          <w:highlight w:val="none"/>
          <w:lang w:val="en-US" w:eastAsia="zh-CN" w:bidi="ar-SA"/>
        </w:rPr>
        <w:t>8</w:t>
      </w:r>
      <w:r>
        <w:rPr>
          <w:rFonts w:hint="eastAsia" w:ascii="宋体" w:hAnsi="宋体" w:eastAsia="宋体" w:cs="宋体"/>
          <w:b/>
          <w:bCs/>
          <w:color w:val="auto"/>
          <w:kern w:val="0"/>
          <w:sz w:val="24"/>
          <w:szCs w:val="24"/>
          <w:highlight w:val="none"/>
          <w:lang w:val="en-US" w:eastAsia="zh-CN" w:bidi="ar-SA"/>
        </w:rPr>
        <w:t>、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供应商公章为准；</w:t>
      </w:r>
      <w:r>
        <w:rPr>
          <w:rFonts w:hint="eastAsia" w:ascii="宋体" w:hAnsi="宋体" w:eastAsia="宋体" w:cs="宋体"/>
          <w:color w:val="auto"/>
          <w:kern w:val="0"/>
          <w:sz w:val="24"/>
          <w:szCs w:val="24"/>
          <w:highlight w:val="none"/>
          <w:lang w:val="en-US" w:eastAsia="zh-CN" w:bidi="ar-SA"/>
        </w:rPr>
        <w:t>　</w:t>
      </w:r>
      <w:r>
        <w:rPr>
          <w:rFonts w:hint="eastAsia" w:ascii="微软雅黑" w:hAnsi="微软雅黑" w:eastAsia="微软雅黑" w:cs="微软雅黑"/>
          <w:i w:val="0"/>
          <w:caps w:val="0"/>
          <w:color w:val="auto"/>
          <w:spacing w:val="0"/>
          <w:sz w:val="31"/>
          <w:szCs w:val="31"/>
          <w:highlight w:val="none"/>
          <w:shd w:val="clear" w:fill="FFFFFF"/>
        </w:rPr>
        <w:t>　</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备注：竞争性磋商文件涉及要求供应商在开标时所带的原件，请供应商在开标现场一次性提供。供应商提交的所有证明文件及材料必须清晰、准确、真实、有效；对于不提供或提供不真实或虚假资料者按无效标处理。</w:t>
      </w:r>
    </w:p>
    <w:p>
      <w:pPr>
        <w:pStyle w:val="8"/>
        <w:kinsoku w:val="0"/>
        <w:overflowPunct w:val="0"/>
        <w:spacing w:before="34" w:line="357" w:lineRule="auto"/>
        <w:ind w:right="126"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1.2 响应性审查：</w:t>
      </w:r>
      <w:r>
        <w:rPr>
          <w:rFonts w:hint="eastAsia" w:ascii="宋体" w:hAnsi="宋体" w:eastAsia="宋体" w:cs="宋体"/>
          <w:color w:val="auto"/>
          <w:highlight w:val="none"/>
        </w:rPr>
        <w:t>依据《竞争性磋商文件》的规定，从《磋商响应性文件》的有效性、完整性和对《竞争性磋商文件》的响应程度进行审查，以确定是否对《竞争性磋商文件》的实质性要求做出响应。响应性审查时有下列情形之一的，由磋商小组按无效《磋商响应性文件》处理：</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（1）未按照招标文件的规定提交投标保证金的；</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（2）投标文件未按招标文件要求签署、盖章的；</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（3）不具备招标文件中规定的资格要求的；</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（4）报价超过招标文件中规定的预算金额或者最高限价的；</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（5）投标文件含有采购人不能接受的附加条件的；</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（6）法律、法规和招标文件规定的其他无效情形；</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 实质上没有响应《竞争性磋商文件》要求的《磋商响应性文件》将被拒绝。</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1.4 供应商不得通过修正或撤销不符合要求的偏离或保留从而使其《磋商响应性文件》成为实质上响应的《磋商响应性文件》。</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1.5 通过资格性及响应性审查且无实质性背离采购人要求的响应文件，即可进行下一步评审。未通过资格性审查、响应性审查的响应文件按无效投标处理。</w:t>
      </w:r>
    </w:p>
    <w:p>
      <w:pPr>
        <w:pStyle w:val="8"/>
        <w:kinsoku w:val="0"/>
        <w:overflowPunct w:val="0"/>
        <w:spacing w:before="34"/>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2.磋商及详细评审：</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 磋商小组审阅响应文件： 以确定是否对磋商文件的要求做出实质性响应。未对磋商文件做实质性响应的供应商，不得进入具体磋商程序。</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 开始磋商，磋商小组所有成员集中与单一供应商分别进行磋商。磋商小组可根据供应商的报价，响应内容及磋商的情况，给予每个正在参加磋商的供应商相同的机会。先依据供应商制定的方案进行审查，经过磋商小组所有成员集中讨论及磋商讨论，再给予每个合格的供应商二次报价资格。</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对磋商文件作出的实质性变动是磋商文件的有效组成部分，磋商小组应当及时以书面形式同时通知所有参加磋商的供应商。</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供应商应当按照磋商文件的变动情况和磋商小组的要求重新提交响应文件，并由其全权代表签章。</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 磋商结束后，参加磋商的供应商应当对磋商的承诺和最后报价以书面形式确认， 并由授权委托人签章。各供应商对本项目进行二次（最终）报价。</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2.4 由磋商小组采用综合评分法对提交最终报价的供应商的响应文件和最终报价进 行打分；</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2.5 磋商小组可以对确定为实质上响应竞争性磋商文件要求的磋商响应性文件进行校对、审核，对出现的算术错误，由磋商小组予以改正，并让供应商澄清确认。修正计算错误按如下原则进行：</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磋商响应性文件》的大写金额和小写金额不一致的，以大写金额为准；总价金额与单项单价汇总金额不一致的，以单价金额计算结果为准；单价金额小数点有明显错位的，应以总价为准，并修改单价；对不同文字文本《磋商响应性文件》的解释发生异议的，以中文文本为准。</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 若供应商不接受对其错误的更正，其投标将被视为无效投标。</w:t>
      </w:r>
    </w:p>
    <w:p>
      <w:pPr>
        <w:pStyle w:val="8"/>
        <w:kinsoku w:val="0"/>
        <w:overflowPunct w:val="0"/>
        <w:spacing w:before="34"/>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r>
        <w:rPr>
          <w:rFonts w:hint="eastAsia" w:ascii="宋体" w:hAnsi="宋体" w:eastAsia="宋体" w:cs="宋体"/>
          <w:b/>
          <w:bCs/>
          <w:color w:val="auto"/>
          <w:highlight w:val="none"/>
        </w:rPr>
        <w:t>3. 综合评分表</w:t>
      </w:r>
    </w:p>
    <w:p>
      <w:pPr>
        <w:rPr>
          <w:rFonts w:hint="eastAsia" w:ascii="宋体" w:hAnsi="宋体" w:eastAsia="宋体" w:cs="宋体"/>
          <w:b/>
          <w:bCs/>
          <w:color w:val="auto"/>
          <w:highlight w:val="none"/>
        </w:rPr>
      </w:pPr>
    </w:p>
    <w:tbl>
      <w:tblPr>
        <w:tblStyle w:val="16"/>
        <w:tblW w:w="90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948"/>
        <w:gridCol w:w="6603"/>
        <w:gridCol w:w="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684" w:type="dxa"/>
            <w:gridSpan w:val="2"/>
          </w:tcPr>
          <w:p>
            <w:pPr>
              <w:pStyle w:val="24"/>
              <w:spacing w:before="123"/>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评审因素</w:t>
            </w:r>
          </w:p>
        </w:tc>
        <w:tc>
          <w:tcPr>
            <w:tcW w:w="6603" w:type="dxa"/>
          </w:tcPr>
          <w:p>
            <w:pPr>
              <w:pStyle w:val="24"/>
              <w:spacing w:before="123"/>
              <w:ind w:left="856"/>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w:t>
            </w:r>
            <w:r>
              <w:rPr>
                <w:rFonts w:hint="eastAsia" w:asciiTheme="minorEastAsia" w:hAnsiTheme="minorEastAsia" w:eastAsiaTheme="minorEastAsia" w:cstheme="minorEastAsia"/>
                <w:b/>
                <w:color w:val="auto"/>
                <w:sz w:val="21"/>
                <w:szCs w:val="21"/>
                <w:highlight w:val="none"/>
                <w:lang w:val="en-US" w:eastAsia="zh-CN"/>
              </w:rPr>
              <w:t>审</w:t>
            </w:r>
            <w:r>
              <w:rPr>
                <w:rFonts w:hint="eastAsia" w:asciiTheme="minorEastAsia" w:hAnsiTheme="minorEastAsia" w:eastAsiaTheme="minorEastAsia" w:cstheme="minorEastAsia"/>
                <w:b/>
                <w:color w:val="auto"/>
                <w:sz w:val="21"/>
                <w:szCs w:val="21"/>
                <w:highlight w:val="none"/>
              </w:rPr>
              <w:t>标准</w:t>
            </w:r>
          </w:p>
        </w:tc>
        <w:tc>
          <w:tcPr>
            <w:tcW w:w="741"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84" w:type="dxa"/>
            <w:gridSpan w:val="2"/>
            <w:vMerge w:val="restart"/>
          </w:tcPr>
          <w:p>
            <w:pPr>
              <w:pStyle w:val="24"/>
              <w:spacing w:before="10"/>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分值构成</w:t>
            </w:r>
          </w:p>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（总分100分)</w:t>
            </w:r>
          </w:p>
        </w:tc>
        <w:tc>
          <w:tcPr>
            <w:tcW w:w="6603" w:type="dxa"/>
          </w:tcPr>
          <w:p>
            <w:pPr>
              <w:pStyle w:val="24"/>
              <w:spacing w:before="65"/>
              <w:ind w:left="4"/>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评审价格：</w:t>
            </w:r>
            <w:r>
              <w:rPr>
                <w:rFonts w:hint="eastAsia" w:asciiTheme="minorEastAsia" w:hAnsiTheme="minorEastAsia" w:eastAsiaTheme="minorEastAsia" w:cstheme="minorEastAsia"/>
                <w:b/>
                <w:bCs/>
                <w:color w:val="auto"/>
                <w:sz w:val="21"/>
                <w:szCs w:val="21"/>
                <w:highlight w:val="none"/>
                <w:lang w:val="en-US" w:eastAsia="zh-CN"/>
              </w:rPr>
              <w:t>3</w:t>
            </w:r>
            <w:r>
              <w:rPr>
                <w:rFonts w:hint="eastAsia" w:asciiTheme="minorEastAsia" w:hAnsiTheme="minorEastAsia" w:eastAsiaTheme="minorEastAsia" w:cstheme="minorEastAsia"/>
                <w:b/>
                <w:bCs/>
                <w:color w:val="auto"/>
                <w:sz w:val="21"/>
                <w:szCs w:val="21"/>
                <w:highlight w:val="none"/>
              </w:rPr>
              <w:t xml:space="preserve">0分 </w:t>
            </w:r>
          </w:p>
        </w:tc>
        <w:tc>
          <w:tcPr>
            <w:tcW w:w="741" w:type="dxa"/>
            <w:vMerge w:val="restart"/>
            <w:vAlign w:val="center"/>
          </w:tcPr>
          <w:p>
            <w:pPr>
              <w:pStyle w:val="24"/>
              <w:spacing w:before="65"/>
              <w:ind w:left="4"/>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684" w:type="dxa"/>
            <w:gridSpan w:val="2"/>
            <w:vMerge w:val="continue"/>
            <w:tcBorders>
              <w:top w:val="nil"/>
            </w:tcBorders>
          </w:tcPr>
          <w:p>
            <w:pPr>
              <w:rPr>
                <w:rFonts w:hint="eastAsia" w:asciiTheme="minorEastAsia" w:hAnsiTheme="minorEastAsia" w:eastAsiaTheme="minorEastAsia" w:cstheme="minorEastAsia"/>
                <w:color w:val="auto"/>
                <w:sz w:val="21"/>
                <w:szCs w:val="21"/>
                <w:highlight w:val="none"/>
              </w:rPr>
            </w:pPr>
          </w:p>
        </w:tc>
        <w:tc>
          <w:tcPr>
            <w:tcW w:w="6603" w:type="dxa"/>
          </w:tcPr>
          <w:p>
            <w:pPr>
              <w:pStyle w:val="24"/>
              <w:spacing w:before="87"/>
              <w:ind w:left="4"/>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商务</w:t>
            </w:r>
            <w:r>
              <w:rPr>
                <w:rFonts w:hint="eastAsia" w:asciiTheme="minorEastAsia" w:hAnsiTheme="minorEastAsia" w:eastAsiaTheme="minorEastAsia" w:cstheme="minorEastAsia"/>
                <w:b/>
                <w:bCs/>
                <w:color w:val="auto"/>
                <w:sz w:val="21"/>
                <w:szCs w:val="21"/>
                <w:highlight w:val="none"/>
                <w:lang w:val="en-US" w:eastAsia="zh-CN"/>
              </w:rPr>
              <w:t>部分</w:t>
            </w:r>
            <w:r>
              <w:rPr>
                <w:rFonts w:hint="eastAsia" w:asciiTheme="minorEastAsia" w:hAnsiTheme="minorEastAsia" w:eastAsiaTheme="minorEastAsia" w:cstheme="minorEastAsia"/>
                <w:b/>
                <w:bCs/>
                <w:color w:val="auto"/>
                <w:sz w:val="21"/>
                <w:szCs w:val="21"/>
                <w:highlight w:val="none"/>
              </w:rPr>
              <w:t>评分：</w:t>
            </w:r>
            <w:r>
              <w:rPr>
                <w:rFonts w:hint="eastAsia" w:asciiTheme="minorEastAsia" w:hAnsiTheme="minorEastAsia" w:eastAsiaTheme="minorEastAsia" w:cstheme="minorEastAsia"/>
                <w:b/>
                <w:bCs/>
                <w:color w:val="auto"/>
                <w:sz w:val="21"/>
                <w:szCs w:val="21"/>
                <w:highlight w:val="none"/>
                <w:lang w:val="en-US" w:eastAsia="zh-CN"/>
              </w:rPr>
              <w:t>10</w:t>
            </w:r>
            <w:r>
              <w:rPr>
                <w:rFonts w:hint="eastAsia" w:asciiTheme="minorEastAsia" w:hAnsiTheme="minorEastAsia" w:eastAsiaTheme="minorEastAsia" w:cstheme="minorEastAsia"/>
                <w:b/>
                <w:bCs/>
                <w:color w:val="auto"/>
                <w:sz w:val="21"/>
                <w:szCs w:val="21"/>
                <w:highlight w:val="none"/>
              </w:rPr>
              <w:t xml:space="preserve">分 </w:t>
            </w:r>
          </w:p>
        </w:tc>
        <w:tc>
          <w:tcPr>
            <w:tcW w:w="741" w:type="dxa"/>
            <w:vMerge w:val="continue"/>
          </w:tcPr>
          <w:p>
            <w:pPr>
              <w:pStyle w:val="24"/>
              <w:spacing w:before="87"/>
              <w:ind w:left="4"/>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84" w:type="dxa"/>
            <w:gridSpan w:val="2"/>
            <w:vMerge w:val="continue"/>
            <w:tcBorders>
              <w:top w:val="nil"/>
            </w:tcBorders>
          </w:tcPr>
          <w:p>
            <w:pPr>
              <w:rPr>
                <w:rFonts w:hint="eastAsia" w:asciiTheme="minorEastAsia" w:hAnsiTheme="minorEastAsia" w:eastAsiaTheme="minorEastAsia" w:cstheme="minorEastAsia"/>
                <w:color w:val="auto"/>
                <w:sz w:val="21"/>
                <w:szCs w:val="21"/>
                <w:highlight w:val="none"/>
              </w:rPr>
            </w:pPr>
          </w:p>
        </w:tc>
        <w:tc>
          <w:tcPr>
            <w:tcW w:w="6603" w:type="dxa"/>
          </w:tcPr>
          <w:p>
            <w:pPr>
              <w:pStyle w:val="24"/>
              <w:spacing w:before="65"/>
              <w:ind w:left="4"/>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技术</w:t>
            </w:r>
            <w:r>
              <w:rPr>
                <w:rFonts w:hint="eastAsia" w:asciiTheme="minorEastAsia" w:hAnsiTheme="minorEastAsia" w:eastAsiaTheme="minorEastAsia" w:cstheme="minorEastAsia"/>
                <w:b/>
                <w:bCs/>
                <w:color w:val="auto"/>
                <w:sz w:val="21"/>
                <w:szCs w:val="21"/>
                <w:highlight w:val="none"/>
                <w:lang w:val="en-US" w:eastAsia="zh-CN"/>
              </w:rPr>
              <w:t>部分</w:t>
            </w:r>
            <w:r>
              <w:rPr>
                <w:rFonts w:hint="eastAsia" w:asciiTheme="minorEastAsia" w:hAnsiTheme="minorEastAsia" w:eastAsiaTheme="minorEastAsia" w:cstheme="minorEastAsia"/>
                <w:b/>
                <w:bCs/>
                <w:color w:val="auto"/>
                <w:sz w:val="21"/>
                <w:szCs w:val="21"/>
                <w:highlight w:val="none"/>
              </w:rPr>
              <w:t>方案：</w:t>
            </w:r>
            <w:r>
              <w:rPr>
                <w:rFonts w:hint="eastAsia" w:asciiTheme="minorEastAsia" w:hAnsiTheme="minorEastAsia" w:eastAsiaTheme="minorEastAsia" w:cstheme="minorEastAsia"/>
                <w:b/>
                <w:bCs/>
                <w:color w:val="auto"/>
                <w:sz w:val="21"/>
                <w:szCs w:val="21"/>
                <w:highlight w:val="none"/>
                <w:lang w:val="en-US" w:eastAsia="zh-CN"/>
              </w:rPr>
              <w:t>6</w:t>
            </w:r>
            <w:r>
              <w:rPr>
                <w:rFonts w:hint="eastAsia" w:asciiTheme="minorEastAsia" w:hAnsiTheme="minorEastAsia" w:eastAsiaTheme="minorEastAsia" w:cstheme="minorEastAsia"/>
                <w:b/>
                <w:bCs/>
                <w:color w:val="auto"/>
                <w:sz w:val="21"/>
                <w:szCs w:val="21"/>
                <w:highlight w:val="none"/>
              </w:rPr>
              <w:t xml:space="preserve">0分 </w:t>
            </w:r>
          </w:p>
        </w:tc>
        <w:tc>
          <w:tcPr>
            <w:tcW w:w="741" w:type="dxa"/>
            <w:vMerge w:val="continue"/>
          </w:tcPr>
          <w:p>
            <w:pPr>
              <w:pStyle w:val="24"/>
              <w:spacing w:before="65"/>
              <w:ind w:left="4"/>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trPr>
        <w:tc>
          <w:tcPr>
            <w:tcW w:w="1684" w:type="dxa"/>
            <w:gridSpan w:val="2"/>
          </w:tcPr>
          <w:p>
            <w:pPr>
              <w:pStyle w:val="24"/>
              <w:jc w:val="both"/>
              <w:rPr>
                <w:rFonts w:hint="eastAsia" w:asciiTheme="minorEastAsia" w:hAnsiTheme="minorEastAsia" w:eastAsiaTheme="minorEastAsia" w:cstheme="minorEastAsia"/>
                <w:color w:val="auto"/>
                <w:sz w:val="21"/>
                <w:szCs w:val="21"/>
                <w:highlight w:val="none"/>
              </w:rPr>
            </w:pPr>
          </w:p>
          <w:p>
            <w:pPr>
              <w:pStyle w:val="24"/>
              <w:spacing w:before="10"/>
              <w:jc w:val="both"/>
              <w:rPr>
                <w:rFonts w:hint="eastAsia" w:asciiTheme="minorEastAsia" w:hAnsiTheme="minorEastAsia" w:eastAsiaTheme="minorEastAsia" w:cstheme="minorEastAsia"/>
                <w:color w:val="auto"/>
                <w:sz w:val="21"/>
                <w:szCs w:val="21"/>
                <w:highlight w:val="none"/>
              </w:rPr>
            </w:pPr>
          </w:p>
          <w:p>
            <w:pPr>
              <w:pStyle w:val="24"/>
              <w:ind w:left="438"/>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评审价格</w:t>
            </w:r>
          </w:p>
          <w:p>
            <w:pPr>
              <w:pStyle w:val="24"/>
              <w:ind w:left="438"/>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0分）</w:t>
            </w:r>
          </w:p>
        </w:tc>
        <w:tc>
          <w:tcPr>
            <w:tcW w:w="6603" w:type="dxa"/>
            <w:vAlign w:val="center"/>
          </w:tcPr>
          <w:p>
            <w:pPr>
              <w:pStyle w:val="24"/>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满足磋商文件要求且最终报价最低的报价为评审基准价，其价格分为满分。其他满足磋商文件要求的供应商的价格分统一按照下列公式计算：</w:t>
            </w:r>
          </w:p>
          <w:p>
            <w:pPr>
              <w:pStyle w:val="24"/>
              <w:spacing w:before="97" w:line="360" w:lineRule="auto"/>
              <w:ind w:left="4" w:right="-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评审价格分数=（评审基准价/最终报价）×价格权重（</w:t>
            </w:r>
            <w:r>
              <w:rPr>
                <w:rFonts w:hint="eastAsia" w:asciiTheme="minorEastAsia" w:hAnsiTheme="minorEastAsia" w:eastAsiaTheme="minorEastAsia" w:cstheme="minorEastAsia"/>
                <w:color w:val="auto"/>
                <w:spacing w:val="-8"/>
                <w:sz w:val="21"/>
                <w:szCs w:val="21"/>
                <w:highlight w:val="none"/>
                <w:lang w:val="en-US" w:eastAsia="zh-CN"/>
              </w:rPr>
              <w:t>3</w:t>
            </w:r>
            <w:r>
              <w:rPr>
                <w:rFonts w:hint="eastAsia" w:asciiTheme="minorEastAsia" w:hAnsiTheme="minorEastAsia" w:eastAsiaTheme="minorEastAsia" w:cstheme="minorEastAsia"/>
                <w:color w:val="auto"/>
                <w:spacing w:val="-8"/>
                <w:sz w:val="21"/>
                <w:szCs w:val="21"/>
                <w:highlight w:val="none"/>
              </w:rPr>
              <w:t>0%）×</w:t>
            </w:r>
            <w:r>
              <w:rPr>
                <w:rFonts w:hint="eastAsia" w:asciiTheme="minorEastAsia" w:hAnsiTheme="minorEastAsia" w:eastAsiaTheme="minorEastAsia" w:cstheme="minorEastAsia"/>
                <w:color w:val="auto"/>
                <w:spacing w:val="-8"/>
                <w:sz w:val="21"/>
                <w:szCs w:val="21"/>
                <w:highlight w:val="none"/>
                <w:lang w:val="en-US" w:eastAsia="zh-CN"/>
              </w:rPr>
              <w:t>1</w:t>
            </w:r>
            <w:r>
              <w:rPr>
                <w:rFonts w:hint="eastAsia" w:asciiTheme="minorEastAsia" w:hAnsiTheme="minorEastAsia" w:eastAsiaTheme="minorEastAsia" w:cstheme="minorEastAsia"/>
                <w:color w:val="auto"/>
                <w:spacing w:val="-8"/>
                <w:sz w:val="21"/>
                <w:szCs w:val="21"/>
                <w:highlight w:val="none"/>
              </w:rPr>
              <w:t xml:space="preserve">00 </w:t>
            </w:r>
          </w:p>
        </w:tc>
        <w:tc>
          <w:tcPr>
            <w:tcW w:w="741" w:type="dxa"/>
            <w:vAlign w:val="center"/>
          </w:tcPr>
          <w:p>
            <w:pPr>
              <w:pStyle w:val="24"/>
              <w:spacing w:before="2"/>
              <w:ind w:left="4"/>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trPr>
        <w:tc>
          <w:tcPr>
            <w:tcW w:w="736" w:type="dxa"/>
            <w:vMerge w:val="restart"/>
            <w:vAlign w:val="center"/>
          </w:tcPr>
          <w:p>
            <w:pPr>
              <w:pStyle w:val="24"/>
              <w:jc w:val="center"/>
              <w:rPr>
                <w:rFonts w:hint="eastAsia" w:asciiTheme="minorEastAsia" w:hAnsiTheme="minorEastAsia" w:eastAsiaTheme="minorEastAsia" w:cstheme="minorEastAsia"/>
                <w:color w:val="auto"/>
                <w:sz w:val="21"/>
                <w:szCs w:val="21"/>
                <w:highlight w:val="none"/>
              </w:rPr>
            </w:pPr>
          </w:p>
          <w:p>
            <w:pPr>
              <w:pStyle w:val="24"/>
              <w:spacing w:before="10"/>
              <w:jc w:val="center"/>
              <w:rPr>
                <w:rFonts w:hint="eastAsia" w:asciiTheme="minorEastAsia" w:hAnsiTheme="minorEastAsia" w:eastAsiaTheme="minorEastAsia" w:cstheme="minorEastAsia"/>
                <w:color w:val="auto"/>
                <w:sz w:val="21"/>
                <w:szCs w:val="21"/>
                <w:highlight w:val="none"/>
              </w:rPr>
            </w:pPr>
          </w:p>
          <w:p>
            <w:pPr>
              <w:pStyle w:val="24"/>
              <w:spacing w:before="1" w:line="319" w:lineRule="auto"/>
              <w:ind w:left="187" w:right="7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商务部分</w:t>
            </w:r>
          </w:p>
          <w:p>
            <w:pPr>
              <w:pStyle w:val="24"/>
              <w:spacing w:before="2"/>
              <w:ind w:right="96"/>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pacing w:val="-32"/>
                <w:sz w:val="21"/>
                <w:szCs w:val="21"/>
                <w:highlight w:val="none"/>
              </w:rPr>
              <w:t>分</w:t>
            </w:r>
            <w:r>
              <w:rPr>
                <w:rFonts w:hint="eastAsia" w:asciiTheme="minorEastAsia" w:hAnsiTheme="minorEastAsia" w:eastAsiaTheme="minorEastAsia" w:cstheme="minorEastAsia"/>
                <w:color w:val="auto"/>
                <w:spacing w:val="-32"/>
                <w:sz w:val="21"/>
                <w:szCs w:val="21"/>
                <w:highlight w:val="none"/>
                <w:lang w:eastAsia="zh-CN"/>
              </w:rPr>
              <w:t>）</w:t>
            </w:r>
          </w:p>
        </w:tc>
        <w:tc>
          <w:tcPr>
            <w:tcW w:w="94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企业类似业绩</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 xml:space="preserve"> 分）</w:t>
            </w:r>
          </w:p>
          <w:p>
            <w:pPr>
              <w:pStyle w:val="24"/>
              <w:spacing w:before="6" w:line="358" w:lineRule="exact"/>
              <w:ind w:right="79"/>
              <w:jc w:val="center"/>
              <w:rPr>
                <w:rFonts w:hint="eastAsia" w:asciiTheme="minorEastAsia" w:hAnsiTheme="minorEastAsia" w:eastAsiaTheme="minorEastAsia" w:cstheme="minorEastAsia"/>
                <w:color w:val="auto"/>
                <w:sz w:val="21"/>
                <w:szCs w:val="21"/>
                <w:highlight w:val="none"/>
              </w:rPr>
            </w:pPr>
          </w:p>
        </w:tc>
        <w:tc>
          <w:tcPr>
            <w:tcW w:w="6603" w:type="dxa"/>
            <w:vAlign w:val="center"/>
          </w:tcPr>
          <w:p>
            <w:pPr>
              <w:pStyle w:val="24"/>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供应商提供近</w:t>
            </w:r>
            <w:r>
              <w:rPr>
                <w:rFonts w:hint="eastAsia" w:asciiTheme="minorEastAsia" w:hAnsiTheme="minorEastAsia" w:eastAsiaTheme="minorEastAsia" w:cstheme="minorEastAsia"/>
                <w:color w:val="auto"/>
                <w:spacing w:val="-8"/>
                <w:sz w:val="21"/>
                <w:szCs w:val="21"/>
                <w:highlight w:val="none"/>
                <w:lang w:val="en-US" w:eastAsia="zh-CN"/>
              </w:rPr>
              <w:t>3</w:t>
            </w:r>
            <w:r>
              <w:rPr>
                <w:rFonts w:hint="eastAsia" w:asciiTheme="minorEastAsia" w:hAnsiTheme="minorEastAsia" w:eastAsiaTheme="minorEastAsia" w:cstheme="minorEastAsia"/>
                <w:color w:val="auto"/>
                <w:spacing w:val="-8"/>
                <w:sz w:val="21"/>
                <w:szCs w:val="21"/>
                <w:highlight w:val="none"/>
              </w:rPr>
              <w:t>年</w:t>
            </w:r>
            <w:r>
              <w:rPr>
                <w:rFonts w:hint="eastAsia" w:asciiTheme="minorEastAsia" w:hAnsiTheme="minorEastAsia" w:eastAsiaTheme="minorEastAsia" w:cstheme="minorEastAsia"/>
                <w:color w:val="auto"/>
                <w:spacing w:val="-8"/>
                <w:sz w:val="21"/>
                <w:szCs w:val="21"/>
                <w:highlight w:val="none"/>
                <w:lang w:eastAsia="zh-CN"/>
              </w:rPr>
              <w:t>（</w:t>
            </w:r>
            <w:r>
              <w:rPr>
                <w:rFonts w:hint="eastAsia" w:asciiTheme="minorEastAsia" w:hAnsiTheme="minorEastAsia" w:eastAsiaTheme="minorEastAsia" w:cstheme="minorEastAsia"/>
                <w:color w:val="auto"/>
                <w:spacing w:val="-8"/>
                <w:sz w:val="21"/>
                <w:szCs w:val="21"/>
                <w:highlight w:val="none"/>
                <w:lang w:val="en-US" w:eastAsia="zh-CN"/>
              </w:rPr>
              <w:t>2018年10月1日至投标文件递交截止日前</w:t>
            </w:r>
            <w:r>
              <w:rPr>
                <w:rFonts w:hint="eastAsia" w:asciiTheme="minorEastAsia" w:hAnsiTheme="minorEastAsia" w:eastAsiaTheme="minorEastAsia" w:cstheme="minorEastAsia"/>
                <w:color w:val="auto"/>
                <w:spacing w:val="-8"/>
                <w:sz w:val="21"/>
                <w:szCs w:val="21"/>
                <w:highlight w:val="none"/>
                <w:lang w:eastAsia="zh-CN"/>
              </w:rPr>
              <w:t>）</w:t>
            </w:r>
            <w:r>
              <w:rPr>
                <w:rFonts w:hint="eastAsia" w:asciiTheme="minorEastAsia" w:hAnsiTheme="minorEastAsia" w:eastAsiaTheme="minorEastAsia" w:cstheme="minorEastAsia"/>
                <w:color w:val="auto"/>
                <w:spacing w:val="-8"/>
                <w:sz w:val="21"/>
                <w:szCs w:val="21"/>
                <w:highlight w:val="none"/>
                <w:lang w:val="en-US" w:eastAsia="zh-CN"/>
              </w:rPr>
              <w:t>独立承担的</w:t>
            </w:r>
            <w:r>
              <w:rPr>
                <w:rFonts w:hint="eastAsia" w:asciiTheme="minorEastAsia" w:hAnsiTheme="minorEastAsia" w:eastAsiaTheme="minorEastAsia" w:cstheme="minorEastAsia"/>
                <w:color w:val="auto"/>
                <w:spacing w:val="-8"/>
                <w:sz w:val="21"/>
                <w:szCs w:val="21"/>
                <w:highlight w:val="none"/>
                <w:lang w:eastAsia="zh-CN"/>
              </w:rPr>
              <w:t>与本项目类似的</w:t>
            </w:r>
            <w:r>
              <w:rPr>
                <w:rFonts w:hint="eastAsia" w:asciiTheme="minorEastAsia" w:hAnsiTheme="minorEastAsia" w:eastAsiaTheme="minorEastAsia" w:cstheme="minorEastAsia"/>
                <w:color w:val="auto"/>
                <w:spacing w:val="-8"/>
                <w:sz w:val="21"/>
                <w:szCs w:val="21"/>
                <w:highlight w:val="none"/>
              </w:rPr>
              <w:t>业绩</w:t>
            </w:r>
            <w:r>
              <w:rPr>
                <w:rFonts w:hint="eastAsia" w:asciiTheme="minorEastAsia" w:hAnsiTheme="minorEastAsia" w:eastAsiaTheme="minorEastAsia" w:cstheme="minorEastAsia"/>
                <w:color w:val="auto"/>
                <w:spacing w:val="-8"/>
                <w:sz w:val="21"/>
                <w:szCs w:val="21"/>
                <w:highlight w:val="none"/>
                <w:lang w:eastAsia="zh-CN"/>
              </w:rPr>
              <w:t>，</w:t>
            </w:r>
            <w:r>
              <w:rPr>
                <w:rFonts w:hint="eastAsia" w:asciiTheme="minorEastAsia" w:hAnsiTheme="minorEastAsia" w:eastAsiaTheme="minorEastAsia" w:cstheme="minorEastAsia"/>
                <w:color w:val="auto"/>
                <w:spacing w:val="-8"/>
                <w:sz w:val="21"/>
                <w:szCs w:val="21"/>
                <w:highlight w:val="none"/>
              </w:rPr>
              <w:t>有一项类似项目业绩者得1分，每增加一项业绩增加1分，最多</w:t>
            </w:r>
            <w:r>
              <w:rPr>
                <w:rFonts w:hint="eastAsia" w:asciiTheme="minorEastAsia" w:hAnsiTheme="minorEastAsia" w:eastAsiaTheme="minorEastAsia" w:cstheme="minorEastAsia"/>
                <w:color w:val="auto"/>
                <w:spacing w:val="-8"/>
                <w:sz w:val="21"/>
                <w:szCs w:val="21"/>
                <w:highlight w:val="none"/>
                <w:lang w:val="en-US" w:eastAsia="zh-CN"/>
              </w:rPr>
              <w:t>5</w:t>
            </w:r>
            <w:r>
              <w:rPr>
                <w:rFonts w:hint="eastAsia" w:asciiTheme="minorEastAsia" w:hAnsiTheme="minorEastAsia" w:eastAsiaTheme="minorEastAsia" w:cstheme="minorEastAsia"/>
                <w:color w:val="auto"/>
                <w:spacing w:val="-8"/>
                <w:sz w:val="21"/>
                <w:szCs w:val="21"/>
                <w:highlight w:val="none"/>
              </w:rPr>
              <w:t>分。</w:t>
            </w:r>
          </w:p>
          <w:p>
            <w:pPr>
              <w:pStyle w:val="24"/>
              <w:spacing w:before="97" w:line="360" w:lineRule="auto"/>
              <w:ind w:left="4" w:right="-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lang w:eastAsia="zh-CN"/>
              </w:rPr>
              <w:t>备注：</w:t>
            </w:r>
            <w:r>
              <w:rPr>
                <w:rFonts w:hint="eastAsia" w:asciiTheme="minorEastAsia" w:hAnsiTheme="minorEastAsia" w:eastAsiaTheme="minorEastAsia" w:cstheme="minorEastAsia"/>
                <w:color w:val="auto"/>
                <w:spacing w:val="-8"/>
                <w:sz w:val="21"/>
                <w:szCs w:val="21"/>
                <w:highlight w:val="none"/>
              </w:rPr>
              <w:t>业绩证明（以合同</w:t>
            </w:r>
            <w:r>
              <w:rPr>
                <w:rFonts w:hint="eastAsia" w:asciiTheme="minorEastAsia" w:hAnsiTheme="minorEastAsia" w:eastAsiaTheme="minorEastAsia" w:cstheme="minorEastAsia"/>
                <w:color w:val="auto"/>
                <w:spacing w:val="-8"/>
                <w:sz w:val="21"/>
                <w:szCs w:val="21"/>
                <w:highlight w:val="none"/>
                <w:lang w:val="en-US" w:eastAsia="zh-CN"/>
              </w:rPr>
              <w:t>或</w:t>
            </w:r>
            <w:r>
              <w:rPr>
                <w:rFonts w:hint="eastAsia" w:asciiTheme="minorEastAsia" w:hAnsiTheme="minorEastAsia" w:eastAsiaTheme="minorEastAsia" w:cstheme="minorEastAsia"/>
                <w:color w:val="auto"/>
                <w:spacing w:val="-8"/>
                <w:sz w:val="21"/>
                <w:szCs w:val="21"/>
                <w:highlight w:val="none"/>
                <w:lang w:eastAsia="zh-CN"/>
              </w:rPr>
              <w:t>中标通知书</w:t>
            </w:r>
            <w:r>
              <w:rPr>
                <w:rFonts w:hint="eastAsia" w:asciiTheme="minorEastAsia" w:hAnsiTheme="minorEastAsia" w:eastAsiaTheme="minorEastAsia" w:cstheme="minorEastAsia"/>
                <w:color w:val="auto"/>
                <w:spacing w:val="-8"/>
                <w:sz w:val="21"/>
                <w:szCs w:val="21"/>
                <w:highlight w:val="none"/>
              </w:rPr>
              <w:t>为准，在投标文件中附合同扫描件</w:t>
            </w:r>
            <w:r>
              <w:rPr>
                <w:rFonts w:hint="eastAsia" w:asciiTheme="minorEastAsia" w:hAnsiTheme="minorEastAsia" w:eastAsiaTheme="minorEastAsia" w:cstheme="minorEastAsia"/>
                <w:color w:val="auto"/>
                <w:spacing w:val="-8"/>
                <w:sz w:val="21"/>
                <w:szCs w:val="21"/>
                <w:highlight w:val="none"/>
                <w:lang w:val="en-US" w:eastAsia="zh-CN"/>
              </w:rPr>
              <w:t>或</w:t>
            </w:r>
            <w:r>
              <w:rPr>
                <w:rFonts w:hint="eastAsia" w:asciiTheme="minorEastAsia" w:hAnsiTheme="minorEastAsia" w:eastAsiaTheme="minorEastAsia" w:cstheme="minorEastAsia"/>
                <w:color w:val="auto"/>
                <w:spacing w:val="-8"/>
                <w:sz w:val="21"/>
                <w:szCs w:val="21"/>
                <w:highlight w:val="none"/>
                <w:lang w:eastAsia="zh-CN"/>
              </w:rPr>
              <w:t>中标通知书扫描件</w:t>
            </w:r>
            <w:r>
              <w:rPr>
                <w:rFonts w:hint="eastAsia" w:asciiTheme="minorEastAsia" w:hAnsiTheme="minorEastAsia" w:eastAsiaTheme="minorEastAsia" w:cstheme="minorEastAsia"/>
                <w:color w:val="auto"/>
                <w:spacing w:val="-8"/>
                <w:sz w:val="21"/>
                <w:szCs w:val="21"/>
                <w:highlight w:val="none"/>
              </w:rPr>
              <w:t>加盖单位公章，须</w:t>
            </w:r>
            <w:r>
              <w:rPr>
                <w:rFonts w:hint="eastAsia" w:asciiTheme="minorEastAsia" w:hAnsiTheme="minorEastAsia" w:eastAsiaTheme="minorEastAsia" w:cstheme="minorEastAsia"/>
                <w:color w:val="auto"/>
                <w:spacing w:val="-8"/>
                <w:sz w:val="21"/>
                <w:szCs w:val="21"/>
                <w:highlight w:val="none"/>
                <w:lang w:eastAsia="zh-CN"/>
              </w:rPr>
              <w:t>携带原件备查，</w:t>
            </w:r>
            <w:r>
              <w:rPr>
                <w:rFonts w:hint="eastAsia" w:asciiTheme="minorEastAsia" w:hAnsiTheme="minorEastAsia" w:eastAsiaTheme="minorEastAsia" w:cstheme="minorEastAsia"/>
                <w:color w:val="auto"/>
                <w:spacing w:val="-8"/>
                <w:sz w:val="21"/>
                <w:szCs w:val="21"/>
                <w:highlight w:val="none"/>
              </w:rPr>
              <w:t>弄虚作假者取消其投标资格）</w:t>
            </w:r>
            <w:r>
              <w:rPr>
                <w:rFonts w:hint="eastAsia" w:asciiTheme="minorEastAsia" w:hAnsiTheme="minorEastAsia" w:eastAsiaTheme="minorEastAsia" w:cstheme="minorEastAsia"/>
                <w:color w:val="auto"/>
                <w:spacing w:val="-8"/>
                <w:sz w:val="21"/>
                <w:szCs w:val="21"/>
                <w:highlight w:val="none"/>
                <w:lang w:eastAsia="zh-CN"/>
              </w:rPr>
              <w:t>。</w:t>
            </w:r>
          </w:p>
        </w:tc>
        <w:tc>
          <w:tcPr>
            <w:tcW w:w="741" w:type="dxa"/>
            <w:vAlign w:val="center"/>
          </w:tcPr>
          <w:p>
            <w:pPr>
              <w:pStyle w:val="24"/>
              <w:spacing w:before="121" w:line="321" w:lineRule="auto"/>
              <w:ind w:left="4" w:right="127"/>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36"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948" w:type="dxa"/>
            <w:vAlign w:val="center"/>
          </w:tcPr>
          <w:p>
            <w:pPr>
              <w:pStyle w:val="24"/>
              <w:spacing w:before="7"/>
              <w:jc w:val="center"/>
              <w:rPr>
                <w:rFonts w:hint="eastAsia" w:asciiTheme="minorEastAsia" w:hAnsiTheme="minorEastAsia" w:eastAsiaTheme="minorEastAsia" w:cstheme="minorEastAsia"/>
                <w:color w:val="auto"/>
                <w:sz w:val="21"/>
                <w:szCs w:val="21"/>
                <w:highlight w:val="none"/>
              </w:rPr>
            </w:pPr>
          </w:p>
          <w:p>
            <w:pPr>
              <w:jc w:val="center"/>
              <w:rPr>
                <w:rFonts w:hint="eastAsia"/>
                <w:color w:val="auto"/>
                <w:highlight w:val="none"/>
              </w:rPr>
            </w:pPr>
            <w:r>
              <w:rPr>
                <w:rFonts w:hint="eastAsia" w:asciiTheme="minorEastAsia" w:hAnsiTheme="minorEastAsia" w:eastAsiaTheme="minorEastAsia" w:cstheme="minorEastAsia"/>
                <w:color w:val="auto"/>
                <w:spacing w:val="-8"/>
                <w:sz w:val="21"/>
                <w:szCs w:val="21"/>
                <w:highlight w:val="none"/>
              </w:rPr>
              <w:t>项目负责人</w:t>
            </w:r>
          </w:p>
          <w:p>
            <w:pPr>
              <w:pStyle w:val="24"/>
              <w:spacing w:before="1" w:line="321" w:lineRule="auto"/>
              <w:ind w:left="169" w:right="27" w:hanging="13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 xml:space="preserve"> 分）</w:t>
            </w:r>
          </w:p>
        </w:tc>
        <w:tc>
          <w:tcPr>
            <w:tcW w:w="6603" w:type="dxa"/>
            <w:vAlign w:val="center"/>
          </w:tcPr>
          <w:p>
            <w:pPr>
              <w:pStyle w:val="24"/>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项目负责人（满分</w:t>
            </w:r>
            <w:r>
              <w:rPr>
                <w:rFonts w:hint="eastAsia" w:asciiTheme="minorEastAsia" w:hAnsiTheme="minorEastAsia" w:eastAsiaTheme="minorEastAsia" w:cstheme="minorEastAsia"/>
                <w:color w:val="auto"/>
                <w:spacing w:val="-8"/>
                <w:sz w:val="21"/>
                <w:szCs w:val="21"/>
                <w:highlight w:val="none"/>
                <w:lang w:val="en-US" w:eastAsia="zh-CN"/>
              </w:rPr>
              <w:t>4</w:t>
            </w:r>
            <w:r>
              <w:rPr>
                <w:rFonts w:hint="eastAsia" w:asciiTheme="minorEastAsia" w:hAnsiTheme="minorEastAsia" w:eastAsiaTheme="minorEastAsia" w:cstheme="minorEastAsia"/>
                <w:color w:val="auto"/>
                <w:spacing w:val="-8"/>
                <w:sz w:val="21"/>
                <w:szCs w:val="21"/>
                <w:highlight w:val="none"/>
              </w:rPr>
              <w:t>分）</w:t>
            </w:r>
          </w:p>
          <w:p>
            <w:pPr>
              <w:pStyle w:val="24"/>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 xml:space="preserve">项目负责人近三年承担过类似的业绩， 每承担过一个得 1 分，最高得 </w:t>
            </w:r>
            <w:r>
              <w:rPr>
                <w:rFonts w:hint="eastAsia" w:asciiTheme="minorEastAsia" w:hAnsiTheme="minorEastAsia" w:eastAsiaTheme="minorEastAsia" w:cstheme="minorEastAsia"/>
                <w:color w:val="auto"/>
                <w:spacing w:val="-8"/>
                <w:sz w:val="21"/>
                <w:szCs w:val="21"/>
                <w:highlight w:val="none"/>
                <w:lang w:val="en-US" w:eastAsia="zh-CN"/>
              </w:rPr>
              <w:t>3</w:t>
            </w:r>
            <w:r>
              <w:rPr>
                <w:rFonts w:hint="eastAsia" w:asciiTheme="minorEastAsia" w:hAnsiTheme="minorEastAsia" w:eastAsiaTheme="minorEastAsia" w:cstheme="minorEastAsia"/>
                <w:color w:val="auto"/>
                <w:spacing w:val="-8"/>
                <w:sz w:val="21"/>
                <w:szCs w:val="21"/>
                <w:highlight w:val="none"/>
              </w:rPr>
              <w:t xml:space="preserve"> 分</w:t>
            </w:r>
            <w:r>
              <w:rPr>
                <w:rFonts w:hint="eastAsia" w:asciiTheme="minorEastAsia" w:hAnsiTheme="minorEastAsia" w:eastAsiaTheme="minorEastAsia" w:cstheme="minorEastAsia"/>
                <w:color w:val="auto"/>
                <w:spacing w:val="-8"/>
                <w:sz w:val="21"/>
                <w:szCs w:val="21"/>
                <w:highlight w:val="none"/>
                <w:lang w:eastAsia="zh-CN"/>
              </w:rPr>
              <w:t>；</w:t>
            </w:r>
          </w:p>
          <w:p>
            <w:pPr>
              <w:pStyle w:val="24"/>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具有高级职称得 2 分，中级职称得 1 分，其他得</w:t>
            </w:r>
            <w:r>
              <w:rPr>
                <w:rFonts w:hint="eastAsia" w:asciiTheme="minorEastAsia" w:hAnsiTheme="minorEastAsia" w:eastAsiaTheme="minorEastAsia" w:cstheme="minorEastAsia"/>
                <w:color w:val="auto"/>
                <w:spacing w:val="-8"/>
                <w:sz w:val="21"/>
                <w:szCs w:val="21"/>
                <w:highlight w:val="none"/>
                <w:lang w:val="en-US" w:eastAsia="zh-CN"/>
              </w:rPr>
              <w:t xml:space="preserve"> </w:t>
            </w:r>
            <w:r>
              <w:rPr>
                <w:rFonts w:hint="eastAsia" w:asciiTheme="minorEastAsia" w:hAnsiTheme="minorEastAsia" w:eastAsiaTheme="minorEastAsia" w:cstheme="minorEastAsia"/>
                <w:color w:val="auto"/>
                <w:spacing w:val="-8"/>
                <w:sz w:val="21"/>
                <w:szCs w:val="21"/>
                <w:highlight w:val="none"/>
              </w:rPr>
              <w:t>0 分</w:t>
            </w:r>
            <w:r>
              <w:rPr>
                <w:rFonts w:hint="eastAsia" w:asciiTheme="minorEastAsia" w:hAnsiTheme="minorEastAsia" w:eastAsiaTheme="minorEastAsia" w:cstheme="minorEastAsia"/>
                <w:color w:val="auto"/>
                <w:spacing w:val="-8"/>
                <w:sz w:val="21"/>
                <w:szCs w:val="21"/>
                <w:highlight w:val="none"/>
                <w:lang w:eastAsia="zh-CN"/>
              </w:rPr>
              <w:t>；</w:t>
            </w:r>
          </w:p>
          <w:p>
            <w:pPr>
              <w:pStyle w:val="24"/>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 xml:space="preserve">提供项目负责人近 </w:t>
            </w:r>
            <w:r>
              <w:rPr>
                <w:rFonts w:hint="eastAsia" w:asciiTheme="minorEastAsia" w:hAnsiTheme="minorEastAsia" w:eastAsiaTheme="minorEastAsia" w:cstheme="minorEastAsia"/>
                <w:color w:val="auto"/>
                <w:spacing w:val="-8"/>
                <w:sz w:val="21"/>
                <w:szCs w:val="21"/>
                <w:highlight w:val="none"/>
                <w:lang w:val="en-US" w:eastAsia="zh-CN"/>
              </w:rPr>
              <w:t>3</w:t>
            </w:r>
            <w:r>
              <w:rPr>
                <w:rFonts w:hint="eastAsia" w:asciiTheme="minorEastAsia" w:hAnsiTheme="minorEastAsia" w:eastAsiaTheme="minorEastAsia" w:cstheme="minorEastAsia"/>
                <w:color w:val="auto"/>
                <w:spacing w:val="-8"/>
                <w:sz w:val="21"/>
                <w:szCs w:val="21"/>
                <w:highlight w:val="none"/>
              </w:rPr>
              <w:t xml:space="preserve"> 个月</w:t>
            </w:r>
            <w:r>
              <w:rPr>
                <w:rFonts w:hint="eastAsia" w:asciiTheme="minorEastAsia" w:hAnsiTheme="minorEastAsia" w:eastAsiaTheme="minorEastAsia" w:cstheme="minorEastAsia"/>
                <w:color w:val="auto"/>
                <w:spacing w:val="-8"/>
                <w:sz w:val="21"/>
                <w:szCs w:val="21"/>
                <w:highlight w:val="none"/>
                <w:lang w:val="en-US" w:eastAsia="zh-CN"/>
              </w:rPr>
              <w:t>内</w:t>
            </w:r>
            <w:r>
              <w:rPr>
                <w:rFonts w:hint="eastAsia" w:asciiTheme="minorEastAsia" w:hAnsiTheme="minorEastAsia" w:eastAsiaTheme="minorEastAsia" w:cstheme="minorEastAsia"/>
                <w:color w:val="auto"/>
                <w:spacing w:val="-8"/>
                <w:sz w:val="21"/>
                <w:szCs w:val="21"/>
                <w:highlight w:val="none"/>
              </w:rPr>
              <w:t>在本单位缴纳社保的证明。</w:t>
            </w:r>
          </w:p>
          <w:p>
            <w:pPr>
              <w:pStyle w:val="24"/>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lang w:eastAsia="zh-CN"/>
              </w:rPr>
              <w:t>备注：</w:t>
            </w:r>
            <w:r>
              <w:rPr>
                <w:rFonts w:hint="eastAsia" w:asciiTheme="minorEastAsia" w:hAnsiTheme="minorEastAsia" w:eastAsiaTheme="minorEastAsia" w:cstheme="minorEastAsia"/>
                <w:color w:val="auto"/>
                <w:spacing w:val="-8"/>
                <w:sz w:val="21"/>
                <w:szCs w:val="21"/>
                <w:highlight w:val="none"/>
                <w:lang w:val="en-US" w:eastAsia="zh-CN"/>
              </w:rPr>
              <w:t>1.</w:t>
            </w:r>
            <w:r>
              <w:rPr>
                <w:rFonts w:hint="eastAsia" w:asciiTheme="minorEastAsia" w:hAnsiTheme="minorEastAsia" w:eastAsiaTheme="minorEastAsia" w:cstheme="minorEastAsia"/>
                <w:color w:val="auto"/>
                <w:spacing w:val="-8"/>
                <w:sz w:val="21"/>
                <w:szCs w:val="21"/>
                <w:highlight w:val="none"/>
              </w:rPr>
              <w:t>业绩证明文件</w:t>
            </w:r>
            <w:r>
              <w:rPr>
                <w:rFonts w:hint="eastAsia" w:asciiTheme="minorEastAsia" w:hAnsiTheme="minorEastAsia" w:eastAsiaTheme="minorEastAsia" w:cstheme="minorEastAsia"/>
                <w:color w:val="auto"/>
                <w:spacing w:val="-8"/>
                <w:sz w:val="21"/>
                <w:szCs w:val="21"/>
                <w:highlight w:val="none"/>
                <w:lang w:eastAsia="zh-CN"/>
              </w:rPr>
              <w:t>（</w:t>
            </w:r>
            <w:r>
              <w:rPr>
                <w:rFonts w:hint="eastAsia" w:asciiTheme="minorEastAsia" w:hAnsiTheme="minorEastAsia" w:eastAsiaTheme="minorEastAsia" w:cstheme="minorEastAsia"/>
                <w:color w:val="auto"/>
                <w:spacing w:val="-8"/>
                <w:sz w:val="21"/>
                <w:szCs w:val="21"/>
                <w:highlight w:val="none"/>
              </w:rPr>
              <w:t>包含显示本项目负责人姓名内容合同复印件或采购人出具的履约证明文件</w:t>
            </w:r>
            <w:r>
              <w:rPr>
                <w:rFonts w:hint="eastAsia" w:asciiTheme="minorEastAsia" w:hAnsiTheme="minorEastAsia" w:eastAsiaTheme="minorEastAsia" w:cstheme="minorEastAsia"/>
                <w:color w:val="auto"/>
                <w:spacing w:val="-8"/>
                <w:sz w:val="21"/>
                <w:szCs w:val="21"/>
                <w:highlight w:val="none"/>
                <w:lang w:eastAsia="zh-CN"/>
              </w:rPr>
              <w:t>）；</w:t>
            </w:r>
            <w:r>
              <w:rPr>
                <w:rFonts w:hint="eastAsia" w:asciiTheme="minorEastAsia" w:hAnsiTheme="minorEastAsia" w:eastAsiaTheme="minorEastAsia" w:cstheme="minorEastAsia"/>
                <w:color w:val="auto"/>
                <w:spacing w:val="-8"/>
                <w:sz w:val="21"/>
                <w:szCs w:val="21"/>
                <w:highlight w:val="none"/>
              </w:rPr>
              <w:t xml:space="preserve"> </w:t>
            </w:r>
          </w:p>
          <w:p>
            <w:pPr>
              <w:pStyle w:val="24"/>
              <w:spacing w:before="97" w:line="360" w:lineRule="auto"/>
              <w:ind w:left="4" w:right="-15"/>
              <w:jc w:val="both"/>
              <w:rPr>
                <w:rFonts w:hint="default" w:asciiTheme="minorEastAsia" w:hAnsiTheme="minorEastAsia" w:eastAsiaTheme="minorEastAsia" w:cstheme="minorEastAsia"/>
                <w:color w:val="auto"/>
                <w:spacing w:val="-8"/>
                <w:sz w:val="21"/>
                <w:szCs w:val="21"/>
                <w:highlight w:val="none"/>
                <w:lang w:val="en-US" w:eastAsia="zh-CN"/>
              </w:rPr>
            </w:pPr>
            <w:r>
              <w:rPr>
                <w:rFonts w:hint="eastAsia" w:asciiTheme="minorEastAsia" w:hAnsiTheme="minorEastAsia" w:eastAsiaTheme="minorEastAsia" w:cstheme="minorEastAsia"/>
                <w:color w:val="auto"/>
                <w:spacing w:val="-8"/>
                <w:sz w:val="21"/>
                <w:szCs w:val="21"/>
                <w:highlight w:val="none"/>
                <w:lang w:val="en-US" w:eastAsia="zh-CN"/>
              </w:rPr>
              <w:t>2.提供简历、身份证、学历证书、职称证及其他证明文件。</w:t>
            </w:r>
          </w:p>
        </w:tc>
        <w:tc>
          <w:tcPr>
            <w:tcW w:w="741" w:type="dxa"/>
            <w:vAlign w:val="center"/>
          </w:tcPr>
          <w:p>
            <w:pPr>
              <w:pStyle w:val="24"/>
              <w:spacing w:line="242" w:lineRule="exact"/>
              <w:ind w:left="4"/>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736" w:type="dxa"/>
            <w:vMerge w:val="restart"/>
            <w:vAlign w:val="center"/>
          </w:tcPr>
          <w:p>
            <w:pPr>
              <w:jc w:val="center"/>
              <w:rPr>
                <w:rFonts w:hint="eastAsia"/>
                <w:color w:val="auto"/>
                <w:highlight w:val="none"/>
              </w:rPr>
            </w:pPr>
          </w:p>
          <w:p>
            <w:pPr>
              <w:jc w:val="center"/>
              <w:rPr>
                <w:rFonts w:hint="eastAsia"/>
                <w:color w:val="auto"/>
                <w:highlight w:val="none"/>
              </w:rPr>
            </w:pPr>
          </w:p>
          <w:p>
            <w:pPr>
              <w:jc w:val="center"/>
              <w:rPr>
                <w:rFonts w:hint="eastAsia"/>
                <w:color w:val="auto"/>
                <w:highlight w:val="none"/>
              </w:rPr>
            </w:pPr>
          </w:p>
          <w:p>
            <w:pPr>
              <w:jc w:val="center"/>
              <w:rPr>
                <w:rFonts w:hint="eastAsia"/>
                <w:color w:val="auto"/>
                <w:highlight w:val="none"/>
              </w:rPr>
            </w:pPr>
          </w:p>
          <w:p>
            <w:pPr>
              <w:jc w:val="center"/>
              <w:rPr>
                <w:rFonts w:hint="eastAsia"/>
                <w:color w:val="auto"/>
                <w:highlight w:val="none"/>
              </w:rPr>
            </w:pPr>
          </w:p>
          <w:p>
            <w:pPr>
              <w:jc w:val="center"/>
              <w:rPr>
                <w:rFonts w:hint="eastAsia"/>
                <w:color w:val="auto"/>
                <w:highlight w:val="none"/>
              </w:rPr>
            </w:pPr>
            <w:r>
              <w:rPr>
                <w:rFonts w:hint="eastAsia"/>
                <w:color w:val="auto"/>
                <w:highlight w:val="none"/>
              </w:rPr>
              <w:t>技术部分（</w:t>
            </w:r>
            <w:r>
              <w:rPr>
                <w:rFonts w:hint="eastAsia"/>
                <w:color w:val="auto"/>
                <w:highlight w:val="none"/>
                <w:lang w:val="en-US" w:eastAsia="zh-CN"/>
              </w:rPr>
              <w:t>60</w:t>
            </w:r>
            <w:r>
              <w:rPr>
                <w:rFonts w:hint="eastAsia"/>
                <w:color w:val="auto"/>
                <w:highlight w:val="none"/>
              </w:rPr>
              <w:t>分</w:t>
            </w:r>
            <w:r>
              <w:rPr>
                <w:rFonts w:hint="eastAsia"/>
                <w:color w:val="auto"/>
                <w:highlight w:val="none"/>
                <w:lang w:eastAsia="zh-CN"/>
              </w:rPr>
              <w:t>）</w:t>
            </w:r>
          </w:p>
        </w:tc>
        <w:tc>
          <w:tcPr>
            <w:tcW w:w="948" w:type="dxa"/>
            <w:vAlign w:val="center"/>
          </w:tcPr>
          <w:p>
            <w:pPr>
              <w:jc w:val="center"/>
              <w:rPr>
                <w:rFonts w:hint="eastAsia"/>
                <w:color w:val="auto"/>
                <w:highlight w:val="none"/>
              </w:rPr>
            </w:pPr>
          </w:p>
          <w:p>
            <w:pPr>
              <w:jc w:val="center"/>
              <w:rPr>
                <w:rFonts w:hint="eastAsia"/>
                <w:color w:val="auto"/>
                <w:highlight w:val="none"/>
              </w:rPr>
            </w:pPr>
            <w:r>
              <w:rPr>
                <w:rFonts w:hint="eastAsia" w:asciiTheme="minorEastAsia" w:hAnsiTheme="minorEastAsia" w:eastAsiaTheme="minorEastAsia" w:cstheme="minorEastAsia"/>
                <w:color w:val="auto"/>
                <w:spacing w:val="-8"/>
                <w:sz w:val="21"/>
                <w:szCs w:val="21"/>
                <w:highlight w:val="none"/>
              </w:rPr>
              <w:t>技术响应（</w:t>
            </w:r>
            <w:r>
              <w:rPr>
                <w:rFonts w:hint="eastAsia" w:asciiTheme="minorEastAsia" w:hAnsiTheme="minorEastAsia" w:eastAsiaTheme="minorEastAsia" w:cstheme="minorEastAsia"/>
                <w:color w:val="auto"/>
                <w:spacing w:val="-8"/>
                <w:sz w:val="21"/>
                <w:szCs w:val="21"/>
                <w:highlight w:val="none"/>
                <w:lang w:val="en-US" w:eastAsia="zh-CN"/>
              </w:rPr>
              <w:t>15</w:t>
            </w:r>
            <w:r>
              <w:rPr>
                <w:rFonts w:hint="eastAsia" w:asciiTheme="minorEastAsia" w:hAnsiTheme="minorEastAsia" w:eastAsiaTheme="minorEastAsia" w:cstheme="minorEastAsia"/>
                <w:color w:val="auto"/>
                <w:spacing w:val="-8"/>
                <w:sz w:val="21"/>
                <w:szCs w:val="21"/>
                <w:highlight w:val="none"/>
              </w:rPr>
              <w:t xml:space="preserve"> 分）</w:t>
            </w:r>
          </w:p>
        </w:tc>
        <w:tc>
          <w:tcPr>
            <w:tcW w:w="6603" w:type="dxa"/>
            <w:vAlign w:val="center"/>
          </w:tcPr>
          <w:p>
            <w:pPr>
              <w:pStyle w:val="22"/>
              <w:spacing w:line="360" w:lineRule="auto"/>
              <w:ind w:left="0" w:leftChars="0" w:right="0" w:rightChars="0" w:firstLine="0" w:firstLineChars="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供应商在应充分考虑用户需求，提供的产品应是功能、质量、产品配置、性能优良，并满足用户对产品功能、质量、使用、操作等方面的需求，且是完全满足招标文件技术参数和技术规格要求的产品，没有实质性负偏离的得基本分10分（需在技术参数响应表中体现清楚并提供相关证明材料，包括但不限于检测报告、合格证、</w:t>
            </w:r>
            <w:r>
              <w:rPr>
                <w:rFonts w:hint="eastAsia"/>
                <w:b w:val="0"/>
                <w:i w:val="0"/>
                <w:caps w:val="0"/>
                <w:color w:val="auto"/>
                <w:spacing w:val="0"/>
                <w:w w:val="100"/>
                <w:sz w:val="21"/>
                <w:szCs w:val="21"/>
                <w:highlight w:val="none"/>
                <w:lang w:val="en-US" w:eastAsia="zh-CN"/>
              </w:rPr>
              <w:t>官网和功能截图等</w:t>
            </w:r>
            <w:r>
              <w:rPr>
                <w:rFonts w:hint="eastAsia" w:asciiTheme="minorEastAsia" w:hAnsiTheme="minorEastAsia" w:eastAsiaTheme="minorEastAsia" w:cstheme="minorEastAsia"/>
                <w:color w:val="auto"/>
                <w:kern w:val="0"/>
                <w:sz w:val="21"/>
                <w:szCs w:val="21"/>
                <w:highlight w:val="none"/>
                <w:lang w:val="en-US" w:eastAsia="zh-CN" w:bidi="ar-SA"/>
              </w:rPr>
              <w:t>）；</w:t>
            </w:r>
          </w:p>
          <w:p>
            <w:pPr>
              <w:pStyle w:val="22"/>
              <w:spacing w:line="36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主要产品技术指标和性能高于基本招标要求，有一项正偏离加1分,最多加5分；若有与磋商文件要求有非实质性负偏离的，有一项扣1分，扣完为止。</w:t>
            </w:r>
          </w:p>
        </w:tc>
        <w:tc>
          <w:tcPr>
            <w:tcW w:w="741" w:type="dxa"/>
            <w:vAlign w:val="center"/>
          </w:tcPr>
          <w:p>
            <w:pPr>
              <w:pStyle w:val="24"/>
              <w:spacing w:line="266" w:lineRule="exact"/>
              <w:ind w:left="4"/>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736" w:type="dxa"/>
            <w:vMerge w:val="continue"/>
            <w:vAlign w:val="center"/>
          </w:tcPr>
          <w:p>
            <w:pPr>
              <w:jc w:val="center"/>
              <w:rPr>
                <w:rFonts w:hint="eastAsia"/>
                <w:color w:val="auto"/>
                <w:highlight w:val="none"/>
              </w:rPr>
            </w:pPr>
          </w:p>
        </w:tc>
        <w:tc>
          <w:tcPr>
            <w:tcW w:w="948" w:type="dxa"/>
            <w:vAlign w:val="center"/>
          </w:tcPr>
          <w:p>
            <w:pPr>
              <w:jc w:val="center"/>
              <w:rPr>
                <w:rFonts w:hint="eastAsia" w:ascii="宋体" w:hAnsi="宋体" w:eastAsia="宋体" w:cs="宋体"/>
                <w:color w:val="auto"/>
                <w:sz w:val="24"/>
                <w:szCs w:val="24"/>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bidi="ar-SA"/>
              </w:rPr>
              <w:t>设计方案（15分</w:t>
            </w:r>
            <w:r>
              <w:rPr>
                <w:rFonts w:hint="eastAsia"/>
                <w:color w:val="auto"/>
                <w:highlight w:val="none"/>
                <w:lang w:val="en-US" w:eastAsia="zh-CN"/>
              </w:rPr>
              <w:t>）</w:t>
            </w:r>
          </w:p>
        </w:tc>
        <w:tc>
          <w:tcPr>
            <w:tcW w:w="6603" w:type="dxa"/>
            <w:vAlign w:val="center"/>
          </w:tcPr>
          <w:p>
            <w:pPr>
              <w:pStyle w:val="22"/>
              <w:spacing w:line="360" w:lineRule="auto"/>
              <w:ind w:left="0" w:leftChars="0" w:right="0" w:rightChars="0" w:firstLine="0" w:firstLineChars="0"/>
              <w:jc w:val="both"/>
              <w:rPr>
                <w:rFonts w:hint="eastAsia"/>
                <w:color w:val="auto"/>
                <w:sz w:val="24"/>
                <w:szCs w:val="24"/>
                <w:highlight w:val="none"/>
                <w:lang w:val="zh-CN" w:bidi="he-IL"/>
              </w:rPr>
            </w:pPr>
            <w:r>
              <w:rPr>
                <w:rFonts w:hint="eastAsia" w:asciiTheme="minorEastAsia" w:hAnsiTheme="minorEastAsia" w:eastAsiaTheme="minorEastAsia" w:cstheme="minorEastAsia"/>
                <w:color w:val="auto"/>
                <w:kern w:val="0"/>
                <w:sz w:val="21"/>
                <w:szCs w:val="21"/>
                <w:highlight w:val="none"/>
                <w:lang w:val="en-US" w:eastAsia="zh-CN" w:bidi="ar-SA"/>
              </w:rPr>
              <w:t>供应商根据现场情况结合磋商文件要求进行音乐棚声学环境建设部分进行设计并出具设案及计方施工图和效果图：设计需完整、科学、合理、美观，</w:t>
            </w:r>
            <w:r>
              <w:rPr>
                <w:rFonts w:hint="eastAsia" w:asciiTheme="minorEastAsia" w:hAnsiTheme="minorEastAsia" w:eastAsiaTheme="minorEastAsia" w:cstheme="minorEastAsia"/>
                <w:color w:val="auto"/>
                <w:kern w:val="0"/>
                <w:sz w:val="21"/>
                <w:szCs w:val="21"/>
                <w:highlight w:val="none"/>
                <w:lang w:val="zh-CN" w:eastAsia="zh-CN" w:bidi="ar-SA"/>
              </w:rPr>
              <w:t>进行综合评审：</w:t>
            </w:r>
          </w:p>
          <w:p>
            <w:pPr>
              <w:pStyle w:val="22"/>
              <w:spacing w:line="360" w:lineRule="auto"/>
              <w:ind w:left="0" w:leftChars="0" w:right="0" w:rightChars="0" w:firstLine="0" w:firstLineChars="0"/>
              <w:jc w:val="both"/>
              <w:rPr>
                <w:rFonts w:hint="eastAsia"/>
                <w:color w:val="auto"/>
                <w:sz w:val="24"/>
                <w:szCs w:val="24"/>
                <w:highlight w:val="none"/>
                <w:lang w:val="en-US" w:eastAsia="zh-CN" w:bidi="he-IL"/>
              </w:rPr>
            </w:pPr>
            <w:r>
              <w:rPr>
                <w:rFonts w:hint="eastAsia" w:asciiTheme="minorEastAsia" w:hAnsiTheme="minorEastAsia" w:eastAsiaTheme="minorEastAsia" w:cstheme="minorEastAsia"/>
                <w:color w:val="auto"/>
                <w:sz w:val="21"/>
                <w:szCs w:val="21"/>
                <w:highlight w:val="none"/>
              </w:rPr>
              <w:t xml:space="preserve">优秀得 </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 xml:space="preserve"> 分；良好得 </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分；一般得 0-</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 xml:space="preserve"> 分。</w:t>
            </w:r>
          </w:p>
          <w:p>
            <w:pPr>
              <w:pStyle w:val="22"/>
              <w:spacing w:line="360" w:lineRule="auto"/>
              <w:ind w:left="0" w:leftChars="0" w:right="0" w:rightChars="0" w:firstLine="0" w:firstLineChars="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cs="宋体"/>
                <w:b/>
                <w:bCs/>
                <w:color w:val="auto"/>
                <w:sz w:val="24"/>
                <w:szCs w:val="24"/>
                <w:highlight w:val="none"/>
              </w:rPr>
              <w:t>此项不提供不</w:t>
            </w:r>
            <w:r>
              <w:rPr>
                <w:rFonts w:hint="eastAsia" w:ascii="宋体" w:hAnsi="宋体" w:cs="宋体"/>
                <w:b/>
                <w:bCs/>
                <w:color w:val="auto"/>
                <w:sz w:val="24"/>
                <w:szCs w:val="24"/>
                <w:highlight w:val="none"/>
                <w:lang w:val="en-US" w:eastAsia="zh-CN"/>
              </w:rPr>
              <w:t>得分，施工图和效果</w:t>
            </w:r>
            <w:r>
              <w:rPr>
                <w:rFonts w:hint="eastAsia" w:ascii="宋体" w:hAnsi="宋体" w:cs="宋体"/>
                <w:b/>
                <w:bCs/>
                <w:color w:val="auto"/>
                <w:sz w:val="24"/>
                <w:szCs w:val="24"/>
                <w:highlight w:val="none"/>
              </w:rPr>
              <w:t>图附到响应文件中，作为项目实施及验收依据。</w:t>
            </w:r>
          </w:p>
        </w:tc>
        <w:tc>
          <w:tcPr>
            <w:tcW w:w="741" w:type="dxa"/>
            <w:vAlign w:val="center"/>
          </w:tcPr>
          <w:p>
            <w:pPr>
              <w:pStyle w:val="24"/>
              <w:spacing w:line="266" w:lineRule="exact"/>
              <w:ind w:left="4"/>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736"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948" w:type="dxa"/>
            <w:vAlign w:val="center"/>
          </w:tcPr>
          <w:p>
            <w:pPr>
              <w:jc w:val="center"/>
              <w:rPr>
                <w:rFonts w:hint="eastAsia"/>
                <w:color w:val="auto"/>
                <w:highlight w:val="none"/>
              </w:rPr>
            </w:pPr>
          </w:p>
          <w:p>
            <w:pPr>
              <w:jc w:val="center"/>
              <w:rPr>
                <w:rFonts w:hint="eastAsia"/>
                <w:color w:val="auto"/>
                <w:highlight w:val="none"/>
              </w:rPr>
            </w:pPr>
            <w:r>
              <w:rPr>
                <w:rFonts w:hint="eastAsia"/>
                <w:color w:val="auto"/>
                <w:highlight w:val="none"/>
                <w:lang w:val="en-US" w:eastAsia="zh-CN"/>
              </w:rPr>
              <w:t>实施</w:t>
            </w:r>
            <w:r>
              <w:rPr>
                <w:rFonts w:hint="eastAsia"/>
                <w:color w:val="auto"/>
                <w:highlight w:val="none"/>
              </w:rPr>
              <w:t>方案</w:t>
            </w:r>
            <w:r>
              <w:rPr>
                <w:rFonts w:hint="eastAsia"/>
                <w:color w:val="auto"/>
                <w:highlight w:val="none"/>
                <w:lang w:eastAsia="zh-CN"/>
              </w:rPr>
              <w:t>及技术措施</w:t>
            </w:r>
            <w:r>
              <w:rPr>
                <w:rFonts w:hint="eastAsia"/>
                <w:color w:val="auto"/>
                <w:highlight w:val="none"/>
                <w:lang w:val="en-US" w:eastAsia="zh-CN"/>
              </w:rPr>
              <w:t>（</w:t>
            </w:r>
            <w:r>
              <w:rPr>
                <w:rFonts w:hint="eastAsia" w:asciiTheme="minorEastAsia" w:hAnsiTheme="minorEastAsia" w:eastAsiaTheme="minorEastAsia" w:cstheme="minorEastAsia"/>
                <w:color w:val="auto"/>
                <w:kern w:val="0"/>
                <w:sz w:val="21"/>
                <w:szCs w:val="21"/>
                <w:highlight w:val="none"/>
                <w:lang w:val="en-US" w:eastAsia="zh-CN" w:bidi="ar-SA"/>
              </w:rPr>
              <w:t>15</w:t>
            </w:r>
            <w:r>
              <w:rPr>
                <w:rFonts w:hint="eastAsia"/>
                <w:color w:val="auto"/>
                <w:highlight w:val="none"/>
                <w:lang w:val="en-US" w:eastAsia="zh-CN"/>
              </w:rPr>
              <w:t>分）</w:t>
            </w:r>
          </w:p>
        </w:tc>
        <w:tc>
          <w:tcPr>
            <w:tcW w:w="6603" w:type="dxa"/>
            <w:vAlign w:val="center"/>
          </w:tcPr>
          <w:p>
            <w:pPr>
              <w:pStyle w:val="24"/>
              <w:spacing w:before="4" w:line="360" w:lineRule="exact"/>
              <w:ind w:left="4" w:right="12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zh-CN"/>
              </w:rPr>
              <w:t>根据供应商供货、安装调试计划日程是否科学、合理、完善等进行综合打分。须提供完善的组织机构及人员（列明管理施工人员、专业技术人员等情况），符合实际情况的供货计划、工作流程，质量保障措施、科学有效的管理、运输配送体系齐全，人员配备合理等情况进行综合评审</w:t>
            </w:r>
            <w:r>
              <w:rPr>
                <w:rFonts w:hint="eastAsia"/>
                <w:color w:val="auto"/>
                <w:sz w:val="24"/>
                <w:szCs w:val="24"/>
                <w:highlight w:val="none"/>
                <w:lang w:val="zh-CN" w:bidi="he-IL"/>
              </w:rPr>
              <w:t>：</w:t>
            </w:r>
            <w:r>
              <w:rPr>
                <w:rFonts w:hint="eastAsia" w:asciiTheme="minorEastAsia" w:hAnsiTheme="minorEastAsia" w:eastAsiaTheme="minorEastAsia" w:cstheme="minorEastAsia"/>
                <w:color w:val="auto"/>
                <w:sz w:val="21"/>
                <w:szCs w:val="21"/>
                <w:highlight w:val="none"/>
                <w:lang w:val="en-US" w:eastAsia="zh-CN"/>
              </w:rPr>
              <w:t>方案合理、严谨、具有创意，且有针对性的方案；</w:t>
            </w:r>
            <w:r>
              <w:rPr>
                <w:rFonts w:hint="eastAsia" w:asciiTheme="minorEastAsia" w:hAnsiTheme="minorEastAsia" w:eastAsiaTheme="minorEastAsia" w:cstheme="minorEastAsia"/>
                <w:color w:val="auto"/>
                <w:sz w:val="21"/>
                <w:szCs w:val="21"/>
                <w:highlight w:val="none"/>
              </w:rPr>
              <w:t>工作进度控制措施有力，合理、详细、可操作性强</w:t>
            </w:r>
            <w:r>
              <w:rPr>
                <w:rFonts w:hint="eastAsia" w:asciiTheme="minorEastAsia" w:hAnsiTheme="minorEastAsia" w:eastAsiaTheme="minorEastAsia" w:cstheme="minorEastAsia"/>
                <w:color w:val="auto"/>
                <w:sz w:val="21"/>
                <w:szCs w:val="21"/>
                <w:highlight w:val="none"/>
                <w:lang w:eastAsia="zh-CN"/>
              </w:rPr>
              <w:t>：</w:t>
            </w:r>
          </w:p>
          <w:p>
            <w:pPr>
              <w:pStyle w:val="24"/>
              <w:spacing w:before="6" w:line="360" w:lineRule="auto"/>
              <w:ind w:left="4" w:leftChars="0" w:right="24" w:right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优秀得10-15分；良好得6-9分；一般得0-5分。 </w:t>
            </w:r>
          </w:p>
        </w:tc>
        <w:tc>
          <w:tcPr>
            <w:tcW w:w="741" w:type="dxa"/>
            <w:vAlign w:val="center"/>
          </w:tcPr>
          <w:p>
            <w:pPr>
              <w:pStyle w:val="24"/>
              <w:spacing w:before="6" w:line="358" w:lineRule="exact"/>
              <w:ind w:left="4" w:leftChars="0" w:right="24" w:rightChars="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736"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948" w:type="dxa"/>
            <w:tcBorders>
              <w:bottom w:val="single" w:color="auto" w:sz="4" w:space="0"/>
            </w:tcBorders>
            <w:vAlign w:val="center"/>
          </w:tcPr>
          <w:p>
            <w:pPr>
              <w:jc w:val="center"/>
              <w:rPr>
                <w:rFonts w:hint="eastAsia"/>
                <w:color w:val="auto"/>
                <w:highlight w:val="none"/>
              </w:rPr>
            </w:pPr>
            <w:r>
              <w:rPr>
                <w:rFonts w:hint="eastAsia"/>
                <w:color w:val="auto"/>
                <w:highlight w:val="none"/>
                <w:lang w:eastAsia="zh-CN"/>
              </w:rPr>
              <w:t>售后服务</w:t>
            </w:r>
            <w:r>
              <w:rPr>
                <w:rFonts w:hint="eastAsia" w:asciiTheme="minorEastAsia" w:hAnsiTheme="minorEastAsia" w:eastAsiaTheme="minorEastAsia" w:cstheme="minorEastAsia"/>
                <w:color w:val="auto"/>
                <w:kern w:val="0"/>
                <w:sz w:val="21"/>
                <w:szCs w:val="21"/>
                <w:highlight w:val="none"/>
                <w:lang w:val="en-US" w:eastAsia="zh-CN" w:bidi="ar-SA"/>
              </w:rPr>
              <w:t>（10 分</w:t>
            </w:r>
            <w:r>
              <w:rPr>
                <w:rFonts w:hint="eastAsia"/>
                <w:color w:val="auto"/>
                <w:highlight w:val="none"/>
              </w:rPr>
              <w:t>）</w:t>
            </w:r>
          </w:p>
        </w:tc>
        <w:tc>
          <w:tcPr>
            <w:tcW w:w="6603" w:type="dxa"/>
            <w:tcBorders>
              <w:bottom w:val="single" w:color="auto" w:sz="4" w:space="0"/>
            </w:tcBorders>
            <w:vAlign w:val="center"/>
          </w:tcPr>
          <w:p>
            <w:pPr>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针对本项目的具体售后服务方案（包括售后服务团队的配置及分工、服务内容及承诺、响应时间及保障措施）：方案完善可靠、科学合理、切实可行，</w:t>
            </w:r>
            <w:r>
              <w:rPr>
                <w:rFonts w:hint="eastAsia" w:asciiTheme="minorEastAsia" w:hAnsiTheme="minorEastAsia" w:eastAsiaTheme="minorEastAsia" w:cstheme="minorEastAsia"/>
                <w:color w:val="auto"/>
                <w:sz w:val="21"/>
                <w:szCs w:val="21"/>
                <w:highlight w:val="none"/>
              </w:rPr>
              <w:t>进行横向对比综合赋分：</w:t>
            </w:r>
          </w:p>
          <w:p>
            <w:pPr>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 xml:space="preserve">优秀得 </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eastAsia="zh-CN"/>
              </w:rPr>
              <w:t xml:space="preserve"> 分；良好得 </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 xml:space="preserve"> 分；一般得</w:t>
            </w:r>
            <w:r>
              <w:rPr>
                <w:rFonts w:hint="eastAsia" w:asciiTheme="minorEastAsia" w:hAnsiTheme="minorEastAsia" w:eastAsiaTheme="minorEastAsia" w:cstheme="minorEastAsia"/>
                <w:color w:val="auto"/>
                <w:sz w:val="21"/>
                <w:szCs w:val="21"/>
                <w:highlight w:val="none"/>
                <w:lang w:val="en-US" w:eastAsia="zh-CN"/>
              </w:rPr>
              <w:t>0-4</w:t>
            </w:r>
            <w:r>
              <w:rPr>
                <w:rFonts w:hint="eastAsia" w:asciiTheme="minorEastAsia" w:hAnsiTheme="minorEastAsia" w:eastAsiaTheme="minorEastAsia" w:cstheme="minorEastAsia"/>
                <w:color w:val="auto"/>
                <w:sz w:val="21"/>
                <w:szCs w:val="21"/>
                <w:highlight w:val="none"/>
                <w:lang w:eastAsia="zh-CN"/>
              </w:rPr>
              <w:t>；不提供者不得分。</w:t>
            </w:r>
            <w:r>
              <w:rPr>
                <w:rFonts w:hint="eastAsia" w:asciiTheme="minorEastAsia" w:hAnsiTheme="minorEastAsia" w:eastAsiaTheme="minorEastAsia" w:cstheme="minorEastAsia"/>
                <w:color w:val="auto"/>
                <w:sz w:val="21"/>
                <w:szCs w:val="21"/>
                <w:highlight w:val="none"/>
              </w:rPr>
              <w:t xml:space="preserve"> </w:t>
            </w:r>
          </w:p>
        </w:tc>
        <w:tc>
          <w:tcPr>
            <w:tcW w:w="741" w:type="dxa"/>
            <w:tcBorders>
              <w:bottom w:val="single" w:color="auto" w:sz="4" w:space="0"/>
            </w:tcBorders>
            <w:vAlign w:val="center"/>
          </w:tcPr>
          <w:p>
            <w:pPr>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6" w:hRule="atLeast"/>
        </w:trPr>
        <w:tc>
          <w:tcPr>
            <w:tcW w:w="736" w:type="dxa"/>
            <w:vMerge w:val="continue"/>
            <w:tcBorders>
              <w:bottom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948" w:type="dxa"/>
            <w:tcBorders>
              <w:bottom w:val="single" w:color="auto" w:sz="4" w:space="0"/>
            </w:tcBorders>
            <w:vAlign w:val="center"/>
          </w:tcPr>
          <w:p>
            <w:pPr>
              <w:jc w:val="center"/>
              <w:rPr>
                <w:rFonts w:hint="eastAsia"/>
                <w:color w:val="auto"/>
                <w:highlight w:val="none"/>
                <w:lang w:val="en-US" w:eastAsia="zh-CN"/>
              </w:rPr>
            </w:pPr>
            <w:r>
              <w:rPr>
                <w:rFonts w:hint="eastAsia"/>
                <w:color w:val="auto"/>
                <w:highlight w:val="none"/>
                <w:lang w:val="en-US" w:eastAsia="zh-CN"/>
              </w:rPr>
              <w:t>安全与应急预案</w:t>
            </w:r>
          </w:p>
          <w:p>
            <w:pPr>
              <w:pStyle w:val="22"/>
              <w:ind w:left="0" w:leftChars="0" w:firstLine="0" w:firstLineChars="0"/>
              <w:jc w:val="center"/>
              <w:rPr>
                <w:rFonts w:hint="eastAsia"/>
                <w:color w:val="auto"/>
                <w:highlight w:val="none"/>
                <w:lang w:val="en-US" w:eastAsia="zh-CN"/>
              </w:rPr>
            </w:pPr>
            <w:r>
              <w:rPr>
                <w:rFonts w:hint="eastAsia"/>
                <w:color w:val="auto"/>
                <w:highlight w:val="none"/>
                <w:lang w:val="en-US" w:eastAsia="zh-CN"/>
              </w:rPr>
              <w:t>（</w:t>
            </w:r>
            <w:r>
              <w:rPr>
                <w:rFonts w:hint="eastAsia" w:asciiTheme="minorEastAsia" w:hAnsiTheme="minorEastAsia" w:eastAsiaTheme="minorEastAsia" w:cstheme="minorEastAsia"/>
                <w:color w:val="auto"/>
                <w:kern w:val="0"/>
                <w:sz w:val="21"/>
                <w:szCs w:val="21"/>
                <w:highlight w:val="none"/>
                <w:lang w:val="en-US" w:eastAsia="zh-CN" w:bidi="ar-SA"/>
              </w:rPr>
              <w:t>5</w:t>
            </w:r>
            <w:r>
              <w:rPr>
                <w:rFonts w:hint="eastAsia"/>
                <w:color w:val="auto"/>
                <w:highlight w:val="none"/>
                <w:lang w:val="en-US" w:eastAsia="zh-CN"/>
              </w:rPr>
              <w:t>分）</w:t>
            </w:r>
          </w:p>
        </w:tc>
        <w:tc>
          <w:tcPr>
            <w:tcW w:w="6603" w:type="dxa"/>
            <w:tcBorders>
              <w:bottom w:val="single" w:color="auto" w:sz="4" w:space="0"/>
            </w:tcBorders>
            <w:vAlign w:val="center"/>
          </w:tcPr>
          <w:p>
            <w:pPr>
              <w:spacing w:line="360" w:lineRule="auto"/>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具有完善健全的安全保证措施及应急预案，应急预案需按照国家、地方政策及现状和有关规定进行编制，并满足本项目需求（项目执行应在疫情防控下进行，需符合当地疫情防控要求）。根据供应商所提供措施和预案的全面性、针对性、精细性进行横向对比综合赋分：</w:t>
            </w:r>
          </w:p>
          <w:p>
            <w:pPr>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 xml:space="preserve">优秀得 </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 xml:space="preserve"> 分；良好得 </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 xml:space="preserve"> 分；一般得</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 xml:space="preserve"> 0；不提供者不得分。</w:t>
            </w:r>
          </w:p>
        </w:tc>
        <w:tc>
          <w:tcPr>
            <w:tcW w:w="741" w:type="dxa"/>
            <w:tcBorders>
              <w:bottom w:val="single" w:color="auto" w:sz="4" w:space="0"/>
            </w:tcBorders>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8287" w:type="dxa"/>
            <w:gridSpan w:val="3"/>
            <w:tcBorders>
              <w:top w:val="single" w:color="auto" w:sz="4" w:space="0"/>
              <w:left w:val="single" w:color="auto" w:sz="4" w:space="0"/>
              <w:bottom w:val="single" w:color="auto" w:sz="4" w:space="0"/>
              <w:right w:val="single" w:color="auto" w:sz="4" w:space="0"/>
            </w:tcBorders>
          </w:tcPr>
          <w:p>
            <w:pPr>
              <w:pStyle w:val="24"/>
              <w:spacing w:before="2" w:line="360" w:lineRule="exact"/>
              <w:ind w:left="4" w:right="1495"/>
              <w:rPr>
                <w:rFonts w:hint="eastAsia" w:asciiTheme="minorEastAsia" w:hAnsiTheme="minorEastAsia" w:eastAsiaTheme="minorEastAsia" w:cstheme="minorEastAsia"/>
                <w:color w:val="auto"/>
                <w:spacing w:val="-3"/>
                <w:sz w:val="21"/>
                <w:szCs w:val="21"/>
                <w:highlight w:val="none"/>
              </w:rPr>
            </w:pPr>
          </w:p>
        </w:tc>
        <w:tc>
          <w:tcPr>
            <w:tcW w:w="741" w:type="dxa"/>
            <w:tcBorders>
              <w:top w:val="single" w:color="auto" w:sz="4" w:space="0"/>
              <w:left w:val="single" w:color="auto" w:sz="4" w:space="0"/>
              <w:bottom w:val="single" w:color="auto" w:sz="4" w:space="0"/>
              <w:right w:val="single" w:color="auto" w:sz="4" w:space="0"/>
            </w:tcBorders>
            <w:vAlign w:val="center"/>
          </w:tcPr>
          <w:p>
            <w:pPr>
              <w:pStyle w:val="24"/>
              <w:spacing w:before="2" w:line="360" w:lineRule="exact"/>
              <w:ind w:left="4" w:right="1495"/>
              <w:jc w:val="center"/>
              <w:rPr>
                <w:rFonts w:hint="eastAsia" w:asciiTheme="minorEastAsia" w:hAnsiTheme="minorEastAsia" w:eastAsiaTheme="minorEastAsia" w:cstheme="minorEastAsia"/>
                <w:color w:val="auto"/>
                <w:sz w:val="21"/>
                <w:szCs w:val="21"/>
                <w:highlight w:val="none"/>
              </w:rPr>
            </w:pPr>
          </w:p>
        </w:tc>
      </w:tr>
    </w:tbl>
    <w:p>
      <w:pPr>
        <w:rPr>
          <w:rFonts w:hint="eastAsia" w:ascii="宋体" w:hAnsi="宋体" w:eastAsia="宋体" w:cs="宋体"/>
          <w:color w:val="auto"/>
          <w:szCs w:val="24"/>
          <w:highlight w:val="none"/>
        </w:rPr>
      </w:pPr>
    </w:p>
    <w:p>
      <w:pPr>
        <w:pStyle w:val="8"/>
        <w:kinsoku w:val="0"/>
        <w:overflowPunct w:val="0"/>
        <w:spacing w:before="34"/>
        <w:ind w:firstLine="482" w:firstLineChars="200"/>
        <w:jc w:val="both"/>
        <w:rPr>
          <w:rFonts w:hint="eastAsia" w:ascii="宋体" w:hAnsi="宋体" w:eastAsia="宋体" w:cs="宋体"/>
          <w:b/>
          <w:color w:val="auto"/>
          <w:highlight w:val="none"/>
        </w:rPr>
      </w:pPr>
      <w:r>
        <w:rPr>
          <w:rFonts w:hint="eastAsia" w:ascii="宋体" w:hAnsi="宋体" w:eastAsia="宋体" w:cs="宋体"/>
          <w:b/>
          <w:bCs/>
          <w:color w:val="auto"/>
          <w:highlight w:val="none"/>
        </w:rPr>
        <w:t>备注：</w:t>
      </w:r>
      <w:r>
        <w:rPr>
          <w:rFonts w:hint="eastAsia" w:ascii="宋体" w:hAnsi="宋体" w:eastAsia="宋体" w:cs="宋体"/>
          <w:b/>
          <w:color w:val="auto"/>
          <w:highlight w:val="none"/>
        </w:rPr>
        <w:t>以上涉及证书、业绩的，均需要提供原件以备查。</w:t>
      </w:r>
      <w:r>
        <w:rPr>
          <w:rFonts w:hint="eastAsia" w:ascii="宋体" w:hAnsi="宋体" w:eastAsia="宋体" w:cs="宋体"/>
          <w:b/>
          <w:color w:val="auto"/>
          <w:highlight w:val="none"/>
          <w:lang w:eastAsia="zh-CN"/>
        </w:rPr>
        <w:t>投标文件</w:t>
      </w:r>
      <w:r>
        <w:rPr>
          <w:rFonts w:hint="eastAsia" w:ascii="宋体" w:hAnsi="宋体" w:eastAsia="宋体" w:cs="宋体"/>
          <w:b/>
          <w:color w:val="auto"/>
          <w:highlight w:val="none"/>
        </w:rPr>
        <w:t>中可用复印件加盖公章，业绩以中标通知书或者合同为准。</w:t>
      </w:r>
    </w:p>
    <w:p>
      <w:pPr>
        <w:pStyle w:val="8"/>
        <w:kinsoku w:val="0"/>
        <w:overflowPunct w:val="0"/>
        <w:spacing w:before="34"/>
        <w:ind w:left="0"/>
        <w:jc w:val="both"/>
        <w:rPr>
          <w:rFonts w:hint="eastAsia" w:ascii="宋体" w:hAnsi="宋体" w:eastAsia="宋体" w:cs="宋体"/>
          <w:b/>
          <w:bCs/>
          <w:color w:val="auto"/>
          <w:highlight w:val="none"/>
        </w:rPr>
      </w:pPr>
    </w:p>
    <w:p>
      <w:pPr>
        <w:pStyle w:val="8"/>
        <w:kinsoku w:val="0"/>
        <w:overflowPunct w:val="0"/>
        <w:spacing w:before="34"/>
        <w:ind w:left="0"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投标报价计算备注：</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1、根据</w:t>
      </w:r>
      <w:r>
        <w:rPr>
          <w:rFonts w:hint="eastAsia" w:ascii="宋体" w:hAnsi="宋体" w:eastAsia="宋体" w:cs="宋体"/>
          <w:b w:val="0"/>
          <w:bCs w:val="0"/>
          <w:i w:val="0"/>
          <w:iCs w:val="0"/>
          <w:color w:val="auto"/>
          <w:sz w:val="24"/>
          <w:szCs w:val="24"/>
          <w:highlight w:val="none"/>
          <w:u w:val="none"/>
        </w:rPr>
        <w:t>《政府采购促进中小企业发展管理办法》（财库﹝2020﹞46 号）</w:t>
      </w:r>
      <w:r>
        <w:rPr>
          <w:rFonts w:hint="eastAsia" w:ascii="宋体" w:hAnsi="宋体" w:eastAsia="宋体" w:cs="宋体"/>
          <w:color w:val="auto"/>
          <w:highlight w:val="none"/>
        </w:rPr>
        <w:t>和工信部联企业〔2011〕300 号文件规定，对小型和微型企业产品的价格给予 6%的扣除，用扣除后的价格参与评审；大中型企业和其他自然人、法人或者其他组织与小型、微型企业组成联合体共同参加 非专门面向中小企业的政府采购活动的，小微企业的合同金额占联合体协议合同总金额 30%以上的，给予联合体3%的价格扣除，用扣除后的价格参与评审。</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根据《财政部民政部中国残疾人联合会关于促进残疾人就业政府采购政策的通知》（财库【2017】141号）文件规定，对满足价格扣除条件且在投标文件中提交了《残疾人福利性单位声明函》等证明文件的投标人，其投标报价扣除6%后参与评审，不与第1条叠加。</w:t>
      </w:r>
    </w:p>
    <w:p>
      <w:pPr>
        <w:pStyle w:val="8"/>
        <w:kinsoku w:val="0"/>
        <w:overflowPunct w:val="0"/>
        <w:spacing w:before="34" w:line="357" w:lineRule="auto"/>
        <w:ind w:right="126"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计分原则：</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1、投标报价得分由磋商小组按照价格分计算公式计算分值。</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2、商务部分由磋商小组共同评定唯一的得分。</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3、技术部分由磋商小组专家分别打分后，取平均分作为技术分最后得分。</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4、供应商综合评分最终总分值为投标报价、商务部分和技术部分三部分得分总和。评分计算保留 2 位小数，第三位小数四舍五入。</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5、得分相同的，按投标报价由低到高顺序排列。得分且投标报价相同的，按技术指标优劣顺序排列。</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6、磋商小组按评分排序确定中标人，同时提交评标报告，由磋商小组成员集体签名。第一中标候选人放弃中标后，由第二名作为中标候选人，依次类推。</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7、评标中如遇未考虑到的问题，由磋商小组成员集体研究处理决定。</w:t>
      </w:r>
    </w:p>
    <w:p>
      <w:pPr>
        <w:pStyle w:val="8"/>
        <w:kinsoku w:val="0"/>
        <w:overflowPunct w:val="0"/>
        <w:spacing w:before="34"/>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其他注意事项：</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（1）评审工作在磋商小组内独立进行。</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为了有助于对投标进行审查、评估和比较，磋商小组有权向供应商质疑、查看有关资质原件、供应商解释投标内容。供应商有责任按照磋商小组通知的时间、地点指派专人进行答疑、澄清、提供有关资质原件。</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（3）在开标、评标期间，供应商不得向磋商小组成员询问情况，不得进行影响评标结果的活动。</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（4）采购人、招标机构及磋商小组不向落标方解释原因，不保证最低价中标，不退还磋商响应性文件。</w:t>
      </w:r>
    </w:p>
    <w:p>
      <w:pPr>
        <w:pStyle w:val="8"/>
        <w:kinsoku w:val="0"/>
        <w:overflowPunct w:val="0"/>
        <w:spacing w:before="34" w:line="357" w:lineRule="auto"/>
        <w:ind w:right="12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（5）在招标过程中如供应商有不正当行为时，磋商小组有权中止其投标资格。</w:t>
      </w:r>
    </w:p>
    <w:p>
      <w:pPr>
        <w:pStyle w:val="8"/>
        <w:kinsoku w:val="0"/>
        <w:overflowPunct w:val="0"/>
        <w:spacing w:before="34" w:line="357" w:lineRule="auto"/>
        <w:ind w:left="598"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本评标办法解释权归采购人。</w:t>
      </w:r>
    </w:p>
    <w:p>
      <w:pPr>
        <w:pStyle w:val="3"/>
        <w:numPr>
          <w:ilvl w:val="0"/>
          <w:numId w:val="2"/>
        </w:numPr>
        <w:ind w:firstLine="643" w:firstLineChars="200"/>
        <w:rPr>
          <w:rFonts w:hint="eastAsia" w:ascii="宋体" w:hAnsi="宋体" w:eastAsia="宋体" w:cs="宋体"/>
          <w:color w:val="auto"/>
          <w:spacing w:val="1"/>
          <w:highlight w:val="none"/>
        </w:rPr>
      </w:pPr>
      <w:r>
        <w:rPr>
          <w:rFonts w:hint="eastAsia" w:ascii="宋体" w:hAnsi="宋体" w:eastAsia="宋体" w:cs="宋体"/>
          <w:color w:val="auto"/>
          <w:highlight w:val="none"/>
        </w:rPr>
        <w:br w:type="page"/>
      </w:r>
      <w:bookmarkStart w:id="71" w:name="_Toc14707"/>
      <w:r>
        <w:rPr>
          <w:rFonts w:hint="eastAsia" w:ascii="宋体" w:hAnsi="宋体" w:eastAsia="宋体" w:cs="宋体"/>
          <w:color w:val="auto"/>
          <w:spacing w:val="1"/>
          <w:highlight w:val="none"/>
        </w:rPr>
        <w:t>磋商内容</w:t>
      </w:r>
      <w:bookmarkEnd w:id="71"/>
    </w:p>
    <w:p>
      <w:pPr>
        <w:adjustRightInd w:val="0"/>
        <w:snapToGrid w:val="0"/>
        <w:spacing w:line="560" w:lineRule="exact"/>
        <w:rPr>
          <w:rFonts w:hint="eastAsia" w:ascii="宋体" w:hAnsi="宋体" w:eastAsia="宋体" w:cs="宋体"/>
          <w:color w:val="auto"/>
          <w:sz w:val="32"/>
          <w:szCs w:val="32"/>
          <w:highlight w:val="none"/>
        </w:rPr>
      </w:pPr>
    </w:p>
    <w:p>
      <w:pPr>
        <w:ind w:firstLine="562" w:firstLineChars="200"/>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新疆维吾尔自治区文化馆</w:t>
      </w:r>
      <w:r>
        <w:rPr>
          <w:rFonts w:hint="eastAsia" w:ascii="宋体" w:hAnsi="宋体" w:eastAsia="宋体" w:cs="宋体"/>
          <w:b/>
          <w:bCs/>
          <w:color w:val="auto"/>
          <w:sz w:val="28"/>
          <w:szCs w:val="28"/>
          <w:highlight w:val="none"/>
          <w:lang w:eastAsia="zh-CN"/>
        </w:rPr>
        <w:t>建设</w:t>
      </w:r>
      <w:r>
        <w:rPr>
          <w:rFonts w:hint="eastAsia" w:ascii="宋体" w:hAnsi="宋体" w:eastAsia="宋体" w:cs="宋体"/>
          <w:b/>
          <w:bCs/>
          <w:color w:val="auto"/>
          <w:sz w:val="28"/>
          <w:szCs w:val="28"/>
          <w:highlight w:val="none"/>
        </w:rPr>
        <w:t>录音棚项目</w:t>
      </w:r>
      <w:r>
        <w:rPr>
          <w:rFonts w:hint="eastAsia" w:ascii="宋体" w:hAnsi="宋体" w:cs="宋体"/>
          <w:b/>
          <w:bCs/>
          <w:color w:val="auto"/>
          <w:sz w:val="28"/>
          <w:szCs w:val="28"/>
          <w:highlight w:val="none"/>
          <w:lang w:eastAsia="zh-CN"/>
        </w:rPr>
        <w:t>（二次</w:t>
      </w:r>
      <w:bookmarkStart w:id="101" w:name="_GoBack"/>
      <w:bookmarkEnd w:id="101"/>
      <w:r>
        <w:rPr>
          <w:rFonts w:hint="eastAsia" w:ascii="宋体" w:hAnsi="宋体" w:cs="宋体"/>
          <w:b/>
          <w:bCs/>
          <w:color w:val="auto"/>
          <w:sz w:val="28"/>
          <w:szCs w:val="28"/>
          <w:highlight w:val="none"/>
          <w:lang w:eastAsia="zh-CN"/>
        </w:rPr>
        <w:t>）</w:t>
      </w:r>
      <w:r>
        <w:rPr>
          <w:rFonts w:hint="eastAsia" w:ascii="宋体" w:hAnsi="宋体" w:eastAsia="宋体" w:cs="宋体"/>
          <w:b/>
          <w:bCs/>
          <w:color w:val="auto"/>
          <w:sz w:val="28"/>
          <w:szCs w:val="28"/>
          <w:highlight w:val="none"/>
          <w:lang w:eastAsia="zh-CN"/>
        </w:rPr>
        <w:t>采购需求</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为了满足文化馆业务干部对录音和作曲的需求，我馆</w:t>
      </w:r>
      <w:r>
        <w:rPr>
          <w:rFonts w:hint="eastAsia" w:ascii="仿宋_GB2312" w:eastAsia="仿宋_GB2312"/>
          <w:sz w:val="32"/>
          <w:szCs w:val="32"/>
          <w:lang w:eastAsia="zh-CN"/>
        </w:rPr>
        <w:t>在</w:t>
      </w:r>
      <w:r>
        <w:rPr>
          <w:rFonts w:hint="eastAsia" w:ascii="仿宋_GB2312" w:eastAsia="仿宋_GB2312"/>
          <w:sz w:val="32"/>
          <w:szCs w:val="32"/>
          <w:lang w:val="en-US" w:eastAsia="zh-CN"/>
        </w:rPr>
        <w:t>2楼琴房改建为</w:t>
      </w:r>
      <w:r>
        <w:rPr>
          <w:rFonts w:hint="eastAsia" w:ascii="仿宋_GB2312" w:eastAsia="仿宋_GB2312"/>
          <w:sz w:val="32"/>
          <w:szCs w:val="32"/>
        </w:rPr>
        <w:t>多功能录音棚，主要用于人声录制、</w:t>
      </w:r>
      <w:r>
        <w:rPr>
          <w:rFonts w:hint="eastAsia" w:ascii="仿宋_GB2312" w:eastAsia="仿宋_GB2312"/>
          <w:sz w:val="32"/>
          <w:szCs w:val="32"/>
          <w:lang w:eastAsia="zh-CN"/>
        </w:rPr>
        <w:t>馆内的</w:t>
      </w:r>
      <w:r>
        <w:rPr>
          <w:rFonts w:hint="eastAsia" w:ascii="仿宋_GB2312" w:eastAsia="仿宋_GB2312"/>
          <w:sz w:val="32"/>
          <w:szCs w:val="32"/>
        </w:rPr>
        <w:t>小型乐队</w:t>
      </w:r>
      <w:r>
        <w:rPr>
          <w:rFonts w:hint="eastAsia" w:ascii="仿宋_GB2312" w:eastAsia="仿宋_GB2312"/>
          <w:sz w:val="32"/>
          <w:szCs w:val="32"/>
          <w:lang w:eastAsia="zh-CN"/>
        </w:rPr>
        <w:t>和</w:t>
      </w:r>
      <w:r>
        <w:rPr>
          <w:rFonts w:hint="eastAsia" w:ascii="仿宋_GB2312" w:eastAsia="仿宋_GB2312"/>
          <w:sz w:val="32"/>
          <w:szCs w:val="32"/>
        </w:rPr>
        <w:t>小组合唱</w:t>
      </w:r>
      <w:r>
        <w:rPr>
          <w:rFonts w:hint="eastAsia" w:ascii="仿宋_GB2312" w:eastAsia="仿宋_GB2312"/>
          <w:sz w:val="32"/>
          <w:szCs w:val="32"/>
          <w:lang w:eastAsia="zh-CN"/>
        </w:rPr>
        <w:t>录制、</w:t>
      </w:r>
      <w:r>
        <w:rPr>
          <w:rFonts w:hint="eastAsia" w:ascii="仿宋_GB2312" w:eastAsia="仿宋_GB2312"/>
          <w:sz w:val="32"/>
          <w:szCs w:val="32"/>
        </w:rPr>
        <w:t>兼做音频后期制作及作曲</w:t>
      </w:r>
      <w:r>
        <w:rPr>
          <w:rFonts w:hint="eastAsia" w:ascii="仿宋_GB2312" w:eastAsia="仿宋_GB2312"/>
          <w:sz w:val="32"/>
          <w:szCs w:val="32"/>
          <w:lang w:eastAsia="zh-CN"/>
        </w:rPr>
        <w:t>等</w:t>
      </w:r>
      <w:r>
        <w:rPr>
          <w:rFonts w:hint="eastAsia" w:ascii="仿宋_GB2312" w:eastAsia="仿宋_GB2312"/>
          <w:sz w:val="32"/>
          <w:szCs w:val="32"/>
        </w:rPr>
        <w:t>。</w:t>
      </w:r>
    </w:p>
    <w:p>
      <w:pPr>
        <w:numPr>
          <w:ilvl w:val="0"/>
          <w:numId w:val="3"/>
        </w:numPr>
        <w:spacing w:line="56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eastAsia="zh-CN"/>
        </w:rPr>
        <w:t>设备要求</w:t>
      </w:r>
    </w:p>
    <w:p>
      <w:pPr>
        <w:numPr>
          <w:ilvl w:val="0"/>
          <w:numId w:val="0"/>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设备和参数的基本要求如下：</w:t>
      </w:r>
    </w:p>
    <w:tbl>
      <w:tblPr>
        <w:tblStyle w:val="17"/>
        <w:tblpPr w:leftFromText="180" w:rightFromText="180" w:vertAnchor="text" w:horzAnchor="page" w:tblpXSpec="center" w:tblpY="576"/>
        <w:tblOverlap w:val="never"/>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906"/>
        <w:gridCol w:w="4571"/>
        <w:gridCol w:w="733"/>
        <w:gridCol w:w="1221"/>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794" w:type="dxa"/>
            <w:gridSpan w:val="6"/>
            <w:vAlign w:val="center"/>
          </w:tcPr>
          <w:p>
            <w:pPr>
              <w:jc w:val="center"/>
              <w:rPr>
                <w:rFonts w:hint="eastAsia" w:ascii="仿宋_GB2312" w:eastAsia="仿宋_GB2312"/>
                <w:sz w:val="24"/>
                <w:szCs w:val="28"/>
                <w:lang w:eastAsia="zh-CN"/>
              </w:rPr>
            </w:pPr>
            <w:r>
              <w:rPr>
                <w:rFonts w:hint="eastAsia" w:ascii="仿宋_GB2312" w:eastAsia="仿宋_GB2312"/>
                <w:b/>
                <w:bCs/>
                <w:sz w:val="24"/>
                <w:szCs w:val="24"/>
                <w:lang w:eastAsia="zh-CN"/>
              </w:rPr>
              <w:t>录音棚录音设备参数清单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04" w:type="dxa"/>
            <w:vAlign w:val="center"/>
          </w:tcPr>
          <w:p>
            <w:pPr>
              <w:jc w:val="center"/>
              <w:rPr>
                <w:rFonts w:hint="eastAsia" w:ascii="仿宋_GB2312" w:eastAsia="仿宋_GB2312"/>
                <w:sz w:val="24"/>
                <w:szCs w:val="28"/>
              </w:rPr>
            </w:pPr>
            <w:r>
              <w:rPr>
                <w:rFonts w:hint="eastAsia" w:ascii="仿宋_GB2312" w:eastAsia="仿宋_GB2312"/>
                <w:sz w:val="24"/>
                <w:szCs w:val="28"/>
              </w:rPr>
              <w:t>序号</w:t>
            </w:r>
          </w:p>
        </w:tc>
        <w:tc>
          <w:tcPr>
            <w:tcW w:w="1906" w:type="dxa"/>
            <w:vAlign w:val="center"/>
          </w:tcPr>
          <w:p>
            <w:pPr>
              <w:jc w:val="center"/>
              <w:rPr>
                <w:rFonts w:hint="eastAsia" w:ascii="仿宋_GB2312" w:eastAsia="仿宋_GB2312"/>
                <w:sz w:val="24"/>
                <w:szCs w:val="28"/>
              </w:rPr>
            </w:pPr>
            <w:r>
              <w:rPr>
                <w:rFonts w:hint="eastAsia" w:ascii="仿宋_GB2312" w:eastAsia="仿宋_GB2312"/>
                <w:sz w:val="24"/>
                <w:szCs w:val="28"/>
              </w:rPr>
              <w:t>产品名称</w:t>
            </w:r>
          </w:p>
        </w:tc>
        <w:tc>
          <w:tcPr>
            <w:tcW w:w="4571" w:type="dxa"/>
            <w:vAlign w:val="center"/>
          </w:tcPr>
          <w:p>
            <w:pPr>
              <w:jc w:val="center"/>
              <w:rPr>
                <w:rFonts w:hint="eastAsia" w:ascii="仿宋_GB2312" w:eastAsia="仿宋_GB2312"/>
                <w:sz w:val="24"/>
                <w:szCs w:val="28"/>
              </w:rPr>
            </w:pPr>
            <w:r>
              <w:rPr>
                <w:rFonts w:hint="eastAsia" w:ascii="仿宋_GB2312" w:eastAsia="仿宋_GB2312"/>
                <w:sz w:val="24"/>
                <w:szCs w:val="28"/>
              </w:rPr>
              <w:t>配置需求</w:t>
            </w:r>
          </w:p>
        </w:tc>
        <w:tc>
          <w:tcPr>
            <w:tcW w:w="733" w:type="dxa"/>
            <w:vAlign w:val="center"/>
          </w:tcPr>
          <w:p>
            <w:pPr>
              <w:jc w:val="center"/>
              <w:rPr>
                <w:rFonts w:hint="eastAsia" w:ascii="仿宋_GB2312" w:eastAsia="仿宋_GB2312"/>
                <w:sz w:val="24"/>
                <w:szCs w:val="28"/>
                <w:lang w:eastAsia="zh-CN"/>
              </w:rPr>
            </w:pPr>
            <w:r>
              <w:rPr>
                <w:rFonts w:hint="eastAsia" w:ascii="仿宋_GB2312" w:eastAsia="仿宋_GB2312"/>
                <w:sz w:val="24"/>
                <w:szCs w:val="28"/>
                <w:lang w:eastAsia="zh-CN"/>
              </w:rPr>
              <w:t>数量</w:t>
            </w:r>
          </w:p>
        </w:tc>
        <w:tc>
          <w:tcPr>
            <w:tcW w:w="1221" w:type="dxa"/>
            <w:vAlign w:val="center"/>
          </w:tcPr>
          <w:p>
            <w:pPr>
              <w:jc w:val="center"/>
              <w:rPr>
                <w:rFonts w:hint="eastAsia" w:ascii="仿宋_GB2312" w:eastAsia="仿宋_GB2312"/>
                <w:sz w:val="24"/>
                <w:szCs w:val="28"/>
              </w:rPr>
            </w:pPr>
            <w:r>
              <w:rPr>
                <w:rFonts w:hint="eastAsia" w:ascii="仿宋_GB2312" w:eastAsia="仿宋_GB2312"/>
                <w:sz w:val="24"/>
                <w:szCs w:val="28"/>
                <w:lang w:eastAsia="zh-CN"/>
              </w:rPr>
              <w:t>预算单价</w:t>
            </w:r>
          </w:p>
        </w:tc>
        <w:tc>
          <w:tcPr>
            <w:tcW w:w="859" w:type="dxa"/>
            <w:vAlign w:val="center"/>
          </w:tcPr>
          <w:p>
            <w:pPr>
              <w:jc w:val="center"/>
              <w:rPr>
                <w:rFonts w:hint="eastAsia" w:ascii="仿宋_GB2312" w:eastAsia="仿宋_GB2312"/>
                <w:sz w:val="24"/>
                <w:szCs w:val="28"/>
                <w:lang w:eastAsia="zh-CN"/>
              </w:rPr>
            </w:pPr>
            <w:r>
              <w:rPr>
                <w:rFonts w:hint="eastAsia" w:ascii="仿宋_GB2312" w:eastAsia="仿宋_GB2312"/>
                <w:sz w:val="24"/>
                <w:szCs w:val="28"/>
                <w:lang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4"/>
              </w:numPr>
              <w:ind w:firstLineChars="0"/>
              <w:jc w:val="center"/>
              <w:rPr>
                <w:rFonts w:hint="eastAsia" w:ascii="仿宋_GB2312" w:eastAsia="仿宋_GB2312"/>
                <w:sz w:val="24"/>
                <w:szCs w:val="28"/>
              </w:rPr>
            </w:pPr>
          </w:p>
        </w:tc>
        <w:tc>
          <w:tcPr>
            <w:tcW w:w="1906"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主机电脑</w:t>
            </w:r>
          </w:p>
        </w:tc>
        <w:tc>
          <w:tcPr>
            <w:tcW w:w="4571" w:type="dxa"/>
            <w:vAlign w:val="center"/>
          </w:tcPr>
          <w:p>
            <w:pPr>
              <w:jc w:val="left"/>
              <w:rPr>
                <w:rFonts w:hint="eastAsia" w:ascii="仿宋_GB2312" w:eastAsia="仿宋_GB2312"/>
                <w:sz w:val="24"/>
                <w:szCs w:val="28"/>
              </w:rPr>
            </w:pPr>
            <w:r>
              <w:rPr>
                <w:rFonts w:hint="eastAsia" w:ascii="仿宋_GB2312" w:eastAsia="仿宋_GB2312"/>
                <w:sz w:val="24"/>
                <w:szCs w:val="28"/>
              </w:rPr>
              <w:t xml:space="preserve">处理器 i9-11900K 八核16线程                         </w:t>
            </w:r>
          </w:p>
          <w:p>
            <w:pPr>
              <w:jc w:val="left"/>
              <w:rPr>
                <w:rFonts w:hint="eastAsia" w:ascii="仿宋_GB2312" w:eastAsia="仿宋_GB2312"/>
                <w:sz w:val="24"/>
                <w:szCs w:val="28"/>
              </w:rPr>
            </w:pPr>
            <w:r>
              <w:rPr>
                <w:rFonts w:hint="eastAsia" w:ascii="仿宋_GB2312" w:eastAsia="仿宋_GB2312"/>
                <w:sz w:val="24"/>
                <w:szCs w:val="28"/>
              </w:rPr>
              <w:t xml:space="preserve">主板：Z590                                                    </w:t>
            </w:r>
          </w:p>
          <w:p>
            <w:pPr>
              <w:jc w:val="left"/>
              <w:rPr>
                <w:rFonts w:hint="eastAsia" w:ascii="仿宋_GB2312" w:eastAsia="仿宋_GB2312"/>
                <w:sz w:val="24"/>
                <w:szCs w:val="28"/>
              </w:rPr>
            </w:pPr>
            <w:r>
              <w:rPr>
                <w:rFonts w:hint="eastAsia" w:ascii="仿宋_GB2312" w:eastAsia="仿宋_GB2312"/>
                <w:sz w:val="24"/>
                <w:szCs w:val="28"/>
              </w:rPr>
              <w:t xml:space="preserve">内存：64G                                                      </w:t>
            </w:r>
          </w:p>
          <w:p>
            <w:pPr>
              <w:jc w:val="left"/>
              <w:rPr>
                <w:rFonts w:hint="eastAsia" w:ascii="仿宋_GB2312" w:eastAsia="仿宋_GB2312"/>
                <w:sz w:val="24"/>
                <w:szCs w:val="28"/>
              </w:rPr>
            </w:pPr>
            <w:r>
              <w:rPr>
                <w:rFonts w:hint="eastAsia" w:ascii="仿宋_GB2312" w:eastAsia="仿宋_GB2312"/>
                <w:sz w:val="24"/>
                <w:szCs w:val="28"/>
              </w:rPr>
              <w:t xml:space="preserve">系统盘：500G 固态硬盘                                     </w:t>
            </w:r>
          </w:p>
          <w:p>
            <w:pPr>
              <w:jc w:val="left"/>
              <w:rPr>
                <w:rFonts w:hint="eastAsia" w:ascii="仿宋_GB2312" w:eastAsia="仿宋_GB2312"/>
                <w:sz w:val="24"/>
                <w:szCs w:val="28"/>
              </w:rPr>
            </w:pPr>
            <w:r>
              <w:rPr>
                <w:rFonts w:hint="eastAsia" w:ascii="仿宋_GB2312" w:eastAsia="仿宋_GB2312"/>
                <w:sz w:val="24"/>
                <w:szCs w:val="28"/>
              </w:rPr>
              <w:t xml:space="preserve">资料盘：8T机械硬盘                                        </w:t>
            </w:r>
          </w:p>
          <w:p>
            <w:pPr>
              <w:jc w:val="left"/>
              <w:rPr>
                <w:rFonts w:hint="eastAsia" w:ascii="仿宋_GB2312" w:eastAsia="仿宋_GB2312"/>
                <w:sz w:val="24"/>
                <w:szCs w:val="28"/>
              </w:rPr>
            </w:pPr>
            <w:r>
              <w:rPr>
                <w:rFonts w:hint="eastAsia" w:ascii="仿宋_GB2312" w:eastAsia="仿宋_GB2312"/>
                <w:sz w:val="24"/>
                <w:szCs w:val="28"/>
              </w:rPr>
              <w:t xml:space="preserve">显卡：1050Ti 4G                                             </w:t>
            </w:r>
          </w:p>
          <w:p>
            <w:pPr>
              <w:jc w:val="left"/>
              <w:rPr>
                <w:rFonts w:hint="eastAsia" w:ascii="仿宋_GB2312" w:eastAsia="仿宋_GB2312"/>
                <w:sz w:val="24"/>
                <w:szCs w:val="28"/>
              </w:rPr>
            </w:pPr>
            <w:r>
              <w:rPr>
                <w:rFonts w:hint="eastAsia" w:ascii="仿宋_GB2312" w:eastAsia="仿宋_GB2312"/>
                <w:sz w:val="24"/>
                <w:szCs w:val="28"/>
              </w:rPr>
              <w:t xml:space="preserve">显示器：AOC 27寸 2台                                     </w:t>
            </w:r>
          </w:p>
          <w:p>
            <w:pPr>
              <w:jc w:val="left"/>
              <w:rPr>
                <w:rFonts w:hint="eastAsia" w:ascii="仿宋_GB2312" w:eastAsia="仿宋_GB2312"/>
                <w:sz w:val="24"/>
                <w:szCs w:val="28"/>
              </w:rPr>
            </w:pPr>
            <w:r>
              <w:rPr>
                <w:rFonts w:hint="eastAsia" w:ascii="仿宋_GB2312" w:eastAsia="仿宋_GB2312"/>
                <w:sz w:val="24"/>
                <w:szCs w:val="28"/>
              </w:rPr>
              <w:t xml:space="preserve">键盘鼠标                                                          </w:t>
            </w:r>
          </w:p>
          <w:p>
            <w:pPr>
              <w:jc w:val="left"/>
              <w:rPr>
                <w:rFonts w:hint="eastAsia" w:ascii="仿宋_GB2312" w:eastAsia="仿宋_GB2312"/>
                <w:sz w:val="24"/>
                <w:szCs w:val="28"/>
              </w:rPr>
            </w:pPr>
            <w:r>
              <w:rPr>
                <w:rFonts w:hint="eastAsia" w:ascii="仿宋_GB2312" w:eastAsia="仿宋_GB2312"/>
                <w:sz w:val="24"/>
                <w:szCs w:val="28"/>
              </w:rPr>
              <w:t>风扇+水冷</w:t>
            </w:r>
          </w:p>
        </w:tc>
        <w:tc>
          <w:tcPr>
            <w:tcW w:w="733" w:type="dxa"/>
            <w:vAlign w:val="center"/>
          </w:tcPr>
          <w:p>
            <w:pPr>
              <w:jc w:val="center"/>
              <w:rPr>
                <w:rFonts w:hint="default" w:ascii="仿宋_GB2312" w:eastAsia="仿宋_GB2312"/>
                <w:sz w:val="24"/>
                <w:szCs w:val="28"/>
                <w:lang w:val="en-US"/>
              </w:rPr>
            </w:pPr>
            <w:r>
              <w:rPr>
                <w:rFonts w:hint="default" w:ascii="仿宋_GB2312" w:eastAsia="仿宋_GB2312"/>
                <w:sz w:val="24"/>
                <w:szCs w:val="28"/>
                <w:lang w:val="en-US" w:eastAsia="zh-CN"/>
              </w:rPr>
              <w:t>1</w:t>
            </w:r>
            <w:r>
              <w:rPr>
                <w:rFonts w:hint="eastAsia" w:ascii="仿宋_GB2312" w:eastAsia="仿宋_GB2312"/>
                <w:sz w:val="24"/>
                <w:szCs w:val="28"/>
                <w:lang w:val="en-US" w:eastAsia="zh-CN"/>
              </w:rPr>
              <w:t xml:space="preserve"> 套</w:t>
            </w:r>
          </w:p>
        </w:tc>
        <w:tc>
          <w:tcPr>
            <w:tcW w:w="1221" w:type="dxa"/>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4"/>
              </w:numPr>
              <w:ind w:firstLineChars="0"/>
              <w:jc w:val="center"/>
              <w:rPr>
                <w:rFonts w:hint="eastAsia" w:ascii="仿宋_GB2312" w:eastAsia="仿宋_GB2312"/>
                <w:sz w:val="24"/>
                <w:szCs w:val="28"/>
              </w:rPr>
            </w:pPr>
          </w:p>
        </w:tc>
        <w:tc>
          <w:tcPr>
            <w:tcW w:w="1906"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大振膜电容话筒</w:t>
            </w:r>
          </w:p>
        </w:tc>
        <w:tc>
          <w:tcPr>
            <w:tcW w:w="4571" w:type="dxa"/>
            <w:vAlign w:val="center"/>
          </w:tcPr>
          <w:p>
            <w:pPr>
              <w:jc w:val="left"/>
              <w:rPr>
                <w:rFonts w:hint="eastAsia" w:ascii="仿宋_GB2312" w:eastAsia="仿宋_GB2312"/>
                <w:sz w:val="24"/>
                <w:szCs w:val="28"/>
              </w:rPr>
            </w:pPr>
            <w:r>
              <w:rPr>
                <w:rFonts w:hint="eastAsia" w:ascii="仿宋_GB2312" w:eastAsia="仿宋_GB2312"/>
                <w:sz w:val="24"/>
                <w:szCs w:val="28"/>
              </w:rPr>
              <w:t>声音工作原理:压力梯度传感器</w:t>
            </w:r>
          </w:p>
          <w:p>
            <w:pPr>
              <w:jc w:val="left"/>
              <w:rPr>
                <w:rFonts w:hint="eastAsia" w:ascii="仿宋_GB2312" w:eastAsia="仿宋_GB2312"/>
                <w:sz w:val="24"/>
                <w:szCs w:val="28"/>
              </w:rPr>
            </w:pPr>
            <w:r>
              <w:rPr>
                <w:rFonts w:hint="eastAsia" w:ascii="仿宋_GB2312" w:eastAsia="仿宋_GB2312"/>
                <w:sz w:val="24"/>
                <w:szCs w:val="28"/>
              </w:rPr>
              <w:t>指向性:全向性，心型，8字型</w:t>
            </w:r>
          </w:p>
          <w:p>
            <w:pPr>
              <w:jc w:val="left"/>
              <w:rPr>
                <w:rFonts w:hint="eastAsia" w:ascii="仿宋_GB2312" w:eastAsia="仿宋_GB2312"/>
                <w:sz w:val="24"/>
                <w:szCs w:val="28"/>
              </w:rPr>
            </w:pPr>
            <w:r>
              <w:rPr>
                <w:rFonts w:hint="eastAsia" w:ascii="仿宋_GB2312" w:eastAsia="仿宋_GB2312"/>
                <w:sz w:val="24"/>
                <w:szCs w:val="28"/>
              </w:rPr>
              <w:t>频响:20Hz-20KHz</w:t>
            </w:r>
          </w:p>
          <w:p>
            <w:pPr>
              <w:jc w:val="left"/>
              <w:rPr>
                <w:rFonts w:hint="eastAsia" w:ascii="仿宋_GB2312" w:eastAsia="仿宋_GB2312"/>
                <w:sz w:val="24"/>
                <w:szCs w:val="28"/>
              </w:rPr>
            </w:pPr>
            <w:r>
              <w:rPr>
                <w:rFonts w:hint="eastAsia" w:ascii="仿宋_GB2312" w:eastAsia="仿宋_GB2312"/>
                <w:sz w:val="24"/>
                <w:szCs w:val="28"/>
              </w:rPr>
              <w:t>灵敏度（1KHz-1KOHM）:20/28/22mVPa *</w:t>
            </w:r>
          </w:p>
          <w:p>
            <w:pPr>
              <w:jc w:val="left"/>
              <w:rPr>
                <w:rFonts w:hint="eastAsia" w:ascii="仿宋_GB2312" w:eastAsia="仿宋_GB2312"/>
                <w:sz w:val="24"/>
                <w:szCs w:val="28"/>
              </w:rPr>
            </w:pPr>
            <w:r>
              <w:rPr>
                <w:rFonts w:hint="eastAsia" w:ascii="仿宋_GB2312" w:eastAsia="仿宋_GB2312"/>
                <w:sz w:val="24"/>
                <w:szCs w:val="28"/>
              </w:rPr>
              <w:t>输出阻抗:200ohms</w:t>
            </w:r>
          </w:p>
          <w:p>
            <w:pPr>
              <w:jc w:val="left"/>
              <w:rPr>
                <w:rFonts w:hint="eastAsia" w:ascii="仿宋_GB2312" w:eastAsia="仿宋_GB2312"/>
                <w:sz w:val="24"/>
                <w:szCs w:val="28"/>
              </w:rPr>
            </w:pPr>
            <w:r>
              <w:rPr>
                <w:rFonts w:hint="eastAsia" w:ascii="仿宋_GB2312" w:eastAsia="仿宋_GB2312"/>
                <w:sz w:val="24"/>
                <w:szCs w:val="28"/>
              </w:rPr>
              <w:t>负载阻抗:1000ohms</w:t>
            </w:r>
          </w:p>
          <w:p>
            <w:pPr>
              <w:jc w:val="left"/>
              <w:rPr>
                <w:rFonts w:hint="eastAsia" w:ascii="仿宋_GB2312" w:eastAsia="仿宋_GB2312"/>
                <w:sz w:val="24"/>
                <w:szCs w:val="28"/>
              </w:rPr>
            </w:pPr>
            <w:r>
              <w:rPr>
                <w:rFonts w:hint="eastAsia" w:ascii="仿宋_GB2312" w:eastAsia="仿宋_GB2312"/>
                <w:sz w:val="24"/>
                <w:szCs w:val="28"/>
              </w:rPr>
              <w:t>灵敏度（CCIR486-3）:26/23/25dB-A*</w:t>
            </w:r>
          </w:p>
          <w:p>
            <w:pPr>
              <w:jc w:val="left"/>
              <w:rPr>
                <w:rFonts w:hint="eastAsia" w:ascii="仿宋_GB2312" w:eastAsia="仿宋_GB2312"/>
                <w:sz w:val="24"/>
                <w:szCs w:val="28"/>
              </w:rPr>
            </w:pPr>
            <w:r>
              <w:rPr>
                <w:rFonts w:hint="eastAsia" w:ascii="仿宋_GB2312" w:eastAsia="仿宋_GB2312"/>
                <w:sz w:val="24"/>
                <w:szCs w:val="28"/>
              </w:rPr>
              <w:t>灵敏度（DIN/IEC 651）:15/12/14dB-A*</w:t>
            </w:r>
          </w:p>
          <w:p>
            <w:pPr>
              <w:jc w:val="left"/>
              <w:rPr>
                <w:rFonts w:hint="eastAsia" w:ascii="仿宋_GB2312" w:eastAsia="仿宋_GB2312"/>
                <w:sz w:val="24"/>
                <w:szCs w:val="28"/>
              </w:rPr>
            </w:pPr>
            <w:r>
              <w:rPr>
                <w:rFonts w:hint="eastAsia" w:ascii="仿宋_GB2312" w:eastAsia="仿宋_GB2312"/>
                <w:sz w:val="24"/>
                <w:szCs w:val="28"/>
              </w:rPr>
              <w:t>S/N比（CCIR 486-3）:68/71/69dB*</w:t>
            </w:r>
          </w:p>
          <w:p>
            <w:pPr>
              <w:jc w:val="left"/>
              <w:rPr>
                <w:rFonts w:hint="eastAsia" w:ascii="仿宋_GB2312" w:eastAsia="仿宋_GB2312"/>
                <w:sz w:val="24"/>
                <w:szCs w:val="28"/>
              </w:rPr>
            </w:pPr>
            <w:r>
              <w:rPr>
                <w:rFonts w:hint="eastAsia" w:ascii="仿宋_GB2312" w:eastAsia="仿宋_GB2312"/>
                <w:sz w:val="24"/>
                <w:szCs w:val="28"/>
              </w:rPr>
              <w:t>S/N比（DIN/IEC 651）:79/82/80dB*</w:t>
            </w:r>
          </w:p>
          <w:p>
            <w:pPr>
              <w:jc w:val="left"/>
              <w:rPr>
                <w:rFonts w:hint="eastAsia" w:ascii="仿宋_GB2312" w:eastAsia="仿宋_GB2312"/>
                <w:sz w:val="24"/>
                <w:szCs w:val="28"/>
              </w:rPr>
            </w:pPr>
            <w:r>
              <w:rPr>
                <w:rFonts w:hint="eastAsia" w:ascii="仿宋_GB2312" w:eastAsia="仿宋_GB2312"/>
                <w:sz w:val="24"/>
                <w:szCs w:val="28"/>
              </w:rPr>
              <w:t>最大声压级（THD小于0.5%）:117dB(心型)</w:t>
            </w:r>
          </w:p>
          <w:p>
            <w:pPr>
              <w:jc w:val="left"/>
              <w:rPr>
                <w:rFonts w:hint="eastAsia" w:ascii="仿宋_GB2312" w:eastAsia="仿宋_GB2312"/>
                <w:sz w:val="24"/>
                <w:szCs w:val="28"/>
              </w:rPr>
            </w:pPr>
            <w:r>
              <w:rPr>
                <w:rFonts w:hint="eastAsia" w:ascii="仿宋_GB2312" w:eastAsia="仿宋_GB2312"/>
                <w:sz w:val="24"/>
                <w:szCs w:val="28"/>
              </w:rPr>
              <w:t>最大声压级（THD 小于0.5%,预衰减）:127dB</w:t>
            </w:r>
          </w:p>
          <w:p>
            <w:pPr>
              <w:jc w:val="left"/>
              <w:rPr>
                <w:rFonts w:hint="eastAsia" w:ascii="仿宋_GB2312" w:eastAsia="仿宋_GB2312"/>
                <w:sz w:val="24"/>
                <w:szCs w:val="28"/>
              </w:rPr>
            </w:pPr>
            <w:r>
              <w:rPr>
                <w:rFonts w:hint="eastAsia" w:ascii="仿宋_GB2312" w:eastAsia="仿宋_GB2312"/>
                <w:sz w:val="24"/>
                <w:szCs w:val="28"/>
              </w:rPr>
              <w:t>最大输出电压:390Mv</w:t>
            </w:r>
          </w:p>
          <w:p>
            <w:pPr>
              <w:jc w:val="left"/>
              <w:rPr>
                <w:rFonts w:hint="eastAsia" w:ascii="仿宋_GB2312" w:eastAsia="仿宋_GB2312"/>
                <w:sz w:val="24"/>
                <w:szCs w:val="28"/>
              </w:rPr>
            </w:pPr>
            <w:r>
              <w:rPr>
                <w:rFonts w:hint="eastAsia" w:ascii="仿宋_GB2312" w:eastAsia="仿宋_GB2312"/>
                <w:sz w:val="24"/>
                <w:szCs w:val="28"/>
              </w:rPr>
              <w:t>麦克风传感器（DIN/IEC651）动态范围 :105dB</w:t>
            </w:r>
          </w:p>
          <w:p>
            <w:pPr>
              <w:jc w:val="left"/>
              <w:rPr>
                <w:rFonts w:hint="eastAsia" w:ascii="仿宋_GB2312" w:eastAsia="仿宋_GB2312"/>
                <w:sz w:val="24"/>
                <w:szCs w:val="28"/>
              </w:rPr>
            </w:pPr>
            <w:r>
              <w:rPr>
                <w:rFonts w:hint="eastAsia" w:ascii="仿宋_GB2312" w:eastAsia="仿宋_GB2312"/>
                <w:sz w:val="24"/>
                <w:szCs w:val="28"/>
              </w:rPr>
              <w:t>电压:48v+4V</w:t>
            </w:r>
          </w:p>
          <w:p>
            <w:pPr>
              <w:jc w:val="left"/>
              <w:rPr>
                <w:rFonts w:hint="eastAsia" w:ascii="仿宋_GB2312" w:eastAsia="仿宋_GB2312"/>
                <w:sz w:val="24"/>
                <w:szCs w:val="28"/>
              </w:rPr>
            </w:pPr>
            <w:r>
              <w:rPr>
                <w:rFonts w:hint="eastAsia" w:ascii="仿宋_GB2312" w:eastAsia="仿宋_GB2312"/>
                <w:sz w:val="24"/>
                <w:szCs w:val="28"/>
              </w:rPr>
              <w:t>电流:0.8mA</w:t>
            </w:r>
          </w:p>
          <w:p>
            <w:pPr>
              <w:jc w:val="left"/>
              <w:rPr>
                <w:rFonts w:hint="eastAsia" w:ascii="仿宋_GB2312" w:eastAsia="仿宋_GB2312"/>
                <w:sz w:val="24"/>
                <w:szCs w:val="28"/>
              </w:rPr>
            </w:pPr>
            <w:r>
              <w:rPr>
                <w:rFonts w:hint="eastAsia" w:ascii="仿宋_GB2312" w:eastAsia="仿宋_GB2312"/>
                <w:sz w:val="24"/>
                <w:szCs w:val="28"/>
              </w:rPr>
              <w:t>接头:XLR3F</w:t>
            </w:r>
          </w:p>
          <w:p>
            <w:pPr>
              <w:jc w:val="left"/>
              <w:rPr>
                <w:rFonts w:hint="eastAsia" w:ascii="仿宋_GB2312" w:eastAsia="仿宋_GB2312"/>
                <w:sz w:val="24"/>
                <w:szCs w:val="28"/>
              </w:rPr>
            </w:pPr>
            <w:r>
              <w:rPr>
                <w:rFonts w:hint="eastAsia" w:ascii="仿宋_GB2312" w:eastAsia="仿宋_GB2312"/>
                <w:sz w:val="24"/>
                <w:szCs w:val="28"/>
              </w:rPr>
              <w:t>重量:500克</w:t>
            </w:r>
          </w:p>
          <w:p>
            <w:pPr>
              <w:jc w:val="left"/>
              <w:rPr>
                <w:rFonts w:hint="eastAsia" w:ascii="仿宋_GB2312" w:eastAsia="仿宋_GB2312"/>
                <w:sz w:val="24"/>
                <w:szCs w:val="28"/>
              </w:rPr>
            </w:pPr>
            <w:r>
              <w:rPr>
                <w:rFonts w:hint="eastAsia" w:ascii="仿宋_GB2312" w:eastAsia="仿宋_GB2312"/>
                <w:sz w:val="24"/>
                <w:szCs w:val="28"/>
              </w:rPr>
              <w:t>直径:56毫米</w:t>
            </w:r>
          </w:p>
          <w:p>
            <w:pPr>
              <w:jc w:val="left"/>
              <w:rPr>
                <w:rFonts w:hint="eastAsia" w:ascii="仿宋_GB2312" w:eastAsia="仿宋_GB2312"/>
                <w:sz w:val="24"/>
                <w:szCs w:val="28"/>
              </w:rPr>
            </w:pPr>
            <w:r>
              <w:rPr>
                <w:rFonts w:hint="eastAsia" w:ascii="仿宋_GB2312" w:eastAsia="仿宋_GB2312"/>
                <w:sz w:val="24"/>
                <w:szCs w:val="28"/>
              </w:rPr>
              <w:t>长度:200毫米</w:t>
            </w:r>
          </w:p>
        </w:tc>
        <w:tc>
          <w:tcPr>
            <w:tcW w:w="733"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1</w:t>
            </w:r>
            <w:r>
              <w:rPr>
                <w:rFonts w:hint="eastAsia" w:ascii="仿宋_GB2312" w:eastAsia="仿宋_GB2312"/>
                <w:sz w:val="24"/>
                <w:szCs w:val="28"/>
                <w:lang w:val="en-US" w:eastAsia="zh-CN"/>
              </w:rPr>
              <w:t>支</w:t>
            </w:r>
          </w:p>
        </w:tc>
        <w:tc>
          <w:tcPr>
            <w:tcW w:w="1221" w:type="dxa"/>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4"/>
              </w:numPr>
              <w:ind w:firstLineChars="0"/>
              <w:jc w:val="center"/>
              <w:rPr>
                <w:rFonts w:hint="eastAsia" w:ascii="仿宋_GB2312" w:eastAsia="仿宋_GB2312"/>
                <w:sz w:val="24"/>
                <w:szCs w:val="28"/>
              </w:rPr>
            </w:pPr>
          </w:p>
        </w:tc>
        <w:tc>
          <w:tcPr>
            <w:tcW w:w="1906"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小振膜话筒</w:t>
            </w:r>
          </w:p>
        </w:tc>
        <w:tc>
          <w:tcPr>
            <w:tcW w:w="4571" w:type="dxa"/>
            <w:vAlign w:val="center"/>
          </w:tcPr>
          <w:p>
            <w:pPr>
              <w:jc w:val="left"/>
              <w:rPr>
                <w:rFonts w:hint="eastAsia" w:ascii="仿宋_GB2312" w:eastAsia="仿宋_GB2312"/>
                <w:sz w:val="24"/>
                <w:szCs w:val="28"/>
              </w:rPr>
            </w:pPr>
            <w:r>
              <w:rPr>
                <w:rFonts w:hint="eastAsia" w:ascii="仿宋_GB2312" w:eastAsia="仿宋_GB2312"/>
                <w:sz w:val="24"/>
                <w:szCs w:val="28"/>
              </w:rPr>
              <w:t>声音操作原理：压力梯度传感器</w:t>
            </w:r>
          </w:p>
          <w:p>
            <w:pPr>
              <w:jc w:val="left"/>
              <w:rPr>
                <w:rFonts w:hint="eastAsia" w:ascii="仿宋_GB2312" w:eastAsia="仿宋_GB2312"/>
                <w:sz w:val="24"/>
                <w:szCs w:val="28"/>
              </w:rPr>
            </w:pPr>
            <w:r>
              <w:rPr>
                <w:rFonts w:hint="eastAsia" w:ascii="仿宋_GB2312" w:eastAsia="仿宋_GB2312"/>
                <w:sz w:val="24"/>
                <w:szCs w:val="28"/>
              </w:rPr>
              <w:t>指向性：心型</w:t>
            </w:r>
          </w:p>
          <w:p>
            <w:pPr>
              <w:jc w:val="left"/>
              <w:rPr>
                <w:rFonts w:hint="eastAsia" w:ascii="仿宋_GB2312" w:eastAsia="仿宋_GB2312"/>
                <w:sz w:val="24"/>
                <w:szCs w:val="28"/>
              </w:rPr>
            </w:pPr>
            <w:r>
              <w:rPr>
                <w:rFonts w:hint="eastAsia" w:ascii="仿宋_GB2312" w:eastAsia="仿宋_GB2312"/>
                <w:sz w:val="24"/>
                <w:szCs w:val="28"/>
              </w:rPr>
              <w:t>频率范围：20Hz-20KHz</w:t>
            </w:r>
          </w:p>
          <w:p>
            <w:pPr>
              <w:jc w:val="left"/>
              <w:rPr>
                <w:rFonts w:hint="eastAsia" w:ascii="仿宋_GB2312" w:eastAsia="仿宋_GB2312"/>
                <w:sz w:val="24"/>
                <w:szCs w:val="28"/>
              </w:rPr>
            </w:pPr>
            <w:r>
              <w:rPr>
                <w:rFonts w:hint="eastAsia" w:ascii="仿宋_GB2312" w:eastAsia="仿宋_GB2312"/>
                <w:sz w:val="24"/>
                <w:szCs w:val="28"/>
              </w:rPr>
              <w:t>灵敏度：15mV/Pa</w:t>
            </w:r>
          </w:p>
          <w:p>
            <w:pPr>
              <w:jc w:val="left"/>
              <w:rPr>
                <w:rFonts w:hint="eastAsia" w:ascii="仿宋_GB2312" w:eastAsia="仿宋_GB2312"/>
                <w:sz w:val="24"/>
                <w:szCs w:val="28"/>
              </w:rPr>
            </w:pPr>
            <w:r>
              <w:rPr>
                <w:rFonts w:hint="eastAsia" w:ascii="仿宋_GB2312" w:eastAsia="仿宋_GB2312"/>
                <w:sz w:val="24"/>
                <w:szCs w:val="28"/>
              </w:rPr>
              <w:t>输出阻抗：50ohms</w:t>
            </w:r>
          </w:p>
          <w:p>
            <w:pPr>
              <w:jc w:val="left"/>
              <w:rPr>
                <w:rFonts w:hint="eastAsia" w:ascii="仿宋_GB2312" w:eastAsia="仿宋_GB2312"/>
                <w:sz w:val="24"/>
                <w:szCs w:val="28"/>
              </w:rPr>
            </w:pPr>
            <w:r>
              <w:rPr>
                <w:rFonts w:hint="eastAsia" w:ascii="仿宋_GB2312" w:eastAsia="仿宋_GB2312"/>
                <w:sz w:val="24"/>
                <w:szCs w:val="28"/>
              </w:rPr>
              <w:t>负载阻抗：1000ohms</w:t>
            </w:r>
          </w:p>
          <w:p>
            <w:pPr>
              <w:jc w:val="left"/>
              <w:rPr>
                <w:rFonts w:hint="eastAsia" w:ascii="仿宋_GB2312" w:eastAsia="仿宋_GB2312"/>
                <w:sz w:val="24"/>
                <w:szCs w:val="28"/>
              </w:rPr>
            </w:pPr>
            <w:r>
              <w:rPr>
                <w:rFonts w:hint="eastAsia" w:ascii="仿宋_GB2312" w:eastAsia="仿宋_GB2312"/>
                <w:sz w:val="24"/>
                <w:szCs w:val="28"/>
              </w:rPr>
              <w:t>灵敏度（CCIR 468-3）：25dB</w:t>
            </w:r>
          </w:p>
          <w:p>
            <w:pPr>
              <w:jc w:val="left"/>
              <w:rPr>
                <w:rFonts w:hint="eastAsia" w:ascii="仿宋_GB2312" w:eastAsia="仿宋_GB2312"/>
                <w:sz w:val="24"/>
                <w:szCs w:val="28"/>
              </w:rPr>
            </w:pPr>
            <w:r>
              <w:rPr>
                <w:rFonts w:hint="eastAsia" w:ascii="仿宋_GB2312" w:eastAsia="仿宋_GB2312"/>
                <w:sz w:val="24"/>
                <w:szCs w:val="28"/>
              </w:rPr>
              <w:t>灵敏度（DIN/IEC 651）：16dB-A</w:t>
            </w:r>
          </w:p>
          <w:p>
            <w:pPr>
              <w:jc w:val="left"/>
              <w:rPr>
                <w:rFonts w:hint="eastAsia" w:ascii="仿宋_GB2312" w:eastAsia="仿宋_GB2312"/>
                <w:sz w:val="24"/>
                <w:szCs w:val="28"/>
              </w:rPr>
            </w:pPr>
            <w:r>
              <w:rPr>
                <w:rFonts w:hint="eastAsia" w:ascii="仿宋_GB2312" w:eastAsia="仿宋_GB2312"/>
                <w:sz w:val="24"/>
                <w:szCs w:val="28"/>
              </w:rPr>
              <w:t>信噪比（CCIR 468-3）：69dB</w:t>
            </w:r>
          </w:p>
          <w:p>
            <w:pPr>
              <w:jc w:val="left"/>
              <w:rPr>
                <w:rFonts w:hint="eastAsia" w:ascii="仿宋_GB2312" w:eastAsia="仿宋_GB2312"/>
                <w:sz w:val="24"/>
                <w:szCs w:val="28"/>
              </w:rPr>
            </w:pPr>
            <w:r>
              <w:rPr>
                <w:rFonts w:hint="eastAsia" w:ascii="仿宋_GB2312" w:eastAsia="仿宋_GB2312"/>
                <w:sz w:val="24"/>
                <w:szCs w:val="28"/>
              </w:rPr>
              <w:t>信噪比（DIN/IEC 651）：78dB</w:t>
            </w:r>
          </w:p>
          <w:p>
            <w:pPr>
              <w:jc w:val="left"/>
              <w:rPr>
                <w:rFonts w:hint="eastAsia" w:ascii="仿宋_GB2312" w:eastAsia="仿宋_GB2312"/>
                <w:sz w:val="24"/>
                <w:szCs w:val="28"/>
              </w:rPr>
            </w:pPr>
            <w:r>
              <w:rPr>
                <w:rFonts w:hint="eastAsia" w:ascii="仿宋_GB2312" w:eastAsia="仿宋_GB2312"/>
                <w:sz w:val="24"/>
                <w:szCs w:val="28"/>
              </w:rPr>
              <w:t>较大声压级（THD等于0.5%）：138dB</w:t>
            </w:r>
          </w:p>
          <w:p>
            <w:pPr>
              <w:jc w:val="left"/>
              <w:rPr>
                <w:rFonts w:hint="eastAsia" w:ascii="仿宋_GB2312" w:eastAsia="仿宋_GB2312"/>
                <w:sz w:val="24"/>
                <w:szCs w:val="28"/>
              </w:rPr>
            </w:pPr>
            <w:r>
              <w:rPr>
                <w:rFonts w:hint="eastAsia" w:ascii="仿宋_GB2312" w:eastAsia="仿宋_GB2312"/>
                <w:sz w:val="24"/>
                <w:szCs w:val="28"/>
              </w:rPr>
              <w:t>较大输出电压：10dBu</w:t>
            </w:r>
          </w:p>
          <w:p>
            <w:pPr>
              <w:jc w:val="left"/>
              <w:rPr>
                <w:rFonts w:hint="eastAsia" w:ascii="仿宋_GB2312" w:eastAsia="仿宋_GB2312"/>
                <w:sz w:val="24"/>
                <w:szCs w:val="28"/>
              </w:rPr>
            </w:pPr>
            <w:r>
              <w:rPr>
                <w:rFonts w:hint="eastAsia" w:ascii="仿宋_GB2312" w:eastAsia="仿宋_GB2312"/>
                <w:sz w:val="24"/>
                <w:szCs w:val="28"/>
              </w:rPr>
              <w:t>麦克风传感器动态范围：122dB</w:t>
            </w:r>
          </w:p>
          <w:p>
            <w:pPr>
              <w:jc w:val="left"/>
              <w:rPr>
                <w:rFonts w:hint="eastAsia" w:ascii="仿宋_GB2312" w:eastAsia="仿宋_GB2312"/>
                <w:sz w:val="24"/>
                <w:szCs w:val="28"/>
              </w:rPr>
            </w:pPr>
            <w:r>
              <w:rPr>
                <w:rFonts w:hint="eastAsia" w:ascii="仿宋_GB2312" w:eastAsia="仿宋_GB2312"/>
                <w:sz w:val="24"/>
                <w:szCs w:val="28"/>
              </w:rPr>
              <w:t>供应电压：48+4V</w:t>
            </w:r>
          </w:p>
          <w:p>
            <w:pPr>
              <w:jc w:val="left"/>
              <w:rPr>
                <w:rFonts w:hint="eastAsia" w:ascii="仿宋_GB2312" w:eastAsia="仿宋_GB2312"/>
                <w:sz w:val="24"/>
                <w:szCs w:val="28"/>
              </w:rPr>
            </w:pPr>
            <w:r>
              <w:rPr>
                <w:rFonts w:hint="eastAsia" w:ascii="仿宋_GB2312" w:eastAsia="仿宋_GB2312"/>
                <w:sz w:val="24"/>
                <w:szCs w:val="28"/>
              </w:rPr>
              <w:t>电流：2.3mA</w:t>
            </w:r>
          </w:p>
          <w:p>
            <w:pPr>
              <w:jc w:val="left"/>
              <w:rPr>
                <w:rFonts w:hint="eastAsia" w:ascii="仿宋_GB2312" w:eastAsia="仿宋_GB2312"/>
                <w:sz w:val="24"/>
                <w:szCs w:val="28"/>
              </w:rPr>
            </w:pPr>
            <w:r>
              <w:rPr>
                <w:rFonts w:hint="eastAsia" w:ascii="仿宋_GB2312" w:eastAsia="仿宋_GB2312"/>
                <w:sz w:val="24"/>
                <w:szCs w:val="28"/>
              </w:rPr>
              <w:t>尺寸：22mm x 107mm</w:t>
            </w:r>
          </w:p>
          <w:p>
            <w:pPr>
              <w:jc w:val="left"/>
              <w:rPr>
                <w:rFonts w:hint="eastAsia" w:ascii="仿宋_GB2312" w:eastAsia="仿宋_GB2312"/>
                <w:sz w:val="24"/>
                <w:szCs w:val="28"/>
              </w:rPr>
            </w:pPr>
            <w:r>
              <w:rPr>
                <w:rFonts w:hint="eastAsia" w:ascii="仿宋_GB2312" w:eastAsia="仿宋_GB2312"/>
                <w:sz w:val="24"/>
                <w:szCs w:val="28"/>
              </w:rPr>
              <w:t>重量：80g</w:t>
            </w:r>
          </w:p>
        </w:tc>
        <w:tc>
          <w:tcPr>
            <w:tcW w:w="733"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2</w:t>
            </w:r>
            <w:r>
              <w:rPr>
                <w:rFonts w:hint="eastAsia" w:ascii="仿宋_GB2312" w:eastAsia="仿宋_GB2312"/>
                <w:sz w:val="24"/>
                <w:szCs w:val="28"/>
                <w:lang w:val="en-US" w:eastAsia="zh-CN"/>
              </w:rPr>
              <w:t>支</w:t>
            </w:r>
          </w:p>
        </w:tc>
        <w:tc>
          <w:tcPr>
            <w:tcW w:w="1221" w:type="dxa"/>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4"/>
              </w:numPr>
              <w:ind w:firstLineChars="0"/>
              <w:jc w:val="center"/>
              <w:rPr>
                <w:rFonts w:hint="eastAsia" w:ascii="仿宋_GB2312" w:eastAsia="仿宋_GB2312"/>
                <w:sz w:val="24"/>
                <w:szCs w:val="28"/>
              </w:rPr>
            </w:pPr>
          </w:p>
        </w:tc>
        <w:tc>
          <w:tcPr>
            <w:tcW w:w="1906"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运算服务器音频接口</w:t>
            </w:r>
          </w:p>
        </w:tc>
        <w:tc>
          <w:tcPr>
            <w:tcW w:w="4571" w:type="dxa"/>
            <w:vAlign w:val="center"/>
          </w:tcPr>
          <w:p>
            <w:pPr>
              <w:jc w:val="left"/>
              <w:rPr>
                <w:rFonts w:hint="eastAsia" w:ascii="仿宋_GB2312" w:eastAsia="仿宋_GB2312"/>
                <w:sz w:val="24"/>
                <w:szCs w:val="28"/>
              </w:rPr>
            </w:pPr>
            <w:r>
              <w:rPr>
                <w:rFonts w:hint="eastAsia" w:ascii="仿宋_GB2312" w:eastAsia="仿宋_GB2312"/>
                <w:sz w:val="24"/>
                <w:szCs w:val="28"/>
              </w:rPr>
              <w:t>8通道话放/线路输入</w:t>
            </w:r>
          </w:p>
          <w:p>
            <w:pPr>
              <w:jc w:val="left"/>
              <w:rPr>
                <w:rFonts w:hint="eastAsia" w:ascii="仿宋_GB2312" w:eastAsia="仿宋_GB2312"/>
                <w:sz w:val="24"/>
                <w:szCs w:val="28"/>
              </w:rPr>
            </w:pPr>
            <w:r>
              <w:rPr>
                <w:rFonts w:hint="eastAsia" w:ascii="仿宋_GB2312" w:eastAsia="仿宋_GB2312"/>
                <w:sz w:val="24"/>
                <w:szCs w:val="28"/>
              </w:rPr>
              <w:t>8通道线路输出</w:t>
            </w:r>
          </w:p>
          <w:p>
            <w:pPr>
              <w:jc w:val="left"/>
              <w:rPr>
                <w:rFonts w:hint="eastAsia" w:ascii="仿宋_GB2312" w:eastAsia="仿宋_GB2312"/>
                <w:sz w:val="24"/>
                <w:szCs w:val="28"/>
              </w:rPr>
            </w:pPr>
            <w:r>
              <w:rPr>
                <w:rFonts w:hint="eastAsia" w:ascii="仿宋_GB2312" w:eastAsia="仿宋_GB2312"/>
                <w:sz w:val="24"/>
                <w:szCs w:val="28"/>
              </w:rPr>
              <w:t>2通道AES信号输入/输出，2通道S/PDIF输入/输出切换</w:t>
            </w:r>
          </w:p>
          <w:p>
            <w:pPr>
              <w:jc w:val="left"/>
              <w:rPr>
                <w:rFonts w:hint="eastAsia" w:ascii="仿宋_GB2312" w:eastAsia="仿宋_GB2312"/>
                <w:sz w:val="24"/>
                <w:szCs w:val="28"/>
              </w:rPr>
            </w:pPr>
            <w:r>
              <w:rPr>
                <w:rFonts w:hint="eastAsia" w:ascii="仿宋_GB2312" w:eastAsia="仿宋_GB2312"/>
                <w:sz w:val="24"/>
                <w:szCs w:val="28"/>
              </w:rPr>
              <w:t>2个耳机输出</w:t>
            </w:r>
          </w:p>
          <w:p>
            <w:pPr>
              <w:jc w:val="left"/>
              <w:rPr>
                <w:rFonts w:hint="eastAsia" w:ascii="仿宋_GB2312" w:eastAsia="仿宋_GB2312"/>
                <w:sz w:val="24"/>
                <w:szCs w:val="28"/>
              </w:rPr>
            </w:pPr>
            <w:r>
              <w:rPr>
                <w:rFonts w:hint="eastAsia" w:ascii="仿宋_GB2312" w:eastAsia="仿宋_GB2312"/>
                <w:sz w:val="24"/>
                <w:szCs w:val="28"/>
              </w:rPr>
              <w:t>字时钟I/O</w:t>
            </w:r>
          </w:p>
          <w:p>
            <w:pPr>
              <w:jc w:val="left"/>
              <w:rPr>
                <w:rFonts w:hint="eastAsia" w:ascii="仿宋_GB2312" w:eastAsia="仿宋_GB2312"/>
                <w:sz w:val="24"/>
                <w:szCs w:val="28"/>
              </w:rPr>
            </w:pPr>
            <w:r>
              <w:rPr>
                <w:rFonts w:hint="eastAsia" w:ascii="仿宋_GB2312" w:eastAsia="仿宋_GB2312"/>
                <w:sz w:val="24"/>
                <w:szCs w:val="28"/>
              </w:rPr>
              <w:t>支持采样频率：44.1 / 48 / 88.2 / 96 / 176.4 / 192kHz</w:t>
            </w:r>
          </w:p>
          <w:p>
            <w:pPr>
              <w:jc w:val="left"/>
              <w:rPr>
                <w:rFonts w:hint="eastAsia" w:ascii="仿宋_GB2312" w:eastAsia="仿宋_GB2312"/>
                <w:sz w:val="24"/>
                <w:szCs w:val="28"/>
              </w:rPr>
            </w:pPr>
            <w:r>
              <w:rPr>
                <w:rFonts w:hint="eastAsia" w:ascii="仿宋_GB2312" w:eastAsia="仿宋_GB2312"/>
                <w:sz w:val="24"/>
                <w:szCs w:val="28"/>
              </w:rPr>
              <w:t>频率响应：20Hz - 20kHz（±0.5dB）</w:t>
            </w:r>
          </w:p>
          <w:p>
            <w:pPr>
              <w:jc w:val="left"/>
              <w:rPr>
                <w:rFonts w:hint="eastAsia" w:ascii="仿宋_GB2312" w:eastAsia="仿宋_GB2312"/>
                <w:sz w:val="24"/>
                <w:szCs w:val="28"/>
              </w:rPr>
            </w:pPr>
            <w:r>
              <w:rPr>
                <w:rFonts w:hint="eastAsia" w:ascii="仿宋_GB2312" w:eastAsia="仿宋_GB2312"/>
                <w:sz w:val="24"/>
                <w:szCs w:val="28"/>
              </w:rPr>
              <w:t>谐波失真：&lt;0.01%@-10dB输出，1kHz</w:t>
            </w:r>
          </w:p>
          <w:p>
            <w:pPr>
              <w:jc w:val="left"/>
              <w:rPr>
                <w:rFonts w:hint="eastAsia" w:ascii="仿宋_GB2312" w:eastAsia="仿宋_GB2312"/>
                <w:sz w:val="24"/>
                <w:szCs w:val="28"/>
              </w:rPr>
            </w:pPr>
            <w:r>
              <w:rPr>
                <w:rFonts w:hint="eastAsia" w:ascii="仿宋_GB2312" w:eastAsia="仿宋_GB2312"/>
                <w:sz w:val="24"/>
                <w:szCs w:val="28"/>
              </w:rPr>
              <w:t>多合一SoundGrid音频接口</w:t>
            </w:r>
          </w:p>
          <w:p>
            <w:pPr>
              <w:jc w:val="left"/>
              <w:rPr>
                <w:rFonts w:hint="eastAsia" w:ascii="仿宋_GB2312" w:eastAsia="仿宋_GB2312"/>
                <w:sz w:val="24"/>
                <w:szCs w:val="28"/>
              </w:rPr>
            </w:pPr>
            <w:r>
              <w:rPr>
                <w:rFonts w:hint="eastAsia" w:ascii="仿宋_GB2312" w:eastAsia="仿宋_GB2312"/>
                <w:sz w:val="24"/>
                <w:szCs w:val="28"/>
              </w:rPr>
              <w:t>8个高质量组合式麦克风/线路前置放大器</w:t>
            </w:r>
          </w:p>
          <w:p>
            <w:pPr>
              <w:jc w:val="left"/>
              <w:rPr>
                <w:rFonts w:hint="eastAsia" w:ascii="仿宋_GB2312" w:eastAsia="仿宋_GB2312"/>
                <w:sz w:val="24"/>
                <w:szCs w:val="28"/>
              </w:rPr>
            </w:pPr>
            <w:r>
              <w:rPr>
                <w:rFonts w:hint="eastAsia" w:ascii="仿宋_GB2312" w:eastAsia="仿宋_GB2312"/>
                <w:sz w:val="24"/>
                <w:szCs w:val="28"/>
              </w:rPr>
              <w:t xml:space="preserve"> 1/4英寸线路输出（备用DB-25连接）</w:t>
            </w:r>
          </w:p>
          <w:p>
            <w:pPr>
              <w:jc w:val="left"/>
              <w:rPr>
                <w:rFonts w:hint="eastAsia" w:ascii="仿宋_GB2312" w:eastAsia="仿宋_GB2312"/>
                <w:sz w:val="24"/>
                <w:szCs w:val="28"/>
              </w:rPr>
            </w:pPr>
            <w:r>
              <w:rPr>
                <w:rFonts w:hint="eastAsia" w:ascii="仿宋_GB2312" w:eastAsia="仿宋_GB2312"/>
                <w:sz w:val="24"/>
                <w:szCs w:val="28"/>
              </w:rPr>
              <w:t>其他连接包括5针DIN MIDI，USB，AES I / O，字时钟和S / PDIF</w:t>
            </w:r>
          </w:p>
          <w:p>
            <w:pPr>
              <w:jc w:val="left"/>
              <w:rPr>
                <w:rFonts w:hint="eastAsia" w:ascii="仿宋_GB2312" w:eastAsia="仿宋_GB2312"/>
                <w:sz w:val="24"/>
                <w:szCs w:val="28"/>
              </w:rPr>
            </w:pPr>
            <w:r>
              <w:rPr>
                <w:rFonts w:hint="eastAsia" w:ascii="仿宋_GB2312" w:eastAsia="仿宋_GB2312"/>
                <w:sz w:val="24"/>
                <w:szCs w:val="28"/>
                <w:lang w:eastAsia="zh-CN"/>
              </w:rPr>
              <w:t>配备</w:t>
            </w:r>
            <w:r>
              <w:rPr>
                <w:rFonts w:hint="eastAsia" w:ascii="仿宋_GB2312" w:eastAsia="仿宋_GB2312"/>
                <w:sz w:val="24"/>
                <w:szCs w:val="28"/>
                <w:lang w:val="en-US" w:eastAsia="zh-CN"/>
              </w:rPr>
              <w:t>DB25信号分配器。</w:t>
            </w:r>
          </w:p>
        </w:tc>
        <w:tc>
          <w:tcPr>
            <w:tcW w:w="733"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1</w:t>
            </w:r>
            <w:r>
              <w:rPr>
                <w:rFonts w:hint="eastAsia" w:ascii="仿宋_GB2312" w:eastAsia="仿宋_GB2312"/>
                <w:sz w:val="24"/>
                <w:szCs w:val="28"/>
                <w:lang w:val="en-US" w:eastAsia="zh-CN"/>
              </w:rPr>
              <w:t>台</w:t>
            </w:r>
          </w:p>
        </w:tc>
        <w:tc>
          <w:tcPr>
            <w:tcW w:w="1221" w:type="dxa"/>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p>
        </w:tc>
        <w:tc>
          <w:tcPr>
            <w:tcW w:w="859" w:type="dxa"/>
            <w:vAlign w:val="center"/>
          </w:tcPr>
          <w:p>
            <w:pPr>
              <w:keepNext w:val="0"/>
              <w:keepLines w:val="0"/>
              <w:widowControl/>
              <w:suppressLineNumbers w:val="0"/>
              <w:jc w:val="center"/>
              <w:textAlignment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4"/>
              </w:numPr>
              <w:ind w:firstLineChars="0"/>
              <w:jc w:val="center"/>
              <w:rPr>
                <w:rFonts w:hint="eastAsia" w:ascii="仿宋_GB2312" w:eastAsia="仿宋_GB2312"/>
                <w:sz w:val="24"/>
                <w:szCs w:val="28"/>
              </w:rPr>
            </w:pPr>
          </w:p>
        </w:tc>
        <w:tc>
          <w:tcPr>
            <w:tcW w:w="1906"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双通道话放话筒放大器</w:t>
            </w:r>
          </w:p>
        </w:tc>
        <w:tc>
          <w:tcPr>
            <w:tcW w:w="4571" w:type="dxa"/>
            <w:vAlign w:val="center"/>
          </w:tcPr>
          <w:p>
            <w:pPr>
              <w:jc w:val="left"/>
              <w:rPr>
                <w:rFonts w:hint="eastAsia" w:ascii="仿宋_GB2312" w:eastAsia="仿宋_GB2312"/>
                <w:sz w:val="24"/>
                <w:szCs w:val="28"/>
              </w:rPr>
            </w:pPr>
            <w:r>
              <w:rPr>
                <w:rFonts w:hint="eastAsia" w:ascii="仿宋_GB2312" w:eastAsia="仿宋_GB2312"/>
                <w:sz w:val="24"/>
                <w:szCs w:val="28"/>
              </w:rPr>
              <w:t xml:space="preserve">输入阻抗： </w:t>
            </w:r>
          </w:p>
          <w:p>
            <w:pPr>
              <w:jc w:val="left"/>
              <w:rPr>
                <w:rFonts w:hint="eastAsia" w:ascii="仿宋_GB2312" w:eastAsia="仿宋_GB2312"/>
                <w:sz w:val="24"/>
                <w:szCs w:val="28"/>
              </w:rPr>
            </w:pPr>
            <w:r>
              <w:rPr>
                <w:rFonts w:hint="eastAsia" w:ascii="仿宋_GB2312" w:eastAsia="仿宋_GB2312"/>
                <w:sz w:val="24"/>
                <w:szCs w:val="28"/>
              </w:rPr>
              <w:t xml:space="preserve">话筒   300Ω 或1200Ω </w:t>
            </w:r>
          </w:p>
          <w:p>
            <w:pPr>
              <w:jc w:val="left"/>
              <w:rPr>
                <w:rFonts w:hint="eastAsia" w:ascii="仿宋_GB2312" w:eastAsia="仿宋_GB2312"/>
                <w:sz w:val="24"/>
                <w:szCs w:val="28"/>
              </w:rPr>
            </w:pPr>
            <w:r>
              <w:rPr>
                <w:rFonts w:hint="eastAsia" w:ascii="仿宋_GB2312" w:eastAsia="仿宋_GB2312"/>
                <w:sz w:val="24"/>
                <w:szCs w:val="28"/>
              </w:rPr>
              <w:t>线路   20kΩ</w:t>
            </w:r>
          </w:p>
          <w:p>
            <w:pPr>
              <w:jc w:val="left"/>
              <w:rPr>
                <w:rFonts w:hint="eastAsia" w:ascii="仿宋_GB2312" w:eastAsia="仿宋_GB2312"/>
                <w:sz w:val="24"/>
                <w:szCs w:val="28"/>
              </w:rPr>
            </w:pPr>
            <w:r>
              <w:rPr>
                <w:rFonts w:hint="eastAsia" w:ascii="仿宋_GB2312" w:eastAsia="仿宋_GB2312"/>
                <w:sz w:val="24"/>
                <w:szCs w:val="28"/>
              </w:rPr>
              <w:t xml:space="preserve">频率响应： </w:t>
            </w:r>
          </w:p>
          <w:p>
            <w:pPr>
              <w:jc w:val="left"/>
              <w:rPr>
                <w:rFonts w:hint="eastAsia" w:ascii="仿宋_GB2312" w:eastAsia="仿宋_GB2312"/>
                <w:sz w:val="24"/>
                <w:szCs w:val="28"/>
              </w:rPr>
            </w:pPr>
            <w:r>
              <w:rPr>
                <w:rFonts w:hint="eastAsia" w:ascii="仿宋_GB2312" w:eastAsia="仿宋_GB2312"/>
                <w:sz w:val="24"/>
                <w:szCs w:val="28"/>
              </w:rPr>
              <w:t xml:space="preserve">60dB 增益 into 600    20Hz_20KHz 0.5dB </w:t>
            </w:r>
          </w:p>
          <w:p>
            <w:pPr>
              <w:jc w:val="left"/>
              <w:rPr>
                <w:rFonts w:hint="eastAsia" w:ascii="仿宋_GB2312" w:eastAsia="仿宋_GB2312"/>
                <w:sz w:val="24"/>
                <w:szCs w:val="28"/>
              </w:rPr>
            </w:pPr>
            <w:r>
              <w:rPr>
                <w:rFonts w:hint="eastAsia" w:ascii="仿宋_GB2312" w:eastAsia="仿宋_GB2312"/>
                <w:sz w:val="24"/>
                <w:szCs w:val="28"/>
              </w:rPr>
              <w:t>60dB 增益 into 600    20Hz_40KHz 3dB</w:t>
            </w:r>
          </w:p>
          <w:p>
            <w:pPr>
              <w:jc w:val="left"/>
              <w:rPr>
                <w:rFonts w:hint="eastAsia" w:ascii="仿宋_GB2312" w:eastAsia="仿宋_GB2312"/>
                <w:sz w:val="24"/>
                <w:szCs w:val="28"/>
              </w:rPr>
            </w:pPr>
            <w:r>
              <w:rPr>
                <w:rFonts w:hint="eastAsia" w:ascii="仿宋_GB2312" w:eastAsia="仿宋_GB2312"/>
                <w:sz w:val="24"/>
                <w:szCs w:val="28"/>
              </w:rPr>
              <w:t xml:space="preserve">等效输入噪声：话筒 60dB增益  ＜-125dB </w:t>
            </w:r>
          </w:p>
          <w:p>
            <w:pPr>
              <w:jc w:val="left"/>
              <w:rPr>
                <w:rFonts w:hint="eastAsia" w:ascii="仿宋_GB2312" w:eastAsia="仿宋_GB2312"/>
                <w:sz w:val="24"/>
                <w:szCs w:val="28"/>
              </w:rPr>
            </w:pPr>
            <w:r>
              <w:rPr>
                <w:rFonts w:hint="eastAsia" w:ascii="仿宋_GB2312" w:eastAsia="仿宋_GB2312"/>
                <w:sz w:val="24"/>
                <w:szCs w:val="28"/>
              </w:rPr>
              <w:t>总谐波失真：+20dBu into 600  ＜0.07%</w:t>
            </w:r>
          </w:p>
        </w:tc>
        <w:tc>
          <w:tcPr>
            <w:tcW w:w="733"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1</w:t>
            </w:r>
            <w:r>
              <w:rPr>
                <w:rFonts w:hint="eastAsia" w:ascii="仿宋_GB2312" w:eastAsia="仿宋_GB2312"/>
                <w:sz w:val="24"/>
                <w:szCs w:val="28"/>
                <w:lang w:val="en-US" w:eastAsia="zh-CN"/>
              </w:rPr>
              <w:t>台</w:t>
            </w:r>
          </w:p>
        </w:tc>
        <w:tc>
          <w:tcPr>
            <w:tcW w:w="1221" w:type="dxa"/>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p>
        </w:tc>
        <w:tc>
          <w:tcPr>
            <w:tcW w:w="859" w:type="dxa"/>
            <w:vAlign w:val="center"/>
          </w:tcPr>
          <w:p>
            <w:pPr>
              <w:keepNext w:val="0"/>
              <w:keepLines w:val="0"/>
              <w:widowControl/>
              <w:suppressLineNumbers w:val="0"/>
              <w:jc w:val="center"/>
              <w:textAlignment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4"/>
              </w:numPr>
              <w:ind w:firstLineChars="0"/>
              <w:jc w:val="center"/>
              <w:rPr>
                <w:rFonts w:hint="eastAsia" w:ascii="仿宋_GB2312" w:eastAsia="仿宋_GB2312"/>
                <w:sz w:val="24"/>
                <w:szCs w:val="28"/>
              </w:rPr>
            </w:pPr>
          </w:p>
        </w:tc>
        <w:tc>
          <w:tcPr>
            <w:tcW w:w="1906"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监听音箱</w:t>
            </w:r>
          </w:p>
        </w:tc>
        <w:tc>
          <w:tcPr>
            <w:tcW w:w="4571" w:type="dxa"/>
            <w:vAlign w:val="center"/>
          </w:tcPr>
          <w:p>
            <w:pPr>
              <w:jc w:val="left"/>
              <w:rPr>
                <w:rFonts w:hint="eastAsia" w:ascii="仿宋_GB2312" w:eastAsia="仿宋_GB2312"/>
                <w:sz w:val="24"/>
                <w:szCs w:val="28"/>
              </w:rPr>
            </w:pPr>
            <w:r>
              <w:rPr>
                <w:rFonts w:hint="eastAsia" w:ascii="仿宋_GB2312" w:eastAsia="仿宋_GB2312"/>
                <w:sz w:val="24"/>
                <w:szCs w:val="28"/>
              </w:rPr>
              <w:t>二分频、双功放有源音箱（</w:t>
            </w:r>
            <w:r>
              <w:rPr>
                <w:rFonts w:hint="eastAsia" w:ascii="仿宋_GB2312" w:eastAsia="仿宋_GB2312"/>
                <w:sz w:val="24"/>
                <w:szCs w:val="28"/>
                <w:lang w:val="en-US" w:eastAsia="zh-CN"/>
              </w:rPr>
              <w:t>8</w:t>
            </w:r>
            <w:r>
              <w:rPr>
                <w:rFonts w:hint="eastAsia" w:ascii="仿宋_GB2312" w:eastAsia="仿宋_GB2312"/>
                <w:sz w:val="24"/>
                <w:szCs w:val="28"/>
              </w:rPr>
              <w:t>寸）</w:t>
            </w:r>
          </w:p>
          <w:p>
            <w:pPr>
              <w:jc w:val="left"/>
              <w:rPr>
                <w:rFonts w:hint="eastAsia" w:ascii="仿宋_GB2312" w:eastAsia="仿宋_GB2312"/>
                <w:sz w:val="24"/>
                <w:szCs w:val="28"/>
                <w:lang w:eastAsia="zh-CN"/>
              </w:rPr>
            </w:pPr>
            <w:r>
              <w:rPr>
                <w:rFonts w:hint="eastAsia" w:ascii="仿宋_GB2312" w:eastAsia="仿宋_GB2312"/>
                <w:sz w:val="24"/>
                <w:szCs w:val="28"/>
              </w:rPr>
              <w:t>适用于不同的安装固定方式</w:t>
            </w:r>
            <w:r>
              <w:rPr>
                <w:rFonts w:hint="eastAsia" w:ascii="仿宋_GB2312" w:eastAsia="仿宋_GB2312"/>
                <w:sz w:val="24"/>
                <w:szCs w:val="28"/>
                <w:lang w:eastAsia="zh-CN"/>
              </w:rPr>
              <w:t>，</w:t>
            </w:r>
            <w:r>
              <w:rPr>
                <w:rFonts w:hint="eastAsia" w:ascii="仿宋_GB2312" w:eastAsia="仿宋_GB2312"/>
                <w:sz w:val="24"/>
                <w:szCs w:val="28"/>
              </w:rPr>
              <w:t>箱体隔离支座</w:t>
            </w:r>
            <w:r>
              <w:rPr>
                <w:rFonts w:hint="eastAsia" w:ascii="仿宋_GB2312" w:eastAsia="仿宋_GB2312"/>
                <w:sz w:val="24"/>
                <w:szCs w:val="28"/>
                <w:lang w:eastAsia="zh-CN"/>
              </w:rPr>
              <w:t>。</w:t>
            </w:r>
          </w:p>
          <w:p>
            <w:pPr>
              <w:jc w:val="left"/>
              <w:rPr>
                <w:rFonts w:hint="eastAsia" w:ascii="仿宋_GB2312" w:eastAsia="仿宋_GB2312"/>
                <w:sz w:val="24"/>
                <w:szCs w:val="28"/>
              </w:rPr>
            </w:pPr>
            <w:r>
              <w:rPr>
                <w:rFonts w:hint="eastAsia" w:ascii="仿宋_GB2312" w:eastAsia="仿宋_GB2312"/>
                <w:sz w:val="24"/>
                <w:szCs w:val="28"/>
              </w:rPr>
              <w:t>最大声压级：105dB</w:t>
            </w:r>
          </w:p>
          <w:p>
            <w:pPr>
              <w:jc w:val="left"/>
              <w:rPr>
                <w:rFonts w:hint="eastAsia" w:ascii="仿宋_GB2312" w:eastAsia="仿宋_GB2312"/>
                <w:sz w:val="24"/>
                <w:szCs w:val="28"/>
              </w:rPr>
            </w:pPr>
            <w:r>
              <w:rPr>
                <w:rFonts w:hint="eastAsia" w:ascii="仿宋_GB2312" w:eastAsia="仿宋_GB2312"/>
                <w:sz w:val="24"/>
                <w:szCs w:val="28"/>
              </w:rPr>
              <w:t>频率响应：45Hz~21kHz(-3dB)</w:t>
            </w:r>
          </w:p>
          <w:p>
            <w:pPr>
              <w:jc w:val="left"/>
              <w:rPr>
                <w:rFonts w:hint="eastAsia" w:ascii="仿宋_GB2312" w:eastAsia="仿宋_GB2312"/>
                <w:sz w:val="24"/>
                <w:szCs w:val="28"/>
              </w:rPr>
            </w:pPr>
            <w:r>
              <w:rPr>
                <w:rFonts w:hint="eastAsia" w:ascii="仿宋_GB2312" w:eastAsia="仿宋_GB2312"/>
                <w:sz w:val="24"/>
                <w:szCs w:val="28"/>
              </w:rPr>
              <w:t>分频点：3kHz</w:t>
            </w:r>
          </w:p>
          <w:p>
            <w:pPr>
              <w:jc w:val="left"/>
              <w:rPr>
                <w:rFonts w:hint="eastAsia" w:ascii="仿宋_GB2312" w:eastAsia="仿宋_GB2312"/>
                <w:sz w:val="24"/>
                <w:szCs w:val="28"/>
              </w:rPr>
            </w:pPr>
            <w:r>
              <w:rPr>
                <w:rFonts w:hint="eastAsia" w:ascii="仿宋_GB2312" w:eastAsia="仿宋_GB2312"/>
                <w:sz w:val="24"/>
                <w:szCs w:val="28"/>
              </w:rPr>
              <w:t>单元：低音6.5"高音3/4"+DCW</w:t>
            </w:r>
          </w:p>
          <w:p>
            <w:pPr>
              <w:jc w:val="left"/>
              <w:rPr>
                <w:rFonts w:hint="eastAsia" w:ascii="仿宋_GB2312" w:eastAsia="仿宋_GB2312"/>
                <w:sz w:val="24"/>
                <w:szCs w:val="28"/>
              </w:rPr>
            </w:pPr>
            <w:r>
              <w:rPr>
                <w:rFonts w:hint="eastAsia" w:ascii="仿宋_GB2312" w:eastAsia="仿宋_GB2312"/>
                <w:sz w:val="24"/>
                <w:szCs w:val="28"/>
              </w:rPr>
              <w:t>功放：低音90W+高音90W</w:t>
            </w:r>
          </w:p>
          <w:p>
            <w:pPr>
              <w:jc w:val="left"/>
              <w:rPr>
                <w:rFonts w:hint="eastAsia" w:ascii="仿宋_GB2312" w:eastAsia="仿宋_GB2312"/>
                <w:sz w:val="24"/>
                <w:szCs w:val="28"/>
              </w:rPr>
            </w:pPr>
            <w:r>
              <w:rPr>
                <w:rFonts w:hint="eastAsia" w:ascii="仿宋_GB2312" w:eastAsia="仿宋_GB2312"/>
                <w:sz w:val="24"/>
                <w:szCs w:val="28"/>
              </w:rPr>
              <w:t>输入：XLRx1</w:t>
            </w:r>
          </w:p>
        </w:tc>
        <w:tc>
          <w:tcPr>
            <w:tcW w:w="733"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2</w:t>
            </w:r>
            <w:r>
              <w:rPr>
                <w:rFonts w:hint="eastAsia" w:ascii="仿宋_GB2312" w:eastAsia="仿宋_GB2312"/>
                <w:sz w:val="24"/>
                <w:szCs w:val="28"/>
                <w:lang w:val="en-US" w:eastAsia="zh-CN"/>
              </w:rPr>
              <w:t>只</w:t>
            </w:r>
          </w:p>
        </w:tc>
        <w:tc>
          <w:tcPr>
            <w:tcW w:w="1221" w:type="dxa"/>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p>
        </w:tc>
        <w:tc>
          <w:tcPr>
            <w:tcW w:w="859" w:type="dxa"/>
            <w:vAlign w:val="center"/>
          </w:tcPr>
          <w:p>
            <w:pPr>
              <w:keepNext w:val="0"/>
              <w:keepLines w:val="0"/>
              <w:widowControl/>
              <w:suppressLineNumbers w:val="0"/>
              <w:jc w:val="center"/>
              <w:textAlignment w:val="center"/>
              <w:rPr>
                <w:rFonts w:hint="default" w:ascii="仿宋_GB2312" w:eastAsia="仿宋_GB2312"/>
                <w:color w:val="FF000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4"/>
              </w:numPr>
              <w:ind w:firstLineChars="0"/>
              <w:jc w:val="center"/>
              <w:rPr>
                <w:rFonts w:hint="eastAsia" w:ascii="仿宋_GB2312" w:eastAsia="仿宋_GB2312"/>
                <w:sz w:val="24"/>
                <w:szCs w:val="28"/>
              </w:rPr>
            </w:pPr>
          </w:p>
        </w:tc>
        <w:tc>
          <w:tcPr>
            <w:tcW w:w="1906" w:type="dxa"/>
            <w:vAlign w:val="center"/>
          </w:tcPr>
          <w:p>
            <w:pPr>
              <w:jc w:val="center"/>
              <w:rPr>
                <w:rFonts w:hint="default" w:ascii="仿宋_GB2312" w:eastAsia="仿宋_GB2312"/>
                <w:sz w:val="24"/>
                <w:szCs w:val="28"/>
                <w:lang w:val="en-US" w:eastAsia="zh-CN"/>
              </w:rPr>
            </w:pPr>
            <w:r>
              <w:rPr>
                <w:rFonts w:hint="eastAsia" w:ascii="仿宋_GB2312" w:eastAsia="仿宋_GB2312"/>
                <w:sz w:val="24"/>
                <w:szCs w:val="28"/>
                <w:lang w:val="en-US" w:eastAsia="zh-CN"/>
              </w:rPr>
              <w:t>返送音箱</w:t>
            </w:r>
          </w:p>
        </w:tc>
        <w:tc>
          <w:tcPr>
            <w:tcW w:w="4571" w:type="dxa"/>
            <w:vAlign w:val="center"/>
          </w:tcPr>
          <w:p>
            <w:pPr>
              <w:jc w:val="left"/>
              <w:rPr>
                <w:rFonts w:hint="eastAsia" w:ascii="仿宋_GB2312" w:eastAsia="仿宋_GB2312"/>
                <w:sz w:val="24"/>
                <w:szCs w:val="28"/>
                <w:lang w:eastAsia="zh-CN"/>
              </w:rPr>
            </w:pPr>
            <w:r>
              <w:rPr>
                <w:rFonts w:hint="eastAsia" w:ascii="仿宋_GB2312" w:eastAsia="仿宋_GB2312"/>
                <w:sz w:val="24"/>
                <w:szCs w:val="28"/>
              </w:rPr>
              <w:t>覆盖角度</w:t>
            </w:r>
            <w:r>
              <w:rPr>
                <w:rFonts w:hint="eastAsia" w:ascii="仿宋_GB2312" w:eastAsia="仿宋_GB2312"/>
                <w:sz w:val="24"/>
                <w:szCs w:val="28"/>
                <w:lang w:eastAsia="zh-CN"/>
              </w:rPr>
              <w:t>：</w:t>
            </w:r>
            <w:r>
              <w:rPr>
                <w:rFonts w:hint="eastAsia" w:ascii="仿宋_GB2312" w:eastAsia="仿宋_GB2312"/>
                <w:sz w:val="24"/>
                <w:szCs w:val="28"/>
              </w:rPr>
              <w:t>90° x 50° nominal</w:t>
            </w:r>
            <w:r>
              <w:rPr>
                <w:rFonts w:hint="eastAsia" w:ascii="仿宋_GB2312" w:eastAsia="仿宋_GB2312"/>
                <w:sz w:val="24"/>
                <w:szCs w:val="28"/>
                <w:lang w:eastAsia="zh-CN"/>
              </w:rPr>
              <w:t>，最大声压机：</w:t>
            </w:r>
            <w:r>
              <w:rPr>
                <w:rFonts w:hint="eastAsia" w:ascii="仿宋_GB2312" w:eastAsia="仿宋_GB2312"/>
                <w:sz w:val="24"/>
                <w:szCs w:val="28"/>
              </w:rPr>
              <w:t>1 x JBL 2414H-C 25 mm (1 in)</w:t>
            </w:r>
            <w:r>
              <w:rPr>
                <w:rFonts w:hint="eastAsia" w:ascii="仿宋_GB2312" w:eastAsia="仿宋_GB2312"/>
                <w:sz w:val="24"/>
                <w:szCs w:val="28"/>
                <w:lang w:eastAsia="zh-CN"/>
              </w:rPr>
              <w:t>，</w:t>
            </w:r>
            <w:r>
              <w:rPr>
                <w:rFonts w:hint="eastAsia" w:ascii="仿宋_GB2312" w:eastAsia="仿宋_GB2312"/>
                <w:sz w:val="24"/>
                <w:szCs w:val="28"/>
              </w:rPr>
              <w:t>高音</w:t>
            </w:r>
            <w:r>
              <w:rPr>
                <w:rFonts w:hint="eastAsia" w:ascii="仿宋_GB2312" w:eastAsia="仿宋_GB2312"/>
                <w:sz w:val="24"/>
                <w:szCs w:val="28"/>
                <w:lang w:eastAsia="zh-CN"/>
              </w:rPr>
              <w:t>单体：</w:t>
            </w:r>
            <w:r>
              <w:rPr>
                <w:rFonts w:hint="eastAsia" w:ascii="仿宋_GB2312" w:eastAsia="仿宋_GB2312"/>
                <w:sz w:val="24"/>
                <w:szCs w:val="28"/>
              </w:rPr>
              <w:t>(-10 dB)50 Hz – 20 kHz</w:t>
            </w:r>
            <w:r>
              <w:rPr>
                <w:rFonts w:hint="eastAsia" w:ascii="仿宋_GB2312" w:eastAsia="仿宋_GB2312"/>
                <w:sz w:val="24"/>
                <w:szCs w:val="28"/>
                <w:lang w:eastAsia="zh-CN"/>
              </w:rPr>
              <w:t>，灵敏度：</w:t>
            </w:r>
            <w:r>
              <w:rPr>
                <w:rFonts w:hint="eastAsia" w:ascii="仿宋_GB2312" w:eastAsia="仿宋_GB2312"/>
                <w:sz w:val="24"/>
                <w:szCs w:val="28"/>
              </w:rPr>
              <w:t>95 dB SPL (1w@1m)</w:t>
            </w:r>
            <w:r>
              <w:rPr>
                <w:rFonts w:hint="eastAsia" w:ascii="仿宋_GB2312" w:eastAsia="仿宋_GB2312"/>
                <w:sz w:val="24"/>
                <w:szCs w:val="28"/>
                <w:lang w:eastAsia="zh-CN"/>
              </w:rPr>
              <w:t>，</w:t>
            </w:r>
            <w:r>
              <w:rPr>
                <w:rFonts w:hint="eastAsia" w:ascii="仿宋_GB2312" w:eastAsia="仿宋_GB2312"/>
                <w:sz w:val="24"/>
                <w:szCs w:val="28"/>
              </w:rPr>
              <w:t>(+3 dB)62 Hz – 19 kHz</w:t>
            </w:r>
          </w:p>
          <w:p>
            <w:pPr>
              <w:jc w:val="left"/>
              <w:rPr>
                <w:rFonts w:hint="eastAsia" w:ascii="仿宋_GB2312" w:eastAsia="宋体"/>
                <w:sz w:val="24"/>
                <w:szCs w:val="28"/>
                <w:lang w:eastAsia="zh-CN"/>
              </w:rPr>
            </w:pPr>
            <w:r>
              <w:rPr>
                <w:rFonts w:hint="eastAsia" w:ascii="仿宋_GB2312" w:eastAsia="仿宋_GB2312"/>
                <w:sz w:val="24"/>
                <w:szCs w:val="28"/>
                <w:lang w:eastAsia="zh-CN"/>
              </w:rPr>
              <w:t>阻抗：</w:t>
            </w:r>
            <w:r>
              <w:rPr>
                <w:rFonts w:hint="eastAsia" w:ascii="仿宋_GB2312" w:eastAsia="仿宋_GB2312"/>
                <w:sz w:val="24"/>
                <w:szCs w:val="28"/>
              </w:rPr>
              <w:t>8 ohms</w:t>
            </w:r>
          </w:p>
        </w:tc>
        <w:tc>
          <w:tcPr>
            <w:tcW w:w="733" w:type="dxa"/>
            <w:vAlign w:val="center"/>
          </w:tcPr>
          <w:p>
            <w:pPr>
              <w:jc w:val="center"/>
              <w:rPr>
                <w:rFonts w:hint="default" w:ascii="仿宋_GB2312" w:eastAsia="仿宋_GB2312"/>
                <w:sz w:val="24"/>
                <w:szCs w:val="28"/>
                <w:lang w:val="en-US" w:eastAsia="zh-CN"/>
              </w:rPr>
            </w:pPr>
            <w:r>
              <w:rPr>
                <w:rFonts w:hint="eastAsia" w:ascii="仿宋_GB2312" w:eastAsia="仿宋_GB2312"/>
                <w:sz w:val="24"/>
                <w:szCs w:val="28"/>
                <w:lang w:val="en-US" w:eastAsia="zh-CN"/>
              </w:rPr>
              <w:t>2只</w:t>
            </w:r>
          </w:p>
        </w:tc>
        <w:tc>
          <w:tcPr>
            <w:tcW w:w="1221" w:type="dxa"/>
            <w:vAlign w:val="center"/>
          </w:tcPr>
          <w:p>
            <w:pPr>
              <w:jc w:val="center"/>
              <w:rPr>
                <w:rFonts w:hint="default" w:ascii="仿宋_GB2312" w:eastAsia="仿宋_GB2312"/>
                <w:sz w:val="24"/>
                <w:szCs w:val="28"/>
                <w:lang w:val="en-US" w:eastAsia="zh-CN"/>
              </w:rPr>
            </w:pPr>
          </w:p>
        </w:tc>
        <w:tc>
          <w:tcPr>
            <w:tcW w:w="859" w:type="dxa"/>
            <w:vAlign w:val="center"/>
          </w:tcPr>
          <w:p>
            <w:pPr>
              <w:jc w:val="center"/>
              <w:rPr>
                <w:rFonts w:hint="default" w:ascii="仿宋_GB2312" w:eastAsia="仿宋_GB2312"/>
                <w:color w:val="FF000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4"/>
              </w:numPr>
              <w:ind w:firstLineChars="0"/>
              <w:jc w:val="center"/>
              <w:rPr>
                <w:rFonts w:hint="eastAsia" w:ascii="仿宋_GB2312" w:eastAsia="仿宋_GB2312"/>
                <w:sz w:val="24"/>
                <w:szCs w:val="28"/>
              </w:rPr>
            </w:pPr>
          </w:p>
        </w:tc>
        <w:tc>
          <w:tcPr>
            <w:tcW w:w="1906"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监听音箱校准套件</w:t>
            </w:r>
          </w:p>
        </w:tc>
        <w:tc>
          <w:tcPr>
            <w:tcW w:w="4571" w:type="dxa"/>
            <w:vAlign w:val="center"/>
          </w:tcPr>
          <w:p>
            <w:pPr>
              <w:jc w:val="left"/>
              <w:rPr>
                <w:rFonts w:hint="eastAsia" w:ascii="仿宋_GB2312" w:eastAsia="仿宋_GB2312"/>
                <w:sz w:val="24"/>
                <w:szCs w:val="28"/>
                <w:lang w:eastAsia="zh-CN"/>
              </w:rPr>
            </w:pPr>
            <w:r>
              <w:rPr>
                <w:rFonts w:hint="eastAsia" w:ascii="仿宋_GB2312" w:eastAsia="仿宋_GB2312"/>
                <w:sz w:val="24"/>
                <w:szCs w:val="28"/>
              </w:rPr>
              <w:t>支持任何品牌监听音箱系统</w:t>
            </w:r>
            <w:r>
              <w:rPr>
                <w:rFonts w:hint="eastAsia" w:ascii="仿宋_GB2312" w:eastAsia="仿宋_GB2312"/>
                <w:sz w:val="24"/>
                <w:szCs w:val="28"/>
                <w:lang w:eastAsia="zh-CN"/>
              </w:rPr>
              <w:t>，</w:t>
            </w:r>
            <w:r>
              <w:rPr>
                <w:rFonts w:hint="eastAsia" w:ascii="仿宋_GB2312" w:eastAsia="仿宋_GB2312"/>
                <w:sz w:val="24"/>
                <w:szCs w:val="28"/>
              </w:rPr>
              <w:t>支持超过200个型号监听耳机</w:t>
            </w:r>
            <w:r>
              <w:rPr>
                <w:rFonts w:hint="eastAsia" w:ascii="仿宋_GB2312" w:eastAsia="仿宋_GB2312"/>
                <w:sz w:val="24"/>
                <w:szCs w:val="28"/>
                <w:lang w:eastAsia="zh-CN"/>
              </w:rPr>
              <w:t>，</w:t>
            </w:r>
            <w:r>
              <w:rPr>
                <w:rFonts w:hint="eastAsia" w:ascii="仿宋_GB2312" w:eastAsia="仿宋_GB2312"/>
                <w:sz w:val="24"/>
                <w:szCs w:val="28"/>
              </w:rPr>
              <w:t>超过35个音频信号采集点</w:t>
            </w:r>
            <w:r>
              <w:rPr>
                <w:rFonts w:hint="eastAsia" w:ascii="仿宋_GB2312" w:eastAsia="仿宋_GB2312"/>
                <w:sz w:val="24"/>
                <w:szCs w:val="28"/>
                <w:lang w:eastAsia="zh-CN"/>
              </w:rPr>
              <w:t>，</w:t>
            </w:r>
            <w:r>
              <w:rPr>
                <w:rFonts w:hint="eastAsia" w:ascii="仿宋_GB2312" w:eastAsia="仿宋_GB2312"/>
                <w:sz w:val="24"/>
                <w:szCs w:val="28"/>
              </w:rPr>
              <w:t>原装高性能频响测试话筒，带有单只话筒的校准文件</w:t>
            </w:r>
            <w:r>
              <w:rPr>
                <w:rFonts w:hint="eastAsia" w:ascii="仿宋_GB2312" w:eastAsia="仿宋_GB2312"/>
                <w:sz w:val="24"/>
                <w:szCs w:val="28"/>
                <w:lang w:eastAsia="zh-CN"/>
              </w:rPr>
              <w:t>。</w:t>
            </w:r>
            <w:r>
              <w:rPr>
                <w:rFonts w:hint="eastAsia" w:ascii="仿宋_GB2312" w:eastAsia="仿宋_GB2312"/>
                <w:sz w:val="24"/>
                <w:szCs w:val="28"/>
              </w:rPr>
              <w:t>支持系统层自动运行支持音频工作站插件运行</w:t>
            </w:r>
            <w:r>
              <w:rPr>
                <w:rFonts w:hint="eastAsia" w:ascii="仿宋_GB2312" w:eastAsia="仿宋_GB2312"/>
                <w:sz w:val="24"/>
                <w:szCs w:val="28"/>
                <w:lang w:eastAsia="zh-CN"/>
              </w:rPr>
              <w:t>，</w:t>
            </w:r>
            <w:r>
              <w:rPr>
                <w:rFonts w:hint="eastAsia" w:ascii="仿宋_GB2312" w:eastAsia="仿宋_GB2312"/>
                <w:sz w:val="24"/>
                <w:szCs w:val="28"/>
              </w:rPr>
              <w:t>支持Windows及Mac操作系统</w:t>
            </w:r>
            <w:r>
              <w:rPr>
                <w:rFonts w:hint="eastAsia" w:ascii="仿宋_GB2312" w:eastAsia="仿宋_GB2312"/>
                <w:sz w:val="24"/>
                <w:szCs w:val="28"/>
                <w:lang w:eastAsia="zh-CN"/>
              </w:rPr>
              <w:t>。</w:t>
            </w:r>
          </w:p>
        </w:tc>
        <w:tc>
          <w:tcPr>
            <w:tcW w:w="733"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1</w:t>
            </w:r>
            <w:r>
              <w:rPr>
                <w:rFonts w:hint="eastAsia" w:ascii="仿宋_GB2312" w:eastAsia="仿宋_GB2312"/>
                <w:sz w:val="24"/>
                <w:szCs w:val="28"/>
                <w:lang w:val="en-US" w:eastAsia="zh-CN"/>
              </w:rPr>
              <w:t>套</w:t>
            </w:r>
          </w:p>
        </w:tc>
        <w:tc>
          <w:tcPr>
            <w:tcW w:w="1221"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4"/>
                <w:szCs w:val="24"/>
                <w:u w:val="none"/>
                <w:lang w:val="en-US" w:eastAsia="zh-CN" w:bidi="ar-SA"/>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4"/>
              </w:numPr>
              <w:ind w:firstLineChars="0"/>
              <w:jc w:val="center"/>
              <w:rPr>
                <w:rFonts w:hint="eastAsia" w:ascii="仿宋_GB2312" w:eastAsia="仿宋_GB2312"/>
                <w:sz w:val="24"/>
                <w:szCs w:val="28"/>
              </w:rPr>
            </w:pPr>
          </w:p>
        </w:tc>
        <w:tc>
          <w:tcPr>
            <w:tcW w:w="1906"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效果器</w:t>
            </w:r>
          </w:p>
        </w:tc>
        <w:tc>
          <w:tcPr>
            <w:tcW w:w="4571" w:type="dxa"/>
            <w:vAlign w:val="center"/>
          </w:tcPr>
          <w:p>
            <w:pPr>
              <w:jc w:val="left"/>
              <w:rPr>
                <w:rFonts w:hint="eastAsia" w:ascii="仿宋_GB2312" w:eastAsia="仿宋_GB2312"/>
                <w:sz w:val="24"/>
                <w:szCs w:val="28"/>
                <w:lang w:eastAsia="zh-CN"/>
              </w:rPr>
            </w:pPr>
            <w:r>
              <w:rPr>
                <w:rFonts w:hint="eastAsia" w:ascii="仿宋_GB2312" w:eastAsia="仿宋_GB2312"/>
                <w:sz w:val="24"/>
                <w:szCs w:val="28"/>
              </w:rPr>
              <w:t>满足混音、母带处理、现场演出、音频修复等多种场景下的需求</w:t>
            </w:r>
            <w:r>
              <w:rPr>
                <w:rFonts w:hint="eastAsia" w:ascii="仿宋_GB2312" w:eastAsia="仿宋_GB2312"/>
                <w:sz w:val="24"/>
                <w:szCs w:val="28"/>
                <w:lang w:eastAsia="zh-CN"/>
              </w:rPr>
              <w:t>，</w:t>
            </w:r>
            <w:r>
              <w:rPr>
                <w:rFonts w:hint="eastAsia" w:ascii="仿宋_GB2312" w:eastAsia="仿宋_GB2312"/>
                <w:sz w:val="24"/>
                <w:szCs w:val="28"/>
              </w:rPr>
              <w:t>括复古的经典硬件建模、压缩器、均衡器、延时、混响、谐波增强、低音增强等种类丰富的插件</w:t>
            </w:r>
            <w:r>
              <w:rPr>
                <w:rFonts w:hint="eastAsia" w:ascii="仿宋_GB2312" w:eastAsia="仿宋_GB2312"/>
                <w:sz w:val="24"/>
                <w:szCs w:val="28"/>
                <w:lang w:eastAsia="zh-CN"/>
              </w:rPr>
              <w:t>。</w:t>
            </w:r>
          </w:p>
        </w:tc>
        <w:tc>
          <w:tcPr>
            <w:tcW w:w="733"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1</w:t>
            </w:r>
          </w:p>
        </w:tc>
        <w:tc>
          <w:tcPr>
            <w:tcW w:w="1221"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4"/>
                <w:szCs w:val="24"/>
                <w:u w:val="none"/>
                <w:lang w:val="en-US" w:eastAsia="zh-CN" w:bidi="ar-SA"/>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4"/>
              </w:numPr>
              <w:ind w:firstLineChars="0"/>
              <w:jc w:val="center"/>
              <w:rPr>
                <w:rFonts w:hint="eastAsia" w:ascii="仿宋_GB2312" w:eastAsia="仿宋_GB2312"/>
                <w:sz w:val="24"/>
                <w:szCs w:val="28"/>
              </w:rPr>
            </w:pPr>
          </w:p>
        </w:tc>
        <w:tc>
          <w:tcPr>
            <w:tcW w:w="1906"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电源时序器</w:t>
            </w:r>
          </w:p>
        </w:tc>
        <w:tc>
          <w:tcPr>
            <w:tcW w:w="4571" w:type="dxa"/>
            <w:vAlign w:val="center"/>
          </w:tcPr>
          <w:p>
            <w:pPr>
              <w:jc w:val="left"/>
              <w:rPr>
                <w:rFonts w:hint="eastAsia" w:ascii="仿宋_GB2312" w:eastAsia="仿宋_GB2312"/>
                <w:sz w:val="24"/>
                <w:szCs w:val="28"/>
              </w:rPr>
            </w:pPr>
            <w:r>
              <w:rPr>
                <w:rFonts w:hint="eastAsia" w:ascii="仿宋_GB2312" w:eastAsia="仿宋_GB2312"/>
                <w:sz w:val="24"/>
                <w:szCs w:val="28"/>
              </w:rPr>
              <w:t>最大输出电流：10A</w:t>
            </w:r>
          </w:p>
          <w:p>
            <w:pPr>
              <w:jc w:val="left"/>
              <w:rPr>
                <w:rFonts w:hint="eastAsia" w:ascii="仿宋_GB2312" w:eastAsia="仿宋_GB2312"/>
                <w:sz w:val="24"/>
                <w:szCs w:val="28"/>
              </w:rPr>
            </w:pPr>
            <w:r>
              <w:rPr>
                <w:rFonts w:hint="eastAsia" w:ascii="仿宋_GB2312" w:eastAsia="仿宋_GB2312"/>
                <w:sz w:val="24"/>
                <w:szCs w:val="28"/>
              </w:rPr>
              <w:t xml:space="preserve">连线：2.5m，可移除，IEC母头到Schuko公头 </w:t>
            </w:r>
          </w:p>
          <w:p>
            <w:pPr>
              <w:jc w:val="left"/>
              <w:rPr>
                <w:rFonts w:hint="eastAsia" w:ascii="仿宋_GB2312" w:eastAsia="仿宋_GB2312"/>
                <w:sz w:val="24"/>
                <w:szCs w:val="28"/>
              </w:rPr>
            </w:pPr>
            <w:r>
              <w:rPr>
                <w:rFonts w:hint="eastAsia" w:ascii="仿宋_GB2312" w:eastAsia="仿宋_GB2312"/>
                <w:sz w:val="24"/>
                <w:szCs w:val="28"/>
              </w:rPr>
              <w:t>灯：两个多路LED可调光灯</w:t>
            </w:r>
          </w:p>
          <w:p>
            <w:pPr>
              <w:jc w:val="left"/>
              <w:rPr>
                <w:rFonts w:hint="eastAsia" w:ascii="仿宋_GB2312" w:eastAsia="仿宋_GB2312"/>
                <w:sz w:val="24"/>
                <w:szCs w:val="28"/>
              </w:rPr>
            </w:pPr>
            <w:r>
              <w:rPr>
                <w:rFonts w:hint="eastAsia" w:ascii="仿宋_GB2312" w:eastAsia="仿宋_GB2312"/>
                <w:sz w:val="24"/>
                <w:szCs w:val="28"/>
              </w:rPr>
              <w:t>尖波保护模式：SMP，火线到零线，零接地泄漏</w:t>
            </w:r>
          </w:p>
          <w:p>
            <w:pPr>
              <w:jc w:val="left"/>
              <w:rPr>
                <w:rFonts w:hint="eastAsia" w:ascii="仿宋_GB2312" w:eastAsia="仿宋_GB2312"/>
                <w:sz w:val="24"/>
                <w:szCs w:val="28"/>
              </w:rPr>
            </w:pPr>
            <w:r>
              <w:rPr>
                <w:rFonts w:hint="eastAsia" w:ascii="仿宋_GB2312" w:eastAsia="仿宋_GB2312"/>
                <w:sz w:val="24"/>
                <w:szCs w:val="28"/>
              </w:rPr>
              <w:t>最大持续操作电压：274V允通</w:t>
            </w:r>
          </w:p>
          <w:p>
            <w:pPr>
              <w:jc w:val="left"/>
              <w:rPr>
                <w:rFonts w:hint="eastAsia" w:ascii="仿宋_GB2312" w:eastAsia="仿宋_GB2312"/>
                <w:sz w:val="24"/>
                <w:szCs w:val="28"/>
              </w:rPr>
            </w:pPr>
            <w:r>
              <w:rPr>
                <w:rFonts w:hint="eastAsia" w:ascii="仿宋_GB2312" w:eastAsia="仿宋_GB2312"/>
                <w:sz w:val="24"/>
                <w:szCs w:val="28"/>
              </w:rPr>
              <w:t xml:space="preserve">电压：376V 峰值(PK)/266V有效值(RMS)@ 3,000A </w:t>
            </w:r>
          </w:p>
          <w:p>
            <w:pPr>
              <w:jc w:val="left"/>
              <w:rPr>
                <w:rFonts w:hint="eastAsia" w:ascii="仿宋_GB2312" w:eastAsia="仿宋_GB2312"/>
                <w:sz w:val="24"/>
                <w:szCs w:val="28"/>
              </w:rPr>
            </w:pPr>
            <w:r>
              <w:rPr>
                <w:rFonts w:hint="eastAsia" w:ascii="仿宋_GB2312" w:eastAsia="仿宋_GB2312"/>
                <w:sz w:val="24"/>
                <w:szCs w:val="28"/>
              </w:rPr>
              <w:t>噪音衰减(横向模式):10 dB @ 10 kHz, 40 dB @ 100kHz, 50 dB @ 500 kHz</w:t>
            </w:r>
          </w:p>
          <w:p>
            <w:pPr>
              <w:jc w:val="left"/>
              <w:rPr>
                <w:rFonts w:hint="eastAsia" w:ascii="仿宋_GB2312" w:eastAsia="仿宋_GB2312"/>
                <w:sz w:val="24"/>
                <w:szCs w:val="28"/>
              </w:rPr>
            </w:pPr>
            <w:r>
              <w:rPr>
                <w:rFonts w:hint="eastAsia" w:ascii="仿宋_GB2312" w:eastAsia="仿宋_GB2312"/>
                <w:sz w:val="24"/>
                <w:szCs w:val="28"/>
              </w:rPr>
              <w:t>BNC连接头： 12VAC 500MA</w:t>
            </w:r>
          </w:p>
          <w:p>
            <w:pPr>
              <w:jc w:val="left"/>
              <w:rPr>
                <w:rFonts w:hint="eastAsia" w:ascii="仿宋_GB2312" w:eastAsia="仿宋_GB2312"/>
                <w:sz w:val="24"/>
                <w:szCs w:val="28"/>
              </w:rPr>
            </w:pPr>
            <w:r>
              <w:rPr>
                <w:rFonts w:hint="eastAsia" w:ascii="仿宋_GB2312" w:eastAsia="仿宋_GB2312"/>
                <w:sz w:val="24"/>
                <w:szCs w:val="28"/>
              </w:rPr>
              <w:t>最大(不包括灯) 尺寸： 482.6mm W x266.7mm D x 44.45mm H</w:t>
            </w:r>
          </w:p>
          <w:p>
            <w:pPr>
              <w:jc w:val="left"/>
              <w:rPr>
                <w:rFonts w:hint="eastAsia" w:ascii="仿宋_GB2312" w:eastAsia="仿宋_GB2312"/>
                <w:sz w:val="24"/>
                <w:szCs w:val="28"/>
              </w:rPr>
            </w:pPr>
            <w:r>
              <w:rPr>
                <w:rFonts w:hint="eastAsia" w:ascii="仿宋_GB2312" w:eastAsia="仿宋_GB2312"/>
                <w:sz w:val="24"/>
                <w:szCs w:val="28"/>
              </w:rPr>
              <w:t>重量：6kg</w:t>
            </w:r>
          </w:p>
          <w:p>
            <w:pPr>
              <w:jc w:val="left"/>
              <w:rPr>
                <w:rFonts w:hint="eastAsia" w:ascii="仿宋_GB2312" w:eastAsia="仿宋_GB2312"/>
                <w:sz w:val="24"/>
                <w:szCs w:val="28"/>
              </w:rPr>
            </w:pPr>
            <w:r>
              <w:rPr>
                <w:rFonts w:hint="eastAsia" w:ascii="仿宋_GB2312" w:eastAsia="仿宋_GB2312"/>
                <w:sz w:val="24"/>
                <w:szCs w:val="28"/>
              </w:rPr>
              <w:t>安全认证机构：CE</w:t>
            </w:r>
          </w:p>
          <w:p>
            <w:pPr>
              <w:jc w:val="left"/>
              <w:rPr>
                <w:rFonts w:hint="eastAsia" w:ascii="仿宋_GB2312" w:eastAsia="仿宋_GB2312"/>
                <w:sz w:val="24"/>
                <w:szCs w:val="28"/>
                <w:lang w:eastAsia="zh-CN"/>
              </w:rPr>
            </w:pPr>
            <w:r>
              <w:rPr>
                <w:rFonts w:hint="eastAsia" w:ascii="仿宋_GB2312" w:eastAsia="仿宋_GB2312"/>
                <w:sz w:val="24"/>
                <w:szCs w:val="28"/>
                <w:lang w:eastAsia="zh-CN"/>
              </w:rPr>
              <w:t>要有滤波功能。</w:t>
            </w:r>
          </w:p>
        </w:tc>
        <w:tc>
          <w:tcPr>
            <w:tcW w:w="733"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1</w:t>
            </w:r>
            <w:r>
              <w:rPr>
                <w:rFonts w:hint="eastAsia" w:ascii="仿宋_GB2312" w:eastAsia="仿宋_GB2312"/>
                <w:sz w:val="24"/>
                <w:szCs w:val="28"/>
                <w:lang w:val="en-US" w:eastAsia="zh-CN"/>
              </w:rPr>
              <w:t>个</w:t>
            </w:r>
          </w:p>
        </w:tc>
        <w:tc>
          <w:tcPr>
            <w:tcW w:w="1221"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4"/>
                <w:szCs w:val="24"/>
                <w:u w:val="none"/>
                <w:lang w:val="en-US" w:eastAsia="zh-CN" w:bidi="ar-SA"/>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4"/>
              </w:numPr>
              <w:ind w:firstLineChars="0"/>
              <w:jc w:val="center"/>
              <w:rPr>
                <w:rFonts w:hint="eastAsia" w:ascii="仿宋_GB2312" w:eastAsia="仿宋_GB2312"/>
                <w:sz w:val="24"/>
                <w:szCs w:val="28"/>
              </w:rPr>
            </w:pPr>
          </w:p>
        </w:tc>
        <w:tc>
          <w:tcPr>
            <w:tcW w:w="1906"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耳机</w:t>
            </w:r>
            <w:r>
              <w:rPr>
                <w:rFonts w:hint="eastAsia" w:ascii="仿宋_GB2312" w:eastAsia="仿宋_GB2312"/>
                <w:sz w:val="24"/>
                <w:szCs w:val="28"/>
                <w:lang w:val="en-US" w:eastAsia="zh-CN"/>
              </w:rPr>
              <w:t>放大器</w:t>
            </w:r>
          </w:p>
        </w:tc>
        <w:tc>
          <w:tcPr>
            <w:tcW w:w="4571" w:type="dxa"/>
            <w:vAlign w:val="center"/>
          </w:tcPr>
          <w:p>
            <w:pPr>
              <w:jc w:val="left"/>
              <w:rPr>
                <w:rFonts w:hint="eastAsia" w:ascii="仿宋_GB2312" w:eastAsia="仿宋_GB2312"/>
                <w:sz w:val="24"/>
                <w:szCs w:val="28"/>
              </w:rPr>
            </w:pPr>
            <w:r>
              <w:rPr>
                <w:rFonts w:hint="eastAsia" w:ascii="仿宋_GB2312" w:eastAsia="仿宋_GB2312"/>
                <w:sz w:val="24"/>
                <w:szCs w:val="28"/>
              </w:rPr>
              <w:t>输入连接：XLR( 母 ) 平衡 (2),1/4-INCH 平衡 (9)</w:t>
            </w:r>
          </w:p>
          <w:p>
            <w:pPr>
              <w:jc w:val="left"/>
              <w:rPr>
                <w:rFonts w:hint="eastAsia" w:ascii="仿宋_GB2312" w:eastAsia="仿宋_GB2312"/>
                <w:sz w:val="24"/>
                <w:szCs w:val="28"/>
              </w:rPr>
            </w:pPr>
            <w:r>
              <w:rPr>
                <w:rFonts w:hint="eastAsia" w:ascii="仿宋_GB2312" w:eastAsia="仿宋_GB2312"/>
                <w:sz w:val="24"/>
                <w:szCs w:val="28"/>
              </w:rPr>
              <w:t>输出连接 :XLR( 公 ) 平衡 (2),1/4-INCH 平衡 (2)</w:t>
            </w:r>
          </w:p>
          <w:p>
            <w:pPr>
              <w:jc w:val="left"/>
              <w:rPr>
                <w:rFonts w:hint="eastAsia" w:ascii="仿宋_GB2312" w:eastAsia="仿宋_GB2312"/>
                <w:sz w:val="24"/>
                <w:szCs w:val="28"/>
              </w:rPr>
            </w:pPr>
            <w:r>
              <w:rPr>
                <w:rFonts w:hint="eastAsia" w:ascii="仿宋_GB2312" w:eastAsia="仿宋_GB2312"/>
                <w:sz w:val="24"/>
                <w:szCs w:val="28"/>
              </w:rPr>
              <w:t>1/4-INCH 立体耳机 (18)</w:t>
            </w:r>
          </w:p>
          <w:p>
            <w:pPr>
              <w:jc w:val="left"/>
              <w:rPr>
                <w:rFonts w:hint="eastAsia" w:ascii="仿宋_GB2312" w:eastAsia="仿宋_GB2312"/>
                <w:sz w:val="24"/>
                <w:szCs w:val="28"/>
              </w:rPr>
            </w:pPr>
            <w:r>
              <w:rPr>
                <w:rFonts w:hint="eastAsia" w:ascii="仿宋_GB2312" w:eastAsia="仿宋_GB2312"/>
                <w:sz w:val="24"/>
                <w:szCs w:val="28"/>
              </w:rPr>
              <w:t>输入阻抗：40K Ohoms 主</w:t>
            </w:r>
          </w:p>
          <w:p>
            <w:pPr>
              <w:jc w:val="left"/>
              <w:rPr>
                <w:rFonts w:hint="eastAsia" w:ascii="仿宋_GB2312" w:eastAsia="仿宋_GB2312"/>
                <w:sz w:val="24"/>
                <w:szCs w:val="28"/>
              </w:rPr>
            </w:pPr>
            <w:r>
              <w:rPr>
                <w:rFonts w:hint="eastAsia" w:ascii="仿宋_GB2312" w:eastAsia="仿宋_GB2312"/>
                <w:sz w:val="24"/>
                <w:szCs w:val="28"/>
              </w:rPr>
              <w:t>15K Ohms 辅助输入</w:t>
            </w:r>
          </w:p>
          <w:p>
            <w:pPr>
              <w:jc w:val="left"/>
              <w:rPr>
                <w:rFonts w:hint="eastAsia" w:ascii="仿宋_GB2312" w:eastAsia="仿宋_GB2312"/>
                <w:sz w:val="24"/>
                <w:szCs w:val="28"/>
              </w:rPr>
            </w:pPr>
            <w:r>
              <w:rPr>
                <w:rFonts w:hint="eastAsia" w:ascii="仿宋_GB2312" w:eastAsia="仿宋_GB2312"/>
                <w:sz w:val="24"/>
                <w:szCs w:val="28"/>
              </w:rPr>
              <w:t>输出阻抗：32-600Ohms 耳机</w:t>
            </w:r>
          </w:p>
          <w:p>
            <w:pPr>
              <w:jc w:val="left"/>
              <w:rPr>
                <w:rFonts w:hint="eastAsia" w:ascii="仿宋_GB2312" w:eastAsia="仿宋_GB2312"/>
                <w:sz w:val="24"/>
                <w:szCs w:val="28"/>
              </w:rPr>
            </w:pPr>
            <w:r>
              <w:rPr>
                <w:rFonts w:hint="eastAsia" w:ascii="仿宋_GB2312" w:eastAsia="仿宋_GB2312"/>
                <w:sz w:val="24"/>
                <w:szCs w:val="28"/>
              </w:rPr>
              <w:t>最大输入电平 :+21dBu( 所有通道 )</w:t>
            </w:r>
          </w:p>
          <w:p>
            <w:pPr>
              <w:jc w:val="left"/>
              <w:rPr>
                <w:rFonts w:hint="eastAsia" w:ascii="仿宋_GB2312" w:eastAsia="仿宋_GB2312"/>
                <w:sz w:val="24"/>
                <w:szCs w:val="28"/>
              </w:rPr>
            </w:pPr>
            <w:r>
              <w:rPr>
                <w:rFonts w:hint="eastAsia" w:ascii="仿宋_GB2312" w:eastAsia="仿宋_GB2312"/>
                <w:sz w:val="24"/>
                <w:szCs w:val="28"/>
              </w:rPr>
              <w:t>最大输出电平：150Mw(600 Ohm 耳机 )</w:t>
            </w:r>
          </w:p>
          <w:p>
            <w:pPr>
              <w:jc w:val="left"/>
              <w:rPr>
                <w:rFonts w:hint="eastAsia" w:ascii="仿宋_GB2312" w:eastAsia="仿宋_GB2312"/>
                <w:sz w:val="24"/>
                <w:szCs w:val="28"/>
              </w:rPr>
            </w:pPr>
            <w:r>
              <w:rPr>
                <w:rFonts w:hint="eastAsia" w:ascii="仿宋_GB2312" w:eastAsia="仿宋_GB2312"/>
                <w:sz w:val="24"/>
                <w:szCs w:val="28"/>
              </w:rPr>
              <w:t>最大增益 :22Db.</w:t>
            </w:r>
          </w:p>
          <w:p>
            <w:pPr>
              <w:jc w:val="left"/>
              <w:rPr>
                <w:rFonts w:hint="eastAsia" w:ascii="仿宋_GB2312" w:eastAsia="仿宋_GB2312"/>
                <w:sz w:val="24"/>
                <w:szCs w:val="28"/>
              </w:rPr>
            </w:pPr>
            <w:r>
              <w:rPr>
                <w:rFonts w:hint="eastAsia" w:ascii="仿宋_GB2312" w:eastAsia="仿宋_GB2312"/>
                <w:sz w:val="24"/>
                <w:szCs w:val="28"/>
              </w:rPr>
              <w:t>信噪比：&gt;90db Typical</w:t>
            </w:r>
          </w:p>
          <w:p>
            <w:pPr>
              <w:jc w:val="left"/>
              <w:rPr>
                <w:rFonts w:hint="eastAsia" w:ascii="仿宋_GB2312" w:eastAsia="仿宋_GB2312"/>
                <w:sz w:val="24"/>
                <w:szCs w:val="28"/>
              </w:rPr>
            </w:pPr>
            <w:r>
              <w:rPr>
                <w:rFonts w:hint="eastAsia" w:ascii="仿宋_GB2312" w:eastAsia="仿宋_GB2312"/>
                <w:sz w:val="24"/>
                <w:szCs w:val="28"/>
              </w:rPr>
              <w:t>总谐波失真：&lt;0.01% Typical</w:t>
            </w:r>
          </w:p>
          <w:p>
            <w:pPr>
              <w:jc w:val="left"/>
              <w:rPr>
                <w:rFonts w:hint="eastAsia" w:ascii="仿宋_GB2312" w:eastAsia="仿宋_GB2312"/>
                <w:sz w:val="24"/>
                <w:szCs w:val="28"/>
              </w:rPr>
            </w:pPr>
            <w:r>
              <w:rPr>
                <w:rFonts w:hint="eastAsia" w:ascii="仿宋_GB2312" w:eastAsia="仿宋_GB2312"/>
                <w:sz w:val="24"/>
                <w:szCs w:val="28"/>
              </w:rPr>
              <w:t>动态范围 :&gt;101Db Typical</w:t>
            </w:r>
          </w:p>
          <w:p>
            <w:pPr>
              <w:jc w:val="left"/>
              <w:rPr>
                <w:rFonts w:hint="eastAsia" w:ascii="仿宋_GB2312" w:eastAsia="仿宋_GB2312"/>
                <w:sz w:val="24"/>
                <w:szCs w:val="28"/>
              </w:rPr>
            </w:pPr>
            <w:r>
              <w:rPr>
                <w:rFonts w:hint="eastAsia" w:ascii="仿宋_GB2312" w:eastAsia="仿宋_GB2312"/>
                <w:sz w:val="24"/>
                <w:szCs w:val="28"/>
              </w:rPr>
              <w:t>共模抑制：&gt;40Db</w:t>
            </w:r>
          </w:p>
          <w:p>
            <w:pPr>
              <w:jc w:val="left"/>
              <w:rPr>
                <w:rFonts w:hint="eastAsia" w:ascii="仿宋_GB2312" w:eastAsia="仿宋_GB2312"/>
                <w:sz w:val="24"/>
                <w:szCs w:val="28"/>
              </w:rPr>
            </w:pPr>
            <w:r>
              <w:rPr>
                <w:rFonts w:hint="eastAsia" w:ascii="仿宋_GB2312" w:eastAsia="仿宋_GB2312"/>
                <w:sz w:val="24"/>
                <w:szCs w:val="28"/>
              </w:rPr>
              <w:t>相位位移：&lt;10 度 ,20Hz-20KHz</w:t>
            </w:r>
          </w:p>
        </w:tc>
        <w:tc>
          <w:tcPr>
            <w:tcW w:w="733"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1</w:t>
            </w:r>
            <w:r>
              <w:rPr>
                <w:rFonts w:hint="eastAsia" w:ascii="仿宋_GB2312" w:eastAsia="仿宋_GB2312"/>
                <w:sz w:val="24"/>
                <w:szCs w:val="28"/>
                <w:lang w:val="en-US" w:eastAsia="zh-CN"/>
              </w:rPr>
              <w:t>个</w:t>
            </w:r>
          </w:p>
        </w:tc>
        <w:tc>
          <w:tcPr>
            <w:tcW w:w="1221"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4"/>
                <w:szCs w:val="24"/>
                <w:u w:val="none"/>
                <w:lang w:val="en-US" w:eastAsia="zh-CN" w:bidi="ar-SA"/>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4"/>
              </w:numPr>
              <w:ind w:firstLineChars="0"/>
              <w:jc w:val="center"/>
              <w:rPr>
                <w:rFonts w:hint="eastAsia" w:ascii="仿宋_GB2312" w:eastAsia="仿宋_GB2312"/>
                <w:sz w:val="24"/>
                <w:szCs w:val="28"/>
              </w:rPr>
            </w:pPr>
          </w:p>
        </w:tc>
        <w:tc>
          <w:tcPr>
            <w:tcW w:w="1906"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监听耳机（录音棚）</w:t>
            </w:r>
          </w:p>
        </w:tc>
        <w:tc>
          <w:tcPr>
            <w:tcW w:w="4571" w:type="dxa"/>
            <w:vAlign w:val="center"/>
          </w:tcPr>
          <w:p>
            <w:pPr>
              <w:jc w:val="left"/>
              <w:rPr>
                <w:rFonts w:hint="eastAsia" w:ascii="仿宋_GB2312" w:eastAsia="仿宋_GB2312"/>
                <w:sz w:val="24"/>
                <w:szCs w:val="28"/>
              </w:rPr>
            </w:pPr>
            <w:r>
              <w:rPr>
                <w:rFonts w:hint="eastAsia" w:ascii="仿宋_GB2312" w:eastAsia="仿宋_GB2312"/>
                <w:sz w:val="24"/>
                <w:szCs w:val="28"/>
              </w:rPr>
              <w:t>换能方式：动圈式</w:t>
            </w:r>
          </w:p>
          <w:p>
            <w:pPr>
              <w:jc w:val="left"/>
              <w:rPr>
                <w:rFonts w:hint="eastAsia" w:ascii="仿宋_GB2312" w:eastAsia="仿宋_GB2312"/>
                <w:sz w:val="24"/>
                <w:szCs w:val="28"/>
              </w:rPr>
            </w:pPr>
            <w:r>
              <w:rPr>
                <w:rFonts w:hint="eastAsia" w:ascii="仿宋_GB2312" w:eastAsia="仿宋_GB2312"/>
                <w:sz w:val="24"/>
                <w:szCs w:val="28"/>
              </w:rPr>
              <w:t>工作原理：封闭式</w:t>
            </w:r>
          </w:p>
          <w:p>
            <w:pPr>
              <w:jc w:val="left"/>
              <w:rPr>
                <w:rFonts w:hint="eastAsia" w:ascii="仿宋_GB2312" w:eastAsia="仿宋_GB2312"/>
                <w:sz w:val="24"/>
                <w:szCs w:val="28"/>
              </w:rPr>
            </w:pPr>
            <w:r>
              <w:rPr>
                <w:rFonts w:hint="eastAsia" w:ascii="仿宋_GB2312" w:eastAsia="仿宋_GB2312"/>
                <w:sz w:val="24"/>
                <w:szCs w:val="28"/>
              </w:rPr>
              <w:t>频率响应：5Hz-35,000Hz</w:t>
            </w:r>
          </w:p>
          <w:p>
            <w:pPr>
              <w:jc w:val="left"/>
              <w:rPr>
                <w:rFonts w:hint="eastAsia" w:ascii="仿宋_GB2312" w:eastAsia="仿宋_GB2312"/>
                <w:sz w:val="24"/>
                <w:szCs w:val="28"/>
              </w:rPr>
            </w:pPr>
            <w:r>
              <w:rPr>
                <w:rFonts w:hint="eastAsia" w:ascii="仿宋_GB2312" w:eastAsia="仿宋_GB2312"/>
                <w:sz w:val="24"/>
                <w:szCs w:val="28"/>
              </w:rPr>
              <w:t>额定阻抗：80 Ω</w:t>
            </w:r>
          </w:p>
          <w:p>
            <w:pPr>
              <w:jc w:val="left"/>
              <w:rPr>
                <w:rFonts w:hint="eastAsia" w:ascii="仿宋_GB2312" w:eastAsia="仿宋_GB2312"/>
                <w:sz w:val="24"/>
                <w:szCs w:val="28"/>
              </w:rPr>
            </w:pPr>
            <w:r>
              <w:rPr>
                <w:rFonts w:hint="eastAsia" w:ascii="仿宋_GB2312" w:eastAsia="仿宋_GB2312"/>
                <w:sz w:val="24"/>
                <w:szCs w:val="28"/>
              </w:rPr>
              <w:t>标称声压级：96 dB</w:t>
            </w:r>
          </w:p>
          <w:p>
            <w:pPr>
              <w:jc w:val="left"/>
              <w:rPr>
                <w:rFonts w:hint="eastAsia" w:ascii="仿宋_GB2312" w:eastAsia="仿宋_GB2312"/>
                <w:sz w:val="24"/>
                <w:szCs w:val="28"/>
              </w:rPr>
            </w:pPr>
            <w:r>
              <w:rPr>
                <w:rFonts w:hint="eastAsia" w:ascii="仿宋_GB2312" w:eastAsia="仿宋_GB2312"/>
                <w:sz w:val="24"/>
                <w:szCs w:val="28"/>
              </w:rPr>
              <w:t>标称总谐波失真：&lt; 0.2%</w:t>
            </w:r>
          </w:p>
          <w:p>
            <w:pPr>
              <w:jc w:val="left"/>
              <w:rPr>
                <w:rFonts w:hint="eastAsia" w:ascii="仿宋_GB2312" w:eastAsia="仿宋_GB2312"/>
                <w:sz w:val="24"/>
                <w:szCs w:val="28"/>
              </w:rPr>
            </w:pPr>
            <w:r>
              <w:rPr>
                <w:rFonts w:hint="eastAsia" w:ascii="仿宋_GB2312" w:eastAsia="仿宋_GB2312"/>
                <w:sz w:val="24"/>
                <w:szCs w:val="28"/>
              </w:rPr>
              <w:t>功率容量：100 mW</w:t>
            </w:r>
          </w:p>
          <w:p>
            <w:pPr>
              <w:jc w:val="left"/>
              <w:rPr>
                <w:rFonts w:hint="eastAsia" w:ascii="仿宋_GB2312" w:eastAsia="仿宋_GB2312"/>
                <w:sz w:val="24"/>
                <w:szCs w:val="28"/>
              </w:rPr>
            </w:pPr>
            <w:r>
              <w:rPr>
                <w:rFonts w:hint="eastAsia" w:ascii="仿宋_GB2312" w:eastAsia="仿宋_GB2312"/>
                <w:sz w:val="24"/>
                <w:szCs w:val="28"/>
              </w:rPr>
              <w:t>耳垫接触方式：包耳式</w:t>
            </w:r>
          </w:p>
          <w:p>
            <w:pPr>
              <w:jc w:val="left"/>
              <w:rPr>
                <w:rFonts w:hint="eastAsia" w:ascii="仿宋_GB2312" w:eastAsia="仿宋_GB2312"/>
                <w:sz w:val="24"/>
                <w:szCs w:val="28"/>
              </w:rPr>
            </w:pPr>
            <w:r>
              <w:rPr>
                <w:rFonts w:hint="eastAsia" w:ascii="仿宋_GB2312" w:eastAsia="仿宋_GB2312"/>
                <w:sz w:val="24"/>
                <w:szCs w:val="28"/>
              </w:rPr>
              <w:t>环境噪音隔离度：约18 dB(A)</w:t>
            </w:r>
          </w:p>
          <w:p>
            <w:pPr>
              <w:jc w:val="left"/>
              <w:rPr>
                <w:rFonts w:hint="eastAsia" w:ascii="仿宋_GB2312" w:eastAsia="仿宋_GB2312"/>
                <w:sz w:val="24"/>
                <w:szCs w:val="28"/>
              </w:rPr>
            </w:pPr>
            <w:r>
              <w:rPr>
                <w:rFonts w:hint="eastAsia" w:ascii="仿宋_GB2312" w:eastAsia="仿宋_GB2312"/>
                <w:sz w:val="24"/>
                <w:szCs w:val="28"/>
              </w:rPr>
              <w:t>总重量不含导线：270g</w:t>
            </w:r>
          </w:p>
          <w:p>
            <w:pPr>
              <w:jc w:val="left"/>
              <w:rPr>
                <w:rFonts w:hint="eastAsia" w:ascii="仿宋_GB2312" w:eastAsia="仿宋_GB2312"/>
                <w:sz w:val="24"/>
                <w:szCs w:val="28"/>
              </w:rPr>
            </w:pPr>
            <w:r>
              <w:rPr>
                <w:rFonts w:hint="eastAsia" w:ascii="仿宋_GB2312" w:eastAsia="仿宋_GB2312"/>
                <w:sz w:val="24"/>
                <w:szCs w:val="28"/>
              </w:rPr>
              <w:t>平均耳垫压力：约3.5N</w:t>
            </w:r>
          </w:p>
          <w:p>
            <w:pPr>
              <w:jc w:val="left"/>
              <w:rPr>
                <w:rFonts w:hint="eastAsia" w:ascii="仿宋_GB2312" w:eastAsia="仿宋_GB2312"/>
                <w:sz w:val="24"/>
                <w:szCs w:val="28"/>
              </w:rPr>
            </w:pPr>
            <w:r>
              <w:rPr>
                <w:rFonts w:hint="eastAsia" w:ascii="仿宋_GB2312" w:eastAsia="仿宋_GB2312"/>
                <w:sz w:val="24"/>
                <w:szCs w:val="28"/>
              </w:rPr>
              <w:t>连接插头：镀金微型立体声插头（3.5mm）和1／4″转换插头（6.35mm）</w:t>
            </w:r>
          </w:p>
          <w:p>
            <w:pPr>
              <w:jc w:val="left"/>
              <w:rPr>
                <w:rFonts w:hint="eastAsia" w:ascii="仿宋_GB2312" w:eastAsia="仿宋_GB2312"/>
                <w:sz w:val="24"/>
                <w:szCs w:val="28"/>
              </w:rPr>
            </w:pPr>
            <w:r>
              <w:rPr>
                <w:rFonts w:hint="eastAsia" w:ascii="仿宋_GB2312" w:eastAsia="仿宋_GB2312"/>
                <w:sz w:val="24"/>
                <w:szCs w:val="28"/>
              </w:rPr>
              <w:t>导线长度和类型：3米/直线</w:t>
            </w:r>
          </w:p>
        </w:tc>
        <w:tc>
          <w:tcPr>
            <w:tcW w:w="733"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1</w:t>
            </w:r>
            <w:r>
              <w:rPr>
                <w:rFonts w:hint="eastAsia" w:ascii="仿宋_GB2312" w:eastAsia="仿宋_GB2312"/>
                <w:sz w:val="24"/>
                <w:szCs w:val="28"/>
                <w:lang w:val="en-US" w:eastAsia="zh-CN"/>
              </w:rPr>
              <w:t>副</w:t>
            </w:r>
          </w:p>
        </w:tc>
        <w:tc>
          <w:tcPr>
            <w:tcW w:w="1221"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4"/>
                <w:szCs w:val="24"/>
                <w:u w:val="none"/>
                <w:lang w:val="en-US" w:eastAsia="zh-CN" w:bidi="ar-SA"/>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4"/>
              </w:numPr>
              <w:ind w:firstLineChars="0"/>
              <w:jc w:val="center"/>
              <w:rPr>
                <w:rFonts w:hint="eastAsia" w:ascii="仿宋_GB2312" w:eastAsia="仿宋_GB2312"/>
                <w:sz w:val="24"/>
                <w:szCs w:val="28"/>
              </w:rPr>
            </w:pPr>
          </w:p>
        </w:tc>
        <w:tc>
          <w:tcPr>
            <w:tcW w:w="1906"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歌手监听耳机（录音棚）</w:t>
            </w:r>
          </w:p>
        </w:tc>
        <w:tc>
          <w:tcPr>
            <w:tcW w:w="4571" w:type="dxa"/>
            <w:vAlign w:val="center"/>
          </w:tcPr>
          <w:p>
            <w:pPr>
              <w:jc w:val="left"/>
              <w:rPr>
                <w:rFonts w:hint="eastAsia" w:ascii="仿宋_GB2312" w:eastAsia="仿宋_GB2312"/>
                <w:sz w:val="24"/>
                <w:szCs w:val="28"/>
              </w:rPr>
            </w:pPr>
            <w:r>
              <w:rPr>
                <w:rFonts w:hint="eastAsia" w:ascii="仿宋_GB2312" w:eastAsia="仿宋_GB2312"/>
                <w:sz w:val="24"/>
                <w:szCs w:val="28"/>
              </w:rPr>
              <w:t xml:space="preserve">单体 动圈式 </w:t>
            </w:r>
          </w:p>
          <w:p>
            <w:pPr>
              <w:jc w:val="left"/>
              <w:rPr>
                <w:rFonts w:hint="eastAsia" w:ascii="仿宋_GB2312" w:eastAsia="仿宋_GB2312"/>
                <w:sz w:val="24"/>
                <w:szCs w:val="28"/>
              </w:rPr>
            </w:pPr>
            <w:r>
              <w:rPr>
                <w:rFonts w:hint="eastAsia" w:ascii="仿宋_GB2312" w:eastAsia="仿宋_GB2312"/>
                <w:sz w:val="24"/>
                <w:szCs w:val="28"/>
              </w:rPr>
              <w:t xml:space="preserve">阻抗 16Ω </w:t>
            </w:r>
          </w:p>
          <w:p>
            <w:pPr>
              <w:jc w:val="left"/>
              <w:rPr>
                <w:rFonts w:hint="eastAsia" w:ascii="仿宋_GB2312" w:eastAsia="仿宋_GB2312"/>
                <w:sz w:val="24"/>
                <w:szCs w:val="28"/>
              </w:rPr>
            </w:pPr>
            <w:r>
              <w:rPr>
                <w:rFonts w:hint="eastAsia" w:ascii="仿宋_GB2312" w:eastAsia="仿宋_GB2312"/>
                <w:sz w:val="24"/>
                <w:szCs w:val="28"/>
              </w:rPr>
              <w:t xml:space="preserve">频响范围 2-20000Hz </w:t>
            </w:r>
          </w:p>
          <w:p>
            <w:pPr>
              <w:jc w:val="left"/>
              <w:rPr>
                <w:rFonts w:hint="eastAsia" w:ascii="仿宋_GB2312" w:eastAsia="仿宋_GB2312"/>
                <w:sz w:val="24"/>
                <w:szCs w:val="28"/>
              </w:rPr>
            </w:pPr>
            <w:r>
              <w:rPr>
                <w:rFonts w:hint="eastAsia" w:ascii="仿宋_GB2312" w:eastAsia="仿宋_GB2312"/>
                <w:sz w:val="24"/>
                <w:szCs w:val="28"/>
              </w:rPr>
              <w:t xml:space="preserve">线长 1.2mOFC无氧铜线，3.5mm立体声 </w:t>
            </w:r>
          </w:p>
          <w:p>
            <w:pPr>
              <w:jc w:val="left"/>
              <w:rPr>
                <w:rFonts w:hint="eastAsia" w:ascii="仿宋_GB2312" w:eastAsia="仿宋_GB2312"/>
                <w:sz w:val="24"/>
                <w:szCs w:val="28"/>
              </w:rPr>
            </w:pPr>
            <w:r>
              <w:rPr>
                <w:rFonts w:hint="eastAsia" w:ascii="仿宋_GB2312" w:eastAsia="仿宋_GB2312"/>
                <w:sz w:val="24"/>
                <w:szCs w:val="28"/>
              </w:rPr>
              <w:t xml:space="preserve">重量 6g（不含导线） </w:t>
            </w:r>
          </w:p>
          <w:p>
            <w:pPr>
              <w:jc w:val="left"/>
              <w:rPr>
                <w:rFonts w:hint="eastAsia" w:ascii="仿宋_GB2312" w:eastAsia="仿宋_GB2312"/>
                <w:sz w:val="24"/>
                <w:szCs w:val="28"/>
              </w:rPr>
            </w:pPr>
            <w:r>
              <w:rPr>
                <w:rFonts w:hint="eastAsia" w:ascii="仿宋_GB2312" w:eastAsia="仿宋_GB2312"/>
                <w:sz w:val="24"/>
                <w:szCs w:val="28"/>
              </w:rPr>
              <w:t>总谐波失真：小于等于1%；</w:t>
            </w:r>
          </w:p>
          <w:p>
            <w:pPr>
              <w:jc w:val="left"/>
              <w:rPr>
                <w:rFonts w:hint="eastAsia" w:ascii="仿宋_GB2312" w:eastAsia="仿宋_GB2312"/>
                <w:sz w:val="24"/>
                <w:szCs w:val="28"/>
              </w:rPr>
            </w:pPr>
            <w:r>
              <w:rPr>
                <w:rFonts w:hint="eastAsia" w:ascii="仿宋_GB2312" w:eastAsia="仿宋_GB2312"/>
                <w:sz w:val="24"/>
                <w:szCs w:val="28"/>
              </w:rPr>
              <w:t xml:space="preserve">声压级：（@1KHz，1Vrms） 114db </w:t>
            </w:r>
          </w:p>
        </w:tc>
        <w:tc>
          <w:tcPr>
            <w:tcW w:w="733"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5</w:t>
            </w:r>
            <w:r>
              <w:rPr>
                <w:rFonts w:hint="eastAsia" w:ascii="仿宋_GB2312" w:eastAsia="仿宋_GB2312"/>
                <w:sz w:val="24"/>
                <w:szCs w:val="28"/>
                <w:lang w:val="en-US" w:eastAsia="zh-CN"/>
              </w:rPr>
              <w:t>副</w:t>
            </w:r>
          </w:p>
        </w:tc>
        <w:tc>
          <w:tcPr>
            <w:tcW w:w="1221"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4"/>
                <w:szCs w:val="24"/>
                <w:u w:val="none"/>
                <w:lang w:val="en-US" w:eastAsia="zh-CN" w:bidi="ar-SA"/>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4"/>
              </w:numPr>
              <w:ind w:firstLineChars="0"/>
              <w:jc w:val="center"/>
              <w:rPr>
                <w:rFonts w:hint="eastAsia" w:ascii="仿宋_GB2312" w:eastAsia="仿宋_GB2312"/>
                <w:sz w:val="24"/>
                <w:szCs w:val="28"/>
              </w:rPr>
            </w:pPr>
          </w:p>
        </w:tc>
        <w:tc>
          <w:tcPr>
            <w:tcW w:w="1906"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加重话筒支架</w:t>
            </w:r>
          </w:p>
        </w:tc>
        <w:tc>
          <w:tcPr>
            <w:tcW w:w="4571" w:type="dxa"/>
            <w:vAlign w:val="center"/>
          </w:tcPr>
          <w:p>
            <w:pPr>
              <w:jc w:val="left"/>
              <w:rPr>
                <w:rFonts w:hint="eastAsia" w:ascii="仿宋_GB2312" w:eastAsia="仿宋_GB2312"/>
                <w:sz w:val="24"/>
                <w:szCs w:val="28"/>
              </w:rPr>
            </w:pPr>
            <w:r>
              <w:rPr>
                <w:rFonts w:hint="eastAsia" w:ascii="仿宋_GB2312" w:eastAsia="仿宋_GB2312"/>
                <w:sz w:val="24"/>
                <w:szCs w:val="28"/>
              </w:rPr>
              <w:t>话筒承重：2.3kg</w:t>
            </w:r>
          </w:p>
          <w:p>
            <w:pPr>
              <w:jc w:val="left"/>
              <w:rPr>
                <w:rFonts w:hint="eastAsia" w:ascii="仿宋_GB2312" w:eastAsia="仿宋_GB2312"/>
                <w:sz w:val="24"/>
                <w:szCs w:val="28"/>
              </w:rPr>
            </w:pPr>
            <w:r>
              <w:rPr>
                <w:rFonts w:hint="eastAsia" w:ascii="仿宋_GB2312" w:eastAsia="仿宋_GB2312"/>
                <w:sz w:val="24"/>
                <w:szCs w:val="28"/>
              </w:rPr>
              <w:t xml:space="preserve">高度：115-220 cm </w:t>
            </w:r>
          </w:p>
          <w:p>
            <w:pPr>
              <w:jc w:val="left"/>
              <w:rPr>
                <w:rFonts w:hint="eastAsia" w:ascii="仿宋_GB2312" w:eastAsia="仿宋_GB2312"/>
                <w:sz w:val="24"/>
                <w:szCs w:val="28"/>
              </w:rPr>
            </w:pPr>
            <w:r>
              <w:rPr>
                <w:rFonts w:hint="eastAsia" w:ascii="仿宋_GB2312" w:eastAsia="仿宋_GB2312"/>
                <w:sz w:val="24"/>
                <w:szCs w:val="28"/>
              </w:rPr>
              <w:t>斜杆长度：123-220 cm</w:t>
            </w:r>
          </w:p>
          <w:p>
            <w:pPr>
              <w:jc w:val="left"/>
              <w:rPr>
                <w:rFonts w:hint="eastAsia" w:ascii="仿宋_GB2312" w:eastAsia="仿宋_GB2312"/>
                <w:sz w:val="24"/>
                <w:szCs w:val="28"/>
              </w:rPr>
            </w:pPr>
            <w:r>
              <w:rPr>
                <w:rFonts w:hint="eastAsia" w:ascii="仿宋_GB2312" w:eastAsia="仿宋_GB2312"/>
                <w:sz w:val="24"/>
                <w:szCs w:val="28"/>
              </w:rPr>
              <w:t>重量：13 kg</w:t>
            </w:r>
          </w:p>
          <w:p>
            <w:pPr>
              <w:jc w:val="left"/>
              <w:rPr>
                <w:rFonts w:hint="eastAsia" w:ascii="仿宋_GB2312" w:eastAsia="仿宋_GB2312"/>
                <w:sz w:val="24"/>
                <w:szCs w:val="28"/>
              </w:rPr>
            </w:pPr>
            <w:r>
              <w:rPr>
                <w:rFonts w:hint="eastAsia" w:ascii="仿宋_GB2312" w:eastAsia="仿宋_GB2312"/>
                <w:sz w:val="24"/>
                <w:szCs w:val="28"/>
              </w:rPr>
              <w:t>材质：铁</w:t>
            </w:r>
          </w:p>
          <w:p>
            <w:pPr>
              <w:jc w:val="left"/>
              <w:rPr>
                <w:rFonts w:hint="eastAsia" w:ascii="仿宋_GB2312" w:eastAsia="仿宋_GB2312"/>
                <w:sz w:val="24"/>
                <w:szCs w:val="28"/>
              </w:rPr>
            </w:pPr>
            <w:r>
              <w:rPr>
                <w:rFonts w:hint="eastAsia" w:ascii="仿宋_GB2312" w:eastAsia="仿宋_GB2312"/>
                <w:sz w:val="24"/>
                <w:szCs w:val="28"/>
              </w:rPr>
              <w:t>底座脚轮：塑胶</w:t>
            </w:r>
          </w:p>
        </w:tc>
        <w:tc>
          <w:tcPr>
            <w:tcW w:w="733"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1</w:t>
            </w:r>
            <w:r>
              <w:rPr>
                <w:rFonts w:hint="eastAsia" w:ascii="仿宋_GB2312" w:eastAsia="仿宋_GB2312"/>
                <w:sz w:val="24"/>
                <w:szCs w:val="28"/>
                <w:lang w:val="en-US" w:eastAsia="zh-CN"/>
              </w:rPr>
              <w:t>个</w:t>
            </w:r>
          </w:p>
        </w:tc>
        <w:tc>
          <w:tcPr>
            <w:tcW w:w="1221"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4"/>
                <w:szCs w:val="24"/>
                <w:u w:val="none"/>
                <w:lang w:val="en-US" w:eastAsia="zh-CN" w:bidi="ar-SA"/>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4"/>
              </w:numPr>
              <w:ind w:firstLineChars="0"/>
              <w:jc w:val="center"/>
              <w:rPr>
                <w:rFonts w:hint="eastAsia" w:ascii="仿宋_GB2312" w:eastAsia="仿宋_GB2312"/>
                <w:sz w:val="24"/>
                <w:szCs w:val="28"/>
              </w:rPr>
            </w:pPr>
          </w:p>
        </w:tc>
        <w:tc>
          <w:tcPr>
            <w:tcW w:w="1906"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乐器话筒支架</w:t>
            </w:r>
          </w:p>
        </w:tc>
        <w:tc>
          <w:tcPr>
            <w:tcW w:w="4571" w:type="dxa"/>
            <w:vAlign w:val="center"/>
          </w:tcPr>
          <w:p>
            <w:pPr>
              <w:jc w:val="left"/>
              <w:rPr>
                <w:rFonts w:hint="eastAsia" w:ascii="仿宋_GB2312" w:eastAsia="仿宋_GB2312"/>
                <w:sz w:val="24"/>
                <w:szCs w:val="28"/>
              </w:rPr>
            </w:pPr>
            <w:r>
              <w:rPr>
                <w:rFonts w:hint="eastAsia" w:ascii="仿宋_GB2312" w:eastAsia="仿宋_GB2312"/>
                <w:sz w:val="24"/>
                <w:szCs w:val="28"/>
              </w:rPr>
              <w:t>重量:2.4kg</w:t>
            </w:r>
          </w:p>
          <w:p>
            <w:pPr>
              <w:jc w:val="left"/>
              <w:rPr>
                <w:rFonts w:hint="eastAsia" w:ascii="仿宋_GB2312" w:eastAsia="仿宋_GB2312"/>
                <w:sz w:val="24"/>
                <w:szCs w:val="28"/>
              </w:rPr>
            </w:pPr>
            <w:r>
              <w:rPr>
                <w:rFonts w:hint="eastAsia" w:ascii="仿宋_GB2312" w:eastAsia="仿宋_GB2312"/>
                <w:sz w:val="24"/>
                <w:szCs w:val="28"/>
              </w:rPr>
              <w:t>高度:700-1700mm</w:t>
            </w:r>
          </w:p>
          <w:p>
            <w:pPr>
              <w:jc w:val="left"/>
              <w:rPr>
                <w:rFonts w:hint="eastAsia" w:ascii="仿宋_GB2312" w:eastAsia="仿宋_GB2312"/>
                <w:sz w:val="24"/>
                <w:szCs w:val="28"/>
              </w:rPr>
            </w:pPr>
            <w:r>
              <w:rPr>
                <w:rFonts w:hint="eastAsia" w:ascii="仿宋_GB2312" w:eastAsia="仿宋_GB2312"/>
                <w:sz w:val="24"/>
                <w:szCs w:val="28"/>
              </w:rPr>
              <w:t xml:space="preserve">横杆长度:800mm </w:t>
            </w:r>
          </w:p>
        </w:tc>
        <w:tc>
          <w:tcPr>
            <w:tcW w:w="733"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2</w:t>
            </w:r>
            <w:r>
              <w:rPr>
                <w:rFonts w:hint="eastAsia" w:ascii="仿宋_GB2312" w:eastAsia="仿宋_GB2312"/>
                <w:sz w:val="24"/>
                <w:szCs w:val="28"/>
                <w:lang w:val="en-US" w:eastAsia="zh-CN"/>
              </w:rPr>
              <w:t>个</w:t>
            </w:r>
          </w:p>
        </w:tc>
        <w:tc>
          <w:tcPr>
            <w:tcW w:w="1221"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4"/>
                <w:szCs w:val="24"/>
                <w:u w:val="none"/>
                <w:lang w:val="en-US" w:eastAsia="zh-CN" w:bidi="ar-SA"/>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4"/>
              </w:numPr>
              <w:ind w:firstLineChars="0"/>
              <w:jc w:val="center"/>
              <w:rPr>
                <w:rFonts w:hint="eastAsia" w:ascii="仿宋_GB2312" w:eastAsia="仿宋_GB2312"/>
                <w:sz w:val="24"/>
                <w:szCs w:val="28"/>
              </w:rPr>
            </w:pPr>
          </w:p>
        </w:tc>
        <w:tc>
          <w:tcPr>
            <w:tcW w:w="1906"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防喷罩</w:t>
            </w:r>
          </w:p>
        </w:tc>
        <w:tc>
          <w:tcPr>
            <w:tcW w:w="4571" w:type="dxa"/>
            <w:vAlign w:val="center"/>
          </w:tcPr>
          <w:p>
            <w:pPr>
              <w:jc w:val="left"/>
              <w:rPr>
                <w:rFonts w:hint="eastAsia" w:ascii="仿宋_GB2312" w:eastAsia="仿宋_GB2312"/>
                <w:sz w:val="24"/>
                <w:szCs w:val="28"/>
              </w:rPr>
            </w:pPr>
            <w:r>
              <w:rPr>
                <w:rFonts w:hint="eastAsia" w:ascii="仿宋_GB2312" w:eastAsia="仿宋_GB2312"/>
                <w:sz w:val="24"/>
                <w:szCs w:val="28"/>
              </w:rPr>
              <w:t>颜色：黑色</w:t>
            </w:r>
          </w:p>
          <w:p>
            <w:pPr>
              <w:jc w:val="left"/>
              <w:rPr>
                <w:rFonts w:hint="eastAsia" w:ascii="仿宋_GB2312" w:eastAsia="仿宋_GB2312"/>
                <w:sz w:val="24"/>
                <w:szCs w:val="28"/>
              </w:rPr>
            </w:pPr>
            <w:r>
              <w:rPr>
                <w:rFonts w:hint="eastAsia" w:ascii="仿宋_GB2312" w:eastAsia="仿宋_GB2312"/>
                <w:sz w:val="24"/>
                <w:szCs w:val="28"/>
              </w:rPr>
              <w:t>结构：网状放喷罩</w:t>
            </w:r>
          </w:p>
          <w:p>
            <w:pPr>
              <w:jc w:val="left"/>
              <w:rPr>
                <w:rFonts w:hint="eastAsia" w:ascii="仿宋_GB2312" w:eastAsia="仿宋_GB2312"/>
                <w:sz w:val="24"/>
                <w:szCs w:val="28"/>
              </w:rPr>
            </w:pPr>
            <w:r>
              <w:rPr>
                <w:rFonts w:hint="eastAsia" w:ascii="仿宋_GB2312" w:eastAsia="仿宋_GB2312"/>
                <w:sz w:val="24"/>
                <w:szCs w:val="28"/>
              </w:rPr>
              <w:t>支架：万向软轴</w:t>
            </w:r>
          </w:p>
          <w:p>
            <w:pPr>
              <w:jc w:val="left"/>
              <w:rPr>
                <w:rFonts w:hint="eastAsia" w:ascii="仿宋_GB2312" w:eastAsia="仿宋_GB2312"/>
                <w:sz w:val="24"/>
                <w:szCs w:val="28"/>
              </w:rPr>
            </w:pPr>
            <w:r>
              <w:rPr>
                <w:rFonts w:hint="eastAsia" w:ascii="仿宋_GB2312" w:eastAsia="仿宋_GB2312"/>
                <w:sz w:val="24"/>
                <w:szCs w:val="28"/>
              </w:rPr>
              <w:t>重量：0.4kg</w:t>
            </w:r>
          </w:p>
        </w:tc>
        <w:tc>
          <w:tcPr>
            <w:tcW w:w="733" w:type="dxa"/>
            <w:vAlign w:val="center"/>
          </w:tcPr>
          <w:p>
            <w:pPr>
              <w:jc w:val="center"/>
              <w:rPr>
                <w:rFonts w:hint="eastAsia" w:ascii="仿宋_GB2312" w:eastAsia="仿宋_GB2312"/>
                <w:sz w:val="24"/>
                <w:szCs w:val="28"/>
              </w:rPr>
            </w:pPr>
            <w:r>
              <w:rPr>
                <w:rFonts w:hint="eastAsia" w:ascii="仿宋_GB2312" w:eastAsia="仿宋_GB2312"/>
                <w:sz w:val="24"/>
                <w:szCs w:val="28"/>
                <w:lang w:val="en-US" w:eastAsia="zh-CN"/>
              </w:rPr>
              <w:t>1个</w:t>
            </w:r>
          </w:p>
        </w:tc>
        <w:tc>
          <w:tcPr>
            <w:tcW w:w="1221"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4"/>
                <w:szCs w:val="24"/>
                <w:u w:val="none"/>
                <w:lang w:val="en-US" w:eastAsia="zh-CN" w:bidi="ar-SA"/>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4"/>
              </w:numPr>
              <w:ind w:firstLineChars="0"/>
              <w:jc w:val="center"/>
              <w:rPr>
                <w:rFonts w:hint="eastAsia" w:ascii="仿宋_GB2312" w:eastAsia="仿宋_GB2312"/>
                <w:sz w:val="24"/>
                <w:szCs w:val="28"/>
              </w:rPr>
            </w:pPr>
          </w:p>
        </w:tc>
        <w:tc>
          <w:tcPr>
            <w:tcW w:w="1906"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音频工作站</w:t>
            </w:r>
          </w:p>
        </w:tc>
        <w:tc>
          <w:tcPr>
            <w:tcW w:w="4571" w:type="dxa"/>
            <w:vAlign w:val="center"/>
          </w:tcPr>
          <w:p>
            <w:pPr>
              <w:jc w:val="left"/>
              <w:rPr>
                <w:rFonts w:hint="eastAsia" w:ascii="仿宋_GB2312" w:eastAsia="仿宋_GB2312"/>
                <w:sz w:val="24"/>
                <w:szCs w:val="28"/>
              </w:rPr>
            </w:pPr>
            <w:r>
              <w:rPr>
                <w:rFonts w:hint="eastAsia" w:ascii="仿宋_GB2312" w:eastAsia="仿宋_GB2312"/>
                <w:sz w:val="24"/>
                <w:szCs w:val="28"/>
              </w:rPr>
              <w:t>Intel Mac与Mac OS X10.8.5或更高版本 Intel酷睿i5微处理器</w:t>
            </w:r>
          </w:p>
          <w:p>
            <w:pPr>
              <w:jc w:val="left"/>
              <w:rPr>
                <w:rFonts w:hint="eastAsia" w:ascii="仿宋_GB2312" w:eastAsia="仿宋_GB2312"/>
                <w:sz w:val="24"/>
                <w:szCs w:val="28"/>
              </w:rPr>
            </w:pPr>
            <w:r>
              <w:rPr>
                <w:rFonts w:hint="eastAsia" w:ascii="仿宋_GB2312" w:eastAsia="仿宋_GB2312"/>
                <w:sz w:val="24"/>
                <w:szCs w:val="28"/>
              </w:rPr>
              <w:t>4GB RAM(8GB以上用于视频播放) 互联网连接安装</w:t>
            </w:r>
          </w:p>
          <w:p>
            <w:pPr>
              <w:jc w:val="left"/>
              <w:rPr>
                <w:rFonts w:hint="eastAsia" w:ascii="仿宋_GB2312" w:eastAsia="仿宋_GB2312"/>
                <w:sz w:val="24"/>
                <w:szCs w:val="28"/>
                <w:lang w:eastAsia="zh-CN"/>
              </w:rPr>
            </w:pPr>
            <w:r>
              <w:rPr>
                <w:rFonts w:hint="eastAsia" w:ascii="仿宋_GB2312" w:eastAsia="仿宋_GB2312"/>
                <w:sz w:val="24"/>
                <w:szCs w:val="28"/>
              </w:rPr>
              <w:t>用于安装的15GB磁盘空间 USB端口进行的iLok2授权 USB端口</w:t>
            </w:r>
            <w:r>
              <w:rPr>
                <w:rFonts w:hint="eastAsia" w:ascii="仿宋_GB2312" w:eastAsia="仿宋_GB2312"/>
                <w:sz w:val="24"/>
                <w:szCs w:val="28"/>
                <w:lang w:eastAsia="zh-CN"/>
              </w:rPr>
              <w:t>。</w:t>
            </w:r>
          </w:p>
          <w:p>
            <w:pPr>
              <w:jc w:val="left"/>
              <w:rPr>
                <w:rFonts w:hint="eastAsia" w:ascii="仿宋_GB2312" w:eastAsia="仿宋_GB2312"/>
                <w:sz w:val="24"/>
                <w:szCs w:val="28"/>
              </w:rPr>
            </w:pPr>
            <w:r>
              <w:rPr>
                <w:rFonts w:hint="eastAsia" w:ascii="仿宋_GB2312" w:eastAsia="仿宋_GB2312"/>
                <w:sz w:val="24"/>
                <w:szCs w:val="28"/>
              </w:rPr>
              <w:t>Windows:Intel PC与Windows 7 64位(家庭高级 版，专业版和旗舰版)，或 Windows8/8.1(标准版和专业版)</w:t>
            </w:r>
            <w:r>
              <w:rPr>
                <w:rFonts w:hint="eastAsia" w:ascii="仿宋_GB2312" w:eastAsia="仿宋_GB2312"/>
                <w:sz w:val="24"/>
                <w:szCs w:val="28"/>
                <w:lang w:eastAsia="zh-CN"/>
              </w:rPr>
              <w:t>，</w:t>
            </w:r>
            <w:r>
              <w:rPr>
                <w:rFonts w:hint="eastAsia" w:ascii="仿宋_GB2312" w:eastAsia="仿宋_GB2312"/>
                <w:sz w:val="24"/>
                <w:szCs w:val="28"/>
              </w:rPr>
              <w:t>Intel 酷睿i5处理器</w:t>
            </w:r>
          </w:p>
          <w:p>
            <w:pPr>
              <w:jc w:val="left"/>
              <w:rPr>
                <w:rFonts w:hint="eastAsia" w:ascii="仿宋_GB2312" w:eastAsia="仿宋_GB2312"/>
                <w:sz w:val="24"/>
                <w:szCs w:val="28"/>
              </w:rPr>
            </w:pPr>
            <w:r>
              <w:rPr>
                <w:rFonts w:hint="eastAsia" w:ascii="仿宋_GB2312" w:eastAsia="仿宋_GB2312"/>
                <w:sz w:val="24"/>
                <w:szCs w:val="28"/>
              </w:rPr>
              <w:t>4GB RAM(8GB以上推荐) 互联网连接安装 用于安装的15GB磁盘空间 USB端口进行的iLok2授权 USB端口或FireWire端口的ASIO支持的音 频设备</w:t>
            </w:r>
          </w:p>
          <w:p>
            <w:pPr>
              <w:jc w:val="left"/>
              <w:rPr>
                <w:rFonts w:hint="eastAsia" w:ascii="仿宋_GB2312" w:eastAsia="仿宋_GB2312"/>
                <w:sz w:val="24"/>
                <w:szCs w:val="28"/>
              </w:rPr>
            </w:pPr>
            <w:r>
              <w:rPr>
                <w:rFonts w:hint="eastAsia" w:ascii="仿宋_GB2312" w:eastAsia="仿宋_GB2312"/>
                <w:sz w:val="24"/>
                <w:szCs w:val="28"/>
              </w:rPr>
              <w:t xml:space="preserve">支持AAX插件 </w:t>
            </w:r>
          </w:p>
        </w:tc>
        <w:tc>
          <w:tcPr>
            <w:tcW w:w="733"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1</w:t>
            </w:r>
            <w:r>
              <w:rPr>
                <w:rFonts w:hint="eastAsia" w:ascii="仿宋_GB2312" w:eastAsia="仿宋_GB2312"/>
                <w:sz w:val="24"/>
                <w:szCs w:val="28"/>
                <w:lang w:val="en-US" w:eastAsia="zh-CN"/>
              </w:rPr>
              <w:t>套</w:t>
            </w:r>
          </w:p>
        </w:tc>
        <w:tc>
          <w:tcPr>
            <w:tcW w:w="1221"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4"/>
                <w:szCs w:val="24"/>
                <w:u w:val="none"/>
                <w:lang w:val="en-US" w:eastAsia="zh-CN" w:bidi="ar-SA"/>
              </w:rPr>
            </w:pPr>
          </w:p>
        </w:tc>
        <w:tc>
          <w:tcPr>
            <w:tcW w:w="859" w:type="dxa"/>
            <w:vAlign w:val="center"/>
          </w:tcPr>
          <w:p>
            <w:pPr>
              <w:jc w:val="center"/>
              <w:rPr>
                <w:rFonts w:hint="default" w:ascii="仿宋_GB2312" w:eastAsia="仿宋_GB2312"/>
                <w:color w:val="FF000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4"/>
              </w:numPr>
              <w:ind w:firstLineChars="0"/>
              <w:jc w:val="center"/>
              <w:rPr>
                <w:rFonts w:hint="eastAsia" w:ascii="仿宋_GB2312" w:eastAsia="仿宋_GB2312"/>
                <w:sz w:val="24"/>
                <w:szCs w:val="28"/>
              </w:rPr>
            </w:pPr>
          </w:p>
        </w:tc>
        <w:tc>
          <w:tcPr>
            <w:tcW w:w="1906" w:type="dxa"/>
            <w:vAlign w:val="center"/>
          </w:tcPr>
          <w:p>
            <w:pPr>
              <w:jc w:val="center"/>
              <w:rPr>
                <w:rFonts w:hint="default" w:ascii="仿宋_GB2312" w:eastAsia="仿宋_GB2312"/>
                <w:sz w:val="24"/>
                <w:szCs w:val="28"/>
                <w:lang w:val="en-US" w:eastAsia="zh-CN"/>
              </w:rPr>
            </w:pPr>
            <w:r>
              <w:rPr>
                <w:rFonts w:hint="eastAsia" w:ascii="仿宋_GB2312" w:eastAsia="仿宋_GB2312"/>
                <w:sz w:val="24"/>
                <w:szCs w:val="28"/>
                <w:lang w:val="en-US" w:eastAsia="zh-CN"/>
              </w:rPr>
              <w:t>控制台</w:t>
            </w:r>
          </w:p>
        </w:tc>
        <w:tc>
          <w:tcPr>
            <w:tcW w:w="4571" w:type="dxa"/>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eastAsia="仿宋_GB2312" w:hAnsiTheme="minorHAnsi" w:cstheme="minorBidi"/>
                <w:kern w:val="2"/>
                <w:sz w:val="24"/>
                <w:szCs w:val="28"/>
                <w:lang w:val="en-US" w:eastAsia="zh-CN" w:bidi="ar-SA"/>
              </w:rPr>
            </w:pPr>
            <w:r>
              <w:rPr>
                <w:rFonts w:hint="default" w:ascii="仿宋_GB2312" w:eastAsia="仿宋_GB2312" w:hAnsiTheme="minorHAnsi" w:cstheme="minorBidi"/>
                <w:kern w:val="2"/>
                <w:sz w:val="24"/>
                <w:szCs w:val="28"/>
                <w:lang w:val="en-US" w:eastAsia="zh-CN" w:bidi="ar-SA"/>
              </w:rPr>
              <w:t>输入和输出：24轨混音控台，带有推子和旋钮</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仿宋_GB2312" w:eastAsia="仿宋_GB2312" w:hAnsiTheme="minorHAnsi" w:cstheme="minorBidi"/>
                <w:kern w:val="2"/>
                <w:sz w:val="24"/>
                <w:szCs w:val="28"/>
                <w:lang w:val="en-US" w:eastAsia="zh-CN" w:bidi="ar-SA"/>
              </w:rPr>
            </w:pPr>
            <w:r>
              <w:rPr>
                <w:rFonts w:hint="default" w:ascii="仿宋_GB2312" w:eastAsia="仿宋_GB2312" w:hAnsiTheme="minorHAnsi" w:cstheme="minorBidi"/>
                <w:kern w:val="2"/>
                <w:sz w:val="24"/>
                <w:szCs w:val="28"/>
                <w:lang w:val="en-US" w:eastAsia="zh-CN" w:bidi="ar-SA"/>
              </w:rPr>
              <w:t>接口：输入DB25 /XLR;输出：XLR</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仿宋_GB2312" w:eastAsia="仿宋_GB2312" w:hAnsiTheme="minorHAnsi" w:cstheme="minorBidi"/>
                <w:kern w:val="2"/>
                <w:sz w:val="24"/>
                <w:szCs w:val="28"/>
                <w:lang w:val="en-US" w:eastAsia="zh-CN" w:bidi="ar-SA"/>
              </w:rPr>
            </w:pPr>
            <w:r>
              <w:rPr>
                <w:rFonts w:hint="default" w:ascii="仿宋_GB2312" w:eastAsia="仿宋_GB2312" w:hAnsiTheme="minorHAnsi" w:cstheme="minorBidi"/>
                <w:kern w:val="2"/>
                <w:sz w:val="24"/>
                <w:szCs w:val="28"/>
                <w:lang w:val="en-US" w:eastAsia="zh-CN" w:bidi="ar-SA"/>
              </w:rPr>
              <w:t>输入阻抗：10kOhm平衡； 20kOhm不平衡</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仿宋_GB2312" w:eastAsia="仿宋_GB2312" w:hAnsiTheme="minorHAnsi" w:cstheme="minorBidi"/>
                <w:kern w:val="2"/>
                <w:sz w:val="24"/>
                <w:szCs w:val="28"/>
                <w:lang w:val="en-US" w:eastAsia="zh-CN" w:bidi="ar-SA"/>
              </w:rPr>
            </w:pPr>
            <w:r>
              <w:rPr>
                <w:rFonts w:hint="default" w:ascii="仿宋_GB2312" w:eastAsia="仿宋_GB2312" w:hAnsiTheme="minorHAnsi" w:cstheme="minorBidi"/>
                <w:kern w:val="2"/>
                <w:sz w:val="24"/>
                <w:szCs w:val="28"/>
                <w:lang w:val="en-US" w:eastAsia="zh-CN" w:bidi="ar-SA"/>
              </w:rPr>
              <w:t>输出阻抗：75Ohm平衡； 75Ohm不平衡</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仿宋_GB2312" w:eastAsia="仿宋_GB2312" w:hAnsiTheme="minorHAnsi" w:cstheme="minorBidi"/>
                <w:kern w:val="2"/>
                <w:sz w:val="24"/>
                <w:szCs w:val="28"/>
                <w:lang w:val="en-US" w:eastAsia="zh-CN" w:bidi="ar-SA"/>
              </w:rPr>
            </w:pPr>
            <w:r>
              <w:rPr>
                <w:rFonts w:hint="default" w:ascii="仿宋_GB2312" w:eastAsia="仿宋_GB2312" w:hAnsiTheme="minorHAnsi" w:cstheme="minorBidi"/>
                <w:kern w:val="2"/>
                <w:sz w:val="24"/>
                <w:szCs w:val="28"/>
                <w:lang w:val="en-US" w:eastAsia="zh-CN" w:bidi="ar-SA"/>
              </w:rPr>
              <w:t>标称输入电平：+ 4dBu</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仿宋_GB2312" w:eastAsia="仿宋_GB2312" w:hAnsiTheme="minorHAnsi" w:cstheme="minorBidi"/>
                <w:kern w:val="2"/>
                <w:sz w:val="24"/>
                <w:szCs w:val="28"/>
                <w:lang w:val="en-US" w:eastAsia="zh-CN" w:bidi="ar-SA"/>
              </w:rPr>
            </w:pPr>
            <w:r>
              <w:rPr>
                <w:rFonts w:hint="default" w:ascii="仿宋_GB2312" w:eastAsia="仿宋_GB2312" w:hAnsiTheme="minorHAnsi" w:cstheme="minorBidi"/>
                <w:kern w:val="2"/>
                <w:sz w:val="24"/>
                <w:szCs w:val="28"/>
                <w:lang w:val="en-US" w:eastAsia="zh-CN" w:bidi="ar-SA"/>
              </w:rPr>
              <w:t>输入电平 gt; + 30dBu（30dBu）</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eastAsia="仿宋_GB2312"/>
                <w:sz w:val="24"/>
                <w:szCs w:val="28"/>
              </w:rPr>
            </w:pPr>
            <w:r>
              <w:rPr>
                <w:rFonts w:hint="default" w:ascii="仿宋_GB2312" w:eastAsia="仿宋_GB2312" w:hAnsiTheme="minorHAnsi" w:cstheme="minorBidi"/>
                <w:kern w:val="2"/>
                <w:sz w:val="24"/>
                <w:szCs w:val="28"/>
                <w:lang w:val="en-US" w:eastAsia="zh-CN" w:bidi="ar-SA"/>
              </w:rPr>
              <w:t>输出电平 gt; 24dBu</w:t>
            </w:r>
          </w:p>
        </w:tc>
        <w:tc>
          <w:tcPr>
            <w:tcW w:w="733" w:type="dxa"/>
            <w:vAlign w:val="center"/>
          </w:tcPr>
          <w:p>
            <w:pPr>
              <w:jc w:val="center"/>
              <w:rPr>
                <w:rFonts w:hint="default" w:ascii="仿宋_GB2312" w:eastAsia="仿宋_GB2312"/>
                <w:sz w:val="24"/>
                <w:szCs w:val="28"/>
                <w:lang w:val="en-US" w:eastAsia="zh-CN"/>
              </w:rPr>
            </w:pPr>
            <w:r>
              <w:rPr>
                <w:rFonts w:hint="eastAsia" w:ascii="仿宋_GB2312" w:eastAsia="仿宋_GB2312"/>
                <w:sz w:val="24"/>
                <w:szCs w:val="28"/>
                <w:lang w:val="en-US" w:eastAsia="zh-CN"/>
              </w:rPr>
              <w:t>1台</w:t>
            </w:r>
          </w:p>
        </w:tc>
        <w:tc>
          <w:tcPr>
            <w:tcW w:w="1221" w:type="dxa"/>
            <w:vAlign w:val="center"/>
          </w:tcPr>
          <w:p>
            <w:pPr>
              <w:jc w:val="center"/>
              <w:rPr>
                <w:rFonts w:hint="default" w:ascii="仿宋_GB2312" w:eastAsia="仿宋_GB2312"/>
                <w:sz w:val="24"/>
                <w:szCs w:val="28"/>
                <w:lang w:val="en-US" w:eastAsia="zh-CN"/>
              </w:rPr>
            </w:pPr>
          </w:p>
        </w:tc>
        <w:tc>
          <w:tcPr>
            <w:tcW w:w="859" w:type="dxa"/>
            <w:vAlign w:val="center"/>
          </w:tcPr>
          <w:p>
            <w:pPr>
              <w:jc w:val="center"/>
              <w:rPr>
                <w:rFonts w:hint="default" w:ascii="仿宋_GB2312" w:eastAsia="仿宋_GB2312"/>
                <w:color w:val="FF000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04" w:type="dxa"/>
            <w:vAlign w:val="center"/>
          </w:tcPr>
          <w:p>
            <w:pPr>
              <w:pStyle w:val="32"/>
              <w:numPr>
                <w:ilvl w:val="0"/>
                <w:numId w:val="4"/>
              </w:numPr>
              <w:ind w:firstLineChars="0"/>
              <w:jc w:val="center"/>
              <w:rPr>
                <w:rFonts w:hint="eastAsia" w:ascii="仿宋_GB2312" w:eastAsia="仿宋_GB2312"/>
                <w:sz w:val="24"/>
                <w:szCs w:val="28"/>
              </w:rPr>
            </w:pPr>
          </w:p>
        </w:tc>
        <w:tc>
          <w:tcPr>
            <w:tcW w:w="1906" w:type="dxa"/>
            <w:vAlign w:val="center"/>
          </w:tcPr>
          <w:p>
            <w:pPr>
              <w:jc w:val="center"/>
              <w:rPr>
                <w:rFonts w:hint="eastAsia" w:ascii="仿宋_GB2312" w:eastAsia="仿宋_GB2312"/>
                <w:color w:val="auto"/>
                <w:sz w:val="24"/>
                <w:szCs w:val="28"/>
              </w:rPr>
            </w:pPr>
            <w:r>
              <w:rPr>
                <w:rFonts w:hint="default" w:ascii="仿宋_GB2312" w:eastAsia="仿宋_GB2312"/>
                <w:color w:val="auto"/>
                <w:sz w:val="24"/>
                <w:szCs w:val="28"/>
                <w:lang w:val="en-US" w:eastAsia="zh-CN"/>
              </w:rPr>
              <w:t>MIDI键盘</w:t>
            </w:r>
          </w:p>
        </w:tc>
        <w:tc>
          <w:tcPr>
            <w:tcW w:w="4571" w:type="dxa"/>
            <w:vAlign w:val="center"/>
          </w:tcPr>
          <w:p>
            <w:pPr>
              <w:jc w:val="left"/>
              <w:rPr>
                <w:rFonts w:hint="eastAsia" w:ascii="仿宋_GB2312" w:eastAsia="仿宋_GB2312"/>
                <w:color w:val="auto"/>
                <w:sz w:val="24"/>
                <w:szCs w:val="28"/>
              </w:rPr>
            </w:pPr>
            <w:r>
              <w:rPr>
                <w:rFonts w:hint="eastAsia" w:ascii="仿宋_GB2312" w:eastAsia="仿宋_GB2312"/>
                <w:color w:val="auto"/>
                <w:sz w:val="24"/>
                <w:szCs w:val="28"/>
              </w:rPr>
              <w:t>能拥有经过专业设计的参数控制预映射，并且完整支持 VST</w:t>
            </w:r>
            <w:r>
              <w:rPr>
                <w:rFonts w:hint="eastAsia" w:ascii="仿宋_GB2312" w:eastAsia="仿宋_GB2312"/>
                <w:color w:val="auto"/>
                <w:sz w:val="24"/>
                <w:szCs w:val="28"/>
                <w:lang w:eastAsia="zh-CN"/>
              </w:rPr>
              <w:t>，</w:t>
            </w:r>
            <w:r>
              <w:rPr>
                <w:rFonts w:hint="eastAsia" w:ascii="仿宋_GB2312" w:eastAsia="仿宋_GB2312"/>
                <w:color w:val="auto"/>
                <w:sz w:val="24"/>
                <w:szCs w:val="28"/>
              </w:rPr>
              <w:t>配有 25, 49, 或 61 半配重等三种键位</w:t>
            </w:r>
            <w:r>
              <w:rPr>
                <w:rFonts w:hint="eastAsia" w:ascii="仿宋_GB2312" w:eastAsia="仿宋_GB2312"/>
                <w:color w:val="auto"/>
                <w:sz w:val="24"/>
                <w:szCs w:val="28"/>
                <w:lang w:eastAsia="zh-CN"/>
              </w:rPr>
              <w:t>。</w:t>
            </w:r>
          </w:p>
        </w:tc>
        <w:tc>
          <w:tcPr>
            <w:tcW w:w="733" w:type="dxa"/>
            <w:vAlign w:val="center"/>
          </w:tcPr>
          <w:p>
            <w:pPr>
              <w:jc w:val="center"/>
              <w:rPr>
                <w:rFonts w:hint="eastAsia" w:ascii="仿宋_GB2312" w:eastAsia="仿宋_GB2312"/>
                <w:color w:val="auto"/>
                <w:sz w:val="24"/>
                <w:szCs w:val="28"/>
              </w:rPr>
            </w:pPr>
            <w:r>
              <w:rPr>
                <w:rFonts w:hint="default" w:ascii="仿宋_GB2312" w:eastAsia="仿宋_GB2312"/>
                <w:color w:val="auto"/>
                <w:sz w:val="24"/>
                <w:szCs w:val="28"/>
                <w:lang w:val="en-US" w:eastAsia="zh-CN"/>
              </w:rPr>
              <w:t>1</w:t>
            </w:r>
            <w:r>
              <w:rPr>
                <w:rFonts w:hint="eastAsia" w:ascii="仿宋_GB2312" w:eastAsia="仿宋_GB2312"/>
                <w:color w:val="auto"/>
                <w:sz w:val="24"/>
                <w:szCs w:val="28"/>
                <w:lang w:val="en-US" w:eastAsia="zh-CN"/>
              </w:rPr>
              <w:t>台</w:t>
            </w:r>
          </w:p>
        </w:tc>
        <w:tc>
          <w:tcPr>
            <w:tcW w:w="1221" w:type="dxa"/>
            <w:vAlign w:val="center"/>
          </w:tcPr>
          <w:p>
            <w:pPr>
              <w:jc w:val="center"/>
              <w:rPr>
                <w:rFonts w:hint="default" w:ascii="仿宋_GB2312" w:eastAsia="仿宋_GB2312"/>
                <w:color w:val="auto"/>
                <w:sz w:val="24"/>
                <w:szCs w:val="28"/>
                <w:lang w:val="en-US" w:eastAsia="zh-CN"/>
              </w:rPr>
            </w:pPr>
          </w:p>
        </w:tc>
        <w:tc>
          <w:tcPr>
            <w:tcW w:w="859" w:type="dxa"/>
            <w:vAlign w:val="center"/>
          </w:tcPr>
          <w:p>
            <w:pPr>
              <w:jc w:val="center"/>
              <w:rPr>
                <w:rFonts w:hint="default" w:ascii="仿宋_GB2312" w:eastAsia="仿宋_GB2312"/>
                <w:color w:val="FF000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4"/>
              </w:numPr>
              <w:ind w:firstLineChars="0"/>
              <w:jc w:val="center"/>
              <w:rPr>
                <w:rFonts w:hint="eastAsia" w:ascii="仿宋_GB2312" w:eastAsia="仿宋_GB2312"/>
                <w:sz w:val="24"/>
                <w:szCs w:val="28"/>
              </w:rPr>
            </w:pPr>
          </w:p>
        </w:tc>
        <w:tc>
          <w:tcPr>
            <w:tcW w:w="1906"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监听控制器</w:t>
            </w:r>
          </w:p>
        </w:tc>
        <w:tc>
          <w:tcPr>
            <w:tcW w:w="4571" w:type="dxa"/>
            <w:vAlign w:val="center"/>
          </w:tcPr>
          <w:p>
            <w:pPr>
              <w:jc w:val="left"/>
              <w:rPr>
                <w:rFonts w:hint="eastAsia" w:ascii="仿宋_GB2312" w:eastAsia="仿宋_GB2312"/>
                <w:sz w:val="24"/>
                <w:szCs w:val="28"/>
              </w:rPr>
            </w:pPr>
            <w:r>
              <w:rPr>
                <w:rFonts w:hint="eastAsia" w:ascii="仿宋_GB2312" w:eastAsia="仿宋_GB2312"/>
                <w:sz w:val="24"/>
                <w:szCs w:val="28"/>
              </w:rPr>
              <w:t>频响范围：10Hz – 100kHz（+/- 3dB）</w:t>
            </w:r>
          </w:p>
          <w:p>
            <w:pPr>
              <w:jc w:val="left"/>
              <w:rPr>
                <w:rFonts w:hint="eastAsia" w:ascii="仿宋_GB2312" w:eastAsia="仿宋_GB2312"/>
                <w:sz w:val="24"/>
                <w:szCs w:val="28"/>
              </w:rPr>
            </w:pPr>
            <w:r>
              <w:rPr>
                <w:rFonts w:hint="eastAsia" w:ascii="仿宋_GB2312" w:eastAsia="仿宋_GB2312"/>
                <w:sz w:val="24"/>
                <w:szCs w:val="28"/>
              </w:rPr>
              <w:t>输入阻抗：</w:t>
            </w:r>
          </w:p>
          <w:p>
            <w:pPr>
              <w:jc w:val="left"/>
              <w:rPr>
                <w:rFonts w:hint="eastAsia" w:ascii="仿宋_GB2312" w:eastAsia="仿宋_GB2312"/>
                <w:sz w:val="24"/>
                <w:szCs w:val="28"/>
              </w:rPr>
            </w:pPr>
            <w:r>
              <w:rPr>
                <w:rFonts w:hint="eastAsia" w:ascii="仿宋_GB2312" w:eastAsia="仿宋_GB2312"/>
                <w:sz w:val="24"/>
                <w:szCs w:val="28"/>
              </w:rPr>
              <w:t>平衡Sub-D：50kOhm</w:t>
            </w:r>
          </w:p>
          <w:p>
            <w:pPr>
              <w:jc w:val="left"/>
              <w:rPr>
                <w:rFonts w:hint="eastAsia" w:ascii="仿宋_GB2312" w:eastAsia="仿宋_GB2312"/>
                <w:sz w:val="24"/>
                <w:szCs w:val="28"/>
              </w:rPr>
            </w:pPr>
            <w:r>
              <w:rPr>
                <w:rFonts w:hint="eastAsia" w:ascii="仿宋_GB2312" w:eastAsia="仿宋_GB2312"/>
                <w:sz w:val="24"/>
                <w:szCs w:val="28"/>
              </w:rPr>
              <w:t>非平衡RCA莲花：10kOhm</w:t>
            </w:r>
          </w:p>
          <w:p>
            <w:pPr>
              <w:jc w:val="left"/>
              <w:rPr>
                <w:rFonts w:hint="eastAsia" w:ascii="仿宋_GB2312" w:eastAsia="仿宋_GB2312"/>
                <w:sz w:val="24"/>
                <w:szCs w:val="28"/>
              </w:rPr>
            </w:pPr>
            <w:r>
              <w:rPr>
                <w:rFonts w:hint="eastAsia" w:ascii="仿宋_GB2312" w:eastAsia="仿宋_GB2312"/>
                <w:sz w:val="24"/>
                <w:szCs w:val="28"/>
              </w:rPr>
              <w:t>输出阻抗：平衡RCA：600 Ohm</w:t>
            </w:r>
          </w:p>
          <w:p>
            <w:pPr>
              <w:jc w:val="left"/>
              <w:rPr>
                <w:rFonts w:hint="eastAsia" w:ascii="仿宋_GB2312" w:eastAsia="仿宋_GB2312"/>
                <w:sz w:val="24"/>
                <w:szCs w:val="28"/>
              </w:rPr>
            </w:pPr>
            <w:r>
              <w:rPr>
                <w:rFonts w:hint="eastAsia" w:ascii="仿宋_GB2312" w:eastAsia="仿宋_GB2312"/>
                <w:sz w:val="24"/>
                <w:szCs w:val="28"/>
              </w:rPr>
              <w:t xml:space="preserve">总谐波失真加噪声：0.006%  </w:t>
            </w:r>
          </w:p>
          <w:p>
            <w:pPr>
              <w:jc w:val="left"/>
              <w:rPr>
                <w:rFonts w:hint="eastAsia" w:ascii="仿宋_GB2312" w:eastAsia="仿宋_GB2312"/>
                <w:sz w:val="24"/>
                <w:szCs w:val="28"/>
              </w:rPr>
            </w:pPr>
            <w:r>
              <w:rPr>
                <w:rFonts w:hint="eastAsia" w:ascii="仿宋_GB2312" w:eastAsia="仿宋_GB2312"/>
                <w:sz w:val="24"/>
                <w:szCs w:val="28"/>
              </w:rPr>
              <w:t>信噪比（A计权）：80dBu</w:t>
            </w:r>
          </w:p>
          <w:p>
            <w:pPr>
              <w:jc w:val="left"/>
              <w:rPr>
                <w:rFonts w:hint="eastAsia" w:ascii="仿宋_GB2312" w:eastAsia="仿宋_GB2312"/>
                <w:sz w:val="24"/>
                <w:szCs w:val="28"/>
              </w:rPr>
            </w:pPr>
            <w:r>
              <w:rPr>
                <w:rFonts w:hint="eastAsia" w:ascii="仿宋_GB2312" w:eastAsia="仿宋_GB2312"/>
                <w:sz w:val="24"/>
                <w:szCs w:val="28"/>
              </w:rPr>
              <w:t>抗过载值：+22dBu</w:t>
            </w:r>
          </w:p>
          <w:p>
            <w:pPr>
              <w:jc w:val="left"/>
              <w:rPr>
                <w:rFonts w:hint="eastAsia" w:ascii="仿宋_GB2312" w:eastAsia="仿宋_GB2312"/>
                <w:sz w:val="24"/>
                <w:szCs w:val="28"/>
              </w:rPr>
            </w:pPr>
            <w:r>
              <w:rPr>
                <w:rFonts w:hint="eastAsia" w:ascii="仿宋_GB2312" w:eastAsia="仿宋_GB2312"/>
                <w:sz w:val="24"/>
                <w:szCs w:val="28"/>
              </w:rPr>
              <w:t>动态范围：110dB</w:t>
            </w:r>
          </w:p>
          <w:p>
            <w:pPr>
              <w:jc w:val="left"/>
              <w:rPr>
                <w:rFonts w:hint="eastAsia" w:ascii="仿宋_GB2312" w:eastAsia="仿宋_GB2312"/>
                <w:sz w:val="24"/>
                <w:szCs w:val="28"/>
              </w:rPr>
            </w:pPr>
            <w:r>
              <w:rPr>
                <w:rFonts w:hint="eastAsia" w:ascii="仿宋_GB2312" w:eastAsia="仿宋_GB2312"/>
                <w:sz w:val="24"/>
                <w:szCs w:val="28"/>
              </w:rPr>
              <w:t>共模抑制比：70dBu</w:t>
            </w:r>
          </w:p>
          <w:p>
            <w:pPr>
              <w:jc w:val="left"/>
              <w:rPr>
                <w:rFonts w:hint="eastAsia" w:ascii="仿宋_GB2312" w:eastAsia="仿宋_GB2312"/>
                <w:sz w:val="24"/>
                <w:szCs w:val="28"/>
              </w:rPr>
            </w:pPr>
            <w:r>
              <w:rPr>
                <w:rFonts w:hint="eastAsia" w:ascii="仿宋_GB2312" w:eastAsia="仿宋_GB2312"/>
                <w:sz w:val="24"/>
                <w:szCs w:val="28"/>
              </w:rPr>
              <w:t xml:space="preserve">相位：-20°@20kH </w:t>
            </w:r>
          </w:p>
        </w:tc>
        <w:tc>
          <w:tcPr>
            <w:tcW w:w="733"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1</w:t>
            </w:r>
            <w:r>
              <w:rPr>
                <w:rFonts w:hint="eastAsia" w:ascii="仿宋_GB2312" w:eastAsia="仿宋_GB2312"/>
                <w:sz w:val="24"/>
                <w:szCs w:val="28"/>
                <w:lang w:val="en-US" w:eastAsia="zh-CN"/>
              </w:rPr>
              <w:t>台</w:t>
            </w:r>
          </w:p>
        </w:tc>
        <w:tc>
          <w:tcPr>
            <w:tcW w:w="1221"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4"/>
                <w:szCs w:val="24"/>
                <w:u w:val="none"/>
                <w:lang w:val="en-US" w:eastAsia="zh-CN" w:bidi="ar-SA"/>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4" w:type="dxa"/>
            <w:vAlign w:val="center"/>
          </w:tcPr>
          <w:p>
            <w:pPr>
              <w:pStyle w:val="32"/>
              <w:numPr>
                <w:ilvl w:val="0"/>
                <w:numId w:val="4"/>
              </w:numPr>
              <w:ind w:firstLineChars="0"/>
              <w:jc w:val="center"/>
              <w:rPr>
                <w:rFonts w:hint="eastAsia" w:ascii="仿宋_GB2312" w:eastAsia="仿宋_GB2312"/>
                <w:sz w:val="24"/>
                <w:szCs w:val="28"/>
              </w:rPr>
            </w:pPr>
          </w:p>
        </w:tc>
        <w:tc>
          <w:tcPr>
            <w:tcW w:w="1906"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耳放支架</w:t>
            </w:r>
          </w:p>
        </w:tc>
        <w:tc>
          <w:tcPr>
            <w:tcW w:w="4571" w:type="dxa"/>
            <w:vAlign w:val="center"/>
          </w:tcPr>
          <w:p>
            <w:pPr>
              <w:jc w:val="left"/>
              <w:rPr>
                <w:rFonts w:hint="eastAsia" w:ascii="仿宋_GB2312" w:eastAsia="仿宋_GB2312"/>
                <w:sz w:val="24"/>
                <w:szCs w:val="28"/>
              </w:rPr>
            </w:pPr>
            <w:r>
              <w:rPr>
                <w:rFonts w:hint="eastAsia" w:ascii="仿宋_GB2312" w:eastAsia="仿宋_GB2312"/>
                <w:sz w:val="24"/>
                <w:szCs w:val="28"/>
              </w:rPr>
              <w:t>高度：78-128cm</w:t>
            </w:r>
          </w:p>
          <w:p>
            <w:pPr>
              <w:jc w:val="left"/>
              <w:rPr>
                <w:rFonts w:hint="eastAsia" w:ascii="仿宋_GB2312" w:eastAsia="仿宋_GB2312"/>
                <w:sz w:val="24"/>
                <w:szCs w:val="28"/>
              </w:rPr>
            </w:pPr>
            <w:r>
              <w:rPr>
                <w:rFonts w:hint="eastAsia" w:ascii="仿宋_GB2312" w:eastAsia="仿宋_GB2312"/>
                <w:sz w:val="24"/>
                <w:szCs w:val="28"/>
              </w:rPr>
              <w:t>颜色：黑色</w:t>
            </w:r>
          </w:p>
          <w:p>
            <w:pPr>
              <w:jc w:val="left"/>
              <w:rPr>
                <w:rFonts w:hint="eastAsia" w:ascii="仿宋_GB2312" w:eastAsia="仿宋_GB2312"/>
                <w:sz w:val="24"/>
                <w:szCs w:val="28"/>
              </w:rPr>
            </w:pPr>
            <w:r>
              <w:rPr>
                <w:rFonts w:hint="eastAsia" w:ascii="仿宋_GB2312" w:eastAsia="仿宋_GB2312"/>
                <w:sz w:val="24"/>
                <w:szCs w:val="28"/>
              </w:rPr>
              <w:t>材质：铁</w:t>
            </w:r>
          </w:p>
        </w:tc>
        <w:tc>
          <w:tcPr>
            <w:tcW w:w="733"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1</w:t>
            </w:r>
            <w:r>
              <w:rPr>
                <w:rFonts w:hint="eastAsia" w:ascii="仿宋_GB2312" w:eastAsia="仿宋_GB2312"/>
                <w:sz w:val="24"/>
                <w:szCs w:val="28"/>
                <w:lang w:val="en-US" w:eastAsia="zh-CN"/>
              </w:rPr>
              <w:t>架</w:t>
            </w:r>
          </w:p>
        </w:tc>
        <w:tc>
          <w:tcPr>
            <w:tcW w:w="1221"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4"/>
                <w:szCs w:val="24"/>
                <w:u w:val="none"/>
                <w:lang w:val="en-US" w:eastAsia="zh-CN" w:bidi="ar-SA"/>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4"/>
              </w:numPr>
              <w:ind w:firstLineChars="0"/>
              <w:jc w:val="center"/>
              <w:rPr>
                <w:rFonts w:hint="eastAsia" w:ascii="仿宋_GB2312" w:eastAsia="仿宋_GB2312"/>
                <w:sz w:val="24"/>
                <w:szCs w:val="28"/>
              </w:rPr>
            </w:pPr>
          </w:p>
        </w:tc>
        <w:tc>
          <w:tcPr>
            <w:tcW w:w="1906" w:type="dxa"/>
            <w:vAlign w:val="center"/>
          </w:tcPr>
          <w:p>
            <w:pPr>
              <w:jc w:val="center"/>
              <w:rPr>
                <w:rFonts w:hint="eastAsia" w:ascii="仿宋_GB2312" w:eastAsia="仿宋_GB2312"/>
                <w:color w:val="auto"/>
                <w:sz w:val="24"/>
                <w:szCs w:val="28"/>
              </w:rPr>
            </w:pPr>
            <w:r>
              <w:rPr>
                <w:rFonts w:hint="default" w:ascii="仿宋_GB2312" w:eastAsia="仿宋_GB2312"/>
                <w:color w:val="auto"/>
                <w:sz w:val="24"/>
                <w:szCs w:val="28"/>
                <w:lang w:val="en-US" w:eastAsia="zh-CN"/>
              </w:rPr>
              <w:t>有线会议话筒</w:t>
            </w:r>
          </w:p>
        </w:tc>
        <w:tc>
          <w:tcPr>
            <w:tcW w:w="4571" w:type="dxa"/>
            <w:vAlign w:val="center"/>
          </w:tcPr>
          <w:p>
            <w:pPr>
              <w:jc w:val="left"/>
              <w:rPr>
                <w:rFonts w:hint="eastAsia" w:ascii="仿宋_GB2312" w:eastAsia="仿宋_GB2312"/>
                <w:color w:val="auto"/>
                <w:sz w:val="24"/>
                <w:szCs w:val="28"/>
              </w:rPr>
            </w:pPr>
            <w:r>
              <w:rPr>
                <w:rFonts w:hint="eastAsia" w:ascii="仿宋_GB2312" w:eastAsia="仿宋_GB2312"/>
                <w:color w:val="auto"/>
                <w:sz w:val="24"/>
                <w:szCs w:val="28"/>
              </w:rPr>
              <w:t>技术参数</w:t>
            </w:r>
          </w:p>
          <w:p>
            <w:pPr>
              <w:jc w:val="left"/>
              <w:rPr>
                <w:rFonts w:hint="eastAsia" w:ascii="仿宋_GB2312" w:eastAsia="仿宋_GB2312"/>
                <w:color w:val="auto"/>
                <w:sz w:val="24"/>
                <w:szCs w:val="28"/>
              </w:rPr>
            </w:pPr>
            <w:r>
              <w:rPr>
                <w:rFonts w:hint="eastAsia" w:ascii="仿宋_GB2312" w:eastAsia="仿宋_GB2312"/>
                <w:color w:val="auto"/>
                <w:sz w:val="24"/>
                <w:szCs w:val="28"/>
              </w:rPr>
              <w:t>换能方式：电容式</w:t>
            </w:r>
          </w:p>
          <w:p>
            <w:pPr>
              <w:jc w:val="left"/>
              <w:rPr>
                <w:rFonts w:hint="eastAsia" w:ascii="仿宋_GB2312" w:eastAsia="仿宋_GB2312"/>
                <w:color w:val="auto"/>
                <w:sz w:val="24"/>
                <w:szCs w:val="28"/>
              </w:rPr>
            </w:pPr>
            <w:r>
              <w:rPr>
                <w:rFonts w:hint="eastAsia" w:ascii="仿宋_GB2312" w:eastAsia="仿宋_GB2312"/>
                <w:color w:val="auto"/>
                <w:sz w:val="24"/>
                <w:szCs w:val="28"/>
              </w:rPr>
              <w:t>频率响应：80Hz-15kHz</w:t>
            </w:r>
          </w:p>
          <w:p>
            <w:pPr>
              <w:jc w:val="left"/>
              <w:rPr>
                <w:rFonts w:hint="eastAsia" w:ascii="仿宋_GB2312" w:eastAsia="仿宋_GB2312"/>
                <w:color w:val="auto"/>
                <w:sz w:val="24"/>
                <w:szCs w:val="28"/>
              </w:rPr>
            </w:pPr>
            <w:r>
              <w:rPr>
                <w:rFonts w:hint="eastAsia" w:ascii="仿宋_GB2312" w:eastAsia="仿宋_GB2312"/>
                <w:color w:val="auto"/>
                <w:sz w:val="24"/>
                <w:szCs w:val="28"/>
              </w:rPr>
              <w:t>指向性：超心型指向</w:t>
            </w:r>
          </w:p>
          <w:p>
            <w:pPr>
              <w:jc w:val="left"/>
              <w:rPr>
                <w:rFonts w:hint="eastAsia" w:ascii="仿宋_GB2312" w:eastAsia="仿宋_GB2312"/>
                <w:color w:val="auto"/>
                <w:sz w:val="24"/>
                <w:szCs w:val="28"/>
              </w:rPr>
            </w:pPr>
            <w:r>
              <w:rPr>
                <w:rFonts w:hint="eastAsia" w:ascii="仿宋_GB2312" w:eastAsia="仿宋_GB2312"/>
                <w:color w:val="auto"/>
                <w:sz w:val="24"/>
                <w:szCs w:val="28"/>
              </w:rPr>
              <w:t>输出阻抗（欧姆）：1200Ω</w:t>
            </w:r>
          </w:p>
          <w:p>
            <w:pPr>
              <w:jc w:val="left"/>
              <w:rPr>
                <w:rFonts w:hint="eastAsia" w:ascii="仿宋_GB2312" w:eastAsia="仿宋_GB2312"/>
                <w:color w:val="auto"/>
                <w:sz w:val="24"/>
                <w:szCs w:val="28"/>
              </w:rPr>
            </w:pPr>
            <w:r>
              <w:rPr>
                <w:rFonts w:hint="eastAsia" w:ascii="仿宋_GB2312" w:eastAsia="仿宋_GB2312"/>
                <w:color w:val="auto"/>
                <w:sz w:val="24"/>
                <w:szCs w:val="28"/>
              </w:rPr>
              <w:t>灵敏度：-35dB</w:t>
            </w:r>
          </w:p>
          <w:p>
            <w:pPr>
              <w:jc w:val="left"/>
              <w:rPr>
                <w:rFonts w:hint="eastAsia" w:ascii="仿宋_GB2312" w:eastAsia="仿宋_GB2312"/>
                <w:color w:val="auto"/>
                <w:sz w:val="24"/>
                <w:szCs w:val="28"/>
              </w:rPr>
            </w:pPr>
            <w:r>
              <w:rPr>
                <w:rFonts w:hint="eastAsia" w:ascii="仿宋_GB2312" w:eastAsia="仿宋_GB2312"/>
                <w:color w:val="auto"/>
                <w:sz w:val="24"/>
                <w:szCs w:val="28"/>
              </w:rPr>
              <w:t>信噪比：60 dB</w:t>
            </w:r>
          </w:p>
          <w:p>
            <w:pPr>
              <w:jc w:val="left"/>
              <w:rPr>
                <w:rFonts w:hint="eastAsia" w:ascii="仿宋_GB2312" w:eastAsia="仿宋_GB2312"/>
                <w:color w:val="auto"/>
                <w:sz w:val="24"/>
                <w:szCs w:val="28"/>
              </w:rPr>
            </w:pPr>
            <w:r>
              <w:rPr>
                <w:rFonts w:hint="eastAsia" w:ascii="仿宋_GB2312" w:eastAsia="仿宋_GB2312"/>
                <w:color w:val="auto"/>
                <w:sz w:val="24"/>
                <w:szCs w:val="28"/>
              </w:rPr>
              <w:t>等效噪声级：35dB(A)/20u Pa</w:t>
            </w:r>
          </w:p>
          <w:p>
            <w:pPr>
              <w:jc w:val="left"/>
              <w:rPr>
                <w:rFonts w:hint="eastAsia" w:ascii="仿宋_GB2312" w:eastAsia="仿宋_GB2312"/>
                <w:color w:val="auto"/>
                <w:sz w:val="24"/>
                <w:szCs w:val="28"/>
              </w:rPr>
            </w:pPr>
            <w:r>
              <w:rPr>
                <w:rFonts w:hint="eastAsia" w:ascii="仿宋_GB2312" w:eastAsia="仿宋_GB2312"/>
                <w:color w:val="auto"/>
                <w:sz w:val="24"/>
                <w:szCs w:val="28"/>
              </w:rPr>
              <w:t>总谐波失真：1%</w:t>
            </w:r>
          </w:p>
          <w:p>
            <w:pPr>
              <w:jc w:val="left"/>
              <w:rPr>
                <w:rFonts w:hint="eastAsia" w:ascii="仿宋_GB2312" w:eastAsia="仿宋_GB2312"/>
                <w:color w:val="auto"/>
                <w:sz w:val="24"/>
                <w:szCs w:val="28"/>
              </w:rPr>
            </w:pPr>
            <w:r>
              <w:rPr>
                <w:rFonts w:hint="eastAsia" w:ascii="仿宋_GB2312" w:eastAsia="仿宋_GB2312"/>
                <w:color w:val="auto"/>
                <w:sz w:val="24"/>
                <w:szCs w:val="28"/>
              </w:rPr>
              <w:t>供电电压：幻象48V（幻象指既传输电流，也传输声音）</w:t>
            </w:r>
          </w:p>
          <w:p>
            <w:pPr>
              <w:jc w:val="left"/>
              <w:rPr>
                <w:rFonts w:hint="eastAsia" w:ascii="仿宋_GB2312" w:eastAsia="仿宋_GB2312"/>
                <w:color w:val="auto"/>
                <w:sz w:val="24"/>
                <w:szCs w:val="28"/>
              </w:rPr>
            </w:pPr>
            <w:r>
              <w:rPr>
                <w:rFonts w:hint="eastAsia" w:ascii="仿宋_GB2312" w:eastAsia="仿宋_GB2312"/>
                <w:color w:val="auto"/>
                <w:sz w:val="24"/>
                <w:szCs w:val="28"/>
              </w:rPr>
              <w:t>咪管长度：24 cm</w:t>
            </w:r>
          </w:p>
          <w:p>
            <w:pPr>
              <w:jc w:val="left"/>
              <w:rPr>
                <w:rFonts w:hint="eastAsia" w:ascii="仿宋_GB2312" w:eastAsia="仿宋_GB2312"/>
                <w:color w:val="auto"/>
                <w:sz w:val="24"/>
                <w:szCs w:val="28"/>
              </w:rPr>
            </w:pPr>
            <w:r>
              <w:rPr>
                <w:rFonts w:hint="eastAsia" w:ascii="仿宋_GB2312" w:eastAsia="仿宋_GB2312"/>
                <w:color w:val="auto"/>
                <w:sz w:val="24"/>
                <w:szCs w:val="28"/>
              </w:rPr>
              <w:t>单支话筒重量：1.7 kg</w:t>
            </w:r>
          </w:p>
          <w:p>
            <w:pPr>
              <w:jc w:val="left"/>
              <w:rPr>
                <w:rFonts w:hint="eastAsia" w:ascii="仿宋_GB2312" w:eastAsia="仿宋_GB2312"/>
                <w:color w:val="auto"/>
                <w:sz w:val="24"/>
                <w:szCs w:val="28"/>
              </w:rPr>
            </w:pPr>
            <w:r>
              <w:rPr>
                <w:rFonts w:hint="eastAsia" w:ascii="仿宋_GB2312" w:eastAsia="仿宋_GB2312"/>
                <w:color w:val="auto"/>
                <w:sz w:val="24"/>
                <w:szCs w:val="28"/>
              </w:rPr>
              <w:t>铁座、抗手机、电磁、高频干扰</w:t>
            </w:r>
          </w:p>
        </w:tc>
        <w:tc>
          <w:tcPr>
            <w:tcW w:w="733" w:type="dxa"/>
            <w:vAlign w:val="center"/>
          </w:tcPr>
          <w:p>
            <w:pPr>
              <w:jc w:val="center"/>
              <w:rPr>
                <w:rFonts w:hint="eastAsia" w:ascii="仿宋_GB2312" w:eastAsia="仿宋_GB2312"/>
                <w:color w:val="auto"/>
                <w:sz w:val="24"/>
                <w:szCs w:val="28"/>
              </w:rPr>
            </w:pPr>
            <w:r>
              <w:rPr>
                <w:rFonts w:hint="eastAsia" w:ascii="仿宋_GB2312" w:eastAsia="仿宋_GB2312"/>
                <w:color w:val="auto"/>
                <w:sz w:val="24"/>
                <w:szCs w:val="28"/>
                <w:lang w:val="en-US" w:eastAsia="zh-CN"/>
              </w:rPr>
              <w:t>6支</w:t>
            </w:r>
          </w:p>
        </w:tc>
        <w:tc>
          <w:tcPr>
            <w:tcW w:w="1221" w:type="dxa"/>
            <w:vAlign w:val="center"/>
          </w:tcPr>
          <w:p>
            <w:pPr>
              <w:jc w:val="center"/>
              <w:rPr>
                <w:rFonts w:hint="default" w:ascii="仿宋_GB2312" w:eastAsia="仿宋_GB2312"/>
                <w:color w:val="FF0000"/>
                <w:sz w:val="24"/>
                <w:szCs w:val="24"/>
                <w:lang w:val="en-US" w:eastAsia="zh-CN"/>
              </w:rPr>
            </w:pPr>
          </w:p>
        </w:tc>
        <w:tc>
          <w:tcPr>
            <w:tcW w:w="859" w:type="dxa"/>
            <w:vAlign w:val="center"/>
          </w:tcPr>
          <w:p>
            <w:pPr>
              <w:jc w:val="center"/>
              <w:rPr>
                <w:rFonts w:hint="default" w:ascii="仿宋_GB2312" w:eastAsia="仿宋_GB2312"/>
                <w:color w:val="FF000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4" w:type="dxa"/>
            <w:vAlign w:val="center"/>
          </w:tcPr>
          <w:p>
            <w:pPr>
              <w:pStyle w:val="32"/>
              <w:numPr>
                <w:ilvl w:val="0"/>
                <w:numId w:val="4"/>
              </w:numPr>
              <w:ind w:firstLineChars="0"/>
              <w:jc w:val="center"/>
              <w:rPr>
                <w:rFonts w:hint="eastAsia" w:ascii="仿宋_GB2312" w:eastAsia="仿宋_GB2312"/>
                <w:sz w:val="24"/>
                <w:szCs w:val="28"/>
              </w:rPr>
            </w:pPr>
          </w:p>
        </w:tc>
        <w:tc>
          <w:tcPr>
            <w:tcW w:w="1906" w:type="dxa"/>
            <w:vAlign w:val="center"/>
          </w:tcPr>
          <w:p>
            <w:pPr>
              <w:jc w:val="center"/>
              <w:rPr>
                <w:rFonts w:hint="eastAsia" w:ascii="仿宋_GB2312" w:eastAsia="仿宋_GB2312"/>
                <w:color w:val="auto"/>
                <w:sz w:val="24"/>
                <w:szCs w:val="28"/>
              </w:rPr>
            </w:pPr>
            <w:r>
              <w:rPr>
                <w:rFonts w:hint="default" w:ascii="仿宋_GB2312" w:eastAsia="仿宋_GB2312"/>
                <w:color w:val="auto"/>
                <w:sz w:val="24"/>
                <w:szCs w:val="28"/>
                <w:lang w:val="en-US" w:eastAsia="zh-CN"/>
              </w:rPr>
              <w:t>监控显示器</w:t>
            </w:r>
          </w:p>
        </w:tc>
        <w:tc>
          <w:tcPr>
            <w:tcW w:w="4571" w:type="dxa"/>
            <w:vAlign w:val="center"/>
          </w:tcPr>
          <w:p>
            <w:pPr>
              <w:jc w:val="left"/>
              <w:rPr>
                <w:rFonts w:hint="eastAsia" w:ascii="仿宋_GB2312" w:eastAsia="仿宋_GB2312"/>
                <w:color w:val="auto"/>
                <w:sz w:val="24"/>
                <w:szCs w:val="28"/>
              </w:rPr>
            </w:pPr>
            <w:r>
              <w:rPr>
                <w:rFonts w:hint="eastAsia" w:ascii="仿宋_GB2312" w:eastAsia="仿宋_GB2312"/>
                <w:color w:val="auto"/>
                <w:sz w:val="24"/>
                <w:szCs w:val="28"/>
              </w:rPr>
              <w:t>屏幕尺寸：32英寸</w:t>
            </w:r>
          </w:p>
          <w:p>
            <w:pPr>
              <w:jc w:val="left"/>
              <w:rPr>
                <w:rFonts w:hint="default" w:ascii="仿宋_GB2312" w:eastAsia="仿宋_GB2312"/>
                <w:color w:val="auto"/>
                <w:sz w:val="24"/>
                <w:szCs w:val="28"/>
                <w:lang w:val="en-US" w:eastAsia="zh-CN"/>
              </w:rPr>
            </w:pPr>
            <w:r>
              <w:rPr>
                <w:rFonts w:hint="eastAsia" w:ascii="仿宋_GB2312" w:eastAsia="仿宋_GB2312"/>
                <w:color w:val="auto"/>
                <w:sz w:val="24"/>
                <w:szCs w:val="28"/>
              </w:rPr>
              <w:t>分辨率：</w:t>
            </w:r>
            <w:r>
              <w:rPr>
                <w:rFonts w:hint="eastAsia" w:ascii="仿宋_GB2312" w:eastAsia="仿宋_GB2312"/>
                <w:color w:val="auto"/>
                <w:sz w:val="24"/>
                <w:szCs w:val="28"/>
                <w:lang w:val="en-US" w:eastAsia="zh-CN"/>
              </w:rPr>
              <w:t>4K高清分辨率</w:t>
            </w:r>
          </w:p>
          <w:p>
            <w:pPr>
              <w:jc w:val="left"/>
              <w:rPr>
                <w:rFonts w:hint="eastAsia" w:ascii="仿宋_GB2312" w:eastAsia="仿宋_GB2312"/>
                <w:color w:val="auto"/>
                <w:sz w:val="24"/>
                <w:szCs w:val="28"/>
              </w:rPr>
            </w:pPr>
            <w:r>
              <w:rPr>
                <w:rFonts w:hint="eastAsia" w:ascii="仿宋_GB2312" w:eastAsia="仿宋_GB2312"/>
                <w:color w:val="auto"/>
                <w:sz w:val="24"/>
                <w:szCs w:val="28"/>
              </w:rPr>
              <w:t>屏幕比例：16:9</w:t>
            </w:r>
          </w:p>
          <w:p>
            <w:pPr>
              <w:jc w:val="left"/>
              <w:rPr>
                <w:rFonts w:hint="eastAsia" w:ascii="仿宋_GB2312" w:eastAsia="仿宋_GB2312"/>
                <w:color w:val="auto"/>
                <w:sz w:val="24"/>
                <w:szCs w:val="28"/>
              </w:rPr>
            </w:pPr>
            <w:r>
              <w:rPr>
                <w:rFonts w:hint="eastAsia" w:ascii="仿宋_GB2312" w:eastAsia="仿宋_GB2312"/>
                <w:color w:val="auto"/>
                <w:sz w:val="24"/>
                <w:szCs w:val="28"/>
              </w:rPr>
              <w:t>背光方式：直下式（D-LED）</w:t>
            </w:r>
          </w:p>
          <w:p>
            <w:pPr>
              <w:jc w:val="left"/>
              <w:rPr>
                <w:rFonts w:hint="eastAsia" w:ascii="仿宋_GB2312" w:eastAsia="仿宋_GB2312"/>
                <w:color w:val="auto"/>
                <w:sz w:val="24"/>
                <w:szCs w:val="28"/>
              </w:rPr>
            </w:pPr>
            <w:r>
              <w:rPr>
                <w:rFonts w:hint="eastAsia" w:ascii="仿宋_GB2312" w:eastAsia="仿宋_GB2312"/>
                <w:color w:val="auto"/>
                <w:sz w:val="24"/>
                <w:szCs w:val="28"/>
              </w:rPr>
              <w:t>推荐观看距离：1.8-2.5米</w:t>
            </w:r>
          </w:p>
          <w:p>
            <w:pPr>
              <w:jc w:val="left"/>
              <w:rPr>
                <w:rFonts w:hint="eastAsia" w:ascii="仿宋_GB2312" w:eastAsia="仿宋_GB2312"/>
                <w:color w:val="auto"/>
                <w:sz w:val="24"/>
                <w:szCs w:val="28"/>
              </w:rPr>
            </w:pPr>
            <w:r>
              <w:rPr>
                <w:rFonts w:hint="eastAsia" w:ascii="仿宋_GB2312" w:eastAsia="仿宋_GB2312"/>
                <w:color w:val="auto"/>
                <w:sz w:val="24"/>
                <w:szCs w:val="28"/>
              </w:rPr>
              <w:t>能效等级：3级能效</w:t>
            </w:r>
          </w:p>
        </w:tc>
        <w:tc>
          <w:tcPr>
            <w:tcW w:w="733" w:type="dxa"/>
            <w:vAlign w:val="center"/>
          </w:tcPr>
          <w:p>
            <w:pPr>
              <w:jc w:val="center"/>
              <w:rPr>
                <w:rFonts w:hint="eastAsia" w:ascii="仿宋_GB2312" w:eastAsia="仿宋_GB2312"/>
                <w:color w:val="auto"/>
                <w:sz w:val="24"/>
                <w:szCs w:val="28"/>
              </w:rPr>
            </w:pPr>
            <w:r>
              <w:rPr>
                <w:rFonts w:hint="eastAsia" w:ascii="仿宋_GB2312" w:eastAsia="仿宋_GB2312"/>
                <w:color w:val="auto"/>
                <w:sz w:val="24"/>
                <w:szCs w:val="28"/>
                <w:lang w:val="en-US" w:eastAsia="zh-CN"/>
              </w:rPr>
              <w:t>1台</w:t>
            </w:r>
          </w:p>
        </w:tc>
        <w:tc>
          <w:tcPr>
            <w:tcW w:w="1221"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4"/>
                <w:szCs w:val="24"/>
                <w:u w:val="none"/>
                <w:lang w:val="en-US" w:eastAsia="zh-CN" w:bidi="ar-SA"/>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4"/>
              </w:numPr>
              <w:ind w:firstLineChars="0"/>
              <w:jc w:val="center"/>
              <w:rPr>
                <w:rFonts w:hint="eastAsia" w:ascii="仿宋_GB2312" w:eastAsia="仿宋_GB2312"/>
                <w:sz w:val="24"/>
                <w:szCs w:val="28"/>
              </w:rPr>
            </w:pPr>
          </w:p>
        </w:tc>
        <w:tc>
          <w:tcPr>
            <w:tcW w:w="1906"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监控系统</w:t>
            </w:r>
          </w:p>
        </w:tc>
        <w:tc>
          <w:tcPr>
            <w:tcW w:w="4571" w:type="dxa"/>
            <w:vAlign w:val="center"/>
          </w:tcPr>
          <w:p>
            <w:pPr>
              <w:jc w:val="left"/>
              <w:rPr>
                <w:rFonts w:hint="eastAsia" w:ascii="仿宋_GB2312" w:eastAsia="仿宋_GB2312"/>
                <w:sz w:val="24"/>
                <w:szCs w:val="28"/>
              </w:rPr>
            </w:pPr>
            <w:r>
              <w:rPr>
                <w:rFonts w:hint="eastAsia" w:ascii="仿宋_GB2312" w:eastAsia="仿宋_GB2312"/>
                <w:sz w:val="24"/>
                <w:szCs w:val="28"/>
              </w:rPr>
              <w:t>图像传感器1/2.8 SONY CMOS IMX322</w:t>
            </w:r>
          </w:p>
          <w:p>
            <w:pPr>
              <w:jc w:val="left"/>
              <w:rPr>
                <w:rFonts w:hint="eastAsia" w:ascii="仿宋_GB2312" w:eastAsia="仿宋_GB2312"/>
                <w:sz w:val="24"/>
                <w:szCs w:val="28"/>
              </w:rPr>
            </w:pPr>
            <w:r>
              <w:rPr>
                <w:rFonts w:hint="eastAsia" w:ascii="仿宋_GB2312" w:eastAsia="仿宋_GB2312"/>
                <w:sz w:val="24"/>
                <w:szCs w:val="28"/>
              </w:rPr>
              <w:t>视频分辨率1920*1080 FULL HD 1080P</w:t>
            </w:r>
          </w:p>
          <w:p>
            <w:pPr>
              <w:jc w:val="left"/>
              <w:rPr>
                <w:rFonts w:hint="eastAsia" w:ascii="仿宋_GB2312" w:eastAsia="仿宋_GB2312"/>
                <w:sz w:val="24"/>
                <w:szCs w:val="28"/>
              </w:rPr>
            </w:pPr>
            <w:r>
              <w:rPr>
                <w:rFonts w:hint="eastAsia" w:ascii="仿宋_GB2312" w:eastAsia="仿宋_GB2312"/>
                <w:sz w:val="24"/>
                <w:szCs w:val="28"/>
              </w:rPr>
              <w:t>视频帧率PAL:1080P25帧；NTSC:1080P30帧</w:t>
            </w:r>
          </w:p>
          <w:p>
            <w:pPr>
              <w:jc w:val="left"/>
              <w:rPr>
                <w:rFonts w:hint="eastAsia" w:ascii="仿宋_GB2312" w:eastAsia="仿宋_GB2312"/>
                <w:sz w:val="24"/>
                <w:szCs w:val="28"/>
              </w:rPr>
            </w:pPr>
            <w:r>
              <w:rPr>
                <w:rFonts w:hint="eastAsia" w:ascii="仿宋_GB2312" w:eastAsia="仿宋_GB2312"/>
                <w:sz w:val="24"/>
                <w:szCs w:val="28"/>
              </w:rPr>
              <w:t>视频接口 一路HD-SDI高清数字接口，一路CVBS模拟输出（符合SMPTE 292M标准）</w:t>
            </w:r>
          </w:p>
          <w:p>
            <w:pPr>
              <w:jc w:val="left"/>
              <w:rPr>
                <w:rFonts w:hint="eastAsia" w:ascii="仿宋_GB2312" w:eastAsia="仿宋_GB2312"/>
                <w:sz w:val="24"/>
                <w:szCs w:val="28"/>
              </w:rPr>
            </w:pPr>
            <w:r>
              <w:rPr>
                <w:rFonts w:hint="eastAsia" w:ascii="仿宋_GB2312" w:eastAsia="仿宋_GB2312"/>
                <w:sz w:val="24"/>
                <w:szCs w:val="28"/>
              </w:rPr>
              <w:t>支持日夜彩转黑功能 支持IR-CUT电磁式自动切换</w:t>
            </w:r>
          </w:p>
          <w:p>
            <w:pPr>
              <w:jc w:val="left"/>
              <w:rPr>
                <w:rFonts w:hint="eastAsia" w:ascii="仿宋_GB2312" w:eastAsia="仿宋_GB2312"/>
                <w:sz w:val="24"/>
                <w:szCs w:val="28"/>
              </w:rPr>
            </w:pPr>
            <w:r>
              <w:rPr>
                <w:rFonts w:hint="eastAsia" w:ascii="仿宋_GB2312" w:eastAsia="仿宋_GB2312"/>
                <w:sz w:val="24"/>
                <w:szCs w:val="28"/>
              </w:rPr>
              <w:t>照度0.1Lux/F1.2（彩色模式）,0.01Lux（黑白模式）</w:t>
            </w:r>
          </w:p>
          <w:p>
            <w:pPr>
              <w:jc w:val="left"/>
              <w:rPr>
                <w:rFonts w:hint="eastAsia" w:ascii="仿宋_GB2312" w:eastAsia="仿宋_GB2312"/>
                <w:sz w:val="24"/>
                <w:szCs w:val="28"/>
              </w:rPr>
            </w:pPr>
            <w:r>
              <w:rPr>
                <w:rFonts w:hint="eastAsia" w:ascii="仿宋_GB2312" w:eastAsia="仿宋_GB2312"/>
                <w:sz w:val="24"/>
                <w:szCs w:val="28"/>
              </w:rPr>
              <w:t>红外灯 点阵24灯 夜视距离15米</w:t>
            </w:r>
          </w:p>
          <w:p>
            <w:pPr>
              <w:jc w:val="left"/>
              <w:rPr>
                <w:rFonts w:hint="eastAsia" w:ascii="仿宋_GB2312" w:eastAsia="仿宋_GB2312"/>
                <w:sz w:val="24"/>
                <w:szCs w:val="28"/>
              </w:rPr>
            </w:pPr>
            <w:r>
              <w:rPr>
                <w:rFonts w:hint="eastAsia" w:ascii="仿宋_GB2312" w:eastAsia="仿宋_GB2312"/>
                <w:sz w:val="24"/>
                <w:szCs w:val="28"/>
              </w:rPr>
              <w:t>标配4mm百万高清镜头</w:t>
            </w:r>
          </w:p>
        </w:tc>
        <w:tc>
          <w:tcPr>
            <w:tcW w:w="733"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1</w:t>
            </w:r>
            <w:r>
              <w:rPr>
                <w:rFonts w:hint="eastAsia" w:ascii="仿宋_GB2312" w:eastAsia="仿宋_GB2312"/>
                <w:sz w:val="24"/>
                <w:szCs w:val="28"/>
                <w:lang w:val="en-US" w:eastAsia="zh-CN"/>
              </w:rPr>
              <w:t>套</w:t>
            </w:r>
          </w:p>
        </w:tc>
        <w:tc>
          <w:tcPr>
            <w:tcW w:w="1221"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4"/>
                <w:szCs w:val="24"/>
                <w:u w:val="none"/>
                <w:lang w:val="en-US" w:eastAsia="zh-CN" w:bidi="ar-SA"/>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4" w:type="dxa"/>
            <w:vAlign w:val="center"/>
          </w:tcPr>
          <w:p>
            <w:pPr>
              <w:pStyle w:val="32"/>
              <w:numPr>
                <w:ilvl w:val="0"/>
                <w:numId w:val="4"/>
              </w:numPr>
              <w:ind w:firstLineChars="0"/>
              <w:jc w:val="center"/>
              <w:rPr>
                <w:rFonts w:hint="eastAsia" w:ascii="仿宋_GB2312" w:eastAsia="仿宋_GB2312"/>
                <w:sz w:val="24"/>
                <w:szCs w:val="28"/>
              </w:rPr>
            </w:pPr>
          </w:p>
        </w:tc>
        <w:tc>
          <w:tcPr>
            <w:tcW w:w="1906"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专业音频控制桌</w:t>
            </w:r>
          </w:p>
        </w:tc>
        <w:tc>
          <w:tcPr>
            <w:tcW w:w="4571" w:type="dxa"/>
            <w:vAlign w:val="center"/>
          </w:tcPr>
          <w:p>
            <w:pPr>
              <w:jc w:val="center"/>
              <w:rPr>
                <w:rFonts w:hint="eastAsia" w:ascii="仿宋_GB2312" w:eastAsia="仿宋_GB2312"/>
                <w:sz w:val="24"/>
                <w:szCs w:val="28"/>
              </w:rPr>
            </w:pPr>
            <w:r>
              <w:rPr>
                <w:rFonts w:hint="eastAsia" w:ascii="仿宋_GB2312" w:eastAsia="仿宋_GB2312"/>
                <w:sz w:val="24"/>
                <w:szCs w:val="28"/>
              </w:rPr>
              <w:t>根据现场使用环境定制</w:t>
            </w:r>
          </w:p>
        </w:tc>
        <w:tc>
          <w:tcPr>
            <w:tcW w:w="733" w:type="dxa"/>
            <w:vAlign w:val="center"/>
          </w:tcPr>
          <w:p>
            <w:pPr>
              <w:jc w:val="center"/>
              <w:rPr>
                <w:rFonts w:hint="eastAsia" w:ascii="仿宋_GB2312" w:eastAsia="仿宋_GB2312"/>
                <w:sz w:val="24"/>
                <w:szCs w:val="28"/>
              </w:rPr>
            </w:pPr>
            <w:r>
              <w:rPr>
                <w:rFonts w:hint="default" w:ascii="仿宋_GB2312" w:eastAsia="仿宋_GB2312"/>
                <w:sz w:val="24"/>
                <w:szCs w:val="28"/>
                <w:lang w:val="en-US" w:eastAsia="zh-CN"/>
              </w:rPr>
              <w:t>1</w:t>
            </w:r>
          </w:p>
        </w:tc>
        <w:tc>
          <w:tcPr>
            <w:tcW w:w="1221" w:type="dxa"/>
            <w:vAlign w:val="center"/>
          </w:tcPr>
          <w:p>
            <w:pPr>
              <w:jc w:val="center"/>
              <w:rPr>
                <w:rFonts w:hint="default" w:ascii="仿宋_GB2312" w:eastAsia="仿宋_GB2312"/>
                <w:sz w:val="24"/>
                <w:szCs w:val="28"/>
                <w:lang w:val="en-US" w:eastAsia="zh-CN"/>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4"/>
              </w:numPr>
              <w:ind w:firstLineChars="0"/>
              <w:jc w:val="center"/>
              <w:rPr>
                <w:rFonts w:hint="eastAsia" w:ascii="仿宋_GB2312" w:eastAsia="仿宋_GB2312"/>
                <w:sz w:val="24"/>
                <w:szCs w:val="28"/>
              </w:rPr>
            </w:pPr>
          </w:p>
        </w:tc>
        <w:tc>
          <w:tcPr>
            <w:tcW w:w="1906" w:type="dxa"/>
            <w:vAlign w:val="center"/>
          </w:tcPr>
          <w:p>
            <w:pPr>
              <w:jc w:val="center"/>
              <w:rPr>
                <w:rFonts w:hint="default" w:ascii="仿宋_GB2312" w:eastAsia="仿宋_GB2312"/>
                <w:color w:val="auto"/>
                <w:sz w:val="24"/>
                <w:szCs w:val="28"/>
                <w:lang w:val="en-US" w:eastAsia="zh-CN"/>
              </w:rPr>
            </w:pPr>
            <w:r>
              <w:rPr>
                <w:rFonts w:hint="eastAsia" w:ascii="仿宋_GB2312" w:eastAsia="仿宋_GB2312"/>
                <w:color w:val="auto"/>
                <w:sz w:val="24"/>
                <w:szCs w:val="28"/>
                <w:lang w:val="en-US" w:eastAsia="zh-CN"/>
              </w:rPr>
              <w:t>软件</w:t>
            </w:r>
          </w:p>
        </w:tc>
        <w:tc>
          <w:tcPr>
            <w:tcW w:w="4571" w:type="dxa"/>
            <w:vAlign w:val="center"/>
          </w:tcPr>
          <w:p>
            <w:pPr>
              <w:jc w:val="both"/>
              <w:rPr>
                <w:rFonts w:hint="default" w:ascii="仿宋_GB2312" w:eastAsia="仿宋_GB2312"/>
                <w:color w:val="auto"/>
                <w:sz w:val="24"/>
                <w:szCs w:val="28"/>
                <w:lang w:val="en-US" w:eastAsia="zh-CN"/>
              </w:rPr>
            </w:pPr>
            <w:r>
              <w:rPr>
                <w:rFonts w:hint="eastAsia" w:ascii="仿宋_GB2312" w:eastAsia="仿宋_GB2312"/>
                <w:b/>
                <w:bCs/>
                <w:color w:val="auto"/>
                <w:sz w:val="24"/>
                <w:szCs w:val="28"/>
                <w:lang w:eastAsia="zh-CN"/>
              </w:rPr>
              <w:t>系统软件：</w:t>
            </w:r>
            <w:r>
              <w:rPr>
                <w:rFonts w:hint="eastAsia" w:ascii="仿宋_GB2312" w:eastAsia="仿宋_GB2312"/>
                <w:color w:val="auto"/>
                <w:sz w:val="24"/>
                <w:szCs w:val="28"/>
                <w:lang w:val="en-US" w:eastAsia="zh-CN"/>
              </w:rPr>
              <w:t>Windows8.0及以上版本</w:t>
            </w:r>
          </w:p>
          <w:p>
            <w:pPr>
              <w:jc w:val="center"/>
              <w:rPr>
                <w:rFonts w:hint="eastAsia" w:ascii="仿宋_GB2312" w:eastAsia="仿宋_GB2312"/>
                <w:color w:val="auto"/>
                <w:sz w:val="24"/>
                <w:szCs w:val="28"/>
                <w:lang w:val="en-US" w:eastAsia="zh-CN"/>
              </w:rPr>
            </w:pPr>
            <w:r>
              <w:rPr>
                <w:rFonts w:hint="eastAsia" w:ascii="仿宋_GB2312" w:eastAsia="仿宋_GB2312"/>
                <w:b/>
                <w:bCs/>
                <w:color w:val="auto"/>
                <w:sz w:val="24"/>
                <w:szCs w:val="28"/>
                <w:lang w:eastAsia="zh-CN"/>
              </w:rPr>
              <w:t>录音软件</w:t>
            </w:r>
            <w:r>
              <w:rPr>
                <w:rFonts w:hint="eastAsia" w:ascii="仿宋_GB2312" w:eastAsia="仿宋_GB2312"/>
                <w:color w:val="auto"/>
                <w:sz w:val="24"/>
                <w:szCs w:val="28"/>
                <w:lang w:eastAsia="zh-CN"/>
              </w:rPr>
              <w:t>：</w:t>
            </w:r>
            <w:r>
              <w:rPr>
                <w:rFonts w:hint="eastAsia" w:ascii="仿宋_GB2312" w:eastAsia="仿宋_GB2312"/>
                <w:color w:val="auto"/>
                <w:sz w:val="24"/>
                <w:szCs w:val="28"/>
              </w:rPr>
              <w:t>Pro Tools</w:t>
            </w:r>
            <w:r>
              <w:rPr>
                <w:rFonts w:hint="eastAsia" w:ascii="仿宋_GB2312" w:eastAsia="仿宋_GB2312"/>
                <w:color w:val="auto"/>
                <w:sz w:val="24"/>
                <w:szCs w:val="28"/>
                <w:lang w:val="en-US" w:eastAsia="zh-CN"/>
              </w:rPr>
              <w:t>2020</w:t>
            </w:r>
            <w:r>
              <w:rPr>
                <w:rFonts w:hint="eastAsia" w:ascii="仿宋_GB2312" w:eastAsia="仿宋_GB2312"/>
                <w:color w:val="auto"/>
                <w:sz w:val="24"/>
                <w:szCs w:val="28"/>
                <w:lang w:eastAsia="zh-CN"/>
              </w:rPr>
              <w:t>及以上版本</w:t>
            </w:r>
            <w:r>
              <w:rPr>
                <w:rFonts w:hint="eastAsia" w:ascii="仿宋_GB2312" w:eastAsia="仿宋_GB2312"/>
                <w:color w:val="auto"/>
                <w:sz w:val="24"/>
                <w:szCs w:val="28"/>
                <w:lang w:val="en-US" w:eastAsia="zh-CN"/>
              </w:rPr>
              <w:t xml:space="preserve"> ，</w:t>
            </w:r>
          </w:p>
          <w:p>
            <w:pPr>
              <w:jc w:val="center"/>
              <w:rPr>
                <w:rFonts w:hint="eastAsia" w:ascii="仿宋_GB2312" w:eastAsia="仿宋_GB2312"/>
                <w:color w:val="auto"/>
                <w:sz w:val="24"/>
                <w:szCs w:val="28"/>
                <w:lang w:val="en-US" w:eastAsia="zh-CN"/>
              </w:rPr>
            </w:pPr>
            <w:r>
              <w:rPr>
                <w:rFonts w:hint="eastAsia" w:ascii="仿宋_GB2312" w:eastAsia="仿宋_GB2312"/>
                <w:color w:val="auto"/>
                <w:sz w:val="24"/>
                <w:szCs w:val="28"/>
                <w:lang w:val="en-US" w:eastAsia="zh-CN"/>
              </w:rPr>
              <w:t>Cubase 标准版11Pro及以上版本</w:t>
            </w:r>
          </w:p>
        </w:tc>
        <w:tc>
          <w:tcPr>
            <w:tcW w:w="733" w:type="dxa"/>
            <w:vAlign w:val="center"/>
          </w:tcPr>
          <w:p>
            <w:pPr>
              <w:jc w:val="center"/>
              <w:rPr>
                <w:rFonts w:hint="default" w:ascii="仿宋_GB2312" w:eastAsia="仿宋_GB2312"/>
                <w:color w:val="auto"/>
                <w:sz w:val="24"/>
                <w:szCs w:val="28"/>
                <w:lang w:val="en-US" w:eastAsia="zh-CN"/>
              </w:rPr>
            </w:pPr>
          </w:p>
        </w:tc>
        <w:tc>
          <w:tcPr>
            <w:tcW w:w="1221" w:type="dxa"/>
            <w:vAlign w:val="center"/>
          </w:tcPr>
          <w:p>
            <w:pPr>
              <w:jc w:val="center"/>
              <w:rPr>
                <w:rFonts w:hint="eastAsia" w:ascii="仿宋_GB2312" w:eastAsia="仿宋_GB2312"/>
                <w:sz w:val="24"/>
                <w:szCs w:val="28"/>
                <w:lang w:val="en-US" w:eastAsia="zh-CN"/>
              </w:rPr>
            </w:pPr>
          </w:p>
        </w:tc>
        <w:tc>
          <w:tcPr>
            <w:tcW w:w="859" w:type="dxa"/>
            <w:vAlign w:val="center"/>
          </w:tcPr>
          <w:p>
            <w:pPr>
              <w:jc w:val="center"/>
              <w:rPr>
                <w:rFonts w:hint="eastAsia"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4" w:type="dxa"/>
            <w:vAlign w:val="center"/>
          </w:tcPr>
          <w:p>
            <w:pPr>
              <w:pStyle w:val="32"/>
              <w:numPr>
                <w:ilvl w:val="0"/>
                <w:numId w:val="4"/>
              </w:numPr>
              <w:ind w:firstLineChars="0"/>
              <w:jc w:val="center"/>
              <w:rPr>
                <w:rFonts w:hint="eastAsia" w:ascii="仿宋_GB2312" w:eastAsia="仿宋_GB2312"/>
                <w:sz w:val="24"/>
                <w:szCs w:val="28"/>
              </w:rPr>
            </w:pPr>
          </w:p>
        </w:tc>
        <w:tc>
          <w:tcPr>
            <w:tcW w:w="1906" w:type="dxa"/>
            <w:vAlign w:val="center"/>
          </w:tcPr>
          <w:p>
            <w:pPr>
              <w:jc w:val="center"/>
              <w:rPr>
                <w:rFonts w:hint="default" w:ascii="仿宋_GB2312" w:eastAsia="仿宋_GB2312"/>
                <w:color w:val="auto"/>
                <w:sz w:val="24"/>
                <w:szCs w:val="28"/>
                <w:highlight w:val="none"/>
                <w:lang w:val="en-US" w:eastAsia="zh-CN"/>
              </w:rPr>
            </w:pPr>
            <w:r>
              <w:rPr>
                <w:rFonts w:hint="eastAsia" w:ascii="仿宋_GB2312" w:eastAsia="仿宋_GB2312"/>
                <w:color w:val="auto"/>
                <w:sz w:val="24"/>
                <w:szCs w:val="28"/>
                <w:highlight w:val="none"/>
                <w:lang w:val="en-US" w:eastAsia="zh-CN"/>
              </w:rPr>
              <w:t>音箱支架</w:t>
            </w:r>
          </w:p>
        </w:tc>
        <w:tc>
          <w:tcPr>
            <w:tcW w:w="4571" w:type="dxa"/>
            <w:vAlign w:val="center"/>
          </w:tcPr>
          <w:p>
            <w:pPr>
              <w:jc w:val="center"/>
              <w:rPr>
                <w:rFonts w:hint="eastAsia" w:ascii="仿宋_GB2312" w:eastAsia="仿宋_GB2312"/>
                <w:color w:val="auto"/>
                <w:sz w:val="24"/>
                <w:szCs w:val="28"/>
                <w:highlight w:val="none"/>
              </w:rPr>
            </w:pPr>
            <w:r>
              <w:rPr>
                <w:rFonts w:hint="eastAsia" w:ascii="仿宋_GB2312" w:eastAsia="仿宋_GB2312"/>
                <w:color w:val="auto"/>
                <w:sz w:val="24"/>
                <w:szCs w:val="28"/>
                <w:highlight w:val="none"/>
                <w:lang w:val="en-US" w:eastAsia="zh-CN"/>
              </w:rPr>
              <w:t>均需制作并配备相应支架</w:t>
            </w:r>
          </w:p>
        </w:tc>
        <w:tc>
          <w:tcPr>
            <w:tcW w:w="733" w:type="dxa"/>
            <w:vAlign w:val="center"/>
          </w:tcPr>
          <w:p>
            <w:pPr>
              <w:jc w:val="center"/>
              <w:rPr>
                <w:rFonts w:hint="default" w:ascii="仿宋_GB2312" w:eastAsia="仿宋_GB2312"/>
                <w:sz w:val="24"/>
                <w:szCs w:val="28"/>
                <w:lang w:val="en-US" w:eastAsia="zh-CN"/>
              </w:rPr>
            </w:pPr>
          </w:p>
        </w:tc>
        <w:tc>
          <w:tcPr>
            <w:tcW w:w="1221" w:type="dxa"/>
            <w:vAlign w:val="center"/>
          </w:tcPr>
          <w:p>
            <w:pPr>
              <w:jc w:val="center"/>
              <w:rPr>
                <w:rFonts w:hint="default" w:ascii="仿宋_GB2312" w:eastAsia="仿宋_GB2312"/>
                <w:sz w:val="24"/>
                <w:szCs w:val="28"/>
                <w:lang w:val="en-US" w:eastAsia="zh-CN"/>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gridSpan w:val="2"/>
            <w:vAlign w:val="center"/>
          </w:tcPr>
          <w:p>
            <w:pPr>
              <w:jc w:val="center"/>
              <w:rPr>
                <w:rFonts w:hint="eastAsia" w:ascii="仿宋_GB2312" w:eastAsia="仿宋_GB2312"/>
                <w:color w:val="FF0000"/>
                <w:sz w:val="24"/>
                <w:szCs w:val="28"/>
                <w:highlight w:val="yellow"/>
                <w:lang w:val="en-US" w:eastAsia="zh-CN"/>
              </w:rPr>
            </w:pPr>
            <w:r>
              <w:rPr>
                <w:rFonts w:hint="eastAsia" w:ascii="仿宋_GB2312" w:eastAsia="仿宋_GB2312"/>
                <w:b/>
                <w:bCs/>
                <w:color w:val="auto"/>
                <w:sz w:val="24"/>
                <w:szCs w:val="28"/>
                <w:highlight w:val="none"/>
                <w:shd w:val="clear" w:color="auto" w:fill="auto"/>
                <w:lang w:val="en-US" w:eastAsia="zh-CN"/>
              </w:rPr>
              <w:t>合计</w:t>
            </w:r>
          </w:p>
        </w:tc>
        <w:tc>
          <w:tcPr>
            <w:tcW w:w="7384" w:type="dxa"/>
            <w:gridSpan w:val="4"/>
            <w:vAlign w:val="center"/>
          </w:tcPr>
          <w:p>
            <w:pPr>
              <w:jc w:val="center"/>
              <w:rPr>
                <w:rFonts w:hint="default" w:ascii="仿宋_GB2312" w:eastAsia="仿宋_GB2312"/>
                <w:sz w:val="24"/>
                <w:szCs w:val="28"/>
                <w:lang w:val="en-US" w:eastAsia="zh-CN"/>
              </w:rPr>
            </w:pPr>
            <w:r>
              <w:rPr>
                <w:rFonts w:hint="eastAsia" w:ascii="仿宋_GB2312" w:eastAsia="仿宋_GB2312"/>
                <w:b/>
                <w:bCs/>
                <w:sz w:val="24"/>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4" w:type="dxa"/>
            <w:vAlign w:val="center"/>
          </w:tcPr>
          <w:p>
            <w:pPr>
              <w:pStyle w:val="32"/>
              <w:numPr>
                <w:ilvl w:val="0"/>
                <w:numId w:val="0"/>
              </w:numPr>
              <w:ind w:leftChars="0"/>
              <w:jc w:val="both"/>
              <w:rPr>
                <w:rFonts w:hint="eastAsia" w:ascii="仿宋_GB2312" w:eastAsia="仿宋_GB2312"/>
                <w:sz w:val="24"/>
                <w:szCs w:val="28"/>
              </w:rPr>
            </w:pPr>
          </w:p>
        </w:tc>
        <w:tc>
          <w:tcPr>
            <w:tcW w:w="9290" w:type="dxa"/>
            <w:gridSpan w:val="5"/>
            <w:vAlign w:val="center"/>
          </w:tcPr>
          <w:p>
            <w:pPr>
              <w:jc w:val="center"/>
              <w:rPr>
                <w:rFonts w:hint="eastAsia" w:ascii="仿宋_GB2312" w:eastAsia="仿宋_GB2312"/>
                <w:sz w:val="24"/>
                <w:szCs w:val="28"/>
              </w:rPr>
            </w:pPr>
            <w:r>
              <w:rPr>
                <w:rFonts w:hint="eastAsia" w:ascii="仿宋_GB2312" w:eastAsia="仿宋_GB2312"/>
                <w:b/>
                <w:bCs/>
                <w:sz w:val="24"/>
                <w:szCs w:val="28"/>
              </w:rPr>
              <w:t>声学吸声扩散材料及安装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0"/>
              </w:numPr>
              <w:ind w:leftChars="0"/>
              <w:jc w:val="both"/>
              <w:rPr>
                <w:rFonts w:hint="eastAsia" w:ascii="仿宋_GB2312" w:eastAsia="仿宋_GB2312"/>
                <w:sz w:val="24"/>
                <w:szCs w:val="28"/>
                <w:lang w:val="en-US" w:eastAsia="zh-CN"/>
              </w:rPr>
            </w:pPr>
            <w:r>
              <w:rPr>
                <w:rFonts w:hint="eastAsia" w:ascii="仿宋_GB2312" w:eastAsia="仿宋_GB2312"/>
                <w:sz w:val="24"/>
                <w:szCs w:val="28"/>
                <w:lang w:val="en-US" w:eastAsia="zh-CN"/>
              </w:rPr>
              <w:t>1</w:t>
            </w:r>
          </w:p>
        </w:tc>
        <w:tc>
          <w:tcPr>
            <w:tcW w:w="1906" w:type="dxa"/>
            <w:vAlign w:val="center"/>
          </w:tcPr>
          <w:p>
            <w:pPr>
              <w:keepNext w:val="0"/>
              <w:keepLines w:val="0"/>
              <w:widowControl/>
              <w:suppressLineNumbers w:val="0"/>
              <w:jc w:val="left"/>
              <w:textAlignment w:val="center"/>
              <w:rPr>
                <w:rFonts w:hint="eastAsia" w:ascii="仿宋_GB2312" w:eastAsia="仿宋_GB2312"/>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墙面新建轻钢 龙骨</w:t>
            </w:r>
          </w:p>
        </w:tc>
        <w:tc>
          <w:tcPr>
            <w:tcW w:w="4571" w:type="dxa"/>
            <w:vAlign w:val="center"/>
          </w:tcPr>
          <w:p>
            <w:pPr>
              <w:keepNext w:val="0"/>
              <w:keepLines w:val="0"/>
              <w:widowControl/>
              <w:suppressLineNumbers w:val="0"/>
              <w:jc w:val="left"/>
              <w:textAlignment w:val="center"/>
              <w:rPr>
                <w:rFonts w:hint="eastAsia" w:ascii="仿宋_GB2312" w:eastAsia="仿宋_GB2312"/>
                <w:sz w:val="24"/>
                <w:szCs w:val="24"/>
              </w:rPr>
            </w:pPr>
            <w:r>
              <w:rPr>
                <w:rFonts w:hint="eastAsia" w:ascii="仿宋_GB2312" w:hAnsi="宋体" w:eastAsia="仿宋_GB2312" w:cs="仿宋_GB2312"/>
                <w:i w:val="0"/>
                <w:color w:val="000000"/>
                <w:kern w:val="0"/>
                <w:sz w:val="24"/>
                <w:szCs w:val="24"/>
                <w:u w:val="none"/>
                <w:lang w:val="en-US" w:eastAsia="zh-CN" w:bidi="ar"/>
              </w:rPr>
              <w:t>轻钢龙骨非承重墙体和建筑物屋顶的造型装饰</w:t>
            </w:r>
          </w:p>
        </w:tc>
        <w:tc>
          <w:tcPr>
            <w:tcW w:w="733" w:type="dxa"/>
            <w:vAlign w:val="center"/>
          </w:tcPr>
          <w:p>
            <w:pPr>
              <w:keepNext w:val="0"/>
              <w:keepLines w:val="0"/>
              <w:widowControl/>
              <w:suppressLineNumbers w:val="0"/>
              <w:jc w:val="left"/>
              <w:textAlignment w:val="center"/>
              <w:rPr>
                <w:rFonts w:hint="default" w:ascii="仿宋_GB2312" w:eastAsia="仿宋_GB2312"/>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74</w:t>
            </w:r>
            <w:r>
              <w:rPr>
                <w:rFonts w:hint="eastAsia" w:ascii="仿宋_GB2312" w:hAnsi="宋体" w:eastAsia="仿宋_GB2312" w:cs="仿宋_GB2312"/>
                <w:i w:val="0"/>
                <w:color w:val="000000"/>
                <w:kern w:val="0"/>
                <w:sz w:val="15"/>
                <w:szCs w:val="15"/>
                <w:u w:val="none"/>
                <w:lang w:val="en-US" w:eastAsia="zh-CN" w:bidi="ar"/>
              </w:rPr>
              <w:t>平方</w:t>
            </w:r>
          </w:p>
        </w:tc>
        <w:tc>
          <w:tcPr>
            <w:tcW w:w="1221" w:type="dxa"/>
            <w:vAlign w:val="center"/>
          </w:tcPr>
          <w:p>
            <w:pPr>
              <w:keepNext w:val="0"/>
              <w:keepLines w:val="0"/>
              <w:widowControl/>
              <w:suppressLineNumbers w:val="0"/>
              <w:jc w:val="center"/>
              <w:textAlignment w:val="center"/>
              <w:rPr>
                <w:rFonts w:hint="eastAsia" w:ascii="仿宋_GB2312" w:eastAsia="仿宋_GB2312"/>
                <w:sz w:val="24"/>
                <w:szCs w:val="24"/>
                <w:lang w:val="en-US" w:eastAsia="zh-CN"/>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4" w:type="dxa"/>
            <w:vAlign w:val="center"/>
          </w:tcPr>
          <w:p>
            <w:pPr>
              <w:pStyle w:val="32"/>
              <w:numPr>
                <w:ilvl w:val="0"/>
                <w:numId w:val="0"/>
              </w:numPr>
              <w:ind w:leftChars="0"/>
              <w:jc w:val="both"/>
              <w:rPr>
                <w:rFonts w:hint="eastAsia" w:ascii="仿宋_GB2312" w:eastAsia="仿宋_GB2312"/>
                <w:sz w:val="24"/>
                <w:szCs w:val="28"/>
                <w:lang w:val="en-US" w:eastAsia="zh-CN"/>
              </w:rPr>
            </w:pPr>
            <w:r>
              <w:rPr>
                <w:rFonts w:hint="eastAsia" w:ascii="仿宋_GB2312" w:eastAsia="仿宋_GB2312"/>
                <w:sz w:val="24"/>
                <w:szCs w:val="28"/>
                <w:lang w:val="en-US" w:eastAsia="zh-CN"/>
              </w:rPr>
              <w:t>2</w:t>
            </w:r>
          </w:p>
        </w:tc>
        <w:tc>
          <w:tcPr>
            <w:tcW w:w="1906" w:type="dxa"/>
            <w:vAlign w:val="center"/>
          </w:tcPr>
          <w:p>
            <w:pPr>
              <w:keepNext w:val="0"/>
              <w:keepLines w:val="0"/>
              <w:widowControl/>
              <w:suppressLineNumbers w:val="0"/>
              <w:jc w:val="left"/>
              <w:textAlignment w:val="center"/>
              <w:rPr>
                <w:rFonts w:hint="eastAsia" w:ascii="仿宋_GB2312" w:eastAsia="仿宋_GB2312"/>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墙面岩棉隔音</w:t>
            </w:r>
          </w:p>
        </w:tc>
        <w:tc>
          <w:tcPr>
            <w:tcW w:w="4571" w:type="dxa"/>
            <w:vAlign w:val="center"/>
          </w:tcPr>
          <w:p>
            <w:pPr>
              <w:keepNext w:val="0"/>
              <w:keepLines w:val="0"/>
              <w:widowControl/>
              <w:suppressLineNumbers w:val="0"/>
              <w:jc w:val="left"/>
              <w:textAlignment w:val="center"/>
              <w:rPr>
                <w:rFonts w:hint="default" w:ascii="仿宋_GB2312" w:eastAsia="仿宋_GB2312"/>
                <w:sz w:val="24"/>
                <w:szCs w:val="24"/>
                <w:lang w:val="en-US"/>
              </w:rPr>
            </w:pPr>
            <w:r>
              <w:rPr>
                <w:rFonts w:hint="eastAsia" w:ascii="仿宋_GB2312" w:hAnsi="宋体" w:eastAsia="仿宋_GB2312" w:cs="仿宋_GB2312"/>
                <w:i w:val="0"/>
                <w:color w:val="000000"/>
                <w:kern w:val="0"/>
                <w:sz w:val="24"/>
                <w:szCs w:val="24"/>
                <w:u w:val="none"/>
                <w:lang w:val="en-US" w:eastAsia="zh-CN" w:bidi="ar"/>
              </w:rPr>
              <w:t>墙面岩棉隔音</w:t>
            </w:r>
          </w:p>
        </w:tc>
        <w:tc>
          <w:tcPr>
            <w:tcW w:w="733" w:type="dxa"/>
            <w:vAlign w:val="center"/>
          </w:tcPr>
          <w:p>
            <w:pPr>
              <w:keepNext w:val="0"/>
              <w:keepLines w:val="0"/>
              <w:widowControl/>
              <w:suppressLineNumbers w:val="0"/>
              <w:jc w:val="left"/>
              <w:textAlignment w:val="center"/>
              <w:rPr>
                <w:rFonts w:hint="default" w:ascii="仿宋_GB2312" w:eastAsia="仿宋_GB2312"/>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74</w:t>
            </w:r>
            <w:r>
              <w:rPr>
                <w:rFonts w:hint="eastAsia" w:ascii="仿宋_GB2312" w:hAnsi="宋体" w:eastAsia="仿宋_GB2312" w:cs="仿宋_GB2312"/>
                <w:i w:val="0"/>
                <w:color w:val="000000"/>
                <w:kern w:val="0"/>
                <w:sz w:val="15"/>
                <w:szCs w:val="15"/>
                <w:u w:val="none"/>
                <w:lang w:val="en-US" w:eastAsia="zh-CN" w:bidi="ar"/>
              </w:rPr>
              <w:t>平方</w:t>
            </w:r>
          </w:p>
        </w:tc>
        <w:tc>
          <w:tcPr>
            <w:tcW w:w="1221" w:type="dxa"/>
            <w:vAlign w:val="center"/>
          </w:tcPr>
          <w:p>
            <w:pPr>
              <w:keepNext w:val="0"/>
              <w:keepLines w:val="0"/>
              <w:widowControl/>
              <w:suppressLineNumbers w:val="0"/>
              <w:jc w:val="center"/>
              <w:textAlignment w:val="center"/>
              <w:rPr>
                <w:rFonts w:hint="eastAsia" w:ascii="仿宋_GB2312" w:eastAsia="仿宋_GB2312"/>
                <w:sz w:val="24"/>
                <w:szCs w:val="24"/>
                <w:lang w:val="en-US" w:eastAsia="zh-CN"/>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0"/>
              </w:numPr>
              <w:ind w:leftChars="0"/>
              <w:jc w:val="both"/>
              <w:rPr>
                <w:rFonts w:hint="eastAsia" w:ascii="仿宋_GB2312" w:eastAsia="仿宋_GB2312"/>
                <w:sz w:val="24"/>
                <w:szCs w:val="28"/>
                <w:lang w:val="en-US" w:eastAsia="zh-CN"/>
              </w:rPr>
            </w:pPr>
            <w:r>
              <w:rPr>
                <w:rFonts w:hint="eastAsia" w:ascii="仿宋_GB2312" w:eastAsia="仿宋_GB2312"/>
                <w:sz w:val="24"/>
                <w:szCs w:val="28"/>
                <w:lang w:val="en-US" w:eastAsia="zh-CN"/>
              </w:rPr>
              <w:t>3</w:t>
            </w:r>
          </w:p>
        </w:tc>
        <w:tc>
          <w:tcPr>
            <w:tcW w:w="1906" w:type="dxa"/>
            <w:vAlign w:val="center"/>
          </w:tcPr>
          <w:p>
            <w:pPr>
              <w:keepNext w:val="0"/>
              <w:keepLines w:val="0"/>
              <w:widowControl/>
              <w:suppressLineNumbers w:val="0"/>
              <w:jc w:val="left"/>
              <w:textAlignment w:val="center"/>
              <w:rPr>
                <w:rFonts w:hint="eastAsia" w:ascii="仿宋_GB2312" w:eastAsia="仿宋_GB2312"/>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吸声材料安装</w:t>
            </w:r>
          </w:p>
        </w:tc>
        <w:tc>
          <w:tcPr>
            <w:tcW w:w="4571" w:type="dxa"/>
            <w:vAlign w:val="center"/>
          </w:tcPr>
          <w:p>
            <w:pPr>
              <w:keepNext w:val="0"/>
              <w:keepLines w:val="0"/>
              <w:widowControl/>
              <w:suppressLineNumbers w:val="0"/>
              <w:jc w:val="left"/>
              <w:textAlignment w:val="center"/>
              <w:rPr>
                <w:rFonts w:hint="eastAsia" w:ascii="仿宋_GB2312" w:eastAsia="仿宋_GB2312"/>
                <w:sz w:val="24"/>
                <w:szCs w:val="24"/>
              </w:rPr>
            </w:pPr>
            <w:r>
              <w:rPr>
                <w:rFonts w:hint="eastAsia" w:ascii="仿宋_GB2312" w:hAnsi="宋体" w:eastAsia="仿宋_GB2312" w:cs="仿宋_GB2312"/>
                <w:i w:val="0"/>
                <w:color w:val="000000"/>
                <w:kern w:val="0"/>
                <w:sz w:val="24"/>
                <w:szCs w:val="24"/>
                <w:u w:val="none"/>
                <w:lang w:val="en-US" w:eastAsia="zh-CN" w:bidi="ar"/>
              </w:rPr>
              <w:t>吸声材料安装</w:t>
            </w:r>
          </w:p>
        </w:tc>
        <w:tc>
          <w:tcPr>
            <w:tcW w:w="733" w:type="dxa"/>
            <w:vAlign w:val="center"/>
          </w:tcPr>
          <w:p>
            <w:pPr>
              <w:keepNext w:val="0"/>
              <w:keepLines w:val="0"/>
              <w:widowControl/>
              <w:suppressLineNumbers w:val="0"/>
              <w:jc w:val="left"/>
              <w:textAlignment w:val="center"/>
              <w:rPr>
                <w:rFonts w:hint="default" w:ascii="仿宋_GB2312" w:eastAsia="仿宋_GB2312"/>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74</w:t>
            </w:r>
            <w:r>
              <w:rPr>
                <w:rFonts w:hint="eastAsia" w:ascii="仿宋_GB2312" w:hAnsi="宋体" w:eastAsia="仿宋_GB2312" w:cs="仿宋_GB2312"/>
                <w:i w:val="0"/>
                <w:color w:val="000000"/>
                <w:kern w:val="0"/>
                <w:sz w:val="15"/>
                <w:szCs w:val="15"/>
                <w:u w:val="none"/>
                <w:lang w:val="en-US" w:eastAsia="zh-CN" w:bidi="ar"/>
              </w:rPr>
              <w:t>平方</w:t>
            </w:r>
          </w:p>
        </w:tc>
        <w:tc>
          <w:tcPr>
            <w:tcW w:w="1221" w:type="dxa"/>
            <w:vAlign w:val="center"/>
          </w:tcPr>
          <w:p>
            <w:pPr>
              <w:keepNext w:val="0"/>
              <w:keepLines w:val="0"/>
              <w:widowControl/>
              <w:suppressLineNumbers w:val="0"/>
              <w:jc w:val="center"/>
              <w:textAlignment w:val="center"/>
              <w:rPr>
                <w:rFonts w:hint="eastAsia" w:ascii="仿宋_GB2312" w:eastAsia="仿宋_GB2312"/>
                <w:sz w:val="24"/>
                <w:szCs w:val="24"/>
                <w:lang w:val="en-US" w:eastAsia="zh-CN"/>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4" w:type="dxa"/>
            <w:vAlign w:val="center"/>
          </w:tcPr>
          <w:p>
            <w:pPr>
              <w:pStyle w:val="32"/>
              <w:numPr>
                <w:ilvl w:val="0"/>
                <w:numId w:val="0"/>
              </w:numPr>
              <w:ind w:leftChars="0"/>
              <w:jc w:val="both"/>
              <w:rPr>
                <w:rFonts w:hint="eastAsia" w:ascii="仿宋_GB2312" w:eastAsia="仿宋_GB2312"/>
                <w:sz w:val="24"/>
                <w:szCs w:val="28"/>
                <w:lang w:val="en-US" w:eastAsia="zh-CN"/>
              </w:rPr>
            </w:pPr>
            <w:r>
              <w:rPr>
                <w:rFonts w:hint="eastAsia" w:ascii="仿宋_GB2312" w:eastAsia="仿宋_GB2312"/>
                <w:sz w:val="24"/>
                <w:szCs w:val="28"/>
                <w:lang w:val="en-US" w:eastAsia="zh-CN"/>
              </w:rPr>
              <w:t>4</w:t>
            </w:r>
          </w:p>
        </w:tc>
        <w:tc>
          <w:tcPr>
            <w:tcW w:w="1906" w:type="dxa"/>
            <w:vAlign w:val="center"/>
          </w:tcPr>
          <w:p>
            <w:pPr>
              <w:keepNext w:val="0"/>
              <w:keepLines w:val="0"/>
              <w:widowControl/>
              <w:suppressLineNumbers w:val="0"/>
              <w:jc w:val="left"/>
              <w:textAlignment w:val="center"/>
              <w:rPr>
                <w:rFonts w:hint="eastAsia" w:ascii="仿宋_GB2312" w:eastAsia="仿宋_GB2312"/>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线路及电源改造</w:t>
            </w:r>
          </w:p>
        </w:tc>
        <w:tc>
          <w:tcPr>
            <w:tcW w:w="4571" w:type="dxa"/>
            <w:vAlign w:val="center"/>
          </w:tcPr>
          <w:p>
            <w:pPr>
              <w:keepNext w:val="0"/>
              <w:keepLines w:val="0"/>
              <w:widowControl/>
              <w:suppressLineNumbers w:val="0"/>
              <w:jc w:val="left"/>
              <w:textAlignment w:val="center"/>
              <w:rPr>
                <w:rFonts w:hint="eastAsia" w:ascii="仿宋_GB2312" w:eastAsia="仿宋_GB2312"/>
                <w:sz w:val="24"/>
                <w:szCs w:val="24"/>
              </w:rPr>
            </w:pPr>
            <w:r>
              <w:rPr>
                <w:rFonts w:hint="eastAsia" w:ascii="仿宋_GB2312" w:hAnsi="宋体" w:eastAsia="仿宋_GB2312" w:cs="仿宋_GB2312"/>
                <w:i w:val="0"/>
                <w:color w:val="000000"/>
                <w:kern w:val="0"/>
                <w:sz w:val="24"/>
                <w:szCs w:val="24"/>
                <w:u w:val="none"/>
                <w:lang w:val="en-US" w:eastAsia="zh-CN" w:bidi="ar"/>
              </w:rPr>
              <w:t>线路及电源改造</w:t>
            </w:r>
          </w:p>
        </w:tc>
        <w:tc>
          <w:tcPr>
            <w:tcW w:w="733" w:type="dxa"/>
            <w:vAlign w:val="center"/>
          </w:tcPr>
          <w:p>
            <w:pPr>
              <w:keepNext w:val="0"/>
              <w:keepLines w:val="0"/>
              <w:widowControl/>
              <w:suppressLineNumbers w:val="0"/>
              <w:jc w:val="left"/>
              <w:textAlignment w:val="center"/>
              <w:rPr>
                <w:rFonts w:hint="default" w:ascii="仿宋_GB2312" w:eastAsia="仿宋_GB2312"/>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22</w:t>
            </w:r>
            <w:r>
              <w:rPr>
                <w:rFonts w:hint="eastAsia" w:ascii="仿宋_GB2312" w:hAnsi="宋体" w:eastAsia="仿宋_GB2312" w:cs="仿宋_GB2312"/>
                <w:i w:val="0"/>
                <w:color w:val="000000"/>
                <w:kern w:val="0"/>
                <w:sz w:val="15"/>
                <w:szCs w:val="15"/>
                <w:u w:val="none"/>
                <w:lang w:val="en-US" w:eastAsia="zh-CN" w:bidi="ar"/>
              </w:rPr>
              <w:t>平方</w:t>
            </w:r>
          </w:p>
        </w:tc>
        <w:tc>
          <w:tcPr>
            <w:tcW w:w="1221" w:type="dxa"/>
            <w:vAlign w:val="center"/>
          </w:tcPr>
          <w:p>
            <w:pPr>
              <w:keepNext w:val="0"/>
              <w:keepLines w:val="0"/>
              <w:widowControl/>
              <w:suppressLineNumbers w:val="0"/>
              <w:jc w:val="center"/>
              <w:textAlignment w:val="center"/>
              <w:rPr>
                <w:rFonts w:hint="eastAsia" w:ascii="仿宋_GB2312" w:eastAsia="仿宋_GB2312"/>
                <w:sz w:val="24"/>
                <w:szCs w:val="24"/>
                <w:lang w:val="en-US" w:eastAsia="zh-CN"/>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0"/>
              </w:numPr>
              <w:ind w:leftChars="0"/>
              <w:jc w:val="both"/>
              <w:rPr>
                <w:rFonts w:hint="eastAsia" w:ascii="仿宋_GB2312" w:eastAsia="仿宋_GB2312"/>
                <w:sz w:val="24"/>
                <w:szCs w:val="28"/>
                <w:lang w:val="en-US" w:eastAsia="zh-CN"/>
              </w:rPr>
            </w:pPr>
            <w:r>
              <w:rPr>
                <w:rFonts w:hint="eastAsia" w:ascii="仿宋_GB2312" w:eastAsia="仿宋_GB2312"/>
                <w:sz w:val="24"/>
                <w:szCs w:val="28"/>
                <w:lang w:val="en-US" w:eastAsia="zh-CN"/>
              </w:rPr>
              <w:t>5</w:t>
            </w:r>
          </w:p>
        </w:tc>
        <w:tc>
          <w:tcPr>
            <w:tcW w:w="1906" w:type="dxa"/>
            <w:vAlign w:val="center"/>
          </w:tcPr>
          <w:p>
            <w:pPr>
              <w:keepNext w:val="0"/>
              <w:keepLines w:val="0"/>
              <w:widowControl/>
              <w:suppressLineNumbers w:val="0"/>
              <w:jc w:val="left"/>
              <w:textAlignment w:val="center"/>
              <w:rPr>
                <w:rFonts w:hint="eastAsia" w:ascii="仿宋_GB2312" w:eastAsia="仿宋_GB2312"/>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房顶面层吸声材料安装</w:t>
            </w:r>
          </w:p>
        </w:tc>
        <w:tc>
          <w:tcPr>
            <w:tcW w:w="4571" w:type="dxa"/>
            <w:vAlign w:val="center"/>
          </w:tcPr>
          <w:p>
            <w:pPr>
              <w:keepNext w:val="0"/>
              <w:keepLines w:val="0"/>
              <w:widowControl/>
              <w:suppressLineNumbers w:val="0"/>
              <w:jc w:val="left"/>
              <w:textAlignment w:val="center"/>
              <w:rPr>
                <w:rFonts w:hint="eastAsia" w:ascii="仿宋_GB2312" w:eastAsia="仿宋_GB2312"/>
                <w:sz w:val="24"/>
                <w:szCs w:val="24"/>
              </w:rPr>
            </w:pPr>
            <w:r>
              <w:rPr>
                <w:rFonts w:hint="eastAsia" w:ascii="仿宋_GB2312" w:hAnsi="宋体" w:eastAsia="仿宋_GB2312" w:cs="仿宋_GB2312"/>
                <w:i w:val="0"/>
                <w:color w:val="000000"/>
                <w:kern w:val="0"/>
                <w:sz w:val="24"/>
                <w:szCs w:val="24"/>
                <w:u w:val="none"/>
                <w:lang w:val="en-US" w:eastAsia="zh-CN" w:bidi="ar"/>
              </w:rPr>
              <w:t>顶面面层吸声材料安装</w:t>
            </w:r>
          </w:p>
        </w:tc>
        <w:tc>
          <w:tcPr>
            <w:tcW w:w="733" w:type="dxa"/>
            <w:vAlign w:val="center"/>
          </w:tcPr>
          <w:p>
            <w:pPr>
              <w:keepNext w:val="0"/>
              <w:keepLines w:val="0"/>
              <w:widowControl/>
              <w:suppressLineNumbers w:val="0"/>
              <w:jc w:val="left"/>
              <w:textAlignment w:val="center"/>
              <w:rPr>
                <w:rFonts w:hint="default" w:ascii="仿宋_GB2312" w:eastAsia="仿宋_GB2312"/>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22</w:t>
            </w:r>
            <w:r>
              <w:rPr>
                <w:rFonts w:hint="eastAsia" w:ascii="仿宋_GB2312" w:hAnsi="宋体" w:eastAsia="仿宋_GB2312" w:cs="仿宋_GB2312"/>
                <w:i w:val="0"/>
                <w:color w:val="000000"/>
                <w:kern w:val="0"/>
                <w:sz w:val="15"/>
                <w:szCs w:val="15"/>
                <w:u w:val="none"/>
                <w:lang w:val="en-US" w:eastAsia="zh-CN" w:bidi="ar"/>
              </w:rPr>
              <w:t>平方</w:t>
            </w:r>
          </w:p>
        </w:tc>
        <w:tc>
          <w:tcPr>
            <w:tcW w:w="1221" w:type="dxa"/>
            <w:vAlign w:val="center"/>
          </w:tcPr>
          <w:p>
            <w:pPr>
              <w:keepNext w:val="0"/>
              <w:keepLines w:val="0"/>
              <w:widowControl/>
              <w:suppressLineNumbers w:val="0"/>
              <w:jc w:val="center"/>
              <w:textAlignment w:val="center"/>
              <w:rPr>
                <w:rFonts w:hint="eastAsia" w:ascii="仿宋_GB2312" w:eastAsia="仿宋_GB2312"/>
                <w:sz w:val="24"/>
                <w:szCs w:val="24"/>
                <w:lang w:val="en-US" w:eastAsia="zh-CN"/>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4" w:type="dxa"/>
            <w:vAlign w:val="center"/>
          </w:tcPr>
          <w:p>
            <w:pPr>
              <w:pStyle w:val="32"/>
              <w:numPr>
                <w:ilvl w:val="0"/>
                <w:numId w:val="0"/>
              </w:numPr>
              <w:ind w:leftChars="0"/>
              <w:jc w:val="both"/>
              <w:rPr>
                <w:rFonts w:hint="eastAsia" w:ascii="仿宋_GB2312" w:eastAsia="仿宋_GB2312"/>
                <w:sz w:val="24"/>
                <w:szCs w:val="28"/>
                <w:lang w:val="en-US" w:eastAsia="zh-CN"/>
              </w:rPr>
            </w:pPr>
            <w:r>
              <w:rPr>
                <w:rFonts w:hint="eastAsia" w:ascii="仿宋_GB2312" w:eastAsia="仿宋_GB2312"/>
                <w:sz w:val="24"/>
                <w:szCs w:val="28"/>
                <w:lang w:val="en-US" w:eastAsia="zh-CN"/>
              </w:rPr>
              <w:t>6</w:t>
            </w:r>
          </w:p>
        </w:tc>
        <w:tc>
          <w:tcPr>
            <w:tcW w:w="1906" w:type="dxa"/>
            <w:vAlign w:val="center"/>
          </w:tcPr>
          <w:p>
            <w:pPr>
              <w:keepNext w:val="0"/>
              <w:keepLines w:val="0"/>
              <w:widowControl/>
              <w:suppressLineNumbers w:val="0"/>
              <w:jc w:val="left"/>
              <w:textAlignment w:val="center"/>
              <w:rPr>
                <w:rFonts w:hint="eastAsia" w:ascii="仿宋_GB2312" w:eastAsia="仿宋_GB2312"/>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观察窗开孔及加固</w:t>
            </w:r>
          </w:p>
        </w:tc>
        <w:tc>
          <w:tcPr>
            <w:tcW w:w="4571" w:type="dxa"/>
            <w:vAlign w:val="center"/>
          </w:tcPr>
          <w:p>
            <w:pPr>
              <w:rPr>
                <w:rFonts w:hint="eastAsia" w:ascii="仿宋_GB2312" w:eastAsia="仿宋_GB2312"/>
                <w:sz w:val="24"/>
                <w:szCs w:val="24"/>
              </w:rPr>
            </w:pPr>
          </w:p>
        </w:tc>
        <w:tc>
          <w:tcPr>
            <w:tcW w:w="733" w:type="dxa"/>
            <w:vAlign w:val="center"/>
          </w:tcPr>
          <w:p>
            <w:pPr>
              <w:keepNext w:val="0"/>
              <w:keepLines w:val="0"/>
              <w:widowControl/>
              <w:suppressLineNumbers w:val="0"/>
              <w:jc w:val="left"/>
              <w:textAlignment w:val="center"/>
              <w:rPr>
                <w:rFonts w:hint="default" w:ascii="仿宋_GB2312" w:eastAsia="仿宋_GB2312"/>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2</w:t>
            </w:r>
            <w:r>
              <w:rPr>
                <w:rFonts w:hint="eastAsia" w:ascii="仿宋_GB2312" w:hAnsi="宋体" w:eastAsia="仿宋_GB2312" w:cs="仿宋_GB2312"/>
                <w:i w:val="0"/>
                <w:color w:val="000000"/>
                <w:kern w:val="0"/>
                <w:sz w:val="15"/>
                <w:szCs w:val="15"/>
                <w:u w:val="none"/>
                <w:lang w:val="en-US" w:eastAsia="zh-CN" w:bidi="ar"/>
              </w:rPr>
              <w:t>平方</w:t>
            </w:r>
          </w:p>
        </w:tc>
        <w:tc>
          <w:tcPr>
            <w:tcW w:w="1221" w:type="dxa"/>
            <w:vAlign w:val="center"/>
          </w:tcPr>
          <w:p>
            <w:pPr>
              <w:keepNext w:val="0"/>
              <w:keepLines w:val="0"/>
              <w:widowControl/>
              <w:suppressLineNumbers w:val="0"/>
              <w:jc w:val="center"/>
              <w:textAlignment w:val="center"/>
              <w:rPr>
                <w:rFonts w:hint="eastAsia" w:ascii="仿宋_GB2312" w:eastAsia="仿宋_GB2312"/>
                <w:sz w:val="24"/>
                <w:szCs w:val="24"/>
                <w:lang w:val="en-US" w:eastAsia="zh-CN"/>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0"/>
              </w:numPr>
              <w:ind w:leftChars="0"/>
              <w:jc w:val="both"/>
              <w:rPr>
                <w:rFonts w:hint="eastAsia" w:ascii="仿宋_GB2312" w:eastAsia="仿宋_GB2312"/>
                <w:sz w:val="24"/>
                <w:szCs w:val="28"/>
                <w:lang w:val="en-US" w:eastAsia="zh-CN"/>
              </w:rPr>
            </w:pPr>
            <w:r>
              <w:rPr>
                <w:rFonts w:hint="eastAsia" w:ascii="仿宋_GB2312" w:eastAsia="仿宋_GB2312"/>
                <w:sz w:val="24"/>
                <w:szCs w:val="28"/>
                <w:lang w:val="en-US" w:eastAsia="zh-CN"/>
              </w:rPr>
              <w:t>7</w:t>
            </w:r>
          </w:p>
        </w:tc>
        <w:tc>
          <w:tcPr>
            <w:tcW w:w="1906" w:type="dxa"/>
            <w:vAlign w:val="center"/>
          </w:tcPr>
          <w:p>
            <w:pPr>
              <w:keepNext w:val="0"/>
              <w:keepLines w:val="0"/>
              <w:widowControl/>
              <w:suppressLineNumbers w:val="0"/>
              <w:jc w:val="left"/>
              <w:textAlignment w:val="center"/>
              <w:rPr>
                <w:rFonts w:hint="eastAsia" w:ascii="仿宋_GB2312" w:eastAsia="仿宋_GB2312"/>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乐器柜子安装</w:t>
            </w:r>
          </w:p>
        </w:tc>
        <w:tc>
          <w:tcPr>
            <w:tcW w:w="4571" w:type="dxa"/>
            <w:vAlign w:val="center"/>
          </w:tcPr>
          <w:p>
            <w:pPr>
              <w:keepNext w:val="0"/>
              <w:keepLines w:val="0"/>
              <w:widowControl/>
              <w:suppressLineNumbers w:val="0"/>
              <w:jc w:val="left"/>
              <w:textAlignment w:val="center"/>
              <w:rPr>
                <w:rFonts w:hint="eastAsia" w:ascii="仿宋_GB2312" w:eastAsia="仿宋_GB2312"/>
                <w:sz w:val="24"/>
                <w:szCs w:val="24"/>
              </w:rPr>
            </w:pPr>
            <w:r>
              <w:rPr>
                <w:rFonts w:hint="eastAsia" w:ascii="仿宋_GB2312" w:hAnsi="宋体" w:eastAsia="仿宋_GB2312" w:cs="仿宋_GB2312"/>
                <w:i w:val="0"/>
                <w:color w:val="000000"/>
                <w:kern w:val="0"/>
                <w:sz w:val="24"/>
                <w:szCs w:val="24"/>
                <w:u w:val="none"/>
                <w:lang w:val="en-US" w:eastAsia="zh-CN" w:bidi="ar"/>
              </w:rPr>
              <w:t>乐谱、话筒、琴弦等资料和配件保存</w:t>
            </w:r>
          </w:p>
        </w:tc>
        <w:tc>
          <w:tcPr>
            <w:tcW w:w="733" w:type="dxa"/>
            <w:vAlign w:val="center"/>
          </w:tcPr>
          <w:p>
            <w:pPr>
              <w:keepNext w:val="0"/>
              <w:keepLines w:val="0"/>
              <w:widowControl/>
              <w:suppressLineNumbers w:val="0"/>
              <w:jc w:val="left"/>
              <w:textAlignment w:val="center"/>
              <w:rPr>
                <w:rFonts w:hint="default" w:ascii="仿宋_GB2312" w:eastAsia="仿宋_GB2312"/>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3</w:t>
            </w:r>
            <w:r>
              <w:rPr>
                <w:rFonts w:hint="eastAsia" w:ascii="仿宋_GB2312" w:hAnsi="宋体" w:eastAsia="仿宋_GB2312" w:cs="仿宋_GB2312"/>
                <w:i w:val="0"/>
                <w:color w:val="000000"/>
                <w:kern w:val="0"/>
                <w:sz w:val="15"/>
                <w:szCs w:val="15"/>
                <w:u w:val="none"/>
                <w:lang w:val="en-US" w:eastAsia="zh-CN" w:bidi="ar"/>
              </w:rPr>
              <w:t>平方</w:t>
            </w:r>
          </w:p>
        </w:tc>
        <w:tc>
          <w:tcPr>
            <w:tcW w:w="1221" w:type="dxa"/>
            <w:vAlign w:val="center"/>
          </w:tcPr>
          <w:p>
            <w:pPr>
              <w:keepNext w:val="0"/>
              <w:keepLines w:val="0"/>
              <w:widowControl/>
              <w:suppressLineNumbers w:val="0"/>
              <w:jc w:val="center"/>
              <w:textAlignment w:val="center"/>
              <w:rPr>
                <w:rFonts w:hint="eastAsia" w:ascii="仿宋_GB2312" w:eastAsia="仿宋_GB2312"/>
                <w:sz w:val="24"/>
                <w:szCs w:val="24"/>
                <w:lang w:val="en-US" w:eastAsia="zh-CN"/>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4" w:type="dxa"/>
            <w:vAlign w:val="center"/>
          </w:tcPr>
          <w:p>
            <w:pPr>
              <w:pStyle w:val="32"/>
              <w:numPr>
                <w:ilvl w:val="0"/>
                <w:numId w:val="0"/>
              </w:numPr>
              <w:ind w:leftChars="0"/>
              <w:jc w:val="both"/>
              <w:rPr>
                <w:rFonts w:hint="eastAsia" w:ascii="仿宋_GB2312" w:eastAsia="仿宋_GB2312"/>
                <w:sz w:val="24"/>
                <w:szCs w:val="28"/>
                <w:lang w:val="en-US" w:eastAsia="zh-CN"/>
              </w:rPr>
            </w:pPr>
            <w:r>
              <w:rPr>
                <w:rFonts w:hint="eastAsia" w:ascii="仿宋_GB2312" w:eastAsia="仿宋_GB2312"/>
                <w:sz w:val="24"/>
                <w:szCs w:val="28"/>
                <w:lang w:val="en-US" w:eastAsia="zh-CN"/>
              </w:rPr>
              <w:t>8</w:t>
            </w:r>
          </w:p>
        </w:tc>
        <w:tc>
          <w:tcPr>
            <w:tcW w:w="1906" w:type="dxa"/>
            <w:vAlign w:val="center"/>
          </w:tcPr>
          <w:p>
            <w:pPr>
              <w:keepNext w:val="0"/>
              <w:keepLines w:val="0"/>
              <w:widowControl/>
              <w:suppressLineNumbers w:val="0"/>
              <w:jc w:val="left"/>
              <w:textAlignment w:val="center"/>
              <w:rPr>
                <w:rFonts w:hint="eastAsia" w:ascii="仿宋_GB2312" w:eastAsia="仿宋_GB2312"/>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垃圾清运</w:t>
            </w:r>
          </w:p>
        </w:tc>
        <w:tc>
          <w:tcPr>
            <w:tcW w:w="4571" w:type="dxa"/>
            <w:vAlign w:val="center"/>
          </w:tcPr>
          <w:p>
            <w:pPr>
              <w:rPr>
                <w:rFonts w:hint="eastAsia" w:ascii="仿宋_GB2312" w:eastAsia="仿宋_GB2312"/>
                <w:sz w:val="24"/>
                <w:szCs w:val="24"/>
              </w:rPr>
            </w:pPr>
          </w:p>
        </w:tc>
        <w:tc>
          <w:tcPr>
            <w:tcW w:w="733" w:type="dxa"/>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1项</w:t>
            </w:r>
          </w:p>
        </w:tc>
        <w:tc>
          <w:tcPr>
            <w:tcW w:w="1221" w:type="dxa"/>
            <w:vAlign w:val="center"/>
          </w:tcPr>
          <w:p>
            <w:pPr>
              <w:keepNext w:val="0"/>
              <w:keepLines w:val="0"/>
              <w:widowControl/>
              <w:suppressLineNumbers w:val="0"/>
              <w:jc w:val="center"/>
              <w:textAlignment w:val="center"/>
              <w:rPr>
                <w:rFonts w:hint="eastAsia" w:ascii="仿宋_GB2312" w:eastAsia="仿宋_GB2312"/>
                <w:sz w:val="24"/>
                <w:szCs w:val="24"/>
                <w:lang w:val="en-US" w:eastAsia="zh-CN"/>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0"/>
              </w:numPr>
              <w:ind w:leftChars="0"/>
              <w:jc w:val="both"/>
              <w:rPr>
                <w:rFonts w:hint="default" w:ascii="仿宋_GB2312" w:eastAsia="仿宋_GB2312"/>
                <w:sz w:val="24"/>
                <w:szCs w:val="28"/>
                <w:lang w:val="en-US" w:eastAsia="zh-CN"/>
              </w:rPr>
            </w:pPr>
            <w:r>
              <w:rPr>
                <w:rFonts w:hint="eastAsia" w:ascii="仿宋_GB2312" w:eastAsia="仿宋_GB2312"/>
                <w:sz w:val="24"/>
                <w:szCs w:val="28"/>
                <w:lang w:val="en-US" w:eastAsia="zh-CN"/>
              </w:rPr>
              <w:t>9</w:t>
            </w:r>
          </w:p>
        </w:tc>
        <w:tc>
          <w:tcPr>
            <w:tcW w:w="1906" w:type="dxa"/>
            <w:vAlign w:val="center"/>
          </w:tcPr>
          <w:p>
            <w:pPr>
              <w:keepNext w:val="0"/>
              <w:keepLines w:val="0"/>
              <w:widowControl/>
              <w:suppressLineNumbers w:val="0"/>
              <w:jc w:val="left"/>
              <w:textAlignment w:val="center"/>
              <w:rPr>
                <w:rFonts w:hint="eastAsia" w:ascii="仿宋_GB2312" w:eastAsia="仿宋_GB2312"/>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线材及辅件</w:t>
            </w:r>
          </w:p>
        </w:tc>
        <w:tc>
          <w:tcPr>
            <w:tcW w:w="4571" w:type="dxa"/>
            <w:vAlign w:val="center"/>
          </w:tcPr>
          <w:p>
            <w:pPr>
              <w:rPr>
                <w:rFonts w:hint="eastAsia" w:ascii="仿宋_GB2312" w:eastAsia="仿宋_GB2312"/>
                <w:sz w:val="24"/>
                <w:szCs w:val="24"/>
              </w:rPr>
            </w:pPr>
          </w:p>
        </w:tc>
        <w:tc>
          <w:tcPr>
            <w:tcW w:w="733" w:type="dxa"/>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1项</w:t>
            </w:r>
          </w:p>
        </w:tc>
        <w:tc>
          <w:tcPr>
            <w:tcW w:w="1221" w:type="dxa"/>
            <w:vAlign w:val="center"/>
          </w:tcPr>
          <w:p>
            <w:pPr>
              <w:keepNext w:val="0"/>
              <w:keepLines w:val="0"/>
              <w:widowControl/>
              <w:suppressLineNumbers w:val="0"/>
              <w:jc w:val="center"/>
              <w:textAlignment w:val="center"/>
              <w:rPr>
                <w:rFonts w:hint="eastAsia" w:ascii="仿宋_GB2312" w:eastAsia="仿宋_GB2312"/>
                <w:sz w:val="24"/>
                <w:szCs w:val="24"/>
                <w:lang w:val="en-US" w:eastAsia="zh-CN"/>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504" w:type="dxa"/>
            <w:vAlign w:val="center"/>
          </w:tcPr>
          <w:p>
            <w:pPr>
              <w:pStyle w:val="32"/>
              <w:numPr>
                <w:ilvl w:val="0"/>
                <w:numId w:val="0"/>
              </w:numPr>
              <w:ind w:leftChars="0"/>
              <w:jc w:val="both"/>
              <w:rPr>
                <w:rFonts w:hint="default" w:ascii="仿宋_GB2312" w:eastAsia="仿宋_GB2312"/>
                <w:sz w:val="24"/>
                <w:szCs w:val="28"/>
                <w:lang w:val="en-US" w:eastAsia="zh-CN"/>
              </w:rPr>
            </w:pPr>
            <w:r>
              <w:rPr>
                <w:rFonts w:hint="eastAsia" w:ascii="仿宋_GB2312" w:eastAsia="仿宋_GB2312"/>
                <w:sz w:val="24"/>
                <w:szCs w:val="28"/>
                <w:lang w:val="en-US" w:eastAsia="zh-CN"/>
              </w:rPr>
              <w:t>10</w:t>
            </w:r>
          </w:p>
        </w:tc>
        <w:tc>
          <w:tcPr>
            <w:tcW w:w="1906" w:type="dxa"/>
            <w:vAlign w:val="center"/>
          </w:tcPr>
          <w:p>
            <w:pPr>
              <w:keepNext w:val="0"/>
              <w:keepLines w:val="0"/>
              <w:widowControl/>
              <w:suppressLineNumbers w:val="0"/>
              <w:jc w:val="left"/>
              <w:textAlignment w:val="center"/>
              <w:rPr>
                <w:rFonts w:hint="eastAsia" w:ascii="仿宋_GB2312" w:eastAsia="仿宋_GB2312"/>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角位低频陷阱</w:t>
            </w:r>
          </w:p>
        </w:tc>
        <w:tc>
          <w:tcPr>
            <w:tcW w:w="4571" w:type="dxa"/>
            <w:vAlign w:val="center"/>
          </w:tcPr>
          <w:p>
            <w:pPr>
              <w:keepNext w:val="0"/>
              <w:keepLines w:val="0"/>
              <w:widowControl/>
              <w:suppressLineNumbers w:val="0"/>
              <w:jc w:val="left"/>
              <w:textAlignment w:val="center"/>
              <w:rPr>
                <w:rFonts w:hint="eastAsia" w:ascii="仿宋_GB2312" w:eastAsia="仿宋_GB2312"/>
                <w:sz w:val="24"/>
                <w:szCs w:val="24"/>
              </w:rPr>
            </w:pPr>
            <w:r>
              <w:rPr>
                <w:rFonts w:hint="eastAsia" w:ascii="仿宋_GB2312" w:hAnsi="宋体" w:eastAsia="仿宋_GB2312" w:cs="仿宋_GB2312"/>
                <w:i w:val="0"/>
                <w:color w:val="000000"/>
                <w:kern w:val="0"/>
                <w:sz w:val="24"/>
                <w:szCs w:val="24"/>
                <w:u w:val="none"/>
                <w:lang w:val="en-US" w:eastAsia="zh-CN" w:bidi="ar"/>
              </w:rPr>
              <w:t>芯材 桦木复合基材 形状 长方形</w:t>
            </w:r>
          </w:p>
        </w:tc>
        <w:tc>
          <w:tcPr>
            <w:tcW w:w="733" w:type="dxa"/>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6个</w:t>
            </w:r>
          </w:p>
        </w:tc>
        <w:tc>
          <w:tcPr>
            <w:tcW w:w="1221" w:type="dxa"/>
            <w:vAlign w:val="center"/>
          </w:tcPr>
          <w:p>
            <w:pPr>
              <w:keepNext w:val="0"/>
              <w:keepLines w:val="0"/>
              <w:widowControl/>
              <w:suppressLineNumbers w:val="0"/>
              <w:jc w:val="center"/>
              <w:textAlignment w:val="center"/>
              <w:rPr>
                <w:rFonts w:hint="eastAsia" w:ascii="仿宋_GB2312" w:eastAsia="仿宋_GB2312"/>
                <w:sz w:val="24"/>
                <w:szCs w:val="24"/>
                <w:lang w:val="en-US" w:eastAsia="zh-CN"/>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0"/>
              </w:numPr>
              <w:ind w:leftChars="0"/>
              <w:jc w:val="both"/>
              <w:rPr>
                <w:rFonts w:hint="default" w:ascii="仿宋_GB2312" w:eastAsia="仿宋_GB2312"/>
                <w:sz w:val="24"/>
                <w:szCs w:val="28"/>
                <w:lang w:val="en-US" w:eastAsia="zh-CN"/>
              </w:rPr>
            </w:pPr>
            <w:r>
              <w:rPr>
                <w:rFonts w:hint="eastAsia" w:ascii="仿宋_GB2312" w:eastAsia="仿宋_GB2312"/>
                <w:sz w:val="24"/>
                <w:szCs w:val="28"/>
                <w:lang w:val="en-US" w:eastAsia="zh-CN"/>
              </w:rPr>
              <w:t>11</w:t>
            </w:r>
          </w:p>
        </w:tc>
        <w:tc>
          <w:tcPr>
            <w:tcW w:w="1906" w:type="dxa"/>
            <w:vAlign w:val="center"/>
          </w:tcPr>
          <w:p>
            <w:pPr>
              <w:keepNext w:val="0"/>
              <w:keepLines w:val="0"/>
              <w:widowControl/>
              <w:suppressLineNumbers w:val="0"/>
              <w:jc w:val="left"/>
              <w:textAlignment w:val="center"/>
              <w:rPr>
                <w:rFonts w:hint="eastAsia" w:ascii="仿宋_GB2312" w:eastAsia="仿宋_GB2312"/>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顶部吸声扩散材料</w:t>
            </w:r>
          </w:p>
        </w:tc>
        <w:tc>
          <w:tcPr>
            <w:tcW w:w="4571" w:type="dxa"/>
            <w:vAlign w:val="center"/>
          </w:tcPr>
          <w:p>
            <w:pPr>
              <w:keepNext w:val="0"/>
              <w:keepLines w:val="0"/>
              <w:widowControl/>
              <w:suppressLineNumbers w:val="0"/>
              <w:jc w:val="left"/>
              <w:textAlignment w:val="center"/>
              <w:rPr>
                <w:rFonts w:hint="eastAsia" w:ascii="仿宋_GB2312" w:eastAsia="仿宋_GB2312"/>
                <w:sz w:val="24"/>
                <w:szCs w:val="24"/>
              </w:rPr>
            </w:pPr>
            <w:r>
              <w:rPr>
                <w:rFonts w:hint="eastAsia" w:ascii="仿宋_GB2312" w:hAnsi="宋体" w:eastAsia="仿宋_GB2312" w:cs="仿宋_GB2312"/>
                <w:i w:val="0"/>
                <w:color w:val="000000"/>
                <w:kern w:val="0"/>
                <w:sz w:val="24"/>
                <w:szCs w:val="24"/>
                <w:u w:val="none"/>
                <w:lang w:val="en-US" w:eastAsia="zh-CN" w:bidi="ar"/>
              </w:rPr>
              <w:t>顶部声学扩散体</w:t>
            </w:r>
          </w:p>
        </w:tc>
        <w:tc>
          <w:tcPr>
            <w:tcW w:w="733" w:type="dxa"/>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8块</w:t>
            </w:r>
          </w:p>
        </w:tc>
        <w:tc>
          <w:tcPr>
            <w:tcW w:w="1221" w:type="dxa"/>
            <w:vAlign w:val="center"/>
          </w:tcPr>
          <w:p>
            <w:pPr>
              <w:keepNext w:val="0"/>
              <w:keepLines w:val="0"/>
              <w:widowControl/>
              <w:suppressLineNumbers w:val="0"/>
              <w:jc w:val="center"/>
              <w:textAlignment w:val="center"/>
              <w:rPr>
                <w:rFonts w:hint="eastAsia" w:ascii="仿宋_GB2312" w:eastAsia="仿宋_GB2312"/>
                <w:sz w:val="24"/>
                <w:szCs w:val="24"/>
                <w:lang w:val="en-US" w:eastAsia="zh-CN"/>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0"/>
              </w:numPr>
              <w:ind w:leftChars="0"/>
              <w:jc w:val="both"/>
              <w:rPr>
                <w:rFonts w:hint="default" w:ascii="仿宋_GB2312" w:eastAsia="仿宋_GB2312"/>
                <w:sz w:val="24"/>
                <w:szCs w:val="28"/>
                <w:lang w:val="en-US" w:eastAsia="zh-CN"/>
              </w:rPr>
            </w:pPr>
            <w:r>
              <w:rPr>
                <w:rFonts w:hint="eastAsia" w:ascii="仿宋_GB2312" w:eastAsia="仿宋_GB2312"/>
                <w:sz w:val="24"/>
                <w:szCs w:val="28"/>
                <w:lang w:val="en-US" w:eastAsia="zh-CN"/>
              </w:rPr>
              <w:t>12</w:t>
            </w:r>
          </w:p>
        </w:tc>
        <w:tc>
          <w:tcPr>
            <w:tcW w:w="1906" w:type="dxa"/>
            <w:vAlign w:val="center"/>
          </w:tcPr>
          <w:p>
            <w:pPr>
              <w:keepNext w:val="0"/>
              <w:keepLines w:val="0"/>
              <w:widowControl/>
              <w:suppressLineNumbers w:val="0"/>
              <w:jc w:val="left"/>
              <w:textAlignment w:val="center"/>
              <w:rPr>
                <w:rFonts w:hint="eastAsia" w:ascii="仿宋_GB2312" w:eastAsia="仿宋_GB2312"/>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A级防火陶铝吸音板</w:t>
            </w:r>
          </w:p>
        </w:tc>
        <w:tc>
          <w:tcPr>
            <w:tcW w:w="4571" w:type="dxa"/>
            <w:vAlign w:val="center"/>
          </w:tcPr>
          <w:p>
            <w:pPr>
              <w:keepNext w:val="0"/>
              <w:keepLines w:val="0"/>
              <w:widowControl/>
              <w:suppressLineNumbers w:val="0"/>
              <w:jc w:val="left"/>
              <w:textAlignment w:val="center"/>
              <w:rPr>
                <w:rFonts w:hint="eastAsia" w:ascii="仿宋_GB2312" w:eastAsia="仿宋_GB2312"/>
                <w:sz w:val="24"/>
                <w:szCs w:val="24"/>
              </w:rPr>
            </w:pPr>
            <w:r>
              <w:rPr>
                <w:rFonts w:hint="eastAsia" w:ascii="仿宋_GB2312" w:hAnsi="宋体" w:eastAsia="仿宋_GB2312" w:cs="仿宋_GB2312"/>
                <w:i w:val="0"/>
                <w:color w:val="000000"/>
                <w:kern w:val="0"/>
                <w:sz w:val="24"/>
                <w:szCs w:val="24"/>
                <w:u w:val="none"/>
                <w:lang w:val="en-US" w:eastAsia="zh-CN" w:bidi="ar"/>
              </w:rPr>
              <w:t>防火 阻燃 环保 吸音 隔音燃烧性能A2级</w:t>
            </w:r>
          </w:p>
        </w:tc>
        <w:tc>
          <w:tcPr>
            <w:tcW w:w="733" w:type="dxa"/>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19</w:t>
            </w:r>
            <w:r>
              <w:rPr>
                <w:rFonts w:hint="eastAsia" w:ascii="仿宋_GB2312" w:hAnsi="宋体" w:eastAsia="仿宋_GB2312" w:cs="仿宋_GB2312"/>
                <w:i w:val="0"/>
                <w:color w:val="000000"/>
                <w:kern w:val="0"/>
                <w:sz w:val="15"/>
                <w:szCs w:val="15"/>
                <w:u w:val="none"/>
                <w:lang w:val="en-US" w:eastAsia="zh-CN" w:bidi="ar"/>
              </w:rPr>
              <w:t>平方</w:t>
            </w:r>
          </w:p>
        </w:tc>
        <w:tc>
          <w:tcPr>
            <w:tcW w:w="1221" w:type="dxa"/>
            <w:vAlign w:val="center"/>
          </w:tcPr>
          <w:p>
            <w:pPr>
              <w:keepNext w:val="0"/>
              <w:keepLines w:val="0"/>
              <w:widowControl/>
              <w:suppressLineNumbers w:val="0"/>
              <w:jc w:val="center"/>
              <w:textAlignment w:val="center"/>
              <w:rPr>
                <w:rFonts w:hint="eastAsia" w:ascii="仿宋_GB2312" w:eastAsia="仿宋_GB2312"/>
                <w:sz w:val="24"/>
                <w:szCs w:val="24"/>
                <w:lang w:val="en-US" w:eastAsia="zh-CN"/>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0"/>
              </w:numPr>
              <w:ind w:leftChars="0"/>
              <w:jc w:val="both"/>
              <w:rPr>
                <w:rFonts w:hint="default" w:ascii="仿宋_GB2312" w:eastAsia="仿宋_GB2312"/>
                <w:sz w:val="24"/>
                <w:szCs w:val="28"/>
                <w:lang w:val="en-US" w:eastAsia="zh-CN"/>
              </w:rPr>
            </w:pPr>
            <w:r>
              <w:rPr>
                <w:rFonts w:hint="eastAsia" w:ascii="仿宋_GB2312" w:eastAsia="仿宋_GB2312"/>
                <w:sz w:val="24"/>
                <w:szCs w:val="28"/>
                <w:lang w:val="en-US" w:eastAsia="zh-CN"/>
              </w:rPr>
              <w:t>13</w:t>
            </w:r>
          </w:p>
        </w:tc>
        <w:tc>
          <w:tcPr>
            <w:tcW w:w="1906" w:type="dxa"/>
            <w:vAlign w:val="center"/>
          </w:tcPr>
          <w:p>
            <w:pPr>
              <w:keepNext w:val="0"/>
              <w:keepLines w:val="0"/>
              <w:widowControl/>
              <w:suppressLineNumbers w:val="0"/>
              <w:jc w:val="left"/>
              <w:textAlignment w:val="center"/>
              <w:rPr>
                <w:rFonts w:hint="eastAsia" w:ascii="仿宋_GB2312" w:eastAsia="仿宋_GB2312"/>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调音板</w:t>
            </w:r>
          </w:p>
        </w:tc>
        <w:tc>
          <w:tcPr>
            <w:tcW w:w="4571" w:type="dxa"/>
            <w:vAlign w:val="center"/>
          </w:tcPr>
          <w:p>
            <w:pPr>
              <w:keepNext w:val="0"/>
              <w:keepLines w:val="0"/>
              <w:widowControl/>
              <w:suppressLineNumbers w:val="0"/>
              <w:jc w:val="left"/>
              <w:textAlignment w:val="center"/>
              <w:rPr>
                <w:rFonts w:hint="eastAsia" w:ascii="仿宋_GB2312" w:eastAsia="仿宋_GB2312"/>
                <w:sz w:val="24"/>
                <w:szCs w:val="24"/>
              </w:rPr>
            </w:pPr>
            <w:r>
              <w:rPr>
                <w:rFonts w:hint="eastAsia" w:ascii="仿宋_GB2312" w:hAnsi="宋体" w:eastAsia="仿宋_GB2312" w:cs="仿宋_GB2312"/>
                <w:i w:val="0"/>
                <w:color w:val="000000"/>
                <w:kern w:val="0"/>
                <w:sz w:val="24"/>
                <w:szCs w:val="24"/>
                <w:u w:val="none"/>
                <w:lang w:val="en-US" w:eastAsia="zh-CN" w:bidi="ar"/>
              </w:rPr>
              <w:t>轻体MLS二维全频声学</w:t>
            </w:r>
          </w:p>
        </w:tc>
        <w:tc>
          <w:tcPr>
            <w:tcW w:w="733" w:type="dxa"/>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12块</w:t>
            </w:r>
          </w:p>
        </w:tc>
        <w:tc>
          <w:tcPr>
            <w:tcW w:w="1221" w:type="dxa"/>
            <w:vAlign w:val="center"/>
          </w:tcPr>
          <w:p>
            <w:pPr>
              <w:keepNext w:val="0"/>
              <w:keepLines w:val="0"/>
              <w:widowControl/>
              <w:suppressLineNumbers w:val="0"/>
              <w:jc w:val="center"/>
              <w:textAlignment w:val="center"/>
              <w:rPr>
                <w:rFonts w:hint="eastAsia" w:ascii="仿宋_GB2312" w:eastAsia="仿宋_GB2312"/>
                <w:sz w:val="24"/>
                <w:szCs w:val="24"/>
                <w:lang w:val="en-US" w:eastAsia="zh-CN"/>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4" w:type="dxa"/>
            <w:vAlign w:val="center"/>
          </w:tcPr>
          <w:p>
            <w:pPr>
              <w:pStyle w:val="32"/>
              <w:numPr>
                <w:ilvl w:val="0"/>
                <w:numId w:val="0"/>
              </w:numPr>
              <w:ind w:leftChars="0"/>
              <w:jc w:val="both"/>
              <w:rPr>
                <w:rFonts w:hint="default" w:ascii="仿宋_GB2312" w:eastAsia="仿宋_GB2312"/>
                <w:sz w:val="24"/>
                <w:szCs w:val="28"/>
                <w:lang w:val="en-US" w:eastAsia="zh-CN"/>
              </w:rPr>
            </w:pPr>
            <w:r>
              <w:rPr>
                <w:rFonts w:hint="eastAsia" w:ascii="仿宋_GB2312" w:eastAsia="仿宋_GB2312"/>
                <w:sz w:val="24"/>
                <w:szCs w:val="28"/>
                <w:lang w:val="en-US" w:eastAsia="zh-CN"/>
              </w:rPr>
              <w:t>14</w:t>
            </w:r>
          </w:p>
        </w:tc>
        <w:tc>
          <w:tcPr>
            <w:tcW w:w="1906" w:type="dxa"/>
            <w:vAlign w:val="center"/>
          </w:tcPr>
          <w:p>
            <w:pPr>
              <w:keepNext w:val="0"/>
              <w:keepLines w:val="0"/>
              <w:widowControl/>
              <w:suppressLineNumbers w:val="0"/>
              <w:jc w:val="left"/>
              <w:textAlignment w:val="center"/>
              <w:rPr>
                <w:rFonts w:hint="eastAsia" w:ascii="仿宋_GB2312" w:eastAsia="仿宋_GB2312"/>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防火玻璃棉</w:t>
            </w:r>
          </w:p>
        </w:tc>
        <w:tc>
          <w:tcPr>
            <w:tcW w:w="4571" w:type="dxa"/>
            <w:vAlign w:val="center"/>
          </w:tcPr>
          <w:p>
            <w:pPr>
              <w:keepNext w:val="0"/>
              <w:keepLines w:val="0"/>
              <w:widowControl/>
              <w:suppressLineNumbers w:val="0"/>
              <w:jc w:val="left"/>
              <w:textAlignment w:val="center"/>
              <w:rPr>
                <w:rFonts w:hint="eastAsia" w:ascii="仿宋_GB2312" w:eastAsia="仿宋_GB2312"/>
                <w:sz w:val="24"/>
                <w:szCs w:val="24"/>
              </w:rPr>
            </w:pPr>
            <w:r>
              <w:rPr>
                <w:rFonts w:hint="eastAsia" w:ascii="仿宋_GB2312" w:hAnsi="宋体" w:eastAsia="仿宋_GB2312" w:cs="仿宋_GB2312"/>
                <w:i w:val="0"/>
                <w:color w:val="000000"/>
                <w:kern w:val="0"/>
                <w:sz w:val="24"/>
                <w:szCs w:val="24"/>
                <w:highlight w:val="none"/>
                <w:u w:val="none"/>
                <w:lang w:val="en-US" w:eastAsia="zh-CN" w:bidi="ar"/>
              </w:rPr>
              <w:t>A级防火阻燃，吸音</w:t>
            </w:r>
          </w:p>
        </w:tc>
        <w:tc>
          <w:tcPr>
            <w:tcW w:w="733" w:type="dxa"/>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70</w:t>
            </w:r>
            <w:r>
              <w:rPr>
                <w:rFonts w:hint="eastAsia" w:ascii="仿宋_GB2312" w:hAnsi="宋体" w:eastAsia="仿宋_GB2312" w:cs="仿宋_GB2312"/>
                <w:i w:val="0"/>
                <w:color w:val="000000"/>
                <w:kern w:val="0"/>
                <w:sz w:val="15"/>
                <w:szCs w:val="15"/>
                <w:u w:val="none"/>
                <w:lang w:val="en-US" w:eastAsia="zh-CN" w:bidi="ar"/>
              </w:rPr>
              <w:t>平方</w:t>
            </w:r>
          </w:p>
        </w:tc>
        <w:tc>
          <w:tcPr>
            <w:tcW w:w="1221" w:type="dxa"/>
            <w:vAlign w:val="center"/>
          </w:tcPr>
          <w:p>
            <w:pPr>
              <w:keepNext w:val="0"/>
              <w:keepLines w:val="0"/>
              <w:widowControl/>
              <w:suppressLineNumbers w:val="0"/>
              <w:jc w:val="center"/>
              <w:textAlignment w:val="center"/>
              <w:rPr>
                <w:rFonts w:hint="eastAsia" w:ascii="仿宋_GB2312" w:eastAsia="仿宋_GB2312"/>
                <w:sz w:val="24"/>
                <w:szCs w:val="24"/>
                <w:lang w:val="en-US" w:eastAsia="zh-CN"/>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0"/>
              </w:numPr>
              <w:ind w:leftChars="0"/>
              <w:jc w:val="both"/>
              <w:rPr>
                <w:rFonts w:hint="default" w:ascii="仿宋_GB2312" w:eastAsia="仿宋_GB2312"/>
                <w:sz w:val="24"/>
                <w:szCs w:val="28"/>
                <w:lang w:val="en-US" w:eastAsia="zh-CN"/>
              </w:rPr>
            </w:pPr>
            <w:r>
              <w:rPr>
                <w:rFonts w:hint="eastAsia" w:ascii="仿宋_GB2312" w:eastAsia="仿宋_GB2312"/>
                <w:sz w:val="24"/>
                <w:szCs w:val="28"/>
                <w:lang w:val="en-US" w:eastAsia="zh-CN"/>
              </w:rPr>
              <w:t>15</w:t>
            </w:r>
          </w:p>
        </w:tc>
        <w:tc>
          <w:tcPr>
            <w:tcW w:w="1906" w:type="dxa"/>
            <w:vAlign w:val="center"/>
          </w:tcPr>
          <w:p>
            <w:pPr>
              <w:keepNext w:val="0"/>
              <w:keepLines w:val="0"/>
              <w:widowControl/>
              <w:suppressLineNumbers w:val="0"/>
              <w:jc w:val="left"/>
              <w:textAlignment w:val="center"/>
              <w:rPr>
                <w:rFonts w:hint="eastAsia" w:ascii="仿宋_GB2312" w:eastAsia="仿宋_GB2312"/>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精工声学软包</w:t>
            </w:r>
          </w:p>
        </w:tc>
        <w:tc>
          <w:tcPr>
            <w:tcW w:w="4571" w:type="dxa"/>
            <w:vAlign w:val="center"/>
          </w:tcPr>
          <w:p>
            <w:pPr>
              <w:keepNext w:val="0"/>
              <w:keepLines w:val="0"/>
              <w:widowControl/>
              <w:suppressLineNumbers w:val="0"/>
              <w:jc w:val="left"/>
              <w:textAlignment w:val="center"/>
              <w:rPr>
                <w:rFonts w:hint="eastAsia" w:ascii="仿宋_GB2312" w:eastAsia="仿宋_GB2312"/>
                <w:sz w:val="24"/>
                <w:szCs w:val="24"/>
              </w:rPr>
            </w:pPr>
            <w:r>
              <w:rPr>
                <w:rFonts w:hint="eastAsia" w:ascii="仿宋_GB2312" w:hAnsi="宋体" w:eastAsia="仿宋_GB2312" w:cs="仿宋_GB2312"/>
                <w:i w:val="0"/>
                <w:color w:val="000000"/>
                <w:kern w:val="0"/>
                <w:sz w:val="24"/>
                <w:szCs w:val="24"/>
                <w:u w:val="none"/>
                <w:lang w:val="en-US" w:eastAsia="zh-CN" w:bidi="ar"/>
              </w:rPr>
              <w:t>零甲醛环保棉符合国际标准的E0环保 完全解决传统树脂固化软包边</w:t>
            </w:r>
          </w:p>
        </w:tc>
        <w:tc>
          <w:tcPr>
            <w:tcW w:w="733" w:type="dxa"/>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12</w:t>
            </w:r>
            <w:r>
              <w:rPr>
                <w:rFonts w:hint="eastAsia" w:ascii="仿宋_GB2312" w:hAnsi="宋体" w:eastAsia="仿宋_GB2312" w:cs="仿宋_GB2312"/>
                <w:i w:val="0"/>
                <w:color w:val="000000"/>
                <w:kern w:val="0"/>
                <w:sz w:val="15"/>
                <w:szCs w:val="15"/>
                <w:u w:val="none"/>
                <w:lang w:val="en-US" w:eastAsia="zh-CN" w:bidi="ar"/>
              </w:rPr>
              <w:t>平方</w:t>
            </w:r>
          </w:p>
        </w:tc>
        <w:tc>
          <w:tcPr>
            <w:tcW w:w="1221" w:type="dxa"/>
            <w:vAlign w:val="center"/>
          </w:tcPr>
          <w:p>
            <w:pPr>
              <w:keepNext w:val="0"/>
              <w:keepLines w:val="0"/>
              <w:widowControl/>
              <w:suppressLineNumbers w:val="0"/>
              <w:jc w:val="center"/>
              <w:textAlignment w:val="center"/>
              <w:rPr>
                <w:rFonts w:hint="eastAsia" w:ascii="仿宋_GB2312" w:eastAsia="仿宋_GB2312"/>
                <w:sz w:val="24"/>
                <w:szCs w:val="24"/>
                <w:lang w:val="en-US" w:eastAsia="zh-CN"/>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0"/>
              </w:numPr>
              <w:ind w:leftChars="0"/>
              <w:jc w:val="both"/>
              <w:rPr>
                <w:rFonts w:hint="default" w:ascii="仿宋_GB2312" w:eastAsia="仿宋_GB2312"/>
                <w:sz w:val="24"/>
                <w:szCs w:val="28"/>
                <w:lang w:val="en-US" w:eastAsia="zh-CN"/>
              </w:rPr>
            </w:pPr>
            <w:r>
              <w:rPr>
                <w:rFonts w:hint="eastAsia" w:ascii="仿宋_GB2312" w:eastAsia="仿宋_GB2312"/>
                <w:sz w:val="24"/>
                <w:szCs w:val="28"/>
                <w:lang w:val="en-US" w:eastAsia="zh-CN"/>
              </w:rPr>
              <w:t>16</w:t>
            </w:r>
          </w:p>
        </w:tc>
        <w:tc>
          <w:tcPr>
            <w:tcW w:w="1906" w:type="dxa"/>
            <w:vAlign w:val="center"/>
          </w:tcPr>
          <w:p>
            <w:pPr>
              <w:keepNext w:val="0"/>
              <w:keepLines w:val="0"/>
              <w:widowControl/>
              <w:suppressLineNumbers w:val="0"/>
              <w:jc w:val="left"/>
              <w:textAlignment w:val="center"/>
              <w:rPr>
                <w:rFonts w:hint="eastAsia" w:ascii="仿宋_GB2312" w:eastAsia="仿宋_GB2312"/>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射灯 灯带</w:t>
            </w:r>
          </w:p>
        </w:tc>
        <w:tc>
          <w:tcPr>
            <w:tcW w:w="4571" w:type="dxa"/>
            <w:vAlign w:val="center"/>
          </w:tcPr>
          <w:p>
            <w:pPr>
              <w:keepNext w:val="0"/>
              <w:keepLines w:val="0"/>
              <w:widowControl/>
              <w:suppressLineNumbers w:val="0"/>
              <w:jc w:val="left"/>
              <w:textAlignment w:val="center"/>
              <w:rPr>
                <w:rFonts w:hint="eastAsia" w:ascii="仿宋_GB2312" w:eastAsia="仿宋_GB2312"/>
                <w:sz w:val="24"/>
                <w:szCs w:val="24"/>
              </w:rPr>
            </w:pPr>
            <w:r>
              <w:rPr>
                <w:rFonts w:hint="eastAsia" w:ascii="仿宋_GB2312" w:hAnsi="宋体" w:eastAsia="仿宋_GB2312" w:cs="仿宋_GB2312"/>
                <w:i w:val="0"/>
                <w:color w:val="000000"/>
                <w:kern w:val="0"/>
                <w:sz w:val="24"/>
                <w:szCs w:val="24"/>
                <w:u w:val="none"/>
                <w:lang w:val="en-US" w:eastAsia="zh-CN" w:bidi="ar"/>
              </w:rPr>
              <w:t>节能，无声，（包括灯带，灯座）</w:t>
            </w:r>
          </w:p>
        </w:tc>
        <w:tc>
          <w:tcPr>
            <w:tcW w:w="733" w:type="dxa"/>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10个</w:t>
            </w:r>
          </w:p>
        </w:tc>
        <w:tc>
          <w:tcPr>
            <w:tcW w:w="1221" w:type="dxa"/>
            <w:vAlign w:val="center"/>
          </w:tcPr>
          <w:p>
            <w:pPr>
              <w:keepNext w:val="0"/>
              <w:keepLines w:val="0"/>
              <w:widowControl/>
              <w:suppressLineNumbers w:val="0"/>
              <w:jc w:val="center"/>
              <w:textAlignment w:val="center"/>
              <w:rPr>
                <w:rFonts w:hint="eastAsia" w:ascii="仿宋_GB2312" w:eastAsia="仿宋_GB2312"/>
                <w:sz w:val="24"/>
                <w:szCs w:val="24"/>
                <w:lang w:val="en-US" w:eastAsia="zh-CN"/>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0"/>
              </w:numPr>
              <w:ind w:leftChars="0"/>
              <w:jc w:val="both"/>
              <w:rPr>
                <w:rFonts w:hint="default" w:ascii="仿宋_GB2312" w:eastAsia="仿宋_GB2312"/>
                <w:sz w:val="24"/>
                <w:szCs w:val="28"/>
                <w:lang w:val="en-US" w:eastAsia="zh-CN"/>
              </w:rPr>
            </w:pPr>
            <w:r>
              <w:rPr>
                <w:rFonts w:hint="eastAsia" w:ascii="仿宋_GB2312" w:eastAsia="仿宋_GB2312"/>
                <w:sz w:val="24"/>
                <w:szCs w:val="28"/>
                <w:lang w:val="en-US" w:eastAsia="zh-CN"/>
              </w:rPr>
              <w:t>17</w:t>
            </w:r>
          </w:p>
        </w:tc>
        <w:tc>
          <w:tcPr>
            <w:tcW w:w="1906" w:type="dxa"/>
            <w:vAlign w:val="center"/>
          </w:tcPr>
          <w:p>
            <w:pPr>
              <w:keepNext w:val="0"/>
              <w:keepLines w:val="0"/>
              <w:widowControl/>
              <w:suppressLineNumbers w:val="0"/>
              <w:jc w:val="left"/>
              <w:textAlignment w:val="center"/>
              <w:rPr>
                <w:rFonts w:hint="eastAsia" w:ascii="仿宋_GB2312" w:eastAsia="仿宋_GB2312"/>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隔音门</w:t>
            </w:r>
          </w:p>
        </w:tc>
        <w:tc>
          <w:tcPr>
            <w:tcW w:w="4571" w:type="dxa"/>
            <w:vAlign w:val="center"/>
          </w:tcPr>
          <w:p>
            <w:pPr>
              <w:keepNext w:val="0"/>
              <w:keepLines w:val="0"/>
              <w:widowControl/>
              <w:suppressLineNumbers w:val="0"/>
              <w:jc w:val="left"/>
              <w:textAlignment w:val="center"/>
              <w:rPr>
                <w:rFonts w:hint="eastAsia" w:ascii="仿宋_GB2312" w:eastAsia="仿宋_GB2312"/>
                <w:sz w:val="24"/>
                <w:szCs w:val="24"/>
              </w:rPr>
            </w:pPr>
            <w:r>
              <w:rPr>
                <w:rFonts w:hint="eastAsia" w:ascii="仿宋_GB2312" w:hAnsi="宋体" w:eastAsia="仿宋_GB2312" w:cs="仿宋_GB2312"/>
                <w:i w:val="0"/>
                <w:color w:val="000000"/>
                <w:kern w:val="0"/>
                <w:sz w:val="24"/>
                <w:szCs w:val="24"/>
                <w:u w:val="none"/>
                <w:lang w:val="en-US" w:eastAsia="zh-CN" w:bidi="ar"/>
              </w:rPr>
              <w:t>阻燃隔声门芯 ，阻燃面材料，应用场景:录音棚</w:t>
            </w:r>
          </w:p>
        </w:tc>
        <w:tc>
          <w:tcPr>
            <w:tcW w:w="733" w:type="dxa"/>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3套</w:t>
            </w:r>
          </w:p>
        </w:tc>
        <w:tc>
          <w:tcPr>
            <w:tcW w:w="1221" w:type="dxa"/>
            <w:vAlign w:val="center"/>
          </w:tcPr>
          <w:p>
            <w:pPr>
              <w:keepNext w:val="0"/>
              <w:keepLines w:val="0"/>
              <w:widowControl/>
              <w:suppressLineNumbers w:val="0"/>
              <w:jc w:val="center"/>
              <w:textAlignment w:val="center"/>
              <w:rPr>
                <w:rFonts w:hint="eastAsia" w:ascii="仿宋_GB2312" w:eastAsia="仿宋_GB2312"/>
                <w:sz w:val="24"/>
                <w:szCs w:val="24"/>
                <w:lang w:val="en-US" w:eastAsia="zh-CN"/>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0"/>
              </w:numPr>
              <w:ind w:leftChars="0"/>
              <w:jc w:val="both"/>
              <w:rPr>
                <w:rFonts w:hint="default" w:ascii="仿宋_GB2312" w:eastAsia="仿宋_GB2312"/>
                <w:sz w:val="24"/>
                <w:szCs w:val="28"/>
                <w:lang w:val="en-US" w:eastAsia="zh-CN"/>
              </w:rPr>
            </w:pPr>
            <w:r>
              <w:rPr>
                <w:rFonts w:hint="eastAsia" w:ascii="仿宋_GB2312" w:eastAsia="仿宋_GB2312"/>
                <w:sz w:val="24"/>
                <w:szCs w:val="28"/>
                <w:lang w:val="en-US" w:eastAsia="zh-CN"/>
              </w:rPr>
              <w:t>18</w:t>
            </w:r>
          </w:p>
        </w:tc>
        <w:tc>
          <w:tcPr>
            <w:tcW w:w="1906" w:type="dxa"/>
            <w:vAlign w:val="center"/>
          </w:tcPr>
          <w:p>
            <w:pPr>
              <w:keepNext w:val="0"/>
              <w:keepLines w:val="0"/>
              <w:widowControl/>
              <w:suppressLineNumbers w:val="0"/>
              <w:jc w:val="left"/>
              <w:textAlignment w:val="center"/>
              <w:rPr>
                <w:rFonts w:hint="eastAsia" w:ascii="仿宋_GB2312" w:eastAsia="仿宋_GB2312"/>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铝穿孔吸音铝扣板</w:t>
            </w:r>
          </w:p>
        </w:tc>
        <w:tc>
          <w:tcPr>
            <w:tcW w:w="4571" w:type="dxa"/>
            <w:vAlign w:val="center"/>
          </w:tcPr>
          <w:p>
            <w:pPr>
              <w:keepNext w:val="0"/>
              <w:keepLines w:val="0"/>
              <w:widowControl/>
              <w:suppressLineNumbers w:val="0"/>
              <w:jc w:val="left"/>
              <w:textAlignment w:val="center"/>
              <w:rPr>
                <w:rFonts w:hint="eastAsia" w:ascii="仿宋_GB2312" w:eastAsia="仿宋_GB2312"/>
                <w:sz w:val="24"/>
                <w:szCs w:val="24"/>
              </w:rPr>
            </w:pPr>
            <w:r>
              <w:rPr>
                <w:rFonts w:hint="eastAsia" w:ascii="仿宋_GB2312" w:hAnsi="宋体" w:eastAsia="仿宋_GB2312" w:cs="仿宋_GB2312"/>
                <w:i w:val="0"/>
                <w:color w:val="000000"/>
                <w:kern w:val="0"/>
                <w:sz w:val="24"/>
                <w:szCs w:val="24"/>
                <w:u w:val="none"/>
                <w:lang w:val="en-US" w:eastAsia="zh-CN" w:bidi="ar"/>
              </w:rPr>
              <w:t>吊顶工程铝扣板600X600 防火，防水，吸音</w:t>
            </w:r>
          </w:p>
        </w:tc>
        <w:tc>
          <w:tcPr>
            <w:tcW w:w="733" w:type="dxa"/>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47</w:t>
            </w:r>
            <w:r>
              <w:rPr>
                <w:rFonts w:hint="eastAsia" w:ascii="仿宋_GB2312" w:hAnsi="宋体" w:eastAsia="仿宋_GB2312" w:cs="仿宋_GB2312"/>
                <w:i w:val="0"/>
                <w:color w:val="000000"/>
                <w:kern w:val="0"/>
                <w:sz w:val="15"/>
                <w:szCs w:val="15"/>
                <w:u w:val="none"/>
                <w:lang w:val="en-US" w:eastAsia="zh-CN" w:bidi="ar"/>
              </w:rPr>
              <w:t>平方</w:t>
            </w:r>
          </w:p>
        </w:tc>
        <w:tc>
          <w:tcPr>
            <w:tcW w:w="1221" w:type="dxa"/>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0"/>
              </w:numPr>
              <w:ind w:leftChars="0"/>
              <w:jc w:val="both"/>
              <w:rPr>
                <w:rFonts w:hint="default" w:ascii="仿宋_GB2312" w:eastAsia="仿宋_GB2312"/>
                <w:sz w:val="24"/>
                <w:szCs w:val="28"/>
                <w:lang w:val="en-US" w:eastAsia="zh-CN"/>
              </w:rPr>
            </w:pPr>
            <w:r>
              <w:rPr>
                <w:rFonts w:hint="eastAsia" w:ascii="仿宋_GB2312" w:eastAsia="仿宋_GB2312"/>
                <w:sz w:val="24"/>
                <w:szCs w:val="28"/>
                <w:lang w:val="en-US" w:eastAsia="zh-CN"/>
              </w:rPr>
              <w:t>19</w:t>
            </w:r>
          </w:p>
        </w:tc>
        <w:tc>
          <w:tcPr>
            <w:tcW w:w="1906" w:type="dxa"/>
            <w:vAlign w:val="center"/>
          </w:tcPr>
          <w:p>
            <w:pPr>
              <w:keepNext w:val="0"/>
              <w:keepLines w:val="0"/>
              <w:widowControl/>
              <w:suppressLineNumbers w:val="0"/>
              <w:jc w:val="left"/>
              <w:textAlignment w:val="center"/>
              <w:rPr>
                <w:rFonts w:hint="eastAsia" w:ascii="仿宋_GB2312" w:eastAsia="仿宋_GB2312"/>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录音室地毯</w:t>
            </w:r>
          </w:p>
        </w:tc>
        <w:tc>
          <w:tcPr>
            <w:tcW w:w="4571" w:type="dxa"/>
            <w:vAlign w:val="center"/>
          </w:tcPr>
          <w:p>
            <w:pPr>
              <w:keepNext w:val="0"/>
              <w:keepLines w:val="0"/>
              <w:widowControl/>
              <w:suppressLineNumbers w:val="0"/>
              <w:jc w:val="left"/>
              <w:textAlignment w:val="center"/>
              <w:rPr>
                <w:rFonts w:hint="eastAsia" w:ascii="仿宋_GB2312" w:eastAsia="仿宋_GB2312"/>
                <w:sz w:val="24"/>
                <w:szCs w:val="24"/>
              </w:rPr>
            </w:pPr>
            <w:r>
              <w:rPr>
                <w:rFonts w:hint="eastAsia" w:ascii="仿宋_GB2312" w:hAnsi="宋体" w:eastAsia="仿宋_GB2312" w:cs="仿宋_GB2312"/>
                <w:i w:val="0"/>
                <w:color w:val="000000"/>
                <w:kern w:val="0"/>
                <w:sz w:val="24"/>
                <w:szCs w:val="24"/>
                <w:u w:val="none"/>
                <w:lang w:val="en-US" w:eastAsia="zh-CN" w:bidi="ar"/>
              </w:rPr>
              <w:t>B1级阻燃地毯铺防火</w:t>
            </w:r>
          </w:p>
        </w:tc>
        <w:tc>
          <w:tcPr>
            <w:tcW w:w="733" w:type="dxa"/>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24</w:t>
            </w:r>
            <w:r>
              <w:rPr>
                <w:rFonts w:hint="eastAsia" w:ascii="仿宋_GB2312" w:hAnsi="宋体" w:eastAsia="仿宋_GB2312" w:cs="仿宋_GB2312"/>
                <w:i w:val="0"/>
                <w:color w:val="000000"/>
                <w:kern w:val="0"/>
                <w:sz w:val="15"/>
                <w:szCs w:val="15"/>
                <w:u w:val="none"/>
                <w:lang w:val="en-US" w:eastAsia="zh-CN" w:bidi="ar"/>
              </w:rPr>
              <w:t>平方</w:t>
            </w:r>
          </w:p>
        </w:tc>
        <w:tc>
          <w:tcPr>
            <w:tcW w:w="1221" w:type="dxa"/>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vAlign w:val="center"/>
          </w:tcPr>
          <w:p>
            <w:pPr>
              <w:pStyle w:val="32"/>
              <w:numPr>
                <w:ilvl w:val="0"/>
                <w:numId w:val="0"/>
              </w:numPr>
              <w:ind w:leftChars="0"/>
              <w:jc w:val="both"/>
              <w:rPr>
                <w:rFonts w:hint="default" w:ascii="仿宋_GB2312" w:eastAsia="仿宋_GB2312"/>
                <w:sz w:val="24"/>
                <w:szCs w:val="28"/>
                <w:lang w:val="en-US" w:eastAsia="zh-CN"/>
              </w:rPr>
            </w:pPr>
            <w:r>
              <w:rPr>
                <w:rFonts w:hint="eastAsia" w:ascii="仿宋_GB2312" w:eastAsia="仿宋_GB2312"/>
                <w:sz w:val="24"/>
                <w:szCs w:val="28"/>
                <w:lang w:val="en-US" w:eastAsia="zh-CN"/>
              </w:rPr>
              <w:t>20</w:t>
            </w:r>
          </w:p>
        </w:tc>
        <w:tc>
          <w:tcPr>
            <w:tcW w:w="1906" w:type="dxa"/>
            <w:vAlign w:val="center"/>
          </w:tcPr>
          <w:p>
            <w:pPr>
              <w:jc w:val="left"/>
              <w:rPr>
                <w:rFonts w:hint="eastAsia" w:ascii="仿宋_GB2312" w:eastAsia="仿宋_GB2312"/>
                <w:color w:val="auto"/>
                <w:sz w:val="24"/>
                <w:szCs w:val="28"/>
                <w:highlight w:val="none"/>
                <w:lang w:val="en-US" w:eastAsia="zh-CN"/>
              </w:rPr>
            </w:pPr>
            <w:r>
              <w:rPr>
                <w:rFonts w:hint="eastAsia" w:ascii="仿宋_GB2312" w:eastAsia="仿宋_GB2312"/>
                <w:color w:val="auto"/>
                <w:sz w:val="24"/>
                <w:szCs w:val="28"/>
                <w:highlight w:val="none"/>
                <w:lang w:val="en-US" w:eastAsia="zh-CN"/>
              </w:rPr>
              <w:t>其它</w:t>
            </w:r>
          </w:p>
        </w:tc>
        <w:tc>
          <w:tcPr>
            <w:tcW w:w="4571" w:type="dxa"/>
            <w:vAlign w:val="center"/>
          </w:tcPr>
          <w:p>
            <w:pPr>
              <w:jc w:val="left"/>
              <w:rPr>
                <w:rFonts w:hint="eastAsia" w:ascii="仿宋_GB2312" w:eastAsia="仿宋_GB2312"/>
                <w:color w:val="auto"/>
                <w:sz w:val="24"/>
                <w:szCs w:val="28"/>
                <w:highlight w:val="none"/>
                <w:lang w:eastAsia="zh-CN"/>
              </w:rPr>
            </w:pPr>
            <w:r>
              <w:rPr>
                <w:rFonts w:hint="eastAsia" w:ascii="仿宋_GB2312" w:eastAsia="仿宋_GB2312"/>
                <w:color w:val="auto"/>
                <w:sz w:val="24"/>
                <w:szCs w:val="28"/>
                <w:highlight w:val="none"/>
                <w:lang w:eastAsia="zh-CN"/>
              </w:rPr>
              <w:t>完成本项目所需其它物料</w:t>
            </w:r>
          </w:p>
        </w:tc>
        <w:tc>
          <w:tcPr>
            <w:tcW w:w="733" w:type="dxa"/>
            <w:vAlign w:val="center"/>
          </w:tcPr>
          <w:p>
            <w:pPr>
              <w:jc w:val="center"/>
              <w:rPr>
                <w:rFonts w:hint="default" w:ascii="仿宋_GB2312" w:eastAsia="仿宋_GB2312"/>
                <w:sz w:val="24"/>
                <w:szCs w:val="28"/>
                <w:lang w:val="en-US" w:eastAsia="zh-CN"/>
              </w:rPr>
            </w:pPr>
          </w:p>
        </w:tc>
        <w:tc>
          <w:tcPr>
            <w:tcW w:w="1221" w:type="dxa"/>
            <w:vAlign w:val="center"/>
          </w:tcPr>
          <w:p>
            <w:pPr>
              <w:jc w:val="center"/>
              <w:rPr>
                <w:rFonts w:hint="eastAsia" w:ascii="仿宋_GB2312" w:eastAsia="仿宋_GB2312"/>
                <w:sz w:val="24"/>
                <w:szCs w:val="28"/>
                <w:lang w:val="en-US" w:eastAsia="zh-CN"/>
              </w:rPr>
            </w:pPr>
          </w:p>
        </w:tc>
        <w:tc>
          <w:tcPr>
            <w:tcW w:w="859" w:type="dxa"/>
            <w:vAlign w:val="center"/>
          </w:tcPr>
          <w:p>
            <w:pPr>
              <w:jc w:val="center"/>
              <w:rPr>
                <w:rFonts w:hint="default" w:ascii="仿宋_GB2312" w:eastAsia="仿宋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4" w:type="dxa"/>
            <w:gridSpan w:val="6"/>
            <w:vAlign w:val="center"/>
          </w:tcPr>
          <w:p>
            <w:pPr>
              <w:ind w:firstLine="482" w:firstLineChars="200"/>
              <w:jc w:val="left"/>
              <w:rPr>
                <w:rFonts w:hint="default" w:ascii="仿宋_GB2312" w:eastAsia="仿宋_GB2312"/>
                <w:sz w:val="24"/>
                <w:szCs w:val="28"/>
                <w:lang w:val="en-US" w:eastAsia="zh-CN"/>
              </w:rPr>
            </w:pPr>
            <w:r>
              <w:rPr>
                <w:rFonts w:hint="eastAsia" w:ascii="仿宋_GB2312" w:hAnsi="宋体" w:eastAsia="仿宋_GB2312" w:cs="仿宋_GB2312"/>
                <w:b/>
                <w:bCs/>
                <w:i w:val="0"/>
                <w:color w:val="000000"/>
                <w:kern w:val="0"/>
                <w:sz w:val="24"/>
                <w:szCs w:val="24"/>
                <w:u w:val="none"/>
                <w:lang w:val="en-US" w:eastAsia="zh-CN" w:bidi="ar"/>
              </w:rPr>
              <w:t>在投标文件中提供施工图和效果图，在正式施工之前须经馆方根据现场情况确认施工图和效果图后再进行施工作业。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gridSpan w:val="2"/>
            <w:vAlign w:val="center"/>
          </w:tcPr>
          <w:p>
            <w:pPr>
              <w:jc w:val="center"/>
              <w:rPr>
                <w:rFonts w:hint="default" w:ascii="仿宋_GB2312" w:eastAsia="仿宋_GB2312"/>
                <w:sz w:val="24"/>
                <w:szCs w:val="28"/>
                <w:lang w:val="en-US" w:eastAsia="zh-CN"/>
              </w:rPr>
            </w:pPr>
            <w:r>
              <w:rPr>
                <w:rFonts w:hint="eastAsia" w:ascii="仿宋_GB2312" w:eastAsia="仿宋_GB2312"/>
                <w:b/>
                <w:bCs/>
                <w:sz w:val="24"/>
                <w:szCs w:val="28"/>
                <w:lang w:val="en-US" w:eastAsia="zh-CN"/>
              </w:rPr>
              <w:t>合计</w:t>
            </w:r>
          </w:p>
        </w:tc>
        <w:tc>
          <w:tcPr>
            <w:tcW w:w="7384" w:type="dxa"/>
            <w:gridSpan w:val="4"/>
            <w:vAlign w:val="center"/>
          </w:tcPr>
          <w:p>
            <w:pPr>
              <w:jc w:val="center"/>
              <w:rPr>
                <w:rFonts w:hint="default" w:ascii="仿宋_GB2312" w:eastAsia="仿宋_GB2312"/>
                <w:sz w:val="24"/>
                <w:szCs w:val="28"/>
                <w:lang w:val="en-US" w:eastAsia="zh-CN"/>
              </w:rPr>
            </w:pPr>
            <w:r>
              <w:rPr>
                <w:rFonts w:hint="eastAsia" w:ascii="仿宋_GB2312" w:eastAsia="仿宋_GB2312"/>
                <w:b/>
                <w:bCs/>
                <w:sz w:val="24"/>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gridSpan w:val="2"/>
            <w:vAlign w:val="center"/>
          </w:tcPr>
          <w:p>
            <w:pPr>
              <w:jc w:val="center"/>
              <w:rPr>
                <w:rFonts w:hint="eastAsia" w:ascii="仿宋_GB2312" w:eastAsia="仿宋_GB2312"/>
                <w:b/>
                <w:bCs/>
                <w:sz w:val="24"/>
                <w:szCs w:val="28"/>
                <w:lang w:val="en-US" w:eastAsia="zh-CN"/>
              </w:rPr>
            </w:pPr>
            <w:r>
              <w:rPr>
                <w:rFonts w:hint="eastAsia" w:ascii="仿宋_GB2312" w:eastAsia="仿宋_GB2312"/>
                <w:b/>
                <w:bCs/>
                <w:sz w:val="24"/>
                <w:szCs w:val="28"/>
                <w:lang w:val="en-US" w:eastAsia="zh-CN"/>
              </w:rPr>
              <w:t>总预算价格</w:t>
            </w:r>
          </w:p>
        </w:tc>
        <w:tc>
          <w:tcPr>
            <w:tcW w:w="7384" w:type="dxa"/>
            <w:gridSpan w:val="4"/>
            <w:vAlign w:val="center"/>
          </w:tcPr>
          <w:p>
            <w:pPr>
              <w:jc w:val="center"/>
              <w:rPr>
                <w:rFonts w:hint="default" w:ascii="仿宋_GB2312" w:eastAsia="仿宋_GB2312"/>
                <w:b/>
                <w:bCs/>
                <w:sz w:val="24"/>
                <w:szCs w:val="28"/>
                <w:lang w:val="en-US" w:eastAsia="zh-CN"/>
              </w:rPr>
            </w:pPr>
          </w:p>
        </w:tc>
      </w:tr>
    </w:tbl>
    <w:p>
      <w:pPr>
        <w:numPr>
          <w:ilvl w:val="0"/>
          <w:numId w:val="0"/>
        </w:numPr>
        <w:spacing w:line="560" w:lineRule="exact"/>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二、</w:t>
      </w:r>
      <w:r>
        <w:rPr>
          <w:rFonts w:hint="eastAsia" w:ascii="仿宋_GB2312" w:eastAsia="仿宋_GB2312"/>
          <w:b/>
          <w:bCs/>
          <w:color w:val="auto"/>
          <w:sz w:val="32"/>
          <w:szCs w:val="32"/>
          <w:highlight w:val="none"/>
          <w:lang w:eastAsia="zh-CN"/>
        </w:rPr>
        <w:t>安装</w:t>
      </w:r>
      <w:r>
        <w:rPr>
          <w:rFonts w:hint="eastAsia" w:ascii="仿宋_GB2312" w:eastAsia="仿宋_GB2312"/>
          <w:b/>
          <w:bCs/>
          <w:sz w:val="32"/>
          <w:szCs w:val="32"/>
          <w:lang w:eastAsia="zh-CN"/>
        </w:rPr>
        <w:t>要求</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本多功能录音棚划分为录音室（主要用于人声录制、小型乐队、小组合唱）、控制室（兼做音频后期制作），地面面积为18平米左右，相邻2间室。</w:t>
      </w:r>
    </w:p>
    <w:p>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sz w:val="32"/>
          <w:szCs w:val="32"/>
          <w:lang w:eastAsia="zh-CN"/>
        </w:rPr>
        <w:t>施工方需提供设计方案和效果图，</w:t>
      </w:r>
      <w:r>
        <w:rPr>
          <w:rFonts w:hint="eastAsia" w:ascii="仿宋_GB2312" w:eastAsia="仿宋_GB2312"/>
          <w:sz w:val="32"/>
          <w:szCs w:val="32"/>
        </w:rPr>
        <w:t>设计方案按照</w:t>
      </w:r>
      <w:r>
        <w:rPr>
          <w:rFonts w:hint="eastAsia" w:ascii="仿宋_GB2312" w:eastAsia="仿宋_GB2312"/>
          <w:sz w:val="32"/>
          <w:szCs w:val="32"/>
          <w:lang w:eastAsia="zh-CN"/>
        </w:rPr>
        <w:t>建设</w:t>
      </w:r>
      <w:r>
        <w:rPr>
          <w:rFonts w:hint="eastAsia" w:ascii="仿宋_GB2312" w:eastAsia="仿宋_GB2312"/>
          <w:sz w:val="32"/>
          <w:szCs w:val="32"/>
        </w:rPr>
        <w:t>方要求，根据声学计算和建声设计指标的要求，进行科学、完整的声学设计，以此来确定混响时间，消除音质缺陷，获得高性价比的</w:t>
      </w:r>
      <w:r>
        <w:rPr>
          <w:rFonts w:hint="eastAsia" w:ascii="仿宋_GB2312" w:eastAsia="仿宋_GB2312"/>
          <w:color w:val="auto"/>
          <w:sz w:val="32"/>
          <w:szCs w:val="32"/>
        </w:rPr>
        <w:t>理想音质效果，并适应录音棚功能的要求</w:t>
      </w:r>
      <w:r>
        <w:rPr>
          <w:rFonts w:hint="eastAsia" w:ascii="仿宋_GB2312" w:eastAsia="仿宋_GB2312"/>
          <w:color w:val="auto"/>
          <w:sz w:val="32"/>
          <w:szCs w:val="32"/>
          <w:lang w:eastAsia="zh-CN"/>
        </w:rPr>
        <w:t>。整体要符合</w:t>
      </w:r>
      <w:r>
        <w:rPr>
          <w:rFonts w:hint="eastAsia" w:ascii="仿宋_GB2312" w:eastAsia="仿宋_GB2312"/>
          <w:b w:val="0"/>
          <w:bCs w:val="0"/>
          <w:color w:val="auto"/>
          <w:sz w:val="32"/>
          <w:szCs w:val="32"/>
          <w:lang w:val="en-US" w:eastAsia="zh-CN"/>
        </w:rPr>
        <w:t>按现行《民用建筑隔声设计规范》GBJ118-1988和《住宅建筑规范》GB50368-2005(全文强条)“7.1条噪声与隔声”规定。</w:t>
      </w:r>
      <w:r>
        <w:rPr>
          <w:rFonts w:hint="eastAsia" w:ascii="仿宋_GB2312" w:eastAsia="仿宋_GB2312"/>
          <w:color w:val="auto"/>
          <w:sz w:val="32"/>
          <w:szCs w:val="32"/>
        </w:rPr>
        <w:t>设计充分考虑到可能会出现的声学缺陷，采用高密度隔声材料，墙的隔声量在55db的情况下，隔声墙的厚度定为35公分左右</w:t>
      </w:r>
      <w:r>
        <w:rPr>
          <w:rFonts w:hint="eastAsia" w:ascii="仿宋_GB2312" w:eastAsia="仿宋_GB2312"/>
          <w:color w:val="auto"/>
          <w:sz w:val="32"/>
          <w:szCs w:val="32"/>
          <w:lang w:eastAsia="zh-CN"/>
        </w:rPr>
        <w:t>。</w:t>
      </w:r>
    </w:p>
    <w:p>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消防配有原结构烟感和喷淋系统，</w:t>
      </w:r>
      <w:r>
        <w:rPr>
          <w:rFonts w:hint="eastAsia" w:ascii="仿宋_GB2312" w:eastAsia="仿宋_GB2312"/>
          <w:color w:val="auto"/>
          <w:sz w:val="32"/>
          <w:szCs w:val="32"/>
          <w:lang w:eastAsia="zh-CN"/>
        </w:rPr>
        <w:t>施工过程不许擅自拆卸或改装。</w:t>
      </w:r>
      <w:r>
        <w:rPr>
          <w:rFonts w:hint="eastAsia" w:ascii="仿宋_GB2312" w:eastAsia="仿宋_GB2312"/>
          <w:color w:val="auto"/>
          <w:sz w:val="32"/>
          <w:szCs w:val="32"/>
        </w:rPr>
        <w:t>所用</w:t>
      </w:r>
      <w:r>
        <w:rPr>
          <w:rFonts w:hint="eastAsia" w:ascii="仿宋_GB2312" w:eastAsia="仿宋_GB2312"/>
          <w:color w:val="auto"/>
          <w:sz w:val="32"/>
          <w:szCs w:val="32"/>
          <w:lang w:eastAsia="zh-CN"/>
        </w:rPr>
        <w:t>设备和</w:t>
      </w:r>
      <w:r>
        <w:rPr>
          <w:rFonts w:hint="eastAsia" w:ascii="仿宋_GB2312" w:eastAsia="仿宋_GB2312"/>
          <w:color w:val="auto"/>
          <w:sz w:val="32"/>
          <w:szCs w:val="32"/>
        </w:rPr>
        <w:t>内装饰材料难燃性、引燃性、产烟毒性、烟密度、热释放及烟气、耐火性能、燃烧性能、燃烧热值、抗火性能、耐高温性能、防火等级测试、阻燃等级、水平燃烧、垂直燃烧、氧指数测试、烟密度测试</w:t>
      </w:r>
      <w:r>
        <w:rPr>
          <w:rFonts w:hint="eastAsia" w:ascii="仿宋_GB2312" w:eastAsia="仿宋_GB2312"/>
          <w:color w:val="auto"/>
          <w:sz w:val="32"/>
          <w:szCs w:val="32"/>
          <w:lang w:eastAsia="zh-CN"/>
        </w:rPr>
        <w:t>要达到</w:t>
      </w:r>
      <w:r>
        <w:rPr>
          <w:rFonts w:hint="eastAsia" w:ascii="仿宋_GB2312" w:eastAsia="仿宋_GB2312"/>
          <w:color w:val="auto"/>
          <w:sz w:val="32"/>
          <w:szCs w:val="32"/>
        </w:rPr>
        <w:t>UL94检测</w:t>
      </w:r>
      <w:r>
        <w:rPr>
          <w:rFonts w:hint="eastAsia" w:ascii="仿宋_GB2312" w:eastAsia="仿宋_GB2312"/>
          <w:color w:val="auto"/>
          <w:sz w:val="32"/>
          <w:szCs w:val="32"/>
          <w:lang w:eastAsia="zh-CN"/>
        </w:rPr>
        <w:t>标准，同时要达到国家GB50016-2014号《建筑设计防火规范》标准。</w:t>
      </w:r>
      <w:r>
        <w:rPr>
          <w:rFonts w:hint="eastAsia" w:ascii="仿宋_GB2312" w:eastAsia="仿宋_GB2312"/>
          <w:color w:val="auto"/>
          <w:sz w:val="32"/>
          <w:szCs w:val="32"/>
        </w:rPr>
        <w:t>空调、强电路、灯光照明方面继续沿用原空调、强电路、灯光照明系统</w:t>
      </w:r>
      <w:r>
        <w:rPr>
          <w:rFonts w:hint="eastAsia" w:ascii="仿宋_GB2312" w:eastAsia="仿宋_GB2312"/>
          <w:color w:val="auto"/>
          <w:sz w:val="32"/>
          <w:szCs w:val="32"/>
          <w:lang w:eastAsia="zh-CN"/>
        </w:rPr>
        <w:t>。</w:t>
      </w:r>
    </w:p>
    <w:p>
      <w:pPr>
        <w:pStyle w:val="2"/>
        <w:ind w:firstLine="631" w:firstLineChars="200"/>
        <w:rPr>
          <w:rFonts w:hint="default"/>
          <w:b/>
          <w:bCs/>
          <w:color w:val="auto"/>
          <w:highlight w:val="none"/>
          <w:lang w:val="en-US" w:eastAsia="zh-CN"/>
        </w:rPr>
      </w:pPr>
      <w:r>
        <w:rPr>
          <w:rFonts w:hint="eastAsia" w:ascii="仿宋_GB2312" w:eastAsia="仿宋_GB2312"/>
          <w:b/>
          <w:bCs/>
          <w:color w:val="auto"/>
          <w:sz w:val="32"/>
          <w:szCs w:val="32"/>
          <w:highlight w:val="none"/>
          <w:lang w:eastAsia="zh-CN"/>
        </w:rPr>
        <w:t>所有材料参数标明</w:t>
      </w:r>
      <w:r>
        <w:rPr>
          <w:rFonts w:hint="eastAsia" w:ascii="仿宋_GB2312" w:eastAsia="仿宋_GB2312"/>
          <w:b/>
          <w:bCs/>
          <w:color w:val="auto"/>
          <w:sz w:val="32"/>
          <w:szCs w:val="32"/>
          <w:highlight w:val="none"/>
          <w:lang w:val="en-US" w:eastAsia="zh-CN"/>
        </w:rPr>
        <w:t>A级防火标准的必须达到A级，及达到E0环保标准（材料入场时，施工前还需要提供合格证等相关佐证材料）。</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录音棚的锐角需做低频减震处理,需做专业性的隔声设计,并需考虑结构的荷载</w:t>
      </w:r>
      <w:r>
        <w:rPr>
          <w:rFonts w:hint="eastAsia" w:ascii="仿宋_GB2312" w:eastAsia="仿宋_GB2312"/>
          <w:color w:val="auto"/>
          <w:sz w:val="32"/>
          <w:szCs w:val="32"/>
          <w:lang w:eastAsia="zh-CN"/>
        </w:rPr>
        <w:t>。</w:t>
      </w:r>
      <w:r>
        <w:rPr>
          <w:rFonts w:hint="eastAsia" w:ascii="仿宋_GB2312" w:eastAsia="仿宋_GB2312"/>
          <w:color w:val="auto"/>
          <w:sz w:val="32"/>
          <w:szCs w:val="32"/>
        </w:rPr>
        <w:t>所有材料的环保指标达到国家规定。</w:t>
      </w:r>
    </w:p>
    <w:p>
      <w:pPr>
        <w:ind w:firstLine="640" w:firstLineChars="200"/>
        <w:rPr>
          <w:rFonts w:hint="eastAsia"/>
          <w:color w:val="FF0000"/>
        </w:rPr>
      </w:pPr>
      <w:r>
        <w:rPr>
          <w:rFonts w:hint="eastAsia" w:ascii="仿宋_GB2312" w:eastAsia="仿宋_GB2312"/>
          <w:color w:val="auto"/>
          <w:sz w:val="32"/>
          <w:szCs w:val="32"/>
          <w:lang w:val="en-US" w:eastAsia="zh-CN"/>
        </w:rPr>
        <w:t>依照混响时间参数（0.2-0.3）和隔音质要求，最终</w:t>
      </w:r>
      <w:r>
        <w:rPr>
          <w:rFonts w:hint="eastAsia" w:ascii="仿宋_GB2312" w:eastAsia="仿宋_GB2312"/>
          <w:color w:val="auto"/>
          <w:sz w:val="32"/>
          <w:szCs w:val="32"/>
          <w:highlight w:val="none"/>
          <w:lang w:val="en-US" w:eastAsia="zh-CN"/>
        </w:rPr>
        <w:t>由专家</w:t>
      </w:r>
      <w:r>
        <w:rPr>
          <w:rFonts w:hint="eastAsia" w:ascii="仿宋_GB2312" w:eastAsia="仿宋_GB2312"/>
          <w:color w:val="auto"/>
          <w:sz w:val="32"/>
          <w:szCs w:val="32"/>
          <w:lang w:val="en-US" w:eastAsia="zh-CN"/>
        </w:rPr>
        <w:t>进行验收。</w:t>
      </w:r>
    </w:p>
    <w:p>
      <w:pPr>
        <w:numPr>
          <w:ilvl w:val="0"/>
          <w:numId w:val="0"/>
        </w:numPr>
        <w:spacing w:line="560" w:lineRule="exact"/>
        <w:ind w:firstLine="321" w:firstLineChars="100"/>
        <w:jc w:val="both"/>
        <w:rPr>
          <w:rFonts w:hint="eastAsia" w:ascii="宋体" w:hAnsi="宋体" w:eastAsia="宋体" w:cs="宋体"/>
          <w:b/>
          <w:bCs/>
          <w:color w:val="auto"/>
          <w:kern w:val="2"/>
          <w:sz w:val="28"/>
          <w:szCs w:val="28"/>
          <w:highlight w:val="none"/>
          <w:lang w:val="en-US" w:eastAsia="zh-CN" w:bidi="ar-SA"/>
        </w:rPr>
      </w:pPr>
      <w:r>
        <w:rPr>
          <w:rFonts w:hint="eastAsia" w:ascii="仿宋_GB2312" w:eastAsia="仿宋_GB2312"/>
          <w:b/>
          <w:bCs/>
          <w:sz w:val="32"/>
          <w:szCs w:val="32"/>
          <w:lang w:eastAsia="zh-CN"/>
        </w:rPr>
        <w:t>三、</w:t>
      </w:r>
      <w:r>
        <w:rPr>
          <w:rFonts w:hint="eastAsia" w:ascii="宋体" w:hAnsi="宋体" w:eastAsia="宋体" w:cs="宋体"/>
          <w:b/>
          <w:bCs/>
          <w:color w:val="auto"/>
          <w:kern w:val="2"/>
          <w:sz w:val="28"/>
          <w:szCs w:val="28"/>
          <w:highlight w:val="none"/>
          <w:lang w:val="en-US" w:eastAsia="zh-CN" w:bidi="ar-SA"/>
        </w:rPr>
        <w:t>商务要求</w:t>
      </w:r>
    </w:p>
    <w:p>
      <w:pPr>
        <w:spacing w:line="560" w:lineRule="exact"/>
        <w:ind w:firstLine="648"/>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1、质保期：验收合格之日起不少于三年。</w:t>
      </w:r>
    </w:p>
    <w:p>
      <w:pPr>
        <w:spacing w:line="560" w:lineRule="exact"/>
        <w:ind w:firstLine="648"/>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color w:val="auto"/>
          <w:sz w:val="32"/>
          <w:szCs w:val="32"/>
          <w:highlight w:val="none"/>
          <w:lang w:val="en-US" w:eastAsia="zh-CN"/>
        </w:rPr>
        <w:t>2、供货期：</w:t>
      </w:r>
      <w:r>
        <w:rPr>
          <w:rFonts w:hint="eastAsia" w:ascii="仿宋" w:hAnsi="仿宋" w:eastAsia="仿宋" w:cs="仿宋"/>
          <w:b w:val="0"/>
          <w:bCs w:val="0"/>
          <w:i w:val="0"/>
          <w:iCs w:val="0"/>
          <w:color w:val="auto"/>
          <w:sz w:val="32"/>
          <w:szCs w:val="32"/>
          <w:highlight w:val="none"/>
          <w:lang w:val="en-US" w:eastAsia="zh-CN"/>
        </w:rPr>
        <w:t>签订合同后，30天内</w:t>
      </w:r>
      <w:r>
        <w:rPr>
          <w:rFonts w:hint="eastAsia" w:ascii="仿宋" w:hAnsi="仿宋" w:eastAsia="仿宋" w:cs="仿宋"/>
          <w:bCs/>
          <w:color w:val="auto"/>
          <w:sz w:val="32"/>
          <w:szCs w:val="32"/>
          <w:highlight w:val="none"/>
        </w:rPr>
        <w:t>供货安装调试完毕</w:t>
      </w:r>
      <w:r>
        <w:rPr>
          <w:rFonts w:hint="eastAsia" w:ascii="仿宋" w:hAnsi="仿宋" w:eastAsia="仿宋" w:cs="仿宋"/>
          <w:b w:val="0"/>
          <w:bCs w:val="0"/>
          <w:i w:val="0"/>
          <w:iCs w:val="0"/>
          <w:color w:val="auto"/>
          <w:sz w:val="32"/>
          <w:szCs w:val="32"/>
          <w:highlight w:val="none"/>
          <w:lang w:val="en-US" w:eastAsia="zh-CN"/>
        </w:rPr>
        <w:t>并验收合格。</w:t>
      </w:r>
    </w:p>
    <w:p>
      <w:pPr>
        <w:spacing w:line="560" w:lineRule="exact"/>
        <w:ind w:firstLine="648"/>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3、本项目交钥匙项目：报价包含运输费、保管费、设备费、安装费、备品备件、保险、各项税金等完成本项目所需的全部费用，如项目所需其他设备或服务馆方不另行追加费用。</w:t>
      </w:r>
    </w:p>
    <w:p>
      <w:pPr>
        <w:spacing w:line="560" w:lineRule="exact"/>
        <w:ind w:firstLine="648"/>
        <w:rPr>
          <w:rFonts w:hint="eastAsia" w:ascii="仿宋" w:hAnsi="仿宋" w:eastAsia="仿宋" w:cs="仿宋"/>
          <w:color w:val="FF0000"/>
          <w:sz w:val="32"/>
          <w:szCs w:val="32"/>
          <w:highlight w:val="none"/>
          <w:lang w:val="en-US" w:eastAsia="zh-CN"/>
        </w:rPr>
      </w:pPr>
    </w:p>
    <w:p>
      <w:pPr>
        <w:spacing w:line="560" w:lineRule="exact"/>
        <w:ind w:firstLine="648"/>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4、付款方式</w:t>
      </w:r>
      <w:r>
        <w:rPr>
          <w:rFonts w:hint="eastAsia" w:ascii="仿宋" w:hAnsi="仿宋" w:eastAsia="仿宋" w:cs="仿宋"/>
          <w:color w:val="auto"/>
          <w:sz w:val="32"/>
          <w:szCs w:val="32"/>
          <w:highlight w:val="none"/>
          <w:lang w:val="en-US" w:eastAsia="zh-CN"/>
        </w:rPr>
        <w:tab/>
      </w:r>
    </w:p>
    <w:p>
      <w:pPr>
        <w:spacing w:line="560" w:lineRule="exact"/>
        <w:ind w:firstLine="960" w:firstLineChars="3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①签订合同且具备实施条件后甲方向乙方支付合同金额的30%作为预付款，全部供货、安装调试完成且经甲方验收合格后付至合同金额的100%（实际付款方式以合同约定为准）。</w:t>
      </w:r>
    </w:p>
    <w:p>
      <w:pPr>
        <w:spacing w:line="560" w:lineRule="exact"/>
        <w:ind w:firstLine="960" w:firstLineChars="3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②付款前，成交供应商须提供合法的当届结算金额全额增值税发票并经采购人财务审核后方可付款。</w:t>
      </w:r>
    </w:p>
    <w:p>
      <w:pPr>
        <w:spacing w:line="360" w:lineRule="auto"/>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5、所有设备均为原装正品且未开封（到用户处开封）。</w:t>
      </w:r>
    </w:p>
    <w:p>
      <w:pPr>
        <w:spacing w:line="360" w:lineRule="auto"/>
        <w:ind w:firstLine="640" w:firstLineChars="200"/>
        <w:jc w:val="both"/>
        <w:outlineLvl w:val="9"/>
        <w:rPr>
          <w:rFonts w:hint="eastAsia" w:ascii="仿宋" w:hAnsi="仿宋" w:eastAsia="仿宋" w:cs="仿宋"/>
          <w:color w:val="auto"/>
          <w:sz w:val="32"/>
          <w:szCs w:val="32"/>
          <w:highlight w:val="none"/>
        </w:rPr>
      </w:pPr>
      <w:bookmarkStart w:id="72" w:name="_Toc1648336"/>
      <w:bookmarkStart w:id="73" w:name="_Toc1648269"/>
      <w:bookmarkStart w:id="74" w:name="_Toc14973991"/>
      <w:r>
        <w:rPr>
          <w:rFonts w:hint="eastAsia" w:ascii="仿宋" w:hAnsi="仿宋" w:eastAsia="仿宋" w:cs="仿宋"/>
          <w:color w:val="auto"/>
          <w:sz w:val="32"/>
          <w:szCs w:val="32"/>
          <w:highlight w:val="none"/>
        </w:rPr>
        <w:t>6、验收：</w:t>
      </w:r>
      <w:bookmarkEnd w:id="72"/>
      <w:bookmarkEnd w:id="73"/>
      <w:bookmarkEnd w:id="74"/>
      <w:r>
        <w:rPr>
          <w:rFonts w:hint="eastAsia" w:ascii="仿宋" w:hAnsi="仿宋" w:eastAsia="仿宋" w:cs="仿宋"/>
          <w:color w:val="auto"/>
          <w:sz w:val="32"/>
          <w:szCs w:val="32"/>
          <w:highlight w:val="none"/>
          <w:lang w:eastAsia="zh-CN"/>
        </w:rPr>
        <w:t>采购方组织</w:t>
      </w:r>
      <w:r>
        <w:rPr>
          <w:rFonts w:hint="eastAsia" w:ascii="仿宋" w:hAnsi="仿宋" w:eastAsia="仿宋" w:cs="仿宋"/>
          <w:color w:val="auto"/>
          <w:spacing w:val="6"/>
          <w:sz w:val="32"/>
          <w:szCs w:val="32"/>
          <w:highlight w:val="none"/>
        </w:rPr>
        <w:t>相关专业专家验收，并出具项目验收报告，专家费由乙方承担。</w:t>
      </w:r>
    </w:p>
    <w:p>
      <w:pPr>
        <w:spacing w:line="360" w:lineRule="auto"/>
        <w:ind w:firstLine="640" w:firstLineChars="200"/>
        <w:jc w:val="both"/>
        <w:outlineLvl w:val="9"/>
        <w:rPr>
          <w:rFonts w:hint="eastAsia" w:ascii="仿宋" w:hAnsi="仿宋" w:eastAsia="仿宋" w:cs="仿宋"/>
          <w:color w:val="auto"/>
          <w:sz w:val="32"/>
          <w:szCs w:val="32"/>
          <w:highlight w:val="none"/>
        </w:rPr>
      </w:pPr>
      <w:bookmarkStart w:id="75" w:name="_Toc1648337"/>
      <w:bookmarkStart w:id="76" w:name="_Toc14973992"/>
      <w:bookmarkStart w:id="77" w:name="_Toc1648270"/>
      <w:r>
        <w:rPr>
          <w:rFonts w:hint="eastAsia" w:ascii="仿宋" w:hAnsi="仿宋" w:eastAsia="仿宋" w:cs="仿宋"/>
          <w:color w:val="auto"/>
          <w:sz w:val="32"/>
          <w:szCs w:val="32"/>
          <w:highlight w:val="none"/>
        </w:rPr>
        <w:t>7、验收标准：满足或优于甲方要求，符合磋商文件要求。</w:t>
      </w:r>
      <w:bookmarkEnd w:id="75"/>
      <w:bookmarkEnd w:id="76"/>
      <w:bookmarkEnd w:id="77"/>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8、质量要求及标准</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（1）所有货物的技术指标要求均为基本要求，供应商要在响应磋商文件的基础上，详细列明投标设备的品牌、配置、技术参数及附件；</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（2）货物必须是全新的（包括零部件）的设备，并执行国家及行业标准和要求。</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（3）所有货物在开箱检验时必须完好，无破损，配置与装箱单相符。数量、质量、性能及配置参数不低于本采购文件中提出的要求。</w:t>
      </w:r>
    </w:p>
    <w:p>
      <w:pPr>
        <w:widowControl w:val="0"/>
        <w:numPr>
          <w:ilvl w:val="0"/>
          <w:numId w:val="5"/>
        </w:numPr>
        <w:spacing w:line="360" w:lineRule="auto"/>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所有货物供货时提供制造商的出厂合格证等质量证明文件。</w:t>
      </w:r>
    </w:p>
    <w:p>
      <w:pPr>
        <w:widowControl w:val="0"/>
        <w:numPr>
          <w:ilvl w:val="0"/>
          <w:numId w:val="5"/>
        </w:numPr>
        <w:spacing w:line="360" w:lineRule="auto"/>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供应商投标</w:t>
      </w:r>
      <w:r>
        <w:rPr>
          <w:rFonts w:hint="eastAsia" w:ascii="仿宋" w:hAnsi="仿宋" w:eastAsia="仿宋" w:cs="仿宋"/>
          <w:color w:val="auto"/>
          <w:sz w:val="32"/>
          <w:szCs w:val="32"/>
          <w:lang w:eastAsia="zh-CN"/>
        </w:rPr>
        <w:t>时</w:t>
      </w:r>
      <w:r>
        <w:rPr>
          <w:rFonts w:hint="eastAsia" w:ascii="仿宋" w:hAnsi="仿宋" w:eastAsia="仿宋" w:cs="仿宋"/>
          <w:color w:val="auto"/>
          <w:sz w:val="32"/>
          <w:szCs w:val="32"/>
        </w:rPr>
        <w:t>所提供的设备如在实际供货时已经废型（不列入厂家当时的产品系统），如果未能按原价提供更高配置的设备，则按违约处理。</w:t>
      </w:r>
    </w:p>
    <w:p>
      <w:pPr>
        <w:widowControl w:val="0"/>
        <w:numPr>
          <w:ilvl w:val="0"/>
          <w:numId w:val="5"/>
        </w:numPr>
        <w:spacing w:line="360" w:lineRule="auto"/>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供应商在实际供货时，应提供设备清单、设备样本资料和产品技术性能条件说明书，并附有检验合格证明。若被发现提供货物未能达到采购文件和响应文件的有关要求，将按有关法律进行处罚。</w:t>
      </w:r>
    </w:p>
    <w:p>
      <w:pPr>
        <w:widowControl w:val="0"/>
        <w:numPr>
          <w:ilvl w:val="0"/>
          <w:numId w:val="5"/>
        </w:numPr>
        <w:spacing w:line="360" w:lineRule="auto"/>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所有产品均按国家行业标准生产，未标明技术要求的应符合国家相关质量标准的规定要求。</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FF0000"/>
          <w:sz w:val="32"/>
          <w:szCs w:val="32"/>
        </w:rPr>
        <w:t xml:space="preserve"> </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、售后服务要求</w:t>
      </w:r>
    </w:p>
    <w:p>
      <w:pPr>
        <w:widowControl w:val="0"/>
        <w:numPr>
          <w:ilvl w:val="0"/>
          <w:numId w:val="6"/>
        </w:numPr>
        <w:spacing w:line="360" w:lineRule="auto"/>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供应商应就所投货物的技术支持、服务、质保期等做出书面承诺；</w:t>
      </w:r>
    </w:p>
    <w:p>
      <w:pPr>
        <w:widowControl w:val="0"/>
        <w:numPr>
          <w:ilvl w:val="0"/>
          <w:numId w:val="6"/>
        </w:numPr>
        <w:spacing w:line="360" w:lineRule="auto"/>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技术指导与培训：包括产品调试、技术服务培训等</w:t>
      </w:r>
      <w:r>
        <w:rPr>
          <w:rFonts w:hint="eastAsia" w:ascii="仿宋" w:hAnsi="仿宋" w:eastAsia="仿宋" w:cs="仿宋"/>
          <w:color w:val="auto"/>
          <w:sz w:val="32"/>
          <w:szCs w:val="32"/>
          <w:lang w:eastAsia="zh-CN"/>
        </w:rPr>
        <w:t>，需熟练培训馆方操作人员</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人及以上，培训次数不少于</w:t>
      </w:r>
      <w:r>
        <w:rPr>
          <w:rFonts w:hint="eastAsia" w:ascii="仿宋" w:hAnsi="仿宋" w:eastAsia="仿宋" w:cs="仿宋"/>
          <w:color w:val="auto"/>
          <w:sz w:val="32"/>
          <w:szCs w:val="32"/>
          <w:lang w:val="en-US" w:eastAsia="zh-CN"/>
        </w:rPr>
        <w:t>3次</w:t>
      </w:r>
      <w:r>
        <w:rPr>
          <w:rFonts w:hint="eastAsia" w:ascii="仿宋" w:hAnsi="仿宋" w:eastAsia="仿宋" w:cs="仿宋"/>
          <w:color w:val="auto"/>
          <w:sz w:val="32"/>
          <w:szCs w:val="32"/>
        </w:rPr>
        <w:t>；供应商保证安装质量，并提供货物安装、使用和维护所需的资料等。</w:t>
      </w:r>
    </w:p>
    <w:p>
      <w:pPr>
        <w:widowControl w:val="0"/>
        <w:numPr>
          <w:ilvl w:val="0"/>
          <w:numId w:val="6"/>
        </w:numPr>
        <w:spacing w:line="360" w:lineRule="auto"/>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售后服务及维修保养：</w:t>
      </w:r>
    </w:p>
    <w:p>
      <w:pPr>
        <w:widowControl w:val="0"/>
        <w:numPr>
          <w:ilvl w:val="0"/>
          <w:numId w:val="7"/>
        </w:numPr>
        <w:spacing w:line="360" w:lineRule="auto"/>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供应商必须书面承诺所供产品均为原厂正品，不得使用任何劣货、假货等产品；</w:t>
      </w:r>
    </w:p>
    <w:p>
      <w:pPr>
        <w:widowControl w:val="0"/>
        <w:numPr>
          <w:ilvl w:val="0"/>
          <w:numId w:val="7"/>
        </w:numPr>
        <w:spacing w:line="360" w:lineRule="auto"/>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成交供应商终身维护成交供应商承诺的质保期，时间自货物最终验收合格并交付使用之日起计算，质保期内，如因产品、工艺、材料、软件等原因产生问题，成交供应商应在接到通知</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小时内赶到现场</w:t>
      </w:r>
      <w:r>
        <w:rPr>
          <w:rFonts w:hint="eastAsia" w:ascii="仿宋" w:hAnsi="仿宋" w:eastAsia="仿宋" w:cs="仿宋"/>
          <w:color w:val="auto"/>
          <w:sz w:val="32"/>
          <w:szCs w:val="32"/>
        </w:rPr>
        <w:t>进行修理或更换，且免费给予解决，保证设备正常运行，若成交供应商不能给予解决，均按不能交货处理，成交供应商应退回100%设备款；质保期满后，成交供应商仍应提供服务，采购人承担合理材料费用。</w:t>
      </w:r>
    </w:p>
    <w:p>
      <w:pPr>
        <w:widowControl w:val="0"/>
        <w:numPr>
          <w:ilvl w:val="0"/>
          <w:numId w:val="7"/>
        </w:numPr>
        <w:spacing w:line="360" w:lineRule="auto"/>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成交供应商应提供交货地点所在地的设备报修电话及联系人，成交供应商随时电话或者书面解答货物使用方面的疑问，根据需要派人到现场服务。</w:t>
      </w:r>
    </w:p>
    <w:p>
      <w:p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特别说明</w:t>
      </w:r>
    </w:p>
    <w:p>
      <w:pPr>
        <w:numPr>
          <w:ilvl w:val="0"/>
          <w:numId w:val="8"/>
        </w:numPr>
        <w:spacing w:line="360" w:lineRule="auto"/>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施工方在施工期间要服从物业方的相关管理和要求，不能擅自修改水、电、风等设施设备，如需修改，必须提前给物业方备案；</w:t>
      </w:r>
    </w:p>
    <w:p>
      <w:pPr>
        <w:numPr>
          <w:ilvl w:val="0"/>
          <w:numId w:val="8"/>
        </w:numPr>
        <w:spacing w:line="360" w:lineRule="auto"/>
        <w:jc w:val="both"/>
        <w:rPr>
          <w:rFonts w:hint="eastAsia" w:ascii="仿宋" w:hAnsi="仿宋" w:eastAsia="仿宋" w:cs="仿宋"/>
          <w:color w:val="auto"/>
          <w:sz w:val="32"/>
          <w:szCs w:val="32"/>
        </w:rPr>
      </w:pPr>
      <w:r>
        <w:rPr>
          <w:rFonts w:hint="eastAsia" w:ascii="仿宋" w:hAnsi="仿宋" w:eastAsia="仿宋" w:cs="仿宋"/>
          <w:color w:val="auto"/>
          <w:sz w:val="32"/>
          <w:szCs w:val="32"/>
        </w:rPr>
        <w:t>项目实施过程中</w:t>
      </w:r>
      <w:r>
        <w:rPr>
          <w:rFonts w:hint="eastAsia" w:ascii="仿宋" w:hAnsi="仿宋" w:eastAsia="仿宋" w:cs="仿宋"/>
          <w:color w:val="auto"/>
          <w:sz w:val="32"/>
          <w:szCs w:val="32"/>
          <w:lang w:val="en-US" w:eastAsia="zh-CN"/>
        </w:rPr>
        <w:t>不能耽误我馆正常开展工作</w:t>
      </w:r>
      <w:r>
        <w:rPr>
          <w:rFonts w:hint="eastAsia" w:ascii="仿宋" w:hAnsi="仿宋" w:eastAsia="仿宋" w:cs="仿宋"/>
          <w:color w:val="auto"/>
          <w:sz w:val="32"/>
          <w:szCs w:val="32"/>
        </w:rPr>
        <w:t>，做好施工防护措施，确保施工安全</w:t>
      </w:r>
      <w:r>
        <w:rPr>
          <w:rFonts w:hint="eastAsia" w:ascii="仿宋" w:hAnsi="仿宋" w:eastAsia="仿宋" w:cs="仿宋"/>
          <w:color w:val="auto"/>
          <w:sz w:val="32"/>
          <w:szCs w:val="32"/>
          <w:lang w:eastAsia="zh-CN"/>
        </w:rPr>
        <w:t>；</w:t>
      </w:r>
    </w:p>
    <w:p>
      <w:pPr>
        <w:spacing w:line="360" w:lineRule="auto"/>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 项目实施过程中，乙方对原有建筑物品、设备造成的破坏、拆除，由乙方负责恢复，产生的垃圾清理干净并外运，所产生的费用均有乙方承担</w:t>
      </w:r>
      <w:r>
        <w:rPr>
          <w:rFonts w:hint="eastAsia" w:ascii="仿宋" w:hAnsi="仿宋" w:eastAsia="仿宋" w:cs="仿宋"/>
          <w:color w:val="auto"/>
          <w:sz w:val="32"/>
          <w:szCs w:val="32"/>
          <w:lang w:eastAsia="zh-CN"/>
        </w:rPr>
        <w:t>；</w:t>
      </w:r>
    </w:p>
    <w:p>
      <w:pPr>
        <w:spacing w:line="360" w:lineRule="auto"/>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.乙方安装调试过程中应充分考虑风险因素，施工过程所发生的一切安全问题由乙方负责</w:t>
      </w:r>
      <w:r>
        <w:rPr>
          <w:rFonts w:hint="eastAsia" w:ascii="仿宋" w:hAnsi="仿宋" w:eastAsia="仿宋" w:cs="仿宋"/>
          <w:color w:val="auto"/>
          <w:sz w:val="32"/>
          <w:szCs w:val="32"/>
          <w:lang w:eastAsia="zh-CN"/>
        </w:rPr>
        <w:t>；</w:t>
      </w:r>
    </w:p>
    <w:p>
      <w:pPr>
        <w:spacing w:line="360" w:lineRule="auto"/>
        <w:rPr>
          <w:rFonts w:hint="eastAsia" w:ascii="宋体" w:hAnsi="宋体" w:cs="宋体"/>
          <w:color w:val="auto"/>
          <w:sz w:val="24"/>
          <w:szCs w:val="24"/>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.成交供应商不按时签订政府采购合同，延误项目进度影响采购进度，后果自负。</w:t>
      </w:r>
    </w:p>
    <w:p>
      <w:pPr>
        <w:spacing w:line="360" w:lineRule="auto"/>
        <w:ind w:firstLine="480" w:firstLineChars="200"/>
        <w:rPr>
          <w:rFonts w:hint="eastAsia" w:ascii="宋体" w:hAnsi="宋体" w:cs="宋体"/>
          <w:color w:val="auto"/>
          <w:sz w:val="24"/>
          <w:szCs w:val="24"/>
          <w:highlight w:val="none"/>
        </w:rPr>
      </w:pPr>
    </w:p>
    <w:p>
      <w:pPr>
        <w:spacing w:line="560" w:lineRule="exact"/>
        <w:ind w:firstLine="648"/>
        <w:rPr>
          <w:rFonts w:hint="eastAsia" w:ascii="仿宋" w:hAnsi="仿宋" w:eastAsia="仿宋" w:cs="仿宋"/>
          <w:color w:val="auto"/>
          <w:sz w:val="32"/>
          <w:szCs w:val="32"/>
          <w:highlight w:val="none"/>
          <w:lang w:val="en-US" w:eastAsia="zh-CN"/>
        </w:rPr>
      </w:pPr>
    </w:p>
    <w:p>
      <w:pPr>
        <w:pStyle w:val="3"/>
        <w:ind w:firstLine="643"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78" w:name="_Toc14342"/>
      <w:r>
        <w:rPr>
          <w:rFonts w:hint="eastAsia" w:ascii="宋体" w:hAnsi="宋体" w:eastAsia="宋体" w:cs="宋体"/>
          <w:color w:val="auto"/>
          <w:highlight w:val="none"/>
        </w:rPr>
        <w:t>第五章</w:t>
      </w:r>
      <w:r>
        <w:rPr>
          <w:rFonts w:hint="eastAsia" w:ascii="宋体" w:hAnsi="宋体" w:eastAsia="宋体" w:cs="宋体"/>
          <w:color w:val="auto"/>
          <w:highlight w:val="none"/>
        </w:rPr>
        <w:tab/>
      </w:r>
      <w:r>
        <w:rPr>
          <w:rFonts w:hint="eastAsia" w:ascii="宋体" w:hAnsi="宋体" w:eastAsia="宋体" w:cs="宋体"/>
          <w:color w:val="auto"/>
          <w:highlight w:val="none"/>
        </w:rPr>
        <w:t>合同条款及合同格式</w:t>
      </w:r>
      <w:bookmarkEnd w:id="78"/>
    </w:p>
    <w:p>
      <w:pPr>
        <w:ind w:firstLine="420" w:firstLineChars="200"/>
        <w:jc w:val="center"/>
        <w:rPr>
          <w:rFonts w:hint="eastAsia" w:ascii="宋体" w:hAnsi="宋体" w:cs="宋体"/>
          <w:color w:val="auto"/>
          <w:highlight w:val="none"/>
          <w:lang w:eastAsia="zh-CN"/>
        </w:rPr>
      </w:pPr>
      <w:r>
        <w:rPr>
          <w:rFonts w:hint="eastAsia" w:ascii="宋体" w:hAnsi="宋体" w:cs="宋体"/>
          <w:color w:val="auto"/>
          <w:highlight w:val="none"/>
          <w:lang w:eastAsia="zh-CN"/>
        </w:rPr>
        <w:t>此合同格式为参考模板，以实际签订合同为准</w:t>
      </w:r>
    </w:p>
    <w:p>
      <w:pPr>
        <w:pStyle w:val="22"/>
        <w:rPr>
          <w:rFonts w:hint="eastAsia" w:ascii="宋体" w:hAnsi="宋体" w:cs="宋体"/>
          <w:color w:val="auto"/>
          <w:highlight w:val="none"/>
          <w:lang w:eastAsia="zh-CN"/>
        </w:rPr>
      </w:pPr>
    </w:p>
    <w:p>
      <w:pPr>
        <w:spacing w:line="360" w:lineRule="auto"/>
        <w:ind w:firstLine="1044" w:firstLineChars="200"/>
        <w:jc w:val="center"/>
        <w:rPr>
          <w:rFonts w:hint="eastAsia" w:ascii="宋体" w:hAnsi="宋体" w:cs="宋体"/>
          <w:b/>
          <w:bCs/>
          <w:color w:val="auto"/>
          <w:sz w:val="52"/>
          <w:szCs w:val="52"/>
          <w:highlight w:val="none"/>
        </w:rPr>
      </w:pPr>
      <w:r>
        <w:rPr>
          <w:rFonts w:hint="eastAsia" w:ascii="宋体" w:hAnsi="宋体" w:cs="宋体"/>
          <w:b/>
          <w:bCs/>
          <w:color w:val="auto"/>
          <w:sz w:val="52"/>
          <w:szCs w:val="52"/>
          <w:highlight w:val="none"/>
        </w:rPr>
        <w:t>政府采购合同</w:t>
      </w:r>
    </w:p>
    <w:p>
      <w:pPr>
        <w:snapToGrid w:val="0"/>
        <w:spacing w:line="360" w:lineRule="auto"/>
        <w:ind w:firstLine="602" w:firstLineChars="200"/>
        <w:jc w:val="center"/>
        <w:outlineLvl w:val="0"/>
        <w:rPr>
          <w:rFonts w:hint="eastAsia" w:ascii="宋体" w:hAnsi="宋体" w:cs="宋体"/>
          <w:b/>
          <w:color w:val="auto"/>
          <w:sz w:val="30"/>
          <w:highlight w:val="none"/>
        </w:rPr>
      </w:pPr>
      <w:bookmarkStart w:id="79" w:name="_Toc13810"/>
      <w:bookmarkStart w:id="80" w:name="_Toc1648346"/>
      <w:bookmarkStart w:id="81" w:name="_Toc513302910"/>
      <w:bookmarkStart w:id="82" w:name="_Toc14974001"/>
      <w:bookmarkStart w:id="83" w:name="_Toc13744"/>
      <w:bookmarkStart w:id="84" w:name="_Toc22452"/>
      <w:r>
        <w:rPr>
          <w:rFonts w:hint="eastAsia" w:ascii="宋体" w:hAnsi="宋体" w:cs="宋体"/>
          <w:b/>
          <w:color w:val="auto"/>
          <w:sz w:val="30"/>
          <w:highlight w:val="none"/>
        </w:rPr>
        <w:t>（竞争性磋商：货物类）</w:t>
      </w:r>
      <w:bookmarkEnd w:id="79"/>
      <w:bookmarkEnd w:id="80"/>
      <w:bookmarkEnd w:id="81"/>
      <w:bookmarkEnd w:id="82"/>
      <w:bookmarkEnd w:id="83"/>
      <w:bookmarkEnd w:id="84"/>
    </w:p>
    <w:p>
      <w:pPr>
        <w:snapToGrid w:val="0"/>
        <w:spacing w:line="360" w:lineRule="auto"/>
        <w:jc w:val="center"/>
        <w:rPr>
          <w:rFonts w:hint="eastAsia" w:ascii="宋体" w:hAnsi="宋体" w:cs="宋体"/>
          <w:b/>
          <w:color w:val="auto"/>
          <w:sz w:val="30"/>
          <w:highlight w:val="none"/>
        </w:rPr>
      </w:pPr>
    </w:p>
    <w:p>
      <w:pPr>
        <w:tabs>
          <w:tab w:val="left" w:pos="7360"/>
        </w:tabs>
        <w:snapToGrid w:val="0"/>
        <w:spacing w:line="360" w:lineRule="auto"/>
        <w:ind w:firstLine="723" w:firstLineChars="200"/>
        <w:rPr>
          <w:rFonts w:ascii="宋体" w:hAnsi="宋体" w:cs="宋体"/>
          <w:b/>
          <w:color w:val="auto"/>
          <w:sz w:val="36"/>
          <w:highlight w:val="none"/>
        </w:rPr>
      </w:pPr>
      <w:r>
        <w:rPr>
          <w:rFonts w:hint="eastAsia" w:ascii="宋体" w:hAnsi="宋体" w:cs="宋体"/>
          <w:b/>
          <w:color w:val="auto"/>
          <w:sz w:val="36"/>
          <w:highlight w:val="none"/>
        </w:rPr>
        <w:tab/>
      </w:r>
    </w:p>
    <w:p>
      <w:pPr>
        <w:pStyle w:val="2"/>
        <w:rPr>
          <w:color w:val="auto"/>
          <w:highlight w:val="none"/>
          <w:lang w:val="en-US" w:eastAsia="zh-CN"/>
        </w:rPr>
      </w:pPr>
    </w:p>
    <w:p>
      <w:pPr>
        <w:pStyle w:val="2"/>
        <w:rPr>
          <w:color w:val="auto"/>
          <w:highlight w:val="none"/>
          <w:lang w:val="en-US" w:eastAsia="zh-CN"/>
        </w:rPr>
      </w:pPr>
    </w:p>
    <w:p>
      <w:pPr>
        <w:pStyle w:val="2"/>
        <w:rPr>
          <w:rFonts w:hint="eastAsia"/>
          <w:color w:val="auto"/>
          <w:highlight w:val="none"/>
          <w:lang w:val="en-US" w:eastAsia="zh-CN"/>
        </w:rPr>
      </w:pPr>
    </w:p>
    <w:p>
      <w:pPr>
        <w:pStyle w:val="2"/>
        <w:rPr>
          <w:color w:val="auto"/>
          <w:highlight w:val="none"/>
          <w:lang w:val="en-US" w:eastAsia="zh-CN"/>
        </w:rPr>
      </w:pPr>
    </w:p>
    <w:p>
      <w:pPr>
        <w:pStyle w:val="2"/>
        <w:rPr>
          <w:rFonts w:hint="eastAsia"/>
          <w:color w:val="auto"/>
          <w:highlight w:val="none"/>
          <w:lang w:val="en-US" w:eastAsia="zh-CN"/>
        </w:rPr>
      </w:pPr>
    </w:p>
    <w:p>
      <w:pPr>
        <w:snapToGrid w:val="0"/>
        <w:spacing w:line="360" w:lineRule="auto"/>
        <w:ind w:firstLine="723" w:firstLineChars="200"/>
        <w:rPr>
          <w:rFonts w:hint="eastAsia" w:ascii="宋体" w:hAnsi="宋体" w:cs="宋体"/>
          <w:b/>
          <w:color w:val="auto"/>
          <w:sz w:val="36"/>
          <w:highlight w:val="none"/>
        </w:rPr>
      </w:pPr>
      <w:r>
        <w:rPr>
          <w:rFonts w:hint="eastAsia" w:ascii="宋体" w:hAnsi="宋体" w:cs="宋体"/>
          <w:b/>
          <w:color w:val="auto"/>
          <w:sz w:val="36"/>
          <w:highlight w:val="none"/>
        </w:rPr>
        <w:t>项目名称:</w:t>
      </w:r>
      <w:r>
        <w:rPr>
          <w:rFonts w:hint="eastAsia" w:ascii="宋体" w:hAnsi="宋体" w:cs="宋体"/>
          <w:b/>
          <w:color w:val="auto"/>
          <w:sz w:val="36"/>
          <w:highlight w:val="none"/>
          <w:u w:val="single"/>
        </w:rPr>
        <w:t xml:space="preserve">                    </w:t>
      </w:r>
    </w:p>
    <w:p>
      <w:pPr>
        <w:snapToGrid w:val="0"/>
        <w:spacing w:line="360" w:lineRule="auto"/>
        <w:ind w:firstLine="723" w:firstLineChars="200"/>
        <w:rPr>
          <w:rFonts w:ascii="宋体" w:hAnsi="宋体" w:cs="宋体"/>
          <w:b/>
          <w:color w:val="auto"/>
          <w:sz w:val="36"/>
          <w:highlight w:val="none"/>
          <w:u w:val="single"/>
        </w:rPr>
      </w:pPr>
      <w:r>
        <w:rPr>
          <w:rFonts w:hint="eastAsia" w:ascii="宋体" w:hAnsi="宋体" w:cs="宋体"/>
          <w:b/>
          <w:color w:val="auto"/>
          <w:sz w:val="36"/>
          <w:highlight w:val="none"/>
        </w:rPr>
        <w:t>项目编号:</w:t>
      </w:r>
      <w:r>
        <w:rPr>
          <w:rFonts w:hint="eastAsia" w:ascii="宋体" w:hAnsi="宋体" w:cs="宋体"/>
          <w:b/>
          <w:color w:val="auto"/>
          <w:sz w:val="36"/>
          <w:highlight w:val="none"/>
          <w:u w:val="single"/>
        </w:rPr>
        <w:t xml:space="preserve">                    </w:t>
      </w:r>
    </w:p>
    <w:p>
      <w:pPr>
        <w:pStyle w:val="2"/>
        <w:ind w:firstLine="711" w:firstLineChars="200"/>
        <w:rPr>
          <w:rFonts w:hint="eastAsia"/>
          <w:color w:val="auto"/>
          <w:highlight w:val="none"/>
          <w:lang w:val="en-US" w:eastAsia="zh-CN"/>
        </w:rPr>
      </w:pPr>
      <w:r>
        <w:rPr>
          <w:rFonts w:hint="eastAsia" w:ascii="宋体" w:hAnsi="宋体" w:cs="宋体"/>
          <w:b/>
          <w:color w:val="auto"/>
          <w:sz w:val="36"/>
          <w:highlight w:val="none"/>
          <w:lang w:eastAsia="zh-CN"/>
        </w:rPr>
        <w:t>合同编号:</w:t>
      </w:r>
      <w:r>
        <w:rPr>
          <w:rFonts w:hint="eastAsia" w:ascii="宋体" w:hAnsi="宋体" w:cs="宋体"/>
          <w:b/>
          <w:color w:val="auto"/>
          <w:sz w:val="36"/>
          <w:highlight w:val="none"/>
          <w:u w:val="single"/>
          <w:lang w:eastAsia="zh-CN"/>
        </w:rPr>
        <w:t xml:space="preserve">                    </w:t>
      </w:r>
    </w:p>
    <w:p>
      <w:pPr>
        <w:pStyle w:val="2"/>
        <w:rPr>
          <w:rFonts w:hint="eastAsia"/>
          <w:color w:val="auto"/>
          <w:highlight w:val="none"/>
          <w:lang w:val="en-US" w:eastAsia="zh-CN"/>
        </w:rPr>
      </w:pPr>
    </w:p>
    <w:p>
      <w:pPr>
        <w:snapToGrid w:val="0"/>
        <w:spacing w:line="360" w:lineRule="auto"/>
        <w:jc w:val="center"/>
        <w:rPr>
          <w:rFonts w:hint="eastAsia" w:ascii="宋体" w:hAnsi="宋体" w:cs="宋体"/>
          <w:b/>
          <w:color w:val="auto"/>
          <w:sz w:val="36"/>
          <w:highlight w:val="none"/>
        </w:rPr>
      </w:pPr>
    </w:p>
    <w:p>
      <w:pPr>
        <w:snapToGrid w:val="0"/>
        <w:spacing w:line="360" w:lineRule="auto"/>
        <w:rPr>
          <w:rFonts w:ascii="宋体" w:hAnsi="宋体" w:cs="宋体"/>
          <w:b/>
          <w:color w:val="auto"/>
          <w:sz w:val="36"/>
          <w:highlight w:val="none"/>
        </w:rPr>
      </w:pPr>
    </w:p>
    <w:p>
      <w:pPr>
        <w:pStyle w:val="2"/>
        <w:rPr>
          <w:color w:val="auto"/>
          <w:highlight w:val="none"/>
          <w:lang w:val="en-US" w:eastAsia="zh-CN"/>
        </w:rPr>
      </w:pPr>
    </w:p>
    <w:p>
      <w:pPr>
        <w:pStyle w:val="2"/>
        <w:rPr>
          <w:color w:val="auto"/>
          <w:highlight w:val="none"/>
          <w:lang w:val="en-US" w:eastAsia="zh-CN"/>
        </w:rPr>
      </w:pPr>
    </w:p>
    <w:p>
      <w:pPr>
        <w:pStyle w:val="2"/>
        <w:rPr>
          <w:color w:val="auto"/>
          <w:highlight w:val="none"/>
          <w:lang w:val="en-US" w:eastAsia="zh-CN"/>
        </w:rPr>
      </w:pPr>
    </w:p>
    <w:p>
      <w:pPr>
        <w:pStyle w:val="2"/>
        <w:rPr>
          <w:color w:val="auto"/>
          <w:highlight w:val="none"/>
          <w:lang w:val="en-US" w:eastAsia="zh-CN"/>
        </w:rPr>
      </w:pPr>
    </w:p>
    <w:p>
      <w:pPr>
        <w:pStyle w:val="2"/>
        <w:rPr>
          <w:rFonts w:hint="eastAsia"/>
          <w:color w:val="auto"/>
          <w:highlight w:val="none"/>
          <w:lang w:val="en-US" w:eastAsia="zh-CN"/>
        </w:rPr>
      </w:pPr>
    </w:p>
    <w:p>
      <w:pPr>
        <w:pStyle w:val="2"/>
        <w:rPr>
          <w:rFonts w:hint="eastAsia"/>
          <w:color w:val="auto"/>
          <w:highlight w:val="none"/>
          <w:lang w:val="en-US" w:eastAsia="zh-CN"/>
        </w:rPr>
      </w:pPr>
    </w:p>
    <w:p>
      <w:pPr>
        <w:pStyle w:val="2"/>
        <w:rPr>
          <w:rFonts w:hint="eastAsia"/>
          <w:color w:val="auto"/>
          <w:highlight w:val="none"/>
          <w:lang w:val="en-US" w:eastAsia="zh-CN"/>
        </w:rPr>
      </w:pPr>
    </w:p>
    <w:p>
      <w:pPr>
        <w:snapToGrid w:val="0"/>
        <w:spacing w:line="360" w:lineRule="auto"/>
        <w:jc w:val="center"/>
        <w:rPr>
          <w:rFonts w:hint="eastAsia" w:ascii="宋体" w:hAnsi="宋体" w:cs="宋体"/>
          <w:b/>
          <w:color w:val="auto"/>
          <w:sz w:val="36"/>
          <w:highlight w:val="none"/>
        </w:rPr>
      </w:pPr>
    </w:p>
    <w:p>
      <w:pPr>
        <w:snapToGrid w:val="0"/>
        <w:spacing w:line="360" w:lineRule="auto"/>
        <w:ind w:firstLine="643" w:firstLineChars="200"/>
        <w:rPr>
          <w:rFonts w:hint="eastAsia" w:ascii="宋体" w:hAnsi="宋体" w:cs="宋体"/>
          <w:b/>
          <w:color w:val="auto"/>
          <w:sz w:val="32"/>
          <w:szCs w:val="32"/>
          <w:highlight w:val="none"/>
        </w:rPr>
      </w:pPr>
      <w:r>
        <w:rPr>
          <w:rFonts w:hint="eastAsia" w:ascii="宋体" w:hAnsi="宋体" w:cs="宋体"/>
          <w:b/>
          <w:color w:val="auto"/>
          <w:sz w:val="32"/>
          <w:szCs w:val="32"/>
          <w:highlight w:val="none"/>
        </w:rPr>
        <w:t>甲    方:</w:t>
      </w:r>
      <w:r>
        <w:rPr>
          <w:rFonts w:hint="eastAsia" w:ascii="宋体" w:hAnsi="宋体" w:cs="宋体"/>
          <w:b/>
          <w:color w:val="auto"/>
          <w:sz w:val="32"/>
          <w:szCs w:val="32"/>
          <w:highlight w:val="none"/>
          <w:u w:val="single"/>
        </w:rPr>
        <w:t xml:space="preserve">                        </w:t>
      </w:r>
    </w:p>
    <w:p>
      <w:pPr>
        <w:snapToGrid w:val="0"/>
        <w:spacing w:line="360" w:lineRule="auto"/>
        <w:ind w:firstLine="643" w:firstLineChars="200"/>
        <w:rPr>
          <w:rFonts w:hint="eastAsia" w:ascii="宋体" w:hAnsi="宋体" w:cs="宋体"/>
          <w:b/>
          <w:color w:val="auto"/>
          <w:sz w:val="32"/>
          <w:szCs w:val="32"/>
          <w:highlight w:val="none"/>
          <w:u w:val="single"/>
        </w:rPr>
      </w:pPr>
      <w:r>
        <w:rPr>
          <w:rFonts w:hint="eastAsia" w:ascii="宋体" w:hAnsi="宋体" w:cs="宋体"/>
          <w:b/>
          <w:color w:val="auto"/>
          <w:sz w:val="32"/>
          <w:szCs w:val="32"/>
          <w:highlight w:val="none"/>
        </w:rPr>
        <w:t>乙    方:</w:t>
      </w:r>
      <w:r>
        <w:rPr>
          <w:rFonts w:hint="eastAsia" w:ascii="宋体" w:hAnsi="宋体" w:cs="宋体"/>
          <w:b/>
          <w:color w:val="auto"/>
          <w:sz w:val="32"/>
          <w:szCs w:val="32"/>
          <w:highlight w:val="none"/>
          <w:u w:val="single"/>
        </w:rPr>
        <w:t xml:space="preserve">                        </w:t>
      </w:r>
    </w:p>
    <w:p>
      <w:pPr>
        <w:snapToGrid w:val="0"/>
        <w:spacing w:line="360" w:lineRule="auto"/>
        <w:ind w:firstLine="643" w:firstLineChars="200"/>
        <w:rPr>
          <w:rFonts w:hint="eastAsia" w:ascii="宋体" w:hAnsi="宋体" w:cs="宋体"/>
          <w:color w:val="auto"/>
          <w:sz w:val="24"/>
          <w:szCs w:val="24"/>
          <w:highlight w:val="none"/>
          <w:u w:val="single"/>
        </w:rPr>
      </w:pPr>
      <w:r>
        <w:rPr>
          <w:rFonts w:hint="eastAsia" w:ascii="宋体" w:hAnsi="宋体" w:cs="宋体"/>
          <w:b/>
          <w:color w:val="auto"/>
          <w:sz w:val="32"/>
          <w:szCs w:val="32"/>
          <w:highlight w:val="none"/>
        </w:rPr>
        <w:t>合同生成日期：</w:t>
      </w:r>
    </w:p>
    <w:p>
      <w:pPr>
        <w:adjustRightInd w:val="0"/>
        <w:snapToGrid w:val="0"/>
        <w:spacing w:line="360" w:lineRule="auto"/>
        <w:ind w:left="126" w:leftChars="60" w:firstLine="480" w:firstLineChars="200"/>
        <w:rPr>
          <w:rFonts w:hint="eastAsia" w:ascii="宋体" w:hAnsi="宋体" w:cs="宋体"/>
          <w:b/>
          <w:color w:val="auto"/>
          <w:sz w:val="36"/>
          <w:highlight w:val="none"/>
        </w:rPr>
      </w:pPr>
      <w:r>
        <w:rPr>
          <w:rFonts w:hint="eastAsia" w:ascii="宋体" w:hAnsi="宋体" w:cs="宋体"/>
          <w:color w:val="auto"/>
          <w:sz w:val="24"/>
          <w:szCs w:val="24"/>
          <w:highlight w:val="none"/>
          <w:u w:val="single"/>
        </w:rPr>
        <w:t xml:space="preserve">                          （甲方）</w:t>
      </w:r>
      <w:r>
        <w:rPr>
          <w:rFonts w:hint="eastAsia" w:ascii="宋体" w:hAnsi="宋体" w:cs="宋体"/>
          <w:color w:val="auto"/>
          <w:sz w:val="24"/>
          <w:szCs w:val="24"/>
          <w:highlight w:val="none"/>
        </w:rPr>
        <w:t>所需</w:t>
      </w:r>
      <w:r>
        <w:rPr>
          <w:rFonts w:hint="eastAsia" w:ascii="宋体" w:hAnsi="宋体" w:cs="宋体"/>
          <w:color w:val="auto"/>
          <w:sz w:val="24"/>
          <w:szCs w:val="24"/>
          <w:highlight w:val="none"/>
          <w:u w:val="single"/>
        </w:rPr>
        <w:t xml:space="preserve">                   (货物名称)</w:t>
      </w:r>
      <w:r>
        <w:rPr>
          <w:rFonts w:hint="eastAsia" w:ascii="宋体" w:hAnsi="宋体" w:cs="宋体"/>
          <w:color w:val="auto"/>
          <w:sz w:val="24"/>
          <w:szCs w:val="24"/>
          <w:highlight w:val="none"/>
        </w:rPr>
        <w:t>经</w:t>
      </w:r>
      <w:r>
        <w:rPr>
          <w:rFonts w:hint="eastAsia" w:ascii="宋体" w:hAnsi="宋体" w:cs="宋体"/>
          <w:color w:val="auto"/>
          <w:sz w:val="24"/>
          <w:szCs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szCs w:val="24"/>
          <w:highlight w:val="none"/>
        </w:rPr>
        <w:t>代理机构名称）以________________________磋商文件在国内以竞争性磋商方式进行采购。经磋商小组确定________________________（乙方）为成交供应商。甲、乙双方根据《中华人民共和国民法典》、《中华人民共和国政府采购法》和其他法律、法规的规定，并按照公正、平等、自愿、诚实信用的原则，同意按照以下条款和条件，签署本合同。</w:t>
      </w:r>
    </w:p>
    <w:p>
      <w:pPr>
        <w:adjustRightInd w:val="0"/>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一、本合同由合同文本和下列文件组成</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1、磋商文件</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2、成交供应商响应文件</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3、成交供应商在磋商过程中做出的有关澄清、说明或者补正文件</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4、本合同附件</w:t>
      </w:r>
    </w:p>
    <w:p>
      <w:pPr>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二、货物的名称、内容</w:t>
      </w:r>
    </w:p>
    <w:p>
      <w:pPr>
        <w:snapToGrid w:val="0"/>
        <w:spacing w:line="360" w:lineRule="auto"/>
        <w:ind w:left="397" w:leftChars="189"/>
        <w:rPr>
          <w:rFonts w:hint="eastAsia" w:ascii="宋体" w:hAnsi="宋体" w:cs="宋体"/>
          <w:b/>
          <w:bCs/>
          <w:color w:val="auto"/>
          <w:sz w:val="24"/>
          <w:szCs w:val="24"/>
          <w:highlight w:val="none"/>
        </w:rPr>
      </w:pPr>
    </w:p>
    <w:p>
      <w:pPr>
        <w:snapToGrid w:val="0"/>
        <w:spacing w:line="360" w:lineRule="auto"/>
        <w:ind w:left="397" w:leftChars="18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____________________________________________</w:t>
      </w:r>
    </w:p>
    <w:p>
      <w:pPr>
        <w:snapToGrid w:val="0"/>
        <w:spacing w:line="360" w:lineRule="auto"/>
        <w:ind w:left="95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（可后附详细服务内容）</w:t>
      </w:r>
    </w:p>
    <w:p>
      <w:pPr>
        <w:snapToGrid w:val="0"/>
        <w:spacing w:line="360" w:lineRule="auto"/>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三、合同金额</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合同总金额：</w:t>
      </w:r>
      <w:r>
        <w:rPr>
          <w:rFonts w:hint="eastAsia" w:ascii="宋体" w:hAnsi="宋体" w:cs="宋体"/>
          <w:color w:val="auto"/>
          <w:sz w:val="24"/>
          <w:szCs w:val="24"/>
          <w:highlight w:val="none"/>
          <w:u w:val="single"/>
        </w:rPr>
        <w:t xml:space="preserve">人民币                                     </w:t>
      </w:r>
      <w:r>
        <w:rPr>
          <w:rFonts w:hint="eastAsia" w:ascii="宋体" w:hAnsi="宋体" w:cs="宋体"/>
          <w:color w:val="auto"/>
          <w:sz w:val="24"/>
          <w:szCs w:val="24"/>
          <w:highlight w:val="none"/>
        </w:rPr>
        <w:t>（大写）</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人民币                                     </w:t>
      </w:r>
      <w:r>
        <w:rPr>
          <w:rFonts w:hint="eastAsia" w:ascii="宋体" w:hAnsi="宋体" w:cs="宋体"/>
          <w:color w:val="auto"/>
          <w:sz w:val="24"/>
          <w:szCs w:val="24"/>
          <w:highlight w:val="none"/>
        </w:rPr>
        <w:t>（小写）</w:t>
      </w:r>
    </w:p>
    <w:p>
      <w:pPr>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四、付款</w:t>
      </w:r>
    </w:p>
    <w:p>
      <w:pPr>
        <w:snapToGrid w:val="0"/>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1、付款途径：项目款由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支付。</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2、</w:t>
      </w:r>
      <w:r>
        <w:rPr>
          <w:rFonts w:hint="eastAsia" w:ascii="宋体" w:hAnsi="宋体" w:cs="宋体"/>
          <w:color w:val="auto"/>
          <w:sz w:val="24"/>
          <w:szCs w:val="24"/>
          <w:highlight w:val="none"/>
        </w:rPr>
        <w:t>付款方式：</w:t>
      </w:r>
    </w:p>
    <w:p>
      <w:pPr>
        <w:spacing w:line="360" w:lineRule="auto"/>
        <w:ind w:firstLine="480" w:firstLineChars="200"/>
        <w:jc w:val="both"/>
        <w:outlineLvl w:val="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签订合同且具备实施条件后甲方向乙方支付合同金额的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%作为预付款，全部供货、安装调试完成且经甲方验收合格后付至合同金额的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w:t>
      </w:r>
    </w:p>
    <w:p>
      <w:pPr>
        <w:spacing w:line="360" w:lineRule="auto"/>
        <w:ind w:firstLine="482" w:firstLineChars="200"/>
        <w:jc w:val="both"/>
        <w:outlineLvl w:val="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五、时间、地点、验收方式、质保期</w:t>
      </w:r>
    </w:p>
    <w:p>
      <w:pPr>
        <w:tabs>
          <w:tab w:val="left" w:pos="764"/>
        </w:tabs>
        <w:snapToGrid w:val="0"/>
        <w:spacing w:line="360" w:lineRule="auto"/>
        <w:ind w:firstLine="480" w:firstLineChars="200"/>
        <w:outlineLvl w:val="0"/>
        <w:rPr>
          <w:rFonts w:hint="eastAsia" w:ascii="宋体" w:hAnsi="宋体" w:cs="宋体"/>
          <w:b/>
          <w:bCs/>
          <w:color w:val="auto"/>
          <w:sz w:val="24"/>
          <w:szCs w:val="24"/>
          <w:highlight w:val="none"/>
        </w:rPr>
      </w:pPr>
      <w:bookmarkStart w:id="85" w:name="_Toc513302911"/>
      <w:bookmarkStart w:id="86" w:name="_Toc1648347"/>
      <w:bookmarkStart w:id="87" w:name="_Toc14974002"/>
      <w:bookmarkStart w:id="88" w:name="_Toc20560"/>
      <w:bookmarkStart w:id="89" w:name="_Toc9241"/>
      <w:r>
        <w:rPr>
          <w:rFonts w:hint="eastAsia" w:ascii="宋体" w:hAnsi="宋体" w:cs="宋体"/>
          <w:color w:val="auto"/>
          <w:sz w:val="24"/>
          <w:szCs w:val="24"/>
          <w:highlight w:val="none"/>
        </w:rPr>
        <w:t>1、时间：</w:t>
      </w:r>
      <w:bookmarkEnd w:id="85"/>
      <w:bookmarkEnd w:id="86"/>
      <w:bookmarkEnd w:id="87"/>
      <w:bookmarkEnd w:id="88"/>
      <w:bookmarkEnd w:id="89"/>
    </w:p>
    <w:p>
      <w:pPr>
        <w:tabs>
          <w:tab w:val="left" w:pos="764"/>
        </w:tabs>
        <w:snapToGrid w:val="0"/>
        <w:spacing w:line="360" w:lineRule="auto"/>
        <w:ind w:firstLine="480" w:firstLineChars="200"/>
        <w:outlineLvl w:val="0"/>
        <w:rPr>
          <w:rFonts w:hint="eastAsia" w:ascii="宋体" w:hAnsi="宋体" w:cs="宋体"/>
          <w:b/>
          <w:bCs/>
          <w:color w:val="auto"/>
          <w:sz w:val="24"/>
          <w:szCs w:val="24"/>
          <w:highlight w:val="none"/>
        </w:rPr>
      </w:pPr>
      <w:bookmarkStart w:id="90" w:name="_Toc14974003"/>
      <w:bookmarkStart w:id="91" w:name="_Toc25040"/>
      <w:bookmarkStart w:id="92" w:name="_Toc513302912"/>
      <w:bookmarkStart w:id="93" w:name="_Toc26923"/>
      <w:bookmarkStart w:id="94" w:name="_Toc1648348"/>
      <w:r>
        <w:rPr>
          <w:rFonts w:hint="eastAsia" w:ascii="宋体" w:hAnsi="宋体" w:cs="宋体"/>
          <w:color w:val="auto"/>
          <w:sz w:val="24"/>
          <w:szCs w:val="24"/>
          <w:highlight w:val="none"/>
        </w:rPr>
        <w:t>2、地点：甲方指定地点。</w:t>
      </w:r>
      <w:bookmarkEnd w:id="90"/>
      <w:bookmarkEnd w:id="91"/>
      <w:bookmarkEnd w:id="92"/>
      <w:bookmarkEnd w:id="93"/>
      <w:bookmarkEnd w:id="94"/>
    </w:p>
    <w:p>
      <w:pPr>
        <w:tabs>
          <w:tab w:val="left" w:pos="764"/>
        </w:tabs>
        <w:snapToGrid w:val="0"/>
        <w:spacing w:line="360" w:lineRule="auto"/>
        <w:ind w:firstLine="480" w:firstLineChars="200"/>
        <w:outlineLvl w:val="0"/>
        <w:rPr>
          <w:rFonts w:hint="eastAsia" w:ascii="宋体" w:hAnsi="宋体" w:cs="宋体"/>
          <w:color w:val="auto"/>
          <w:sz w:val="24"/>
          <w:szCs w:val="24"/>
          <w:highlight w:val="none"/>
        </w:rPr>
      </w:pPr>
      <w:bookmarkStart w:id="95" w:name="_Toc14974004"/>
      <w:bookmarkStart w:id="96" w:name="_Toc513302913"/>
      <w:bookmarkStart w:id="97" w:name="_Toc20948"/>
      <w:bookmarkStart w:id="98" w:name="_Toc1648349"/>
      <w:bookmarkStart w:id="99" w:name="_Toc30429"/>
      <w:r>
        <w:rPr>
          <w:rFonts w:hint="eastAsia" w:ascii="宋体" w:hAnsi="宋体" w:cs="宋体"/>
          <w:color w:val="auto"/>
          <w:sz w:val="24"/>
          <w:szCs w:val="24"/>
          <w:highlight w:val="none"/>
        </w:rPr>
        <w:t>3、验收方式：</w:t>
      </w:r>
      <w:bookmarkEnd w:id="95"/>
      <w:bookmarkEnd w:id="96"/>
      <w:bookmarkEnd w:id="97"/>
      <w:bookmarkEnd w:id="98"/>
      <w:bookmarkEnd w:id="99"/>
    </w:p>
    <w:p>
      <w:pPr>
        <w:tabs>
          <w:tab w:val="left" w:pos="764"/>
        </w:tabs>
        <w:snapToGrid w:val="0"/>
        <w:spacing w:line="360" w:lineRule="auto"/>
        <w:ind w:firstLine="480" w:firstLineChars="200"/>
        <w:outlineLvl w:val="0"/>
        <w:rPr>
          <w:rFonts w:hint="eastAsia" w:ascii="宋体" w:hAnsi="宋体" w:cs="宋体"/>
          <w:color w:val="auto"/>
          <w:sz w:val="24"/>
          <w:szCs w:val="24"/>
          <w:highlight w:val="none"/>
        </w:rPr>
      </w:pPr>
      <w:r>
        <w:rPr>
          <w:rFonts w:hint="eastAsia" w:ascii="宋体" w:hAnsi="宋体"/>
          <w:color w:val="auto"/>
          <w:sz w:val="24"/>
          <w:szCs w:val="24"/>
          <w:highlight w:val="none"/>
        </w:rPr>
        <w:t>4、质保期：</w:t>
      </w:r>
    </w:p>
    <w:p>
      <w:pPr>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六、合同生效</w:t>
      </w:r>
    </w:p>
    <w:p>
      <w:pPr>
        <w:snapToGrid w:val="0"/>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 xml:space="preserve">本合同为附条件生效合同，除甲乙双方签章，同时加盖代理机构合同审核章后，合同生效。 </w:t>
      </w:r>
    </w:p>
    <w:p>
      <w:pPr>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七、合同保存</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本合同一式五份，甲方一份，乙方一份，济南市历城区政府采购中心一份，代理机构二份。</w:t>
      </w:r>
    </w:p>
    <w:p>
      <w:pPr>
        <w:adjustRightInd w:val="0"/>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八、违约条款</w:t>
      </w:r>
    </w:p>
    <w:p>
      <w:pPr>
        <w:tabs>
          <w:tab w:val="left" w:pos="955"/>
          <w:tab w:val="left" w:pos="1146"/>
        </w:tabs>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（1）合同一方违约，违约方向对方支付违约金，违约金额为成交金额的10%。采购单位违约， 从采购款项中扣除。</w:t>
      </w:r>
    </w:p>
    <w:p>
      <w:pPr>
        <w:tabs>
          <w:tab w:val="left" w:pos="955"/>
          <w:tab w:val="left" w:pos="1146"/>
        </w:tabs>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（2）成交供应商给用户造成的实际损失高于违约金的，成交供应商应给用户对高出违约金的部分予以赔偿。</w:t>
      </w:r>
    </w:p>
    <w:p>
      <w:pPr>
        <w:tabs>
          <w:tab w:val="left" w:pos="955"/>
          <w:tab w:val="left" w:pos="1146"/>
        </w:tabs>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（3）成交供应商迟延履行合同、不完全履行合同或提供的服务不符合磋商文件的要求，除支付违约金外，仍应实际履行合同或重新提供符合要求的服务。</w:t>
      </w:r>
    </w:p>
    <w:p>
      <w:pPr>
        <w:tabs>
          <w:tab w:val="left" w:pos="955"/>
          <w:tab w:val="left" w:pos="1146"/>
        </w:tabs>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（4）其它未尽事宜，以《中华人民共和国民法典》规定为准。</w:t>
      </w:r>
    </w:p>
    <w:p>
      <w:pPr>
        <w:tabs>
          <w:tab w:val="left" w:pos="955"/>
          <w:tab w:val="left" w:pos="1146"/>
        </w:tabs>
        <w:snapToGrid w:val="0"/>
        <w:spacing w:line="360" w:lineRule="auto"/>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九、</w:t>
      </w:r>
      <w:r>
        <w:rPr>
          <w:rFonts w:hint="eastAsia" w:ascii="宋体" w:hAnsi="宋体" w:cs="宋体"/>
          <w:color w:val="auto"/>
          <w:sz w:val="24"/>
          <w:szCs w:val="24"/>
          <w:highlight w:val="none"/>
        </w:rPr>
        <w:t>合同发生纠纷时，向济南仲裁委员会提起仲裁。</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甲    方（公章）：                     乙    方（公章）：</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法定代表人或授权代理人：（签字）       法定代表人或授权代理人：（签字）</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开户单位：                             开户单位：</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开户银行：</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帐    号：                             帐    号： </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    址：                             地    址：</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邮政编码：                             邮政编码：</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    话：                             电    话：</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签订时间：</w:t>
      </w:r>
      <w:r>
        <w:rPr>
          <w:rFonts w:hint="eastAsia" w:ascii="宋体" w:hAnsi="宋体" w:cs="宋体"/>
          <w:color w:val="auto"/>
          <w:highlight w:val="none"/>
        </w:rPr>
        <w:t xml:space="preserve">                                </w:t>
      </w:r>
      <w:r>
        <w:rPr>
          <w:rFonts w:hint="eastAsia" w:ascii="宋体" w:hAnsi="宋体" w:cs="宋体"/>
          <w:color w:val="auto"/>
          <w:sz w:val="24"/>
          <w:highlight w:val="none"/>
        </w:rPr>
        <w:t xml:space="preserve"> 签订时间：</w:t>
      </w:r>
    </w:p>
    <w:p>
      <w:pPr>
        <w:adjustRightInd w:val="0"/>
        <w:snapToGrid w:val="0"/>
        <w:spacing w:line="360" w:lineRule="auto"/>
        <w:rPr>
          <w:rFonts w:hint="eastAsia" w:ascii="宋体" w:hAnsi="宋体" w:cs="宋体"/>
          <w:color w:val="auto"/>
          <w:sz w:val="24"/>
          <w:highlight w:val="none"/>
        </w:rPr>
      </w:pPr>
    </w:p>
    <w:p>
      <w:pPr>
        <w:pStyle w:val="8"/>
        <w:tabs>
          <w:tab w:val="left" w:pos="3820"/>
        </w:tabs>
        <w:spacing w:before="160"/>
        <w:ind w:left="460" w:firstLine="480" w:firstLineChars="200"/>
        <w:jc w:val="both"/>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bookmarkStart w:id="100" w:name="_Toc8733"/>
    </w:p>
    <w:p>
      <w:pPr>
        <w:pStyle w:val="8"/>
        <w:tabs>
          <w:tab w:val="left" w:pos="3820"/>
        </w:tabs>
        <w:spacing w:before="160"/>
        <w:ind w:left="460" w:firstLine="611" w:firstLineChars="200"/>
        <w:jc w:val="center"/>
        <w:outlineLvl w:val="0"/>
        <w:rPr>
          <w:rFonts w:hint="eastAsia" w:ascii="宋体" w:hAnsi="宋体" w:eastAsia="宋体" w:cs="宋体"/>
          <w:color w:val="auto"/>
          <w:highlight w:val="none"/>
        </w:rPr>
      </w:pPr>
      <w:r>
        <w:rPr>
          <w:rFonts w:hint="eastAsia" w:ascii="宋体" w:hAnsi="宋体" w:eastAsia="宋体" w:cs="宋体"/>
          <w:b/>
          <w:bCs/>
          <w:color w:val="auto"/>
          <w:w w:val="95"/>
          <w:sz w:val="32"/>
          <w:szCs w:val="32"/>
          <w:highlight w:val="none"/>
        </w:rPr>
        <w:t>第六章</w:t>
      </w:r>
      <w:r>
        <w:rPr>
          <w:rFonts w:hint="eastAsia" w:ascii="宋体" w:hAnsi="宋体" w:eastAsia="宋体" w:cs="宋体"/>
          <w:b/>
          <w:bCs/>
          <w:color w:val="auto"/>
          <w:sz w:val="32"/>
          <w:szCs w:val="32"/>
          <w:highlight w:val="none"/>
        </w:rPr>
        <w:t>磋商响应性文件格式</w:t>
      </w:r>
      <w:bookmarkEnd w:id="100"/>
    </w:p>
    <w:p>
      <w:pPr>
        <w:rPr>
          <w:rFonts w:hint="eastAsia" w:ascii="宋体" w:hAnsi="宋体" w:eastAsia="宋体" w:cs="宋体"/>
          <w:color w:val="auto"/>
          <w:highlight w:val="none"/>
        </w:rPr>
      </w:pPr>
    </w:p>
    <w:p>
      <w:pPr>
        <w:widowControl/>
        <w:spacing w:line="460" w:lineRule="exact"/>
        <w:ind w:firstLine="720" w:firstLineChars="200"/>
        <w:jc w:val="right"/>
        <w:rPr>
          <w:rFonts w:hint="eastAsia" w:ascii="宋体" w:hAnsi="宋体" w:cs="宋体"/>
          <w:color w:val="auto"/>
          <w:sz w:val="36"/>
          <w:szCs w:val="36"/>
          <w:highlight w:val="none"/>
        </w:rPr>
      </w:pPr>
      <w:r>
        <w:rPr>
          <w:rFonts w:hint="eastAsia" w:ascii="宋体" w:hAnsi="宋体" w:cs="宋体"/>
          <w:color w:val="auto"/>
          <w:sz w:val="36"/>
          <w:szCs w:val="36"/>
          <w:highlight w:val="none"/>
        </w:rPr>
        <w:t xml:space="preserve"> 正/副本 </w:t>
      </w:r>
    </w:p>
    <w:p>
      <w:pPr>
        <w:widowControl/>
        <w:spacing w:line="460" w:lineRule="exact"/>
        <w:jc w:val="center"/>
        <w:rPr>
          <w:rFonts w:hint="eastAsia" w:ascii="宋体" w:hAnsi="宋体" w:cs="宋体"/>
          <w:color w:val="auto"/>
          <w:sz w:val="36"/>
          <w:szCs w:val="36"/>
          <w:highlight w:val="none"/>
        </w:rPr>
      </w:pPr>
    </w:p>
    <w:p>
      <w:pPr>
        <w:widowControl/>
        <w:spacing w:line="460" w:lineRule="exact"/>
        <w:jc w:val="center"/>
        <w:rPr>
          <w:rFonts w:hint="eastAsia" w:ascii="宋体" w:hAnsi="宋体" w:cs="宋体"/>
          <w:color w:val="auto"/>
          <w:sz w:val="36"/>
          <w:szCs w:val="36"/>
          <w:highlight w:val="none"/>
        </w:rPr>
      </w:pPr>
    </w:p>
    <w:p>
      <w:pPr>
        <w:widowControl/>
        <w:spacing w:line="460" w:lineRule="exact"/>
        <w:jc w:val="center"/>
        <w:rPr>
          <w:rFonts w:hint="eastAsia" w:ascii="宋体" w:hAnsi="宋体" w:cs="宋体"/>
          <w:color w:val="auto"/>
          <w:sz w:val="36"/>
          <w:szCs w:val="36"/>
          <w:highlight w:val="none"/>
        </w:rPr>
      </w:pPr>
    </w:p>
    <w:p>
      <w:pPr>
        <w:widowControl/>
        <w:spacing w:line="460" w:lineRule="exact"/>
        <w:jc w:val="center"/>
        <w:rPr>
          <w:rFonts w:hint="eastAsia" w:ascii="宋体" w:hAnsi="宋体" w:cs="宋体"/>
          <w:color w:val="auto"/>
          <w:sz w:val="36"/>
          <w:szCs w:val="36"/>
          <w:highlight w:val="none"/>
        </w:rPr>
      </w:pPr>
    </w:p>
    <w:p>
      <w:pPr>
        <w:widowControl/>
        <w:spacing w:line="460" w:lineRule="exact"/>
        <w:jc w:val="center"/>
        <w:rPr>
          <w:rFonts w:hint="eastAsia" w:ascii="宋体" w:hAnsi="宋体" w:cs="宋体"/>
          <w:color w:val="auto"/>
          <w:sz w:val="36"/>
          <w:szCs w:val="36"/>
          <w:highlight w:val="none"/>
        </w:rPr>
      </w:pPr>
    </w:p>
    <w:p>
      <w:pPr>
        <w:widowControl/>
        <w:spacing w:line="460" w:lineRule="exact"/>
        <w:jc w:val="center"/>
        <w:rPr>
          <w:rFonts w:hint="eastAsia" w:ascii="宋体" w:hAnsi="宋体" w:cs="宋体"/>
          <w:color w:val="auto"/>
          <w:sz w:val="36"/>
          <w:szCs w:val="36"/>
          <w:highlight w:val="none"/>
        </w:rPr>
      </w:pPr>
    </w:p>
    <w:p>
      <w:pPr>
        <w:widowControl/>
        <w:spacing w:line="480" w:lineRule="auto"/>
        <w:ind w:firstLine="1936" w:firstLineChars="200"/>
        <w:jc w:val="center"/>
        <w:rPr>
          <w:rFonts w:hint="eastAsia" w:ascii="宋体" w:hAnsi="宋体" w:cs="宋体"/>
          <w:b/>
          <w:color w:val="auto"/>
          <w:sz w:val="84"/>
          <w:szCs w:val="84"/>
          <w:highlight w:val="none"/>
        </w:rPr>
      </w:pPr>
      <w:r>
        <w:rPr>
          <w:rFonts w:hint="eastAsia" w:ascii="宋体" w:hAnsi="宋体" w:eastAsia="宋体" w:cs="宋体"/>
          <w:b/>
          <w:bCs/>
          <w:color w:val="auto"/>
          <w:spacing w:val="2"/>
          <w:sz w:val="96"/>
          <w:szCs w:val="96"/>
          <w:highlight w:val="none"/>
        </w:rPr>
        <w:t>磋商响应性文件</w:t>
      </w:r>
    </w:p>
    <w:p>
      <w:pPr>
        <w:widowControl/>
        <w:spacing w:line="460" w:lineRule="exact"/>
        <w:jc w:val="center"/>
        <w:rPr>
          <w:rFonts w:hint="eastAsia" w:ascii="宋体" w:hAnsi="宋体" w:cs="宋体"/>
          <w:color w:val="auto"/>
          <w:sz w:val="36"/>
          <w:szCs w:val="36"/>
          <w:highlight w:val="none"/>
        </w:rPr>
      </w:pPr>
    </w:p>
    <w:p>
      <w:pPr>
        <w:pStyle w:val="31"/>
        <w:spacing w:line="460" w:lineRule="exact"/>
        <w:rPr>
          <w:rFonts w:hint="eastAsia"/>
          <w:color w:val="auto"/>
          <w:highlight w:val="none"/>
        </w:rPr>
      </w:pPr>
    </w:p>
    <w:p>
      <w:pPr>
        <w:widowControl/>
        <w:spacing w:line="460" w:lineRule="exact"/>
        <w:ind w:firstLine="1792" w:firstLineChars="850"/>
        <w:rPr>
          <w:rFonts w:hint="eastAsia" w:ascii="宋体" w:hAnsi="宋体" w:cs="宋体"/>
          <w:b/>
          <w:color w:val="auto"/>
          <w:szCs w:val="30"/>
          <w:highlight w:val="none"/>
        </w:rPr>
      </w:pPr>
    </w:p>
    <w:p>
      <w:pPr>
        <w:widowControl/>
        <w:spacing w:line="460" w:lineRule="exact"/>
        <w:ind w:firstLine="602" w:firstLineChars="200"/>
        <w:rPr>
          <w:rFonts w:hint="eastAsia" w:ascii="宋体" w:hAnsi="宋体" w:cs="宋体"/>
          <w:b/>
          <w:color w:val="auto"/>
          <w:szCs w:val="30"/>
          <w:highlight w:val="none"/>
        </w:rPr>
      </w:pPr>
      <w:r>
        <w:rPr>
          <w:rFonts w:hint="eastAsia" w:ascii="宋体" w:hAnsi="宋体" w:cs="宋体"/>
          <w:b/>
          <w:color w:val="auto"/>
          <w:sz w:val="30"/>
          <w:szCs w:val="30"/>
          <w:highlight w:val="none"/>
          <w:lang w:bidi="ar"/>
        </w:rPr>
        <w:t>项目名称：</w:t>
      </w:r>
    </w:p>
    <w:p>
      <w:pPr>
        <w:widowControl/>
        <w:spacing w:line="460" w:lineRule="exact"/>
        <w:ind w:firstLine="602" w:firstLineChars="200"/>
        <w:rPr>
          <w:rFonts w:hint="eastAsia" w:ascii="宋体" w:hAnsi="宋体" w:cs="宋体"/>
          <w:b/>
          <w:color w:val="auto"/>
          <w:sz w:val="30"/>
          <w:szCs w:val="30"/>
          <w:highlight w:val="none"/>
          <w:lang w:bidi="ar"/>
        </w:rPr>
      </w:pPr>
      <w:r>
        <w:rPr>
          <w:rFonts w:hint="eastAsia" w:ascii="宋体" w:hAnsi="宋体" w:cs="宋体"/>
          <w:b/>
          <w:color w:val="auto"/>
          <w:sz w:val="30"/>
          <w:szCs w:val="30"/>
          <w:highlight w:val="none"/>
          <w:lang w:bidi="ar"/>
        </w:rPr>
        <w:t>项目编号：</w:t>
      </w:r>
    </w:p>
    <w:p>
      <w:pPr>
        <w:widowControl/>
        <w:spacing w:line="460" w:lineRule="exact"/>
        <w:ind w:firstLine="600"/>
        <w:rPr>
          <w:rFonts w:hint="eastAsia" w:ascii="宋体" w:hAnsi="宋体" w:cs="宋体"/>
          <w:b/>
          <w:color w:val="auto"/>
          <w:sz w:val="30"/>
          <w:szCs w:val="30"/>
          <w:highlight w:val="none"/>
          <w:lang w:bidi="ar"/>
        </w:rPr>
      </w:pPr>
    </w:p>
    <w:p>
      <w:pPr>
        <w:widowControl/>
        <w:spacing w:line="460" w:lineRule="exact"/>
        <w:jc w:val="center"/>
        <w:rPr>
          <w:rFonts w:hint="eastAsia" w:ascii="宋体" w:hAnsi="宋体" w:cs="宋体"/>
          <w:color w:val="auto"/>
          <w:sz w:val="36"/>
          <w:szCs w:val="36"/>
          <w:highlight w:val="none"/>
        </w:rPr>
      </w:pPr>
    </w:p>
    <w:p>
      <w:pPr>
        <w:pStyle w:val="31"/>
        <w:spacing w:line="460" w:lineRule="exact"/>
        <w:rPr>
          <w:rFonts w:hint="eastAsia"/>
          <w:color w:val="auto"/>
          <w:highlight w:val="none"/>
        </w:rPr>
      </w:pPr>
    </w:p>
    <w:p>
      <w:pPr>
        <w:widowControl/>
        <w:spacing w:line="460" w:lineRule="exact"/>
        <w:ind w:firstLine="562" w:firstLineChars="200"/>
        <w:rPr>
          <w:rFonts w:hint="eastAsia" w:ascii="宋体" w:hAnsi="宋体" w:cs="宋体"/>
          <w:b/>
          <w:color w:val="auto"/>
          <w:sz w:val="28"/>
          <w:szCs w:val="28"/>
          <w:highlight w:val="none"/>
          <w:lang w:bidi="ar"/>
        </w:rPr>
      </w:pPr>
      <w:r>
        <w:rPr>
          <w:rFonts w:hint="eastAsia" w:ascii="宋体" w:hAnsi="宋体" w:cs="宋体"/>
          <w:b/>
          <w:color w:val="auto"/>
          <w:sz w:val="28"/>
          <w:szCs w:val="28"/>
          <w:highlight w:val="none"/>
          <w:lang w:bidi="ar"/>
        </w:rPr>
        <w:t>供应商（加盖公章）：</w:t>
      </w:r>
    </w:p>
    <w:p>
      <w:pPr>
        <w:widowControl/>
        <w:spacing w:line="460" w:lineRule="exact"/>
        <w:ind w:firstLine="562" w:firstLineChars="200"/>
        <w:rPr>
          <w:rFonts w:hint="eastAsia" w:ascii="宋体" w:hAnsi="宋体" w:cs="宋体"/>
          <w:b/>
          <w:color w:val="auto"/>
          <w:sz w:val="28"/>
          <w:szCs w:val="28"/>
          <w:highlight w:val="none"/>
        </w:rPr>
      </w:pPr>
      <w:r>
        <w:rPr>
          <w:rFonts w:hint="eastAsia" w:ascii="宋体" w:hAnsi="宋体" w:eastAsia="宋体" w:cs="宋体"/>
          <w:b/>
          <w:color w:val="auto"/>
          <w:sz w:val="28"/>
          <w:szCs w:val="28"/>
          <w:highlight w:val="none"/>
          <w:lang w:bidi="ar"/>
        </w:rPr>
        <w:t>法定代表人（或授权委托人）：</w:t>
      </w:r>
      <w:r>
        <w:rPr>
          <w:rFonts w:hint="eastAsia" w:ascii="宋体" w:hAnsi="宋体" w:eastAsia="宋体" w:cs="宋体"/>
          <w:color w:val="auto"/>
          <w:spacing w:val="-1"/>
          <w:sz w:val="30"/>
          <w:szCs w:val="30"/>
          <w:highlight w:val="none"/>
          <w:u w:val="single"/>
        </w:rPr>
        <w:tab/>
      </w:r>
      <w:r>
        <w:rPr>
          <w:rFonts w:hint="eastAsia" w:ascii="宋体" w:hAnsi="宋体" w:eastAsia="宋体" w:cs="宋体"/>
          <w:color w:val="auto"/>
          <w:sz w:val="30"/>
          <w:szCs w:val="30"/>
          <w:highlight w:val="none"/>
          <w:u w:val="single"/>
        </w:rPr>
        <w:t>（签字）</w:t>
      </w:r>
      <w:r>
        <w:rPr>
          <w:rFonts w:hint="eastAsia" w:ascii="宋体" w:hAnsi="宋体" w:cs="宋体"/>
          <w:b/>
          <w:color w:val="auto"/>
          <w:sz w:val="28"/>
          <w:szCs w:val="28"/>
          <w:highlight w:val="none"/>
          <w:lang w:bidi="ar"/>
        </w:rPr>
        <w:t xml:space="preserve">                 </w:t>
      </w:r>
    </w:p>
    <w:p>
      <w:pPr>
        <w:widowControl/>
        <w:spacing w:line="460" w:lineRule="exact"/>
        <w:ind w:firstLine="562"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lang w:bidi="ar"/>
        </w:rPr>
        <w:t xml:space="preserve"> 电    话：</w:t>
      </w:r>
    </w:p>
    <w:p>
      <w:pPr>
        <w:widowControl/>
        <w:spacing w:line="460" w:lineRule="exact"/>
        <w:ind w:firstLine="562"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lang w:bidi="ar"/>
        </w:rPr>
        <w:t xml:space="preserve"> 日</w:t>
      </w:r>
      <w:r>
        <w:rPr>
          <w:rFonts w:hint="eastAsia" w:ascii="宋体" w:hAnsi="宋体" w:cs="宋体"/>
          <w:b/>
          <w:color w:val="auto"/>
          <w:sz w:val="28"/>
          <w:szCs w:val="28"/>
          <w:highlight w:val="none"/>
          <w:lang w:val="en-US" w:eastAsia="zh-CN" w:bidi="ar"/>
        </w:rPr>
        <w:t xml:space="preserve">    </w:t>
      </w:r>
      <w:r>
        <w:rPr>
          <w:rFonts w:hint="eastAsia" w:ascii="宋体" w:hAnsi="宋体" w:cs="宋体"/>
          <w:b/>
          <w:color w:val="auto"/>
          <w:sz w:val="28"/>
          <w:szCs w:val="28"/>
          <w:highlight w:val="none"/>
          <w:lang w:bidi="ar"/>
        </w:rPr>
        <w:t>期：</w:t>
      </w:r>
    </w:p>
    <w:p>
      <w:pPr>
        <w:pStyle w:val="8"/>
        <w:kinsoku w:val="0"/>
        <w:overflowPunct w:val="0"/>
        <w:spacing w:before="4"/>
        <w:ind w:left="0"/>
        <w:jc w:val="center"/>
        <w:rPr>
          <w:rFonts w:hint="eastAsia" w:ascii="宋体" w:hAnsi="宋体" w:eastAsia="宋体" w:cs="宋体"/>
          <w:b/>
          <w:color w:val="auto"/>
          <w:sz w:val="36"/>
          <w:szCs w:val="36"/>
          <w:highlight w:val="none"/>
        </w:rPr>
      </w:pPr>
    </w:p>
    <w:p>
      <w:pPr>
        <w:rPr>
          <w:rFonts w:hint="eastAsia"/>
          <w:color w:val="auto"/>
          <w:highlight w:val="none"/>
        </w:rPr>
      </w:pPr>
    </w:p>
    <w:p>
      <w:pPr>
        <w:rPr>
          <w:rFonts w:hint="eastAsia" w:ascii="宋体" w:hAnsi="宋体" w:eastAsia="宋体" w:cs="宋体"/>
          <w:color w:val="auto"/>
          <w:highlight w:val="none"/>
        </w:rPr>
      </w:pPr>
    </w:p>
    <w:p>
      <w:pPr>
        <w:pStyle w:val="8"/>
        <w:kinsoku w:val="0"/>
        <w:overflowPunct w:val="0"/>
        <w:spacing w:before="130" w:line="355" w:lineRule="auto"/>
        <w:ind w:right="7" w:firstLine="480" w:firstLineChars="200"/>
        <w:jc w:val="center"/>
        <w:rPr>
          <w:rFonts w:hint="eastAsia" w:ascii="宋体" w:hAnsi="宋体" w:eastAsia="宋体" w:cs="宋体"/>
          <w:b/>
          <w:color w:val="auto"/>
          <w:spacing w:val="4"/>
          <w:highlight w:val="none"/>
        </w:rPr>
      </w:pPr>
      <w:r>
        <w:rPr>
          <w:rFonts w:hint="eastAsia" w:ascii="宋体" w:hAnsi="宋体" w:eastAsia="宋体" w:cs="宋体"/>
          <w:color w:val="auto"/>
          <w:highlight w:val="none"/>
        </w:rPr>
        <w:br w:type="page"/>
      </w:r>
      <w:r>
        <w:rPr>
          <w:rFonts w:hint="eastAsia" w:ascii="宋体" w:hAnsi="宋体" w:eastAsia="宋体" w:cs="宋体"/>
          <w:b/>
          <w:color w:val="auto"/>
          <w:spacing w:val="4"/>
          <w:highlight w:val="none"/>
        </w:rPr>
        <w:t>目录</w:t>
      </w:r>
    </w:p>
    <w:p>
      <w:pPr>
        <w:pStyle w:val="8"/>
        <w:spacing w:before="0"/>
        <w:ind w:left="0"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一、商务部分</w:t>
      </w:r>
    </w:p>
    <w:p>
      <w:pPr>
        <w:pStyle w:val="8"/>
        <w:spacing w:before="0"/>
        <w:ind w:left="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(1)投标函；</w:t>
      </w:r>
    </w:p>
    <w:p>
      <w:pPr>
        <w:pStyle w:val="8"/>
        <w:spacing w:before="0"/>
        <w:ind w:left="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(2)法定代表人身份证明（附法定代表人身份证复印件）； </w:t>
      </w:r>
    </w:p>
    <w:p>
      <w:pPr>
        <w:pStyle w:val="8"/>
        <w:spacing w:before="0"/>
        <w:ind w:left="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(3)委托授权书（附被授权人身份证复印件）； </w:t>
      </w:r>
    </w:p>
    <w:p>
      <w:pPr>
        <w:pStyle w:val="8"/>
        <w:spacing w:before="0"/>
        <w:ind w:left="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(4)投标保证金缴纳凭证（复印件加盖公章）； </w:t>
      </w:r>
    </w:p>
    <w:p>
      <w:pPr>
        <w:pStyle w:val="8"/>
        <w:spacing w:before="0"/>
        <w:ind w:left="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报价一览表；</w:t>
      </w:r>
    </w:p>
    <w:p>
      <w:pPr>
        <w:pStyle w:val="8"/>
        <w:spacing w:before="0"/>
        <w:ind w:left="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 xml:space="preserve">报价汇总表； </w:t>
      </w:r>
    </w:p>
    <w:p>
      <w:pPr>
        <w:pStyle w:val="8"/>
        <w:spacing w:before="0"/>
        <w:ind w:left="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(7)供应商基本情况；</w:t>
      </w:r>
    </w:p>
    <w:p>
      <w:pPr>
        <w:pStyle w:val="8"/>
        <w:spacing w:before="0"/>
        <w:ind w:left="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1）供应商基本情况表；</w:t>
      </w:r>
    </w:p>
    <w:p>
      <w:pPr>
        <w:pStyle w:val="8"/>
        <w:spacing w:before="0"/>
        <w:ind w:left="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2）营业执照副本、税务登记证、组织机构代码证、（三证合一的提供统一社会信用代码的营业执照）（复印件加盖公章）；</w:t>
      </w:r>
    </w:p>
    <w:p>
      <w:pPr>
        <w:pStyle w:val="8"/>
        <w:spacing w:before="0"/>
        <w:ind w:left="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3）近一年财务状况报告相关材料（复印件加盖公章）；</w:t>
      </w:r>
    </w:p>
    <w:p>
      <w:pPr>
        <w:pStyle w:val="8"/>
        <w:spacing w:before="0"/>
        <w:ind w:left="0"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4）税收缴纳证明（复印件加盖公章）</w:t>
      </w:r>
      <w:r>
        <w:rPr>
          <w:rFonts w:hint="eastAsia" w:ascii="宋体" w:hAnsi="宋体" w:eastAsia="宋体" w:cs="宋体"/>
          <w:color w:val="auto"/>
          <w:highlight w:val="none"/>
          <w:lang w:eastAsia="zh-CN"/>
        </w:rPr>
        <w:t>；</w:t>
      </w:r>
    </w:p>
    <w:p>
      <w:pPr>
        <w:pStyle w:val="8"/>
        <w:spacing w:before="0"/>
        <w:ind w:left="0"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）单位社会保障缴费证明（复印件加盖公章）</w:t>
      </w:r>
      <w:r>
        <w:rPr>
          <w:rFonts w:hint="eastAsia" w:ascii="宋体" w:hAnsi="宋体" w:eastAsia="宋体" w:cs="宋体"/>
          <w:color w:val="auto"/>
          <w:highlight w:val="none"/>
          <w:lang w:eastAsia="zh-CN"/>
        </w:rPr>
        <w:t>；</w:t>
      </w:r>
    </w:p>
    <w:p>
      <w:pPr>
        <w:pStyle w:val="8"/>
        <w:spacing w:before="0"/>
        <w:ind w:left="0"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）办公场所证明（复印件加盖公章）</w:t>
      </w:r>
      <w:r>
        <w:rPr>
          <w:rFonts w:hint="eastAsia" w:ascii="宋体" w:hAnsi="宋体" w:eastAsia="宋体" w:cs="宋体"/>
          <w:color w:val="auto"/>
          <w:highlight w:val="none"/>
          <w:lang w:eastAsia="zh-CN"/>
        </w:rPr>
        <w:t>；</w:t>
      </w:r>
    </w:p>
    <w:p>
      <w:pPr>
        <w:pStyle w:val="8"/>
        <w:spacing w:before="0"/>
        <w:ind w:left="0"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）其他证明材料（复印件加盖公章）</w:t>
      </w:r>
      <w:r>
        <w:rPr>
          <w:rFonts w:hint="eastAsia" w:ascii="宋体" w:hAnsi="宋体" w:eastAsia="宋体" w:cs="宋体"/>
          <w:color w:val="auto"/>
          <w:highlight w:val="none"/>
          <w:lang w:eastAsia="zh-CN"/>
        </w:rPr>
        <w:t>；</w:t>
      </w:r>
    </w:p>
    <w:p>
      <w:pPr>
        <w:pStyle w:val="8"/>
        <w:spacing w:before="0"/>
        <w:ind w:left="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(8)一般商务条款偏离表； </w:t>
      </w:r>
    </w:p>
    <w:p>
      <w:pPr>
        <w:pStyle w:val="8"/>
        <w:spacing w:before="0"/>
        <w:ind w:left="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(9)同类项目业绩介绍； </w:t>
      </w:r>
    </w:p>
    <w:p>
      <w:pPr>
        <w:pStyle w:val="8"/>
        <w:spacing w:before="0"/>
        <w:ind w:left="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(10)中小企业声明函（符合本声明函填写）；</w:t>
      </w:r>
    </w:p>
    <w:p>
      <w:pPr>
        <w:pStyle w:val="8"/>
        <w:spacing w:before="0"/>
        <w:ind w:left="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(11)残疾人福利性单位声明函（符合本声明函填写）；</w:t>
      </w:r>
    </w:p>
    <w:p>
      <w:pPr>
        <w:pStyle w:val="8"/>
        <w:spacing w:before="0"/>
        <w:ind w:leftChars="56"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(12)缴纳招标代理服务费承诺书；</w:t>
      </w:r>
    </w:p>
    <w:p>
      <w:pPr>
        <w:pStyle w:val="8"/>
        <w:spacing w:before="0"/>
        <w:ind w:left="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(13)退还保证金说明函；</w:t>
      </w:r>
    </w:p>
    <w:p>
      <w:pPr>
        <w:pStyle w:val="8"/>
        <w:spacing w:before="0"/>
        <w:ind w:left="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(14)其他商务资格证明资料（格式自定）。</w:t>
      </w:r>
    </w:p>
    <w:p>
      <w:pPr>
        <w:pStyle w:val="8"/>
        <w:spacing w:before="0"/>
        <w:ind w:left="0"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二、技术部分</w:t>
      </w:r>
    </w:p>
    <w:p>
      <w:pPr>
        <w:pStyle w:val="8"/>
        <w:spacing w:before="0"/>
        <w:ind w:left="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(15)项目实施方案；</w:t>
      </w:r>
    </w:p>
    <w:p>
      <w:pPr>
        <w:pStyle w:val="8"/>
        <w:spacing w:before="0"/>
        <w:ind w:left="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(16)供应商认为需要提交的技术资料；</w:t>
      </w:r>
    </w:p>
    <w:p>
      <w:pPr>
        <w:pStyle w:val="8"/>
        <w:spacing w:before="0"/>
        <w:ind w:left="0" w:firstLine="480" w:firstLineChars="200"/>
        <w:rPr>
          <w:rFonts w:hint="eastAsia" w:ascii="宋体" w:hAnsi="宋体" w:eastAsia="宋体" w:cs="宋体"/>
          <w:color w:val="auto"/>
          <w:highlight w:val="none"/>
        </w:rPr>
      </w:pPr>
    </w:p>
    <w:p>
      <w:pPr>
        <w:pStyle w:val="8"/>
        <w:spacing w:before="0"/>
        <w:ind w:left="0" w:firstLine="480" w:firstLineChars="200"/>
        <w:rPr>
          <w:rFonts w:hint="eastAsia" w:ascii="宋体" w:hAnsi="宋体" w:eastAsia="宋体" w:cs="宋体"/>
          <w:color w:val="auto"/>
          <w:highlight w:val="none"/>
        </w:rPr>
      </w:pPr>
    </w:p>
    <w:p>
      <w:pPr>
        <w:pStyle w:val="8"/>
        <w:spacing w:before="0"/>
        <w:ind w:left="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注：1.请投标供应商按照以下文件的要求格式、内容，顺序制作投标文件，并请编制目录及页码，否则可能将影响对投标文件的评价。</w:t>
      </w:r>
    </w:p>
    <w:p>
      <w:pPr>
        <w:pStyle w:val="8"/>
        <w:kinsoku w:val="0"/>
        <w:overflowPunct w:val="0"/>
        <w:spacing w:before="130" w:line="360" w:lineRule="exact"/>
        <w:ind w:left="119" w:right="6" w:firstLine="480"/>
        <w:rPr>
          <w:rFonts w:hint="eastAsia" w:ascii="宋体" w:hAnsi="宋体" w:eastAsia="宋体" w:cs="宋体"/>
          <w:color w:val="auto"/>
          <w:spacing w:val="4"/>
          <w:highlight w:val="none"/>
        </w:rPr>
      </w:pPr>
    </w:p>
    <w:p>
      <w:pPr>
        <w:pStyle w:val="27"/>
        <w:kinsoku w:val="0"/>
        <w:overflowPunct w:val="0"/>
        <w:spacing w:line="940" w:lineRule="exact"/>
        <w:jc w:val="center"/>
        <w:outlineLvl w:val="9"/>
        <w:rPr>
          <w:rFonts w:hint="eastAsia" w:ascii="宋体" w:hAnsi="宋体" w:eastAsia="宋体" w:cs="宋体"/>
          <w:color w:val="auto"/>
          <w:highlight w:val="none"/>
        </w:rPr>
      </w:pPr>
    </w:p>
    <w:p>
      <w:pPr>
        <w:pStyle w:val="27"/>
        <w:kinsoku w:val="0"/>
        <w:overflowPunct w:val="0"/>
        <w:spacing w:line="940" w:lineRule="exact"/>
        <w:jc w:val="center"/>
        <w:outlineLvl w:val="9"/>
        <w:rPr>
          <w:rFonts w:hint="eastAsia" w:ascii="宋体" w:hAnsi="宋体" w:eastAsia="宋体" w:cs="宋体"/>
          <w:color w:val="auto"/>
          <w:highlight w:val="none"/>
        </w:rPr>
      </w:pPr>
    </w:p>
    <w:p>
      <w:pPr>
        <w:pStyle w:val="27"/>
        <w:kinsoku w:val="0"/>
        <w:overflowPunct w:val="0"/>
        <w:spacing w:line="940" w:lineRule="exact"/>
        <w:jc w:val="center"/>
        <w:outlineLvl w:val="9"/>
        <w:rPr>
          <w:rFonts w:hint="eastAsia" w:ascii="宋体" w:hAnsi="宋体" w:eastAsia="宋体" w:cs="宋体"/>
          <w:color w:val="auto"/>
          <w:highlight w:val="none"/>
        </w:rPr>
      </w:pPr>
    </w:p>
    <w:p>
      <w:pPr>
        <w:pStyle w:val="27"/>
        <w:kinsoku w:val="0"/>
        <w:overflowPunct w:val="0"/>
        <w:spacing w:line="940" w:lineRule="exact"/>
        <w:jc w:val="center"/>
        <w:outlineLvl w:val="9"/>
        <w:rPr>
          <w:rFonts w:hint="eastAsia" w:ascii="宋体" w:hAnsi="宋体" w:eastAsia="宋体" w:cs="宋体"/>
          <w:color w:val="auto"/>
          <w:highlight w:val="none"/>
        </w:rPr>
      </w:pPr>
    </w:p>
    <w:p>
      <w:pPr>
        <w:pStyle w:val="27"/>
        <w:kinsoku w:val="0"/>
        <w:overflowPunct w:val="0"/>
        <w:spacing w:line="940" w:lineRule="exact"/>
        <w:jc w:val="center"/>
        <w:outlineLvl w:val="9"/>
        <w:rPr>
          <w:rFonts w:hint="eastAsia" w:ascii="宋体" w:hAnsi="宋体" w:eastAsia="宋体" w:cs="宋体"/>
          <w:color w:val="auto"/>
          <w:highlight w:val="none"/>
        </w:rPr>
      </w:pPr>
    </w:p>
    <w:p>
      <w:pPr>
        <w:pStyle w:val="27"/>
        <w:kinsoku w:val="0"/>
        <w:overflowPunct w:val="0"/>
        <w:spacing w:line="940" w:lineRule="exact"/>
        <w:jc w:val="center"/>
        <w:outlineLvl w:val="9"/>
        <w:rPr>
          <w:rFonts w:hint="eastAsia" w:ascii="宋体" w:hAnsi="宋体" w:eastAsia="宋体" w:cs="宋体"/>
          <w:color w:val="auto"/>
          <w:highlight w:val="none"/>
        </w:rPr>
      </w:pPr>
    </w:p>
    <w:p>
      <w:pPr>
        <w:pStyle w:val="27"/>
        <w:kinsoku w:val="0"/>
        <w:overflowPunct w:val="0"/>
        <w:spacing w:line="940" w:lineRule="exact"/>
        <w:jc w:val="center"/>
        <w:outlineLvl w:val="9"/>
        <w:rPr>
          <w:rFonts w:hint="eastAsia" w:ascii="宋体" w:hAnsi="宋体" w:eastAsia="宋体" w:cs="宋体"/>
          <w:color w:val="auto"/>
          <w:highlight w:val="none"/>
        </w:rPr>
      </w:pPr>
    </w:p>
    <w:p>
      <w:pPr>
        <w:pStyle w:val="27"/>
        <w:kinsoku w:val="0"/>
        <w:overflowPunct w:val="0"/>
        <w:spacing w:line="940" w:lineRule="exact"/>
        <w:jc w:val="center"/>
        <w:outlineLvl w:val="9"/>
        <w:rPr>
          <w:rFonts w:hint="eastAsia" w:ascii="宋体" w:hAnsi="宋体" w:eastAsia="宋体" w:cs="宋体"/>
          <w:color w:val="auto"/>
          <w:highlight w:val="none"/>
        </w:rPr>
      </w:pPr>
    </w:p>
    <w:p>
      <w:pPr>
        <w:jc w:val="center"/>
        <w:rPr>
          <w:rFonts w:hint="eastAsia" w:ascii="宋体" w:hAnsi="宋体" w:eastAsia="宋体" w:cs="宋体"/>
          <w:b/>
          <w:bCs/>
          <w:color w:val="auto"/>
          <w:sz w:val="96"/>
          <w:szCs w:val="84"/>
          <w:highlight w:val="none"/>
        </w:rPr>
      </w:pPr>
      <w:r>
        <w:rPr>
          <w:rFonts w:hint="eastAsia" w:ascii="宋体" w:hAnsi="宋体" w:eastAsia="宋体" w:cs="宋体"/>
          <w:b/>
          <w:color w:val="auto"/>
          <w:sz w:val="96"/>
          <w:szCs w:val="84"/>
          <w:highlight w:val="none"/>
        </w:rPr>
        <w:t>（一）商务部分</w:t>
      </w:r>
    </w:p>
    <w:p>
      <w:pPr>
        <w:pStyle w:val="8"/>
        <w:kinsoku w:val="0"/>
        <w:overflowPunct w:val="0"/>
        <w:spacing w:before="130" w:line="355" w:lineRule="auto"/>
        <w:ind w:right="7" w:firstLine="480" w:firstLineChars="200"/>
        <w:jc w:val="center"/>
        <w:rPr>
          <w:rFonts w:hint="eastAsia" w:ascii="宋体" w:hAnsi="宋体" w:eastAsia="宋体" w:cs="宋体"/>
          <w:b/>
          <w:bCs/>
          <w:color w:val="auto"/>
          <w:sz w:val="36"/>
          <w:szCs w:val="36"/>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36"/>
          <w:szCs w:val="36"/>
          <w:highlight w:val="none"/>
        </w:rPr>
        <w:t>一、投标函</w:t>
      </w:r>
    </w:p>
    <w:p>
      <w:pPr>
        <w:spacing w:line="480" w:lineRule="exact"/>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致：</w:t>
      </w:r>
      <w:r>
        <w:rPr>
          <w:rFonts w:hint="eastAsia" w:ascii="宋体" w:hAnsi="宋体" w:eastAsia="宋体" w:cs="宋体"/>
          <w:color w:val="auto"/>
          <w:kern w:val="0"/>
          <w:sz w:val="24"/>
          <w:szCs w:val="24"/>
          <w:highlight w:val="none"/>
          <w:u w:val="single"/>
        </w:rPr>
        <w:t xml:space="preserve">                     </w:t>
      </w:r>
    </w:p>
    <w:p>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为响应你方组织的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项目的招标[项目编号为：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]，我方愿参与投标。</w:t>
      </w:r>
    </w:p>
    <w:p>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我方确认收到贵方提供的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磋商文件的全部内容。</w:t>
      </w:r>
    </w:p>
    <w:p>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(磋商供应商名称)      </w:t>
      </w:r>
      <w:r>
        <w:rPr>
          <w:rFonts w:hint="eastAsia" w:ascii="宋体" w:hAnsi="宋体" w:eastAsia="宋体" w:cs="宋体"/>
          <w:color w:val="auto"/>
          <w:kern w:val="0"/>
          <w:sz w:val="24"/>
          <w:szCs w:val="24"/>
          <w:highlight w:val="none"/>
        </w:rPr>
        <w:t>作为投标供应商正式授权</w:t>
      </w:r>
      <w:r>
        <w:rPr>
          <w:rFonts w:hint="eastAsia" w:ascii="宋体" w:hAnsi="宋体" w:eastAsia="宋体" w:cs="宋体"/>
          <w:color w:val="auto"/>
          <w:kern w:val="0"/>
          <w:sz w:val="24"/>
          <w:szCs w:val="24"/>
          <w:highlight w:val="none"/>
          <w:u w:val="single"/>
        </w:rPr>
        <w:t xml:space="preserve">  (授权代表全名, 职务)  </w:t>
      </w:r>
      <w:r>
        <w:rPr>
          <w:rFonts w:hint="eastAsia" w:ascii="宋体" w:hAnsi="宋体" w:eastAsia="宋体" w:cs="宋体"/>
          <w:color w:val="auto"/>
          <w:kern w:val="0"/>
          <w:sz w:val="24"/>
          <w:szCs w:val="24"/>
          <w:highlight w:val="none"/>
        </w:rPr>
        <w:t>代表我方全权处理有关本报价的一切事宜。</w:t>
      </w:r>
    </w:p>
    <w:p>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在此提交的投标文件，正本壹份，副本</w:t>
      </w:r>
      <w:r>
        <w:rPr>
          <w:rFonts w:hint="eastAsia" w:ascii="宋体" w:hAnsi="宋体" w:cs="宋体"/>
          <w:color w:val="auto"/>
          <w:kern w:val="0"/>
          <w:sz w:val="24"/>
          <w:szCs w:val="24"/>
          <w:highlight w:val="none"/>
          <w:lang w:eastAsia="zh-CN"/>
        </w:rPr>
        <w:t>肆</w:t>
      </w:r>
      <w:r>
        <w:rPr>
          <w:rFonts w:hint="eastAsia" w:ascii="宋体" w:hAnsi="宋体" w:eastAsia="宋体" w:cs="宋体"/>
          <w:color w:val="auto"/>
          <w:kern w:val="0"/>
          <w:sz w:val="24"/>
          <w:szCs w:val="24"/>
          <w:highlight w:val="none"/>
        </w:rPr>
        <w:t>份。</w:t>
      </w:r>
    </w:p>
    <w:p>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我方已完全明白招标文件的所有条款要求，并申明如下：</w:t>
      </w:r>
    </w:p>
    <w:p>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（一）按招标文件提供的全部货物与相关服务</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的投标总价详见《报价一览表》。</w:t>
      </w:r>
    </w:p>
    <w:p>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（二）本投标文件的有效期为投标截止时间起</w:t>
      </w:r>
      <w:r>
        <w:rPr>
          <w:rFonts w:hint="eastAsia" w:ascii="宋体" w:hAnsi="宋体" w:cs="宋体"/>
          <w:color w:val="auto"/>
          <w:kern w:val="0"/>
          <w:sz w:val="24"/>
          <w:szCs w:val="24"/>
          <w:highlight w:val="none"/>
          <w:u w:val="single"/>
          <w:lang w:val="en-US" w:eastAsia="zh-CN"/>
        </w:rPr>
        <w:t>9</w:t>
      </w:r>
      <w:r>
        <w:rPr>
          <w:rFonts w:hint="eastAsia" w:ascii="宋体" w:hAnsi="宋体" w:eastAsia="宋体" w:cs="宋体"/>
          <w:color w:val="auto"/>
          <w:kern w:val="0"/>
          <w:sz w:val="24"/>
          <w:szCs w:val="24"/>
          <w:highlight w:val="none"/>
          <w:u w:val="single"/>
        </w:rPr>
        <w:t>0天</w:t>
      </w:r>
      <w:r>
        <w:rPr>
          <w:rFonts w:hint="eastAsia" w:ascii="宋体" w:hAnsi="宋体" w:eastAsia="宋体" w:cs="宋体"/>
          <w:color w:val="auto"/>
          <w:kern w:val="0"/>
          <w:sz w:val="24"/>
          <w:szCs w:val="24"/>
          <w:highlight w:val="none"/>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（三）我方明白并同意，在规定的开标日之后，投标有效期之内撤回投标或中标后不按规定与采购人签订合同或不提交履约保证金, 则贵方将不予退还投标保证金。</w:t>
      </w:r>
    </w:p>
    <w:p>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（四）我方同意按照贵方可能提出的要求而提供与投标有关的任何其它数据、信息或资料。</w:t>
      </w:r>
    </w:p>
    <w:p>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（五）我方理解贵方不一定接受最低投标价或任何贵方可能收到的投标。</w:t>
      </w:r>
    </w:p>
    <w:p>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（六）我方如果中标，将保证履行招标文件及其澄清、修改文件（如果有）中的全部责任和义务，按质、按量、按期完成《磋商内容》及《合同书》中的全部任务。</w:t>
      </w:r>
    </w:p>
    <w:p>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（七）如我方被授予合同，我方承诺支付就本次招标应支付或将支付的中标服务费（详见按招标文件要求格式填写的《中标服务费支付承诺书》）。</w:t>
      </w:r>
    </w:p>
    <w:p>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（八）我方作为</w:t>
      </w:r>
      <w:r>
        <w:rPr>
          <w:rFonts w:hint="eastAsia" w:ascii="宋体" w:hAnsi="宋体" w:eastAsia="宋体" w:cs="宋体"/>
          <w:color w:val="auto"/>
          <w:kern w:val="0"/>
          <w:sz w:val="24"/>
          <w:szCs w:val="24"/>
          <w:highlight w:val="none"/>
          <w:u w:val="single"/>
        </w:rPr>
        <w:t xml:space="preserve">   （制造商/代理商）   </w:t>
      </w:r>
      <w:r>
        <w:rPr>
          <w:rFonts w:hint="eastAsia" w:ascii="宋体" w:hAnsi="宋体" w:eastAsia="宋体" w:cs="宋体"/>
          <w:color w:val="auto"/>
          <w:kern w:val="0"/>
          <w:sz w:val="24"/>
          <w:szCs w:val="24"/>
          <w:highlight w:val="none"/>
        </w:rPr>
        <w:t>是在法律、财务和运作上独立于采购人、招标代理机构的投标供应商，在此保证所提交的所有文件和全部说明是真实的和正确的。</w:t>
      </w:r>
    </w:p>
    <w:p>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（九）我方投标报价已包含应向知识产权所有权人支付的所有相关税费，并保证采购人在中国使用我方提供的货物时，如有第三方提出侵犯其知识产权主张的，责任由我方承担。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（十）我方与其他投标供应商不存在单位负责人为同一人或者存在直接控股、管理关系。</w:t>
      </w:r>
    </w:p>
    <w:p>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（十一）我方承诺未为本项目提供整体设计、规范编制或者项目管理、监理、检测等服务。</w:t>
      </w:r>
    </w:p>
    <w:p>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（十二）我方具备《政府采购法》第二十二条规定的条件，承诺如下：</w:t>
      </w:r>
    </w:p>
    <w:p>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（1）我方已依法缴纳了各项税费及社会保险费用，如有需要，可随时向采购人提供近三个月内的相关缴费证明，以便核查。</w:t>
      </w:r>
    </w:p>
    <w:p>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（2）我方已依法建立健全的财务会计制度，如有需要，可随时向采购人提供相关的证明材料，以便核查。</w:t>
      </w:r>
    </w:p>
    <w:p>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（3）我方参加本项目政府采购活动前3年内在经营活动中没有重大违法记录。</w:t>
      </w:r>
    </w:p>
    <w:p>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（4）我方具备履行合同所必需的设备和专业技术能力。</w:t>
      </w:r>
    </w:p>
    <w:p>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（5）我方符合法律、行政法规规定的其他条件。</w:t>
      </w:r>
    </w:p>
    <w:p>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以上内容如有虚假或与事实不符的，评审委员会可将我方做无效投标处理，我方愿意承担相应的法律责任。</w:t>
      </w:r>
    </w:p>
    <w:p>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（十三）我方对在本函及投标文件中所作的所有承诺承担法律责任。</w:t>
      </w:r>
    </w:p>
    <w:p>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（十四）所有与本招标有关的函件请发往下列地址：</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.邮政编码：</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    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代表姓名：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.职    务：</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rPr>
          <w:rFonts w:hint="eastAsia" w:ascii="宋体" w:hAnsi="宋体" w:eastAsia="宋体" w:cs="宋体"/>
          <w:color w:val="auto"/>
          <w:szCs w:val="21"/>
          <w:highlight w:val="none"/>
          <w:u w:val="single"/>
        </w:rPr>
      </w:pPr>
    </w:p>
    <w:p>
      <w:pPr>
        <w:spacing w:line="420" w:lineRule="exact"/>
        <w:ind w:firstLine="480" w:firstLineChars="200"/>
        <w:rPr>
          <w:rFonts w:hint="eastAsia" w:ascii="宋体" w:hAnsi="宋体" w:eastAsia="宋体" w:cs="宋体"/>
          <w:color w:val="auto"/>
          <w:kern w:val="0"/>
          <w:sz w:val="24"/>
          <w:szCs w:val="24"/>
          <w:highlight w:val="none"/>
        </w:rPr>
      </w:pPr>
    </w:p>
    <w:p>
      <w:pPr>
        <w:spacing w:line="420" w:lineRule="exact"/>
        <w:ind w:right="480" w:firstLine="480" w:firstLineChars="20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法定代表人或委托人：</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（签字）    </w:t>
      </w:r>
    </w:p>
    <w:p>
      <w:pPr>
        <w:spacing w:line="420" w:lineRule="exact"/>
        <w:ind w:right="48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pPr>
        <w:pStyle w:val="8"/>
        <w:kinsoku w:val="0"/>
        <w:overflowPunct w:val="0"/>
        <w:spacing w:before="34" w:line="357" w:lineRule="auto"/>
        <w:ind w:right="126" w:firstLine="480" w:firstLineChars="200"/>
        <w:jc w:val="center"/>
        <w:rPr>
          <w:rFonts w:hint="eastAsia" w:ascii="宋体" w:hAnsi="宋体" w:eastAsia="宋体" w:cs="宋体"/>
          <w:color w:val="auto"/>
          <w:sz w:val="36"/>
          <w:szCs w:val="36"/>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36"/>
          <w:szCs w:val="36"/>
          <w:highlight w:val="none"/>
        </w:rPr>
        <w:t>二、法定代表人身份证明</w:t>
      </w:r>
    </w:p>
    <w:p>
      <w:pPr>
        <w:spacing w:line="420" w:lineRule="exact"/>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投标单位名称：</w:t>
      </w:r>
      <w:r>
        <w:rPr>
          <w:rFonts w:hint="eastAsia" w:ascii="宋体" w:hAnsi="宋体" w:eastAsia="宋体" w:cs="宋体"/>
          <w:color w:val="auto"/>
          <w:kern w:val="0"/>
          <w:sz w:val="24"/>
          <w:szCs w:val="24"/>
          <w:highlight w:val="none"/>
          <w:u w:val="single"/>
        </w:rPr>
        <w:t xml:space="preserve">                       </w:t>
      </w:r>
    </w:p>
    <w:p>
      <w:pPr>
        <w:spacing w:line="420" w:lineRule="exact"/>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单位性质：</w:t>
      </w:r>
      <w:r>
        <w:rPr>
          <w:rFonts w:hint="eastAsia" w:ascii="宋体" w:hAnsi="宋体" w:eastAsia="宋体" w:cs="宋体"/>
          <w:color w:val="auto"/>
          <w:kern w:val="0"/>
          <w:sz w:val="24"/>
          <w:szCs w:val="24"/>
          <w:highlight w:val="none"/>
          <w:u w:val="single"/>
        </w:rPr>
        <w:t xml:space="preserve">                           </w:t>
      </w:r>
    </w:p>
    <w:p>
      <w:pPr>
        <w:spacing w:line="420" w:lineRule="exact"/>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u w:val="single"/>
        </w:rPr>
        <w:t xml:space="preserve">                               </w:t>
      </w:r>
    </w:p>
    <w:p>
      <w:pPr>
        <w:spacing w:line="4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pPr>
        <w:spacing w:line="420" w:lineRule="exact"/>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经营期限：</w:t>
      </w:r>
      <w:r>
        <w:rPr>
          <w:rFonts w:hint="eastAsia" w:ascii="宋体" w:hAnsi="宋体" w:eastAsia="宋体" w:cs="宋体"/>
          <w:color w:val="auto"/>
          <w:kern w:val="0"/>
          <w:sz w:val="24"/>
          <w:szCs w:val="24"/>
          <w:highlight w:val="none"/>
          <w:u w:val="single"/>
        </w:rPr>
        <w:t xml:space="preserve">             </w:t>
      </w:r>
    </w:p>
    <w:p>
      <w:pPr>
        <w:spacing w:line="420" w:lineRule="exact"/>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性别：</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年龄：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职务：</w:t>
      </w:r>
      <w:r>
        <w:rPr>
          <w:rFonts w:hint="eastAsia" w:ascii="宋体" w:hAnsi="宋体" w:eastAsia="宋体" w:cs="宋体"/>
          <w:color w:val="auto"/>
          <w:kern w:val="0"/>
          <w:sz w:val="24"/>
          <w:szCs w:val="24"/>
          <w:highlight w:val="none"/>
          <w:u w:val="single"/>
        </w:rPr>
        <w:t xml:space="preserve">           </w:t>
      </w:r>
    </w:p>
    <w:p>
      <w:pPr>
        <w:spacing w:line="420" w:lineRule="exact"/>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u w:val="single"/>
        </w:rPr>
        <w:t xml:space="preserve">                                  </w:t>
      </w:r>
    </w:p>
    <w:p>
      <w:pPr>
        <w:spacing w:line="4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（投标单位名称）的法定代表人。</w:t>
      </w:r>
    </w:p>
    <w:p>
      <w:pPr>
        <w:spacing w:line="4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pPr>
        <w:pStyle w:val="8"/>
        <w:kinsoku w:val="0"/>
        <w:overflowPunct w:val="0"/>
        <w:spacing w:before="0"/>
        <w:ind w:left="0"/>
        <w:rPr>
          <w:rFonts w:hint="eastAsia" w:ascii="宋体" w:hAnsi="宋体" w:eastAsia="宋体" w:cs="宋体"/>
          <w:color w:val="auto"/>
          <w:sz w:val="20"/>
          <w:szCs w:val="20"/>
          <w:highlight w:val="none"/>
        </w:rPr>
      </w:pPr>
    </w:p>
    <w:p>
      <w:pPr>
        <w:pStyle w:val="8"/>
        <w:kinsoku w:val="0"/>
        <w:overflowPunct w:val="0"/>
        <w:spacing w:before="7"/>
        <w:ind w:left="0"/>
        <w:rPr>
          <w:rFonts w:hint="eastAsia" w:ascii="宋体" w:hAnsi="宋体" w:eastAsia="宋体" w:cs="宋体"/>
          <w:color w:val="auto"/>
          <w:sz w:val="25"/>
          <w:szCs w:val="25"/>
          <w:highlight w:val="none"/>
        </w:rPr>
      </w:pPr>
    </w:p>
    <w:p>
      <w:pPr>
        <w:pStyle w:val="8"/>
        <w:kinsoku w:val="0"/>
        <w:overflowPunct w:val="0"/>
        <w:spacing w:before="0" w:line="200" w:lineRule="atLeast"/>
        <w:ind w:left="608"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mc:AlternateContent>
          <mc:Choice Requires="wpg">
            <w:drawing>
              <wp:inline distT="0" distB="0" distL="114300" distR="114300">
                <wp:extent cx="5136515" cy="1458595"/>
                <wp:effectExtent l="0" t="0" r="8255" b="9525"/>
                <wp:docPr id="120" name="组合 120"/>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08" name="任意多边形 108"/>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09" name="任意多边形 109"/>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10" name="任意多边形 110"/>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11" name="任意多边形 111"/>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12" name="任意多边形 112"/>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13" name="任意多边形 113"/>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14" name="任意多边形 114"/>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5" name="任意多边形 115"/>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6" name="任意多边形 116"/>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7" name="任意多边形 117"/>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8" name="文本框 118"/>
                        <wps:cNvSpPr txBox="1"/>
                        <wps:spPr>
                          <a:xfrm>
                            <a:off x="19"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法定代表人身份证复印件（正面）</w:t>
                              </w:r>
                            </w:p>
                          </w:txbxContent>
                        </wps:txbx>
                        <wps:bodyPr lIns="0" tIns="0" rIns="0" bIns="0" upright="1"/>
                      </wps:wsp>
                      <wps:wsp>
                        <wps:cNvPr id="119" name="文本框 119"/>
                        <wps:cNvSpPr txBox="1"/>
                        <wps:spPr>
                          <a:xfrm>
                            <a:off x="4044"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">
                <o:lock v:ext="edit" rotation="t" aspectratio="f"/>
                <v:shape id="_x0000_s1026" o:spid="_x0000_s1026" o:spt="100" style="position:absolute;left:4;top:9;height:20;width:8079;" filled="f" stroked="t" coordsize="8079,20" o:gfxdata="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8omSb4A&#10;AADcAAAADwAAAAAAAAABACAAAAAiAAAAZHJzL2Rvd25yZXYueG1sUEsBAhQAFAAAAAgAh07iQDMv&#10;BZ47AAAAOQAAABAAAAAAAAAAAQAgAAAADQEAAGRycy9zaGFwZXhtbC54bWxQSwUGAAAAAAYABgBb&#10;AQAAtwM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RzdCdrsAAADc&#10;AAAADwAAAGRycy9kb3ducmV2LnhtbEVPzWrCQBC+C77DMkJvuhuhpaZucqgUxNJDow8wZMckJDsb&#10;drca+/TdguBtPr7f2ZaTHcSFfOgca8hWCgRx7UzHjYbT8WP5CiJEZIODY9JwowBlMZ9tMTfuyt90&#10;qWIjUgiHHDW0MY65lKFuyWJYuZE4cWfnLcYEfSONx2sKt4NcK/UiLXacGloc6b2luq9+rIad98cv&#10;OZ6r38PnzmWN6p83U6/10yJTbyAiTfEhvrv3Js1XG/h/Jl0g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zdCdrsAAADc&#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U9R9Nr4AAADc&#10;AAAADwAAAGRycy9kb3ducmV2LnhtbEWPQWvDMAyF74X9B6PCbq2dwcqa1u2hZTA2eljaHyBiNQmJ&#10;5WB7bbZfPx0Gu0m8p/c+bfeTH9SNYuoCWyiWBhRxHVzHjYXL+XXxAiplZIdDYLLwTQn2u4fZFksX&#10;7vxJtyo3SkI4lWihzXkstU51Sx7TMozEol1D9JhljY12Ee8S7gf9ZMxKe+xYGloc6dBS3Vdf3sIx&#10;xvNJj9fq5/3jGIrG9M/rqbf2cV6YDahMU/43/12/OcEvBF+ekQn07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9R9Nr4A&#10;AADcAAAADwAAAAAAAAABACAAAAAiAAAAZHJzL2Rvd25yZXYueG1sUEsBAhQAFAAAAAgAh07iQDMv&#10;BZ47AAAAOQAAABAAAAAAAAAAAQAgAAAADQEAAGRycy9zaGFwZXhtbC54bWxQSwUGAAAAAAYABgBb&#10;AQAAtwM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bykZCbsAAADc&#10;AAAADwAAAGRycy9kb3ducmV2LnhtbEVPTWsCMRC9F/wPYYTearILimyNHqStpZ7UHnocNrObxc1k&#10;SaJu/31TELzN433OajO6XlwpxM6zhmKmQBDX3nTcavg+vb8sQcSEbLD3TBp+KcJmPXlaYWX8jQ90&#10;PaZW5BCOFWqwKQ2VlLG25DDO/ECcucYHhynD0EoT8JbDXS9LpRbSYce5weJAW0v1+XhxGvZNU56D&#10;Kr/mH7s3xHHetT92q/XztFCvIBKN6SG+uz9Nnl8U8P9Mvk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ykZCbsAAADc&#10;AAAADwAAAAAAAAABACAAAAAiAAAAZHJzL2Rvd25yZXYueG1sUEsBAhQAFAAAAAgAh07iQDMvBZ47&#10;AAAAOQAAABAAAAAAAAAAAQAgAAAACgEAAGRycy9zaGFwZXhtbC54bWxQSwUGAAAAAAYABgBbAQAA&#10;tAM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GPtzx7sAAADc&#10;AAAADwAAAGRycy9kb3ducmV2LnhtbEVPTWsCMRC9F/wPYYReiiYrtKyr0YNYEDx1q/dhM24WN5M1&#10;SdX665tCobd5vM9Zru+uF1cKsfOsoZgqEMSNNx23Gg6f75MSREzIBnvPpOGbIqxXo6clVsbf+IOu&#10;dWpFDuFYoQab0lBJGRtLDuPUD8SZO/ngMGUYWmkC3nK46+VMqTfpsOPcYHGgjaXmXH85DY/Ty+51&#10;a3FbN+VR7cv55oKh1vp5XKgFiET39C/+c+9Mnl/M4PeZfIFc/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tzx7sAAADc&#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45lnMr4AAADc&#10;AAAADwAAAGRycy9kb3ducmV2LnhtbEVPS2vCQBC+C/6HZYRepG5SS6mpaygtQg4Fnwd7G7JjEpud&#10;Ddk1if++KxR6m4/vOct0MLXoqHWVZQXxLAJBnFtdcaHgeFg/voJwHlljbZkU3MhBuhqPlpho2/OO&#10;ur0vRAhhl6CC0vsmkdLlJRl0M9sQB+5sW4M+wLaQusU+hJtaPkXRizRYcWgosaGPkvKf/dUo6LNP&#10;WR39Jp8Wu6/D8+L03ly+t0o9TOLoDYSnwf+L/9yZDvPjOdyfCRf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5lnMr4A&#10;AADc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bJBF3LgAAADc&#10;AAAADwAAAGRycy9kb3ducmV2LnhtbEVPS4vCMBC+L/gfwgje1rS+kGoUKQieFnzdh2Zsis2kTeJj&#10;//1mYWFv8/E9Z71921Y8yYfGsYJ8nIEgrpxuuFZwOe8/lyBCRNbYOiYF3xRguxl8rLHQ7sVHep5i&#10;LVIIhwIVmBi7QspQGbIYxq4jTtzNeYsxQV9L7fGVwm0rJ1m2kBYbTg0GOyoNVffTwyrwVSh1P+3N&#10;tey/rrzDzi2mc6VGwzxbgYj0jv/iP/dBp/n5DH6fSRfIzQ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JBF3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A9zgR7kAAADc&#10;AAAADwAAAGRycy9kb3ducmV2LnhtbEVPyWrDMBC9F/IPYgK91bIbHIJjJRRDoKdA3eY+WBPL1BrZ&#10;krL9fVUo9DaPt069v9tRXMmHwbGCIstBEHdOD9wr+Po8vGxAhIiscXRMCh4UYL9bPNVYaXfjD7q2&#10;sRcphEOFCkyMUyVl6AxZDJmbiBN3dt5iTND3Unu8pXA7ytc8X0uLA6cGgxM1hrrv9mIV+C40el7N&#10;5tTMxxO/4eTWq1Kp52WRb0FEusd/8Z/7Xaf5RQm/z6QL5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c4Ee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w5+MLgAAADc&#10;AAAADwAAAGRycy9kb3ducmV2LnhtbEVPTYvCMBC9C/sfwgh707SKRapRpCDsaUF3vQ/N2BSbSZtk&#10;1f33RhC8zeN9znp7t524kg+tYwX5NANBXDvdcqPg92c/WYIIEVlj55gU/FOA7eZjtMZSuxsf6HqM&#10;jUghHEpUYGLsSylDbchimLqeOHFn5y3GBH0jtcdbCrednGVZIS22nBoM9lQZqi/HP6vA16HSw3ww&#10;p2r4PvEOe1fMF0p9jvNsBSLSPb7FL/eXTvPzAp7PpAvk5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w5+M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6YiwK70AAADc&#10;AAAADwAAAGRycy9kb3ducmV2LnhtbEVPTWvCQBC9F/oflin0ppvYYtPUVaho9SLStNDrmB2zwexs&#10;yK5R/70rCL3N433OZHa2jeip87VjBekwAUFcOl1zpeD3ZznIQPiArLFxTAou5GE2fXyYYK7dib+p&#10;L0IlYgj7HBWYENpcSl8asuiHriWO3N51FkOEXSV1h6cYbhs5SpKxtFhzbDDY0txQeSiOVsHB9+Zz&#10;9/q12r7w+yYrdov2b79Q6vkpTT5ABDqHf/HdvdZxfvoGt2fiBXJ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iLArvQAA&#10;ANw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3C/Mub8AAADc&#10;AAAADwAAAGRycy9kb3ducmV2LnhtbEWPT2vDMAzF74N9B6PBbqudHkqb1S1jrDAYlKXZYUctVhPT&#10;WM5ir3++/XQo9Cbxnt77abk+h14daUw+soViYkARN9F5bi181ZunOaiUkR32kcnChRKsV/d3Syxd&#10;PHFFx11ulYRwKtFCl/NQap2ajgKmSRyIRdvHMWCWdWy1G/Ek4aHXU2NmOqBnaehwoNeOmsPuL1h4&#10;+ebqzf9ufz6rfeXremH4Y3aw9vGhMM+gMp3zzXy9fneCXwit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vzL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s2NpIrwAAADc&#10;AAAADwAAAGRycy9kb3ducmV2LnhtbEVPTWvCQBC9C/6HZYTedDc9SE3diEgLhUIxpocep9lJspid&#10;TbNbtf/eLQje5vE+Z725uF6caAzWs4ZsoUAQ195YbjV8Vq/zJxAhIhvsPZOGPwqwKaaTNebGn7mk&#10;0yG2IoVwyFFDF+OQSxnqjhyGhR+IE9f40WFMcGylGfGcwl0vH5VaSoeWU0OHA+06qo+HX6dh+8Xl&#10;i/35+N6XTWmraqX4fXnU+mGWqWcQkS7xLr6530yan63g/5l0gSy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jaS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法定代表人身份证复印件（反面）</w:t>
                        </w:r>
                      </w:p>
                    </w:txbxContent>
                  </v:textbox>
                </v:shape>
                <w10:wrap type="none"/>
                <w10:anchorlock/>
              </v:group>
            </w:pict>
          </mc:Fallback>
        </mc:AlternateContent>
      </w:r>
    </w:p>
    <w:p>
      <w:pPr>
        <w:pStyle w:val="8"/>
        <w:kinsoku w:val="0"/>
        <w:overflowPunct w:val="0"/>
        <w:spacing w:before="0"/>
        <w:ind w:left="0"/>
        <w:rPr>
          <w:rFonts w:hint="eastAsia" w:ascii="宋体" w:hAnsi="宋体" w:eastAsia="宋体" w:cs="宋体"/>
          <w:color w:val="auto"/>
          <w:sz w:val="20"/>
          <w:szCs w:val="20"/>
          <w:highlight w:val="none"/>
        </w:rPr>
      </w:pPr>
    </w:p>
    <w:p>
      <w:pPr>
        <w:wordWrap w:val="0"/>
        <w:spacing w:line="420" w:lineRule="exact"/>
        <w:ind w:firstLine="480" w:firstLineChars="200"/>
        <w:jc w:val="right"/>
        <w:rPr>
          <w:rFonts w:hint="eastAsia" w:ascii="宋体" w:hAnsi="宋体" w:eastAsia="宋体" w:cs="宋体"/>
          <w:color w:val="auto"/>
          <w:kern w:val="0"/>
          <w:sz w:val="24"/>
          <w:szCs w:val="24"/>
          <w:highlight w:val="none"/>
        </w:rPr>
      </w:pPr>
    </w:p>
    <w:p>
      <w:pPr>
        <w:spacing w:line="420" w:lineRule="exact"/>
        <w:ind w:firstLine="480" w:firstLineChars="200"/>
        <w:jc w:val="right"/>
        <w:rPr>
          <w:rFonts w:hint="eastAsia" w:ascii="宋体" w:hAnsi="宋体" w:eastAsia="宋体" w:cs="宋体"/>
          <w:color w:val="auto"/>
          <w:kern w:val="0"/>
          <w:sz w:val="24"/>
          <w:szCs w:val="24"/>
          <w:highlight w:val="none"/>
        </w:rPr>
      </w:pPr>
    </w:p>
    <w:p>
      <w:pPr>
        <w:spacing w:line="420" w:lineRule="exact"/>
        <w:ind w:firstLine="480" w:firstLineChars="20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（公章）</w:t>
      </w:r>
    </w:p>
    <w:p>
      <w:pPr>
        <w:wordWrap w:val="0"/>
        <w:spacing w:line="420" w:lineRule="exact"/>
        <w:ind w:right="480" w:firstLine="480" w:firstLineChars="20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日 </w:t>
      </w:r>
    </w:p>
    <w:p>
      <w:pPr>
        <w:pStyle w:val="8"/>
        <w:kinsoku w:val="0"/>
        <w:overflowPunct w:val="0"/>
        <w:spacing w:before="34" w:line="357" w:lineRule="auto"/>
        <w:ind w:right="126" w:firstLine="480" w:firstLineChars="200"/>
        <w:jc w:val="center"/>
        <w:rPr>
          <w:rFonts w:hint="eastAsia" w:ascii="宋体" w:hAnsi="宋体" w:eastAsia="宋体" w:cs="宋体"/>
          <w:b/>
          <w:bCs/>
          <w:color w:val="auto"/>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36"/>
          <w:szCs w:val="36"/>
          <w:highlight w:val="none"/>
        </w:rPr>
        <w:t>三、授权委托书</w:t>
      </w:r>
    </w:p>
    <w:p>
      <w:pPr>
        <w:pStyle w:val="8"/>
        <w:kinsoku w:val="0"/>
        <w:overflowPunct w:val="0"/>
        <w:spacing w:before="2"/>
        <w:ind w:left="0"/>
        <w:rPr>
          <w:rFonts w:hint="eastAsia" w:ascii="宋体" w:hAnsi="宋体" w:eastAsia="宋体" w:cs="宋体"/>
          <w:b/>
          <w:bCs/>
          <w:color w:val="auto"/>
          <w:sz w:val="21"/>
          <w:szCs w:val="21"/>
          <w:highlight w:val="none"/>
        </w:rPr>
      </w:pPr>
    </w:p>
    <w:p>
      <w:pPr>
        <w:spacing w:line="4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致：采购人名称 </w:t>
      </w:r>
    </w:p>
    <w:p>
      <w:pPr>
        <w:spacing w:line="4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本授权书声明：注册于</w:t>
      </w:r>
      <w:r>
        <w:rPr>
          <w:rFonts w:hint="eastAsia" w:ascii="宋体" w:hAnsi="宋体" w:eastAsia="宋体" w:cs="宋体"/>
          <w:color w:val="auto"/>
          <w:kern w:val="0"/>
          <w:sz w:val="24"/>
          <w:szCs w:val="24"/>
          <w:highlight w:val="none"/>
          <w:u w:val="single"/>
        </w:rPr>
        <w:t>（投标人地址）</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（投标人名称）</w:t>
      </w:r>
      <w:r>
        <w:rPr>
          <w:rFonts w:hint="eastAsia" w:ascii="宋体" w:hAnsi="宋体" w:eastAsia="宋体" w:cs="宋体"/>
          <w:color w:val="auto"/>
          <w:kern w:val="0"/>
          <w:sz w:val="24"/>
          <w:szCs w:val="24"/>
          <w:highlight w:val="none"/>
        </w:rPr>
        <w:t>法定代表人（负责人）</w:t>
      </w:r>
      <w:r>
        <w:rPr>
          <w:rFonts w:hint="eastAsia" w:ascii="宋体" w:hAnsi="宋体" w:eastAsia="宋体" w:cs="宋体"/>
          <w:color w:val="auto"/>
          <w:kern w:val="0"/>
          <w:sz w:val="24"/>
          <w:szCs w:val="24"/>
          <w:highlight w:val="none"/>
          <w:u w:val="single"/>
        </w:rPr>
        <w:t>姓名、职务或职称）</w:t>
      </w:r>
      <w:r>
        <w:rPr>
          <w:rFonts w:hint="eastAsia" w:ascii="宋体" w:hAnsi="宋体" w:eastAsia="宋体" w:cs="宋体"/>
          <w:color w:val="auto"/>
          <w:kern w:val="0"/>
          <w:sz w:val="24"/>
          <w:szCs w:val="24"/>
          <w:highlight w:val="none"/>
        </w:rPr>
        <w:t>代表本公司授权</w:t>
      </w:r>
      <w:r>
        <w:rPr>
          <w:rFonts w:hint="eastAsia" w:ascii="宋体" w:hAnsi="宋体" w:eastAsia="宋体" w:cs="宋体"/>
          <w:color w:val="auto"/>
          <w:kern w:val="0"/>
          <w:sz w:val="24"/>
          <w:szCs w:val="24"/>
          <w:highlight w:val="none"/>
          <w:u w:val="single"/>
        </w:rPr>
        <w:t>（姓名）</w:t>
      </w:r>
      <w:r>
        <w:rPr>
          <w:rFonts w:hint="eastAsia" w:ascii="宋体" w:hAnsi="宋体" w:eastAsia="宋体" w:cs="宋体"/>
          <w:color w:val="auto"/>
          <w:kern w:val="0"/>
          <w:sz w:val="24"/>
          <w:szCs w:val="24"/>
          <w:highlight w:val="none"/>
        </w:rPr>
        <w:t>为本单位的合法代理人，参与贵方组织的</w:t>
      </w:r>
      <w:r>
        <w:rPr>
          <w:rFonts w:hint="eastAsia" w:ascii="宋体" w:hAnsi="宋体" w:eastAsia="宋体" w:cs="宋体"/>
          <w:color w:val="auto"/>
          <w:kern w:val="0"/>
          <w:sz w:val="24"/>
          <w:szCs w:val="24"/>
          <w:highlight w:val="none"/>
          <w:u w:val="single"/>
        </w:rPr>
        <w:t>（项目名称及项目编号）</w:t>
      </w:r>
      <w:r>
        <w:rPr>
          <w:rFonts w:hint="eastAsia" w:ascii="宋体" w:hAnsi="宋体" w:eastAsia="宋体" w:cs="宋体"/>
          <w:color w:val="auto"/>
          <w:kern w:val="0"/>
          <w:sz w:val="24"/>
          <w:szCs w:val="24"/>
          <w:highlight w:val="none"/>
        </w:rPr>
        <w:t xml:space="preserve"> 的投标、谈判、签约等具体工作，并签署全部有关文件、协议及合同。</w:t>
      </w:r>
    </w:p>
    <w:p>
      <w:pPr>
        <w:spacing w:line="4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我单位对被授权人的上述经济活动负全部责任。在撤销授权的书面通知前，本授权书一直有效。被授权人在授权书有效期内签署的所有文件不因授权的撤消而失效。</w:t>
      </w:r>
    </w:p>
    <w:p>
      <w:pPr>
        <w:pStyle w:val="8"/>
        <w:kinsoku w:val="0"/>
        <w:overflowPunct w:val="0"/>
        <w:spacing w:before="12"/>
        <w:ind w:left="0"/>
        <w:rPr>
          <w:rFonts w:hint="eastAsia" w:ascii="宋体" w:hAnsi="宋体" w:eastAsia="宋体" w:cs="宋体"/>
          <w:color w:val="auto"/>
          <w:sz w:val="4"/>
          <w:szCs w:val="4"/>
          <w:highlight w:val="none"/>
        </w:rPr>
      </w:pPr>
    </w:p>
    <w:p>
      <w:pPr>
        <w:pStyle w:val="8"/>
        <w:kinsoku w:val="0"/>
        <w:overflowPunct w:val="0"/>
        <w:spacing w:before="0" w:line="200" w:lineRule="atLeast"/>
        <w:ind w:left="628"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mc:AlternateContent>
          <mc:Choice Requires="wpg">
            <w:drawing>
              <wp:inline distT="0" distB="0" distL="114300" distR="114300">
                <wp:extent cx="5136515" cy="1458595"/>
                <wp:effectExtent l="0" t="0" r="8255" b="9525"/>
                <wp:docPr id="107" name="组合 107"/>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95" name="任意多边形 95"/>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96" name="任意多边形 96"/>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97" name="任意多边形 97"/>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98" name="任意多边形 98"/>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99" name="任意多边形 99"/>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00" name="任意多边形 100"/>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01" name="任意多边形 101"/>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2" name="任意多边形 102"/>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3" name="任意多边形 103"/>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4" name="任意多边形 104"/>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05" name="文本框 105"/>
                        <wps:cNvSpPr txBox="1"/>
                        <wps:spPr>
                          <a:xfrm>
                            <a:off x="19"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授权人身份证复印件（正面）</w:t>
                              </w:r>
                            </w:p>
                          </w:txbxContent>
                        </wps:txbx>
                        <wps:bodyPr lIns="0" tIns="0" rIns="0" bIns="0" upright="1"/>
                      </wps:wsp>
                      <wps:wsp>
                        <wps:cNvPr id="106" name="文本框 106"/>
                        <wps:cNvSpPr txBox="1"/>
                        <wps:spPr>
                          <a:xfrm>
                            <a:off x="4044"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">
                <o:lock v:ext="edit" rotation="t" aspectratio="f"/>
                <v:shape id="_x0000_s1026" o:spid="_x0000_s1026" o:spt="100" style="position:absolute;left:4;top:9;height:20;width:8079;" filled="f" stroked="t" coordsize="8079,20" o:gfxdata="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AYIE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Hu1pY7wAAADb&#10;AAAADwAAAGRycy9kb3ducmV2LnhtbEWPQYvCMBSE7wv+h/CEva1JFxStRg/Kgih7sPoDHs2zLW1e&#10;ShK17q83Cwt7HGbmG2a1GWwn7uRD41hDNlEgiEtnGq40XM5fH3MQISIb7ByThicF2KxHbyvMjXvw&#10;ie5FrESCcMhRQx1jn0sZyposhonriZN3dd5iTNJX0nh8JLjt5KdSM2mx4bRQY0/bmsq2uFkNO+/P&#10;37K/Fj+H485llWqni6HV+n2cqSWISEP8D/+190bDYga/X9IP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7taWO8AAAA&#10;2w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caHM+L0AAADb&#10;AAAADwAAAGRycy9kb3ducmV2LnhtbEWPQWsCMRSE7wX/Q3iCt5qsYKur0YMiSEsPXf0Bj81zd9nN&#10;y5JEXf31TaHQ4zAz3zDr7WA7cSMfGscasqkCQVw603Cl4Xw6vC5AhIhssHNMGh4UYLsZvawxN+7O&#10;33QrYiUShEOOGuoY+1zKUNZkMUxdT5y8i/MWY5K+ksbjPcFtJ2dKvUmLDaeFGnva1VS2xdVq2Ht/&#10;+pL9pXh+fO5dVql2vhxarSfjTK1ARBrif/ivfTQalu/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ocz4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ZgAtmrkAAADb&#10;AAAADwAAAGRycy9kb3ducmV2LnhtbEVPPW/CMBDdK/EfrENiKzaRqErAMCAoqJ0KDIyn+BJHxOfI&#10;diH8+3qo1PHpfa82g+vEnUJsPWuYTRUI4sqblhsNl/P+9R1ETMgGO8+k4UkRNuvRywpL4x/8TfdT&#10;akQO4ViiBptSX0oZK0sO49T3xJmrfXCYMgyNNAEfOdx1slDqTTpsOTdY7GlrqbqdfpyGr7oubkEV&#10;n/OPww5xmLfN1W61noxnagki0ZD+xX/uo9GwyGP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ALZq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f8Jck70AAADb&#10;AAAADwAAAGRycy9kb3ducmV2LnhtbEWPT2sCMRTE7wW/Q3iCl1ITBcvu1uhBFISeurX3x+a5Wbp5&#10;2Sapf/rpG0HwOMzMb5jl+uJ6caIQO88aZlMFgrjxpuNWw+Fz91KAiAnZYO+ZNFwpwno1elpiZfyZ&#10;P+hUp1ZkCMcKNdiUhkrK2FhyGKd+IM7e0QeHKcvQShPwnOGul3OlXqXDjvOCxYE2lprv+tdp+Ds+&#10;7xdbi9u6Kb7Ue1FufjDUWk/GM/UGItElPcL39t5oKEu4fck/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lyTvQAA&#10;ANsAAAAPAAAAAAAAAAEAIAAAACIAAABkcnMvZG93bnJldi54bWxQSwECFAAUAAAACACHTuJAMy8F&#10;njsAAAA5AAAAEAAAAAAAAAABACAAAAAMAQAAZHJzL3NoYXBleG1sLnhtbFBLBQYAAAAABgAGAFsB&#10;AAC2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lpJvmMAAAADc&#10;AAAADwAAAGRycy9kb3ducmV2LnhtbEWPT2sCQQzF74V+hyEFL0VnLFLa1VFKS8GDYP1z0FvYibtr&#10;dzLLzujqtzcHwVvCe3nvl8ns4mt1pjZWgS0MBwYUcR5cxYWF7ea3/wEqJmSHdWCycKUIs+nz0wQz&#10;Fzpe0XmdCiUhHDO0UKbUZFrHvCSPcRAaYtEOofWYZG0L7VrsJNzX+s2Yd+2xYmkosaHvkvL/9clb&#10;6OY/utqmZf5arBab0efuqznu/6ztvQzNGFSiS3qY79dzJ/hG8OUZmUBP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km+Y&#10;wAAAANwAAAAPAAAAAAAAAAEAIAAAACIAAABkcnMvZG93bnJldi54bWxQSwECFAAUAAAACACHTuJA&#10;My8FnjsAAAA5AAAAEAAAAAAAAAABACAAAAAPAQAAZHJzL3NoYXBleG1sLnhtbFBLBQYAAAAABgAG&#10;AFsBAAC5Aw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T5wmbkAAADc&#10;AAAADwAAAGRycy9kb3ducmV2LnhtbEVPyWrDMBC9B/oPYgK5JZIbGoob2QRDoadAs9wHa2qZWiNb&#10;UpP076tAoLd5vHW29c0N4kIh9p41FCsFgrj1pudOw+n4vnwFEROywcEzafilCHX1NNtiafyVP+ly&#10;SJ3IIRxL1GBTGkspY2vJYVz5kThzXz44TBmGTpqA1xzuBvms1EY67Dk3WBypsdR+H36chtDGxkzr&#10;yZ6baX/mHY5+s37RejEv1BuIRLf0L364P0yerwq4P5MvkN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k+cJm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Cezu7rgAAADc&#10;AAAADwAAAGRycy9kb3ducmV2LnhtbEVPS4vCMBC+C/sfwizsTRMVRapRpCDsaUF3vQ/N2BSbSZvE&#10;x/57Iwje5uN7zmpzd624UoiNZw3jkQJBXHnTcK3h73c3XICICdlg65k0/FOEzfpjsMLC+Bvv6XpI&#10;tcghHAvUYFPqCiljZclhHPmOOHMnHxymDEMtTcBbDnetnCg1lw4bzg0WOyotVefDxWkIVSxNP+3t&#10;sex/jrzFzs+nM62/PsdqCSLRPb3FL/e3yfPVBJ7P5Avk+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ezu7r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ZqBLdbkAAADc&#10;AAAADwAAAGRycy9kb3ducmV2LnhtbEVP32vCMBB+F/Y/hBN808SVyehMixQGexJ08/1obk1Zc2mT&#10;TN1/bwRhb/fx/bxtfXWDOFOIvWcN65UCQdx603On4evzffkKIiZkg4Nn0vBHEerqabbF0vgLH+h8&#10;TJ3IIRxL1GBTGkspY2vJYVz5kThz3z44TBmGTpqAlxzuBvms1EY67Dk3WBypsdT+HH+dhtDGxkzF&#10;ZE/NtD/xDke/KV60XszX6g1Eomv6Fz/cHybPVwXcn8kXyOo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gS3W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nIO4gbwAAADc&#10;AAAADwAAAGRycy9kb3ducmV2LnhtbEVPTWsCMRC9F/ofwhR600QrRbdGoWLVSyldBa/jZtwsbibL&#10;Jl313xtB6G0e73Om84urRUdtqDxrGPQVCOLCm4pLDbvtV28MIkRkg7Vn0nClAPPZ89MUM+PP/Etd&#10;HkuRQjhkqMHG2GRShsKSw9D3DXHijr51GBNsS2laPKdwV8uhUu/SYcWpwWJDC0vFKf9zGk6hs5+H&#10;0Wr988aT73F+WDb741Lr15eB+gAR6RL/xQ/3xqT5agT3Z9IFcnY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DuIG8AAAA&#10;3AAAAA8AAAAAAAAAAQAgAAAAIgAAAGRycy9kb3ducmV2LnhtbFBLAQIUABQAAAAIAIdO4kAzLwWe&#10;OwAAADkAAAAQAAAAAAAAAAEAIAAAAAsBAABkcnMvc2hhcGV4bWwueG1sUEsFBgAAAAAGAAYAWwEA&#10;ALUDA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t/f1+rwAAADc&#10;AAAADwAAAGRycy9kb3ducmV2LnhtbEVPS2sCMRC+C/6HMAVvmlhQ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39f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授权人身份证复印件（正面）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RyVrjbwAAADc&#10;AAAADwAAAGRycy9kb3ducmV2LnhtbEVPTWvCQBC9C/0Pywi96a49BI1upEgLhUIxxoPHaXaSLGZn&#10;0+xW7b/vFgre5vE+Z7O9uV5caAzWs4bFXIEgrr2x3Go4Vq+zJYgQkQ32nknDDwXYFg+TDebGX7mk&#10;yyG2IoVwyFFDF+OQSxnqjhyGuR+IE9f40WFMcGylGfGawl0vn5TKpEPLqaHDgXYd1efDt9PwfOLy&#10;xX59fO7LprRVtVL8np21fpwu1BpEpFu8i//dbybNVxn8PZMu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la4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授权人身份证复印件（反面）</w:t>
                        </w:r>
                      </w:p>
                    </w:txbxContent>
                  </v:textbox>
                </v:shape>
                <w10:wrap type="none"/>
                <w10:anchorlock/>
              </v:group>
            </w:pict>
          </mc:Fallback>
        </mc:AlternateContent>
      </w:r>
    </w:p>
    <w:p>
      <w:pPr>
        <w:pStyle w:val="8"/>
        <w:kinsoku w:val="0"/>
        <w:overflowPunct w:val="0"/>
        <w:spacing w:before="0"/>
        <w:ind w:left="0"/>
        <w:rPr>
          <w:rFonts w:hint="eastAsia" w:ascii="宋体" w:hAnsi="宋体" w:eastAsia="宋体" w:cs="宋体"/>
          <w:color w:val="auto"/>
          <w:sz w:val="20"/>
          <w:szCs w:val="20"/>
          <w:highlight w:val="none"/>
        </w:rPr>
      </w:pPr>
    </w:p>
    <w:p>
      <w:pPr>
        <w:pStyle w:val="8"/>
        <w:kinsoku w:val="0"/>
        <w:overflowPunct w:val="0"/>
        <w:spacing w:before="1"/>
        <w:ind w:left="0"/>
        <w:rPr>
          <w:rFonts w:hint="eastAsia" w:ascii="宋体" w:hAnsi="宋体" w:eastAsia="宋体" w:cs="宋体"/>
          <w:color w:val="auto"/>
          <w:sz w:val="19"/>
          <w:szCs w:val="19"/>
          <w:highlight w:val="none"/>
        </w:rPr>
      </w:pPr>
    </w:p>
    <w:p>
      <w:pPr>
        <w:pStyle w:val="8"/>
        <w:kinsoku w:val="0"/>
        <w:overflowPunct w:val="0"/>
        <w:spacing w:before="0" w:line="200" w:lineRule="atLeast"/>
        <w:ind w:left="628"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mc:AlternateContent>
          <mc:Choice Requires="wpg">
            <w:drawing>
              <wp:inline distT="0" distB="0" distL="114300" distR="114300">
                <wp:extent cx="5136515" cy="1384935"/>
                <wp:effectExtent l="0" t="0" r="7620" b="6985"/>
                <wp:docPr id="94" name="组合 94"/>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82" name="任意多边形 82"/>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83" name="任意多边形 83"/>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84" name="任意多边形 84"/>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85" name="任意多边形 85"/>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86" name="任意多边形 86"/>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87" name="任意多边形 87"/>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88" name="任意多边形 88"/>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89" name="任意多边形 89"/>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90" name="任意多边形 90"/>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91" name="任意多边形 91"/>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92" name="文本框 92"/>
                        <wps:cNvSpPr txBox="1"/>
                        <wps:spPr>
                          <a:xfrm>
                            <a:off x="19" y="19"/>
                            <a:ext cx="4025" cy="2142"/>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被授权代表身份证复印件（正面）</w:t>
                              </w:r>
                            </w:p>
                          </w:txbxContent>
                        </wps:txbx>
                        <wps:bodyPr lIns="0" tIns="0" rIns="0" bIns="0" upright="1"/>
                      </wps:wsp>
                      <wps:wsp>
                        <wps:cNvPr id="93" name="文本框 93"/>
                        <wps:cNvSpPr txBox="1"/>
                        <wps:spPr>
                          <a:xfrm>
                            <a:off x="4044" y="19"/>
                            <a:ext cx="4025" cy="2142"/>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">
                <o:lock v:ext="edit" rotation="t" aspectratio="f"/>
                <v:shape id="_x0000_s1026" o:spid="_x0000_s1026" o:spt="100" style="position:absolute;left:4;top:9;height:20;width:8079;" filled="f" stroked="t" coordsize="8079,20" o:gfxdata="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xjK2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i0NcJr0AAADb&#10;AAAADwAAAGRycy9kb3ducmV2LnhtbEWPwWrDMBBE74X8g9hAb43klobUsZxDQiC09BCnH7BYG9vY&#10;WhlJTdx+fRUI9DjMzBum2Ex2EBfyoXOsIVsoEMS1Mx03Gr5O+6cViBCRDQ6OScMPBdiUs4cCc+Ou&#10;fKRLFRuRIBxy1NDGOOZShroli2HhRuLknZ23GJP0jTQerwluB/ms1FJa7DgttDjStqW6r76thp33&#10;p085nqvf94+dyxrVv75NvdaP80ytQUSa4n/43j4YDasXuH1JP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Q1wm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24;top:2151;height:20;width:8041;" filled="f" stroked="t" coordsize="8041,20" o:gfxdata="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qsRS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170;height:20;width:8079;" filled="f" stroked="t" coordsize="8079,20" o:gfxdata="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3YFNm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171;width:20;" filled="f" stroked="t" coordsize="20,2171" o:gfxdata="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OvqhtwAAANsAAAAP&#10;AAAAAAAAAAEAIAAAACIAAABkcnMvZG93bnJldi54bWxQSwECFAAUAAAACACHTuJAMy8FnjsAAAA5&#10;AAAAEAAAAAAAAAABACAAAAAGAQAAZHJzL3NoYXBleG1sLnhtbFBLBQYAAAAABgAGAFsBAACwAwAA&#10;AAA=&#10;" path="m0,0l0,2170e">
                  <v:fill on="f" focussize="0,0"/>
                  <v:stroke weight="0.48pt" color="#000000" joinstyle="round"/>
                  <v:imagedata o:title=""/>
                  <o:lock v:ext="edit" aspectratio="f"/>
                </v:shape>
                <v:shape id="_x0000_s1026" o:spid="_x0000_s1026" o:spt="100" style="position:absolute;left:28;top:24;height:2133;width:20;" filled="f" stroked="t" coordsize="20,2133" o:gfxdata="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Goq+vQAA&#10;ANsAAAAPAAAAAAAAAAEAIAAAACIAAABkcnMvZG93bnJldi54bWxQSwECFAAUAAAACACHTuJAMy8F&#10;njsAAAA5AAAAEAAAAAAAAAABACAAAAAMAQAAZHJzL3NoYXBleG1sLnhtbFBLBQYAAAAABgAGAFsB&#10;AAC2AwAAAAA=&#10;" path="m0,0l0,2132e">
                  <v:fill on="f" focussize="0,0"/>
                  <v:stroke weight="0.48pt" color="#000000" joinstyle="round"/>
                  <v:imagedata o:title=""/>
                  <o:lock v:ext="edit" aspectratio="f"/>
                </v:shape>
                <v:shape id="_x0000_s1026" o:spid="_x0000_s1026" o:spt="100" style="position:absolute;left:4034;top:24;height:2123;width:20;" filled="f" stroked="t" coordsize="20,2123" o:gfxdata="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MoNV+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4053;top:24;height:2123;width:20;" filled="f" stroked="t" coordsize="20,2123" o:gfxdata="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kkM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59;top:33;height:2123;width:20;" filled="f" stroked="t" coordsize="20,2123" o:gfxdata="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iHr4S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8078;top:14;height:2162;width:20;" filled="f" stroked="t" coordsize="20,2162" o:gfxdata="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H+9kA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_x0000_s1026" o:spid="_x0000_s1026" o:spt="202" type="#_x0000_t202" style="position:absolute;left:19;top:19;height:2142;width:4025;" filled="f" stroked="f" coordsize="21600,21600" o:gfxdata="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R8kO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被授权代表身份证复印件（正面）</w:t>
                        </w:r>
                      </w:p>
                    </w:txbxContent>
                  </v:textbox>
                </v:shape>
                <v:shape id="_x0000_s1026" o:spid="_x0000_s1026" o:spt="202" type="#_x0000_t202" style="position:absolute;left:4044;top:19;height:2142;width:4025;" filled="f" stroked="f" coordsize="21600,21600" o:gfxdata="UEsDBAoAAAAAAIdO4kAAAAAAAAAAAAAAAAAEAAAAZHJzL1BLAwQUAAAACACHTuJAlwtslb0AAADb&#10;AAAADwAAAGRycy9kb3ducmV2LnhtbEWPQWsCMRSE74L/ITyhN01sQe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C2yV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被授权代表身份证复印件（反面）</w:t>
                        </w:r>
                      </w:p>
                    </w:txbxContent>
                  </v:textbox>
                </v:shape>
                <w10:wrap type="none"/>
                <w10:anchorlock/>
              </v:group>
            </w:pict>
          </mc:Fallback>
        </mc:AlternateContent>
      </w:r>
    </w:p>
    <w:p>
      <w:pPr>
        <w:pStyle w:val="8"/>
        <w:kinsoku w:val="0"/>
        <w:overflowPunct w:val="0"/>
        <w:spacing w:before="0"/>
        <w:ind w:left="0"/>
        <w:rPr>
          <w:rFonts w:hint="eastAsia" w:ascii="宋体" w:hAnsi="宋体" w:eastAsia="宋体" w:cs="宋体"/>
          <w:color w:val="auto"/>
          <w:sz w:val="20"/>
          <w:szCs w:val="20"/>
          <w:highlight w:val="none"/>
        </w:rPr>
      </w:pPr>
    </w:p>
    <w:p>
      <w:pPr>
        <w:pStyle w:val="8"/>
        <w:kinsoku w:val="0"/>
        <w:overflowPunct w:val="0"/>
        <w:spacing w:before="7"/>
        <w:ind w:left="0"/>
        <w:rPr>
          <w:rFonts w:hint="eastAsia" w:ascii="宋体" w:hAnsi="宋体" w:eastAsia="宋体" w:cs="宋体"/>
          <w:color w:val="auto"/>
          <w:sz w:val="20"/>
          <w:szCs w:val="20"/>
          <w:highlight w:val="none"/>
        </w:rPr>
      </w:pPr>
    </w:p>
    <w:p>
      <w:pPr>
        <w:pStyle w:val="8"/>
        <w:tabs>
          <w:tab w:val="left" w:pos="5295"/>
        </w:tabs>
        <w:kinsoku w:val="0"/>
        <w:overflowPunct w:val="0"/>
        <w:spacing w:before="26"/>
        <w:ind w:left="618"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被授权代表（签字）：</w:t>
      </w:r>
      <w:r>
        <w:rPr>
          <w:rFonts w:hint="eastAsia" w:ascii="宋体" w:hAnsi="宋体" w:eastAsia="宋体" w:cs="宋体"/>
          <w:color w:val="auto"/>
          <w:highlight w:val="none"/>
        </w:rPr>
        <w:tab/>
      </w:r>
      <w:r>
        <w:rPr>
          <w:rFonts w:hint="eastAsia" w:ascii="宋体" w:hAnsi="宋体" w:eastAsia="宋体" w:cs="宋体"/>
          <w:color w:val="auto"/>
          <w:highlight w:val="none"/>
        </w:rPr>
        <w:t>供应商法定代表人（签字）：</w:t>
      </w:r>
    </w:p>
    <w:p>
      <w:pPr>
        <w:pStyle w:val="8"/>
        <w:tabs>
          <w:tab w:val="left" w:pos="1098"/>
          <w:tab w:val="left" w:pos="5298"/>
          <w:tab w:val="left" w:pos="5778"/>
        </w:tabs>
        <w:kinsoku w:val="0"/>
        <w:overflowPunct w:val="0"/>
        <w:spacing w:before="86"/>
        <w:ind w:left="618"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职</w:t>
      </w:r>
      <w:r>
        <w:rPr>
          <w:rFonts w:hint="eastAsia" w:ascii="宋体" w:hAnsi="宋体" w:eastAsia="宋体" w:cs="宋体"/>
          <w:color w:val="auto"/>
          <w:highlight w:val="none"/>
        </w:rPr>
        <w:tab/>
      </w:r>
      <w:r>
        <w:rPr>
          <w:rFonts w:hint="eastAsia" w:ascii="宋体" w:hAnsi="宋体" w:eastAsia="宋体" w:cs="宋体"/>
          <w:color w:val="auto"/>
          <w:highlight w:val="none"/>
        </w:rPr>
        <w:t>务：</w:t>
      </w:r>
      <w:r>
        <w:rPr>
          <w:rFonts w:hint="eastAsia" w:ascii="宋体" w:hAnsi="宋体" w:eastAsia="宋体" w:cs="宋体"/>
          <w:color w:val="auto"/>
          <w:highlight w:val="none"/>
        </w:rPr>
        <w:tab/>
      </w:r>
      <w:r>
        <w:rPr>
          <w:rFonts w:hint="eastAsia" w:ascii="宋体" w:hAnsi="宋体" w:eastAsia="宋体" w:cs="宋体"/>
          <w:color w:val="auto"/>
          <w:highlight w:val="none"/>
        </w:rPr>
        <w:t>职</w:t>
      </w:r>
      <w:r>
        <w:rPr>
          <w:rFonts w:hint="eastAsia" w:ascii="宋体" w:hAnsi="宋体" w:eastAsia="宋体" w:cs="宋体"/>
          <w:color w:val="auto"/>
          <w:highlight w:val="none"/>
        </w:rPr>
        <w:tab/>
      </w:r>
      <w:r>
        <w:rPr>
          <w:rFonts w:hint="eastAsia" w:ascii="宋体" w:hAnsi="宋体" w:eastAsia="宋体" w:cs="宋体"/>
          <w:color w:val="auto"/>
          <w:highlight w:val="none"/>
        </w:rPr>
        <w:t>务：</w:t>
      </w:r>
    </w:p>
    <w:p>
      <w:pPr>
        <w:pStyle w:val="8"/>
        <w:tabs>
          <w:tab w:val="left" w:pos="1098"/>
          <w:tab w:val="left" w:pos="5298"/>
          <w:tab w:val="left" w:pos="5778"/>
        </w:tabs>
        <w:kinsoku w:val="0"/>
        <w:overflowPunct w:val="0"/>
        <w:spacing w:before="84"/>
        <w:ind w:left="618"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电</w:t>
      </w:r>
      <w:r>
        <w:rPr>
          <w:rFonts w:hint="eastAsia" w:ascii="宋体" w:hAnsi="宋体" w:eastAsia="宋体" w:cs="宋体"/>
          <w:color w:val="auto"/>
          <w:highlight w:val="none"/>
        </w:rPr>
        <w:tab/>
      </w:r>
      <w:r>
        <w:rPr>
          <w:rFonts w:hint="eastAsia" w:ascii="宋体" w:hAnsi="宋体" w:eastAsia="宋体" w:cs="宋体"/>
          <w:color w:val="auto"/>
          <w:highlight w:val="none"/>
        </w:rPr>
        <w:t>话：</w:t>
      </w:r>
      <w:r>
        <w:rPr>
          <w:rFonts w:hint="eastAsia" w:ascii="宋体" w:hAnsi="宋体" w:eastAsia="宋体" w:cs="宋体"/>
          <w:color w:val="auto"/>
          <w:highlight w:val="none"/>
        </w:rPr>
        <w:tab/>
      </w:r>
      <w:r>
        <w:rPr>
          <w:rFonts w:hint="eastAsia" w:ascii="宋体" w:hAnsi="宋体" w:eastAsia="宋体" w:cs="宋体"/>
          <w:color w:val="auto"/>
          <w:highlight w:val="none"/>
        </w:rPr>
        <w:t>电</w:t>
      </w:r>
      <w:r>
        <w:rPr>
          <w:rFonts w:hint="eastAsia" w:ascii="宋体" w:hAnsi="宋体" w:eastAsia="宋体" w:cs="宋体"/>
          <w:color w:val="auto"/>
          <w:highlight w:val="none"/>
        </w:rPr>
        <w:tab/>
      </w:r>
      <w:r>
        <w:rPr>
          <w:rFonts w:hint="eastAsia" w:ascii="宋体" w:hAnsi="宋体" w:eastAsia="宋体" w:cs="宋体"/>
          <w:color w:val="auto"/>
          <w:highlight w:val="none"/>
        </w:rPr>
        <w:t>话：</w:t>
      </w:r>
    </w:p>
    <w:p>
      <w:pPr>
        <w:pStyle w:val="8"/>
        <w:tabs>
          <w:tab w:val="left" w:pos="5631"/>
          <w:tab w:val="left" w:pos="6591"/>
          <w:tab w:val="left" w:pos="7191"/>
          <w:tab w:val="left" w:pos="7791"/>
          <w:tab w:val="left" w:pos="8247"/>
        </w:tabs>
        <w:kinsoku w:val="0"/>
        <w:overflowPunct w:val="0"/>
        <w:spacing w:before="166" w:line="383" w:lineRule="auto"/>
        <w:ind w:left="4912" w:right="238"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rPr>
        <w:t xml:space="preserve">（盖章） </w:t>
      </w:r>
    </w:p>
    <w:p>
      <w:pPr>
        <w:pStyle w:val="8"/>
        <w:tabs>
          <w:tab w:val="left" w:pos="5631"/>
          <w:tab w:val="left" w:pos="6591"/>
          <w:tab w:val="left" w:pos="7191"/>
          <w:tab w:val="left" w:pos="7791"/>
          <w:tab w:val="left" w:pos="8247"/>
        </w:tabs>
        <w:kinsoku w:val="0"/>
        <w:overflowPunct w:val="0"/>
        <w:spacing w:before="166" w:line="383" w:lineRule="auto"/>
        <w:ind w:left="4912" w:right="238"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日                </w:t>
      </w:r>
    </w:p>
    <w:p>
      <w:pPr>
        <w:pStyle w:val="8"/>
        <w:kinsoku w:val="0"/>
        <w:overflowPunct w:val="0"/>
        <w:spacing w:before="7"/>
        <w:ind w:left="0"/>
        <w:rPr>
          <w:rFonts w:hint="eastAsia" w:ascii="宋体" w:hAnsi="宋体" w:eastAsia="宋体" w:cs="宋体"/>
          <w:color w:val="auto"/>
          <w:sz w:val="22"/>
          <w:szCs w:val="22"/>
          <w:highlight w:val="none"/>
        </w:rPr>
      </w:pPr>
    </w:p>
    <w:p>
      <w:pPr>
        <w:pStyle w:val="8"/>
        <w:tabs>
          <w:tab w:val="left" w:pos="5418"/>
        </w:tabs>
        <w:kinsoku w:val="0"/>
        <w:overflowPunct w:val="0"/>
        <w:spacing w:before="26"/>
        <w:ind w:left="618" w:firstLine="482" w:firstLineChars="200"/>
        <w:jc w:val="both"/>
        <w:rPr>
          <w:rFonts w:hint="eastAsia" w:ascii="宋体" w:hAnsi="宋体" w:eastAsia="宋体" w:cs="宋体"/>
          <w:b/>
          <w:color w:val="auto"/>
          <w:highlight w:val="none"/>
        </w:rPr>
      </w:pPr>
      <w:r>
        <w:rPr>
          <w:rFonts w:hint="eastAsia" w:ascii="宋体" w:hAnsi="宋体" w:eastAsia="宋体" w:cs="宋体"/>
          <w:b/>
          <w:color w:val="auto"/>
          <w:highlight w:val="none"/>
        </w:rPr>
        <w:t>★备注 ：后 附〖 法定代表人资格证明及委托代理人（被授权人）身份证复印件（现场核查）〗，递交投标文件时需递交一份。</w:t>
      </w:r>
    </w:p>
    <w:p>
      <w:pPr>
        <w:pStyle w:val="8"/>
        <w:kinsoku w:val="0"/>
        <w:overflowPunct w:val="0"/>
        <w:spacing w:before="34" w:line="357" w:lineRule="auto"/>
        <w:ind w:right="126" w:firstLine="480" w:firstLineChars="200"/>
        <w:jc w:val="center"/>
        <w:rPr>
          <w:rFonts w:hint="eastAsia" w:ascii="宋体" w:hAnsi="宋体" w:eastAsia="宋体" w:cs="宋体"/>
          <w:b/>
          <w:bCs/>
          <w:color w:val="auto"/>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36"/>
          <w:szCs w:val="36"/>
          <w:highlight w:val="none"/>
        </w:rPr>
        <w:t>四、投标保证金缴纳凭证</w:t>
      </w:r>
    </w:p>
    <w:p>
      <w:pPr>
        <w:pStyle w:val="8"/>
        <w:kinsoku w:val="0"/>
        <w:overflowPunct w:val="0"/>
        <w:spacing w:before="0"/>
        <w:ind w:left="0"/>
        <w:rPr>
          <w:rFonts w:hint="eastAsia" w:ascii="宋体" w:hAnsi="宋体" w:eastAsia="宋体" w:cs="宋体"/>
          <w:b/>
          <w:bCs/>
          <w:color w:val="auto"/>
          <w:sz w:val="20"/>
          <w:szCs w:val="20"/>
          <w:highlight w:val="none"/>
        </w:rPr>
      </w:pPr>
    </w:p>
    <w:p>
      <w:pPr>
        <w:pStyle w:val="8"/>
        <w:kinsoku w:val="0"/>
        <w:overflowPunct w:val="0"/>
        <w:spacing w:before="4"/>
        <w:ind w:left="0"/>
        <w:rPr>
          <w:rFonts w:hint="eastAsia" w:ascii="宋体" w:hAnsi="宋体" w:eastAsia="宋体" w:cs="宋体"/>
          <w:b/>
          <w:bCs/>
          <w:color w:val="auto"/>
          <w:sz w:val="23"/>
          <w:szCs w:val="23"/>
          <w:highlight w:val="none"/>
        </w:rPr>
      </w:pPr>
    </w:p>
    <w:p>
      <w:pPr>
        <w:spacing w:line="4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致：（采购人）</w:t>
      </w:r>
    </w:p>
    <w:p>
      <w:pPr>
        <w:spacing w:line="4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我方于</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rPr>
        <w:t xml:space="preserve"> 日参加</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（项目名称）   </w:t>
      </w:r>
      <w:r>
        <w:rPr>
          <w:rFonts w:hint="eastAsia" w:ascii="宋体" w:hAnsi="宋体" w:eastAsia="宋体" w:cs="宋体"/>
          <w:color w:val="auto"/>
          <w:kern w:val="0"/>
          <w:sz w:val="24"/>
          <w:szCs w:val="24"/>
          <w:highlight w:val="none"/>
        </w:rPr>
        <w:t>的投标，现保证：我方在规定的投标有效期内撤销或修改投标文件的，或者在收到中标通知书后无正当理由拒签合同或拒交规定履约担保的，投标保证金不予退还。</w:t>
      </w:r>
    </w:p>
    <w:p>
      <w:pPr>
        <w:pStyle w:val="8"/>
        <w:kinsoku w:val="0"/>
        <w:overflowPunct w:val="0"/>
        <w:spacing w:before="0"/>
        <w:ind w:left="0"/>
        <w:rPr>
          <w:rFonts w:hint="eastAsia" w:ascii="宋体" w:hAnsi="宋体" w:eastAsia="宋体" w:cs="宋体"/>
          <w:color w:val="auto"/>
          <w:highlight w:val="none"/>
        </w:rPr>
      </w:pPr>
    </w:p>
    <w:p>
      <w:pPr>
        <w:pStyle w:val="8"/>
        <w:kinsoku w:val="0"/>
        <w:overflowPunct w:val="0"/>
        <w:spacing w:before="0"/>
        <w:ind w:left="0"/>
        <w:rPr>
          <w:rFonts w:hint="eastAsia" w:ascii="宋体" w:hAnsi="宋体" w:eastAsia="宋体" w:cs="宋体"/>
          <w:color w:val="auto"/>
          <w:highlight w:val="none"/>
        </w:rPr>
      </w:pPr>
    </w:p>
    <w:p>
      <w:pPr>
        <w:pStyle w:val="8"/>
        <w:kinsoku w:val="0"/>
        <w:overflowPunct w:val="0"/>
        <w:spacing w:before="4"/>
        <w:ind w:left="0"/>
        <w:rPr>
          <w:rFonts w:hint="eastAsia" w:ascii="宋体" w:hAnsi="宋体" w:eastAsia="宋体" w:cs="宋体"/>
          <w:color w:val="auto"/>
          <w:sz w:val="34"/>
          <w:szCs w:val="34"/>
          <w:highlight w:val="none"/>
        </w:rPr>
      </w:pPr>
    </w:p>
    <w:p>
      <w:pPr>
        <w:spacing w:line="420" w:lineRule="exact"/>
        <w:ind w:right="480" w:firstLine="480" w:firstLineChars="20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法定代表人或委托人：</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（签字）    </w:t>
      </w:r>
    </w:p>
    <w:p>
      <w:pPr>
        <w:spacing w:line="420" w:lineRule="exact"/>
        <w:ind w:right="48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pPr>
        <w:pStyle w:val="8"/>
        <w:tabs>
          <w:tab w:val="left" w:pos="5551"/>
          <w:tab w:val="left" w:pos="6511"/>
          <w:tab w:val="left" w:pos="7111"/>
          <w:tab w:val="left" w:pos="7711"/>
        </w:tabs>
        <w:kinsoku w:val="0"/>
        <w:overflowPunct w:val="0"/>
        <w:spacing w:before="46"/>
        <w:ind w:left="2583" w:firstLine="2248"/>
        <w:rPr>
          <w:rFonts w:hint="eastAsia" w:ascii="宋体" w:hAnsi="宋体" w:eastAsia="宋体" w:cs="宋体"/>
          <w:color w:val="auto"/>
          <w:highlight w:val="none"/>
        </w:rPr>
      </w:pPr>
    </w:p>
    <w:p>
      <w:pPr>
        <w:pStyle w:val="8"/>
        <w:kinsoku w:val="0"/>
        <w:overflowPunct w:val="0"/>
        <w:spacing w:before="0"/>
        <w:ind w:left="0"/>
        <w:rPr>
          <w:rFonts w:hint="eastAsia" w:ascii="宋体" w:hAnsi="宋体" w:eastAsia="宋体" w:cs="宋体"/>
          <w:color w:val="auto"/>
          <w:highlight w:val="none"/>
        </w:rPr>
      </w:pPr>
    </w:p>
    <w:p>
      <w:pPr>
        <w:pStyle w:val="8"/>
        <w:kinsoku w:val="0"/>
        <w:overflowPunct w:val="0"/>
        <w:spacing w:before="5"/>
        <w:ind w:left="0"/>
        <w:rPr>
          <w:rFonts w:hint="eastAsia" w:ascii="宋体" w:hAnsi="宋体" w:eastAsia="宋体" w:cs="宋体"/>
          <w:color w:val="auto"/>
          <w:sz w:val="25"/>
          <w:szCs w:val="25"/>
          <w:highlight w:val="none"/>
        </w:rPr>
      </w:pPr>
    </w:p>
    <w:p>
      <w:pPr>
        <w:pStyle w:val="8"/>
        <w:kinsoku w:val="0"/>
        <w:overflowPunct w:val="0"/>
        <w:spacing w:before="0"/>
        <w:ind w:firstLine="48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缴费</w:t>
      </w:r>
      <w:r>
        <w:rPr>
          <w:rFonts w:hint="eastAsia" w:ascii="宋体" w:hAnsi="宋体" w:eastAsia="宋体" w:cs="宋体"/>
          <w:color w:val="auto"/>
          <w:highlight w:val="none"/>
          <w:lang w:eastAsia="zh-CN"/>
        </w:rPr>
        <w:t>证明</w:t>
      </w:r>
      <w:r>
        <w:rPr>
          <w:rFonts w:hint="eastAsia" w:ascii="宋体" w:hAnsi="宋体" w:eastAsia="宋体" w:cs="宋体"/>
          <w:color w:val="auto"/>
          <w:highlight w:val="none"/>
        </w:rPr>
        <w:t>（复印件应附在投标文件中）</w:t>
      </w:r>
    </w:p>
    <w:p>
      <w:pPr>
        <w:pStyle w:val="8"/>
        <w:kinsoku w:val="0"/>
        <w:overflowPunct w:val="0"/>
        <w:spacing w:before="0"/>
        <w:ind w:left="0"/>
        <w:rPr>
          <w:rFonts w:hint="eastAsia" w:ascii="宋体" w:hAnsi="宋体" w:eastAsia="宋体" w:cs="宋体"/>
          <w:color w:val="auto"/>
          <w:sz w:val="20"/>
          <w:szCs w:val="20"/>
          <w:highlight w:val="none"/>
        </w:rPr>
      </w:pPr>
    </w:p>
    <w:p>
      <w:pPr>
        <w:pStyle w:val="8"/>
        <w:kinsoku w:val="0"/>
        <w:overflowPunct w:val="0"/>
        <w:spacing w:before="0" w:line="200" w:lineRule="atLeast"/>
        <w:ind w:left="0" w:leftChars="0"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mc:AlternateContent>
          <mc:Choice Requires="wpg">
            <w:drawing>
              <wp:inline distT="0" distB="0" distL="114300" distR="114300">
                <wp:extent cx="5695950" cy="3213100"/>
                <wp:effectExtent l="0" t="0" r="0" b="6350"/>
                <wp:docPr id="80" name="组合 80"/>
                <wp:cNvGraphicFramePr/>
                <a:graphic xmlns:a="http://schemas.openxmlformats.org/drawingml/2006/main">
                  <a:graphicData uri="http://schemas.microsoft.com/office/word/2010/wordprocessingGroup">
                    <wpg:wgp>
                      <wpg:cNvGrpSpPr>
                        <a:grpSpLocks noRot="1"/>
                      </wpg:cNvGrpSpPr>
                      <wpg:grpSpPr>
                        <a:xfrm>
                          <a:off x="0" y="0"/>
                          <a:ext cx="5695950" cy="3213100"/>
                          <a:chOff x="0" y="0"/>
                          <a:chExt cx="7425" cy="5060"/>
                        </a:xfrm>
                      </wpg:grpSpPr>
                      <wpg:grpSp>
                        <wpg:cNvPr id="81" name="组合 80"/>
                        <wpg:cNvGrpSpPr/>
                        <wpg:grpSpPr>
                          <a:xfrm>
                            <a:off x="0" y="0"/>
                            <a:ext cx="7425" cy="5060"/>
                            <a:chOff x="0" y="0"/>
                            <a:chExt cx="7425" cy="5060"/>
                          </a:xfrm>
                        </wpg:grpSpPr>
                        <wps:wsp>
                          <wps:cNvPr id="1" name="任意多边形 1"/>
                          <wps:cNvSpPr/>
                          <wps:spPr>
                            <a:xfrm>
                              <a:off x="0" y="0"/>
                              <a:ext cx="7425" cy="5060"/>
                            </a:xfrm>
                            <a:custGeom>
                              <a:avLst/>
                              <a:gdLst/>
                              <a:ahLst/>
                              <a:cxnLst/>
                              <a:pathLst>
                                <a:path w="7425" h="5060">
                                  <a:moveTo>
                                    <a:pt x="483" y="19"/>
                                  </a:moveTo>
                                  <a:lnTo>
                                    <a:pt x="412" y="19"/>
                                  </a:lnTo>
                                  <a:lnTo>
                                    <a:pt x="426" y="0"/>
                                  </a:lnTo>
                                  <a:lnTo>
                                    <a:pt x="497" y="0"/>
                                  </a:lnTo>
                                  <a:lnTo>
                                    <a:pt x="483" y="19"/>
                                  </a:lnTo>
                                  <a:close/>
                                </a:path>
                              </a:pathLst>
                            </a:custGeom>
                            <a:solidFill>
                              <a:srgbClr val="000000"/>
                            </a:solidFill>
                            <a:ln>
                              <a:noFill/>
                            </a:ln>
                          </wps:spPr>
                          <wps:bodyPr upright="1"/>
                        </wps:wsp>
                        <wps:wsp>
                          <wps:cNvPr id="2" name="任意多边形 2"/>
                          <wps:cNvSpPr/>
                          <wps:spPr>
                            <a:xfrm>
                              <a:off x="0" y="0"/>
                              <a:ext cx="7425" cy="5060"/>
                            </a:xfrm>
                            <a:custGeom>
                              <a:avLst/>
                              <a:gdLst/>
                              <a:ahLst/>
                              <a:cxnLst/>
                              <a:pathLst>
                                <a:path w="7425" h="5060">
                                  <a:moveTo>
                                    <a:pt x="7011" y="19"/>
                                  </a:moveTo>
                                  <a:lnTo>
                                    <a:pt x="6940" y="19"/>
                                  </a:lnTo>
                                  <a:lnTo>
                                    <a:pt x="6926" y="0"/>
                                  </a:lnTo>
                                  <a:lnTo>
                                    <a:pt x="6998" y="0"/>
                                  </a:lnTo>
                                  <a:lnTo>
                                    <a:pt x="7011" y="19"/>
                                  </a:lnTo>
                                  <a:close/>
                                </a:path>
                              </a:pathLst>
                            </a:custGeom>
                            <a:solidFill>
                              <a:srgbClr val="000000"/>
                            </a:solidFill>
                            <a:ln>
                              <a:noFill/>
                            </a:ln>
                          </wps:spPr>
                          <wps:bodyPr upright="1"/>
                        </wps:wsp>
                        <wps:wsp>
                          <wps:cNvPr id="3" name="任意多边形 3"/>
                          <wps:cNvSpPr/>
                          <wps:spPr>
                            <a:xfrm>
                              <a:off x="0" y="0"/>
                              <a:ext cx="7425" cy="5060"/>
                            </a:xfrm>
                            <a:custGeom>
                              <a:avLst/>
                              <a:gdLst/>
                              <a:ahLst/>
                              <a:cxnLst/>
                              <a:pathLst>
                                <a:path w="7425" h="5060">
                                  <a:moveTo>
                                    <a:pt x="390" y="39"/>
                                  </a:moveTo>
                                  <a:lnTo>
                                    <a:pt x="346" y="39"/>
                                  </a:lnTo>
                                  <a:lnTo>
                                    <a:pt x="359" y="19"/>
                                  </a:lnTo>
                                  <a:lnTo>
                                    <a:pt x="403" y="19"/>
                                  </a:lnTo>
                                  <a:lnTo>
                                    <a:pt x="390" y="39"/>
                                  </a:lnTo>
                                  <a:close/>
                                </a:path>
                              </a:pathLst>
                            </a:custGeom>
                            <a:solidFill>
                              <a:srgbClr val="000000"/>
                            </a:solidFill>
                            <a:ln>
                              <a:noFill/>
                            </a:ln>
                          </wps:spPr>
                          <wps:bodyPr upright="1"/>
                        </wps:wsp>
                        <wps:wsp>
                          <wps:cNvPr id="4" name="任意多边形 4"/>
                          <wps:cNvSpPr/>
                          <wps:spPr>
                            <a:xfrm>
                              <a:off x="0" y="0"/>
                              <a:ext cx="7425" cy="5060"/>
                            </a:xfrm>
                            <a:custGeom>
                              <a:avLst/>
                              <a:gdLst/>
                              <a:ahLst/>
                              <a:cxnLst/>
                              <a:pathLst>
                                <a:path w="7425" h="5060">
                                  <a:moveTo>
                                    <a:pt x="7077" y="39"/>
                                  </a:moveTo>
                                  <a:lnTo>
                                    <a:pt x="7033" y="39"/>
                                  </a:lnTo>
                                  <a:lnTo>
                                    <a:pt x="7020" y="19"/>
                                  </a:lnTo>
                                  <a:lnTo>
                                    <a:pt x="7064" y="19"/>
                                  </a:lnTo>
                                  <a:lnTo>
                                    <a:pt x="7077" y="39"/>
                                  </a:lnTo>
                                  <a:close/>
                                </a:path>
                              </a:pathLst>
                            </a:custGeom>
                            <a:solidFill>
                              <a:srgbClr val="000000"/>
                            </a:solidFill>
                            <a:ln>
                              <a:noFill/>
                            </a:ln>
                          </wps:spPr>
                          <wps:bodyPr upright="1"/>
                        </wps:wsp>
                        <wps:wsp>
                          <wps:cNvPr id="5" name="任意多边形 5"/>
                          <wps:cNvSpPr/>
                          <wps:spPr>
                            <a:xfrm>
                              <a:off x="0" y="0"/>
                              <a:ext cx="7425" cy="5060"/>
                            </a:xfrm>
                            <a:custGeom>
                              <a:avLst/>
                              <a:gdLst/>
                              <a:ahLst/>
                              <a:cxnLst/>
                              <a:pathLst>
                                <a:path w="7425" h="5060">
                                  <a:moveTo>
                                    <a:pt x="340" y="59"/>
                                  </a:moveTo>
                                  <a:lnTo>
                                    <a:pt x="309" y="59"/>
                                  </a:lnTo>
                                  <a:lnTo>
                                    <a:pt x="321" y="39"/>
                                  </a:lnTo>
                                  <a:lnTo>
                                    <a:pt x="352" y="39"/>
                                  </a:lnTo>
                                  <a:lnTo>
                                    <a:pt x="340" y="59"/>
                                  </a:lnTo>
                                  <a:close/>
                                </a:path>
                              </a:pathLst>
                            </a:custGeom>
                            <a:solidFill>
                              <a:srgbClr val="000000"/>
                            </a:solidFill>
                            <a:ln>
                              <a:noFill/>
                            </a:ln>
                          </wps:spPr>
                          <wps:bodyPr upright="1"/>
                        </wps:wsp>
                        <wps:wsp>
                          <wps:cNvPr id="6" name="任意多边形 6"/>
                          <wps:cNvSpPr/>
                          <wps:spPr>
                            <a:xfrm>
                              <a:off x="0" y="0"/>
                              <a:ext cx="7425" cy="5060"/>
                            </a:xfrm>
                            <a:custGeom>
                              <a:avLst/>
                              <a:gdLst/>
                              <a:ahLst/>
                              <a:cxnLst/>
                              <a:pathLst>
                                <a:path w="7425" h="5060">
                                  <a:moveTo>
                                    <a:pt x="7115" y="59"/>
                                  </a:moveTo>
                                  <a:lnTo>
                                    <a:pt x="7084" y="59"/>
                                  </a:lnTo>
                                  <a:lnTo>
                                    <a:pt x="7071" y="39"/>
                                  </a:lnTo>
                                  <a:lnTo>
                                    <a:pt x="7102" y="39"/>
                                  </a:lnTo>
                                  <a:lnTo>
                                    <a:pt x="7115" y="59"/>
                                  </a:lnTo>
                                  <a:close/>
                                </a:path>
                              </a:pathLst>
                            </a:custGeom>
                            <a:solidFill>
                              <a:srgbClr val="000000"/>
                            </a:solidFill>
                            <a:ln>
                              <a:noFill/>
                            </a:ln>
                          </wps:spPr>
                          <wps:bodyPr upright="1"/>
                        </wps:wsp>
                        <wps:wsp>
                          <wps:cNvPr id="7" name="任意多边形 7"/>
                          <wps:cNvSpPr/>
                          <wps:spPr>
                            <a:xfrm>
                              <a:off x="0" y="0"/>
                              <a:ext cx="7425" cy="5060"/>
                            </a:xfrm>
                            <a:custGeom>
                              <a:avLst/>
                              <a:gdLst/>
                              <a:ahLst/>
                              <a:cxnLst/>
                              <a:pathLst>
                                <a:path w="7425" h="5060">
                                  <a:moveTo>
                                    <a:pt x="304" y="79"/>
                                  </a:moveTo>
                                  <a:lnTo>
                                    <a:pt x="273" y="79"/>
                                  </a:lnTo>
                                  <a:lnTo>
                                    <a:pt x="285" y="59"/>
                                  </a:lnTo>
                                  <a:lnTo>
                                    <a:pt x="316" y="59"/>
                                  </a:lnTo>
                                  <a:lnTo>
                                    <a:pt x="304" y="79"/>
                                  </a:lnTo>
                                  <a:close/>
                                </a:path>
                              </a:pathLst>
                            </a:custGeom>
                            <a:solidFill>
                              <a:srgbClr val="000000"/>
                            </a:solidFill>
                            <a:ln>
                              <a:noFill/>
                            </a:ln>
                          </wps:spPr>
                          <wps:bodyPr upright="1"/>
                        </wps:wsp>
                        <wps:wsp>
                          <wps:cNvPr id="8" name="任意多边形 8"/>
                          <wps:cNvSpPr/>
                          <wps:spPr>
                            <a:xfrm>
                              <a:off x="0" y="0"/>
                              <a:ext cx="7425" cy="5060"/>
                            </a:xfrm>
                            <a:custGeom>
                              <a:avLst/>
                              <a:gdLst/>
                              <a:ahLst/>
                              <a:cxnLst/>
                              <a:pathLst>
                                <a:path w="7425" h="5060">
                                  <a:moveTo>
                                    <a:pt x="7151" y="79"/>
                                  </a:moveTo>
                                  <a:lnTo>
                                    <a:pt x="7120" y="79"/>
                                  </a:lnTo>
                                  <a:lnTo>
                                    <a:pt x="7108" y="59"/>
                                  </a:lnTo>
                                  <a:lnTo>
                                    <a:pt x="7139" y="59"/>
                                  </a:lnTo>
                                  <a:lnTo>
                                    <a:pt x="7151" y="79"/>
                                  </a:lnTo>
                                  <a:close/>
                                </a:path>
                              </a:pathLst>
                            </a:custGeom>
                            <a:solidFill>
                              <a:srgbClr val="000000"/>
                            </a:solidFill>
                            <a:ln>
                              <a:noFill/>
                            </a:ln>
                          </wps:spPr>
                          <wps:bodyPr upright="1"/>
                        </wps:wsp>
                        <wps:wsp>
                          <wps:cNvPr id="9" name="任意多边形 9"/>
                          <wps:cNvSpPr/>
                          <wps:spPr>
                            <a:xfrm>
                              <a:off x="0" y="0"/>
                              <a:ext cx="7425" cy="5060"/>
                            </a:xfrm>
                            <a:custGeom>
                              <a:avLst/>
                              <a:gdLst/>
                              <a:ahLst/>
                              <a:cxnLst/>
                              <a:pathLst>
                                <a:path w="7425" h="5060">
                                  <a:moveTo>
                                    <a:pt x="269" y="99"/>
                                  </a:moveTo>
                                  <a:lnTo>
                                    <a:pt x="239" y="99"/>
                                  </a:lnTo>
                                  <a:lnTo>
                                    <a:pt x="250" y="79"/>
                                  </a:lnTo>
                                  <a:lnTo>
                                    <a:pt x="281" y="79"/>
                                  </a:lnTo>
                                  <a:lnTo>
                                    <a:pt x="269" y="99"/>
                                  </a:lnTo>
                                  <a:close/>
                                </a:path>
                              </a:pathLst>
                            </a:custGeom>
                            <a:solidFill>
                              <a:srgbClr val="000000"/>
                            </a:solidFill>
                            <a:ln>
                              <a:noFill/>
                            </a:ln>
                          </wps:spPr>
                          <wps:bodyPr upright="1"/>
                        </wps:wsp>
                        <wps:wsp>
                          <wps:cNvPr id="10" name="任意多边形 10"/>
                          <wps:cNvSpPr/>
                          <wps:spPr>
                            <a:xfrm>
                              <a:off x="0" y="0"/>
                              <a:ext cx="7425" cy="5060"/>
                            </a:xfrm>
                            <a:custGeom>
                              <a:avLst/>
                              <a:gdLst/>
                              <a:ahLst/>
                              <a:cxnLst/>
                              <a:pathLst>
                                <a:path w="7425" h="5060">
                                  <a:moveTo>
                                    <a:pt x="7185" y="99"/>
                                  </a:moveTo>
                                  <a:lnTo>
                                    <a:pt x="7154" y="99"/>
                                  </a:lnTo>
                                  <a:lnTo>
                                    <a:pt x="7143" y="79"/>
                                  </a:lnTo>
                                  <a:lnTo>
                                    <a:pt x="7174" y="79"/>
                                  </a:lnTo>
                                  <a:lnTo>
                                    <a:pt x="7185" y="99"/>
                                  </a:lnTo>
                                  <a:close/>
                                </a:path>
                              </a:pathLst>
                            </a:custGeom>
                            <a:solidFill>
                              <a:srgbClr val="000000"/>
                            </a:solidFill>
                            <a:ln>
                              <a:noFill/>
                            </a:ln>
                          </wps:spPr>
                          <wps:bodyPr upright="1"/>
                        </wps:wsp>
                        <wps:wsp>
                          <wps:cNvPr id="11" name="任意多边形 11"/>
                          <wps:cNvSpPr/>
                          <wps:spPr>
                            <a:xfrm>
                              <a:off x="0" y="0"/>
                              <a:ext cx="7425" cy="5060"/>
                            </a:xfrm>
                            <a:custGeom>
                              <a:avLst/>
                              <a:gdLst/>
                              <a:ahLst/>
                              <a:cxnLst/>
                              <a:pathLst>
                                <a:path w="7425" h="5060">
                                  <a:moveTo>
                                    <a:pt x="237" y="119"/>
                                  </a:moveTo>
                                  <a:lnTo>
                                    <a:pt x="217" y="119"/>
                                  </a:lnTo>
                                  <a:lnTo>
                                    <a:pt x="228" y="99"/>
                                  </a:lnTo>
                                  <a:lnTo>
                                    <a:pt x="247" y="99"/>
                                  </a:lnTo>
                                  <a:lnTo>
                                    <a:pt x="237" y="119"/>
                                  </a:lnTo>
                                  <a:close/>
                                </a:path>
                              </a:pathLst>
                            </a:custGeom>
                            <a:solidFill>
                              <a:srgbClr val="000000"/>
                            </a:solidFill>
                            <a:ln>
                              <a:noFill/>
                            </a:ln>
                          </wps:spPr>
                          <wps:bodyPr upright="1"/>
                        </wps:wsp>
                        <wps:wsp>
                          <wps:cNvPr id="12" name="任意多边形 12"/>
                          <wps:cNvSpPr/>
                          <wps:spPr>
                            <a:xfrm>
                              <a:off x="0" y="0"/>
                              <a:ext cx="7425" cy="5060"/>
                            </a:xfrm>
                            <a:custGeom>
                              <a:avLst/>
                              <a:gdLst/>
                              <a:ahLst/>
                              <a:cxnLst/>
                              <a:pathLst>
                                <a:path w="7425" h="5060">
                                  <a:moveTo>
                                    <a:pt x="7207" y="119"/>
                                  </a:moveTo>
                                  <a:lnTo>
                                    <a:pt x="7187" y="119"/>
                                  </a:lnTo>
                                  <a:lnTo>
                                    <a:pt x="7176" y="99"/>
                                  </a:lnTo>
                                  <a:lnTo>
                                    <a:pt x="7196" y="99"/>
                                  </a:lnTo>
                                  <a:lnTo>
                                    <a:pt x="7207" y="119"/>
                                  </a:lnTo>
                                  <a:close/>
                                </a:path>
                              </a:pathLst>
                            </a:custGeom>
                            <a:solidFill>
                              <a:srgbClr val="000000"/>
                            </a:solidFill>
                            <a:ln>
                              <a:noFill/>
                            </a:ln>
                          </wps:spPr>
                          <wps:bodyPr upright="1"/>
                        </wps:wsp>
                        <wps:wsp>
                          <wps:cNvPr id="13" name="任意多边形 13"/>
                          <wps:cNvSpPr/>
                          <wps:spPr>
                            <a:xfrm>
                              <a:off x="0" y="0"/>
                              <a:ext cx="7425" cy="5060"/>
                            </a:xfrm>
                            <a:custGeom>
                              <a:avLst/>
                              <a:gdLst/>
                              <a:ahLst/>
                              <a:cxnLst/>
                              <a:pathLst>
                                <a:path w="7425" h="5060">
                                  <a:moveTo>
                                    <a:pt x="216" y="139"/>
                                  </a:moveTo>
                                  <a:lnTo>
                                    <a:pt x="186" y="139"/>
                                  </a:lnTo>
                                  <a:lnTo>
                                    <a:pt x="196" y="119"/>
                                  </a:lnTo>
                                  <a:lnTo>
                                    <a:pt x="226" y="119"/>
                                  </a:lnTo>
                                  <a:lnTo>
                                    <a:pt x="216" y="139"/>
                                  </a:lnTo>
                                  <a:close/>
                                </a:path>
                              </a:pathLst>
                            </a:custGeom>
                            <a:solidFill>
                              <a:srgbClr val="000000"/>
                            </a:solidFill>
                            <a:ln>
                              <a:noFill/>
                            </a:ln>
                          </wps:spPr>
                          <wps:bodyPr upright="1"/>
                        </wps:wsp>
                        <wps:wsp>
                          <wps:cNvPr id="14" name="任意多边形 14"/>
                          <wps:cNvSpPr/>
                          <wps:spPr>
                            <a:xfrm>
                              <a:off x="0" y="0"/>
                              <a:ext cx="7425" cy="5060"/>
                            </a:xfrm>
                            <a:custGeom>
                              <a:avLst/>
                              <a:gdLst/>
                              <a:ahLst/>
                              <a:cxnLst/>
                              <a:pathLst>
                                <a:path w="7425" h="5060">
                                  <a:moveTo>
                                    <a:pt x="7238" y="139"/>
                                  </a:moveTo>
                                  <a:lnTo>
                                    <a:pt x="7208" y="139"/>
                                  </a:lnTo>
                                  <a:lnTo>
                                    <a:pt x="7197" y="119"/>
                                  </a:lnTo>
                                  <a:lnTo>
                                    <a:pt x="7228" y="119"/>
                                  </a:lnTo>
                                  <a:lnTo>
                                    <a:pt x="7238" y="139"/>
                                  </a:lnTo>
                                  <a:close/>
                                </a:path>
                              </a:pathLst>
                            </a:custGeom>
                            <a:solidFill>
                              <a:srgbClr val="000000"/>
                            </a:solidFill>
                            <a:ln>
                              <a:noFill/>
                            </a:ln>
                          </wps:spPr>
                          <wps:bodyPr upright="1"/>
                        </wps:wsp>
                        <wps:wsp>
                          <wps:cNvPr id="15" name="任意多边形 15"/>
                          <wps:cNvSpPr/>
                          <wps:spPr>
                            <a:xfrm>
                              <a:off x="0" y="0"/>
                              <a:ext cx="7425" cy="5060"/>
                            </a:xfrm>
                            <a:custGeom>
                              <a:avLst/>
                              <a:gdLst/>
                              <a:ahLst/>
                              <a:cxnLst/>
                              <a:pathLst>
                                <a:path w="7425" h="5060">
                                  <a:moveTo>
                                    <a:pt x="186" y="159"/>
                                  </a:moveTo>
                                  <a:lnTo>
                                    <a:pt x="166" y="159"/>
                                  </a:lnTo>
                                  <a:lnTo>
                                    <a:pt x="176" y="139"/>
                                  </a:lnTo>
                                  <a:lnTo>
                                    <a:pt x="196" y="139"/>
                                  </a:lnTo>
                                  <a:lnTo>
                                    <a:pt x="186" y="159"/>
                                  </a:lnTo>
                                  <a:close/>
                                </a:path>
                              </a:pathLst>
                            </a:custGeom>
                            <a:solidFill>
                              <a:srgbClr val="000000"/>
                            </a:solidFill>
                            <a:ln>
                              <a:noFill/>
                            </a:ln>
                          </wps:spPr>
                          <wps:bodyPr upright="1"/>
                        </wps:wsp>
                        <wps:wsp>
                          <wps:cNvPr id="16" name="任意多边形 16"/>
                          <wps:cNvSpPr/>
                          <wps:spPr>
                            <a:xfrm>
                              <a:off x="0" y="0"/>
                              <a:ext cx="7425" cy="5060"/>
                            </a:xfrm>
                            <a:custGeom>
                              <a:avLst/>
                              <a:gdLst/>
                              <a:ahLst/>
                              <a:cxnLst/>
                              <a:pathLst>
                                <a:path w="7425" h="5060">
                                  <a:moveTo>
                                    <a:pt x="7258" y="159"/>
                                  </a:moveTo>
                                  <a:lnTo>
                                    <a:pt x="7238" y="159"/>
                                  </a:lnTo>
                                  <a:lnTo>
                                    <a:pt x="7228" y="139"/>
                                  </a:lnTo>
                                  <a:lnTo>
                                    <a:pt x="7248" y="139"/>
                                  </a:lnTo>
                                  <a:lnTo>
                                    <a:pt x="7258" y="159"/>
                                  </a:lnTo>
                                  <a:close/>
                                </a:path>
                              </a:pathLst>
                            </a:custGeom>
                            <a:solidFill>
                              <a:srgbClr val="000000"/>
                            </a:solidFill>
                            <a:ln>
                              <a:noFill/>
                            </a:ln>
                          </wps:spPr>
                          <wps:bodyPr upright="1"/>
                        </wps:wsp>
                        <wps:wsp>
                          <wps:cNvPr id="17" name="任意多边形 17"/>
                          <wps:cNvSpPr/>
                          <wps:spPr>
                            <a:xfrm>
                              <a:off x="0" y="0"/>
                              <a:ext cx="7425" cy="5060"/>
                            </a:xfrm>
                            <a:custGeom>
                              <a:avLst/>
                              <a:gdLst/>
                              <a:ahLst/>
                              <a:cxnLst/>
                              <a:pathLst>
                                <a:path w="7425" h="5060">
                                  <a:moveTo>
                                    <a:pt x="167" y="179"/>
                                  </a:moveTo>
                                  <a:lnTo>
                                    <a:pt x="147" y="179"/>
                                  </a:lnTo>
                                  <a:lnTo>
                                    <a:pt x="156" y="159"/>
                                  </a:lnTo>
                                  <a:lnTo>
                                    <a:pt x="176" y="159"/>
                                  </a:lnTo>
                                  <a:lnTo>
                                    <a:pt x="167" y="179"/>
                                  </a:lnTo>
                                  <a:close/>
                                </a:path>
                              </a:pathLst>
                            </a:custGeom>
                            <a:solidFill>
                              <a:srgbClr val="000000"/>
                            </a:solidFill>
                            <a:ln>
                              <a:noFill/>
                            </a:ln>
                          </wps:spPr>
                          <wps:bodyPr upright="1"/>
                        </wps:wsp>
                        <wps:wsp>
                          <wps:cNvPr id="18" name="任意多边形 18"/>
                          <wps:cNvSpPr/>
                          <wps:spPr>
                            <a:xfrm>
                              <a:off x="0" y="0"/>
                              <a:ext cx="7425" cy="5060"/>
                            </a:xfrm>
                            <a:custGeom>
                              <a:avLst/>
                              <a:gdLst/>
                              <a:ahLst/>
                              <a:cxnLst/>
                              <a:pathLst>
                                <a:path w="7425" h="5060">
                                  <a:moveTo>
                                    <a:pt x="7277" y="179"/>
                                  </a:moveTo>
                                  <a:lnTo>
                                    <a:pt x="7256" y="179"/>
                                  </a:lnTo>
                                  <a:lnTo>
                                    <a:pt x="7247" y="159"/>
                                  </a:lnTo>
                                  <a:lnTo>
                                    <a:pt x="7267" y="159"/>
                                  </a:lnTo>
                                  <a:lnTo>
                                    <a:pt x="7277" y="179"/>
                                  </a:lnTo>
                                  <a:close/>
                                </a:path>
                              </a:pathLst>
                            </a:custGeom>
                            <a:solidFill>
                              <a:srgbClr val="000000"/>
                            </a:solidFill>
                            <a:ln>
                              <a:noFill/>
                            </a:ln>
                          </wps:spPr>
                          <wps:bodyPr upright="1"/>
                        </wps:wsp>
                        <wps:wsp>
                          <wps:cNvPr id="19" name="任意多边形 19"/>
                          <wps:cNvSpPr/>
                          <wps:spPr>
                            <a:xfrm>
                              <a:off x="0" y="0"/>
                              <a:ext cx="7425" cy="5060"/>
                            </a:xfrm>
                            <a:custGeom>
                              <a:avLst/>
                              <a:gdLst/>
                              <a:ahLst/>
                              <a:cxnLst/>
                              <a:pathLst>
                                <a:path w="7425" h="5060">
                                  <a:moveTo>
                                    <a:pt x="149" y="199"/>
                                  </a:moveTo>
                                  <a:lnTo>
                                    <a:pt x="129" y="199"/>
                                  </a:lnTo>
                                  <a:lnTo>
                                    <a:pt x="138" y="179"/>
                                  </a:lnTo>
                                  <a:lnTo>
                                    <a:pt x="158" y="179"/>
                                  </a:lnTo>
                                  <a:lnTo>
                                    <a:pt x="149" y="199"/>
                                  </a:lnTo>
                                  <a:close/>
                                </a:path>
                              </a:pathLst>
                            </a:custGeom>
                            <a:solidFill>
                              <a:srgbClr val="000000"/>
                            </a:solidFill>
                            <a:ln>
                              <a:noFill/>
                            </a:ln>
                          </wps:spPr>
                          <wps:bodyPr upright="1"/>
                        </wps:wsp>
                        <wps:wsp>
                          <wps:cNvPr id="20" name="任意多边形 20"/>
                          <wps:cNvSpPr/>
                          <wps:spPr>
                            <a:xfrm>
                              <a:off x="0" y="0"/>
                              <a:ext cx="7425" cy="5060"/>
                            </a:xfrm>
                            <a:custGeom>
                              <a:avLst/>
                              <a:gdLst/>
                              <a:ahLst/>
                              <a:cxnLst/>
                              <a:pathLst>
                                <a:path w="7425" h="5060">
                                  <a:moveTo>
                                    <a:pt x="7294" y="199"/>
                                  </a:moveTo>
                                  <a:lnTo>
                                    <a:pt x="7274" y="199"/>
                                  </a:lnTo>
                                  <a:lnTo>
                                    <a:pt x="7265" y="179"/>
                                  </a:lnTo>
                                  <a:lnTo>
                                    <a:pt x="7286" y="179"/>
                                  </a:lnTo>
                                  <a:lnTo>
                                    <a:pt x="7294" y="199"/>
                                  </a:lnTo>
                                  <a:close/>
                                </a:path>
                              </a:pathLst>
                            </a:custGeom>
                            <a:solidFill>
                              <a:srgbClr val="000000"/>
                            </a:solidFill>
                            <a:ln>
                              <a:noFill/>
                            </a:ln>
                          </wps:spPr>
                          <wps:bodyPr upright="1"/>
                        </wps:wsp>
                        <wps:wsp>
                          <wps:cNvPr id="21" name="任意多边形 21"/>
                          <wps:cNvSpPr/>
                          <wps:spPr>
                            <a:xfrm>
                              <a:off x="0" y="0"/>
                              <a:ext cx="7425" cy="5060"/>
                            </a:xfrm>
                            <a:custGeom>
                              <a:avLst/>
                              <a:gdLst/>
                              <a:ahLst/>
                              <a:cxnLst/>
                              <a:pathLst>
                                <a:path w="7425" h="5060">
                                  <a:moveTo>
                                    <a:pt x="132" y="219"/>
                                  </a:moveTo>
                                  <a:lnTo>
                                    <a:pt x="112" y="219"/>
                                  </a:lnTo>
                                  <a:lnTo>
                                    <a:pt x="121" y="199"/>
                                  </a:lnTo>
                                  <a:lnTo>
                                    <a:pt x="141" y="199"/>
                                  </a:lnTo>
                                  <a:lnTo>
                                    <a:pt x="132" y="219"/>
                                  </a:lnTo>
                                  <a:close/>
                                </a:path>
                              </a:pathLst>
                            </a:custGeom>
                            <a:solidFill>
                              <a:srgbClr val="000000"/>
                            </a:solidFill>
                            <a:ln>
                              <a:noFill/>
                            </a:ln>
                          </wps:spPr>
                          <wps:bodyPr upright="1"/>
                        </wps:wsp>
                        <wps:wsp>
                          <wps:cNvPr id="22" name="任意多边形 22"/>
                          <wps:cNvSpPr/>
                          <wps:spPr>
                            <a:xfrm>
                              <a:off x="0" y="0"/>
                              <a:ext cx="7425" cy="5060"/>
                            </a:xfrm>
                            <a:custGeom>
                              <a:avLst/>
                              <a:gdLst/>
                              <a:ahLst/>
                              <a:cxnLst/>
                              <a:pathLst>
                                <a:path w="7425" h="5060">
                                  <a:moveTo>
                                    <a:pt x="7311" y="219"/>
                                  </a:moveTo>
                                  <a:lnTo>
                                    <a:pt x="7291" y="219"/>
                                  </a:lnTo>
                                  <a:lnTo>
                                    <a:pt x="7283" y="199"/>
                                  </a:lnTo>
                                  <a:lnTo>
                                    <a:pt x="7303" y="199"/>
                                  </a:lnTo>
                                  <a:lnTo>
                                    <a:pt x="7311" y="219"/>
                                  </a:lnTo>
                                  <a:close/>
                                </a:path>
                              </a:pathLst>
                            </a:custGeom>
                            <a:solidFill>
                              <a:srgbClr val="000000"/>
                            </a:solidFill>
                            <a:ln>
                              <a:noFill/>
                            </a:ln>
                          </wps:spPr>
                          <wps:bodyPr upright="1"/>
                        </wps:wsp>
                        <wps:wsp>
                          <wps:cNvPr id="23" name="任意多边形 23"/>
                          <wps:cNvSpPr/>
                          <wps:spPr>
                            <a:xfrm>
                              <a:off x="0" y="0"/>
                              <a:ext cx="7425" cy="5060"/>
                            </a:xfrm>
                            <a:custGeom>
                              <a:avLst/>
                              <a:gdLst/>
                              <a:ahLst/>
                              <a:cxnLst/>
                              <a:pathLst>
                                <a:path w="7425" h="5060">
                                  <a:moveTo>
                                    <a:pt x="101" y="259"/>
                                  </a:moveTo>
                                  <a:lnTo>
                                    <a:pt x="89" y="259"/>
                                  </a:lnTo>
                                  <a:lnTo>
                                    <a:pt x="96" y="239"/>
                                  </a:lnTo>
                                  <a:lnTo>
                                    <a:pt x="104" y="219"/>
                                  </a:lnTo>
                                  <a:lnTo>
                                    <a:pt x="124" y="219"/>
                                  </a:lnTo>
                                  <a:lnTo>
                                    <a:pt x="116" y="239"/>
                                  </a:lnTo>
                                  <a:lnTo>
                                    <a:pt x="109" y="239"/>
                                  </a:lnTo>
                                  <a:lnTo>
                                    <a:pt x="101" y="259"/>
                                  </a:lnTo>
                                  <a:close/>
                                </a:path>
                              </a:pathLst>
                            </a:custGeom>
                            <a:solidFill>
                              <a:srgbClr val="000000"/>
                            </a:solidFill>
                            <a:ln>
                              <a:noFill/>
                            </a:ln>
                          </wps:spPr>
                          <wps:bodyPr upright="1"/>
                        </wps:wsp>
                        <wps:wsp>
                          <wps:cNvPr id="24" name="任意多边形 24"/>
                          <wps:cNvSpPr/>
                          <wps:spPr>
                            <a:xfrm>
                              <a:off x="0" y="0"/>
                              <a:ext cx="7425" cy="5060"/>
                            </a:xfrm>
                            <a:custGeom>
                              <a:avLst/>
                              <a:gdLst/>
                              <a:ahLst/>
                              <a:cxnLst/>
                              <a:pathLst>
                                <a:path w="7425" h="5060">
                                  <a:moveTo>
                                    <a:pt x="7335" y="259"/>
                                  </a:moveTo>
                                  <a:lnTo>
                                    <a:pt x="7322" y="259"/>
                                  </a:lnTo>
                                  <a:lnTo>
                                    <a:pt x="7315" y="239"/>
                                  </a:lnTo>
                                  <a:lnTo>
                                    <a:pt x="7307" y="239"/>
                                  </a:lnTo>
                                  <a:lnTo>
                                    <a:pt x="7299" y="219"/>
                                  </a:lnTo>
                                  <a:lnTo>
                                    <a:pt x="7319" y="219"/>
                                  </a:lnTo>
                                  <a:lnTo>
                                    <a:pt x="7327" y="239"/>
                                  </a:lnTo>
                                  <a:lnTo>
                                    <a:pt x="7335" y="259"/>
                                  </a:lnTo>
                                  <a:close/>
                                </a:path>
                              </a:pathLst>
                            </a:custGeom>
                            <a:solidFill>
                              <a:srgbClr val="000000"/>
                            </a:solidFill>
                            <a:ln>
                              <a:noFill/>
                            </a:ln>
                          </wps:spPr>
                          <wps:bodyPr upright="1"/>
                        </wps:wsp>
                        <wps:wsp>
                          <wps:cNvPr id="25" name="任意多边形 25"/>
                          <wps:cNvSpPr/>
                          <wps:spPr>
                            <a:xfrm>
                              <a:off x="0" y="0"/>
                              <a:ext cx="7425" cy="5060"/>
                            </a:xfrm>
                            <a:custGeom>
                              <a:avLst/>
                              <a:gdLst/>
                              <a:ahLst/>
                              <a:cxnLst/>
                              <a:pathLst>
                                <a:path w="7425" h="5060">
                                  <a:moveTo>
                                    <a:pt x="94" y="279"/>
                                  </a:moveTo>
                                  <a:lnTo>
                                    <a:pt x="75" y="279"/>
                                  </a:lnTo>
                                  <a:lnTo>
                                    <a:pt x="82" y="259"/>
                                  </a:lnTo>
                                  <a:lnTo>
                                    <a:pt x="102" y="259"/>
                                  </a:lnTo>
                                  <a:lnTo>
                                    <a:pt x="94" y="279"/>
                                  </a:lnTo>
                                  <a:close/>
                                </a:path>
                              </a:pathLst>
                            </a:custGeom>
                            <a:solidFill>
                              <a:srgbClr val="000000"/>
                            </a:solidFill>
                            <a:ln>
                              <a:noFill/>
                            </a:ln>
                          </wps:spPr>
                          <wps:bodyPr upright="1"/>
                        </wps:wsp>
                        <wps:wsp>
                          <wps:cNvPr id="26" name="任意多边形 26"/>
                          <wps:cNvSpPr/>
                          <wps:spPr>
                            <a:xfrm>
                              <a:off x="0" y="0"/>
                              <a:ext cx="7425" cy="5060"/>
                            </a:xfrm>
                            <a:custGeom>
                              <a:avLst/>
                              <a:gdLst/>
                              <a:ahLst/>
                              <a:cxnLst/>
                              <a:pathLst>
                                <a:path w="7425" h="5060">
                                  <a:moveTo>
                                    <a:pt x="7349" y="279"/>
                                  </a:moveTo>
                                  <a:lnTo>
                                    <a:pt x="7329" y="279"/>
                                  </a:lnTo>
                                  <a:lnTo>
                                    <a:pt x="7322" y="259"/>
                                  </a:lnTo>
                                  <a:lnTo>
                                    <a:pt x="7342" y="259"/>
                                  </a:lnTo>
                                  <a:lnTo>
                                    <a:pt x="7349" y="279"/>
                                  </a:lnTo>
                                  <a:close/>
                                </a:path>
                              </a:pathLst>
                            </a:custGeom>
                            <a:solidFill>
                              <a:srgbClr val="000000"/>
                            </a:solidFill>
                            <a:ln>
                              <a:noFill/>
                            </a:ln>
                          </wps:spPr>
                          <wps:bodyPr upright="1"/>
                        </wps:wsp>
                        <wps:wsp>
                          <wps:cNvPr id="27" name="任意多边形 27"/>
                          <wps:cNvSpPr/>
                          <wps:spPr>
                            <a:xfrm>
                              <a:off x="0" y="0"/>
                              <a:ext cx="7425" cy="5060"/>
                            </a:xfrm>
                            <a:custGeom>
                              <a:avLst/>
                              <a:gdLst/>
                              <a:ahLst/>
                              <a:cxnLst/>
                              <a:pathLst>
                                <a:path w="7425" h="5060">
                                  <a:moveTo>
                                    <a:pt x="69" y="319"/>
                                  </a:moveTo>
                                  <a:lnTo>
                                    <a:pt x="55" y="319"/>
                                  </a:lnTo>
                                  <a:lnTo>
                                    <a:pt x="62" y="299"/>
                                  </a:lnTo>
                                  <a:lnTo>
                                    <a:pt x="68" y="279"/>
                                  </a:lnTo>
                                  <a:lnTo>
                                    <a:pt x="88" y="279"/>
                                  </a:lnTo>
                                  <a:lnTo>
                                    <a:pt x="81" y="299"/>
                                  </a:lnTo>
                                  <a:lnTo>
                                    <a:pt x="75" y="299"/>
                                  </a:lnTo>
                                  <a:lnTo>
                                    <a:pt x="69" y="319"/>
                                  </a:lnTo>
                                  <a:close/>
                                </a:path>
                              </a:pathLst>
                            </a:custGeom>
                            <a:solidFill>
                              <a:srgbClr val="000000"/>
                            </a:solidFill>
                            <a:ln>
                              <a:noFill/>
                            </a:ln>
                          </wps:spPr>
                          <wps:bodyPr upright="1"/>
                        </wps:wsp>
                        <wps:wsp>
                          <wps:cNvPr id="28" name="任意多边形 28"/>
                          <wps:cNvSpPr/>
                          <wps:spPr>
                            <a:xfrm>
                              <a:off x="0" y="0"/>
                              <a:ext cx="7425" cy="5060"/>
                            </a:xfrm>
                            <a:custGeom>
                              <a:avLst/>
                              <a:gdLst/>
                              <a:ahLst/>
                              <a:cxnLst/>
                              <a:pathLst>
                                <a:path w="7425" h="5060">
                                  <a:moveTo>
                                    <a:pt x="7368" y="319"/>
                                  </a:moveTo>
                                  <a:lnTo>
                                    <a:pt x="7355" y="319"/>
                                  </a:lnTo>
                                  <a:lnTo>
                                    <a:pt x="7349" y="299"/>
                                  </a:lnTo>
                                  <a:lnTo>
                                    <a:pt x="7342" y="299"/>
                                  </a:lnTo>
                                  <a:lnTo>
                                    <a:pt x="7336" y="279"/>
                                  </a:lnTo>
                                  <a:lnTo>
                                    <a:pt x="7356" y="279"/>
                                  </a:lnTo>
                                  <a:lnTo>
                                    <a:pt x="7362" y="299"/>
                                  </a:lnTo>
                                  <a:lnTo>
                                    <a:pt x="7368" y="319"/>
                                  </a:lnTo>
                                  <a:close/>
                                </a:path>
                              </a:pathLst>
                            </a:custGeom>
                            <a:solidFill>
                              <a:srgbClr val="000000"/>
                            </a:solidFill>
                            <a:ln>
                              <a:noFill/>
                            </a:ln>
                          </wps:spPr>
                          <wps:bodyPr upright="1"/>
                        </wps:wsp>
                        <wps:wsp>
                          <wps:cNvPr id="29" name="任意多边形 29"/>
                          <wps:cNvSpPr/>
                          <wps:spPr>
                            <a:xfrm>
                              <a:off x="0" y="0"/>
                              <a:ext cx="7425" cy="5060"/>
                            </a:xfrm>
                            <a:custGeom>
                              <a:avLst/>
                              <a:gdLst/>
                              <a:ahLst/>
                              <a:cxnLst/>
                              <a:pathLst>
                                <a:path w="7425" h="5060">
                                  <a:moveTo>
                                    <a:pt x="63" y="339"/>
                                  </a:moveTo>
                                  <a:lnTo>
                                    <a:pt x="44" y="339"/>
                                  </a:lnTo>
                                  <a:lnTo>
                                    <a:pt x="50" y="319"/>
                                  </a:lnTo>
                                  <a:lnTo>
                                    <a:pt x="69" y="319"/>
                                  </a:lnTo>
                                  <a:lnTo>
                                    <a:pt x="63" y="339"/>
                                  </a:lnTo>
                                  <a:close/>
                                </a:path>
                              </a:pathLst>
                            </a:custGeom>
                            <a:solidFill>
                              <a:srgbClr val="000000"/>
                            </a:solidFill>
                            <a:ln>
                              <a:noFill/>
                            </a:ln>
                          </wps:spPr>
                          <wps:bodyPr upright="1"/>
                        </wps:wsp>
                        <wps:wsp>
                          <wps:cNvPr id="30" name="任意多边形 30"/>
                          <wps:cNvSpPr/>
                          <wps:spPr>
                            <a:xfrm>
                              <a:off x="0" y="0"/>
                              <a:ext cx="7425" cy="5060"/>
                            </a:xfrm>
                            <a:custGeom>
                              <a:avLst/>
                              <a:gdLst/>
                              <a:ahLst/>
                              <a:cxnLst/>
                              <a:pathLst>
                                <a:path w="7425" h="5060">
                                  <a:moveTo>
                                    <a:pt x="7380" y="339"/>
                                  </a:moveTo>
                                  <a:lnTo>
                                    <a:pt x="7360" y="339"/>
                                  </a:lnTo>
                                  <a:lnTo>
                                    <a:pt x="7355" y="319"/>
                                  </a:lnTo>
                                  <a:lnTo>
                                    <a:pt x="7374" y="319"/>
                                  </a:lnTo>
                                  <a:lnTo>
                                    <a:pt x="7380" y="339"/>
                                  </a:lnTo>
                                  <a:close/>
                                </a:path>
                              </a:pathLst>
                            </a:custGeom>
                            <a:solidFill>
                              <a:srgbClr val="000000"/>
                            </a:solidFill>
                            <a:ln>
                              <a:noFill/>
                            </a:ln>
                          </wps:spPr>
                          <wps:bodyPr upright="1"/>
                        </wps:wsp>
                        <wps:wsp>
                          <wps:cNvPr id="31" name="任意多边形 31"/>
                          <wps:cNvSpPr/>
                          <wps:spPr>
                            <a:xfrm>
                              <a:off x="0" y="0"/>
                              <a:ext cx="7425" cy="5060"/>
                            </a:xfrm>
                            <a:custGeom>
                              <a:avLst/>
                              <a:gdLst/>
                              <a:ahLst/>
                              <a:cxnLst/>
                              <a:pathLst>
                                <a:path w="7425" h="5060">
                                  <a:moveTo>
                                    <a:pt x="43" y="379"/>
                                  </a:moveTo>
                                  <a:lnTo>
                                    <a:pt x="29" y="379"/>
                                  </a:lnTo>
                                  <a:lnTo>
                                    <a:pt x="34" y="359"/>
                                  </a:lnTo>
                                  <a:lnTo>
                                    <a:pt x="39" y="339"/>
                                  </a:lnTo>
                                  <a:lnTo>
                                    <a:pt x="58" y="339"/>
                                  </a:lnTo>
                                  <a:lnTo>
                                    <a:pt x="53" y="359"/>
                                  </a:lnTo>
                                  <a:lnTo>
                                    <a:pt x="48" y="359"/>
                                  </a:lnTo>
                                  <a:lnTo>
                                    <a:pt x="43" y="379"/>
                                  </a:lnTo>
                                  <a:close/>
                                </a:path>
                              </a:pathLst>
                            </a:custGeom>
                            <a:solidFill>
                              <a:srgbClr val="000000"/>
                            </a:solidFill>
                            <a:ln>
                              <a:noFill/>
                            </a:ln>
                          </wps:spPr>
                          <wps:bodyPr upright="1"/>
                        </wps:wsp>
                        <wps:wsp>
                          <wps:cNvPr id="32" name="任意多边形 32"/>
                          <wps:cNvSpPr/>
                          <wps:spPr>
                            <a:xfrm>
                              <a:off x="0" y="0"/>
                              <a:ext cx="7425" cy="5060"/>
                            </a:xfrm>
                            <a:custGeom>
                              <a:avLst/>
                              <a:gdLst/>
                              <a:ahLst/>
                              <a:cxnLst/>
                              <a:pathLst>
                                <a:path w="7425" h="5060">
                                  <a:moveTo>
                                    <a:pt x="7394" y="379"/>
                                  </a:moveTo>
                                  <a:lnTo>
                                    <a:pt x="7380" y="379"/>
                                  </a:lnTo>
                                  <a:lnTo>
                                    <a:pt x="7376" y="359"/>
                                  </a:lnTo>
                                  <a:lnTo>
                                    <a:pt x="7371" y="359"/>
                                  </a:lnTo>
                                  <a:lnTo>
                                    <a:pt x="7366" y="339"/>
                                  </a:lnTo>
                                  <a:lnTo>
                                    <a:pt x="7385" y="339"/>
                                  </a:lnTo>
                                  <a:lnTo>
                                    <a:pt x="7390" y="359"/>
                                  </a:lnTo>
                                  <a:lnTo>
                                    <a:pt x="7394" y="379"/>
                                  </a:lnTo>
                                  <a:close/>
                                </a:path>
                              </a:pathLst>
                            </a:custGeom>
                            <a:solidFill>
                              <a:srgbClr val="000000"/>
                            </a:solidFill>
                            <a:ln>
                              <a:noFill/>
                            </a:ln>
                          </wps:spPr>
                          <wps:bodyPr upright="1"/>
                        </wps:wsp>
                        <wps:wsp>
                          <wps:cNvPr id="33" name="任意多边形 33"/>
                          <wps:cNvSpPr/>
                          <wps:spPr>
                            <a:xfrm>
                              <a:off x="0" y="0"/>
                              <a:ext cx="7425" cy="5060"/>
                            </a:xfrm>
                            <a:custGeom>
                              <a:avLst/>
                              <a:gdLst/>
                              <a:ahLst/>
                              <a:cxnLst/>
                              <a:pathLst>
                                <a:path w="7425" h="5060">
                                  <a:moveTo>
                                    <a:pt x="32" y="419"/>
                                  </a:moveTo>
                                  <a:lnTo>
                                    <a:pt x="17" y="419"/>
                                  </a:lnTo>
                                  <a:lnTo>
                                    <a:pt x="21" y="399"/>
                                  </a:lnTo>
                                  <a:lnTo>
                                    <a:pt x="25" y="379"/>
                                  </a:lnTo>
                                  <a:lnTo>
                                    <a:pt x="43" y="379"/>
                                  </a:lnTo>
                                  <a:lnTo>
                                    <a:pt x="39" y="399"/>
                                  </a:lnTo>
                                  <a:lnTo>
                                    <a:pt x="35" y="399"/>
                                  </a:lnTo>
                                  <a:lnTo>
                                    <a:pt x="32" y="419"/>
                                  </a:lnTo>
                                  <a:close/>
                                </a:path>
                              </a:pathLst>
                            </a:custGeom>
                            <a:solidFill>
                              <a:srgbClr val="000000"/>
                            </a:solidFill>
                            <a:ln>
                              <a:noFill/>
                            </a:ln>
                          </wps:spPr>
                          <wps:bodyPr upright="1"/>
                        </wps:wsp>
                        <wps:wsp>
                          <wps:cNvPr id="34" name="任意多边形 34"/>
                          <wps:cNvSpPr/>
                          <wps:spPr>
                            <a:xfrm>
                              <a:off x="0" y="0"/>
                              <a:ext cx="7425" cy="5060"/>
                            </a:xfrm>
                            <a:custGeom>
                              <a:avLst/>
                              <a:gdLst/>
                              <a:ahLst/>
                              <a:cxnLst/>
                              <a:pathLst>
                                <a:path w="7425" h="5060">
                                  <a:moveTo>
                                    <a:pt x="7406" y="419"/>
                                  </a:moveTo>
                                  <a:lnTo>
                                    <a:pt x="7392" y="419"/>
                                  </a:lnTo>
                                  <a:lnTo>
                                    <a:pt x="7388" y="399"/>
                                  </a:lnTo>
                                  <a:lnTo>
                                    <a:pt x="7384" y="399"/>
                                  </a:lnTo>
                                  <a:lnTo>
                                    <a:pt x="7380" y="379"/>
                                  </a:lnTo>
                                  <a:lnTo>
                                    <a:pt x="7399" y="379"/>
                                  </a:lnTo>
                                  <a:lnTo>
                                    <a:pt x="7403" y="399"/>
                                  </a:lnTo>
                                  <a:lnTo>
                                    <a:pt x="7406" y="419"/>
                                  </a:lnTo>
                                  <a:close/>
                                </a:path>
                              </a:pathLst>
                            </a:custGeom>
                            <a:solidFill>
                              <a:srgbClr val="000000"/>
                            </a:solidFill>
                            <a:ln>
                              <a:noFill/>
                            </a:ln>
                          </wps:spPr>
                          <wps:bodyPr upright="1"/>
                        </wps:wsp>
                        <wps:wsp>
                          <wps:cNvPr id="35" name="任意多边形 35"/>
                          <wps:cNvSpPr/>
                          <wps:spPr>
                            <a:xfrm>
                              <a:off x="0" y="0"/>
                              <a:ext cx="7425" cy="5060"/>
                            </a:xfrm>
                            <a:custGeom>
                              <a:avLst/>
                              <a:gdLst/>
                              <a:ahLst/>
                              <a:cxnLst/>
                              <a:pathLst>
                                <a:path w="7425" h="5060">
                                  <a:moveTo>
                                    <a:pt x="21" y="479"/>
                                  </a:moveTo>
                                  <a:lnTo>
                                    <a:pt x="6" y="479"/>
                                  </a:lnTo>
                                  <a:lnTo>
                                    <a:pt x="8" y="459"/>
                                  </a:lnTo>
                                  <a:lnTo>
                                    <a:pt x="11" y="439"/>
                                  </a:lnTo>
                                  <a:lnTo>
                                    <a:pt x="14" y="419"/>
                                  </a:lnTo>
                                  <a:lnTo>
                                    <a:pt x="32" y="419"/>
                                  </a:lnTo>
                                  <a:lnTo>
                                    <a:pt x="28" y="439"/>
                                  </a:lnTo>
                                  <a:lnTo>
                                    <a:pt x="26" y="439"/>
                                  </a:lnTo>
                                  <a:lnTo>
                                    <a:pt x="23" y="459"/>
                                  </a:lnTo>
                                  <a:lnTo>
                                    <a:pt x="23" y="459"/>
                                  </a:lnTo>
                                  <a:lnTo>
                                    <a:pt x="21" y="479"/>
                                  </a:lnTo>
                                  <a:close/>
                                </a:path>
                              </a:pathLst>
                            </a:custGeom>
                            <a:solidFill>
                              <a:srgbClr val="000000"/>
                            </a:solidFill>
                            <a:ln>
                              <a:noFill/>
                            </a:ln>
                          </wps:spPr>
                          <wps:bodyPr upright="1"/>
                        </wps:wsp>
                        <wps:wsp>
                          <wps:cNvPr id="36" name="任意多边形 36"/>
                          <wps:cNvSpPr/>
                          <wps:spPr>
                            <a:xfrm>
                              <a:off x="0" y="0"/>
                              <a:ext cx="7425" cy="5060"/>
                            </a:xfrm>
                            <a:custGeom>
                              <a:avLst/>
                              <a:gdLst/>
                              <a:ahLst/>
                              <a:cxnLst/>
                              <a:pathLst>
                                <a:path w="7425" h="5060">
                                  <a:moveTo>
                                    <a:pt x="7418" y="479"/>
                                  </a:moveTo>
                                  <a:lnTo>
                                    <a:pt x="7403" y="479"/>
                                  </a:lnTo>
                                  <a:lnTo>
                                    <a:pt x="7401" y="459"/>
                                  </a:lnTo>
                                  <a:lnTo>
                                    <a:pt x="7401" y="459"/>
                                  </a:lnTo>
                                  <a:lnTo>
                                    <a:pt x="7398" y="439"/>
                                  </a:lnTo>
                                  <a:lnTo>
                                    <a:pt x="7395" y="439"/>
                                  </a:lnTo>
                                  <a:lnTo>
                                    <a:pt x="7392" y="419"/>
                                  </a:lnTo>
                                  <a:lnTo>
                                    <a:pt x="7410" y="419"/>
                                  </a:lnTo>
                                  <a:lnTo>
                                    <a:pt x="7413" y="439"/>
                                  </a:lnTo>
                                  <a:lnTo>
                                    <a:pt x="7415" y="459"/>
                                  </a:lnTo>
                                  <a:lnTo>
                                    <a:pt x="7418" y="479"/>
                                  </a:lnTo>
                                  <a:close/>
                                </a:path>
                              </a:pathLst>
                            </a:custGeom>
                            <a:solidFill>
                              <a:srgbClr val="000000"/>
                            </a:solidFill>
                            <a:ln>
                              <a:noFill/>
                            </a:ln>
                          </wps:spPr>
                          <wps:bodyPr upright="1"/>
                        </wps:wsp>
                        <wps:wsp>
                          <wps:cNvPr id="37" name="任意多边形 37"/>
                          <wps:cNvSpPr/>
                          <wps:spPr>
                            <a:xfrm>
                              <a:off x="0" y="0"/>
                              <a:ext cx="7425" cy="5060"/>
                            </a:xfrm>
                            <a:custGeom>
                              <a:avLst/>
                              <a:gdLst/>
                              <a:ahLst/>
                              <a:cxnLst/>
                              <a:pathLst>
                                <a:path w="7425" h="5060">
                                  <a:moveTo>
                                    <a:pt x="16" y="519"/>
                                  </a:moveTo>
                                  <a:lnTo>
                                    <a:pt x="1" y="519"/>
                                  </a:lnTo>
                                  <a:lnTo>
                                    <a:pt x="2" y="499"/>
                                  </a:lnTo>
                                  <a:lnTo>
                                    <a:pt x="4" y="479"/>
                                  </a:lnTo>
                                  <a:lnTo>
                                    <a:pt x="19" y="479"/>
                                  </a:lnTo>
                                  <a:lnTo>
                                    <a:pt x="17" y="499"/>
                                  </a:lnTo>
                                  <a:lnTo>
                                    <a:pt x="17" y="499"/>
                                  </a:lnTo>
                                  <a:lnTo>
                                    <a:pt x="16" y="519"/>
                                  </a:lnTo>
                                  <a:close/>
                                </a:path>
                              </a:pathLst>
                            </a:custGeom>
                            <a:solidFill>
                              <a:srgbClr val="000000"/>
                            </a:solidFill>
                            <a:ln>
                              <a:noFill/>
                            </a:ln>
                          </wps:spPr>
                          <wps:bodyPr upright="1"/>
                        </wps:wsp>
                        <wps:wsp>
                          <wps:cNvPr id="38" name="任意多边形 38"/>
                          <wps:cNvSpPr/>
                          <wps:spPr>
                            <a:xfrm>
                              <a:off x="0" y="0"/>
                              <a:ext cx="7425" cy="5060"/>
                            </a:xfrm>
                            <a:custGeom>
                              <a:avLst/>
                              <a:gdLst/>
                              <a:ahLst/>
                              <a:cxnLst/>
                              <a:pathLst>
                                <a:path w="7425" h="5060">
                                  <a:moveTo>
                                    <a:pt x="7423" y="519"/>
                                  </a:moveTo>
                                  <a:lnTo>
                                    <a:pt x="7408" y="519"/>
                                  </a:lnTo>
                                  <a:lnTo>
                                    <a:pt x="7406" y="499"/>
                                  </a:lnTo>
                                  <a:lnTo>
                                    <a:pt x="7406" y="499"/>
                                  </a:lnTo>
                                  <a:lnTo>
                                    <a:pt x="7405" y="479"/>
                                  </a:lnTo>
                                  <a:lnTo>
                                    <a:pt x="7420" y="479"/>
                                  </a:lnTo>
                                  <a:lnTo>
                                    <a:pt x="7421" y="499"/>
                                  </a:lnTo>
                                  <a:lnTo>
                                    <a:pt x="7423" y="519"/>
                                  </a:lnTo>
                                  <a:close/>
                                </a:path>
                              </a:pathLst>
                            </a:custGeom>
                            <a:solidFill>
                              <a:srgbClr val="000000"/>
                            </a:solidFill>
                            <a:ln>
                              <a:noFill/>
                            </a:ln>
                          </wps:spPr>
                          <wps:bodyPr upright="1"/>
                        </wps:wsp>
                        <wps:wsp>
                          <wps:cNvPr id="39" name="任意多边形 39"/>
                          <wps:cNvSpPr/>
                          <wps:spPr>
                            <a:xfrm>
                              <a:off x="0" y="0"/>
                              <a:ext cx="7425" cy="5060"/>
                            </a:xfrm>
                            <a:custGeom>
                              <a:avLst/>
                              <a:gdLst/>
                              <a:ahLst/>
                              <a:cxnLst/>
                              <a:pathLst>
                                <a:path w="7425" h="5060">
                                  <a:moveTo>
                                    <a:pt x="19" y="4559"/>
                                  </a:moveTo>
                                  <a:lnTo>
                                    <a:pt x="2" y="4559"/>
                                  </a:lnTo>
                                  <a:lnTo>
                                    <a:pt x="1" y="4539"/>
                                  </a:lnTo>
                                  <a:lnTo>
                                    <a:pt x="0" y="4519"/>
                                  </a:lnTo>
                                  <a:lnTo>
                                    <a:pt x="0" y="4499"/>
                                  </a:lnTo>
                                  <a:lnTo>
                                    <a:pt x="0" y="539"/>
                                  </a:lnTo>
                                  <a:lnTo>
                                    <a:pt x="0" y="519"/>
                                  </a:lnTo>
                                  <a:lnTo>
                                    <a:pt x="15" y="519"/>
                                  </a:lnTo>
                                  <a:lnTo>
                                    <a:pt x="15" y="539"/>
                                  </a:lnTo>
                                  <a:lnTo>
                                    <a:pt x="15" y="4499"/>
                                  </a:lnTo>
                                  <a:lnTo>
                                    <a:pt x="15" y="4519"/>
                                  </a:lnTo>
                                  <a:lnTo>
                                    <a:pt x="16" y="4539"/>
                                  </a:lnTo>
                                  <a:lnTo>
                                    <a:pt x="17" y="4539"/>
                                  </a:lnTo>
                                  <a:lnTo>
                                    <a:pt x="19" y="4559"/>
                                  </a:lnTo>
                                  <a:close/>
                                </a:path>
                              </a:pathLst>
                            </a:custGeom>
                            <a:solidFill>
                              <a:srgbClr val="000000"/>
                            </a:solidFill>
                            <a:ln>
                              <a:noFill/>
                            </a:ln>
                          </wps:spPr>
                          <wps:bodyPr upright="1"/>
                        </wps:wsp>
                        <wps:wsp>
                          <wps:cNvPr id="40" name="任意多边形 40"/>
                          <wps:cNvSpPr/>
                          <wps:spPr>
                            <a:xfrm>
                              <a:off x="0" y="0"/>
                              <a:ext cx="7425" cy="5060"/>
                            </a:xfrm>
                            <a:custGeom>
                              <a:avLst/>
                              <a:gdLst/>
                              <a:ahLst/>
                              <a:cxnLst/>
                              <a:pathLst>
                                <a:path w="7425" h="5060">
                                  <a:moveTo>
                                    <a:pt x="7421" y="4559"/>
                                  </a:moveTo>
                                  <a:lnTo>
                                    <a:pt x="7405" y="4559"/>
                                  </a:lnTo>
                                  <a:lnTo>
                                    <a:pt x="7406" y="4539"/>
                                  </a:lnTo>
                                  <a:lnTo>
                                    <a:pt x="7408" y="4539"/>
                                  </a:lnTo>
                                  <a:lnTo>
                                    <a:pt x="7408" y="4519"/>
                                  </a:lnTo>
                                  <a:lnTo>
                                    <a:pt x="7408" y="4519"/>
                                  </a:lnTo>
                                  <a:lnTo>
                                    <a:pt x="7409" y="4499"/>
                                  </a:lnTo>
                                  <a:lnTo>
                                    <a:pt x="7409" y="539"/>
                                  </a:lnTo>
                                  <a:lnTo>
                                    <a:pt x="7408" y="519"/>
                                  </a:lnTo>
                                  <a:lnTo>
                                    <a:pt x="7423" y="519"/>
                                  </a:lnTo>
                                  <a:lnTo>
                                    <a:pt x="7424" y="539"/>
                                  </a:lnTo>
                                  <a:lnTo>
                                    <a:pt x="7424" y="4499"/>
                                  </a:lnTo>
                                  <a:lnTo>
                                    <a:pt x="7423" y="4519"/>
                                  </a:lnTo>
                                  <a:lnTo>
                                    <a:pt x="7423" y="4539"/>
                                  </a:lnTo>
                                  <a:lnTo>
                                    <a:pt x="7421" y="4559"/>
                                  </a:lnTo>
                                  <a:close/>
                                </a:path>
                              </a:pathLst>
                            </a:custGeom>
                            <a:solidFill>
                              <a:srgbClr val="000000"/>
                            </a:solidFill>
                            <a:ln>
                              <a:noFill/>
                            </a:ln>
                          </wps:spPr>
                          <wps:bodyPr upright="1"/>
                        </wps:wsp>
                        <wps:wsp>
                          <wps:cNvPr id="41" name="任意多边形 41"/>
                          <wps:cNvSpPr/>
                          <wps:spPr>
                            <a:xfrm>
                              <a:off x="0" y="0"/>
                              <a:ext cx="7425" cy="5060"/>
                            </a:xfrm>
                            <a:custGeom>
                              <a:avLst/>
                              <a:gdLst/>
                              <a:ahLst/>
                              <a:cxnLst/>
                              <a:pathLst>
                                <a:path w="7425" h="5060">
                                  <a:moveTo>
                                    <a:pt x="23" y="4599"/>
                                  </a:moveTo>
                                  <a:lnTo>
                                    <a:pt x="8" y="4599"/>
                                  </a:lnTo>
                                  <a:lnTo>
                                    <a:pt x="6" y="4579"/>
                                  </a:lnTo>
                                  <a:lnTo>
                                    <a:pt x="4" y="4559"/>
                                  </a:lnTo>
                                  <a:lnTo>
                                    <a:pt x="19" y="4559"/>
                                  </a:lnTo>
                                  <a:lnTo>
                                    <a:pt x="21" y="4579"/>
                                  </a:lnTo>
                                  <a:lnTo>
                                    <a:pt x="21" y="4579"/>
                                  </a:lnTo>
                                  <a:lnTo>
                                    <a:pt x="23" y="4599"/>
                                  </a:lnTo>
                                  <a:close/>
                                </a:path>
                              </a:pathLst>
                            </a:custGeom>
                            <a:solidFill>
                              <a:srgbClr val="000000"/>
                            </a:solidFill>
                            <a:ln>
                              <a:noFill/>
                            </a:ln>
                          </wps:spPr>
                          <wps:bodyPr upright="1"/>
                        </wps:wsp>
                        <wps:wsp>
                          <wps:cNvPr id="42" name="任意多边形 42"/>
                          <wps:cNvSpPr/>
                          <wps:spPr>
                            <a:xfrm>
                              <a:off x="0" y="0"/>
                              <a:ext cx="7425" cy="5060"/>
                            </a:xfrm>
                            <a:custGeom>
                              <a:avLst/>
                              <a:gdLst/>
                              <a:ahLst/>
                              <a:cxnLst/>
                              <a:pathLst>
                                <a:path w="7425" h="5060">
                                  <a:moveTo>
                                    <a:pt x="7415" y="4599"/>
                                  </a:moveTo>
                                  <a:lnTo>
                                    <a:pt x="7401" y="4599"/>
                                  </a:lnTo>
                                  <a:lnTo>
                                    <a:pt x="7403" y="4579"/>
                                  </a:lnTo>
                                  <a:lnTo>
                                    <a:pt x="7403" y="4579"/>
                                  </a:lnTo>
                                  <a:lnTo>
                                    <a:pt x="7405" y="4559"/>
                                  </a:lnTo>
                                  <a:lnTo>
                                    <a:pt x="7420" y="4559"/>
                                  </a:lnTo>
                                  <a:lnTo>
                                    <a:pt x="7418" y="4579"/>
                                  </a:lnTo>
                                  <a:lnTo>
                                    <a:pt x="7415" y="4599"/>
                                  </a:lnTo>
                                  <a:close/>
                                </a:path>
                              </a:pathLst>
                            </a:custGeom>
                            <a:solidFill>
                              <a:srgbClr val="000000"/>
                            </a:solidFill>
                            <a:ln>
                              <a:noFill/>
                            </a:ln>
                          </wps:spPr>
                          <wps:bodyPr upright="1"/>
                        </wps:wsp>
                        <wps:wsp>
                          <wps:cNvPr id="43" name="任意多边形 43"/>
                          <wps:cNvSpPr/>
                          <wps:spPr>
                            <a:xfrm>
                              <a:off x="0" y="0"/>
                              <a:ext cx="7425" cy="5060"/>
                            </a:xfrm>
                            <a:custGeom>
                              <a:avLst/>
                              <a:gdLst/>
                              <a:ahLst/>
                              <a:cxnLst/>
                              <a:pathLst>
                                <a:path w="7425" h="5060">
                                  <a:moveTo>
                                    <a:pt x="32" y="4639"/>
                                  </a:moveTo>
                                  <a:lnTo>
                                    <a:pt x="17" y="4639"/>
                                  </a:lnTo>
                                  <a:lnTo>
                                    <a:pt x="14" y="4619"/>
                                  </a:lnTo>
                                  <a:lnTo>
                                    <a:pt x="11" y="4599"/>
                                  </a:lnTo>
                                  <a:lnTo>
                                    <a:pt x="26" y="4599"/>
                                  </a:lnTo>
                                  <a:lnTo>
                                    <a:pt x="29" y="4619"/>
                                  </a:lnTo>
                                  <a:lnTo>
                                    <a:pt x="28" y="4619"/>
                                  </a:lnTo>
                                  <a:lnTo>
                                    <a:pt x="32" y="4639"/>
                                  </a:lnTo>
                                  <a:close/>
                                </a:path>
                              </a:pathLst>
                            </a:custGeom>
                            <a:solidFill>
                              <a:srgbClr val="000000"/>
                            </a:solidFill>
                            <a:ln>
                              <a:noFill/>
                            </a:ln>
                          </wps:spPr>
                          <wps:bodyPr upright="1"/>
                        </wps:wsp>
                        <wps:wsp>
                          <wps:cNvPr id="44" name="任意多边形 44"/>
                          <wps:cNvSpPr/>
                          <wps:spPr>
                            <a:xfrm>
                              <a:off x="0" y="0"/>
                              <a:ext cx="7425" cy="5060"/>
                            </a:xfrm>
                            <a:custGeom>
                              <a:avLst/>
                              <a:gdLst/>
                              <a:ahLst/>
                              <a:cxnLst/>
                              <a:pathLst>
                                <a:path w="7425" h="5060">
                                  <a:moveTo>
                                    <a:pt x="7406" y="4639"/>
                                  </a:moveTo>
                                  <a:lnTo>
                                    <a:pt x="7392" y="4639"/>
                                  </a:lnTo>
                                  <a:lnTo>
                                    <a:pt x="7395" y="4619"/>
                                  </a:lnTo>
                                  <a:lnTo>
                                    <a:pt x="7395" y="4619"/>
                                  </a:lnTo>
                                  <a:lnTo>
                                    <a:pt x="7398" y="4599"/>
                                  </a:lnTo>
                                  <a:lnTo>
                                    <a:pt x="7413" y="4599"/>
                                  </a:lnTo>
                                  <a:lnTo>
                                    <a:pt x="7410" y="4619"/>
                                  </a:lnTo>
                                  <a:lnTo>
                                    <a:pt x="7406" y="4639"/>
                                  </a:lnTo>
                                  <a:close/>
                                </a:path>
                              </a:pathLst>
                            </a:custGeom>
                            <a:solidFill>
                              <a:srgbClr val="000000"/>
                            </a:solidFill>
                            <a:ln>
                              <a:noFill/>
                            </a:ln>
                          </wps:spPr>
                          <wps:bodyPr upright="1"/>
                        </wps:wsp>
                        <wps:wsp>
                          <wps:cNvPr id="45" name="任意多边形 45"/>
                          <wps:cNvSpPr/>
                          <wps:spPr>
                            <a:xfrm>
                              <a:off x="0" y="0"/>
                              <a:ext cx="7425" cy="5060"/>
                            </a:xfrm>
                            <a:custGeom>
                              <a:avLst/>
                              <a:gdLst/>
                              <a:ahLst/>
                              <a:cxnLst/>
                              <a:pathLst>
                                <a:path w="7425" h="5060">
                                  <a:moveTo>
                                    <a:pt x="43" y="4679"/>
                                  </a:moveTo>
                                  <a:lnTo>
                                    <a:pt x="29" y="4679"/>
                                  </a:lnTo>
                                  <a:lnTo>
                                    <a:pt x="25" y="4659"/>
                                  </a:lnTo>
                                  <a:lnTo>
                                    <a:pt x="21" y="4639"/>
                                  </a:lnTo>
                                  <a:lnTo>
                                    <a:pt x="35" y="4639"/>
                                  </a:lnTo>
                                  <a:lnTo>
                                    <a:pt x="39" y="4659"/>
                                  </a:lnTo>
                                  <a:lnTo>
                                    <a:pt x="39" y="4659"/>
                                  </a:lnTo>
                                  <a:lnTo>
                                    <a:pt x="43" y="4679"/>
                                  </a:lnTo>
                                  <a:close/>
                                </a:path>
                              </a:pathLst>
                            </a:custGeom>
                            <a:solidFill>
                              <a:srgbClr val="000000"/>
                            </a:solidFill>
                            <a:ln>
                              <a:noFill/>
                            </a:ln>
                          </wps:spPr>
                          <wps:bodyPr upright="1"/>
                        </wps:wsp>
                        <wps:wsp>
                          <wps:cNvPr id="46" name="任意多边形 46"/>
                          <wps:cNvSpPr/>
                          <wps:spPr>
                            <a:xfrm>
                              <a:off x="0" y="0"/>
                              <a:ext cx="7425" cy="5060"/>
                            </a:xfrm>
                            <a:custGeom>
                              <a:avLst/>
                              <a:gdLst/>
                              <a:ahLst/>
                              <a:cxnLst/>
                              <a:pathLst>
                                <a:path w="7425" h="5060">
                                  <a:moveTo>
                                    <a:pt x="7394" y="4679"/>
                                  </a:moveTo>
                                  <a:lnTo>
                                    <a:pt x="7380" y="4679"/>
                                  </a:lnTo>
                                  <a:lnTo>
                                    <a:pt x="7384" y="4659"/>
                                  </a:lnTo>
                                  <a:lnTo>
                                    <a:pt x="7384" y="4659"/>
                                  </a:lnTo>
                                  <a:lnTo>
                                    <a:pt x="7388" y="4639"/>
                                  </a:lnTo>
                                  <a:lnTo>
                                    <a:pt x="7403" y="4639"/>
                                  </a:lnTo>
                                  <a:lnTo>
                                    <a:pt x="7399" y="4659"/>
                                  </a:lnTo>
                                  <a:lnTo>
                                    <a:pt x="7394" y="4679"/>
                                  </a:lnTo>
                                  <a:close/>
                                </a:path>
                              </a:pathLst>
                            </a:custGeom>
                            <a:solidFill>
                              <a:srgbClr val="000000"/>
                            </a:solidFill>
                            <a:ln>
                              <a:noFill/>
                            </a:ln>
                          </wps:spPr>
                          <wps:bodyPr upright="1"/>
                        </wps:wsp>
                        <wps:wsp>
                          <wps:cNvPr id="47" name="任意多边形 47"/>
                          <wps:cNvSpPr/>
                          <wps:spPr>
                            <a:xfrm>
                              <a:off x="0" y="0"/>
                              <a:ext cx="7425" cy="5060"/>
                            </a:xfrm>
                            <a:custGeom>
                              <a:avLst/>
                              <a:gdLst/>
                              <a:ahLst/>
                              <a:cxnLst/>
                              <a:pathLst>
                                <a:path w="7425" h="5060">
                                  <a:moveTo>
                                    <a:pt x="48" y="4679"/>
                                  </a:moveTo>
                                  <a:lnTo>
                                    <a:pt x="43" y="4679"/>
                                  </a:lnTo>
                                  <a:lnTo>
                                    <a:pt x="43" y="4659"/>
                                  </a:lnTo>
                                  <a:lnTo>
                                    <a:pt x="48" y="4679"/>
                                  </a:lnTo>
                                  <a:close/>
                                </a:path>
                              </a:pathLst>
                            </a:custGeom>
                            <a:solidFill>
                              <a:srgbClr val="000000"/>
                            </a:solidFill>
                            <a:ln>
                              <a:noFill/>
                            </a:ln>
                          </wps:spPr>
                          <wps:bodyPr upright="1"/>
                        </wps:wsp>
                        <wps:wsp>
                          <wps:cNvPr id="48" name="任意多边形 48"/>
                          <wps:cNvSpPr/>
                          <wps:spPr>
                            <a:xfrm>
                              <a:off x="0" y="0"/>
                              <a:ext cx="7425" cy="5060"/>
                            </a:xfrm>
                            <a:custGeom>
                              <a:avLst/>
                              <a:gdLst/>
                              <a:ahLst/>
                              <a:cxnLst/>
                              <a:pathLst>
                                <a:path w="7425" h="5060">
                                  <a:moveTo>
                                    <a:pt x="7380" y="4679"/>
                                  </a:moveTo>
                                  <a:lnTo>
                                    <a:pt x="7376" y="4679"/>
                                  </a:lnTo>
                                  <a:lnTo>
                                    <a:pt x="7380" y="4659"/>
                                  </a:lnTo>
                                  <a:lnTo>
                                    <a:pt x="7380" y="4679"/>
                                  </a:lnTo>
                                  <a:close/>
                                </a:path>
                              </a:pathLst>
                            </a:custGeom>
                            <a:solidFill>
                              <a:srgbClr val="000000"/>
                            </a:solidFill>
                            <a:ln>
                              <a:noFill/>
                            </a:ln>
                          </wps:spPr>
                          <wps:bodyPr upright="1"/>
                        </wps:wsp>
                        <wps:wsp>
                          <wps:cNvPr id="49" name="任意多边形 49"/>
                          <wps:cNvSpPr/>
                          <wps:spPr>
                            <a:xfrm>
                              <a:off x="0" y="0"/>
                              <a:ext cx="7425" cy="5060"/>
                            </a:xfrm>
                            <a:custGeom>
                              <a:avLst/>
                              <a:gdLst/>
                              <a:ahLst/>
                              <a:cxnLst/>
                              <a:pathLst>
                                <a:path w="7425" h="5060">
                                  <a:moveTo>
                                    <a:pt x="63" y="4719"/>
                                  </a:moveTo>
                                  <a:lnTo>
                                    <a:pt x="44" y="4719"/>
                                  </a:lnTo>
                                  <a:lnTo>
                                    <a:pt x="39" y="4699"/>
                                  </a:lnTo>
                                  <a:lnTo>
                                    <a:pt x="34" y="4679"/>
                                  </a:lnTo>
                                  <a:lnTo>
                                    <a:pt x="48" y="4679"/>
                                  </a:lnTo>
                                  <a:lnTo>
                                    <a:pt x="53" y="4699"/>
                                  </a:lnTo>
                                  <a:lnTo>
                                    <a:pt x="58" y="4699"/>
                                  </a:lnTo>
                                  <a:lnTo>
                                    <a:pt x="63" y="4719"/>
                                  </a:lnTo>
                                  <a:close/>
                                </a:path>
                              </a:pathLst>
                            </a:custGeom>
                            <a:solidFill>
                              <a:srgbClr val="000000"/>
                            </a:solidFill>
                            <a:ln>
                              <a:noFill/>
                            </a:ln>
                          </wps:spPr>
                          <wps:bodyPr upright="1"/>
                        </wps:wsp>
                        <wps:wsp>
                          <wps:cNvPr id="50" name="任意多边形 50"/>
                          <wps:cNvSpPr/>
                          <wps:spPr>
                            <a:xfrm>
                              <a:off x="0" y="0"/>
                              <a:ext cx="7425" cy="5060"/>
                            </a:xfrm>
                            <a:custGeom>
                              <a:avLst/>
                              <a:gdLst/>
                              <a:ahLst/>
                              <a:cxnLst/>
                              <a:pathLst>
                                <a:path w="7425" h="5060">
                                  <a:moveTo>
                                    <a:pt x="7380" y="4719"/>
                                  </a:moveTo>
                                  <a:lnTo>
                                    <a:pt x="7360" y="4719"/>
                                  </a:lnTo>
                                  <a:lnTo>
                                    <a:pt x="7366" y="4699"/>
                                  </a:lnTo>
                                  <a:lnTo>
                                    <a:pt x="7371" y="4699"/>
                                  </a:lnTo>
                                  <a:lnTo>
                                    <a:pt x="7376" y="4679"/>
                                  </a:lnTo>
                                  <a:lnTo>
                                    <a:pt x="7390" y="4679"/>
                                  </a:lnTo>
                                  <a:lnTo>
                                    <a:pt x="7385" y="4699"/>
                                  </a:lnTo>
                                  <a:lnTo>
                                    <a:pt x="7380" y="4719"/>
                                  </a:lnTo>
                                  <a:close/>
                                </a:path>
                              </a:pathLst>
                            </a:custGeom>
                            <a:solidFill>
                              <a:srgbClr val="000000"/>
                            </a:solidFill>
                            <a:ln>
                              <a:noFill/>
                            </a:ln>
                          </wps:spPr>
                          <wps:bodyPr upright="1"/>
                        </wps:wsp>
                        <wps:wsp>
                          <wps:cNvPr id="51" name="任意多边形 51"/>
                          <wps:cNvSpPr/>
                          <wps:spPr>
                            <a:xfrm>
                              <a:off x="0" y="0"/>
                              <a:ext cx="7425" cy="5060"/>
                            </a:xfrm>
                            <a:custGeom>
                              <a:avLst/>
                              <a:gdLst/>
                              <a:ahLst/>
                              <a:cxnLst/>
                              <a:pathLst>
                                <a:path w="7425" h="5060">
                                  <a:moveTo>
                                    <a:pt x="81" y="4759"/>
                                  </a:moveTo>
                                  <a:lnTo>
                                    <a:pt x="62" y="4759"/>
                                  </a:lnTo>
                                  <a:lnTo>
                                    <a:pt x="55" y="4739"/>
                                  </a:lnTo>
                                  <a:lnTo>
                                    <a:pt x="50" y="4719"/>
                                  </a:lnTo>
                                  <a:lnTo>
                                    <a:pt x="63" y="4719"/>
                                  </a:lnTo>
                                  <a:lnTo>
                                    <a:pt x="69" y="4739"/>
                                  </a:lnTo>
                                  <a:lnTo>
                                    <a:pt x="75" y="4739"/>
                                  </a:lnTo>
                                  <a:lnTo>
                                    <a:pt x="81" y="4759"/>
                                  </a:lnTo>
                                  <a:close/>
                                </a:path>
                              </a:pathLst>
                            </a:custGeom>
                            <a:solidFill>
                              <a:srgbClr val="000000"/>
                            </a:solidFill>
                            <a:ln>
                              <a:noFill/>
                            </a:ln>
                          </wps:spPr>
                          <wps:bodyPr upright="1"/>
                        </wps:wsp>
                        <wps:wsp>
                          <wps:cNvPr id="52" name="任意多边形 52"/>
                          <wps:cNvSpPr/>
                          <wps:spPr>
                            <a:xfrm>
                              <a:off x="0" y="0"/>
                              <a:ext cx="7425" cy="5060"/>
                            </a:xfrm>
                            <a:custGeom>
                              <a:avLst/>
                              <a:gdLst/>
                              <a:ahLst/>
                              <a:cxnLst/>
                              <a:pathLst>
                                <a:path w="7425" h="5060">
                                  <a:moveTo>
                                    <a:pt x="7362" y="4759"/>
                                  </a:moveTo>
                                  <a:lnTo>
                                    <a:pt x="7342" y="4759"/>
                                  </a:lnTo>
                                  <a:lnTo>
                                    <a:pt x="7349" y="4739"/>
                                  </a:lnTo>
                                  <a:lnTo>
                                    <a:pt x="7355" y="4739"/>
                                  </a:lnTo>
                                  <a:lnTo>
                                    <a:pt x="7360" y="4719"/>
                                  </a:lnTo>
                                  <a:lnTo>
                                    <a:pt x="7374" y="4719"/>
                                  </a:lnTo>
                                  <a:lnTo>
                                    <a:pt x="7368" y="4739"/>
                                  </a:lnTo>
                                  <a:lnTo>
                                    <a:pt x="7362" y="4759"/>
                                  </a:lnTo>
                                  <a:close/>
                                </a:path>
                              </a:pathLst>
                            </a:custGeom>
                            <a:solidFill>
                              <a:srgbClr val="000000"/>
                            </a:solidFill>
                            <a:ln>
                              <a:noFill/>
                            </a:ln>
                          </wps:spPr>
                          <wps:bodyPr upright="1"/>
                        </wps:wsp>
                        <wps:wsp>
                          <wps:cNvPr id="53" name="任意多边形 53"/>
                          <wps:cNvSpPr/>
                          <wps:spPr>
                            <a:xfrm>
                              <a:off x="0" y="0"/>
                              <a:ext cx="7425" cy="5060"/>
                            </a:xfrm>
                            <a:custGeom>
                              <a:avLst/>
                              <a:gdLst/>
                              <a:ahLst/>
                              <a:cxnLst/>
                              <a:pathLst>
                                <a:path w="7425" h="5060">
                                  <a:moveTo>
                                    <a:pt x="94" y="4779"/>
                                  </a:moveTo>
                                  <a:lnTo>
                                    <a:pt x="75" y="4779"/>
                                  </a:lnTo>
                                  <a:lnTo>
                                    <a:pt x="68" y="4759"/>
                                  </a:lnTo>
                                  <a:lnTo>
                                    <a:pt x="88" y="4759"/>
                                  </a:lnTo>
                                  <a:lnTo>
                                    <a:pt x="94" y="4779"/>
                                  </a:lnTo>
                                  <a:close/>
                                </a:path>
                              </a:pathLst>
                            </a:custGeom>
                            <a:solidFill>
                              <a:srgbClr val="000000"/>
                            </a:solidFill>
                            <a:ln>
                              <a:noFill/>
                            </a:ln>
                          </wps:spPr>
                          <wps:bodyPr upright="1"/>
                        </wps:wsp>
                        <wps:wsp>
                          <wps:cNvPr id="54" name="任意多边形 54"/>
                          <wps:cNvSpPr/>
                          <wps:spPr>
                            <a:xfrm>
                              <a:off x="0" y="0"/>
                              <a:ext cx="7425" cy="5060"/>
                            </a:xfrm>
                            <a:custGeom>
                              <a:avLst/>
                              <a:gdLst/>
                              <a:ahLst/>
                              <a:cxnLst/>
                              <a:pathLst>
                                <a:path w="7425" h="5060">
                                  <a:moveTo>
                                    <a:pt x="7349" y="4779"/>
                                  </a:moveTo>
                                  <a:lnTo>
                                    <a:pt x="7329" y="4779"/>
                                  </a:lnTo>
                                  <a:lnTo>
                                    <a:pt x="7336" y="4759"/>
                                  </a:lnTo>
                                  <a:lnTo>
                                    <a:pt x="7356" y="4759"/>
                                  </a:lnTo>
                                  <a:lnTo>
                                    <a:pt x="7349" y="4779"/>
                                  </a:lnTo>
                                  <a:close/>
                                </a:path>
                              </a:pathLst>
                            </a:custGeom>
                            <a:solidFill>
                              <a:srgbClr val="000000"/>
                            </a:solidFill>
                            <a:ln>
                              <a:noFill/>
                            </a:ln>
                          </wps:spPr>
                          <wps:bodyPr upright="1"/>
                        </wps:wsp>
                        <wps:wsp>
                          <wps:cNvPr id="55" name="任意多边形 55"/>
                          <wps:cNvSpPr/>
                          <wps:spPr>
                            <a:xfrm>
                              <a:off x="0" y="0"/>
                              <a:ext cx="7425" cy="5060"/>
                            </a:xfrm>
                            <a:custGeom>
                              <a:avLst/>
                              <a:gdLst/>
                              <a:ahLst/>
                              <a:cxnLst/>
                              <a:pathLst>
                                <a:path w="7425" h="5060">
                                  <a:moveTo>
                                    <a:pt x="116" y="4819"/>
                                  </a:moveTo>
                                  <a:lnTo>
                                    <a:pt x="96" y="4819"/>
                                  </a:lnTo>
                                  <a:lnTo>
                                    <a:pt x="89" y="4799"/>
                                  </a:lnTo>
                                  <a:lnTo>
                                    <a:pt x="82" y="4779"/>
                                  </a:lnTo>
                                  <a:lnTo>
                                    <a:pt x="94" y="4779"/>
                                  </a:lnTo>
                                  <a:lnTo>
                                    <a:pt x="102" y="4799"/>
                                  </a:lnTo>
                                  <a:lnTo>
                                    <a:pt x="109" y="4799"/>
                                  </a:lnTo>
                                  <a:lnTo>
                                    <a:pt x="116" y="4819"/>
                                  </a:lnTo>
                                  <a:close/>
                                </a:path>
                              </a:pathLst>
                            </a:custGeom>
                            <a:solidFill>
                              <a:srgbClr val="000000"/>
                            </a:solidFill>
                            <a:ln>
                              <a:noFill/>
                            </a:ln>
                          </wps:spPr>
                          <wps:bodyPr upright="1"/>
                        </wps:wsp>
                        <wps:wsp>
                          <wps:cNvPr id="56" name="任意多边形 56"/>
                          <wps:cNvSpPr/>
                          <wps:spPr>
                            <a:xfrm>
                              <a:off x="0" y="0"/>
                              <a:ext cx="7425" cy="5060"/>
                            </a:xfrm>
                            <a:custGeom>
                              <a:avLst/>
                              <a:gdLst/>
                              <a:ahLst/>
                              <a:cxnLst/>
                              <a:pathLst>
                                <a:path w="7425" h="5060">
                                  <a:moveTo>
                                    <a:pt x="7327" y="4819"/>
                                  </a:moveTo>
                                  <a:lnTo>
                                    <a:pt x="7307" y="4819"/>
                                  </a:lnTo>
                                  <a:lnTo>
                                    <a:pt x="7315" y="4799"/>
                                  </a:lnTo>
                                  <a:lnTo>
                                    <a:pt x="7322" y="4799"/>
                                  </a:lnTo>
                                  <a:lnTo>
                                    <a:pt x="7329" y="4779"/>
                                  </a:lnTo>
                                  <a:lnTo>
                                    <a:pt x="7342" y="4779"/>
                                  </a:lnTo>
                                  <a:lnTo>
                                    <a:pt x="7335" y="4799"/>
                                  </a:lnTo>
                                  <a:lnTo>
                                    <a:pt x="7327" y="4819"/>
                                  </a:lnTo>
                                  <a:close/>
                                </a:path>
                              </a:pathLst>
                            </a:custGeom>
                            <a:solidFill>
                              <a:srgbClr val="000000"/>
                            </a:solidFill>
                            <a:ln>
                              <a:noFill/>
                            </a:ln>
                          </wps:spPr>
                          <wps:bodyPr upright="1"/>
                        </wps:wsp>
                        <wps:wsp>
                          <wps:cNvPr id="57" name="任意多边形 57"/>
                          <wps:cNvSpPr/>
                          <wps:spPr>
                            <a:xfrm>
                              <a:off x="0" y="0"/>
                              <a:ext cx="7425" cy="5060"/>
                            </a:xfrm>
                            <a:custGeom>
                              <a:avLst/>
                              <a:gdLst/>
                              <a:ahLst/>
                              <a:cxnLst/>
                              <a:pathLst>
                                <a:path w="7425" h="5060">
                                  <a:moveTo>
                                    <a:pt x="132" y="4839"/>
                                  </a:moveTo>
                                  <a:lnTo>
                                    <a:pt x="112" y="4839"/>
                                  </a:lnTo>
                                  <a:lnTo>
                                    <a:pt x="104" y="4819"/>
                                  </a:lnTo>
                                  <a:lnTo>
                                    <a:pt x="124" y="4819"/>
                                  </a:lnTo>
                                  <a:lnTo>
                                    <a:pt x="132" y="4839"/>
                                  </a:lnTo>
                                  <a:close/>
                                </a:path>
                              </a:pathLst>
                            </a:custGeom>
                            <a:solidFill>
                              <a:srgbClr val="000000"/>
                            </a:solidFill>
                            <a:ln>
                              <a:noFill/>
                            </a:ln>
                          </wps:spPr>
                          <wps:bodyPr upright="1"/>
                        </wps:wsp>
                        <wps:wsp>
                          <wps:cNvPr id="58" name="任意多边形 58"/>
                          <wps:cNvSpPr/>
                          <wps:spPr>
                            <a:xfrm>
                              <a:off x="0" y="0"/>
                              <a:ext cx="7425" cy="5060"/>
                            </a:xfrm>
                            <a:custGeom>
                              <a:avLst/>
                              <a:gdLst/>
                              <a:ahLst/>
                              <a:cxnLst/>
                              <a:pathLst>
                                <a:path w="7425" h="5060">
                                  <a:moveTo>
                                    <a:pt x="7311" y="4839"/>
                                  </a:moveTo>
                                  <a:lnTo>
                                    <a:pt x="7291" y="4839"/>
                                  </a:lnTo>
                                  <a:lnTo>
                                    <a:pt x="7299" y="4819"/>
                                  </a:lnTo>
                                  <a:lnTo>
                                    <a:pt x="7319" y="4819"/>
                                  </a:lnTo>
                                  <a:lnTo>
                                    <a:pt x="7311" y="4839"/>
                                  </a:lnTo>
                                  <a:close/>
                                </a:path>
                              </a:pathLst>
                            </a:custGeom>
                            <a:solidFill>
                              <a:srgbClr val="000000"/>
                            </a:solidFill>
                            <a:ln>
                              <a:noFill/>
                            </a:ln>
                          </wps:spPr>
                          <wps:bodyPr upright="1"/>
                        </wps:wsp>
                        <wps:wsp>
                          <wps:cNvPr id="59" name="任意多边形 59"/>
                          <wps:cNvSpPr/>
                          <wps:spPr>
                            <a:xfrm>
                              <a:off x="0" y="0"/>
                              <a:ext cx="7425" cy="5060"/>
                            </a:xfrm>
                            <a:custGeom>
                              <a:avLst/>
                              <a:gdLst/>
                              <a:ahLst/>
                              <a:cxnLst/>
                              <a:pathLst>
                                <a:path w="7425" h="5060">
                                  <a:moveTo>
                                    <a:pt x="149" y="4859"/>
                                  </a:moveTo>
                                  <a:lnTo>
                                    <a:pt x="129" y="4859"/>
                                  </a:lnTo>
                                  <a:lnTo>
                                    <a:pt x="121" y="4839"/>
                                  </a:lnTo>
                                  <a:lnTo>
                                    <a:pt x="141" y="4839"/>
                                  </a:lnTo>
                                  <a:lnTo>
                                    <a:pt x="149" y="4859"/>
                                  </a:lnTo>
                                  <a:close/>
                                </a:path>
                              </a:pathLst>
                            </a:custGeom>
                            <a:solidFill>
                              <a:srgbClr val="000000"/>
                            </a:solidFill>
                            <a:ln>
                              <a:noFill/>
                            </a:ln>
                          </wps:spPr>
                          <wps:bodyPr upright="1"/>
                        </wps:wsp>
                        <wps:wsp>
                          <wps:cNvPr id="60" name="任意多边形 60"/>
                          <wps:cNvSpPr/>
                          <wps:spPr>
                            <a:xfrm>
                              <a:off x="0" y="0"/>
                              <a:ext cx="7425" cy="5060"/>
                            </a:xfrm>
                            <a:custGeom>
                              <a:avLst/>
                              <a:gdLst/>
                              <a:ahLst/>
                              <a:cxnLst/>
                              <a:pathLst>
                                <a:path w="7425" h="5060">
                                  <a:moveTo>
                                    <a:pt x="7294" y="4859"/>
                                  </a:moveTo>
                                  <a:lnTo>
                                    <a:pt x="7274" y="4859"/>
                                  </a:lnTo>
                                  <a:lnTo>
                                    <a:pt x="7283" y="4839"/>
                                  </a:lnTo>
                                  <a:lnTo>
                                    <a:pt x="7303" y="4839"/>
                                  </a:lnTo>
                                  <a:lnTo>
                                    <a:pt x="7294" y="4859"/>
                                  </a:lnTo>
                                  <a:close/>
                                </a:path>
                              </a:pathLst>
                            </a:custGeom>
                            <a:solidFill>
                              <a:srgbClr val="000000"/>
                            </a:solidFill>
                            <a:ln>
                              <a:noFill/>
                            </a:ln>
                          </wps:spPr>
                          <wps:bodyPr upright="1"/>
                        </wps:wsp>
                        <wps:wsp>
                          <wps:cNvPr id="61" name="任意多边形 61"/>
                          <wps:cNvSpPr/>
                          <wps:spPr>
                            <a:xfrm>
                              <a:off x="0" y="0"/>
                              <a:ext cx="7425" cy="5060"/>
                            </a:xfrm>
                            <a:custGeom>
                              <a:avLst/>
                              <a:gdLst/>
                              <a:ahLst/>
                              <a:cxnLst/>
                              <a:pathLst>
                                <a:path w="7425" h="5060">
                                  <a:moveTo>
                                    <a:pt x="167" y="4879"/>
                                  </a:moveTo>
                                  <a:lnTo>
                                    <a:pt x="147" y="4879"/>
                                  </a:lnTo>
                                  <a:lnTo>
                                    <a:pt x="138" y="4859"/>
                                  </a:lnTo>
                                  <a:lnTo>
                                    <a:pt x="158" y="4859"/>
                                  </a:lnTo>
                                  <a:lnTo>
                                    <a:pt x="167" y="4879"/>
                                  </a:lnTo>
                                  <a:close/>
                                </a:path>
                              </a:pathLst>
                            </a:custGeom>
                            <a:solidFill>
                              <a:srgbClr val="000000"/>
                            </a:solidFill>
                            <a:ln>
                              <a:noFill/>
                            </a:ln>
                          </wps:spPr>
                          <wps:bodyPr upright="1"/>
                        </wps:wsp>
                        <wps:wsp>
                          <wps:cNvPr id="62" name="任意多边形 62"/>
                          <wps:cNvSpPr/>
                          <wps:spPr>
                            <a:xfrm>
                              <a:off x="0" y="0"/>
                              <a:ext cx="7425" cy="5060"/>
                            </a:xfrm>
                            <a:custGeom>
                              <a:avLst/>
                              <a:gdLst/>
                              <a:ahLst/>
                              <a:cxnLst/>
                              <a:pathLst>
                                <a:path w="7425" h="5060">
                                  <a:moveTo>
                                    <a:pt x="7277" y="4879"/>
                                  </a:moveTo>
                                  <a:lnTo>
                                    <a:pt x="7256" y="4879"/>
                                  </a:lnTo>
                                  <a:lnTo>
                                    <a:pt x="7265" y="4859"/>
                                  </a:lnTo>
                                  <a:lnTo>
                                    <a:pt x="7286" y="4859"/>
                                  </a:lnTo>
                                  <a:lnTo>
                                    <a:pt x="7277" y="4879"/>
                                  </a:lnTo>
                                  <a:close/>
                                </a:path>
                              </a:pathLst>
                            </a:custGeom>
                            <a:solidFill>
                              <a:srgbClr val="000000"/>
                            </a:solidFill>
                            <a:ln>
                              <a:noFill/>
                            </a:ln>
                          </wps:spPr>
                          <wps:bodyPr upright="1"/>
                        </wps:wsp>
                        <wps:wsp>
                          <wps:cNvPr id="63" name="任意多边形 63"/>
                          <wps:cNvSpPr/>
                          <wps:spPr>
                            <a:xfrm>
                              <a:off x="0" y="0"/>
                              <a:ext cx="7425" cy="5060"/>
                            </a:xfrm>
                            <a:custGeom>
                              <a:avLst/>
                              <a:gdLst/>
                              <a:ahLst/>
                              <a:cxnLst/>
                              <a:pathLst>
                                <a:path w="7425" h="5060">
                                  <a:moveTo>
                                    <a:pt x="186" y="4899"/>
                                  </a:moveTo>
                                  <a:lnTo>
                                    <a:pt x="166" y="4899"/>
                                  </a:lnTo>
                                  <a:lnTo>
                                    <a:pt x="156" y="4879"/>
                                  </a:lnTo>
                                  <a:lnTo>
                                    <a:pt x="176" y="4879"/>
                                  </a:lnTo>
                                  <a:lnTo>
                                    <a:pt x="186" y="4899"/>
                                  </a:lnTo>
                                  <a:close/>
                                </a:path>
                              </a:pathLst>
                            </a:custGeom>
                            <a:solidFill>
                              <a:srgbClr val="000000"/>
                            </a:solidFill>
                            <a:ln>
                              <a:noFill/>
                            </a:ln>
                          </wps:spPr>
                          <wps:bodyPr upright="1"/>
                        </wps:wsp>
                        <wps:wsp>
                          <wps:cNvPr id="64" name="任意多边形 64"/>
                          <wps:cNvSpPr/>
                          <wps:spPr>
                            <a:xfrm>
                              <a:off x="0" y="0"/>
                              <a:ext cx="7425" cy="5060"/>
                            </a:xfrm>
                            <a:custGeom>
                              <a:avLst/>
                              <a:gdLst/>
                              <a:ahLst/>
                              <a:cxnLst/>
                              <a:pathLst>
                                <a:path w="7425" h="5060">
                                  <a:moveTo>
                                    <a:pt x="7258" y="4899"/>
                                  </a:moveTo>
                                  <a:lnTo>
                                    <a:pt x="7238" y="4899"/>
                                  </a:lnTo>
                                  <a:lnTo>
                                    <a:pt x="7247" y="4879"/>
                                  </a:lnTo>
                                  <a:lnTo>
                                    <a:pt x="7267" y="4879"/>
                                  </a:lnTo>
                                  <a:lnTo>
                                    <a:pt x="7258" y="4899"/>
                                  </a:lnTo>
                                  <a:close/>
                                </a:path>
                              </a:pathLst>
                            </a:custGeom>
                            <a:solidFill>
                              <a:srgbClr val="000000"/>
                            </a:solidFill>
                            <a:ln>
                              <a:noFill/>
                            </a:ln>
                          </wps:spPr>
                          <wps:bodyPr upright="1"/>
                        </wps:wsp>
                        <wps:wsp>
                          <wps:cNvPr id="65" name="任意多边形 65"/>
                          <wps:cNvSpPr/>
                          <wps:spPr>
                            <a:xfrm>
                              <a:off x="0" y="0"/>
                              <a:ext cx="7425" cy="5060"/>
                            </a:xfrm>
                            <a:custGeom>
                              <a:avLst/>
                              <a:gdLst/>
                              <a:ahLst/>
                              <a:cxnLst/>
                              <a:pathLst>
                                <a:path w="7425" h="5060">
                                  <a:moveTo>
                                    <a:pt x="206" y="4919"/>
                                  </a:moveTo>
                                  <a:lnTo>
                                    <a:pt x="186" y="4919"/>
                                  </a:lnTo>
                                  <a:lnTo>
                                    <a:pt x="176" y="4899"/>
                                  </a:lnTo>
                                  <a:lnTo>
                                    <a:pt x="196" y="4899"/>
                                  </a:lnTo>
                                  <a:lnTo>
                                    <a:pt x="206" y="4919"/>
                                  </a:lnTo>
                                  <a:close/>
                                </a:path>
                              </a:pathLst>
                            </a:custGeom>
                            <a:solidFill>
                              <a:srgbClr val="000000"/>
                            </a:solidFill>
                            <a:ln>
                              <a:noFill/>
                            </a:ln>
                          </wps:spPr>
                          <wps:bodyPr upright="1"/>
                        </wps:wsp>
                        <wps:wsp>
                          <wps:cNvPr id="66" name="任意多边形 66"/>
                          <wps:cNvSpPr/>
                          <wps:spPr>
                            <a:xfrm>
                              <a:off x="0" y="0"/>
                              <a:ext cx="7425" cy="5060"/>
                            </a:xfrm>
                            <a:custGeom>
                              <a:avLst/>
                              <a:gdLst/>
                              <a:ahLst/>
                              <a:cxnLst/>
                              <a:pathLst>
                                <a:path w="7425" h="5060">
                                  <a:moveTo>
                                    <a:pt x="7238" y="4919"/>
                                  </a:moveTo>
                                  <a:lnTo>
                                    <a:pt x="7218" y="4919"/>
                                  </a:lnTo>
                                  <a:lnTo>
                                    <a:pt x="7228" y="4899"/>
                                  </a:lnTo>
                                  <a:lnTo>
                                    <a:pt x="7248" y="4899"/>
                                  </a:lnTo>
                                  <a:lnTo>
                                    <a:pt x="7238" y="4919"/>
                                  </a:lnTo>
                                  <a:close/>
                                </a:path>
                              </a:pathLst>
                            </a:custGeom>
                            <a:solidFill>
                              <a:srgbClr val="000000"/>
                            </a:solidFill>
                            <a:ln>
                              <a:noFill/>
                            </a:ln>
                          </wps:spPr>
                          <wps:bodyPr upright="1"/>
                        </wps:wsp>
                        <wps:wsp>
                          <wps:cNvPr id="67" name="任意多边形 67"/>
                          <wps:cNvSpPr/>
                          <wps:spPr>
                            <a:xfrm>
                              <a:off x="0" y="0"/>
                              <a:ext cx="7425" cy="5060"/>
                            </a:xfrm>
                            <a:custGeom>
                              <a:avLst/>
                              <a:gdLst/>
                              <a:ahLst/>
                              <a:cxnLst/>
                              <a:pathLst>
                                <a:path w="7425" h="5060">
                                  <a:moveTo>
                                    <a:pt x="237" y="4939"/>
                                  </a:moveTo>
                                  <a:lnTo>
                                    <a:pt x="206" y="4939"/>
                                  </a:lnTo>
                                  <a:lnTo>
                                    <a:pt x="196" y="4919"/>
                                  </a:lnTo>
                                  <a:lnTo>
                                    <a:pt x="226" y="4919"/>
                                  </a:lnTo>
                                  <a:lnTo>
                                    <a:pt x="237" y="4939"/>
                                  </a:lnTo>
                                  <a:close/>
                                </a:path>
                              </a:pathLst>
                            </a:custGeom>
                            <a:solidFill>
                              <a:srgbClr val="000000"/>
                            </a:solidFill>
                            <a:ln>
                              <a:noFill/>
                            </a:ln>
                          </wps:spPr>
                          <wps:bodyPr upright="1"/>
                        </wps:wsp>
                        <wps:wsp>
                          <wps:cNvPr id="68" name="任意多边形 68"/>
                          <wps:cNvSpPr/>
                          <wps:spPr>
                            <a:xfrm>
                              <a:off x="0" y="0"/>
                              <a:ext cx="7425" cy="5060"/>
                            </a:xfrm>
                            <a:custGeom>
                              <a:avLst/>
                              <a:gdLst/>
                              <a:ahLst/>
                              <a:cxnLst/>
                              <a:pathLst>
                                <a:path w="7425" h="5060">
                                  <a:moveTo>
                                    <a:pt x="7217" y="4939"/>
                                  </a:moveTo>
                                  <a:lnTo>
                                    <a:pt x="7187" y="4939"/>
                                  </a:lnTo>
                                  <a:lnTo>
                                    <a:pt x="7198" y="4919"/>
                                  </a:lnTo>
                                  <a:lnTo>
                                    <a:pt x="7228" y="4919"/>
                                  </a:lnTo>
                                  <a:lnTo>
                                    <a:pt x="7217" y="4939"/>
                                  </a:lnTo>
                                  <a:close/>
                                </a:path>
                              </a:pathLst>
                            </a:custGeom>
                            <a:solidFill>
                              <a:srgbClr val="000000"/>
                            </a:solidFill>
                            <a:ln>
                              <a:noFill/>
                            </a:ln>
                          </wps:spPr>
                          <wps:bodyPr upright="1"/>
                        </wps:wsp>
                        <wps:wsp>
                          <wps:cNvPr id="69" name="任意多边形 69"/>
                          <wps:cNvSpPr/>
                          <wps:spPr>
                            <a:xfrm>
                              <a:off x="0" y="0"/>
                              <a:ext cx="7425" cy="5060"/>
                            </a:xfrm>
                            <a:custGeom>
                              <a:avLst/>
                              <a:gdLst/>
                              <a:ahLst/>
                              <a:cxnLst/>
                              <a:pathLst>
                                <a:path w="7425" h="5060">
                                  <a:moveTo>
                                    <a:pt x="258" y="4959"/>
                                  </a:moveTo>
                                  <a:lnTo>
                                    <a:pt x="239" y="4959"/>
                                  </a:lnTo>
                                  <a:lnTo>
                                    <a:pt x="228" y="4939"/>
                                  </a:lnTo>
                                  <a:lnTo>
                                    <a:pt x="247" y="4939"/>
                                  </a:lnTo>
                                  <a:lnTo>
                                    <a:pt x="258" y="4959"/>
                                  </a:lnTo>
                                  <a:close/>
                                </a:path>
                              </a:pathLst>
                            </a:custGeom>
                            <a:solidFill>
                              <a:srgbClr val="000000"/>
                            </a:solidFill>
                            <a:ln>
                              <a:noFill/>
                            </a:ln>
                          </wps:spPr>
                          <wps:bodyPr upright="1"/>
                        </wps:wsp>
                        <wps:wsp>
                          <wps:cNvPr id="70" name="任意多边形 70"/>
                          <wps:cNvSpPr/>
                          <wps:spPr>
                            <a:xfrm>
                              <a:off x="0" y="0"/>
                              <a:ext cx="7425" cy="5060"/>
                            </a:xfrm>
                            <a:custGeom>
                              <a:avLst/>
                              <a:gdLst/>
                              <a:ahLst/>
                              <a:cxnLst/>
                              <a:pathLst>
                                <a:path w="7425" h="5060">
                                  <a:moveTo>
                                    <a:pt x="7185" y="4959"/>
                                  </a:moveTo>
                                  <a:lnTo>
                                    <a:pt x="7165" y="4959"/>
                                  </a:lnTo>
                                  <a:lnTo>
                                    <a:pt x="7176" y="4939"/>
                                  </a:lnTo>
                                  <a:lnTo>
                                    <a:pt x="7196" y="4939"/>
                                  </a:lnTo>
                                  <a:lnTo>
                                    <a:pt x="7185" y="4959"/>
                                  </a:lnTo>
                                  <a:close/>
                                </a:path>
                              </a:pathLst>
                            </a:custGeom>
                            <a:solidFill>
                              <a:srgbClr val="000000"/>
                            </a:solidFill>
                            <a:ln>
                              <a:noFill/>
                            </a:ln>
                          </wps:spPr>
                          <wps:bodyPr upright="1"/>
                        </wps:wsp>
                        <wps:wsp>
                          <wps:cNvPr id="71" name="任意多边形 71"/>
                          <wps:cNvSpPr/>
                          <wps:spPr>
                            <a:xfrm>
                              <a:off x="0" y="0"/>
                              <a:ext cx="7425" cy="5060"/>
                            </a:xfrm>
                            <a:custGeom>
                              <a:avLst/>
                              <a:gdLst/>
                              <a:ahLst/>
                              <a:cxnLst/>
                              <a:pathLst>
                                <a:path w="7425" h="5060">
                                  <a:moveTo>
                                    <a:pt x="292" y="4979"/>
                                  </a:moveTo>
                                  <a:lnTo>
                                    <a:pt x="261" y="4979"/>
                                  </a:lnTo>
                                  <a:lnTo>
                                    <a:pt x="250" y="4959"/>
                                  </a:lnTo>
                                  <a:lnTo>
                                    <a:pt x="281" y="4959"/>
                                  </a:lnTo>
                                  <a:lnTo>
                                    <a:pt x="292" y="4979"/>
                                  </a:lnTo>
                                  <a:close/>
                                </a:path>
                              </a:pathLst>
                            </a:custGeom>
                            <a:solidFill>
                              <a:srgbClr val="000000"/>
                            </a:solidFill>
                            <a:ln>
                              <a:noFill/>
                            </a:ln>
                          </wps:spPr>
                          <wps:bodyPr upright="1"/>
                        </wps:wsp>
                        <wps:wsp>
                          <wps:cNvPr id="72" name="任意多边形 72"/>
                          <wps:cNvSpPr/>
                          <wps:spPr>
                            <a:xfrm>
                              <a:off x="0" y="0"/>
                              <a:ext cx="7425" cy="5060"/>
                            </a:xfrm>
                            <a:custGeom>
                              <a:avLst/>
                              <a:gdLst/>
                              <a:ahLst/>
                              <a:cxnLst/>
                              <a:pathLst>
                                <a:path w="7425" h="5060">
                                  <a:moveTo>
                                    <a:pt x="7162" y="4979"/>
                                  </a:moveTo>
                                  <a:lnTo>
                                    <a:pt x="7131" y="4979"/>
                                  </a:lnTo>
                                  <a:lnTo>
                                    <a:pt x="7143" y="4959"/>
                                  </a:lnTo>
                                  <a:lnTo>
                                    <a:pt x="7174" y="4959"/>
                                  </a:lnTo>
                                  <a:lnTo>
                                    <a:pt x="7162" y="4979"/>
                                  </a:lnTo>
                                  <a:close/>
                                </a:path>
                              </a:pathLst>
                            </a:custGeom>
                            <a:solidFill>
                              <a:srgbClr val="000000"/>
                            </a:solidFill>
                            <a:ln>
                              <a:noFill/>
                            </a:ln>
                          </wps:spPr>
                          <wps:bodyPr upright="1"/>
                        </wps:wsp>
                        <wps:wsp>
                          <wps:cNvPr id="73" name="任意多边形 73"/>
                          <wps:cNvSpPr/>
                          <wps:spPr>
                            <a:xfrm>
                              <a:off x="0" y="0"/>
                              <a:ext cx="7425" cy="5060"/>
                            </a:xfrm>
                            <a:custGeom>
                              <a:avLst/>
                              <a:gdLst/>
                              <a:ahLst/>
                              <a:cxnLst/>
                              <a:pathLst>
                                <a:path w="7425" h="5060">
                                  <a:moveTo>
                                    <a:pt x="328" y="4999"/>
                                  </a:moveTo>
                                  <a:lnTo>
                                    <a:pt x="297" y="4999"/>
                                  </a:lnTo>
                                  <a:lnTo>
                                    <a:pt x="285" y="4979"/>
                                  </a:lnTo>
                                  <a:lnTo>
                                    <a:pt x="316" y="4979"/>
                                  </a:lnTo>
                                  <a:lnTo>
                                    <a:pt x="328" y="4999"/>
                                  </a:lnTo>
                                  <a:close/>
                                </a:path>
                              </a:pathLst>
                            </a:custGeom>
                            <a:solidFill>
                              <a:srgbClr val="000000"/>
                            </a:solidFill>
                            <a:ln>
                              <a:noFill/>
                            </a:ln>
                          </wps:spPr>
                          <wps:bodyPr upright="1"/>
                        </wps:wsp>
                        <wps:wsp>
                          <wps:cNvPr id="74" name="任意多边形 74"/>
                          <wps:cNvSpPr/>
                          <wps:spPr>
                            <a:xfrm>
                              <a:off x="0" y="0"/>
                              <a:ext cx="7425" cy="5060"/>
                            </a:xfrm>
                            <a:custGeom>
                              <a:avLst/>
                              <a:gdLst/>
                              <a:ahLst/>
                              <a:cxnLst/>
                              <a:pathLst>
                                <a:path w="7425" h="5060">
                                  <a:moveTo>
                                    <a:pt x="7127" y="4999"/>
                                  </a:moveTo>
                                  <a:lnTo>
                                    <a:pt x="7096" y="4999"/>
                                  </a:lnTo>
                                  <a:lnTo>
                                    <a:pt x="7108" y="4979"/>
                                  </a:lnTo>
                                  <a:lnTo>
                                    <a:pt x="7139" y="4979"/>
                                  </a:lnTo>
                                  <a:lnTo>
                                    <a:pt x="7127" y="4999"/>
                                  </a:lnTo>
                                  <a:close/>
                                </a:path>
                              </a:pathLst>
                            </a:custGeom>
                            <a:solidFill>
                              <a:srgbClr val="000000"/>
                            </a:solidFill>
                            <a:ln>
                              <a:noFill/>
                            </a:ln>
                          </wps:spPr>
                          <wps:bodyPr upright="1"/>
                        </wps:wsp>
                        <wps:wsp>
                          <wps:cNvPr id="75" name="任意多边形 75"/>
                          <wps:cNvSpPr/>
                          <wps:spPr>
                            <a:xfrm>
                              <a:off x="0" y="0"/>
                              <a:ext cx="7425" cy="5060"/>
                            </a:xfrm>
                            <a:custGeom>
                              <a:avLst/>
                              <a:gdLst/>
                              <a:ahLst/>
                              <a:cxnLst/>
                              <a:pathLst>
                                <a:path w="7425" h="5060">
                                  <a:moveTo>
                                    <a:pt x="378" y="5019"/>
                                  </a:moveTo>
                                  <a:lnTo>
                                    <a:pt x="334" y="5019"/>
                                  </a:lnTo>
                                  <a:lnTo>
                                    <a:pt x="321" y="4999"/>
                                  </a:lnTo>
                                  <a:lnTo>
                                    <a:pt x="365" y="4999"/>
                                  </a:lnTo>
                                  <a:lnTo>
                                    <a:pt x="378" y="5019"/>
                                  </a:lnTo>
                                  <a:close/>
                                </a:path>
                              </a:pathLst>
                            </a:custGeom>
                            <a:solidFill>
                              <a:srgbClr val="000000"/>
                            </a:solidFill>
                            <a:ln>
                              <a:noFill/>
                            </a:ln>
                          </wps:spPr>
                          <wps:bodyPr upright="1"/>
                        </wps:wsp>
                        <wps:wsp>
                          <wps:cNvPr id="76" name="任意多边形 76"/>
                          <wps:cNvSpPr/>
                          <wps:spPr>
                            <a:xfrm>
                              <a:off x="0" y="0"/>
                              <a:ext cx="7425" cy="5060"/>
                            </a:xfrm>
                            <a:custGeom>
                              <a:avLst/>
                              <a:gdLst/>
                              <a:ahLst/>
                              <a:cxnLst/>
                              <a:pathLst>
                                <a:path w="7425" h="5060">
                                  <a:moveTo>
                                    <a:pt x="7090" y="5019"/>
                                  </a:moveTo>
                                  <a:lnTo>
                                    <a:pt x="7046" y="5019"/>
                                  </a:lnTo>
                                  <a:lnTo>
                                    <a:pt x="7059" y="4999"/>
                                  </a:lnTo>
                                  <a:lnTo>
                                    <a:pt x="7102" y="4999"/>
                                  </a:lnTo>
                                  <a:lnTo>
                                    <a:pt x="7090" y="5019"/>
                                  </a:lnTo>
                                  <a:close/>
                                </a:path>
                              </a:pathLst>
                            </a:custGeom>
                            <a:solidFill>
                              <a:srgbClr val="000000"/>
                            </a:solidFill>
                            <a:ln>
                              <a:noFill/>
                            </a:ln>
                          </wps:spPr>
                          <wps:bodyPr upright="1"/>
                        </wps:wsp>
                        <wps:wsp>
                          <wps:cNvPr id="77" name="任意多边形 77"/>
                          <wps:cNvSpPr/>
                          <wps:spPr>
                            <a:xfrm>
                              <a:off x="0" y="0"/>
                              <a:ext cx="7425" cy="5060"/>
                            </a:xfrm>
                            <a:custGeom>
                              <a:avLst/>
                              <a:gdLst/>
                              <a:ahLst/>
                              <a:cxnLst/>
                              <a:pathLst>
                                <a:path w="7425" h="5060">
                                  <a:moveTo>
                                    <a:pt x="443" y="5039"/>
                                  </a:moveTo>
                                  <a:lnTo>
                                    <a:pt x="385" y="5039"/>
                                  </a:lnTo>
                                  <a:lnTo>
                                    <a:pt x="372" y="5019"/>
                                  </a:lnTo>
                                  <a:lnTo>
                                    <a:pt x="429" y="5019"/>
                                  </a:lnTo>
                                  <a:lnTo>
                                    <a:pt x="443" y="5039"/>
                                  </a:lnTo>
                                  <a:close/>
                                </a:path>
                              </a:pathLst>
                            </a:custGeom>
                            <a:solidFill>
                              <a:srgbClr val="000000"/>
                            </a:solidFill>
                            <a:ln>
                              <a:noFill/>
                            </a:ln>
                          </wps:spPr>
                          <wps:bodyPr upright="1"/>
                        </wps:wsp>
                        <wps:wsp>
                          <wps:cNvPr id="78" name="任意多边形 78"/>
                          <wps:cNvSpPr/>
                          <wps:spPr>
                            <a:xfrm>
                              <a:off x="0" y="0"/>
                              <a:ext cx="7425" cy="5060"/>
                            </a:xfrm>
                            <a:custGeom>
                              <a:avLst/>
                              <a:gdLst/>
                              <a:ahLst/>
                              <a:cxnLst/>
                              <a:pathLst>
                                <a:path w="7425" h="5060">
                                  <a:moveTo>
                                    <a:pt x="7038" y="5039"/>
                                  </a:moveTo>
                                  <a:lnTo>
                                    <a:pt x="6981" y="5039"/>
                                  </a:lnTo>
                                  <a:lnTo>
                                    <a:pt x="6994" y="5019"/>
                                  </a:lnTo>
                                  <a:lnTo>
                                    <a:pt x="7051" y="5019"/>
                                  </a:lnTo>
                                  <a:lnTo>
                                    <a:pt x="7038" y="5039"/>
                                  </a:lnTo>
                                  <a:close/>
                                </a:path>
                              </a:pathLst>
                            </a:custGeom>
                            <a:solidFill>
                              <a:srgbClr val="000000"/>
                            </a:solidFill>
                            <a:ln>
                              <a:noFill/>
                            </a:ln>
                          </wps:spPr>
                          <wps:bodyPr upright="1"/>
                        </wps:wsp>
                        <wps:wsp>
                          <wps:cNvPr id="79" name="任意多边形 79"/>
                          <wps:cNvSpPr/>
                          <wps:spPr>
                            <a:xfrm>
                              <a:off x="0" y="0"/>
                              <a:ext cx="7425" cy="5060"/>
                            </a:xfrm>
                            <a:custGeom>
                              <a:avLst/>
                              <a:gdLst/>
                              <a:ahLst/>
                              <a:cxnLst/>
                              <a:pathLst>
                                <a:path w="7425" h="5060">
                                  <a:moveTo>
                                    <a:pt x="6956" y="5059"/>
                                  </a:moveTo>
                                  <a:lnTo>
                                    <a:pt x="467" y="5059"/>
                                  </a:lnTo>
                                  <a:lnTo>
                                    <a:pt x="453" y="5039"/>
                                  </a:lnTo>
                                  <a:lnTo>
                                    <a:pt x="6970" y="5039"/>
                                  </a:lnTo>
                                  <a:lnTo>
                                    <a:pt x="6956" y="5059"/>
                                  </a:lnTo>
                                  <a:close/>
                                </a:path>
                              </a:pathLst>
                            </a:custGeom>
                            <a:solidFill>
                              <a:srgbClr val="000000"/>
                            </a:solidFill>
                            <a:ln>
                              <a:noFill/>
                            </a:ln>
                          </wps:spPr>
                          <wps:bodyPr upright="1"/>
                        </wps:wsp>
                      </wpg:grpSp>
                    </wpg:wgp>
                  </a:graphicData>
                </a:graphic>
              </wp:inline>
            </w:drawing>
          </mc:Choice>
          <mc:Fallback>
            <w:pict>
              <v:group id="_x0000_s1026" o:spid="_x0000_s1026" o:spt="203" style="height:253pt;width:448.5pt;" coordsize="7425,5060" o:gfxdata="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">
                <o:lock v:ext="edit" rotation="t" aspectratio="f"/>
                <v:group id="组合 80" o:spid="_x0000_s1026" o:spt="203" style="position:absolute;left:0;top:0;height:5060;width:7425;" coordsize="7425,5060"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shape id="_x0000_s1026" o:spid="_x0000_s1026" o:spt="100" style="position:absolute;left:0;top:0;height:5060;width:7425;" fillcolor="#000000" filled="t" stroked="f" coordsize="7425,5060" o:gfxdata="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83tze5AAAA2gAA&#10;AA8AAAAAAAAAAQAgAAAAIgAAAGRycy9kb3ducmV2LnhtbFBLAQIUABQAAAAIAIdO4kAzLwWeOwAA&#10;ADkAAAAQAAAAAAAAAAEAIAAAAAgBAABkcnMvc2hhcGV4bWwueG1sUEsFBgAAAAAGAAYAWwEAALID&#10;AAAAAA==&#10;" path="m483,19l412,19,426,0,497,0,4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UpQL0AAADa&#10;AAAADwAAAGRycy9kb3ducmV2LnhtbEWPwWrDMBBE74H+g9hCLqGRY2goTpQQCgYfHEqd9r5YG9vU&#10;WglLsd1+fVQo9DjMzBtmf5xNL0YafGdZwWadgCCure64UfBxyZ9eQPiArLG3TAq+ycPx8LDYY6bt&#10;xO80VqEREcI+QwVtCC6T0tctGfRr64ijd7WDwRDl0Eg94BThppdpkmylwY7jQouOXluqv6qbUfBZ&#10;leWPy1euOL+lPvjytH2mk1LLx02yAxFoDv/hv3ahFaTweyXeAHm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5SlAvQAA&#10;ANoAAAAPAAAAAAAAAAEAIAAAACIAAABkcnMvZG93bnJldi54bWxQSwECFAAUAAAACACHTuJAMy8F&#10;njsAAAA5AAAAEAAAAAAAAAABACAAAAAMAQAAZHJzL3NoYXBleG1sLnhtbFBLBQYAAAAABgAGAFsB&#10;AAC2AwAAAAA=&#10;" path="m7011,19l6940,19,6926,0,6998,0,701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KmM27sAAADa&#10;AAAADwAAAGRycy9kb3ducmV2LnhtbEWPT4vCMBTE7wt+h/AEL4umKitSjSKC4KEiW/X+aJ5tsXkJ&#10;Tfz76Y2wsMdhZn7DzJcP04gbtb62rGA4SEAQF1bXXCo4Hjb9KQgfkDU2lknBkzwsF52vOaba3vmX&#10;bnkoRYSwT1FBFYJLpfRFRQb9wDri6J1tazBE2ZZSt3iPcNPIUZJMpMGa40KFjtYVFZf8ahSc8ix7&#10;uc232+72Ix98tpr80EqpXneYzEAEeoT/8F97qxWM4XMl3gC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mM27sAAADa&#10;AAAADwAAAAAAAAABACAAAAAiAAAAZHJzL2Rvd25yZXYueG1sUEsBAhQAFAAAAAgAh07iQDMvBZ47&#10;AAAAOQAAABAAAAAAAAAAAQAgAAAACgEAAGRycy9zaGFwZXhtbC54bWxQSwUGAAAAAAYABgBbAQAA&#10;tAMAAAAA&#10;" path="m390,39l346,39,359,19,403,19,39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T0AUr7sAAADa&#10;AAAADwAAAGRycy9kb3ducmV2LnhtbEWPT4vCMBTE7wt+h/AEL4umiitSjSKC4KEiW/X+aJ5tsXkJ&#10;Tfz76Y2wsMdhZn7DzJcP04gbtb62rGA4SEAQF1bXXCo4Hjb9KQgfkDU2lknBkzwsF52vOaba3vmX&#10;bnkoRYSwT1FBFYJLpfRFRQb9wDri6J1tazBE2ZZSt3iPcNPIUZJMpMGa40KFjtYVFZf8ahSc8ix7&#10;uc232+72Ix98tpr80EqpXneYzEAEeoT/8F97qxWM4XMl3gC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0AUr7sAAADa&#10;AAAADwAAAAAAAAABACAAAAAiAAAAZHJzL2Rvd25yZXYueG1sUEsBAhQAFAAAAAgAh07iQDMvBZ47&#10;AAAAOQAAABAAAAAAAAAAAQAgAAAACgEAAGRycy9zaGFwZXhtbC54bWxQSwUGAAAAAAYABgBbAQAA&#10;tAMAAAAA&#10;" path="m7077,39l7033,39,7020,19,7064,19,7077,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AyxNLoAAADa&#10;AAAADwAAAGRycy9kb3ducmV2LnhtbEWPzarCMBSE94LvEI7gRjRVUKQaRQTBRUVu73V/aI5tsTkJ&#10;Tfx9eiMIdznMzDfMcv0wjbhR62vLCsajBARxYXXNpYK/391wDsIHZI2NZVLwJA/rVbezxFTbO//Q&#10;LQ+liBD2KSqoQnCplL6oyKAfWUccvbNtDYYo21LqFu8Rbho5SZKZNFhzXKjQ0bai4pJfjYJTnmUv&#10;txu4/eE48cFnm9mUNkr1e+NkASLQI/yHv+29VjCFz5V4A+Tq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DLE0ugAAANoA&#10;AAAPAAAAAAAAAAEAIAAAACIAAABkcnMvZG93bnJldi54bWxQSwECFAAUAAAACACHTuJAMy8FnjsA&#10;AAA5AAAAEAAAAAAAAAABACAAAAAJAQAAZHJzL3NoYXBleG1sLnhtbFBLBQYAAAAABgAGAFsBAACz&#10;AwAAAAA=&#10;" path="m340,59l309,59,321,39,352,39,340,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0N4vQ70AAADa&#10;AAAADwAAAGRycy9kb3ducmV2LnhtbEWPwWrDMBBE74X+g9hCL6WRbYgpTpRgCgEfHEKd9r5YG9vU&#10;WglLjdN+fRQI9DjMzBtmvb2YUZxp8oNlBekiAUHcWj1wp+DzuHt9A+EDssbRMin4JQ/bzePDGgtt&#10;Z/6gcxM6ESHsC1TQh+AKKX3bk0G/sI44eic7GQxRTp3UE84RbkaZJUkuDQ4cF3p09N5T+938GAVf&#10;TV3/ud2Lq/aHzAdfl/mSSqWen9JkBSLQJfyH7+1KK8jhdiXeALm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3i9DvQAA&#10;ANoAAAAPAAAAAAAAAAEAIAAAACIAAABkcnMvZG93bnJldi54bWxQSwECFAAUAAAACACHTuJAMy8F&#10;njsAAAA5AAAAEAAAAAAAAAABACAAAAAMAQAAZHJzL3NoYXBleG1sLnhtbFBLBQYAAAAABgAGAFsB&#10;AAC2AwAAAAA=&#10;" path="m7115,59l7084,59,7071,39,7102,39,711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5KK2LsAAADa&#10;AAAADwAAAGRycy9kb3ducmV2LnhtbEWPT4vCMBTE7wt+h/CEvSyaKuhKNYoIgoeK2NX7o3m2xeYl&#10;NFn/fXojCB6HmfkNM1vcTCMu1PrasoJBPwFBXFhdc6ng8LfuTUD4gKyxsUwK7uRhMe98zTDV9sp7&#10;uuShFBHCPkUFVQguldIXFRn0feuIo3eyrcEQZVtK3eI1wk0jh0kylgZrjgsVOlpVVJzzf6PgmGfZ&#10;w61/3Ga7G/rgs+V4REulvruDZAoi0C18wu/2Riv4hdeVe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5KK2LsAAADa&#10;AAAADwAAAAAAAAABACAAAAAiAAAAZHJzL2Rvd25yZXYueG1sUEsBAhQAFAAAAAgAh07iQDMvBZ47&#10;AAAAOQAAABAAAAAAAAAAAQAgAAAACgEAAGRycy9zaGFwZXhtbC54bWxQSwUGAAAAAAYABgBbAQAA&#10;tAMAAAAA&#10;" path="m304,79l273,79,285,59,316,59,30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g0eqroAAADa&#10;AAAADwAAAGRycy9kb3ducmV2LnhtbEVPz2vCMBS+D/Y/hDfwMmxqwSLVVEQQPHSMdfP+aN7asuYl&#10;NNHW/fXLQdjx4/u9289mEDcafW9ZwSpJQRA3VvfcKvj6PC03IHxA1jhYJgV38rAvn592WGg78Qfd&#10;6tCKGMK+QAVdCK6Q0jcdGfSJdcSR+7ajwRDh2Eo94hTDzSCzNM2lwZ5jQ4eOjh01P/XVKLjUVfXr&#10;Tq/u/Pae+eCrQ76mg1KLl1W6BRFoDv/ih/usFcSt8Uq8AbL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DR6qugAAANoA&#10;AAAPAAAAAAAAAAEAIAAAACIAAABkcnMvZG93bnJldi54bWxQSwECFAAUAAAACACHTuJAMy8FnjsA&#10;AAA5AAAAEAAAAAAAAAABACAAAAAJAQAAZHJzL3NoYXBleG1sLnhtbFBLBQYAAAAABgAGAFsBAACz&#10;AwAAAAA=&#10;" path="m7151,79l7120,79,7108,59,7139,59,715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UG7MbsAAADa&#10;AAAADwAAAGRycy9kb3ducmV2LnhtbEWPT4vCMBTE7wt+h/CEvSyaKihrNYoIgoeK2NX7o3m2xeYl&#10;NFn/fXojCB6HmfkNM1vcTCMu1PrasoJBPwFBXFhdc6ng8Lfu/YLwAVljY5kU3MnDYt75mmGq7ZX3&#10;dMlDKSKEfYoKqhBcKqUvKjLo+9YRR+9kW4MhyraUusVrhJtGDpNkLA3WHBcqdLSqqDjn/0bBMc+y&#10;h1v/uM12N/TBZ8vxiJZKfXcHyRREoFv4hN/tjVYwgdeVe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G7MbsAAADa&#10;AAAADwAAAAAAAAABACAAAAAiAAAAZHJzL2Rvd25yZXYueG1sUEsBAhQAFAAAAAgAh07iQDMvBZ47&#10;AAAAOQAAABAAAAAAAAAAAQAgAAAACgEAAGRycy9zaGFwZXhtbC54bWxQSwUGAAAAAAYABgBbAQAA&#10;tAMAAAAA&#10;" path="m269,99l239,99,250,79,281,79,26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WPYeb4AAADb&#10;AAAADwAAAGRycy9kb3ducmV2LnhtbEWPT2vCQBDF70K/wzKFXkQ3ChWJriKCkEOKmNb7kJ0modnZ&#10;Jbv+aT+9cyh4m+G9ee836+3d9epKQ+w8G5hNM1DEtbcdNwa+Pg+TJaiYkC32nsnAL0XYbl5Ga8yt&#10;v/GJrlVqlIRwzNFAm1LItY51Sw7j1Adi0b794DDJOjTaDniTcNfreZYttMOOpaHFQPuW6p/q4gyc&#10;q7L8C4dxKD6O85hiuVu8086Yt9dZtgKV6J6e5v/rwgq+0Ms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WPYeb4A&#10;AADbAAAADwAAAAAAAAABACAAAAAiAAAAZHJzL2Rvd25yZXYueG1sUEsBAhQAFAAAAAgAh07iQDMv&#10;BZ47AAAAOQAAABAAAAAAAAAAAQAgAAAADQEAAGRycy9zaGFwZXhtbC54bWxQSwUGAAAAAAYABgBb&#10;AQAAtwMAAAAA&#10;" path="m7185,99l7154,99,7143,79,7174,79,718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i994rsAAADb&#10;AAAADwAAAGRycy9kb3ducmV2LnhtbEVPTWvDMAy9F/YfjAa9lNVJYGWkcUsZBHJIGUu3u4jVJCyW&#10;Teym3X59PRjspsf7VLG/mVHMNPnBsoJ0nYAgbq0euFPwcSqfXkD4gKxxtEwKvsnDfvewKDDX9srv&#10;NDehEzGEfY4K+hBcLqVvezLo19YRR+5sJ4MhwqmTesJrDDejzJJkIw0OHBt6dPTaU/vVXIyCz6au&#10;f1y5ctXxLfPB14fNMx2UWj6myRZEoFv4F/+5Kx3np/D7SzxA7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i994rsAAADb&#10;AAAADwAAAAAAAAABACAAAAAiAAAAZHJzL2Rvd25yZXYueG1sUEsBAhQAFAAAAAgAh07iQDMvBZ47&#10;AAAAOQAAABAAAAAAAAAAAQAgAAAACgEAAGRycy9zaGFwZXhtbC54bWxQSwUGAAAAAAYABgBbAQAA&#10;tAMAAAAA&#10;" path="m237,119l217,119,228,99,247,99,23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v3jlbsAAADb&#10;AAAADwAAAGRycy9kb3ducmV2LnhtbEVPTWvDMAy9F/YfjAa9lNVpYGWkdUsZBHJIGUu3u4jVJCyW&#10;Tewm2X59PRjspsf71P44m16MNPjOsoLNOgFBXFvdcaPg45I/vYDwAVljb5kUfJOH4+FhscdM24nf&#10;aaxCI2II+wwVtCG4TEpft2TQr60jjtzVDgZDhEMj9YBTDDe9TJNkKw12HBtadPTaUv1V3YyCz6os&#10;f1y+csX5LfXBl6ftM52UWj5ukh2IQHP4F/+5Cx3np/D7SzxAH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3jlbsAAADb&#10;AAAADwAAAAAAAAABACAAAAAiAAAAZHJzL2Rvd25yZXYueG1sUEsBAhQAFAAAAAgAh07iQDMvBZ47&#10;AAAAOQAAABAAAAAAAAAAAQAgAAAACgEAAGRycy9zaGFwZXhtbC54bWxQSwUGAAAAAAYABgBbAQAA&#10;tAMAAAAA&#10;" path="m7207,119l7187,119,7176,99,7196,99,720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bFGDrkAAADb&#10;AAAADwAAAGRycy9kb3ducmV2LnhtbEVPS4vCMBC+L/gfwgheFk1VVq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xRg65AAAA2wAA&#10;AA8AAAAAAAAAAQAgAAAAIgAAAGRycy9kb3ducmV2LnhtbFBLAQIUABQAAAAIAIdO4kAzLwWeOwAA&#10;ADkAAAAQAAAAAAAAAAEAIAAAAAgBAABkcnMvc2hhcGV4bWwueG1sUEsFBgAAAAAGAAYAWwEAALID&#10;AAAAAA==&#10;" path="m216,139l186,139,196,119,226,119,216,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ljeerkAAADb&#10;AAAADwAAAGRycy9kb3ducmV2LnhtbEVPS4vCMBC+L/gfwgheFk0VV6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5Y3nq5AAAA2wAA&#10;AA8AAAAAAAAAAQAgAAAAIgAAAGRycy9kb3ducmV2LnhtbFBLAQIUABQAAAAIAIdO4kAzLwWeOwAA&#10;ADkAAAAQAAAAAAAAAAEAIAAAAAgBAABkcnMvc2hhcGV4bWwueG1sUEsFBgAAAAAGAAYAWwEAALID&#10;AAAAAA==&#10;" path="m7238,139l7208,139,7197,119,7228,119,7238,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RR74bsAAADb&#10;AAAADwAAAGRycy9kb3ducmV2LnhtbEVPTWvCQBC9F/wPywheSt0oJEjqKiIIHiKlab0P2WkSmp1d&#10;squJ/vquIPQ2j/c56+1oOnGl3reWFSzmCQjiyuqWawXfX4e3FQgfkDV2lknBjTxsN5OXNebaDvxJ&#10;1zLUIoawz1FBE4LLpfRVQwb93DriyP3Y3mCIsK+l7nGI4aaTyyTJpMGWY0ODjvYNVb/lxSg4l0Vx&#10;d4dXdzx9LH3wxS5LaafUbLpI3kEEGsO/+Ok+6jg/hcc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RR74bsAAADb&#10;AAAADwAAAAAAAAABACAAAAAiAAAAZHJzL2Rvd25yZXYueG1sUEsBAhQAFAAAAAgAh07iQDMvBZ47&#10;AAAAOQAAABAAAAAAAAAAAQAgAAAACgEAAGRycy9zaGFwZXhtbC54bWxQSwUGAAAAAAYABgBbAQAA&#10;tAMAAAAA&#10;" path="m186,159l166,159,176,139,196,139,186,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cbllrkAAADb&#10;AAAADwAAAGRycy9kb3ducmV2LnhtbEVPS4vCMBC+C/6HMIIX0VRhi1SjiCB46LJY9T40Y1tsJqGJ&#10;z1+/WVjwNh/fc5brp2nFnTrfWFYwnSQgiEurG64UnI678RyED8gaW8uk4EUe1qt+b4mZtg8+0L0I&#10;lYgh7DNUUIfgMil9WZNBP7GOOHIX2xkMEXaV1B0+Yrhp5SxJUmmw4dhQo6NtTeW1uBkF5yLP3243&#10;cvvvn5kPPt+kX7RRajiYJgsQgZ7hI/5373Wcn8LfL/EAuf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HG5Za5AAAA2wAA&#10;AA8AAAAAAAAAAQAgAAAAIgAAAGRycy9kb3ducmV2LnhtbFBLAQIUABQAAAAIAIdO4kAzLwWeOwAA&#10;ADkAAAAQAAAAAAAAAAEAIAAAAAgBAABkcnMvc2hhcGV4bWwueG1sUEsFBgAAAAAGAAYAWwEAALID&#10;AAAAAA==&#10;" path="m7258,159l7238,159,7228,139,7248,139,7258,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opADbkAAADb&#10;AAAADwAAAGRycy9kb3ducmV2LnhtbEVPS4vCMBC+L/gfwgh7WTRV0JVqFBEEDxWxq/ehGdtiMwlN&#10;1tevN4LgbT6+58wWN9OIC7W+tqxg0E9AEBdW11wqOPytexMQPiBrbCyTgjt5WMw7XzNMtb3yni55&#10;KEUMYZ+igioEl0rpi4oM+r51xJE72dZgiLAtpW7xGsNNI4dJMpYGa44NFTpaVVSc83+j4Jhn2cOt&#10;f9xmuxv64LPleERLpb67g2QKItAtfMRv90bH+b/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6KQA25AAAA2wAA&#10;AA8AAAAAAAAAAQAgAAAAIgAAAGRycy9kb3ducmV2LnhtbFBLAQIUABQAAAAIAIdO4kAzLwWeOwAA&#10;ADkAAAAQAAAAAAAAAAEAIAAAAAgBAABkcnMvc2hhcGV4bWwueG1sUEsFBgAAAAAGAAYAWwEAALID&#10;AAAAAA==&#10;" path="m167,179l147,179,156,159,176,159,16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xXUf74AAADb&#10;AAAADwAAAGRycy9kb3ducmV2LnhtbEWPT2vCQBDF70K/wzKFXkQ3ChWJriKCkEOKmNb7kJ0modnZ&#10;Jbv+aT+9cyh4m+G9ee836+3d9epKQ+w8G5hNM1DEtbcdNwa+Pg+TJaiYkC32nsnAL0XYbl5Ga8yt&#10;v/GJrlVqlIRwzNFAm1LItY51Sw7j1Adi0b794DDJOjTaDniTcNfreZYttMOOpaHFQPuW6p/q4gyc&#10;q7L8C4dxKD6O85hiuVu8086Yt9dZtgKV6J6e5v/rwgq+wMo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xXUf74A&#10;AADbAAAADwAAAAAAAAABACAAAAAiAAAAZHJzL2Rvd25yZXYueG1sUEsBAhQAFAAAAAgAh07iQDMv&#10;BZ47AAAAOQAAABAAAAAAAAAAAQAgAAAADQEAAGRycy9zaGFwZXhtbC54bWxQSwUGAAAAAAYABgBb&#10;AQAAtwMAAAAA&#10;" path="m7277,179l7256,179,7247,159,7267,159,727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Flx5LkAAADb&#10;AAAADwAAAGRycy9kb3ducmV2LnhtbEVPS4vCMBC+L/gfwgh7WTRVUNZqFBEEDxWxq/ehGdtiMwlN&#10;1tevN4LgbT6+58wWN9OIC7W+tqxg0E9AEBdW11wqOPyte78gfEDW2FgmBXfysJh3vmaYanvlPV3y&#10;UIoYwj5FBVUILpXSFxUZ9H3riCN3sq3BEGFbSt3iNYabRg6TZCwN1hwbKnS0qqg45/9GwTHPsodb&#10;/7jNdjf0wWfL8YiWSn13B8kURKBb+Ijf7o2O8yf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BZceS5AAAA2wAA&#10;AA8AAAAAAAAAAQAgAAAAIgAAAGRycy9kb3ducmV2LnhtbFBLAQIUABQAAAAIAIdO4kAzLwWeOwAA&#10;ADkAAAAQAAAAAAAAAAEAIAAAAAgBAABkcnMvc2hhcGV4bWwueG1sUEsFBgAAAAAGAAYAWwEAALID&#10;AAAAAA==&#10;" path="m149,199l129,199,138,179,158,179,149,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w8SxLgAAADb&#10;AAAADwAAAGRycy9kb3ducmV2LnhtbEVPy4rCMBTdC/5DuIIbGVMLinSMIoLgoiJW3V+aO22Z5iY0&#10;8fn1ZiG4PJz3YvUwrbhR5xvLCibjBARxaXXDlYLzafszB+EDssbWMil4kofVst9bYKbtnY90K0Il&#10;Ygj7DBXUIbhMSl/WZNCPrSOO3J/tDIYIu0rqDu8x3LQyTZKZNNhwbKjR0aam8r+4GgWXIs9fbjty&#10;u/0h9cHn69mU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w8SxLgAAADbAAAA&#10;DwAAAAAAAAABACAAAAAiAAAAZHJzL2Rvd25yZXYueG1sUEsBAhQAFAAAAAgAh07iQDMvBZ47AAAA&#10;OQAAABAAAAAAAAAAAQAgAAAABwEAAGRycy9zaGFwZXhtbC54bWxQSwUGAAAAAAYABgBbAQAAsQMA&#10;AAAA&#10;" path="m7294,199l7274,199,7265,179,7286,179,7294,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EO3X7wAAADb&#10;AAAADwAAAGRycy9kb3ducmV2LnhtbEWPT4vCMBTE78J+h/AWvIimLShLNYosCB4qYl3vj+bZlm1e&#10;QhP/7H56Iwgeh5n5DbNY3U0nrtT71rKCdJKAIK6sbrlW8HPcjL9A+ICssbNMCv7Iw2r5MVhgru2N&#10;D3QtQy0ihH2OCpoQXC6lrxoy6CfWEUfvbHuDIcq+lrrHW4SbTmZJMpMGW44LDTr6bqj6LS9Gwaks&#10;in+3Gbntbp/54Iv1bEprpYafaTIHEege3uFXe6sVZCk8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Dt1+8AAAA&#10;2wAAAA8AAAAAAAAAAQAgAAAAIgAAAGRycy9kb3ducmV2LnhtbFBLAQIUABQAAAAIAIdO4kAzLwWe&#10;OwAAADkAAAAQAAAAAAAAAAEAIAAAAAsBAABkcnMvc2hhcGV4bWwueG1sUEsFBgAAAAAGAAYAWwEA&#10;ALUDAAAAAA==&#10;" path="m132,219l112,219,121,199,141,199,132,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JEpKL0AAADb&#10;AAAADwAAAGRycy9kb3ducmV2LnhtbEWPwWrDMBBE74H+g9hCLqGRY2goTpQQCgYfHEqd9r5YG9vU&#10;WglLsd1+fVQo9DjMzBtmf5xNL0YafGdZwWadgCCure64UfBxyZ9eQPiArLG3TAq+ycPx8LDYY6bt&#10;xO80VqEREcI+QwVtCC6T0tctGfRr64ijd7WDwRDl0Eg94BThppdpkmylwY7jQouOXluqv6qbUfBZ&#10;leWPy1euOL+lPvjytH2mk1LLx02yAxFoDv/hv3ahFaQp/H6JP0Ae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kSkovQAA&#10;ANsAAAAPAAAAAAAAAAEAIAAAACIAAABkcnMvZG93bnJldi54bWxQSwECFAAUAAAACACHTuJAMy8F&#10;njsAAAA5AAAAEAAAAAAAAAABACAAAAAMAQAAZHJzL3NoYXBleG1sLnhtbFBLBQYAAAAABgAGAFsB&#10;AAC2AwAAAAA=&#10;" path="m7311,219l7291,219,7283,199,7303,199,7311,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92Ms7wAAADb&#10;AAAADwAAAGRycy9kb3ducmV2LnhtbEWPT4vCMBTE7wt+h/AEL4umVla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jLO8AAAA&#10;2wAAAA8AAAAAAAAAAQAgAAAAIgAAAGRycy9kb3ducmV2LnhtbFBLAQIUABQAAAAIAIdO4kAzLwWe&#10;OwAAADkAAAAQAAAAAAAAAAEAIAAAAAsBAABkcnMvc2hhcGV4bWwueG1sUEsFBgAAAAAGAAYAWwEA&#10;ALUDAAAAAA==&#10;" path="m101,259l89,259,96,239,104,219,124,219,116,239,109,239,101,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DQUx7wAAADb&#10;AAAADwAAAGRycy9kb3ducmV2LnhtbEWPT4vCMBTE7wt+h/AEL4umFle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A0FMe8AAAA&#10;2wAAAA8AAAAAAAAAAQAgAAAAIgAAAGRycy9kb3ducmV2LnhtbFBLAQIUABQAAAAIAIdO4kAzLwWe&#10;OwAAADkAAAAQAAAAAAAAAAEAIAAAAAsBAABkcnMvc2hhcGV4bWwueG1sUEsFBgAAAAAGAAYAWwEA&#10;ALUDAAAAAA==&#10;" path="m7335,259l7322,259,7315,239,7307,239,7299,219,7319,219,7327,239,7335,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3ixXLwAAADb&#10;AAAADwAAAGRycy9kb3ducmV2LnhtbEWPQYvCMBSE78L+h/AW9iKaWlCWahRZEHqoiNW9P5pnW2xe&#10;QpNV119vBMHjMDPfMIvVzXTiQr1vLSuYjBMQxJXVLdcKjofN6BuED8gaO8uk4J88rJYfgwVm2l55&#10;T5cy1CJC2GeooAnBZVL6qiGDfmwdcfROtjcYouxrqXu8RrjpZJokM2mw5bjQoKOfhqpz+WcU/JZF&#10;cXebocu3u9QHX6xnU1or9fU5SeYgAt3CO/xq51pBOo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94sVy8AAAA&#10;2wAAAA8AAAAAAAAAAQAgAAAAIgAAAGRycy9kb3ducmV2LnhtbFBLAQIUABQAAAAIAIdO4kAzLwWe&#10;OwAAADkAAAAQAAAAAAAAAAEAIAAAAAsBAABkcnMvc2hhcGV4bWwueG1sUEsFBgAAAAAGAAYAWwEA&#10;ALUDAAAAAA==&#10;" path="m94,279l75,279,82,259,102,259,94,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6ovK7wAAADb&#10;AAAADwAAAGRycy9kb3ducmV2LnhtbEWPT4vCMBTE7wt+h/CEvSyaWrBI1ygiCB66iFXvj+ZtW2xe&#10;QpP136ffCILHYWZ+w8yXN9OJC/W+taxgMk5AEFdWt1wrOB42oxkIH5A1dpZJwZ08LBeDjznm2l55&#10;T5cy1CJC2OeooAnB5VL6qiGDfmwdcfR+bW8wRNnXUvd4jXDTyTRJMmmw5bjQoKN1Q9W5/DMKTmVR&#10;PNzmy21/dqkPvlhlU1op9TmcJN8gAt3CO/xqb7WCNIP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Lyu8AAAA&#10;2wAAAA8AAAAAAAAAAQAgAAAAIgAAAGRycy9kb3ducmV2LnhtbFBLAQIUABQAAAAIAIdO4kAzLwWe&#10;OwAAADkAAAAQAAAAAAAAAAEAIAAAAAsBAABkcnMvc2hhcGV4bWwueG1sUEsFBgAAAAAGAAYAWwEA&#10;ALUDAAAAAA==&#10;" path="m7349,279l7329,279,7322,259,7342,259,7349,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OaKsL4AAADb&#10;AAAADwAAAGRycy9kb3ducmV2LnhtbEWPQWvCQBSE7wX/w/IKvRTdGDCV1FVECHhIKU31/si+JqHZ&#10;t0t2G6O/visUehxm5htms5tML0YafGdZwXKRgCCure64UXD6LOZrED4ga+wtk4IredhtZw8bzLW9&#10;8AeNVWhEhLDPUUEbgsul9HVLBv3COuLofdnBYIhyaKQe8BLhppdpkmTSYMdxoUVHh5bq7+rHKDhX&#10;ZXlzxbM7vr2nPvhyn61or9TT4zJ5BRFoCv/hv/ZRK0hf4P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aKsL4A&#10;AADbAAAADwAAAAAAAAABACAAAAAiAAAAZHJzL2Rvd25yZXYueG1sUEsBAhQAFAAAAAgAh07iQDMv&#10;BZ47AAAAOQAAABAAAAAAAAAAAQAgAAAADQEAAGRycy9zaGFwZXhtbC54bWxQSwUGAAAAAAYABgBb&#10;AQAAtwMAAAAA&#10;" path="m69,319l55,319,62,299,68,279,88,279,81,299,75,299,69,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0XkewrgAAADb&#10;AAAADwAAAGRycy9kb3ducmV2LnhtbEVPy4rCMBTdC/5DuIIbGVMLinSMIoLgoiJW3V+aO22Z5iY0&#10;8fn1ZiG4PJz3YvUwrbhR5xvLCibjBARxaXXDlYLzafszB+EDssbWMil4kofVst9bYKbtnY90K0Il&#10;Ygj7DBXUIbhMSl/WZNCPrSOO3J/tDIYIu0rqDu8x3LQyTZKZNNhwbKjR0aam8r+4GgWXIs9fbjty&#10;u/0h9cHn69mU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XkewrgAAADbAAAA&#10;DwAAAAAAAAABACAAAAAiAAAAZHJzL2Rvd25yZXYueG1sUEsBAhQAFAAAAAgAh07iQDMvBZ47AAAA&#10;OQAAABAAAAAAAAAAAQAgAAAABwEAAGRycy9zaGFwZXhtbC54bWxQSwUGAAAAAAYABgBbAQAAsQMA&#10;AAAA&#10;" path="m7368,319l7355,319,7349,299,7342,299,7336,279,7356,279,7362,299,736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jW7Wb4AAADb&#10;AAAADwAAAGRycy9kb3ducmV2LnhtbEWPQWvCQBSE7wX/w/IKvRTdGDDU1FVECHhIKU31/si+JqHZ&#10;t0t2G6O/visUehxm5htms5tML0YafGdZwXKRgCCure64UXD6LOYvIHxA1thbJgVX8rDbzh42mGt7&#10;4Q8aq9CICGGfo4I2BJdL6euWDPqFdcTR+7KDwRDl0Eg94CXCTS/TJMmkwY7jQouODi3V39WPUXCu&#10;yvLmimd3fHtPffDlPlvRXqmnx2XyCiLQFP7Df+2jVpCu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W7Wb4A&#10;AADbAAAADwAAAAAAAAABACAAAAAiAAAAZHJzL2Rvd25yZXYueG1sUEsBAhQAFAAAAAgAh07iQDMv&#10;BZ47AAAAOQAAABAAAAAAAAAAAQAgAAAADQEAAGRycy9zaGFwZXhtbC54bWxQSwUGAAAAAAYABgBb&#10;AQAAtwMAAAAA&#10;" path="m63,339l44,339,50,319,69,319,63,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taEGbkAAADb&#10;AAAADwAAAGRycy9kb3ducmV2LnhtbEVPy4rCMBTdC/MP4Q64kTFVUY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rWhBm5AAAA2wAA&#10;AA8AAAAAAAAAAQAgAAAAIgAAAGRycy9kb3ducmV2LnhtbFBLAQIUABQAAAAIAIdO4kAzLwWeOwAA&#10;ADkAAAAQAAAAAAAAAAEAIAAAAAgBAABkcnMvc2hhcGV4bWwueG1sUEsFBgAAAAAGAAYAWwEAALID&#10;AAAAAA==&#10;" path="m7380,339l7360,339,7355,319,7374,319,7380,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Zohgr0AAADb&#10;AAAADwAAAGRycy9kb3ducmV2LnhtbEWPT4vCMBTE78J+h/AWvIimVZS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iGCvQAA&#10;ANsAAAAPAAAAAAAAAAEAIAAAACIAAABkcnMvZG93bnJldi54bWxQSwECFAAUAAAACACHTuJAMy8F&#10;njsAAAA5AAAAEAAAAAAAAAABACAAAAAMAQAAZHJzL3NoYXBleG1sLnhtbFBLBQYAAAAABgAGAFsB&#10;AAC2AwAAAAA=&#10;" path="m43,379l29,379,34,359,39,339,58,339,53,359,48,359,43,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Ui/9bwAAADb&#10;AAAADwAAAGRycy9kb3ducmV2LnhtbEWPT4vCMBTE7wt+h/AEL4umVla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Iv/W8AAAA&#10;2wAAAA8AAAAAAAAAAQAgAAAAIgAAAGRycy9kb3ducmV2LnhtbFBLAQIUABQAAAAIAIdO4kAzLwWe&#10;OwAAADkAAAAQAAAAAAAAAAEAIAAAAAsBAABkcnMvc2hhcGV4bWwueG1sUEsFBgAAAAAGAAYAWwEA&#10;ALUDAAAAAA==&#10;" path="m7394,379l7380,379,7376,359,7371,359,7366,339,7385,339,7390,359,7394,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gQabr4AAADb&#10;AAAADwAAAGRycy9kb3ducmV2LnhtbEWPQWvCQBSE7wX/w/KEXorZJFK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gQabr4A&#10;AADbAAAADwAAAAAAAAABACAAAAAiAAAAZHJzL2Rvd25yZXYueG1sUEsBAhQAFAAAAAgAh07iQDMv&#10;BZ47AAAAOQAAABAAAAAAAAAAAQAgAAAADQEAAGRycy9zaGFwZXhtbC54bWxQSwUGAAAAAAYABgBb&#10;AQAAtwMAAAAA&#10;" path="m32,419l17,419,21,399,25,379,43,379,39,399,35,399,32,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e2CGr4AAADb&#10;AAAADwAAAGRycy9kb3ducmV2LnhtbEWPQWvCQBSE7wX/w/IKvZS6MVaR1FVEEDykFGO9P7KvSWj2&#10;7ZLdJtFf7xYKPQ4z8w2z3o6mFT11vrGsYDZNQBCXVjdcKfg8H15WIHxA1thaJgVX8rDdTB7WmGk7&#10;8In6IlQiQthnqKAOwWVS+rImg35qHXH0vmxnMETZVVJ3OES4aWWaJEtpsOG4UKOjfU3ld/FjFFyK&#10;PL+5w7M7vn+kPvh8t1zQTqmnx1nyBiLQGP7Df+2jVjB/hd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e2CGr4A&#10;AADbAAAADwAAAAAAAAABACAAAAAiAAAAZHJzL2Rvd25yZXYueG1sUEsBAhQAFAAAAAgAh07iQDMv&#10;BZ47AAAAOQAAABAAAAAAAAAAAQAgAAAADQEAAGRycy9zaGFwZXhtbC54bWxQSwUGAAAAAAYABgBb&#10;AQAAtwMAAAAA&#10;" path="m7406,419l7392,419,7388,399,7384,399,7380,379,7399,379,7403,399,7406,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qEngbwAAADb&#10;AAAADwAAAGRycy9kb3ducmV2LnhtbEWPT4vCMBTE78J+h/AWvIimK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hJ4G8AAAA&#10;2wAAAA8AAAAAAAAAAQAgAAAAIgAAAGRycy9kb3ducmV2LnhtbFBLAQIUABQAAAAIAIdO4kAzLwWe&#10;OwAAADkAAAAQAAAAAAAAAAEAIAAAAAsBAABkcnMvc2hhcGV4bWwueG1sUEsFBgAAAAAGAAYAWwEA&#10;ALUDAAAAAA==&#10;" path="m21,479l6,479,8,459,11,439,14,419,32,419,28,439,26,439,23,459,23,459,21,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nO59rwAAADb&#10;AAAADwAAAGRycy9kb3ducmV2LnhtbEWPT4vCMBTE7wt+h/AEL4umK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zufa8AAAA&#10;2wAAAA8AAAAAAAAAAQAgAAAAIgAAAGRycy9kb3ducmV2LnhtbFBLAQIUABQAAAAIAIdO4kAzLwWe&#10;OwAAADkAAAAQAAAAAAAAAAEAIAAAAAsBAABkcnMvc2hhcGV4bWwueG1sUEsFBgAAAAAGAAYAWwEA&#10;ALUDAAAAAA==&#10;" path="m7418,479l7403,479,7401,459,7401,459,7398,439,7395,439,7392,419,7410,419,7413,439,7415,459,7418,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T8cbbwAAADb&#10;AAAADwAAAGRycy9kb3ducmV2LnhtbEWPT4vCMBTE78J+h/AWvIimK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HG28AAAA&#10;2wAAAA8AAAAAAAAAAQAgAAAAIgAAAGRycy9kb3ducmV2LnhtbFBLAQIUABQAAAAIAIdO4kAzLwWe&#10;OwAAADkAAAAQAAAAAAAAAAEAIAAAAAsBAABkcnMvc2hhcGV4bWwueG1sUEsFBgAAAAAGAAYAWwEA&#10;ALUDAAAAAA==&#10;" path="m16,519l1,519,2,499,4,479,19,479,17,499,17,499,16,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KCIH7kAAADb&#10;AAAADwAAAGRycy9kb3ducmV2LnhtbEVPy4rCMBTdC/MP4Q64kTFVUY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SgiB+5AAAA2wAA&#10;AA8AAAAAAAAAAQAgAAAAIgAAAGRycy9kb3ducmV2LnhtbFBLAQIUABQAAAAIAIdO4kAzLwWeOwAA&#10;ADkAAAAQAAAAAAAAAAEAIAAAAAgBAABkcnMvc2hhcGV4bWwueG1sUEsFBgAAAAAGAAYAWwEAALID&#10;AAAAAA==&#10;" path="m7423,519l7408,519,7406,499,7406,499,7405,479,7420,479,7421,499,7423,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wthLwAAADb&#10;AAAADwAAAGRycy9kb3ducmV2LnhtbEWPT4vCMBTE78J+h/AWvIimK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sLYS8AAAA&#10;2wAAAA8AAAAAAAAAAQAgAAAAIgAAAGRycy9kb3ducmV2LnhtbFBLAQIUABQAAAAIAIdO4kAzLwWe&#10;OwAAADkAAAAQAAAAAAAAAAEAIAAAAAsBAABkcnMvc2hhcGV4bWwueG1sUEsFBgAAAAAGAAYAWwEA&#10;ALUDAAAAAA==&#10;" path="m19,4559l2,4559,1,4539,0,4519,0,4499,0,539,0,519,15,519,15,539,15,4499,15,4519,16,4539,17,4539,19,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tD3ZLkAAADb&#10;AAAADwAAAGRycy9kb3ducmV2LnhtbEVPy4rCMBTdC/MP4Q64kTFVVI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LQ92S5AAAA2wAA&#10;AA8AAAAAAAAAAQAgAAAAIgAAAGRycy9kb3ducmV2LnhtbFBLAQIUABQAAAAIAIdO4kAzLwWeOwAA&#10;ADkAAAAQAAAAAAAAAAEAIAAAAAgBAABkcnMvc2hhcGV4bWwueG1sUEsFBgAAAAAGAAYAWwEAALID&#10;AAAAAA==&#10;" path="m7421,4559l7405,4559,7406,4539,7408,4539,7408,4519,7408,4519,7409,4499,7409,539,7408,519,7423,519,7424,539,7424,4499,7423,4519,7423,4539,7421,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ZxS/70AAADb&#10;AAAADwAAAGRycy9kb3ducmV2LnhtbEWPT4vCMBTE78J+h/AWvIimFZW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nFL/vQAA&#10;ANsAAAAPAAAAAAAAAAEAIAAAACIAAABkcnMvZG93bnJldi54bWxQSwECFAAUAAAACACHTuJAMy8F&#10;njsAAAA5AAAAEAAAAAAAAAABACAAAAAMAQAAZHJzL3NoYXBleG1sLnhtbFBLBQYAAAAABgAGAFsB&#10;AAC2AwAAAAA=&#10;" path="m23,4599l8,4599,6,4579,4,4559,19,4559,21,4579,21,4579,23,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U7MiLwAAADb&#10;AAAADwAAAGRycy9kb3ducmV2LnhtbEWPT4vCMBTE7wt+h/AEL4umFle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1OzIi8AAAA&#10;2wAAAA8AAAAAAAAAAQAgAAAAIgAAAGRycy9kb3ducmV2LnhtbFBLAQIUABQAAAAIAIdO4kAzLwWe&#10;OwAAADkAAAAQAAAAAAAAAAEAIAAAAAsBAABkcnMvc2hhcGV4bWwueG1sUEsFBgAAAAAGAAYAWwEA&#10;ALUDAAAAAA==&#10;" path="m7415,4599l7401,4599,7403,4579,7403,4579,7405,4559,7420,4559,7418,4579,7415,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gJpE74AAADb&#10;AAAADwAAAGRycy9kb3ducmV2LnhtbEWPQWvCQBSE7wX/w/IKvZS6MVaR1FVEEDykFGO9P7KvSWj2&#10;7ZLdJtFf7xYKPQ4z8w2z3o6mFT11vrGsYDZNQBCXVjdcKfg8H15WIHxA1thaJgVX8rDdTB7WmGk7&#10;8In6IlQiQthnqKAOwWVS+rImg35qHXH0vmxnMETZVVJ3OES4aWWaJEtpsOG4UKOjfU3ld/FjFFyK&#10;PL+5w7M7vn+kPvh8t1zQTqmnx1nyBiLQGP7Df+2jVvA6h9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JpE74A&#10;AADbAAAADwAAAAAAAAABACAAAAAiAAAAZHJzL2Rvd25yZXYueG1sUEsBAhQAFAAAAAgAh07iQDMv&#10;BZ47AAAAOQAAABAAAAAAAAAAAQAgAAAADQEAAGRycy9zaGFwZXhtbC54bWxQSwUGAAAAAAYABgBb&#10;AQAAtwMAAAAA&#10;" path="m32,4639l17,4639,14,4619,11,4599,26,4599,29,4619,28,4619,32,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evxZ74AAADb&#10;AAAADwAAAGRycy9kb3ducmV2LnhtbEWPQWvCQBSE7wX/w/KEXorZJFi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evxZ74A&#10;AADbAAAADwAAAAAAAAABACAAAAAiAAAAZHJzL2Rvd25yZXYueG1sUEsBAhQAFAAAAAgAh07iQDMv&#10;BZ47AAAAOQAAABAAAAAAAAAAAQAgAAAADQEAAGRycy9zaGFwZXhtbC54bWxQSwUGAAAAAAYABgBb&#10;AQAAtwMAAAAA&#10;" path="m7406,4639l7392,4639,7395,4619,7395,4619,7398,4599,7413,4599,7410,4619,7406,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qdU/LwAAADb&#10;AAAADwAAAGRycy9kb3ducmV2LnhtbEWPT4vCMBTE78J+h/AWvIimi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nVPy8AAAA&#10;2wAAAA8AAAAAAAAAAQAgAAAAIgAAAGRycy9kb3ducmV2LnhtbFBLAQIUABQAAAAIAIdO4kAzLwWe&#10;OwAAADkAAAAQAAAAAAAAAAEAIAAAAAsBAABkcnMvc2hhcGV4bWwueG1sUEsFBgAAAAAGAAYAWwEA&#10;ALUDAAAAAA==&#10;" path="m43,4679l29,4679,25,4659,21,4639,35,4639,39,4659,39,4659,43,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nXKi7wAAADb&#10;AAAADwAAAGRycy9kb3ducmV2LnhtbEWPT4vCMBTE7wt+h/AEL4umi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1you8AAAA&#10;2wAAAA8AAAAAAAAAAQAgAAAAIgAAAGRycy9kb3ducmV2LnhtbFBLAQIUABQAAAAIAIdO4kAzLwWe&#10;OwAAADkAAAAQAAAAAAAAAAEAIAAAAAsBAABkcnMvc2hhcGV4bWwueG1sUEsFBgAAAAAGAAYAWwEA&#10;ALUDAAAAAA==&#10;" path="m7394,4679l7380,4679,7384,4659,7384,4659,7388,4639,7403,4639,7399,4659,7394,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TlvELwAAADb&#10;AAAADwAAAGRycy9kb3ducmV2LnhtbEWPT4vCMBTE78J+h/AWvIimi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5bxC8AAAA&#10;2wAAAA8AAAAAAAAAAQAgAAAAIgAAAGRycy9kb3ducmV2LnhtbFBLAQIUABQAAAAIAIdO4kAzLwWe&#10;OwAAADkAAAAQAAAAAAAAAAEAIAAAAAsBAABkcnMvc2hhcGV4bWwueG1sUEsFBgAAAAAGAAYAWwEA&#10;ALUDAAAAAA==&#10;" path="m48,4679l43,4679,43,4659,48,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Kb7YrkAAADb&#10;AAAADwAAAGRycy9kb3ducmV2LnhtbEVPy4rCMBTdC/MP4Q64kTFVVI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ym+2K5AAAA2wAA&#10;AA8AAAAAAAAAAQAgAAAAIgAAAGRycy9kb3ducmV2LnhtbFBLAQIUABQAAAAIAIdO4kAzLwWeOwAA&#10;ADkAAAAQAAAAAAAAAAEAIAAAAAgBAABkcnMvc2hhcGV4bWwueG1sUEsFBgAAAAAGAAYAWwEAALID&#10;AAAAAA==&#10;" path="m7380,4679l7376,4679,7380,4659,7380,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Y+pe+bwAAADb&#10;AAAADwAAAGRycy9kb3ducmV2LnhtbEWPT4vCMBTE78J+h/AWvIimi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qXvm8AAAA&#10;2wAAAA8AAAAAAAAAAQAgAAAAIgAAAGRycy9kb3ducmV2LnhtbFBLAQIUABQAAAAIAIdO4kAzLwWe&#10;OwAAADkAAAAQAAAAAAAAAAEAIAAAAAsBAABkcnMvc2hhcGV4bWwueG1sUEsFBgAAAAAGAAYAWwEA&#10;ALUDAAAAAA==&#10;" path="m63,4719l44,4719,39,4699,34,4679,48,4679,53,4699,58,4699,63,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wlhubkAAADb&#10;AAAADwAAAGRycy9kb3ducmV2LnhtbEVPy4rCMBTdC/5DuIIbmaYKinRMRQTBRQexOvtLc6ctNjeh&#10;ic+vnywEl4fzXq0fphM36n1rWcE0SUEQV1a3XCs4n3ZfSxA+IGvsLJOCJ3lY58PBCjNt73ykWxlq&#10;EUPYZ6igCcFlUvqqIYM+sY44cn+2Nxgi7Gupe7zHcNPJWZoupMGWY0ODjrYNVZfyahT8lkXxcruJ&#10;2/8cZj74YrOY00ap8WiafoMI9Agf8du91wrmcX3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JYbm5AAAA2wAA&#10;AA8AAAAAAAAAAQAgAAAAIgAAAGRycy9kb3ducmV2LnhtbFBLAQIUABQAAAAIAIdO4kAzLwWeOwAA&#10;ADkAAAAQAAAAAAAAAAEAIAAAAAgBAABkcnMvc2hhcGV4bWwueG1sUEsFBgAAAAAGAAYAWwEAALID&#10;AAAAAA==&#10;" path="m7380,4719l7360,4719,7366,4699,7371,4699,7376,4679,7390,4679,7385,4699,7380,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GEXEIr0AAADb&#10;AAAADwAAAGRycy9kb3ducmV2LnhtbEWPzWrDMBCE74W8g9hALiWRbUgIjpUQAgYfXErd5r5YW9vU&#10;WglL+evTV4VCj8PMfMMUh7sZxZUmP1hWkK4SEMSt1QN3Cj7ey+UWhA/IGkfLpOBBHg772VOBubY3&#10;fqNrEzoRIexzVNCH4HIpfduTQb+yjjh6n3YyGKKcOqknvEW4GWWWJBtpcOC40KOjU0/tV3MxCs5N&#10;XX+78tlVL6+ZD74+btZ0VGoxT5MdiED38B/+a1dawTqF3y/xB8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RcQivQAA&#10;ANsAAAAPAAAAAAAAAAEAIAAAACIAAABkcnMvZG93bnJldi54bWxQSwECFAAUAAAACACHTuJAMy8F&#10;njsAAAA5AAAAEAAAAAAAAAABACAAAAAMAQAAZHJzL3NoYXBleG1sLnhtbFBLBQYAAAAABgAGAFsB&#10;AAC2AwAAAAA=&#10;" path="m81,4759l62,4759,55,4739,50,4719,63,4719,69,4739,75,4739,81,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6JdaVbwAAADb&#10;AAAADwAAAGRycy9kb3ducmV2LnhtbEWPQYvCMBSE78L+h/AW9iKaWlCWahRZEHqoiNW9P5pnW2xe&#10;QpNV119vBMHjMDPfMIvVzXTiQr1vLSuYjBMQxJXVLdcKjofN6BuED8gaO8uk4J88rJYfgwVm2l55&#10;T5cy1CJC2GeooAnBZVL6qiGDfmwdcfROtjcYouxrqXu8RrjpZJokM2mw5bjQoKOfhqpz+WcU/JZF&#10;cXebocu3u9QHX6xnU1or9fU5SeYgAt3CO/xq51rBNI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XWlW8AAAA&#10;2wAAAA8AAAAAAAAAAQAgAAAAIgAAAGRycy9kb3ducmV2LnhtbFBLAQIUABQAAAAIAIdO4kAzLwWe&#10;OwAAADkAAAAQAAAAAAAAAAEAIAAAAAsBAABkcnMvc2hhcGV4bWwueG1sUEsFBgAAAAAGAAYAWwEA&#10;ALUDAAAAAA==&#10;" path="m7362,4759l7342,4759,7349,4739,7355,4739,7360,4719,7374,4719,7368,4739,7362,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9v/zrwAAADb&#10;AAAADwAAAGRycy9kb3ducmV2LnhtbEWPT4vCMBTE78J+h/AWvIimK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b/868AAAA&#10;2wAAAA8AAAAAAAAAAQAgAAAAIgAAAGRycy9kb3ducmV2LnhtbFBLAQIUABQAAAAIAIdO4kAzLwWe&#10;OwAAADkAAAAQAAAAAAAAAAEAIAAAAAsBAABkcnMvc2hhcGV4bWwueG1sUEsFBgAAAAAGAAYAWwEA&#10;ALUDAAAAAA==&#10;" path="m94,4779l75,4779,68,4759,88,4759,94,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DJnurwAAADb&#10;AAAADwAAAGRycy9kb3ducmV2LnhtbEWPT4vCMBTE78J+h/AWvIimi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yZ7q8AAAA&#10;2wAAAA8AAAAAAAAAAQAgAAAAIgAAAGRycy9kb3ducmV2LnhtbFBLAQIUABQAAAAIAIdO4kAzLwWe&#10;OwAAADkAAAAQAAAAAAAAAAEAIAAAAAsBAABkcnMvc2hhcGV4bWwueG1sUEsFBgAAAAAGAAYAWwEA&#10;ALUDAAAAAA==&#10;" path="m7349,4779l7329,4779,7336,4759,7356,4759,7349,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37CIbwAAADb&#10;AAAADwAAAGRycy9kb3ducmV2LnhtbEWPT4vCMBTE78J+h/AWvIimCpWlGkUWBA8Vsbt7fzTPtti8&#10;hCZb/3x6Iwgeh5n5DbNcX00reup8Y1nBdJKAIC6tbrhS8PuzHX+B8AFZY2uZFNzIw3r1MVhipu2F&#10;j9QXoRIRwj5DBXUILpPSlzUZ9BPriKN3sp3BEGVXSd3hJcJNK2dJMpcGG44LNTr6rqk8F/9GwV+R&#10;53e3Hbnd/jDzweebeUobpYaf02QBItA1vMOv9k4rSFN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wiG8AAAA&#10;2wAAAA8AAAAAAAAAAQAgAAAAIgAAAGRycy9kb3ducmV2LnhtbFBLAQIUABQAAAAIAIdO4kAzLwWe&#10;OwAAADkAAAAQAAAAAAAAAAEAIAAAAAsBAABkcnMvc2hhcGV4bWwueG1sUEsFBgAAAAAGAAYAWwEA&#10;ALUDAAAAAA==&#10;" path="m116,4819l96,4819,89,4799,82,4779,94,4779,102,4799,109,4799,116,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6xcVr4AAADb&#10;AAAADwAAAGRycy9kb3ducmV2LnhtbEWPwWrDMBBE74H+g9hCLiGRHYgpjpUQCgYfXErd9r5YW9vU&#10;WglLdZJ+fRUI9DjMzBumOF7MKGaa/GBZQbpJQBC3Vg/cKfh4L9dPIHxA1jhaJgVX8nA8PCwKzLU9&#10;8xvNTehEhLDPUUEfgsul9G1PBv3GOuLofdnJYIhy6qSe8BzhZpTbJMmkwYHjQo+Onntqv5sfo+Cz&#10;qetfV65c9fK69cHXp2xHJ6WWj2myBxHoEv7D93alFewy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xcVr4A&#10;AADbAAAADwAAAAAAAAABACAAAAAiAAAAZHJzL2Rvd25yZXYueG1sUEsBAhQAFAAAAAgAh07iQDMv&#10;BZ47AAAAOQAAABAAAAAAAAAAAQAgAAAADQEAAGRycy9zaGFwZXhtbC54bWxQSwUGAAAAAAYABgBb&#10;AQAAtwMAAAAA&#10;" path="m7327,4819l7307,4819,7315,4799,7322,4799,7329,4779,7342,4779,7335,4799,7327,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D5zb4AAADb&#10;AAAADwAAAGRycy9kb3ducmV2LnhtbEWPQWvCQBSE70L/w/IKvYhuDGhLdBUpBHJIEWN7f2Rfk9Ds&#10;2yW7TWx/fbcgeBxm5htmd7iaXow0+M6ygtUyAUFcW91xo+D9ki9eQPiArLG3TAp+yMNh/zDbYabt&#10;xGcaq9CICGGfoYI2BJdJ6euWDPqldcTR+7SDwRDl0Eg94BThppdpkmykwY7jQouOXluqv6pvo+Cj&#10;Kstfl89d8XZKffDlcbOmo1JPj6tkCyLQNdzDt3ahFayf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5zb4A&#10;AADbAAAADwAAAAAAAAABACAAAAAiAAAAZHJzL2Rvd25yZXYueG1sUEsBAhQAFAAAAAgAh07iQDMv&#10;BZ47AAAAOQAAABAAAAAAAAAAAQAgAAAADQEAAGRycy9zaGFwZXhtbC54bWxQSwUGAAAAAAYABgBb&#10;AQAAtwMAAAAA&#10;" path="m132,4839l112,4839,104,4819,124,4819,132,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X9tv7kAAADb&#10;AAAADwAAAGRycy9kb3ducmV2LnhtbEVPy4rCMBTdC/5DuIIbmaYKinRMRQTBRQexOvtLc6ctNjeh&#10;ic+vnywEl4fzXq0fphM36n1rWcE0SUEQV1a3XCs4n3ZfSxA+IGvsLJOCJ3lY58PBCjNt73ykWxlq&#10;EUPYZ6igCcFlUvqqIYM+sY44cn+2Nxgi7Gupe7zHcNPJWZoupMGWY0ODjrYNVZfyahT8lkXxcruJ&#10;2/8cZj74YrOY00ap8WiafoMI9Agf8du91wrmcWz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bb+5AAAA2wAA&#10;AA8AAAAAAAAAAQAgAAAAIgAAAGRycy9kb3ducmV2LnhtbFBLAQIUABQAAAAIAIdO4kAzLwWeOwAA&#10;ADkAAAAQAAAAAAAAAAEAIAAAAAgBAABkcnMvc2hhcGV4bWwueG1sUEsFBgAAAAAGAAYAWwEAALID&#10;AAAAAA==&#10;" path="m7311,4839l7291,4839,7299,4819,7319,4819,7311,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5jPIJL4AAADb&#10;AAAADwAAAGRycy9kb3ducmV2LnhtbEWPQWvCQBSE70L/w/IKvYhuDChtdBUpBHJIEWN7f2Rfk9Ds&#10;2yW7TWx/fbcgeBxm5htmd7iaXow0+M6ygtUyAUFcW91xo+D9ki+eQfiArLG3TAp+yMNh/zDbYabt&#10;xGcaq9CICGGfoYI2BJdJ6euWDPqldcTR+7SDwRDl0Eg94BThppdpkmykwY7jQouOXluqv6pvo+Cj&#10;Kstfl89d8XZKffDlcbOmo1JPj6tkCyLQNdzDt3ahFaxf4P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jPIJL4A&#10;AADbAAAADwAAAAAAAAABACAAAAAiAAAAZHJzL2Rvd25yZXYueG1sUEsBAhQAFAAAAAgAh07iQDMv&#10;BZ47AAAAOQAAABAAAAAAAAAAAQAgAAAADQEAAGRycy9zaGFwZXhtbC54bWxQSwUGAAAAAAYABgBb&#10;AQAAtwMAAAAA&#10;" path="m149,4859l129,4859,121,4839,141,4839,149,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WWrBLgAAADb&#10;AAAADwAAAGRycy9kb3ducmV2LnhtbEVPy4rCMBTdC/5DuIIbGVMFi3SMIoLgoiJW3V+aO22Z5iY0&#10;8fn1ZiG4PJz3YvUwrbhR5xvLCibjBARxaXXDlYLzafszB+EDssbWMil4kofVst9bYKbtnY90K0Il&#10;Ygj7DBXUIbhMSl/WZNCPrSOO3J/tDIYIu0rqDu8x3LRymiSpNNhwbKjR0aam8r+4GgWXIs9fbjty&#10;u/1h6oPP1+mM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WWrBLgAAADbAAAA&#10;DwAAAAAAAAABACAAAAAiAAAAZHJzL2Rvd25yZXYueG1sUEsBAhQAFAAAAAgAh07iQDMvBZ47AAAA&#10;OQAAABAAAAAAAAAAAQAgAAAABwEAAGRycy9zaGFwZXhtbC54bWxQSwUGAAAAAAYABgBbAQAAsQMA&#10;AAAA&#10;" path="m7294,4859l7274,4859,7283,4839,7303,4839,7294,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ikOn70AAADb&#10;AAAADwAAAGRycy9kb3ducmV2LnhtbEWPwWrDMBBE74X8g9hALyWRbagJrpUQAgEfXEqd5L5YW9vE&#10;WglLjdN+fVUo9DjMzBum3N3NKG40+cGygnSdgCBurR64U3A+HVcbED4gaxwtk4Iv8rDbLh5KLLSd&#10;+Z1uTehEhLAvUEEfgiuk9G1PBv3aOuLofdjJYIhy6qSecI5wM8osSXJpcOC40KOjQ0/ttfk0Ci5N&#10;XX+745OrXt8yH3y9z59pr9TjMk1eQAS6h//wX7vSCvIU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KQ6fvQAA&#10;ANsAAAAPAAAAAAAAAAEAIAAAACIAAABkcnMvZG93bnJldi54bWxQSwECFAAUAAAACACHTuJAMy8F&#10;njsAAAA5AAAAEAAAAAAAAAABACAAAAAMAQAAZHJzL3NoYXBleG1sLnhtbFBLBQYAAAAABgAGAFsB&#10;AAC2AwAAAAA=&#10;" path="m167,4879l147,4879,138,4859,158,4859,16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vuQ6LwAAADb&#10;AAAADwAAAGRycy9kb3ducmV2LnhtbEWPT4vCMBTE7wt+h/CEvSyaWrBI1ygiCB66iFXvj+ZtW2xe&#10;QpP136ffCILHYWZ+w8yXN9OJC/W+taxgMk5AEFdWt1wrOB42oxkIH5A1dpZJwZ08LBeDjznm2l55&#10;T5cy1CJC2OeooAnB5VL6qiGDfmwdcfR+bW8wRNnXUvd4jXDTyTRJMmmw5bjQoKN1Q9W5/DMKTmVR&#10;PNzmy21/dqkPvlhlU1op9TmcJN8gAt3CO/xqb7WCLIX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7kOi8AAAA&#10;2wAAAA8AAAAAAAAAAQAgAAAAIgAAAGRycy9kb3ducmV2LnhtbFBLAQIUABQAAAAIAIdO4kAzLwWe&#10;OwAAADkAAAAQAAAAAAAAAAEAIAAAAAsBAABkcnMvc2hhcGV4bWwueG1sUEsFBgAAAAAGAAYAWwEA&#10;ALUDAAAAAA==&#10;" path="m7277,4879l7256,4879,7265,4859,7286,4859,727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bc1c7wAAADb&#10;AAAADwAAAGRycy9kb3ducmV2LnhtbEWPT4vCMBTE7wt+h/AEL4umK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3NXO8AAAA&#10;2wAAAA8AAAAAAAAAAQAgAAAAIgAAAGRycy9kb3ducmV2LnhtbFBLAQIUABQAAAAIAIdO4kAzLwWe&#10;OwAAADkAAAAQAAAAAAAAAAEAIAAAAAsBAABkcnMvc2hhcGV4bWwueG1sUEsFBgAAAAAGAAYAWwEA&#10;ALUDAAAAAA==&#10;" path="m186,4899l166,4899,156,4879,176,4879,186,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l6tB7wAAADb&#10;AAAADwAAAGRycy9kb3ducmV2LnhtbEWPT4vCMBTE7wt+h/AEL4umi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erQe8AAAA&#10;2wAAAA8AAAAAAAAAAQAgAAAAIgAAAGRycy9kb3ducmV2LnhtbFBLAQIUABQAAAAIAIdO4kAzLwWe&#10;OwAAADkAAAAQAAAAAAAAAAEAIAAAAAsBAABkcnMvc2hhcGV4bWwueG1sUEsFBgAAAAAGAAYAWwEA&#10;ALUDAAAAAA==&#10;" path="m7258,4899l7238,4899,7247,4879,7267,4879,7258,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RIInL4AAADb&#10;AAAADwAAAGRycy9kb3ducmV2LnhtbEWPwWrDMBBE74H+g9hCLiGRHYgpjpUQCgYfXErd9r5YW9vU&#10;WglLdZJ+fRUI9DjMzBumOF7MKGaa/GBZQbpJQBC3Vg/cKfh4L9dPIHxA1jhaJgVX8nA8PCwKzLU9&#10;8xvNTehEhLDPUUEfgsul9G1PBv3GOuLofdnJYIhy6qSe8BzhZpTbJMmkwYHjQo+Onntqv5sfo+Cz&#10;qetfV65c9fK69cHXp2xHJ6WWj2myBxHoEv7D93alFWQ7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IInL4A&#10;AADbAAAADwAAAAAAAAABACAAAAAiAAAAZHJzL2Rvd25yZXYueG1sUEsBAhQAFAAAAAgAh07iQDMv&#10;BZ47AAAAOQAAABAAAAAAAAAAAQAgAAAADQEAAGRycy9zaGFwZXhtbC54bWxQSwUGAAAAAAYABgBb&#10;AQAAtwMAAAAA&#10;" path="m206,4919l186,4919,176,4899,196,4899,206,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cCW670AAADb&#10;AAAADwAAAGRycy9kb3ducmV2LnhtbEWPwWrDMBBE74X+g9hCL6WRbYgpTpRgCgEfHEKd9r5YG9vU&#10;WglLjdN+fRQI9DjMzBtmvb2YUZxp8oNlBekiAUHcWj1wp+DzuHt9A+EDssbRMin4JQ/bzePDGgtt&#10;Z/6gcxM6ESHsC1TQh+AKKX3bk0G/sI44eic7GQxRTp3UE84RbkaZJUkuDQ4cF3p09N5T+938GAVf&#10;TV3/ud2Lq/aHzAdfl/mSSqWen9JkBSLQJfyH7+1KK8hzuH2JP0B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wJbrvQAA&#10;ANsAAAAPAAAAAAAAAAEAIAAAACIAAABkcnMvZG93bnJldi54bWxQSwECFAAUAAAACACHTuJAMy8F&#10;njsAAAA5AAAAEAAAAAAAAAABACAAAAAMAQAAZHJzL3NoYXBleG1sLnhtbFBLBQYAAAAABgAGAFsB&#10;AAC2AwAAAAA=&#10;" path="m7238,4919l7218,4919,7228,4899,7248,4899,7238,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owzcL4AAADb&#10;AAAADwAAAGRycy9kb3ducmV2LnhtbEWPzWrDMBCE74W8g9hCLyWWbagT3CghBAw5uJQ6yX2xtrap&#10;tRKWmr+nrwqFHoeZ+YZZba5mFGea/GBZQZakIIhbqwfuFBwP1XwJwgdkjaNlUnAjD5v17GGFpbYX&#10;/qBzEzoRIexLVNCH4EopfduTQZ9YRxy9TzsZDFFOndQTXiLcjDJP00IaHDgu9Oho11P71XwbBaem&#10;ru+uenb7t/fcB19vixfaKvX0mKWvIAJdw3/4r73XCoo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owzcL4A&#10;AADbAAAADwAAAAAAAAABACAAAAAiAAAAZHJzL2Rvd25yZXYueG1sUEsBAhQAFAAAAAgAh07iQDMv&#10;BZ47AAAAOQAAABAAAAAAAAAAAQAgAAAADQEAAGRycy9zaGFwZXhtbC54bWxQSwUGAAAAAAYABgBb&#10;AQAAtwMAAAAA&#10;" path="m237,4939l206,4939,196,4919,226,4919,23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xOnArgAAADb&#10;AAAADwAAAGRycy9kb3ducmV2LnhtbEVPy4rCMBTdC/5DuIIbGVMFi3SMIoLgoiJW3V+aO22Z5iY0&#10;8fn1ZiG4PJz3YvUwrbhR5xvLCibjBARxaXXDlYLzafszB+EDssbWMil4kofVst9bYKbtnY90K0Il&#10;Ygj7DBXUIbhMSl/WZNCPrSOO3J/tDIYIu0rqDu8x3LRymiSpNNhwbKjR0aam8r+4GgWXIs9fbjty&#10;u/1h6oPP1+mM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xOnArgAAADbAAAA&#10;DwAAAAAAAAABACAAAAAiAAAAZHJzL2Rvd25yZXYueG1sUEsBAhQAFAAAAAgAh07iQDMvBZ47AAAA&#10;OQAAABAAAAAAAAAAAQAgAAAABwEAAGRycy9zaGFwZXhtbC54bWxQSwUGAAAAAAYABgBbAQAAsQMA&#10;AAAA&#10;" path="m7217,4939l7187,4939,7198,4919,7228,4919,721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KF8Cmb4AAADb&#10;AAAADwAAAGRycy9kb3ducmV2LnhtbEWPzWrDMBCE74W8g9hCLyWWbahJ3CghBAw5uJQ6yX2xtrap&#10;tRKWmr+nrwqFHoeZ+YZZba5mFGea/GBZQZakIIhbqwfuFBwP1XwBwgdkjaNlUnAjD5v17GGFpbYX&#10;/qBzEzoRIexLVNCH4EopfduTQZ9YRxy9TzsZDFFOndQTXiLcjDJP00IaHDgu9Oho11P71XwbBaem&#10;ru+uenb7t/fcB19vixfaKvX0mKWvIAJdw3/4r73XCool/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8Cmb4A&#10;AADbAAAADwAAAAAAAAABACAAAAAiAAAAZHJzL2Rvd25yZXYueG1sUEsBAhQAFAAAAAgAh07iQDMv&#10;BZ47AAAAOQAAABAAAAAAAAAAAQAgAAAADQEAAGRycy9zaGFwZXhtbC54bWxQSwUGAAAAAAYABgBb&#10;AQAAtwMAAAAA&#10;" path="m258,4959l239,4959,228,4939,247,4939,258,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Lw92bsAAADb&#10;AAAADwAAAGRycy9kb3ducmV2LnhtbEVPz2vCMBS+C/4P4Qm7yJoqzI2uqcig0EPHsG73R/PWljUv&#10;ocm08683h4HHj+93vp/NKM40+cGygk2SgiBurR64U/B5Kh9fQPiArHG0TAr+yMO+WC5yzLS98JHO&#10;TehEDGGfoYI+BJdJ6dueDPrEOuLIfdvJYIhw6qSe8BLDzSi3abqTBgeODT06euup/Wl+jYKvpq6v&#10;rly76v1j64OvD7snOij1sNqkryACzeEu/ndXWsFzXB+/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w92bsAAADb&#10;AAAADwAAAAAAAAABACAAAAAiAAAAZHJzL2Rvd25yZXYueG1sUEsBAhQAFAAAAAgAh07iQDMvBZ47&#10;AAAAOQAAABAAAAAAAAAAAQAgAAAACgEAAGRycy9zaGFwZXhtbC54bWxQSwUGAAAAAAYABgBbAQAA&#10;tAMAAAAA&#10;" path="m7185,4959l7165,4959,7176,4939,7196,4939,7185,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CYQr4AAADb&#10;AAAADwAAAGRycy9kb3ducmV2LnhtbEWPQWvCQBSE70L/w/IKvYjZRGiU1FWkEPAQKcb2/si+JqHZ&#10;t0t2q2l/vVsoeBxm5htms5vMIC40+t6ygixJQRA3VvfcKng/l4s1CB+QNQ6WScEPedhtH2YbLLS9&#10;8okudWhFhLAvUEEXgiuk9E1HBn1iHXH0Pu1oMEQ5tlKPeI1wM8hlmubSYM9xoUNHrx01X/W3UfBR&#10;V9WvK+fucHxb+uCrff5Me6WeHrP0BUSgKdzD/+2DVrDK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YQr4A&#10;AADbAAAADwAAAAAAAAABACAAAAAiAAAAZHJzL2Rvd25yZXYueG1sUEsBAhQAFAAAAAgAh07iQDMv&#10;BZ47AAAAOQAAABAAAAAAAAAAAQAgAAAADQEAAGRycy9zaGFwZXhtbC54bWxQSwUGAAAAAAYABgBb&#10;AQAAtwMAAAAA&#10;" path="m292,4979l261,4979,250,4959,281,4959,29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yIGNb4AAADb&#10;AAAADwAAAGRycy9kb3ducmV2LnhtbEWPQWvCQBSE7wX/w/IKvRTdGDCV1FVECHhIKU31/si+JqHZ&#10;t0t2G6O/visUehxm5htms5tML0YafGdZwXKRgCCure64UXD6LOZrED4ga+wtk4IredhtZw8bzLW9&#10;8AeNVWhEhLDPUUEbgsul9HVLBv3COuLofdnBYIhyaKQe8BLhppdpkmTSYMdxoUVHh5bq7+rHKDhX&#10;ZXlzxbM7vr2nPvhyn61or9TT4zJ5BRFoCv/hv/ZRK3hJ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IGNb4A&#10;AADbAAAADwAAAAAAAAABACAAAAAiAAAAZHJzL2Rvd25yZXYueG1sUEsBAhQAFAAAAAgAh07iQDMv&#10;BZ47AAAAOQAAABAAAAAAAAAAAQAgAAAADQEAAGRycy9zaGFwZXhtbC54bWxQSwUGAAAAAAYABgBb&#10;AQAAtwMAAAAA&#10;" path="m7162,4979l7131,4979,7143,4959,7174,4959,716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G6jrrwAAADb&#10;AAAADwAAAGRycy9kb3ducmV2LnhtbEWPT4vCMBTE78J+h/AWvIimK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uo668AAAA&#10;2wAAAA8AAAAAAAAAAQAgAAAAIgAAAGRycy9kb3ducmV2LnhtbFBLAQIUABQAAAAIAIdO4kAzLwWe&#10;OwAAADkAAAAQAAAAAAAAAAEAIAAAAAsBAABkcnMvc2hhcGV4bWwueG1sUEsFBgAAAAAGAAYAWwEA&#10;ALUDAAAAAA==&#10;" path="m328,4999l297,4999,285,4979,316,4979,328,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4c72rwAAADb&#10;AAAADwAAAGRycy9kb3ducmV2LnhtbEWPT4vCMBTE78J+h/AWvIimi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HO9q8AAAA&#10;2wAAAA8AAAAAAAAAAQAgAAAAIgAAAGRycy9kb3ducmV2LnhtbFBLAQIUABQAAAAIAIdO4kAzLwWe&#10;OwAAADkAAAAQAAAAAAAAAAEAIAAAAAsBAABkcnMvc2hhcGV4bWwueG1sUEsFBgAAAAAGAAYAWwEA&#10;ALUDAAAAAA==&#10;" path="m7127,4999l7096,4999,7108,4979,7139,4979,7127,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MueQb4AAADb&#10;AAAADwAAAGRycy9kb3ducmV2LnhtbEWPQWvCQBSE70L/w/IKvYhuDGhLdBUpBHJIEWN7f2Rfk9Ds&#10;2yW7TWx/fbcgeBxm5htmd7iaXow0+M6ygtUyAUFcW91xo+D9ki9eQPiArLG3TAp+yMNh/zDbYabt&#10;xGcaq9CICGGfoYI2BJdJ6euWDPqldcTR+7SDwRDl0Eg94BThppdpkmykwY7jQouOXluqv6pvo+Cj&#10;Kstfl89d8XZKffDlcbOmo1JPj6tkCyLQNdzDt3ahFTyv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ueQb4A&#10;AADbAAAADwAAAAAAAAABACAAAAAiAAAAZHJzL2Rvd25yZXYueG1sUEsBAhQAFAAAAAgAh07iQDMv&#10;BZ47AAAAOQAAABAAAAAAAAAAAQAgAAAADQEAAGRycy9zaGFwZXhtbC54bWxQSwUGAAAAAAYABgBb&#10;AQAAtwMAAAAA&#10;" path="m378,5019l334,5019,321,4999,365,4999,378,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BkANr4AAADb&#10;AAAADwAAAGRycy9kb3ducmV2LnhtbEWPzWrDMBCE74W8g9hCLyWWbagT3CghBAw5uJQ6yX2xtrap&#10;tRKWmr+nrwqFHoeZ+YZZba5mFGea/GBZQZakIIhbqwfuFBwP1XwJwgdkjaNlUnAjD5v17GGFpbYX&#10;/qBzEzoRIexLVNCH4EopfduTQZ9YRxy9TzsZDFFOndQTXiLcjDJP00IaHDgu9Oho11P71XwbBaem&#10;ru+uenb7t/fcB19vixfaKvX0mKWvIAJdw3/4r73XChY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kANr4A&#10;AADbAAAADwAAAAAAAAABACAAAAAiAAAAZHJzL2Rvd25yZXYueG1sUEsBAhQAFAAAAAgAh07iQDMv&#10;BZ47AAAAOQAAABAAAAAAAAAAAQAgAAAADQEAAGRycy9zaGFwZXhtbC54bWxQSwUGAAAAAAYABgBb&#10;AQAAtwMAAAAA&#10;" path="m7090,5019l7046,5019,7059,4999,7102,4999,7090,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1WlrbwAAADb&#10;AAAADwAAAGRycy9kb3ducmV2LnhtbEWPT4vCMBTE78J+h/AWvIimClrpGkUWBA8Vse7eH83btmzz&#10;Epr499MbQfA4zMxvmMXqalpxps43lhWMRwkI4tLqhisFP8fNcA7CB2SNrWVScCMPq+VHb4GZthc+&#10;0LkIlYgQ9hkqqENwmZS+rMmgH1lHHL0/2xkMUXaV1B1eIty0cpIkM2mw4bhQo6Pvmsr/4mQU/BZ5&#10;fnebgdvu9hMffL6eTWmtVP9znHyBCHQN7/CrvdUK0h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Vpa28AAAA&#10;2wAAAA8AAAAAAAAAAQAgAAAAIgAAAGRycy9kb3ducmV2LnhtbFBLAQIUABQAAAAIAIdO4kAzLwWe&#10;OwAAADkAAAAQAAAAAAAAAAEAIAAAAAsBAABkcnMvc2hhcGV4bWwueG1sUEsFBgAAAAAGAAYAWwEA&#10;ALUDAAAAAA==&#10;" path="m443,5039l385,5039,372,5019,429,5019,443,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sox37sAAADb&#10;AAAADwAAAGRycy9kb3ducmV2LnhtbEVPz2vCMBS+C/4P4Qm7yJoqzI2uqcig0EPHsG73R/PWljUv&#10;ocm08683h4HHj+93vp/NKM40+cGygk2SgiBurR64U/B5Kh9fQPiArHG0TAr+yMO+WC5yzLS98JHO&#10;TehEDGGfoYI+BJdJ6dueDPrEOuLIfdvJYIhw6qSe8BLDzSi3abqTBgeODT06euup/Wl+jYKvpq6v&#10;rly76v1j64OvD7snOij1sNqkryACzeEu/ndXWsFzHBu/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ox37sAAADb&#10;AAAADwAAAAAAAAABACAAAAAiAAAAZHJzL2Rvd25yZXYueG1sUEsBAhQAFAAAAAgAh07iQDMvBZ47&#10;AAAAOQAAABAAAAAAAAAAAQAgAAAACgEAAGRycy9zaGFwZXhtbC54bWxQSwUGAAAAAAYABgBbAQAA&#10;tAMAAAAA&#10;" path="m7038,5039l6981,5039,6994,5019,7051,5019,7038,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YaURLwAAADb&#10;AAAADwAAAGRycy9kb3ducmV2LnhtbEWPT4vCMBTE78J+h/AWvIimCuraNYoIgocuYl3vj+bZlm1e&#10;QhP/fvqNIHgcZuY3zHx5M424UOtrywqGgwQEcWF1zaWC38Om/wXCB2SNjWVScCcPy8VHZ46ptlfe&#10;0yUPpYgQ9ikqqEJwqZS+qMigH1hHHL2TbQ2GKNtS6havEW4aOUqSiTRYc1yo0NG6ouIvPxsFxzzL&#10;Hm7Tc9uf3cgHn60mY1op1f0cJt8gAt3CO/xqb7WC6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GlES8AAAA&#10;2wAAAA8AAAAAAAAAAQAgAAAAIgAAAGRycy9kb3ducmV2LnhtbFBLAQIUABQAAAAIAIdO4kAzLwWe&#10;OwAAADkAAAAQAAAAAAAAAAEAIAAAAAsBAABkcnMvc2hhcGV4bWwueG1sUEsFBgAAAAAGAAYAWwEA&#10;ALUDAAAAAA==&#10;" path="m6956,5059l467,5059,453,5039,6970,5039,6956,5059xe">
                    <v:fill on="t" focussize="0,0"/>
                    <v:stroke on="f"/>
                    <v:imagedata o:title=""/>
                    <o:lock v:ext="edit" aspectratio="f"/>
                  </v:shape>
                </v:group>
                <w10:wrap type="none"/>
                <w10:anchorlock/>
              </v:group>
            </w:pict>
          </mc:Fallback>
        </mc:AlternateContent>
      </w:r>
    </w:p>
    <w:p>
      <w:pPr>
        <w:pStyle w:val="8"/>
        <w:kinsoku w:val="0"/>
        <w:overflowPunct w:val="0"/>
        <w:spacing w:before="174"/>
        <w:rPr>
          <w:rFonts w:hint="eastAsia" w:ascii="宋体" w:hAnsi="宋体" w:eastAsia="宋体" w:cs="宋体"/>
          <w:b/>
          <w:bCs/>
          <w:color w:val="auto"/>
          <w:spacing w:val="1"/>
          <w:sz w:val="21"/>
          <w:szCs w:val="21"/>
          <w:highlight w:val="none"/>
        </w:rPr>
      </w:pPr>
    </w:p>
    <w:p>
      <w:pPr>
        <w:pStyle w:val="8"/>
        <w:kinsoku w:val="0"/>
        <w:overflowPunct w:val="0"/>
        <w:spacing w:before="174"/>
        <w:ind w:firstLine="426" w:firstLineChars="200"/>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★备注：投标保证金缴费</w:t>
      </w:r>
      <w:r>
        <w:rPr>
          <w:rFonts w:hint="eastAsia" w:ascii="宋体" w:hAnsi="宋体" w:eastAsia="宋体" w:cs="宋体"/>
          <w:b/>
          <w:bCs/>
          <w:color w:val="auto"/>
          <w:spacing w:val="1"/>
          <w:sz w:val="21"/>
          <w:szCs w:val="21"/>
          <w:highlight w:val="none"/>
          <w:lang w:eastAsia="zh-CN"/>
        </w:rPr>
        <w:t>证明</w:t>
      </w:r>
      <w:r>
        <w:rPr>
          <w:rFonts w:hint="eastAsia" w:ascii="宋体" w:hAnsi="宋体" w:eastAsia="宋体" w:cs="宋体"/>
          <w:b/>
          <w:bCs/>
          <w:color w:val="auto"/>
          <w:spacing w:val="1"/>
          <w:sz w:val="21"/>
          <w:szCs w:val="21"/>
          <w:highlight w:val="none"/>
        </w:rPr>
        <w:t>复印件加盖公章</w:t>
      </w:r>
    </w:p>
    <w:p>
      <w:pPr>
        <w:pStyle w:val="8"/>
        <w:kinsoku w:val="0"/>
        <w:overflowPunct w:val="0"/>
        <w:spacing w:before="34" w:line="357" w:lineRule="auto"/>
        <w:ind w:right="126" w:firstLine="480" w:firstLineChars="200"/>
        <w:jc w:val="center"/>
        <w:rPr>
          <w:rFonts w:hint="eastAsia" w:ascii="宋体" w:hAnsi="宋体" w:eastAsia="宋体" w:cs="宋体"/>
          <w:b/>
          <w:bCs/>
          <w:color w:val="auto"/>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36"/>
          <w:szCs w:val="36"/>
          <w:highlight w:val="none"/>
        </w:rPr>
        <w:t>五、</w:t>
      </w:r>
      <w:r>
        <w:rPr>
          <w:rFonts w:hint="eastAsia" w:ascii="宋体" w:hAnsi="宋体" w:eastAsia="宋体" w:cs="宋体"/>
          <w:b/>
          <w:bCs/>
          <w:color w:val="auto"/>
          <w:sz w:val="36"/>
          <w:szCs w:val="36"/>
          <w:highlight w:val="none"/>
          <w:lang w:eastAsia="zh-CN"/>
        </w:rPr>
        <w:t>报价一览表</w:t>
      </w:r>
    </w:p>
    <w:p>
      <w:pPr>
        <w:pStyle w:val="8"/>
        <w:kinsoku w:val="0"/>
        <w:overflowPunct w:val="0"/>
        <w:spacing w:before="6"/>
        <w:ind w:left="0"/>
        <w:rPr>
          <w:rFonts w:hint="eastAsia" w:ascii="宋体" w:hAnsi="宋体" w:eastAsia="宋体" w:cs="宋体"/>
          <w:b/>
          <w:bCs/>
          <w:color w:val="auto"/>
          <w:sz w:val="26"/>
          <w:szCs w:val="26"/>
          <w:highlight w:val="none"/>
        </w:rPr>
      </w:pPr>
    </w:p>
    <w:p>
      <w:pPr>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采购项目名称：</w:t>
      </w:r>
      <w:r>
        <w:rPr>
          <w:rFonts w:hint="eastAsia" w:ascii="宋体" w:hAnsi="宋体" w:eastAsia="宋体" w:cs="宋体"/>
          <w:color w:val="auto"/>
          <w:kern w:val="0"/>
          <w:sz w:val="24"/>
          <w:szCs w:val="24"/>
          <w:highlight w:val="none"/>
          <w:u w:val="single"/>
        </w:rPr>
        <w:t>　                              　　</w:t>
      </w:r>
    </w:p>
    <w:p>
      <w:pPr>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采购项目编号：</w:t>
      </w:r>
      <w:r>
        <w:rPr>
          <w:rFonts w:hint="eastAsia" w:ascii="宋体" w:hAnsi="宋体" w:eastAsia="宋体" w:cs="宋体"/>
          <w:color w:val="auto"/>
          <w:kern w:val="0"/>
          <w:sz w:val="24"/>
          <w:szCs w:val="24"/>
          <w:highlight w:val="none"/>
          <w:u w:val="single"/>
        </w:rPr>
        <w:t>　                              　　</w:t>
      </w:r>
    </w:p>
    <w:p>
      <w:pPr>
        <w:pStyle w:val="8"/>
        <w:rPr>
          <w:rFonts w:hint="eastAsia"/>
          <w:color w:val="auto"/>
          <w:highlight w:val="none"/>
        </w:rPr>
      </w:pPr>
    </w:p>
    <w:tbl>
      <w:tblPr>
        <w:tblStyle w:val="16"/>
        <w:tblW w:w="9420" w:type="dxa"/>
        <w:jc w:val="center"/>
        <w:tblLayout w:type="fixed"/>
        <w:tblCellMar>
          <w:top w:w="0" w:type="dxa"/>
          <w:left w:w="108" w:type="dxa"/>
          <w:bottom w:w="0" w:type="dxa"/>
          <w:right w:w="108" w:type="dxa"/>
        </w:tblCellMar>
      </w:tblPr>
      <w:tblGrid>
        <w:gridCol w:w="1728"/>
        <w:gridCol w:w="7692"/>
      </w:tblGrid>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left"/>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供应商名称</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left"/>
              <w:rPr>
                <w:rFonts w:hint="eastAsia" w:ascii="宋体" w:hAnsi="宋体" w:eastAsia="宋体" w:cs="宋体"/>
                <w:b/>
                <w:bCs/>
                <w:color w:val="auto"/>
                <w:kern w:val="0"/>
                <w:sz w:val="24"/>
                <w:szCs w:val="24"/>
                <w:highlight w:val="none"/>
                <w:lang w:eastAsia="zh-CN"/>
              </w:rPr>
            </w:pPr>
            <w:r>
              <w:rPr>
                <w:rFonts w:hint="eastAsia"/>
                <w:b/>
                <w:bCs/>
                <w:color w:val="auto"/>
                <w:sz w:val="24"/>
                <w:highlight w:val="none"/>
                <w:lang w:eastAsia="zh-CN"/>
              </w:rPr>
              <w:t>供货期</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auto"/>
                <w:kern w:val="0"/>
                <w:sz w:val="24"/>
                <w:szCs w:val="24"/>
                <w:highlight w:val="none"/>
              </w:rPr>
            </w:pPr>
            <w:r>
              <w:rPr>
                <w:rFonts w:hint="eastAsia" w:ascii="宋体" w:hAnsi="宋体" w:cs="宋体"/>
                <w:b w:val="0"/>
                <w:bCs w:val="0"/>
                <w:i w:val="0"/>
                <w:iCs w:val="0"/>
                <w:color w:val="auto"/>
                <w:sz w:val="24"/>
                <w:szCs w:val="24"/>
                <w:highlight w:val="none"/>
                <w:lang w:val="en-US" w:eastAsia="zh-CN"/>
              </w:rPr>
              <w:t>签订合同后，30天内</w:t>
            </w:r>
            <w:r>
              <w:rPr>
                <w:rFonts w:hint="eastAsia" w:ascii="宋体" w:hAnsi="宋体" w:cs="宋体"/>
                <w:bCs/>
                <w:color w:val="auto"/>
                <w:sz w:val="24"/>
                <w:szCs w:val="24"/>
                <w:highlight w:val="none"/>
              </w:rPr>
              <w:t>供货安装调试完毕</w:t>
            </w:r>
            <w:r>
              <w:rPr>
                <w:rFonts w:hint="eastAsia" w:ascii="宋体" w:hAnsi="宋体" w:cs="宋体"/>
                <w:b w:val="0"/>
                <w:bCs w:val="0"/>
                <w:i w:val="0"/>
                <w:iCs w:val="0"/>
                <w:color w:val="auto"/>
                <w:sz w:val="24"/>
                <w:szCs w:val="24"/>
                <w:highlight w:val="none"/>
                <w:lang w:val="en-US" w:eastAsia="zh-CN"/>
              </w:rPr>
              <w:t>并验收合格</w:t>
            </w:r>
            <w:r>
              <w:rPr>
                <w:rFonts w:hint="eastAsia" w:ascii="宋体" w:hAnsi="宋体" w:eastAsia="宋体" w:cs="宋体"/>
                <w:b w:val="0"/>
                <w:bCs w:val="0"/>
                <w:i w:val="0"/>
                <w:iCs w:val="0"/>
                <w:color w:val="auto"/>
                <w:sz w:val="24"/>
                <w:szCs w:val="24"/>
                <w:highlight w:val="none"/>
                <w:lang w:val="en-US" w:eastAsia="zh-CN"/>
              </w:rPr>
              <w:t>。</w:t>
            </w: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left"/>
              <w:rPr>
                <w:rFonts w:hint="eastAsia"/>
                <w:b/>
                <w:bCs/>
                <w:color w:val="auto"/>
                <w:sz w:val="24"/>
                <w:highlight w:val="none"/>
                <w:lang w:eastAsia="zh-CN"/>
              </w:rPr>
            </w:pPr>
            <w:r>
              <w:rPr>
                <w:rFonts w:hint="eastAsia" w:ascii="宋体" w:hAnsi="宋体" w:eastAsia="宋体" w:cs="宋体"/>
                <w:color w:val="auto"/>
                <w:sz w:val="24"/>
                <w:szCs w:val="24"/>
                <w:highlight w:val="none"/>
                <w:lang w:val="en-US" w:eastAsia="zh-CN"/>
              </w:rPr>
              <w:t>质保期</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b w:val="0"/>
                <w:bCs w:val="0"/>
                <w:i w:val="0"/>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验收合格之日起不少于三年。</w:t>
            </w: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总报价</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（大写）人民币                      元整（￥           ）</w:t>
            </w: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2" w:space="0"/>
            </w:tcBorders>
            <w:noWrap w:val="0"/>
            <w:vAlign w:val="center"/>
          </w:tcPr>
          <w:p>
            <w:pPr>
              <w:jc w:val="left"/>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eastAsia="zh-CN"/>
              </w:rPr>
              <w:t>备注</w:t>
            </w:r>
          </w:p>
        </w:tc>
        <w:tc>
          <w:tcPr>
            <w:tcW w:w="7692" w:type="dxa"/>
            <w:tcBorders>
              <w:top w:val="single" w:color="000000" w:sz="4" w:space="0"/>
              <w:left w:val="single" w:color="000000" w:sz="4" w:space="0"/>
              <w:bottom w:val="single" w:color="000000" w:sz="2" w:space="0"/>
              <w:right w:val="single" w:color="000000" w:sz="4" w:space="0"/>
            </w:tcBorders>
            <w:noWrap w:val="0"/>
            <w:vAlign w:val="center"/>
          </w:tcPr>
          <w:p>
            <w:pPr>
              <w:rPr>
                <w:rFonts w:hint="eastAsia" w:ascii="宋体" w:hAnsi="宋体" w:eastAsia="宋体" w:cs="宋体"/>
                <w:color w:val="auto"/>
                <w:kern w:val="0"/>
                <w:sz w:val="24"/>
                <w:szCs w:val="24"/>
                <w:highlight w:val="none"/>
              </w:rPr>
            </w:pPr>
          </w:p>
        </w:tc>
      </w:tr>
    </w:tbl>
    <w:p>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注：1.此表总报价是所有需采购人支付的金额总数，包括《磋商内容》要求的全部内容。</w:t>
      </w:r>
    </w:p>
    <w:p>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2.总报价中必须包含</w:t>
      </w:r>
      <w:r>
        <w:rPr>
          <w:rFonts w:hint="eastAsia" w:ascii="宋体" w:hAnsi="宋体" w:cs="宋体"/>
          <w:color w:val="auto"/>
          <w:sz w:val="24"/>
          <w:szCs w:val="24"/>
          <w:highlight w:val="none"/>
          <w:lang w:val="en-US" w:eastAsia="zh-CN"/>
        </w:rPr>
        <w:t>运输费、保管费、</w:t>
      </w:r>
      <w:r>
        <w:rPr>
          <w:rFonts w:hint="eastAsia" w:ascii="宋体" w:hAnsi="宋体" w:eastAsia="宋体" w:cs="宋体"/>
          <w:color w:val="auto"/>
          <w:sz w:val="24"/>
          <w:szCs w:val="24"/>
          <w:highlight w:val="none"/>
          <w:lang w:val="en-US" w:eastAsia="zh-CN"/>
        </w:rPr>
        <w:t>设备费、安装费、备品备件</w:t>
      </w:r>
      <w:r>
        <w:rPr>
          <w:rFonts w:hint="eastAsia" w:ascii="宋体" w:hAnsi="宋体" w:cs="宋体"/>
          <w:color w:val="auto"/>
          <w:sz w:val="24"/>
          <w:szCs w:val="24"/>
          <w:highlight w:val="none"/>
          <w:lang w:val="en-US" w:eastAsia="zh-CN"/>
        </w:rPr>
        <w:t>、保险、各项税金、</w:t>
      </w:r>
      <w:r>
        <w:rPr>
          <w:rFonts w:hint="eastAsia" w:ascii="宋体" w:hAnsi="宋体" w:eastAsia="宋体" w:cs="宋体"/>
          <w:color w:val="auto"/>
          <w:kern w:val="0"/>
          <w:sz w:val="24"/>
          <w:szCs w:val="24"/>
          <w:highlight w:val="none"/>
        </w:rPr>
        <w:t>全额含税发票、合同实施过程中应预见和不可预见费用等</w:t>
      </w:r>
      <w:r>
        <w:rPr>
          <w:rFonts w:hint="eastAsia" w:ascii="宋体" w:hAnsi="宋体" w:cs="宋体"/>
          <w:color w:val="auto"/>
          <w:kern w:val="0"/>
          <w:sz w:val="24"/>
          <w:szCs w:val="24"/>
          <w:highlight w:val="none"/>
          <w:lang w:val="en-US" w:eastAsia="zh-CN"/>
        </w:rPr>
        <w:t>完成本项目所需的一切费用</w:t>
      </w:r>
      <w:r>
        <w:rPr>
          <w:rFonts w:hint="eastAsia" w:ascii="宋体" w:hAnsi="宋体" w:eastAsia="宋体" w:cs="宋体"/>
          <w:color w:val="auto"/>
          <w:kern w:val="0"/>
          <w:sz w:val="24"/>
          <w:szCs w:val="24"/>
          <w:highlight w:val="none"/>
        </w:rPr>
        <w:t>。所有价格均应予人民币报价，金额单位为元。</w:t>
      </w:r>
    </w:p>
    <w:p>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3.此表应按“供应商须知”的规定密封标记并单独提交，同时在装订成册的响应文件中仍应提供本表。</w:t>
      </w:r>
    </w:p>
    <w:p>
      <w:pPr>
        <w:pStyle w:val="8"/>
        <w:tabs>
          <w:tab w:val="left" w:pos="8227"/>
        </w:tabs>
        <w:kinsoku w:val="0"/>
        <w:overflowPunct w:val="0"/>
        <w:spacing w:before="0" w:line="381" w:lineRule="auto"/>
        <w:ind w:left="4027" w:right="118"/>
        <w:rPr>
          <w:rFonts w:hint="eastAsia" w:ascii="宋体" w:hAnsi="宋体" w:eastAsia="宋体" w:cs="宋体"/>
          <w:color w:val="auto"/>
          <w:highlight w:val="none"/>
        </w:rPr>
      </w:pPr>
    </w:p>
    <w:p>
      <w:pPr>
        <w:spacing w:line="420" w:lineRule="exact"/>
        <w:ind w:right="480" w:firstLine="480" w:firstLineChars="20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法定代表人或委托人：</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（签字）    </w:t>
      </w:r>
    </w:p>
    <w:p>
      <w:pPr>
        <w:spacing w:line="420" w:lineRule="exact"/>
        <w:ind w:right="480" w:firstLine="480" w:firstLineChars="20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u w:val="none"/>
          <w:lang w:eastAsia="zh-CN"/>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pPr>
        <w:pStyle w:val="8"/>
        <w:kinsoku w:val="0"/>
        <w:overflowPunct w:val="0"/>
        <w:spacing w:before="34" w:line="357" w:lineRule="auto"/>
        <w:ind w:right="126" w:firstLine="480" w:firstLineChars="200"/>
        <w:jc w:val="center"/>
        <w:rPr>
          <w:rFonts w:hint="eastAsia" w:ascii="宋体" w:hAnsi="宋体" w:eastAsia="宋体" w:cs="宋体"/>
          <w:b/>
          <w:bCs/>
          <w:color w:val="auto"/>
          <w:sz w:val="36"/>
          <w:szCs w:val="36"/>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36"/>
          <w:szCs w:val="36"/>
          <w:highlight w:val="none"/>
        </w:rPr>
        <w:t>六、</w:t>
      </w:r>
      <w:r>
        <w:rPr>
          <w:rFonts w:hint="eastAsia" w:ascii="宋体" w:hAnsi="宋体" w:eastAsia="宋体" w:cs="宋体"/>
          <w:b/>
          <w:bCs/>
          <w:color w:val="auto"/>
          <w:sz w:val="36"/>
          <w:szCs w:val="36"/>
          <w:highlight w:val="none"/>
          <w:lang w:val="en-US" w:eastAsia="zh-CN"/>
        </w:rPr>
        <w:t>磋商</w:t>
      </w:r>
      <w:r>
        <w:rPr>
          <w:rFonts w:hint="eastAsia" w:ascii="宋体" w:hAnsi="宋体" w:eastAsia="宋体" w:cs="宋体"/>
          <w:b/>
          <w:bCs/>
          <w:color w:val="auto"/>
          <w:sz w:val="36"/>
          <w:szCs w:val="36"/>
          <w:highlight w:val="none"/>
        </w:rPr>
        <w:t>报价汇总表</w:t>
      </w:r>
    </w:p>
    <w:p>
      <w:pPr>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u w:val="single"/>
        </w:rPr>
        <w:t>　            　　</w:t>
      </w:r>
    </w:p>
    <w:p>
      <w:pPr>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u w:val="single"/>
        </w:rPr>
        <w:t>　            　　</w:t>
      </w:r>
    </w:p>
    <w:tbl>
      <w:tblPr>
        <w:tblStyle w:val="16"/>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327"/>
        <w:gridCol w:w="1871"/>
        <w:gridCol w:w="1052"/>
        <w:gridCol w:w="1106"/>
        <w:gridCol w:w="929"/>
        <w:gridCol w:w="1158"/>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一、货物详列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327" w:type="dxa"/>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分项名称</w:t>
            </w:r>
          </w:p>
        </w:tc>
        <w:tc>
          <w:tcPr>
            <w:tcW w:w="1871" w:type="dxa"/>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主要技术参数</w:t>
            </w:r>
          </w:p>
        </w:tc>
        <w:tc>
          <w:tcPr>
            <w:tcW w:w="1052" w:type="dxa"/>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制造商</w:t>
            </w:r>
          </w:p>
        </w:tc>
        <w:tc>
          <w:tcPr>
            <w:tcW w:w="1106" w:type="dxa"/>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929" w:type="dxa"/>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单价</w:t>
            </w:r>
          </w:p>
        </w:tc>
        <w:tc>
          <w:tcPr>
            <w:tcW w:w="1158" w:type="dxa"/>
            <w:tcBorders>
              <w:right w:val="single" w:color="auto" w:sz="4" w:space="0"/>
            </w:tcBorders>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合计（元）</w:t>
            </w:r>
          </w:p>
        </w:tc>
        <w:tc>
          <w:tcPr>
            <w:tcW w:w="1544" w:type="dxa"/>
            <w:tcBorders>
              <w:left w:val="single" w:color="auto" w:sz="4" w:space="0"/>
              <w:right w:val="single" w:color="auto" w:sz="4" w:space="0"/>
            </w:tcBorders>
            <w:noWrap w:val="0"/>
            <w:vAlign w:val="center"/>
          </w:tcPr>
          <w:p>
            <w:pP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color w:val="auto"/>
                <w:kern w:val="0"/>
                <w:sz w:val="24"/>
                <w:szCs w:val="24"/>
                <w:highlight w:val="none"/>
              </w:rPr>
            </w:pPr>
          </w:p>
        </w:tc>
        <w:tc>
          <w:tcPr>
            <w:tcW w:w="1327" w:type="dxa"/>
            <w:noWrap w:val="0"/>
            <w:vAlign w:val="center"/>
          </w:tcPr>
          <w:p>
            <w:pPr>
              <w:rPr>
                <w:rFonts w:hint="eastAsia" w:ascii="宋体" w:hAnsi="宋体" w:eastAsia="宋体" w:cs="宋体"/>
                <w:color w:val="auto"/>
                <w:kern w:val="0"/>
                <w:sz w:val="24"/>
                <w:szCs w:val="24"/>
                <w:highlight w:val="none"/>
              </w:rPr>
            </w:pPr>
          </w:p>
        </w:tc>
        <w:tc>
          <w:tcPr>
            <w:tcW w:w="1871" w:type="dxa"/>
            <w:noWrap w:val="0"/>
            <w:vAlign w:val="center"/>
          </w:tcPr>
          <w:p>
            <w:pPr>
              <w:rPr>
                <w:rFonts w:hint="eastAsia" w:ascii="宋体" w:hAnsi="宋体" w:eastAsia="宋体" w:cs="宋体"/>
                <w:color w:val="auto"/>
                <w:kern w:val="0"/>
                <w:sz w:val="24"/>
                <w:szCs w:val="24"/>
                <w:highlight w:val="none"/>
              </w:rPr>
            </w:pPr>
          </w:p>
        </w:tc>
        <w:tc>
          <w:tcPr>
            <w:tcW w:w="1052" w:type="dxa"/>
            <w:noWrap w:val="0"/>
            <w:vAlign w:val="center"/>
          </w:tcPr>
          <w:p>
            <w:pPr>
              <w:rPr>
                <w:rFonts w:hint="eastAsia" w:ascii="宋体" w:hAnsi="宋体" w:eastAsia="宋体" w:cs="宋体"/>
                <w:color w:val="auto"/>
                <w:kern w:val="0"/>
                <w:sz w:val="24"/>
                <w:szCs w:val="24"/>
                <w:highlight w:val="none"/>
              </w:rPr>
            </w:pPr>
          </w:p>
        </w:tc>
        <w:tc>
          <w:tcPr>
            <w:tcW w:w="1106" w:type="dxa"/>
            <w:noWrap w:val="0"/>
            <w:vAlign w:val="center"/>
          </w:tcPr>
          <w:p>
            <w:pPr>
              <w:rPr>
                <w:rFonts w:hint="eastAsia" w:ascii="宋体" w:hAnsi="宋体" w:eastAsia="宋体" w:cs="宋体"/>
                <w:color w:val="auto"/>
                <w:kern w:val="0"/>
                <w:sz w:val="24"/>
                <w:szCs w:val="24"/>
                <w:highlight w:val="none"/>
              </w:rPr>
            </w:pPr>
          </w:p>
        </w:tc>
        <w:tc>
          <w:tcPr>
            <w:tcW w:w="929" w:type="dxa"/>
            <w:noWrap w:val="0"/>
            <w:vAlign w:val="center"/>
          </w:tcPr>
          <w:p>
            <w:pPr>
              <w:rPr>
                <w:rFonts w:hint="eastAsia" w:ascii="宋体" w:hAnsi="宋体" w:eastAsia="宋体" w:cs="宋体"/>
                <w:color w:val="auto"/>
                <w:kern w:val="0"/>
                <w:sz w:val="24"/>
                <w:szCs w:val="24"/>
                <w:highlight w:val="none"/>
              </w:rPr>
            </w:pPr>
          </w:p>
        </w:tc>
        <w:tc>
          <w:tcPr>
            <w:tcW w:w="1158" w:type="dxa"/>
            <w:tcBorders>
              <w:right w:val="single" w:color="auto" w:sz="4" w:space="0"/>
            </w:tcBorders>
            <w:noWrap w:val="0"/>
            <w:vAlign w:val="center"/>
          </w:tcPr>
          <w:p>
            <w:pPr>
              <w:rPr>
                <w:rFonts w:hint="eastAsia" w:ascii="宋体" w:hAnsi="宋体" w:eastAsia="宋体" w:cs="宋体"/>
                <w:color w:val="auto"/>
                <w:kern w:val="0"/>
                <w:sz w:val="24"/>
                <w:szCs w:val="24"/>
                <w:highlight w:val="none"/>
              </w:rPr>
            </w:pPr>
          </w:p>
        </w:tc>
        <w:tc>
          <w:tcPr>
            <w:tcW w:w="1544" w:type="dxa"/>
            <w:tcBorders>
              <w:left w:val="single" w:color="auto" w:sz="4" w:space="0"/>
              <w:right w:val="single" w:color="auto" w:sz="4" w:space="0"/>
            </w:tcBorders>
            <w:noWrap w:val="0"/>
            <w:vAlign w:val="center"/>
          </w:tcPr>
          <w:p>
            <w:pP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color w:val="auto"/>
                <w:kern w:val="0"/>
                <w:sz w:val="24"/>
                <w:szCs w:val="24"/>
                <w:highlight w:val="none"/>
              </w:rPr>
            </w:pPr>
          </w:p>
        </w:tc>
        <w:tc>
          <w:tcPr>
            <w:tcW w:w="1327" w:type="dxa"/>
            <w:noWrap w:val="0"/>
            <w:vAlign w:val="center"/>
          </w:tcPr>
          <w:p>
            <w:pPr>
              <w:rPr>
                <w:rFonts w:hint="eastAsia" w:ascii="宋体" w:hAnsi="宋体" w:eastAsia="宋体" w:cs="宋体"/>
                <w:color w:val="auto"/>
                <w:kern w:val="0"/>
                <w:sz w:val="24"/>
                <w:szCs w:val="24"/>
                <w:highlight w:val="none"/>
              </w:rPr>
            </w:pPr>
          </w:p>
        </w:tc>
        <w:tc>
          <w:tcPr>
            <w:tcW w:w="1871" w:type="dxa"/>
            <w:noWrap w:val="0"/>
            <w:vAlign w:val="center"/>
          </w:tcPr>
          <w:p>
            <w:pPr>
              <w:rPr>
                <w:rFonts w:hint="eastAsia" w:ascii="宋体" w:hAnsi="宋体" w:eastAsia="宋体" w:cs="宋体"/>
                <w:color w:val="auto"/>
                <w:kern w:val="0"/>
                <w:sz w:val="24"/>
                <w:szCs w:val="24"/>
                <w:highlight w:val="none"/>
              </w:rPr>
            </w:pPr>
          </w:p>
        </w:tc>
        <w:tc>
          <w:tcPr>
            <w:tcW w:w="1052" w:type="dxa"/>
            <w:noWrap w:val="0"/>
            <w:vAlign w:val="center"/>
          </w:tcPr>
          <w:p>
            <w:pPr>
              <w:rPr>
                <w:rFonts w:hint="eastAsia" w:ascii="宋体" w:hAnsi="宋体" w:eastAsia="宋体" w:cs="宋体"/>
                <w:color w:val="auto"/>
                <w:kern w:val="0"/>
                <w:sz w:val="24"/>
                <w:szCs w:val="24"/>
                <w:highlight w:val="none"/>
              </w:rPr>
            </w:pPr>
          </w:p>
        </w:tc>
        <w:tc>
          <w:tcPr>
            <w:tcW w:w="1106" w:type="dxa"/>
            <w:noWrap w:val="0"/>
            <w:vAlign w:val="center"/>
          </w:tcPr>
          <w:p>
            <w:pPr>
              <w:rPr>
                <w:rFonts w:hint="eastAsia" w:ascii="宋体" w:hAnsi="宋体" w:eastAsia="宋体" w:cs="宋体"/>
                <w:color w:val="auto"/>
                <w:kern w:val="0"/>
                <w:sz w:val="24"/>
                <w:szCs w:val="24"/>
                <w:highlight w:val="none"/>
              </w:rPr>
            </w:pPr>
          </w:p>
        </w:tc>
        <w:tc>
          <w:tcPr>
            <w:tcW w:w="929" w:type="dxa"/>
            <w:noWrap w:val="0"/>
            <w:vAlign w:val="center"/>
          </w:tcPr>
          <w:p>
            <w:pPr>
              <w:rPr>
                <w:rFonts w:hint="eastAsia" w:ascii="宋体" w:hAnsi="宋体" w:eastAsia="宋体" w:cs="宋体"/>
                <w:color w:val="auto"/>
                <w:kern w:val="0"/>
                <w:sz w:val="24"/>
                <w:szCs w:val="24"/>
                <w:highlight w:val="none"/>
              </w:rPr>
            </w:pPr>
          </w:p>
        </w:tc>
        <w:tc>
          <w:tcPr>
            <w:tcW w:w="1158" w:type="dxa"/>
            <w:tcBorders>
              <w:right w:val="single" w:color="auto" w:sz="4" w:space="0"/>
            </w:tcBorders>
            <w:noWrap w:val="0"/>
            <w:vAlign w:val="center"/>
          </w:tcPr>
          <w:p>
            <w:pPr>
              <w:rPr>
                <w:rFonts w:hint="eastAsia" w:ascii="宋体" w:hAnsi="宋体" w:eastAsia="宋体" w:cs="宋体"/>
                <w:color w:val="auto"/>
                <w:kern w:val="0"/>
                <w:sz w:val="24"/>
                <w:szCs w:val="24"/>
                <w:highlight w:val="none"/>
              </w:rPr>
            </w:pPr>
          </w:p>
        </w:tc>
        <w:tc>
          <w:tcPr>
            <w:tcW w:w="1544" w:type="dxa"/>
            <w:tcBorders>
              <w:left w:val="single" w:color="auto" w:sz="4" w:space="0"/>
              <w:right w:val="single" w:color="auto" w:sz="4" w:space="0"/>
            </w:tcBorders>
            <w:noWrap w:val="0"/>
            <w:vAlign w:val="center"/>
          </w:tcPr>
          <w:p>
            <w:pP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color w:val="auto"/>
                <w:kern w:val="0"/>
                <w:sz w:val="24"/>
                <w:szCs w:val="24"/>
                <w:highlight w:val="none"/>
              </w:rPr>
            </w:pPr>
          </w:p>
        </w:tc>
        <w:tc>
          <w:tcPr>
            <w:tcW w:w="1327" w:type="dxa"/>
            <w:noWrap w:val="0"/>
            <w:vAlign w:val="center"/>
          </w:tcPr>
          <w:p>
            <w:pPr>
              <w:rPr>
                <w:rFonts w:hint="eastAsia" w:ascii="宋体" w:hAnsi="宋体" w:eastAsia="宋体" w:cs="宋体"/>
                <w:color w:val="auto"/>
                <w:kern w:val="0"/>
                <w:sz w:val="24"/>
                <w:szCs w:val="24"/>
                <w:highlight w:val="none"/>
              </w:rPr>
            </w:pPr>
          </w:p>
        </w:tc>
        <w:tc>
          <w:tcPr>
            <w:tcW w:w="1871" w:type="dxa"/>
            <w:noWrap w:val="0"/>
            <w:vAlign w:val="center"/>
          </w:tcPr>
          <w:p>
            <w:pPr>
              <w:rPr>
                <w:rFonts w:hint="eastAsia" w:ascii="宋体" w:hAnsi="宋体" w:eastAsia="宋体" w:cs="宋体"/>
                <w:color w:val="auto"/>
                <w:kern w:val="0"/>
                <w:sz w:val="24"/>
                <w:szCs w:val="24"/>
                <w:highlight w:val="none"/>
              </w:rPr>
            </w:pPr>
          </w:p>
        </w:tc>
        <w:tc>
          <w:tcPr>
            <w:tcW w:w="1052" w:type="dxa"/>
            <w:noWrap w:val="0"/>
            <w:vAlign w:val="center"/>
          </w:tcPr>
          <w:p>
            <w:pPr>
              <w:rPr>
                <w:rFonts w:hint="eastAsia" w:ascii="宋体" w:hAnsi="宋体" w:eastAsia="宋体" w:cs="宋体"/>
                <w:color w:val="auto"/>
                <w:kern w:val="0"/>
                <w:sz w:val="24"/>
                <w:szCs w:val="24"/>
                <w:highlight w:val="none"/>
              </w:rPr>
            </w:pPr>
          </w:p>
        </w:tc>
        <w:tc>
          <w:tcPr>
            <w:tcW w:w="1106" w:type="dxa"/>
            <w:noWrap w:val="0"/>
            <w:vAlign w:val="center"/>
          </w:tcPr>
          <w:p>
            <w:pPr>
              <w:rPr>
                <w:rFonts w:hint="eastAsia" w:ascii="宋体" w:hAnsi="宋体" w:eastAsia="宋体" w:cs="宋体"/>
                <w:color w:val="auto"/>
                <w:kern w:val="0"/>
                <w:sz w:val="24"/>
                <w:szCs w:val="24"/>
                <w:highlight w:val="none"/>
              </w:rPr>
            </w:pPr>
          </w:p>
        </w:tc>
        <w:tc>
          <w:tcPr>
            <w:tcW w:w="929" w:type="dxa"/>
            <w:noWrap w:val="0"/>
            <w:vAlign w:val="center"/>
          </w:tcPr>
          <w:p>
            <w:pPr>
              <w:rPr>
                <w:rFonts w:hint="eastAsia" w:ascii="宋体" w:hAnsi="宋体" w:eastAsia="宋体" w:cs="宋体"/>
                <w:color w:val="auto"/>
                <w:kern w:val="0"/>
                <w:sz w:val="24"/>
                <w:szCs w:val="24"/>
                <w:highlight w:val="none"/>
              </w:rPr>
            </w:pPr>
          </w:p>
        </w:tc>
        <w:tc>
          <w:tcPr>
            <w:tcW w:w="1158" w:type="dxa"/>
            <w:tcBorders>
              <w:right w:val="single" w:color="auto" w:sz="4" w:space="0"/>
            </w:tcBorders>
            <w:noWrap w:val="0"/>
            <w:vAlign w:val="center"/>
          </w:tcPr>
          <w:p>
            <w:pPr>
              <w:rPr>
                <w:rFonts w:hint="eastAsia" w:ascii="宋体" w:hAnsi="宋体" w:eastAsia="宋体" w:cs="宋体"/>
                <w:color w:val="auto"/>
                <w:kern w:val="0"/>
                <w:sz w:val="24"/>
                <w:szCs w:val="24"/>
                <w:highlight w:val="none"/>
              </w:rPr>
            </w:pPr>
          </w:p>
        </w:tc>
        <w:tc>
          <w:tcPr>
            <w:tcW w:w="1544" w:type="dxa"/>
            <w:tcBorders>
              <w:left w:val="single" w:color="auto" w:sz="4" w:space="0"/>
              <w:right w:val="single" w:color="auto" w:sz="4" w:space="0"/>
            </w:tcBorders>
            <w:noWrap w:val="0"/>
            <w:vAlign w:val="center"/>
          </w:tcPr>
          <w:p>
            <w:pP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bottom w:val="single" w:color="auto" w:sz="4" w:space="0"/>
            </w:tcBorders>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　　计</w:t>
            </w:r>
          </w:p>
        </w:tc>
        <w:tc>
          <w:tcPr>
            <w:tcW w:w="3087" w:type="dxa"/>
            <w:gridSpan w:val="3"/>
            <w:tcBorders>
              <w:bottom w:val="single" w:color="auto" w:sz="4" w:space="0"/>
            </w:tcBorders>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数量合计：</w:t>
            </w:r>
          </w:p>
        </w:tc>
        <w:tc>
          <w:tcPr>
            <w:tcW w:w="2702" w:type="dxa"/>
            <w:gridSpan w:val="2"/>
            <w:tcBorders>
              <w:bottom w:val="single" w:color="auto" w:sz="4" w:space="0"/>
              <w:right w:val="single" w:color="auto" w:sz="4" w:space="0"/>
            </w:tcBorders>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二、伴随服务详列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327" w:type="dxa"/>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分项名称</w:t>
            </w:r>
          </w:p>
        </w:tc>
        <w:tc>
          <w:tcPr>
            <w:tcW w:w="1871" w:type="dxa"/>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具体服务内容</w:t>
            </w:r>
          </w:p>
        </w:tc>
        <w:tc>
          <w:tcPr>
            <w:tcW w:w="1052" w:type="dxa"/>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w:t>
            </w:r>
          </w:p>
        </w:tc>
        <w:tc>
          <w:tcPr>
            <w:tcW w:w="1106" w:type="dxa"/>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929" w:type="dxa"/>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单价</w:t>
            </w:r>
          </w:p>
        </w:tc>
        <w:tc>
          <w:tcPr>
            <w:tcW w:w="1158" w:type="dxa"/>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合计（元）</w:t>
            </w:r>
          </w:p>
        </w:tc>
        <w:tc>
          <w:tcPr>
            <w:tcW w:w="1544" w:type="dxa"/>
            <w:tcBorders>
              <w:right w:val="single" w:color="auto" w:sz="4" w:space="0"/>
            </w:tcBorders>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color w:val="auto"/>
                <w:kern w:val="0"/>
                <w:sz w:val="24"/>
                <w:szCs w:val="24"/>
                <w:highlight w:val="none"/>
              </w:rPr>
            </w:pPr>
          </w:p>
        </w:tc>
        <w:tc>
          <w:tcPr>
            <w:tcW w:w="1327" w:type="dxa"/>
            <w:noWrap w:val="0"/>
            <w:vAlign w:val="center"/>
          </w:tcPr>
          <w:p>
            <w:pPr>
              <w:rPr>
                <w:rFonts w:hint="eastAsia" w:ascii="宋体" w:hAnsi="宋体" w:eastAsia="宋体" w:cs="宋体"/>
                <w:color w:val="auto"/>
                <w:kern w:val="0"/>
                <w:sz w:val="24"/>
                <w:szCs w:val="24"/>
                <w:highlight w:val="none"/>
              </w:rPr>
            </w:pPr>
          </w:p>
        </w:tc>
        <w:tc>
          <w:tcPr>
            <w:tcW w:w="1871" w:type="dxa"/>
            <w:noWrap w:val="0"/>
            <w:vAlign w:val="center"/>
          </w:tcPr>
          <w:p>
            <w:pPr>
              <w:rPr>
                <w:rFonts w:hint="eastAsia" w:ascii="宋体" w:hAnsi="宋体" w:eastAsia="宋体" w:cs="宋体"/>
                <w:color w:val="auto"/>
                <w:kern w:val="0"/>
                <w:sz w:val="24"/>
                <w:szCs w:val="24"/>
                <w:highlight w:val="none"/>
              </w:rPr>
            </w:pPr>
          </w:p>
        </w:tc>
        <w:tc>
          <w:tcPr>
            <w:tcW w:w="1052" w:type="dxa"/>
            <w:noWrap w:val="0"/>
            <w:vAlign w:val="center"/>
          </w:tcPr>
          <w:p>
            <w:pPr>
              <w:rPr>
                <w:rFonts w:hint="eastAsia" w:ascii="宋体" w:hAnsi="宋体" w:eastAsia="宋体" w:cs="宋体"/>
                <w:color w:val="auto"/>
                <w:kern w:val="0"/>
                <w:sz w:val="24"/>
                <w:szCs w:val="24"/>
                <w:highlight w:val="none"/>
              </w:rPr>
            </w:pPr>
          </w:p>
        </w:tc>
        <w:tc>
          <w:tcPr>
            <w:tcW w:w="1106" w:type="dxa"/>
            <w:noWrap w:val="0"/>
            <w:vAlign w:val="center"/>
          </w:tcPr>
          <w:p>
            <w:pPr>
              <w:rPr>
                <w:rFonts w:hint="eastAsia" w:ascii="宋体" w:hAnsi="宋体" w:eastAsia="宋体" w:cs="宋体"/>
                <w:color w:val="auto"/>
                <w:kern w:val="0"/>
                <w:sz w:val="24"/>
                <w:szCs w:val="24"/>
                <w:highlight w:val="none"/>
              </w:rPr>
            </w:pPr>
          </w:p>
        </w:tc>
        <w:tc>
          <w:tcPr>
            <w:tcW w:w="929" w:type="dxa"/>
            <w:noWrap w:val="0"/>
            <w:vAlign w:val="center"/>
          </w:tcPr>
          <w:p>
            <w:pPr>
              <w:rPr>
                <w:rFonts w:hint="eastAsia" w:ascii="宋体" w:hAnsi="宋体" w:eastAsia="宋体" w:cs="宋体"/>
                <w:color w:val="auto"/>
                <w:kern w:val="0"/>
                <w:sz w:val="24"/>
                <w:szCs w:val="24"/>
                <w:highlight w:val="none"/>
              </w:rPr>
            </w:pPr>
          </w:p>
        </w:tc>
        <w:tc>
          <w:tcPr>
            <w:tcW w:w="1158" w:type="dxa"/>
            <w:noWrap w:val="0"/>
            <w:vAlign w:val="center"/>
          </w:tcPr>
          <w:p>
            <w:pPr>
              <w:rPr>
                <w:rFonts w:hint="eastAsia" w:ascii="宋体" w:hAnsi="宋体" w:eastAsia="宋体" w:cs="宋体"/>
                <w:color w:val="auto"/>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color w:val="auto"/>
                <w:kern w:val="0"/>
                <w:sz w:val="24"/>
                <w:szCs w:val="24"/>
                <w:highlight w:val="none"/>
              </w:rPr>
            </w:pPr>
          </w:p>
        </w:tc>
        <w:tc>
          <w:tcPr>
            <w:tcW w:w="1327" w:type="dxa"/>
            <w:noWrap w:val="0"/>
            <w:vAlign w:val="center"/>
          </w:tcPr>
          <w:p>
            <w:pPr>
              <w:rPr>
                <w:rFonts w:hint="eastAsia" w:ascii="宋体" w:hAnsi="宋体" w:eastAsia="宋体" w:cs="宋体"/>
                <w:color w:val="auto"/>
                <w:kern w:val="0"/>
                <w:sz w:val="24"/>
                <w:szCs w:val="24"/>
                <w:highlight w:val="none"/>
              </w:rPr>
            </w:pPr>
          </w:p>
        </w:tc>
        <w:tc>
          <w:tcPr>
            <w:tcW w:w="1871" w:type="dxa"/>
            <w:noWrap w:val="0"/>
            <w:vAlign w:val="center"/>
          </w:tcPr>
          <w:p>
            <w:pPr>
              <w:rPr>
                <w:rFonts w:hint="eastAsia" w:ascii="宋体" w:hAnsi="宋体" w:eastAsia="宋体" w:cs="宋体"/>
                <w:color w:val="auto"/>
                <w:kern w:val="0"/>
                <w:sz w:val="24"/>
                <w:szCs w:val="24"/>
                <w:highlight w:val="none"/>
              </w:rPr>
            </w:pPr>
          </w:p>
        </w:tc>
        <w:tc>
          <w:tcPr>
            <w:tcW w:w="1052" w:type="dxa"/>
            <w:noWrap w:val="0"/>
            <w:vAlign w:val="center"/>
          </w:tcPr>
          <w:p>
            <w:pPr>
              <w:rPr>
                <w:rFonts w:hint="eastAsia" w:ascii="宋体" w:hAnsi="宋体" w:eastAsia="宋体" w:cs="宋体"/>
                <w:color w:val="auto"/>
                <w:kern w:val="0"/>
                <w:sz w:val="24"/>
                <w:szCs w:val="24"/>
                <w:highlight w:val="none"/>
              </w:rPr>
            </w:pPr>
          </w:p>
        </w:tc>
        <w:tc>
          <w:tcPr>
            <w:tcW w:w="1106" w:type="dxa"/>
            <w:noWrap w:val="0"/>
            <w:vAlign w:val="center"/>
          </w:tcPr>
          <w:p>
            <w:pPr>
              <w:rPr>
                <w:rFonts w:hint="eastAsia" w:ascii="宋体" w:hAnsi="宋体" w:eastAsia="宋体" w:cs="宋体"/>
                <w:color w:val="auto"/>
                <w:kern w:val="0"/>
                <w:sz w:val="24"/>
                <w:szCs w:val="24"/>
                <w:highlight w:val="none"/>
              </w:rPr>
            </w:pPr>
          </w:p>
        </w:tc>
        <w:tc>
          <w:tcPr>
            <w:tcW w:w="929" w:type="dxa"/>
            <w:noWrap w:val="0"/>
            <w:vAlign w:val="center"/>
          </w:tcPr>
          <w:p>
            <w:pPr>
              <w:rPr>
                <w:rFonts w:hint="eastAsia" w:ascii="宋体" w:hAnsi="宋体" w:eastAsia="宋体" w:cs="宋体"/>
                <w:color w:val="auto"/>
                <w:kern w:val="0"/>
                <w:sz w:val="24"/>
                <w:szCs w:val="24"/>
                <w:highlight w:val="none"/>
              </w:rPr>
            </w:pPr>
          </w:p>
        </w:tc>
        <w:tc>
          <w:tcPr>
            <w:tcW w:w="1158" w:type="dxa"/>
            <w:noWrap w:val="0"/>
            <w:vAlign w:val="center"/>
          </w:tcPr>
          <w:p>
            <w:pPr>
              <w:rPr>
                <w:rFonts w:hint="eastAsia" w:ascii="宋体" w:hAnsi="宋体" w:eastAsia="宋体" w:cs="宋体"/>
                <w:color w:val="auto"/>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color w:val="auto"/>
                <w:kern w:val="0"/>
                <w:sz w:val="24"/>
                <w:szCs w:val="24"/>
                <w:highlight w:val="none"/>
              </w:rPr>
            </w:pPr>
          </w:p>
        </w:tc>
        <w:tc>
          <w:tcPr>
            <w:tcW w:w="1327" w:type="dxa"/>
            <w:noWrap w:val="0"/>
            <w:vAlign w:val="center"/>
          </w:tcPr>
          <w:p>
            <w:pPr>
              <w:rPr>
                <w:rFonts w:hint="eastAsia" w:ascii="宋体" w:hAnsi="宋体" w:eastAsia="宋体" w:cs="宋体"/>
                <w:color w:val="auto"/>
                <w:kern w:val="0"/>
                <w:sz w:val="24"/>
                <w:szCs w:val="24"/>
                <w:highlight w:val="none"/>
              </w:rPr>
            </w:pPr>
          </w:p>
        </w:tc>
        <w:tc>
          <w:tcPr>
            <w:tcW w:w="1871" w:type="dxa"/>
            <w:noWrap w:val="0"/>
            <w:vAlign w:val="center"/>
          </w:tcPr>
          <w:p>
            <w:pPr>
              <w:rPr>
                <w:rFonts w:hint="eastAsia" w:ascii="宋体" w:hAnsi="宋体" w:eastAsia="宋体" w:cs="宋体"/>
                <w:color w:val="auto"/>
                <w:kern w:val="0"/>
                <w:sz w:val="24"/>
                <w:szCs w:val="24"/>
                <w:highlight w:val="none"/>
              </w:rPr>
            </w:pPr>
          </w:p>
        </w:tc>
        <w:tc>
          <w:tcPr>
            <w:tcW w:w="1052" w:type="dxa"/>
            <w:noWrap w:val="0"/>
            <w:vAlign w:val="center"/>
          </w:tcPr>
          <w:p>
            <w:pPr>
              <w:rPr>
                <w:rFonts w:hint="eastAsia" w:ascii="宋体" w:hAnsi="宋体" w:eastAsia="宋体" w:cs="宋体"/>
                <w:color w:val="auto"/>
                <w:kern w:val="0"/>
                <w:sz w:val="24"/>
                <w:szCs w:val="24"/>
                <w:highlight w:val="none"/>
              </w:rPr>
            </w:pPr>
          </w:p>
        </w:tc>
        <w:tc>
          <w:tcPr>
            <w:tcW w:w="1106" w:type="dxa"/>
            <w:noWrap w:val="0"/>
            <w:vAlign w:val="center"/>
          </w:tcPr>
          <w:p>
            <w:pPr>
              <w:rPr>
                <w:rFonts w:hint="eastAsia" w:ascii="宋体" w:hAnsi="宋体" w:eastAsia="宋体" w:cs="宋体"/>
                <w:color w:val="auto"/>
                <w:kern w:val="0"/>
                <w:sz w:val="24"/>
                <w:szCs w:val="24"/>
                <w:highlight w:val="none"/>
              </w:rPr>
            </w:pPr>
          </w:p>
        </w:tc>
        <w:tc>
          <w:tcPr>
            <w:tcW w:w="929" w:type="dxa"/>
            <w:noWrap w:val="0"/>
            <w:vAlign w:val="center"/>
          </w:tcPr>
          <w:p>
            <w:pPr>
              <w:rPr>
                <w:rFonts w:hint="eastAsia" w:ascii="宋体" w:hAnsi="宋体" w:eastAsia="宋体" w:cs="宋体"/>
                <w:color w:val="auto"/>
                <w:kern w:val="0"/>
                <w:sz w:val="24"/>
                <w:szCs w:val="24"/>
                <w:highlight w:val="none"/>
              </w:rPr>
            </w:pPr>
          </w:p>
        </w:tc>
        <w:tc>
          <w:tcPr>
            <w:tcW w:w="1158" w:type="dxa"/>
            <w:noWrap w:val="0"/>
            <w:vAlign w:val="center"/>
          </w:tcPr>
          <w:p>
            <w:pPr>
              <w:rPr>
                <w:rFonts w:hint="eastAsia" w:ascii="宋体" w:hAnsi="宋体" w:eastAsia="宋体" w:cs="宋体"/>
                <w:color w:val="auto"/>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tcBorders>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　　计</w:t>
            </w:r>
          </w:p>
        </w:tc>
        <w:tc>
          <w:tcPr>
            <w:tcW w:w="3087" w:type="dxa"/>
            <w:gridSpan w:val="3"/>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数量合计：</w:t>
            </w:r>
          </w:p>
        </w:tc>
        <w:tc>
          <w:tcPr>
            <w:tcW w:w="2702" w:type="dxa"/>
            <w:gridSpan w:val="2"/>
            <w:tcBorders>
              <w:right w:val="single" w:color="auto" w:sz="4" w:space="0"/>
            </w:tcBorders>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三、其他费用详列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327" w:type="dxa"/>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分项名称</w:t>
            </w:r>
          </w:p>
        </w:tc>
        <w:tc>
          <w:tcPr>
            <w:tcW w:w="1871" w:type="dxa"/>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具体内容</w:t>
            </w:r>
          </w:p>
        </w:tc>
        <w:tc>
          <w:tcPr>
            <w:tcW w:w="1052" w:type="dxa"/>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w:t>
            </w:r>
          </w:p>
        </w:tc>
        <w:tc>
          <w:tcPr>
            <w:tcW w:w="1106" w:type="dxa"/>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929" w:type="dxa"/>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单价</w:t>
            </w:r>
          </w:p>
        </w:tc>
        <w:tc>
          <w:tcPr>
            <w:tcW w:w="1158" w:type="dxa"/>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合计（元）</w:t>
            </w:r>
          </w:p>
        </w:tc>
        <w:tc>
          <w:tcPr>
            <w:tcW w:w="1544" w:type="dxa"/>
            <w:tcBorders>
              <w:right w:val="single" w:color="auto" w:sz="4" w:space="0"/>
            </w:tcBorders>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color w:val="auto"/>
                <w:kern w:val="0"/>
                <w:sz w:val="24"/>
                <w:szCs w:val="24"/>
                <w:highlight w:val="none"/>
              </w:rPr>
            </w:pPr>
          </w:p>
        </w:tc>
        <w:tc>
          <w:tcPr>
            <w:tcW w:w="1327" w:type="dxa"/>
            <w:noWrap w:val="0"/>
            <w:vAlign w:val="center"/>
          </w:tcPr>
          <w:p>
            <w:pPr>
              <w:rPr>
                <w:rFonts w:hint="eastAsia" w:ascii="宋体" w:hAnsi="宋体" w:eastAsia="宋体" w:cs="宋体"/>
                <w:color w:val="auto"/>
                <w:kern w:val="0"/>
                <w:sz w:val="24"/>
                <w:szCs w:val="24"/>
                <w:highlight w:val="none"/>
              </w:rPr>
            </w:pPr>
          </w:p>
        </w:tc>
        <w:tc>
          <w:tcPr>
            <w:tcW w:w="1871" w:type="dxa"/>
            <w:noWrap w:val="0"/>
            <w:vAlign w:val="center"/>
          </w:tcPr>
          <w:p>
            <w:pPr>
              <w:rPr>
                <w:rFonts w:hint="eastAsia" w:ascii="宋体" w:hAnsi="宋体" w:eastAsia="宋体" w:cs="宋体"/>
                <w:color w:val="auto"/>
                <w:kern w:val="0"/>
                <w:sz w:val="24"/>
                <w:szCs w:val="24"/>
                <w:highlight w:val="none"/>
              </w:rPr>
            </w:pPr>
          </w:p>
        </w:tc>
        <w:tc>
          <w:tcPr>
            <w:tcW w:w="1052" w:type="dxa"/>
            <w:noWrap w:val="0"/>
            <w:vAlign w:val="center"/>
          </w:tcPr>
          <w:p>
            <w:pPr>
              <w:rPr>
                <w:rFonts w:hint="eastAsia" w:ascii="宋体" w:hAnsi="宋体" w:eastAsia="宋体" w:cs="宋体"/>
                <w:color w:val="auto"/>
                <w:kern w:val="0"/>
                <w:sz w:val="24"/>
                <w:szCs w:val="24"/>
                <w:highlight w:val="none"/>
              </w:rPr>
            </w:pPr>
          </w:p>
        </w:tc>
        <w:tc>
          <w:tcPr>
            <w:tcW w:w="1106" w:type="dxa"/>
            <w:noWrap w:val="0"/>
            <w:vAlign w:val="center"/>
          </w:tcPr>
          <w:p>
            <w:pPr>
              <w:rPr>
                <w:rFonts w:hint="eastAsia" w:ascii="宋体" w:hAnsi="宋体" w:eastAsia="宋体" w:cs="宋体"/>
                <w:color w:val="auto"/>
                <w:kern w:val="0"/>
                <w:sz w:val="24"/>
                <w:szCs w:val="24"/>
                <w:highlight w:val="none"/>
              </w:rPr>
            </w:pPr>
          </w:p>
        </w:tc>
        <w:tc>
          <w:tcPr>
            <w:tcW w:w="929" w:type="dxa"/>
            <w:noWrap w:val="0"/>
            <w:vAlign w:val="center"/>
          </w:tcPr>
          <w:p>
            <w:pPr>
              <w:rPr>
                <w:rFonts w:hint="eastAsia" w:ascii="宋体" w:hAnsi="宋体" w:eastAsia="宋体" w:cs="宋体"/>
                <w:color w:val="auto"/>
                <w:kern w:val="0"/>
                <w:sz w:val="24"/>
                <w:szCs w:val="24"/>
                <w:highlight w:val="none"/>
              </w:rPr>
            </w:pPr>
          </w:p>
        </w:tc>
        <w:tc>
          <w:tcPr>
            <w:tcW w:w="1158" w:type="dxa"/>
            <w:noWrap w:val="0"/>
            <w:vAlign w:val="center"/>
          </w:tcPr>
          <w:p>
            <w:pPr>
              <w:rPr>
                <w:rFonts w:hint="eastAsia" w:ascii="宋体" w:hAnsi="宋体" w:eastAsia="宋体" w:cs="宋体"/>
                <w:color w:val="auto"/>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color w:val="auto"/>
                <w:kern w:val="0"/>
                <w:sz w:val="24"/>
                <w:szCs w:val="24"/>
                <w:highlight w:val="none"/>
              </w:rPr>
            </w:pPr>
          </w:p>
        </w:tc>
        <w:tc>
          <w:tcPr>
            <w:tcW w:w="1327" w:type="dxa"/>
            <w:noWrap w:val="0"/>
            <w:vAlign w:val="center"/>
          </w:tcPr>
          <w:p>
            <w:pPr>
              <w:rPr>
                <w:rFonts w:hint="eastAsia" w:ascii="宋体" w:hAnsi="宋体" w:eastAsia="宋体" w:cs="宋体"/>
                <w:color w:val="auto"/>
                <w:kern w:val="0"/>
                <w:sz w:val="24"/>
                <w:szCs w:val="24"/>
                <w:highlight w:val="none"/>
              </w:rPr>
            </w:pPr>
          </w:p>
        </w:tc>
        <w:tc>
          <w:tcPr>
            <w:tcW w:w="1871" w:type="dxa"/>
            <w:noWrap w:val="0"/>
            <w:vAlign w:val="center"/>
          </w:tcPr>
          <w:p>
            <w:pPr>
              <w:rPr>
                <w:rFonts w:hint="eastAsia" w:ascii="宋体" w:hAnsi="宋体" w:eastAsia="宋体" w:cs="宋体"/>
                <w:color w:val="auto"/>
                <w:kern w:val="0"/>
                <w:sz w:val="24"/>
                <w:szCs w:val="24"/>
                <w:highlight w:val="none"/>
              </w:rPr>
            </w:pPr>
          </w:p>
        </w:tc>
        <w:tc>
          <w:tcPr>
            <w:tcW w:w="1052" w:type="dxa"/>
            <w:noWrap w:val="0"/>
            <w:vAlign w:val="center"/>
          </w:tcPr>
          <w:p>
            <w:pPr>
              <w:rPr>
                <w:rFonts w:hint="eastAsia" w:ascii="宋体" w:hAnsi="宋体" w:eastAsia="宋体" w:cs="宋体"/>
                <w:color w:val="auto"/>
                <w:kern w:val="0"/>
                <w:sz w:val="24"/>
                <w:szCs w:val="24"/>
                <w:highlight w:val="none"/>
              </w:rPr>
            </w:pPr>
          </w:p>
        </w:tc>
        <w:tc>
          <w:tcPr>
            <w:tcW w:w="1106" w:type="dxa"/>
            <w:noWrap w:val="0"/>
            <w:vAlign w:val="center"/>
          </w:tcPr>
          <w:p>
            <w:pPr>
              <w:rPr>
                <w:rFonts w:hint="eastAsia" w:ascii="宋体" w:hAnsi="宋体" w:eastAsia="宋体" w:cs="宋体"/>
                <w:color w:val="auto"/>
                <w:kern w:val="0"/>
                <w:sz w:val="24"/>
                <w:szCs w:val="24"/>
                <w:highlight w:val="none"/>
              </w:rPr>
            </w:pPr>
          </w:p>
        </w:tc>
        <w:tc>
          <w:tcPr>
            <w:tcW w:w="929" w:type="dxa"/>
            <w:noWrap w:val="0"/>
            <w:vAlign w:val="center"/>
          </w:tcPr>
          <w:p>
            <w:pPr>
              <w:rPr>
                <w:rFonts w:hint="eastAsia" w:ascii="宋体" w:hAnsi="宋体" w:eastAsia="宋体" w:cs="宋体"/>
                <w:color w:val="auto"/>
                <w:kern w:val="0"/>
                <w:sz w:val="24"/>
                <w:szCs w:val="24"/>
                <w:highlight w:val="none"/>
              </w:rPr>
            </w:pPr>
          </w:p>
        </w:tc>
        <w:tc>
          <w:tcPr>
            <w:tcW w:w="1158" w:type="dxa"/>
            <w:noWrap w:val="0"/>
            <w:vAlign w:val="center"/>
          </w:tcPr>
          <w:p>
            <w:pPr>
              <w:rPr>
                <w:rFonts w:hint="eastAsia" w:ascii="宋体" w:hAnsi="宋体" w:eastAsia="宋体" w:cs="宋体"/>
                <w:color w:val="auto"/>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color w:val="auto"/>
                <w:kern w:val="0"/>
                <w:sz w:val="24"/>
                <w:szCs w:val="24"/>
                <w:highlight w:val="none"/>
              </w:rPr>
            </w:pPr>
          </w:p>
        </w:tc>
        <w:tc>
          <w:tcPr>
            <w:tcW w:w="1327" w:type="dxa"/>
            <w:noWrap w:val="0"/>
            <w:vAlign w:val="center"/>
          </w:tcPr>
          <w:p>
            <w:pPr>
              <w:rPr>
                <w:rFonts w:hint="eastAsia" w:ascii="宋体" w:hAnsi="宋体" w:eastAsia="宋体" w:cs="宋体"/>
                <w:color w:val="auto"/>
                <w:kern w:val="0"/>
                <w:sz w:val="24"/>
                <w:szCs w:val="24"/>
                <w:highlight w:val="none"/>
              </w:rPr>
            </w:pPr>
          </w:p>
        </w:tc>
        <w:tc>
          <w:tcPr>
            <w:tcW w:w="1871" w:type="dxa"/>
            <w:noWrap w:val="0"/>
            <w:vAlign w:val="center"/>
          </w:tcPr>
          <w:p>
            <w:pPr>
              <w:rPr>
                <w:rFonts w:hint="eastAsia" w:ascii="宋体" w:hAnsi="宋体" w:eastAsia="宋体" w:cs="宋体"/>
                <w:color w:val="auto"/>
                <w:kern w:val="0"/>
                <w:sz w:val="24"/>
                <w:szCs w:val="24"/>
                <w:highlight w:val="none"/>
              </w:rPr>
            </w:pPr>
          </w:p>
        </w:tc>
        <w:tc>
          <w:tcPr>
            <w:tcW w:w="1052" w:type="dxa"/>
            <w:noWrap w:val="0"/>
            <w:vAlign w:val="center"/>
          </w:tcPr>
          <w:p>
            <w:pPr>
              <w:rPr>
                <w:rFonts w:hint="eastAsia" w:ascii="宋体" w:hAnsi="宋体" w:eastAsia="宋体" w:cs="宋体"/>
                <w:color w:val="auto"/>
                <w:kern w:val="0"/>
                <w:sz w:val="24"/>
                <w:szCs w:val="24"/>
                <w:highlight w:val="none"/>
              </w:rPr>
            </w:pPr>
          </w:p>
        </w:tc>
        <w:tc>
          <w:tcPr>
            <w:tcW w:w="1106" w:type="dxa"/>
            <w:noWrap w:val="0"/>
            <w:vAlign w:val="center"/>
          </w:tcPr>
          <w:p>
            <w:pPr>
              <w:rPr>
                <w:rFonts w:hint="eastAsia" w:ascii="宋体" w:hAnsi="宋体" w:eastAsia="宋体" w:cs="宋体"/>
                <w:color w:val="auto"/>
                <w:kern w:val="0"/>
                <w:sz w:val="24"/>
                <w:szCs w:val="24"/>
                <w:highlight w:val="none"/>
              </w:rPr>
            </w:pPr>
          </w:p>
        </w:tc>
        <w:tc>
          <w:tcPr>
            <w:tcW w:w="929" w:type="dxa"/>
            <w:noWrap w:val="0"/>
            <w:vAlign w:val="center"/>
          </w:tcPr>
          <w:p>
            <w:pPr>
              <w:rPr>
                <w:rFonts w:hint="eastAsia" w:ascii="宋体" w:hAnsi="宋体" w:eastAsia="宋体" w:cs="宋体"/>
                <w:color w:val="auto"/>
                <w:kern w:val="0"/>
                <w:sz w:val="24"/>
                <w:szCs w:val="24"/>
                <w:highlight w:val="none"/>
              </w:rPr>
            </w:pPr>
          </w:p>
        </w:tc>
        <w:tc>
          <w:tcPr>
            <w:tcW w:w="1158" w:type="dxa"/>
            <w:noWrap w:val="0"/>
            <w:vAlign w:val="center"/>
          </w:tcPr>
          <w:p>
            <w:pPr>
              <w:rPr>
                <w:rFonts w:hint="eastAsia" w:ascii="宋体" w:hAnsi="宋体" w:eastAsia="宋体" w:cs="宋体"/>
                <w:color w:val="auto"/>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tcBorders>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　　计</w:t>
            </w:r>
          </w:p>
        </w:tc>
        <w:tc>
          <w:tcPr>
            <w:tcW w:w="3087" w:type="dxa"/>
            <w:gridSpan w:val="3"/>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数量合计：</w:t>
            </w:r>
          </w:p>
        </w:tc>
        <w:tc>
          <w:tcPr>
            <w:tcW w:w="2702" w:type="dxa"/>
            <w:gridSpan w:val="2"/>
            <w:tcBorders>
              <w:right w:val="single" w:color="auto" w:sz="4" w:space="0"/>
            </w:tcBorders>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9620" w:type="dxa"/>
            <w:gridSpan w:val="8"/>
            <w:tcBorders>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四、总报价：人民币    元。（以上各合计项与报价一览表中的对应项均一致相符，如不一致以报价一览表为准）</w:t>
            </w:r>
          </w:p>
        </w:tc>
      </w:tr>
    </w:tbl>
    <w:p>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注：1）以上内容必须与《</w:t>
      </w:r>
      <w:r>
        <w:rPr>
          <w:rFonts w:hint="eastAsia" w:ascii="宋体" w:hAnsi="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报价单》一致。2)</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对于报价免费的项目必须标明“免费”；3)</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所有根据合同或其它原因应由报价供应商支付的税款和其它应交纳的费用都要包括在报价供应商提交的报价价格中；4)</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应包含货物运至最终目的地的运输、保险和伴随货物服务的其他所有费用。</w:t>
      </w:r>
    </w:p>
    <w:p>
      <w:pPr>
        <w:pStyle w:val="8"/>
        <w:tabs>
          <w:tab w:val="left" w:pos="8227"/>
        </w:tabs>
        <w:kinsoku w:val="0"/>
        <w:overflowPunct w:val="0"/>
        <w:spacing w:before="0" w:line="381" w:lineRule="auto"/>
        <w:ind w:right="118"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w w:val="95"/>
          <w:highlight w:val="none"/>
        </w:rPr>
        <w:t>（盖章）</w:t>
      </w:r>
      <w:r>
        <w:rPr>
          <w:rFonts w:hint="eastAsia" w:ascii="宋体" w:hAnsi="宋体" w:eastAsia="宋体" w:cs="宋体"/>
          <w:color w:val="auto"/>
          <w:highlight w:val="none"/>
        </w:rPr>
        <w:t xml:space="preserve"> </w:t>
      </w:r>
    </w:p>
    <w:p>
      <w:pPr>
        <w:pStyle w:val="8"/>
        <w:tabs>
          <w:tab w:val="left" w:pos="8227"/>
        </w:tabs>
        <w:kinsoku w:val="0"/>
        <w:overflowPunct w:val="0"/>
        <w:spacing w:before="0" w:line="381" w:lineRule="auto"/>
        <w:ind w:right="118" w:firstLine="480" w:firstLineChars="200"/>
        <w:rPr>
          <w:rFonts w:hint="eastAsia" w:ascii="宋体" w:hAnsi="宋体" w:eastAsia="宋体" w:cs="宋体"/>
          <w:color w:val="auto"/>
          <w:w w:val="95"/>
          <w:highlight w:val="none"/>
        </w:rPr>
      </w:pPr>
      <w:r>
        <w:rPr>
          <w:rFonts w:hint="eastAsia" w:ascii="宋体" w:hAnsi="宋体" w:eastAsia="宋体" w:cs="宋体"/>
          <w:color w:val="auto"/>
          <w:highlight w:val="none"/>
        </w:rPr>
        <w:t>法定代表人或被授权人：</w:t>
      </w:r>
      <w:r>
        <w:rPr>
          <w:rFonts w:hint="eastAsia" w:ascii="宋体" w:hAnsi="宋体" w:eastAsia="宋体" w:cs="宋体"/>
          <w:color w:val="auto"/>
          <w:w w:val="95"/>
          <w:highlight w:val="none"/>
        </w:rPr>
        <w:t>（签字）</w:t>
      </w:r>
    </w:p>
    <w:p>
      <w:pPr>
        <w:pStyle w:val="8"/>
        <w:tabs>
          <w:tab w:val="left" w:pos="5551"/>
          <w:tab w:val="left" w:pos="6511"/>
          <w:tab w:val="left" w:pos="7111"/>
          <w:tab w:val="left" w:pos="7711"/>
        </w:tabs>
        <w:kinsoku w:val="0"/>
        <w:overflowPunct w:val="0"/>
        <w:spacing w:before="46"/>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日</w:t>
      </w:r>
    </w:p>
    <w:p>
      <w:pPr>
        <w:ind w:firstLine="420" w:firstLineChars="200"/>
        <w:jc w:val="center"/>
        <w:rPr>
          <w:rFonts w:hint="eastAsia" w:ascii="宋体" w:hAnsi="宋体" w:eastAsia="宋体" w:cs="宋体"/>
          <w:b/>
          <w:color w:val="auto"/>
          <w:kern w:val="0"/>
          <w:sz w:val="24"/>
          <w:szCs w:val="24"/>
          <w:highlight w:val="none"/>
        </w:rPr>
      </w:pPr>
      <w:r>
        <w:rPr>
          <w:rFonts w:hint="eastAsia" w:ascii="宋体" w:hAnsi="宋体" w:eastAsia="宋体" w:cs="宋体"/>
          <w:color w:val="auto"/>
          <w:highlight w:val="none"/>
        </w:rPr>
        <w:br w:type="page"/>
      </w:r>
      <w:r>
        <w:rPr>
          <w:rFonts w:hint="eastAsia" w:ascii="宋体" w:hAnsi="宋体" w:eastAsia="宋体" w:cs="宋体"/>
          <w:b/>
          <w:color w:val="auto"/>
          <w:kern w:val="0"/>
          <w:sz w:val="24"/>
          <w:szCs w:val="24"/>
          <w:highlight w:val="none"/>
        </w:rPr>
        <w:t>政策适用性说明</w:t>
      </w:r>
    </w:p>
    <w:p>
      <w:pPr>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按照政府采购有关政策的要求，在本次的技术方案中，采用符合政策的小型或微型企业产品、节能产品、环保标志产品，主要产品与核心技术介绍说明如下：</w:t>
      </w:r>
    </w:p>
    <w:tbl>
      <w:tblPr>
        <w:tblStyle w:val="16"/>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379"/>
        <w:gridCol w:w="982"/>
        <w:gridCol w:w="942"/>
        <w:gridCol w:w="876"/>
        <w:gridCol w:w="982"/>
        <w:gridCol w:w="1010"/>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379" w:type="dxa"/>
            <w:tcBorders>
              <w:top w:val="single" w:color="auto" w:sz="4" w:space="0"/>
              <w:left w:val="single" w:color="auto" w:sz="4" w:space="0"/>
              <w:bottom w:val="single" w:color="auto" w:sz="4" w:space="0"/>
              <w:right w:val="single" w:color="auto" w:sz="4" w:space="0"/>
            </w:tcBorders>
            <w:noWrap w:val="0"/>
            <w:vAlign w:val="center"/>
          </w:tcPr>
          <w:p>
            <w:pPr>
              <w:ind w:firstLine="482" w:firstLineChars="20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主要产品/技术名称</w:t>
            </w:r>
          </w:p>
          <w:p>
            <w:pPr>
              <w:ind w:firstLine="482" w:firstLineChars="20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（规格型号、注册商标）</w:t>
            </w: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制造商</w:t>
            </w:r>
          </w:p>
          <w:p>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(开发商)</w:t>
            </w: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企业类型</w:t>
            </w: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节能</w:t>
            </w:r>
          </w:p>
          <w:p>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产品</w:t>
            </w: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环保标志产品</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认证证书编号</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该产品报价（合计）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717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总合计（节能产品）</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c>
          <w:tcPr>
            <w:tcW w:w="717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总合计（环保产品）</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rPr>
            </w:pPr>
          </w:p>
        </w:tc>
      </w:tr>
    </w:tbl>
    <w:p>
      <w:pPr>
        <w:rPr>
          <w:rFonts w:hint="eastAsia" w:ascii="宋体" w:hAnsi="宋体" w:eastAsia="宋体" w:cs="宋体"/>
          <w:b/>
          <w:bCs/>
          <w:color w:val="auto"/>
          <w:kern w:val="0"/>
          <w:sz w:val="24"/>
          <w:szCs w:val="24"/>
          <w:highlight w:val="none"/>
        </w:rPr>
      </w:pPr>
    </w:p>
    <w:p>
      <w:pPr>
        <w:spacing w:line="480" w:lineRule="exact"/>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注：1</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企业为小型或微型企业时才需要填“企业类型”栏，填写内容为“小型”或“微型”；</w:t>
      </w:r>
    </w:p>
    <w:p>
      <w:pPr>
        <w:spacing w:line="480" w:lineRule="exact"/>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2、“节能产品、环保标志产品”是属于国家行业主管部门颁布的清单目录中的产品，须填写认证证书编号，并在“节能产品”、“环保标志产品”栏中填写属于“第　  期清单”的产品（产品被列入多期清单的，以最新一期为准），同时提供有效期内的下述文件（均为复印件，加盖报价供应商公章）：</w:t>
      </w:r>
    </w:p>
    <w:p>
      <w:pPr>
        <w:spacing w:line="480" w:lineRule="exact"/>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（1）属于“节能产品政府采购清单”中品目的产品，提供“节能产品政府采购清单（第___期）”中报价产品所在清单页并加盖报价供应商公章，节能清单在中国政府采购网（http：//www.ccgp.gov .cn/）、国家发展改革委网站（</w:t>
      </w: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"http://hzs.nd/"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kern w:val="0"/>
          <w:sz w:val="24"/>
          <w:szCs w:val="24"/>
          <w:highlight w:val="none"/>
        </w:rPr>
        <w:t>http://hzs.nd</w:t>
      </w:r>
      <w:r>
        <w:rPr>
          <w:rFonts w:hint="eastAsia" w:ascii="宋体" w:hAnsi="宋体" w:eastAsia="宋体" w:cs="宋体"/>
          <w:b/>
          <w:bCs/>
          <w:color w:val="auto"/>
          <w:kern w:val="0"/>
          <w:sz w:val="24"/>
          <w:szCs w:val="24"/>
          <w:highlight w:val="none"/>
        </w:rPr>
        <w:fldChar w:fldCharType="end"/>
      </w:r>
      <w:r>
        <w:rPr>
          <w:rFonts w:hint="eastAsia" w:ascii="宋体" w:hAnsi="宋体" w:eastAsia="宋体" w:cs="宋体"/>
          <w:b/>
          <w:bCs/>
          <w:color w:val="auto"/>
          <w:kern w:val="0"/>
          <w:sz w:val="24"/>
          <w:szCs w:val="24"/>
          <w:highlight w:val="none"/>
        </w:rPr>
        <w:t xml:space="preserve"> rc.gv.cn/）和中国质量认证中心网站（http://www.cqc.com.cn/）上发布；</w:t>
      </w:r>
    </w:p>
    <w:p>
      <w:pPr>
        <w:spacing w:line="480" w:lineRule="exact"/>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属于“环境标志产品政府采购清单”中品目的产品，提供最新“环境标志产品政府采购清单（第___期）”中报价产品所在清单页并加盖报价供应商公章，清单在中国政府采购网（http://www.ccgp.gov.cn/）、国家环境保护总局网（http://www.sepa.gov.cn/）、中国绿色采购网（http://www.cgpn. cn/）上发布；</w:t>
      </w:r>
    </w:p>
    <w:p>
      <w:pPr>
        <w:spacing w:line="480" w:lineRule="exact"/>
        <w:ind w:firstLine="482" w:firstLineChars="200"/>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rPr>
        <w:t>3、如不填写或填写不全，后果自行承担。</w:t>
      </w:r>
    </w:p>
    <w:p>
      <w:pPr>
        <w:pStyle w:val="8"/>
        <w:tabs>
          <w:tab w:val="left" w:pos="8227"/>
        </w:tabs>
        <w:kinsoku w:val="0"/>
        <w:overflowPunct w:val="0"/>
        <w:spacing w:before="0" w:line="381" w:lineRule="auto"/>
        <w:ind w:right="118" w:firstLine="482" w:firstLineChars="200"/>
        <w:jc w:val="left"/>
        <w:rPr>
          <w:rFonts w:hint="eastAsia" w:ascii="宋体" w:hAnsi="宋体" w:eastAsia="宋体" w:cs="宋体"/>
          <w:b/>
          <w:bCs/>
          <w:color w:val="auto"/>
          <w:highlight w:val="none"/>
        </w:rPr>
      </w:pPr>
    </w:p>
    <w:p>
      <w:pPr>
        <w:pStyle w:val="8"/>
        <w:tabs>
          <w:tab w:val="left" w:pos="8227"/>
        </w:tabs>
        <w:kinsoku w:val="0"/>
        <w:overflowPunct w:val="0"/>
        <w:spacing w:before="0" w:line="240" w:lineRule="auto"/>
        <w:ind w:right="118" w:firstLine="482" w:firstLineChars="20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供应商：</w:t>
      </w:r>
      <w:r>
        <w:rPr>
          <w:rFonts w:hint="eastAsia" w:ascii="宋体" w:hAnsi="宋体" w:eastAsia="宋体" w:cs="宋体"/>
          <w:b/>
          <w:bCs/>
          <w:color w:val="auto"/>
          <w:w w:val="95"/>
          <w:highlight w:val="none"/>
        </w:rPr>
        <w:t>（盖章）</w:t>
      </w:r>
    </w:p>
    <w:p>
      <w:pPr>
        <w:pStyle w:val="8"/>
        <w:tabs>
          <w:tab w:val="left" w:pos="8227"/>
        </w:tabs>
        <w:kinsoku w:val="0"/>
        <w:overflowPunct w:val="0"/>
        <w:spacing w:before="0" w:line="240" w:lineRule="auto"/>
        <w:ind w:right="118" w:firstLine="482" w:firstLineChars="200"/>
        <w:jc w:val="left"/>
        <w:rPr>
          <w:rFonts w:hint="eastAsia" w:ascii="宋体" w:hAnsi="宋体" w:eastAsia="宋体" w:cs="宋体"/>
          <w:b/>
          <w:bCs/>
          <w:color w:val="auto"/>
          <w:w w:val="95"/>
          <w:highlight w:val="none"/>
        </w:rPr>
      </w:pPr>
      <w:r>
        <w:rPr>
          <w:rFonts w:hint="eastAsia" w:ascii="宋体" w:hAnsi="宋体" w:eastAsia="宋体" w:cs="宋体"/>
          <w:b/>
          <w:bCs/>
          <w:color w:val="auto"/>
          <w:highlight w:val="none"/>
        </w:rPr>
        <w:t>法定代表人或被授权人：</w:t>
      </w:r>
      <w:r>
        <w:rPr>
          <w:rFonts w:hint="eastAsia" w:ascii="宋体" w:hAnsi="宋体" w:eastAsia="宋体" w:cs="宋体"/>
          <w:b/>
          <w:bCs/>
          <w:color w:val="auto"/>
          <w:w w:val="95"/>
          <w:highlight w:val="none"/>
        </w:rPr>
        <w:t>（签字）</w:t>
      </w:r>
    </w:p>
    <w:p>
      <w:pPr>
        <w:pStyle w:val="8"/>
        <w:tabs>
          <w:tab w:val="left" w:pos="5551"/>
          <w:tab w:val="left" w:pos="6511"/>
          <w:tab w:val="left" w:pos="7111"/>
          <w:tab w:val="left" w:pos="7711"/>
        </w:tabs>
        <w:kinsoku w:val="0"/>
        <w:overflowPunct w:val="0"/>
        <w:spacing w:before="46" w:line="240" w:lineRule="auto"/>
        <w:ind w:firstLine="482" w:firstLineChars="20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日期：年月日</w:t>
      </w:r>
    </w:p>
    <w:p>
      <w:pPr>
        <w:pStyle w:val="8"/>
        <w:tabs>
          <w:tab w:val="left" w:pos="5551"/>
          <w:tab w:val="left" w:pos="6511"/>
          <w:tab w:val="left" w:pos="7111"/>
          <w:tab w:val="left" w:pos="7711"/>
        </w:tabs>
        <w:kinsoku w:val="0"/>
        <w:overflowPunct w:val="0"/>
        <w:spacing w:before="46"/>
        <w:ind w:left="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8"/>
        <w:kinsoku w:val="0"/>
        <w:overflowPunct w:val="0"/>
        <w:spacing w:before="34" w:line="357" w:lineRule="auto"/>
        <w:ind w:right="126" w:firstLine="2530" w:firstLineChars="700"/>
        <w:jc w:val="both"/>
        <w:rPr>
          <w:rFonts w:hint="eastAsia" w:ascii="宋体" w:hAnsi="宋体" w:eastAsia="宋体" w:cs="宋体"/>
          <w:b/>
          <w:bCs/>
          <w:color w:val="auto"/>
          <w:highlight w:val="none"/>
        </w:rPr>
      </w:pPr>
      <w:r>
        <w:rPr>
          <w:rFonts w:hint="eastAsia" w:ascii="宋体" w:hAnsi="宋体" w:eastAsia="宋体" w:cs="宋体"/>
          <w:b/>
          <w:bCs/>
          <w:color w:val="auto"/>
          <w:sz w:val="36"/>
          <w:szCs w:val="36"/>
          <w:highlight w:val="none"/>
        </w:rPr>
        <w:t>七、供应商基本情况</w:t>
      </w:r>
    </w:p>
    <w:p>
      <w:pPr>
        <w:pStyle w:val="8"/>
        <w:kinsoku w:val="0"/>
        <w:overflowPunct w:val="0"/>
        <w:spacing w:before="0"/>
        <w:ind w:right="2998" w:firstLine="2891" w:firstLineChars="1200"/>
        <w:jc w:val="both"/>
        <w:rPr>
          <w:rFonts w:hint="eastAsia" w:ascii="宋体" w:hAnsi="宋体" w:eastAsia="宋体" w:cs="宋体"/>
          <w:color w:val="auto"/>
          <w:highlight w:val="none"/>
        </w:rPr>
      </w:pPr>
      <w:r>
        <w:rPr>
          <w:rFonts w:hint="eastAsia" w:ascii="宋体" w:hAnsi="宋体" w:eastAsia="宋体" w:cs="宋体"/>
          <w:b/>
          <w:bCs/>
          <w:color w:val="auto"/>
          <w:highlight w:val="none"/>
        </w:rPr>
        <w:t>（一）供应商基本情况表</w:t>
      </w:r>
    </w:p>
    <w:p>
      <w:pPr>
        <w:pStyle w:val="8"/>
        <w:kinsoku w:val="0"/>
        <w:overflowPunct w:val="0"/>
        <w:spacing w:before="5"/>
        <w:ind w:left="0"/>
        <w:rPr>
          <w:rFonts w:hint="eastAsia" w:ascii="宋体" w:hAnsi="宋体" w:eastAsia="宋体" w:cs="宋体"/>
          <w:b/>
          <w:bCs/>
          <w:color w:val="auto"/>
          <w:sz w:val="6"/>
          <w:szCs w:val="6"/>
          <w:highlight w:val="none"/>
        </w:rPr>
      </w:pPr>
    </w:p>
    <w:tbl>
      <w:tblPr>
        <w:tblStyle w:val="16"/>
        <w:tblW w:w="0" w:type="auto"/>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4"/>
              <w:kinsoku w:val="0"/>
              <w:overflowPunct w:val="0"/>
              <w:spacing w:before="145"/>
              <w:ind w:left="137"/>
              <w:rPr>
                <w:rFonts w:hint="eastAsia" w:ascii="宋体" w:hAnsi="宋体" w:eastAsia="宋体" w:cs="宋体"/>
                <w:color w:val="auto"/>
                <w:highlight w:val="none"/>
              </w:rPr>
            </w:pPr>
            <w:r>
              <w:rPr>
                <w:rFonts w:hint="eastAsia" w:ascii="宋体" w:hAnsi="宋体" w:eastAsia="宋体" w:cs="宋体"/>
                <w:color w:val="auto"/>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4"/>
              <w:kinsoku w:val="0"/>
              <w:overflowPunct w:val="0"/>
              <w:spacing w:before="145"/>
              <w:ind w:left="137"/>
              <w:rPr>
                <w:rFonts w:hint="eastAsia" w:ascii="宋体" w:hAnsi="宋体" w:eastAsia="宋体" w:cs="宋体"/>
                <w:color w:val="auto"/>
                <w:highlight w:val="none"/>
              </w:rPr>
            </w:pPr>
            <w:r>
              <w:rPr>
                <w:rFonts w:hint="eastAsia" w:ascii="宋体" w:hAnsi="宋体" w:eastAsia="宋体" w:cs="宋体"/>
                <w:color w:val="auto"/>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4"/>
              <w:kinsoku w:val="0"/>
              <w:overflowPunct w:val="0"/>
              <w:spacing w:before="145"/>
              <w:ind w:left="137"/>
              <w:rPr>
                <w:rFonts w:hint="eastAsia" w:ascii="宋体" w:hAnsi="宋体" w:eastAsia="宋体" w:cs="宋体"/>
                <w:color w:val="auto"/>
                <w:highlight w:val="none"/>
              </w:rPr>
            </w:pPr>
            <w:r>
              <w:rPr>
                <w:rFonts w:hint="eastAsia" w:ascii="宋体" w:hAnsi="宋体" w:eastAsia="宋体" w:cs="宋体"/>
                <w:color w:val="auto"/>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4"/>
              <w:kinsoku w:val="0"/>
              <w:overflowPunct w:val="0"/>
              <w:spacing w:before="145"/>
              <w:ind w:left="137"/>
              <w:rPr>
                <w:rFonts w:hint="eastAsia" w:ascii="宋体" w:hAnsi="宋体" w:eastAsia="宋体" w:cs="宋体"/>
                <w:color w:val="auto"/>
                <w:highlight w:val="none"/>
              </w:rPr>
            </w:pPr>
            <w:r>
              <w:rPr>
                <w:rFonts w:hint="eastAsia" w:ascii="宋体" w:hAnsi="宋体" w:eastAsia="宋体" w:cs="宋体"/>
                <w:color w:val="auto"/>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24"/>
              <w:kinsoku w:val="0"/>
              <w:overflowPunct w:val="0"/>
              <w:spacing w:before="145"/>
              <w:ind w:left="181"/>
              <w:rPr>
                <w:rFonts w:hint="eastAsia" w:ascii="宋体" w:hAnsi="宋体" w:eastAsia="宋体" w:cs="宋体"/>
                <w:color w:val="auto"/>
                <w:highlight w:val="none"/>
              </w:rPr>
            </w:pPr>
            <w:r>
              <w:rPr>
                <w:rFonts w:hint="eastAsia" w:ascii="宋体" w:hAnsi="宋体" w:eastAsia="宋体" w:cs="宋体"/>
                <w:color w:val="auto"/>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4"/>
              <w:kinsoku w:val="0"/>
              <w:overflowPunct w:val="0"/>
              <w:spacing w:before="146"/>
              <w:ind w:left="137"/>
              <w:rPr>
                <w:rFonts w:hint="eastAsia" w:ascii="宋体" w:hAnsi="宋体" w:eastAsia="宋体" w:cs="宋体"/>
                <w:color w:val="auto"/>
                <w:highlight w:val="none"/>
              </w:rPr>
            </w:pPr>
            <w:r>
              <w:rPr>
                <w:rFonts w:hint="eastAsia" w:ascii="宋体" w:hAnsi="宋体" w:eastAsia="宋体" w:cs="宋体"/>
                <w:color w:val="auto"/>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4"/>
              <w:kinsoku w:val="0"/>
              <w:overflowPunct w:val="0"/>
              <w:spacing w:before="141" w:line="312" w:lineRule="exact"/>
              <w:ind w:left="257" w:right="133" w:hanging="120"/>
              <w:rPr>
                <w:rFonts w:hint="eastAsia" w:ascii="宋体" w:hAnsi="宋体" w:eastAsia="宋体" w:cs="宋体"/>
                <w:color w:val="auto"/>
                <w:highlight w:val="none"/>
              </w:rPr>
            </w:pPr>
            <w:r>
              <w:rPr>
                <w:rFonts w:hint="eastAsia" w:ascii="宋体" w:hAnsi="宋体" w:eastAsia="宋体" w:cs="宋体"/>
                <w:color w:val="auto"/>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24"/>
              <w:kinsoku w:val="0"/>
              <w:overflowPunct w:val="0"/>
              <w:spacing w:before="4"/>
              <w:rPr>
                <w:rFonts w:hint="eastAsia" w:ascii="宋体" w:hAnsi="宋体" w:eastAsia="宋体" w:cs="宋体"/>
                <w:b/>
                <w:bCs/>
                <w:color w:val="auto"/>
                <w:sz w:val="20"/>
                <w:szCs w:val="20"/>
                <w:highlight w:val="none"/>
              </w:rPr>
            </w:pPr>
          </w:p>
          <w:p>
            <w:pPr>
              <w:pStyle w:val="24"/>
              <w:kinsoku w:val="0"/>
              <w:overflowPunct w:val="0"/>
              <w:rPr>
                <w:rFonts w:hint="eastAsia" w:ascii="宋体" w:hAnsi="宋体" w:eastAsia="宋体" w:cs="宋体"/>
                <w:color w:val="auto"/>
                <w:highlight w:val="none"/>
              </w:rPr>
            </w:pPr>
            <w:r>
              <w:rPr>
                <w:rFonts w:hint="eastAsia" w:ascii="宋体" w:hAnsi="宋体" w:eastAsia="宋体" w:cs="宋体"/>
                <w:color w:val="auto"/>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24"/>
              <w:kinsoku w:val="0"/>
              <w:overflowPunct w:val="0"/>
              <w:spacing w:before="4"/>
              <w:rPr>
                <w:rFonts w:hint="eastAsia" w:ascii="宋体" w:hAnsi="宋体" w:eastAsia="宋体" w:cs="宋体"/>
                <w:b/>
                <w:bCs/>
                <w:color w:val="auto"/>
                <w:sz w:val="20"/>
                <w:szCs w:val="20"/>
                <w:highlight w:val="none"/>
              </w:rPr>
            </w:pPr>
          </w:p>
          <w:p>
            <w:pPr>
              <w:pStyle w:val="24"/>
              <w:kinsoku w:val="0"/>
              <w:overflowPunct w:val="0"/>
              <w:rPr>
                <w:rFonts w:hint="eastAsia" w:ascii="宋体" w:hAnsi="宋体" w:eastAsia="宋体" w:cs="宋体"/>
                <w:color w:val="auto"/>
                <w:highlight w:val="none"/>
              </w:rPr>
            </w:pPr>
            <w:r>
              <w:rPr>
                <w:rFonts w:hint="eastAsia" w:ascii="宋体" w:hAnsi="宋体" w:eastAsia="宋体" w:cs="宋体"/>
                <w:color w:val="auto"/>
                <w:highlight w:val="none"/>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24"/>
              <w:kinsoku w:val="0"/>
              <w:overflowPunct w:val="0"/>
              <w:rPr>
                <w:rFonts w:hint="eastAsia" w:ascii="宋体" w:hAnsi="宋体" w:eastAsia="宋体" w:cs="宋体"/>
                <w:b/>
                <w:bCs/>
                <w:color w:val="auto"/>
                <w:highlight w:val="none"/>
              </w:rPr>
            </w:pPr>
          </w:p>
          <w:p>
            <w:pPr>
              <w:pStyle w:val="24"/>
              <w:kinsoku w:val="0"/>
              <w:overflowPunct w:val="0"/>
              <w:rPr>
                <w:rFonts w:hint="eastAsia" w:ascii="宋体" w:hAnsi="宋体" w:eastAsia="宋体" w:cs="宋体"/>
                <w:b/>
                <w:bCs/>
                <w:color w:val="auto"/>
                <w:highlight w:val="none"/>
              </w:rPr>
            </w:pPr>
          </w:p>
          <w:p>
            <w:pPr>
              <w:pStyle w:val="24"/>
              <w:kinsoku w:val="0"/>
              <w:overflowPunct w:val="0"/>
              <w:rPr>
                <w:rFonts w:hint="eastAsia" w:ascii="宋体" w:hAnsi="宋体" w:eastAsia="宋体" w:cs="宋体"/>
                <w:b/>
                <w:bCs/>
                <w:color w:val="auto"/>
                <w:highlight w:val="none"/>
              </w:rPr>
            </w:pPr>
          </w:p>
          <w:p>
            <w:pPr>
              <w:pStyle w:val="24"/>
              <w:kinsoku w:val="0"/>
              <w:overflowPunct w:val="0"/>
              <w:spacing w:line="475" w:lineRule="auto"/>
              <w:ind w:right="493"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职 </w:t>
            </w:r>
          </w:p>
          <w:p>
            <w:pPr>
              <w:pStyle w:val="24"/>
              <w:kinsoku w:val="0"/>
              <w:overflowPunct w:val="0"/>
              <w:spacing w:line="475" w:lineRule="auto"/>
              <w:ind w:right="493"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工 </w:t>
            </w:r>
          </w:p>
          <w:p>
            <w:pPr>
              <w:pStyle w:val="24"/>
              <w:kinsoku w:val="0"/>
              <w:overflowPunct w:val="0"/>
              <w:spacing w:line="475" w:lineRule="auto"/>
              <w:ind w:right="493"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概 </w:t>
            </w:r>
          </w:p>
          <w:p>
            <w:pPr>
              <w:pStyle w:val="24"/>
              <w:kinsoku w:val="0"/>
              <w:overflowPunct w:val="0"/>
              <w:spacing w:line="475" w:lineRule="auto"/>
              <w:ind w:right="493"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24"/>
              <w:kinsoku w:val="0"/>
              <w:overflowPunct w:val="0"/>
              <w:spacing w:before="144"/>
              <w:ind w:left="236"/>
              <w:rPr>
                <w:rFonts w:hint="eastAsia" w:ascii="宋体" w:hAnsi="宋体" w:eastAsia="宋体" w:cs="宋体"/>
                <w:color w:val="auto"/>
                <w:highlight w:val="none"/>
              </w:rPr>
            </w:pPr>
            <w:r>
              <w:rPr>
                <w:rFonts w:hint="eastAsia" w:ascii="宋体" w:hAnsi="宋体" w:eastAsia="宋体" w:cs="宋体"/>
                <w:color w:val="auto"/>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24"/>
              <w:kinsoku w:val="0"/>
              <w:overflowPunct w:val="0"/>
              <w:spacing w:before="144"/>
              <w:ind w:left="118"/>
              <w:rPr>
                <w:rFonts w:hint="eastAsia" w:ascii="宋体" w:hAnsi="宋体" w:eastAsia="宋体" w:cs="宋体"/>
                <w:color w:val="auto"/>
                <w:highlight w:val="none"/>
              </w:rPr>
            </w:pPr>
            <w:r>
              <w:rPr>
                <w:rFonts w:hint="eastAsia" w:ascii="宋体" w:hAnsi="宋体" w:eastAsia="宋体" w:cs="宋体"/>
                <w:color w:val="auto"/>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24"/>
              <w:kinsoku w:val="0"/>
              <w:overflowPunct w:val="0"/>
              <w:spacing w:before="145"/>
              <w:jc w:val="center"/>
              <w:rPr>
                <w:rFonts w:hint="eastAsia" w:ascii="宋体" w:hAnsi="宋体" w:eastAsia="宋体" w:cs="宋体"/>
                <w:color w:val="auto"/>
                <w:highlight w:val="none"/>
              </w:rPr>
            </w:pPr>
            <w:r>
              <w:rPr>
                <w:rFonts w:hint="eastAsia" w:ascii="宋体" w:hAnsi="宋体" w:eastAsia="宋体" w:cs="宋体"/>
                <w:color w:val="auto"/>
                <w:highlight w:val="none"/>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24"/>
              <w:kinsoku w:val="0"/>
              <w:overflowPunct w:val="0"/>
              <w:spacing w:before="145"/>
              <w:jc w:val="center"/>
              <w:rPr>
                <w:rFonts w:hint="eastAsia" w:ascii="宋体" w:hAnsi="宋体" w:eastAsia="宋体" w:cs="宋体"/>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24"/>
              <w:kinsoku w:val="0"/>
              <w:overflowPunct w:val="0"/>
              <w:spacing w:before="145"/>
              <w:ind w:left="416"/>
              <w:rPr>
                <w:rFonts w:hint="eastAsia" w:ascii="宋体" w:hAnsi="宋体" w:eastAsia="宋体" w:cs="宋体"/>
                <w:color w:val="auto"/>
                <w:highlight w:val="none"/>
              </w:rPr>
            </w:pPr>
            <w:r>
              <w:rPr>
                <w:rFonts w:hint="eastAsia" w:ascii="宋体" w:hAnsi="宋体" w:eastAsia="宋体" w:cs="宋体"/>
                <w:color w:val="auto"/>
                <w:highlight w:val="none"/>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24"/>
              <w:kinsoku w:val="0"/>
              <w:overflowPunct w:val="0"/>
              <w:spacing w:before="145"/>
              <w:ind w:left="452"/>
              <w:rPr>
                <w:rFonts w:hint="eastAsia" w:ascii="宋体" w:hAnsi="宋体" w:eastAsia="宋体" w:cs="宋体"/>
                <w:color w:val="auto"/>
                <w:highlight w:val="none"/>
              </w:rPr>
            </w:pPr>
            <w:r>
              <w:rPr>
                <w:rFonts w:hint="eastAsia" w:ascii="宋体" w:hAnsi="宋体" w:eastAsia="宋体" w:cs="宋体"/>
                <w:color w:val="auto"/>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24"/>
              <w:kinsoku w:val="0"/>
              <w:overflowPunct w:val="0"/>
              <w:spacing w:before="145"/>
              <w:ind w:left="450"/>
              <w:rPr>
                <w:rFonts w:hint="eastAsia" w:ascii="宋体" w:hAnsi="宋体" w:eastAsia="宋体" w:cs="宋体"/>
                <w:color w:val="auto"/>
                <w:highlight w:val="none"/>
              </w:rPr>
            </w:pPr>
            <w:r>
              <w:rPr>
                <w:rFonts w:hint="eastAsia" w:ascii="宋体" w:hAnsi="宋体" w:eastAsia="宋体" w:cs="宋体"/>
                <w:color w:val="auto"/>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24"/>
              <w:tabs>
                <w:tab w:val="left" w:pos="479"/>
              </w:tabs>
              <w:kinsoku w:val="0"/>
              <w:overflowPunct w:val="0"/>
              <w:spacing w:before="145"/>
              <w:ind w:right="1"/>
              <w:jc w:val="center"/>
              <w:rPr>
                <w:rFonts w:hint="eastAsia" w:ascii="宋体" w:hAnsi="宋体" w:eastAsia="宋体" w:cs="宋体"/>
                <w:color w:val="auto"/>
                <w:highlight w:val="none"/>
              </w:rPr>
            </w:pPr>
            <w:r>
              <w:rPr>
                <w:rFonts w:hint="eastAsia" w:ascii="宋体" w:hAnsi="宋体" w:eastAsia="宋体" w:cs="宋体"/>
                <w:color w:val="auto"/>
                <w:highlight w:val="none"/>
              </w:rPr>
              <w:t>专</w:t>
            </w:r>
            <w:r>
              <w:rPr>
                <w:rFonts w:hint="eastAsia" w:ascii="宋体" w:hAnsi="宋体" w:eastAsia="宋体" w:cs="宋体"/>
                <w:color w:val="auto"/>
                <w:highlight w:val="none"/>
              </w:rPr>
              <w:tab/>
            </w:r>
            <w:r>
              <w:rPr>
                <w:rFonts w:hint="eastAsia" w:ascii="宋体" w:hAnsi="宋体" w:eastAsia="宋体" w:cs="宋体"/>
                <w:color w:val="auto"/>
                <w:highlight w:val="none"/>
              </w:rPr>
              <w:t>业</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24"/>
              <w:tabs>
                <w:tab w:val="left" w:pos="479"/>
              </w:tabs>
              <w:kinsoku w:val="0"/>
              <w:overflowPunct w:val="0"/>
              <w:spacing w:before="145"/>
              <w:ind w:right="1"/>
              <w:jc w:val="center"/>
              <w:rPr>
                <w:rFonts w:hint="eastAsia" w:ascii="宋体" w:hAnsi="宋体" w:eastAsia="宋体" w:cs="宋体"/>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4"/>
              <w:kinsoku w:val="0"/>
              <w:overflowPunct w:val="0"/>
              <w:rPr>
                <w:rFonts w:hint="eastAsia" w:ascii="宋体" w:hAnsi="宋体" w:eastAsia="宋体" w:cs="宋体"/>
                <w:b/>
                <w:bCs/>
                <w:color w:val="auto"/>
                <w:highlight w:val="none"/>
              </w:rPr>
            </w:pPr>
          </w:p>
          <w:p>
            <w:pPr>
              <w:pStyle w:val="24"/>
              <w:kinsoku w:val="0"/>
              <w:overflowPunct w:val="0"/>
              <w:spacing w:before="1"/>
              <w:jc w:val="center"/>
              <w:rPr>
                <w:rFonts w:hint="eastAsia" w:ascii="宋体" w:hAnsi="宋体" w:eastAsia="宋体" w:cs="宋体"/>
                <w:b/>
                <w:bCs/>
                <w:color w:val="auto"/>
                <w:sz w:val="23"/>
                <w:szCs w:val="23"/>
                <w:highlight w:val="none"/>
              </w:rPr>
            </w:pPr>
          </w:p>
          <w:p>
            <w:pPr>
              <w:pStyle w:val="24"/>
              <w:kinsoku w:val="0"/>
              <w:overflowPunct w:val="0"/>
              <w:spacing w:line="237" w:lineRule="auto"/>
              <w:ind w:right="493" w:firstLine="240" w:firstLineChars="100"/>
              <w:jc w:val="center"/>
              <w:rPr>
                <w:rFonts w:hint="eastAsia" w:ascii="宋体" w:hAnsi="宋体" w:eastAsia="宋体" w:cs="宋体"/>
                <w:color w:val="auto"/>
                <w:highlight w:val="none"/>
              </w:rPr>
            </w:pPr>
            <w:r>
              <w:rPr>
                <w:rFonts w:hint="eastAsia" w:ascii="宋体" w:hAnsi="宋体" w:eastAsia="宋体" w:cs="宋体"/>
                <w:color w:val="auto"/>
                <w:highlight w:val="none"/>
              </w:rPr>
              <w:t>单</w:t>
            </w:r>
          </w:p>
          <w:p>
            <w:pPr>
              <w:pStyle w:val="24"/>
              <w:kinsoku w:val="0"/>
              <w:overflowPunct w:val="0"/>
              <w:spacing w:line="237" w:lineRule="auto"/>
              <w:ind w:right="493" w:firstLine="240" w:firstLineChars="100"/>
              <w:jc w:val="center"/>
              <w:rPr>
                <w:rFonts w:hint="eastAsia" w:ascii="宋体" w:hAnsi="宋体" w:eastAsia="宋体" w:cs="宋体"/>
                <w:color w:val="auto"/>
                <w:highlight w:val="none"/>
              </w:rPr>
            </w:pPr>
            <w:r>
              <w:rPr>
                <w:rFonts w:hint="eastAsia" w:ascii="宋体" w:hAnsi="宋体" w:eastAsia="宋体" w:cs="宋体"/>
                <w:color w:val="auto"/>
                <w:highlight w:val="none"/>
              </w:rPr>
              <w:t>位</w:t>
            </w:r>
          </w:p>
          <w:p>
            <w:pPr>
              <w:pStyle w:val="24"/>
              <w:kinsoku w:val="0"/>
              <w:overflowPunct w:val="0"/>
              <w:spacing w:line="237" w:lineRule="auto"/>
              <w:ind w:right="493" w:firstLine="240" w:firstLineChars="100"/>
              <w:jc w:val="center"/>
              <w:rPr>
                <w:rFonts w:hint="eastAsia" w:ascii="宋体" w:hAnsi="宋体" w:eastAsia="宋体" w:cs="宋体"/>
                <w:color w:val="auto"/>
                <w:highlight w:val="none"/>
              </w:rPr>
            </w:pPr>
            <w:r>
              <w:rPr>
                <w:rFonts w:hint="eastAsia" w:ascii="宋体" w:hAnsi="宋体" w:eastAsia="宋体" w:cs="宋体"/>
                <w:color w:val="auto"/>
                <w:highlight w:val="none"/>
              </w:rPr>
              <w:t>概</w:t>
            </w:r>
          </w:p>
          <w:p>
            <w:pPr>
              <w:pStyle w:val="24"/>
              <w:kinsoku w:val="0"/>
              <w:overflowPunct w:val="0"/>
              <w:spacing w:line="237" w:lineRule="auto"/>
              <w:ind w:right="493" w:firstLine="240" w:firstLineChars="100"/>
              <w:jc w:val="center"/>
              <w:rPr>
                <w:rFonts w:hint="eastAsia" w:ascii="宋体" w:hAnsi="宋体" w:eastAsia="宋体" w:cs="宋体"/>
                <w:color w:val="auto"/>
                <w:highlight w:val="none"/>
              </w:rPr>
            </w:pPr>
            <w:r>
              <w:rPr>
                <w:rFonts w:hint="eastAsia" w:ascii="宋体" w:hAnsi="宋体" w:eastAsia="宋体" w:cs="宋体"/>
                <w:color w:val="auto"/>
                <w:highlight w:val="none"/>
              </w:rPr>
              <w:t>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r>
    </w:tbl>
    <w:p>
      <w:pPr>
        <w:pStyle w:val="8"/>
        <w:kinsoku w:val="0"/>
        <w:overflowPunct w:val="0"/>
        <w:spacing w:before="26" w:line="320" w:lineRule="auto"/>
        <w:ind w:left="1772" w:hanging="1640"/>
        <w:rPr>
          <w:rFonts w:hint="eastAsia" w:ascii="宋体" w:hAnsi="宋体" w:eastAsia="宋体" w:cs="宋体"/>
          <w:b/>
          <w:bCs/>
          <w:color w:val="auto"/>
          <w:w w:val="95"/>
          <w:highlight w:val="none"/>
        </w:rPr>
      </w:pPr>
    </w:p>
    <w:p>
      <w:pPr>
        <w:pStyle w:val="8"/>
        <w:kinsoku w:val="0"/>
        <w:overflowPunct w:val="0"/>
        <w:spacing w:before="26" w:line="320" w:lineRule="auto"/>
        <w:ind w:left="0" w:firstLine="458" w:firstLineChars="200"/>
        <w:jc w:val="center"/>
        <w:rPr>
          <w:rFonts w:hint="eastAsia" w:ascii="宋体" w:hAnsi="宋体" w:eastAsia="宋体" w:cs="宋体"/>
          <w:color w:val="auto"/>
          <w:highlight w:val="none"/>
        </w:rPr>
      </w:pPr>
      <w:r>
        <w:rPr>
          <w:rFonts w:hint="eastAsia" w:ascii="宋体" w:hAnsi="宋体" w:eastAsia="宋体" w:cs="宋体"/>
          <w:b/>
          <w:bCs/>
          <w:color w:val="auto"/>
          <w:w w:val="95"/>
          <w:highlight w:val="none"/>
        </w:rPr>
        <w:br w:type="page"/>
      </w:r>
      <w:r>
        <w:rPr>
          <w:rFonts w:hint="eastAsia" w:ascii="宋体" w:hAnsi="宋体" w:eastAsia="宋体" w:cs="宋体"/>
          <w:b/>
          <w:bCs/>
          <w:color w:val="auto"/>
          <w:highlight w:val="none"/>
        </w:rPr>
        <w:t>（二）营业执照副本、税务登记证、组织机构代码证、（三证合一的提供统一社会信</w:t>
      </w:r>
      <w:r>
        <w:rPr>
          <w:rFonts w:hint="eastAsia" w:ascii="宋体" w:hAnsi="宋体" w:eastAsia="宋体" w:cs="宋体"/>
          <w:b/>
          <w:bCs/>
          <w:color w:val="auto"/>
          <w:w w:val="95"/>
          <w:highlight w:val="none"/>
        </w:rPr>
        <w:t>用</w:t>
      </w:r>
      <w:r>
        <w:rPr>
          <w:rFonts w:hint="eastAsia" w:ascii="宋体" w:hAnsi="宋体" w:eastAsia="宋体" w:cs="宋体"/>
          <w:b/>
          <w:bCs/>
          <w:color w:val="auto"/>
          <w:highlight w:val="none"/>
        </w:rPr>
        <w:t>代码的营业执照）</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说明：</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（1）企业单位投标提供有效的营业执照（3证合1或多证合1）；</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（2）事业单位投标提供有效的法人证书（带有社会统一信用代码）；</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（3）其他组织投标提供有效的登记证书（带有社会统一信用代码）；</w:t>
      </w:r>
    </w:p>
    <w:p>
      <w:pPr>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（4）自然人投标提供有效的身份证复印件</w:t>
      </w:r>
      <w:r>
        <w:rPr>
          <w:rFonts w:hint="eastAsia" w:ascii="宋体" w:hAnsi="宋体" w:cs="宋体"/>
          <w:color w:val="auto"/>
          <w:kern w:val="0"/>
          <w:sz w:val="24"/>
          <w:highlight w:val="none"/>
          <w:lang w:eastAsia="zh-CN"/>
        </w:rPr>
        <w:t>。</w:t>
      </w:r>
    </w:p>
    <w:p>
      <w:pPr>
        <w:pStyle w:val="8"/>
        <w:kinsoku w:val="0"/>
        <w:overflowPunct w:val="0"/>
        <w:spacing w:before="26"/>
        <w:ind w:left="1051" w:right="118" w:firstLine="480" w:firstLineChars="200"/>
        <w:jc w:val="center"/>
        <w:rPr>
          <w:rFonts w:hint="eastAsia" w:ascii="宋体" w:hAnsi="宋体" w:eastAsia="宋体" w:cs="宋体"/>
          <w:b/>
          <w:bCs/>
          <w:color w:val="auto"/>
          <w:highlight w:val="none"/>
        </w:rPr>
      </w:pPr>
      <w:r>
        <w:rPr>
          <w:rFonts w:hint="eastAsia" w:ascii="宋体" w:hAnsi="宋体" w:eastAsia="宋体" w:cs="宋体"/>
          <w:color w:val="auto"/>
          <w:highlight w:val="none"/>
        </w:rPr>
        <w:br w:type="page"/>
      </w:r>
      <w:r>
        <w:rPr>
          <w:rFonts w:hint="eastAsia" w:ascii="宋体" w:hAnsi="宋体" w:eastAsia="宋体" w:cs="宋体"/>
          <w:b/>
          <w:bCs/>
          <w:color w:val="auto"/>
          <w:highlight w:val="none"/>
        </w:rPr>
        <w:t>（三）近一年财务状况报告相关材料（复印件加盖单位公章）</w:t>
      </w:r>
    </w:p>
    <w:p>
      <w:pPr>
        <w:pStyle w:val="9"/>
        <w:adjustRightInd w:val="0"/>
        <w:snapToGrid w:val="0"/>
        <w:spacing w:line="360" w:lineRule="auto"/>
        <w:jc w:val="left"/>
        <w:rPr>
          <w:rFonts w:hint="eastAsia" w:ascii="宋体" w:hAnsi="宋体" w:eastAsia="宋体" w:cs="宋体"/>
          <w:b/>
          <w:color w:val="auto"/>
          <w:sz w:val="24"/>
          <w:szCs w:val="24"/>
          <w:highlight w:val="none"/>
        </w:rPr>
      </w:pP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说明：</w:t>
      </w:r>
    </w:p>
    <w:p>
      <w:pPr>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20</w:t>
      </w:r>
      <w:r>
        <w:rPr>
          <w:rFonts w:hint="eastAsia" w:ascii="宋体" w:hAnsi="宋体" w:cs="宋体"/>
          <w:color w:val="auto"/>
          <w:kern w:val="0"/>
          <w:sz w:val="24"/>
          <w:highlight w:val="none"/>
          <w:lang w:val="en-US" w:eastAsia="zh-CN"/>
        </w:rPr>
        <w:t>19</w:t>
      </w:r>
      <w:r>
        <w:rPr>
          <w:rFonts w:hint="eastAsia" w:ascii="宋体" w:hAnsi="宋体" w:eastAsia="宋体" w:cs="宋体"/>
          <w:color w:val="auto"/>
          <w:kern w:val="0"/>
          <w:sz w:val="24"/>
          <w:highlight w:val="none"/>
          <w:lang w:val="en-US" w:eastAsia="zh-CN"/>
        </w:rPr>
        <w:t>年</w:t>
      </w:r>
      <w:r>
        <w:rPr>
          <w:rFonts w:hint="eastAsia" w:ascii="宋体" w:hAnsi="宋体" w:cs="宋体"/>
          <w:color w:val="auto"/>
          <w:kern w:val="0"/>
          <w:sz w:val="24"/>
          <w:highlight w:val="none"/>
          <w:lang w:val="en-US" w:eastAsia="zh-CN"/>
        </w:rPr>
        <w:t>或2020年</w:t>
      </w:r>
      <w:r>
        <w:rPr>
          <w:rFonts w:hint="eastAsia" w:ascii="宋体" w:hAnsi="宋体" w:eastAsia="宋体" w:cs="宋体"/>
          <w:color w:val="auto"/>
          <w:kern w:val="0"/>
          <w:sz w:val="24"/>
          <w:highlight w:val="none"/>
          <w:lang w:val="en-US" w:eastAsia="zh-CN"/>
        </w:rPr>
        <w:t>审计报告（或基本开户银行出具的资信证明文件）</w:t>
      </w:r>
      <w:r>
        <w:rPr>
          <w:rFonts w:hint="eastAsia" w:ascii="宋体" w:hAnsi="宋体" w:eastAsia="宋体" w:cs="宋体"/>
          <w:color w:val="auto"/>
          <w:kern w:val="0"/>
          <w:sz w:val="24"/>
          <w:highlight w:val="none"/>
        </w:rPr>
        <w:t>，包括 “四表一注”即《资产负债表》《利润表》《现金流量表》《所有者权益变动表》及其附注复印件</w:t>
      </w:r>
      <w:r>
        <w:rPr>
          <w:rFonts w:hint="eastAsia" w:ascii="宋体" w:hAnsi="宋体" w:cs="宋体"/>
          <w:color w:val="auto"/>
          <w:kern w:val="0"/>
          <w:sz w:val="24"/>
          <w:highlight w:val="none"/>
          <w:lang w:eastAsia="zh-CN"/>
        </w:rPr>
        <w:t>；</w:t>
      </w:r>
    </w:p>
    <w:p>
      <w:pPr>
        <w:numPr>
          <w:ilvl w:val="0"/>
          <w:numId w:val="0"/>
        </w:numPr>
        <w:spacing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投标人成立不到1年的，提供季度或月份有关财务报表原件（不需审计）</w:t>
      </w:r>
      <w:r>
        <w:rPr>
          <w:rFonts w:hint="eastAsia" w:ascii="宋体" w:hAnsi="宋体" w:cs="宋体"/>
          <w:color w:val="auto"/>
          <w:kern w:val="0"/>
          <w:sz w:val="24"/>
          <w:highlight w:val="none"/>
          <w:lang w:eastAsia="zh-CN"/>
        </w:rPr>
        <w:t>；</w:t>
      </w:r>
    </w:p>
    <w:p>
      <w:pPr>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（3）公益类事业单位、自然人无需提供</w:t>
      </w:r>
      <w:r>
        <w:rPr>
          <w:rFonts w:hint="eastAsia" w:ascii="宋体" w:hAnsi="宋体" w:cs="宋体"/>
          <w:color w:val="auto"/>
          <w:kern w:val="0"/>
          <w:sz w:val="24"/>
          <w:highlight w:val="none"/>
          <w:lang w:eastAsia="zh-CN"/>
        </w:rPr>
        <w:t>；</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（4）原件或复印件可直接装订，复印件加盖投标人单位章。 </w:t>
      </w:r>
    </w:p>
    <w:p>
      <w:pPr>
        <w:rPr>
          <w:rFonts w:hint="eastAsia"/>
          <w:color w:val="auto"/>
          <w:highlight w:val="none"/>
        </w:rPr>
      </w:pPr>
    </w:p>
    <w:p>
      <w:pPr>
        <w:pStyle w:val="9"/>
        <w:adjustRightInd w:val="0"/>
        <w:snapToGrid w:val="0"/>
        <w:spacing w:line="360" w:lineRule="auto"/>
        <w:ind w:firstLine="420" w:firstLineChars="200"/>
        <w:jc w:val="center"/>
        <w:rPr>
          <w:rFonts w:hint="eastAsia" w:ascii="宋体" w:hAnsi="宋体" w:eastAsia="宋体" w:cs="宋体"/>
          <w:b/>
          <w:color w:val="auto"/>
          <w:sz w:val="36"/>
          <w:szCs w:val="36"/>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 w:val="24"/>
          <w:szCs w:val="24"/>
          <w:highlight w:val="none"/>
          <w:lang w:val="en-US" w:eastAsia="zh-CN" w:bidi="ar-SA"/>
        </w:rPr>
        <w:t>（四）税收缴纳证明</w:t>
      </w:r>
    </w:p>
    <w:p>
      <w:pPr>
        <w:pStyle w:val="9"/>
        <w:adjustRightInd w:val="0"/>
        <w:snapToGrid w:val="0"/>
        <w:spacing w:line="360" w:lineRule="auto"/>
        <w:jc w:val="left"/>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说明：</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（1）税收缴纳证明：提供供应商</w:t>
      </w:r>
      <w:r>
        <w:rPr>
          <w:rFonts w:hint="eastAsia" w:ascii="宋体" w:hAnsi="宋体" w:cs="宋体"/>
          <w:color w:val="auto"/>
          <w:kern w:val="0"/>
          <w:sz w:val="24"/>
          <w:highlight w:val="none"/>
          <w:lang w:eastAsia="zh-CN"/>
        </w:rPr>
        <w:t>近半年</w:t>
      </w:r>
      <w:r>
        <w:rPr>
          <w:rFonts w:hint="eastAsia" w:ascii="宋体" w:hAnsi="宋体" w:cs="宋体"/>
          <w:color w:val="auto"/>
          <w:kern w:val="0"/>
          <w:sz w:val="24"/>
          <w:highlight w:val="none"/>
          <w:lang w:val="en-US" w:eastAsia="zh-CN"/>
        </w:rPr>
        <w:t>内</w:t>
      </w:r>
      <w:r>
        <w:rPr>
          <w:rFonts w:hint="eastAsia" w:ascii="宋体" w:hAnsi="宋体" w:eastAsia="宋体" w:cs="宋体"/>
          <w:color w:val="auto"/>
          <w:kern w:val="0"/>
          <w:sz w:val="24"/>
          <w:highlight w:val="none"/>
        </w:rPr>
        <w:t xml:space="preserve">纳税证明； </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（2）依法免税的应提供相关文件证明；</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（3）公益类事业单位无需提供；</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（4）新成立未发生缴纳税收事项的投标人，应提供纳税书面承诺；</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（5）原件或复印件可直接装订，复印件加盖投标人单位章。</w:t>
      </w:r>
    </w:p>
    <w:p>
      <w:pPr>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pPr>
        <w:pStyle w:val="8"/>
        <w:numPr>
          <w:ilvl w:val="0"/>
          <w:numId w:val="0"/>
        </w:numPr>
        <w:kinsoku w:val="0"/>
        <w:overflowPunct w:val="0"/>
        <w:spacing w:before="26"/>
        <w:ind w:right="118" w:rightChars="0" w:firstLine="482" w:firstLineChars="200"/>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（五）单位社会保障缴费证明（复印件加盖公章）</w:t>
      </w:r>
    </w:p>
    <w:p>
      <w:pPr>
        <w:pStyle w:val="9"/>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（1）社会保障资金缴纳证明：</w:t>
      </w:r>
      <w:r>
        <w:rPr>
          <w:rFonts w:hint="eastAsia" w:ascii="宋体" w:hAnsi="宋体" w:cs="宋体"/>
          <w:color w:val="auto"/>
          <w:kern w:val="0"/>
          <w:sz w:val="24"/>
          <w:highlight w:val="none"/>
          <w:lang w:eastAsia="zh-CN"/>
        </w:rPr>
        <w:t>近半年</w:t>
      </w:r>
      <w:r>
        <w:rPr>
          <w:rFonts w:hint="eastAsia" w:ascii="宋体" w:hAnsi="宋体" w:cs="宋体"/>
          <w:color w:val="auto"/>
          <w:kern w:val="0"/>
          <w:sz w:val="24"/>
          <w:highlight w:val="none"/>
          <w:lang w:val="en-US" w:eastAsia="zh-CN"/>
        </w:rPr>
        <w:t>内</w:t>
      </w:r>
      <w:r>
        <w:rPr>
          <w:rFonts w:hint="eastAsia" w:ascii="宋体" w:hAnsi="宋体" w:eastAsia="宋体" w:cs="宋体"/>
          <w:color w:val="auto"/>
          <w:kern w:val="0"/>
          <w:sz w:val="24"/>
          <w:highlight w:val="none"/>
        </w:rPr>
        <w:t>社保缴纳证明；</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（2）依法不需要缴纳社会保障资金的供应商应提供相关文件证明；</w:t>
      </w:r>
    </w:p>
    <w:p>
      <w:pPr>
        <w:pStyle w:val="9"/>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（3）公益类事业单位无需提供；</w:t>
      </w:r>
    </w:p>
    <w:p>
      <w:pPr>
        <w:pStyle w:val="9"/>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（4）新成立未发生缴纳社保资金事项的投标人，应提供缴纳社保资金的书面承诺；</w:t>
      </w:r>
    </w:p>
    <w:p>
      <w:pPr>
        <w:pStyle w:val="9"/>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（5）原件或复印件可直接装订，复印件加盖投标人单位章。</w:t>
      </w:r>
    </w:p>
    <w:p>
      <w:pPr>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pPr>
        <w:pStyle w:val="9"/>
        <w:adjustRightInd w:val="0"/>
        <w:snapToGrid w:val="0"/>
        <w:spacing w:line="360" w:lineRule="auto"/>
        <w:ind w:firstLine="482" w:firstLineChars="200"/>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（六）办公场所证明</w:t>
      </w:r>
    </w:p>
    <w:p>
      <w:pPr>
        <w:ind w:firstLine="482" w:firstLineChars="2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br w:type="page"/>
      </w:r>
    </w:p>
    <w:p>
      <w:pPr>
        <w:pStyle w:val="9"/>
        <w:adjustRightInd w:val="0"/>
        <w:snapToGrid w:val="0"/>
        <w:spacing w:line="360" w:lineRule="auto"/>
        <w:ind w:firstLine="482"/>
        <w:jc w:val="center"/>
        <w:rPr>
          <w:rFonts w:hint="eastAsia" w:ascii="宋体" w:hAnsi="宋体" w:eastAsia="宋体" w:cs="宋体"/>
          <w:b/>
          <w:bCs/>
          <w:color w:val="auto"/>
          <w:kern w:val="0"/>
          <w:sz w:val="24"/>
          <w:szCs w:val="24"/>
          <w:highlight w:val="none"/>
          <w:lang w:val="en-US" w:eastAsia="zh-CN" w:bidi="ar-SA"/>
        </w:rPr>
      </w:pPr>
    </w:p>
    <w:p>
      <w:pPr>
        <w:pStyle w:val="9"/>
        <w:adjustRightInd w:val="0"/>
        <w:snapToGrid w:val="0"/>
        <w:spacing w:line="360" w:lineRule="auto"/>
        <w:ind w:firstLine="482" w:firstLineChars="200"/>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SA"/>
        </w:rPr>
        <w:t>（七）其他证明材料</w:t>
      </w:r>
    </w:p>
    <w:p>
      <w:pPr>
        <w:pStyle w:val="22"/>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参加政府采购活动前三年内，在经营活动中没有重大违法记录</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近三年经营活动中没有重大违法记录声明函</w:t>
      </w:r>
      <w:r>
        <w:rPr>
          <w:rFonts w:hint="eastAsia" w:ascii="宋体" w:hAnsi="宋体" w:cs="宋体"/>
          <w:color w:val="auto"/>
          <w:kern w:val="0"/>
          <w:sz w:val="24"/>
          <w:szCs w:val="24"/>
          <w:highlight w:val="none"/>
          <w:lang w:eastAsia="zh-CN"/>
        </w:rPr>
        <w:t>；</w:t>
      </w:r>
    </w:p>
    <w:p>
      <w:pPr>
        <w:pStyle w:val="22"/>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kern w:val="0"/>
          <w:sz w:val="24"/>
          <w:szCs w:val="24"/>
          <w:highlight w:val="none"/>
        </w:rPr>
        <w:t>法律、行政法规规定的其他条件。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网站查询的截图，加盖供应商公章）</w:t>
      </w:r>
    </w:p>
    <w:p>
      <w:pPr>
        <w:pStyle w:val="22"/>
        <w:ind w:firstLine="560"/>
        <w:rPr>
          <w:rFonts w:hint="eastAsia" w:ascii="宋体" w:hAnsi="宋体" w:eastAsia="宋体" w:cs="宋体"/>
          <w:color w:val="auto"/>
          <w:kern w:val="0"/>
          <w:sz w:val="28"/>
          <w:szCs w:val="28"/>
          <w:highlight w:val="none"/>
        </w:rPr>
        <w:sectPr>
          <w:footerReference r:id="rId7" w:type="default"/>
          <w:pgSz w:w="11906" w:h="16838"/>
          <w:pgMar w:top="1440" w:right="1588" w:bottom="1440" w:left="1588" w:header="851" w:footer="992" w:gutter="0"/>
          <w:pgBorders>
            <w:top w:val="none" w:sz="0" w:space="0"/>
            <w:left w:val="none" w:sz="0" w:space="0"/>
            <w:bottom w:val="none" w:sz="0" w:space="0"/>
            <w:right w:val="none" w:sz="0" w:space="0"/>
          </w:pgBorders>
          <w:pgNumType w:fmt="decimal"/>
          <w:cols w:space="720" w:num="1"/>
          <w:docGrid w:linePitch="312" w:charSpace="0"/>
        </w:sectPr>
      </w:pPr>
    </w:p>
    <w:p>
      <w:pPr>
        <w:ind w:firstLine="723" w:firstLineChars="200"/>
        <w:jc w:val="center"/>
        <w:rPr>
          <w:rFonts w:hint="eastAsia" w:ascii="宋体" w:hAnsi="宋体" w:eastAsia="宋体" w:cs="宋体"/>
          <w:b/>
          <w:color w:val="auto"/>
          <w:szCs w:val="21"/>
          <w:highlight w:val="none"/>
        </w:rPr>
      </w:pPr>
      <w:r>
        <w:rPr>
          <w:rFonts w:hint="eastAsia" w:ascii="宋体" w:hAnsi="宋体" w:eastAsia="宋体" w:cs="宋体"/>
          <w:b/>
          <w:bCs/>
          <w:color w:val="auto"/>
          <w:sz w:val="36"/>
          <w:szCs w:val="36"/>
          <w:highlight w:val="none"/>
        </w:rPr>
        <w:t>八、一般商务条款偏离表</w:t>
      </w:r>
    </w:p>
    <w:p>
      <w:pPr>
        <w:rPr>
          <w:rFonts w:hint="eastAsia" w:ascii="宋体" w:hAnsi="宋体" w:eastAsia="宋体" w:cs="宋体"/>
          <w:color w:val="auto"/>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114"/>
        <w:gridCol w:w="1289"/>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序号</w:t>
            </w:r>
          </w:p>
        </w:tc>
        <w:tc>
          <w:tcPr>
            <w:tcW w:w="2154" w:type="dxa"/>
            <w:noWrap w:val="0"/>
            <w:vAlign w:val="center"/>
          </w:tcPr>
          <w:p>
            <w:pPr>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一般商务条款序号</w:t>
            </w:r>
          </w:p>
        </w:tc>
        <w:tc>
          <w:tcPr>
            <w:tcW w:w="2114" w:type="dxa"/>
            <w:noWrap w:val="0"/>
            <w:vAlign w:val="center"/>
          </w:tcPr>
          <w:p>
            <w:pPr>
              <w:jc w:val="center"/>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条款内容</w:t>
            </w:r>
          </w:p>
        </w:tc>
        <w:tc>
          <w:tcPr>
            <w:tcW w:w="1289" w:type="dxa"/>
            <w:noWrap w:val="0"/>
            <w:vAlign w:val="center"/>
          </w:tcPr>
          <w:p>
            <w:pPr>
              <w:jc w:val="center"/>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是否响应</w:t>
            </w:r>
          </w:p>
        </w:tc>
        <w:tc>
          <w:tcPr>
            <w:tcW w:w="2658" w:type="dxa"/>
            <w:noWrap w:val="0"/>
            <w:vAlign w:val="center"/>
          </w:tcPr>
          <w:p>
            <w:pPr>
              <w:jc w:val="center"/>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1</w:t>
            </w:r>
          </w:p>
        </w:tc>
        <w:tc>
          <w:tcPr>
            <w:tcW w:w="2154" w:type="dxa"/>
            <w:noWrap w:val="0"/>
            <w:vAlign w:val="center"/>
          </w:tcPr>
          <w:p>
            <w:pPr>
              <w:rPr>
                <w:rFonts w:hint="eastAsia" w:ascii="宋体" w:hAnsi="宋体" w:eastAsia="宋体" w:cs="宋体"/>
                <w:color w:val="auto"/>
                <w:spacing w:val="-1"/>
                <w:kern w:val="0"/>
                <w:sz w:val="24"/>
                <w:szCs w:val="24"/>
                <w:highlight w:val="none"/>
              </w:rPr>
            </w:pPr>
          </w:p>
        </w:tc>
        <w:tc>
          <w:tcPr>
            <w:tcW w:w="2114" w:type="dxa"/>
            <w:noWrap w:val="0"/>
            <w:vAlign w:val="center"/>
          </w:tcPr>
          <w:p>
            <w:pPr>
              <w:rPr>
                <w:rFonts w:hint="eastAsia" w:ascii="宋体" w:hAnsi="宋体" w:eastAsia="宋体" w:cs="宋体"/>
                <w:color w:val="auto"/>
                <w:spacing w:val="-1"/>
                <w:kern w:val="0"/>
                <w:sz w:val="24"/>
                <w:szCs w:val="24"/>
                <w:highlight w:val="none"/>
              </w:rPr>
            </w:pPr>
          </w:p>
        </w:tc>
        <w:tc>
          <w:tcPr>
            <w:tcW w:w="1289" w:type="dxa"/>
            <w:noWrap w:val="0"/>
            <w:vAlign w:val="center"/>
          </w:tcPr>
          <w:p>
            <w:pPr>
              <w:rPr>
                <w:rFonts w:hint="eastAsia" w:ascii="宋体" w:hAnsi="宋体" w:eastAsia="宋体" w:cs="宋体"/>
                <w:color w:val="auto"/>
                <w:spacing w:val="-1"/>
                <w:kern w:val="0"/>
                <w:sz w:val="24"/>
                <w:szCs w:val="24"/>
                <w:highlight w:val="none"/>
              </w:rPr>
            </w:pPr>
          </w:p>
        </w:tc>
        <w:tc>
          <w:tcPr>
            <w:tcW w:w="2658" w:type="dxa"/>
            <w:noWrap w:val="0"/>
            <w:vAlign w:val="center"/>
          </w:tcPr>
          <w:p>
            <w:pPr>
              <w:rPr>
                <w:rFonts w:hint="eastAsia" w:ascii="宋体" w:hAnsi="宋体" w:eastAsia="宋体" w:cs="宋体"/>
                <w:color w:val="auto"/>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2</w:t>
            </w:r>
          </w:p>
        </w:tc>
        <w:tc>
          <w:tcPr>
            <w:tcW w:w="2154" w:type="dxa"/>
            <w:noWrap w:val="0"/>
            <w:vAlign w:val="center"/>
          </w:tcPr>
          <w:p>
            <w:pPr>
              <w:rPr>
                <w:rFonts w:hint="eastAsia" w:ascii="宋体" w:hAnsi="宋体" w:eastAsia="宋体" w:cs="宋体"/>
                <w:color w:val="auto"/>
                <w:spacing w:val="-1"/>
                <w:kern w:val="0"/>
                <w:sz w:val="24"/>
                <w:szCs w:val="24"/>
                <w:highlight w:val="none"/>
              </w:rPr>
            </w:pPr>
          </w:p>
        </w:tc>
        <w:tc>
          <w:tcPr>
            <w:tcW w:w="2114" w:type="dxa"/>
            <w:noWrap w:val="0"/>
            <w:vAlign w:val="center"/>
          </w:tcPr>
          <w:p>
            <w:pPr>
              <w:rPr>
                <w:rFonts w:hint="eastAsia" w:ascii="宋体" w:hAnsi="宋体" w:eastAsia="宋体" w:cs="宋体"/>
                <w:color w:val="auto"/>
                <w:spacing w:val="-1"/>
                <w:kern w:val="0"/>
                <w:sz w:val="24"/>
                <w:szCs w:val="24"/>
                <w:highlight w:val="none"/>
              </w:rPr>
            </w:pPr>
          </w:p>
        </w:tc>
        <w:tc>
          <w:tcPr>
            <w:tcW w:w="1289" w:type="dxa"/>
            <w:noWrap w:val="0"/>
            <w:vAlign w:val="center"/>
          </w:tcPr>
          <w:p>
            <w:pPr>
              <w:rPr>
                <w:rFonts w:hint="eastAsia" w:ascii="宋体" w:hAnsi="宋体" w:eastAsia="宋体" w:cs="宋体"/>
                <w:color w:val="auto"/>
                <w:spacing w:val="-1"/>
                <w:kern w:val="0"/>
                <w:sz w:val="24"/>
                <w:szCs w:val="24"/>
                <w:highlight w:val="none"/>
              </w:rPr>
            </w:pPr>
          </w:p>
        </w:tc>
        <w:tc>
          <w:tcPr>
            <w:tcW w:w="2658" w:type="dxa"/>
            <w:noWrap w:val="0"/>
            <w:vAlign w:val="center"/>
          </w:tcPr>
          <w:p>
            <w:pPr>
              <w:rPr>
                <w:rFonts w:hint="eastAsia" w:ascii="宋体" w:hAnsi="宋体" w:eastAsia="宋体" w:cs="宋体"/>
                <w:color w:val="auto"/>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3</w:t>
            </w:r>
          </w:p>
        </w:tc>
        <w:tc>
          <w:tcPr>
            <w:tcW w:w="2154" w:type="dxa"/>
            <w:noWrap w:val="0"/>
            <w:vAlign w:val="center"/>
          </w:tcPr>
          <w:p>
            <w:pPr>
              <w:rPr>
                <w:rFonts w:hint="eastAsia" w:ascii="宋体" w:hAnsi="宋体" w:eastAsia="宋体" w:cs="宋体"/>
                <w:color w:val="auto"/>
                <w:spacing w:val="-1"/>
                <w:kern w:val="0"/>
                <w:sz w:val="24"/>
                <w:szCs w:val="24"/>
                <w:highlight w:val="none"/>
              </w:rPr>
            </w:pPr>
          </w:p>
        </w:tc>
        <w:tc>
          <w:tcPr>
            <w:tcW w:w="2114" w:type="dxa"/>
            <w:noWrap w:val="0"/>
            <w:vAlign w:val="center"/>
          </w:tcPr>
          <w:p>
            <w:pPr>
              <w:rPr>
                <w:rFonts w:hint="eastAsia" w:ascii="宋体" w:hAnsi="宋体" w:eastAsia="宋体" w:cs="宋体"/>
                <w:color w:val="auto"/>
                <w:spacing w:val="-1"/>
                <w:kern w:val="0"/>
                <w:sz w:val="24"/>
                <w:szCs w:val="24"/>
                <w:highlight w:val="none"/>
              </w:rPr>
            </w:pPr>
          </w:p>
        </w:tc>
        <w:tc>
          <w:tcPr>
            <w:tcW w:w="1289" w:type="dxa"/>
            <w:noWrap w:val="0"/>
            <w:vAlign w:val="center"/>
          </w:tcPr>
          <w:p>
            <w:pPr>
              <w:rPr>
                <w:rFonts w:hint="eastAsia" w:ascii="宋体" w:hAnsi="宋体" w:eastAsia="宋体" w:cs="宋体"/>
                <w:color w:val="auto"/>
                <w:spacing w:val="-1"/>
                <w:kern w:val="0"/>
                <w:sz w:val="24"/>
                <w:szCs w:val="24"/>
                <w:highlight w:val="none"/>
              </w:rPr>
            </w:pPr>
          </w:p>
        </w:tc>
        <w:tc>
          <w:tcPr>
            <w:tcW w:w="2658" w:type="dxa"/>
            <w:noWrap w:val="0"/>
            <w:vAlign w:val="center"/>
          </w:tcPr>
          <w:p>
            <w:pPr>
              <w:rPr>
                <w:rFonts w:hint="eastAsia" w:ascii="宋体" w:hAnsi="宋体" w:eastAsia="宋体" w:cs="宋体"/>
                <w:color w:val="auto"/>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4</w:t>
            </w:r>
          </w:p>
        </w:tc>
        <w:tc>
          <w:tcPr>
            <w:tcW w:w="2154" w:type="dxa"/>
            <w:noWrap w:val="0"/>
            <w:vAlign w:val="center"/>
          </w:tcPr>
          <w:p>
            <w:pPr>
              <w:rPr>
                <w:rFonts w:hint="eastAsia" w:ascii="宋体" w:hAnsi="宋体" w:eastAsia="宋体" w:cs="宋体"/>
                <w:color w:val="auto"/>
                <w:spacing w:val="-1"/>
                <w:kern w:val="0"/>
                <w:sz w:val="24"/>
                <w:szCs w:val="24"/>
                <w:highlight w:val="none"/>
              </w:rPr>
            </w:pPr>
          </w:p>
        </w:tc>
        <w:tc>
          <w:tcPr>
            <w:tcW w:w="2114" w:type="dxa"/>
            <w:noWrap w:val="0"/>
            <w:vAlign w:val="center"/>
          </w:tcPr>
          <w:p>
            <w:pPr>
              <w:rPr>
                <w:rFonts w:hint="eastAsia" w:ascii="宋体" w:hAnsi="宋体" w:eastAsia="宋体" w:cs="宋体"/>
                <w:color w:val="auto"/>
                <w:spacing w:val="-1"/>
                <w:kern w:val="0"/>
                <w:sz w:val="24"/>
                <w:szCs w:val="24"/>
                <w:highlight w:val="none"/>
              </w:rPr>
            </w:pPr>
          </w:p>
        </w:tc>
        <w:tc>
          <w:tcPr>
            <w:tcW w:w="1289" w:type="dxa"/>
            <w:noWrap w:val="0"/>
            <w:vAlign w:val="center"/>
          </w:tcPr>
          <w:p>
            <w:pPr>
              <w:rPr>
                <w:rFonts w:hint="eastAsia" w:ascii="宋体" w:hAnsi="宋体" w:eastAsia="宋体" w:cs="宋体"/>
                <w:color w:val="auto"/>
                <w:spacing w:val="-1"/>
                <w:kern w:val="0"/>
                <w:sz w:val="24"/>
                <w:szCs w:val="24"/>
                <w:highlight w:val="none"/>
              </w:rPr>
            </w:pPr>
          </w:p>
        </w:tc>
        <w:tc>
          <w:tcPr>
            <w:tcW w:w="2658" w:type="dxa"/>
            <w:noWrap w:val="0"/>
            <w:vAlign w:val="center"/>
          </w:tcPr>
          <w:p>
            <w:pPr>
              <w:rPr>
                <w:rFonts w:hint="eastAsia" w:ascii="宋体" w:hAnsi="宋体" w:eastAsia="宋体" w:cs="宋体"/>
                <w:color w:val="auto"/>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5</w:t>
            </w:r>
          </w:p>
        </w:tc>
        <w:tc>
          <w:tcPr>
            <w:tcW w:w="2154" w:type="dxa"/>
            <w:noWrap w:val="0"/>
            <w:vAlign w:val="center"/>
          </w:tcPr>
          <w:p>
            <w:pPr>
              <w:rPr>
                <w:rFonts w:hint="eastAsia" w:ascii="宋体" w:hAnsi="宋体" w:eastAsia="宋体" w:cs="宋体"/>
                <w:color w:val="auto"/>
                <w:spacing w:val="-1"/>
                <w:kern w:val="0"/>
                <w:sz w:val="24"/>
                <w:szCs w:val="24"/>
                <w:highlight w:val="none"/>
              </w:rPr>
            </w:pPr>
          </w:p>
        </w:tc>
        <w:tc>
          <w:tcPr>
            <w:tcW w:w="2114" w:type="dxa"/>
            <w:noWrap w:val="0"/>
            <w:vAlign w:val="center"/>
          </w:tcPr>
          <w:p>
            <w:pPr>
              <w:rPr>
                <w:rFonts w:hint="eastAsia" w:ascii="宋体" w:hAnsi="宋体" w:eastAsia="宋体" w:cs="宋体"/>
                <w:color w:val="auto"/>
                <w:spacing w:val="-1"/>
                <w:kern w:val="0"/>
                <w:sz w:val="24"/>
                <w:szCs w:val="24"/>
                <w:highlight w:val="none"/>
              </w:rPr>
            </w:pPr>
          </w:p>
        </w:tc>
        <w:tc>
          <w:tcPr>
            <w:tcW w:w="1289" w:type="dxa"/>
            <w:noWrap w:val="0"/>
            <w:vAlign w:val="center"/>
          </w:tcPr>
          <w:p>
            <w:pPr>
              <w:rPr>
                <w:rFonts w:hint="eastAsia" w:ascii="宋体" w:hAnsi="宋体" w:eastAsia="宋体" w:cs="宋体"/>
                <w:color w:val="auto"/>
                <w:spacing w:val="-1"/>
                <w:kern w:val="0"/>
                <w:sz w:val="24"/>
                <w:szCs w:val="24"/>
                <w:highlight w:val="none"/>
              </w:rPr>
            </w:pPr>
          </w:p>
        </w:tc>
        <w:tc>
          <w:tcPr>
            <w:tcW w:w="2658" w:type="dxa"/>
            <w:noWrap w:val="0"/>
            <w:vAlign w:val="center"/>
          </w:tcPr>
          <w:p>
            <w:pPr>
              <w:rPr>
                <w:rFonts w:hint="eastAsia" w:ascii="宋体" w:hAnsi="宋体" w:eastAsia="宋体" w:cs="宋体"/>
                <w:color w:val="auto"/>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6</w:t>
            </w:r>
          </w:p>
        </w:tc>
        <w:tc>
          <w:tcPr>
            <w:tcW w:w="2154" w:type="dxa"/>
            <w:noWrap w:val="0"/>
            <w:vAlign w:val="center"/>
          </w:tcPr>
          <w:p>
            <w:pPr>
              <w:rPr>
                <w:rFonts w:hint="eastAsia" w:ascii="宋体" w:hAnsi="宋体" w:eastAsia="宋体" w:cs="宋体"/>
                <w:color w:val="auto"/>
                <w:spacing w:val="-1"/>
                <w:kern w:val="0"/>
                <w:sz w:val="24"/>
                <w:szCs w:val="24"/>
                <w:highlight w:val="none"/>
              </w:rPr>
            </w:pPr>
          </w:p>
        </w:tc>
        <w:tc>
          <w:tcPr>
            <w:tcW w:w="2114" w:type="dxa"/>
            <w:noWrap w:val="0"/>
            <w:vAlign w:val="center"/>
          </w:tcPr>
          <w:p>
            <w:pPr>
              <w:rPr>
                <w:rFonts w:hint="eastAsia" w:ascii="宋体" w:hAnsi="宋体" w:eastAsia="宋体" w:cs="宋体"/>
                <w:color w:val="auto"/>
                <w:spacing w:val="-1"/>
                <w:kern w:val="0"/>
                <w:sz w:val="24"/>
                <w:szCs w:val="24"/>
                <w:highlight w:val="none"/>
              </w:rPr>
            </w:pPr>
          </w:p>
        </w:tc>
        <w:tc>
          <w:tcPr>
            <w:tcW w:w="1289" w:type="dxa"/>
            <w:noWrap w:val="0"/>
            <w:vAlign w:val="center"/>
          </w:tcPr>
          <w:p>
            <w:pPr>
              <w:rPr>
                <w:rFonts w:hint="eastAsia" w:ascii="宋体" w:hAnsi="宋体" w:eastAsia="宋体" w:cs="宋体"/>
                <w:color w:val="auto"/>
                <w:spacing w:val="-1"/>
                <w:kern w:val="0"/>
                <w:sz w:val="24"/>
                <w:szCs w:val="24"/>
                <w:highlight w:val="none"/>
              </w:rPr>
            </w:pPr>
          </w:p>
        </w:tc>
        <w:tc>
          <w:tcPr>
            <w:tcW w:w="2658" w:type="dxa"/>
            <w:noWrap w:val="0"/>
            <w:vAlign w:val="center"/>
          </w:tcPr>
          <w:p>
            <w:pPr>
              <w:rPr>
                <w:rFonts w:hint="eastAsia" w:ascii="宋体" w:hAnsi="宋体" w:eastAsia="宋体" w:cs="宋体"/>
                <w:color w:val="auto"/>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7</w:t>
            </w:r>
          </w:p>
        </w:tc>
        <w:tc>
          <w:tcPr>
            <w:tcW w:w="2154" w:type="dxa"/>
            <w:noWrap w:val="0"/>
            <w:vAlign w:val="center"/>
          </w:tcPr>
          <w:p>
            <w:pPr>
              <w:rPr>
                <w:rFonts w:hint="eastAsia" w:ascii="宋体" w:hAnsi="宋体" w:eastAsia="宋体" w:cs="宋体"/>
                <w:color w:val="auto"/>
                <w:spacing w:val="-1"/>
                <w:kern w:val="0"/>
                <w:sz w:val="24"/>
                <w:szCs w:val="24"/>
                <w:highlight w:val="none"/>
              </w:rPr>
            </w:pPr>
          </w:p>
        </w:tc>
        <w:tc>
          <w:tcPr>
            <w:tcW w:w="2114" w:type="dxa"/>
            <w:noWrap w:val="0"/>
            <w:vAlign w:val="center"/>
          </w:tcPr>
          <w:p>
            <w:pPr>
              <w:rPr>
                <w:rFonts w:hint="eastAsia" w:ascii="宋体" w:hAnsi="宋体" w:eastAsia="宋体" w:cs="宋体"/>
                <w:color w:val="auto"/>
                <w:spacing w:val="-1"/>
                <w:kern w:val="0"/>
                <w:sz w:val="24"/>
                <w:szCs w:val="24"/>
                <w:highlight w:val="none"/>
              </w:rPr>
            </w:pPr>
          </w:p>
        </w:tc>
        <w:tc>
          <w:tcPr>
            <w:tcW w:w="1289" w:type="dxa"/>
            <w:noWrap w:val="0"/>
            <w:vAlign w:val="center"/>
          </w:tcPr>
          <w:p>
            <w:pPr>
              <w:rPr>
                <w:rFonts w:hint="eastAsia" w:ascii="宋体" w:hAnsi="宋体" w:eastAsia="宋体" w:cs="宋体"/>
                <w:color w:val="auto"/>
                <w:spacing w:val="-1"/>
                <w:kern w:val="0"/>
                <w:sz w:val="24"/>
                <w:szCs w:val="24"/>
                <w:highlight w:val="none"/>
              </w:rPr>
            </w:pPr>
          </w:p>
        </w:tc>
        <w:tc>
          <w:tcPr>
            <w:tcW w:w="2658" w:type="dxa"/>
            <w:noWrap w:val="0"/>
            <w:vAlign w:val="center"/>
          </w:tcPr>
          <w:p>
            <w:pPr>
              <w:rPr>
                <w:rFonts w:hint="eastAsia" w:ascii="宋体" w:hAnsi="宋体" w:eastAsia="宋体" w:cs="宋体"/>
                <w:color w:val="auto"/>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8</w:t>
            </w:r>
          </w:p>
        </w:tc>
        <w:tc>
          <w:tcPr>
            <w:tcW w:w="2154" w:type="dxa"/>
            <w:noWrap w:val="0"/>
            <w:vAlign w:val="center"/>
          </w:tcPr>
          <w:p>
            <w:pPr>
              <w:rPr>
                <w:rFonts w:hint="eastAsia" w:ascii="宋体" w:hAnsi="宋体" w:eastAsia="宋体" w:cs="宋体"/>
                <w:color w:val="auto"/>
                <w:spacing w:val="-1"/>
                <w:kern w:val="0"/>
                <w:sz w:val="24"/>
                <w:szCs w:val="24"/>
                <w:highlight w:val="none"/>
              </w:rPr>
            </w:pPr>
          </w:p>
        </w:tc>
        <w:tc>
          <w:tcPr>
            <w:tcW w:w="2114" w:type="dxa"/>
            <w:noWrap w:val="0"/>
            <w:vAlign w:val="center"/>
          </w:tcPr>
          <w:p>
            <w:pPr>
              <w:rPr>
                <w:rFonts w:hint="eastAsia" w:ascii="宋体" w:hAnsi="宋体" w:eastAsia="宋体" w:cs="宋体"/>
                <w:color w:val="auto"/>
                <w:spacing w:val="-1"/>
                <w:kern w:val="0"/>
                <w:sz w:val="24"/>
                <w:szCs w:val="24"/>
                <w:highlight w:val="none"/>
              </w:rPr>
            </w:pPr>
          </w:p>
        </w:tc>
        <w:tc>
          <w:tcPr>
            <w:tcW w:w="1289" w:type="dxa"/>
            <w:noWrap w:val="0"/>
            <w:vAlign w:val="center"/>
          </w:tcPr>
          <w:p>
            <w:pPr>
              <w:rPr>
                <w:rFonts w:hint="eastAsia" w:ascii="宋体" w:hAnsi="宋体" w:eastAsia="宋体" w:cs="宋体"/>
                <w:color w:val="auto"/>
                <w:spacing w:val="-1"/>
                <w:kern w:val="0"/>
                <w:sz w:val="24"/>
                <w:szCs w:val="24"/>
                <w:highlight w:val="none"/>
              </w:rPr>
            </w:pPr>
          </w:p>
        </w:tc>
        <w:tc>
          <w:tcPr>
            <w:tcW w:w="2658" w:type="dxa"/>
            <w:noWrap w:val="0"/>
            <w:vAlign w:val="center"/>
          </w:tcPr>
          <w:p>
            <w:pPr>
              <w:rPr>
                <w:rFonts w:hint="eastAsia" w:ascii="宋体" w:hAnsi="宋体" w:eastAsia="宋体" w:cs="宋体"/>
                <w:color w:val="auto"/>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9</w:t>
            </w:r>
          </w:p>
        </w:tc>
        <w:tc>
          <w:tcPr>
            <w:tcW w:w="2154" w:type="dxa"/>
            <w:noWrap w:val="0"/>
            <w:vAlign w:val="center"/>
          </w:tcPr>
          <w:p>
            <w:pPr>
              <w:rPr>
                <w:rFonts w:hint="eastAsia" w:ascii="宋体" w:hAnsi="宋体" w:eastAsia="宋体" w:cs="宋体"/>
                <w:color w:val="auto"/>
                <w:spacing w:val="-1"/>
                <w:kern w:val="0"/>
                <w:sz w:val="24"/>
                <w:szCs w:val="24"/>
                <w:highlight w:val="none"/>
              </w:rPr>
            </w:pPr>
          </w:p>
        </w:tc>
        <w:tc>
          <w:tcPr>
            <w:tcW w:w="2114" w:type="dxa"/>
            <w:noWrap w:val="0"/>
            <w:vAlign w:val="center"/>
          </w:tcPr>
          <w:p>
            <w:pPr>
              <w:rPr>
                <w:rFonts w:hint="eastAsia" w:ascii="宋体" w:hAnsi="宋体" w:eastAsia="宋体" w:cs="宋体"/>
                <w:color w:val="auto"/>
                <w:spacing w:val="-1"/>
                <w:kern w:val="0"/>
                <w:sz w:val="24"/>
                <w:szCs w:val="24"/>
                <w:highlight w:val="none"/>
              </w:rPr>
            </w:pPr>
          </w:p>
        </w:tc>
        <w:tc>
          <w:tcPr>
            <w:tcW w:w="1289" w:type="dxa"/>
            <w:noWrap w:val="0"/>
            <w:vAlign w:val="center"/>
          </w:tcPr>
          <w:p>
            <w:pPr>
              <w:rPr>
                <w:rFonts w:hint="eastAsia" w:ascii="宋体" w:hAnsi="宋体" w:eastAsia="宋体" w:cs="宋体"/>
                <w:color w:val="auto"/>
                <w:spacing w:val="-1"/>
                <w:kern w:val="0"/>
                <w:sz w:val="24"/>
                <w:szCs w:val="24"/>
                <w:highlight w:val="none"/>
              </w:rPr>
            </w:pPr>
          </w:p>
        </w:tc>
        <w:tc>
          <w:tcPr>
            <w:tcW w:w="2658" w:type="dxa"/>
            <w:noWrap w:val="0"/>
            <w:vAlign w:val="center"/>
          </w:tcPr>
          <w:p>
            <w:pPr>
              <w:rPr>
                <w:rFonts w:hint="eastAsia" w:ascii="宋体" w:hAnsi="宋体" w:eastAsia="宋体" w:cs="宋体"/>
                <w:color w:val="auto"/>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10</w:t>
            </w:r>
          </w:p>
        </w:tc>
        <w:tc>
          <w:tcPr>
            <w:tcW w:w="2154" w:type="dxa"/>
            <w:noWrap w:val="0"/>
            <w:vAlign w:val="center"/>
          </w:tcPr>
          <w:p>
            <w:pPr>
              <w:rPr>
                <w:rFonts w:hint="eastAsia" w:ascii="宋体" w:hAnsi="宋体" w:eastAsia="宋体" w:cs="宋体"/>
                <w:color w:val="auto"/>
                <w:spacing w:val="-1"/>
                <w:kern w:val="0"/>
                <w:sz w:val="24"/>
                <w:szCs w:val="24"/>
                <w:highlight w:val="none"/>
              </w:rPr>
            </w:pPr>
          </w:p>
        </w:tc>
        <w:tc>
          <w:tcPr>
            <w:tcW w:w="2114" w:type="dxa"/>
            <w:noWrap w:val="0"/>
            <w:vAlign w:val="center"/>
          </w:tcPr>
          <w:p>
            <w:pPr>
              <w:rPr>
                <w:rFonts w:hint="eastAsia" w:ascii="宋体" w:hAnsi="宋体" w:eastAsia="宋体" w:cs="宋体"/>
                <w:color w:val="auto"/>
                <w:spacing w:val="-1"/>
                <w:kern w:val="0"/>
                <w:sz w:val="24"/>
                <w:szCs w:val="24"/>
                <w:highlight w:val="none"/>
              </w:rPr>
            </w:pPr>
          </w:p>
        </w:tc>
        <w:tc>
          <w:tcPr>
            <w:tcW w:w="1289" w:type="dxa"/>
            <w:noWrap w:val="0"/>
            <w:vAlign w:val="center"/>
          </w:tcPr>
          <w:p>
            <w:pPr>
              <w:rPr>
                <w:rFonts w:hint="eastAsia" w:ascii="宋体" w:hAnsi="宋体" w:eastAsia="宋体" w:cs="宋体"/>
                <w:color w:val="auto"/>
                <w:spacing w:val="-1"/>
                <w:kern w:val="0"/>
                <w:sz w:val="24"/>
                <w:szCs w:val="24"/>
                <w:highlight w:val="none"/>
              </w:rPr>
            </w:pPr>
          </w:p>
        </w:tc>
        <w:tc>
          <w:tcPr>
            <w:tcW w:w="2658" w:type="dxa"/>
            <w:noWrap w:val="0"/>
            <w:vAlign w:val="center"/>
          </w:tcPr>
          <w:p>
            <w:pPr>
              <w:rPr>
                <w:rFonts w:hint="eastAsia" w:ascii="宋体" w:hAnsi="宋体" w:eastAsia="宋体" w:cs="宋体"/>
                <w:color w:val="auto"/>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11</w:t>
            </w:r>
          </w:p>
        </w:tc>
        <w:tc>
          <w:tcPr>
            <w:tcW w:w="2154" w:type="dxa"/>
            <w:noWrap w:val="0"/>
            <w:vAlign w:val="center"/>
          </w:tcPr>
          <w:p>
            <w:pPr>
              <w:rPr>
                <w:rFonts w:hint="eastAsia" w:ascii="宋体" w:hAnsi="宋体" w:eastAsia="宋体" w:cs="宋体"/>
                <w:color w:val="auto"/>
                <w:spacing w:val="-1"/>
                <w:kern w:val="0"/>
                <w:sz w:val="24"/>
                <w:szCs w:val="24"/>
                <w:highlight w:val="none"/>
              </w:rPr>
            </w:pPr>
          </w:p>
        </w:tc>
        <w:tc>
          <w:tcPr>
            <w:tcW w:w="2114" w:type="dxa"/>
            <w:noWrap w:val="0"/>
            <w:vAlign w:val="center"/>
          </w:tcPr>
          <w:p>
            <w:pPr>
              <w:rPr>
                <w:rFonts w:hint="eastAsia" w:ascii="宋体" w:hAnsi="宋体" w:eastAsia="宋体" w:cs="宋体"/>
                <w:color w:val="auto"/>
                <w:spacing w:val="-1"/>
                <w:kern w:val="0"/>
                <w:sz w:val="24"/>
                <w:szCs w:val="24"/>
                <w:highlight w:val="none"/>
              </w:rPr>
            </w:pPr>
          </w:p>
        </w:tc>
        <w:tc>
          <w:tcPr>
            <w:tcW w:w="1289" w:type="dxa"/>
            <w:noWrap w:val="0"/>
            <w:vAlign w:val="center"/>
          </w:tcPr>
          <w:p>
            <w:pPr>
              <w:rPr>
                <w:rFonts w:hint="eastAsia" w:ascii="宋体" w:hAnsi="宋体" w:eastAsia="宋体" w:cs="宋体"/>
                <w:color w:val="auto"/>
                <w:spacing w:val="-1"/>
                <w:kern w:val="0"/>
                <w:sz w:val="24"/>
                <w:szCs w:val="24"/>
                <w:highlight w:val="none"/>
              </w:rPr>
            </w:pPr>
          </w:p>
        </w:tc>
        <w:tc>
          <w:tcPr>
            <w:tcW w:w="2658" w:type="dxa"/>
            <w:noWrap w:val="0"/>
            <w:vAlign w:val="center"/>
          </w:tcPr>
          <w:p>
            <w:pPr>
              <w:rPr>
                <w:rFonts w:hint="eastAsia" w:ascii="宋体" w:hAnsi="宋体" w:eastAsia="宋体" w:cs="宋体"/>
                <w:color w:val="auto"/>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12</w:t>
            </w:r>
          </w:p>
        </w:tc>
        <w:tc>
          <w:tcPr>
            <w:tcW w:w="2154" w:type="dxa"/>
            <w:noWrap w:val="0"/>
            <w:vAlign w:val="center"/>
          </w:tcPr>
          <w:p>
            <w:pPr>
              <w:rPr>
                <w:rFonts w:hint="eastAsia" w:ascii="宋体" w:hAnsi="宋体" w:eastAsia="宋体" w:cs="宋体"/>
                <w:color w:val="auto"/>
                <w:spacing w:val="-1"/>
                <w:kern w:val="0"/>
                <w:sz w:val="24"/>
                <w:szCs w:val="24"/>
                <w:highlight w:val="none"/>
              </w:rPr>
            </w:pPr>
          </w:p>
        </w:tc>
        <w:tc>
          <w:tcPr>
            <w:tcW w:w="2114" w:type="dxa"/>
            <w:noWrap w:val="0"/>
            <w:vAlign w:val="center"/>
          </w:tcPr>
          <w:p>
            <w:pPr>
              <w:rPr>
                <w:rFonts w:hint="eastAsia" w:ascii="宋体" w:hAnsi="宋体" w:eastAsia="宋体" w:cs="宋体"/>
                <w:color w:val="auto"/>
                <w:spacing w:val="-1"/>
                <w:kern w:val="0"/>
                <w:sz w:val="24"/>
                <w:szCs w:val="24"/>
                <w:highlight w:val="none"/>
              </w:rPr>
            </w:pPr>
          </w:p>
        </w:tc>
        <w:tc>
          <w:tcPr>
            <w:tcW w:w="1289" w:type="dxa"/>
            <w:noWrap w:val="0"/>
            <w:vAlign w:val="center"/>
          </w:tcPr>
          <w:p>
            <w:pPr>
              <w:rPr>
                <w:rFonts w:hint="eastAsia" w:ascii="宋体" w:hAnsi="宋体" w:eastAsia="宋体" w:cs="宋体"/>
                <w:color w:val="auto"/>
                <w:spacing w:val="-1"/>
                <w:kern w:val="0"/>
                <w:sz w:val="24"/>
                <w:szCs w:val="24"/>
                <w:highlight w:val="none"/>
              </w:rPr>
            </w:pPr>
          </w:p>
        </w:tc>
        <w:tc>
          <w:tcPr>
            <w:tcW w:w="2658" w:type="dxa"/>
            <w:noWrap w:val="0"/>
            <w:vAlign w:val="center"/>
          </w:tcPr>
          <w:p>
            <w:pPr>
              <w:rPr>
                <w:rFonts w:hint="eastAsia" w:ascii="宋体" w:hAnsi="宋体" w:eastAsia="宋体" w:cs="宋体"/>
                <w:color w:val="auto"/>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13</w:t>
            </w:r>
          </w:p>
        </w:tc>
        <w:tc>
          <w:tcPr>
            <w:tcW w:w="2154" w:type="dxa"/>
            <w:noWrap w:val="0"/>
            <w:vAlign w:val="center"/>
          </w:tcPr>
          <w:p>
            <w:pPr>
              <w:rPr>
                <w:rFonts w:hint="eastAsia" w:ascii="宋体" w:hAnsi="宋体" w:eastAsia="宋体" w:cs="宋体"/>
                <w:color w:val="auto"/>
                <w:spacing w:val="-1"/>
                <w:kern w:val="0"/>
                <w:sz w:val="24"/>
                <w:szCs w:val="24"/>
                <w:highlight w:val="none"/>
              </w:rPr>
            </w:pPr>
          </w:p>
        </w:tc>
        <w:tc>
          <w:tcPr>
            <w:tcW w:w="2114" w:type="dxa"/>
            <w:noWrap w:val="0"/>
            <w:vAlign w:val="center"/>
          </w:tcPr>
          <w:p>
            <w:pPr>
              <w:rPr>
                <w:rFonts w:hint="eastAsia" w:ascii="宋体" w:hAnsi="宋体" w:eastAsia="宋体" w:cs="宋体"/>
                <w:color w:val="auto"/>
                <w:spacing w:val="-1"/>
                <w:kern w:val="0"/>
                <w:sz w:val="24"/>
                <w:szCs w:val="24"/>
                <w:highlight w:val="none"/>
              </w:rPr>
            </w:pPr>
          </w:p>
        </w:tc>
        <w:tc>
          <w:tcPr>
            <w:tcW w:w="1289" w:type="dxa"/>
            <w:noWrap w:val="0"/>
            <w:vAlign w:val="center"/>
          </w:tcPr>
          <w:p>
            <w:pPr>
              <w:rPr>
                <w:rFonts w:hint="eastAsia" w:ascii="宋体" w:hAnsi="宋体" w:eastAsia="宋体" w:cs="宋体"/>
                <w:color w:val="auto"/>
                <w:spacing w:val="-1"/>
                <w:kern w:val="0"/>
                <w:sz w:val="24"/>
                <w:szCs w:val="24"/>
                <w:highlight w:val="none"/>
              </w:rPr>
            </w:pPr>
          </w:p>
        </w:tc>
        <w:tc>
          <w:tcPr>
            <w:tcW w:w="2658" w:type="dxa"/>
            <w:noWrap w:val="0"/>
            <w:vAlign w:val="center"/>
          </w:tcPr>
          <w:p>
            <w:pPr>
              <w:rPr>
                <w:rFonts w:hint="eastAsia" w:ascii="宋体" w:hAnsi="宋体" w:eastAsia="宋体" w:cs="宋体"/>
                <w:color w:val="auto"/>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14</w:t>
            </w:r>
          </w:p>
        </w:tc>
        <w:tc>
          <w:tcPr>
            <w:tcW w:w="2154" w:type="dxa"/>
            <w:noWrap w:val="0"/>
            <w:vAlign w:val="center"/>
          </w:tcPr>
          <w:p>
            <w:pPr>
              <w:rPr>
                <w:rFonts w:hint="eastAsia" w:ascii="宋体" w:hAnsi="宋体" w:eastAsia="宋体" w:cs="宋体"/>
                <w:color w:val="auto"/>
                <w:spacing w:val="-1"/>
                <w:kern w:val="0"/>
                <w:sz w:val="24"/>
                <w:szCs w:val="24"/>
                <w:highlight w:val="none"/>
              </w:rPr>
            </w:pPr>
          </w:p>
        </w:tc>
        <w:tc>
          <w:tcPr>
            <w:tcW w:w="2114" w:type="dxa"/>
            <w:noWrap w:val="0"/>
            <w:vAlign w:val="center"/>
          </w:tcPr>
          <w:p>
            <w:pPr>
              <w:rPr>
                <w:rFonts w:hint="eastAsia" w:ascii="宋体" w:hAnsi="宋体" w:eastAsia="宋体" w:cs="宋体"/>
                <w:color w:val="auto"/>
                <w:spacing w:val="-1"/>
                <w:kern w:val="0"/>
                <w:sz w:val="24"/>
                <w:szCs w:val="24"/>
                <w:highlight w:val="none"/>
              </w:rPr>
            </w:pPr>
          </w:p>
        </w:tc>
        <w:tc>
          <w:tcPr>
            <w:tcW w:w="1289" w:type="dxa"/>
            <w:noWrap w:val="0"/>
            <w:vAlign w:val="center"/>
          </w:tcPr>
          <w:p>
            <w:pPr>
              <w:rPr>
                <w:rFonts w:hint="eastAsia" w:ascii="宋体" w:hAnsi="宋体" w:eastAsia="宋体" w:cs="宋体"/>
                <w:color w:val="auto"/>
                <w:spacing w:val="-1"/>
                <w:kern w:val="0"/>
                <w:sz w:val="24"/>
                <w:szCs w:val="24"/>
                <w:highlight w:val="none"/>
              </w:rPr>
            </w:pPr>
          </w:p>
        </w:tc>
        <w:tc>
          <w:tcPr>
            <w:tcW w:w="2658" w:type="dxa"/>
            <w:noWrap w:val="0"/>
            <w:vAlign w:val="center"/>
          </w:tcPr>
          <w:p>
            <w:pPr>
              <w:rPr>
                <w:rFonts w:hint="eastAsia" w:ascii="宋体" w:hAnsi="宋体" w:eastAsia="宋体" w:cs="宋体"/>
                <w:color w:val="auto"/>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15</w:t>
            </w:r>
          </w:p>
        </w:tc>
        <w:tc>
          <w:tcPr>
            <w:tcW w:w="2154" w:type="dxa"/>
            <w:noWrap w:val="0"/>
            <w:vAlign w:val="center"/>
          </w:tcPr>
          <w:p>
            <w:pPr>
              <w:rPr>
                <w:rFonts w:hint="eastAsia" w:ascii="宋体" w:hAnsi="宋体" w:eastAsia="宋体" w:cs="宋体"/>
                <w:color w:val="auto"/>
                <w:spacing w:val="-1"/>
                <w:kern w:val="0"/>
                <w:sz w:val="24"/>
                <w:szCs w:val="24"/>
                <w:highlight w:val="none"/>
              </w:rPr>
            </w:pPr>
          </w:p>
        </w:tc>
        <w:tc>
          <w:tcPr>
            <w:tcW w:w="2114" w:type="dxa"/>
            <w:noWrap w:val="0"/>
            <w:vAlign w:val="center"/>
          </w:tcPr>
          <w:p>
            <w:pPr>
              <w:rPr>
                <w:rFonts w:hint="eastAsia" w:ascii="宋体" w:hAnsi="宋体" w:eastAsia="宋体" w:cs="宋体"/>
                <w:color w:val="auto"/>
                <w:spacing w:val="-1"/>
                <w:kern w:val="0"/>
                <w:sz w:val="24"/>
                <w:szCs w:val="24"/>
                <w:highlight w:val="none"/>
              </w:rPr>
            </w:pPr>
          </w:p>
        </w:tc>
        <w:tc>
          <w:tcPr>
            <w:tcW w:w="1289" w:type="dxa"/>
            <w:noWrap w:val="0"/>
            <w:vAlign w:val="center"/>
          </w:tcPr>
          <w:p>
            <w:pPr>
              <w:rPr>
                <w:rFonts w:hint="eastAsia" w:ascii="宋体" w:hAnsi="宋体" w:eastAsia="宋体" w:cs="宋体"/>
                <w:color w:val="auto"/>
                <w:spacing w:val="-1"/>
                <w:kern w:val="0"/>
                <w:sz w:val="24"/>
                <w:szCs w:val="24"/>
                <w:highlight w:val="none"/>
              </w:rPr>
            </w:pPr>
          </w:p>
        </w:tc>
        <w:tc>
          <w:tcPr>
            <w:tcW w:w="2658" w:type="dxa"/>
            <w:noWrap w:val="0"/>
            <w:vAlign w:val="center"/>
          </w:tcPr>
          <w:p>
            <w:pPr>
              <w:rPr>
                <w:rFonts w:hint="eastAsia" w:ascii="宋体" w:hAnsi="宋体" w:eastAsia="宋体" w:cs="宋体"/>
                <w:color w:val="auto"/>
                <w:spacing w:val="-1"/>
                <w:kern w:val="0"/>
                <w:sz w:val="24"/>
                <w:szCs w:val="24"/>
                <w:highlight w:val="none"/>
              </w:rPr>
            </w:pPr>
          </w:p>
        </w:tc>
      </w:tr>
    </w:tbl>
    <w:p>
      <w:pPr>
        <w:ind w:firstLine="476" w:firstLineChars="200"/>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注：请在“偏离说明”栏内扼要说明偏离情况，如无偏离则不需列明。</w:t>
      </w:r>
    </w:p>
    <w:p>
      <w:pPr>
        <w:rPr>
          <w:rFonts w:hint="eastAsia" w:ascii="宋体" w:hAnsi="宋体" w:eastAsia="宋体" w:cs="宋体"/>
          <w:color w:val="auto"/>
          <w:szCs w:val="21"/>
          <w:highlight w:val="none"/>
        </w:rPr>
      </w:pPr>
    </w:p>
    <w:p>
      <w:pPr>
        <w:pStyle w:val="8"/>
        <w:kinsoku w:val="0"/>
        <w:overflowPunct w:val="0"/>
        <w:spacing w:before="34" w:line="357" w:lineRule="auto"/>
        <w:ind w:right="126" w:firstLine="480"/>
        <w:jc w:val="center"/>
        <w:rPr>
          <w:rFonts w:hint="eastAsia" w:ascii="宋体" w:hAnsi="宋体" w:eastAsia="宋体" w:cs="宋体"/>
          <w:color w:val="auto"/>
          <w:sz w:val="18"/>
          <w:szCs w:val="18"/>
          <w:highlight w:val="none"/>
        </w:rPr>
      </w:pPr>
    </w:p>
    <w:p>
      <w:pPr>
        <w:pStyle w:val="8"/>
        <w:tabs>
          <w:tab w:val="left" w:pos="6736"/>
        </w:tabs>
        <w:kinsoku w:val="0"/>
        <w:overflowPunct w:val="0"/>
        <w:spacing w:before="26" w:line="337" w:lineRule="auto"/>
        <w:ind w:right="33" w:rightChars="0" w:firstLine="476" w:firstLineChars="200"/>
        <w:rPr>
          <w:rFonts w:hint="eastAsia" w:ascii="宋体" w:hAnsi="宋体" w:eastAsia="宋体" w:cs="宋体"/>
          <w:color w:val="auto"/>
          <w:spacing w:val="23"/>
          <w:highlight w:val="none"/>
        </w:rPr>
      </w:pPr>
      <w:r>
        <w:rPr>
          <w:rFonts w:hint="eastAsia" w:ascii="宋体" w:hAnsi="宋体" w:eastAsia="宋体" w:cs="宋体"/>
          <w:color w:val="auto"/>
          <w:spacing w:val="-1"/>
          <w:highlight w:val="none"/>
        </w:rPr>
        <w:t>供应商：</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highlight w:val="none"/>
          <w:u w:val="single"/>
        </w:rPr>
        <w:t>（公章）</w:t>
      </w:r>
      <w:r>
        <w:rPr>
          <w:rFonts w:hint="eastAsia" w:ascii="宋体" w:hAnsi="宋体" w:eastAsia="宋体" w:cs="宋体"/>
          <w:color w:val="auto"/>
          <w:spacing w:val="23"/>
          <w:highlight w:val="none"/>
        </w:rPr>
        <w:t xml:space="preserve"> </w:t>
      </w:r>
    </w:p>
    <w:p>
      <w:pPr>
        <w:pStyle w:val="8"/>
        <w:tabs>
          <w:tab w:val="left" w:pos="6736"/>
        </w:tabs>
        <w:kinsoku w:val="0"/>
        <w:overflowPunct w:val="0"/>
        <w:spacing w:before="26" w:line="337" w:lineRule="auto"/>
        <w:ind w:right="33" w:rightChars="0" w:firstLine="476" w:firstLineChars="200"/>
        <w:rPr>
          <w:rFonts w:hint="eastAsia" w:ascii="宋体" w:hAnsi="宋体" w:eastAsia="宋体" w:cs="宋体"/>
          <w:color w:val="auto"/>
          <w:highlight w:val="none"/>
        </w:rPr>
      </w:pPr>
      <w:r>
        <w:rPr>
          <w:rFonts w:hint="eastAsia" w:ascii="宋体" w:hAnsi="宋体" w:eastAsia="宋体" w:cs="宋体"/>
          <w:color w:val="auto"/>
          <w:spacing w:val="-1"/>
          <w:highlight w:val="none"/>
        </w:rPr>
        <w:t>法定代表人或委托人：</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highlight w:val="none"/>
          <w:u w:val="single"/>
        </w:rPr>
        <w:t>（签字）</w:t>
      </w:r>
    </w:p>
    <w:p>
      <w:pPr>
        <w:pStyle w:val="8"/>
        <w:kinsoku w:val="0"/>
        <w:overflowPunct w:val="0"/>
        <w:spacing w:before="11"/>
        <w:ind w:left="0"/>
        <w:rPr>
          <w:rFonts w:hint="eastAsia" w:ascii="宋体" w:hAnsi="宋体" w:eastAsia="宋体" w:cs="宋体"/>
          <w:color w:val="auto"/>
          <w:sz w:val="9"/>
          <w:szCs w:val="9"/>
          <w:highlight w:val="none"/>
        </w:rPr>
      </w:pPr>
    </w:p>
    <w:p>
      <w:pPr>
        <w:pStyle w:val="8"/>
        <w:tabs>
          <w:tab w:val="left" w:pos="5418"/>
          <w:tab w:val="left" w:pos="6258"/>
          <w:tab w:val="left" w:pos="7098"/>
        </w:tabs>
        <w:kinsoku w:val="0"/>
        <w:overflowPunct w:val="0"/>
        <w:spacing w:before="26"/>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spacing w:val="-1"/>
          <w:highlight w:val="none"/>
        </w:rPr>
        <w:t>年</w:t>
      </w:r>
      <w:r>
        <w:rPr>
          <w:rFonts w:hint="eastAsia" w:ascii="宋体" w:hAnsi="宋体" w:eastAsia="宋体" w:cs="宋体"/>
          <w:color w:val="auto"/>
          <w:spacing w:val="-1"/>
          <w:highlight w:val="none"/>
          <w:u w:val="single"/>
        </w:rPr>
        <w:tab/>
      </w:r>
      <w:r>
        <w:rPr>
          <w:rFonts w:hint="eastAsia" w:ascii="宋体" w:hAnsi="宋体" w:eastAsia="宋体" w:cs="宋体"/>
          <w:color w:val="auto"/>
          <w:spacing w:val="-1"/>
          <w:highlight w:val="none"/>
          <w:u w:val="single"/>
          <w:lang w:val="en-US" w:eastAsia="zh-CN"/>
        </w:rPr>
        <w:t xml:space="preserve">  </w:t>
      </w:r>
      <w:r>
        <w:rPr>
          <w:rFonts w:hint="eastAsia" w:ascii="宋体" w:hAnsi="宋体" w:eastAsia="宋体" w:cs="宋体"/>
          <w:color w:val="auto"/>
          <w:spacing w:val="-1"/>
          <w:highlight w:val="none"/>
        </w:rPr>
        <w:t>月</w:t>
      </w:r>
      <w:r>
        <w:rPr>
          <w:rFonts w:hint="eastAsia" w:ascii="宋体" w:hAnsi="宋体" w:eastAsia="宋体" w:cs="宋体"/>
          <w:color w:val="auto"/>
          <w:spacing w:val="-1"/>
          <w:highlight w:val="none"/>
          <w:u w:val="single"/>
        </w:rPr>
        <w:tab/>
      </w:r>
      <w:r>
        <w:rPr>
          <w:rFonts w:hint="eastAsia" w:ascii="宋体" w:hAnsi="宋体" w:eastAsia="宋体" w:cs="宋体"/>
          <w:color w:val="auto"/>
          <w:highlight w:val="none"/>
        </w:rPr>
        <w:t>日</w:t>
      </w:r>
    </w:p>
    <w:p>
      <w:pPr>
        <w:pStyle w:val="8"/>
        <w:numPr>
          <w:ilvl w:val="0"/>
          <w:numId w:val="9"/>
        </w:numPr>
        <w:kinsoku w:val="0"/>
        <w:overflowPunct w:val="0"/>
        <w:spacing w:before="34" w:line="357" w:lineRule="auto"/>
        <w:ind w:right="126" w:firstLine="480" w:firstLineChars="200"/>
        <w:jc w:val="center"/>
        <w:rPr>
          <w:rFonts w:hint="eastAsia" w:ascii="宋体" w:hAnsi="宋体" w:eastAsia="宋体" w:cs="宋体"/>
          <w:b/>
          <w:bCs/>
          <w:color w:val="auto"/>
          <w:sz w:val="36"/>
          <w:szCs w:val="36"/>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36"/>
          <w:szCs w:val="36"/>
          <w:highlight w:val="none"/>
        </w:rPr>
        <w:t>同类项目业绩介绍</w:t>
      </w:r>
    </w:p>
    <w:p>
      <w:pPr>
        <w:ind w:firstLine="476" w:firstLineChars="200"/>
        <w:rPr>
          <w:rFonts w:hint="eastAsia" w:ascii="宋体" w:hAnsi="宋体" w:eastAsia="宋体" w:cs="宋体"/>
          <w:color w:val="auto"/>
          <w:spacing w:val="-1"/>
          <w:kern w:val="0"/>
          <w:sz w:val="24"/>
          <w:szCs w:val="24"/>
          <w:highlight w:val="none"/>
          <w:lang w:eastAsia="zh-CN"/>
        </w:rPr>
      </w:pPr>
      <w:r>
        <w:rPr>
          <w:rFonts w:hint="eastAsia" w:ascii="宋体" w:hAnsi="宋体" w:eastAsia="宋体" w:cs="宋体"/>
          <w:color w:val="auto"/>
          <w:spacing w:val="-1"/>
          <w:kern w:val="0"/>
          <w:sz w:val="24"/>
          <w:szCs w:val="24"/>
          <w:highlight w:val="none"/>
        </w:rPr>
        <w:t>供应商提供近</w:t>
      </w:r>
      <w:r>
        <w:rPr>
          <w:rFonts w:hint="eastAsia" w:ascii="宋体" w:hAnsi="宋体" w:cs="宋体"/>
          <w:color w:val="auto"/>
          <w:spacing w:val="-1"/>
          <w:kern w:val="0"/>
          <w:sz w:val="24"/>
          <w:szCs w:val="24"/>
          <w:highlight w:val="none"/>
          <w:lang w:val="en-US" w:eastAsia="zh-CN"/>
        </w:rPr>
        <w:t>3</w:t>
      </w:r>
      <w:r>
        <w:rPr>
          <w:rFonts w:hint="eastAsia" w:ascii="宋体" w:hAnsi="宋体" w:eastAsia="宋体" w:cs="宋体"/>
          <w:color w:val="auto"/>
          <w:spacing w:val="-1"/>
          <w:kern w:val="0"/>
          <w:sz w:val="24"/>
          <w:szCs w:val="24"/>
          <w:highlight w:val="none"/>
        </w:rPr>
        <w:t>年（201</w:t>
      </w:r>
      <w:r>
        <w:rPr>
          <w:rFonts w:hint="eastAsia" w:ascii="宋体" w:hAnsi="宋体" w:cs="宋体"/>
          <w:color w:val="auto"/>
          <w:spacing w:val="-1"/>
          <w:kern w:val="0"/>
          <w:sz w:val="24"/>
          <w:szCs w:val="24"/>
          <w:highlight w:val="none"/>
          <w:lang w:val="en-US" w:eastAsia="zh-CN"/>
        </w:rPr>
        <w:t>8</w:t>
      </w:r>
      <w:r>
        <w:rPr>
          <w:rFonts w:hint="eastAsia" w:ascii="宋体" w:hAnsi="宋体" w:eastAsia="宋体" w:cs="宋体"/>
          <w:color w:val="auto"/>
          <w:spacing w:val="-1"/>
          <w:kern w:val="0"/>
          <w:sz w:val="24"/>
          <w:szCs w:val="24"/>
          <w:highlight w:val="none"/>
        </w:rPr>
        <w:t>年</w:t>
      </w:r>
      <w:r>
        <w:rPr>
          <w:rFonts w:hint="eastAsia" w:ascii="宋体" w:hAnsi="宋体" w:cs="宋体"/>
          <w:color w:val="auto"/>
          <w:spacing w:val="-1"/>
          <w:kern w:val="0"/>
          <w:sz w:val="24"/>
          <w:szCs w:val="24"/>
          <w:highlight w:val="none"/>
          <w:lang w:val="en-US" w:eastAsia="zh-CN"/>
        </w:rPr>
        <w:t>10</w:t>
      </w:r>
      <w:r>
        <w:rPr>
          <w:rFonts w:hint="eastAsia" w:ascii="宋体" w:hAnsi="宋体" w:eastAsia="宋体" w:cs="宋体"/>
          <w:color w:val="auto"/>
          <w:spacing w:val="-1"/>
          <w:kern w:val="0"/>
          <w:sz w:val="24"/>
          <w:szCs w:val="24"/>
          <w:highlight w:val="none"/>
        </w:rPr>
        <w:t>月1日至投标文件递交截止日前）独立承担的与本项目类似的业绩</w:t>
      </w:r>
      <w:r>
        <w:rPr>
          <w:rFonts w:hint="eastAsia" w:ascii="宋体" w:hAnsi="宋体" w:eastAsia="宋体" w:cs="宋体"/>
          <w:color w:val="auto"/>
          <w:spacing w:val="-1"/>
          <w:kern w:val="0"/>
          <w:sz w:val="24"/>
          <w:szCs w:val="24"/>
          <w:highlight w:val="none"/>
          <w:lang w:eastAsia="zh-CN"/>
        </w:rPr>
        <w:t>：</w:t>
      </w:r>
    </w:p>
    <w:p>
      <w:pPr>
        <w:pStyle w:val="8"/>
        <w:kinsoku w:val="0"/>
        <w:overflowPunct w:val="0"/>
        <w:spacing w:before="0"/>
        <w:ind w:left="0"/>
        <w:rPr>
          <w:rFonts w:hint="eastAsia" w:ascii="宋体" w:hAnsi="宋体" w:eastAsia="宋体" w:cs="宋体"/>
          <w:b/>
          <w:bCs/>
          <w:color w:val="auto"/>
          <w:sz w:val="20"/>
          <w:szCs w:val="20"/>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3103"/>
        <w:gridCol w:w="123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序号</w:t>
            </w:r>
          </w:p>
        </w:tc>
        <w:tc>
          <w:tcPr>
            <w:tcW w:w="2373" w:type="dxa"/>
            <w:noWrap w:val="0"/>
            <w:vAlign w:val="center"/>
          </w:tcPr>
          <w:p>
            <w:pPr>
              <w:jc w:val="center"/>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客户名称</w:t>
            </w:r>
          </w:p>
        </w:tc>
        <w:tc>
          <w:tcPr>
            <w:tcW w:w="3103" w:type="dxa"/>
            <w:noWrap w:val="0"/>
            <w:vAlign w:val="center"/>
          </w:tcPr>
          <w:p>
            <w:pPr>
              <w:jc w:val="center"/>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项目名称及合同金额（万元）</w:t>
            </w:r>
          </w:p>
        </w:tc>
        <w:tc>
          <w:tcPr>
            <w:tcW w:w="1230" w:type="dxa"/>
            <w:noWrap w:val="0"/>
            <w:vAlign w:val="center"/>
          </w:tcPr>
          <w:p>
            <w:pPr>
              <w:jc w:val="center"/>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实施时间</w:t>
            </w:r>
          </w:p>
        </w:tc>
        <w:tc>
          <w:tcPr>
            <w:tcW w:w="1725" w:type="dxa"/>
            <w:noWrap w:val="0"/>
            <w:vAlign w:val="center"/>
          </w:tcPr>
          <w:p>
            <w:pPr>
              <w:jc w:val="center"/>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1</w:t>
            </w:r>
          </w:p>
        </w:tc>
        <w:tc>
          <w:tcPr>
            <w:tcW w:w="2373" w:type="dxa"/>
            <w:noWrap w:val="0"/>
            <w:vAlign w:val="center"/>
          </w:tcPr>
          <w:p>
            <w:pPr>
              <w:jc w:val="center"/>
              <w:rPr>
                <w:rFonts w:hint="eastAsia" w:ascii="宋体" w:hAnsi="宋体" w:eastAsia="宋体" w:cs="宋体"/>
                <w:color w:val="auto"/>
                <w:spacing w:val="-1"/>
                <w:kern w:val="0"/>
                <w:sz w:val="24"/>
                <w:szCs w:val="24"/>
                <w:highlight w:val="none"/>
              </w:rPr>
            </w:pPr>
          </w:p>
        </w:tc>
        <w:tc>
          <w:tcPr>
            <w:tcW w:w="3103" w:type="dxa"/>
            <w:noWrap w:val="0"/>
            <w:vAlign w:val="center"/>
          </w:tcPr>
          <w:p>
            <w:pPr>
              <w:jc w:val="center"/>
              <w:rPr>
                <w:rFonts w:hint="eastAsia" w:ascii="宋体" w:hAnsi="宋体" w:eastAsia="宋体" w:cs="宋体"/>
                <w:color w:val="auto"/>
                <w:spacing w:val="-1"/>
                <w:kern w:val="0"/>
                <w:sz w:val="24"/>
                <w:szCs w:val="24"/>
                <w:highlight w:val="none"/>
              </w:rPr>
            </w:pPr>
          </w:p>
        </w:tc>
        <w:tc>
          <w:tcPr>
            <w:tcW w:w="1230" w:type="dxa"/>
            <w:noWrap w:val="0"/>
            <w:vAlign w:val="center"/>
          </w:tcPr>
          <w:p>
            <w:pPr>
              <w:jc w:val="center"/>
              <w:rPr>
                <w:rFonts w:hint="eastAsia" w:ascii="宋体" w:hAnsi="宋体" w:eastAsia="宋体" w:cs="宋体"/>
                <w:color w:val="auto"/>
                <w:spacing w:val="-1"/>
                <w:kern w:val="0"/>
                <w:sz w:val="24"/>
                <w:szCs w:val="24"/>
                <w:highlight w:val="none"/>
              </w:rPr>
            </w:pPr>
          </w:p>
        </w:tc>
        <w:tc>
          <w:tcPr>
            <w:tcW w:w="1725" w:type="dxa"/>
            <w:noWrap w:val="0"/>
            <w:vAlign w:val="center"/>
          </w:tcPr>
          <w:p>
            <w:pPr>
              <w:jc w:val="center"/>
              <w:rPr>
                <w:rFonts w:hint="eastAsia" w:ascii="宋体" w:hAnsi="宋体" w:eastAsia="宋体" w:cs="宋体"/>
                <w:color w:val="auto"/>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2</w:t>
            </w:r>
          </w:p>
        </w:tc>
        <w:tc>
          <w:tcPr>
            <w:tcW w:w="2373" w:type="dxa"/>
            <w:noWrap w:val="0"/>
            <w:vAlign w:val="center"/>
          </w:tcPr>
          <w:p>
            <w:pPr>
              <w:jc w:val="center"/>
              <w:rPr>
                <w:rFonts w:hint="eastAsia" w:ascii="宋体" w:hAnsi="宋体" w:eastAsia="宋体" w:cs="宋体"/>
                <w:color w:val="auto"/>
                <w:spacing w:val="-1"/>
                <w:kern w:val="0"/>
                <w:sz w:val="24"/>
                <w:szCs w:val="24"/>
                <w:highlight w:val="none"/>
              </w:rPr>
            </w:pPr>
          </w:p>
        </w:tc>
        <w:tc>
          <w:tcPr>
            <w:tcW w:w="3103" w:type="dxa"/>
            <w:noWrap w:val="0"/>
            <w:vAlign w:val="center"/>
          </w:tcPr>
          <w:p>
            <w:pPr>
              <w:jc w:val="center"/>
              <w:rPr>
                <w:rFonts w:hint="eastAsia" w:ascii="宋体" w:hAnsi="宋体" w:eastAsia="宋体" w:cs="宋体"/>
                <w:color w:val="auto"/>
                <w:spacing w:val="-1"/>
                <w:kern w:val="0"/>
                <w:sz w:val="24"/>
                <w:szCs w:val="24"/>
                <w:highlight w:val="none"/>
              </w:rPr>
            </w:pPr>
          </w:p>
        </w:tc>
        <w:tc>
          <w:tcPr>
            <w:tcW w:w="1230" w:type="dxa"/>
            <w:noWrap w:val="0"/>
            <w:vAlign w:val="center"/>
          </w:tcPr>
          <w:p>
            <w:pPr>
              <w:jc w:val="center"/>
              <w:rPr>
                <w:rFonts w:hint="eastAsia" w:ascii="宋体" w:hAnsi="宋体" w:eastAsia="宋体" w:cs="宋体"/>
                <w:color w:val="auto"/>
                <w:spacing w:val="-1"/>
                <w:kern w:val="0"/>
                <w:sz w:val="24"/>
                <w:szCs w:val="24"/>
                <w:highlight w:val="none"/>
              </w:rPr>
            </w:pPr>
          </w:p>
        </w:tc>
        <w:tc>
          <w:tcPr>
            <w:tcW w:w="1725" w:type="dxa"/>
            <w:noWrap w:val="0"/>
            <w:vAlign w:val="center"/>
          </w:tcPr>
          <w:p>
            <w:pPr>
              <w:jc w:val="center"/>
              <w:rPr>
                <w:rFonts w:hint="eastAsia" w:ascii="宋体" w:hAnsi="宋体" w:eastAsia="宋体" w:cs="宋体"/>
                <w:color w:val="auto"/>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3</w:t>
            </w:r>
          </w:p>
        </w:tc>
        <w:tc>
          <w:tcPr>
            <w:tcW w:w="2373" w:type="dxa"/>
            <w:noWrap w:val="0"/>
            <w:vAlign w:val="center"/>
          </w:tcPr>
          <w:p>
            <w:pPr>
              <w:jc w:val="center"/>
              <w:rPr>
                <w:rFonts w:hint="eastAsia" w:ascii="宋体" w:hAnsi="宋体" w:eastAsia="宋体" w:cs="宋体"/>
                <w:color w:val="auto"/>
                <w:spacing w:val="-1"/>
                <w:kern w:val="0"/>
                <w:sz w:val="24"/>
                <w:szCs w:val="24"/>
                <w:highlight w:val="none"/>
              </w:rPr>
            </w:pPr>
          </w:p>
        </w:tc>
        <w:tc>
          <w:tcPr>
            <w:tcW w:w="3103" w:type="dxa"/>
            <w:noWrap w:val="0"/>
            <w:vAlign w:val="center"/>
          </w:tcPr>
          <w:p>
            <w:pPr>
              <w:jc w:val="center"/>
              <w:rPr>
                <w:rFonts w:hint="eastAsia" w:ascii="宋体" w:hAnsi="宋体" w:eastAsia="宋体" w:cs="宋体"/>
                <w:color w:val="auto"/>
                <w:spacing w:val="-1"/>
                <w:kern w:val="0"/>
                <w:sz w:val="24"/>
                <w:szCs w:val="24"/>
                <w:highlight w:val="none"/>
              </w:rPr>
            </w:pPr>
          </w:p>
        </w:tc>
        <w:tc>
          <w:tcPr>
            <w:tcW w:w="1230" w:type="dxa"/>
            <w:noWrap w:val="0"/>
            <w:vAlign w:val="center"/>
          </w:tcPr>
          <w:p>
            <w:pPr>
              <w:jc w:val="center"/>
              <w:rPr>
                <w:rFonts w:hint="eastAsia" w:ascii="宋体" w:hAnsi="宋体" w:eastAsia="宋体" w:cs="宋体"/>
                <w:color w:val="auto"/>
                <w:spacing w:val="-1"/>
                <w:kern w:val="0"/>
                <w:sz w:val="24"/>
                <w:szCs w:val="24"/>
                <w:highlight w:val="none"/>
              </w:rPr>
            </w:pPr>
          </w:p>
        </w:tc>
        <w:tc>
          <w:tcPr>
            <w:tcW w:w="1725" w:type="dxa"/>
            <w:noWrap w:val="0"/>
            <w:vAlign w:val="center"/>
          </w:tcPr>
          <w:p>
            <w:pPr>
              <w:jc w:val="center"/>
              <w:rPr>
                <w:rFonts w:hint="eastAsia" w:ascii="宋体" w:hAnsi="宋体" w:eastAsia="宋体" w:cs="宋体"/>
                <w:color w:val="auto"/>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w:t>
            </w:r>
          </w:p>
        </w:tc>
        <w:tc>
          <w:tcPr>
            <w:tcW w:w="2373" w:type="dxa"/>
            <w:noWrap w:val="0"/>
            <w:vAlign w:val="center"/>
          </w:tcPr>
          <w:p>
            <w:pPr>
              <w:jc w:val="center"/>
              <w:rPr>
                <w:rFonts w:hint="eastAsia" w:ascii="宋体" w:hAnsi="宋体" w:eastAsia="宋体" w:cs="宋体"/>
                <w:color w:val="auto"/>
                <w:spacing w:val="-1"/>
                <w:kern w:val="0"/>
                <w:sz w:val="24"/>
                <w:szCs w:val="24"/>
                <w:highlight w:val="none"/>
              </w:rPr>
            </w:pPr>
          </w:p>
        </w:tc>
        <w:tc>
          <w:tcPr>
            <w:tcW w:w="3103" w:type="dxa"/>
            <w:noWrap w:val="0"/>
            <w:vAlign w:val="center"/>
          </w:tcPr>
          <w:p>
            <w:pPr>
              <w:jc w:val="center"/>
              <w:rPr>
                <w:rFonts w:hint="eastAsia" w:ascii="宋体" w:hAnsi="宋体" w:eastAsia="宋体" w:cs="宋体"/>
                <w:color w:val="auto"/>
                <w:spacing w:val="-1"/>
                <w:kern w:val="0"/>
                <w:sz w:val="24"/>
                <w:szCs w:val="24"/>
                <w:highlight w:val="none"/>
              </w:rPr>
            </w:pPr>
          </w:p>
        </w:tc>
        <w:tc>
          <w:tcPr>
            <w:tcW w:w="1230" w:type="dxa"/>
            <w:noWrap w:val="0"/>
            <w:vAlign w:val="center"/>
          </w:tcPr>
          <w:p>
            <w:pPr>
              <w:jc w:val="center"/>
              <w:rPr>
                <w:rFonts w:hint="eastAsia" w:ascii="宋体" w:hAnsi="宋体" w:eastAsia="宋体" w:cs="宋体"/>
                <w:color w:val="auto"/>
                <w:spacing w:val="-1"/>
                <w:kern w:val="0"/>
                <w:sz w:val="24"/>
                <w:szCs w:val="24"/>
                <w:highlight w:val="none"/>
              </w:rPr>
            </w:pPr>
          </w:p>
        </w:tc>
        <w:tc>
          <w:tcPr>
            <w:tcW w:w="1725" w:type="dxa"/>
            <w:noWrap w:val="0"/>
            <w:vAlign w:val="center"/>
          </w:tcPr>
          <w:p>
            <w:pPr>
              <w:jc w:val="center"/>
              <w:rPr>
                <w:rFonts w:hint="eastAsia" w:ascii="宋体" w:hAnsi="宋体" w:eastAsia="宋体" w:cs="宋体"/>
                <w:color w:val="auto"/>
                <w:spacing w:val="-1"/>
                <w:kern w:val="0"/>
                <w:sz w:val="24"/>
                <w:szCs w:val="24"/>
                <w:highlight w:val="none"/>
              </w:rPr>
            </w:pPr>
          </w:p>
        </w:tc>
      </w:tr>
    </w:tbl>
    <w:p>
      <w:pPr>
        <w:ind w:firstLine="476" w:firstLineChars="200"/>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注：根据评审表的要求提交相应资料。</w:t>
      </w:r>
    </w:p>
    <w:p>
      <w:pPr>
        <w:ind w:firstLine="476" w:firstLineChars="200"/>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业绩证明（以合同或中标通知书为准，在投标文件中附合同扫描件或中标通知书扫描件加盖单位公章，须携带原件备查，弄虚作假者取消其投标资格）。</w:t>
      </w:r>
    </w:p>
    <w:p>
      <w:pPr>
        <w:pStyle w:val="8"/>
        <w:kinsoku w:val="0"/>
        <w:overflowPunct w:val="0"/>
        <w:spacing w:before="0"/>
        <w:ind w:left="0"/>
        <w:rPr>
          <w:rFonts w:hint="eastAsia" w:ascii="宋体" w:hAnsi="宋体" w:eastAsia="宋体" w:cs="宋体"/>
          <w:color w:val="auto"/>
          <w:highlight w:val="none"/>
        </w:rPr>
      </w:pPr>
    </w:p>
    <w:p>
      <w:pPr>
        <w:pStyle w:val="8"/>
        <w:kinsoku w:val="0"/>
        <w:overflowPunct w:val="0"/>
        <w:spacing w:before="10"/>
        <w:ind w:left="0"/>
        <w:rPr>
          <w:rFonts w:hint="eastAsia" w:ascii="宋体" w:hAnsi="宋体" w:eastAsia="宋体" w:cs="宋体"/>
          <w:color w:val="auto"/>
          <w:sz w:val="29"/>
          <w:szCs w:val="29"/>
          <w:highlight w:val="none"/>
        </w:rPr>
      </w:pPr>
    </w:p>
    <w:p>
      <w:pPr>
        <w:pStyle w:val="8"/>
        <w:tabs>
          <w:tab w:val="left" w:pos="7078"/>
        </w:tabs>
        <w:kinsoku w:val="0"/>
        <w:overflowPunct w:val="0"/>
        <w:spacing w:before="0" w:line="337" w:lineRule="auto"/>
        <w:ind w:left="3598" w:right="1266" w:firstLine="476" w:firstLineChars="200"/>
        <w:rPr>
          <w:rFonts w:hint="eastAsia" w:ascii="宋体" w:hAnsi="宋体" w:eastAsia="宋体" w:cs="宋体"/>
          <w:color w:val="auto"/>
          <w:spacing w:val="23"/>
          <w:highlight w:val="none"/>
        </w:rPr>
      </w:pPr>
      <w:r>
        <w:rPr>
          <w:rFonts w:hint="eastAsia" w:ascii="宋体" w:hAnsi="宋体" w:eastAsia="宋体" w:cs="宋体"/>
          <w:color w:val="auto"/>
          <w:spacing w:val="-1"/>
          <w:highlight w:val="none"/>
        </w:rPr>
        <w:t>供应商：</w:t>
      </w:r>
      <w:r>
        <w:rPr>
          <w:rFonts w:hint="eastAsia" w:ascii="宋体" w:hAnsi="宋体" w:eastAsia="宋体" w:cs="宋体"/>
          <w:color w:val="auto"/>
          <w:spacing w:val="-1"/>
          <w:highlight w:val="none"/>
          <w:u w:val="single"/>
        </w:rPr>
        <w:tab/>
      </w:r>
      <w:r>
        <w:rPr>
          <w:rFonts w:hint="eastAsia" w:ascii="宋体" w:hAnsi="宋体" w:eastAsia="宋体" w:cs="宋体"/>
          <w:color w:val="auto"/>
          <w:highlight w:val="none"/>
          <w:u w:val="single"/>
        </w:rPr>
        <w:t>（公章）</w:t>
      </w:r>
      <w:r>
        <w:rPr>
          <w:rFonts w:hint="eastAsia" w:ascii="宋体" w:hAnsi="宋体" w:eastAsia="宋体" w:cs="宋体"/>
          <w:color w:val="auto"/>
          <w:spacing w:val="23"/>
          <w:highlight w:val="none"/>
        </w:rPr>
        <w:t xml:space="preserve"> </w:t>
      </w:r>
    </w:p>
    <w:p>
      <w:pPr>
        <w:pStyle w:val="8"/>
        <w:tabs>
          <w:tab w:val="left" w:pos="7078"/>
        </w:tabs>
        <w:kinsoku w:val="0"/>
        <w:overflowPunct w:val="0"/>
        <w:spacing w:before="0" w:line="337" w:lineRule="auto"/>
        <w:ind w:left="3598" w:right="1266" w:firstLine="476" w:firstLineChars="200"/>
        <w:rPr>
          <w:rFonts w:hint="eastAsia" w:ascii="宋体" w:hAnsi="宋体" w:eastAsia="宋体" w:cs="宋体"/>
          <w:color w:val="auto"/>
          <w:highlight w:val="none"/>
        </w:rPr>
      </w:pPr>
      <w:r>
        <w:rPr>
          <w:rFonts w:hint="eastAsia" w:ascii="宋体" w:hAnsi="宋体" w:eastAsia="宋体" w:cs="宋体"/>
          <w:color w:val="auto"/>
          <w:spacing w:val="-1"/>
          <w:highlight w:val="none"/>
        </w:rPr>
        <w:t>法定代表人或委托人：</w:t>
      </w:r>
      <w:r>
        <w:rPr>
          <w:rFonts w:hint="eastAsia" w:ascii="宋体" w:hAnsi="宋体" w:eastAsia="宋体" w:cs="宋体"/>
          <w:color w:val="auto"/>
          <w:spacing w:val="-1"/>
          <w:highlight w:val="none"/>
          <w:u w:val="single"/>
        </w:rPr>
        <w:tab/>
      </w:r>
      <w:r>
        <w:rPr>
          <w:rFonts w:hint="eastAsia" w:ascii="宋体" w:hAnsi="宋体" w:eastAsia="宋体" w:cs="宋体"/>
          <w:color w:val="auto"/>
          <w:highlight w:val="none"/>
          <w:u w:val="single"/>
        </w:rPr>
        <w:t>（签字）</w:t>
      </w:r>
    </w:p>
    <w:p>
      <w:pPr>
        <w:pStyle w:val="8"/>
        <w:kinsoku w:val="0"/>
        <w:overflowPunct w:val="0"/>
        <w:spacing w:before="11"/>
        <w:ind w:left="0"/>
        <w:rPr>
          <w:rFonts w:hint="eastAsia" w:ascii="宋体" w:hAnsi="宋体" w:eastAsia="宋体" w:cs="宋体"/>
          <w:color w:val="auto"/>
          <w:sz w:val="9"/>
          <w:szCs w:val="9"/>
          <w:highlight w:val="none"/>
        </w:rPr>
      </w:pPr>
    </w:p>
    <w:p>
      <w:pPr>
        <w:pStyle w:val="8"/>
        <w:tabs>
          <w:tab w:val="left" w:pos="5158"/>
          <w:tab w:val="left" w:pos="5998"/>
          <w:tab w:val="left" w:pos="6838"/>
        </w:tabs>
        <w:kinsoku w:val="0"/>
        <w:overflowPunct w:val="0"/>
        <w:spacing w:before="26"/>
        <w:ind w:left="4437" w:right="118" w:firstLine="480" w:firstLineChars="20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spacing w:val="-1"/>
          <w:highlight w:val="none"/>
        </w:rPr>
        <w:t>年</w:t>
      </w:r>
      <w:r>
        <w:rPr>
          <w:rFonts w:hint="eastAsia" w:ascii="宋体" w:hAnsi="宋体" w:eastAsia="宋体" w:cs="宋体"/>
          <w:color w:val="auto"/>
          <w:spacing w:val="-1"/>
          <w:highlight w:val="none"/>
          <w:u w:val="single"/>
        </w:rPr>
        <w:tab/>
      </w:r>
      <w:r>
        <w:rPr>
          <w:rFonts w:hint="eastAsia" w:ascii="宋体" w:hAnsi="宋体" w:eastAsia="宋体" w:cs="宋体"/>
          <w:color w:val="auto"/>
          <w:spacing w:val="-1"/>
          <w:highlight w:val="none"/>
        </w:rPr>
        <w:t>月</w:t>
      </w:r>
      <w:r>
        <w:rPr>
          <w:rFonts w:hint="eastAsia" w:ascii="宋体" w:hAnsi="宋体" w:eastAsia="宋体" w:cs="宋体"/>
          <w:color w:val="auto"/>
          <w:spacing w:val="-1"/>
          <w:highlight w:val="none"/>
          <w:u w:val="single"/>
        </w:rPr>
        <w:tab/>
      </w:r>
      <w:r>
        <w:rPr>
          <w:rFonts w:hint="eastAsia" w:ascii="宋体" w:hAnsi="宋体" w:eastAsia="宋体" w:cs="宋体"/>
          <w:color w:val="auto"/>
          <w:highlight w:val="none"/>
        </w:rPr>
        <w:t>日</w:t>
      </w:r>
    </w:p>
    <w:p>
      <w:pPr>
        <w:pStyle w:val="8"/>
        <w:kinsoku w:val="0"/>
        <w:overflowPunct w:val="0"/>
        <w:spacing w:before="34" w:line="357" w:lineRule="auto"/>
        <w:ind w:right="126" w:firstLine="480" w:firstLineChars="200"/>
        <w:jc w:val="center"/>
        <w:rPr>
          <w:rFonts w:hint="eastAsia" w:ascii="宋体" w:hAnsi="宋体" w:eastAsia="宋体" w:cs="宋体"/>
          <w:b/>
          <w:bCs/>
          <w:color w:val="auto"/>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36"/>
          <w:szCs w:val="36"/>
          <w:highlight w:val="none"/>
        </w:rPr>
        <w:t>十、中小企业声明函（符合本声明函填写）</w:t>
      </w:r>
    </w:p>
    <w:p>
      <w:pPr>
        <w:pStyle w:val="8"/>
        <w:kinsoku w:val="0"/>
        <w:overflowPunct w:val="0"/>
        <w:spacing w:before="0"/>
        <w:ind w:left="0"/>
        <w:rPr>
          <w:rFonts w:hint="eastAsia" w:ascii="宋体" w:hAnsi="宋体" w:eastAsia="宋体" w:cs="宋体"/>
          <w:b/>
          <w:bCs/>
          <w:color w:val="auto"/>
          <w:sz w:val="32"/>
          <w:szCs w:val="32"/>
          <w:highlight w:val="none"/>
        </w:rPr>
      </w:pPr>
    </w:p>
    <w:p>
      <w:pPr>
        <w:pStyle w:val="8"/>
        <w:tabs>
          <w:tab w:val="left" w:pos="3943"/>
        </w:tabs>
        <w:kinsoku w:val="0"/>
        <w:overflowPunct w:val="0"/>
        <w:spacing w:before="0" w:line="475" w:lineRule="auto"/>
        <w:ind w:right="232" w:firstLine="484" w:firstLineChars="200"/>
        <w:jc w:val="both"/>
        <w:rPr>
          <w:rFonts w:hint="eastAsia" w:ascii="宋体" w:hAnsi="宋体" w:eastAsia="宋体" w:cs="宋体"/>
          <w:color w:val="auto"/>
          <w:highlight w:val="none"/>
        </w:rPr>
      </w:pPr>
      <w:r>
        <w:rPr>
          <w:rFonts w:hint="eastAsia" w:ascii="宋体" w:hAnsi="宋体" w:eastAsia="宋体" w:cs="宋体"/>
          <w:color w:val="auto"/>
          <w:spacing w:val="1"/>
          <w:highlight w:val="none"/>
        </w:rPr>
        <w:t>本公司郑重声明，根据</w:t>
      </w:r>
      <w:r>
        <w:rPr>
          <w:rFonts w:hint="eastAsia" w:ascii="宋体" w:hAnsi="宋体" w:eastAsia="宋体" w:cs="宋体"/>
          <w:b w:val="0"/>
          <w:bCs w:val="0"/>
          <w:i w:val="0"/>
          <w:iCs w:val="0"/>
          <w:color w:val="auto"/>
          <w:sz w:val="24"/>
          <w:szCs w:val="24"/>
          <w:highlight w:val="none"/>
          <w:u w:val="none"/>
        </w:rPr>
        <w:t>《政府采购促进中小企业发展管理办法》（财库﹝2020﹞46 号）</w:t>
      </w:r>
      <w:r>
        <w:rPr>
          <w:rFonts w:hint="eastAsia" w:ascii="宋体" w:hAnsi="宋体" w:eastAsia="宋体" w:cs="宋体"/>
          <w:color w:val="auto"/>
          <w:spacing w:val="-2"/>
          <w:highlight w:val="none"/>
        </w:rPr>
        <w:t>的规定，本公司为</w:t>
      </w:r>
      <w:r>
        <w:rPr>
          <w:rFonts w:hint="eastAsia" w:ascii="宋体" w:hAnsi="宋体" w:eastAsia="宋体" w:cs="宋体"/>
          <w:color w:val="auto"/>
          <w:spacing w:val="-2"/>
          <w:highlight w:val="none"/>
          <w:u w:val="single"/>
        </w:rPr>
        <w:tab/>
      </w:r>
      <w:r>
        <w:rPr>
          <w:rFonts w:hint="eastAsia" w:ascii="宋体" w:hAnsi="宋体" w:eastAsia="宋体" w:cs="宋体"/>
          <w:color w:val="auto"/>
          <w:spacing w:val="-2"/>
          <w:highlight w:val="none"/>
        </w:rPr>
        <w:t>（请填写：中型、小型、微型）企业。即，本公司</w:t>
      </w:r>
      <w:r>
        <w:rPr>
          <w:rFonts w:hint="eastAsia" w:ascii="宋体" w:hAnsi="宋体" w:eastAsia="宋体" w:cs="宋体"/>
          <w:color w:val="auto"/>
          <w:spacing w:val="35"/>
          <w:highlight w:val="none"/>
        </w:rPr>
        <w:t xml:space="preserve"> </w:t>
      </w:r>
      <w:r>
        <w:rPr>
          <w:rFonts w:hint="eastAsia" w:ascii="宋体" w:hAnsi="宋体" w:eastAsia="宋体" w:cs="宋体"/>
          <w:color w:val="auto"/>
          <w:highlight w:val="none"/>
        </w:rPr>
        <w:t>同时满足以下条件：</w:t>
      </w:r>
    </w:p>
    <w:p>
      <w:pPr>
        <w:pStyle w:val="8"/>
        <w:tabs>
          <w:tab w:val="left" w:pos="1558"/>
        </w:tabs>
        <w:kinsoku w:val="0"/>
        <w:overflowPunct w:val="0"/>
        <w:spacing w:before="71" w:line="475" w:lineRule="auto"/>
        <w:ind w:right="234" w:firstLine="472" w:firstLineChars="200"/>
        <w:jc w:val="both"/>
        <w:rPr>
          <w:rFonts w:hint="eastAsia" w:ascii="宋体" w:hAnsi="宋体" w:eastAsia="宋体" w:cs="宋体"/>
          <w:color w:val="auto"/>
          <w:highlight w:val="none"/>
        </w:rPr>
      </w:pPr>
      <w:r>
        <w:rPr>
          <w:rFonts w:hint="eastAsia" w:ascii="宋体" w:hAnsi="宋体" w:eastAsia="宋体" w:cs="宋体"/>
          <w:color w:val="auto"/>
          <w:spacing w:val="-2"/>
          <w:highlight w:val="none"/>
        </w:rPr>
        <w:t>1.根据《工业和信息化部、国家统计局、国家发展和改革委员会、财政部关于印发</w:t>
      </w:r>
      <w:r>
        <w:rPr>
          <w:rFonts w:hint="eastAsia" w:ascii="宋体" w:hAnsi="宋体" w:eastAsia="宋体" w:cs="宋体"/>
          <w:color w:val="auto"/>
          <w:spacing w:val="53"/>
          <w:highlight w:val="none"/>
        </w:rPr>
        <w:t xml:space="preserve"> </w:t>
      </w:r>
      <w:r>
        <w:rPr>
          <w:rFonts w:hint="eastAsia" w:ascii="宋体" w:hAnsi="宋体" w:eastAsia="宋体" w:cs="宋体"/>
          <w:color w:val="auto"/>
          <w:highlight w:val="none"/>
        </w:rPr>
        <w:t>中小企业划型标准规定的通知》（工信部联企业[2011]300</w:t>
      </w:r>
      <w:r>
        <w:rPr>
          <w:rFonts w:hint="eastAsia" w:ascii="宋体" w:hAnsi="宋体" w:eastAsia="宋体" w:cs="宋体"/>
          <w:color w:val="auto"/>
          <w:spacing w:val="-60"/>
          <w:highlight w:val="none"/>
        </w:rPr>
        <w:t xml:space="preserve"> </w:t>
      </w:r>
      <w:r>
        <w:rPr>
          <w:rFonts w:hint="eastAsia" w:ascii="宋体" w:hAnsi="宋体" w:eastAsia="宋体" w:cs="宋体"/>
          <w:color w:val="auto"/>
          <w:highlight w:val="none"/>
        </w:rPr>
        <w:t>号）规定的划分标准，本公</w:t>
      </w:r>
      <w:r>
        <w:rPr>
          <w:rFonts w:hint="eastAsia" w:ascii="宋体" w:hAnsi="宋体" w:eastAsia="宋体" w:cs="宋体"/>
          <w:color w:val="auto"/>
          <w:spacing w:val="30"/>
          <w:highlight w:val="none"/>
        </w:rPr>
        <w:t xml:space="preserve"> </w:t>
      </w:r>
      <w:r>
        <w:rPr>
          <w:rFonts w:hint="eastAsia" w:ascii="宋体" w:hAnsi="宋体" w:eastAsia="宋体" w:cs="宋体"/>
          <w:color w:val="auto"/>
          <w:spacing w:val="-1"/>
          <w:highlight w:val="none"/>
        </w:rPr>
        <w:t>司为</w:t>
      </w:r>
      <w:r>
        <w:rPr>
          <w:rFonts w:hint="eastAsia" w:ascii="宋体" w:hAnsi="宋体" w:eastAsia="宋体" w:cs="宋体"/>
          <w:color w:val="auto"/>
          <w:spacing w:val="-1"/>
          <w:highlight w:val="none"/>
          <w:u w:val="single"/>
        </w:rPr>
        <w:tab/>
      </w:r>
      <w:r>
        <w:rPr>
          <w:rFonts w:hint="eastAsia" w:ascii="宋体" w:hAnsi="宋体" w:eastAsia="宋体" w:cs="宋体"/>
          <w:color w:val="auto"/>
          <w:highlight w:val="none"/>
        </w:rPr>
        <w:t>（请填写：中型、小型、微型）企业。</w:t>
      </w:r>
    </w:p>
    <w:p>
      <w:pPr>
        <w:pStyle w:val="8"/>
        <w:tabs>
          <w:tab w:val="left" w:pos="3919"/>
          <w:tab w:val="left" w:pos="6264"/>
          <w:tab w:val="left" w:pos="7399"/>
        </w:tabs>
        <w:kinsoku w:val="0"/>
        <w:overflowPunct w:val="0"/>
        <w:spacing w:before="71" w:line="475" w:lineRule="auto"/>
        <w:ind w:right="114" w:firstLine="488" w:firstLineChars="200"/>
        <w:rPr>
          <w:rFonts w:hint="eastAsia" w:ascii="宋体" w:hAnsi="宋体" w:eastAsia="宋体" w:cs="宋体"/>
          <w:color w:val="auto"/>
          <w:highlight w:val="none"/>
        </w:rPr>
      </w:pPr>
      <w:r>
        <w:rPr>
          <w:rFonts w:hint="eastAsia" w:ascii="宋体" w:hAnsi="宋体" w:eastAsia="宋体" w:cs="宋体"/>
          <w:color w:val="auto"/>
          <w:spacing w:val="2"/>
          <w:highlight w:val="none"/>
        </w:rPr>
        <w:t>2.本公司参加</w:t>
      </w:r>
      <w:r>
        <w:rPr>
          <w:rFonts w:hint="eastAsia" w:ascii="宋体" w:hAnsi="宋体" w:eastAsia="宋体" w:cs="宋体"/>
          <w:color w:val="auto"/>
          <w:spacing w:val="2"/>
          <w:highlight w:val="none"/>
          <w:u w:val="single"/>
        </w:rPr>
        <w:tab/>
      </w:r>
      <w:r>
        <w:rPr>
          <w:rFonts w:hint="eastAsia" w:ascii="宋体" w:hAnsi="宋体" w:eastAsia="宋体" w:cs="宋体"/>
          <w:color w:val="auto"/>
          <w:spacing w:val="3"/>
          <w:highlight w:val="none"/>
        </w:rPr>
        <w:t>单位的</w:t>
      </w:r>
      <w:r>
        <w:rPr>
          <w:rFonts w:hint="eastAsia" w:ascii="宋体" w:hAnsi="宋体" w:eastAsia="宋体" w:cs="宋体"/>
          <w:color w:val="auto"/>
          <w:spacing w:val="3"/>
          <w:highlight w:val="none"/>
          <w:u w:val="single"/>
        </w:rPr>
        <w:tab/>
      </w:r>
      <w:r>
        <w:rPr>
          <w:rFonts w:hint="eastAsia" w:ascii="宋体" w:hAnsi="宋体" w:eastAsia="宋体" w:cs="宋体"/>
          <w:color w:val="auto"/>
          <w:spacing w:val="3"/>
          <w:highlight w:val="none"/>
        </w:rPr>
        <w:t>项目采购活动提供本企业制</w:t>
      </w:r>
      <w:r>
        <w:rPr>
          <w:rFonts w:hint="eastAsia" w:ascii="宋体" w:hAnsi="宋体" w:eastAsia="宋体" w:cs="宋体"/>
          <w:color w:val="auto"/>
          <w:spacing w:val="25"/>
          <w:highlight w:val="none"/>
        </w:rPr>
        <w:t xml:space="preserve"> </w:t>
      </w:r>
      <w:r>
        <w:rPr>
          <w:rFonts w:hint="eastAsia" w:ascii="宋体" w:hAnsi="宋体" w:eastAsia="宋体" w:cs="宋体"/>
          <w:color w:val="auto"/>
          <w:spacing w:val="-2"/>
          <w:highlight w:val="none"/>
        </w:rPr>
        <w:t>造的货物，由本企业承担工程、提供服务，或者提供其他</w:t>
      </w:r>
      <w:r>
        <w:rPr>
          <w:rFonts w:hint="eastAsia" w:ascii="宋体" w:hAnsi="宋体" w:eastAsia="宋体" w:cs="宋体"/>
          <w:color w:val="auto"/>
          <w:spacing w:val="-2"/>
          <w:highlight w:val="none"/>
          <w:u w:val="single"/>
        </w:rPr>
        <w:tab/>
      </w:r>
      <w:r>
        <w:rPr>
          <w:rFonts w:hint="eastAsia" w:ascii="宋体" w:hAnsi="宋体" w:eastAsia="宋体" w:cs="宋体"/>
          <w:color w:val="auto"/>
          <w:spacing w:val="-2"/>
          <w:highlight w:val="none"/>
          <w:u w:val="single"/>
        </w:rPr>
        <w:tab/>
      </w:r>
      <w:r>
        <w:rPr>
          <w:rFonts w:hint="eastAsia" w:ascii="宋体" w:hAnsi="宋体" w:eastAsia="宋体" w:cs="宋体"/>
          <w:color w:val="auto"/>
          <w:spacing w:val="-2"/>
          <w:highlight w:val="none"/>
        </w:rPr>
        <w:t>（请填写：中型、</w:t>
      </w:r>
      <w:r>
        <w:rPr>
          <w:rFonts w:hint="eastAsia" w:ascii="宋体" w:hAnsi="宋体" w:eastAsia="宋体" w:cs="宋体"/>
          <w:color w:val="auto"/>
          <w:spacing w:val="51"/>
          <w:highlight w:val="none"/>
        </w:rPr>
        <w:t xml:space="preserve"> </w:t>
      </w:r>
      <w:r>
        <w:rPr>
          <w:rFonts w:hint="eastAsia" w:ascii="宋体" w:hAnsi="宋体" w:eastAsia="宋体" w:cs="宋体"/>
          <w:color w:val="auto"/>
          <w:highlight w:val="none"/>
        </w:rPr>
        <w:t>小型、微型）企业制造的货物。本条所称货物不包括使用大型企业注册商标的货物。</w:t>
      </w:r>
    </w:p>
    <w:p>
      <w:pPr>
        <w:pStyle w:val="8"/>
        <w:kinsoku w:val="0"/>
        <w:overflowPunct w:val="0"/>
        <w:spacing w:before="71" w:line="475" w:lineRule="auto"/>
        <w:ind w:right="234" w:firstLine="496" w:firstLineChars="200"/>
        <w:jc w:val="both"/>
        <w:rPr>
          <w:rFonts w:hint="eastAsia" w:ascii="宋体" w:hAnsi="宋体" w:eastAsia="宋体" w:cs="宋体"/>
          <w:color w:val="auto"/>
          <w:highlight w:val="none"/>
        </w:rPr>
      </w:pPr>
      <w:r>
        <w:rPr>
          <w:rFonts w:hint="eastAsia" w:ascii="宋体" w:hAnsi="宋体" w:eastAsia="宋体" w:cs="宋体"/>
          <w:color w:val="auto"/>
          <w:spacing w:val="4"/>
          <w:highlight w:val="none"/>
        </w:rPr>
        <w:t>3.提交本声明函的投标人必须在谈判响应性文件中提供相应的证明材料并对材料</w:t>
      </w:r>
      <w:r>
        <w:rPr>
          <w:rFonts w:hint="eastAsia" w:ascii="宋体" w:hAnsi="宋体" w:eastAsia="宋体" w:cs="宋体"/>
          <w:color w:val="auto"/>
          <w:spacing w:val="50"/>
          <w:highlight w:val="none"/>
        </w:rPr>
        <w:t xml:space="preserve"> </w:t>
      </w:r>
      <w:r>
        <w:rPr>
          <w:rFonts w:hint="eastAsia" w:ascii="宋体" w:hAnsi="宋体" w:eastAsia="宋体" w:cs="宋体"/>
          <w:color w:val="auto"/>
          <w:spacing w:val="-2"/>
          <w:highlight w:val="none"/>
        </w:rPr>
        <w:t>的真实性负法律责任。证明材料包括：上一年度及上一月的财务报表；从业人员名单及</w:t>
      </w:r>
      <w:r>
        <w:rPr>
          <w:rFonts w:hint="eastAsia" w:ascii="宋体" w:hAnsi="宋体" w:eastAsia="宋体" w:cs="宋体"/>
          <w:color w:val="auto"/>
          <w:spacing w:val="55"/>
          <w:highlight w:val="none"/>
        </w:rPr>
        <w:t xml:space="preserve"> </w:t>
      </w:r>
      <w:r>
        <w:rPr>
          <w:rFonts w:hint="eastAsia" w:ascii="宋体" w:hAnsi="宋体" w:eastAsia="宋体" w:cs="宋体"/>
          <w:color w:val="auto"/>
          <w:highlight w:val="none"/>
        </w:rPr>
        <w:t>工资发放明细表。</w:t>
      </w:r>
    </w:p>
    <w:p>
      <w:pPr>
        <w:pStyle w:val="8"/>
        <w:kinsoku w:val="0"/>
        <w:overflowPunct w:val="0"/>
        <w:spacing w:before="71"/>
        <w:ind w:left="598"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本公司对上述声明的真实性负责。如有虚假，将依法承担相应责任。</w:t>
      </w:r>
    </w:p>
    <w:p>
      <w:pPr>
        <w:pStyle w:val="8"/>
        <w:kinsoku w:val="0"/>
        <w:overflowPunct w:val="0"/>
        <w:spacing w:before="0"/>
        <w:ind w:left="0"/>
        <w:rPr>
          <w:rFonts w:hint="eastAsia" w:ascii="宋体" w:hAnsi="宋体" w:eastAsia="宋体" w:cs="宋体"/>
          <w:color w:val="auto"/>
          <w:highlight w:val="none"/>
        </w:rPr>
      </w:pPr>
    </w:p>
    <w:p>
      <w:pPr>
        <w:pStyle w:val="8"/>
        <w:kinsoku w:val="0"/>
        <w:overflowPunct w:val="0"/>
        <w:spacing w:before="0"/>
        <w:ind w:left="0"/>
        <w:rPr>
          <w:rFonts w:hint="eastAsia" w:ascii="宋体" w:hAnsi="宋体" w:eastAsia="宋体" w:cs="宋体"/>
          <w:color w:val="auto"/>
          <w:highlight w:val="none"/>
        </w:rPr>
      </w:pPr>
    </w:p>
    <w:p>
      <w:pPr>
        <w:pStyle w:val="8"/>
        <w:kinsoku w:val="0"/>
        <w:overflowPunct w:val="0"/>
        <w:spacing w:before="9"/>
        <w:ind w:left="0"/>
        <w:rPr>
          <w:rFonts w:hint="eastAsia" w:ascii="宋体" w:hAnsi="宋体" w:eastAsia="宋体" w:cs="宋体"/>
          <w:color w:val="auto"/>
          <w:sz w:val="19"/>
          <w:szCs w:val="19"/>
          <w:highlight w:val="none"/>
        </w:rPr>
      </w:pPr>
    </w:p>
    <w:p>
      <w:pPr>
        <w:pStyle w:val="8"/>
        <w:tabs>
          <w:tab w:val="left" w:pos="8107"/>
          <w:tab w:val="left" w:pos="8227"/>
        </w:tabs>
        <w:kinsoku w:val="0"/>
        <w:overflowPunct w:val="0"/>
        <w:spacing w:before="0" w:line="381" w:lineRule="auto"/>
        <w:ind w:left="4027" w:right="118"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投标单位：</w:t>
      </w:r>
      <w:r>
        <w:rPr>
          <w:rFonts w:hint="eastAsia" w:ascii="宋体" w:hAnsi="宋体" w:eastAsia="宋体" w:cs="宋体"/>
          <w:color w:val="auto"/>
          <w:highlight w:val="none"/>
          <w:u w:val="single"/>
        </w:rPr>
        <w:tab/>
      </w:r>
      <w:r>
        <w:rPr>
          <w:rFonts w:hint="eastAsia" w:ascii="宋体" w:hAnsi="宋体" w:eastAsia="宋体" w:cs="宋体"/>
          <w:color w:val="auto"/>
          <w:highlight w:val="none"/>
        </w:rPr>
        <w:t xml:space="preserve">（盖章） </w:t>
      </w:r>
    </w:p>
    <w:p>
      <w:pPr>
        <w:pStyle w:val="8"/>
        <w:tabs>
          <w:tab w:val="left" w:pos="8107"/>
          <w:tab w:val="left" w:pos="8227"/>
        </w:tabs>
        <w:kinsoku w:val="0"/>
        <w:overflowPunct w:val="0"/>
        <w:spacing w:before="0" w:line="381" w:lineRule="auto"/>
        <w:ind w:left="4027" w:right="118" w:firstLine="480" w:firstLineChars="200"/>
        <w:rPr>
          <w:rFonts w:hint="eastAsia" w:ascii="宋体" w:hAnsi="宋体" w:eastAsia="宋体" w:cs="宋体"/>
          <w:color w:val="auto"/>
          <w:w w:val="95"/>
          <w:highlight w:val="none"/>
        </w:rPr>
      </w:pPr>
      <w:r>
        <w:rPr>
          <w:rFonts w:hint="eastAsia" w:ascii="宋体" w:hAnsi="宋体" w:eastAsia="宋体" w:cs="宋体"/>
          <w:color w:val="auto"/>
          <w:highlight w:val="none"/>
        </w:rPr>
        <w:t>法定代表人或被授权人：</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w w:val="95"/>
          <w:highlight w:val="none"/>
        </w:rPr>
        <w:t>（签字）</w:t>
      </w:r>
    </w:p>
    <w:p>
      <w:pPr>
        <w:pStyle w:val="8"/>
        <w:tabs>
          <w:tab w:val="left" w:pos="6187"/>
          <w:tab w:val="left" w:pos="7147"/>
          <w:tab w:val="left" w:pos="7747"/>
          <w:tab w:val="left" w:pos="8347"/>
        </w:tabs>
        <w:kinsoku w:val="0"/>
        <w:overflowPunct w:val="0"/>
        <w:spacing w:before="46"/>
        <w:ind w:left="5468"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日</w:t>
      </w:r>
      <w:r>
        <w:rPr>
          <w:rFonts w:hint="eastAsia" w:ascii="宋体" w:hAnsi="宋体" w:eastAsia="宋体" w:cs="宋体"/>
          <w:color w:val="auto"/>
          <w:highlight w:val="none"/>
        </w:rPr>
        <w:tab/>
      </w:r>
      <w:r>
        <w:rPr>
          <w:rFonts w:hint="eastAsia" w:ascii="宋体" w:hAnsi="宋体" w:eastAsia="宋体" w:cs="宋体"/>
          <w:color w:val="auto"/>
          <w:highlight w:val="none"/>
        </w:rPr>
        <w:t>期：</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pPr>
        <w:pStyle w:val="8"/>
        <w:kinsoku w:val="0"/>
        <w:overflowPunct w:val="0"/>
        <w:spacing w:before="11"/>
        <w:ind w:left="0"/>
        <w:rPr>
          <w:rFonts w:hint="eastAsia" w:ascii="宋体" w:hAnsi="宋体" w:eastAsia="宋体" w:cs="宋体"/>
          <w:color w:val="auto"/>
          <w:sz w:val="9"/>
          <w:szCs w:val="9"/>
          <w:highlight w:val="none"/>
        </w:rPr>
      </w:pPr>
    </w:p>
    <w:p>
      <w:pPr>
        <w:pStyle w:val="8"/>
        <w:kinsoku w:val="0"/>
        <w:overflowPunct w:val="0"/>
        <w:spacing w:before="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pPr>
        <w:pStyle w:val="8"/>
        <w:kinsoku w:val="0"/>
        <w:overflowPunct w:val="0"/>
        <w:spacing w:before="133" w:line="356" w:lineRule="auto"/>
        <w:ind w:right="248" w:firstLine="430" w:firstLineChars="200"/>
        <w:jc w:val="both"/>
        <w:rPr>
          <w:rFonts w:hint="eastAsia" w:ascii="宋体" w:hAnsi="宋体" w:eastAsia="宋体" w:cs="宋体"/>
          <w:color w:val="auto"/>
          <w:w w:val="95"/>
          <w:sz w:val="21"/>
          <w:szCs w:val="21"/>
          <w:highlight w:val="none"/>
        </w:rPr>
      </w:pPr>
      <w:r>
        <w:rPr>
          <w:rFonts w:hint="eastAsia" w:ascii="宋体" w:hAnsi="宋体" w:eastAsia="宋体" w:cs="宋体"/>
          <w:color w:val="auto"/>
          <w:spacing w:val="8"/>
          <w:w w:val="95"/>
          <w:sz w:val="21"/>
          <w:szCs w:val="21"/>
          <w:highlight w:val="none"/>
        </w:rPr>
        <w:t>1、填写前请认真阅读《工业和信息化部、国家统计局、国家发展和改革委员会、财政部关</w:t>
      </w:r>
      <w:r>
        <w:rPr>
          <w:rFonts w:hint="eastAsia" w:ascii="宋体" w:hAnsi="宋体" w:eastAsia="宋体" w:cs="宋体"/>
          <w:color w:val="auto"/>
          <w:w w:val="95"/>
          <w:sz w:val="21"/>
          <w:szCs w:val="21"/>
          <w:highlight w:val="none"/>
        </w:rPr>
        <w:t>于印发中小企业划型标准规定的通知》（工信部联企业[2011]300 号）和《财政部工业和信息化部关于印发《政府采购促进中小企业发展管理办法》（财库﹝2020﹞46 号）相关规定。</w:t>
      </w:r>
    </w:p>
    <w:p>
      <w:pPr>
        <w:pStyle w:val="8"/>
        <w:kinsoku w:val="0"/>
        <w:overflowPunct w:val="0"/>
        <w:spacing w:before="133" w:line="356" w:lineRule="auto"/>
        <w:ind w:right="248" w:firstLine="398" w:firstLineChars="200"/>
        <w:jc w:val="both"/>
        <w:rPr>
          <w:rFonts w:hint="eastAsia" w:ascii="宋体" w:hAnsi="宋体" w:eastAsia="宋体" w:cs="宋体"/>
          <w:color w:val="auto"/>
          <w:w w:val="95"/>
          <w:sz w:val="21"/>
          <w:szCs w:val="21"/>
          <w:highlight w:val="none"/>
        </w:rPr>
      </w:pPr>
      <w:r>
        <w:rPr>
          <w:rFonts w:hint="eastAsia" w:ascii="宋体" w:hAnsi="宋体" w:eastAsia="宋体" w:cs="宋体"/>
          <w:color w:val="auto"/>
          <w:w w:val="95"/>
          <w:sz w:val="21"/>
          <w:szCs w:val="21"/>
          <w:highlight w:val="none"/>
        </w:rPr>
        <w:t>2、中小企业部分提供其他中小企业制造货物的应另附说明，并与开标一览表保持一致。</w:t>
      </w:r>
    </w:p>
    <w:p>
      <w:pPr>
        <w:pStyle w:val="8"/>
        <w:kinsoku w:val="0"/>
        <w:overflowPunct w:val="0"/>
        <w:spacing w:before="133" w:line="356" w:lineRule="auto"/>
        <w:ind w:right="248" w:firstLine="398" w:firstLineChars="200"/>
        <w:jc w:val="both"/>
        <w:rPr>
          <w:rFonts w:hint="eastAsia" w:ascii="宋体" w:hAnsi="宋体" w:eastAsia="宋体" w:cs="宋体"/>
          <w:color w:val="auto"/>
          <w:w w:val="95"/>
          <w:sz w:val="21"/>
          <w:szCs w:val="21"/>
          <w:highlight w:val="none"/>
        </w:rPr>
      </w:pPr>
      <w:r>
        <w:rPr>
          <w:rFonts w:hint="eastAsia" w:ascii="宋体" w:hAnsi="宋体" w:eastAsia="宋体" w:cs="宋体"/>
          <w:color w:val="auto"/>
          <w:w w:val="95"/>
          <w:sz w:val="21"/>
          <w:szCs w:val="21"/>
          <w:highlight w:val="none"/>
        </w:rPr>
        <w:t>3、未按上述要求提供、填写的，评审时不予以考虑。</w:t>
      </w:r>
    </w:p>
    <w:p>
      <w:pPr>
        <w:pStyle w:val="8"/>
        <w:kinsoku w:val="0"/>
        <w:overflowPunct w:val="0"/>
        <w:spacing w:before="133" w:line="356" w:lineRule="auto"/>
        <w:ind w:right="248" w:firstLine="398" w:firstLineChars="200"/>
        <w:jc w:val="both"/>
        <w:rPr>
          <w:rFonts w:hint="eastAsia" w:ascii="宋体" w:hAnsi="宋体" w:eastAsia="宋体" w:cs="宋体"/>
          <w:b/>
          <w:bCs/>
          <w:color w:val="auto"/>
          <w:highlight w:val="none"/>
        </w:rPr>
      </w:pPr>
      <w:r>
        <w:rPr>
          <w:rFonts w:hint="eastAsia" w:ascii="宋体" w:hAnsi="宋体" w:eastAsia="宋体" w:cs="宋体"/>
          <w:color w:val="auto"/>
          <w:w w:val="95"/>
          <w:sz w:val="21"/>
          <w:szCs w:val="21"/>
          <w:highlight w:val="none"/>
        </w:rPr>
        <w:br w:type="page"/>
      </w:r>
      <w:r>
        <w:rPr>
          <w:rFonts w:hint="eastAsia" w:ascii="宋体" w:hAnsi="宋体" w:eastAsia="宋体" w:cs="宋体"/>
          <w:b/>
          <w:bCs/>
          <w:color w:val="auto"/>
          <w:sz w:val="36"/>
          <w:szCs w:val="36"/>
          <w:highlight w:val="none"/>
        </w:rPr>
        <w:t>十一、残疾人福利性单位声明函（符合本声明函填写）</w:t>
      </w:r>
    </w:p>
    <w:p>
      <w:pPr>
        <w:pStyle w:val="8"/>
        <w:kinsoku w:val="0"/>
        <w:overflowPunct w:val="0"/>
        <w:spacing w:before="0"/>
        <w:ind w:left="0"/>
        <w:rPr>
          <w:rFonts w:hint="eastAsia" w:ascii="宋体" w:hAnsi="宋体" w:eastAsia="宋体" w:cs="宋体"/>
          <w:b/>
          <w:bCs/>
          <w:color w:val="auto"/>
          <w:sz w:val="32"/>
          <w:szCs w:val="32"/>
          <w:highlight w:val="none"/>
        </w:rPr>
      </w:pPr>
    </w:p>
    <w:p>
      <w:pPr>
        <w:pStyle w:val="8"/>
        <w:tabs>
          <w:tab w:val="left" w:pos="3211"/>
          <w:tab w:val="left" w:pos="4651"/>
        </w:tabs>
        <w:kinsoku w:val="0"/>
        <w:overflowPunct w:val="0"/>
        <w:spacing w:before="264" w:line="356" w:lineRule="auto"/>
        <w:ind w:right="118"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本单位郑重声明</w:t>
      </w:r>
      <w:r>
        <w:rPr>
          <w:rFonts w:hint="eastAsia" w:ascii="宋体" w:hAnsi="宋体" w:eastAsia="宋体" w:cs="宋体"/>
          <w:color w:val="auto"/>
          <w:spacing w:val="-27"/>
          <w:highlight w:val="none"/>
        </w:rPr>
        <w:t>，</w:t>
      </w:r>
      <w:r>
        <w:rPr>
          <w:rFonts w:hint="eastAsia" w:ascii="宋体" w:hAnsi="宋体" w:eastAsia="宋体" w:cs="宋体"/>
          <w:color w:val="auto"/>
          <w:highlight w:val="none"/>
        </w:rPr>
        <w:t>根</w:t>
      </w:r>
      <w:r>
        <w:rPr>
          <w:rFonts w:hint="eastAsia" w:ascii="宋体" w:hAnsi="宋体" w:eastAsia="宋体" w:cs="宋体"/>
          <w:color w:val="auto"/>
          <w:spacing w:val="-24"/>
          <w:highlight w:val="none"/>
        </w:rPr>
        <w:t>据</w:t>
      </w:r>
      <w:r>
        <w:rPr>
          <w:rFonts w:hint="eastAsia" w:ascii="宋体" w:hAnsi="宋体" w:eastAsia="宋体" w:cs="宋体"/>
          <w:color w:val="auto"/>
          <w:highlight w:val="none"/>
        </w:rPr>
        <w:t>《财政部 民政部 中国残疾人联合会关于促进残疾人就业政府采购政策的通知》（财库〔2017〕141</w:t>
      </w:r>
      <w:r>
        <w:rPr>
          <w:rFonts w:hint="eastAsia" w:ascii="宋体" w:hAnsi="宋体" w:eastAsia="宋体" w:cs="宋体"/>
          <w:color w:val="auto"/>
          <w:spacing w:val="-58"/>
          <w:highlight w:val="none"/>
        </w:rPr>
        <w:t xml:space="preserve"> </w:t>
      </w:r>
      <w:r>
        <w:rPr>
          <w:rFonts w:hint="eastAsia" w:ascii="宋体" w:hAnsi="宋体" w:eastAsia="宋体" w:cs="宋体"/>
          <w:color w:val="auto"/>
          <w:highlight w:val="none"/>
        </w:rPr>
        <w:t>号）的规定，本单位为符合条件的残疾人福利性单位</w:t>
      </w:r>
      <w:r>
        <w:rPr>
          <w:rFonts w:hint="eastAsia" w:ascii="宋体" w:hAnsi="宋体" w:eastAsia="宋体" w:cs="宋体"/>
          <w:color w:val="auto"/>
          <w:spacing w:val="-27"/>
          <w:highlight w:val="none"/>
        </w:rPr>
        <w:t>，</w:t>
      </w:r>
      <w:r>
        <w:rPr>
          <w:rFonts w:hint="eastAsia" w:ascii="宋体" w:hAnsi="宋体" w:eastAsia="宋体" w:cs="宋体"/>
          <w:color w:val="auto"/>
          <w:highlight w:val="none"/>
        </w:rPr>
        <w:t>且本单位参加</w:t>
      </w:r>
      <w:r>
        <w:rPr>
          <w:rFonts w:hint="eastAsia" w:ascii="宋体" w:hAnsi="宋体" w:eastAsia="宋体" w:cs="宋体"/>
          <w:color w:val="auto"/>
          <w:highlight w:val="none"/>
          <w:u w:val="single"/>
        </w:rPr>
        <w:tab/>
      </w:r>
      <w:r>
        <w:rPr>
          <w:rFonts w:hint="eastAsia" w:ascii="宋体" w:hAnsi="宋体" w:eastAsia="宋体" w:cs="宋体"/>
          <w:color w:val="auto"/>
          <w:highlight w:val="none"/>
        </w:rPr>
        <w:t>单位的</w:t>
      </w:r>
      <w:r>
        <w:rPr>
          <w:rFonts w:hint="eastAsia" w:ascii="宋体" w:hAnsi="宋体" w:eastAsia="宋体" w:cs="宋体"/>
          <w:color w:val="auto"/>
          <w:highlight w:val="none"/>
          <w:u w:val="single"/>
        </w:rPr>
        <w:tab/>
      </w:r>
      <w:r>
        <w:rPr>
          <w:rFonts w:hint="eastAsia" w:ascii="宋体" w:hAnsi="宋体" w:eastAsia="宋体" w:cs="宋体"/>
          <w:color w:val="auto"/>
          <w:highlight w:val="none"/>
        </w:rPr>
        <w:t>项目采购活动提供本单位制造的货</w:t>
      </w:r>
      <w:r>
        <w:rPr>
          <w:rFonts w:hint="eastAsia" w:ascii="宋体" w:hAnsi="宋体" w:eastAsia="宋体" w:cs="宋体"/>
          <w:color w:val="auto"/>
          <w:spacing w:val="-22"/>
          <w:highlight w:val="none"/>
        </w:rPr>
        <w:t>物</w:t>
      </w:r>
      <w:r>
        <w:rPr>
          <w:rFonts w:hint="eastAsia" w:ascii="宋体" w:hAnsi="宋体" w:eastAsia="宋体" w:cs="宋体"/>
          <w:color w:val="auto"/>
          <w:spacing w:val="-3"/>
          <w:highlight w:val="none"/>
        </w:rPr>
        <w:t>（</w:t>
      </w:r>
      <w:r>
        <w:rPr>
          <w:rFonts w:hint="eastAsia" w:ascii="宋体" w:hAnsi="宋体" w:eastAsia="宋体" w:cs="宋体"/>
          <w:color w:val="auto"/>
          <w:highlight w:val="none"/>
        </w:rPr>
        <w:t>由本</w:t>
      </w:r>
      <w:r>
        <w:rPr>
          <w:rFonts w:hint="eastAsia" w:ascii="宋体" w:hAnsi="宋体" w:eastAsia="宋体" w:cs="宋体"/>
          <w:color w:val="auto"/>
          <w:spacing w:val="1"/>
          <w:highlight w:val="none"/>
        </w:rPr>
        <w:t>单位承担工程/提供服务），或者提供其他残疾人福利性单位制造的货物（不包括使用</w:t>
      </w:r>
      <w:r>
        <w:rPr>
          <w:rFonts w:hint="eastAsia" w:ascii="宋体" w:hAnsi="宋体" w:eastAsia="宋体" w:cs="宋体"/>
          <w:color w:val="auto"/>
          <w:highlight w:val="none"/>
        </w:rPr>
        <w:t>非残疾人福利性单位注册商标的货物）。 本单位对上述声明的真实性负责，如有虚假，将依法承担相应责任。</w:t>
      </w:r>
    </w:p>
    <w:p>
      <w:pPr>
        <w:pStyle w:val="8"/>
        <w:kinsoku w:val="0"/>
        <w:overflowPunct w:val="0"/>
        <w:spacing w:before="0"/>
        <w:ind w:left="0"/>
        <w:rPr>
          <w:rFonts w:hint="eastAsia" w:ascii="宋体" w:hAnsi="宋体" w:eastAsia="宋体" w:cs="宋体"/>
          <w:color w:val="auto"/>
          <w:highlight w:val="none"/>
        </w:rPr>
      </w:pPr>
    </w:p>
    <w:p>
      <w:pPr>
        <w:pStyle w:val="8"/>
        <w:kinsoku w:val="0"/>
        <w:overflowPunct w:val="0"/>
        <w:spacing w:before="0"/>
        <w:ind w:left="0"/>
        <w:rPr>
          <w:rFonts w:hint="eastAsia" w:ascii="宋体" w:hAnsi="宋体" w:eastAsia="宋体" w:cs="宋体"/>
          <w:color w:val="auto"/>
          <w:highlight w:val="none"/>
        </w:rPr>
      </w:pPr>
    </w:p>
    <w:p>
      <w:pPr>
        <w:pStyle w:val="8"/>
        <w:kinsoku w:val="0"/>
        <w:overflowPunct w:val="0"/>
        <w:spacing w:before="3"/>
        <w:ind w:left="0"/>
        <w:rPr>
          <w:rFonts w:hint="eastAsia" w:ascii="宋体" w:hAnsi="宋体" w:eastAsia="宋体" w:cs="宋体"/>
          <w:color w:val="auto"/>
          <w:sz w:val="26"/>
          <w:szCs w:val="26"/>
          <w:highlight w:val="none"/>
        </w:rPr>
      </w:pPr>
    </w:p>
    <w:p>
      <w:pPr>
        <w:pStyle w:val="8"/>
        <w:tabs>
          <w:tab w:val="left" w:pos="8107"/>
          <w:tab w:val="left" w:pos="8227"/>
        </w:tabs>
        <w:kinsoku w:val="0"/>
        <w:overflowPunct w:val="0"/>
        <w:spacing w:before="0" w:line="381" w:lineRule="auto"/>
        <w:ind w:left="4027" w:right="118"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投标单位：</w:t>
      </w:r>
      <w:r>
        <w:rPr>
          <w:rFonts w:hint="eastAsia" w:ascii="宋体" w:hAnsi="宋体" w:eastAsia="宋体" w:cs="宋体"/>
          <w:color w:val="auto"/>
          <w:highlight w:val="none"/>
          <w:u w:val="single"/>
        </w:rPr>
        <w:tab/>
      </w:r>
      <w:r>
        <w:rPr>
          <w:rFonts w:hint="eastAsia" w:ascii="宋体" w:hAnsi="宋体" w:eastAsia="宋体" w:cs="宋体"/>
          <w:color w:val="auto"/>
          <w:highlight w:val="none"/>
        </w:rPr>
        <w:t xml:space="preserve">（盖章） </w:t>
      </w:r>
    </w:p>
    <w:p>
      <w:pPr>
        <w:pStyle w:val="8"/>
        <w:tabs>
          <w:tab w:val="left" w:pos="8107"/>
          <w:tab w:val="left" w:pos="8227"/>
        </w:tabs>
        <w:kinsoku w:val="0"/>
        <w:overflowPunct w:val="0"/>
        <w:spacing w:before="0" w:line="381" w:lineRule="auto"/>
        <w:ind w:left="4027" w:right="118" w:firstLine="480" w:firstLineChars="200"/>
        <w:rPr>
          <w:rFonts w:hint="eastAsia" w:ascii="宋体" w:hAnsi="宋体" w:eastAsia="宋体" w:cs="宋体"/>
          <w:color w:val="auto"/>
          <w:w w:val="95"/>
          <w:highlight w:val="none"/>
        </w:rPr>
      </w:pPr>
      <w:r>
        <w:rPr>
          <w:rFonts w:hint="eastAsia" w:ascii="宋体" w:hAnsi="宋体" w:eastAsia="宋体" w:cs="宋体"/>
          <w:color w:val="auto"/>
          <w:highlight w:val="none"/>
        </w:rPr>
        <w:t>法定代表人或被授权人：</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w w:val="95"/>
          <w:highlight w:val="none"/>
        </w:rPr>
        <w:t>（签字）</w:t>
      </w:r>
    </w:p>
    <w:p>
      <w:pPr>
        <w:pStyle w:val="8"/>
        <w:tabs>
          <w:tab w:val="left" w:pos="6187"/>
          <w:tab w:val="left" w:pos="7147"/>
          <w:tab w:val="left" w:pos="7747"/>
          <w:tab w:val="left" w:pos="8347"/>
        </w:tabs>
        <w:kinsoku w:val="0"/>
        <w:overflowPunct w:val="0"/>
        <w:spacing w:before="46"/>
        <w:ind w:firstLine="4560" w:firstLineChars="1900"/>
        <w:rPr>
          <w:rFonts w:hint="eastAsia" w:ascii="宋体" w:hAnsi="宋体" w:eastAsia="宋体" w:cs="宋体"/>
          <w:color w:val="auto"/>
          <w:highlight w:val="none"/>
        </w:rPr>
      </w:pP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期：</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pPr>
        <w:pStyle w:val="8"/>
        <w:kinsoku w:val="0"/>
        <w:overflowPunct w:val="0"/>
        <w:spacing w:before="0"/>
        <w:ind w:left="0"/>
        <w:rPr>
          <w:rFonts w:hint="eastAsia" w:ascii="宋体" w:hAnsi="宋体" w:eastAsia="宋体" w:cs="宋体"/>
          <w:color w:val="auto"/>
          <w:highlight w:val="none"/>
        </w:rPr>
      </w:pPr>
    </w:p>
    <w:p>
      <w:pPr>
        <w:pStyle w:val="8"/>
        <w:kinsoku w:val="0"/>
        <w:overflowPunct w:val="0"/>
        <w:spacing w:before="0"/>
        <w:ind w:left="0"/>
        <w:rPr>
          <w:rFonts w:hint="eastAsia" w:ascii="宋体" w:hAnsi="宋体" w:eastAsia="宋体" w:cs="宋体"/>
          <w:color w:val="auto"/>
          <w:highlight w:val="none"/>
        </w:rPr>
      </w:pPr>
    </w:p>
    <w:p>
      <w:pPr>
        <w:pStyle w:val="8"/>
        <w:kinsoku w:val="0"/>
        <w:overflowPunct w:val="0"/>
        <w:spacing w:before="3"/>
        <w:ind w:left="0"/>
        <w:rPr>
          <w:rFonts w:hint="eastAsia" w:ascii="宋体" w:hAnsi="宋体" w:eastAsia="宋体" w:cs="宋体"/>
          <w:color w:val="auto"/>
          <w:sz w:val="26"/>
          <w:szCs w:val="26"/>
          <w:highlight w:val="none"/>
        </w:rPr>
      </w:pPr>
    </w:p>
    <w:p>
      <w:pPr>
        <w:pStyle w:val="8"/>
        <w:kinsoku w:val="0"/>
        <w:overflowPunct w:val="0"/>
        <w:spacing w:before="0" w:line="313"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说明：</w:t>
      </w:r>
    </w:p>
    <w:p>
      <w:pPr>
        <w:pStyle w:val="8"/>
        <w:numPr>
          <w:ilvl w:val="0"/>
          <w:numId w:val="0"/>
        </w:numPr>
        <w:kinsoku w:val="0"/>
        <w:overflowPunct w:val="0"/>
        <w:spacing w:before="1" w:line="237" w:lineRule="auto"/>
        <w:ind w:right="118" w:rightChars="0"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填写前请认真阅</w:t>
      </w:r>
      <w:r>
        <w:rPr>
          <w:rFonts w:hint="eastAsia" w:ascii="宋体" w:hAnsi="宋体" w:eastAsia="宋体" w:cs="宋体"/>
          <w:color w:val="auto"/>
          <w:spacing w:val="-51"/>
          <w:highlight w:val="none"/>
        </w:rPr>
        <w:t>读</w:t>
      </w:r>
      <w:r>
        <w:rPr>
          <w:rFonts w:hint="eastAsia" w:ascii="宋体" w:hAnsi="宋体" w:eastAsia="宋体" w:cs="宋体"/>
          <w:color w:val="auto"/>
          <w:highlight w:val="none"/>
        </w:rPr>
        <w:t>《财政部 民政部 中国残疾人联合会关于促进残疾人就业政府采购 政策的通知》（财库〔2017〕141</w:t>
      </w:r>
      <w:r>
        <w:rPr>
          <w:rFonts w:hint="eastAsia" w:ascii="宋体" w:hAnsi="宋体" w:eastAsia="宋体" w:cs="宋体"/>
          <w:color w:val="auto"/>
          <w:spacing w:val="-60"/>
          <w:highlight w:val="none"/>
        </w:rPr>
        <w:t xml:space="preserve"> </w:t>
      </w:r>
      <w:r>
        <w:rPr>
          <w:rFonts w:hint="eastAsia" w:ascii="宋体" w:hAnsi="宋体" w:eastAsia="宋体" w:cs="宋体"/>
          <w:color w:val="auto"/>
          <w:highlight w:val="none"/>
        </w:rPr>
        <w:t>号）相关规定。</w:t>
      </w:r>
    </w:p>
    <w:p>
      <w:pPr>
        <w:pStyle w:val="8"/>
        <w:numPr>
          <w:ilvl w:val="0"/>
          <w:numId w:val="0"/>
        </w:numPr>
        <w:kinsoku w:val="0"/>
        <w:overflowPunct w:val="0"/>
        <w:spacing w:before="1" w:line="237" w:lineRule="auto"/>
        <w:ind w:right="118" w:rightChars="0"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残疾人福利性单位应在本声明函后提供相关证明材料。</w:t>
      </w:r>
    </w:p>
    <w:p>
      <w:pPr>
        <w:pStyle w:val="8"/>
        <w:kinsoku w:val="0"/>
        <w:overflowPunct w:val="0"/>
        <w:spacing w:before="0" w:line="310" w:lineRule="exact"/>
        <w:ind w:left="0" w:leftChars="0"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未按上述要求提供、填写的，评审时不予以考虑。</w:t>
      </w:r>
    </w:p>
    <w:p>
      <w:pPr>
        <w:pStyle w:val="8"/>
        <w:kinsoku w:val="0"/>
        <w:overflowPunct w:val="0"/>
        <w:spacing w:before="34" w:line="357" w:lineRule="auto"/>
        <w:ind w:right="126" w:firstLine="480" w:firstLineChars="200"/>
        <w:jc w:val="center"/>
        <w:rPr>
          <w:rFonts w:hint="eastAsia" w:ascii="宋体" w:hAnsi="宋体" w:eastAsia="宋体" w:cs="宋体"/>
          <w:b/>
          <w:bCs/>
          <w:color w:val="auto"/>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36"/>
          <w:szCs w:val="36"/>
          <w:highlight w:val="none"/>
        </w:rPr>
        <w:t>十二、缴纳招标代理服务费承诺书</w:t>
      </w:r>
    </w:p>
    <w:p>
      <w:pPr>
        <w:pStyle w:val="8"/>
        <w:kinsoku w:val="0"/>
        <w:overflowPunct w:val="0"/>
        <w:spacing w:before="6"/>
        <w:ind w:left="0"/>
        <w:rPr>
          <w:rFonts w:hint="eastAsia" w:ascii="宋体" w:hAnsi="宋体" w:eastAsia="宋体" w:cs="宋体"/>
          <w:b/>
          <w:bCs/>
          <w:color w:val="auto"/>
          <w:sz w:val="26"/>
          <w:szCs w:val="26"/>
          <w:highlight w:val="none"/>
        </w:rPr>
      </w:pPr>
    </w:p>
    <w:p>
      <w:pPr>
        <w:pStyle w:val="28"/>
        <w:kinsoku w:val="0"/>
        <w:overflowPunct w:val="0"/>
        <w:ind w:left="127" w:firstLine="426" w:firstLineChars="200"/>
        <w:outlineLvl w:val="9"/>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rPr>
        <w:t>致：</w:t>
      </w:r>
      <w:r>
        <w:rPr>
          <w:rFonts w:hint="eastAsia" w:hAnsi="宋体" w:cs="宋体"/>
          <w:color w:val="auto"/>
          <w:spacing w:val="1"/>
          <w:highlight w:val="none"/>
          <w:lang w:eastAsia="zh-CN"/>
        </w:rPr>
        <w:t>新疆信尔成工程项目管理有限公司</w:t>
      </w:r>
    </w:p>
    <w:p>
      <w:pPr>
        <w:pStyle w:val="8"/>
        <w:kinsoku w:val="0"/>
        <w:overflowPunct w:val="0"/>
        <w:spacing w:before="10"/>
        <w:ind w:left="0"/>
        <w:rPr>
          <w:rFonts w:hint="eastAsia" w:ascii="宋体" w:hAnsi="宋体" w:eastAsia="宋体" w:cs="宋体"/>
          <w:b/>
          <w:bCs/>
          <w:color w:val="auto"/>
          <w:sz w:val="14"/>
          <w:szCs w:val="14"/>
          <w:highlight w:val="none"/>
        </w:rPr>
      </w:pPr>
    </w:p>
    <w:p>
      <w:pPr>
        <w:pStyle w:val="8"/>
        <w:kinsoku w:val="0"/>
        <w:overflowPunct w:val="0"/>
        <w:spacing w:before="34" w:line="358" w:lineRule="auto"/>
        <w:ind w:left="119" w:right="125"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如果我方在贵公司组织的项目名称：</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（项目编号：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w:t>
      </w:r>
      <w:r>
        <w:rPr>
          <w:rFonts w:hint="eastAsia" w:ascii="宋体" w:hAnsi="宋体" w:eastAsia="宋体" w:cs="宋体"/>
          <w:color w:val="auto"/>
          <w:highlight w:val="none"/>
        </w:rPr>
        <w:t>磋商采购项目中被确定为成交供应商候选人，我方保证在收到《成交通知书》前，按照磋商文件的规定向贵公司</w:t>
      </w:r>
      <w:r>
        <w:rPr>
          <w:rFonts w:hint="eastAsia" w:ascii="宋体" w:hAnsi="宋体" w:eastAsia="宋体" w:cs="宋体"/>
          <w:color w:val="auto"/>
          <w:spacing w:val="4"/>
          <w:highlight w:val="none"/>
        </w:rPr>
        <w:t>缴纳</w:t>
      </w:r>
      <w:r>
        <w:rPr>
          <w:rFonts w:hint="eastAsia" w:ascii="宋体" w:hAnsi="宋体" w:eastAsia="宋体" w:cs="宋体"/>
          <w:color w:val="auto"/>
          <w:highlight w:val="none"/>
        </w:rPr>
        <w:t>招标代理服务费。</w:t>
      </w:r>
    </w:p>
    <w:p>
      <w:pPr>
        <w:pStyle w:val="8"/>
        <w:kinsoku w:val="0"/>
        <w:overflowPunct w:val="0"/>
        <w:spacing w:before="34" w:line="358" w:lineRule="auto"/>
        <w:ind w:left="119" w:right="125"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我方如违约，愿凭贵公司开出的违约通知，按上述承诺金额的200％在采购人与我方签订的采购合同款项中扣付，并在此同意和要求采购人（应</w:t>
      </w:r>
      <w:r>
        <w:rPr>
          <w:rFonts w:hint="eastAsia" w:ascii="宋体" w:hAnsi="宋体" w:eastAsia="宋体" w:cs="宋体"/>
          <w:color w:val="auto"/>
          <w:highlight w:val="none"/>
          <w:lang w:eastAsia="zh-CN"/>
        </w:rPr>
        <w:t>新疆信尔成工程项目管理有限公司</w:t>
      </w:r>
      <w:r>
        <w:rPr>
          <w:rFonts w:hint="eastAsia" w:ascii="宋体" w:hAnsi="宋体" w:eastAsia="宋体" w:cs="宋体"/>
          <w:color w:val="auto"/>
          <w:highlight w:val="none"/>
        </w:rPr>
        <w:t>的要求）办理支付手续。</w:t>
      </w:r>
    </w:p>
    <w:p>
      <w:pPr>
        <w:pStyle w:val="8"/>
        <w:kinsoku w:val="0"/>
        <w:overflowPunct w:val="0"/>
        <w:spacing w:before="34" w:line="358" w:lineRule="auto"/>
        <w:ind w:left="119" w:right="125" w:firstLine="480" w:firstLineChars="200"/>
        <w:rPr>
          <w:rFonts w:hint="eastAsia" w:ascii="宋体" w:hAnsi="宋体" w:eastAsia="宋体" w:cs="宋体"/>
          <w:color w:val="auto"/>
          <w:spacing w:val="-1"/>
          <w:w w:val="95"/>
          <w:highlight w:val="none"/>
        </w:rPr>
      </w:pPr>
      <w:r>
        <w:rPr>
          <w:rFonts w:hint="eastAsia" w:ascii="宋体" w:hAnsi="宋体" w:eastAsia="宋体" w:cs="宋体"/>
          <w:color w:val="auto"/>
          <w:highlight w:val="none"/>
        </w:rPr>
        <w:t>特此承诺！</w:t>
      </w:r>
    </w:p>
    <w:p>
      <w:pPr>
        <w:pStyle w:val="8"/>
        <w:tabs>
          <w:tab w:val="left" w:pos="8107"/>
          <w:tab w:val="left" w:pos="8227"/>
        </w:tabs>
        <w:kinsoku w:val="0"/>
        <w:overflowPunct w:val="0"/>
        <w:spacing w:before="0" w:line="381" w:lineRule="auto"/>
        <w:ind w:left="4027" w:right="118"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w:t>
      </w:r>
      <w:r>
        <w:rPr>
          <w:rFonts w:hint="eastAsia" w:ascii="宋体" w:hAnsi="宋体" w:eastAsia="宋体" w:cs="宋体"/>
          <w:color w:val="auto"/>
          <w:highlight w:val="none"/>
          <w:u w:val="single"/>
        </w:rPr>
        <w:tab/>
      </w:r>
      <w:r>
        <w:rPr>
          <w:rFonts w:hint="eastAsia" w:ascii="宋体" w:hAnsi="宋体" w:eastAsia="宋体" w:cs="宋体"/>
          <w:color w:val="auto"/>
          <w:highlight w:val="none"/>
        </w:rPr>
        <w:t xml:space="preserve">（盖章） </w:t>
      </w:r>
    </w:p>
    <w:p>
      <w:pPr>
        <w:pStyle w:val="8"/>
        <w:tabs>
          <w:tab w:val="left" w:pos="8107"/>
          <w:tab w:val="left" w:pos="8227"/>
        </w:tabs>
        <w:kinsoku w:val="0"/>
        <w:overflowPunct w:val="0"/>
        <w:spacing w:before="0" w:line="381" w:lineRule="auto"/>
        <w:ind w:left="4027" w:right="118" w:firstLine="480" w:firstLineChars="200"/>
        <w:rPr>
          <w:rFonts w:hint="eastAsia" w:ascii="宋体" w:hAnsi="宋体" w:eastAsia="宋体" w:cs="宋体"/>
          <w:color w:val="auto"/>
          <w:w w:val="95"/>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ab/>
      </w:r>
      <w:r>
        <w:rPr>
          <w:rFonts w:hint="eastAsia" w:ascii="宋体" w:hAnsi="宋体" w:eastAsia="宋体" w:cs="宋体"/>
          <w:color w:val="auto"/>
          <w:highlight w:val="none"/>
        </w:rPr>
        <w:tab/>
      </w:r>
      <w:r>
        <w:rPr>
          <w:rFonts w:hint="eastAsia" w:ascii="宋体" w:hAnsi="宋体" w:eastAsia="宋体" w:cs="宋体"/>
          <w:color w:val="auto"/>
          <w:highlight w:val="none"/>
        </w:rPr>
        <w:t>（签字）</w:t>
      </w:r>
    </w:p>
    <w:p>
      <w:pPr>
        <w:pStyle w:val="8"/>
        <w:kinsoku w:val="0"/>
        <w:wordWrap/>
        <w:overflowPunct w:val="0"/>
        <w:spacing w:before="34" w:line="358" w:lineRule="auto"/>
        <w:ind w:left="119" w:right="125" w:firstLine="4320" w:firstLineChars="1800"/>
        <w:jc w:val="left"/>
        <w:rPr>
          <w:rFonts w:hint="eastAsia" w:ascii="宋体" w:hAnsi="宋体" w:eastAsia="宋体" w:cs="宋体"/>
          <w:color w:val="auto"/>
          <w:highlight w:val="none"/>
        </w:rPr>
      </w:pPr>
      <w:r>
        <w:rPr>
          <w:rFonts w:hint="eastAsia" w:ascii="宋体" w:hAnsi="宋体" w:eastAsia="宋体" w:cs="宋体"/>
          <w:color w:val="auto"/>
          <w:highlight w:val="none"/>
        </w:rPr>
        <w:t>日</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期：</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 xml:space="preserve">日   </w:t>
      </w:r>
    </w:p>
    <w:p>
      <w:pPr>
        <w:pStyle w:val="8"/>
        <w:kinsoku w:val="0"/>
        <w:overflowPunct w:val="0"/>
        <w:spacing w:before="34" w:line="357" w:lineRule="auto"/>
        <w:ind w:right="126" w:firstLine="48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36"/>
          <w:szCs w:val="36"/>
          <w:highlight w:val="none"/>
        </w:rPr>
        <w:t>十三、退还保证金说明函</w:t>
      </w:r>
    </w:p>
    <w:p>
      <w:pPr>
        <w:pStyle w:val="8"/>
        <w:kinsoku w:val="0"/>
        <w:overflowPunct w:val="0"/>
        <w:spacing w:before="6"/>
        <w:ind w:left="0"/>
        <w:rPr>
          <w:rFonts w:hint="eastAsia" w:ascii="宋体" w:hAnsi="宋体" w:eastAsia="宋体" w:cs="宋体"/>
          <w:b/>
          <w:bCs/>
          <w:color w:val="auto"/>
          <w:sz w:val="26"/>
          <w:szCs w:val="26"/>
          <w:highlight w:val="none"/>
        </w:rPr>
      </w:pPr>
    </w:p>
    <w:p>
      <w:pPr>
        <w:pStyle w:val="28"/>
        <w:kinsoku w:val="0"/>
        <w:overflowPunct w:val="0"/>
        <w:ind w:left="127" w:firstLine="426" w:firstLineChars="200"/>
        <w:outlineLvl w:val="9"/>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rPr>
        <w:t>致：</w:t>
      </w:r>
      <w:r>
        <w:rPr>
          <w:rFonts w:hint="eastAsia" w:hAnsi="宋体" w:cs="宋体"/>
          <w:color w:val="auto"/>
          <w:spacing w:val="1"/>
          <w:highlight w:val="none"/>
          <w:lang w:eastAsia="zh-CN"/>
        </w:rPr>
        <w:t>新疆信尔成工程项目管理有限公司</w:t>
      </w:r>
    </w:p>
    <w:p>
      <w:pPr>
        <w:spacing w:line="360" w:lineRule="auto"/>
        <w:ind w:firstLine="420"/>
        <w:rPr>
          <w:rFonts w:hint="eastAsia" w:ascii="宋体" w:hAnsi="宋体" w:eastAsia="宋体" w:cs="宋体"/>
          <w:color w:val="auto"/>
          <w:kern w:val="0"/>
          <w:sz w:val="24"/>
          <w:szCs w:val="24"/>
          <w:highlight w:val="none"/>
        </w:rPr>
      </w:pP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我单位已按</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项目（项目编号：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）的招标文件要求，提交的报价保证金</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大写金额</w:t>
      </w:r>
      <w:r>
        <w:rPr>
          <w:rFonts w:hint="eastAsia" w:ascii="宋体" w:hAnsi="宋体" w:eastAsia="宋体" w:cs="宋体"/>
          <w:color w:val="auto"/>
          <w:kern w:val="0"/>
          <w:sz w:val="24"/>
          <w:szCs w:val="24"/>
          <w:highlight w:val="none"/>
        </w:rPr>
        <w:t>）元，请贵公司退还时划到以下帐户：</w:t>
      </w:r>
    </w:p>
    <w:p>
      <w:pPr>
        <w:tabs>
          <w:tab w:val="left" w:pos="676"/>
          <w:tab w:val="left" w:pos="2330"/>
          <w:tab w:val="left" w:pos="9230"/>
        </w:tabs>
        <w:autoSpaceDE w:val="0"/>
        <w:autoSpaceDN w:val="0"/>
        <w:adjustRightInd w:val="0"/>
        <w:spacing w:before="120" w:line="360" w:lineRule="auto"/>
        <w:rPr>
          <w:rFonts w:hint="eastAsia" w:ascii="宋体" w:hAnsi="宋体" w:eastAsia="宋体" w:cs="宋体"/>
          <w:color w:val="auto"/>
          <w:kern w:val="0"/>
          <w:sz w:val="24"/>
          <w:szCs w:val="24"/>
          <w:highlight w:val="none"/>
        </w:rPr>
      </w:pPr>
    </w:p>
    <w:p>
      <w:pPr>
        <w:pStyle w:val="9"/>
        <w:spacing w:line="48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收 款 单 位：</w:t>
      </w:r>
    </w:p>
    <w:p>
      <w:pPr>
        <w:pStyle w:val="9"/>
        <w:spacing w:line="48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收款单位地址：</w:t>
      </w:r>
    </w:p>
    <w:p>
      <w:pPr>
        <w:pStyle w:val="9"/>
        <w:spacing w:line="48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 户 银 行：</w:t>
      </w:r>
    </w:p>
    <w:p>
      <w:pPr>
        <w:pStyle w:val="9"/>
        <w:spacing w:line="48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帐       号：</w:t>
      </w:r>
    </w:p>
    <w:p>
      <w:pPr>
        <w:pStyle w:val="9"/>
        <w:spacing w:line="48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   系  人：</w:t>
      </w:r>
    </w:p>
    <w:p>
      <w:pPr>
        <w:pStyle w:val="9"/>
        <w:spacing w:line="48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 系 电 话：</w:t>
      </w:r>
    </w:p>
    <w:p>
      <w:pPr>
        <w:pStyle w:val="9"/>
        <w:spacing w:line="360" w:lineRule="auto"/>
        <w:rPr>
          <w:rFonts w:hint="eastAsia" w:ascii="宋体" w:hAnsi="宋体" w:eastAsia="宋体" w:cs="宋体"/>
          <w:color w:val="auto"/>
          <w:kern w:val="0"/>
          <w:sz w:val="24"/>
          <w:highlight w:val="none"/>
        </w:rPr>
      </w:pPr>
    </w:p>
    <w:p>
      <w:pPr>
        <w:pStyle w:val="9"/>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（联系人和电话请填写财务人员，以便我公司财务人员核实退还保证金账户正确性）</w:t>
      </w:r>
    </w:p>
    <w:p>
      <w:pPr>
        <w:pStyle w:val="8"/>
        <w:tabs>
          <w:tab w:val="left" w:pos="8107"/>
          <w:tab w:val="left" w:pos="8227"/>
        </w:tabs>
        <w:kinsoku w:val="0"/>
        <w:overflowPunct w:val="0"/>
        <w:spacing w:before="0" w:line="381" w:lineRule="auto"/>
        <w:ind w:left="4027" w:right="118"/>
        <w:rPr>
          <w:rFonts w:hint="eastAsia" w:ascii="宋体" w:hAnsi="宋体" w:eastAsia="宋体" w:cs="宋体"/>
          <w:color w:val="auto"/>
          <w:highlight w:val="none"/>
        </w:rPr>
      </w:pPr>
    </w:p>
    <w:p>
      <w:pPr>
        <w:pStyle w:val="8"/>
        <w:tabs>
          <w:tab w:val="left" w:pos="8107"/>
          <w:tab w:val="left" w:pos="8227"/>
        </w:tabs>
        <w:kinsoku w:val="0"/>
        <w:overflowPunct w:val="0"/>
        <w:spacing w:before="0" w:line="381" w:lineRule="auto"/>
        <w:ind w:left="4027" w:right="118"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投标单位：</w:t>
      </w:r>
      <w:r>
        <w:rPr>
          <w:rFonts w:hint="eastAsia" w:ascii="宋体" w:hAnsi="宋体" w:eastAsia="宋体" w:cs="宋体"/>
          <w:color w:val="auto"/>
          <w:highlight w:val="none"/>
          <w:u w:val="single"/>
        </w:rPr>
        <w:tab/>
      </w:r>
      <w:r>
        <w:rPr>
          <w:rFonts w:hint="eastAsia" w:ascii="宋体" w:hAnsi="宋体" w:eastAsia="宋体" w:cs="宋体"/>
          <w:color w:val="auto"/>
          <w:highlight w:val="none"/>
        </w:rPr>
        <w:t xml:space="preserve">（盖章） </w:t>
      </w:r>
    </w:p>
    <w:p>
      <w:pPr>
        <w:pStyle w:val="8"/>
        <w:tabs>
          <w:tab w:val="left" w:pos="8107"/>
          <w:tab w:val="left" w:pos="8227"/>
        </w:tabs>
        <w:kinsoku w:val="0"/>
        <w:overflowPunct w:val="0"/>
        <w:spacing w:before="0" w:line="381" w:lineRule="auto"/>
        <w:ind w:left="4027" w:right="118" w:firstLine="480" w:firstLineChars="200"/>
        <w:rPr>
          <w:rFonts w:hint="eastAsia" w:ascii="宋体" w:hAnsi="宋体" w:eastAsia="宋体" w:cs="宋体"/>
          <w:color w:val="auto"/>
          <w:w w:val="95"/>
          <w:highlight w:val="none"/>
        </w:rPr>
      </w:pPr>
      <w:r>
        <w:rPr>
          <w:rFonts w:hint="eastAsia" w:ascii="宋体" w:hAnsi="宋体" w:eastAsia="宋体" w:cs="宋体"/>
          <w:color w:val="auto"/>
          <w:highlight w:val="none"/>
        </w:rPr>
        <w:t>法定代表人或被授权人：</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rPr>
        <w:t>（签字）</w:t>
      </w:r>
    </w:p>
    <w:p>
      <w:pPr>
        <w:pStyle w:val="8"/>
        <w:kinsoku w:val="0"/>
        <w:wordWrap/>
        <w:overflowPunct w:val="0"/>
        <w:spacing w:before="34" w:line="358" w:lineRule="auto"/>
        <w:ind w:left="119" w:right="125"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日</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期：</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 xml:space="preserve">日   </w:t>
      </w:r>
    </w:p>
    <w:p>
      <w:pPr>
        <w:pStyle w:val="29"/>
        <w:tabs>
          <w:tab w:val="left" w:pos="2763"/>
        </w:tabs>
        <w:kinsoku w:val="0"/>
        <w:overflowPunct w:val="0"/>
        <w:spacing w:before="143"/>
        <w:jc w:val="center"/>
        <w:outlineLvl w:val="9"/>
        <w:rPr>
          <w:rFonts w:hint="eastAsia" w:ascii="宋体" w:hAnsi="宋体" w:eastAsia="宋体" w:cs="宋体"/>
          <w:b w:val="0"/>
          <w:bCs w:val="0"/>
          <w:color w:val="auto"/>
          <w:highlight w:val="none"/>
        </w:rPr>
      </w:pPr>
    </w:p>
    <w:p>
      <w:pPr>
        <w:pStyle w:val="8"/>
        <w:kinsoku w:val="0"/>
        <w:overflowPunct w:val="0"/>
        <w:spacing w:before="34" w:line="358" w:lineRule="auto"/>
        <w:ind w:left="119" w:right="125" w:firstLine="480" w:firstLineChars="200"/>
        <w:jc w:val="right"/>
        <w:rPr>
          <w:rFonts w:hint="eastAsia" w:ascii="宋体" w:hAnsi="宋体" w:eastAsia="宋体" w:cs="宋体"/>
          <w:b/>
          <w:bCs/>
          <w:color w:val="auto"/>
          <w:sz w:val="36"/>
          <w:szCs w:val="36"/>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pacing w:val="-1"/>
          <w:w w:val="95"/>
          <w:highlight w:val="none"/>
        </w:rPr>
        <w:br w:type="page"/>
      </w:r>
    </w:p>
    <w:p>
      <w:pPr>
        <w:pStyle w:val="8"/>
        <w:kinsoku w:val="0"/>
        <w:overflowPunct w:val="0"/>
        <w:spacing w:before="34" w:line="357" w:lineRule="auto"/>
        <w:ind w:right="126" w:firstLine="723" w:firstLineChars="20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十四、其他商务资格证明资料</w:t>
      </w:r>
    </w:p>
    <w:p>
      <w:pPr>
        <w:pStyle w:val="8"/>
        <w:kinsoku w:val="0"/>
        <w:overflowPunct w:val="0"/>
        <w:spacing w:before="0" w:line="940" w:lineRule="exact"/>
        <w:ind w:left="0" w:firstLine="48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8"/>
        <w:kinsoku w:val="0"/>
        <w:overflowPunct w:val="0"/>
        <w:spacing w:before="0" w:line="940" w:lineRule="exact"/>
        <w:ind w:left="0"/>
        <w:jc w:val="center"/>
        <w:rPr>
          <w:rFonts w:hint="eastAsia" w:ascii="宋体" w:hAnsi="宋体" w:eastAsia="宋体" w:cs="宋体"/>
          <w:color w:val="auto"/>
          <w:highlight w:val="none"/>
        </w:rPr>
      </w:pPr>
    </w:p>
    <w:p>
      <w:pPr>
        <w:pStyle w:val="8"/>
        <w:kinsoku w:val="0"/>
        <w:overflowPunct w:val="0"/>
        <w:spacing w:before="0" w:line="940" w:lineRule="exact"/>
        <w:ind w:left="0"/>
        <w:jc w:val="center"/>
        <w:rPr>
          <w:rFonts w:hint="eastAsia" w:ascii="宋体" w:hAnsi="宋体" w:eastAsia="宋体" w:cs="宋体"/>
          <w:color w:val="auto"/>
          <w:highlight w:val="none"/>
        </w:rPr>
      </w:pPr>
    </w:p>
    <w:p>
      <w:pPr>
        <w:pStyle w:val="8"/>
        <w:kinsoku w:val="0"/>
        <w:overflowPunct w:val="0"/>
        <w:spacing w:before="0" w:line="940" w:lineRule="exact"/>
        <w:ind w:left="0"/>
        <w:jc w:val="center"/>
        <w:rPr>
          <w:rFonts w:hint="eastAsia" w:ascii="宋体" w:hAnsi="宋体" w:eastAsia="宋体" w:cs="宋体"/>
          <w:color w:val="auto"/>
          <w:highlight w:val="none"/>
        </w:rPr>
      </w:pPr>
    </w:p>
    <w:p>
      <w:pPr>
        <w:pStyle w:val="8"/>
        <w:kinsoku w:val="0"/>
        <w:overflowPunct w:val="0"/>
        <w:spacing w:before="0" w:line="940" w:lineRule="exact"/>
        <w:ind w:left="0"/>
        <w:jc w:val="center"/>
        <w:rPr>
          <w:rFonts w:hint="eastAsia" w:ascii="宋体" w:hAnsi="宋体" w:eastAsia="宋体" w:cs="宋体"/>
          <w:color w:val="auto"/>
          <w:highlight w:val="none"/>
        </w:rPr>
      </w:pPr>
    </w:p>
    <w:p>
      <w:pPr>
        <w:pStyle w:val="8"/>
        <w:kinsoku w:val="0"/>
        <w:overflowPunct w:val="0"/>
        <w:spacing w:before="0" w:line="940" w:lineRule="exact"/>
        <w:ind w:left="0"/>
        <w:jc w:val="center"/>
        <w:rPr>
          <w:rFonts w:hint="eastAsia" w:ascii="宋体" w:hAnsi="宋体" w:eastAsia="宋体" w:cs="宋体"/>
          <w:color w:val="auto"/>
          <w:highlight w:val="none"/>
        </w:rPr>
      </w:pPr>
    </w:p>
    <w:p>
      <w:pPr>
        <w:pStyle w:val="8"/>
        <w:kinsoku w:val="0"/>
        <w:overflowPunct w:val="0"/>
        <w:spacing w:before="0" w:line="940" w:lineRule="exact"/>
        <w:ind w:left="0"/>
        <w:jc w:val="center"/>
        <w:rPr>
          <w:rFonts w:hint="eastAsia" w:ascii="宋体" w:hAnsi="宋体" w:eastAsia="宋体" w:cs="宋体"/>
          <w:color w:val="auto"/>
          <w:highlight w:val="none"/>
        </w:rPr>
      </w:pPr>
    </w:p>
    <w:p>
      <w:pPr>
        <w:pStyle w:val="8"/>
        <w:kinsoku w:val="0"/>
        <w:overflowPunct w:val="0"/>
        <w:spacing w:before="0" w:line="940" w:lineRule="exact"/>
        <w:ind w:firstLine="968" w:firstLineChars="100"/>
        <w:jc w:val="both"/>
        <w:rPr>
          <w:rFonts w:hint="eastAsia" w:ascii="宋体" w:hAnsi="宋体" w:eastAsia="宋体" w:cs="宋体"/>
          <w:color w:val="auto"/>
          <w:sz w:val="96"/>
          <w:szCs w:val="84"/>
          <w:highlight w:val="none"/>
        </w:rPr>
      </w:pPr>
      <w:r>
        <w:rPr>
          <w:rFonts w:hint="eastAsia" w:ascii="宋体" w:hAnsi="宋体" w:eastAsia="宋体" w:cs="宋体"/>
          <w:b/>
          <w:bCs/>
          <w:color w:val="auto"/>
          <w:spacing w:val="2"/>
          <w:sz w:val="96"/>
          <w:szCs w:val="84"/>
          <w:highlight w:val="none"/>
        </w:rPr>
        <w:t>（二）技术部分</w:t>
      </w:r>
    </w:p>
    <w:p>
      <w:pPr>
        <w:pStyle w:val="8"/>
        <w:kinsoku w:val="0"/>
        <w:overflowPunct w:val="0"/>
        <w:spacing w:before="34" w:line="357" w:lineRule="auto"/>
        <w:ind w:right="126" w:firstLine="480" w:firstLineChars="200"/>
        <w:jc w:val="center"/>
        <w:rPr>
          <w:rFonts w:hint="eastAsia" w:ascii="宋体" w:hAnsi="宋体" w:eastAsia="宋体" w:cs="宋体"/>
          <w:b/>
          <w:bCs/>
          <w:color w:val="auto"/>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36"/>
          <w:szCs w:val="36"/>
          <w:highlight w:val="none"/>
        </w:rPr>
        <w:t>十五、项目实施方案</w:t>
      </w:r>
    </w:p>
    <w:p>
      <w:pPr>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eastAsia="宋体" w:cs="宋体"/>
          <w:b/>
          <w:color w:val="auto"/>
          <w:kern w:val="0"/>
          <w:sz w:val="24"/>
          <w:szCs w:val="24"/>
          <w:highlight w:val="none"/>
        </w:rPr>
        <w:tab/>
      </w:r>
      <w:r>
        <w:rPr>
          <w:rFonts w:hint="eastAsia" w:ascii="宋体" w:hAnsi="宋体" w:eastAsia="宋体" w:cs="宋体"/>
          <w:b/>
          <w:color w:val="auto"/>
          <w:kern w:val="0"/>
          <w:sz w:val="24"/>
          <w:szCs w:val="24"/>
          <w:highlight w:val="none"/>
        </w:rPr>
        <w:t>技术方案</w:t>
      </w:r>
    </w:p>
    <w:p>
      <w:pPr>
        <w:pStyle w:val="22"/>
        <w:rPr>
          <w:rFonts w:hint="eastAsia"/>
          <w:color w:val="auto"/>
          <w:highlight w:val="none"/>
        </w:rPr>
      </w:pPr>
    </w:p>
    <w:p>
      <w:pPr>
        <w:ind w:firstLine="482" w:firstLineChars="200"/>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1.1</w:t>
      </w:r>
      <w:r>
        <w:rPr>
          <w:rFonts w:hint="eastAsia" w:ascii="宋体" w:hAnsi="宋体" w:cs="宋体"/>
          <w:b/>
          <w:color w:val="auto"/>
          <w:kern w:val="0"/>
          <w:sz w:val="24"/>
          <w:szCs w:val="24"/>
          <w:highlight w:val="none"/>
          <w:lang w:val="en-US" w:eastAsia="zh-CN"/>
        </w:rPr>
        <w:t xml:space="preserve">  </w:t>
      </w:r>
      <w:r>
        <w:rPr>
          <w:rFonts w:hint="eastAsia" w:ascii="宋体" w:hAnsi="宋体" w:eastAsia="宋体" w:cs="宋体"/>
          <w:b/>
          <w:color w:val="auto"/>
          <w:kern w:val="0"/>
          <w:sz w:val="24"/>
          <w:szCs w:val="24"/>
          <w:highlight w:val="none"/>
        </w:rPr>
        <w:t>技术响应</w:t>
      </w:r>
      <w:r>
        <w:rPr>
          <w:rFonts w:hint="eastAsia" w:ascii="宋体" w:hAnsi="宋体" w:cs="宋体"/>
          <w:b/>
          <w:color w:val="auto"/>
          <w:kern w:val="0"/>
          <w:sz w:val="24"/>
          <w:szCs w:val="24"/>
          <w:highlight w:val="none"/>
          <w:lang w:eastAsia="zh-CN"/>
        </w:rPr>
        <w:t>：</w:t>
      </w:r>
      <w:r>
        <w:rPr>
          <w:rFonts w:hint="eastAsia" w:ascii="宋体" w:hAnsi="宋体" w:eastAsia="宋体" w:cs="宋体"/>
          <w:color w:val="auto"/>
          <w:kern w:val="0"/>
          <w:sz w:val="24"/>
          <w:szCs w:val="24"/>
          <w:highlight w:val="none"/>
        </w:rPr>
        <w:t>主要根据《</w:t>
      </w:r>
      <w:r>
        <w:rPr>
          <w:rFonts w:hint="eastAsia" w:ascii="宋体" w:hAnsi="宋体" w:cs="宋体"/>
          <w:color w:val="auto"/>
          <w:kern w:val="0"/>
          <w:sz w:val="24"/>
          <w:szCs w:val="24"/>
          <w:highlight w:val="none"/>
          <w:lang w:val="en-US" w:eastAsia="zh-CN"/>
        </w:rPr>
        <w:t>磋商内容</w:t>
      </w:r>
      <w:r>
        <w:rPr>
          <w:rFonts w:hint="eastAsia" w:ascii="宋体" w:hAnsi="宋体" w:eastAsia="宋体" w:cs="宋体"/>
          <w:color w:val="auto"/>
          <w:kern w:val="0"/>
          <w:sz w:val="24"/>
          <w:szCs w:val="24"/>
          <w:highlight w:val="none"/>
        </w:rPr>
        <w:t>》的要求</w:t>
      </w:r>
      <w:r>
        <w:rPr>
          <w:rFonts w:hint="eastAsia" w:ascii="宋体" w:hAnsi="宋体" w:cs="宋体"/>
          <w:color w:val="auto"/>
          <w:kern w:val="0"/>
          <w:sz w:val="24"/>
          <w:szCs w:val="24"/>
          <w:highlight w:val="none"/>
          <w:lang w:eastAsia="zh-CN"/>
        </w:rPr>
        <w:t>和详细评审表编制；</w:t>
      </w:r>
    </w:p>
    <w:p>
      <w:pPr>
        <w:pStyle w:val="22"/>
        <w:rPr>
          <w:rFonts w:hint="eastAsia"/>
          <w:color w:val="auto"/>
          <w:highlight w:val="none"/>
        </w:rPr>
      </w:pPr>
    </w:p>
    <w:p>
      <w:pPr>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1.2</w:t>
      </w:r>
      <w:r>
        <w:rPr>
          <w:rFonts w:hint="eastAsia" w:ascii="宋体" w:hAnsi="宋体" w:cs="宋体"/>
          <w:b/>
          <w:color w:val="auto"/>
          <w:kern w:val="0"/>
          <w:sz w:val="24"/>
          <w:szCs w:val="24"/>
          <w:highlight w:val="none"/>
          <w:lang w:val="en-US" w:eastAsia="zh-CN"/>
        </w:rPr>
        <w:t xml:space="preserve">  </w:t>
      </w:r>
      <w:r>
        <w:rPr>
          <w:rFonts w:hint="eastAsia" w:ascii="宋体" w:hAnsi="宋体" w:eastAsia="宋体" w:cs="宋体"/>
          <w:b/>
          <w:color w:val="auto"/>
          <w:kern w:val="0"/>
          <w:sz w:val="24"/>
          <w:szCs w:val="24"/>
          <w:highlight w:val="none"/>
        </w:rPr>
        <w:t>技术参数响应表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87"/>
        <w:gridCol w:w="3438"/>
        <w:gridCol w:w="2197"/>
        <w:gridCol w:w="72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87" w:type="dxa"/>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规格/要求</w:t>
            </w:r>
          </w:p>
        </w:tc>
        <w:tc>
          <w:tcPr>
            <w:tcW w:w="3438" w:type="dxa"/>
            <w:noWrap w:val="0"/>
            <w:vAlign w:val="center"/>
          </w:tcPr>
          <w:p>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投标/响应实际参数</w:t>
            </w:r>
          </w:p>
          <w:p>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(投标供应商应按响应货物/服务实际数据填写)</w:t>
            </w:r>
          </w:p>
        </w:tc>
        <w:tc>
          <w:tcPr>
            <w:tcW w:w="2197" w:type="dxa"/>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是否偏离（无偏离/正偏离/负偏离）</w:t>
            </w:r>
          </w:p>
        </w:tc>
        <w:tc>
          <w:tcPr>
            <w:tcW w:w="727" w:type="dxa"/>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偏离简述</w:t>
            </w:r>
          </w:p>
        </w:tc>
        <w:tc>
          <w:tcPr>
            <w:tcW w:w="1260" w:type="dxa"/>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87" w:type="dxa"/>
            <w:noWrap w:val="0"/>
            <w:vAlign w:val="center"/>
          </w:tcPr>
          <w:p>
            <w:pPr>
              <w:rPr>
                <w:rFonts w:hint="eastAsia" w:ascii="宋体" w:hAnsi="宋体" w:eastAsia="宋体" w:cs="宋体"/>
                <w:color w:val="auto"/>
                <w:kern w:val="0"/>
                <w:sz w:val="24"/>
                <w:szCs w:val="24"/>
                <w:highlight w:val="none"/>
              </w:rPr>
            </w:pPr>
          </w:p>
        </w:tc>
        <w:tc>
          <w:tcPr>
            <w:tcW w:w="3438" w:type="dxa"/>
            <w:noWrap w:val="0"/>
            <w:vAlign w:val="center"/>
          </w:tcPr>
          <w:p>
            <w:pPr>
              <w:rPr>
                <w:rFonts w:hint="eastAsia" w:ascii="宋体" w:hAnsi="宋体" w:eastAsia="宋体" w:cs="宋体"/>
                <w:color w:val="auto"/>
                <w:kern w:val="0"/>
                <w:sz w:val="24"/>
                <w:szCs w:val="24"/>
                <w:highlight w:val="none"/>
              </w:rPr>
            </w:pPr>
          </w:p>
        </w:tc>
        <w:tc>
          <w:tcPr>
            <w:tcW w:w="2197" w:type="dxa"/>
            <w:noWrap w:val="0"/>
            <w:vAlign w:val="center"/>
          </w:tcPr>
          <w:p>
            <w:pPr>
              <w:rPr>
                <w:rFonts w:hint="eastAsia" w:ascii="宋体" w:hAnsi="宋体" w:eastAsia="宋体" w:cs="宋体"/>
                <w:color w:val="auto"/>
                <w:kern w:val="0"/>
                <w:sz w:val="24"/>
                <w:szCs w:val="24"/>
                <w:highlight w:val="none"/>
              </w:rPr>
            </w:pPr>
          </w:p>
        </w:tc>
        <w:tc>
          <w:tcPr>
            <w:tcW w:w="727" w:type="dxa"/>
            <w:noWrap w:val="0"/>
            <w:vAlign w:val="center"/>
          </w:tcPr>
          <w:p>
            <w:pPr>
              <w:rPr>
                <w:rFonts w:hint="eastAsia" w:ascii="宋体" w:hAnsi="宋体" w:eastAsia="宋体" w:cs="宋体"/>
                <w:color w:val="auto"/>
                <w:kern w:val="0"/>
                <w:sz w:val="24"/>
                <w:szCs w:val="24"/>
                <w:highlight w:val="none"/>
              </w:rPr>
            </w:pPr>
          </w:p>
        </w:tc>
        <w:tc>
          <w:tcPr>
            <w:tcW w:w="1260" w:type="dxa"/>
            <w:noWrap w:val="0"/>
            <w:vAlign w:val="top"/>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87" w:type="dxa"/>
            <w:noWrap w:val="0"/>
            <w:vAlign w:val="center"/>
          </w:tcPr>
          <w:p>
            <w:pPr>
              <w:rPr>
                <w:rFonts w:hint="eastAsia" w:ascii="宋体" w:hAnsi="宋体" w:eastAsia="宋体" w:cs="宋体"/>
                <w:color w:val="auto"/>
                <w:kern w:val="0"/>
                <w:sz w:val="24"/>
                <w:szCs w:val="24"/>
                <w:highlight w:val="none"/>
              </w:rPr>
            </w:pPr>
          </w:p>
        </w:tc>
        <w:tc>
          <w:tcPr>
            <w:tcW w:w="3438" w:type="dxa"/>
            <w:noWrap w:val="0"/>
            <w:vAlign w:val="center"/>
          </w:tcPr>
          <w:p>
            <w:pPr>
              <w:rPr>
                <w:rFonts w:hint="eastAsia" w:ascii="宋体" w:hAnsi="宋体" w:eastAsia="宋体" w:cs="宋体"/>
                <w:color w:val="auto"/>
                <w:kern w:val="0"/>
                <w:sz w:val="24"/>
                <w:szCs w:val="24"/>
                <w:highlight w:val="none"/>
              </w:rPr>
            </w:pPr>
          </w:p>
        </w:tc>
        <w:tc>
          <w:tcPr>
            <w:tcW w:w="2197" w:type="dxa"/>
            <w:noWrap w:val="0"/>
            <w:vAlign w:val="center"/>
          </w:tcPr>
          <w:p>
            <w:pPr>
              <w:rPr>
                <w:rFonts w:hint="eastAsia" w:ascii="宋体" w:hAnsi="宋体" w:eastAsia="宋体" w:cs="宋体"/>
                <w:color w:val="auto"/>
                <w:kern w:val="0"/>
                <w:sz w:val="24"/>
                <w:szCs w:val="24"/>
                <w:highlight w:val="none"/>
              </w:rPr>
            </w:pPr>
          </w:p>
        </w:tc>
        <w:tc>
          <w:tcPr>
            <w:tcW w:w="727" w:type="dxa"/>
            <w:noWrap w:val="0"/>
            <w:vAlign w:val="center"/>
          </w:tcPr>
          <w:p>
            <w:pPr>
              <w:rPr>
                <w:rFonts w:hint="eastAsia" w:ascii="宋体" w:hAnsi="宋体" w:eastAsia="宋体" w:cs="宋体"/>
                <w:color w:val="auto"/>
                <w:kern w:val="0"/>
                <w:sz w:val="24"/>
                <w:szCs w:val="24"/>
                <w:highlight w:val="none"/>
              </w:rPr>
            </w:pPr>
          </w:p>
        </w:tc>
        <w:tc>
          <w:tcPr>
            <w:tcW w:w="1260" w:type="dxa"/>
            <w:noWrap w:val="0"/>
            <w:vAlign w:val="top"/>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87" w:type="dxa"/>
            <w:noWrap w:val="0"/>
            <w:vAlign w:val="center"/>
          </w:tcPr>
          <w:p>
            <w:pPr>
              <w:rPr>
                <w:rFonts w:hint="eastAsia" w:ascii="宋体" w:hAnsi="宋体" w:eastAsia="宋体" w:cs="宋体"/>
                <w:color w:val="auto"/>
                <w:kern w:val="0"/>
                <w:sz w:val="24"/>
                <w:szCs w:val="24"/>
                <w:highlight w:val="none"/>
              </w:rPr>
            </w:pPr>
          </w:p>
        </w:tc>
        <w:tc>
          <w:tcPr>
            <w:tcW w:w="3438" w:type="dxa"/>
            <w:noWrap w:val="0"/>
            <w:vAlign w:val="center"/>
          </w:tcPr>
          <w:p>
            <w:pPr>
              <w:rPr>
                <w:rFonts w:hint="eastAsia" w:ascii="宋体" w:hAnsi="宋体" w:eastAsia="宋体" w:cs="宋体"/>
                <w:color w:val="auto"/>
                <w:kern w:val="0"/>
                <w:sz w:val="24"/>
                <w:szCs w:val="24"/>
                <w:highlight w:val="none"/>
              </w:rPr>
            </w:pPr>
          </w:p>
        </w:tc>
        <w:tc>
          <w:tcPr>
            <w:tcW w:w="2197" w:type="dxa"/>
            <w:noWrap w:val="0"/>
            <w:vAlign w:val="center"/>
          </w:tcPr>
          <w:p>
            <w:pPr>
              <w:rPr>
                <w:rFonts w:hint="eastAsia" w:ascii="宋体" w:hAnsi="宋体" w:eastAsia="宋体" w:cs="宋体"/>
                <w:color w:val="auto"/>
                <w:kern w:val="0"/>
                <w:sz w:val="24"/>
                <w:szCs w:val="24"/>
                <w:highlight w:val="none"/>
              </w:rPr>
            </w:pPr>
          </w:p>
        </w:tc>
        <w:tc>
          <w:tcPr>
            <w:tcW w:w="727" w:type="dxa"/>
            <w:noWrap w:val="0"/>
            <w:vAlign w:val="center"/>
          </w:tcPr>
          <w:p>
            <w:pPr>
              <w:rPr>
                <w:rFonts w:hint="eastAsia" w:ascii="宋体" w:hAnsi="宋体" w:eastAsia="宋体" w:cs="宋体"/>
                <w:color w:val="auto"/>
                <w:kern w:val="0"/>
                <w:sz w:val="24"/>
                <w:szCs w:val="24"/>
                <w:highlight w:val="none"/>
              </w:rPr>
            </w:pPr>
          </w:p>
        </w:tc>
        <w:tc>
          <w:tcPr>
            <w:tcW w:w="1260" w:type="dxa"/>
            <w:noWrap w:val="0"/>
            <w:vAlign w:val="top"/>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87" w:type="dxa"/>
            <w:noWrap w:val="0"/>
            <w:vAlign w:val="center"/>
          </w:tcPr>
          <w:p>
            <w:pPr>
              <w:rPr>
                <w:rFonts w:hint="eastAsia" w:ascii="宋体" w:hAnsi="宋体" w:eastAsia="宋体" w:cs="宋体"/>
                <w:color w:val="auto"/>
                <w:kern w:val="0"/>
                <w:sz w:val="24"/>
                <w:szCs w:val="24"/>
                <w:highlight w:val="none"/>
              </w:rPr>
            </w:pPr>
          </w:p>
        </w:tc>
        <w:tc>
          <w:tcPr>
            <w:tcW w:w="3438" w:type="dxa"/>
            <w:noWrap w:val="0"/>
            <w:vAlign w:val="center"/>
          </w:tcPr>
          <w:p>
            <w:pPr>
              <w:rPr>
                <w:rFonts w:hint="eastAsia" w:ascii="宋体" w:hAnsi="宋体" w:eastAsia="宋体" w:cs="宋体"/>
                <w:color w:val="auto"/>
                <w:kern w:val="0"/>
                <w:sz w:val="24"/>
                <w:szCs w:val="24"/>
                <w:highlight w:val="none"/>
              </w:rPr>
            </w:pPr>
          </w:p>
        </w:tc>
        <w:tc>
          <w:tcPr>
            <w:tcW w:w="2197" w:type="dxa"/>
            <w:noWrap w:val="0"/>
            <w:vAlign w:val="center"/>
          </w:tcPr>
          <w:p>
            <w:pPr>
              <w:rPr>
                <w:rFonts w:hint="eastAsia" w:ascii="宋体" w:hAnsi="宋体" w:eastAsia="宋体" w:cs="宋体"/>
                <w:color w:val="auto"/>
                <w:kern w:val="0"/>
                <w:sz w:val="24"/>
                <w:szCs w:val="24"/>
                <w:highlight w:val="none"/>
              </w:rPr>
            </w:pPr>
          </w:p>
        </w:tc>
        <w:tc>
          <w:tcPr>
            <w:tcW w:w="727" w:type="dxa"/>
            <w:noWrap w:val="0"/>
            <w:vAlign w:val="center"/>
          </w:tcPr>
          <w:p>
            <w:pPr>
              <w:rPr>
                <w:rFonts w:hint="eastAsia" w:ascii="宋体" w:hAnsi="宋体" w:eastAsia="宋体" w:cs="宋体"/>
                <w:color w:val="auto"/>
                <w:kern w:val="0"/>
                <w:sz w:val="24"/>
                <w:szCs w:val="24"/>
                <w:highlight w:val="none"/>
              </w:rPr>
            </w:pPr>
          </w:p>
        </w:tc>
        <w:tc>
          <w:tcPr>
            <w:tcW w:w="1260" w:type="dxa"/>
            <w:noWrap w:val="0"/>
            <w:vAlign w:val="top"/>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87" w:type="dxa"/>
            <w:noWrap w:val="0"/>
            <w:vAlign w:val="center"/>
          </w:tcPr>
          <w:p>
            <w:pPr>
              <w:rPr>
                <w:rFonts w:hint="eastAsia" w:ascii="宋体" w:hAnsi="宋体" w:eastAsia="宋体" w:cs="宋体"/>
                <w:color w:val="auto"/>
                <w:kern w:val="0"/>
                <w:sz w:val="24"/>
                <w:szCs w:val="24"/>
                <w:highlight w:val="none"/>
              </w:rPr>
            </w:pPr>
          </w:p>
        </w:tc>
        <w:tc>
          <w:tcPr>
            <w:tcW w:w="3438" w:type="dxa"/>
            <w:noWrap w:val="0"/>
            <w:vAlign w:val="center"/>
          </w:tcPr>
          <w:p>
            <w:pPr>
              <w:rPr>
                <w:rFonts w:hint="eastAsia" w:ascii="宋体" w:hAnsi="宋体" w:eastAsia="宋体" w:cs="宋体"/>
                <w:color w:val="auto"/>
                <w:kern w:val="0"/>
                <w:sz w:val="24"/>
                <w:szCs w:val="24"/>
                <w:highlight w:val="none"/>
              </w:rPr>
            </w:pPr>
          </w:p>
        </w:tc>
        <w:tc>
          <w:tcPr>
            <w:tcW w:w="2197" w:type="dxa"/>
            <w:noWrap w:val="0"/>
            <w:vAlign w:val="center"/>
          </w:tcPr>
          <w:p>
            <w:pPr>
              <w:rPr>
                <w:rFonts w:hint="eastAsia" w:ascii="宋体" w:hAnsi="宋体" w:eastAsia="宋体" w:cs="宋体"/>
                <w:color w:val="auto"/>
                <w:kern w:val="0"/>
                <w:sz w:val="24"/>
                <w:szCs w:val="24"/>
                <w:highlight w:val="none"/>
              </w:rPr>
            </w:pPr>
          </w:p>
        </w:tc>
        <w:tc>
          <w:tcPr>
            <w:tcW w:w="727" w:type="dxa"/>
            <w:noWrap w:val="0"/>
            <w:vAlign w:val="center"/>
          </w:tcPr>
          <w:p>
            <w:pPr>
              <w:rPr>
                <w:rFonts w:hint="eastAsia" w:ascii="宋体" w:hAnsi="宋体" w:eastAsia="宋体" w:cs="宋体"/>
                <w:color w:val="auto"/>
                <w:kern w:val="0"/>
                <w:sz w:val="24"/>
                <w:szCs w:val="24"/>
                <w:highlight w:val="none"/>
              </w:rPr>
            </w:pPr>
          </w:p>
        </w:tc>
        <w:tc>
          <w:tcPr>
            <w:tcW w:w="1260" w:type="dxa"/>
            <w:noWrap w:val="0"/>
            <w:vAlign w:val="top"/>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87" w:type="dxa"/>
            <w:noWrap w:val="0"/>
            <w:vAlign w:val="center"/>
          </w:tcPr>
          <w:p>
            <w:pPr>
              <w:rPr>
                <w:rFonts w:hint="eastAsia" w:ascii="宋体" w:hAnsi="宋体" w:eastAsia="宋体" w:cs="宋体"/>
                <w:color w:val="auto"/>
                <w:kern w:val="0"/>
                <w:sz w:val="24"/>
                <w:szCs w:val="24"/>
                <w:highlight w:val="none"/>
              </w:rPr>
            </w:pPr>
          </w:p>
        </w:tc>
        <w:tc>
          <w:tcPr>
            <w:tcW w:w="3438" w:type="dxa"/>
            <w:noWrap w:val="0"/>
            <w:vAlign w:val="center"/>
          </w:tcPr>
          <w:p>
            <w:pPr>
              <w:rPr>
                <w:rFonts w:hint="eastAsia" w:ascii="宋体" w:hAnsi="宋体" w:eastAsia="宋体" w:cs="宋体"/>
                <w:color w:val="auto"/>
                <w:kern w:val="0"/>
                <w:sz w:val="24"/>
                <w:szCs w:val="24"/>
                <w:highlight w:val="none"/>
              </w:rPr>
            </w:pPr>
          </w:p>
        </w:tc>
        <w:tc>
          <w:tcPr>
            <w:tcW w:w="2197" w:type="dxa"/>
            <w:noWrap w:val="0"/>
            <w:vAlign w:val="center"/>
          </w:tcPr>
          <w:p>
            <w:pPr>
              <w:rPr>
                <w:rFonts w:hint="eastAsia" w:ascii="宋体" w:hAnsi="宋体" w:eastAsia="宋体" w:cs="宋体"/>
                <w:color w:val="auto"/>
                <w:kern w:val="0"/>
                <w:sz w:val="24"/>
                <w:szCs w:val="24"/>
                <w:highlight w:val="none"/>
              </w:rPr>
            </w:pPr>
          </w:p>
        </w:tc>
        <w:tc>
          <w:tcPr>
            <w:tcW w:w="727" w:type="dxa"/>
            <w:noWrap w:val="0"/>
            <w:vAlign w:val="center"/>
          </w:tcPr>
          <w:p>
            <w:pPr>
              <w:rPr>
                <w:rFonts w:hint="eastAsia" w:ascii="宋体" w:hAnsi="宋体" w:eastAsia="宋体" w:cs="宋体"/>
                <w:color w:val="auto"/>
                <w:kern w:val="0"/>
                <w:sz w:val="24"/>
                <w:szCs w:val="24"/>
                <w:highlight w:val="none"/>
              </w:rPr>
            </w:pPr>
          </w:p>
        </w:tc>
        <w:tc>
          <w:tcPr>
            <w:tcW w:w="1260" w:type="dxa"/>
            <w:noWrap w:val="0"/>
            <w:vAlign w:val="top"/>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87" w:type="dxa"/>
            <w:noWrap w:val="0"/>
            <w:vAlign w:val="center"/>
          </w:tcPr>
          <w:p>
            <w:pPr>
              <w:rPr>
                <w:rFonts w:hint="eastAsia" w:ascii="宋体" w:hAnsi="宋体" w:eastAsia="宋体" w:cs="宋体"/>
                <w:color w:val="auto"/>
                <w:kern w:val="0"/>
                <w:sz w:val="24"/>
                <w:szCs w:val="24"/>
                <w:highlight w:val="none"/>
              </w:rPr>
            </w:pPr>
          </w:p>
        </w:tc>
        <w:tc>
          <w:tcPr>
            <w:tcW w:w="3438" w:type="dxa"/>
            <w:noWrap w:val="0"/>
            <w:vAlign w:val="center"/>
          </w:tcPr>
          <w:p>
            <w:pPr>
              <w:rPr>
                <w:rFonts w:hint="eastAsia" w:ascii="宋体" w:hAnsi="宋体" w:eastAsia="宋体" w:cs="宋体"/>
                <w:color w:val="auto"/>
                <w:kern w:val="0"/>
                <w:sz w:val="24"/>
                <w:szCs w:val="24"/>
                <w:highlight w:val="none"/>
              </w:rPr>
            </w:pPr>
          </w:p>
        </w:tc>
        <w:tc>
          <w:tcPr>
            <w:tcW w:w="2197" w:type="dxa"/>
            <w:noWrap w:val="0"/>
            <w:vAlign w:val="center"/>
          </w:tcPr>
          <w:p>
            <w:pPr>
              <w:rPr>
                <w:rFonts w:hint="eastAsia" w:ascii="宋体" w:hAnsi="宋体" w:eastAsia="宋体" w:cs="宋体"/>
                <w:color w:val="auto"/>
                <w:kern w:val="0"/>
                <w:sz w:val="24"/>
                <w:szCs w:val="24"/>
                <w:highlight w:val="none"/>
              </w:rPr>
            </w:pPr>
          </w:p>
        </w:tc>
        <w:tc>
          <w:tcPr>
            <w:tcW w:w="727" w:type="dxa"/>
            <w:noWrap w:val="0"/>
            <w:vAlign w:val="center"/>
          </w:tcPr>
          <w:p>
            <w:pPr>
              <w:rPr>
                <w:rFonts w:hint="eastAsia" w:ascii="宋体" w:hAnsi="宋体" w:eastAsia="宋体" w:cs="宋体"/>
                <w:color w:val="auto"/>
                <w:kern w:val="0"/>
                <w:sz w:val="24"/>
                <w:szCs w:val="24"/>
                <w:highlight w:val="none"/>
              </w:rPr>
            </w:pPr>
          </w:p>
        </w:tc>
        <w:tc>
          <w:tcPr>
            <w:tcW w:w="1260" w:type="dxa"/>
            <w:noWrap w:val="0"/>
            <w:vAlign w:val="top"/>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887" w:type="dxa"/>
            <w:noWrap w:val="0"/>
            <w:vAlign w:val="center"/>
          </w:tcPr>
          <w:p>
            <w:pPr>
              <w:rPr>
                <w:rFonts w:hint="eastAsia" w:ascii="宋体" w:hAnsi="宋体" w:eastAsia="宋体" w:cs="宋体"/>
                <w:color w:val="auto"/>
                <w:kern w:val="0"/>
                <w:sz w:val="24"/>
                <w:szCs w:val="24"/>
                <w:highlight w:val="none"/>
              </w:rPr>
            </w:pPr>
          </w:p>
        </w:tc>
        <w:tc>
          <w:tcPr>
            <w:tcW w:w="3438" w:type="dxa"/>
            <w:noWrap w:val="0"/>
            <w:vAlign w:val="center"/>
          </w:tcPr>
          <w:p>
            <w:pPr>
              <w:rPr>
                <w:rFonts w:hint="eastAsia" w:ascii="宋体" w:hAnsi="宋体" w:eastAsia="宋体" w:cs="宋体"/>
                <w:color w:val="auto"/>
                <w:kern w:val="0"/>
                <w:sz w:val="24"/>
                <w:szCs w:val="24"/>
                <w:highlight w:val="none"/>
              </w:rPr>
            </w:pPr>
          </w:p>
        </w:tc>
        <w:tc>
          <w:tcPr>
            <w:tcW w:w="2197" w:type="dxa"/>
            <w:noWrap w:val="0"/>
            <w:vAlign w:val="center"/>
          </w:tcPr>
          <w:p>
            <w:pPr>
              <w:rPr>
                <w:rFonts w:hint="eastAsia" w:ascii="宋体" w:hAnsi="宋体" w:eastAsia="宋体" w:cs="宋体"/>
                <w:color w:val="auto"/>
                <w:kern w:val="0"/>
                <w:sz w:val="24"/>
                <w:szCs w:val="24"/>
                <w:highlight w:val="none"/>
              </w:rPr>
            </w:pPr>
          </w:p>
        </w:tc>
        <w:tc>
          <w:tcPr>
            <w:tcW w:w="727" w:type="dxa"/>
            <w:noWrap w:val="0"/>
            <w:vAlign w:val="center"/>
          </w:tcPr>
          <w:p>
            <w:pPr>
              <w:rPr>
                <w:rFonts w:hint="eastAsia" w:ascii="宋体" w:hAnsi="宋体" w:eastAsia="宋体" w:cs="宋体"/>
                <w:color w:val="auto"/>
                <w:kern w:val="0"/>
                <w:sz w:val="24"/>
                <w:szCs w:val="24"/>
                <w:highlight w:val="none"/>
              </w:rPr>
            </w:pPr>
          </w:p>
        </w:tc>
        <w:tc>
          <w:tcPr>
            <w:tcW w:w="1260" w:type="dxa"/>
            <w:noWrap w:val="0"/>
            <w:vAlign w:val="top"/>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887" w:type="dxa"/>
            <w:noWrap w:val="0"/>
            <w:vAlign w:val="center"/>
          </w:tcPr>
          <w:p>
            <w:pPr>
              <w:rPr>
                <w:rFonts w:hint="eastAsia" w:ascii="宋体" w:hAnsi="宋体" w:eastAsia="宋体" w:cs="宋体"/>
                <w:color w:val="auto"/>
                <w:kern w:val="0"/>
                <w:sz w:val="24"/>
                <w:szCs w:val="24"/>
                <w:highlight w:val="none"/>
              </w:rPr>
            </w:pPr>
          </w:p>
        </w:tc>
        <w:tc>
          <w:tcPr>
            <w:tcW w:w="3438" w:type="dxa"/>
            <w:noWrap w:val="0"/>
            <w:vAlign w:val="center"/>
          </w:tcPr>
          <w:p>
            <w:pPr>
              <w:rPr>
                <w:rFonts w:hint="eastAsia" w:ascii="宋体" w:hAnsi="宋体" w:eastAsia="宋体" w:cs="宋体"/>
                <w:color w:val="auto"/>
                <w:kern w:val="0"/>
                <w:sz w:val="24"/>
                <w:szCs w:val="24"/>
                <w:highlight w:val="none"/>
              </w:rPr>
            </w:pPr>
          </w:p>
        </w:tc>
        <w:tc>
          <w:tcPr>
            <w:tcW w:w="2197" w:type="dxa"/>
            <w:noWrap w:val="0"/>
            <w:vAlign w:val="center"/>
          </w:tcPr>
          <w:p>
            <w:pPr>
              <w:rPr>
                <w:rFonts w:hint="eastAsia" w:ascii="宋体" w:hAnsi="宋体" w:eastAsia="宋体" w:cs="宋体"/>
                <w:color w:val="auto"/>
                <w:kern w:val="0"/>
                <w:sz w:val="24"/>
                <w:szCs w:val="24"/>
                <w:highlight w:val="none"/>
              </w:rPr>
            </w:pPr>
          </w:p>
        </w:tc>
        <w:tc>
          <w:tcPr>
            <w:tcW w:w="727" w:type="dxa"/>
            <w:noWrap w:val="0"/>
            <w:vAlign w:val="center"/>
          </w:tcPr>
          <w:p>
            <w:pPr>
              <w:rPr>
                <w:rFonts w:hint="eastAsia" w:ascii="宋体" w:hAnsi="宋体" w:eastAsia="宋体" w:cs="宋体"/>
                <w:color w:val="auto"/>
                <w:kern w:val="0"/>
                <w:sz w:val="24"/>
                <w:szCs w:val="24"/>
                <w:highlight w:val="none"/>
              </w:rPr>
            </w:pPr>
          </w:p>
        </w:tc>
        <w:tc>
          <w:tcPr>
            <w:tcW w:w="1260" w:type="dxa"/>
            <w:noWrap w:val="0"/>
            <w:vAlign w:val="top"/>
          </w:tcPr>
          <w:p>
            <w:pPr>
              <w:rPr>
                <w:rFonts w:hint="eastAsia" w:ascii="宋体" w:hAnsi="宋体" w:eastAsia="宋体" w:cs="宋体"/>
                <w:color w:val="auto"/>
                <w:kern w:val="0"/>
                <w:sz w:val="24"/>
                <w:szCs w:val="24"/>
                <w:highlight w:val="none"/>
              </w:rPr>
            </w:pPr>
          </w:p>
        </w:tc>
      </w:tr>
    </w:tbl>
    <w:p>
      <w:pPr>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注：1.投标供应商必须对应《磋商内容》的内容逐条响应。清单必须与《报价明细表》一致</w:t>
      </w:r>
      <w:r>
        <w:rPr>
          <w:rFonts w:hint="eastAsia" w:ascii="宋体" w:hAnsi="宋体" w:cs="宋体"/>
          <w:color w:val="auto"/>
          <w:kern w:val="0"/>
          <w:sz w:val="24"/>
          <w:szCs w:val="24"/>
          <w:highlight w:val="none"/>
          <w:lang w:eastAsia="zh-CN"/>
        </w:rPr>
        <w:t>；</w:t>
      </w:r>
    </w:p>
    <w:p>
      <w:pPr>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2.投标供应商响应招标需求应具体、明确，含糊不清、不确切或伪造、变造证明材料的，按照不完全响应或者完全不响应处理。构成提供虚假材料的，移送监管部门查处</w:t>
      </w:r>
      <w:r>
        <w:rPr>
          <w:rFonts w:hint="eastAsia" w:ascii="宋体" w:hAnsi="宋体" w:cs="宋体"/>
          <w:color w:val="auto"/>
          <w:kern w:val="0"/>
          <w:sz w:val="24"/>
          <w:szCs w:val="24"/>
          <w:highlight w:val="none"/>
          <w:lang w:eastAsia="zh-CN"/>
        </w:rPr>
        <w:t>；</w:t>
      </w:r>
    </w:p>
    <w:p>
      <w:pPr>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3.说明：在偏离项必须注明正偏离、负偏离或无偏离。</w:t>
      </w:r>
    </w:p>
    <w:p>
      <w:pPr>
        <w:rPr>
          <w:rFonts w:hint="eastAsia" w:ascii="宋体" w:hAnsi="宋体" w:eastAsia="宋体" w:cs="宋体"/>
          <w:color w:val="auto"/>
          <w:szCs w:val="21"/>
          <w:highlight w:val="none"/>
          <w:lang w:val="en-GB"/>
        </w:rPr>
      </w:pPr>
    </w:p>
    <w:p>
      <w:pPr>
        <w:ind w:firstLine="482" w:firstLineChars="200"/>
        <w:rPr>
          <w:rFonts w:hint="eastAsia" w:ascii="宋体" w:hAnsi="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rPr>
        <w:t>1.3</w:t>
      </w:r>
      <w:r>
        <w:rPr>
          <w:rFonts w:hint="eastAsia" w:ascii="宋体" w:hAnsi="宋体" w:cs="宋体"/>
          <w:b/>
          <w:color w:val="auto"/>
          <w:kern w:val="0"/>
          <w:sz w:val="24"/>
          <w:szCs w:val="24"/>
          <w:highlight w:val="none"/>
          <w:lang w:val="en-US" w:eastAsia="zh-CN"/>
        </w:rPr>
        <w:t xml:space="preserve">  设计方案</w:t>
      </w:r>
      <w:r>
        <w:rPr>
          <w:rFonts w:hint="eastAsia" w:ascii="宋体" w:hAnsi="宋体" w:cs="宋体"/>
          <w:b/>
          <w:color w:val="auto"/>
          <w:kern w:val="0"/>
          <w:sz w:val="24"/>
          <w:szCs w:val="24"/>
          <w:highlight w:val="none"/>
          <w:lang w:eastAsia="zh-CN"/>
        </w:rPr>
        <w:t>：</w:t>
      </w:r>
      <w:r>
        <w:rPr>
          <w:rFonts w:hint="eastAsia" w:ascii="宋体" w:hAnsi="宋体" w:eastAsia="宋体" w:cs="宋体"/>
          <w:color w:val="auto"/>
          <w:kern w:val="0"/>
          <w:sz w:val="24"/>
          <w:szCs w:val="24"/>
          <w:highlight w:val="none"/>
        </w:rPr>
        <w:t>主要根据《</w:t>
      </w:r>
      <w:r>
        <w:rPr>
          <w:rFonts w:hint="eastAsia" w:ascii="宋体" w:hAnsi="宋体" w:cs="宋体"/>
          <w:color w:val="auto"/>
          <w:kern w:val="0"/>
          <w:sz w:val="24"/>
          <w:szCs w:val="24"/>
          <w:highlight w:val="none"/>
          <w:lang w:val="en-US" w:eastAsia="zh-CN"/>
        </w:rPr>
        <w:t>磋商内容</w:t>
      </w:r>
      <w:r>
        <w:rPr>
          <w:rFonts w:hint="eastAsia" w:ascii="宋体" w:hAnsi="宋体" w:eastAsia="宋体" w:cs="宋体"/>
          <w:color w:val="auto"/>
          <w:kern w:val="0"/>
          <w:sz w:val="24"/>
          <w:szCs w:val="24"/>
          <w:highlight w:val="none"/>
        </w:rPr>
        <w:t>》的要求</w:t>
      </w:r>
      <w:r>
        <w:rPr>
          <w:rFonts w:hint="eastAsia" w:ascii="宋体" w:hAnsi="宋体" w:cs="宋体"/>
          <w:color w:val="auto"/>
          <w:kern w:val="0"/>
          <w:sz w:val="24"/>
          <w:szCs w:val="24"/>
          <w:highlight w:val="none"/>
          <w:lang w:eastAsia="zh-CN"/>
        </w:rPr>
        <w:t>和详细评审表编制</w:t>
      </w:r>
      <w:r>
        <w:rPr>
          <w:rFonts w:hint="eastAsia" w:ascii="宋体" w:hAnsi="宋体" w:eastAsia="宋体" w:cs="宋体"/>
          <w:color w:val="auto"/>
          <w:kern w:val="0"/>
          <w:sz w:val="24"/>
          <w:szCs w:val="24"/>
          <w:highlight w:val="none"/>
        </w:rPr>
        <w:t>（格式自定）</w:t>
      </w:r>
    </w:p>
    <w:p>
      <w:pPr>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1.4</w:t>
      </w:r>
      <w:r>
        <w:rPr>
          <w:rFonts w:hint="eastAsia" w:ascii="宋体" w:hAnsi="宋体" w:cs="宋体"/>
          <w:b/>
          <w:color w:val="auto"/>
          <w:kern w:val="0"/>
          <w:sz w:val="24"/>
          <w:szCs w:val="24"/>
          <w:highlight w:val="none"/>
          <w:lang w:val="en-US" w:eastAsia="zh-CN"/>
        </w:rPr>
        <w:t xml:space="preserve">  </w:t>
      </w:r>
      <w:r>
        <w:rPr>
          <w:rFonts w:hint="eastAsia" w:ascii="宋体" w:hAnsi="宋体" w:eastAsia="宋体" w:cs="宋体"/>
          <w:b/>
          <w:color w:val="auto"/>
          <w:kern w:val="0"/>
          <w:sz w:val="24"/>
          <w:szCs w:val="24"/>
          <w:highlight w:val="none"/>
        </w:rPr>
        <w:t>实施方案及技术措施</w:t>
      </w:r>
      <w:r>
        <w:rPr>
          <w:rFonts w:hint="eastAsia" w:ascii="宋体" w:hAnsi="宋体" w:cs="宋体"/>
          <w:b/>
          <w:color w:val="auto"/>
          <w:kern w:val="0"/>
          <w:sz w:val="24"/>
          <w:szCs w:val="24"/>
          <w:highlight w:val="none"/>
          <w:lang w:eastAsia="zh-CN"/>
        </w:rPr>
        <w:t>：</w:t>
      </w:r>
      <w:r>
        <w:rPr>
          <w:rFonts w:hint="eastAsia" w:ascii="宋体" w:hAnsi="宋体" w:eastAsia="宋体" w:cs="宋体"/>
          <w:color w:val="auto"/>
          <w:kern w:val="0"/>
          <w:sz w:val="24"/>
          <w:szCs w:val="24"/>
          <w:highlight w:val="none"/>
        </w:rPr>
        <w:t>主要根据《</w:t>
      </w:r>
      <w:r>
        <w:rPr>
          <w:rFonts w:hint="eastAsia" w:ascii="宋体" w:hAnsi="宋体" w:cs="宋体"/>
          <w:color w:val="auto"/>
          <w:kern w:val="0"/>
          <w:sz w:val="24"/>
          <w:szCs w:val="24"/>
          <w:highlight w:val="none"/>
          <w:lang w:val="en-US" w:eastAsia="zh-CN"/>
        </w:rPr>
        <w:t>磋商内容</w:t>
      </w:r>
      <w:r>
        <w:rPr>
          <w:rFonts w:hint="eastAsia" w:ascii="宋体" w:hAnsi="宋体" w:eastAsia="宋体" w:cs="宋体"/>
          <w:color w:val="auto"/>
          <w:kern w:val="0"/>
          <w:sz w:val="24"/>
          <w:szCs w:val="24"/>
          <w:highlight w:val="none"/>
        </w:rPr>
        <w:t>》的要求</w:t>
      </w:r>
      <w:r>
        <w:rPr>
          <w:rFonts w:hint="eastAsia" w:ascii="宋体" w:hAnsi="宋体" w:cs="宋体"/>
          <w:color w:val="auto"/>
          <w:kern w:val="0"/>
          <w:sz w:val="24"/>
          <w:szCs w:val="24"/>
          <w:highlight w:val="none"/>
          <w:lang w:eastAsia="zh-CN"/>
        </w:rPr>
        <w:t>和详细评审表编制</w:t>
      </w:r>
      <w:r>
        <w:rPr>
          <w:rFonts w:hint="eastAsia" w:ascii="宋体" w:hAnsi="宋体" w:eastAsia="宋体" w:cs="宋体"/>
          <w:color w:val="auto"/>
          <w:kern w:val="0"/>
          <w:sz w:val="24"/>
          <w:szCs w:val="24"/>
          <w:highlight w:val="none"/>
        </w:rPr>
        <w:t>（格式自定）</w:t>
      </w:r>
    </w:p>
    <w:p>
      <w:pPr>
        <w:pStyle w:val="24"/>
        <w:spacing w:before="4" w:line="360" w:lineRule="exact"/>
        <w:ind w:right="129" w:firstLine="482" w:firstLineChars="200"/>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 xml:space="preserve">5  </w:t>
      </w:r>
      <w:r>
        <w:rPr>
          <w:rFonts w:hint="eastAsia" w:ascii="宋体" w:hAnsi="宋体" w:eastAsia="宋体" w:cs="宋体"/>
          <w:b/>
          <w:color w:val="auto"/>
          <w:kern w:val="0"/>
          <w:sz w:val="24"/>
          <w:szCs w:val="24"/>
          <w:highlight w:val="none"/>
        </w:rPr>
        <w:t>售后服务</w:t>
      </w:r>
      <w:r>
        <w:rPr>
          <w:rFonts w:hint="eastAsia" w:ascii="宋体" w:hAnsi="宋体" w:cs="宋体"/>
          <w:b/>
          <w:color w:val="auto"/>
          <w:kern w:val="0"/>
          <w:sz w:val="24"/>
          <w:szCs w:val="24"/>
          <w:highlight w:val="none"/>
          <w:lang w:eastAsia="zh-CN"/>
        </w:rPr>
        <w:t>：</w:t>
      </w:r>
      <w:r>
        <w:rPr>
          <w:rFonts w:hint="eastAsia" w:ascii="宋体" w:hAnsi="宋体" w:eastAsia="宋体" w:cs="宋体"/>
          <w:color w:val="auto"/>
          <w:kern w:val="0"/>
          <w:sz w:val="24"/>
          <w:szCs w:val="24"/>
          <w:highlight w:val="none"/>
        </w:rPr>
        <w:t>主要根据《</w:t>
      </w:r>
      <w:r>
        <w:rPr>
          <w:rFonts w:hint="eastAsia" w:ascii="宋体" w:hAnsi="宋体" w:cs="宋体"/>
          <w:color w:val="auto"/>
          <w:kern w:val="0"/>
          <w:sz w:val="24"/>
          <w:szCs w:val="24"/>
          <w:highlight w:val="none"/>
          <w:lang w:val="en-US" w:eastAsia="zh-CN"/>
        </w:rPr>
        <w:t>磋商内容</w:t>
      </w:r>
      <w:r>
        <w:rPr>
          <w:rFonts w:hint="eastAsia" w:ascii="宋体" w:hAnsi="宋体" w:eastAsia="宋体" w:cs="宋体"/>
          <w:color w:val="auto"/>
          <w:kern w:val="0"/>
          <w:sz w:val="24"/>
          <w:szCs w:val="24"/>
          <w:highlight w:val="none"/>
        </w:rPr>
        <w:t>》的要求</w:t>
      </w:r>
      <w:r>
        <w:rPr>
          <w:rFonts w:hint="eastAsia" w:ascii="宋体" w:hAnsi="宋体" w:cs="宋体"/>
          <w:color w:val="auto"/>
          <w:kern w:val="0"/>
          <w:sz w:val="24"/>
          <w:szCs w:val="24"/>
          <w:highlight w:val="none"/>
          <w:lang w:eastAsia="zh-CN"/>
        </w:rPr>
        <w:t>和详细评审表编制</w:t>
      </w:r>
      <w:r>
        <w:rPr>
          <w:rFonts w:hint="eastAsia" w:ascii="宋体" w:hAnsi="宋体" w:eastAsia="宋体" w:cs="宋体"/>
          <w:color w:val="auto"/>
          <w:kern w:val="0"/>
          <w:sz w:val="24"/>
          <w:szCs w:val="24"/>
          <w:highlight w:val="none"/>
        </w:rPr>
        <w:t>（格式自定）</w:t>
      </w:r>
    </w:p>
    <w:p>
      <w:pPr>
        <w:pStyle w:val="24"/>
        <w:spacing w:before="4" w:line="360" w:lineRule="exact"/>
        <w:ind w:left="4" w:right="129" w:firstLine="482" w:firstLineChars="200"/>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  安全与应急预案：</w:t>
      </w:r>
      <w:r>
        <w:rPr>
          <w:rFonts w:hint="eastAsia" w:ascii="宋体" w:hAnsi="宋体" w:eastAsia="宋体" w:cs="宋体"/>
          <w:color w:val="auto"/>
          <w:kern w:val="0"/>
          <w:sz w:val="24"/>
          <w:szCs w:val="24"/>
          <w:highlight w:val="none"/>
        </w:rPr>
        <w:t>主要根据《</w:t>
      </w:r>
      <w:r>
        <w:rPr>
          <w:rFonts w:hint="eastAsia" w:ascii="宋体" w:hAnsi="宋体" w:cs="宋体"/>
          <w:color w:val="auto"/>
          <w:kern w:val="0"/>
          <w:sz w:val="24"/>
          <w:szCs w:val="24"/>
          <w:highlight w:val="none"/>
          <w:lang w:val="en-US" w:eastAsia="zh-CN"/>
        </w:rPr>
        <w:t>磋商内容</w:t>
      </w:r>
      <w:r>
        <w:rPr>
          <w:rFonts w:hint="eastAsia" w:ascii="宋体" w:hAnsi="宋体" w:eastAsia="宋体" w:cs="宋体"/>
          <w:color w:val="auto"/>
          <w:kern w:val="0"/>
          <w:sz w:val="24"/>
          <w:szCs w:val="24"/>
          <w:highlight w:val="none"/>
        </w:rPr>
        <w:t>》的要求</w:t>
      </w:r>
      <w:r>
        <w:rPr>
          <w:rFonts w:hint="eastAsia" w:ascii="宋体" w:hAnsi="宋体" w:cs="宋体"/>
          <w:color w:val="auto"/>
          <w:kern w:val="0"/>
          <w:sz w:val="24"/>
          <w:szCs w:val="24"/>
          <w:highlight w:val="none"/>
          <w:lang w:eastAsia="zh-CN"/>
        </w:rPr>
        <w:t>和详细评审表编制</w:t>
      </w:r>
      <w:r>
        <w:rPr>
          <w:rFonts w:hint="eastAsia" w:ascii="宋体" w:hAnsi="宋体" w:eastAsia="宋体" w:cs="宋体"/>
          <w:color w:val="auto"/>
          <w:kern w:val="0"/>
          <w:sz w:val="24"/>
          <w:szCs w:val="24"/>
          <w:highlight w:val="none"/>
        </w:rPr>
        <w:t>（格式自定）</w:t>
      </w:r>
    </w:p>
    <w:p>
      <w:pPr>
        <w:ind w:firstLine="482" w:firstLineChars="200"/>
        <w:rPr>
          <w:rFonts w:hint="eastAsia" w:ascii="宋体" w:hAnsi="宋体" w:eastAsia="宋体" w:cs="宋体"/>
          <w:b/>
          <w:color w:val="auto"/>
          <w:kern w:val="0"/>
          <w:sz w:val="24"/>
          <w:szCs w:val="24"/>
          <w:highlight w:val="none"/>
          <w:lang w:eastAsia="zh-CN"/>
        </w:rPr>
      </w:pPr>
      <w:r>
        <w:rPr>
          <w:rFonts w:hint="eastAsia" w:ascii="宋体" w:hAnsi="宋体" w:cs="宋体"/>
          <w:b/>
          <w:color w:val="auto"/>
          <w:kern w:val="0"/>
          <w:sz w:val="24"/>
          <w:szCs w:val="24"/>
          <w:highlight w:val="none"/>
          <w:lang w:val="en-US" w:eastAsia="zh-CN"/>
        </w:rPr>
        <w:t xml:space="preserve">1.7  </w:t>
      </w:r>
      <w:r>
        <w:rPr>
          <w:rFonts w:hint="eastAsia" w:ascii="宋体" w:hAnsi="宋体" w:eastAsia="宋体" w:cs="宋体"/>
          <w:b/>
          <w:color w:val="auto"/>
          <w:kern w:val="0"/>
          <w:sz w:val="24"/>
          <w:szCs w:val="24"/>
          <w:highlight w:val="none"/>
        </w:rPr>
        <w:t>投标供应商认为必要说明的其他内容</w:t>
      </w:r>
      <w:r>
        <w:rPr>
          <w:rFonts w:hint="eastAsia" w:ascii="宋体" w:hAnsi="宋体" w:cs="宋体"/>
          <w:b/>
          <w:color w:val="auto"/>
          <w:kern w:val="0"/>
          <w:sz w:val="24"/>
          <w:szCs w:val="24"/>
          <w:highlight w:val="none"/>
          <w:lang w:eastAsia="zh-CN"/>
        </w:rPr>
        <w:t>（根据采购需求和详细评审表</w:t>
      </w:r>
      <w:r>
        <w:rPr>
          <w:rFonts w:hint="eastAsia" w:ascii="宋体" w:hAnsi="宋体" w:cs="宋体"/>
          <w:b/>
          <w:color w:val="auto"/>
          <w:kern w:val="0"/>
          <w:sz w:val="24"/>
          <w:szCs w:val="24"/>
          <w:highlight w:val="none"/>
          <w:lang w:val="en-US" w:eastAsia="zh-CN"/>
        </w:rPr>
        <w:t>编制</w:t>
      </w:r>
      <w:r>
        <w:rPr>
          <w:rFonts w:hint="eastAsia" w:ascii="宋体" w:hAnsi="宋体" w:cs="宋体"/>
          <w:b/>
          <w:color w:val="auto"/>
          <w:kern w:val="0"/>
          <w:sz w:val="24"/>
          <w:szCs w:val="24"/>
          <w:highlight w:val="none"/>
          <w:lang w:eastAsia="zh-CN"/>
        </w:rPr>
        <w:t>）</w:t>
      </w:r>
    </w:p>
    <w:p>
      <w:pPr>
        <w:rPr>
          <w:rFonts w:hint="eastAsia" w:ascii="宋体" w:hAnsi="宋体" w:eastAsia="宋体" w:cs="宋体"/>
          <w:color w:val="auto"/>
          <w:szCs w:val="21"/>
          <w:highlight w:val="none"/>
          <w:lang w:val="en-GB"/>
        </w:rPr>
      </w:pPr>
    </w:p>
    <w:p>
      <w:pPr>
        <w:rPr>
          <w:rFonts w:hint="eastAsia" w:ascii="宋体" w:hAnsi="宋体" w:eastAsia="宋体" w:cs="宋体"/>
          <w:color w:val="auto"/>
          <w:szCs w:val="21"/>
          <w:highlight w:val="none"/>
          <w:lang w:val="en-GB"/>
        </w:rPr>
      </w:pPr>
    </w:p>
    <w:p>
      <w:pPr>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kern w:val="0"/>
          <w:sz w:val="24"/>
          <w:szCs w:val="24"/>
          <w:highlight w:val="none"/>
        </w:rPr>
        <w:t>2</w:t>
      </w:r>
      <w:r>
        <w:rPr>
          <w:rFonts w:hint="eastAsia" w:ascii="宋体" w:hAnsi="宋体" w:eastAsia="宋体" w:cs="宋体"/>
          <w:b/>
          <w:color w:val="auto"/>
          <w:kern w:val="0"/>
          <w:sz w:val="24"/>
          <w:szCs w:val="24"/>
          <w:highlight w:val="none"/>
        </w:rPr>
        <w:tab/>
      </w:r>
      <w:r>
        <w:rPr>
          <w:rFonts w:hint="eastAsia" w:ascii="宋体" w:hAnsi="宋体" w:eastAsia="宋体" w:cs="宋体"/>
          <w:b/>
          <w:color w:val="auto"/>
          <w:kern w:val="0"/>
          <w:sz w:val="24"/>
          <w:szCs w:val="24"/>
          <w:highlight w:val="none"/>
        </w:rPr>
        <w:t>拟任执行管理及技术人员情况</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040"/>
        <w:gridCol w:w="944"/>
        <w:gridCol w:w="2636"/>
        <w:gridCol w:w="697"/>
        <w:gridCol w:w="69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职责分工</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944"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现职务</w:t>
            </w:r>
          </w:p>
        </w:tc>
        <w:tc>
          <w:tcPr>
            <w:tcW w:w="2636" w:type="dxa"/>
            <w:tcBorders>
              <w:top w:val="single" w:color="auto" w:sz="4" w:space="0"/>
              <w:bottom w:val="single" w:color="auto" w:sz="4" w:space="0"/>
            </w:tcBorders>
            <w:noWrap w:val="0"/>
            <w:vAlign w:val="center"/>
          </w:tcPr>
          <w:p>
            <w:pP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曾主持/参与的</w:t>
            </w:r>
          </w:p>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同类项目经历</w:t>
            </w:r>
          </w:p>
        </w:tc>
        <w:tc>
          <w:tcPr>
            <w:tcW w:w="697" w:type="dxa"/>
            <w:tcBorders>
              <w:top w:val="single" w:color="auto" w:sz="4" w:space="0"/>
              <w:bottom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职称</w:t>
            </w:r>
          </w:p>
        </w:tc>
        <w:tc>
          <w:tcPr>
            <w:tcW w:w="697"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专业工龄</w:t>
            </w:r>
          </w:p>
        </w:tc>
        <w:tc>
          <w:tcPr>
            <w:tcW w:w="1567"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422"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项目负责人</w:t>
            </w: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36"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422"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项目设计师</w:t>
            </w: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36"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422"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项目施工技术负责人</w:t>
            </w: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36"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1422"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专业人员</w:t>
            </w: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36"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36"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422" w:type="dxa"/>
            <w:vMerge w:val="continue"/>
            <w:tcBorders>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36"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restart"/>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其他主要技术人员</w:t>
            </w: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36"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36"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36"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36"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44"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36"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bl>
    <w:p>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注：根据评审表的要求提交相应资料</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如身份证</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职称证</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资格证书</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业绩证明等资料</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pPr>
        <w:rPr>
          <w:rFonts w:hint="eastAsia" w:ascii="宋体" w:hAnsi="宋体" w:eastAsia="宋体" w:cs="宋体"/>
          <w:color w:val="auto"/>
          <w:szCs w:val="21"/>
          <w:highlight w:val="none"/>
          <w:lang w:val="en-GB"/>
        </w:rPr>
      </w:pPr>
    </w:p>
    <w:p>
      <w:pPr>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w:t>
      </w:r>
      <w:r>
        <w:rPr>
          <w:rFonts w:hint="eastAsia" w:ascii="宋体" w:hAnsi="宋体" w:eastAsia="宋体" w:cs="宋体"/>
          <w:b/>
          <w:color w:val="auto"/>
          <w:kern w:val="0"/>
          <w:sz w:val="24"/>
          <w:szCs w:val="24"/>
          <w:highlight w:val="none"/>
        </w:rPr>
        <w:tab/>
      </w:r>
      <w:r>
        <w:rPr>
          <w:rFonts w:hint="eastAsia" w:ascii="宋体" w:hAnsi="宋体" w:eastAsia="宋体" w:cs="宋体"/>
          <w:b/>
          <w:color w:val="auto"/>
          <w:kern w:val="0"/>
          <w:sz w:val="24"/>
          <w:szCs w:val="24"/>
          <w:highlight w:val="none"/>
        </w:rPr>
        <w:t>履约进度计划表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618" w:type="dxa"/>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拟定时间安排</w:t>
            </w:r>
          </w:p>
        </w:tc>
        <w:tc>
          <w:tcPr>
            <w:tcW w:w="3119" w:type="dxa"/>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计划完成的工作内容</w:t>
            </w:r>
          </w:p>
        </w:tc>
        <w:tc>
          <w:tcPr>
            <w:tcW w:w="2510" w:type="dxa"/>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color w:val="auto"/>
                <w:kern w:val="0"/>
                <w:sz w:val="24"/>
                <w:szCs w:val="24"/>
                <w:highlight w:val="none"/>
              </w:rPr>
            </w:pPr>
          </w:p>
        </w:tc>
        <w:tc>
          <w:tcPr>
            <w:tcW w:w="2618" w:type="dxa"/>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拟定  年  月   日</w:t>
            </w:r>
          </w:p>
        </w:tc>
        <w:tc>
          <w:tcPr>
            <w:tcW w:w="3119" w:type="dxa"/>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签定合同并生效</w:t>
            </w:r>
          </w:p>
        </w:tc>
        <w:tc>
          <w:tcPr>
            <w:tcW w:w="2510" w:type="dxa"/>
            <w:noWrap w:val="0"/>
            <w:vAlign w:val="center"/>
          </w:tcPr>
          <w:p>
            <w:pP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color w:val="auto"/>
                <w:kern w:val="0"/>
                <w:sz w:val="24"/>
                <w:szCs w:val="24"/>
                <w:highlight w:val="none"/>
              </w:rPr>
            </w:pPr>
          </w:p>
        </w:tc>
        <w:tc>
          <w:tcPr>
            <w:tcW w:w="2618" w:type="dxa"/>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月   日—   月   日</w:t>
            </w:r>
          </w:p>
        </w:tc>
        <w:tc>
          <w:tcPr>
            <w:tcW w:w="3119" w:type="dxa"/>
            <w:noWrap w:val="0"/>
            <w:vAlign w:val="center"/>
          </w:tcPr>
          <w:p>
            <w:pPr>
              <w:rPr>
                <w:rFonts w:hint="eastAsia" w:ascii="宋体" w:hAnsi="宋体" w:eastAsia="宋体" w:cs="宋体"/>
                <w:color w:val="auto"/>
                <w:kern w:val="0"/>
                <w:sz w:val="24"/>
                <w:szCs w:val="24"/>
                <w:highlight w:val="none"/>
              </w:rPr>
            </w:pPr>
          </w:p>
        </w:tc>
        <w:tc>
          <w:tcPr>
            <w:tcW w:w="2510" w:type="dxa"/>
            <w:noWrap w:val="0"/>
            <w:vAlign w:val="center"/>
          </w:tcPr>
          <w:p>
            <w:pP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color w:val="auto"/>
                <w:kern w:val="0"/>
                <w:sz w:val="24"/>
                <w:szCs w:val="24"/>
                <w:highlight w:val="none"/>
              </w:rPr>
            </w:pPr>
          </w:p>
        </w:tc>
        <w:tc>
          <w:tcPr>
            <w:tcW w:w="2618" w:type="dxa"/>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月   日—   月   日</w:t>
            </w:r>
          </w:p>
        </w:tc>
        <w:tc>
          <w:tcPr>
            <w:tcW w:w="3119" w:type="dxa"/>
            <w:noWrap w:val="0"/>
            <w:vAlign w:val="center"/>
          </w:tcPr>
          <w:p>
            <w:pPr>
              <w:rPr>
                <w:rFonts w:hint="eastAsia" w:ascii="宋体" w:hAnsi="宋体" w:eastAsia="宋体" w:cs="宋体"/>
                <w:color w:val="auto"/>
                <w:kern w:val="0"/>
                <w:sz w:val="24"/>
                <w:szCs w:val="24"/>
                <w:highlight w:val="none"/>
              </w:rPr>
            </w:pPr>
          </w:p>
        </w:tc>
        <w:tc>
          <w:tcPr>
            <w:tcW w:w="2510" w:type="dxa"/>
            <w:noWrap w:val="0"/>
            <w:vAlign w:val="center"/>
          </w:tcPr>
          <w:p>
            <w:pP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color w:val="auto"/>
                <w:kern w:val="0"/>
                <w:sz w:val="24"/>
                <w:szCs w:val="24"/>
                <w:highlight w:val="none"/>
              </w:rPr>
            </w:pPr>
          </w:p>
        </w:tc>
        <w:tc>
          <w:tcPr>
            <w:tcW w:w="2618" w:type="dxa"/>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月   日—   月   日</w:t>
            </w:r>
          </w:p>
        </w:tc>
        <w:tc>
          <w:tcPr>
            <w:tcW w:w="3119" w:type="dxa"/>
            <w:noWrap w:val="0"/>
            <w:vAlign w:val="center"/>
          </w:tcPr>
          <w:p>
            <w:pPr>
              <w:rPr>
                <w:rFonts w:hint="eastAsia" w:ascii="宋体" w:hAnsi="宋体" w:eastAsia="宋体" w:cs="宋体"/>
                <w:color w:val="auto"/>
                <w:kern w:val="0"/>
                <w:sz w:val="24"/>
                <w:szCs w:val="24"/>
                <w:highlight w:val="none"/>
              </w:rPr>
            </w:pPr>
          </w:p>
        </w:tc>
        <w:tc>
          <w:tcPr>
            <w:tcW w:w="2510" w:type="dxa"/>
            <w:noWrap w:val="0"/>
            <w:vAlign w:val="center"/>
          </w:tcPr>
          <w:p>
            <w:pPr>
              <w:rPr>
                <w:rFonts w:hint="eastAsia" w:ascii="宋体" w:hAnsi="宋体" w:eastAsia="宋体" w:cs="宋体"/>
                <w:color w:val="auto"/>
                <w:kern w:val="0"/>
                <w:sz w:val="24"/>
                <w:szCs w:val="24"/>
                <w:highlight w:val="none"/>
              </w:rPr>
            </w:pPr>
          </w:p>
        </w:tc>
      </w:tr>
    </w:tbl>
    <w:p>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注：各投标供应商根据项目内容要求及时间范围要求，制定各子项目详细、科学合理、可执行的项目实施计划排期表</w:t>
      </w:r>
    </w:p>
    <w:p>
      <w:pPr>
        <w:rPr>
          <w:rFonts w:hint="eastAsia" w:ascii="宋体" w:hAnsi="宋体" w:eastAsia="宋体" w:cs="宋体"/>
          <w:color w:val="auto"/>
          <w:kern w:val="0"/>
          <w:sz w:val="24"/>
          <w:szCs w:val="24"/>
          <w:highlight w:val="none"/>
        </w:rPr>
      </w:pPr>
    </w:p>
    <w:p>
      <w:pPr>
        <w:ind w:firstLine="482" w:firstLineChars="200"/>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ab/>
      </w:r>
      <w:r>
        <w:rPr>
          <w:rFonts w:hint="eastAsia" w:ascii="宋体" w:hAnsi="宋体" w:eastAsia="宋体" w:cs="宋体"/>
          <w:b/>
          <w:color w:val="auto"/>
          <w:kern w:val="0"/>
          <w:sz w:val="24"/>
          <w:szCs w:val="24"/>
          <w:highlight w:val="none"/>
        </w:rPr>
        <w:t>需要采购人提供的附加条件</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8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28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投标人需要采购人提供的附加条件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 w:val="24"/>
                <w:szCs w:val="24"/>
                <w:highlight w:val="none"/>
              </w:rPr>
            </w:pPr>
          </w:p>
        </w:tc>
        <w:tc>
          <w:tcPr>
            <w:tcW w:w="828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 w:val="24"/>
                <w:szCs w:val="24"/>
                <w:highlight w:val="none"/>
              </w:rPr>
            </w:pPr>
          </w:p>
        </w:tc>
        <w:tc>
          <w:tcPr>
            <w:tcW w:w="828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 w:val="24"/>
                <w:szCs w:val="24"/>
                <w:highlight w:val="none"/>
              </w:rPr>
            </w:pPr>
          </w:p>
        </w:tc>
        <w:tc>
          <w:tcPr>
            <w:tcW w:w="828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 w:val="24"/>
                <w:szCs w:val="24"/>
                <w:highlight w:val="none"/>
              </w:rPr>
            </w:pPr>
          </w:p>
        </w:tc>
        <w:tc>
          <w:tcPr>
            <w:tcW w:w="828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 w:val="24"/>
                <w:szCs w:val="24"/>
                <w:highlight w:val="none"/>
              </w:rPr>
            </w:pPr>
          </w:p>
        </w:tc>
      </w:tr>
    </w:tbl>
    <w:p>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注：投标人完成本项目需要采购人配合或提供的条件必须在上表列出，否则将视为投标人同意按现有条件完成本项目。如上表所列附加条件含有采购人不能接受的，将被视为投标无效。</w:t>
      </w:r>
    </w:p>
    <w:p>
      <w:pPr>
        <w:rPr>
          <w:rFonts w:hint="eastAsia" w:ascii="宋体" w:hAnsi="宋体" w:eastAsia="宋体" w:cs="宋体"/>
          <w:color w:val="auto"/>
          <w:szCs w:val="21"/>
          <w:highlight w:val="none"/>
          <w:lang w:val="en-GB"/>
        </w:rPr>
      </w:pPr>
    </w:p>
    <w:p>
      <w:pPr>
        <w:rPr>
          <w:rFonts w:hint="eastAsia" w:ascii="宋体" w:hAnsi="宋体" w:eastAsia="宋体" w:cs="宋体"/>
          <w:b/>
          <w:color w:val="auto"/>
          <w:kern w:val="0"/>
          <w:sz w:val="24"/>
          <w:szCs w:val="24"/>
          <w:highlight w:val="none"/>
        </w:rPr>
      </w:pPr>
    </w:p>
    <w:p>
      <w:pPr>
        <w:ind w:firstLine="482" w:firstLineChars="200"/>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5</w:t>
      </w:r>
      <w:r>
        <w:rPr>
          <w:rFonts w:hint="eastAsia" w:ascii="宋体" w:hAnsi="宋体" w:eastAsia="宋体" w:cs="宋体"/>
          <w:b/>
          <w:color w:val="auto"/>
          <w:kern w:val="0"/>
          <w:sz w:val="24"/>
          <w:szCs w:val="24"/>
          <w:highlight w:val="none"/>
        </w:rPr>
        <w:tab/>
      </w:r>
      <w:r>
        <w:rPr>
          <w:rFonts w:hint="eastAsia" w:ascii="宋体" w:hAnsi="宋体" w:eastAsia="宋体" w:cs="宋体"/>
          <w:b/>
          <w:color w:val="auto"/>
          <w:kern w:val="0"/>
          <w:sz w:val="24"/>
          <w:szCs w:val="24"/>
          <w:highlight w:val="none"/>
        </w:rPr>
        <w:t>其它重要事项说明及承诺</w:t>
      </w:r>
    </w:p>
    <w:p>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（如有，请扼要叙述）</w:t>
      </w:r>
    </w:p>
    <w:p>
      <w:pPr>
        <w:pStyle w:val="8"/>
        <w:kinsoku w:val="0"/>
        <w:overflowPunct w:val="0"/>
        <w:spacing w:before="34" w:line="357" w:lineRule="auto"/>
        <w:ind w:left="0" w:right="126" w:firstLine="48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36"/>
          <w:szCs w:val="36"/>
          <w:highlight w:val="none"/>
        </w:rPr>
        <w:t>十六、供应商认为需要提交的技术资料</w:t>
      </w:r>
    </w:p>
    <w:p>
      <w:pPr>
        <w:rPr>
          <w:rFonts w:hint="eastAsia" w:ascii="宋体" w:hAnsi="宋体" w:eastAsia="宋体" w:cs="宋体"/>
          <w:color w:val="auto"/>
          <w:highlight w:val="none"/>
        </w:rPr>
      </w:pPr>
    </w:p>
    <w:sectPr>
      <w:footerReference r:id="rId9" w:type="first"/>
      <w:footerReference r:id="rId8" w:type="default"/>
      <w:pgSz w:w="11910" w:h="16840"/>
      <w:pgMar w:top="1040" w:right="1137" w:bottom="960" w:left="1080" w:header="763" w:footer="766" w:gutter="0"/>
      <w:pgBorders>
        <w:top w:val="none" w:sz="0" w:space="0"/>
        <w:left w:val="none" w:sz="0" w:space="0"/>
        <w:bottom w:val="none" w:sz="0" w:space="0"/>
        <w:right w:val="none" w:sz="0" w:space="0"/>
      </w:pgBorders>
      <w:pgNumType w:fmt="numberInDash"/>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4"/>
        <w:szCs w:val="24"/>
      </w:rP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tabs>
                              <w:tab w:val="center" w:pos="4140"/>
                              <w:tab w:val="right" w:pos="8300"/>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VJs8oBAACd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nLN5Q4bnHk558/zr8ezw/f&#10;SXaiRH2AGjPvAuam4b0fMH32Azoz80FFm7/IiWAcBT5dBJZDIiI/Wi1XqwpDAmPzBfHZ0/MQIX2Q&#10;3pJsNDTiBIuw/PgJ0pg6p+Rqzt9qY8oUjfvLgZjZw3LvY4/ZSsNumAjtfHtCPj0Ov6EOd50S89Gh&#10;tnlPZiPOxm42DiHqfVcWKdeD8O6QsInSW64wwk6FcWqF3bRheS3+vJesp79q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yVJs8oBAACdAwAADgAAAAAAAAABACAAAAAeAQAAZHJzL2Uyb0Rv&#10;Yy54bWxQSwUGAAAAAAYABgBZAQAAWgUAAAAA&#10;">
              <v:fill on="f" focussize="0,0"/>
              <v:stroke on="f"/>
              <v:imagedata o:title=""/>
              <o:lock v:ext="edit" aspectratio="f"/>
              <v:textbox inset="0mm,0mm,0mm,0mm" style="mso-fit-shape-to-text:t;">
                <w:txbxContent>
                  <w:p>
                    <w:pPr>
                      <w:pStyle w:val="10"/>
                      <w:tabs>
                        <w:tab w:val="center" w:pos="4140"/>
                        <w:tab w:val="right" w:pos="8300"/>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7 -</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5jDvsoBAACd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nLN5Q4bnHk558/zr8ezw/f&#10;SXaiRH2AGjPvAuam4b0fMH32Azoz80FFm7/IiWAcBT5dBJZDIiI/Wi1XqwpDAmPzBfHZ0/MQIX2Q&#10;3pJsNDTiBIuw/PgJ0pg6p+Rqzt9qY8oUjfvLgZjZw3LvY4/ZSsNumAjtfHtCPj0Ov6EOd50S89Gh&#10;tnlPZiPOxm42DiHqfVcWKdeD8O6QsInSW64wwk6FcWqF3bRheS3+vJesp79q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5jDvsoBAACdAwAADgAAAAAAAAABACAAAAAeAQAAZHJzL2Uyb0Rv&#10;Yy54bWxQSwUGAAAAAAYABgBZAQAAWgUAAAAA&#10;">
              <v:fill on="f" focussize="0,0"/>
              <v:stroke on="f"/>
              <v:imagedata o:title=""/>
              <o:lock v:ext="edit" aspectratio="f"/>
              <v:textbox inset="0mm,0mm,0mm,0mm" style="mso-fit-shape-to-text:t;">
                <w:txbxContent>
                  <w:p>
                    <w:pPr>
                      <w:pStyle w:val="10"/>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7 -</w:t>
                    </w:r>
                    <w:r>
                      <w:rPr>
                        <w:sz w:val="24"/>
                        <w:szCs w:val="24"/>
                      </w:rPr>
                      <w:fldChar w:fldCharType="end"/>
                    </w: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posOffset>2992120</wp:posOffset>
              </wp:positionH>
              <wp:positionV relativeFrom="paragraph">
                <wp:posOffset>-19050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- 0 -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35.6pt;margin-top:-1.5pt;height:144pt;width:144pt;mso-position-horizontal-relative:margin;mso-wrap-style:none;z-index:251662336;mso-width-relative:page;mso-height-relative:page;" filled="f" stroked="f" coordsize="21600,21600" o:gfxdata="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zZbeNcAAAAKAQAADwAAAAAAAAABACAAAAAiAAAAZHJzL2Rv&#10;d25yZXYueG1sUEsBAhQAFAAAAAgAh07iQBRQUArJAQAAnQMAAA4AAAAAAAAAAQAgAAAAJgEAAGRy&#10;cy9lMm9Eb2MueG1sUEsFBgAAAAAGAAYAWQEAAGEFAAAAAA==&#10;">
              <v:fill on="f" focussize="0,0"/>
              <v:stroke on="f"/>
              <v:imagedata o:title=""/>
              <o:lock v:ext="edit" aspectratio="f"/>
              <v:textbox inset="0mm,0mm,0mm,0mm" style="mso-fit-shape-to-text:t;">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- 0 -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insoku w:val="0"/>
      <w:overflowPunct w:val="0"/>
      <w:spacing w:before="0" w:line="14" w:lineRule="auto"/>
      <w:ind w:left="0"/>
      <w:rPr>
        <w:rFonts w:ascii="Times New Roman" w:eastAsia="宋体" w:cs="Times New Roman"/>
        <w:sz w:val="20"/>
        <w:szCs w:val="20"/>
      </w:rPr>
    </w:pPr>
    <w:r>
      <w:rPr>
        <w:sz w:val="24"/>
      </w:rPr>
      <w:pict>
        <v:shape id="PowerPlusWaterMarkObject37265" o:spid="_x0000_s2053" o:spt="136" type="#_x0000_t136" style="position:absolute;left:0pt;margin-left:21.5pt;margin-top:295.75pt;height:23pt;width:413.5pt;mso-position-horizontal-relative:margin;mso-position-vertical-relative:margin;rotation:-2949120f;z-index:-251652096;mso-width-relative:page;mso-height-relative:page;" fillcolor="#C0C0C0" filled="t" stroked="f" coordsize="21600,21600" adj="10800">
          <v:path/>
          <v:fill on="t" color2="#FFFFFF" opacity="32768f" focussize="0,0"/>
          <v:stroke on="f"/>
          <v:imagedata o:title=""/>
          <o:lock v:ext="edit" aspectratio="t"/>
          <v:textpath on="t" fitshape="t" fitpath="t" trim="t" xscale="f" string="新疆维吾尔自治区文化馆建设录音棚项目（二次）&#10;" style="font-family:宋体;font-size:20pt;v-same-letter-heights:f;v-text-align:center;"/>
        </v:shape>
      </w:pict>
    </w:r>
    <w:r>
      <mc:AlternateContent>
        <mc:Choice Requires="wps">
          <w:drawing>
            <wp:anchor distT="0" distB="0" distL="114300" distR="114300" simplePos="0" relativeHeight="251660288" behindDoc="1" locked="0" layoutInCell="0" allowOverlap="1">
              <wp:simplePos x="0" y="0"/>
              <wp:positionH relativeFrom="page">
                <wp:posOffset>900430</wp:posOffset>
              </wp:positionH>
              <wp:positionV relativeFrom="page">
                <wp:posOffset>675640</wp:posOffset>
              </wp:positionV>
              <wp:extent cx="5760085" cy="12700"/>
              <wp:effectExtent l="0" t="0" r="0" b="0"/>
              <wp:wrapNone/>
              <wp:docPr id="121" name="任意多边形 121"/>
              <wp:cNvGraphicFramePr/>
              <a:graphic xmlns:a="http://schemas.openxmlformats.org/drawingml/2006/main">
                <a:graphicData uri="http://schemas.microsoft.com/office/word/2010/wordprocessingShape">
                  <wps:wsp>
                    <wps:cNvSpPr/>
                    <wps:spPr>
                      <a:xfrm>
                        <a:off x="0" y="0"/>
                        <a:ext cx="5760085" cy="12700"/>
                      </a:xfrm>
                      <a:custGeom>
                        <a:avLst/>
                        <a:gdLst/>
                        <a:ahLst/>
                        <a:cxnLst/>
                        <a:pathLst>
                          <a:path w="9071" h="20">
                            <a:moveTo>
                              <a:pt x="0" y="0"/>
                            </a:moveTo>
                            <a:lnTo>
                              <a:pt x="9071" y="0"/>
                            </a:lnTo>
                          </a:path>
                        </a:pathLst>
                      </a:custGeom>
                      <a:noFill/>
                      <a:ln w="10414"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0.9pt;margin-top:53.2pt;height:1pt;width:453.55pt;mso-position-horizontal-relative:page;mso-position-vertical-relative:page;z-index:-251656192;mso-width-relative:page;mso-height-relative:page;" filled="f" stroked="t" coordsize="9071,20" o:allowincell="f" o:gfxdata="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FL2iy2gAAAAwBAAAPAAAAAAAAAAEAIAAAACIAAABkcnMvZG93&#10;bnJldi54bWxQSwECFAAUAAAACACHTuJAMWMQuTcCAACSBAAADgAAAAAAAAABACAAAAApAQAAZHJz&#10;L2Uyb0RvYy54bWxQSwUGAAAAAAYABgBZAQAA0gUAAAAA&#10;" path="m0,0l9071,0e">
              <v:fill on="f" focussize="0,0"/>
              <v:stroke weight="0.82pt"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PowerPlusWaterMarkObject65150" o:spid="_x0000_s2054" o:spt="136" type="#_x0000_t136" style="position:absolute;left:0pt;height:23pt;width:413pt;mso-position-horizontal:center;mso-position-horizontal-relative:margin;mso-position-vertical:center;mso-position-vertical-relative:margin;rotation:-2949120f;z-index:-251651072;mso-width-relative:page;mso-height-relative:page;" fillcolor="#C0C0C0" filled="t" stroked="f" coordsize="21600,21600" adj="10800">
          <v:path/>
          <v:fill on="t" color2="#FFFFFF" opacity="32768f" focussize="0,0"/>
          <v:stroke on="f"/>
          <v:imagedata o:title=""/>
          <o:lock v:ext="edit" aspectratio="t"/>
          <v:textpath on="t" fitshape="t" fitpath="t" trim="t" xscale="f" string="新疆维吾尔自治区文化馆建设录音棚项目（二次）" style="font-family:宋体;font-size:20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D7BE3C"/>
    <w:multiLevelType w:val="singleLevel"/>
    <w:tmpl w:val="C3D7BE3C"/>
    <w:lvl w:ilvl="0" w:tentative="0">
      <w:start w:val="4"/>
      <w:numFmt w:val="chineseCounting"/>
      <w:lvlText w:val="第%1章"/>
      <w:lvlJc w:val="left"/>
      <w:rPr>
        <w:rFonts w:hint="eastAsia"/>
      </w:rPr>
    </w:lvl>
  </w:abstractNum>
  <w:abstractNum w:abstractNumId="1">
    <w:nsid w:val="D10DCD09"/>
    <w:multiLevelType w:val="singleLevel"/>
    <w:tmpl w:val="D10DCD09"/>
    <w:lvl w:ilvl="0" w:tentative="0">
      <w:start w:val="1"/>
      <w:numFmt w:val="chineseCounting"/>
      <w:suff w:val="nothing"/>
      <w:lvlText w:val="%1、"/>
      <w:lvlJc w:val="left"/>
      <w:rPr>
        <w:rFonts w:hint="eastAsia"/>
      </w:rPr>
    </w:lvl>
  </w:abstractNum>
  <w:abstractNum w:abstractNumId="2">
    <w:nsid w:val="DDD85877"/>
    <w:multiLevelType w:val="singleLevel"/>
    <w:tmpl w:val="DDD85877"/>
    <w:lvl w:ilvl="0" w:tentative="0">
      <w:start w:val="9"/>
      <w:numFmt w:val="chineseCounting"/>
      <w:suff w:val="nothing"/>
      <w:lvlText w:val="%1、"/>
      <w:lvlJc w:val="left"/>
      <w:rPr>
        <w:rFonts w:hint="eastAsia"/>
      </w:rPr>
    </w:lvl>
  </w:abstractNum>
  <w:abstractNum w:abstractNumId="3">
    <w:nsid w:val="59A8DD43"/>
    <w:multiLevelType w:val="singleLevel"/>
    <w:tmpl w:val="59A8DD43"/>
    <w:lvl w:ilvl="0" w:tentative="0">
      <w:start w:val="4"/>
      <w:numFmt w:val="decimal"/>
      <w:suff w:val="nothing"/>
      <w:lvlText w:val="（%1）"/>
      <w:lvlJc w:val="left"/>
      <w:rPr>
        <w:rFonts w:hint="eastAsia" w:cs="Times New Roman"/>
      </w:rPr>
    </w:lvl>
  </w:abstractNum>
  <w:abstractNum w:abstractNumId="4">
    <w:nsid w:val="59A8E359"/>
    <w:multiLevelType w:val="singleLevel"/>
    <w:tmpl w:val="59A8E359"/>
    <w:lvl w:ilvl="0" w:tentative="0">
      <w:start w:val="1"/>
      <w:numFmt w:val="decimal"/>
      <w:suff w:val="nothing"/>
      <w:lvlText w:val="（%1）"/>
      <w:lvlJc w:val="left"/>
      <w:rPr>
        <w:rFonts w:cs="Times New Roman"/>
      </w:rPr>
    </w:lvl>
  </w:abstractNum>
  <w:abstractNum w:abstractNumId="5">
    <w:nsid w:val="59A8FC92"/>
    <w:multiLevelType w:val="singleLevel"/>
    <w:tmpl w:val="59A8FC92"/>
    <w:lvl w:ilvl="0" w:tentative="0">
      <w:start w:val="1"/>
      <w:numFmt w:val="decimal"/>
      <w:suff w:val="nothing"/>
      <w:lvlText w:val="%1）"/>
      <w:lvlJc w:val="left"/>
      <w:rPr>
        <w:rFonts w:cs="Times New Roman"/>
      </w:rPr>
    </w:lvl>
  </w:abstractNum>
  <w:abstractNum w:abstractNumId="6">
    <w:nsid w:val="5F2D02A6"/>
    <w:multiLevelType w:val="singleLevel"/>
    <w:tmpl w:val="5F2D02A6"/>
    <w:lvl w:ilvl="0" w:tentative="0">
      <w:start w:val="1"/>
      <w:numFmt w:val="decimal"/>
      <w:suff w:val="space"/>
      <w:lvlText w:val="%1."/>
      <w:lvlJc w:val="left"/>
    </w:lvl>
  </w:abstractNum>
  <w:abstractNum w:abstractNumId="7">
    <w:nsid w:val="76C36915"/>
    <w:multiLevelType w:val="multilevel"/>
    <w:tmpl w:val="76C3691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E333B28"/>
    <w:multiLevelType w:val="multilevel"/>
    <w:tmpl w:val="7E333B28"/>
    <w:lvl w:ilvl="0" w:tentative="0">
      <w:start w:val="1"/>
      <w:numFmt w:val="bullet"/>
      <w:pStyle w:val="30"/>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8"/>
  </w:num>
  <w:num w:numId="2">
    <w:abstractNumId w:val="0"/>
  </w:num>
  <w:num w:numId="3">
    <w:abstractNumId w:val="1"/>
  </w:num>
  <w:num w:numId="4">
    <w:abstractNumId w:val="7"/>
  </w:num>
  <w:num w:numId="5">
    <w:abstractNumId w:val="3"/>
  </w:num>
  <w:num w:numId="6">
    <w:abstractNumId w:val="4"/>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22B9F"/>
    <w:rsid w:val="005B2D18"/>
    <w:rsid w:val="012227B1"/>
    <w:rsid w:val="01A641D0"/>
    <w:rsid w:val="01D34DAF"/>
    <w:rsid w:val="027870D0"/>
    <w:rsid w:val="02C859F1"/>
    <w:rsid w:val="02D54BBE"/>
    <w:rsid w:val="031C219B"/>
    <w:rsid w:val="033546F0"/>
    <w:rsid w:val="03660413"/>
    <w:rsid w:val="037647BE"/>
    <w:rsid w:val="046761A1"/>
    <w:rsid w:val="04C156A3"/>
    <w:rsid w:val="04D33A99"/>
    <w:rsid w:val="05024DDA"/>
    <w:rsid w:val="052D54A2"/>
    <w:rsid w:val="05704B36"/>
    <w:rsid w:val="05AF18B5"/>
    <w:rsid w:val="065D6CA9"/>
    <w:rsid w:val="06AE1072"/>
    <w:rsid w:val="06C41957"/>
    <w:rsid w:val="07033AF5"/>
    <w:rsid w:val="07832581"/>
    <w:rsid w:val="07D171D5"/>
    <w:rsid w:val="080D0ECE"/>
    <w:rsid w:val="09AA1EA5"/>
    <w:rsid w:val="0A490BCF"/>
    <w:rsid w:val="0B0D16E9"/>
    <w:rsid w:val="0B6207EB"/>
    <w:rsid w:val="0BCE228A"/>
    <w:rsid w:val="0BE462B0"/>
    <w:rsid w:val="0D413693"/>
    <w:rsid w:val="0D722B9F"/>
    <w:rsid w:val="0DB43267"/>
    <w:rsid w:val="0E3D36FB"/>
    <w:rsid w:val="0F105F11"/>
    <w:rsid w:val="0F4F16A1"/>
    <w:rsid w:val="0FDD7132"/>
    <w:rsid w:val="10296D60"/>
    <w:rsid w:val="106E3A04"/>
    <w:rsid w:val="10901B56"/>
    <w:rsid w:val="10B7577E"/>
    <w:rsid w:val="12370660"/>
    <w:rsid w:val="128214B9"/>
    <w:rsid w:val="12A45171"/>
    <w:rsid w:val="13E53FA7"/>
    <w:rsid w:val="1469427D"/>
    <w:rsid w:val="147876D8"/>
    <w:rsid w:val="14A703B3"/>
    <w:rsid w:val="14EC0895"/>
    <w:rsid w:val="16172039"/>
    <w:rsid w:val="164F5D70"/>
    <w:rsid w:val="16C1237E"/>
    <w:rsid w:val="16D27FFE"/>
    <w:rsid w:val="16E57034"/>
    <w:rsid w:val="17E43D6F"/>
    <w:rsid w:val="17F46788"/>
    <w:rsid w:val="180A0683"/>
    <w:rsid w:val="18AA7D07"/>
    <w:rsid w:val="18F76906"/>
    <w:rsid w:val="19CD436B"/>
    <w:rsid w:val="1AA12531"/>
    <w:rsid w:val="1AAB70F6"/>
    <w:rsid w:val="1B293CB2"/>
    <w:rsid w:val="1B440995"/>
    <w:rsid w:val="1BDB75AB"/>
    <w:rsid w:val="1C0E372A"/>
    <w:rsid w:val="1D557B0E"/>
    <w:rsid w:val="1E171CEE"/>
    <w:rsid w:val="204A1F5A"/>
    <w:rsid w:val="206B641A"/>
    <w:rsid w:val="20B21509"/>
    <w:rsid w:val="20B71E96"/>
    <w:rsid w:val="212C654D"/>
    <w:rsid w:val="21C26E21"/>
    <w:rsid w:val="22BC5099"/>
    <w:rsid w:val="23684ACA"/>
    <w:rsid w:val="237F76D1"/>
    <w:rsid w:val="23983876"/>
    <w:rsid w:val="23B3162D"/>
    <w:rsid w:val="24332C5B"/>
    <w:rsid w:val="24425F70"/>
    <w:rsid w:val="2443369A"/>
    <w:rsid w:val="247A4E23"/>
    <w:rsid w:val="24D72DED"/>
    <w:rsid w:val="27473151"/>
    <w:rsid w:val="27F66A6E"/>
    <w:rsid w:val="291749B1"/>
    <w:rsid w:val="29BB4774"/>
    <w:rsid w:val="29CB2A51"/>
    <w:rsid w:val="29DE4A09"/>
    <w:rsid w:val="2AFE4DF2"/>
    <w:rsid w:val="2B322628"/>
    <w:rsid w:val="2D9548BB"/>
    <w:rsid w:val="2E432C8D"/>
    <w:rsid w:val="2F915AF5"/>
    <w:rsid w:val="30C343DF"/>
    <w:rsid w:val="30DB3D98"/>
    <w:rsid w:val="310778EB"/>
    <w:rsid w:val="317402E2"/>
    <w:rsid w:val="32013AAB"/>
    <w:rsid w:val="321278B4"/>
    <w:rsid w:val="3261280F"/>
    <w:rsid w:val="329D5129"/>
    <w:rsid w:val="33200116"/>
    <w:rsid w:val="33AF3455"/>
    <w:rsid w:val="33CF656B"/>
    <w:rsid w:val="33DE0756"/>
    <w:rsid w:val="33DF1E85"/>
    <w:rsid w:val="3431484C"/>
    <w:rsid w:val="34DB4D3A"/>
    <w:rsid w:val="34F759C2"/>
    <w:rsid w:val="351D643D"/>
    <w:rsid w:val="36FD1475"/>
    <w:rsid w:val="370C0CDB"/>
    <w:rsid w:val="373B07C5"/>
    <w:rsid w:val="37FB3F4A"/>
    <w:rsid w:val="387C458C"/>
    <w:rsid w:val="38EA35B2"/>
    <w:rsid w:val="39166811"/>
    <w:rsid w:val="3B7F2747"/>
    <w:rsid w:val="3B9901C7"/>
    <w:rsid w:val="3CC25D2D"/>
    <w:rsid w:val="3CD62157"/>
    <w:rsid w:val="3DC97869"/>
    <w:rsid w:val="3DE36CC9"/>
    <w:rsid w:val="3DEC5593"/>
    <w:rsid w:val="3FCB1E56"/>
    <w:rsid w:val="3FF67D83"/>
    <w:rsid w:val="40266B78"/>
    <w:rsid w:val="40D87544"/>
    <w:rsid w:val="410636DF"/>
    <w:rsid w:val="420F7B33"/>
    <w:rsid w:val="42605233"/>
    <w:rsid w:val="437B38B5"/>
    <w:rsid w:val="43CC4D30"/>
    <w:rsid w:val="43E25048"/>
    <w:rsid w:val="44F75541"/>
    <w:rsid w:val="46640791"/>
    <w:rsid w:val="492A66C2"/>
    <w:rsid w:val="4AFC257F"/>
    <w:rsid w:val="4B7F667A"/>
    <w:rsid w:val="4B870B30"/>
    <w:rsid w:val="4C0A37FB"/>
    <w:rsid w:val="4CDC4388"/>
    <w:rsid w:val="4CE80E9B"/>
    <w:rsid w:val="4D812072"/>
    <w:rsid w:val="4DE54EF3"/>
    <w:rsid w:val="4F9D2711"/>
    <w:rsid w:val="4FC50091"/>
    <w:rsid w:val="52244813"/>
    <w:rsid w:val="523C676F"/>
    <w:rsid w:val="54BC322C"/>
    <w:rsid w:val="54E6212F"/>
    <w:rsid w:val="5569156F"/>
    <w:rsid w:val="55C6152F"/>
    <w:rsid w:val="5617749A"/>
    <w:rsid w:val="56761C3C"/>
    <w:rsid w:val="568C7224"/>
    <w:rsid w:val="571D7746"/>
    <w:rsid w:val="57400AA6"/>
    <w:rsid w:val="57477C09"/>
    <w:rsid w:val="595249D1"/>
    <w:rsid w:val="5A0F1D95"/>
    <w:rsid w:val="5A2107E0"/>
    <w:rsid w:val="5A2A6A29"/>
    <w:rsid w:val="5BF6333D"/>
    <w:rsid w:val="5C556A6C"/>
    <w:rsid w:val="5C6A74BC"/>
    <w:rsid w:val="5C895F12"/>
    <w:rsid w:val="5DBA57B6"/>
    <w:rsid w:val="5ECD4E4C"/>
    <w:rsid w:val="5FE656F6"/>
    <w:rsid w:val="60B65262"/>
    <w:rsid w:val="611F0FB1"/>
    <w:rsid w:val="61D16D07"/>
    <w:rsid w:val="61FC658F"/>
    <w:rsid w:val="62F27A68"/>
    <w:rsid w:val="63D03541"/>
    <w:rsid w:val="641F1F24"/>
    <w:rsid w:val="642218CB"/>
    <w:rsid w:val="64390033"/>
    <w:rsid w:val="644E1569"/>
    <w:rsid w:val="65B633F8"/>
    <w:rsid w:val="65E330FF"/>
    <w:rsid w:val="66175069"/>
    <w:rsid w:val="67703F3D"/>
    <w:rsid w:val="68D64BC1"/>
    <w:rsid w:val="69721CA2"/>
    <w:rsid w:val="6A0115D7"/>
    <w:rsid w:val="6CF43C6B"/>
    <w:rsid w:val="6D32361F"/>
    <w:rsid w:val="6DD67BF8"/>
    <w:rsid w:val="6E9E234F"/>
    <w:rsid w:val="6F531EAA"/>
    <w:rsid w:val="6FBE6EFA"/>
    <w:rsid w:val="6FF757B1"/>
    <w:rsid w:val="70F91EEA"/>
    <w:rsid w:val="71872623"/>
    <w:rsid w:val="71CF7331"/>
    <w:rsid w:val="7263008B"/>
    <w:rsid w:val="72B426CE"/>
    <w:rsid w:val="7334147F"/>
    <w:rsid w:val="73752348"/>
    <w:rsid w:val="73891EDF"/>
    <w:rsid w:val="74525D34"/>
    <w:rsid w:val="746049A7"/>
    <w:rsid w:val="748875E0"/>
    <w:rsid w:val="752E52B2"/>
    <w:rsid w:val="752E6E5E"/>
    <w:rsid w:val="75821E12"/>
    <w:rsid w:val="75CE7976"/>
    <w:rsid w:val="76FC6368"/>
    <w:rsid w:val="770937CE"/>
    <w:rsid w:val="779B1E77"/>
    <w:rsid w:val="786617BC"/>
    <w:rsid w:val="7A323CFA"/>
    <w:rsid w:val="7A783AA1"/>
    <w:rsid w:val="7D5B0D49"/>
    <w:rsid w:val="7DB10760"/>
    <w:rsid w:val="7E0C05DA"/>
    <w:rsid w:val="7E1D4F8D"/>
    <w:rsid w:val="7E2A48A3"/>
    <w:rsid w:val="7F636E3E"/>
    <w:rsid w:val="7F9A4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line="800" w:lineRule="exact"/>
      <w:jc w:val="center"/>
      <w:outlineLvl w:val="0"/>
    </w:pPr>
    <w:rPr>
      <w:rFonts w:eastAsia="仿宋"/>
      <w:b/>
      <w:bCs/>
      <w:kern w:val="44"/>
      <w:sz w:val="32"/>
      <w:szCs w:val="44"/>
    </w:rPr>
  </w:style>
  <w:style w:type="paragraph" w:styleId="4">
    <w:name w:val="heading 2"/>
    <w:basedOn w:val="1"/>
    <w:next w:val="1"/>
    <w:qFormat/>
    <w:uiPriority w:val="9"/>
    <w:pPr>
      <w:keepNext/>
      <w:keepLines/>
      <w:spacing w:line="416" w:lineRule="auto"/>
      <w:jc w:val="center"/>
      <w:outlineLvl w:val="1"/>
    </w:pPr>
    <w:rPr>
      <w:rFonts w:ascii="Cambria" w:hAnsi="Cambria" w:eastAsia="仿宋" w:cs="Times New Roman"/>
      <w:b/>
      <w:bCs/>
      <w:sz w:val="32"/>
      <w:szCs w:val="32"/>
    </w:rPr>
  </w:style>
  <w:style w:type="paragraph" w:styleId="5">
    <w:name w:val="heading 3"/>
    <w:basedOn w:val="1"/>
    <w:next w:val="1"/>
    <w:unhideWhenUsed/>
    <w:qFormat/>
    <w:uiPriority w:val="0"/>
    <w:pPr>
      <w:keepNext/>
      <w:keepLines/>
      <w:spacing w:before="260" w:after="260" w:line="416" w:lineRule="auto"/>
      <w:outlineLvl w:val="2"/>
    </w:pPr>
    <w:rPr>
      <w:rFonts w:eastAsia="黑体"/>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Style1"/>
    <w:basedOn w:val="1"/>
    <w:qFormat/>
    <w:uiPriority w:val="0"/>
    <w:pPr>
      <w:tabs>
        <w:tab w:val="left" w:pos="-720"/>
      </w:tabs>
      <w:jc w:val="both"/>
    </w:pPr>
    <w:rPr>
      <w:spacing w:val="-3"/>
      <w:sz w:val="24"/>
      <w:lang w:val="en-AU" w:eastAsia="en-US"/>
    </w:rPr>
  </w:style>
  <w:style w:type="paragraph" w:styleId="6">
    <w:name w:val="Normal Indent"/>
    <w:basedOn w:val="1"/>
    <w:next w:val="7"/>
    <w:qFormat/>
    <w:uiPriority w:val="0"/>
    <w:pPr>
      <w:ind w:firstLine="420"/>
    </w:pPr>
    <w:rPr>
      <w:szCs w:val="20"/>
    </w:rPr>
  </w:style>
  <w:style w:type="paragraph" w:styleId="7">
    <w:name w:val="toc 4"/>
    <w:basedOn w:val="1"/>
    <w:next w:val="1"/>
    <w:unhideWhenUsed/>
    <w:qFormat/>
    <w:uiPriority w:val="39"/>
    <w:pPr>
      <w:ind w:left="1260" w:leftChars="600"/>
    </w:pPr>
  </w:style>
  <w:style w:type="paragraph" w:styleId="8">
    <w:name w:val="Body Text"/>
    <w:basedOn w:val="1"/>
    <w:next w:val="1"/>
    <w:qFormat/>
    <w:uiPriority w:val="1"/>
    <w:pPr>
      <w:autoSpaceDE w:val="0"/>
      <w:autoSpaceDN w:val="0"/>
      <w:adjustRightInd w:val="0"/>
      <w:spacing w:before="154"/>
      <w:ind w:left="118"/>
      <w:jc w:val="left"/>
    </w:pPr>
    <w:rPr>
      <w:rFonts w:ascii="仿宋" w:hAnsi="Times New Roman" w:eastAsia="仿宋" w:cs="仿宋"/>
      <w:kern w:val="0"/>
      <w:sz w:val="24"/>
      <w:szCs w:val="24"/>
    </w:rPr>
  </w:style>
  <w:style w:type="paragraph" w:styleId="9">
    <w:name w:val="Plain Text"/>
    <w:basedOn w:val="1"/>
    <w:qFormat/>
    <w:uiPriority w:val="0"/>
    <w:rPr>
      <w:rFonts w:ascii="宋体" w:hAnsi="Times New Roman"/>
      <w:szCs w:val="24"/>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pPr>
      <w:tabs>
        <w:tab w:val="right" w:leader="dot" w:pos="9400"/>
      </w:tabs>
      <w:spacing w:line="520" w:lineRule="exact"/>
      <w:jc w:val="left"/>
    </w:pPr>
  </w:style>
  <w:style w:type="paragraph" w:styleId="13">
    <w:name w:val="Body Text Indent 3"/>
    <w:basedOn w:val="1"/>
    <w:qFormat/>
    <w:uiPriority w:val="0"/>
    <w:pPr>
      <w:spacing w:line="410" w:lineRule="exact"/>
      <w:ind w:left="619" w:leftChars="295" w:firstLine="390" w:firstLineChars="179"/>
    </w:pPr>
    <w:rPr>
      <w:rFonts w:ascii="宋体" w:hAnsi="宋体"/>
      <w:spacing w:val="4"/>
    </w:rPr>
  </w:style>
  <w:style w:type="paragraph" w:styleId="14">
    <w:name w:val="toc 2"/>
    <w:basedOn w:val="1"/>
    <w:next w:val="1"/>
    <w:unhideWhenUsed/>
    <w:qFormat/>
    <w:uiPriority w:val="39"/>
    <w:pPr>
      <w:ind w:left="420" w:leftChars="200"/>
    </w:p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unhideWhenUsed/>
    <w:qFormat/>
    <w:uiPriority w:val="99"/>
    <w:rPr>
      <w:color w:val="0000FF"/>
      <w:u w:val="single"/>
    </w:rPr>
  </w:style>
  <w:style w:type="character" w:styleId="21">
    <w:name w:val="HTML Sample"/>
    <w:basedOn w:val="18"/>
    <w:uiPriority w:val="0"/>
    <w:rPr>
      <w:rFonts w:ascii="Courier New" w:hAnsi="Courier New"/>
    </w:rPr>
  </w:style>
  <w:style w:type="paragraph" w:customStyle="1" w:styleId="22">
    <w:name w:val="正文缩进1"/>
    <w:basedOn w:val="1"/>
    <w:qFormat/>
    <w:uiPriority w:val="0"/>
    <w:pPr>
      <w:ind w:firstLine="420" w:firstLineChars="200"/>
    </w:pPr>
  </w:style>
  <w:style w:type="character" w:customStyle="1" w:styleId="23">
    <w:name w:val="NormalCharacter"/>
    <w:semiHidden/>
    <w:qFormat/>
    <w:uiPriority w:val="0"/>
  </w:style>
  <w:style w:type="paragraph" w:customStyle="1" w:styleId="24">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customStyle="1" w:styleId="25">
    <w:name w:val="Heading 6"/>
    <w:basedOn w:val="1"/>
    <w:qFormat/>
    <w:uiPriority w:val="1"/>
    <w:pPr>
      <w:autoSpaceDE w:val="0"/>
      <w:autoSpaceDN w:val="0"/>
      <w:adjustRightInd w:val="0"/>
      <w:ind w:left="1448"/>
      <w:jc w:val="left"/>
      <w:outlineLvl w:val="5"/>
    </w:pPr>
    <w:rPr>
      <w:rFonts w:ascii="仿宋" w:hAnsi="Times New Roman" w:eastAsia="仿宋" w:cs="仿宋"/>
      <w:b/>
      <w:bCs/>
      <w:kern w:val="0"/>
      <w:sz w:val="32"/>
      <w:szCs w:val="32"/>
    </w:rPr>
  </w:style>
  <w:style w:type="paragraph" w:customStyle="1" w:styleId="26">
    <w:name w:val="Heading 8"/>
    <w:basedOn w:val="1"/>
    <w:qFormat/>
    <w:uiPriority w:val="1"/>
    <w:pPr>
      <w:autoSpaceDE w:val="0"/>
      <w:autoSpaceDN w:val="0"/>
      <w:adjustRightInd w:val="0"/>
      <w:spacing w:before="14"/>
      <w:ind w:left="118"/>
      <w:jc w:val="left"/>
      <w:outlineLvl w:val="7"/>
    </w:pPr>
    <w:rPr>
      <w:rFonts w:ascii="仿宋" w:hAnsi="Times New Roman" w:eastAsia="仿宋" w:cs="仿宋"/>
      <w:b/>
      <w:bCs/>
      <w:kern w:val="0"/>
      <w:sz w:val="28"/>
      <w:szCs w:val="28"/>
    </w:rPr>
  </w:style>
  <w:style w:type="paragraph" w:customStyle="1" w:styleId="27">
    <w:name w:val="Heading 1"/>
    <w:basedOn w:val="1"/>
    <w:qFormat/>
    <w:uiPriority w:val="1"/>
    <w:pPr>
      <w:autoSpaceDE w:val="0"/>
      <w:autoSpaceDN w:val="0"/>
      <w:adjustRightInd w:val="0"/>
      <w:ind w:left="82"/>
      <w:jc w:val="left"/>
      <w:outlineLvl w:val="0"/>
    </w:pPr>
    <w:rPr>
      <w:rFonts w:ascii="宋体" w:hAnsi="Times New Roman" w:cs="宋体"/>
      <w:b/>
      <w:bCs/>
      <w:kern w:val="0"/>
      <w:sz w:val="32"/>
      <w:szCs w:val="32"/>
    </w:rPr>
  </w:style>
  <w:style w:type="paragraph" w:customStyle="1" w:styleId="28">
    <w:name w:val="Heading 4"/>
    <w:basedOn w:val="1"/>
    <w:qFormat/>
    <w:uiPriority w:val="1"/>
    <w:pPr>
      <w:autoSpaceDE w:val="0"/>
      <w:autoSpaceDN w:val="0"/>
      <w:adjustRightInd w:val="0"/>
      <w:ind w:left="120"/>
      <w:jc w:val="left"/>
      <w:outlineLvl w:val="3"/>
    </w:pPr>
    <w:rPr>
      <w:rFonts w:ascii="宋体" w:hAnsi="Times New Roman" w:cs="宋体"/>
      <w:b/>
      <w:bCs/>
      <w:kern w:val="0"/>
      <w:szCs w:val="21"/>
    </w:rPr>
  </w:style>
  <w:style w:type="paragraph" w:customStyle="1" w:styleId="29">
    <w:name w:val="Heading 2"/>
    <w:basedOn w:val="1"/>
    <w:qFormat/>
    <w:uiPriority w:val="1"/>
    <w:pPr>
      <w:autoSpaceDE w:val="0"/>
      <w:autoSpaceDN w:val="0"/>
      <w:adjustRightInd w:val="0"/>
      <w:jc w:val="left"/>
      <w:outlineLvl w:val="1"/>
    </w:pPr>
    <w:rPr>
      <w:rFonts w:ascii="仿宋" w:hAnsi="Times New Roman" w:eastAsia="仿宋" w:cs="仿宋"/>
      <w:b/>
      <w:bCs/>
      <w:kern w:val="0"/>
      <w:sz w:val="72"/>
      <w:szCs w:val="72"/>
    </w:rPr>
  </w:style>
  <w:style w:type="paragraph" w:customStyle="1" w:styleId="30">
    <w:name w:val="列表内容"/>
    <w:basedOn w:val="1"/>
    <w:qFormat/>
    <w:uiPriority w:val="0"/>
    <w:pPr>
      <w:numPr>
        <w:ilvl w:val="0"/>
        <w:numId w:val="1"/>
      </w:numPr>
      <w:spacing w:before="46" w:beforeLines="15" w:after="46" w:afterLines="15" w:line="260" w:lineRule="exact"/>
    </w:pPr>
    <w:rPr>
      <w:rFonts w:ascii="Verdana" w:hAnsi="Verdana"/>
      <w:szCs w:val="18"/>
    </w:rPr>
  </w:style>
  <w:style w:type="paragraph" w:customStyle="1" w:styleId="31">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2">
    <w:name w:val="List Paragraph"/>
    <w:basedOn w:val="1"/>
    <w:qFormat/>
    <w:uiPriority w:val="1"/>
    <w:pPr>
      <w:spacing w:before="160"/>
      <w:ind w:left="1180" w:hanging="718"/>
    </w:pPr>
    <w:rPr>
      <w:rFonts w:ascii="宋体" w:hAnsi="宋体" w:eastAsia="宋体" w:cs="宋体"/>
      <w:lang w:val="zh-CN" w:eastAsia="zh-CN" w:bidi="zh-CN"/>
    </w:rPr>
  </w:style>
  <w:style w:type="paragraph" w:customStyle="1" w:styleId="33">
    <w:name w:val="Default"/>
    <w:qFormat/>
    <w:uiPriority w:val="0"/>
    <w:pPr>
      <w:widowControl w:val="0"/>
      <w:autoSpaceDE w:val="0"/>
      <w:autoSpaceDN w:val="0"/>
      <w:adjustRightInd w:val="0"/>
    </w:pPr>
    <w:rPr>
      <w:rFonts w:ascii="Calibri" w:hAnsi="Calibri" w:eastAsia="宋体" w:cs="Times New Roman"/>
      <w:color w:val="000000"/>
      <w:kern w:val="0"/>
      <w:sz w:val="24"/>
      <w:szCs w:val="22"/>
      <w:lang w:val="en-US" w:eastAsia="zh-CN" w:bidi="ar-SA"/>
    </w:rPr>
  </w:style>
  <w:style w:type="character" w:customStyle="1" w:styleId="34">
    <w:name w:val="font41"/>
    <w:basedOn w:val="18"/>
    <w:qFormat/>
    <w:uiPriority w:val="0"/>
    <w:rPr>
      <w:rFonts w:hint="eastAsia" w:ascii="黑体" w:hAnsi="宋体" w:eastAsia="黑体" w:cs="黑体"/>
      <w:b/>
      <w:bCs/>
      <w:color w:val="000000"/>
      <w:sz w:val="18"/>
      <w:szCs w:val="18"/>
      <w:u w:val="none"/>
    </w:rPr>
  </w:style>
  <w:style w:type="character" w:customStyle="1" w:styleId="35">
    <w:name w:val="font01"/>
    <w:basedOn w:val="18"/>
    <w:qFormat/>
    <w:uiPriority w:val="0"/>
    <w:rPr>
      <w:rFonts w:hint="eastAsia" w:ascii="黑体" w:hAnsi="宋体" w:eastAsia="黑体" w:cs="黑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3"/>
    <customShpInfo spid="_x0000_s1026" textRotate="1"/>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2020-07-11T04:02:00Z</dcterms:created>
  <dc:creator>先生</dc:creator>
  <cp:lastModifiedBy>会走的鱼</cp:lastModifiedBy>
  <cp:lastPrinted>2021-08-31T02:58:00Z</cp:lastPrinted>
  <dcterms:modified xsi:type="dcterms:W3CDTF">2021-11-24T08:06:59Z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B0DA3A79BFC5462EB5FC0122EBA3B735</vt:lpwstr>
  </property>
</Properties>
</file>