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p>
    <w:p>
      <w:pPr>
        <w:jc w:val="center"/>
        <w:rPr>
          <w:rFonts w:hint="eastAsia"/>
        </w:rPr>
      </w:pPr>
      <w:r>
        <w:rPr>
          <w:rFonts w:hint="eastAsia" w:ascii="宋体" w:hAnsi="宋体" w:eastAsia="宋体" w:cs="宋体"/>
          <w:b/>
          <w:bCs/>
          <w:sz w:val="44"/>
          <w:szCs w:val="44"/>
          <w:lang w:val="en-US" w:eastAsia="zh-CN"/>
        </w:rPr>
        <w:t>乌鲁木齐八一中学采购教学专用创新设备项目</w:t>
      </w:r>
      <w:r>
        <w:rPr>
          <w:rFonts w:hint="eastAsia" w:ascii="宋体" w:hAnsi="宋体" w:eastAsia="宋体" w:cs="宋体"/>
          <w:b/>
          <w:bCs/>
          <w:sz w:val="44"/>
          <w:szCs w:val="44"/>
        </w:rPr>
        <w:t>竞争性磋商文件</w:t>
      </w:r>
    </w:p>
    <w:p>
      <w:pPr>
        <w:jc w:val="center"/>
        <w:rPr>
          <w:rFonts w:hint="eastAsia" w:ascii="黑体" w:hAnsi="黑体" w:eastAsia="黑体" w:cs="黑体"/>
          <w:sz w:val="28"/>
          <w:szCs w:val="28"/>
          <w:lang w:val="en-US" w:eastAsia="zh-CN"/>
        </w:rPr>
      </w:pPr>
    </w:p>
    <w:p>
      <w:pPr>
        <w:jc w:val="center"/>
        <w:rPr>
          <w:rFonts w:hint="eastAsia"/>
        </w:rPr>
      </w:pPr>
      <w:r>
        <w:rPr>
          <w:rFonts w:hint="eastAsia" w:ascii="黑体" w:hAnsi="黑体" w:eastAsia="黑体" w:cs="黑体"/>
          <w:sz w:val="28"/>
          <w:szCs w:val="28"/>
          <w:lang w:val="en-US" w:eastAsia="zh-CN"/>
        </w:rPr>
        <w:t>（项目编号：XJL-ZB-2021-046）</w:t>
      </w:r>
    </w:p>
    <w:p>
      <w:pPr>
        <w:rPr>
          <w:rFonts w:hint="eastAsia" w:ascii="黑体" w:hAnsi="黑体" w:eastAsia="黑体" w:cs="黑体"/>
          <w:sz w:val="28"/>
          <w:szCs w:val="28"/>
        </w:rPr>
      </w:pPr>
    </w:p>
    <w:p>
      <w:pPr>
        <w:bidi w:val="0"/>
        <w:rPr>
          <w:rFonts w:hint="eastAsia"/>
        </w:rPr>
      </w:pPr>
    </w:p>
    <w:p>
      <w:pPr>
        <w:rPr>
          <w:rFonts w:hint="eastAsia" w:ascii="黑体" w:hAnsi="黑体" w:eastAsia="黑体" w:cs="黑体"/>
          <w:sz w:val="28"/>
          <w:szCs w:val="28"/>
          <w:lang w:eastAsia="zh-CN"/>
        </w:rPr>
      </w:pPr>
      <w:r>
        <w:rPr>
          <w:rFonts w:hint="eastAsia" w:ascii="黑体" w:hAnsi="黑体" w:eastAsia="黑体" w:cs="黑体"/>
          <w:sz w:val="28"/>
          <w:szCs w:val="28"/>
        </w:rPr>
        <w:t>招标项目名称：</w:t>
      </w:r>
      <w:r>
        <w:rPr>
          <w:rFonts w:hint="eastAsia" w:ascii="黑体" w:hAnsi="黑体" w:eastAsia="黑体" w:cs="黑体"/>
          <w:sz w:val="28"/>
          <w:szCs w:val="28"/>
          <w:lang w:val="en-US" w:eastAsia="zh-CN"/>
        </w:rPr>
        <w:t>乌鲁木齐八一中学采购教学专用创新设备项目</w:t>
      </w:r>
    </w:p>
    <w:p>
      <w:pPr>
        <w:rPr>
          <w:rFonts w:hint="eastAsia" w:ascii="黑体" w:hAnsi="黑体" w:eastAsia="黑体" w:cs="黑体"/>
          <w:sz w:val="28"/>
          <w:szCs w:val="28"/>
        </w:rPr>
      </w:pPr>
      <w:r>
        <w:rPr>
          <w:rFonts w:hint="eastAsia" w:ascii="黑体" w:hAnsi="黑体" w:eastAsia="黑体" w:cs="黑体"/>
          <w:sz w:val="28"/>
          <w:szCs w:val="28"/>
        </w:rPr>
        <w:t>招标人（章）：</w:t>
      </w:r>
      <w:r>
        <w:rPr>
          <w:rFonts w:hint="eastAsia" w:ascii="黑体" w:hAnsi="黑体" w:eastAsia="黑体" w:cs="黑体"/>
          <w:sz w:val="28"/>
          <w:szCs w:val="28"/>
          <w:lang w:val="en-US" w:eastAsia="zh-CN"/>
        </w:rPr>
        <w:t>乌鲁木齐八一中学</w:t>
      </w:r>
    </w:p>
    <w:p>
      <w:pPr>
        <w:rPr>
          <w:rFonts w:hint="eastAsia" w:ascii="黑体" w:hAnsi="黑体" w:eastAsia="黑体" w:cs="黑体"/>
          <w:sz w:val="28"/>
          <w:szCs w:val="28"/>
        </w:rPr>
      </w:pPr>
      <w:r>
        <w:rPr>
          <w:rFonts w:hint="eastAsia" w:ascii="黑体" w:hAnsi="黑体" w:eastAsia="黑体" w:cs="黑体"/>
          <w:sz w:val="28"/>
          <w:szCs w:val="28"/>
        </w:rPr>
        <w:t xml:space="preserve">法定代表人（章）： </w:t>
      </w:r>
    </w:p>
    <w:p>
      <w:pPr>
        <w:rPr>
          <w:rFonts w:hint="eastAsia" w:ascii="黑体" w:hAnsi="黑体" w:eastAsia="黑体" w:cs="黑体"/>
          <w:sz w:val="28"/>
          <w:szCs w:val="28"/>
          <w:lang w:val="en-US" w:eastAsia="zh-CN"/>
        </w:rPr>
      </w:pPr>
      <w:r>
        <w:rPr>
          <w:rFonts w:hint="eastAsia" w:ascii="黑体" w:hAnsi="黑体" w:eastAsia="黑体" w:cs="黑体"/>
          <w:sz w:val="28"/>
          <w:szCs w:val="28"/>
        </w:rPr>
        <w:t>联系人：</w:t>
      </w:r>
      <w:r>
        <w:rPr>
          <w:rFonts w:hint="eastAsia" w:ascii="黑体" w:hAnsi="黑体" w:eastAsia="黑体" w:cs="黑体"/>
          <w:sz w:val="28"/>
          <w:szCs w:val="28"/>
          <w:lang w:val="en-US" w:eastAsia="zh-CN"/>
        </w:rPr>
        <w:t>李主任</w:t>
      </w:r>
    </w:p>
    <w:p>
      <w:pPr>
        <w:rPr>
          <w:rFonts w:hint="eastAsia" w:ascii="黑体" w:hAnsi="黑体" w:eastAsia="黑体" w:cs="黑体"/>
          <w:sz w:val="28"/>
          <w:szCs w:val="28"/>
          <w:lang w:val="en-US"/>
        </w:rPr>
      </w:pPr>
      <w:r>
        <w:rPr>
          <w:rFonts w:hint="eastAsia" w:ascii="黑体" w:hAnsi="黑体" w:eastAsia="黑体" w:cs="黑体"/>
          <w:sz w:val="28"/>
          <w:szCs w:val="28"/>
        </w:rPr>
        <w:t>电话：</w:t>
      </w:r>
      <w:r>
        <w:rPr>
          <w:rFonts w:hint="eastAsia" w:ascii="黑体" w:hAnsi="黑体" w:eastAsia="黑体" w:cs="黑体"/>
          <w:sz w:val="28"/>
          <w:szCs w:val="28"/>
          <w:lang w:val="en-US" w:eastAsia="zh-CN"/>
        </w:rPr>
        <w:t>13609901855</w:t>
      </w:r>
    </w:p>
    <w:p>
      <w:pPr>
        <w:rPr>
          <w:rFonts w:hint="eastAsia" w:ascii="黑体" w:hAnsi="黑体" w:eastAsia="黑体" w:cs="黑体"/>
          <w:sz w:val="28"/>
          <w:szCs w:val="28"/>
          <w:lang w:val="en-US" w:eastAsia="zh-CN"/>
        </w:rPr>
      </w:pPr>
      <w:r>
        <w:rPr>
          <w:rFonts w:hint="eastAsia" w:ascii="黑体" w:hAnsi="黑体" w:eastAsia="黑体" w:cs="黑体"/>
          <w:sz w:val="28"/>
          <w:szCs w:val="28"/>
        </w:rPr>
        <w:t>详细地址：</w:t>
      </w:r>
      <w:r>
        <w:rPr>
          <w:rFonts w:hint="eastAsia" w:ascii="黑体" w:hAnsi="黑体" w:eastAsia="黑体" w:cs="黑体"/>
          <w:sz w:val="28"/>
          <w:szCs w:val="28"/>
          <w:lang w:eastAsia="zh-CN"/>
        </w:rPr>
        <w:t>乌鲁木齐市</w:t>
      </w:r>
      <w:r>
        <w:rPr>
          <w:rFonts w:hint="eastAsia" w:ascii="黑体" w:hAnsi="黑体" w:eastAsia="黑体" w:cs="黑体"/>
          <w:sz w:val="28"/>
          <w:szCs w:val="28"/>
          <w:lang w:val="en-US" w:eastAsia="zh-CN"/>
        </w:rPr>
        <w:t>天山区</w:t>
      </w:r>
      <w:r>
        <w:rPr>
          <w:rFonts w:hint="eastAsia" w:ascii="黑体" w:hAnsi="黑体" w:eastAsia="黑体" w:cs="黑体"/>
          <w:sz w:val="28"/>
          <w:szCs w:val="28"/>
          <w:lang w:eastAsia="zh-CN"/>
        </w:rPr>
        <w:t>青年路15号</w:t>
      </w:r>
    </w:p>
    <w:p>
      <w:pPr>
        <w:rPr>
          <w:rFonts w:hint="eastAsia" w:ascii="黑体" w:hAnsi="黑体" w:eastAsia="黑体" w:cs="黑体"/>
          <w:sz w:val="28"/>
          <w:szCs w:val="28"/>
        </w:rPr>
      </w:pPr>
    </w:p>
    <w:p>
      <w:pPr>
        <w:rPr>
          <w:rFonts w:hint="eastAsia" w:ascii="黑体" w:hAnsi="黑体" w:eastAsia="黑体" w:cs="黑体"/>
          <w:sz w:val="28"/>
          <w:szCs w:val="28"/>
        </w:rPr>
      </w:pPr>
      <w:r>
        <w:rPr>
          <w:rFonts w:hint="eastAsia" w:ascii="黑体" w:hAnsi="黑体" w:eastAsia="黑体" w:cs="黑体"/>
          <w:sz w:val="28"/>
          <w:szCs w:val="28"/>
        </w:rPr>
        <w:t>招标代理机构（盖章）：新疆新建联项目管理咨询有限公司</w:t>
      </w:r>
    </w:p>
    <w:p>
      <w:pPr>
        <w:rPr>
          <w:rFonts w:hint="eastAsia" w:ascii="黑体" w:hAnsi="黑体" w:eastAsia="黑体" w:cs="黑体"/>
          <w:sz w:val="28"/>
          <w:szCs w:val="28"/>
          <w:lang w:val="en-US" w:eastAsia="zh-CN"/>
        </w:rPr>
      </w:pPr>
      <w:r>
        <w:rPr>
          <w:rFonts w:hint="eastAsia" w:ascii="黑体" w:hAnsi="黑体" w:eastAsia="黑体" w:cs="黑体"/>
          <w:sz w:val="28"/>
          <w:szCs w:val="28"/>
        </w:rPr>
        <w:t>法定代表人（盖章）：</w:t>
      </w:r>
      <w:r>
        <w:rPr>
          <w:rFonts w:hint="eastAsia" w:ascii="黑体" w:hAnsi="黑体" w:eastAsia="黑体" w:cs="黑体"/>
          <w:sz w:val="28"/>
          <w:szCs w:val="28"/>
          <w:lang w:val="en-US" w:eastAsia="zh-CN"/>
        </w:rPr>
        <w:t>王利民</w:t>
      </w:r>
    </w:p>
    <w:p>
      <w:pPr>
        <w:rPr>
          <w:rFonts w:hint="eastAsia" w:ascii="黑体" w:hAnsi="黑体" w:eastAsia="黑体" w:cs="黑体"/>
          <w:sz w:val="28"/>
          <w:szCs w:val="28"/>
          <w:lang w:eastAsia="zh-CN"/>
        </w:rPr>
      </w:pPr>
      <w:r>
        <w:rPr>
          <w:rFonts w:hint="eastAsia" w:ascii="黑体" w:hAnsi="黑体" w:eastAsia="黑体" w:cs="黑体"/>
          <w:sz w:val="28"/>
          <w:szCs w:val="28"/>
        </w:rPr>
        <w:t>联系人：</w:t>
      </w:r>
      <w:r>
        <w:rPr>
          <w:rFonts w:hint="eastAsia" w:ascii="黑体" w:hAnsi="黑体" w:eastAsia="黑体" w:cs="黑体"/>
          <w:sz w:val="28"/>
          <w:szCs w:val="28"/>
          <w:lang w:val="en-US" w:eastAsia="zh-CN"/>
        </w:rPr>
        <w:t>邓学文</w:t>
      </w:r>
    </w:p>
    <w:p>
      <w:pPr>
        <w:rPr>
          <w:rFonts w:hint="eastAsia" w:ascii="黑体" w:hAnsi="黑体" w:eastAsia="黑体" w:cs="黑体"/>
          <w:sz w:val="28"/>
          <w:szCs w:val="28"/>
          <w:lang w:val="en-US" w:eastAsia="zh-CN"/>
        </w:rPr>
      </w:pPr>
      <w:r>
        <w:rPr>
          <w:rFonts w:hint="eastAsia" w:ascii="黑体" w:hAnsi="黑体" w:eastAsia="黑体" w:cs="黑体"/>
          <w:sz w:val="28"/>
          <w:szCs w:val="28"/>
        </w:rPr>
        <w:t>电话：</w:t>
      </w:r>
      <w:r>
        <w:rPr>
          <w:rFonts w:hint="eastAsia" w:ascii="黑体" w:hAnsi="黑体" w:eastAsia="黑体" w:cs="黑体"/>
          <w:sz w:val="28"/>
          <w:szCs w:val="28"/>
          <w:lang w:val="en-US" w:eastAsia="zh-CN"/>
        </w:rPr>
        <w:t>18599020403</w:t>
      </w:r>
    </w:p>
    <w:p>
      <w:pPr>
        <w:ind w:left="556" w:leftChars="214" w:firstLine="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详细地址：乌鲁木齐水磨沟区龙盛街898号万科中央公园商住小区S6栋14楼招标部</w:t>
      </w:r>
    </w:p>
    <w:p>
      <w:pPr>
        <w:pStyle w:val="2"/>
        <w:numPr>
          <w:ilvl w:val="0"/>
          <w:numId w:val="0"/>
        </w:numPr>
        <w:rPr>
          <w:rFonts w:hint="eastAsia" w:ascii="黑体" w:hAnsi="黑体" w:eastAsia="黑体" w:cs="黑体"/>
          <w:sz w:val="28"/>
          <w:szCs w:val="28"/>
          <w:lang w:val="en-US" w:eastAsia="zh-CN"/>
        </w:rPr>
      </w:pPr>
    </w:p>
    <w:p>
      <w:pPr>
        <w:pStyle w:val="2"/>
        <w:numPr>
          <w:ilvl w:val="0"/>
          <w:numId w:val="0"/>
        </w:numPr>
        <w:rPr>
          <w:rFonts w:hint="eastAsia" w:ascii="黑体" w:hAnsi="黑体" w:eastAsia="黑体" w:cs="黑体"/>
          <w:sz w:val="28"/>
          <w:szCs w:val="28"/>
          <w:lang w:val="en-US" w:eastAsia="zh-CN"/>
        </w:rPr>
      </w:pPr>
    </w:p>
    <w:p>
      <w:pPr>
        <w:rPr>
          <w:rFonts w:hint="eastAsia"/>
          <w:lang w:val="en-US" w:eastAsia="zh-CN"/>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sectPr>
          <w:headerReference r:id="rId6" w:type="first"/>
          <w:footerReference r:id="rId8" w:type="first"/>
          <w:headerReference r:id="rId5" w:type="default"/>
          <w:footerReference r:id="rId7" w:type="default"/>
          <w:pgSz w:w="11907" w:h="16840"/>
          <w:pgMar w:top="1440" w:right="850" w:bottom="1440" w:left="1080" w:header="851" w:footer="850" w:gutter="0"/>
          <w:pgNumType w:start="1"/>
          <w:cols w:space="720" w:num="1"/>
          <w:titlePg/>
          <w:docGrid w:type="lines" w:linePitch="409" w:charSpace="0"/>
        </w:sectPr>
      </w:pPr>
    </w:p>
    <w:sdt>
      <w:sdtPr>
        <w:rPr>
          <w:rFonts w:ascii="宋体" w:hAnsi="宋体" w:eastAsia="宋体" w:cs="Times New Roman"/>
          <w:kern w:val="2"/>
          <w:sz w:val="21"/>
          <w:lang w:val="en-US" w:eastAsia="zh-CN" w:bidi="ar-SA"/>
        </w:rPr>
        <w:id w:val="147481552"/>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54"/>
            <w:tabs>
              <w:tab w:val="right" w:leader="dot" w:pos="9977"/>
            </w:tabs>
          </w:pPr>
          <w:r>
            <w:fldChar w:fldCharType="begin"/>
          </w:r>
          <w:r>
            <w:instrText xml:space="preserve">TOC \o "1-1" \h \u </w:instrText>
          </w:r>
          <w:r>
            <w:fldChar w:fldCharType="separate"/>
          </w:r>
          <w:r>
            <w:fldChar w:fldCharType="begin"/>
          </w:r>
          <w:r>
            <w:instrText xml:space="preserve"> HYPERLINK \l _Toc26681 </w:instrText>
          </w:r>
          <w:r>
            <w:fldChar w:fldCharType="separate"/>
          </w:r>
          <w:r>
            <w:rPr>
              <w:rFonts w:hint="eastAsia" w:ascii="宋体" w:hAnsi="宋体" w:eastAsia="宋体" w:cs="宋体"/>
              <w:bCs/>
              <w:szCs w:val="22"/>
            </w:rPr>
            <w:t>第一部分  竞争性磋商公告</w:t>
          </w:r>
          <w:r>
            <w:tab/>
          </w:r>
          <w:r>
            <w:fldChar w:fldCharType="begin"/>
          </w:r>
          <w:r>
            <w:instrText xml:space="preserve"> PAGEREF _Toc26681 \h </w:instrText>
          </w:r>
          <w:r>
            <w:fldChar w:fldCharType="separate"/>
          </w:r>
          <w:r>
            <w:t>1</w:t>
          </w:r>
          <w:r>
            <w:fldChar w:fldCharType="end"/>
          </w:r>
          <w:r>
            <w:fldChar w:fldCharType="end"/>
          </w:r>
        </w:p>
        <w:p>
          <w:pPr>
            <w:pStyle w:val="54"/>
            <w:tabs>
              <w:tab w:val="right" w:leader="dot" w:pos="9977"/>
            </w:tabs>
          </w:pPr>
          <w:r>
            <w:fldChar w:fldCharType="begin"/>
          </w:r>
          <w:r>
            <w:instrText xml:space="preserve"> HYPERLINK \l _Toc22257 </w:instrText>
          </w:r>
          <w:r>
            <w:fldChar w:fldCharType="separate"/>
          </w:r>
          <w:r>
            <w:rPr>
              <w:rFonts w:hint="eastAsia" w:ascii="宋体" w:hAnsi="宋体" w:eastAsia="宋体" w:cs="宋体"/>
              <w:szCs w:val="32"/>
            </w:rPr>
            <w:t>第二部分   供应商或制造商须知</w:t>
          </w:r>
          <w:r>
            <w:rPr>
              <w:rFonts w:hint="eastAsia" w:ascii="宋体" w:hAnsi="宋体" w:eastAsia="宋体" w:cs="宋体"/>
              <w:szCs w:val="32"/>
              <w:lang w:eastAsia="zh-CN"/>
            </w:rPr>
            <w:t>前附表</w:t>
          </w:r>
          <w:r>
            <w:tab/>
          </w:r>
          <w:r>
            <w:fldChar w:fldCharType="begin"/>
          </w:r>
          <w:r>
            <w:instrText xml:space="preserve"> PAGEREF _Toc22257 \h </w:instrText>
          </w:r>
          <w:r>
            <w:fldChar w:fldCharType="separate"/>
          </w:r>
          <w:r>
            <w:t>4</w:t>
          </w:r>
          <w:r>
            <w:fldChar w:fldCharType="end"/>
          </w:r>
          <w:r>
            <w:fldChar w:fldCharType="end"/>
          </w:r>
        </w:p>
        <w:p>
          <w:pPr>
            <w:pStyle w:val="54"/>
            <w:tabs>
              <w:tab w:val="right" w:leader="dot" w:pos="9977"/>
            </w:tabs>
          </w:pPr>
          <w:r>
            <w:fldChar w:fldCharType="begin"/>
          </w:r>
          <w:r>
            <w:instrText xml:space="preserve"> HYPERLINK \l _Toc559 </w:instrText>
          </w:r>
          <w:r>
            <w:fldChar w:fldCharType="separate"/>
          </w:r>
          <w:r>
            <w:rPr>
              <w:rFonts w:hint="eastAsia" w:ascii="宋体" w:hAnsi="宋体" w:eastAsia="宋体" w:cs="宋体"/>
              <w:szCs w:val="32"/>
              <w:lang w:val="en-US" w:eastAsia="zh-CN"/>
            </w:rPr>
            <w:t>第三部分  采购需求及技术参数</w:t>
          </w:r>
          <w:r>
            <w:tab/>
          </w:r>
          <w:r>
            <w:fldChar w:fldCharType="begin"/>
          </w:r>
          <w:r>
            <w:instrText xml:space="preserve"> PAGEREF _Toc559 \h </w:instrText>
          </w:r>
          <w:r>
            <w:fldChar w:fldCharType="separate"/>
          </w:r>
          <w:r>
            <w:t>22</w:t>
          </w:r>
          <w:r>
            <w:fldChar w:fldCharType="end"/>
          </w:r>
          <w:r>
            <w:fldChar w:fldCharType="end"/>
          </w:r>
        </w:p>
        <w:p>
          <w:pPr>
            <w:pStyle w:val="54"/>
            <w:tabs>
              <w:tab w:val="right" w:leader="dot" w:pos="9977"/>
            </w:tabs>
          </w:pPr>
          <w:r>
            <w:fldChar w:fldCharType="begin"/>
          </w:r>
          <w:r>
            <w:instrText xml:space="preserve"> HYPERLINK \l _Toc26928 </w:instrText>
          </w:r>
          <w:r>
            <w:fldChar w:fldCharType="separate"/>
          </w:r>
          <w:r>
            <w:rPr>
              <w:rFonts w:hint="eastAsia" w:ascii="宋体" w:hAnsi="宋体" w:eastAsia="宋体" w:cs="宋体"/>
              <w:kern w:val="2"/>
              <w:szCs w:val="32"/>
              <w:lang w:val="en-US" w:eastAsia="zh-CN" w:bidi="ar-SA"/>
            </w:rPr>
            <w:t>第四部分</w:t>
          </w:r>
          <w:r>
            <w:rPr>
              <w:rFonts w:hint="eastAsia" w:ascii="宋体" w:hAnsi="宋体" w:cs="宋体"/>
              <w:kern w:val="2"/>
              <w:szCs w:val="32"/>
              <w:lang w:val="en-US" w:eastAsia="zh-CN" w:bidi="ar-SA"/>
            </w:rPr>
            <w:t xml:space="preserve">  </w:t>
          </w:r>
          <w:r>
            <w:rPr>
              <w:rFonts w:hint="eastAsia" w:ascii="宋体" w:hAnsi="宋体" w:eastAsia="宋体" w:cs="宋体"/>
              <w:kern w:val="2"/>
              <w:szCs w:val="32"/>
              <w:lang w:val="en-US" w:eastAsia="zh-CN" w:bidi="ar-SA"/>
            </w:rPr>
            <w:t>采购合同</w:t>
          </w:r>
          <w:r>
            <w:tab/>
          </w:r>
          <w:r>
            <w:fldChar w:fldCharType="begin"/>
          </w:r>
          <w:r>
            <w:instrText xml:space="preserve"> PAGEREF _Toc26928 \h </w:instrText>
          </w:r>
          <w:r>
            <w:fldChar w:fldCharType="separate"/>
          </w:r>
          <w:r>
            <w:t>47</w:t>
          </w:r>
          <w:r>
            <w:fldChar w:fldCharType="end"/>
          </w:r>
          <w:r>
            <w:fldChar w:fldCharType="end"/>
          </w:r>
        </w:p>
        <w:p>
          <w:pPr>
            <w:pStyle w:val="54"/>
            <w:tabs>
              <w:tab w:val="right" w:leader="dot" w:pos="9977"/>
            </w:tabs>
          </w:pPr>
          <w:r>
            <w:fldChar w:fldCharType="begin"/>
          </w:r>
          <w:r>
            <w:instrText xml:space="preserve"> HYPERLINK \l _Toc19756 </w:instrText>
          </w:r>
          <w:r>
            <w:fldChar w:fldCharType="separate"/>
          </w:r>
          <w:r>
            <w:rPr>
              <w:rFonts w:hint="eastAsia" w:ascii="宋体" w:hAnsi="宋体" w:eastAsia="宋体" w:cs="宋体"/>
              <w:szCs w:val="32"/>
            </w:rPr>
            <w:t>第</w:t>
          </w:r>
          <w:r>
            <w:rPr>
              <w:rFonts w:hint="eastAsia" w:ascii="宋体" w:hAnsi="宋体" w:eastAsia="宋体" w:cs="宋体"/>
              <w:szCs w:val="32"/>
              <w:lang w:eastAsia="zh-CN"/>
            </w:rPr>
            <w:t>五</w:t>
          </w:r>
          <w:r>
            <w:rPr>
              <w:rFonts w:hint="eastAsia" w:ascii="宋体" w:hAnsi="宋体" w:eastAsia="宋体" w:cs="宋体"/>
              <w:szCs w:val="32"/>
            </w:rPr>
            <w:t>部分　范本格式</w:t>
          </w:r>
          <w:r>
            <w:tab/>
          </w:r>
          <w:r>
            <w:fldChar w:fldCharType="begin"/>
          </w:r>
          <w:r>
            <w:instrText xml:space="preserve"> PAGEREF _Toc19756 \h </w:instrText>
          </w:r>
          <w:r>
            <w:fldChar w:fldCharType="separate"/>
          </w:r>
          <w:r>
            <w:t>55</w:t>
          </w:r>
          <w:r>
            <w:fldChar w:fldCharType="end"/>
          </w:r>
          <w:r>
            <w:fldChar w:fldCharType="end"/>
          </w:r>
        </w:p>
        <w:p>
          <w:pPr>
            <w:pStyle w:val="54"/>
            <w:tabs>
              <w:tab w:val="right" w:leader="dot" w:pos="9977"/>
            </w:tabs>
          </w:pPr>
          <w:r>
            <w:fldChar w:fldCharType="begin"/>
          </w:r>
          <w:r>
            <w:instrText xml:space="preserve"> HYPERLINK \l _Toc7341 </w:instrText>
          </w:r>
          <w:r>
            <w:fldChar w:fldCharType="separate"/>
          </w:r>
          <w:r>
            <w:rPr>
              <w:rFonts w:hint="eastAsia"/>
            </w:rPr>
            <w:t>1、投   标   函</w:t>
          </w:r>
          <w:r>
            <w:tab/>
          </w:r>
          <w:r>
            <w:fldChar w:fldCharType="begin"/>
          </w:r>
          <w:r>
            <w:instrText xml:space="preserve"> PAGEREF _Toc7341 \h </w:instrText>
          </w:r>
          <w:r>
            <w:fldChar w:fldCharType="separate"/>
          </w:r>
          <w:r>
            <w:t>55</w:t>
          </w:r>
          <w:r>
            <w:fldChar w:fldCharType="end"/>
          </w:r>
          <w:r>
            <w:fldChar w:fldCharType="end"/>
          </w:r>
        </w:p>
        <w:p>
          <w:pPr>
            <w:pStyle w:val="54"/>
            <w:tabs>
              <w:tab w:val="right" w:leader="dot" w:pos="9977"/>
            </w:tabs>
          </w:pPr>
          <w:r>
            <w:fldChar w:fldCharType="begin"/>
          </w:r>
          <w:r>
            <w:instrText xml:space="preserve"> HYPERLINK \l _Toc10368 </w:instrText>
          </w:r>
          <w:r>
            <w:fldChar w:fldCharType="separate"/>
          </w:r>
          <w:r>
            <w:rPr>
              <w:rFonts w:hint="eastAsia"/>
            </w:rPr>
            <w:t>2、法人代表授权书格式</w:t>
          </w:r>
          <w:r>
            <w:tab/>
          </w:r>
          <w:r>
            <w:fldChar w:fldCharType="begin"/>
          </w:r>
          <w:r>
            <w:instrText xml:space="preserve"> PAGEREF _Toc10368 \h </w:instrText>
          </w:r>
          <w:r>
            <w:fldChar w:fldCharType="separate"/>
          </w:r>
          <w:r>
            <w:t>56</w:t>
          </w:r>
          <w:r>
            <w:fldChar w:fldCharType="end"/>
          </w:r>
          <w:r>
            <w:fldChar w:fldCharType="end"/>
          </w:r>
        </w:p>
        <w:p>
          <w:pPr>
            <w:pStyle w:val="54"/>
            <w:tabs>
              <w:tab w:val="right" w:leader="dot" w:pos="9977"/>
            </w:tabs>
          </w:pPr>
          <w:r>
            <w:fldChar w:fldCharType="begin"/>
          </w:r>
          <w:r>
            <w:instrText xml:space="preserve"> HYPERLINK \l _Toc4085 </w:instrText>
          </w:r>
          <w:r>
            <w:fldChar w:fldCharType="separate"/>
          </w:r>
          <w:r>
            <w:rPr>
              <w:rFonts w:hint="eastAsia"/>
            </w:rPr>
            <w:t>3.法定代表人身份证明书</w:t>
          </w:r>
          <w:r>
            <w:tab/>
          </w:r>
          <w:r>
            <w:fldChar w:fldCharType="begin"/>
          </w:r>
          <w:r>
            <w:instrText xml:space="preserve"> PAGEREF _Toc4085 \h </w:instrText>
          </w:r>
          <w:r>
            <w:fldChar w:fldCharType="separate"/>
          </w:r>
          <w:r>
            <w:t>57</w:t>
          </w:r>
          <w:r>
            <w:fldChar w:fldCharType="end"/>
          </w:r>
          <w:r>
            <w:fldChar w:fldCharType="end"/>
          </w:r>
        </w:p>
        <w:p>
          <w:pPr>
            <w:pStyle w:val="54"/>
            <w:tabs>
              <w:tab w:val="right" w:leader="dot" w:pos="9977"/>
            </w:tabs>
          </w:pPr>
          <w:r>
            <w:fldChar w:fldCharType="begin"/>
          </w:r>
          <w:r>
            <w:instrText xml:space="preserve"> HYPERLINK \l _Toc2811 </w:instrText>
          </w:r>
          <w:r>
            <w:fldChar w:fldCharType="separate"/>
          </w:r>
          <w:r>
            <w:rPr>
              <w:rFonts w:hint="eastAsia"/>
            </w:rPr>
            <w:t>4、开标一览表</w:t>
          </w:r>
          <w:r>
            <w:tab/>
          </w:r>
          <w:r>
            <w:fldChar w:fldCharType="begin"/>
          </w:r>
          <w:r>
            <w:instrText xml:space="preserve"> PAGEREF _Toc2811 \h </w:instrText>
          </w:r>
          <w:r>
            <w:fldChar w:fldCharType="separate"/>
          </w:r>
          <w:r>
            <w:t>58</w:t>
          </w:r>
          <w:r>
            <w:fldChar w:fldCharType="end"/>
          </w:r>
          <w:r>
            <w:fldChar w:fldCharType="end"/>
          </w:r>
        </w:p>
        <w:p>
          <w:pPr>
            <w:pStyle w:val="54"/>
            <w:tabs>
              <w:tab w:val="right" w:leader="dot" w:pos="9977"/>
            </w:tabs>
          </w:pPr>
          <w:r>
            <w:fldChar w:fldCharType="begin"/>
          </w:r>
          <w:r>
            <w:instrText xml:space="preserve"> HYPERLINK \l _Toc20269 </w:instrText>
          </w:r>
          <w:r>
            <w:fldChar w:fldCharType="separate"/>
          </w:r>
          <w:r>
            <w:rPr>
              <w:rFonts w:hint="eastAsia"/>
              <w:lang w:val="en-US" w:eastAsia="zh-CN"/>
            </w:rPr>
            <w:t>5</w:t>
          </w:r>
          <w:r>
            <w:rPr>
              <w:rFonts w:hint="eastAsia"/>
            </w:rPr>
            <w:t>、技术参数、功能偏离表</w:t>
          </w:r>
          <w:r>
            <w:tab/>
          </w:r>
          <w:r>
            <w:fldChar w:fldCharType="begin"/>
          </w:r>
          <w:r>
            <w:instrText xml:space="preserve"> PAGEREF _Toc20269 \h </w:instrText>
          </w:r>
          <w:r>
            <w:fldChar w:fldCharType="separate"/>
          </w:r>
          <w:r>
            <w:t>59</w:t>
          </w:r>
          <w:r>
            <w:fldChar w:fldCharType="end"/>
          </w:r>
          <w:r>
            <w:fldChar w:fldCharType="end"/>
          </w:r>
        </w:p>
        <w:p>
          <w:pPr>
            <w:pStyle w:val="54"/>
            <w:tabs>
              <w:tab w:val="right" w:leader="dot" w:pos="9977"/>
            </w:tabs>
          </w:pPr>
          <w:r>
            <w:fldChar w:fldCharType="begin"/>
          </w:r>
          <w:r>
            <w:instrText xml:space="preserve"> HYPERLINK \l _Toc18039 </w:instrText>
          </w:r>
          <w:r>
            <w:fldChar w:fldCharType="separate"/>
          </w:r>
          <w:r>
            <w:rPr>
              <w:rFonts w:hint="eastAsia"/>
              <w:lang w:val="en-US" w:eastAsia="zh-CN"/>
            </w:rPr>
            <w:t>6</w:t>
          </w:r>
          <w:r>
            <w:rPr>
              <w:rFonts w:hint="eastAsia"/>
            </w:rPr>
            <w:t>、商务条款偏离表</w:t>
          </w:r>
          <w:r>
            <w:tab/>
          </w:r>
          <w:r>
            <w:fldChar w:fldCharType="begin"/>
          </w:r>
          <w:r>
            <w:instrText xml:space="preserve"> PAGEREF _Toc18039 \h </w:instrText>
          </w:r>
          <w:r>
            <w:fldChar w:fldCharType="separate"/>
          </w:r>
          <w:r>
            <w:t>60</w:t>
          </w:r>
          <w:r>
            <w:fldChar w:fldCharType="end"/>
          </w:r>
          <w:r>
            <w:fldChar w:fldCharType="end"/>
          </w:r>
        </w:p>
        <w:p>
          <w:pPr>
            <w:pStyle w:val="54"/>
            <w:tabs>
              <w:tab w:val="right" w:leader="dot" w:pos="9977"/>
            </w:tabs>
          </w:pPr>
          <w:r>
            <w:fldChar w:fldCharType="begin"/>
          </w:r>
          <w:r>
            <w:instrText xml:space="preserve"> HYPERLINK \l _Toc10728 </w:instrText>
          </w:r>
          <w:r>
            <w:fldChar w:fldCharType="separate"/>
          </w:r>
          <w:r>
            <w:rPr>
              <w:rFonts w:hint="eastAsia"/>
              <w:lang w:val="en-US" w:eastAsia="zh-CN"/>
            </w:rPr>
            <w:t>7</w:t>
          </w:r>
          <w:r>
            <w:rPr>
              <w:rFonts w:hint="eastAsia"/>
            </w:rPr>
            <w:t>、供应商概况和资质证明文件</w:t>
          </w:r>
          <w:r>
            <w:tab/>
          </w:r>
          <w:r>
            <w:fldChar w:fldCharType="begin"/>
          </w:r>
          <w:r>
            <w:instrText xml:space="preserve"> PAGEREF _Toc10728 \h </w:instrText>
          </w:r>
          <w:r>
            <w:fldChar w:fldCharType="separate"/>
          </w:r>
          <w:r>
            <w:t>61</w:t>
          </w:r>
          <w:r>
            <w:fldChar w:fldCharType="end"/>
          </w:r>
          <w:r>
            <w:fldChar w:fldCharType="end"/>
          </w:r>
        </w:p>
        <w:p>
          <w:pPr>
            <w:pStyle w:val="54"/>
            <w:tabs>
              <w:tab w:val="right" w:leader="dot" w:pos="9977"/>
            </w:tabs>
          </w:pPr>
          <w:r>
            <w:fldChar w:fldCharType="begin"/>
          </w:r>
          <w:r>
            <w:instrText xml:space="preserve"> HYPERLINK \l _Toc9435 </w:instrText>
          </w:r>
          <w:r>
            <w:fldChar w:fldCharType="separate"/>
          </w:r>
          <w:r>
            <w:rPr>
              <w:rFonts w:hint="eastAsia" w:ascii="宋体" w:hAnsi="宋体" w:eastAsia="宋体" w:cs="宋体"/>
              <w:bCs/>
              <w:szCs w:val="22"/>
            </w:rPr>
            <w:t>关</w:t>
          </w:r>
          <w:r>
            <w:rPr>
              <w:rFonts w:hint="eastAsia"/>
            </w:rPr>
            <w:t>于资格的声明函</w:t>
          </w:r>
          <w:r>
            <w:tab/>
          </w:r>
          <w:r>
            <w:fldChar w:fldCharType="begin"/>
          </w:r>
          <w:r>
            <w:instrText xml:space="preserve"> PAGEREF _Toc9435 \h </w:instrText>
          </w:r>
          <w:r>
            <w:fldChar w:fldCharType="separate"/>
          </w:r>
          <w:r>
            <w:t>62</w:t>
          </w:r>
          <w:r>
            <w:fldChar w:fldCharType="end"/>
          </w:r>
          <w:r>
            <w:fldChar w:fldCharType="end"/>
          </w:r>
        </w:p>
        <w:p>
          <w:pPr>
            <w:pStyle w:val="54"/>
            <w:tabs>
              <w:tab w:val="right" w:leader="dot" w:pos="9977"/>
            </w:tabs>
          </w:pPr>
          <w:r>
            <w:fldChar w:fldCharType="begin"/>
          </w:r>
          <w:r>
            <w:instrText xml:space="preserve"> HYPERLINK \l _Toc4622 </w:instrText>
          </w:r>
          <w:r>
            <w:fldChar w:fldCharType="separate"/>
          </w:r>
          <w:r>
            <w:rPr>
              <w:rFonts w:hint="eastAsia" w:hAnsi="宋体" w:eastAsia="宋体" w:cs="宋体"/>
              <w:szCs w:val="22"/>
              <w:lang w:val="en-US" w:eastAsia="zh-CN"/>
            </w:rPr>
            <w:t>8</w:t>
          </w:r>
          <w:r>
            <w:rPr>
              <w:rFonts w:hint="eastAsia" w:hAnsi="宋体" w:eastAsia="宋体" w:cs="宋体"/>
              <w:szCs w:val="22"/>
            </w:rPr>
            <w:t>、</w:t>
          </w:r>
          <w:r>
            <w:rPr>
              <w:rFonts w:hint="eastAsia"/>
            </w:rPr>
            <w:t>近三年在类似业绩表</w:t>
          </w:r>
          <w:r>
            <w:tab/>
          </w:r>
          <w:r>
            <w:fldChar w:fldCharType="begin"/>
          </w:r>
          <w:r>
            <w:instrText xml:space="preserve"> PAGEREF _Toc4622 \h </w:instrText>
          </w:r>
          <w:r>
            <w:fldChar w:fldCharType="separate"/>
          </w:r>
          <w:r>
            <w:t>63</w:t>
          </w:r>
          <w:r>
            <w:fldChar w:fldCharType="end"/>
          </w:r>
          <w:r>
            <w:fldChar w:fldCharType="end"/>
          </w:r>
        </w:p>
        <w:p>
          <w:pPr>
            <w:pStyle w:val="54"/>
            <w:tabs>
              <w:tab w:val="right" w:leader="dot" w:pos="9977"/>
            </w:tabs>
          </w:pPr>
          <w:r>
            <w:fldChar w:fldCharType="begin"/>
          </w:r>
          <w:r>
            <w:instrText xml:space="preserve"> HYPERLINK \l _Toc3946 </w:instrText>
          </w:r>
          <w:r>
            <w:fldChar w:fldCharType="separate"/>
          </w:r>
          <w:r>
            <w:rPr>
              <w:rFonts w:hint="eastAsia"/>
              <w:lang w:val="en-US" w:eastAsia="zh-CN"/>
            </w:rPr>
            <w:t>9、产品的质量、技术、性能综合描述方案</w:t>
          </w:r>
          <w:r>
            <w:tab/>
          </w:r>
          <w:r>
            <w:fldChar w:fldCharType="begin"/>
          </w:r>
          <w:r>
            <w:instrText xml:space="preserve"> PAGEREF _Toc3946 \h </w:instrText>
          </w:r>
          <w:r>
            <w:fldChar w:fldCharType="separate"/>
          </w:r>
          <w:r>
            <w:t>64</w:t>
          </w:r>
          <w:r>
            <w:fldChar w:fldCharType="end"/>
          </w:r>
          <w:r>
            <w:fldChar w:fldCharType="end"/>
          </w:r>
        </w:p>
        <w:p>
          <w:pPr>
            <w:pStyle w:val="54"/>
            <w:tabs>
              <w:tab w:val="right" w:leader="dot" w:pos="9977"/>
            </w:tabs>
          </w:pPr>
          <w:r>
            <w:fldChar w:fldCharType="begin"/>
          </w:r>
          <w:r>
            <w:instrText xml:space="preserve"> HYPERLINK \l _Toc25272 </w:instrText>
          </w:r>
          <w:r>
            <w:fldChar w:fldCharType="separate"/>
          </w:r>
          <w:r>
            <w:rPr>
              <w:rFonts w:hint="eastAsia"/>
              <w:lang w:val="en-US" w:eastAsia="zh-CN"/>
            </w:rPr>
            <w:t>10</w:t>
          </w:r>
          <w:r>
            <w:rPr>
              <w:rFonts w:hint="eastAsia"/>
            </w:rPr>
            <w:t>、</w:t>
          </w:r>
          <w:r>
            <w:rPr>
              <w:rFonts w:hint="eastAsia"/>
              <w:lang w:val="en-US" w:eastAsia="zh-CN"/>
            </w:rPr>
            <w:t>项目管理、售后服务计划措施及服务承诺</w:t>
          </w:r>
          <w:r>
            <w:tab/>
          </w:r>
          <w:r>
            <w:fldChar w:fldCharType="begin"/>
          </w:r>
          <w:r>
            <w:instrText xml:space="preserve"> PAGEREF _Toc25272 \h </w:instrText>
          </w:r>
          <w:r>
            <w:fldChar w:fldCharType="separate"/>
          </w:r>
          <w:r>
            <w:t>65</w:t>
          </w:r>
          <w:r>
            <w:fldChar w:fldCharType="end"/>
          </w:r>
          <w:r>
            <w:fldChar w:fldCharType="end"/>
          </w:r>
        </w:p>
        <w:p>
          <w:pPr>
            <w:pStyle w:val="54"/>
            <w:tabs>
              <w:tab w:val="right" w:leader="dot" w:pos="9977"/>
            </w:tabs>
          </w:pPr>
          <w:r>
            <w:fldChar w:fldCharType="begin"/>
          </w:r>
          <w:r>
            <w:instrText xml:space="preserve"> HYPERLINK \l _Toc9756 </w:instrText>
          </w:r>
          <w:r>
            <w:fldChar w:fldCharType="separate"/>
          </w:r>
          <w:r>
            <w:rPr>
              <w:rFonts w:hint="eastAsia"/>
              <w:lang w:val="en-US" w:eastAsia="zh-CN"/>
            </w:rPr>
            <w:t>11</w:t>
          </w:r>
          <w:r>
            <w:rPr>
              <w:rFonts w:hint="eastAsia"/>
            </w:rPr>
            <w:t>、免费维</w:t>
          </w:r>
          <w:r>
            <w:rPr>
              <w:rFonts w:hint="eastAsia"/>
              <w:lang w:eastAsia="zh-CN"/>
            </w:rPr>
            <w:t>修</w:t>
          </w:r>
          <w:r>
            <w:rPr>
              <w:rFonts w:hint="eastAsia"/>
            </w:rPr>
            <w:t>清单</w:t>
          </w:r>
          <w:r>
            <w:tab/>
          </w:r>
          <w:r>
            <w:fldChar w:fldCharType="begin"/>
          </w:r>
          <w:r>
            <w:instrText xml:space="preserve"> PAGEREF _Toc9756 \h </w:instrText>
          </w:r>
          <w:r>
            <w:fldChar w:fldCharType="separate"/>
          </w:r>
          <w:r>
            <w:t>66</w:t>
          </w:r>
          <w:r>
            <w:fldChar w:fldCharType="end"/>
          </w:r>
          <w:r>
            <w:fldChar w:fldCharType="end"/>
          </w:r>
        </w:p>
        <w:p>
          <w:pPr>
            <w:pStyle w:val="54"/>
            <w:tabs>
              <w:tab w:val="right" w:leader="dot" w:pos="9977"/>
            </w:tabs>
          </w:pPr>
          <w:r>
            <w:fldChar w:fldCharType="begin"/>
          </w:r>
          <w:r>
            <w:instrText xml:space="preserve"> HYPERLINK \l _Toc1467 </w:instrText>
          </w:r>
          <w:r>
            <w:fldChar w:fldCharType="separate"/>
          </w:r>
          <w:r>
            <w:rPr>
              <w:rFonts w:hint="eastAsia"/>
              <w:lang w:val="en-US" w:eastAsia="zh-CN"/>
            </w:rPr>
            <w:t>12、供应商认为有必要说明的其它内容</w:t>
          </w:r>
          <w:r>
            <w:tab/>
          </w:r>
          <w:r>
            <w:fldChar w:fldCharType="begin"/>
          </w:r>
          <w:r>
            <w:instrText xml:space="preserve"> PAGEREF _Toc1467 \h </w:instrText>
          </w:r>
          <w:r>
            <w:fldChar w:fldCharType="separate"/>
          </w:r>
          <w:r>
            <w:t>67</w:t>
          </w:r>
          <w:r>
            <w:fldChar w:fldCharType="end"/>
          </w:r>
          <w:r>
            <w:fldChar w:fldCharType="end"/>
          </w:r>
        </w:p>
        <w:p>
          <w:pPr>
            <w:pStyle w:val="54"/>
            <w:tabs>
              <w:tab w:val="right" w:leader="dot" w:pos="9977"/>
            </w:tabs>
          </w:pPr>
          <w:r>
            <w:fldChar w:fldCharType="begin"/>
          </w:r>
          <w:r>
            <w:instrText xml:space="preserve"> HYPERLINK \l _Toc1135 </w:instrText>
          </w:r>
          <w:r>
            <w:fldChar w:fldCharType="separate"/>
          </w:r>
          <w:r>
            <w:rPr>
              <w:rFonts w:hint="eastAsia"/>
            </w:rPr>
            <w:t>1</w:t>
          </w:r>
          <w:r>
            <w:rPr>
              <w:rFonts w:hint="eastAsia"/>
              <w:lang w:val="en-US" w:eastAsia="zh-CN"/>
            </w:rPr>
            <w:t>3</w:t>
          </w:r>
          <w:r>
            <w:rPr>
              <w:rFonts w:hint="eastAsia"/>
            </w:rPr>
            <w:t>、二次报价单</w:t>
          </w:r>
          <w:r>
            <w:tab/>
          </w:r>
          <w:r>
            <w:fldChar w:fldCharType="begin"/>
          </w:r>
          <w:r>
            <w:instrText xml:space="preserve"> PAGEREF _Toc1135 \h </w:instrText>
          </w:r>
          <w:r>
            <w:fldChar w:fldCharType="separate"/>
          </w:r>
          <w:r>
            <w:t>68</w:t>
          </w:r>
          <w:r>
            <w:fldChar w:fldCharType="end"/>
          </w:r>
          <w:r>
            <w:fldChar w:fldCharType="end"/>
          </w:r>
        </w:p>
        <w:p>
          <w:r>
            <w:fldChar w:fldCharType="end"/>
          </w:r>
        </w:p>
        <w:p>
          <w:pPr>
            <w:rPr>
              <w:rFonts w:hint="eastAsia" w:ascii="宋体" w:hAnsi="宋体" w:eastAsia="宋体" w:cs="宋体"/>
              <w:b/>
              <w:bCs/>
              <w:sz w:val="32"/>
              <w:szCs w:val="22"/>
            </w:rPr>
            <w:sectPr>
              <w:footerReference r:id="rId10" w:type="first"/>
              <w:footerReference r:id="rId9" w:type="default"/>
              <w:pgSz w:w="11907" w:h="16840"/>
              <w:pgMar w:top="1440" w:right="850" w:bottom="1440" w:left="1080" w:header="851" w:footer="850" w:gutter="0"/>
              <w:pgNumType w:start="1"/>
              <w:cols w:space="720" w:num="1"/>
              <w:titlePg/>
              <w:docGrid w:type="lines" w:linePitch="409" w:charSpace="0"/>
            </w:sectPr>
          </w:pPr>
          <w:r>
            <w:br w:type="page"/>
          </w:r>
          <w:bookmarkStart w:id="0" w:name="_Toc26681"/>
        </w:p>
      </w:sdtContent>
    </w:sdt>
    <w:p>
      <w:pPr>
        <w:ind w:left="0" w:leftChars="0" w:firstLine="0" w:firstLineChars="0"/>
        <w:jc w:val="center"/>
        <w:rPr>
          <w:rFonts w:ascii="宋体" w:hAnsi="宋体" w:eastAsia="宋体" w:cs="宋体"/>
          <w:b/>
          <w:bCs/>
          <w:sz w:val="32"/>
          <w:szCs w:val="22"/>
        </w:rPr>
      </w:pPr>
      <w:r>
        <w:rPr>
          <w:rFonts w:hint="eastAsia" w:ascii="宋体" w:hAnsi="宋体" w:eastAsia="宋体" w:cs="宋体"/>
          <w:b/>
          <w:bCs/>
          <w:sz w:val="32"/>
          <w:szCs w:val="22"/>
        </w:rPr>
        <w:t>第一部分  竞争性磋商公告</w:t>
      </w:r>
      <w:bookmarkEnd w:id="0"/>
    </w:p>
    <w:p>
      <w:pPr>
        <w:pStyle w:val="25"/>
        <w:widowControl/>
        <w:spacing w:before="75" w:beforeAutospacing="0" w:after="75" w:afterAutospacing="0"/>
        <w:rPr>
          <w:rStyle w:val="30"/>
          <w:rFonts w:hint="eastAsia" w:ascii="宋体" w:hAnsi="宋体" w:eastAsia="宋体" w:cs="宋体"/>
          <w:b w:val="0"/>
          <w:bCs w:val="0"/>
          <w:color w:val="000000"/>
          <w:sz w:val="24"/>
          <w:szCs w:val="24"/>
        </w:rPr>
      </w:pPr>
      <w:bookmarkStart w:id="1" w:name="_Toc17462117"/>
      <w:r>
        <w:rPr>
          <w:rStyle w:val="30"/>
          <w:rFonts w:hint="eastAsia" w:ascii="宋体" w:hAnsi="宋体" w:eastAsia="宋体" w:cs="宋体"/>
          <w:b w:val="0"/>
          <w:bCs w:val="0"/>
          <w:color w:val="000000"/>
          <w:sz w:val="24"/>
          <w:szCs w:val="24"/>
          <w:lang w:eastAsia="zh-CN"/>
        </w:rPr>
        <w:t>新疆新建联项目管理咨询有限公司受</w:t>
      </w:r>
      <w:r>
        <w:rPr>
          <w:rStyle w:val="30"/>
          <w:rFonts w:hint="eastAsia" w:ascii="宋体" w:hAnsi="宋体" w:eastAsia="宋体" w:cs="宋体"/>
          <w:b w:val="0"/>
          <w:bCs w:val="0"/>
          <w:color w:val="000000"/>
          <w:sz w:val="24"/>
          <w:szCs w:val="24"/>
          <w:lang w:val="en-US" w:eastAsia="zh-CN"/>
        </w:rPr>
        <w:t>乌鲁木齐八一中学</w:t>
      </w:r>
      <w:r>
        <w:rPr>
          <w:rStyle w:val="30"/>
          <w:rFonts w:hint="eastAsia" w:ascii="宋体" w:hAnsi="宋体" w:eastAsia="宋体" w:cs="宋体"/>
          <w:b w:val="0"/>
          <w:bCs w:val="0"/>
          <w:color w:val="000000"/>
          <w:sz w:val="24"/>
          <w:szCs w:val="24"/>
          <w:lang w:eastAsia="zh-CN"/>
        </w:rPr>
        <w:t>的委托，现对</w:t>
      </w:r>
      <w:r>
        <w:rPr>
          <w:rStyle w:val="30"/>
          <w:rFonts w:hint="eastAsia" w:ascii="宋体" w:hAnsi="宋体" w:eastAsia="宋体" w:cs="宋体"/>
          <w:b w:val="0"/>
          <w:bCs w:val="0"/>
          <w:color w:val="000000"/>
          <w:sz w:val="24"/>
          <w:szCs w:val="24"/>
          <w:lang w:val="en-US" w:eastAsia="zh-CN"/>
        </w:rPr>
        <w:t>乌鲁木齐八一中学采购教学专用创新设备项目</w:t>
      </w:r>
      <w:r>
        <w:rPr>
          <w:rStyle w:val="30"/>
          <w:rFonts w:hint="eastAsia" w:ascii="宋体" w:hAnsi="宋体" w:eastAsia="宋体" w:cs="宋体"/>
          <w:b w:val="0"/>
          <w:bCs w:val="0"/>
          <w:color w:val="000000"/>
          <w:sz w:val="24"/>
          <w:szCs w:val="24"/>
          <w:lang w:eastAsia="zh-CN"/>
        </w:rPr>
        <w:t>进行</w:t>
      </w:r>
      <w:r>
        <w:rPr>
          <w:rStyle w:val="30"/>
          <w:rFonts w:hint="eastAsia" w:ascii="宋体" w:hAnsi="宋体" w:eastAsia="宋体" w:cs="宋体"/>
          <w:b w:val="0"/>
          <w:bCs w:val="0"/>
          <w:color w:val="000000"/>
          <w:sz w:val="24"/>
          <w:szCs w:val="24"/>
          <w:lang w:val="en-US" w:eastAsia="zh-CN"/>
        </w:rPr>
        <w:t>竞争性磋商</w:t>
      </w:r>
      <w:r>
        <w:rPr>
          <w:rStyle w:val="30"/>
          <w:rFonts w:hint="eastAsia" w:ascii="宋体" w:hAnsi="宋体" w:eastAsia="宋体" w:cs="宋体"/>
          <w:b w:val="0"/>
          <w:bCs w:val="0"/>
          <w:color w:val="000000"/>
          <w:sz w:val="24"/>
          <w:szCs w:val="24"/>
          <w:lang w:eastAsia="zh-CN"/>
        </w:rPr>
        <w:t>招标，欢迎合格的</w:t>
      </w:r>
      <w:r>
        <w:rPr>
          <w:rStyle w:val="30"/>
          <w:rFonts w:hint="eastAsia" w:ascii="宋体" w:hAnsi="宋体" w:eastAsia="宋体" w:cs="宋体"/>
          <w:b w:val="0"/>
          <w:bCs w:val="0"/>
          <w:color w:val="000000"/>
          <w:sz w:val="24"/>
          <w:szCs w:val="24"/>
          <w:lang w:val="en-US" w:eastAsia="zh-CN"/>
        </w:rPr>
        <w:t>供应商</w:t>
      </w:r>
      <w:r>
        <w:rPr>
          <w:rStyle w:val="30"/>
          <w:rFonts w:hint="eastAsia" w:ascii="宋体" w:hAnsi="宋体" w:eastAsia="宋体" w:cs="宋体"/>
          <w:b w:val="0"/>
          <w:bCs w:val="0"/>
          <w:color w:val="000000"/>
          <w:sz w:val="24"/>
          <w:szCs w:val="24"/>
          <w:lang w:eastAsia="zh-CN"/>
        </w:rPr>
        <w:t>前往新疆新建联项目管理咨询有限公司报名，领取</w:t>
      </w:r>
      <w:r>
        <w:rPr>
          <w:rStyle w:val="30"/>
          <w:rFonts w:hint="eastAsia" w:ascii="宋体" w:hAnsi="宋体" w:eastAsia="宋体" w:cs="宋体"/>
          <w:b w:val="0"/>
          <w:bCs w:val="0"/>
          <w:color w:val="000000"/>
          <w:sz w:val="24"/>
          <w:szCs w:val="24"/>
          <w:lang w:val="en-US" w:eastAsia="zh-CN"/>
        </w:rPr>
        <w:t>采购</w:t>
      </w:r>
      <w:r>
        <w:rPr>
          <w:rStyle w:val="30"/>
          <w:rFonts w:hint="eastAsia" w:ascii="宋体" w:hAnsi="宋体" w:eastAsia="宋体" w:cs="宋体"/>
          <w:b w:val="0"/>
          <w:bCs w:val="0"/>
          <w:color w:val="000000"/>
          <w:sz w:val="24"/>
          <w:szCs w:val="24"/>
          <w:lang w:eastAsia="zh-CN"/>
        </w:rPr>
        <w:t>文件。</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一、</w:t>
      </w:r>
      <w:r>
        <w:rPr>
          <w:rStyle w:val="30"/>
          <w:rFonts w:hint="eastAsia" w:ascii="宋体" w:hAnsi="宋体" w:eastAsia="宋体" w:cs="宋体"/>
          <w:b w:val="0"/>
          <w:bCs w:val="0"/>
          <w:color w:val="000000"/>
          <w:sz w:val="24"/>
          <w:szCs w:val="24"/>
        </w:rPr>
        <w:t>项目名称：</w:t>
      </w:r>
      <w:r>
        <w:rPr>
          <w:rStyle w:val="30"/>
          <w:rFonts w:hint="eastAsia" w:ascii="宋体" w:hAnsi="宋体" w:eastAsia="宋体" w:cs="宋体"/>
          <w:b w:val="0"/>
          <w:bCs w:val="0"/>
          <w:color w:val="000000"/>
          <w:sz w:val="24"/>
          <w:szCs w:val="24"/>
          <w:lang w:val="en-US" w:eastAsia="zh-CN"/>
        </w:rPr>
        <w:t>乌鲁木齐八一中学采购教学专用创新设备项目</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二、</w:t>
      </w:r>
      <w:r>
        <w:rPr>
          <w:rStyle w:val="30"/>
          <w:rFonts w:hint="eastAsia" w:ascii="宋体" w:hAnsi="宋体" w:eastAsia="宋体" w:cs="宋体"/>
          <w:b w:val="0"/>
          <w:bCs w:val="0"/>
          <w:color w:val="000000"/>
          <w:sz w:val="24"/>
          <w:szCs w:val="24"/>
        </w:rPr>
        <w:t>采购人：</w:t>
      </w:r>
      <w:r>
        <w:rPr>
          <w:rStyle w:val="30"/>
          <w:rFonts w:hint="eastAsia" w:ascii="宋体" w:hAnsi="宋体" w:eastAsia="宋体" w:cs="宋体"/>
          <w:b w:val="0"/>
          <w:bCs w:val="0"/>
          <w:color w:val="000000"/>
          <w:sz w:val="24"/>
          <w:szCs w:val="24"/>
          <w:lang w:val="en-US" w:eastAsia="zh-CN"/>
        </w:rPr>
        <w:t>乌鲁木齐八一中学</w:t>
      </w:r>
    </w:p>
    <w:p>
      <w:pPr>
        <w:pStyle w:val="25"/>
        <w:widowControl/>
        <w:spacing w:before="75" w:beforeAutospacing="0" w:after="75" w:afterAutospacing="0"/>
        <w:rPr>
          <w:rStyle w:val="30"/>
          <w:rFonts w:hint="default"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三、</w:t>
      </w:r>
      <w:r>
        <w:rPr>
          <w:rStyle w:val="30"/>
          <w:rFonts w:hint="eastAsia" w:ascii="宋体" w:hAnsi="宋体" w:eastAsia="宋体" w:cs="宋体"/>
          <w:b w:val="0"/>
          <w:bCs w:val="0"/>
          <w:color w:val="000000"/>
          <w:sz w:val="24"/>
          <w:szCs w:val="24"/>
        </w:rPr>
        <w:t>资金来源</w:t>
      </w:r>
      <w:r>
        <w:rPr>
          <w:rStyle w:val="30"/>
          <w:rFonts w:hint="eastAsia" w:ascii="宋体" w:hAnsi="宋体" w:eastAsia="宋体" w:cs="宋体"/>
          <w:b w:val="0"/>
          <w:bCs w:val="0"/>
          <w:color w:val="000000"/>
          <w:sz w:val="24"/>
          <w:szCs w:val="24"/>
          <w:lang w:eastAsia="zh-CN"/>
        </w:rPr>
        <w:t>：</w:t>
      </w:r>
      <w:r>
        <w:rPr>
          <w:rStyle w:val="30"/>
          <w:rFonts w:hint="eastAsia" w:ascii="宋体" w:hAnsi="宋体" w:eastAsia="宋体" w:cs="宋体"/>
          <w:b w:val="0"/>
          <w:bCs w:val="0"/>
          <w:color w:val="000000"/>
          <w:sz w:val="24"/>
          <w:szCs w:val="24"/>
          <w:lang w:val="en-US" w:eastAsia="zh-CN"/>
        </w:rPr>
        <w:t>财政资金</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四、</w:t>
      </w:r>
      <w:r>
        <w:rPr>
          <w:rStyle w:val="30"/>
          <w:rFonts w:hint="eastAsia" w:ascii="宋体" w:hAnsi="宋体" w:eastAsia="宋体" w:cs="宋体"/>
          <w:b w:val="0"/>
          <w:bCs w:val="0"/>
          <w:color w:val="000000"/>
          <w:sz w:val="24"/>
          <w:szCs w:val="24"/>
        </w:rPr>
        <w:t>采购方式：竞争性磋商</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五、</w:t>
      </w:r>
      <w:r>
        <w:rPr>
          <w:rStyle w:val="30"/>
          <w:rFonts w:hint="eastAsia" w:ascii="宋体" w:hAnsi="宋体" w:eastAsia="宋体" w:cs="宋体"/>
          <w:b w:val="0"/>
          <w:bCs w:val="0"/>
          <w:color w:val="000000"/>
          <w:sz w:val="24"/>
          <w:szCs w:val="24"/>
        </w:rPr>
        <w:t>资格审查方式：资格后审</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六、</w:t>
      </w:r>
      <w:r>
        <w:rPr>
          <w:rStyle w:val="30"/>
          <w:rFonts w:hint="eastAsia" w:ascii="宋体" w:hAnsi="宋体" w:eastAsia="宋体" w:cs="宋体"/>
          <w:b w:val="0"/>
          <w:bCs w:val="0"/>
          <w:color w:val="000000"/>
          <w:sz w:val="24"/>
          <w:szCs w:val="24"/>
        </w:rPr>
        <w:t>采购范围：</w:t>
      </w:r>
      <w:r>
        <w:rPr>
          <w:rStyle w:val="30"/>
          <w:rFonts w:hint="eastAsia" w:ascii="宋体" w:hAnsi="宋体" w:eastAsia="宋体" w:cs="宋体"/>
          <w:b w:val="0"/>
          <w:bCs w:val="0"/>
          <w:color w:val="000000"/>
          <w:sz w:val="24"/>
          <w:szCs w:val="24"/>
          <w:lang w:val="en-US" w:eastAsia="zh-CN"/>
        </w:rPr>
        <w:t>乌鲁木齐八一中学按教学需要采购88件教学专用创新设备。</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七、</w:t>
      </w:r>
      <w:r>
        <w:rPr>
          <w:rStyle w:val="30"/>
          <w:rFonts w:hint="eastAsia" w:ascii="宋体" w:hAnsi="宋体" w:eastAsia="宋体" w:cs="宋体"/>
          <w:b w:val="0"/>
          <w:bCs w:val="0"/>
          <w:color w:val="000000"/>
          <w:sz w:val="24"/>
          <w:szCs w:val="24"/>
        </w:rPr>
        <w:t>供应商资格要求：</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1、供应商具有合法经营范围且符合《中华人民共和国政府采购法》第二十二条规定：</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（1）具有独立承担民事责任的能力；</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2）具有良好的商业信誉和健全的财务会计制度（提供健全的财务会计制度证明文件，例如财务状况报告或会计师事务所出具的近三年任意一年财务审计报告，新成立不足一年的提供成立之日起至今的财务报表）；</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（3）具有履行合同所必需的设备和专业技术能力（需提供声明函格式自拟）；</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（4）有依法缴纳税收和社会保障资金的良好记录（提供近三个月缴税记录及社保缴纳证明，新成立公司提供成立之日起至今的缴税记录及社保缴纳证明）；</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（5）参加政府采购活动前三年内，在经营活动中没有重大违法记录（须提供“信用中国”（</w:t>
      </w:r>
      <w:r>
        <w:rPr>
          <w:rStyle w:val="30"/>
          <w:rFonts w:hint="eastAsia" w:ascii="宋体" w:hAnsi="宋体" w:eastAsia="宋体" w:cs="宋体"/>
          <w:b w:val="0"/>
          <w:bCs w:val="0"/>
          <w:color w:val="000000"/>
          <w:sz w:val="24"/>
          <w:szCs w:val="24"/>
          <w:lang w:val="en-US" w:eastAsia="zh-CN"/>
        </w:rPr>
        <w:fldChar w:fldCharType="begin"/>
      </w:r>
      <w:r>
        <w:rPr>
          <w:rStyle w:val="30"/>
          <w:rFonts w:hint="eastAsia" w:ascii="宋体" w:hAnsi="宋体" w:eastAsia="宋体" w:cs="宋体"/>
          <w:b w:val="0"/>
          <w:bCs w:val="0"/>
          <w:color w:val="000000"/>
          <w:sz w:val="24"/>
          <w:szCs w:val="24"/>
          <w:lang w:val="en-US" w:eastAsia="zh-CN"/>
        </w:rPr>
        <w:instrText xml:space="preserve"> HYPERLINK "http://www.creditchina.gov.cn%EF%BC%89%E5%92%8C%E4%B8%AD%E5%9B%BD%E6%94%BF%E5%BA%9C%E9%87%87%E8%B4%AD%E7%BD%91%EF%BC%88www.ccgp.gov.cn%EF%BC%89%E7%BD%91%E7%AB%99%E4%B8%8A%E6%9C%AA%E5%88%97%E5%85%A5%E5%A4%B1%E4%BF%A1%E8%A2%AB%E6%89%A7%E8%A1%8C%E4%BA%BA%E3%80%81%E9%87%8D%E5%A4%A7%E7%A8%8E%E6%94%B6%E8%BF%9D%E6%B3%95%E6%A1%88%E4%BB%B6%E5%BD%93%E4%BA%8B%E4%BA%BA%E5%90%8D%E5%8D%95%E4%BB%A5%E5%8F%8A%E6%94%BF%E5%BA%9C%E9%87%87%E8%B4%AD%E4%B8%A5%E9%87%8D%E8%BF%9D%E6%B3%95%E5%A4%B1%E4%BF%A1%E8%A1%8C%E4%B8%BA%E8%AE%B0%E5%BD%95%E5%90%8D%E5%8D%95%E7%9A%84%E7%BD%91%E9%A1%B5%E6%89%93%E5%8D%B0%E4%BB%B6%EF%BC%89%EF%BC%9B/" </w:instrText>
      </w:r>
      <w:r>
        <w:rPr>
          <w:rStyle w:val="30"/>
          <w:rFonts w:hint="eastAsia" w:ascii="宋体" w:hAnsi="宋体" w:eastAsia="宋体" w:cs="宋体"/>
          <w:b w:val="0"/>
          <w:bCs w:val="0"/>
          <w:color w:val="000000"/>
          <w:sz w:val="24"/>
          <w:szCs w:val="24"/>
          <w:lang w:val="en-US" w:eastAsia="zh-CN"/>
        </w:rPr>
        <w:fldChar w:fldCharType="separate"/>
      </w:r>
      <w:r>
        <w:rPr>
          <w:rStyle w:val="30"/>
          <w:rFonts w:hint="eastAsia" w:ascii="宋体" w:hAnsi="宋体" w:eastAsia="宋体" w:cs="宋体"/>
          <w:b w:val="0"/>
          <w:bCs w:val="0"/>
          <w:color w:val="000000"/>
          <w:sz w:val="24"/>
          <w:szCs w:val="24"/>
          <w:lang w:val="en-US" w:eastAsia="zh-CN"/>
        </w:rPr>
        <w:t>www.creditchina.gov.cn）和中国政府采购网（www.ccgp.gov.cn）网站上未列入失信被执行人、重大税收违法案件当事人名单以及政府采购严重违法失信行为记录名单的网页打印件）；</w:t>
      </w:r>
      <w:r>
        <w:rPr>
          <w:rStyle w:val="30"/>
          <w:rFonts w:hint="eastAsia" w:ascii="宋体" w:hAnsi="宋体" w:eastAsia="宋体" w:cs="宋体"/>
          <w:b w:val="0"/>
          <w:bCs w:val="0"/>
          <w:color w:val="000000"/>
          <w:sz w:val="24"/>
          <w:szCs w:val="24"/>
          <w:lang w:val="en-US" w:eastAsia="zh-CN"/>
        </w:rPr>
        <w:fldChar w:fldCharType="end"/>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（6）供应商提供无行贿犯罪记录证明（在中国裁判文书网（http://wenshu.court.gov.cn/）查询，查询时间必须在公告期内）；</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（7）法律、行政法规规定的其他条件。 </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2、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 。</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3、符合国家有关法律法规的规定。</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4、本项目不允许联合体投标。 </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5、落实政府采购政策需满足的资格要求：</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（1）财政部、工业和信息化部《关于印发《政府采购促进中小企业展暂行办法》的通知》（财库[2011]181号文）；</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（2）财政部、民政部、中国残疾人联合会《关于促进残疾人就业政府采购政策的通知》（财库[2017]141号）。</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八、</w:t>
      </w:r>
      <w:r>
        <w:rPr>
          <w:rStyle w:val="30"/>
          <w:rFonts w:hint="eastAsia" w:ascii="宋体" w:hAnsi="宋体" w:eastAsia="宋体" w:cs="宋体"/>
          <w:b w:val="0"/>
          <w:bCs w:val="0"/>
          <w:color w:val="000000"/>
          <w:sz w:val="24"/>
          <w:szCs w:val="24"/>
        </w:rPr>
        <w:t>报名须知：</w:t>
      </w:r>
      <w:r>
        <w:rPr>
          <w:rStyle w:val="30"/>
          <w:rFonts w:hint="eastAsia" w:ascii="宋体" w:hAnsi="宋体" w:eastAsia="宋体" w:cs="宋体"/>
          <w:b w:val="0"/>
          <w:bCs w:val="0"/>
          <w:color w:val="000000"/>
          <w:sz w:val="24"/>
          <w:szCs w:val="24"/>
          <w:lang w:val="en-US" w:eastAsia="zh-CN"/>
        </w:rPr>
        <w:t>供应商购买标书时应提交的资料：营业执照原件、法人授权委托书原件、被授权人身份证原件、中国裁判文书网及信用中国及中国政府采购网网页查询结果打印页、供应商资格要求的所有资料（以上资料提供原件及复印件加盖公章二套）到乌鲁木齐水磨沟区龙盛街898号万科中央公园商住小区S6栋14楼招标部报名，领取采购文件。</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九</w:t>
      </w:r>
      <w:r>
        <w:rPr>
          <w:rStyle w:val="30"/>
          <w:rFonts w:hint="eastAsia" w:ascii="宋体" w:hAnsi="宋体" w:eastAsia="宋体" w:cs="宋体"/>
          <w:b w:val="0"/>
          <w:bCs w:val="0"/>
          <w:color w:val="000000"/>
          <w:sz w:val="24"/>
          <w:szCs w:val="24"/>
        </w:rPr>
        <w:t>、</w:t>
      </w:r>
      <w:r>
        <w:rPr>
          <w:rStyle w:val="30"/>
          <w:rFonts w:hint="eastAsia" w:ascii="宋体" w:hAnsi="宋体" w:eastAsia="宋体" w:cs="宋体"/>
          <w:b w:val="0"/>
          <w:bCs w:val="0"/>
          <w:color w:val="000000"/>
          <w:sz w:val="24"/>
          <w:szCs w:val="24"/>
          <w:lang w:val="en-US" w:eastAsia="zh-CN"/>
        </w:rPr>
        <w:t>采购</w:t>
      </w:r>
      <w:r>
        <w:rPr>
          <w:rStyle w:val="30"/>
          <w:rFonts w:hint="eastAsia" w:ascii="宋体" w:hAnsi="宋体" w:eastAsia="宋体" w:cs="宋体"/>
          <w:b w:val="0"/>
          <w:bCs w:val="0"/>
          <w:color w:val="000000"/>
          <w:sz w:val="24"/>
          <w:szCs w:val="24"/>
        </w:rPr>
        <w:t>代理机构：新疆新建联项目管理咨询有限公司</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十</w:t>
      </w:r>
      <w:r>
        <w:rPr>
          <w:rStyle w:val="30"/>
          <w:rFonts w:hint="eastAsia" w:ascii="宋体" w:hAnsi="宋体" w:eastAsia="宋体" w:cs="宋体"/>
          <w:b w:val="0"/>
          <w:bCs w:val="0"/>
          <w:color w:val="000000"/>
          <w:sz w:val="24"/>
          <w:szCs w:val="24"/>
        </w:rPr>
        <w:t>、报名及获取招标文件时间、地点：2021年</w:t>
      </w:r>
      <w:r>
        <w:rPr>
          <w:rStyle w:val="30"/>
          <w:rFonts w:hint="eastAsia" w:ascii="宋体" w:hAnsi="宋体" w:eastAsia="宋体" w:cs="宋体"/>
          <w:b w:val="0"/>
          <w:bCs w:val="0"/>
          <w:color w:val="000000"/>
          <w:sz w:val="24"/>
          <w:szCs w:val="24"/>
          <w:lang w:val="en-US" w:eastAsia="zh-CN"/>
        </w:rPr>
        <w:t>12</w:t>
      </w:r>
      <w:r>
        <w:rPr>
          <w:rStyle w:val="30"/>
          <w:rFonts w:hint="eastAsia" w:ascii="宋体" w:hAnsi="宋体" w:eastAsia="宋体" w:cs="宋体"/>
          <w:b w:val="0"/>
          <w:bCs w:val="0"/>
          <w:color w:val="000000"/>
          <w:sz w:val="24"/>
          <w:szCs w:val="24"/>
        </w:rPr>
        <w:t>月</w:t>
      </w:r>
      <w:r>
        <w:rPr>
          <w:rStyle w:val="30"/>
          <w:rFonts w:hint="eastAsia" w:ascii="宋体" w:hAnsi="宋体" w:eastAsia="宋体" w:cs="宋体"/>
          <w:b w:val="0"/>
          <w:bCs w:val="0"/>
          <w:color w:val="000000"/>
          <w:sz w:val="24"/>
          <w:szCs w:val="24"/>
          <w:lang w:val="en-US" w:eastAsia="zh-CN"/>
        </w:rPr>
        <w:t>03</w:t>
      </w:r>
      <w:r>
        <w:rPr>
          <w:rStyle w:val="30"/>
          <w:rFonts w:hint="eastAsia" w:ascii="宋体" w:hAnsi="宋体" w:eastAsia="宋体" w:cs="宋体"/>
          <w:b w:val="0"/>
          <w:bCs w:val="0"/>
          <w:color w:val="000000"/>
          <w:sz w:val="24"/>
          <w:szCs w:val="24"/>
        </w:rPr>
        <w:t>日---2021年</w:t>
      </w:r>
      <w:r>
        <w:rPr>
          <w:rStyle w:val="30"/>
          <w:rFonts w:hint="eastAsia" w:ascii="宋体" w:hAnsi="宋体" w:eastAsia="宋体" w:cs="宋体"/>
          <w:b w:val="0"/>
          <w:bCs w:val="0"/>
          <w:color w:val="000000"/>
          <w:sz w:val="24"/>
          <w:szCs w:val="24"/>
          <w:lang w:val="en-US" w:eastAsia="zh-CN"/>
        </w:rPr>
        <w:t>12</w:t>
      </w:r>
      <w:r>
        <w:rPr>
          <w:rStyle w:val="30"/>
          <w:rFonts w:hint="eastAsia" w:ascii="宋体" w:hAnsi="宋体" w:eastAsia="宋体" w:cs="宋体"/>
          <w:b w:val="0"/>
          <w:bCs w:val="0"/>
          <w:color w:val="000000"/>
          <w:sz w:val="24"/>
          <w:szCs w:val="24"/>
        </w:rPr>
        <w:t>月</w:t>
      </w:r>
      <w:r>
        <w:rPr>
          <w:rStyle w:val="30"/>
          <w:rFonts w:hint="eastAsia" w:ascii="宋体" w:hAnsi="宋体" w:eastAsia="宋体" w:cs="宋体"/>
          <w:b w:val="0"/>
          <w:bCs w:val="0"/>
          <w:color w:val="000000"/>
          <w:sz w:val="24"/>
          <w:szCs w:val="24"/>
          <w:lang w:val="en-US" w:eastAsia="zh-CN"/>
        </w:rPr>
        <w:t>09</w:t>
      </w:r>
      <w:r>
        <w:rPr>
          <w:rStyle w:val="30"/>
          <w:rFonts w:hint="eastAsia" w:ascii="宋体" w:hAnsi="宋体" w:eastAsia="宋体" w:cs="宋体"/>
          <w:b w:val="0"/>
          <w:bCs w:val="0"/>
          <w:color w:val="000000"/>
          <w:sz w:val="24"/>
          <w:szCs w:val="24"/>
        </w:rPr>
        <w:t>日，每天上午10:00时至13:30时，下午15:30 时至19:00（北京时间）。</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地址：乌鲁木齐水磨沟区龙盛街898号万科中央公园商住小区S6栋14楼招标部</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十一</w:t>
      </w:r>
      <w:r>
        <w:rPr>
          <w:rStyle w:val="30"/>
          <w:rFonts w:hint="eastAsia" w:ascii="宋体" w:hAnsi="宋体" w:eastAsia="宋体" w:cs="宋体"/>
          <w:b w:val="0"/>
          <w:bCs w:val="0"/>
          <w:color w:val="000000"/>
          <w:sz w:val="24"/>
          <w:szCs w:val="24"/>
        </w:rPr>
        <w:t>、</w:t>
      </w:r>
      <w:r>
        <w:rPr>
          <w:rStyle w:val="30"/>
          <w:rFonts w:hint="eastAsia" w:ascii="宋体" w:hAnsi="宋体" w:eastAsia="宋体" w:cs="宋体"/>
          <w:b w:val="0"/>
          <w:bCs w:val="0"/>
          <w:color w:val="000000"/>
          <w:sz w:val="24"/>
          <w:szCs w:val="24"/>
          <w:lang w:val="en-US" w:eastAsia="zh-CN"/>
        </w:rPr>
        <w:t>采购</w:t>
      </w:r>
      <w:r>
        <w:rPr>
          <w:rStyle w:val="30"/>
          <w:rFonts w:hint="eastAsia" w:ascii="宋体" w:hAnsi="宋体" w:eastAsia="宋体" w:cs="宋体"/>
          <w:b w:val="0"/>
          <w:bCs w:val="0"/>
          <w:color w:val="000000"/>
          <w:sz w:val="24"/>
          <w:szCs w:val="24"/>
        </w:rPr>
        <w:t>文件获取及费用</w:t>
      </w:r>
    </w:p>
    <w:p>
      <w:pPr>
        <w:pStyle w:val="18"/>
        <w:bidi w:val="0"/>
        <w:rPr>
          <w:rStyle w:val="30"/>
          <w:rFonts w:hint="eastAsia" w:ascii="宋体" w:hAnsi="宋体" w:eastAsia="宋体" w:cs="宋体"/>
          <w:b w:val="0"/>
          <w:bCs w:val="0"/>
          <w:color w:val="000000"/>
          <w:kern w:val="0"/>
          <w:sz w:val="24"/>
          <w:szCs w:val="24"/>
          <w:lang w:val="en-US" w:eastAsia="zh-CN" w:bidi="ar-SA"/>
        </w:rPr>
      </w:pPr>
      <w:r>
        <w:rPr>
          <w:rStyle w:val="30"/>
          <w:rFonts w:hint="eastAsia" w:ascii="宋体" w:hAnsi="宋体" w:eastAsia="宋体" w:cs="宋体"/>
          <w:b w:val="0"/>
          <w:bCs w:val="0"/>
          <w:color w:val="000000"/>
          <w:kern w:val="0"/>
          <w:sz w:val="24"/>
          <w:szCs w:val="24"/>
          <w:lang w:val="zh-CN" w:eastAsia="zh-CN" w:bidi="ar-SA"/>
        </w:rPr>
        <w:t>（</w:t>
      </w:r>
      <w:r>
        <w:rPr>
          <w:rStyle w:val="30"/>
          <w:rFonts w:hint="eastAsia" w:ascii="宋体" w:hAnsi="宋体" w:eastAsia="宋体" w:cs="宋体"/>
          <w:b w:val="0"/>
          <w:bCs w:val="0"/>
          <w:color w:val="000000"/>
          <w:kern w:val="0"/>
          <w:sz w:val="24"/>
          <w:szCs w:val="24"/>
          <w:lang w:val="en-US" w:eastAsia="zh-CN" w:bidi="ar-SA"/>
        </w:rPr>
        <w:t>1）采购</w:t>
      </w:r>
      <w:r>
        <w:rPr>
          <w:rStyle w:val="30"/>
          <w:rFonts w:hint="eastAsia" w:ascii="宋体" w:hAnsi="宋体" w:eastAsia="宋体" w:cs="宋体"/>
          <w:b w:val="0"/>
          <w:bCs w:val="0"/>
          <w:color w:val="000000"/>
          <w:kern w:val="0"/>
          <w:sz w:val="24"/>
          <w:szCs w:val="24"/>
          <w:lang w:val="zh-CN" w:eastAsia="zh-CN" w:bidi="ar-SA"/>
        </w:rPr>
        <w:t>文件售价：</w:t>
      </w:r>
      <w:r>
        <w:rPr>
          <w:rStyle w:val="30"/>
          <w:rFonts w:hint="eastAsia" w:ascii="宋体" w:hAnsi="宋体" w:eastAsia="宋体" w:cs="宋体"/>
          <w:b w:val="0"/>
          <w:bCs w:val="0"/>
          <w:color w:val="000000"/>
          <w:kern w:val="0"/>
          <w:sz w:val="24"/>
          <w:szCs w:val="24"/>
          <w:lang w:val="en-US" w:eastAsia="zh-CN" w:bidi="ar-SA"/>
        </w:rPr>
        <w:t>200元/包（现金或转账），售后不退</w:t>
      </w:r>
    </w:p>
    <w:p>
      <w:pPr>
        <w:pStyle w:val="25"/>
        <w:widowControl/>
        <w:spacing w:before="75" w:beforeAutospacing="0" w:after="75" w:afterAutospacing="0"/>
        <w:rPr>
          <w:rStyle w:val="30"/>
          <w:rFonts w:hint="eastAsia" w:ascii="宋体" w:hAnsi="宋体" w:eastAsia="宋体" w:cs="宋体"/>
          <w:b w:val="0"/>
          <w:bCs w:val="0"/>
          <w:color w:val="000000"/>
          <w:kern w:val="0"/>
          <w:sz w:val="24"/>
          <w:szCs w:val="24"/>
          <w:lang w:val="en-US" w:eastAsia="zh-CN" w:bidi="ar-SA"/>
        </w:rPr>
      </w:pPr>
      <w:r>
        <w:rPr>
          <w:rStyle w:val="30"/>
          <w:rFonts w:hint="eastAsia" w:ascii="宋体" w:hAnsi="宋体" w:eastAsia="宋体" w:cs="宋体"/>
          <w:b w:val="0"/>
          <w:bCs w:val="0"/>
          <w:color w:val="000000"/>
          <w:kern w:val="0"/>
          <w:sz w:val="24"/>
          <w:szCs w:val="24"/>
          <w:lang w:val="en-US" w:eastAsia="zh-CN" w:bidi="ar-SA"/>
        </w:rPr>
        <w:t>开户名：新疆新建联项目管理咨询有限公司</w:t>
      </w:r>
    </w:p>
    <w:p>
      <w:pPr>
        <w:pStyle w:val="25"/>
        <w:widowControl/>
        <w:spacing w:before="75" w:beforeAutospacing="0" w:after="75" w:afterAutospacing="0"/>
        <w:rPr>
          <w:rStyle w:val="30"/>
          <w:rFonts w:hint="eastAsia" w:ascii="宋体" w:hAnsi="宋体" w:eastAsia="宋体" w:cs="宋体"/>
          <w:b w:val="0"/>
          <w:bCs w:val="0"/>
          <w:color w:val="000000"/>
          <w:kern w:val="0"/>
          <w:sz w:val="24"/>
          <w:szCs w:val="24"/>
          <w:lang w:val="en-US" w:eastAsia="zh-CN" w:bidi="ar-SA"/>
        </w:rPr>
      </w:pPr>
      <w:r>
        <w:rPr>
          <w:rStyle w:val="30"/>
          <w:rFonts w:hint="eastAsia" w:ascii="宋体" w:hAnsi="宋体" w:eastAsia="宋体" w:cs="宋体"/>
          <w:b w:val="0"/>
          <w:bCs w:val="0"/>
          <w:color w:val="000000"/>
          <w:kern w:val="0"/>
          <w:sz w:val="24"/>
          <w:szCs w:val="24"/>
          <w:lang w:val="en-US" w:eastAsia="zh-CN" w:bidi="ar-SA"/>
        </w:rPr>
        <w:t>开户银行：中国工商银行乌鲁木齐市中山路支行</w:t>
      </w:r>
    </w:p>
    <w:p>
      <w:pPr>
        <w:pStyle w:val="25"/>
        <w:widowControl/>
        <w:spacing w:before="75" w:beforeAutospacing="0" w:after="75" w:afterAutospacing="0"/>
        <w:rPr>
          <w:rStyle w:val="30"/>
          <w:rFonts w:hint="eastAsia" w:ascii="宋体" w:hAnsi="宋体" w:eastAsia="宋体" w:cs="宋体"/>
          <w:b w:val="0"/>
          <w:bCs w:val="0"/>
          <w:color w:val="000000"/>
          <w:kern w:val="0"/>
          <w:sz w:val="24"/>
          <w:szCs w:val="24"/>
          <w:lang w:val="en-US" w:eastAsia="zh-CN" w:bidi="ar-SA"/>
        </w:rPr>
      </w:pPr>
      <w:r>
        <w:rPr>
          <w:rStyle w:val="30"/>
          <w:rFonts w:hint="eastAsia" w:ascii="宋体" w:hAnsi="宋体" w:eastAsia="宋体" w:cs="宋体"/>
          <w:b w:val="0"/>
          <w:bCs w:val="0"/>
          <w:color w:val="000000"/>
          <w:kern w:val="0"/>
          <w:sz w:val="24"/>
          <w:szCs w:val="24"/>
          <w:lang w:val="en-US" w:eastAsia="zh-CN" w:bidi="ar-SA"/>
        </w:rPr>
        <w:t>开户行行号：102881001021</w:t>
      </w:r>
    </w:p>
    <w:p>
      <w:pPr>
        <w:pStyle w:val="25"/>
        <w:widowControl/>
        <w:spacing w:before="75" w:beforeAutospacing="0" w:after="75" w:afterAutospacing="0"/>
        <w:rPr>
          <w:rStyle w:val="30"/>
          <w:rFonts w:hint="eastAsia" w:ascii="宋体" w:hAnsi="宋体" w:eastAsia="宋体" w:cs="宋体"/>
          <w:b w:val="0"/>
          <w:bCs w:val="0"/>
          <w:color w:val="000000"/>
          <w:kern w:val="0"/>
          <w:sz w:val="24"/>
          <w:szCs w:val="24"/>
          <w:lang w:val="en-US" w:eastAsia="zh-CN" w:bidi="ar-SA"/>
        </w:rPr>
      </w:pPr>
      <w:r>
        <w:rPr>
          <w:rStyle w:val="30"/>
          <w:rFonts w:hint="eastAsia" w:ascii="宋体" w:hAnsi="宋体" w:eastAsia="宋体" w:cs="宋体"/>
          <w:b w:val="0"/>
          <w:bCs w:val="0"/>
          <w:color w:val="000000"/>
          <w:kern w:val="0"/>
          <w:sz w:val="24"/>
          <w:szCs w:val="24"/>
          <w:lang w:val="en-US" w:eastAsia="zh-CN" w:bidi="ar-SA"/>
        </w:rPr>
        <w:t>账号：3002010609024801713</w:t>
      </w:r>
    </w:p>
    <w:p>
      <w:pPr>
        <w:pStyle w:val="18"/>
        <w:bidi w:val="0"/>
        <w:rPr>
          <w:rStyle w:val="30"/>
          <w:rFonts w:hint="eastAsia" w:ascii="宋体" w:hAnsi="宋体" w:eastAsia="宋体" w:cs="宋体"/>
          <w:b w:val="0"/>
          <w:bCs w:val="0"/>
          <w:color w:val="000000"/>
          <w:kern w:val="0"/>
          <w:sz w:val="24"/>
          <w:szCs w:val="24"/>
          <w:lang w:val="en-US" w:eastAsia="zh-CN" w:bidi="ar-SA"/>
        </w:rPr>
      </w:pPr>
      <w:r>
        <w:rPr>
          <w:rStyle w:val="30"/>
          <w:rFonts w:hint="eastAsia" w:ascii="宋体" w:hAnsi="宋体" w:eastAsia="宋体" w:cs="宋体"/>
          <w:b w:val="0"/>
          <w:bCs w:val="0"/>
          <w:color w:val="000000"/>
          <w:kern w:val="0"/>
          <w:sz w:val="24"/>
          <w:szCs w:val="24"/>
          <w:lang w:val="zh-CN" w:eastAsia="zh-CN" w:bidi="ar-SA"/>
        </w:rPr>
        <w:t>（2）领取方式:</w:t>
      </w:r>
      <w:r>
        <w:rPr>
          <w:rStyle w:val="30"/>
          <w:rFonts w:hint="eastAsia" w:ascii="宋体" w:hAnsi="宋体" w:eastAsia="宋体" w:cs="宋体"/>
          <w:b w:val="0"/>
          <w:bCs w:val="0"/>
          <w:color w:val="000000"/>
          <w:kern w:val="0"/>
          <w:sz w:val="24"/>
          <w:szCs w:val="24"/>
          <w:lang w:val="en-US" w:eastAsia="zh-CN" w:bidi="ar-SA"/>
        </w:rPr>
        <w:t>现场领取</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十二</w:t>
      </w:r>
      <w:r>
        <w:rPr>
          <w:rStyle w:val="30"/>
          <w:rFonts w:hint="eastAsia" w:ascii="宋体" w:hAnsi="宋体" w:eastAsia="宋体" w:cs="宋体"/>
          <w:b w:val="0"/>
          <w:bCs w:val="0"/>
          <w:color w:val="000000"/>
          <w:sz w:val="24"/>
          <w:szCs w:val="24"/>
        </w:rPr>
        <w:t>、开标时间及投标文件递交截止时间：2021年</w:t>
      </w:r>
      <w:r>
        <w:rPr>
          <w:rStyle w:val="30"/>
          <w:rFonts w:hint="eastAsia" w:ascii="宋体" w:hAnsi="宋体" w:eastAsia="宋体" w:cs="宋体"/>
          <w:b w:val="0"/>
          <w:bCs w:val="0"/>
          <w:color w:val="000000"/>
          <w:sz w:val="24"/>
          <w:szCs w:val="24"/>
          <w:lang w:val="en-US" w:eastAsia="zh-CN"/>
        </w:rPr>
        <w:t>12</w:t>
      </w:r>
      <w:r>
        <w:rPr>
          <w:rStyle w:val="30"/>
          <w:rFonts w:hint="eastAsia" w:ascii="宋体" w:hAnsi="宋体" w:eastAsia="宋体" w:cs="宋体"/>
          <w:b w:val="0"/>
          <w:bCs w:val="0"/>
          <w:color w:val="000000"/>
          <w:sz w:val="24"/>
          <w:szCs w:val="24"/>
        </w:rPr>
        <w:t>月</w:t>
      </w:r>
      <w:r>
        <w:rPr>
          <w:rStyle w:val="30"/>
          <w:rFonts w:hint="eastAsia" w:ascii="宋体" w:hAnsi="宋体" w:eastAsia="宋体" w:cs="宋体"/>
          <w:b w:val="0"/>
          <w:bCs w:val="0"/>
          <w:color w:val="000000"/>
          <w:sz w:val="24"/>
          <w:szCs w:val="24"/>
          <w:lang w:val="en-US" w:eastAsia="zh-CN"/>
        </w:rPr>
        <w:t>13</w:t>
      </w:r>
      <w:r>
        <w:rPr>
          <w:rStyle w:val="30"/>
          <w:rFonts w:hint="eastAsia" w:ascii="宋体" w:hAnsi="宋体" w:eastAsia="宋体" w:cs="宋体"/>
          <w:b w:val="0"/>
          <w:bCs w:val="0"/>
          <w:color w:val="000000"/>
          <w:sz w:val="24"/>
          <w:szCs w:val="24"/>
        </w:rPr>
        <w:t>日</w:t>
      </w:r>
      <w:r>
        <w:rPr>
          <w:rStyle w:val="30"/>
          <w:rFonts w:hint="eastAsia" w:ascii="宋体" w:hAnsi="宋体" w:eastAsia="宋体" w:cs="宋体"/>
          <w:b w:val="0"/>
          <w:bCs w:val="0"/>
          <w:color w:val="000000"/>
          <w:sz w:val="24"/>
          <w:szCs w:val="24"/>
          <w:lang w:eastAsia="zh-CN"/>
        </w:rPr>
        <w:t>下午16时00分</w:t>
      </w:r>
      <w:r>
        <w:rPr>
          <w:rStyle w:val="30"/>
          <w:rFonts w:hint="eastAsia" w:ascii="宋体" w:hAnsi="宋体" w:eastAsia="宋体" w:cs="宋体"/>
          <w:b w:val="0"/>
          <w:bCs w:val="0"/>
          <w:color w:val="000000"/>
          <w:sz w:val="24"/>
          <w:szCs w:val="24"/>
        </w:rPr>
        <w:t xml:space="preserve">  </w:t>
      </w:r>
    </w:p>
    <w:p>
      <w:pPr>
        <w:pStyle w:val="25"/>
        <w:widowControl/>
        <w:spacing w:before="75" w:beforeAutospacing="0" w:after="75" w:afterAutospacing="0"/>
        <w:rPr>
          <w:rStyle w:val="30"/>
          <w:rFonts w:hint="default"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十三</w:t>
      </w:r>
      <w:r>
        <w:rPr>
          <w:rStyle w:val="30"/>
          <w:rFonts w:hint="eastAsia" w:ascii="宋体" w:hAnsi="宋体" w:eastAsia="宋体" w:cs="宋体"/>
          <w:b w:val="0"/>
          <w:bCs w:val="0"/>
          <w:color w:val="000000"/>
          <w:sz w:val="24"/>
          <w:szCs w:val="24"/>
        </w:rPr>
        <w:t>、发布媒介：</w:t>
      </w:r>
      <w:r>
        <w:rPr>
          <w:rStyle w:val="30"/>
          <w:rFonts w:hint="eastAsia" w:ascii="宋体" w:hAnsi="宋体" w:eastAsia="宋体" w:cs="宋体"/>
          <w:b w:val="0"/>
          <w:bCs w:val="0"/>
          <w:color w:val="000000"/>
          <w:sz w:val="24"/>
          <w:szCs w:val="24"/>
          <w:lang w:val="en-US" w:eastAsia="zh-CN"/>
        </w:rPr>
        <w:t>新疆政府采购网</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十四</w:t>
      </w:r>
      <w:r>
        <w:rPr>
          <w:rStyle w:val="30"/>
          <w:rFonts w:hint="eastAsia" w:ascii="宋体" w:hAnsi="宋体" w:eastAsia="宋体" w:cs="宋体"/>
          <w:b w:val="0"/>
          <w:bCs w:val="0"/>
          <w:color w:val="000000"/>
          <w:sz w:val="24"/>
          <w:szCs w:val="24"/>
        </w:rPr>
        <w:t>、联系方式</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采购人</w:t>
      </w:r>
      <w:r>
        <w:rPr>
          <w:rStyle w:val="30"/>
          <w:rFonts w:hint="eastAsia" w:ascii="宋体" w:hAnsi="宋体" w:eastAsia="宋体" w:cs="宋体"/>
          <w:b w:val="0"/>
          <w:bCs w:val="0"/>
          <w:color w:val="000000"/>
          <w:sz w:val="24"/>
          <w:szCs w:val="24"/>
        </w:rPr>
        <w:t>：</w:t>
      </w:r>
      <w:r>
        <w:rPr>
          <w:rStyle w:val="30"/>
          <w:rFonts w:hint="eastAsia" w:ascii="宋体" w:hAnsi="宋体" w:eastAsia="宋体" w:cs="宋体"/>
          <w:b w:val="0"/>
          <w:bCs w:val="0"/>
          <w:color w:val="000000"/>
          <w:sz w:val="24"/>
          <w:szCs w:val="24"/>
          <w:lang w:val="en-US" w:eastAsia="zh-CN"/>
        </w:rPr>
        <w:t>乌鲁木齐八一中学</w:t>
      </w:r>
    </w:p>
    <w:p>
      <w:pPr>
        <w:pStyle w:val="25"/>
        <w:widowControl/>
        <w:spacing w:before="75" w:beforeAutospacing="0" w:after="75" w:afterAutospacing="0"/>
        <w:rPr>
          <w:rStyle w:val="30"/>
          <w:rFonts w:hint="eastAsia" w:ascii="宋体" w:hAnsi="宋体" w:eastAsia="宋体" w:cs="宋体"/>
          <w:b w:val="0"/>
          <w:bCs w:val="0"/>
          <w:color w:val="000000"/>
          <w:sz w:val="24"/>
          <w:szCs w:val="24"/>
          <w:lang w:eastAsia="zh-CN"/>
        </w:rPr>
      </w:pPr>
      <w:r>
        <w:rPr>
          <w:rStyle w:val="30"/>
          <w:rFonts w:hint="eastAsia" w:ascii="宋体" w:hAnsi="宋体" w:eastAsia="宋体" w:cs="宋体"/>
          <w:b w:val="0"/>
          <w:bCs w:val="0"/>
          <w:color w:val="000000"/>
          <w:sz w:val="24"/>
          <w:szCs w:val="24"/>
          <w:lang w:eastAsia="zh-CN"/>
        </w:rPr>
        <w:t>地址：乌鲁木齐市</w:t>
      </w:r>
      <w:r>
        <w:rPr>
          <w:rStyle w:val="30"/>
          <w:rFonts w:hint="eastAsia" w:ascii="宋体" w:hAnsi="宋体" w:eastAsia="宋体" w:cs="宋体"/>
          <w:b w:val="0"/>
          <w:bCs w:val="0"/>
          <w:color w:val="000000"/>
          <w:sz w:val="24"/>
          <w:szCs w:val="24"/>
          <w:lang w:val="en-US" w:eastAsia="zh-CN"/>
        </w:rPr>
        <w:t>天山区</w:t>
      </w:r>
      <w:r>
        <w:rPr>
          <w:rStyle w:val="30"/>
          <w:rFonts w:hint="eastAsia" w:ascii="宋体" w:hAnsi="宋体" w:eastAsia="宋体" w:cs="宋体"/>
          <w:b w:val="0"/>
          <w:bCs w:val="0"/>
          <w:color w:val="000000"/>
          <w:sz w:val="24"/>
          <w:szCs w:val="24"/>
          <w:lang w:eastAsia="zh-CN"/>
        </w:rPr>
        <w:t>青年路15号</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lang w:val="en-US" w:eastAsia="zh-CN"/>
        </w:rPr>
        <w:t>联系人：李主任</w:t>
      </w:r>
    </w:p>
    <w:p>
      <w:pPr>
        <w:pStyle w:val="25"/>
        <w:widowControl/>
        <w:spacing w:before="75" w:beforeAutospacing="0" w:after="75" w:afterAutospacing="0"/>
        <w:rPr>
          <w:rStyle w:val="30"/>
          <w:rFonts w:hint="default" w:ascii="宋体" w:hAnsi="宋体" w:eastAsia="宋体" w:cs="宋体"/>
          <w:b w:val="0"/>
          <w:bCs w:val="0"/>
          <w:color w:val="000000"/>
          <w:sz w:val="24"/>
          <w:szCs w:val="24"/>
          <w:lang w:val="en-US"/>
        </w:rPr>
      </w:pPr>
      <w:r>
        <w:rPr>
          <w:rStyle w:val="30"/>
          <w:rFonts w:hint="eastAsia" w:ascii="宋体" w:hAnsi="宋体" w:eastAsia="宋体" w:cs="宋体"/>
          <w:b w:val="0"/>
          <w:bCs w:val="0"/>
          <w:color w:val="000000"/>
          <w:sz w:val="24"/>
          <w:szCs w:val="24"/>
          <w:lang w:val="en-US" w:eastAsia="zh-CN"/>
        </w:rPr>
        <w:t xml:space="preserve">电 话：13609901855 </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lang w:val="en-US" w:eastAsia="zh-CN"/>
        </w:rPr>
        <w:t>采购</w:t>
      </w:r>
      <w:r>
        <w:rPr>
          <w:rStyle w:val="30"/>
          <w:rFonts w:hint="eastAsia" w:ascii="宋体" w:hAnsi="宋体" w:eastAsia="宋体" w:cs="宋体"/>
          <w:b w:val="0"/>
          <w:bCs w:val="0"/>
          <w:color w:val="000000"/>
          <w:sz w:val="24"/>
          <w:szCs w:val="24"/>
        </w:rPr>
        <w:t>代理机构：新疆新建联项目管理咨询有限公司</w:t>
      </w:r>
    </w:p>
    <w:p>
      <w:pPr>
        <w:pStyle w:val="25"/>
        <w:widowControl/>
        <w:spacing w:before="75" w:beforeAutospacing="0" w:after="75" w:afterAutospacing="0"/>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地址：乌鲁木齐水磨沟区龙盛街898号万科中央公园商住小区S6栋14楼</w:t>
      </w:r>
    </w:p>
    <w:p>
      <w:pPr>
        <w:pStyle w:val="25"/>
        <w:widowControl/>
        <w:spacing w:before="75" w:beforeAutospacing="0" w:after="75" w:afterAutospacing="0"/>
        <w:rPr>
          <w:rStyle w:val="30"/>
          <w:rFonts w:hint="default"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rPr>
        <w:t>联系人：</w:t>
      </w:r>
      <w:r>
        <w:rPr>
          <w:rStyle w:val="30"/>
          <w:rFonts w:hint="eastAsia" w:ascii="宋体" w:hAnsi="宋体" w:eastAsia="宋体" w:cs="宋体"/>
          <w:b w:val="0"/>
          <w:bCs w:val="0"/>
          <w:color w:val="000000"/>
          <w:sz w:val="24"/>
          <w:szCs w:val="24"/>
          <w:lang w:val="en-US" w:eastAsia="zh-CN"/>
        </w:rPr>
        <w:t>邓学文</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r>
        <w:rPr>
          <w:rStyle w:val="30"/>
          <w:rFonts w:hint="eastAsia" w:ascii="宋体" w:hAnsi="宋体" w:eastAsia="宋体" w:cs="宋体"/>
          <w:b w:val="0"/>
          <w:bCs w:val="0"/>
          <w:color w:val="000000"/>
          <w:sz w:val="24"/>
          <w:szCs w:val="24"/>
        </w:rPr>
        <w:t>联系方式：</w:t>
      </w:r>
      <w:r>
        <w:rPr>
          <w:rStyle w:val="30"/>
          <w:rFonts w:hint="eastAsia" w:ascii="宋体" w:hAnsi="宋体" w:eastAsia="宋体" w:cs="宋体"/>
          <w:b w:val="0"/>
          <w:bCs w:val="0"/>
          <w:color w:val="000000"/>
          <w:sz w:val="24"/>
          <w:szCs w:val="24"/>
          <w:lang w:val="en-US" w:eastAsia="zh-CN"/>
        </w:rPr>
        <w:t>18599020403</w:t>
      </w: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p>
    <w:p>
      <w:pPr>
        <w:pStyle w:val="25"/>
        <w:widowControl/>
        <w:spacing w:before="75" w:beforeAutospacing="0" w:after="75" w:afterAutospacing="0"/>
        <w:rPr>
          <w:rStyle w:val="30"/>
          <w:rFonts w:hint="eastAsia" w:ascii="宋体" w:hAnsi="宋体" w:eastAsia="宋体" w:cs="宋体"/>
          <w:b w:val="0"/>
          <w:bCs w:val="0"/>
          <w:color w:val="000000"/>
          <w:sz w:val="24"/>
          <w:szCs w:val="24"/>
          <w:lang w:val="en-US" w:eastAsia="zh-CN"/>
        </w:rPr>
      </w:pPr>
    </w:p>
    <w:p>
      <w:pPr>
        <w:pStyle w:val="3"/>
        <w:numPr>
          <w:ilvl w:val="0"/>
          <w:numId w:val="0"/>
        </w:numPr>
        <w:spacing w:line="500" w:lineRule="exact"/>
        <w:jc w:val="center"/>
        <w:rPr>
          <w:rFonts w:hint="eastAsia" w:ascii="Arial" w:hAnsi="Arial" w:eastAsia="宋体" w:cs="Arial"/>
          <w:sz w:val="32"/>
          <w:szCs w:val="32"/>
          <w:lang w:eastAsia="zh-CN"/>
        </w:rPr>
      </w:pPr>
      <w:bookmarkStart w:id="2" w:name="_Toc22257"/>
      <w:r>
        <w:rPr>
          <w:rFonts w:hint="eastAsia" w:ascii="宋体" w:hAnsi="宋体" w:eastAsia="宋体" w:cs="宋体"/>
          <w:sz w:val="32"/>
          <w:szCs w:val="32"/>
        </w:rPr>
        <w:t>第二部分   供应商或制造商须知</w:t>
      </w:r>
      <w:bookmarkEnd w:id="1"/>
      <w:r>
        <w:rPr>
          <w:rFonts w:hint="eastAsia" w:ascii="宋体" w:hAnsi="宋体" w:eastAsia="宋体" w:cs="宋体"/>
          <w:sz w:val="32"/>
          <w:szCs w:val="32"/>
          <w:lang w:eastAsia="zh-CN"/>
        </w:rPr>
        <w:t>前附表</w:t>
      </w:r>
      <w:bookmarkEnd w:id="2"/>
    </w:p>
    <w:tbl>
      <w:tblPr>
        <w:tblStyle w:val="27"/>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5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jc w:val="center"/>
              <w:rPr>
                <w:rFonts w:ascii="宋体" w:hAnsi="宋体" w:eastAsia="宋体" w:cs="宋体"/>
                <w:b/>
                <w:sz w:val="24"/>
              </w:rPr>
            </w:pPr>
            <w:r>
              <w:rPr>
                <w:rFonts w:hint="eastAsia" w:ascii="宋体" w:hAnsi="宋体" w:eastAsia="宋体" w:cs="宋体"/>
                <w:b/>
                <w:sz w:val="24"/>
              </w:rPr>
              <w:t>条款号</w:t>
            </w:r>
          </w:p>
        </w:tc>
        <w:tc>
          <w:tcPr>
            <w:tcW w:w="2756" w:type="dxa"/>
            <w:vAlign w:val="center"/>
          </w:tcPr>
          <w:p>
            <w:pPr>
              <w:spacing w:line="340" w:lineRule="exact"/>
              <w:ind w:firstLine="482"/>
              <w:jc w:val="center"/>
              <w:rPr>
                <w:rFonts w:ascii="宋体" w:hAnsi="宋体" w:eastAsia="宋体" w:cs="宋体"/>
                <w:b/>
                <w:sz w:val="24"/>
              </w:rPr>
            </w:pPr>
            <w:r>
              <w:rPr>
                <w:rFonts w:hint="eastAsia" w:ascii="宋体" w:hAnsi="宋体" w:eastAsia="宋体" w:cs="宋体"/>
                <w:b/>
                <w:sz w:val="24"/>
              </w:rPr>
              <w:t>条款名称</w:t>
            </w:r>
          </w:p>
        </w:tc>
        <w:tc>
          <w:tcPr>
            <w:tcW w:w="6662" w:type="dxa"/>
            <w:vAlign w:val="center"/>
          </w:tcPr>
          <w:p>
            <w:pPr>
              <w:spacing w:line="340" w:lineRule="exact"/>
              <w:ind w:firstLine="482"/>
              <w:jc w:val="center"/>
              <w:rPr>
                <w:rFonts w:ascii="宋体" w:hAnsi="宋体" w:eastAsia="宋体" w:cs="宋体"/>
                <w:b/>
                <w:sz w:val="24"/>
              </w:rPr>
            </w:pPr>
            <w:r>
              <w:rPr>
                <w:rFonts w:hint="eastAsia" w:ascii="宋体" w:hAnsi="宋体" w:eastAsia="宋体" w:cs="宋体"/>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1.1.1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采购人</w:t>
            </w:r>
          </w:p>
        </w:tc>
        <w:tc>
          <w:tcPr>
            <w:tcW w:w="6662" w:type="dxa"/>
            <w:vAlign w:val="center"/>
          </w:tcPr>
          <w:p>
            <w:pPr>
              <w:spacing w:line="340" w:lineRule="exact"/>
              <w:ind w:firstLine="0" w:firstLineChars="0"/>
              <w:rPr>
                <w:rFonts w:ascii="宋体" w:hAnsi="宋体" w:eastAsia="宋体" w:cs="宋体"/>
                <w:sz w:val="24"/>
              </w:rPr>
            </w:pPr>
            <w:r>
              <w:rPr>
                <w:rStyle w:val="30"/>
                <w:rFonts w:hint="eastAsia" w:ascii="宋体" w:hAnsi="宋体" w:eastAsia="宋体" w:cs="宋体"/>
                <w:b w:val="0"/>
                <w:bCs w:val="0"/>
                <w:color w:val="000000"/>
                <w:sz w:val="24"/>
                <w:szCs w:val="24"/>
                <w:lang w:val="en-US" w:eastAsia="zh-CN"/>
              </w:rPr>
              <w:t>乌鲁木齐八一中学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1.1.2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项目名称</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乌鲁木齐八一中学采购教学专用创新设备项目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1.1.3</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lang w:eastAsia="zh-CN"/>
              </w:rPr>
              <w:t>供货</w:t>
            </w:r>
            <w:r>
              <w:rPr>
                <w:rFonts w:hint="eastAsia" w:ascii="宋体" w:hAnsi="宋体" w:eastAsia="宋体" w:cs="宋体"/>
                <w:color w:val="000000"/>
                <w:sz w:val="24"/>
              </w:rPr>
              <w:t>地点</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lang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1.2.1</w:t>
            </w:r>
          </w:p>
        </w:tc>
        <w:tc>
          <w:tcPr>
            <w:tcW w:w="2756" w:type="dxa"/>
            <w:vAlign w:val="center"/>
          </w:tcPr>
          <w:p>
            <w:pPr>
              <w:spacing w:line="340" w:lineRule="exact"/>
              <w:ind w:firstLine="0" w:firstLineChars="0"/>
              <w:jc w:val="center"/>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采购规模</w:t>
            </w:r>
          </w:p>
        </w:tc>
        <w:tc>
          <w:tcPr>
            <w:tcW w:w="6662" w:type="dxa"/>
            <w:vAlign w:val="center"/>
          </w:tcPr>
          <w:p>
            <w:pPr>
              <w:spacing w:line="340" w:lineRule="exact"/>
              <w:ind w:firstLine="0" w:firstLineChars="0"/>
              <w:jc w:val="left"/>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详见第三部分采购内容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1.2.2</w:t>
            </w:r>
          </w:p>
        </w:tc>
        <w:tc>
          <w:tcPr>
            <w:tcW w:w="2756" w:type="dxa"/>
            <w:vAlign w:val="center"/>
          </w:tcPr>
          <w:p>
            <w:pPr>
              <w:spacing w:line="340" w:lineRule="exact"/>
              <w:ind w:firstLine="0" w:firstLineChars="0"/>
              <w:jc w:val="center"/>
              <w:rPr>
                <w:rFonts w:hint="eastAsia" w:ascii="宋体" w:hAnsi="宋体" w:eastAsia="宋体" w:cs="宋体"/>
                <w:sz w:val="24"/>
                <w:lang w:eastAsia="zh-CN"/>
              </w:rPr>
            </w:pPr>
            <w:r>
              <w:rPr>
                <w:rFonts w:hint="eastAsia" w:ascii="宋体" w:hAnsi="宋体" w:eastAsia="宋体" w:cs="宋体"/>
                <w:sz w:val="24"/>
                <w:lang w:val="en-US" w:eastAsia="zh-CN"/>
              </w:rPr>
              <w:t>采购限价</w:t>
            </w:r>
          </w:p>
        </w:tc>
        <w:tc>
          <w:tcPr>
            <w:tcW w:w="6662" w:type="dxa"/>
            <w:vAlign w:val="center"/>
          </w:tcPr>
          <w:p>
            <w:pPr>
              <w:spacing w:line="340" w:lineRule="exact"/>
              <w:ind w:left="0" w:leftChars="0" w:firstLine="0" w:firstLineChars="0"/>
              <w:jc w:val="left"/>
              <w:rPr>
                <w:rFonts w:ascii="宋体" w:hAnsi="宋体" w:eastAsia="宋体" w:cs="宋体"/>
                <w:sz w:val="24"/>
              </w:rPr>
            </w:pPr>
            <w:r>
              <w:rPr>
                <w:rFonts w:hint="eastAsia" w:ascii="宋体" w:hAnsi="宋体" w:eastAsia="宋体" w:cs="宋体"/>
                <w:sz w:val="24"/>
                <w:szCs w:val="22"/>
                <w:lang w:val="en-US" w:eastAsia="zh-CN"/>
              </w:rPr>
              <w:t>小写：219147.00元（大写：贰拾壹万玖仟壹佰肆拾柒元整）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1.2.3</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采购范围</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乌鲁木齐八一中学按教学需要采购88件教学专用创新设备。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1.3.1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招标方式</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1.3.2</w:t>
            </w:r>
          </w:p>
        </w:tc>
        <w:tc>
          <w:tcPr>
            <w:tcW w:w="2756" w:type="dxa"/>
            <w:vAlign w:val="center"/>
          </w:tcPr>
          <w:p>
            <w:pPr>
              <w:spacing w:line="340" w:lineRule="exact"/>
              <w:ind w:left="1200" w:hanging="1200" w:hangingChars="500"/>
              <w:jc w:val="center"/>
              <w:rPr>
                <w:rFonts w:ascii="宋体" w:hAnsi="宋体" w:eastAsia="宋体" w:cs="宋体"/>
                <w:color w:val="FF0000"/>
                <w:sz w:val="24"/>
              </w:rPr>
            </w:pPr>
            <w:r>
              <w:rPr>
                <w:rFonts w:hint="eastAsia" w:ascii="宋体" w:hAnsi="宋体" w:eastAsia="宋体" w:cs="宋体"/>
                <w:color w:val="FF0000"/>
                <w:sz w:val="24"/>
                <w:lang w:eastAsia="zh-CN"/>
              </w:rPr>
              <w:t>供货安装</w:t>
            </w:r>
            <w:r>
              <w:rPr>
                <w:rFonts w:hint="eastAsia" w:ascii="宋体" w:hAnsi="宋体" w:eastAsia="宋体" w:cs="宋体"/>
                <w:color w:val="FF0000"/>
                <w:sz w:val="24"/>
              </w:rPr>
              <w:t>期</w:t>
            </w:r>
            <w:r>
              <w:rPr>
                <w:rFonts w:hint="eastAsia" w:ascii="宋体" w:hAnsi="宋体" w:eastAsia="宋体" w:cs="宋体"/>
                <w:color w:val="FF0000"/>
                <w:sz w:val="24"/>
                <w:lang w:eastAsia="zh-CN"/>
              </w:rPr>
              <w:t>及质保期</w:t>
            </w:r>
          </w:p>
        </w:tc>
        <w:tc>
          <w:tcPr>
            <w:tcW w:w="6662" w:type="dxa"/>
            <w:vAlign w:val="center"/>
          </w:tcPr>
          <w:p>
            <w:pPr>
              <w:spacing w:line="340" w:lineRule="exact"/>
              <w:ind w:left="1200" w:hanging="1200" w:hangingChars="500"/>
              <w:rPr>
                <w:rFonts w:ascii="宋体" w:hAnsi="宋体" w:eastAsia="宋体" w:cs="宋体"/>
                <w:color w:val="FF0000"/>
                <w:sz w:val="24"/>
              </w:rPr>
            </w:pPr>
            <w:r>
              <w:rPr>
                <w:rFonts w:hint="eastAsia" w:ascii="宋体" w:hAnsi="宋体" w:eastAsiaTheme="minorEastAsia"/>
                <w:color w:val="FF0000"/>
                <w:sz w:val="24"/>
                <w:szCs w:val="24"/>
                <w:u w:val="none"/>
                <w:lang w:val="en-US" w:eastAsia="zh-CN"/>
              </w:rPr>
              <w:t>供货周期15天，质保一年。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1.4.1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供应商资格条件</w:t>
            </w:r>
          </w:p>
        </w:tc>
        <w:tc>
          <w:tcPr>
            <w:tcW w:w="6662" w:type="dxa"/>
            <w:vAlign w:val="center"/>
          </w:tcPr>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1、供应商具有合法经营范围且符合《中华人民共和国政府采购法》第二十二条规定：</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（1）具有独立承担民事责任的能力；</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2）具有良好的商业信誉和健全的财务会计制度（提供健全的财务会计制度证明文件，例如财务状况报告或会计师事务所出具的近三年任意一年财务审计报告，新成立不足一年的提供成立之日起至今的财务报表）；</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（3）具有履行合同所必需的设备和专业技术能力（需提供声明函格式自拟）；</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（4）有依法缴纳税收和社会保障资金的良好记录（提供近三个月缴税记录及社保缴纳证明，新成立公司提供成立之日起至今的缴税记录及社保缴纳证明）；</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（5）参加政府采购活动前三年内，在经营活动中没有重大违法记录（须提供“信用中国”（</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http://www.creditchina.gov.cn%EF%BC%89%E5%92%8C%E4%B8%AD%E5%9B%BD%E6%94%BF%E5%BA%9C%E9%87%87%E8%B4%AD%E7%BD%91%EF%BC%88www.ccgp.gov.cn%EF%BC%89%E7%BD%91%E7%AB%99%E4%B8%8A%E6%9C%AA%E5%88%97%E5%85%A5%E5%A4%B1%E4%BF%A1%E8%A2%AB%E6%89%A7%E8%A1%8C%E4%BA%BA%E3%80%81%E9%87%8D%E5%A4%A7%E7%A8%8E%E6%94%B6%E8%BF%9D%E6%B3%95%E6%A1%88%E4%BB%B6%E5%BD%93%E4%BA%8B%E4%BA%BA%E5%90%8D%E5%8D%95%E4%BB%A5%E5%8F%8A%E6%94%BF%E5%BA%9C%E9%87%87%E8%B4%AD%E4%B8%A5%E9%87%8D%E8%BF%9D%E6%B3%95%E5%A4%B1%E4%BF%A1%E8%A1%8C%E4%B8%BA%E8%AE%B0%E5%BD%95%E5%90%8D%E5%8D%95%E7%9A%84%E7%BD%91%E9%A1%B5%E6%89%93%E5%8D%B0%E4%BB%B6%EF%BC%89%EF%BC%9B/"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www.creditchina.gov.cn）和中国政府采购网（www.ccgp.gov.cn）网站上未列入失信被执行人、重大税收违法案件当事人名单以及政府采购严重违法失信行为记录名单的网页打印件）；</w:t>
            </w:r>
            <w:r>
              <w:rPr>
                <w:rFonts w:hint="eastAsia" w:ascii="宋体" w:hAnsi="宋体" w:eastAsia="宋体" w:cs="宋体"/>
                <w:sz w:val="24"/>
                <w:lang w:val="en-US" w:eastAsia="zh-CN"/>
              </w:rPr>
              <w:fldChar w:fldCharType="end"/>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（6）供应商提供无行贿犯罪记录证明（在中国裁判文书网（http://wenshu.court.gov.cn/）查询，查询时间必须在公告期内）；</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（7）法律、行政法规规定的其他条件。 </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2、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 。</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3、符合国家有关法律法规的规定。</w:t>
            </w:r>
          </w:p>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4、本项目不允许联合体投标。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1.4.2</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是否接受联合体投标</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5" w:type="dxa"/>
            <w:vMerge w:val="restart"/>
            <w:vAlign w:val="center"/>
          </w:tcPr>
          <w:p>
            <w:pPr>
              <w:spacing w:line="340" w:lineRule="exact"/>
              <w:ind w:firstLine="0" w:firstLineChars="0"/>
              <w:rPr>
                <w:rFonts w:hint="default" w:ascii="宋体" w:hAnsi="宋体" w:eastAsia="宋体" w:cs="宋体"/>
                <w:sz w:val="24"/>
                <w:lang w:val="en-US" w:eastAsia="zh-CN"/>
              </w:rPr>
            </w:pPr>
            <w:r>
              <w:rPr>
                <w:rFonts w:hint="eastAsia" w:ascii="宋体" w:hAnsi="宋体" w:eastAsia="宋体" w:cs="宋体"/>
                <w:sz w:val="24"/>
                <w:lang w:val="en-US" w:eastAsia="zh-CN"/>
              </w:rPr>
              <w:t>1.7.6</w:t>
            </w:r>
          </w:p>
        </w:tc>
        <w:tc>
          <w:tcPr>
            <w:tcW w:w="2756" w:type="dxa"/>
            <w:vAlign w:val="center"/>
          </w:tcPr>
          <w:p>
            <w:pPr>
              <w:spacing w:line="340" w:lineRule="exact"/>
              <w:ind w:firstLine="0" w:firstLineChars="0"/>
              <w:jc w:val="center"/>
              <w:rPr>
                <w:rFonts w:hint="default" w:ascii="宋体" w:hAnsi="宋体" w:eastAsia="宋体" w:cs="宋体"/>
                <w:sz w:val="24"/>
                <w:lang w:val="en-US" w:eastAsia="zh-CN"/>
              </w:rPr>
            </w:pPr>
            <w:r>
              <w:rPr>
                <w:rFonts w:hint="eastAsia" w:ascii="宋体" w:hAnsi="宋体" w:eastAsia="宋体" w:cs="宋体"/>
                <w:sz w:val="24"/>
                <w:lang w:val="en-US" w:eastAsia="zh-CN"/>
              </w:rPr>
              <w:t>供应商提出采购文件问题的截止时间</w:t>
            </w:r>
          </w:p>
        </w:tc>
        <w:tc>
          <w:tcPr>
            <w:tcW w:w="6662" w:type="dxa"/>
            <w:vAlign w:val="center"/>
          </w:tcPr>
          <w:p>
            <w:pPr>
              <w:spacing w:line="340" w:lineRule="exact"/>
              <w:ind w:firstLine="0" w:firstLineChars="0"/>
              <w:jc w:val="both"/>
              <w:rPr>
                <w:rFonts w:hint="default" w:ascii="宋体" w:hAnsi="宋体" w:eastAsia="宋体" w:cs="宋体"/>
                <w:sz w:val="24"/>
                <w:lang w:val="en-US" w:eastAsia="zh-CN"/>
              </w:rPr>
            </w:pPr>
            <w:r>
              <w:rPr>
                <w:rFonts w:hint="eastAsia" w:ascii="宋体" w:hAnsi="宋体" w:eastAsia="宋体" w:cs="宋体"/>
                <w:sz w:val="24"/>
                <w:lang w:val="en-US" w:eastAsia="zh-CN"/>
              </w:rPr>
              <w:t>2021年12月10日16时00分（北京时间）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5" w:type="dxa"/>
            <w:vMerge w:val="continue"/>
            <w:vAlign w:val="center"/>
          </w:tcPr>
          <w:p>
            <w:pPr>
              <w:spacing w:line="340" w:lineRule="exact"/>
              <w:ind w:firstLine="0" w:firstLineChars="0"/>
              <w:rPr>
                <w:rFonts w:hint="eastAsia" w:ascii="宋体" w:hAnsi="宋体" w:eastAsia="宋体" w:cs="宋体"/>
                <w:sz w:val="24"/>
              </w:rPr>
            </w:pPr>
          </w:p>
        </w:tc>
        <w:tc>
          <w:tcPr>
            <w:tcW w:w="2756" w:type="dxa"/>
            <w:vAlign w:val="center"/>
          </w:tcPr>
          <w:p>
            <w:pPr>
              <w:spacing w:line="340" w:lineRule="exact"/>
              <w:ind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采购人澄清采购文件的截止时间</w:t>
            </w:r>
          </w:p>
        </w:tc>
        <w:tc>
          <w:tcPr>
            <w:tcW w:w="6662" w:type="dxa"/>
            <w:vAlign w:val="center"/>
          </w:tcPr>
          <w:p>
            <w:pPr>
              <w:spacing w:line="340" w:lineRule="exact"/>
              <w:ind w:firstLine="0" w:firstLineChars="0"/>
              <w:jc w:val="both"/>
              <w:rPr>
                <w:rFonts w:hint="eastAsia" w:ascii="宋体" w:hAnsi="宋体" w:eastAsia="宋体" w:cs="宋体"/>
                <w:sz w:val="24"/>
                <w:lang w:val="en-US" w:eastAsia="zh-CN"/>
              </w:rPr>
            </w:pPr>
            <w:r>
              <w:rPr>
                <w:rFonts w:hint="eastAsia" w:ascii="宋体" w:hAnsi="宋体" w:eastAsia="宋体" w:cs="宋体"/>
                <w:sz w:val="24"/>
                <w:lang w:val="en-US" w:eastAsia="zh-CN"/>
              </w:rPr>
              <w:t>2021年12月11日16时00分（北京时间）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5" w:type="dxa"/>
            <w:vMerge w:val="continue"/>
            <w:vAlign w:val="center"/>
          </w:tcPr>
          <w:p>
            <w:pPr>
              <w:spacing w:line="340" w:lineRule="exact"/>
              <w:ind w:firstLine="0" w:firstLineChars="0"/>
              <w:rPr>
                <w:rFonts w:hint="eastAsia" w:ascii="宋体" w:hAnsi="宋体" w:eastAsia="宋体" w:cs="宋体"/>
                <w:sz w:val="24"/>
                <w:lang w:eastAsia="zh-CN"/>
              </w:rPr>
            </w:pPr>
          </w:p>
        </w:tc>
        <w:tc>
          <w:tcPr>
            <w:tcW w:w="2756" w:type="dxa"/>
            <w:vAlign w:val="center"/>
          </w:tcPr>
          <w:p>
            <w:pPr>
              <w:spacing w:line="340" w:lineRule="exact"/>
              <w:ind w:firstLine="0" w:firstLineChars="0"/>
              <w:jc w:val="center"/>
              <w:rPr>
                <w:rFonts w:hint="default" w:ascii="宋体" w:hAnsi="宋体" w:eastAsia="宋体" w:cs="宋体"/>
                <w:sz w:val="24"/>
                <w:lang w:val="en-US" w:eastAsia="zh-CN"/>
              </w:rPr>
            </w:pPr>
            <w:r>
              <w:rPr>
                <w:rFonts w:hint="eastAsia" w:ascii="宋体" w:hAnsi="宋体" w:eastAsia="宋体" w:cs="宋体"/>
                <w:sz w:val="24"/>
                <w:lang w:val="en-US" w:eastAsia="zh-CN"/>
              </w:rPr>
              <w:t>采购人修改采购文件的截止时间</w:t>
            </w:r>
          </w:p>
        </w:tc>
        <w:tc>
          <w:tcPr>
            <w:tcW w:w="6662" w:type="dxa"/>
            <w:vAlign w:val="center"/>
          </w:tcPr>
          <w:p>
            <w:pPr>
              <w:spacing w:line="340" w:lineRule="exact"/>
              <w:ind w:firstLine="0" w:firstLineChars="0"/>
              <w:jc w:val="both"/>
              <w:rPr>
                <w:rFonts w:hint="eastAsia" w:ascii="宋体" w:hAnsi="宋体" w:eastAsia="宋体" w:cs="宋体"/>
                <w:sz w:val="24"/>
                <w:lang w:val="en-US" w:eastAsia="zh-CN"/>
              </w:rPr>
            </w:pPr>
            <w:r>
              <w:rPr>
                <w:rFonts w:hint="eastAsia" w:ascii="宋体" w:hAnsi="宋体" w:eastAsia="宋体" w:cs="宋体"/>
                <w:sz w:val="24"/>
                <w:lang w:val="en-US" w:eastAsia="zh-CN"/>
              </w:rPr>
              <w:t>2021年12月11日16时00分（北京时间）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85"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1.5.</w:t>
            </w:r>
            <w:r>
              <w:rPr>
                <w:rFonts w:hint="eastAsia" w:ascii="宋体" w:hAnsi="宋体" w:eastAsia="宋体" w:cs="宋体"/>
                <w:sz w:val="24"/>
                <w:lang w:val="en-US" w:eastAsia="zh-CN"/>
              </w:rPr>
              <w:t>3</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构成磋商响应文件的其他材料</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供应商按照磋商文件的要求认为有利于磋商的材料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1.6.1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投标有效期</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lang w:val="en-US" w:eastAsia="zh-CN"/>
              </w:rPr>
              <w:t>30</w:t>
            </w:r>
            <w:r>
              <w:rPr>
                <w:rFonts w:hint="eastAsia" w:ascii="宋体" w:hAnsi="宋体" w:eastAsia="宋体" w:cs="宋体"/>
                <w:sz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1.7.1</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投标保证金</w:t>
            </w:r>
          </w:p>
        </w:tc>
        <w:tc>
          <w:tcPr>
            <w:tcW w:w="6662" w:type="dxa"/>
            <w:vAlign w:val="center"/>
          </w:tcPr>
          <w:p>
            <w:pPr>
              <w:spacing w:line="340" w:lineRule="exact"/>
              <w:ind w:firstLine="0" w:firstLineChars="0"/>
              <w:rPr>
                <w:rFonts w:hint="eastAsia" w:ascii="宋体" w:hAnsi="宋体" w:eastAsia="宋体" w:cs="宋体"/>
                <w:sz w:val="24"/>
              </w:rPr>
            </w:pPr>
            <w:r>
              <w:rPr>
                <w:rFonts w:hint="eastAsia" w:ascii="宋体" w:hAnsi="宋体" w:eastAsia="宋体" w:cs="宋体"/>
                <w:sz w:val="24"/>
              </w:rPr>
              <w:t>投标保证金的形式：转账或电汇</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投标保证金的金额：</w:t>
            </w:r>
            <w:r>
              <w:rPr>
                <w:rFonts w:hint="eastAsia" w:ascii="宋体" w:hAnsi="宋体" w:eastAsia="宋体" w:cs="宋体"/>
                <w:sz w:val="24"/>
                <w:lang w:val="en-US" w:eastAsia="zh-CN"/>
              </w:rPr>
              <w:t>4000.00</w:t>
            </w:r>
            <w:r>
              <w:rPr>
                <w:rFonts w:hint="eastAsia" w:ascii="宋体" w:hAnsi="宋体" w:eastAsia="宋体" w:cs="宋体"/>
                <w:sz w:val="24"/>
              </w:rPr>
              <w:t>元（</w:t>
            </w:r>
            <w:r>
              <w:rPr>
                <w:rFonts w:hint="eastAsia" w:ascii="宋体" w:hAnsi="宋体" w:eastAsia="宋体" w:cs="宋体"/>
                <w:sz w:val="24"/>
                <w:lang w:val="en-US" w:eastAsia="zh-CN"/>
              </w:rPr>
              <w:t>肆仟</w:t>
            </w:r>
            <w:r>
              <w:rPr>
                <w:rFonts w:hint="eastAsia" w:ascii="宋体" w:hAnsi="宋体" w:eastAsia="宋体" w:cs="宋体"/>
                <w:sz w:val="24"/>
                <w:lang w:eastAsia="zh-CN"/>
              </w:rPr>
              <w:t>元整</w:t>
            </w:r>
            <w:r>
              <w:rPr>
                <w:rFonts w:hint="eastAsia" w:ascii="宋体" w:hAnsi="宋体" w:eastAsia="宋体" w:cs="宋体"/>
                <w:sz w:val="24"/>
              </w:rPr>
              <w:t>）</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开户名：新疆新建联项目管理咨询有限公司</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开户银行：中国工商银行乌鲁木齐市中山路支行</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开户行行号：102881001021</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账号：3002010609024801713</w:t>
            </w:r>
          </w:p>
          <w:p>
            <w:pPr>
              <w:spacing w:line="340" w:lineRule="exact"/>
              <w:ind w:firstLine="0" w:firstLineChars="0"/>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eastAsia="zh-CN"/>
              </w:rPr>
              <w:t>（</w:t>
            </w:r>
            <w:r>
              <w:rPr>
                <w:rFonts w:hint="eastAsia" w:ascii="宋体" w:hAnsi="宋体" w:eastAsia="宋体" w:cs="宋体"/>
                <w:sz w:val="24"/>
              </w:rPr>
              <w:t>1）从投标人基本账户以银行电汇或网银形式汇至投标保证金专用账户，投标保证金必须在投标截止时间前进行缴纳，投标人提交投标保证金应充分考虑资金在途时间。</w:t>
            </w:r>
          </w:p>
          <w:p>
            <w:pPr>
              <w:spacing w:line="340" w:lineRule="exact"/>
              <w:ind w:firstLine="0" w:firstLineChars="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2）投标单位需手持盖公章转账凭证复印件到招标代理公司财务换取保证金收据，开标查验。</w:t>
            </w:r>
          </w:p>
          <w:p>
            <w:pPr>
              <w:spacing w:line="340" w:lineRule="exact"/>
              <w:ind w:firstLine="0" w:firstLineChars="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3）投标保证金有效期与投标有效期一致，投标文件中须提供加盖投标人公章的转账凭证或保证金收据证明材料复印件；</w:t>
            </w:r>
          </w:p>
          <w:p>
            <w:pPr>
              <w:spacing w:line="340" w:lineRule="exact"/>
              <w:ind w:firstLine="0" w:firstLineChars="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4）开标前投标人不能按照招标文件要求缴纳投标保证金的，投标文件将被拒绝；</w:t>
            </w:r>
          </w:p>
          <w:p>
            <w:pPr>
              <w:spacing w:line="340" w:lineRule="exact"/>
              <w:ind w:firstLine="0" w:firstLineChars="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5）退保金流程：投标单位手持代理公司开具的保证金收据、投标单位财务反开收据、开户许可证复印件，来代理公司财务部办理退保证金相关事宜。</w:t>
            </w:r>
          </w:p>
          <w:p>
            <w:pPr>
              <w:spacing w:line="340" w:lineRule="exact"/>
              <w:ind w:firstLine="0" w:firstLineChars="0"/>
            </w:pPr>
            <w:r>
              <w:rPr>
                <w:rFonts w:hint="eastAsia" w:ascii="宋体" w:hAnsi="宋体" w:eastAsia="宋体" w:cs="宋体"/>
                <w:sz w:val="24"/>
                <w:lang w:eastAsia="zh-CN"/>
              </w:rPr>
              <w:t>（</w:t>
            </w:r>
            <w:r>
              <w:rPr>
                <w:rFonts w:hint="eastAsia" w:ascii="宋体" w:hAnsi="宋体" w:eastAsia="宋体" w:cs="宋体"/>
                <w:sz w:val="24"/>
              </w:rPr>
              <w:t>6)若投标人未按照上述规定缴纳投标保证金,投标文件将被拒绝评审。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1.8.3</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磋商文件份数</w:t>
            </w:r>
          </w:p>
        </w:tc>
        <w:tc>
          <w:tcPr>
            <w:tcW w:w="6662" w:type="dxa"/>
            <w:vAlign w:val="center"/>
          </w:tcPr>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磋商文件正本</w:t>
            </w:r>
            <w:r>
              <w:rPr>
                <w:rFonts w:hint="eastAsia" w:ascii="宋体" w:hAnsi="宋体" w:eastAsia="宋体" w:cs="宋体"/>
                <w:sz w:val="24"/>
                <w:lang w:val="en-US" w:eastAsia="zh-CN"/>
              </w:rPr>
              <w:t>1</w:t>
            </w:r>
            <w:r>
              <w:rPr>
                <w:rFonts w:hint="eastAsia" w:ascii="宋体" w:hAnsi="宋体" w:eastAsia="宋体" w:cs="宋体"/>
                <w:sz w:val="24"/>
              </w:rPr>
              <w:t>份，副本</w:t>
            </w:r>
            <w:r>
              <w:rPr>
                <w:rFonts w:hint="eastAsia" w:ascii="宋体" w:hAnsi="宋体" w:eastAsia="宋体" w:cs="宋体"/>
                <w:sz w:val="24"/>
                <w:lang w:val="en-US" w:eastAsia="zh-CN"/>
              </w:rPr>
              <w:t>3</w:t>
            </w:r>
            <w:r>
              <w:rPr>
                <w:rFonts w:hint="eastAsia" w:ascii="宋体" w:hAnsi="宋体" w:eastAsia="宋体" w:cs="宋体"/>
                <w:sz w:val="24"/>
              </w:rPr>
              <w:t>份</w:t>
            </w:r>
            <w:r>
              <w:rPr>
                <w:rFonts w:hint="eastAsia" w:ascii="宋体" w:hAnsi="宋体" w:eastAsia="宋体" w:cs="宋体"/>
                <w:sz w:val="24"/>
                <w:lang w:eastAsia="zh-CN"/>
              </w:rPr>
              <w:t>；</w:t>
            </w:r>
            <w:r>
              <w:rPr>
                <w:rFonts w:hint="eastAsia" w:ascii="宋体" w:hAnsi="宋体" w:eastAsia="宋体" w:cs="宋体"/>
                <w:sz w:val="24"/>
              </w:rPr>
              <w:t>开标一览表：1份</w:t>
            </w:r>
            <w:r>
              <w:rPr>
                <w:rFonts w:hint="eastAsia" w:ascii="宋体" w:hAnsi="宋体" w:eastAsia="宋体" w:cs="宋体"/>
                <w:sz w:val="24"/>
                <w:lang w:eastAsia="zh-CN"/>
              </w:rPr>
              <w:t>（</w:t>
            </w:r>
            <w:r>
              <w:rPr>
                <w:rFonts w:hint="eastAsia" w:ascii="宋体" w:hAnsi="宋体" w:eastAsia="宋体" w:cs="宋体"/>
                <w:sz w:val="24"/>
                <w:lang w:val="en-US" w:eastAsia="zh-CN"/>
              </w:rPr>
              <w:t>须单独密封</w:t>
            </w:r>
            <w:r>
              <w:rPr>
                <w:rFonts w:hint="eastAsia" w:ascii="宋体" w:hAnsi="宋体" w:eastAsia="宋体" w:cs="宋体"/>
                <w:sz w:val="24"/>
                <w:lang w:eastAsia="zh-CN"/>
              </w:rPr>
              <w:t>）；</w:t>
            </w:r>
            <w:r>
              <w:rPr>
                <w:rFonts w:hint="eastAsia" w:ascii="宋体" w:hAnsi="宋体" w:eastAsia="宋体" w:cs="宋体"/>
                <w:bCs/>
                <w:color w:val="000000"/>
                <w:sz w:val="24"/>
              </w:rPr>
              <w:t>含电子版U盘一份</w:t>
            </w:r>
            <w:r>
              <w:rPr>
                <w:rFonts w:hint="eastAsia" w:ascii="宋体" w:hAnsi="宋体" w:eastAsia="宋体" w:cs="宋体"/>
                <w:sz w:val="24"/>
                <w:lang w:eastAsia="zh-CN"/>
              </w:rPr>
              <w:t>（</w:t>
            </w:r>
            <w:r>
              <w:rPr>
                <w:rFonts w:hint="eastAsia" w:ascii="宋体" w:hAnsi="宋体" w:eastAsia="宋体" w:cs="宋体"/>
                <w:sz w:val="24"/>
                <w:lang w:val="en-US" w:eastAsia="zh-CN"/>
              </w:rPr>
              <w:t>须单独密封</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1.8.4</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封套上写明</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项目名称</w:t>
            </w:r>
            <w:r>
              <w:rPr>
                <w:rFonts w:hint="eastAsia" w:ascii="宋体" w:hAnsi="宋体" w:eastAsia="宋体" w:cs="宋体"/>
                <w:sz w:val="24"/>
              </w:rPr>
              <w:t>：</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项目编号</w:t>
            </w:r>
            <w:r>
              <w:rPr>
                <w:rFonts w:hint="eastAsia" w:ascii="宋体" w:hAnsi="宋体" w:eastAsia="宋体" w:cs="宋体"/>
                <w:sz w:val="24"/>
              </w:rPr>
              <w:t>：</w:t>
            </w:r>
          </w:p>
          <w:p>
            <w:pPr>
              <w:spacing w:line="340" w:lineRule="exact"/>
              <w:ind w:firstLine="0" w:firstLineChars="0"/>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采购人名称</w:t>
            </w:r>
            <w:r>
              <w:rPr>
                <w:rFonts w:hint="eastAsia" w:ascii="宋体" w:hAnsi="宋体" w:eastAsia="宋体" w:cs="宋体"/>
                <w:sz w:val="24"/>
              </w:rPr>
              <w:t>：</w:t>
            </w:r>
          </w:p>
          <w:p>
            <w:pPr>
              <w:spacing w:line="340" w:lineRule="exact"/>
              <w:ind w:firstLine="0" w:firstLineChars="0"/>
              <w:rPr>
                <w:rFonts w:ascii="宋体" w:hAnsi="宋体" w:eastAsia="宋体" w:cs="宋体"/>
                <w:sz w:val="24"/>
              </w:rPr>
            </w:pPr>
            <w:r>
              <w:rPr>
                <w:rFonts w:hint="eastAsia" w:ascii="宋体" w:hAnsi="宋体" w:eastAsia="宋体" w:cs="宋体"/>
                <w:sz w:val="24"/>
              </w:rPr>
              <w:t>4、注明“</w:t>
            </w:r>
            <w:r>
              <w:rPr>
                <w:rFonts w:hint="eastAsia" w:ascii="宋体" w:hAnsi="宋体" w:eastAsia="宋体" w:cs="宋体"/>
                <w:color w:val="FF0000"/>
                <w:sz w:val="24"/>
              </w:rPr>
              <w:t>20</w:t>
            </w:r>
            <w:r>
              <w:rPr>
                <w:rFonts w:hint="eastAsia" w:ascii="宋体" w:hAnsi="宋体" w:eastAsia="宋体" w:cs="宋体"/>
                <w:color w:val="FF0000"/>
                <w:sz w:val="24"/>
                <w:lang w:val="en-US" w:eastAsia="zh-CN"/>
              </w:rPr>
              <w:t>21</w:t>
            </w:r>
            <w:r>
              <w:rPr>
                <w:rFonts w:hint="eastAsia" w:ascii="宋体" w:hAnsi="宋体" w:eastAsia="宋体" w:cs="宋体"/>
                <w:color w:val="FF0000"/>
                <w:sz w:val="24"/>
              </w:rPr>
              <w:t>年</w:t>
            </w:r>
            <w:r>
              <w:rPr>
                <w:rFonts w:hint="eastAsia" w:ascii="宋体" w:hAnsi="宋体" w:eastAsia="宋体" w:cs="宋体"/>
                <w:color w:val="FF0000"/>
                <w:sz w:val="24"/>
                <w:lang w:val="en-US" w:eastAsia="zh-CN"/>
              </w:rPr>
              <w:t>12</w:t>
            </w:r>
            <w:r>
              <w:rPr>
                <w:rFonts w:hint="eastAsia" w:ascii="宋体" w:hAnsi="宋体" w:eastAsia="宋体" w:cs="宋体"/>
                <w:color w:val="FF0000"/>
                <w:sz w:val="24"/>
              </w:rPr>
              <w:t>月</w:t>
            </w:r>
            <w:r>
              <w:rPr>
                <w:rFonts w:hint="eastAsia" w:ascii="宋体" w:hAnsi="宋体" w:eastAsia="宋体" w:cs="宋体"/>
                <w:color w:val="FF0000"/>
                <w:sz w:val="24"/>
                <w:lang w:val="en-US" w:eastAsia="zh-CN"/>
              </w:rPr>
              <w:t>13</w:t>
            </w:r>
            <w:r>
              <w:rPr>
                <w:rFonts w:hint="eastAsia" w:ascii="宋体" w:hAnsi="宋体" w:eastAsia="宋体" w:cs="宋体"/>
                <w:color w:val="FF0000"/>
                <w:sz w:val="24"/>
              </w:rPr>
              <w:t>日16</w:t>
            </w:r>
            <w:r>
              <w:rPr>
                <w:rFonts w:hint="eastAsia" w:ascii="宋体" w:hAnsi="宋体" w:eastAsia="宋体" w:cs="宋体"/>
                <w:color w:val="FF0000"/>
                <w:sz w:val="24"/>
                <w:lang w:val="en-US" w:eastAsia="zh-CN"/>
              </w:rPr>
              <w:t>时</w:t>
            </w:r>
            <w:r>
              <w:rPr>
                <w:rFonts w:hint="eastAsia" w:ascii="宋体" w:hAnsi="宋体" w:eastAsia="宋体" w:cs="宋体"/>
                <w:color w:val="FF0000"/>
                <w:sz w:val="24"/>
              </w:rPr>
              <w:t>00分</w:t>
            </w:r>
            <w:r>
              <w:rPr>
                <w:rFonts w:hint="eastAsia" w:ascii="宋体" w:hAnsi="宋体" w:eastAsia="宋体" w:cs="宋体"/>
                <w:sz w:val="24"/>
              </w:rPr>
              <w:t>开标之前不能启封”</w:t>
            </w:r>
          </w:p>
          <w:p>
            <w:pPr>
              <w:spacing w:line="340" w:lineRule="exact"/>
              <w:ind w:firstLine="0" w:firstLineChars="0"/>
              <w:rPr>
                <w:rFonts w:hint="eastAsia" w:ascii="宋体" w:hAnsi="宋体" w:eastAsia="宋体" w:cs="宋体"/>
                <w:sz w:val="24"/>
                <w:lang w:eastAsia="zh-CN"/>
              </w:rPr>
            </w:pPr>
            <w:r>
              <w:rPr>
                <w:rFonts w:hint="eastAsia" w:ascii="宋体" w:hAnsi="宋体" w:eastAsia="宋体" w:cs="宋体"/>
                <w:sz w:val="24"/>
              </w:rPr>
              <w:t>5、</w:t>
            </w:r>
            <w:r>
              <w:rPr>
                <w:rFonts w:hint="eastAsia" w:ascii="宋体" w:hAnsi="宋体" w:eastAsia="宋体" w:cs="宋体"/>
                <w:sz w:val="24"/>
                <w:lang w:eastAsia="zh-CN"/>
              </w:rPr>
              <w:t>供应商名称：</w:t>
            </w:r>
          </w:p>
          <w:p>
            <w:pPr>
              <w:spacing w:line="340" w:lineRule="exact"/>
              <w:ind w:firstLine="0" w:firstLineChars="0"/>
              <w:rPr>
                <w:rFonts w:ascii="宋体" w:hAnsi="宋体" w:eastAsia="宋体" w:cs="宋体"/>
                <w:sz w:val="24"/>
              </w:rPr>
            </w:pPr>
            <w:r>
              <w:rPr>
                <w:rFonts w:hint="eastAsia" w:ascii="宋体" w:hAnsi="宋体" w:eastAsia="宋体" w:cs="宋体"/>
                <w:sz w:val="24"/>
                <w:lang w:eastAsia="zh-CN"/>
              </w:rPr>
              <w:t>6、法定代表人名称：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1.8.5</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递交磋商文件地点</w:t>
            </w:r>
          </w:p>
        </w:tc>
        <w:tc>
          <w:tcPr>
            <w:tcW w:w="6662" w:type="dxa"/>
            <w:vAlign w:val="center"/>
          </w:tcPr>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详细地址：乌鲁木齐水磨沟区龙盛街898号万科中央公园商住小区S6栋14楼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1.8.6</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是否退还磋商文件</w:t>
            </w:r>
          </w:p>
        </w:tc>
        <w:tc>
          <w:tcPr>
            <w:tcW w:w="6662" w:type="dxa"/>
            <w:vAlign w:val="center"/>
          </w:tcPr>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1.8.7</w:t>
            </w:r>
          </w:p>
        </w:tc>
        <w:tc>
          <w:tcPr>
            <w:tcW w:w="2756" w:type="dxa"/>
            <w:vAlign w:val="center"/>
          </w:tcPr>
          <w:p>
            <w:pPr>
              <w:spacing w:line="340" w:lineRule="exact"/>
              <w:ind w:firstLine="0" w:firstLineChars="0"/>
              <w:jc w:val="center"/>
              <w:rPr>
                <w:rFonts w:ascii="宋体" w:hAnsi="宋体" w:eastAsia="宋体" w:cs="宋体"/>
                <w:color w:val="000000"/>
                <w:sz w:val="24"/>
              </w:rPr>
            </w:pPr>
            <w:r>
              <w:rPr>
                <w:rFonts w:hint="eastAsia" w:ascii="宋体" w:hAnsi="宋体" w:eastAsia="宋体" w:cs="宋体"/>
                <w:color w:val="000000"/>
                <w:sz w:val="24"/>
              </w:rPr>
              <w:t>开标时间和地点</w:t>
            </w:r>
          </w:p>
        </w:tc>
        <w:tc>
          <w:tcPr>
            <w:tcW w:w="6662" w:type="dxa"/>
            <w:vAlign w:val="center"/>
          </w:tcPr>
          <w:p>
            <w:pPr>
              <w:spacing w:line="340" w:lineRule="exact"/>
              <w:ind w:firstLine="0" w:firstLineChars="0"/>
              <w:rPr>
                <w:rFonts w:ascii="宋体" w:hAnsi="宋体" w:eastAsia="宋体" w:cs="宋体"/>
                <w:color w:val="000000"/>
                <w:sz w:val="24"/>
              </w:rPr>
            </w:pPr>
            <w:r>
              <w:rPr>
                <w:rFonts w:hint="eastAsia" w:ascii="宋体" w:hAnsi="宋体" w:eastAsia="宋体" w:cs="宋体"/>
                <w:color w:val="000000"/>
                <w:sz w:val="24"/>
              </w:rPr>
              <w:t>开标时间：</w:t>
            </w:r>
            <w:r>
              <w:rPr>
                <w:rFonts w:hint="eastAsia" w:ascii="宋体" w:hAnsi="宋体" w:eastAsia="宋体" w:cs="宋体"/>
                <w:color w:val="FF0000"/>
                <w:sz w:val="24"/>
              </w:rPr>
              <w:t>20</w:t>
            </w:r>
            <w:r>
              <w:rPr>
                <w:rFonts w:hint="eastAsia" w:ascii="宋体" w:hAnsi="宋体" w:eastAsia="宋体" w:cs="宋体"/>
                <w:color w:val="FF0000"/>
                <w:sz w:val="24"/>
                <w:lang w:val="en-US" w:eastAsia="zh-CN"/>
              </w:rPr>
              <w:t>21</w:t>
            </w:r>
            <w:r>
              <w:rPr>
                <w:rFonts w:hint="eastAsia" w:ascii="宋体" w:hAnsi="宋体" w:eastAsia="宋体" w:cs="宋体"/>
                <w:color w:val="FF0000"/>
                <w:sz w:val="24"/>
              </w:rPr>
              <w:t xml:space="preserve"> 年</w:t>
            </w:r>
            <w:r>
              <w:rPr>
                <w:rFonts w:hint="eastAsia" w:ascii="宋体" w:hAnsi="宋体" w:eastAsia="宋体" w:cs="宋体"/>
                <w:color w:val="FF0000"/>
                <w:sz w:val="24"/>
                <w:lang w:val="en-US" w:eastAsia="zh-CN"/>
              </w:rPr>
              <w:t>12</w:t>
            </w:r>
            <w:r>
              <w:rPr>
                <w:rFonts w:hint="eastAsia" w:ascii="宋体" w:hAnsi="宋体" w:eastAsia="宋体" w:cs="宋体"/>
                <w:color w:val="FF0000"/>
                <w:sz w:val="24"/>
              </w:rPr>
              <w:t>月</w:t>
            </w:r>
            <w:r>
              <w:rPr>
                <w:rFonts w:hint="eastAsia" w:ascii="宋体" w:hAnsi="宋体" w:eastAsia="宋体" w:cs="宋体"/>
                <w:color w:val="FF0000"/>
                <w:sz w:val="24"/>
                <w:lang w:val="en-US" w:eastAsia="zh-CN"/>
              </w:rPr>
              <w:t>13</w:t>
            </w:r>
            <w:r>
              <w:rPr>
                <w:rFonts w:hint="eastAsia" w:ascii="宋体" w:hAnsi="宋体" w:eastAsia="宋体" w:cs="宋体"/>
                <w:color w:val="FF0000"/>
                <w:sz w:val="24"/>
              </w:rPr>
              <w:t>日16时00分（北京时间）</w:t>
            </w:r>
          </w:p>
          <w:p>
            <w:pPr>
              <w:spacing w:line="340" w:lineRule="exact"/>
              <w:ind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详细地址：乌鲁木齐水磨沟区龙盛街898号万科中央公园商住小区S6栋14楼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85"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1.8.8</w:t>
            </w:r>
          </w:p>
        </w:tc>
        <w:tc>
          <w:tcPr>
            <w:tcW w:w="2756" w:type="dxa"/>
            <w:vAlign w:val="center"/>
          </w:tcPr>
          <w:p>
            <w:pPr>
              <w:spacing w:line="340" w:lineRule="exact"/>
              <w:ind w:firstLine="0" w:firstLineChars="0"/>
              <w:jc w:val="center"/>
              <w:rPr>
                <w:rFonts w:ascii="宋体" w:hAnsi="宋体" w:eastAsia="宋体" w:cs="宋体"/>
                <w:sz w:val="24"/>
              </w:rPr>
            </w:pPr>
            <w:r>
              <w:rPr>
                <w:rFonts w:hint="eastAsia" w:ascii="宋体" w:hAnsi="宋体" w:eastAsia="宋体" w:cs="宋体"/>
                <w:sz w:val="24"/>
              </w:rPr>
              <w:t>是否授权评标委员会确定中标人</w:t>
            </w:r>
          </w:p>
        </w:tc>
        <w:tc>
          <w:tcPr>
            <w:tcW w:w="6662" w:type="dxa"/>
            <w:vAlign w:val="center"/>
          </w:tcPr>
          <w:p>
            <w:pPr>
              <w:spacing w:line="340" w:lineRule="exact"/>
              <w:ind w:firstLine="0" w:firstLineChars="0"/>
              <w:rPr>
                <w:rFonts w:ascii="宋体" w:hAnsi="宋体" w:eastAsia="宋体" w:cs="宋体"/>
                <w:sz w:val="24"/>
              </w:rPr>
            </w:pPr>
            <w:r>
              <w:rPr>
                <w:rFonts w:hint="eastAsia" w:ascii="宋体" w:hAnsi="宋体" w:eastAsia="宋体" w:cs="宋体"/>
                <w:sz w:val="24"/>
              </w:rPr>
              <w:t>否，推荐中标候选人数：3个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85" w:type="dxa"/>
            <w:vAlign w:val="center"/>
          </w:tcPr>
          <w:p>
            <w:pPr>
              <w:spacing w:line="340" w:lineRule="exact"/>
              <w:ind w:firstLine="0" w:firstLineChars="0"/>
              <w:rPr>
                <w:rFonts w:hint="eastAsia" w:ascii="宋体" w:hAnsi="宋体" w:eastAsia="宋体" w:cs="宋体"/>
                <w:sz w:val="24"/>
              </w:rPr>
            </w:pPr>
            <w:bookmarkStart w:id="3" w:name="_Toc267301282"/>
            <w:bookmarkStart w:id="4" w:name="_Toc349637920"/>
            <w:bookmarkStart w:id="5" w:name="_Toc349573121"/>
            <w:bookmarkStart w:id="6" w:name="_Toc298240405"/>
            <w:bookmarkStart w:id="7" w:name="_Toc487638923"/>
          </w:p>
        </w:tc>
        <w:tc>
          <w:tcPr>
            <w:tcW w:w="2756" w:type="dxa"/>
            <w:vAlign w:val="center"/>
          </w:tcPr>
          <w:p>
            <w:pPr>
              <w:spacing w:line="340" w:lineRule="exact"/>
              <w:ind w:firstLine="0" w:firstLineChars="0"/>
              <w:jc w:val="center"/>
              <w:rPr>
                <w:rFonts w:hint="default" w:ascii="宋体" w:hAnsi="宋体" w:eastAsia="宋体" w:cs="宋体"/>
                <w:sz w:val="24"/>
                <w:lang w:val="en-US" w:eastAsia="zh-CN"/>
              </w:rPr>
            </w:pPr>
            <w:r>
              <w:rPr>
                <w:rFonts w:hint="eastAsia" w:ascii="宋体" w:hAnsi="宋体" w:eastAsia="宋体" w:cs="宋体"/>
                <w:sz w:val="24"/>
                <w:lang w:val="en-US" w:eastAsia="zh-CN"/>
              </w:rPr>
              <w:t>分值占比</w:t>
            </w:r>
          </w:p>
        </w:tc>
        <w:tc>
          <w:tcPr>
            <w:tcW w:w="6662" w:type="dxa"/>
            <w:vAlign w:val="center"/>
          </w:tcPr>
          <w:p>
            <w:pPr>
              <w:spacing w:line="340" w:lineRule="exact"/>
              <w:ind w:firstLine="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总分：100分</w:t>
            </w:r>
          </w:p>
          <w:p>
            <w:pPr>
              <w:spacing w:line="340" w:lineRule="exact"/>
              <w:ind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投标报价得分：30%</w:t>
            </w:r>
          </w:p>
          <w:p>
            <w:pPr>
              <w:spacing w:line="340" w:lineRule="exact"/>
              <w:ind w:firstLine="0" w:firstLineChars="0"/>
              <w:rPr>
                <w:rFonts w:hint="default"/>
                <w:lang w:val="en-US" w:eastAsia="zh-CN"/>
              </w:rPr>
            </w:pPr>
            <w:r>
              <w:rPr>
                <w:rFonts w:hint="eastAsia" w:ascii="宋体" w:hAnsi="宋体" w:eastAsia="宋体" w:cs="宋体"/>
                <w:color w:val="000000"/>
                <w:sz w:val="24"/>
                <w:lang w:val="en-US" w:eastAsia="zh-CN"/>
              </w:rPr>
              <w:t>商务技术得分：70%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85" w:type="dxa"/>
            <w:vAlign w:val="center"/>
          </w:tcPr>
          <w:p>
            <w:pPr>
              <w:spacing w:line="340" w:lineRule="exact"/>
              <w:ind w:firstLine="0" w:firstLineChars="0"/>
              <w:rPr>
                <w:rFonts w:hint="default" w:ascii="宋体" w:hAnsi="宋体" w:eastAsia="宋体" w:cs="宋体"/>
                <w:sz w:val="24"/>
                <w:lang w:val="en-US" w:eastAsia="zh-CN"/>
              </w:rPr>
            </w:pPr>
          </w:p>
        </w:tc>
        <w:tc>
          <w:tcPr>
            <w:tcW w:w="2756" w:type="dxa"/>
            <w:vAlign w:val="center"/>
          </w:tcPr>
          <w:p>
            <w:pPr>
              <w:spacing w:line="340" w:lineRule="exact"/>
              <w:ind w:firstLine="0" w:firstLineChars="0"/>
              <w:jc w:val="center"/>
              <w:rPr>
                <w:rFonts w:hint="default" w:ascii="宋体" w:hAnsi="宋体" w:eastAsia="宋体" w:cs="宋体"/>
                <w:sz w:val="24"/>
                <w:lang w:val="en-US" w:eastAsia="zh-CN"/>
              </w:rPr>
            </w:pPr>
            <w:r>
              <w:rPr>
                <w:rFonts w:hint="eastAsia" w:ascii="宋体" w:hAnsi="宋体" w:eastAsia="宋体" w:cs="宋体"/>
                <w:sz w:val="24"/>
                <w:lang w:val="en-US" w:eastAsia="zh-CN"/>
              </w:rPr>
              <w:t>履约保证金</w:t>
            </w:r>
          </w:p>
        </w:tc>
        <w:tc>
          <w:tcPr>
            <w:tcW w:w="6662" w:type="dxa"/>
            <w:vAlign w:val="center"/>
          </w:tcPr>
          <w:p>
            <w:pPr>
              <w:spacing w:line="340" w:lineRule="exact"/>
              <w:ind w:firstLine="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85" w:type="dxa"/>
            <w:vAlign w:val="center"/>
          </w:tcPr>
          <w:p>
            <w:pPr>
              <w:spacing w:line="340" w:lineRule="exact"/>
              <w:ind w:firstLine="0" w:firstLineChars="0"/>
              <w:rPr>
                <w:rFonts w:hint="default" w:ascii="宋体" w:hAnsi="宋体" w:eastAsia="宋体" w:cs="宋体"/>
                <w:sz w:val="24"/>
                <w:lang w:val="en-US" w:eastAsia="zh-CN"/>
              </w:rPr>
            </w:pPr>
          </w:p>
        </w:tc>
        <w:tc>
          <w:tcPr>
            <w:tcW w:w="2756" w:type="dxa"/>
            <w:vAlign w:val="center"/>
          </w:tcPr>
          <w:p>
            <w:pPr>
              <w:spacing w:line="340" w:lineRule="exact"/>
              <w:ind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备注</w:t>
            </w:r>
          </w:p>
        </w:tc>
        <w:tc>
          <w:tcPr>
            <w:tcW w:w="6662" w:type="dxa"/>
            <w:vAlign w:val="center"/>
          </w:tcPr>
          <w:p>
            <w:pPr>
              <w:spacing w:line="340" w:lineRule="exact"/>
              <w:ind w:firstLine="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1、开标现场须携带有效证件：</w:t>
            </w:r>
          </w:p>
          <w:p>
            <w:pPr>
              <w:spacing w:line="340" w:lineRule="exact"/>
              <w:ind w:firstLine="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（1）若法人参加开标需携带法定代表人身份证明书及法人身份证（原件及复印件加盖公章）；</w:t>
            </w:r>
          </w:p>
          <w:p>
            <w:pPr>
              <w:spacing w:line="340" w:lineRule="exact"/>
              <w:ind w:firstLine="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（2）若授权委托人参加开标需携带被授权人授权委托书及被授权人身份证（原件及复印件加盖公章）；</w:t>
            </w:r>
          </w:p>
          <w:p>
            <w:pPr>
              <w:spacing w:line="340" w:lineRule="exact"/>
              <w:ind w:firstLine="0" w:firstLineChars="0"/>
              <w:rPr>
                <w:rFonts w:hint="default"/>
                <w:lang w:val="en-US" w:eastAsia="zh-CN"/>
              </w:rPr>
            </w:pPr>
            <w:r>
              <w:rPr>
                <w:rFonts w:hint="eastAsia" w:ascii="宋体" w:hAnsi="宋体" w:eastAsia="宋体" w:cs="宋体"/>
                <w:color w:val="000000"/>
                <w:sz w:val="24"/>
                <w:lang w:val="en-US" w:eastAsia="zh-CN"/>
              </w:rPr>
              <w:t>（3）保证金收据原件（注：若供应商未按要求提供，则其响应文件将被否决）。</w:t>
            </w:r>
          </w:p>
          <w:p>
            <w:pPr>
              <w:spacing w:line="340" w:lineRule="exact"/>
              <w:ind w:firstLine="0" w:firstLineChars="0"/>
              <w:rPr>
                <w:rFonts w:hint="default"/>
                <w:lang w:val="en-US" w:eastAsia="zh-CN"/>
              </w:rPr>
            </w:pPr>
            <w:r>
              <w:rPr>
                <w:rFonts w:hint="eastAsia" w:ascii="宋体" w:hAnsi="宋体" w:eastAsia="宋体" w:cs="宋体"/>
                <w:color w:val="000000"/>
                <w:sz w:val="24"/>
                <w:lang w:val="en-US" w:eastAsia="zh-CN"/>
              </w:rPr>
              <w:t>2、本项目招标代理服务费按照《国家发展改革委关于进一步放开建设项目专业服务价格的通知》发改价格【2015】299号，按中标金额计取，执行国家发展改革委关于印发《招标代理服务收费管理暂行办法》的通知（计价格【2002】1980号），招标代理服务费不足3000元按3000元计取，由成交人向新疆新建联项目管理咨询有限公司支付招标代理服务费。</w:t>
            </w:r>
          </w:p>
        </w:tc>
      </w:tr>
    </w:tbl>
    <w:p>
      <w:pPr>
        <w:pStyle w:val="18"/>
        <w:bidi w:val="0"/>
        <w:rPr>
          <w:rFonts w:hint="eastAsia"/>
        </w:rPr>
      </w:pPr>
    </w:p>
    <w:p>
      <w:pPr>
        <w:pStyle w:val="18"/>
        <w:bidi w:val="0"/>
        <w:rPr>
          <w:rFonts w:hint="eastAsia"/>
        </w:rPr>
      </w:pPr>
    </w:p>
    <w:p>
      <w:pPr>
        <w:pStyle w:val="4"/>
        <w:spacing w:before="100" w:beforeAutospacing="1" w:after="100" w:afterAutospacing="1" w:line="500" w:lineRule="exact"/>
        <w:ind w:left="0" w:leftChars="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A  说　明</w:t>
      </w:r>
      <w:bookmarkEnd w:id="3"/>
      <w:bookmarkEnd w:id="4"/>
      <w:bookmarkEnd w:id="5"/>
      <w:bookmarkEnd w:id="6"/>
      <w:bookmarkEnd w:id="7"/>
    </w:p>
    <w:p>
      <w:pPr>
        <w:pStyle w:val="51"/>
        <w:numPr>
          <w:ilvl w:val="0"/>
          <w:numId w:val="3"/>
        </w:numPr>
        <w:spacing w:line="480" w:lineRule="exact"/>
        <w:ind w:firstLineChars="0"/>
        <w:rPr>
          <w:rFonts w:ascii="宋体" w:hAnsi="宋体" w:eastAsia="宋体" w:cs="宋体"/>
          <w:color w:val="000000"/>
          <w:sz w:val="24"/>
        </w:rPr>
      </w:pPr>
      <w:r>
        <w:rPr>
          <w:rFonts w:hint="eastAsia" w:ascii="宋体" w:hAnsi="宋体" w:eastAsia="宋体" w:cs="宋体"/>
          <w:color w:val="000000"/>
          <w:sz w:val="24"/>
        </w:rPr>
        <w:t>适用范围</w:t>
      </w:r>
    </w:p>
    <w:p>
      <w:pPr>
        <w:spacing w:line="480" w:lineRule="exact"/>
        <w:ind w:left="480" w:firstLine="0" w:firstLineChars="0"/>
        <w:rPr>
          <w:rFonts w:ascii="宋体" w:hAnsi="宋体" w:eastAsia="宋体" w:cs="宋体"/>
          <w:color w:val="000000"/>
          <w:sz w:val="24"/>
        </w:rPr>
      </w:pPr>
      <w:r>
        <w:rPr>
          <w:rFonts w:hint="eastAsia" w:ascii="宋体" w:hAnsi="宋体" w:eastAsia="宋体" w:cs="宋体"/>
          <w:color w:val="000000"/>
          <w:sz w:val="24"/>
        </w:rPr>
        <w:t>1.1本磋商文件仅适用于本次磋商中所叙述项目的采购。</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2．定义</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2.1 “招标代理机构”系指</w:t>
      </w:r>
      <w:r>
        <w:rPr>
          <w:rFonts w:hint="eastAsia" w:ascii="宋体" w:hAnsi="宋体" w:eastAsia="宋体" w:cs="宋体"/>
          <w:color w:val="000000"/>
          <w:sz w:val="24"/>
          <w:u w:val="single"/>
        </w:rPr>
        <w:t>新疆新建联项目管理咨询有限公司</w:t>
      </w:r>
      <w:r>
        <w:rPr>
          <w:rFonts w:hint="eastAsia" w:ascii="宋体" w:hAnsi="宋体" w:eastAsia="宋体" w:cs="宋体"/>
          <w:color w:val="000000"/>
          <w:sz w:val="24"/>
        </w:rPr>
        <w:t>；</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2.2 “买方”系指和</w:t>
      </w:r>
      <w:r>
        <w:rPr>
          <w:rFonts w:hint="eastAsia" w:ascii="宋体" w:hAnsi="宋体" w:eastAsia="宋体" w:cs="宋体"/>
          <w:color w:val="000000"/>
          <w:sz w:val="24"/>
          <w:u w:val="single"/>
          <w:lang w:val="en-US" w:eastAsia="zh-CN"/>
        </w:rPr>
        <w:t>乌鲁木齐八一中学</w:t>
      </w:r>
      <w:r>
        <w:rPr>
          <w:rFonts w:hint="eastAsia" w:ascii="宋体" w:hAnsi="宋体" w:eastAsia="宋体" w:cs="宋体"/>
          <w:color w:val="000000"/>
          <w:sz w:val="24"/>
        </w:rPr>
        <w:t>；</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2.3 “磋商投标方”系指向招标代理机构提交磋商响应文件的服务供应商；</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2.4 “成交方”系指在本次磋商中成交，将被授予合同的服务供应商，即成为“成交方”</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3．合格的供应商</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3.1 有能力提供磋商文件中所要求的服务的供应商；</w:t>
      </w:r>
    </w:p>
    <w:p>
      <w:pPr>
        <w:spacing w:line="480" w:lineRule="exact"/>
        <w:ind w:firstLine="480"/>
        <w:rPr>
          <w:rFonts w:ascii="宋体" w:hAnsi="宋体" w:eastAsia="宋体" w:cs="宋体"/>
          <w:color w:val="000000"/>
          <w:sz w:val="24"/>
        </w:rPr>
      </w:pPr>
      <w:r>
        <w:rPr>
          <w:rFonts w:hint="eastAsia" w:ascii="宋体" w:hAnsi="宋体" w:eastAsia="宋体" w:cs="宋体"/>
          <w:color w:val="000000"/>
          <w:sz w:val="24"/>
        </w:rPr>
        <w:t>3.2 供应商必须遵守有关的国内法律和规章条例。</w:t>
      </w:r>
    </w:p>
    <w:p>
      <w:pPr>
        <w:spacing w:line="48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4．供应商资格</w:t>
      </w:r>
    </w:p>
    <w:p>
      <w:pPr>
        <w:spacing w:line="480" w:lineRule="exact"/>
        <w:ind w:firstLine="48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4.1、1、符合《中华人民共和国政府采购法》第二十二条的规定</w:t>
      </w:r>
      <w:r>
        <w:rPr>
          <w:rFonts w:hint="eastAsia" w:ascii="宋体" w:hAnsi="宋体" w:eastAsia="宋体" w:cs="宋体"/>
          <w:color w:val="000000"/>
          <w:sz w:val="24"/>
          <w:szCs w:val="22"/>
          <w:lang w:eastAsia="zh-CN"/>
        </w:rPr>
        <w:t>：</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1、供应商具有合法经营范围且符合《中华人民共和国政府采购法》第二十二条规定：</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（1）具有独立承担民事责任的能力；</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2）具有良好的商业信誉和健全的财务会计制度（提供健全的财务会计制度证明文件，例如财务状况报告或会计师事务所出具的近三年任意一年财务审计报告，新成立不足一年的提供成立之日起至今的财务报表）；</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（3）具有履行合同所必需的设备和专业技术能力（需提供声明函格式自拟）；</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（4）有依法缴纳税收和社会保障资金的良好记录（提供近三个月缴税记录及社保缴纳证明，新成立公司提供成立之日起至今的缴税记录及社保缴纳证明）；</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（5）参加政府采购活动前三年内，在经营活动中没有重大违法记录（须提供“信用中国”（</w:t>
      </w:r>
      <w:r>
        <w:rPr>
          <w:rFonts w:hint="eastAsia" w:ascii="宋体" w:hAnsi="宋体" w:cs="宋体"/>
          <w:color w:val="000000"/>
          <w:sz w:val="24"/>
          <w:lang w:val="en-US" w:eastAsia="zh-CN"/>
        </w:rPr>
        <w:fldChar w:fldCharType="begin"/>
      </w:r>
      <w:r>
        <w:rPr>
          <w:rFonts w:hint="eastAsia" w:ascii="宋体" w:hAnsi="宋体" w:cs="宋体"/>
          <w:color w:val="000000"/>
          <w:sz w:val="24"/>
          <w:lang w:val="en-US" w:eastAsia="zh-CN"/>
        </w:rPr>
        <w:instrText xml:space="preserve"> HYPERLINK "http://www.creditchina.gov.cn%EF%BC%89%E5%92%8C%E4%B8%AD%E5%9B%BD%E6%94%BF%E5%BA%9C%E9%87%87%E8%B4%AD%E7%BD%91%EF%BC%88www.ccgp.gov.cn%EF%BC%89%E7%BD%91%E7%AB%99%E4%B8%8A%E6%9C%AA%E5%88%97%E5%85%A5%E5%A4%B1%E4%BF%A1%E8%A2%AB%E6%89%A7%E8%A1%8C%E4%BA%BA%E3%80%81%E9%87%8D%E5%A4%A7%E7%A8%8E%E6%94%B6%E8%BF%9D%E6%B3%95%E6%A1%88%E4%BB%B6%E5%BD%93%E4%BA%8B%E4%BA%BA%E5%90%8D%E5%8D%95%E4%BB%A5%E5%8F%8A%E6%94%BF%E5%BA%9C%E9%87%87%E8%B4%AD%E4%B8%A5%E9%87%8D%E8%BF%9D%E6%B3%95%E5%A4%B1%E4%BF%A1%E8%A1%8C%E4%B8%BA%E8%AE%B0%E5%BD%95%E5%90%8D%E5%8D%95%E7%9A%84%E7%BD%91%E9%A1%B5%E6%89%93%E5%8D%B0%E4%BB%B6%EF%BC%89%EF%BC%9B/" </w:instrText>
      </w:r>
      <w:r>
        <w:rPr>
          <w:rFonts w:hint="eastAsia" w:ascii="宋体" w:hAnsi="宋体" w:cs="宋体"/>
          <w:color w:val="000000"/>
          <w:sz w:val="24"/>
          <w:lang w:val="en-US" w:eastAsia="zh-CN"/>
        </w:rPr>
        <w:fldChar w:fldCharType="separate"/>
      </w:r>
      <w:r>
        <w:rPr>
          <w:rFonts w:hint="eastAsia" w:ascii="宋体" w:hAnsi="宋体" w:cs="宋体"/>
          <w:color w:val="000000"/>
          <w:sz w:val="24"/>
          <w:lang w:val="en-US" w:eastAsia="zh-CN"/>
        </w:rPr>
        <w:t>www.creditchina.gov.cn）和中国政府采购网（www.ccgp.gov.cn）网站上未列入失信被执行人、重大税收违法案件当事人名单以及政府采购严重违法失信行为记录名单的网页打印件）；</w:t>
      </w:r>
      <w:r>
        <w:rPr>
          <w:rFonts w:hint="eastAsia" w:ascii="宋体" w:hAnsi="宋体" w:cs="宋体"/>
          <w:color w:val="000000"/>
          <w:sz w:val="24"/>
          <w:lang w:val="en-US" w:eastAsia="zh-CN"/>
        </w:rPr>
        <w:fldChar w:fldCharType="end"/>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（6）供应商提供无行贿犯罪记录证明（在中国裁判文书网（http://wenshu.court.gov.cn/）查询，查询时间必须在公告期内）；</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（7）法律、行政法规规定的其他条件。 </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2、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 。</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3、符合国家有关法律法规的规定。</w:t>
      </w:r>
    </w:p>
    <w:p>
      <w:pPr>
        <w:pStyle w:val="11"/>
        <w:spacing w:line="480" w:lineRule="exact"/>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4、本项目不允许联合体投标。 </w:t>
      </w:r>
    </w:p>
    <w:p>
      <w:pPr>
        <w:pStyle w:val="11"/>
        <w:spacing w:line="480" w:lineRule="exact"/>
        <w:ind w:firstLine="480"/>
        <w:rPr>
          <w:rFonts w:ascii="宋体" w:hAnsi="宋体" w:cs="宋体"/>
          <w:color w:val="000000"/>
          <w:sz w:val="24"/>
        </w:rPr>
      </w:pPr>
      <w:r>
        <w:rPr>
          <w:rFonts w:hint="eastAsia" w:ascii="宋体" w:hAnsi="宋体" w:cs="宋体"/>
          <w:color w:val="000000"/>
          <w:sz w:val="24"/>
        </w:rPr>
        <w:t>5．磋商费用</w:t>
      </w:r>
    </w:p>
    <w:p>
      <w:pPr>
        <w:spacing w:line="480" w:lineRule="exact"/>
        <w:ind w:left="480" w:firstLine="480"/>
        <w:rPr>
          <w:rFonts w:ascii="宋体" w:hAnsi="宋体" w:eastAsia="宋体" w:cs="宋体"/>
          <w:color w:val="000000"/>
          <w:sz w:val="24"/>
        </w:rPr>
      </w:pPr>
      <w:r>
        <w:rPr>
          <w:rFonts w:hint="eastAsia" w:ascii="宋体" w:hAnsi="宋体" w:eastAsia="宋体" w:cs="宋体"/>
          <w:color w:val="000000"/>
          <w:sz w:val="24"/>
        </w:rPr>
        <w:t>5.1 无论磋商过程中的作法和结果如何，供应商将自行承担所有与参加磋商有关的全部费用。</w:t>
      </w:r>
    </w:p>
    <w:p>
      <w:pPr>
        <w:spacing w:line="480" w:lineRule="exact"/>
        <w:rPr>
          <w:rFonts w:ascii="宋体" w:hAnsi="宋体" w:eastAsia="宋体" w:cs="宋体"/>
          <w:color w:val="000000"/>
          <w:sz w:val="24"/>
          <w:szCs w:val="36"/>
        </w:rPr>
      </w:pPr>
      <w:r>
        <w:rPr>
          <w:rFonts w:hint="eastAsia" w:ascii="宋体" w:hAnsi="宋体" w:eastAsia="宋体" w:cs="宋体"/>
          <w:color w:val="000000"/>
          <w:sz w:val="24"/>
        </w:rPr>
        <w:t>6.</w:t>
      </w:r>
      <w:r>
        <w:rPr>
          <w:rFonts w:hint="eastAsia" w:ascii="宋体" w:hAnsi="宋体" w:eastAsia="宋体" w:cs="宋体"/>
          <w:color w:val="000000"/>
          <w:sz w:val="24"/>
          <w:szCs w:val="36"/>
        </w:rPr>
        <w:t>投标报价、计价</w:t>
      </w:r>
    </w:p>
    <w:p>
      <w:pPr>
        <w:spacing w:line="480" w:lineRule="exact"/>
        <w:ind w:firstLine="960" w:firstLineChars="400"/>
        <w:rPr>
          <w:rFonts w:ascii="宋体" w:hAnsi="宋体" w:eastAsia="宋体" w:cs="宋体"/>
          <w:color w:val="000000"/>
          <w:sz w:val="24"/>
          <w:szCs w:val="32"/>
        </w:rPr>
      </w:pPr>
      <w:r>
        <w:rPr>
          <w:rFonts w:hint="eastAsia" w:ascii="宋体" w:hAnsi="宋体" w:eastAsia="宋体" w:cs="宋体"/>
          <w:color w:val="000000"/>
          <w:sz w:val="24"/>
          <w:szCs w:val="32"/>
        </w:rPr>
        <w:t>6.1.报价采</w:t>
      </w:r>
      <w:r>
        <w:rPr>
          <w:rFonts w:hint="eastAsia" w:ascii="宋体" w:hAnsi="宋体" w:eastAsia="宋体" w:cs="宋体"/>
          <w:color w:val="000000"/>
          <w:sz w:val="24"/>
          <w:szCs w:val="24"/>
        </w:rPr>
        <w:t>用方式：</w:t>
      </w:r>
      <w:r>
        <w:rPr>
          <w:rFonts w:hint="eastAsia" w:ascii="宋体" w:hAnsi="宋体" w:eastAsia="宋体" w:cs="宋体"/>
          <w:color w:val="000000"/>
          <w:sz w:val="24"/>
          <w:szCs w:val="24"/>
          <w:lang w:eastAsia="zh-CN"/>
        </w:rPr>
        <w:t>直接报价</w:t>
      </w:r>
      <w:r>
        <w:rPr>
          <w:rFonts w:hint="eastAsia" w:ascii="宋体" w:hAnsi="宋体" w:eastAsia="宋体" w:cs="宋体"/>
          <w:color w:val="000000"/>
          <w:sz w:val="24"/>
          <w:szCs w:val="24"/>
        </w:rPr>
        <w:t>。</w:t>
      </w:r>
    </w:p>
    <w:p>
      <w:pPr>
        <w:pStyle w:val="4"/>
        <w:spacing w:before="100" w:beforeAutospacing="1" w:after="100" w:afterAutospacing="1" w:line="500" w:lineRule="exact"/>
        <w:ind w:firstLine="562"/>
        <w:jc w:val="center"/>
        <w:rPr>
          <w:rFonts w:ascii="宋体" w:hAnsi="宋体" w:eastAsia="宋体" w:cs="宋体"/>
          <w:color w:val="000000"/>
          <w:sz w:val="28"/>
          <w:szCs w:val="28"/>
        </w:rPr>
      </w:pPr>
      <w:bookmarkStart w:id="8" w:name="_Toc17462119"/>
      <w:r>
        <w:rPr>
          <w:rFonts w:hint="eastAsia" w:ascii="宋体" w:hAnsi="宋体" w:eastAsia="宋体" w:cs="宋体"/>
          <w:color w:val="000000"/>
          <w:sz w:val="28"/>
          <w:szCs w:val="28"/>
        </w:rPr>
        <w:t>B  磋商文件</w:t>
      </w:r>
      <w:bookmarkEnd w:id="8"/>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7．磋商文件构成</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7.1磋商文件包括：</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⑴磋商公告；</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⑵供应商须知；</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⑶服务需求一览表及技术规格；</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⑷合同条款；</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 xml:space="preserve">   ⑸范本格式；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7.2 磋商文件以中文编写。</w:t>
      </w:r>
    </w:p>
    <w:p>
      <w:pPr>
        <w:spacing w:line="500" w:lineRule="exact"/>
        <w:ind w:left="260" w:leftChars="100" w:firstLine="240" w:firstLineChars="100"/>
        <w:rPr>
          <w:rFonts w:ascii="宋体" w:hAnsi="宋体" w:eastAsia="宋体" w:cs="宋体"/>
          <w:color w:val="000000"/>
          <w:sz w:val="24"/>
        </w:rPr>
      </w:pPr>
      <w:r>
        <w:rPr>
          <w:rFonts w:hint="eastAsia" w:ascii="宋体" w:hAnsi="宋体" w:eastAsia="宋体" w:cs="宋体"/>
          <w:color w:val="000000"/>
          <w:sz w:val="24"/>
        </w:rPr>
        <w:t>7.3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7.4磋商文件澄清</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7.5供应商对磋商文件有疑问的，可以向采购代理机构提出询问，采购代理机构将及时做出答复；</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7.6 供应商对磋商文件有质疑，须在磋商响应文件递交截止时间</w:t>
      </w:r>
      <w:r>
        <w:rPr>
          <w:rFonts w:hint="eastAsia" w:ascii="宋体" w:hAnsi="宋体" w:eastAsia="宋体" w:cs="宋体"/>
          <w:color w:val="000000"/>
          <w:sz w:val="24"/>
          <w:lang w:val="en-US" w:eastAsia="zh-CN"/>
        </w:rPr>
        <w:t>3</w:t>
      </w:r>
      <w:r>
        <w:rPr>
          <w:rFonts w:hint="eastAsia" w:ascii="宋体" w:hAnsi="宋体" w:eastAsia="宋体" w:cs="宋体"/>
          <w:color w:val="000000"/>
          <w:sz w:val="24"/>
        </w:rPr>
        <w:t>日以前，以书面形式向采购代理机构提出质疑；采购代理机构在收到书面质疑后尽快做出答复，并以书面形式通知</w:t>
      </w:r>
      <w:r>
        <w:rPr>
          <w:rFonts w:hint="eastAsia" w:ascii="宋体" w:hAnsi="宋体" w:eastAsia="宋体" w:cs="宋体"/>
          <w:color w:val="000000"/>
          <w:sz w:val="24"/>
          <w:lang w:val="en-US" w:eastAsia="zh-CN"/>
        </w:rPr>
        <w:t>所有参与的</w:t>
      </w:r>
      <w:r>
        <w:rPr>
          <w:rFonts w:hint="eastAsia" w:ascii="宋体" w:hAnsi="宋体" w:eastAsia="宋体" w:cs="宋体"/>
          <w:color w:val="000000"/>
          <w:sz w:val="24"/>
        </w:rPr>
        <w:t>供应商。</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8.  磋商文件的修改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8.1</w:t>
      </w:r>
      <w:r>
        <w:rPr>
          <w:rFonts w:hint="eastAsia" w:ascii="宋体" w:hAnsi="宋体" w:eastAsia="宋体" w:cs="宋体"/>
          <w:color w:val="000000"/>
          <w:sz w:val="24"/>
          <w:lang w:val="en-US" w:eastAsia="zh-CN"/>
        </w:rPr>
        <w:t>采购人、采购代理机构可以对已发出的磋商文件进行必要的澄清或者修改，采购人、采购代理机构应当在提交首次响应文件截止时间至少2日前，以书面形式通知所有获取磋商文件的供应商；不足2日的，采购人、采购代理机构应当顺延提交首次响应文件截止时间。</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8.2 供应商在规定的时间内未对磋商文件提出澄清要求的，采购代理机构将视其为同意。</w:t>
      </w:r>
    </w:p>
    <w:p>
      <w:pPr>
        <w:spacing w:line="5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8.3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p>
      <w:pPr>
        <w:pStyle w:val="4"/>
        <w:spacing w:before="100" w:beforeAutospacing="1" w:after="100" w:afterAutospacing="1" w:line="500" w:lineRule="exact"/>
        <w:ind w:firstLine="562"/>
        <w:jc w:val="center"/>
        <w:rPr>
          <w:rFonts w:ascii="宋体" w:hAnsi="宋体" w:eastAsia="宋体" w:cs="宋体"/>
          <w:color w:val="000000"/>
          <w:sz w:val="28"/>
          <w:szCs w:val="28"/>
        </w:rPr>
      </w:pPr>
      <w:bookmarkStart w:id="9" w:name="_Toc298240407"/>
      <w:bookmarkStart w:id="10" w:name="_Toc267301284"/>
      <w:bookmarkStart w:id="11" w:name="_Toc17462120"/>
      <w:bookmarkStart w:id="12" w:name="_Toc487638925"/>
      <w:bookmarkStart w:id="13" w:name="_Toc349637922"/>
      <w:bookmarkStart w:id="14" w:name="_Toc349573123"/>
      <w:r>
        <w:rPr>
          <w:rFonts w:hint="eastAsia" w:ascii="宋体" w:hAnsi="宋体" w:eastAsia="宋体" w:cs="宋体"/>
          <w:color w:val="000000"/>
          <w:sz w:val="28"/>
          <w:szCs w:val="28"/>
        </w:rPr>
        <w:t>C  磋商响应文件的编写</w:t>
      </w:r>
      <w:bookmarkEnd w:id="9"/>
      <w:bookmarkEnd w:id="10"/>
      <w:bookmarkEnd w:id="11"/>
      <w:bookmarkEnd w:id="12"/>
      <w:bookmarkEnd w:id="13"/>
      <w:bookmarkEnd w:id="14"/>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9.1 供应商应仔细阅读磋商文件的所有内容，按磋商文件的要求提供磋商响应文件，并保证所提供的全部资料的真实性，以使其磋商响应对磋商文件作出实质性响应，否则，其磋商可能被拒绝。</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10．磋商语言</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10.1.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11．磋商响应文件的构成</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 供应商编写的磋商响应文件应包括下列内容：</w:t>
      </w:r>
    </w:p>
    <w:p>
      <w:pPr>
        <w:spacing w:line="500" w:lineRule="exact"/>
        <w:ind w:firstLine="482"/>
        <w:rPr>
          <w:rFonts w:ascii="宋体" w:hAnsi="宋体" w:eastAsia="宋体" w:cs="宋体"/>
          <w:color w:val="000000"/>
          <w:sz w:val="24"/>
        </w:rPr>
      </w:pPr>
      <w:r>
        <w:rPr>
          <w:rFonts w:hint="eastAsia" w:ascii="宋体" w:hAnsi="宋体" w:eastAsia="宋体" w:cs="宋体"/>
          <w:b/>
          <w:bCs/>
          <w:color w:val="000000"/>
          <w:sz w:val="24"/>
        </w:rPr>
        <w:t>响应文件的组成</w:t>
      </w:r>
    </w:p>
    <w:p>
      <w:pPr>
        <w:snapToGrid w:val="0"/>
        <w:spacing w:line="500" w:lineRule="exact"/>
        <w:ind w:firstLine="480"/>
        <w:rPr>
          <w:rFonts w:ascii="宋体" w:hAnsi="宋体" w:eastAsia="宋体" w:cs="宋体"/>
          <w:color w:val="000000"/>
          <w:sz w:val="24"/>
        </w:rPr>
      </w:pPr>
      <w:r>
        <w:rPr>
          <w:rFonts w:hint="eastAsia" w:ascii="宋体" w:hAnsi="宋体" w:eastAsia="宋体" w:cs="宋体"/>
          <w:color w:val="000000"/>
          <w:sz w:val="24"/>
        </w:rPr>
        <w:t>11.1.1、投标</w:t>
      </w:r>
      <w:r>
        <w:rPr>
          <w:rFonts w:hint="eastAsia" w:ascii="宋体" w:hAnsi="宋体" w:eastAsia="宋体" w:cs="宋体"/>
          <w:color w:val="000000"/>
          <w:sz w:val="24"/>
          <w:lang w:eastAsia="zh-CN"/>
        </w:rPr>
        <w:t>函</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11.1.2、</w:t>
      </w:r>
      <w:r>
        <w:rPr>
          <w:rFonts w:hint="eastAsia" w:ascii="宋体" w:hAnsi="宋体" w:eastAsia="宋体" w:cs="宋体"/>
          <w:color w:val="000000"/>
          <w:sz w:val="24"/>
          <w:lang w:eastAsia="zh-CN"/>
        </w:rPr>
        <w:t>法人代表授权书</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11.1.3、法定代表人</w:t>
      </w:r>
      <w:r>
        <w:rPr>
          <w:rFonts w:hint="eastAsia" w:ascii="宋体" w:hAnsi="宋体" w:eastAsia="宋体" w:cs="宋体"/>
          <w:color w:val="000000"/>
          <w:sz w:val="24"/>
          <w:lang w:eastAsia="zh-CN"/>
        </w:rPr>
        <w:t>身份证明书</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11.1.4、</w:t>
      </w:r>
      <w:r>
        <w:rPr>
          <w:rFonts w:hint="eastAsia" w:ascii="宋体" w:hAnsi="宋体" w:eastAsia="宋体" w:cs="宋体"/>
          <w:color w:val="000000"/>
          <w:sz w:val="24"/>
          <w:lang w:eastAsia="zh-CN"/>
        </w:rPr>
        <w:t>开标一览表</w:t>
      </w:r>
      <w:r>
        <w:rPr>
          <w:rFonts w:hint="eastAsia" w:ascii="宋体" w:hAnsi="宋体" w:eastAsia="宋体" w:cs="宋体"/>
          <w:color w:val="000000"/>
          <w:sz w:val="24"/>
        </w:rPr>
        <w:t>；</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eastAsia="zh-CN"/>
        </w:rPr>
        <w:t>技术参数、功能偏离表；</w:t>
      </w:r>
    </w:p>
    <w:p>
      <w:pPr>
        <w:spacing w:line="500" w:lineRule="exact"/>
        <w:ind w:firstLine="480"/>
        <w:rPr>
          <w:rFonts w:hint="default"/>
          <w:lang w:val="en-US" w:eastAsia="zh-CN"/>
        </w:rPr>
      </w:pPr>
      <w:r>
        <w:rPr>
          <w:rFonts w:hint="eastAsia" w:ascii="宋体" w:hAnsi="宋体" w:eastAsia="宋体" w:cs="宋体"/>
          <w:color w:val="000000"/>
          <w:sz w:val="24"/>
          <w:lang w:val="en-US" w:eastAsia="zh-CN"/>
        </w:rPr>
        <w:t>11.1.6、商务条款偏离表；</w:t>
      </w:r>
    </w:p>
    <w:p>
      <w:pPr>
        <w:spacing w:line="5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11.1.7、</w:t>
      </w:r>
      <w:r>
        <w:rPr>
          <w:rFonts w:hint="eastAsia" w:ascii="宋体" w:hAnsi="宋体" w:eastAsia="宋体" w:cs="宋体"/>
          <w:color w:val="000000"/>
          <w:sz w:val="24"/>
          <w:lang w:eastAsia="zh-CN"/>
        </w:rPr>
        <w:t>供应商概况和资质证明文件、关于资格的声明函；</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8</w:t>
      </w:r>
      <w:r>
        <w:rPr>
          <w:rFonts w:hint="eastAsia" w:ascii="宋体" w:hAnsi="宋体" w:eastAsia="宋体" w:cs="宋体"/>
          <w:color w:val="000000"/>
          <w:sz w:val="24"/>
        </w:rPr>
        <w:t>、</w:t>
      </w:r>
      <w:r>
        <w:rPr>
          <w:rFonts w:hint="eastAsia" w:ascii="宋体" w:hAnsi="宋体" w:eastAsia="宋体" w:cs="宋体"/>
          <w:color w:val="000000"/>
          <w:sz w:val="24"/>
          <w:lang w:eastAsia="zh-CN"/>
        </w:rPr>
        <w:t>近三年的类似业绩表；</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9</w:t>
      </w:r>
      <w:r>
        <w:rPr>
          <w:rFonts w:hint="eastAsia" w:ascii="宋体" w:hAnsi="宋体" w:eastAsia="宋体" w:cs="宋体"/>
          <w:color w:val="000000"/>
          <w:sz w:val="24"/>
        </w:rPr>
        <w:t>、</w:t>
      </w:r>
      <w:r>
        <w:rPr>
          <w:rFonts w:hint="eastAsia" w:ascii="宋体" w:hAnsi="宋体" w:eastAsia="宋体" w:cs="宋体"/>
          <w:color w:val="000000"/>
          <w:sz w:val="24"/>
          <w:lang w:val="en-US" w:eastAsia="zh-CN"/>
        </w:rPr>
        <w:t>产品的质量、技术、性能综合描述方案</w:t>
      </w:r>
      <w:r>
        <w:rPr>
          <w:rFonts w:hint="eastAsia" w:ascii="宋体" w:hAnsi="宋体" w:eastAsia="宋体" w:cs="宋体"/>
          <w:color w:val="000000"/>
          <w:sz w:val="24"/>
          <w:lang w:eastAsia="zh-CN"/>
        </w:rPr>
        <w:t>；</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11.1.</w:t>
      </w:r>
      <w:r>
        <w:rPr>
          <w:rFonts w:hint="eastAsia" w:ascii="宋体" w:hAnsi="宋体" w:eastAsia="宋体" w:cs="宋体"/>
          <w:color w:val="000000"/>
          <w:sz w:val="24"/>
          <w:lang w:val="en-US" w:eastAsia="zh-CN"/>
        </w:rPr>
        <w:t>10</w:t>
      </w:r>
      <w:r>
        <w:rPr>
          <w:rFonts w:hint="eastAsia" w:ascii="宋体" w:hAnsi="宋体" w:eastAsia="宋体" w:cs="宋体"/>
          <w:color w:val="000000"/>
          <w:sz w:val="24"/>
        </w:rPr>
        <w:t>、</w:t>
      </w:r>
      <w:r>
        <w:rPr>
          <w:rFonts w:hint="eastAsia" w:ascii="宋体" w:hAnsi="宋体" w:eastAsia="宋体" w:cs="宋体"/>
          <w:color w:val="000000"/>
          <w:sz w:val="24"/>
          <w:lang w:val="en-US" w:eastAsia="zh-CN"/>
        </w:rPr>
        <w:t>项目管理、售后服务计划措施及服务承诺</w:t>
      </w:r>
      <w:r>
        <w:rPr>
          <w:rFonts w:hint="eastAsia" w:ascii="宋体" w:hAnsi="宋体" w:eastAsia="宋体" w:cs="宋体"/>
          <w:color w:val="000000"/>
          <w:sz w:val="24"/>
          <w:lang w:eastAsia="zh-CN"/>
        </w:rPr>
        <w:t>；</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11.1.</w:t>
      </w:r>
      <w:r>
        <w:rPr>
          <w:rFonts w:hint="eastAsia" w:ascii="宋体" w:hAnsi="宋体" w:eastAsia="宋体" w:cs="宋体"/>
          <w:color w:val="000000"/>
          <w:sz w:val="24"/>
          <w:szCs w:val="22"/>
          <w:lang w:val="en-US" w:eastAsia="zh-CN"/>
        </w:rPr>
        <w:t>11、免费维修清单；</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11.1.</w:t>
      </w:r>
      <w:r>
        <w:rPr>
          <w:rFonts w:hint="eastAsia" w:ascii="宋体" w:hAnsi="宋体" w:eastAsia="宋体" w:cs="宋体"/>
          <w:color w:val="000000"/>
          <w:sz w:val="24"/>
          <w:szCs w:val="22"/>
          <w:lang w:val="en-US" w:eastAsia="zh-CN"/>
        </w:rPr>
        <w:t>12、供应商认为有必要说明的其它内容；</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11.1.13、二次报价单。</w:t>
      </w:r>
    </w:p>
    <w:p>
      <w:pPr>
        <w:spacing w:line="500" w:lineRule="exact"/>
        <w:ind w:firstLine="48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12．磋商响应文件格式</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12.1 供应商应按磋商文件的范本格式中提供的文件格式填写。</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13．磋商报价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13.1 供应商应在投标</w:t>
      </w:r>
      <w:r>
        <w:rPr>
          <w:rFonts w:hint="eastAsia" w:ascii="宋体" w:hAnsi="宋体" w:eastAsia="宋体" w:cs="宋体"/>
          <w:color w:val="000000"/>
          <w:sz w:val="24"/>
          <w:lang w:eastAsia="zh-CN"/>
        </w:rPr>
        <w:t>函</w:t>
      </w:r>
      <w:r>
        <w:rPr>
          <w:rFonts w:hint="eastAsia" w:ascii="宋体" w:hAnsi="宋体" w:eastAsia="宋体" w:cs="宋体"/>
          <w:color w:val="000000"/>
          <w:sz w:val="24"/>
        </w:rPr>
        <w:t>上标明单价和总价</w:t>
      </w:r>
      <w:r>
        <w:rPr>
          <w:rFonts w:hint="eastAsia" w:ascii="宋体" w:hAnsi="宋体" w:eastAsia="宋体" w:cs="宋体"/>
          <w:color w:val="000000"/>
          <w:sz w:val="24"/>
          <w:lang w:eastAsia="zh-CN"/>
        </w:rPr>
        <w:t>，</w:t>
      </w:r>
      <w:r>
        <w:rPr>
          <w:rFonts w:hint="eastAsia" w:ascii="宋体" w:hAnsi="宋体" w:eastAsia="宋体" w:cs="宋体"/>
          <w:color w:val="000000"/>
          <w:sz w:val="24"/>
        </w:rPr>
        <w:t>单价和总价要相符</w:t>
      </w:r>
      <w:r>
        <w:rPr>
          <w:rFonts w:hint="eastAsia" w:ascii="宋体" w:hAnsi="宋体" w:eastAsia="宋体" w:cs="宋体"/>
          <w:color w:val="000000"/>
          <w:sz w:val="24"/>
          <w:lang w:eastAsia="zh-CN"/>
        </w:rPr>
        <w:t>，</w:t>
      </w:r>
      <w:r>
        <w:rPr>
          <w:rFonts w:hint="eastAsia" w:ascii="宋体" w:hAnsi="宋体" w:eastAsia="宋体" w:cs="宋体"/>
          <w:color w:val="000000"/>
          <w:sz w:val="24"/>
        </w:rPr>
        <w:t>小写和大写要相符</w:t>
      </w:r>
      <w:r>
        <w:rPr>
          <w:rFonts w:hint="eastAsia" w:ascii="宋体" w:hAnsi="宋体" w:eastAsia="宋体" w:cs="宋体"/>
          <w:color w:val="000000"/>
          <w:sz w:val="24"/>
          <w:lang w:eastAsia="zh-CN"/>
        </w:rPr>
        <w:t>，</w:t>
      </w:r>
      <w:r>
        <w:rPr>
          <w:rFonts w:hint="eastAsia" w:ascii="宋体" w:hAnsi="宋体" w:eastAsia="宋体" w:cs="宋体"/>
          <w:color w:val="000000"/>
          <w:sz w:val="24"/>
        </w:rPr>
        <w:t>供应商应在投标</w:t>
      </w:r>
      <w:r>
        <w:rPr>
          <w:rFonts w:hint="eastAsia" w:ascii="宋体" w:hAnsi="宋体" w:eastAsia="宋体" w:cs="宋体"/>
          <w:color w:val="000000"/>
          <w:sz w:val="24"/>
          <w:lang w:eastAsia="zh-CN"/>
        </w:rPr>
        <w:t>函</w:t>
      </w:r>
      <w:r>
        <w:rPr>
          <w:rFonts w:hint="eastAsia" w:ascii="宋体" w:hAnsi="宋体" w:eastAsia="宋体" w:cs="宋体"/>
          <w:color w:val="000000"/>
          <w:sz w:val="24"/>
        </w:rPr>
        <w:t>中标明其提供的所有服务及其相关工作范围内所有费用的总价，不接受有任何选择性磋商报价。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13.2算术性修正</w:t>
      </w:r>
      <w:r>
        <w:rPr>
          <w:rFonts w:hint="eastAsia" w:ascii="宋体" w:hAnsi="宋体" w:eastAsia="宋体" w:cs="宋体"/>
          <w:color w:val="000000"/>
          <w:sz w:val="24"/>
          <w:lang w:eastAsia="zh-CN"/>
        </w:rPr>
        <w:t>，</w:t>
      </w:r>
      <w:r>
        <w:rPr>
          <w:rFonts w:hint="eastAsia" w:ascii="宋体" w:hAnsi="宋体" w:eastAsia="宋体" w:cs="宋体"/>
          <w:color w:val="000000"/>
          <w:sz w:val="24"/>
        </w:rPr>
        <w:t>算术性修正是指对磋商响应文件的报价明细进行校核，并对其算术上和运算上的差错给予修正</w:t>
      </w:r>
      <w:r>
        <w:rPr>
          <w:rFonts w:hint="eastAsia" w:ascii="宋体" w:hAnsi="宋体" w:eastAsia="宋体" w:cs="宋体"/>
          <w:color w:val="000000"/>
          <w:sz w:val="24"/>
          <w:lang w:eastAsia="zh-CN"/>
        </w:rPr>
        <w:t>，</w:t>
      </w:r>
      <w:r>
        <w:rPr>
          <w:rFonts w:hint="eastAsia" w:ascii="宋体" w:hAnsi="宋体" w:eastAsia="宋体" w:cs="宋体"/>
          <w:color w:val="000000"/>
          <w:sz w:val="24"/>
        </w:rPr>
        <w:t>修正的原则如下：</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13.2.1 当以数字表示的金额与文字表示的金额有差异时，以文字表示的金额为准；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13.2.2 当单价与数量相乘不等于合价时，以单价计算为准。如果单价有明显的小数点位置差错，应以标出的合价为准，同时对单价予以修正；</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13.2.3 当各明细部分的价格累计不等于合价时，应以各明细的累计计数为准，修正合价。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13.2.4 按以上原则对算术性差错修正，应取得供应商的同意，并确认修正后最终磋商报价。如果供应商拒绝确认，则其磋商响应文件将不予以评审并按废标处理，没收其投标担保。</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14．投标货币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14.1人民币报价。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15．供应商的证明文件：</w:t>
      </w:r>
    </w:p>
    <w:p>
      <w:pPr>
        <w:spacing w:line="500" w:lineRule="exact"/>
        <w:ind w:firstLine="482"/>
        <w:rPr>
          <w:rFonts w:ascii="宋体" w:hAnsi="宋体" w:eastAsia="宋体" w:cs="宋体"/>
          <w:b/>
          <w:color w:val="000000"/>
          <w:sz w:val="24"/>
        </w:rPr>
      </w:pPr>
      <w:r>
        <w:rPr>
          <w:rFonts w:hint="eastAsia" w:ascii="宋体" w:hAnsi="宋体" w:eastAsia="宋体" w:cs="宋体"/>
          <w:b/>
          <w:color w:val="000000"/>
          <w:sz w:val="24"/>
        </w:rPr>
        <w:t>供应商必须提交证明其有资格进行磋商和有能力履行合同的文件（范本格式），作为磋商响应文件的一部分。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16 响应文件符合磋商文件规定的技术响应文件</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16.1供应商须提交证明拟供服务符合磋商文件规定的技术响应文件，作为磋商响应文件的一部分。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17．磋商的有效期</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17.1</w:t>
      </w:r>
      <w:r>
        <w:rPr>
          <w:rFonts w:hint="eastAsia" w:ascii="宋体" w:hAnsi="宋体" w:eastAsia="宋体" w:cs="宋体"/>
          <w:b/>
          <w:color w:val="000000"/>
          <w:sz w:val="24"/>
        </w:rPr>
        <w:t>磋商响应文件从磋商之日起，投标有效期为</w:t>
      </w:r>
      <w:r>
        <w:rPr>
          <w:rFonts w:hint="eastAsia" w:ascii="宋体" w:hAnsi="宋体" w:eastAsia="宋体" w:cs="宋体"/>
          <w:b/>
          <w:color w:val="000000"/>
          <w:sz w:val="24"/>
          <w:lang w:val="en-US" w:eastAsia="zh-CN"/>
        </w:rPr>
        <w:t>30</w:t>
      </w:r>
      <w:r>
        <w:rPr>
          <w:rFonts w:hint="eastAsia" w:ascii="宋体" w:hAnsi="宋体" w:eastAsia="宋体" w:cs="宋体"/>
          <w:b/>
          <w:color w:val="000000"/>
          <w:sz w:val="24"/>
        </w:rPr>
        <w:t>天。（如不满足将导致废标）</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17.2 在特殊情况下，采购代理机构可与供应商商量延长磋商响应文件的有效期。</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18．磋商响应文件的书写要求。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18.1 磋商响应文件须打印。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18.2 磋商响应文件应清楚工整，修改处应由</w:t>
      </w:r>
      <w:r>
        <w:rPr>
          <w:rFonts w:hint="eastAsia" w:ascii="宋体" w:hAnsi="宋体" w:eastAsia="宋体" w:cs="宋体"/>
          <w:color w:val="000000"/>
          <w:sz w:val="24"/>
          <w:lang w:val="en-US" w:eastAsia="zh-CN"/>
        </w:rPr>
        <w:t>法定代表人</w:t>
      </w:r>
      <w:r>
        <w:rPr>
          <w:rFonts w:hint="eastAsia" w:ascii="宋体" w:hAnsi="宋体" w:eastAsia="宋体" w:cs="宋体"/>
          <w:color w:val="000000"/>
          <w:sz w:val="24"/>
        </w:rPr>
        <w:t>签章。</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18.3磋商响应文件应</w:t>
      </w:r>
      <w:r>
        <w:rPr>
          <w:rFonts w:hint="eastAsia" w:ascii="宋体" w:hAnsi="宋体" w:eastAsia="宋体" w:cs="宋体"/>
          <w:color w:val="000000"/>
          <w:sz w:val="24"/>
          <w:lang w:val="en-US" w:eastAsia="zh-CN"/>
        </w:rPr>
        <w:t>加盖供应商公章及法定代表人签字或盖章</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18.4电报、电话、传真形式的投标概不接受。</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18.5磋商响应文件的份数：磋商文件正本</w:t>
      </w:r>
      <w:r>
        <w:rPr>
          <w:rFonts w:hint="eastAsia" w:ascii="宋体" w:hAnsi="宋体" w:eastAsia="宋体" w:cs="宋体"/>
          <w:color w:val="000000"/>
          <w:sz w:val="24"/>
          <w:lang w:val="en-US" w:eastAsia="zh-CN"/>
        </w:rPr>
        <w:t>1</w:t>
      </w:r>
      <w:r>
        <w:rPr>
          <w:rFonts w:hint="eastAsia" w:ascii="宋体" w:hAnsi="宋体" w:eastAsia="宋体" w:cs="宋体"/>
          <w:color w:val="000000"/>
          <w:sz w:val="24"/>
        </w:rPr>
        <w:t>份，副本</w:t>
      </w:r>
      <w:r>
        <w:rPr>
          <w:rFonts w:hint="eastAsia" w:ascii="宋体" w:hAnsi="宋体" w:eastAsia="宋体" w:cs="宋体"/>
          <w:color w:val="000000"/>
          <w:sz w:val="24"/>
          <w:lang w:val="en-US" w:eastAsia="zh-CN"/>
        </w:rPr>
        <w:t>3</w:t>
      </w:r>
      <w:r>
        <w:rPr>
          <w:rFonts w:hint="eastAsia" w:ascii="宋体" w:hAnsi="宋体" w:eastAsia="宋体" w:cs="宋体"/>
          <w:color w:val="000000"/>
          <w:sz w:val="24"/>
        </w:rPr>
        <w:t>份</w:t>
      </w:r>
      <w:r>
        <w:rPr>
          <w:rFonts w:hint="eastAsia" w:ascii="宋体" w:hAnsi="宋体" w:eastAsia="宋体" w:cs="宋体"/>
          <w:color w:val="000000"/>
          <w:sz w:val="24"/>
          <w:lang w:eastAsia="zh-CN"/>
        </w:rPr>
        <w:t>；</w:t>
      </w:r>
      <w:r>
        <w:rPr>
          <w:rFonts w:hint="eastAsia" w:ascii="宋体" w:hAnsi="宋体" w:eastAsia="宋体" w:cs="宋体"/>
          <w:color w:val="000000"/>
          <w:sz w:val="24"/>
        </w:rPr>
        <w:t>开标一览表：1份</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须单独密封</w:t>
      </w:r>
      <w:r>
        <w:rPr>
          <w:rFonts w:hint="eastAsia" w:ascii="宋体" w:hAnsi="宋体" w:eastAsia="宋体" w:cs="宋体"/>
          <w:color w:val="000000"/>
          <w:sz w:val="24"/>
          <w:lang w:eastAsia="zh-CN"/>
        </w:rPr>
        <w:t>）；</w:t>
      </w:r>
      <w:r>
        <w:rPr>
          <w:rFonts w:hint="eastAsia" w:ascii="宋体" w:hAnsi="宋体" w:eastAsia="宋体" w:cs="宋体"/>
          <w:color w:val="000000"/>
          <w:sz w:val="24"/>
        </w:rPr>
        <w:t>含电子版U盘一份</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须单独密封</w:t>
      </w:r>
      <w:r>
        <w:rPr>
          <w:rFonts w:hint="eastAsia" w:ascii="宋体" w:hAnsi="宋体" w:eastAsia="宋体" w:cs="宋体"/>
          <w:color w:val="000000"/>
          <w:sz w:val="24"/>
          <w:lang w:eastAsia="zh-CN"/>
        </w:rPr>
        <w:t>）</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19．投标保证金</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19.1供应商按照投标保证金：</w:t>
      </w:r>
      <w:r>
        <w:rPr>
          <w:rFonts w:hint="eastAsia" w:ascii="宋体" w:hAnsi="宋体" w:eastAsia="宋体" w:cs="宋体"/>
          <w:color w:val="000000"/>
          <w:sz w:val="24"/>
          <w:lang w:val="en-US" w:eastAsia="zh-CN"/>
        </w:rPr>
        <w:t>4000.00</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肆仟</w:t>
      </w:r>
      <w:r>
        <w:rPr>
          <w:rFonts w:hint="eastAsia" w:ascii="宋体" w:hAnsi="宋体" w:eastAsia="宋体" w:cs="宋体"/>
          <w:color w:val="000000"/>
          <w:sz w:val="24"/>
          <w:lang w:eastAsia="zh-CN"/>
        </w:rPr>
        <w:t>元整）</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19.2 本次磋商仅接受电汇作为投标保证金，</w:t>
      </w:r>
      <w:r>
        <w:rPr>
          <w:rFonts w:hint="eastAsia" w:ascii="宋体" w:hAnsi="宋体" w:eastAsia="宋体" w:cs="宋体"/>
          <w:color w:val="000000"/>
          <w:sz w:val="24"/>
          <w:szCs w:val="24"/>
        </w:rPr>
        <w:t>投标保证金有效期应当与磋商响应有效期一致</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19.3磋商保证金的退还时间：</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19.3.1采购合同签订后5日内向中标人和未中标的供应商退还投标保证金。</w:t>
      </w:r>
    </w:p>
    <w:p>
      <w:pPr>
        <w:spacing w:line="500" w:lineRule="exact"/>
        <w:ind w:firstLine="480"/>
        <w:rPr>
          <w:rFonts w:ascii="宋体" w:hAnsi="宋体" w:eastAsia="宋体" w:cs="宋体"/>
          <w:b/>
          <w:color w:val="000000"/>
          <w:sz w:val="24"/>
        </w:rPr>
      </w:pPr>
      <w:r>
        <w:rPr>
          <w:rFonts w:hint="eastAsia" w:ascii="宋体" w:hAnsi="宋体" w:eastAsia="宋体" w:cs="宋体"/>
          <w:color w:val="000000"/>
          <w:sz w:val="24"/>
        </w:rPr>
        <w:t>19.4</w:t>
      </w:r>
      <w:r>
        <w:rPr>
          <w:rFonts w:hint="eastAsia" w:ascii="宋体" w:hAnsi="宋体" w:eastAsia="宋体" w:cs="宋体"/>
          <w:b/>
          <w:color w:val="000000"/>
          <w:sz w:val="24"/>
        </w:rPr>
        <w:t>未按规定提交投标保证金的投标，将被视为磋商无效。</w:t>
      </w:r>
    </w:p>
    <w:p>
      <w:pPr>
        <w:spacing w:line="500" w:lineRule="exact"/>
        <w:ind w:firstLine="480"/>
        <w:rPr>
          <w:rFonts w:ascii="宋体" w:hAnsi="宋体" w:eastAsia="宋体" w:cs="宋体"/>
          <w:color w:val="000000"/>
          <w:sz w:val="24"/>
        </w:rPr>
      </w:pPr>
      <w:r>
        <w:rPr>
          <w:rFonts w:hint="eastAsia" w:hAnsi="宋体" w:eastAsia="宋体" w:cs="宋体"/>
          <w:color w:val="000000"/>
          <w:sz w:val="24"/>
        </w:rPr>
        <w:t>19.5下列任何情况发生时，投标保证金将被没收：</w:t>
      </w:r>
    </w:p>
    <w:p>
      <w:pPr>
        <w:pStyle w:val="33"/>
        <w:spacing w:line="500" w:lineRule="exact"/>
        <w:ind w:firstLine="480"/>
        <w:rPr>
          <w:rFonts w:hAnsi="宋体" w:eastAsia="宋体" w:cs="宋体"/>
          <w:color w:val="000000"/>
          <w:sz w:val="24"/>
        </w:rPr>
      </w:pPr>
      <w:r>
        <w:rPr>
          <w:rFonts w:hint="eastAsia" w:hAnsi="宋体" w:eastAsia="宋体" w:cs="宋体"/>
          <w:color w:val="000000"/>
          <w:sz w:val="24"/>
        </w:rPr>
        <w:t>19.5.1供应商在磋商文件规定的投标有效期内撤回其磋商；</w:t>
      </w:r>
    </w:p>
    <w:p>
      <w:pPr>
        <w:pStyle w:val="33"/>
        <w:spacing w:line="500" w:lineRule="exact"/>
        <w:ind w:firstLine="480"/>
        <w:rPr>
          <w:rFonts w:hAnsi="宋体" w:eastAsia="宋体" w:cs="宋体"/>
          <w:color w:val="000000"/>
          <w:sz w:val="24"/>
        </w:rPr>
      </w:pPr>
      <w:r>
        <w:rPr>
          <w:rFonts w:hint="eastAsia" w:hAnsi="宋体" w:eastAsia="宋体" w:cs="宋体"/>
          <w:color w:val="000000"/>
          <w:sz w:val="24"/>
        </w:rPr>
        <w:t>19.5.2成交方在规定期限内未能：</w:t>
      </w:r>
    </w:p>
    <w:p>
      <w:pPr>
        <w:pStyle w:val="33"/>
        <w:spacing w:line="500" w:lineRule="exact"/>
        <w:ind w:firstLine="480"/>
        <w:rPr>
          <w:rFonts w:hAnsi="宋体" w:eastAsia="宋体" w:cs="宋体"/>
          <w:color w:val="000000"/>
          <w:sz w:val="24"/>
        </w:rPr>
      </w:pPr>
      <w:r>
        <w:rPr>
          <w:rFonts w:hint="eastAsia" w:hAnsi="宋体" w:eastAsia="宋体" w:cs="宋体"/>
          <w:color w:val="000000"/>
          <w:sz w:val="24"/>
        </w:rPr>
        <w:t>19.5.2.1按本须知第31条规定签订合同；</w:t>
      </w:r>
    </w:p>
    <w:p>
      <w:pPr>
        <w:pStyle w:val="33"/>
        <w:spacing w:line="500" w:lineRule="exact"/>
        <w:ind w:firstLine="480"/>
        <w:rPr>
          <w:rFonts w:hAnsi="宋体" w:eastAsia="宋体" w:cs="宋体"/>
          <w:color w:val="000000"/>
          <w:sz w:val="24"/>
        </w:rPr>
      </w:pPr>
      <w:r>
        <w:rPr>
          <w:rFonts w:hint="eastAsia" w:hAnsi="宋体" w:eastAsia="宋体" w:cs="宋体"/>
          <w:color w:val="000000"/>
          <w:sz w:val="24"/>
        </w:rPr>
        <w:t>19.5.2.2按须知第32条向买方提交履约保证金；</w:t>
      </w:r>
    </w:p>
    <w:p>
      <w:pPr>
        <w:pStyle w:val="33"/>
        <w:spacing w:line="500" w:lineRule="exact"/>
        <w:ind w:firstLine="480"/>
        <w:rPr>
          <w:rFonts w:ascii="宋体" w:hAnsi="宋体" w:eastAsia="宋体" w:cs="宋体"/>
          <w:b/>
          <w:bCs/>
          <w:color w:val="000000"/>
          <w:sz w:val="28"/>
          <w:szCs w:val="28"/>
        </w:rPr>
      </w:pPr>
      <w:r>
        <w:rPr>
          <w:rFonts w:hint="eastAsia" w:hAnsi="宋体" w:eastAsia="宋体" w:cs="宋体"/>
          <w:color w:val="000000"/>
          <w:sz w:val="24"/>
        </w:rPr>
        <w:t>19.5.2.3按本须知第33条规定向采购代理机构交纳代理服务费。</w:t>
      </w:r>
    </w:p>
    <w:p>
      <w:pPr>
        <w:pStyle w:val="4"/>
        <w:spacing w:before="100" w:beforeAutospacing="1" w:after="100" w:afterAutospacing="1" w:line="500" w:lineRule="exact"/>
        <w:ind w:firstLine="562"/>
        <w:jc w:val="center"/>
        <w:rPr>
          <w:rFonts w:ascii="宋体" w:hAnsi="宋体" w:eastAsia="宋体" w:cs="宋体"/>
          <w:color w:val="000000"/>
          <w:sz w:val="28"/>
          <w:szCs w:val="28"/>
        </w:rPr>
      </w:pPr>
      <w:bookmarkStart w:id="15" w:name="_Toc487638926"/>
      <w:bookmarkStart w:id="16" w:name="_Toc267301285"/>
      <w:bookmarkStart w:id="17" w:name="_Toc298240408"/>
      <w:bookmarkStart w:id="18" w:name="_Toc349637923"/>
      <w:bookmarkStart w:id="19" w:name="_Toc17462121"/>
      <w:bookmarkStart w:id="20" w:name="_Toc349573124"/>
      <w:r>
        <w:rPr>
          <w:rFonts w:hint="eastAsia" w:ascii="宋体" w:hAnsi="宋体" w:eastAsia="宋体" w:cs="宋体"/>
          <w:color w:val="000000"/>
          <w:sz w:val="28"/>
          <w:szCs w:val="28"/>
        </w:rPr>
        <w:t>D  磋商响应文件的递交</w:t>
      </w:r>
      <w:bookmarkEnd w:id="15"/>
      <w:bookmarkEnd w:id="16"/>
      <w:bookmarkEnd w:id="17"/>
      <w:bookmarkEnd w:id="18"/>
      <w:bookmarkEnd w:id="19"/>
      <w:bookmarkEnd w:id="20"/>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 磋商响应文件的密封与标记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20.1 供应商应将磋商响应文件正、副本</w:t>
      </w:r>
      <w:r>
        <w:rPr>
          <w:rFonts w:hint="eastAsia" w:ascii="宋体" w:hAnsi="宋体" w:eastAsia="宋体" w:cs="宋体"/>
          <w:color w:val="000000"/>
          <w:sz w:val="24"/>
          <w:lang w:val="en-US" w:eastAsia="zh-CN"/>
        </w:rPr>
        <w:t>密封在一起</w:t>
      </w:r>
      <w:r>
        <w:rPr>
          <w:rFonts w:hint="eastAsia" w:ascii="宋体" w:hAnsi="宋体" w:eastAsia="宋体" w:cs="宋体"/>
          <w:color w:val="000000"/>
          <w:sz w:val="24"/>
          <w:lang w:eastAsia="zh-CN"/>
        </w:rPr>
        <w:t>、开标一览表、</w:t>
      </w:r>
      <w:r>
        <w:rPr>
          <w:rFonts w:hint="eastAsia" w:ascii="宋体" w:hAnsi="宋体" w:eastAsia="宋体" w:cs="宋体"/>
          <w:color w:val="000000"/>
          <w:sz w:val="24"/>
        </w:rPr>
        <w:t>电子版U盘分别密封，在每个密封件的封面上标明项目名称、项目编号、</w:t>
      </w:r>
      <w:r>
        <w:rPr>
          <w:rFonts w:hint="eastAsia" w:ascii="宋体" w:hAnsi="宋体" w:eastAsia="宋体" w:cs="宋体"/>
          <w:color w:val="000000"/>
          <w:sz w:val="24"/>
          <w:lang w:val="en-US" w:eastAsia="zh-CN"/>
        </w:rPr>
        <w:t>采购人</w:t>
      </w:r>
      <w:r>
        <w:rPr>
          <w:rFonts w:hint="eastAsia" w:ascii="宋体" w:hAnsi="宋体" w:eastAsia="宋体" w:cs="宋体"/>
          <w:color w:val="000000"/>
          <w:sz w:val="24"/>
        </w:rPr>
        <w:t>名称</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供应商名称、法定代表人名称</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20.2 磋商响应文件袋上应写明：</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1、项目名称：</w:t>
      </w:r>
    </w:p>
    <w:p>
      <w:pPr>
        <w:spacing w:line="5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rPr>
        <w:t>2、项目编号：</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采购人名称：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4、注明“开标时才能启封”</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eastAsia="zh-CN"/>
        </w:rPr>
        <w:t>供应商</w:t>
      </w:r>
      <w:r>
        <w:rPr>
          <w:rFonts w:hint="eastAsia" w:ascii="宋体" w:hAnsi="宋体" w:eastAsia="宋体" w:cs="宋体"/>
          <w:color w:val="000000"/>
          <w:sz w:val="24"/>
        </w:rPr>
        <w:t>名称：</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6、法定代表人</w:t>
      </w:r>
      <w:r>
        <w:rPr>
          <w:rFonts w:hint="eastAsia" w:ascii="宋体" w:hAnsi="宋体" w:eastAsia="宋体" w:cs="宋体"/>
          <w:color w:val="000000"/>
          <w:sz w:val="24"/>
          <w:lang w:val="en-US" w:eastAsia="zh-CN"/>
        </w:rPr>
        <w:t>名称</w:t>
      </w:r>
      <w:r>
        <w:rPr>
          <w:rFonts w:hint="eastAsia" w:ascii="宋体" w:hAnsi="宋体" w:eastAsia="宋体" w:cs="宋体"/>
          <w:color w:val="000000"/>
          <w:sz w:val="24"/>
        </w:rPr>
        <w:t>：</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20.</w:t>
      </w:r>
      <w:r>
        <w:rPr>
          <w:rFonts w:hint="eastAsia" w:ascii="宋体" w:hAnsi="宋体" w:eastAsia="宋体" w:cs="宋体"/>
          <w:color w:val="000000"/>
          <w:sz w:val="24"/>
          <w:lang w:val="en-US" w:eastAsia="zh-CN"/>
        </w:rPr>
        <w:t>3</w:t>
      </w:r>
      <w:r>
        <w:rPr>
          <w:rFonts w:hint="eastAsia" w:ascii="宋体" w:hAnsi="宋体" w:eastAsia="宋体" w:cs="宋体"/>
          <w:color w:val="000000"/>
          <w:sz w:val="24"/>
        </w:rPr>
        <w:t>磋商响应文件装订要求：磋商响应文件要求不得活页装订</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 磋商响应文件递交截止时间</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21.1 磋商响应文件的递交不得迟于</w:t>
      </w:r>
      <w:r>
        <w:rPr>
          <w:rFonts w:hint="eastAsia" w:ascii="宋体" w:hAnsi="宋体" w:eastAsia="宋体" w:cs="宋体"/>
          <w:color w:val="FF0000"/>
          <w:sz w:val="24"/>
        </w:rPr>
        <w:t>20</w:t>
      </w:r>
      <w:r>
        <w:rPr>
          <w:rFonts w:hint="eastAsia" w:ascii="宋体" w:hAnsi="宋体" w:eastAsia="宋体" w:cs="宋体"/>
          <w:color w:val="FF0000"/>
          <w:sz w:val="24"/>
          <w:lang w:val="en-US" w:eastAsia="zh-CN"/>
        </w:rPr>
        <w:t>21</w:t>
      </w:r>
      <w:r>
        <w:rPr>
          <w:rFonts w:hint="eastAsia" w:ascii="宋体" w:hAnsi="宋体" w:eastAsia="宋体" w:cs="宋体"/>
          <w:color w:val="FF0000"/>
          <w:sz w:val="24"/>
        </w:rPr>
        <w:t>年</w:t>
      </w:r>
      <w:r>
        <w:rPr>
          <w:rFonts w:hint="eastAsia" w:ascii="宋体" w:hAnsi="宋体" w:eastAsia="宋体" w:cs="宋体"/>
          <w:color w:val="FF0000"/>
          <w:sz w:val="24"/>
          <w:lang w:val="en-US" w:eastAsia="zh-CN"/>
        </w:rPr>
        <w:t>12</w:t>
      </w:r>
      <w:r>
        <w:rPr>
          <w:rFonts w:hint="eastAsia" w:ascii="宋体" w:hAnsi="宋体" w:eastAsia="宋体" w:cs="宋体"/>
          <w:color w:val="FF0000"/>
          <w:sz w:val="24"/>
        </w:rPr>
        <w:t>月</w:t>
      </w:r>
      <w:r>
        <w:rPr>
          <w:rFonts w:hint="eastAsia" w:ascii="宋体" w:hAnsi="宋体" w:eastAsia="宋体" w:cs="宋体"/>
          <w:color w:val="FF0000"/>
          <w:sz w:val="24"/>
          <w:lang w:val="en-US" w:eastAsia="zh-CN"/>
        </w:rPr>
        <w:t>13</w:t>
      </w:r>
      <w:r>
        <w:rPr>
          <w:rFonts w:hint="eastAsia" w:ascii="宋体" w:hAnsi="宋体" w:eastAsia="宋体" w:cs="宋体"/>
          <w:color w:val="FF0000"/>
          <w:sz w:val="24"/>
        </w:rPr>
        <w:t>日16：00时</w:t>
      </w:r>
      <w:r>
        <w:rPr>
          <w:rFonts w:hint="eastAsia" w:ascii="宋体" w:hAnsi="宋体" w:eastAsia="宋体" w:cs="宋体"/>
          <w:color w:val="000000"/>
          <w:sz w:val="24"/>
        </w:rPr>
        <w:t>（北京时间）磋商响应文件以密封形式递交至开标现场。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21.2 所有磋商响应文件都必须按采购代理机构在磋商邀请中规定的投标截止时间之前送到磋商文件规定的地点。</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21.3 出现第8.1条款款因磋商文件的修改推迟投标截止时间时，则按采购代理机构修改通知规定的时间递交。</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22．磋商响应文件的修改和撤销</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22.1 供应商在提交磋商响应文件后可对其磋商响应文件进行修改或撤销，但采购代理机构须在投标截止时间之前收到该修改或撤销的书面通知，该通知须有经正式授权的供应商代表签字。</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22.2供应商不得在磋商时间起至磋商有效期期满前撤销磋商响应文件。否则采购代理机构将没收其磋商保证金。</w:t>
      </w:r>
    </w:p>
    <w:p>
      <w:pPr>
        <w:pStyle w:val="4"/>
        <w:spacing w:before="100" w:beforeAutospacing="1" w:after="100" w:afterAutospacing="1" w:line="500" w:lineRule="exact"/>
        <w:ind w:firstLine="0" w:firstLineChars="0"/>
        <w:jc w:val="center"/>
        <w:rPr>
          <w:rFonts w:ascii="宋体" w:hAnsi="宋体" w:eastAsia="宋体" w:cs="宋体"/>
          <w:color w:val="000000"/>
          <w:sz w:val="28"/>
          <w:szCs w:val="28"/>
        </w:rPr>
      </w:pPr>
      <w:bookmarkStart w:id="21" w:name="_Toc17462122"/>
      <w:bookmarkStart w:id="22" w:name="_Toc298240409"/>
      <w:bookmarkStart w:id="23" w:name="_Toc487638927"/>
      <w:bookmarkStart w:id="24" w:name="_Toc267301286"/>
      <w:bookmarkStart w:id="25" w:name="_Toc349573125"/>
      <w:bookmarkStart w:id="26" w:name="_Toc349637924"/>
      <w:r>
        <w:rPr>
          <w:rFonts w:hint="eastAsia" w:ascii="宋体" w:hAnsi="宋体" w:eastAsia="宋体" w:cs="宋体"/>
          <w:color w:val="000000"/>
          <w:sz w:val="28"/>
          <w:szCs w:val="28"/>
        </w:rPr>
        <w:t>E 磋商程序</w:t>
      </w:r>
      <w:bookmarkEnd w:id="21"/>
      <w:bookmarkEnd w:id="22"/>
      <w:bookmarkEnd w:id="23"/>
      <w:bookmarkEnd w:id="24"/>
      <w:bookmarkEnd w:id="25"/>
      <w:bookmarkEnd w:id="26"/>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23．磋商</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23.1磋商时，有关行政监督部门监督人员将对供应商进行资格初审(如需要)。供应商应在密封的磋商响应文件之外随身携带：</w:t>
      </w:r>
      <w:r>
        <w:rPr>
          <w:rFonts w:hint="eastAsia" w:ascii="宋体" w:hAnsi="宋体" w:eastAsia="宋体" w:cs="宋体"/>
          <w:color w:val="000000"/>
          <w:sz w:val="24"/>
          <w:lang w:val="en-US" w:eastAsia="zh-CN"/>
        </w:rPr>
        <w:t>（1）法定代表人身份证明书及法人身份证扫描件（原件加盖公章）；（2）被授权人授权委托书及被授权人身份证（原件及复印件加盖公章）；（3）保证金收据原件（注：若供应商未按要求提供，则其响应文件将被否决）。</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23.2本次磋商按磋商文件中磋商邀请规定的时间地点进行磋商，将邀请供应商的法定代表人或其授权委托人准时参加磋商会。</w:t>
      </w:r>
    </w:p>
    <w:p>
      <w:pPr>
        <w:spacing w:line="500" w:lineRule="exact"/>
        <w:ind w:left="600" w:hanging="600" w:hangingChars="250"/>
        <w:rPr>
          <w:rFonts w:ascii="宋体" w:hAnsi="宋体" w:eastAsia="宋体" w:cs="宋体"/>
          <w:color w:val="000000"/>
          <w:sz w:val="24"/>
        </w:rPr>
      </w:pPr>
      <w:r>
        <w:rPr>
          <w:rFonts w:hint="eastAsia" w:ascii="宋体" w:hAnsi="宋体" w:eastAsia="宋体" w:cs="宋体"/>
          <w:color w:val="000000"/>
          <w:sz w:val="24"/>
        </w:rPr>
        <w:t xml:space="preserve">    23.3</w:t>
      </w:r>
      <w:r>
        <w:rPr>
          <w:rFonts w:hint="eastAsia" w:ascii="宋体" w:hAnsi="宋体" w:eastAsia="宋体" w:cs="宋体"/>
          <w:color w:val="000000"/>
          <w:sz w:val="24"/>
          <w:szCs w:val="24"/>
        </w:rPr>
        <w:t>宣布磋商响应文件开启顺序</w:t>
      </w:r>
      <w:r>
        <w:rPr>
          <w:rFonts w:hint="eastAsia" w:ascii="宋体" w:hAnsi="宋体" w:eastAsia="宋体" w:cs="宋体"/>
          <w:color w:val="000000"/>
          <w:sz w:val="30"/>
          <w:szCs w:val="30"/>
        </w:rPr>
        <w:t>。</w:t>
      </w:r>
    </w:p>
    <w:p>
      <w:pPr>
        <w:spacing w:line="500" w:lineRule="exact"/>
        <w:ind w:left="600" w:hanging="600" w:hangingChars="250"/>
        <w:rPr>
          <w:rFonts w:ascii="宋体" w:hAnsi="宋体" w:eastAsia="宋体" w:cs="宋体"/>
          <w:color w:val="000000"/>
          <w:sz w:val="24"/>
        </w:rPr>
      </w:pPr>
      <w:r>
        <w:rPr>
          <w:rFonts w:hint="eastAsia" w:ascii="宋体" w:hAnsi="宋体" w:eastAsia="宋体" w:cs="宋体"/>
          <w:color w:val="000000"/>
          <w:sz w:val="24"/>
        </w:rPr>
        <w:t xml:space="preserve">    23.4磋商时检查磋商响应文件密封情况。</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23.5磋商原则在磋商会议上宣布。</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23.6 对采购方的纪律要求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采购方不得泄露磋商活动中应当保密的情况和资料，不得与投标人串通损害国家利益、社会公共利益或者他人合法权益。</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23.7对供应商的纪律要求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23.8 对与磋商活动有关的工作人员的纪律要求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szCs w:val="22"/>
        </w:rPr>
        <w:t>23.9对</w:t>
      </w:r>
      <w:r>
        <w:rPr>
          <w:rFonts w:hint="eastAsia" w:ascii="宋体" w:hAnsi="宋体" w:eastAsia="宋体" w:cs="宋体"/>
          <w:color w:val="000000"/>
          <w:sz w:val="24"/>
        </w:rPr>
        <w:t>磋商小组成员要求磋商纪律</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23.9.1磋商小组应当依照有关法律法规的规定，按照磋商文件确定的磋商标准和办法客观、公正的对磋商响应文件提出评审意见。磋商文件设有规定的磋商标准和方法不得作为磋商依据。</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23.9.2磋商小组成员不得私下接触供应商，不得收受供应商给予的财务或者其他好处，不得向采购方征询确定成交方意向。</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23.9.3不得接受任何单位或个人明示或暗示提出的倾向或排斥特定供应商的要求。</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23.9.4不得有其他不客观，不公正履行职务的行为。</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24．磋商过程</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24.1 磋商的依据为磋商文件和磋商响应文件。</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24.2 磋商后磋商小组审查磋商响应文件是否完整，是否有计算错误，要求的保证金是否提供，文件是否恰当地签署。</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24.3 在对磋商响应文件进行详细评估之前，磋商小组将依据供应商提供的资格证明文件审查供应商的财务、技术和生产能力。如果确定供应商无资格履行合同，其投标将被拒绝。</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25.磋商响应文件的澄清</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25.2 要澄清的答复应是书面的，但不得对磋商内容进行实质性修改。澄清文件须由供应商法人代表或法人授权代表签字或加盖公章并作为磋商响应文件的组成部分。</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25.3 磋商结束后，磋商小组要求所有参加磋商的供应商在规定的时间内进行最后报价。</w:t>
      </w:r>
    </w:p>
    <w:p>
      <w:pPr>
        <w:spacing w:line="500" w:lineRule="exact"/>
        <w:ind w:firstLine="480"/>
        <w:rPr>
          <w:rFonts w:ascii="宋体" w:hAnsi="宋体" w:eastAsia="宋体" w:cs="宋体"/>
          <w:color w:val="000000"/>
          <w:sz w:val="24"/>
        </w:rPr>
      </w:pPr>
      <w:r>
        <w:rPr>
          <w:rFonts w:hint="eastAsia" w:ascii="宋体" w:hAnsi="宋体" w:eastAsia="宋体" w:cs="宋体"/>
          <w:color w:val="000000"/>
          <w:sz w:val="24"/>
        </w:rPr>
        <w:t>26．确定成交供应商的办法</w:t>
      </w:r>
    </w:p>
    <w:p>
      <w:pPr>
        <w:spacing w:line="500" w:lineRule="exact"/>
        <w:ind w:firstLine="480"/>
        <w:rPr>
          <w:rFonts w:ascii="宋体" w:hAnsi="宋体" w:eastAsia="宋体" w:cs="宋体"/>
          <w:color w:val="000000"/>
          <w:sz w:val="24"/>
        </w:rPr>
      </w:pPr>
      <w:r>
        <w:rPr>
          <w:rFonts w:hint="eastAsia" w:ascii="宋体" w:hAnsi="宋体" w:eastAsia="宋体" w:cs="宋体"/>
          <w:bCs/>
          <w:color w:val="000000"/>
          <w:sz w:val="24"/>
        </w:rPr>
        <w:t>26.1磋商小组按照磋商文件要求对磋商响应文件中的</w:t>
      </w:r>
      <w:r>
        <w:rPr>
          <w:rFonts w:hint="eastAsia" w:ascii="宋体" w:hAnsi="宋体" w:eastAsia="宋体" w:cs="宋体"/>
          <w:color w:val="000000"/>
          <w:sz w:val="24"/>
        </w:rPr>
        <w:t>供应商</w:t>
      </w:r>
      <w:r>
        <w:rPr>
          <w:rFonts w:hint="eastAsia" w:ascii="宋体" w:hAnsi="宋体" w:eastAsia="宋体" w:cs="宋体"/>
          <w:bCs/>
          <w:color w:val="000000"/>
          <w:sz w:val="24"/>
        </w:rPr>
        <w:t>资格、</w:t>
      </w:r>
      <w:r>
        <w:rPr>
          <w:rFonts w:hint="eastAsia" w:ascii="宋体" w:hAnsi="宋体" w:eastAsia="宋体" w:cs="宋体"/>
          <w:color w:val="000000"/>
          <w:sz w:val="24"/>
        </w:rPr>
        <w:t>供应商</w:t>
      </w:r>
      <w:r>
        <w:rPr>
          <w:rFonts w:hint="eastAsia" w:ascii="宋体" w:hAnsi="宋体" w:eastAsia="宋体" w:cs="宋体"/>
          <w:bCs/>
          <w:color w:val="000000"/>
          <w:sz w:val="24"/>
        </w:rPr>
        <w:t>资格证明文件、重要技术指标以及技术和商务上要求的其它重要内容进行审核。</w:t>
      </w:r>
    </w:p>
    <w:p>
      <w:pPr>
        <w:spacing w:line="500" w:lineRule="exact"/>
        <w:ind w:firstLine="480"/>
        <w:rPr>
          <w:rFonts w:ascii="宋体" w:hAnsi="宋体" w:eastAsia="宋体" w:cs="宋体"/>
          <w:color w:val="000000"/>
          <w:sz w:val="24"/>
        </w:rPr>
      </w:pPr>
      <w:r>
        <w:rPr>
          <w:rFonts w:hint="eastAsia" w:ascii="宋体" w:hAnsi="宋体" w:eastAsia="宋体" w:cs="宋体"/>
          <w:bCs/>
          <w:color w:val="000000"/>
          <w:sz w:val="24"/>
        </w:rPr>
        <w:t>26.2磋商小组和</w:t>
      </w:r>
      <w:r>
        <w:rPr>
          <w:rFonts w:hint="eastAsia" w:ascii="宋体" w:hAnsi="宋体" w:eastAsia="宋体" w:cs="宋体"/>
          <w:color w:val="000000"/>
          <w:sz w:val="24"/>
        </w:rPr>
        <w:t>供应商</w:t>
      </w:r>
      <w:r>
        <w:rPr>
          <w:rFonts w:hint="eastAsia" w:ascii="宋体" w:hAnsi="宋体" w:eastAsia="宋体" w:cs="宋体"/>
          <w:bCs/>
          <w:color w:val="000000"/>
          <w:sz w:val="24"/>
        </w:rPr>
        <w:t>磋商过程中作出的书面承诺是否符合磋商文件中对质量、技术和服务的要求。</w:t>
      </w:r>
    </w:p>
    <w:p>
      <w:pPr>
        <w:spacing w:line="500" w:lineRule="exact"/>
        <w:ind w:firstLine="480"/>
        <w:rPr>
          <w:rFonts w:ascii="宋体" w:hAnsi="宋体" w:eastAsia="宋体" w:cs="宋体"/>
          <w:color w:val="000000"/>
          <w:sz w:val="24"/>
          <w:szCs w:val="24"/>
        </w:rPr>
      </w:pPr>
      <w:r>
        <w:rPr>
          <w:rFonts w:hint="eastAsia" w:ascii="宋体" w:hAnsi="宋体" w:eastAsia="宋体" w:cs="宋体"/>
          <w:bCs/>
          <w:color w:val="000000"/>
          <w:sz w:val="24"/>
        </w:rPr>
        <w:t>26.3经磋商确定最终采购需求和提交最后报价的</w:t>
      </w:r>
      <w:r>
        <w:rPr>
          <w:rFonts w:hint="eastAsia" w:ascii="宋体" w:hAnsi="宋体" w:eastAsia="宋体" w:cs="宋体"/>
          <w:color w:val="000000"/>
          <w:sz w:val="24"/>
        </w:rPr>
        <w:t>供应商</w:t>
      </w:r>
      <w:r>
        <w:rPr>
          <w:rFonts w:hint="eastAsia" w:ascii="宋体" w:hAnsi="宋体" w:eastAsia="宋体" w:cs="宋体"/>
          <w:bCs/>
          <w:color w:val="000000"/>
          <w:sz w:val="24"/>
        </w:rPr>
        <w:t>后，</w:t>
      </w:r>
      <w:r>
        <w:rPr>
          <w:rFonts w:hint="eastAsia" w:ascii="宋体" w:hAnsi="宋体" w:eastAsia="宋体" w:cs="宋体"/>
          <w:color w:val="000000"/>
          <w:sz w:val="24"/>
          <w:szCs w:val="24"/>
        </w:rPr>
        <w:t>价格得分的评分方法：采用低价优先法计算，即满足磋商文件要求且最后磋商报价最低的</w:t>
      </w:r>
      <w:r>
        <w:rPr>
          <w:rFonts w:hint="eastAsia" w:ascii="宋体" w:hAnsi="宋体" w:eastAsia="宋体" w:cs="宋体"/>
          <w:color w:val="000000"/>
          <w:sz w:val="24"/>
        </w:rPr>
        <w:t>供应商</w:t>
      </w:r>
      <w:r>
        <w:rPr>
          <w:rFonts w:hint="eastAsia" w:ascii="宋体" w:hAnsi="宋体" w:eastAsia="宋体" w:cs="宋体"/>
          <w:color w:val="000000"/>
          <w:sz w:val="24"/>
          <w:szCs w:val="24"/>
        </w:rPr>
        <w:t>的最后投标报价为投标基准价，其价格得分为满分。其他</w:t>
      </w:r>
      <w:r>
        <w:rPr>
          <w:rFonts w:hint="eastAsia" w:ascii="宋体" w:hAnsi="宋体" w:eastAsia="宋体" w:cs="宋体"/>
          <w:color w:val="000000"/>
          <w:sz w:val="24"/>
        </w:rPr>
        <w:t>供应商</w:t>
      </w:r>
      <w:r>
        <w:rPr>
          <w:rFonts w:hint="eastAsia" w:ascii="宋体" w:hAnsi="宋体" w:eastAsia="宋体" w:cs="宋体"/>
          <w:color w:val="000000"/>
          <w:sz w:val="24"/>
          <w:szCs w:val="24"/>
        </w:rPr>
        <w:t>的最后磋商报价得分统一按照下列公式计算：</w:t>
      </w:r>
    </w:p>
    <w:p>
      <w:pPr>
        <w:spacing w:line="500" w:lineRule="exact"/>
        <w:ind w:firstLine="482"/>
        <w:rPr>
          <w:rFonts w:ascii="宋体" w:hAnsi="宋体" w:eastAsia="宋体" w:cs="宋体"/>
          <w:color w:val="000000"/>
          <w:sz w:val="24"/>
        </w:rPr>
      </w:pPr>
      <w:r>
        <w:rPr>
          <w:rFonts w:hint="eastAsia" w:ascii="宋体" w:hAnsi="宋体" w:eastAsia="宋体" w:cs="宋体"/>
          <w:b/>
          <w:color w:val="000000"/>
          <w:sz w:val="24"/>
          <w:szCs w:val="24"/>
        </w:rPr>
        <w:t>磋商报价得分=（磋商基准价/最后磋商报价）×</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0%×100，如此类推，算出所有投标供应商的价格得分。</w:t>
      </w:r>
    </w:p>
    <w:p>
      <w:pPr>
        <w:snapToGrid w:val="0"/>
        <w:spacing w:line="500" w:lineRule="exact"/>
        <w:ind w:right="299" w:rightChars="115"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rPr>
        <w:t>价格扣除：投标人为中小微企业的对所投标的小型和微型企业制造的产品的价格给予6%的扣除，用扣除后的价格参与评审。参加投标的中小微企业，应当按照《政府采购促进中小企业发展暂行办法》（财库〔2011〕181号）的规定提供《中小企业声明函》（中小企业划型标准详见《关于印发中小企业划型标准规定的通知》工信部联企业〔2011〕300号）。 投标人为大型企业的不适用本款规定。本项目不接受联合体投标。</w:t>
      </w:r>
    </w:p>
    <w:p>
      <w:pPr>
        <w:spacing w:line="360" w:lineRule="auto"/>
        <w:ind w:left="0" w:leftChars="0" w:firstLine="0" w:firstLineChars="0"/>
        <w:rPr>
          <w:rFonts w:ascii="宋体" w:hAnsi="宋体"/>
          <w:b/>
          <w:color w:val="000000" w:themeColor="text1"/>
          <w:sz w:val="32"/>
          <w:szCs w:val="28"/>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附表1：</w:t>
      </w:r>
    </w:p>
    <w:p>
      <w:pPr>
        <w:spacing w:line="36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《资格审查标准》</w:t>
      </w:r>
    </w:p>
    <w:tbl>
      <w:tblPr>
        <w:tblStyle w:val="27"/>
        <w:tblW w:w="10280" w:type="dxa"/>
        <w:tblInd w:w="93" w:type="dxa"/>
        <w:tblLayout w:type="fixed"/>
        <w:tblCellMar>
          <w:top w:w="0" w:type="dxa"/>
          <w:left w:w="108" w:type="dxa"/>
          <w:bottom w:w="0" w:type="dxa"/>
          <w:right w:w="108" w:type="dxa"/>
        </w:tblCellMar>
      </w:tblPr>
      <w:tblGrid>
        <w:gridCol w:w="724"/>
        <w:gridCol w:w="5387"/>
        <w:gridCol w:w="1275"/>
        <w:gridCol w:w="1418"/>
        <w:gridCol w:w="1276"/>
        <w:gridCol w:w="200"/>
      </w:tblGrid>
      <w:tr>
        <w:tblPrEx>
          <w:tblCellMar>
            <w:top w:w="0" w:type="dxa"/>
            <w:left w:w="108" w:type="dxa"/>
            <w:bottom w:w="0" w:type="dxa"/>
            <w:right w:w="108" w:type="dxa"/>
          </w:tblCellMar>
        </w:tblPrEx>
        <w:trPr>
          <w:gridAfter w:val="1"/>
          <w:wAfter w:w="200" w:type="dxa"/>
          <w:trHeight w:val="90"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387"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资格审查标准</w:t>
            </w:r>
          </w:p>
        </w:tc>
        <w:tc>
          <w:tcPr>
            <w:tcW w:w="1275"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sz w:val="24"/>
              </w:rPr>
              <w:t>供应商</w:t>
            </w:r>
            <w:r>
              <w:rPr>
                <w:rFonts w:hint="eastAsia" w:ascii="宋体" w:hAnsi="宋体" w:eastAsia="宋体" w:cs="宋体"/>
                <w:color w:val="000000"/>
                <w:kern w:val="0"/>
                <w:sz w:val="24"/>
                <w:szCs w:val="24"/>
              </w:rPr>
              <w:t>A</w:t>
            </w:r>
          </w:p>
        </w:tc>
        <w:tc>
          <w:tcPr>
            <w:tcW w:w="1418"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sz w:val="24"/>
              </w:rPr>
              <w:t>供应商</w:t>
            </w:r>
            <w:r>
              <w:rPr>
                <w:rFonts w:hint="eastAsia" w:ascii="宋体" w:hAnsi="宋体" w:eastAsia="宋体" w:cs="宋体"/>
                <w:color w:val="000000"/>
                <w:kern w:val="0"/>
                <w:sz w:val="24"/>
                <w:szCs w:val="24"/>
              </w:rPr>
              <w:t>B</w:t>
            </w:r>
          </w:p>
        </w:tc>
        <w:tc>
          <w:tcPr>
            <w:tcW w:w="1276"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sz w:val="24"/>
              </w:rPr>
              <w:t>供应商</w:t>
            </w:r>
            <w:r>
              <w:rPr>
                <w:rFonts w:hint="eastAsia" w:ascii="宋体" w:hAnsi="宋体" w:eastAsia="宋体" w:cs="宋体"/>
                <w:color w:val="000000"/>
                <w:kern w:val="0"/>
                <w:sz w:val="24"/>
                <w:szCs w:val="24"/>
              </w:rPr>
              <w:t>C</w:t>
            </w:r>
          </w:p>
        </w:tc>
      </w:tr>
      <w:tr>
        <w:tblPrEx>
          <w:tblCellMar>
            <w:top w:w="0" w:type="dxa"/>
            <w:left w:w="108" w:type="dxa"/>
            <w:bottom w:w="0" w:type="dxa"/>
            <w:right w:w="108" w:type="dxa"/>
          </w:tblCellMar>
        </w:tblPrEx>
        <w:trPr>
          <w:gridAfter w:val="1"/>
          <w:wAfter w:w="200" w:type="dxa"/>
          <w:trHeight w:val="563"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38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具有独立承担民事责任的能力；</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805"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b w:val="0"/>
                <w:bCs w:val="0"/>
                <w:color w:val="000000"/>
                <w:sz w:val="24"/>
                <w:szCs w:val="24"/>
                <w:lang w:val="en-US" w:eastAsia="zh-CN"/>
              </w:rPr>
              <w:t>具有良好的商业信誉和健全的财务会计制度（提供健全的财务会计制度证明文件，例如财务状况报告或会计师事务所出具的近三年任意一年财务审计报告，新成立不足一年的提供成立之日起至今的财务报表）；</w:t>
            </w:r>
          </w:p>
        </w:tc>
        <w:tc>
          <w:tcPr>
            <w:tcW w:w="1275"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single" w:color="auto" w:sz="4" w:space="0"/>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880"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38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具有履行合同所必需的设备和专业技术能力（需提供声明函格式自拟）；</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686"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left="0" w:leftChars="0"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有依法缴纳税收和社会保障资金的良好记录（提供近三个月缴税记录及社保缴纳证明，新成立公司提供成立之日起至今的缴税记录及社保缴纳证明）；</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686"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left="0" w:lef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参加政府采购活动前三年内，在经营活动中没有重大违法记录（须提供“信用中国”（</w:t>
            </w:r>
            <w:r>
              <w:rPr>
                <w:rFonts w:hint="eastAsia" w:ascii="宋体" w:hAnsi="宋体" w:eastAsia="宋体" w:cs="宋体"/>
                <w:color w:val="000000"/>
                <w:kern w:val="0"/>
                <w:sz w:val="24"/>
                <w:szCs w:val="24"/>
                <w:lang w:val="en-US" w:eastAsia="zh-CN"/>
              </w:rPr>
              <w:fldChar w:fldCharType="begin"/>
            </w:r>
            <w:r>
              <w:rPr>
                <w:rFonts w:hint="eastAsia" w:ascii="宋体" w:hAnsi="宋体" w:eastAsia="宋体" w:cs="宋体"/>
                <w:color w:val="000000"/>
                <w:kern w:val="0"/>
                <w:sz w:val="24"/>
                <w:szCs w:val="24"/>
                <w:lang w:val="en-US" w:eastAsia="zh-CN"/>
              </w:rPr>
              <w:instrText xml:space="preserve"> HYPERLINK "http://www.creditchina.gov.cn%EF%BC%89%E5%92%8C%E4%B8%AD%E5%9B%BD%E6%94%BF%E5%BA%9C%E9%87%87%E8%B4%AD%E7%BD%91%EF%BC%88www.ccgp.gov.cn%EF%BC%89%E7%BD%91%E7%AB%99%E4%B8%8A%E6%9C%AA%E5%88%97%E5%85%A5%E5%A4%B1%E4%BF%A1%E8%A2%AB%E6%89%A7%E8%A1%8C%E4%BA%BA%E3%80%81%E9%87%8D%E5%A4%A7%E7%A8%8E%E6%94%B6%E8%BF%9D%E6%B3%95%E6%A1%88%E4%BB%B6%E5%BD%93%E4%BA%8B%E4%BA%BA%E5%90%8D%E5%8D%95%E4%BB%A5%E5%8F%8A%E6%94%BF%E5%BA%9C%E9%87%87%E8%B4%AD%E4%B8%A5%E9%87%8D%E8%BF%9D%E6%B3%95%E5%A4%B1%E4%BF%A1%E8%A1%8C%E4%B8%BA%E8%AE%B0%E5%BD%95%E5%90%8D%E5%8D%95%E7%9A%84%E7%BD%91%E9%A1%B5%E6%89%93%E5%8D%B0%E4%BB%B6%EF%BC%89%EF%BC%9B/" </w:instrText>
            </w:r>
            <w:r>
              <w:rPr>
                <w:rFonts w:hint="eastAsia" w:ascii="宋体" w:hAnsi="宋体" w:eastAsia="宋体" w:cs="宋体"/>
                <w:color w:val="000000"/>
                <w:kern w:val="0"/>
                <w:sz w:val="24"/>
                <w:szCs w:val="24"/>
                <w:lang w:val="en-US" w:eastAsia="zh-CN"/>
              </w:rPr>
              <w:fldChar w:fldCharType="separate"/>
            </w:r>
            <w:r>
              <w:rPr>
                <w:rFonts w:hint="eastAsia" w:ascii="宋体" w:hAnsi="宋体" w:eastAsia="宋体" w:cs="宋体"/>
                <w:color w:val="000000"/>
                <w:kern w:val="0"/>
                <w:sz w:val="24"/>
                <w:szCs w:val="24"/>
                <w:lang w:val="en-US" w:eastAsia="zh-CN"/>
              </w:rPr>
              <w:t>www.creditchina.gov.cn）和中国政府采购网（www.ccgp.gov.cn）网站上未列入失信被执行人、重大税收违法案件当事人名单以及政府采购严重违法失信行为记录名单的网页打印件）；</w:t>
            </w:r>
            <w:r>
              <w:rPr>
                <w:rFonts w:hint="eastAsia" w:ascii="宋体" w:hAnsi="宋体" w:eastAsia="宋体" w:cs="宋体"/>
                <w:color w:val="000000"/>
                <w:kern w:val="0"/>
                <w:sz w:val="24"/>
                <w:szCs w:val="24"/>
                <w:lang w:val="en-US" w:eastAsia="zh-CN"/>
              </w:rPr>
              <w:fldChar w:fldCharType="end"/>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686"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left="0" w:lef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供应商如在中国裁判文书网（http://wenshu.court.gov.cn）有行贿犯罪记录的（尚在处罚期内的），将拒绝本次采购活动；</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686"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left="0" w:lef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法律、行政法规规定的其他条件。 </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686"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left="0" w:leftChars="0" w:firstLine="0" w:firstLine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本项目不允许联合体投标。</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1"/>
          <w:wAfter w:w="200" w:type="dxa"/>
          <w:trHeight w:val="686" w:hRule="atLeast"/>
        </w:trPr>
        <w:tc>
          <w:tcPr>
            <w:tcW w:w="724"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5387" w:type="dxa"/>
            <w:tcBorders>
              <w:top w:val="single" w:color="auto" w:sz="4" w:space="0"/>
              <w:left w:val="nil"/>
              <w:bottom w:val="single" w:color="auto" w:sz="4" w:space="0"/>
              <w:right w:val="single" w:color="auto" w:sz="4" w:space="0"/>
            </w:tcBorders>
            <w:vAlign w:val="center"/>
          </w:tcPr>
          <w:p>
            <w:pPr>
              <w:widowControl/>
              <w:spacing w:line="240" w:lineRule="auto"/>
              <w:ind w:left="0" w:leftChars="0" w:firstLine="0" w:firstLineChars="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供应商按照采购文件要求缴纳投标保证金。</w:t>
            </w:r>
          </w:p>
        </w:tc>
        <w:tc>
          <w:tcPr>
            <w:tcW w:w="1275"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418"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ind w:firstLine="48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185" w:hRule="atLeast"/>
        </w:trPr>
        <w:tc>
          <w:tcPr>
            <w:tcW w:w="10280" w:type="dxa"/>
            <w:gridSpan w:val="6"/>
            <w:tcBorders>
              <w:top w:val="nil"/>
              <w:left w:val="nil"/>
              <w:bottom w:val="nil"/>
              <w:right w:val="nil"/>
            </w:tcBorders>
          </w:tcPr>
          <w:p>
            <w:pPr>
              <w:widowControl/>
              <w:spacing w:line="540" w:lineRule="exact"/>
              <w:ind w:right="465" w:rightChars="179"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注：采购人或采购代理机构依据法律法规和</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文件中规定的内容，对</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的资格进行审查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未通过资格审查的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不</w:t>
            </w:r>
            <w:r>
              <w:rPr>
                <w:rFonts w:hint="eastAsia" w:ascii="宋体" w:hAnsi="宋体" w:eastAsia="宋体" w:cs="宋体"/>
                <w:color w:val="000000"/>
                <w:kern w:val="0"/>
                <w:sz w:val="24"/>
                <w:szCs w:val="24"/>
                <w:lang w:val="en-US" w:eastAsia="zh-CN"/>
              </w:rPr>
              <w:t>得</w:t>
            </w:r>
            <w:r>
              <w:rPr>
                <w:rFonts w:hint="eastAsia" w:ascii="宋体" w:hAnsi="宋体" w:eastAsia="宋体" w:cs="宋体"/>
                <w:color w:val="000000"/>
                <w:kern w:val="0"/>
                <w:sz w:val="24"/>
                <w:szCs w:val="24"/>
              </w:rPr>
              <w:t>进入</w:t>
            </w:r>
            <w:r>
              <w:rPr>
                <w:rFonts w:hint="eastAsia" w:ascii="宋体" w:hAnsi="宋体" w:eastAsia="宋体" w:cs="宋体"/>
                <w:color w:val="000000"/>
                <w:kern w:val="0"/>
                <w:sz w:val="24"/>
                <w:szCs w:val="24"/>
                <w:lang w:val="en-US" w:eastAsia="zh-CN"/>
              </w:rPr>
              <w:t>下一环节评审。</w:t>
            </w:r>
          </w:p>
        </w:tc>
      </w:tr>
    </w:tbl>
    <w:p>
      <w:pPr>
        <w:ind w:left="0" w:leftChars="0" w:firstLine="0" w:firstLineChars="0"/>
        <w:rPr>
          <w:rFonts w:hint="eastAsia"/>
          <w:lang w:val="en-US" w:eastAsia="zh-CN"/>
        </w:rPr>
      </w:pPr>
      <w:bookmarkStart w:id="27" w:name="_Toc17462123"/>
    </w:p>
    <w:p>
      <w:pPr>
        <w:spacing w:line="360" w:lineRule="auto"/>
        <w:ind w:firstLine="482" w:firstLineChars="200"/>
        <w:jc w:val="both"/>
        <w:rPr>
          <w:rFonts w:hint="eastAsia" w:ascii="宋体" w:hAnsi="宋体" w:eastAsia="宋体" w:cs="宋体"/>
          <w:b/>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附表2：   </w:t>
      </w:r>
      <w:r>
        <w:rPr>
          <w:rFonts w:hint="eastAsia" w:ascii="宋体" w:hAnsi="宋体" w:eastAsia="宋体" w:cs="宋体"/>
          <w:b/>
          <w:color w:val="000000" w:themeColor="text1"/>
          <w:kern w:val="0"/>
          <w:sz w:val="28"/>
          <w:szCs w:val="28"/>
          <w:lang w:val="en-US" w:eastAsia="zh-CN" w:bidi="ar-SA"/>
          <w14:textFill>
            <w14:solidFill>
              <w14:schemeClr w14:val="tx1"/>
            </w14:solidFill>
          </w14:textFill>
        </w:rPr>
        <w:t xml:space="preserve">    </w:t>
      </w:r>
    </w:p>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《响应文件完备性及符合性审查标准》</w:t>
      </w:r>
      <w:bookmarkEnd w:id="27"/>
    </w:p>
    <w:tbl>
      <w:tblPr>
        <w:tblStyle w:val="27"/>
        <w:tblpPr w:leftFromText="180" w:rightFromText="180" w:vertAnchor="text" w:horzAnchor="page" w:tblpX="1535" w:tblpY="442"/>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61" w:type="dxa"/>
            <w:vAlign w:val="center"/>
          </w:tcPr>
          <w:p>
            <w:pPr>
              <w:spacing w:line="500" w:lineRule="exact"/>
              <w:ind w:firstLine="0" w:firstLineChars="0"/>
              <w:jc w:val="center"/>
              <w:rPr>
                <w:rFonts w:ascii="宋体" w:hAnsi="宋体" w:eastAsia="宋体" w:cs="宋体"/>
                <w:bCs/>
                <w:color w:val="000000"/>
                <w:sz w:val="24"/>
                <w:szCs w:val="24"/>
              </w:rPr>
            </w:pPr>
            <w:r>
              <w:rPr>
                <w:rFonts w:hint="eastAsia" w:ascii="宋体" w:hAnsi="宋体" w:eastAsia="宋体" w:cs="宋体"/>
                <w:bCs/>
                <w:color w:val="000000"/>
                <w:sz w:val="24"/>
                <w:szCs w:val="24"/>
              </w:rPr>
              <w:t>序号</w:t>
            </w:r>
          </w:p>
        </w:tc>
        <w:tc>
          <w:tcPr>
            <w:tcW w:w="8470" w:type="dxa"/>
            <w:vAlign w:val="center"/>
          </w:tcPr>
          <w:p>
            <w:pPr>
              <w:spacing w:line="500" w:lineRule="exact"/>
              <w:ind w:firstLine="0" w:firstLineChars="0"/>
              <w:jc w:val="center"/>
              <w:rPr>
                <w:rFonts w:ascii="宋体" w:hAnsi="宋体" w:eastAsia="宋体" w:cs="宋体"/>
                <w:bCs/>
                <w:color w:val="000000"/>
                <w:sz w:val="24"/>
                <w:szCs w:val="24"/>
              </w:rPr>
            </w:pPr>
            <w:r>
              <w:rPr>
                <w:rFonts w:hint="eastAsia" w:ascii="宋体" w:hAnsi="宋体" w:eastAsia="宋体" w:cs="宋体"/>
                <w:bCs/>
                <w:color w:val="000000"/>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7"/>
              <w:numPr>
                <w:ilvl w:val="0"/>
                <w:numId w:val="0"/>
              </w:numPr>
              <w:spacing w:line="500" w:lineRule="exact"/>
              <w:ind w:leftChars="0"/>
              <w:jc w:val="cente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1</w:t>
            </w:r>
          </w:p>
        </w:tc>
        <w:tc>
          <w:tcPr>
            <w:tcW w:w="8470" w:type="dxa"/>
            <w:vAlign w:val="center"/>
          </w:tcPr>
          <w:p>
            <w:pPr>
              <w:spacing w:line="500" w:lineRule="exact"/>
              <w:ind w:firstLine="0" w:firstLineChars="0"/>
              <w:jc w:val="left"/>
              <w:rPr>
                <w:rFonts w:ascii="宋体" w:hAnsi="宋体" w:eastAsia="宋体" w:cs="宋体"/>
                <w:bCs/>
                <w:color w:val="000000"/>
                <w:sz w:val="24"/>
                <w:szCs w:val="24"/>
              </w:rPr>
            </w:pPr>
            <w:r>
              <w:rPr>
                <w:rFonts w:hint="eastAsia" w:ascii="宋体" w:hAnsi="宋体" w:eastAsia="宋体" w:cs="宋体"/>
                <w:bCs/>
                <w:color w:val="000000"/>
                <w:sz w:val="24"/>
                <w:szCs w:val="24"/>
                <w:lang w:eastAsia="zh-CN"/>
              </w:rPr>
              <w:t>响应</w:t>
            </w:r>
            <w:r>
              <w:rPr>
                <w:rFonts w:hint="eastAsia" w:ascii="宋体" w:hAnsi="宋体" w:eastAsia="宋体" w:cs="宋体"/>
                <w:bCs/>
                <w:color w:val="000000"/>
                <w:sz w:val="24"/>
                <w:szCs w:val="24"/>
              </w:rPr>
              <w:t>文件中投标函是否按招标文件规定格式完整提供，并要盖投标人章、法定代表人章。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61" w:type="dxa"/>
            <w:vAlign w:val="center"/>
          </w:tcPr>
          <w:p>
            <w:pPr>
              <w:pStyle w:val="37"/>
              <w:numPr>
                <w:ilvl w:val="0"/>
                <w:numId w:val="0"/>
              </w:numPr>
              <w:spacing w:line="500" w:lineRule="exact"/>
              <w:ind w:leftChars="0"/>
              <w:jc w:val="center"/>
              <w:rPr>
                <w:rFonts w:hint="default" w:ascii="宋体" w:hAnsi="宋体" w:eastAsia="宋体" w:cs="宋体"/>
                <w:bCs/>
                <w:color w:val="000000"/>
                <w:sz w:val="24"/>
                <w:lang w:val="en-US" w:eastAsia="zh-CN"/>
              </w:rPr>
            </w:pPr>
            <w:r>
              <w:rPr>
                <w:rFonts w:hint="eastAsia" w:ascii="宋体" w:hAnsi="宋体" w:eastAsia="宋体" w:cs="宋体"/>
                <w:bCs/>
                <w:color w:val="000000"/>
                <w:sz w:val="24"/>
                <w:lang w:val="en-US" w:eastAsia="zh-CN"/>
              </w:rPr>
              <w:t>2</w:t>
            </w:r>
          </w:p>
        </w:tc>
        <w:tc>
          <w:tcPr>
            <w:tcW w:w="8470" w:type="dxa"/>
            <w:vAlign w:val="center"/>
          </w:tcPr>
          <w:p>
            <w:pPr>
              <w:spacing w:line="500" w:lineRule="exact"/>
              <w:ind w:firstLine="0" w:firstLineChars="0"/>
              <w:jc w:val="left"/>
              <w:rPr>
                <w:rFonts w:ascii="宋体" w:hAnsi="宋体" w:eastAsia="宋体" w:cs="宋体"/>
                <w:bCs/>
                <w:color w:val="000000"/>
                <w:sz w:val="24"/>
                <w:szCs w:val="24"/>
              </w:rPr>
            </w:pPr>
            <w:r>
              <w:rPr>
                <w:rFonts w:hint="eastAsia" w:ascii="宋体" w:hAnsi="宋体" w:eastAsia="宋体" w:cs="宋体"/>
                <w:color w:val="000000"/>
                <w:kern w:val="0"/>
                <w:sz w:val="24"/>
                <w:szCs w:val="24"/>
              </w:rPr>
              <w:t>法定代表人身份证明书</w:t>
            </w:r>
            <w:r>
              <w:rPr>
                <w:rFonts w:hint="eastAsia" w:ascii="宋体" w:hAnsi="宋体" w:eastAsia="宋体" w:cs="宋体"/>
                <w:color w:val="000000"/>
                <w:kern w:val="0"/>
                <w:sz w:val="24"/>
                <w:szCs w:val="24"/>
                <w:lang w:val="en-US" w:eastAsia="zh-CN"/>
              </w:rPr>
              <w:t>及</w:t>
            </w:r>
            <w:r>
              <w:rPr>
                <w:rFonts w:hint="eastAsia" w:ascii="宋体" w:hAnsi="宋体" w:eastAsia="宋体" w:cs="宋体"/>
                <w:color w:val="000000"/>
                <w:kern w:val="0"/>
                <w:sz w:val="24"/>
                <w:szCs w:val="24"/>
              </w:rPr>
              <w:t>法定代表人授权委托书</w:t>
            </w:r>
            <w:r>
              <w:rPr>
                <w:rFonts w:hint="eastAsia" w:ascii="宋体" w:hAnsi="宋体" w:eastAsia="宋体" w:cs="宋体"/>
                <w:bCs/>
                <w:color w:val="000000"/>
                <w:sz w:val="24"/>
                <w:szCs w:val="24"/>
              </w:rPr>
              <w:t>必须按磋商文件规定格式完整提供，并要盖投标人章、法定代表人章；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7"/>
              <w:numPr>
                <w:ilvl w:val="0"/>
                <w:numId w:val="0"/>
              </w:numPr>
              <w:spacing w:line="500" w:lineRule="exact"/>
              <w:jc w:val="cente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w:t>
            </w:r>
          </w:p>
        </w:tc>
        <w:tc>
          <w:tcPr>
            <w:tcW w:w="8470" w:type="dxa"/>
            <w:vAlign w:val="center"/>
          </w:tcPr>
          <w:p>
            <w:pPr>
              <w:spacing w:line="500" w:lineRule="exact"/>
              <w:ind w:firstLine="0" w:firstLineChars="0"/>
              <w:jc w:val="left"/>
              <w:rPr>
                <w:rFonts w:ascii="宋体" w:hAnsi="宋体" w:eastAsia="宋体" w:cs="宋体"/>
                <w:bCs/>
                <w:color w:val="000000"/>
                <w:sz w:val="24"/>
                <w:szCs w:val="24"/>
              </w:rPr>
            </w:pPr>
            <w:r>
              <w:rPr>
                <w:rFonts w:hint="eastAsia" w:ascii="宋体" w:hAnsi="宋体" w:eastAsia="宋体" w:cs="宋体"/>
                <w:color w:val="000000"/>
                <w:sz w:val="24"/>
                <w:szCs w:val="24"/>
              </w:rPr>
              <w:t>响应文件封面右上角必须注明“正本”或“副本”字样；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7"/>
              <w:numPr>
                <w:ilvl w:val="0"/>
                <w:numId w:val="0"/>
              </w:numPr>
              <w:spacing w:line="500" w:lineRule="exact"/>
              <w:jc w:val="center"/>
              <w:rPr>
                <w:rFonts w:hint="default" w:ascii="宋体" w:hAnsi="宋体" w:eastAsia="宋体" w:cs="宋体"/>
                <w:bCs/>
                <w:color w:val="000000"/>
                <w:sz w:val="24"/>
                <w:lang w:val="en-US" w:eastAsia="zh-CN"/>
              </w:rPr>
            </w:pPr>
            <w:r>
              <w:rPr>
                <w:rFonts w:hint="eastAsia" w:ascii="宋体" w:hAnsi="宋体" w:eastAsia="宋体" w:cs="宋体"/>
                <w:bCs/>
                <w:color w:val="000000"/>
                <w:sz w:val="24"/>
                <w:lang w:val="en-US" w:eastAsia="zh-CN"/>
              </w:rPr>
              <w:t>4</w:t>
            </w:r>
          </w:p>
        </w:tc>
        <w:tc>
          <w:tcPr>
            <w:tcW w:w="8470" w:type="dxa"/>
            <w:vAlign w:val="center"/>
          </w:tcPr>
          <w:p>
            <w:pPr>
              <w:spacing w:line="500" w:lineRule="exact"/>
              <w:ind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供货安装期及质保期</w:t>
            </w:r>
            <w:r>
              <w:rPr>
                <w:rFonts w:hint="eastAsia" w:ascii="宋体" w:hAnsi="宋体" w:eastAsia="宋体" w:cs="宋体"/>
                <w:color w:val="000000"/>
                <w:sz w:val="24"/>
                <w:szCs w:val="24"/>
              </w:rPr>
              <w:t>是否符合</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文件要求</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7"/>
              <w:numPr>
                <w:ilvl w:val="0"/>
                <w:numId w:val="0"/>
              </w:numPr>
              <w:spacing w:line="500" w:lineRule="exact"/>
              <w:jc w:val="cente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5</w:t>
            </w:r>
          </w:p>
        </w:tc>
        <w:tc>
          <w:tcPr>
            <w:tcW w:w="8470" w:type="dxa"/>
            <w:vAlign w:val="center"/>
          </w:tcPr>
          <w:p>
            <w:pPr>
              <w:spacing w:line="500" w:lineRule="exact"/>
              <w:ind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szCs w:val="24"/>
              </w:rPr>
              <w:t>响应</w:t>
            </w:r>
            <w:r>
              <w:rPr>
                <w:rFonts w:hint="eastAsia" w:ascii="宋体" w:hAnsi="宋体" w:eastAsia="宋体" w:cs="宋体"/>
                <w:color w:val="000000"/>
                <w:sz w:val="24"/>
              </w:rPr>
              <w:t>文件开标一览表必须提供，并要盖投标人章、法定代表人章</w:t>
            </w:r>
            <w:r>
              <w:rPr>
                <w:rFonts w:hint="eastAsia" w:ascii="宋体" w:hAnsi="宋体" w:eastAsia="宋体" w:cs="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7"/>
              <w:numPr>
                <w:ilvl w:val="0"/>
                <w:numId w:val="0"/>
              </w:numPr>
              <w:spacing w:line="500" w:lineRule="exact"/>
              <w:jc w:val="center"/>
              <w:rPr>
                <w:rFonts w:hint="default" w:ascii="宋体" w:hAnsi="宋体" w:eastAsia="宋体" w:cs="宋体"/>
                <w:bCs/>
                <w:color w:val="000000"/>
                <w:sz w:val="24"/>
                <w:lang w:val="en-US" w:eastAsia="zh-CN"/>
              </w:rPr>
            </w:pPr>
            <w:r>
              <w:rPr>
                <w:rFonts w:hint="eastAsia" w:ascii="宋体" w:hAnsi="宋体" w:eastAsia="宋体" w:cs="宋体"/>
                <w:bCs/>
                <w:color w:val="000000"/>
                <w:sz w:val="24"/>
                <w:lang w:val="en-US" w:eastAsia="zh-CN"/>
              </w:rPr>
              <w:t>6</w:t>
            </w:r>
          </w:p>
        </w:tc>
        <w:tc>
          <w:tcPr>
            <w:tcW w:w="8470" w:type="dxa"/>
            <w:vAlign w:val="center"/>
          </w:tcPr>
          <w:p>
            <w:pPr>
              <w:spacing w:line="500" w:lineRule="exact"/>
              <w:ind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响应文件所报参数</w:t>
            </w:r>
            <w:r>
              <w:rPr>
                <w:rFonts w:hint="eastAsia" w:ascii="宋体" w:hAnsi="宋体" w:eastAsia="宋体" w:cs="宋体"/>
                <w:color w:val="000000"/>
                <w:sz w:val="24"/>
                <w:lang w:eastAsia="zh-CN"/>
              </w:rPr>
              <w:t>是否</w:t>
            </w:r>
            <w:r>
              <w:rPr>
                <w:rFonts w:hint="eastAsia" w:ascii="宋体" w:hAnsi="宋体" w:eastAsia="宋体" w:cs="宋体"/>
                <w:color w:val="000000"/>
                <w:sz w:val="24"/>
                <w:lang w:val="en-US" w:eastAsia="zh-CN"/>
              </w:rPr>
              <w:t>满足采购文件</w:t>
            </w:r>
            <w:r>
              <w:rPr>
                <w:rFonts w:hint="eastAsia" w:ascii="宋体" w:hAnsi="宋体" w:eastAsia="宋体" w:cs="宋体"/>
                <w:color w:val="000000"/>
                <w:sz w:val="24"/>
                <w:lang w:eastAsia="zh-CN"/>
              </w:rPr>
              <w:t>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7"/>
              <w:numPr>
                <w:ilvl w:val="0"/>
                <w:numId w:val="0"/>
              </w:numPr>
              <w:spacing w:line="500" w:lineRule="exact"/>
              <w:jc w:val="center"/>
              <w:rPr>
                <w:rFonts w:hint="default" w:ascii="宋体" w:hAnsi="宋体" w:eastAsia="宋体" w:cs="宋体"/>
                <w:bCs/>
                <w:color w:val="000000"/>
                <w:sz w:val="24"/>
                <w:lang w:val="en-US" w:eastAsia="zh-CN"/>
              </w:rPr>
            </w:pPr>
            <w:r>
              <w:rPr>
                <w:rFonts w:hint="eastAsia" w:ascii="宋体" w:hAnsi="宋体" w:eastAsia="宋体" w:cs="宋体"/>
                <w:bCs/>
                <w:color w:val="000000"/>
                <w:sz w:val="24"/>
                <w:lang w:val="en-US" w:eastAsia="zh-CN"/>
              </w:rPr>
              <w:t>7</w:t>
            </w:r>
          </w:p>
        </w:tc>
        <w:tc>
          <w:tcPr>
            <w:tcW w:w="8470" w:type="dxa"/>
            <w:vAlign w:val="center"/>
          </w:tcPr>
          <w:p>
            <w:pPr>
              <w:spacing w:line="500" w:lineRule="exact"/>
              <w:ind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未提出不同的验收、计量、支付办法；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7"/>
              <w:numPr>
                <w:ilvl w:val="0"/>
                <w:numId w:val="0"/>
              </w:numPr>
              <w:spacing w:line="500" w:lineRule="exact"/>
              <w:jc w:val="center"/>
              <w:rPr>
                <w:rFonts w:hint="default" w:ascii="宋体" w:hAnsi="宋体" w:eastAsia="宋体" w:cs="宋体"/>
                <w:bCs/>
                <w:color w:val="000000"/>
                <w:sz w:val="24"/>
                <w:lang w:val="en-US" w:eastAsia="zh-CN"/>
              </w:rPr>
            </w:pPr>
            <w:r>
              <w:rPr>
                <w:rFonts w:hint="eastAsia" w:ascii="宋体" w:hAnsi="宋体" w:eastAsia="宋体" w:cs="宋体"/>
                <w:bCs/>
                <w:color w:val="000000"/>
                <w:sz w:val="24"/>
                <w:lang w:val="en-US" w:eastAsia="zh-CN"/>
              </w:rPr>
              <w:t>8</w:t>
            </w:r>
          </w:p>
        </w:tc>
        <w:tc>
          <w:tcPr>
            <w:tcW w:w="8470" w:type="dxa"/>
            <w:vAlign w:val="center"/>
          </w:tcPr>
          <w:p>
            <w:pPr>
              <w:spacing w:line="500" w:lineRule="exact"/>
              <w:ind w:firstLine="0" w:firstLineChars="0"/>
              <w:jc w:val="left"/>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响应文件</w:t>
            </w:r>
            <w:r>
              <w:rPr>
                <w:rFonts w:hint="eastAsia" w:ascii="宋体" w:hAnsi="宋体" w:eastAsia="宋体" w:cs="宋体"/>
                <w:color w:val="000000"/>
                <w:sz w:val="24"/>
                <w:lang w:eastAsia="zh-CN"/>
              </w:rPr>
              <w:t>只有一个投标报价，在</w:t>
            </w:r>
            <w:r>
              <w:rPr>
                <w:rFonts w:hint="eastAsia" w:ascii="宋体" w:hAnsi="宋体" w:eastAsia="宋体" w:cs="宋体"/>
                <w:color w:val="000000"/>
                <w:sz w:val="24"/>
                <w:lang w:val="en-US" w:eastAsia="zh-CN"/>
              </w:rPr>
              <w:t>采购</w:t>
            </w:r>
            <w:r>
              <w:rPr>
                <w:rFonts w:hint="eastAsia" w:ascii="宋体" w:hAnsi="宋体" w:eastAsia="宋体" w:cs="宋体"/>
                <w:color w:val="000000"/>
                <w:sz w:val="24"/>
                <w:lang w:eastAsia="zh-CN"/>
              </w:rPr>
              <w:t>文件没有规定的情况下，未提交选择性的报价；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pPr>
              <w:pStyle w:val="37"/>
              <w:numPr>
                <w:ilvl w:val="0"/>
                <w:numId w:val="0"/>
              </w:numPr>
              <w:spacing w:line="500" w:lineRule="exact"/>
              <w:jc w:val="center"/>
              <w:rPr>
                <w:rFonts w:hint="default" w:ascii="宋体" w:hAnsi="宋体" w:eastAsia="宋体" w:cs="宋体"/>
                <w:bCs/>
                <w:color w:val="000000"/>
                <w:sz w:val="24"/>
                <w:lang w:val="en-US" w:eastAsia="zh-CN"/>
              </w:rPr>
            </w:pPr>
            <w:r>
              <w:rPr>
                <w:rFonts w:hint="eastAsia" w:ascii="宋体" w:hAnsi="宋体" w:eastAsia="宋体" w:cs="宋体"/>
                <w:bCs/>
                <w:color w:val="000000"/>
                <w:sz w:val="24"/>
                <w:lang w:val="en-US" w:eastAsia="zh-CN"/>
              </w:rPr>
              <w:t>9</w:t>
            </w:r>
          </w:p>
        </w:tc>
        <w:tc>
          <w:tcPr>
            <w:tcW w:w="8470" w:type="dxa"/>
            <w:vAlign w:val="center"/>
          </w:tcPr>
          <w:p>
            <w:pPr>
              <w:spacing w:line="500" w:lineRule="exact"/>
              <w:ind w:firstLine="0" w:firstLineChars="0"/>
              <w:jc w:val="left"/>
              <w:rPr>
                <w:rFonts w:hint="default" w:ascii="宋体" w:hAnsi="宋体" w:eastAsia="宋体" w:cs="宋体"/>
                <w:color w:val="000000"/>
                <w:sz w:val="24"/>
                <w:lang w:val="en-US" w:eastAsia="zh-CN"/>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的投标报价不得超出本项目的</w:t>
            </w:r>
            <w:r>
              <w:rPr>
                <w:rFonts w:hint="eastAsia" w:ascii="宋体" w:hAnsi="宋体" w:eastAsia="宋体" w:cs="宋体"/>
                <w:color w:val="000000"/>
                <w:sz w:val="24"/>
                <w:lang w:eastAsia="zh-CN"/>
              </w:rPr>
              <w:t>最高限价</w:t>
            </w:r>
            <w:r>
              <w:rPr>
                <w:rFonts w:hint="eastAsia" w:ascii="宋体" w:hAnsi="宋体" w:eastAsia="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gridSpan w:val="2"/>
            <w:vAlign w:val="center"/>
          </w:tcPr>
          <w:p>
            <w:pPr>
              <w:spacing w:line="500" w:lineRule="exact"/>
              <w:ind w:firstLine="0" w:firstLineChars="0"/>
              <w:jc w:val="left"/>
              <w:rPr>
                <w:rFonts w:hint="eastAsia" w:ascii="宋体" w:hAnsi="宋体" w:eastAsia="宋体" w:cs="宋体"/>
                <w:color w:val="000000"/>
                <w:sz w:val="24"/>
              </w:rPr>
            </w:pPr>
            <w:r>
              <w:rPr>
                <w:rFonts w:hint="eastAsia" w:ascii="宋体" w:hAnsi="宋体" w:eastAsia="宋体" w:cs="宋体"/>
                <w:bCs/>
                <w:color w:val="000000"/>
                <w:sz w:val="24"/>
                <w:szCs w:val="24"/>
              </w:rPr>
              <w:t>再次重申：</w:t>
            </w:r>
            <w:r>
              <w:rPr>
                <w:rFonts w:hint="eastAsia" w:ascii="宋体" w:hAnsi="宋体" w:eastAsia="宋体" w:cs="宋体"/>
                <w:color w:val="000000"/>
                <w:sz w:val="24"/>
              </w:rPr>
              <w:t>供应商</w:t>
            </w:r>
            <w:r>
              <w:rPr>
                <w:rFonts w:hint="eastAsia" w:ascii="宋体" w:hAnsi="宋体" w:eastAsia="宋体" w:cs="宋体"/>
                <w:bCs/>
                <w:color w:val="000000"/>
                <w:sz w:val="24"/>
                <w:szCs w:val="24"/>
              </w:rPr>
              <w:t>请认真阅读和理解上述内容，避免响应文件中有违背上述审查标准之一的情况发生而造成废标。</w:t>
            </w:r>
          </w:p>
        </w:tc>
      </w:tr>
    </w:tbl>
    <w:p>
      <w:pPr>
        <w:spacing w:line="500" w:lineRule="exact"/>
        <w:ind w:firstLine="480"/>
      </w:pPr>
      <w:r>
        <w:rPr>
          <w:rFonts w:hint="eastAsia" w:ascii="宋体" w:hAnsi="宋体" w:eastAsia="宋体" w:cs="宋体"/>
          <w:bCs/>
          <w:color w:val="000000"/>
          <w:sz w:val="24"/>
          <w:szCs w:val="24"/>
        </w:rPr>
        <w:t>磋商小组会将对</w:t>
      </w:r>
      <w:r>
        <w:rPr>
          <w:rFonts w:hint="eastAsia" w:ascii="宋体" w:hAnsi="宋体" w:eastAsia="宋体" w:cs="宋体"/>
          <w:color w:val="000000"/>
          <w:sz w:val="24"/>
        </w:rPr>
        <w:t>供应商</w:t>
      </w:r>
      <w:r>
        <w:rPr>
          <w:rFonts w:hint="eastAsia" w:ascii="宋体" w:hAnsi="宋体" w:eastAsia="宋体" w:cs="宋体"/>
          <w:bCs/>
          <w:color w:val="000000"/>
          <w:sz w:val="24"/>
          <w:szCs w:val="24"/>
        </w:rPr>
        <w:t>递交的磋商文件按《</w:t>
      </w:r>
      <w:r>
        <w:rPr>
          <w:rFonts w:hint="eastAsia" w:ascii="宋体" w:hAnsi="宋体" w:eastAsia="宋体" w:cs="宋体"/>
          <w:color w:val="000000"/>
          <w:sz w:val="24"/>
          <w:szCs w:val="24"/>
        </w:rPr>
        <w:t>响应文件完备性及符合性审查标准》</w:t>
      </w:r>
      <w:r>
        <w:rPr>
          <w:rFonts w:hint="eastAsia" w:ascii="宋体" w:hAnsi="宋体" w:eastAsia="宋体" w:cs="宋体"/>
          <w:bCs/>
          <w:color w:val="000000"/>
          <w:sz w:val="24"/>
          <w:szCs w:val="24"/>
        </w:rPr>
        <w:t>进行审查。如果响应文件中有一项未通过审查标准，磋商小组会将认定该响应文件不响应磋商文件而予以废标，并且不允许</w:t>
      </w:r>
      <w:r>
        <w:rPr>
          <w:rFonts w:hint="eastAsia" w:ascii="宋体" w:hAnsi="宋体" w:eastAsia="宋体" w:cs="宋体"/>
          <w:color w:val="000000"/>
          <w:sz w:val="24"/>
        </w:rPr>
        <w:t>供应商</w:t>
      </w:r>
      <w:r>
        <w:rPr>
          <w:rFonts w:hint="eastAsia" w:ascii="宋体" w:hAnsi="宋体" w:eastAsia="宋体" w:cs="宋体"/>
          <w:bCs/>
          <w:color w:val="000000"/>
          <w:sz w:val="24"/>
          <w:szCs w:val="24"/>
        </w:rPr>
        <w:t>通过修改或撤销其不符合要求的差异或保留，使之成为具有响应性的投标。</w:t>
      </w:r>
      <w:bookmarkStart w:id="28" w:name="_Toc315982466"/>
      <w:bookmarkStart w:id="29" w:name="_Toc315955671"/>
    </w:p>
    <w:p>
      <w:pPr>
        <w:spacing w:line="360" w:lineRule="auto"/>
        <w:jc w:val="both"/>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附表3：</w:t>
      </w:r>
    </w:p>
    <w:p>
      <w:pPr>
        <w:spacing w:line="360" w:lineRule="auto"/>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商务、技术部分评标标准（70分）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001"/>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507" w:type="dxa"/>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评审项目</w:t>
            </w:r>
          </w:p>
        </w:tc>
        <w:tc>
          <w:tcPr>
            <w:tcW w:w="1001" w:type="dxa"/>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权重值   %</w:t>
            </w:r>
          </w:p>
        </w:tc>
        <w:tc>
          <w:tcPr>
            <w:tcW w:w="6851" w:type="dxa"/>
            <w:noWrap w:val="0"/>
            <w:vAlign w:val="center"/>
          </w:tcPr>
          <w:p>
            <w:pPr>
              <w:pStyle w:val="12"/>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一、商务部分12分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企业业绩</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10分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近三年（2018年1月1日—至今）具有类似项目业绩，有1项得2分，最多得10分（以中标通知书或合同协议书为准）。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标函质量</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标函编制内容完整、齐全、叙述严谨。标书无涂改、错页、漏页现象。优得：2分，良得1分。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二、技术部分58分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9" w:hRule="atLeast"/>
          <w:jc w:val="center"/>
        </w:trPr>
        <w:tc>
          <w:tcPr>
            <w:tcW w:w="1507" w:type="dxa"/>
            <w:vMerge w:val="restart"/>
            <w:tcBorders>
              <w:top w:val="single" w:color="auto" w:sz="4" w:space="0"/>
              <w:left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产品的质量、技术、性能综合描述</w:t>
            </w:r>
          </w:p>
        </w:tc>
        <w:tc>
          <w:tcPr>
            <w:tcW w:w="1001" w:type="dxa"/>
            <w:tcBorders>
              <w:top w:val="single" w:color="auto" w:sz="4" w:space="0"/>
              <w:left w:val="single" w:color="auto" w:sz="4" w:space="0"/>
              <w:right w:val="single" w:color="auto" w:sz="4" w:space="0"/>
            </w:tcBorders>
            <w:noWrap w:val="0"/>
            <w:vAlign w:val="center"/>
          </w:tcPr>
          <w:p>
            <w:pPr>
              <w:pStyle w:val="12"/>
              <w:ind w:left="0" w:leftChars="0" w:firstLine="0" w:firstLineChars="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按供应商所投设备的质量、各项性能、配置及技术标准等满足招标要求。货物配置详细完整, 供应商可以提供最大限度满足采购人需求，根据所投产品的配置与性能指标投标程度打分。投标产品设备通用功能范围的横向比较，依据所列参数、性能主要指标对比全部供应商的所投产品，施工安装、交货周期。优计[11-15]分，良计[6-10]分，一般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507" w:type="dxa"/>
            <w:vMerge w:val="continue"/>
            <w:tcBorders>
              <w:left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right w:val="single" w:color="auto" w:sz="4" w:space="0"/>
            </w:tcBorders>
            <w:noWrap w:val="0"/>
            <w:vAlign w:val="center"/>
          </w:tcPr>
          <w:p>
            <w:pPr>
              <w:pStyle w:val="12"/>
              <w:ind w:left="0" w:leftChars="0" w:firstLine="0" w:firstLineChars="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提供的设备配置清单详细、完整，满足磋商文件要求，进行综合评判优计[3-5]分，一般计[0-2]分。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1507" w:type="dxa"/>
            <w:tcBorders>
              <w:left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auto"/>
                <w:kern w:val="0"/>
                <w:sz w:val="24"/>
                <w:szCs w:val="24"/>
                <w:highlight w:val="none"/>
                <w:lang w:eastAsia="zh-CN" w:bidi="ar"/>
              </w:rPr>
              <w:t>厂商授权书及售后服务承诺</w:t>
            </w:r>
          </w:p>
        </w:tc>
        <w:tc>
          <w:tcPr>
            <w:tcW w:w="1001"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jc w:val="center"/>
              <w:textAlignment w:val="center"/>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4分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0" w:leftChars="0" w:firstLine="0" w:firstLineChars="0"/>
              <w:textAlignment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auto"/>
                <w:kern w:val="0"/>
                <w:sz w:val="24"/>
                <w:szCs w:val="24"/>
                <w:highlight w:val="none"/>
                <w:lang w:val="en-US" w:eastAsia="zh-CN" w:bidi="ar"/>
              </w:rPr>
              <w:t>提供针对本项目的厂商授权书及售后服务承诺书</w:t>
            </w:r>
            <w:r>
              <w:rPr>
                <w:rFonts w:hint="eastAsia" w:ascii="宋体" w:hAnsi="宋体" w:eastAsia="宋体" w:cs="宋体"/>
                <w:color w:val="auto"/>
                <w:sz w:val="24"/>
                <w:szCs w:val="24"/>
                <w:highlight w:val="none"/>
                <w:lang w:eastAsia="zh-CN"/>
              </w:rPr>
              <w:t>，有</w:t>
            </w:r>
            <w:r>
              <w:rPr>
                <w:rFonts w:hint="eastAsia" w:ascii="宋体" w:hAnsi="宋体" w:eastAsia="宋体" w:cs="宋体"/>
                <w:color w:val="auto"/>
                <w:sz w:val="24"/>
                <w:szCs w:val="24"/>
                <w:highlight w:val="none"/>
                <w:lang w:val="en-US" w:eastAsia="zh-CN"/>
              </w:rPr>
              <w:t>1项得2分，总共4分，</w:t>
            </w:r>
            <w:r>
              <w:rPr>
                <w:rFonts w:hint="eastAsia" w:ascii="宋体" w:hAnsi="宋体" w:eastAsia="宋体" w:cs="宋体"/>
                <w:color w:val="auto"/>
                <w:kern w:val="0"/>
                <w:sz w:val="24"/>
                <w:szCs w:val="24"/>
                <w:highlight w:val="none"/>
                <w:lang w:val="en-US" w:eastAsia="zh-CN" w:bidi="ar"/>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507" w:type="dxa"/>
            <w:tcBorders>
              <w:left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auto"/>
                <w:kern w:val="0"/>
                <w:sz w:val="24"/>
                <w:szCs w:val="24"/>
                <w:highlight w:val="none"/>
                <w:lang w:val="en-US" w:eastAsia="zh-CN" w:bidi="ar"/>
              </w:rPr>
              <w:t>质量管理体系</w:t>
            </w:r>
          </w:p>
        </w:tc>
        <w:tc>
          <w:tcPr>
            <w:tcW w:w="1001"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jc w:val="center"/>
              <w:textAlignment w:val="center"/>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0" w:leftChars="0" w:firstLine="0" w:firstLineChars="0"/>
              <w:jc w:val="left"/>
              <w:textAlignment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auto"/>
                <w:kern w:val="0"/>
                <w:sz w:val="24"/>
                <w:szCs w:val="24"/>
                <w:highlight w:val="none"/>
                <w:lang w:val="en-US" w:eastAsia="zh-CN" w:bidi="ar"/>
              </w:rPr>
              <w:t>提供制造商有效的ISO9001或同级别的质量管理体系认证证书的，得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分。（提加盖公章的证书复印件）。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507" w:type="dxa"/>
            <w:vMerge w:val="restart"/>
            <w:tcBorders>
              <w:top w:val="single" w:color="auto" w:sz="4" w:space="0"/>
              <w:left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项目管理、售后服务计划措施及服务承诺</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针对该项目须有详尽的组织、验收、售后等方面的服务能力、措施及实施计划、人员安排、质量相关承诺，措施合理到位、承诺全面得[4-5]分；措施及承诺较全面得[2-3]分；措施及承诺不全面得[0-1]分。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507" w:type="dxa"/>
            <w:vMerge w:val="continue"/>
            <w:tcBorders>
              <w:left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根据安装时间进度表及是否安排科学合理、实施性强综合打分。优计[3-5]分，一般计[0-2]分。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507" w:type="dxa"/>
            <w:vMerge w:val="continue"/>
            <w:tcBorders>
              <w:left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根据供应商实施方案的科学性、合理性、规范性、针对性和可操作性进行评分，履约措施具体、合理、可行。优计[3-5]分，一般计[0-2]分。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1507" w:type="dxa"/>
            <w:vMerge w:val="continue"/>
            <w:tcBorders>
              <w:left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right w:val="single" w:color="auto" w:sz="4" w:space="0"/>
            </w:tcBorders>
            <w:noWrap w:val="0"/>
            <w:vAlign w:val="center"/>
          </w:tcPr>
          <w:p>
            <w:pPr>
              <w:pStyle w:val="12"/>
              <w:ind w:left="0" w:leftChars="0" w:firstLine="0" w:firstLineChars="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备品、备件：针对各投标人的投标产品所能提供的易损易坏部件、以及所提供的备品备件的品种、数量或其他优惠条件等进行综合比较评审；优计[3-5]分，一般计[0-2]分。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507" w:type="dxa"/>
            <w:vMerge w:val="continue"/>
            <w:tcBorders>
              <w:left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依据供应商设置的本地化售后服务机构人员、专业人员配备及现有维修服务能力情况综合评判。优计[3-5]分，一般计[0-2]分。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507" w:type="dxa"/>
            <w:vMerge w:val="continue"/>
            <w:tcBorders>
              <w:left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jc w:val="center"/>
              <w:rPr>
                <w:rFonts w:hint="default" w:ascii="宋体" w:hAnsi="宋体" w:eastAsia="宋体" w:cs="宋体"/>
                <w:bCs/>
                <w:color w:val="FF0000"/>
                <w:kern w:val="2"/>
                <w:sz w:val="24"/>
                <w:szCs w:val="24"/>
                <w:lang w:val="en-US" w:eastAsia="zh-CN" w:bidi="ar-SA"/>
              </w:rPr>
            </w:pPr>
            <w:r>
              <w:rPr>
                <w:rFonts w:hint="eastAsia" w:ascii="宋体" w:hAnsi="宋体" w:eastAsia="宋体" w:cs="宋体"/>
                <w:bCs/>
                <w:color w:val="000000"/>
                <w:kern w:val="2"/>
                <w:sz w:val="24"/>
                <w:szCs w:val="24"/>
                <w:lang w:val="en-US" w:eastAsia="zh-CN" w:bidi="ar-SA"/>
              </w:rPr>
              <w:t>5分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明确人员培训方式，培训方案全面、科学、可行性强得[3-5]分；</w:t>
            </w:r>
          </w:p>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培训方案内容较为全面、较为科学、可行性一般得[0-2]；</w:t>
            </w:r>
          </w:p>
          <w:p>
            <w:pPr>
              <w:pStyle w:val="12"/>
              <w:ind w:left="0" w:leftChars="0" w:firstLine="0" w:firstLineChars="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507" w:type="dxa"/>
            <w:vMerge w:val="continue"/>
            <w:tcBorders>
              <w:left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jc w:val="center"/>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ind w:left="0" w:leftChars="0" w:firstLine="0" w:firstLineChars="0"/>
              <w:rPr>
                <w:rFonts w:hint="eastAsia" w:ascii="宋体" w:hAnsi="宋体" w:eastAsia="宋体" w:cs="宋体"/>
                <w:bCs/>
                <w:color w:val="000000"/>
                <w:kern w:val="2"/>
                <w:sz w:val="24"/>
                <w:szCs w:val="24"/>
                <w:lang w:val="en-US" w:eastAsia="zh-CN" w:bidi="ar-SA"/>
              </w:rPr>
            </w:pPr>
            <w:r>
              <w:rPr>
                <w:rStyle w:val="53"/>
                <w:rFonts w:hint="eastAsia" w:ascii="宋体" w:hAnsi="宋体" w:eastAsia="宋体" w:cs="宋体"/>
                <w:color w:val="auto"/>
                <w:sz w:val="24"/>
                <w:szCs w:val="24"/>
                <w:highlight w:val="none"/>
                <w:lang w:val="en-US" w:eastAsia="zh-CN" w:bidi="ar"/>
              </w:rPr>
              <w:t>投标人提供7*24小时技术服务承诺得2分，未承诺不得分；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2508" w:type="dxa"/>
            <w:gridSpan w:val="2"/>
            <w:tcBorders>
              <w:left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合计（70分）</w:t>
            </w:r>
          </w:p>
        </w:tc>
        <w:tc>
          <w:tcPr>
            <w:tcW w:w="6851" w:type="dxa"/>
            <w:tcBorders>
              <w:top w:val="single" w:color="auto" w:sz="4" w:space="0"/>
              <w:left w:val="single" w:color="auto" w:sz="4" w:space="0"/>
              <w:bottom w:val="single" w:color="auto" w:sz="4" w:space="0"/>
              <w:right w:val="single" w:color="auto" w:sz="4" w:space="0"/>
            </w:tcBorders>
            <w:noWrap w:val="0"/>
            <w:vAlign w:val="center"/>
          </w:tcPr>
          <w:p>
            <w:pPr>
              <w:pStyle w:val="12"/>
              <w:rPr>
                <w:rFonts w:hint="eastAsia" w:ascii="宋体" w:hAnsi="宋体" w:eastAsia="宋体" w:cs="宋体"/>
                <w:bCs/>
                <w:color w:val="000000"/>
                <w:kern w:val="2"/>
                <w:sz w:val="24"/>
                <w:szCs w:val="24"/>
                <w:lang w:val="en-US" w:eastAsia="zh-CN" w:bidi="ar-SA"/>
              </w:rPr>
            </w:pPr>
          </w:p>
        </w:tc>
      </w:tr>
    </w:tbl>
    <w:p>
      <w:pPr>
        <w:pStyle w:val="12"/>
      </w:pPr>
    </w:p>
    <w:bookmarkEnd w:id="28"/>
    <w:bookmarkEnd w:id="29"/>
    <w:p>
      <w:pPr>
        <w:spacing w:line="420" w:lineRule="exac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1、磋商小组应当根据综合评分情况，按照评审得分由高到低顺序推荐3名以上成交候选供应商或制造商，推荐3家成交候选供应商或制造商。评审得分相同的，按照最后报价由低到高的顺序推荐。评审得分且最后报价相同的，按照技术指标优劣顺序推荐。</w:t>
      </w:r>
    </w:p>
    <w:p>
      <w:pPr>
        <w:spacing w:line="420" w:lineRule="exact"/>
        <w:ind w:firstLine="480"/>
        <w:rPr>
          <w:rFonts w:ascii="宋体" w:hAnsi="宋体" w:eastAsia="宋体" w:cs="宋体"/>
          <w:bCs/>
          <w:sz w:val="24"/>
        </w:rPr>
      </w:pPr>
      <w:r>
        <w:rPr>
          <w:rFonts w:hint="eastAsia" w:ascii="宋体" w:hAnsi="宋体" w:eastAsia="宋体" w:cs="宋体"/>
          <w:bCs/>
          <w:sz w:val="24"/>
        </w:rPr>
        <w:t>2、采购人根据磋商小组推荐的成交候选供应商或制造商名单，根据相关法律法规的规定确定最终成交商。如果排名第一的成交候选供应商或制造商的实际情况与其磋商资料不相符，将取消其成交资格，由排名第二的成交候选供应商或制造商递补，以此类推。</w:t>
      </w:r>
    </w:p>
    <w:p>
      <w:pPr>
        <w:tabs>
          <w:tab w:val="left" w:pos="6034"/>
        </w:tabs>
        <w:spacing w:line="420" w:lineRule="exact"/>
        <w:ind w:firstLine="480"/>
        <w:rPr>
          <w:rFonts w:ascii="宋体" w:hAnsi="宋体" w:eastAsia="宋体" w:cs="宋体"/>
          <w:sz w:val="24"/>
        </w:rPr>
      </w:pPr>
      <w:r>
        <w:rPr>
          <w:rFonts w:hint="eastAsia" w:ascii="宋体" w:hAnsi="宋体" w:eastAsia="宋体" w:cs="宋体"/>
          <w:sz w:val="24"/>
        </w:rPr>
        <w:t>3、磋商过程的保密性</w:t>
      </w:r>
    </w:p>
    <w:p>
      <w:pPr>
        <w:tabs>
          <w:tab w:val="left" w:pos="6034"/>
        </w:tabs>
        <w:spacing w:line="420" w:lineRule="exact"/>
        <w:ind w:firstLine="480"/>
        <w:rPr>
          <w:rFonts w:ascii="宋体" w:hAnsi="宋体" w:eastAsia="宋体" w:cs="宋体"/>
          <w:sz w:val="24"/>
        </w:rPr>
      </w:pPr>
      <w:r>
        <w:rPr>
          <w:rFonts w:hint="eastAsia" w:ascii="宋体" w:hAnsi="宋体" w:eastAsia="宋体" w:cs="宋体"/>
          <w:sz w:val="24"/>
        </w:rPr>
        <w:t>3.1、磋商后，直到授予合同为止，凡是属于审查、澄清、评价和比较的有关资料以及授予成交方的建议等磋商小组成员或参与磋商的有关工作人员均不得向供应商或制造商或其他无关的人员透露，违者给予警告、取消担任磋商小组成员的资格，不得再参加任何项目的磋商。</w:t>
      </w:r>
    </w:p>
    <w:p>
      <w:pPr>
        <w:tabs>
          <w:tab w:val="left" w:pos="6034"/>
        </w:tabs>
        <w:spacing w:line="420" w:lineRule="exact"/>
        <w:ind w:firstLine="480"/>
        <w:rPr>
          <w:rFonts w:hint="eastAsia" w:ascii="宋体" w:hAnsi="宋体" w:eastAsia="宋体" w:cs="宋体"/>
          <w:sz w:val="24"/>
        </w:rPr>
      </w:pPr>
      <w:r>
        <w:rPr>
          <w:rFonts w:hint="eastAsia" w:ascii="宋体" w:hAnsi="宋体" w:eastAsia="宋体" w:cs="宋体"/>
          <w:sz w:val="24"/>
        </w:rPr>
        <w:t>3.2、 供应商或制造商在磋商过程中，所进行的力图影响磋商结果的，不符合《政府采购法》及本次磋商中有关规定的活动，将被取消其磋商资格。</w:t>
      </w:r>
      <w:bookmarkStart w:id="30" w:name="_Toc349573126"/>
      <w:bookmarkStart w:id="31" w:name="_Toc487638928"/>
      <w:bookmarkStart w:id="32" w:name="_Toc298240410"/>
      <w:bookmarkStart w:id="33" w:name="_Toc349637925"/>
      <w:bookmarkStart w:id="34" w:name="_Toc267301287"/>
      <w:bookmarkStart w:id="35" w:name="_Toc17462125"/>
    </w:p>
    <w:p>
      <w:pPr>
        <w:pStyle w:val="26"/>
        <w:rPr>
          <w:rFonts w:hint="eastAsia"/>
        </w:rPr>
      </w:pPr>
    </w:p>
    <w:p>
      <w:pPr>
        <w:pStyle w:val="4"/>
        <w:spacing w:before="0" w:after="0" w:line="440" w:lineRule="exact"/>
        <w:ind w:firstLine="562"/>
        <w:jc w:val="center"/>
        <w:rPr>
          <w:rFonts w:ascii="宋体" w:hAnsi="宋体" w:eastAsia="宋体" w:cs="宋体"/>
          <w:color w:val="000000"/>
          <w:sz w:val="28"/>
          <w:szCs w:val="28"/>
        </w:rPr>
      </w:pPr>
      <w:r>
        <w:rPr>
          <w:rFonts w:hint="eastAsia" w:ascii="宋体" w:hAnsi="宋体" w:eastAsia="宋体" w:cs="宋体"/>
          <w:color w:val="000000"/>
          <w:sz w:val="28"/>
          <w:szCs w:val="28"/>
        </w:rPr>
        <w:t>F  授予合同</w:t>
      </w:r>
      <w:bookmarkEnd w:id="30"/>
      <w:bookmarkEnd w:id="31"/>
      <w:bookmarkEnd w:id="32"/>
      <w:bookmarkEnd w:id="33"/>
      <w:bookmarkEnd w:id="34"/>
      <w:bookmarkEnd w:id="35"/>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28．合同授予标准</w:t>
      </w:r>
    </w:p>
    <w:p>
      <w:pPr>
        <w:spacing w:line="440" w:lineRule="exact"/>
        <w:ind w:left="600" w:hanging="600" w:hangingChars="250"/>
        <w:rPr>
          <w:rFonts w:ascii="宋体" w:hAnsi="宋体" w:eastAsia="宋体" w:cs="宋体"/>
          <w:bCs/>
          <w:color w:val="000000"/>
          <w:sz w:val="24"/>
        </w:rPr>
      </w:pPr>
      <w:r>
        <w:rPr>
          <w:rFonts w:hint="eastAsia" w:ascii="宋体" w:hAnsi="宋体" w:eastAsia="宋体" w:cs="宋体"/>
          <w:color w:val="000000"/>
          <w:sz w:val="24"/>
        </w:rPr>
        <w:t xml:space="preserve">  28.1</w:t>
      </w:r>
      <w:r>
        <w:rPr>
          <w:rFonts w:hint="eastAsia" w:ascii="宋体" w:hAnsi="宋体" w:eastAsia="宋体" w:cs="宋体"/>
          <w:bCs/>
          <w:color w:val="000000"/>
          <w:sz w:val="24"/>
        </w:rPr>
        <w:t>合同将授予被确定为实质上响应磋商文件要求。</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28.2 最低报价不一定是被授予合同的保证。</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28.3 如果确定该供应商无法圆满履行合同，招标代理机构将对下一个可能中标的供应商资格作出类似的审查。</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29．接受和拒绝任何或所有磋商的权力</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29.1为维护国家利益，买方在授予合同之前仍有选择或拒绝任何全部磋商的权力，并对所采取的行为不作任何解释。</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30．成交通知书</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30.1 成交公告期满后，招标代理机构将以书面形式发出《成交通知书》，但发出时间不超过磋商有效期，《成交通知书》一经发出即发生法律效力。</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30.2 《成交通知书》将作为签订合同的依据</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30.3 招标代理机构将在成交方按规定签订合同并提交履约保证金（如适用）后退还其投标保证金。</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31．签订合同</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31.1 供应商收到《成交通知书》后，按《成交通知书》中规定的时间地点与买方签订合同。买方和成交方不得再订立背离合同实质性内容的其他协议。</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31.2如成交方拒签合同，则按违约处理。招标代理机构没收其磋商保证金。</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31.3磋商文件、成交方的磋商响应文件及其澄清文件等，均为签订经济合同的依据。</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32．履约保证金（</w:t>
      </w:r>
      <w:r>
        <w:rPr>
          <w:rFonts w:hint="eastAsia" w:ascii="宋体" w:hAnsi="宋体" w:eastAsia="宋体" w:cs="宋体"/>
          <w:color w:val="000000"/>
          <w:sz w:val="24"/>
          <w:lang w:val="en-US" w:eastAsia="zh-CN"/>
        </w:rPr>
        <w:t>无</w:t>
      </w:r>
      <w:r>
        <w:rPr>
          <w:rFonts w:hint="eastAsia" w:ascii="宋体" w:hAnsi="宋体" w:eastAsia="宋体" w:cs="宋体"/>
          <w:color w:val="000000"/>
          <w:sz w:val="24"/>
        </w:rPr>
        <w:t>）</w:t>
      </w:r>
    </w:p>
    <w:p>
      <w:pPr>
        <w:spacing w:line="440" w:lineRule="exact"/>
        <w:ind w:firstLine="240" w:firstLineChars="100"/>
        <w:rPr>
          <w:rFonts w:ascii="宋体" w:hAnsi="宋体" w:eastAsia="宋体" w:cs="宋体"/>
          <w:color w:val="000000"/>
          <w:sz w:val="24"/>
        </w:rPr>
      </w:pPr>
      <w:r>
        <w:rPr>
          <w:rFonts w:hint="eastAsia" w:ascii="宋体" w:hAnsi="宋体" w:eastAsia="宋体" w:cs="宋体"/>
          <w:color w:val="000000"/>
          <w:sz w:val="24"/>
        </w:rPr>
        <w:t>33．招标代理服务费</w:t>
      </w:r>
    </w:p>
    <w:p>
      <w:pPr>
        <w:spacing w:line="440" w:lineRule="exact"/>
        <w:ind w:firstLine="240" w:firstLineChars="100"/>
        <w:rPr>
          <w:rFonts w:ascii="宋体" w:hAnsi="宋体" w:eastAsia="宋体" w:cs="宋体"/>
          <w:color w:val="000000"/>
          <w:sz w:val="24"/>
        </w:rPr>
      </w:pPr>
      <w:r>
        <w:rPr>
          <w:rFonts w:hint="eastAsia" w:hAnsi="宋体" w:eastAsia="宋体" w:cs="宋体"/>
          <w:color w:val="000000"/>
          <w:sz w:val="24"/>
        </w:rPr>
        <w:t>33.1成交方须向招标代理机构按如下标准和期限交纳招标代理代理服务费：</w:t>
      </w:r>
    </w:p>
    <w:p>
      <w:pPr>
        <w:spacing w:line="440" w:lineRule="exact"/>
        <w:ind w:firstLine="240" w:firstLineChars="100"/>
        <w:rPr>
          <w:rFonts w:hint="eastAsia" w:ascii="宋体" w:hAnsi="宋体" w:eastAsia="宋体" w:cs="宋体"/>
          <w:color w:val="000000"/>
          <w:sz w:val="24"/>
          <w:lang w:val="en-US" w:eastAsia="zh-CN"/>
        </w:rPr>
      </w:pPr>
      <w:r>
        <w:rPr>
          <w:rFonts w:hint="eastAsia" w:ascii="宋体" w:hAnsi="宋体" w:eastAsia="宋体" w:cs="宋体"/>
          <w:color w:val="000000"/>
          <w:sz w:val="24"/>
        </w:rPr>
        <w:t>33.1.</w:t>
      </w:r>
      <w:r>
        <w:rPr>
          <w:rFonts w:hint="eastAsia" w:ascii="宋体" w:hAnsi="宋体" w:eastAsia="宋体" w:cs="宋体"/>
          <w:color w:val="auto"/>
          <w:sz w:val="24"/>
        </w:rPr>
        <w:t>1成交方执行市场指导价《国家发展改革委关于进一步放开建设项目专业服务价格的通知》发改价格【2015】299号，按中标金额计取，执行国家发展改革委关于印发《招标代理服务收费管理暂行办法》的通知（计价格【2002】1980号），</w:t>
      </w:r>
      <w:r>
        <w:rPr>
          <w:rFonts w:hint="eastAsia" w:ascii="宋体" w:hAnsi="宋体" w:eastAsia="宋体" w:cs="宋体"/>
          <w:color w:val="000000"/>
          <w:sz w:val="24"/>
          <w:lang w:val="en-US" w:eastAsia="zh-CN"/>
        </w:rPr>
        <w:t>招标代理服务费不足3000元按3000元计取，由成交人向新疆新建联项目管理咨询有限公司支付招标代理服务费。</w:t>
      </w:r>
    </w:p>
    <w:p>
      <w:pPr>
        <w:spacing w:line="440" w:lineRule="exact"/>
        <w:ind w:firstLine="240" w:firstLineChars="100"/>
        <w:rPr>
          <w:rFonts w:ascii="宋体" w:hAnsi="宋体" w:eastAsia="宋体" w:cs="宋体"/>
          <w:color w:val="000000"/>
          <w:sz w:val="24"/>
        </w:rPr>
      </w:pPr>
      <w:r>
        <w:rPr>
          <w:rFonts w:hint="eastAsia" w:hAnsi="宋体" w:eastAsia="宋体" w:cs="宋体"/>
          <w:bCs/>
          <w:color w:val="000000"/>
          <w:sz w:val="24"/>
        </w:rPr>
        <w:t>33.1.2 在宣布中标后一周内，成交方须按第33.1.1条规定的标准以转帐支票或电汇或现金的方式一次性向招标代理机构缴纳磋商代理服务费。</w:t>
      </w:r>
    </w:p>
    <w:p>
      <w:pPr>
        <w:pStyle w:val="4"/>
        <w:spacing w:before="100" w:beforeAutospacing="1" w:after="100" w:afterAutospacing="1" w:line="500" w:lineRule="exact"/>
        <w:ind w:firstLine="0" w:firstLineChars="0"/>
        <w:jc w:val="center"/>
        <w:rPr>
          <w:rFonts w:ascii="宋体" w:hAnsi="宋体" w:eastAsia="宋体" w:cs="宋体"/>
          <w:bCs/>
          <w:color w:val="000000"/>
          <w:sz w:val="24"/>
        </w:rPr>
      </w:pPr>
      <w:bookmarkStart w:id="36" w:name="_Toc487638929"/>
      <w:bookmarkStart w:id="37" w:name="_Toc17462126"/>
      <w:r>
        <w:rPr>
          <w:rFonts w:hint="eastAsia" w:ascii="宋体" w:hAnsi="宋体" w:eastAsia="宋体" w:cs="宋体"/>
          <w:color w:val="000000"/>
          <w:sz w:val="28"/>
          <w:szCs w:val="28"/>
        </w:rPr>
        <w:t>G磋商失败条件</w:t>
      </w:r>
      <w:bookmarkEnd w:id="36"/>
      <w:bookmarkEnd w:id="37"/>
    </w:p>
    <w:p>
      <w:pPr>
        <w:pStyle w:val="33"/>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34.出现影响采购公正的违法、违规行为的；</w:t>
      </w:r>
    </w:p>
    <w:p>
      <w:pPr>
        <w:pStyle w:val="33"/>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35.因重大变故，采购任务取消的；</w:t>
      </w:r>
    </w:p>
    <w:p>
      <w:pPr>
        <w:pStyle w:val="33"/>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36.磋商响应文件截止时间后，实际参与的</w:t>
      </w:r>
      <w:r>
        <w:rPr>
          <w:rFonts w:hint="eastAsia" w:hAnsi="宋体" w:eastAsia="宋体" w:cs="宋体"/>
          <w:color w:val="000000"/>
          <w:sz w:val="24"/>
        </w:rPr>
        <w:t>供应商</w:t>
      </w:r>
      <w:r>
        <w:rPr>
          <w:rFonts w:hint="eastAsia" w:hAnsi="宋体" w:eastAsia="宋体" w:cs="宋体"/>
          <w:bCs/>
          <w:color w:val="000000"/>
          <w:sz w:val="24"/>
        </w:rPr>
        <w:t>不足法定家数的；</w:t>
      </w:r>
    </w:p>
    <w:p>
      <w:pPr>
        <w:pStyle w:val="33"/>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37.最终报价均超过采购限价的；</w:t>
      </w:r>
    </w:p>
    <w:p>
      <w:pPr>
        <w:pStyle w:val="33"/>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38.对磋商文件作出实质性响应的</w:t>
      </w:r>
      <w:r>
        <w:rPr>
          <w:rFonts w:hint="eastAsia" w:hAnsi="宋体" w:eastAsia="宋体" w:cs="宋体"/>
          <w:color w:val="000000"/>
          <w:sz w:val="24"/>
        </w:rPr>
        <w:t>供应商</w:t>
      </w:r>
      <w:r>
        <w:rPr>
          <w:rFonts w:hint="eastAsia" w:hAnsi="宋体" w:eastAsia="宋体" w:cs="宋体"/>
          <w:bCs/>
          <w:color w:val="000000"/>
          <w:sz w:val="24"/>
        </w:rPr>
        <w:t>不足法定家数的；</w:t>
      </w:r>
    </w:p>
    <w:p>
      <w:pPr>
        <w:pStyle w:val="33"/>
        <w:tabs>
          <w:tab w:val="left" w:pos="720"/>
          <w:tab w:val="left" w:pos="900"/>
          <w:tab w:val="left" w:pos="1260"/>
        </w:tabs>
        <w:adjustRightInd w:val="0"/>
        <w:spacing w:line="500" w:lineRule="exact"/>
        <w:ind w:firstLine="480"/>
        <w:rPr>
          <w:rFonts w:hAnsi="宋体" w:eastAsia="宋体" w:cs="宋体"/>
          <w:bCs/>
          <w:color w:val="000000"/>
          <w:sz w:val="24"/>
        </w:rPr>
      </w:pPr>
      <w:r>
        <w:rPr>
          <w:rFonts w:hint="eastAsia" w:hAnsi="宋体" w:eastAsia="宋体" w:cs="宋体"/>
          <w:bCs/>
          <w:color w:val="000000"/>
          <w:sz w:val="24"/>
        </w:rPr>
        <w:t>39评标过程的保密性</w:t>
      </w:r>
    </w:p>
    <w:p>
      <w:pPr>
        <w:pStyle w:val="18"/>
        <w:bidi w:val="0"/>
        <w:rPr>
          <w:rFonts w:hint="eastAsia" w:ascii="宋体" w:hAnsi="宋体" w:eastAsia="宋体" w:cs="宋体"/>
          <w:bCs/>
          <w:color w:val="000000"/>
          <w:kern w:val="2"/>
          <w:sz w:val="24"/>
          <w:szCs w:val="20"/>
          <w:lang w:val="en-US" w:eastAsia="zh-CN" w:bidi="ar-SA"/>
        </w:rPr>
      </w:pPr>
      <w:r>
        <w:rPr>
          <w:rFonts w:hint="eastAsia" w:ascii="宋体" w:hAnsi="宋体" w:eastAsia="宋体" w:cs="宋体"/>
          <w:bCs/>
          <w:color w:val="000000"/>
          <w:kern w:val="2"/>
          <w:sz w:val="24"/>
          <w:szCs w:val="20"/>
          <w:lang w:val="en-US" w:eastAsia="zh-CN" w:bidi="ar-SA"/>
        </w:rPr>
        <w:t>39.1评标委员会与评标</w:t>
      </w:r>
    </w:p>
    <w:p>
      <w:pPr>
        <w:spacing w:line="500" w:lineRule="exact"/>
        <w:ind w:firstLine="480"/>
        <w:rPr>
          <w:rFonts w:hint="eastAsia" w:ascii="宋体" w:hAnsi="宋体" w:eastAsia="宋体" w:cs="宋体"/>
          <w:bCs/>
          <w:color w:val="000000"/>
          <w:kern w:val="2"/>
          <w:sz w:val="24"/>
          <w:szCs w:val="20"/>
          <w:lang w:val="en-US" w:eastAsia="zh-CN" w:bidi="ar-SA"/>
        </w:rPr>
      </w:pPr>
      <w:r>
        <w:rPr>
          <w:rFonts w:hint="eastAsia" w:ascii="宋体" w:hAnsi="宋体" w:eastAsia="宋体" w:cs="宋体"/>
          <w:bCs/>
          <w:color w:val="000000"/>
          <w:kern w:val="2"/>
          <w:sz w:val="24"/>
          <w:szCs w:val="20"/>
          <w:lang w:val="en-US" w:eastAsia="zh-CN" w:bidi="ar-SA"/>
        </w:rPr>
        <w:t>39.1.1评标委员会依法组建，负责本次采购的评标活动。</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kern w:val="2"/>
          <w:sz w:val="24"/>
          <w:szCs w:val="20"/>
          <w:lang w:val="en-US" w:eastAsia="zh-CN" w:bidi="ar-SA"/>
        </w:rPr>
        <w:t>39.1.2 开标结束后，开始评标，评标采</w:t>
      </w:r>
      <w:r>
        <w:rPr>
          <w:rFonts w:hint="eastAsia" w:ascii="宋体" w:hAnsi="宋体" w:eastAsia="宋体" w:cs="宋体"/>
          <w:bCs/>
          <w:color w:val="000000"/>
          <w:sz w:val="24"/>
        </w:rPr>
        <w:t>用保密方式进行。</w:t>
      </w:r>
    </w:p>
    <w:p>
      <w:pPr>
        <w:pStyle w:val="18"/>
        <w:bidi w:val="0"/>
        <w:rPr>
          <w:rFonts w:hint="eastAsia" w:ascii="宋体" w:hAnsi="宋体" w:eastAsia="宋体" w:cs="宋体"/>
          <w:bCs/>
          <w:color w:val="000000"/>
          <w:kern w:val="2"/>
          <w:sz w:val="24"/>
          <w:szCs w:val="20"/>
          <w:lang w:val="en-US" w:eastAsia="zh-CN" w:bidi="ar-SA"/>
        </w:rPr>
      </w:pPr>
      <w:r>
        <w:rPr>
          <w:rFonts w:hint="eastAsia" w:ascii="宋体" w:hAnsi="宋体" w:eastAsia="宋体" w:cs="宋体"/>
          <w:bCs/>
          <w:color w:val="000000"/>
          <w:kern w:val="2"/>
          <w:sz w:val="24"/>
          <w:szCs w:val="20"/>
          <w:lang w:val="en-US" w:eastAsia="zh-CN" w:bidi="ar-SA"/>
        </w:rPr>
        <w:t>40.1、评标过程的保密</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kern w:val="2"/>
          <w:sz w:val="24"/>
          <w:szCs w:val="20"/>
          <w:lang w:val="en-US" w:eastAsia="zh-CN" w:bidi="ar-SA"/>
        </w:rPr>
        <w:t>40.1开标后，直至授予中标人合</w:t>
      </w:r>
      <w:r>
        <w:rPr>
          <w:rFonts w:hint="eastAsia" w:ascii="宋体" w:hAnsi="宋体" w:eastAsia="宋体" w:cs="宋体"/>
          <w:color w:val="000000"/>
          <w:sz w:val="24"/>
        </w:rPr>
        <w:t>同为止，凡属于对响应文件的审查、澄清、评价和比较有关的</w:t>
      </w:r>
      <w:r>
        <w:rPr>
          <w:rFonts w:hint="eastAsia" w:ascii="宋体" w:hAnsi="宋体" w:eastAsia="宋体" w:cs="宋体"/>
          <w:bCs/>
          <w:color w:val="000000"/>
          <w:sz w:val="24"/>
        </w:rPr>
        <w:t>资料以及中标候选人的推荐情况，与评标有关的其他任何情况均属严格保密范围。</w:t>
      </w:r>
    </w:p>
    <w:p>
      <w:pPr>
        <w:spacing w:line="500" w:lineRule="exact"/>
        <w:ind w:firstLine="480"/>
        <w:rPr>
          <w:rFonts w:ascii="宋体" w:hAnsi="宋体" w:eastAsia="宋体" w:cs="宋体"/>
          <w:bCs/>
          <w:color w:val="000000"/>
          <w:sz w:val="24"/>
        </w:rPr>
      </w:pPr>
      <w:r>
        <w:rPr>
          <w:rFonts w:hint="eastAsia" w:ascii="宋体" w:hAnsi="宋体" w:eastAsia="宋体" w:cs="宋体"/>
          <w:bCs/>
          <w:color w:val="000000"/>
          <w:sz w:val="24"/>
        </w:rPr>
        <w:t>40.2</w:t>
      </w:r>
      <w:r>
        <w:rPr>
          <w:rFonts w:hint="eastAsia" w:ascii="宋体" w:hAnsi="宋体" w:eastAsia="宋体" w:cs="宋体"/>
          <w:color w:val="000000"/>
          <w:sz w:val="24"/>
        </w:rPr>
        <w:t>在响应</w:t>
      </w:r>
      <w:r>
        <w:rPr>
          <w:rFonts w:hint="eastAsia" w:ascii="宋体" w:hAnsi="宋体" w:eastAsia="宋体" w:cs="宋体"/>
          <w:bCs/>
          <w:color w:val="000000"/>
          <w:sz w:val="24"/>
        </w:rPr>
        <w:t>文件的评审和比较、中标候选人推荐以及授予合同的过程中，</w:t>
      </w:r>
      <w:r>
        <w:rPr>
          <w:rFonts w:hint="eastAsia" w:ascii="宋体" w:hAnsi="宋体" w:eastAsia="宋体" w:cs="宋体"/>
          <w:color w:val="000000"/>
          <w:sz w:val="24"/>
        </w:rPr>
        <w:t>供应商</w:t>
      </w:r>
      <w:r>
        <w:rPr>
          <w:rFonts w:hint="eastAsia" w:ascii="宋体" w:hAnsi="宋体" w:eastAsia="宋体" w:cs="宋体"/>
          <w:bCs/>
          <w:color w:val="000000"/>
          <w:sz w:val="24"/>
        </w:rPr>
        <w:t>向采购人和评标委员会施加影响的任何行为，都将会导致其投标被拒绝。</w:t>
      </w:r>
    </w:p>
    <w:p>
      <w:pPr>
        <w:spacing w:line="500" w:lineRule="exact"/>
        <w:ind w:firstLine="480"/>
        <w:rPr>
          <w:rFonts w:ascii="宋体" w:hAnsi="宋体" w:eastAsia="宋体" w:cs="宋体"/>
          <w:b/>
          <w:sz w:val="32"/>
        </w:rPr>
      </w:pPr>
      <w:r>
        <w:rPr>
          <w:rFonts w:hint="eastAsia" w:ascii="宋体" w:hAnsi="宋体" w:eastAsia="宋体" w:cs="宋体"/>
          <w:bCs/>
          <w:color w:val="000000"/>
          <w:sz w:val="24"/>
        </w:rPr>
        <w:t>40.3</w:t>
      </w:r>
      <w:r>
        <w:rPr>
          <w:rFonts w:hint="eastAsia" w:ascii="宋体" w:hAnsi="宋体" w:eastAsia="宋体" w:cs="宋体"/>
          <w:color w:val="000000"/>
          <w:sz w:val="24"/>
        </w:rPr>
        <w:t>中标人确定后，采购人不对未中标人就评标过程以及未能中标原因做出任何解释，亦不退回响应文件。未中标人不得向评标委员会组成人员或其他有关人员索问评标过程的情况和材料。</w:t>
      </w:r>
    </w:p>
    <w:p>
      <w:pPr>
        <w:ind w:firstLine="643"/>
        <w:jc w:val="center"/>
        <w:rPr>
          <w:rFonts w:ascii="宋体" w:hAnsi="宋体" w:eastAsia="宋体" w:cs="宋体"/>
          <w:b/>
          <w:sz w:val="32"/>
        </w:rPr>
      </w:pPr>
    </w:p>
    <w:p>
      <w:pPr>
        <w:ind w:firstLine="643"/>
        <w:jc w:val="center"/>
        <w:rPr>
          <w:rFonts w:ascii="宋体" w:hAnsi="宋体" w:eastAsia="宋体" w:cs="宋体"/>
          <w:b/>
          <w:sz w:val="32"/>
        </w:rPr>
      </w:pPr>
    </w:p>
    <w:p>
      <w:pPr>
        <w:pStyle w:val="12"/>
        <w:numPr>
          <w:ilvl w:val="0"/>
          <w:numId w:val="0"/>
        </w:numPr>
        <w:rPr>
          <w:rFonts w:hint="eastAsia" w:ascii="宋体" w:hAnsi="宋体" w:eastAsia="宋体" w:cs="宋体"/>
          <w:lang w:val="en-US" w:eastAsia="zh-CN"/>
        </w:rPr>
      </w:pPr>
      <w:bookmarkStart w:id="38" w:name="_Toc17462129"/>
      <w:r>
        <w:rPr>
          <w:rFonts w:hint="eastAsia" w:ascii="宋体" w:hAnsi="宋体" w:eastAsia="宋体" w:cs="宋体"/>
          <w:lang w:val="en-US" w:eastAsia="zh-CN"/>
        </w:rPr>
        <w:t xml:space="preserve"> </w:t>
      </w:r>
    </w:p>
    <w:p>
      <w:pPr>
        <w:pStyle w:val="12"/>
        <w:numPr>
          <w:ilvl w:val="0"/>
          <w:numId w:val="0"/>
        </w:numPr>
        <w:spacing w:after="0" w:line="240" w:lineRule="auto"/>
        <w:rPr>
          <w:rFonts w:hint="eastAsia" w:ascii="宋体" w:hAnsi="宋体" w:eastAsia="宋体" w:cs="宋体"/>
          <w:lang w:val="en-US" w:eastAsia="zh-CN"/>
        </w:rPr>
        <w:sectPr>
          <w:footerReference r:id="rId12" w:type="first"/>
          <w:footerReference r:id="rId11" w:type="default"/>
          <w:pgSz w:w="11907" w:h="16840"/>
          <w:pgMar w:top="1440" w:right="850" w:bottom="1440" w:left="1080" w:header="851" w:footer="850" w:gutter="0"/>
          <w:pgNumType w:start="1"/>
          <w:cols w:space="720" w:num="1"/>
          <w:docGrid w:type="lines" w:linePitch="409" w:charSpace="0"/>
        </w:sectPr>
      </w:pPr>
    </w:p>
    <w:p>
      <w:pPr>
        <w:pStyle w:val="3"/>
        <w:numPr>
          <w:ilvl w:val="0"/>
          <w:numId w:val="0"/>
        </w:numPr>
        <w:spacing w:line="400" w:lineRule="atLeast"/>
        <w:jc w:val="center"/>
        <w:rPr>
          <w:rFonts w:hint="eastAsia" w:ascii="宋体" w:hAnsi="宋体" w:eastAsia="宋体" w:cs="宋体"/>
          <w:lang w:val="en-US" w:eastAsia="zh-CN"/>
        </w:rPr>
      </w:pPr>
      <w:bookmarkStart w:id="39" w:name="_Toc559"/>
      <w:r>
        <w:rPr>
          <w:rFonts w:hint="eastAsia" w:ascii="宋体" w:hAnsi="宋体" w:eastAsia="宋体" w:cs="宋体"/>
          <w:sz w:val="32"/>
          <w:szCs w:val="32"/>
          <w:lang w:val="en-US" w:eastAsia="zh-CN"/>
        </w:rPr>
        <w:t>第三部分  采购需求及技术参数</w:t>
      </w:r>
      <w:bookmarkEnd w:id="39"/>
    </w:p>
    <w:tbl>
      <w:tblPr>
        <w:tblStyle w:val="27"/>
        <w:tblW w:w="13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6"/>
        <w:gridCol w:w="1927"/>
        <w:gridCol w:w="6993"/>
        <w:gridCol w:w="1159"/>
        <w:gridCol w:w="1112"/>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42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53"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物品名称</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产品规格</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3D打印机</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3D打印机大尺寸工业级双喷头高精度商用定制三维打印机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打印尺寸310*310*350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超短焦投影</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1，3500流明以上（真实亮度）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2，必须在1米-1.3米以内可投射100寸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3，1280*800高清分辨率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4，必须采用DMD芯片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5，必须采用超高压汞灯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黑晶幕布折叠桌面</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黑晶非标准可定制大小的抗光幕布（100寸以内）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使得能够覆盖投影互动显示桌面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幕布应由纳米黑晶涂层、棱镜层、增透层、漫反射层及保护层等组成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桌面可折叠至墙面，使用时简单拉开即可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桌面使用轻质板材，配三根20寸304不锈钢伸缩折叠支架，承重30kg以上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投影仪支架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带安装服务</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支持向下倒投射安装，可固定于房顶或墙壁，向下方桌面投影，投影倒置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1"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工业摄像头</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1，USB2.0免驱UVC通信协议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2，无畸变摄像头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3，720P物理分辨率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4，帧率：30侦/秒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5，USB数据线2.5米以上，带屏蔽环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6，sensor：1/3 inch 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7，焦距：2.7mm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（作为软件服务器）</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1，笔记本电脑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2，CPU：i7 带核心显卡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3，内存16G 或以上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5，分辨率：2K IPS 或以上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6，操作系统：必须为正版 WIN10 Pro专业版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7，配一个扩展坞，可转接标准HDMI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8，重量：1.1kg以下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9，厚度：15mm以下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10，外壳材质：全部采用碳纤维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7"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基于CV视觉模型的定制投影交互应用</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主要目标：将超短焦投影安装于墙面或吊顶，使其向下倒投于桌面，在桌面上放置物品后，能进行识别，并投影出标记框和相关介绍。其他要求如下：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1，代码使用Python语言开发，有较为详细注释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2，可自动根据物品在桌面位置，框选，并将介绍放置在空白区域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3，识别模型使用封装为百度easyedge的可执行文件，随时可以开启模型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4，向教师做至少3小时培训，介绍源代码的使用方法及自训练方法。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5，制作CV视觉样课，使得同学达到：（1）了解视觉识别（2）使用百度EASYDL制作CV模型-物品识别 （3）将训练模型导出为easyedge服务，并在主机上启动（4）使用自己的模型。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6，产品投影时，有八一中学logo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7，包含安装调试硬件，及调试他们所需要的一切硬件，如定制特殊3D打印件、摄像头固定支座、电力线材、HDMI线材等，因定制安装的缘故，可能会破坏或改变投影仪的部分外壳。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8，运行在上述项目二的计算机上，能稳定运行，并安装依赖环境。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9，搭建本地MQTT物联网服务，给出esp32及本地计算机MQTT通信例程，能够使用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10，安装花生壳，调试使得本地Python服务能够被公网访问，包括物联网和TCP/HTTP访问。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▲11.与学校现有设备无缝对接，实现联动并上课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4"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最新一代可编程教育无人机，比赛使用套装。一、功能描述：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编程无人机搭载500万高清摄像头，新增ESP32开源硬件与可编程模块。自带传感器转接模块，可为第三方传感器供电。 编程无人机开放官方SDK，支持I2C、SPI、UART、GPIO多种可编程传感器接口，可进行图形化编程、Python、Arduino等多种编程方式。为智能编程教育实现更加多元的编程教育教学环境，帮助学生轻松拓展多种传感器编程应用，实现更多人工智能应用。丰富的课程及硬件打造专业教育无人机平台和智能应用平台，让老师轻松教、学生轻松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二、技术参数指标：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本套装内含一块电池、两套桨叶、一套桨叶保护罩、一根USB线及一套任务卡、机器自带ESP点阵模块。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1、飞行器总重量不超过87克，尺寸不超过98×92.5×41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2、飞行器配备红外传感器、气压计、前视及下视摄像头，支持录像拍照功能。摄像头最大分辨率不小于2592*1936，支持720P高清录像。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3、飞行器具有高清720p图传，图传距离不小于100m。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4、飞行器具有WIFI AP模块，支持与PC端、手机移动端及路由器等多种设备连接。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5、飞行器支持SDK开发，支持Arduino，Micro Python编程控制，实现编程控制坐标飞行、弧线飞行、实时获取多种传感器数据等功能。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6、飞行器支持视觉识别配套任务卡，针对任务卡下达精准编程飞行指令。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7、飞行器支持多台飞行器同时连接指定路由器，通过PC编程同时控制多台飞行器进行多机编队任务。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8、14pin 扩展口 （I2C，UART，SPI，GPIO，PWM，电源）；可编程点阵LED（IIC数据接口、自动矩阵扫描、全局亮度256级可调、单像素红蓝LED亮度256级独立可调、自动呼吸灯功能 ）；红外深度传感器（TOF），最大测量距离2m。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9、最大飞行高度30米，飞行速度8m/s。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三、教学服务参数指标：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1、搭配多学科融合教学课程资源。满足学生持续教学需求。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2、年度赛事规则介绍发布。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四、招投标资质要求：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1、厂家授权招投标授权证明。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2、产品质量安全报告。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3、CFL科学实训营智能科技竞赛器材准入证名。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4、厂家专业认证技术培训人员证书复印件。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操控无人机旋翼赛编程挑战赛赛道训练套装</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与操控无人机旋翼赛编程挑战赛匹配的训练套装，包括停机坪1套、竖杆3套、圆门5套、横杆1套、高低门1套等配套装备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▲与学校现有机器人比赛设备配套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人工智能创意展示</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6自由度机械手臂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人工智能创意展示</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支持人体温度检测、温度显示、体温异常自动报警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1，采用全铝合金外壳；防水、防尘、耐高温；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2，8寸IPS 800*1280 显示屏，双目高清人脸识别专用摄像头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3，瑞芯微RK3288或海思3516DV300可选；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4，RGB+白、绿、红三色补光灯，双红外补光灯；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5，可实现人脸检测、人脸识别、属性检测、活体检测等；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6，广泛应用于智慧金融、智慧城市、智慧校园、智慧工地、智慧安防等多个领域。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人工智能创意展示</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障碍物识别和测距解决方案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基于高性能嵌入式主板以及高清摄像头，不仅识别出摄像头前方的物体类型，并计算出前方障碍物离摄像头的距离，双目摄像头距离检测精度误差0.05m。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180"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移动存储设备</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无线移动固态硬盘1t  SSD移动硬盘1tb wifi传输高速兼移动电源户外存储SD卡1T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移动存储设备</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无线移动硬盘 4T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机器人比赛设备</w:t>
            </w:r>
          </w:p>
        </w:tc>
        <w:tc>
          <w:tcPr>
            <w:tcW w:w="6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2022年赛季机器人比赛地图套装（科协工程创新赛、电教能力挑战赛）赛制。*提供课程在线平台账号，平台内包含科协工程创新赛、电教能力挑战赛课程资源。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▲与学校现有机器人比赛设备配套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免驱动高清摄像头USB电脑带麦克风语音学生远程网课教学辅导（2020-6-cxl-w）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智能摄像机摄像头360全景拍摄 1080P高清红外夜视 双向语音互动 智能机器人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耳机</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头戴式耳机耳麦 游戏耳机 电脑耳机 办公教育 学习培训 典雅黑色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2"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摄像设备</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口袋云台数码摄像机，云台:可控转动范围:平移: -230° 至 +50°俯仰:-95° 至 50°横滚: ±45°最大控制转速:120°/s，抖动抑制量:±0.005°，相机:影像传感器:1/2.3” CMOS，有效像素: 12M，镜头:FOV:80° F2.0，等效焦距：26mm，ISO 范围:拍照:100-3200，录像:100-3200，电子快门速度:8s - 1/8000s，照片最大分辨率:4000 x 3000，照片拍摄模式:单张照片; 全景照片；静态延时；轨迹延时；运动延时，录影分辨率:4K Ultra HD: 3840 x 2160 24/25/30/48/50/60fps，2.7K：2720x1530 24/25/30/48/50/60 fps，FHD: 1920 x 1080 24/25/30/48/50/60/120fps，录影模式:普通录影；慢动作（FOV:34.9°），视频存储最大码流:100 Mbps，支持文件系统:FAT32(≤32 GB)，exFAT (≥64 GB)，图片格式:JPEG / JPEG+DNG，视频格式:MP4 / MOV (MPEG-4 AVC/H.264)，支持存储卡类型:Micro SD，最大支持:256 GB，音频输出:48 KHz; AAC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高清录播主机</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于使用安全及方便安装部署考虑，录播所有设备采用壁挂式安装设计，录播主机与高清电容液晶触控屏一体化设计，无外任何外接连线触控屏。整机采用嵌入式硬件架构设计，配置ARM双核处理器、Linux系统、不小于1TB存储硬盘。（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2)为便于老师操作，要求录播主机液晶触控屏不小于13英寸，无外任何外接连线触控屏。（提供省级及以上权威机构出具的检测报告）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3)整机具备内置扬声器，用户可通过主机内置扬声器播放的提示音判断声音是否正常，通过主机一体化屏幕直接进行文件预览，可同步播放声音。（提供省级及以上权威机构出具的检测报告）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4)为保证整机一体性与稳定性，设备需为一体化。支持音视频采集、音视频编码、视频处理、音频处理、直播、录制、互动、参数设置等功能。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5)为保障安全性，整机一体化触控屏幕加装钢化玻璃，屏幕表面硬度钢化玻璃≥7H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6)为了保证后期维护便捷，录播主机与摄像机之间通过一条标准网线连接高清摄像机，即可实现视频传输、供电和控制功能。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7)整机HDMI多输出接口数量不少于3个，支持3840*2160输出，且支持音视频同步输出（提供省级及以上权威机构出具的检测报告）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8)为保护师生视力，录播主机高清电容液晶触控屏需满足无蓝光危害，符合国家检测标准。（提供省级及以上权威机构出具的检测报告）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考虑不同教室原有麦克风类型的利用考虑，主机需内置无线音频接收模块，整机无需外接音频接收模块，即可支持无线麦克风连接，至少支持2种不同类型的无线麦克风接入。（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10)考虑校园网络环境因素，录播主机需采用至少双网卡，摄像机接入网络和外网网络彼此隔离，网卡能够独立工作，互不影响。（提供省级及以上权威机构出具的检测报告）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11)支持在录播主机上随时查看已录制视频总容量，并采用百分比的形式便于教师清楚了解主机硬盘使用情况。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12)为方便老师使用支持文件重命名，无需外接盘鼠等设备，教师可在一体化触控屏上直接编辑录课视频文件名称。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13)支持单个文件删除，批量文件删除，支持清空视频功能，可一键清空主机视频。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14)为较少老师工作量，主机支持远程自动上传录像，录制停止后自动上传视频文件到平台，支持断点续传。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15)为便于设备管理，设备需支持上电自启动，设备通电后系统可自动启动，可通过软件设置开启或关闭上电自启动功能，支持定时开关机，可设定定时开关机时间。（提供省级及以上权威机构出具的检测报告）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为便于设备管理，需支持注册IOT物联平台，可通过IOT物联平台实现对设备的远程管控。（提供省级及以上权威机构出具的检测报告）（视频演示）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2"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导播控制系统</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1)为便于老师操作，支持在触控录播主机上进行一键开启、停止录制操作，录播工作状态实时可以看到。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2)支持单画面、画中画、左右等分、三画面、四画面的画面合成风格，支持自动导播、手动导播。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3)支持本地导播、远程导播，可通过互动录播电脑主机一体式屏幕实现本地导播控制，也可通过网络实现远程导播控制。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授课老师快速选择推流画面把控直播内容，在导播界面的预览窗口可实时观看教师全景/特写、学生全景/特写、多媒体电脑共五路画面，点击可进行手动画面切换。预监画面可实时推流给资源平台，实现平台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5)支持音视频同步录制，支持MP4文件格式。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6)支持导播优先级设定，可设定画面导播优先级，支持定时切换设置，可自由设定定时切换时间，可</w:t>
            </w:r>
            <w:bookmarkStart w:id="116" w:name="_GoBack"/>
            <w:bookmarkEnd w:id="116"/>
            <w:r>
              <w:rPr>
                <w:rFonts w:hint="eastAsia" w:ascii="宋体" w:hAnsi="宋体" w:eastAsia="宋体" w:cs="宋体"/>
                <w:i w:val="0"/>
                <w:iCs w:val="0"/>
                <w:color w:val="000000"/>
                <w:kern w:val="0"/>
                <w:sz w:val="20"/>
                <w:szCs w:val="20"/>
                <w:u w:val="none"/>
                <w:lang w:val="en-US" w:eastAsia="zh-CN" w:bidi="ar"/>
              </w:rPr>
              <w:t>自由选择定时切换画面，支持自动导播，根据教师、学生的行为状态智能的实现画面的切换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需支持设定自动导播默认画面，画面可以保持在默认画面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图像定位系统</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1)为简化教师操作，高清摄像机内嵌智能跟踪算法，即可实现跟踪定位控制功能。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2)为简化教师操作，当教师在讲台区域站立授课时，自动切换为教师特写，当教师在讲台区域进行走动时，自动切换到教师全景；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3)为简化教师操作，学生起立发言时，首先切换为学生全景，再过渡为发言学生的特写画面；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为简化教师操作，当教师切换多媒体授课时，自动切换为多媒体特写画面；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远程互动系统</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1.为方便老师操作，软件支持微信扫码登录，无需输入帐号密码即可实现登录，教师可便捷、快速进入互动课堂。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2.出于老师操作方便及记忆考虑，设备支持通过拨号形式进行互动课堂连接，在录播主机一体化触控屏上可直接拨打远端登录教师的手机号即可实现课堂连接。无需额外学习即可快速掌握上手使用。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3.为适应不同场景下的画面布局需求，互动课堂视频界面支持不少于两种画面布局设置。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4.为教师可实时查看授课教室的拍摄效果，及互动教室的听课状态。授课过程中，可实时显示授课教室及参与互动的听课教室画面。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5.为方便老师操作，授课过程中提供工具窗口，支持老师切换画面，调出互动工具；工具窗口可切换为迷你模式，以悬浮工具条形式显示，可置于授课课件上方。（提供省级及以上权威机构出具的检测报告）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6.为了解彼此的设备网络环境，可查看参与互动的教室的网络连接情况。（提供省级及以上权威机构出具的检测报告）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视频演示为实现多元素深度互动，增加学生课堂参与度，系统具备板书同步：授课过程中支持教师调起白板工具，在大屏上进行板书，板书内容将在听课端实时同步；且支持听课端在大屏上板书，反向实时同步至授课端及其他听课端。（提供省级及以上权威机构出具的检测报告）（视频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8.为方便老师授课，书写笔迹支持至少3种不同粗细选择，不少于10种不同颜色选择。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视频演示为方便老师备授课一体，软件内即可支持实现在线调取打开云课件列表，无需下载至本地，无需来回在各软件之间切换，即可在线打开云课件进行展示及讲授。（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视频演示为便于老师提高课堂互动性，支持教师在云课件中进行远程同步课堂游戏，异地教室的学生可同时在大屏上进行知识竞赛，以左右分屏形式实现两个教室的学生同台竞争。（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演示为突出临场感教学环境，支持在授课端及听课端生成拍照上传二维码，使用手机微信或QQ或钉钉等常用软件扫码后，可实时上传学生作业、试卷内容至大屏，授课端及听课端同步显示照片内容，且分别支持授课端与听课端的师生对照片进行拖动、放大、批注操作，实现远程讲评。（提供省级及以上权威机构出具的检测报告）（视频演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7"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高清摄像机</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1)教师定位分析镜头水平视场角≥ 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2)一体化集成设计，支持4K超高清，最大可提供4K@30fps图像编码输出。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3)内置图像识别跟踪算法，无需物理转动，即可实现平滑自然的跟踪效果，避免干扰课堂教学。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4)整机接口:≥1路RJ45。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5)传感器尺寸：≥CMOS 1/2.5英寸。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6)传感器有效像素≥850万。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7)扫描方式：逐行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8)最低照度：0.5 Lux @（F2.0, 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9)电子快门：1/30s ~ 1/10000s。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10)支持2D&amp;3D数字降噪，信噪比≥55dB。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11)主码流分辨率至少包含以下几种规格：3840x2160, 1920x1080, 1280x720, 720x480，360x240。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辅码流分辨率至少包含以下几种规格：1920x1080, 1280x720, 720x480，360x240。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高清摄像机</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1)学生定位分析镜头水平视场角≥ 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2)一体化集成设计，支持4K超高清，最大可提供4K@30fps图像编码输出。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3)内置图像识别跟踪算法，无需物理转动，即可实现平滑自然的跟踪效果，避免干扰课堂教学。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4)整机接口:≥1路RJ45。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5)支持POE有线网络供电，只需要1根网线，即可实现供电及信号传输。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6)传感器尺寸：≥CMOS 1/2.5英寸。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7)传感器有效像素≥850万。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8)扫描方式：逐行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9)最低照度：0.5 Lux @（F2.0, 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10)电子快门：1/30s ~ 1/10000s。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11)支持2D&amp;3D数字降噪，信噪比≥55dB。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12)主码流分辨率：3840x2160, 1920x1080, 1280x720, 720x480，360x240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13)辅码流分辨率：1920x1080, 1280x720, 720x480，360x240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14)视频码率：128Kbps ~ 16384Kbps。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15)帧率：50Hz: 最大25fps； 60Hz: 最大30fps。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网络流传输协议：TCP, HTTP, UDP，RTSP, RTMP, ONVIF。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采访话筒</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1)音频主控必须为国产IC芯片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2)频响范围20Hz~20kHz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4)声压级≥132dBspl（10%THD@1Khz）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数字音频处理器</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1)线性输入接口≥2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2)线性输出接口≥2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3)麦克风输入接口≥2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4)USB音频通道数量≥2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5)能够通过网线实现麦克风供电、音频信号传输、参数调整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6)麦克风支持TypeC接口，数量≥1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麦克风内置传感器数量≥6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互动音箱</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1)采用功放与有源音箱一体化设计，内置麦克风无线接收模块，帮助老师实现多媒体扩音以及本地扩声功能。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2)双音箱有线连接，机箱采用塑胶材质，保护设备免受环境影响。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3)输出额定功率: 2*15W，喇叭单元尺寸≥5寸。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4)端口：220V电源接口*1、Line in*1、USB*1。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5)麦克风和功放音箱之间采用数字U段传输技术，有效避免环境中2.4G信号干扰，例如蓝牙及WIFI设备。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6)配置独立音频数字信号处理芯片，支持啸叫抑制功能。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支持老师扩声和输入音源叠加输出，可对接录播系统实现老师扩声音频的纯净采集，避免环境杂音干扰采集效果。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录制面板及在线课堂互动系统</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1)互动过程唇音同步，音画不同步时间差＜50ms，互动单向延时＜300ms。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2)支持抗丢包算法，录播主机双向互动过程中，在系统总丢包率大于60%的网络环境下，视频清晰，语音连贯。（提供省级及以上权威机构出具的检测报告）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3)出于节省老师操控设备的考虑，需支持自动接听及手动接听，当主讲端发出呼叫请求后，在录播主机一体化触控屏上会出现呼叫提醒，教师可选择接听或者挂断。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4)支持码率自适应，可根据网络状态，自适应调整码流大小，始终保障互动过程音视频流畅。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5)支持互动清晰度设置，支持可选择1080P、720P，支持互动帧率设定，可根据需要选择支持互动画质选择，可选择好、一般、流畅三个不同等级。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便于老师快速登录录播系统，需具备快速登录方式，无需单独输入账号，使用微信等老师常用软件扫描录播主机一体化触控屏上显示的二维码即可登录互动系统，登录后可老师教师头像和教师名。（提供省级及以上权威机构出具的检测报告）（视频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7)支持一键创建互动课堂，可根据授课内容与校方安排，自主选择“创建授课”或“申请听课”。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8)出于老师操作方便及记忆考虑，设备支持通过拨号形式进行互动课堂连接，在录播主机一体化触控屏上可直接拨打远端登录教师的手机号即可实现课堂连接。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9)为较少老师工作量支持课程预约功能，录播主机能够接收平台下发的互动课表，并显示于互动录播电脑主机一体化触控屏上，教师点击课表即可立即加入课堂，进行实时互动。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满足系统布线需求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应用及管理平台</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基本管理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1)为了方便教研，系统采用模块化的架构设计B/S架构，教师可通过浏览器实现数据看板查看、实时巡课、名师示范课点播、教师管理等功能。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保障多级角色管理，系统至少提供超级管理员、内容管理员、权限管理员、专递课堂管理员等角色，分别具备不同模块的管理权限；在添加区域管理员时，可根据所属的行政地区，为不同层级的管理者设置所管辖的区域权限。（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3)支持管理员根据不同教师的工作需求创建角色，自定义该角色的名称和可使用的功能权限；并可查看各角色的人数，方便管理。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4)为方便老师自我提升及学习教师可以通过自主账号登录平台，根据教师个人学习需求对全区域的名师示范课等视频课程进行筛选、点播观看、在线学习。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5)为减轻老师负担，录播主机录制的视频支持自动上传至平台，支持本校教师或管理员对视频进行名称编辑、学科学段编辑、下载、删除、发布课程等操作。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6)课程发布时，可选择对应的学段、学科、发布模块、示范课分类等，方便教师按不同维度查找课程。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7)支持区域管理员和学校管理员分别对所管辖区域范围内，教师申请发布的课程进行审核，监控公开课程资源的质量；若课程未通过时，系统将自动通知该课程归属的教师。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8)支持名师、名校、教研组等认证管理。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名师认证：通过教师手机号码进行快速查询，根据查询后该教师的姓名、学科学段、所在区域、已上传示范课数量、课程播放量、参与教研活动次数等信息，确认身份并认证成为名师；（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②．教研组认证：通过名称输入进行快速查询，根据查询后该教研组负责人姓名账号、小组成员数、已开展教研活动次数，确认教研组信息并认证；（提供省级及以上权威机构出具的检测报告）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③．名校认证：通过输入名称快速查询，根据查询后该学校的教师人数、已上传示范课数量、课程总播放量，确认学校信息并认证；（提供省级及以上权威机构出具的检测报告）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通过认证的名师、教研组、名校，可实时在认证列表中查看认证名师的示范课数、课程播放量、参加的教研活动数，名师教研组的参加人数、参加的教研活动数，及认证名校的教师人数、示范课数、课程播放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10)平台支持本地视频上传：可对上传视频进行标题描述、课程介绍等设置，可选择默认的视频缩略图封面，也可选择本地图片上传成为封面。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11)新增课程计划、课程审核通过/被拒绝、认证成功、成功加入教研组等消息可在主页面实时提醒。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12)设备管理：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①.实时显示学校内设备总数、在线设备总数、正在直播或录制的活跃设备数，实时呈现学校录播设备整体情况；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②.学校管理员可实时监控校内录播设备的状态，包括设备CPU占用率、网络上下行带宽、磁盘空间情况、内存情况、系统版本，方便远程运维；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13)公网直播：学校管理员可设置录播设备的直播模式为公网直播，自由发起公网直播活动，方便举办公开课、校园培训等活动。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①．全局调度系统：实时收集节点负载、网络质量，并根据终端教师的 IP，将教师请求引导至最优的节点，以降低时延，提升流畅率。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14)直播活动：支持教师创建直播，提前设置预约直播信息，并获取直播地址及二维码，方便提前发布直播信息。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15)直播状态：根据直播开始时间和结束时间，分类显示所有直播的当前状态，包括未开始、进行中、已结束。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16)在直播结束前，支持教师修改直播的结束时间、直播场地、名称、封面、直播简介、课件、聊天互动权限等设置，并保持原分享链接和二维码不变，避免因活动调整导致原分享链接和二维码失效。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电脑端、移动端通过分享链接地址，查看直播活动的相关信息，包括封面、活动名称、学校名称、活动开始时间、简介、预览课件等；在预览课件时，教师可在课件上进行书写、擦除、移动图片素材等操作，且操作不影响原课件内容，方便评课老师在直播开始前，预览主讲老师的课件。（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教师可选择课件与直播关联，无需耗时上传本地文件；课件与直播关联后，支持教师在活动开始时间前查看云课件；活动开始后，教师可在观看直播视频时，在线查看已关联的课件。（提供省级及以上权威机构出具的检测报告）（视频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18)直播互动：直播过程中，支持教师在直播课程中发布评论、点赞、分享观看链接或二维码，同时可查看直播简介、活动课件和实时观看人数。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19)直播开始前和直播过程中，支持教师修改观众聊天互动的权限；可设置为观众禁言，仅允许管理员进行发言，把控直播活动的纪律。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20)签到设置：支持大型公开课在直播活动开始前，设置签到规则；可选择观众首次进入直播进行签到。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21)教研公开课开始后，支持查看直播的观看人次、点赞数量、观众发言次数、签到人数等数据，掌握公开课直播情况。（提供省级及以上权威机构出具的检测报告）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22)支持开启直播回放；开启后教师可在原有直播的分享链接中查看已结束的直播内容，回顾直播精彩环节。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23)教师可将多场已创建的直播，添加至同一直播分组，或在分组中直接新建直播；每个直播分组自动生成分享二维码和链接，方便观众在一个分组链接中选择不同直播进行观看。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24)支持直播集群技术，以支持系统的横向拓展。平台支持不少于200点以上高清直播功能。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25)督导巡课：教师可查看管辖区域内，正在直播授课的教室实时画面；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①．支持至少6个教室画面同屏预览，快速掌握各教室基本情况；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②．教师进入教室详情，可获取该教室当前授课信息、实时的音频、视频；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③．支持进入“自动巡课”模式，按每10秒-20秒轮播各教室画面；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数据统计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1)教师可浏览所管辖的区域数据，包括开通学校总数、加入教师总数、录播教室总数、专递课程总数、课程资源总数、课程观看人次。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2)看板呈现区域内已加入平台的教师的学段学科分布情况，并支持显示学段教师的占比数据，点击具体学段即可显示对应的学科分布情况。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3)支持区域地图看板呈现：通过选定地图看板的任意区域，可直观展示各下辖区域的开通学校数量、加入教师数量、专递课堂数量等数据。点击任意区域可进入并查看该区域的详细数据情况。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专递课堂数据：教师可查看参与专递课堂的学校总数、区域内已完成的专递课程总数以及计划的课程总数等；同时还支持下级区域根据参与专递课堂的学校数量进行排名，支持查看区域内完成专递课程最多的前十名学校，并可显示上榜学校的各自归属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5)名师课堂数据：教师可查看参与网络研修共同体的活跃教研组总数、区域内上传名师示范课的教师总数、名师示范课的播放总数等。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6)名校网络课堂数据：教师可查看参与名校网络课堂的学校总数、区域内的名校网络课程总数及课程播放数；支持查看区域内名校网络课堂课程播放量最高的前十所学校，并可显示上榜学校的各自所在区域。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专递课堂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1)教师可对区域内正在互动的授课教室进行实时巡课，支持按照区域、学校、学段、学科等信息进行精准筛选，快速定位。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2)正在互动的课程中，可实时显示已开课时间，方便管理者进行督查。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3)课表支持逐级汇总，教师个人课程计划、学校全体课程计划、区域全体课程计划等均支持在一张课表中展示，利于教师便捷查看。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名师课堂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1)教师可在名师示范课页面中，点播区域名师上传的优质示范课程。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2)平台提供课程播放总数最高的名师展示，支持教师点击名师头像进入教师空间，查看该名师上传的全部课程。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3)支持通过学段、学科、课程分类快速筛选课程视频；课程至少支持微课、专递课堂、培训讲座、课堂实录等分类，方便教师快速定位，查看所需课程。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4)教师可在教师空间中，查看该教师上传的全部课程、个人简介、所属学校以及个人成就，个人成就包含上传课程的总数、课程播放总次数等。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5)支持教师在平台中创建教研组，并管理教研组中的教师。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6)教师可以在平台将自己教研组中的教研活动公开给其他教师进行观摩学习，其他教师可以观看教研记录，且可在同一浏览器界面上，对教研过程中使用的课件进行自由翻页、批注、擦除等操作。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7)教研活动可显示活动名称、发起人名称、活动回放观看量。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8)教研组可显示教研组名称、累计教研场次、所归属的学科学段，支持登录教师进行个人参与的教研组的快速定位查看。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名校网络课堂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1)提供以学校为单位展示的网络课程，支持教师在名校网络课堂页面上直观地查看学校课程数、观看人次等数据。平台支持在首页推荐该学校的热门课程，方便教师进行预览观看。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2)教师可进入学校专区页面，详细了解该校情况，包括该校简介、活跃教师、学校上传的全部课程、课程观看总人次等数据。在活跃教师排行榜中，可看到各位名师发起的课程总数及总观看人次。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教师访问平台网页观看线上课程时，可直接在平台网页中参与知识配对、选词填空、趣味分类等在线互动答题，加深对知识点的理解；完成后，可直接查看答题用时与答题排行榜，并可选择继续观看视频或再玩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移动端观看课程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1)在名师网络课堂/名师示范课的课程页面中，支持一键生成分享海报，也可一键复制观看链接，方便分享给其他观众，通过移动端打开观看。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2)分享中包括课程名称、主讲人、学校名称及二维码等信息。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视频在线剪辑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方便老师操作，支持教师对本地上传或录播机录制的视频，通过浏览器便可完成在线剪辑，将视频的无效内容删除，保留课堂中的重难点和精彩部分。（提供省级及以上权威机构出具的检测报告）（视频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1)进行剪辑操作后，支持教师通过在线预览窗口，实时查看剪辑后的内容，确保视频效果。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2)插入课堂活动：支持教师在平台上查看已上传的云课件，并选择课件中的课堂活动插入视频中，设置为课程的互动答题环节。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3)视频分割删除：将视频分割成若干个片段，并把无效片段删除。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平台运维与服务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1)支持多教师高并发使用场景，具备高容错、强容灾能力，保证各项工作的正常进行。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2)服务：定期对技术负责人，根据需要在现场对建设方的技术、业务人员进行平台运行管理、日常维护、使用操作及资源管理等方面的培训。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3)弹性扩容：系统根据应用负载情况自动伸缩的能力，实现应用扩容。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4)后台支持监控告警机制，对系统各层级具备监控和告警能力。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注：根据教育局实际设备使用年限，存储空间的大小以及使用的年限不定时开通，不再另行收费。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资源平台主机</w:t>
            </w:r>
          </w:p>
        </w:tc>
        <w:tc>
          <w:tcPr>
            <w:tcW w:w="6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1.处理器：Intel E3-1245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2.内存类型：DDR4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3.内存空间：不小于16GB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4.硬盘接口：SATA3.0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5.硬盘类型：3.5英吋HDD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6.硬盘空间：物理空间不小于25TB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7.设备高度：≤1U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8.操作系统：支持centos 64位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9.raid等级：支持raid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10.指示灯：RUN*1 HDD*1 LAN1*1 LAN2*1 Power*1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11.电源：220V 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12.开关：船型开关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13.USB：USB2.0≥4、USB3.0≥2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14.管理接口：IPMI*1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15.网络接口：RJ45≥4，支持10/100/1000Mbps 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16.视频输出：VGA≥1 、HDMI≥1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17.调试接口：COM口≥1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18.设备支持一键复位功能。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18.点播流媒体服务：支持不少于200个点同时内网点播。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19.直播流媒体服务：支持不少于500个点同时内网直播。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20.产品通过3C认证，并提供证书复印件并加盖厂家投标专用章或公章。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bl>
    <w:p>
      <w:pPr>
        <w:pStyle w:val="12"/>
        <w:numPr>
          <w:ilvl w:val="0"/>
          <w:numId w:val="0"/>
        </w:numPr>
        <w:jc w:val="both"/>
        <w:rPr>
          <w:rFonts w:hint="eastAsia" w:ascii="宋体" w:hAnsi="宋体" w:eastAsia="宋体" w:cs="宋体"/>
          <w:lang w:val="en-US" w:eastAsia="zh-CN"/>
        </w:rPr>
        <w:sectPr>
          <w:footerReference r:id="rId14" w:type="first"/>
          <w:footerReference r:id="rId13" w:type="default"/>
          <w:pgSz w:w="16840" w:h="11907" w:orient="landscape"/>
          <w:pgMar w:top="1080" w:right="1440" w:bottom="850" w:left="1440" w:header="851" w:footer="850" w:gutter="0"/>
          <w:pgNumType w:fmt="decimal"/>
          <w:cols w:space="720" w:num="1"/>
          <w:docGrid w:type="lines" w:linePitch="409" w:charSpace="0"/>
        </w:sectPr>
      </w:pPr>
    </w:p>
    <w:bookmarkEnd w:id="38"/>
    <w:p>
      <w:pPr>
        <w:pStyle w:val="4"/>
        <w:bidi w:val="0"/>
        <w:jc w:val="center"/>
        <w:outlineLvl w:val="0"/>
        <w:rPr>
          <w:rFonts w:hint="default" w:ascii="宋体" w:hAnsi="宋体" w:eastAsia="宋体" w:cs="宋体"/>
          <w:b/>
          <w:kern w:val="2"/>
          <w:sz w:val="32"/>
          <w:szCs w:val="32"/>
          <w:lang w:val="en-US" w:eastAsia="zh-CN" w:bidi="ar-SA"/>
        </w:rPr>
      </w:pPr>
      <w:bookmarkStart w:id="40" w:name="_Toc26928"/>
      <w:bookmarkStart w:id="41" w:name="_Toc17462130"/>
      <w:r>
        <w:rPr>
          <w:rFonts w:hint="eastAsia" w:ascii="宋体" w:hAnsi="宋体" w:eastAsia="宋体" w:cs="宋体"/>
          <w:b/>
          <w:kern w:val="2"/>
          <w:sz w:val="32"/>
          <w:szCs w:val="32"/>
          <w:lang w:val="en-US" w:eastAsia="zh-CN" w:bidi="ar-SA"/>
        </w:rPr>
        <w:t>第四部分采购合同</w:t>
      </w:r>
      <w:bookmarkEnd w:id="40"/>
    </w:p>
    <w:p>
      <w:pPr>
        <w:pStyle w:val="18"/>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具体以正式签订合同为准</w:t>
      </w:r>
    </w:p>
    <w:p>
      <w:pPr>
        <w:pStyle w:val="18"/>
        <w:bidi w:val="0"/>
        <w:rPr>
          <w:rFonts w:hint="eastAsia" w:asciiTheme="minorEastAsia" w:hAnsiTheme="minorEastAsia" w:eastAsiaTheme="minorEastAsia" w:cstheme="minorEastAsia"/>
        </w:rPr>
      </w:pPr>
    </w:p>
    <w:p>
      <w:pPr>
        <w:snapToGrid w:val="0"/>
        <w:spacing w:before="50" w:line="348" w:lineRule="auto"/>
        <w:jc w:val="center"/>
        <w:rPr>
          <w:b/>
          <w:sz w:val="24"/>
        </w:rPr>
      </w:pPr>
      <w:r>
        <w:rPr>
          <w:b/>
          <w:sz w:val="24"/>
          <w:u w:val="single"/>
        </w:rPr>
        <w:t xml:space="preserve">         </w:t>
      </w:r>
      <w:r>
        <w:rPr>
          <w:rFonts w:hint="eastAsia" w:asciiTheme="minorEastAsia" w:hAnsiTheme="minorEastAsia" w:eastAsiaTheme="minorEastAsia" w:cstheme="minorEastAsia"/>
          <w:kern w:val="2"/>
          <w:sz w:val="24"/>
          <w:szCs w:val="24"/>
          <w:lang w:val="en-US" w:eastAsia="zh-CN" w:bidi="ar-SA"/>
        </w:rPr>
        <w:t>买卖合同</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合同编号：</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买方（甲方）：                            签订地点： </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卖方（乙方）：                            签订时间：</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w:t>
      </w:r>
      <w:r>
        <w:rPr>
          <w:rFonts w:hint="eastAsia" w:asciiTheme="minorEastAsia" w:hAnsiTheme="minorEastAsia" w:eastAsiaTheme="minorEastAsia" w:cstheme="minorEastAsia"/>
          <w:sz w:val="24"/>
          <w:szCs w:val="24"/>
          <w:lang w:val="en-US" w:eastAsia="zh-CN"/>
        </w:rPr>
        <w:t>民典法</w:t>
      </w:r>
      <w:r>
        <w:rPr>
          <w:rFonts w:hint="eastAsia" w:asciiTheme="minorEastAsia" w:hAnsiTheme="minorEastAsia" w:eastAsiaTheme="minorEastAsia" w:cstheme="minorEastAsia"/>
          <w:sz w:val="24"/>
          <w:szCs w:val="24"/>
        </w:rPr>
        <w:t>》及相关法律规定，经协商一致，买卖双方同意按下列条款签署本合同。</w:t>
      </w:r>
    </w:p>
    <w:p>
      <w:pPr>
        <w:pStyle w:val="18"/>
        <w:bidi w:val="0"/>
        <w:rPr>
          <w:rFonts w:hint="eastAsia" w:asciiTheme="minorEastAsia" w:hAnsiTheme="minorEastAsia" w:eastAsiaTheme="minorEastAsia" w:cstheme="minorEastAsia"/>
          <w:sz w:val="24"/>
          <w:szCs w:val="24"/>
          <w:lang w:val="en-US" w:eastAsia="zh-CN"/>
        </w:rPr>
      </w:pPr>
      <w:bookmarkStart w:id="42" w:name="_Toc6456"/>
      <w:bookmarkStart w:id="43" w:name="_Toc380393678"/>
      <w:r>
        <w:rPr>
          <w:rFonts w:hint="eastAsia" w:asciiTheme="minorEastAsia" w:hAnsiTheme="minorEastAsia" w:eastAsiaTheme="minorEastAsia" w:cstheme="minorEastAsia"/>
          <w:sz w:val="24"/>
          <w:szCs w:val="24"/>
          <w:lang w:val="en-US" w:eastAsia="zh-CN"/>
        </w:rPr>
        <w:t>货物名称、品牌、规格型号、数量、单价、总价</w:t>
      </w:r>
      <w:bookmarkEnd w:id="42"/>
      <w:bookmarkEnd w:id="43"/>
    </w:p>
    <w:tbl>
      <w:tblPr>
        <w:tblStyle w:val="2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29"/>
        <w:gridCol w:w="1190"/>
        <w:gridCol w:w="1549"/>
        <w:gridCol w:w="856"/>
        <w:gridCol w:w="988"/>
        <w:gridCol w:w="141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892" w:type="dxa"/>
            <w:noWrap w:val="0"/>
            <w:vAlign w:val="top"/>
          </w:tcPr>
          <w:p>
            <w:pPr>
              <w:pStyle w:val="18"/>
              <w:bidi w:val="0"/>
              <w:jc w:val="center"/>
              <w:rPr>
                <w:rFonts w:hint="eastAsia" w:asciiTheme="minorEastAsia" w:hAnsiTheme="minorEastAsia" w:eastAsiaTheme="minorEastAsia" w:cstheme="minorEastAsia"/>
                <w:sz w:val="24"/>
                <w:szCs w:val="24"/>
              </w:rPr>
            </w:pPr>
          </w:p>
          <w:p>
            <w:pPr>
              <w:pStyle w:val="18"/>
              <w:bidi w:val="0"/>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29" w:type="dxa"/>
            <w:noWrap w:val="0"/>
            <w:vAlign w:val="center"/>
          </w:tcPr>
          <w:p>
            <w:pPr>
              <w:pStyle w:val="18"/>
              <w:bidi w:val="0"/>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货物名称</w:t>
            </w:r>
          </w:p>
        </w:tc>
        <w:tc>
          <w:tcPr>
            <w:tcW w:w="1190" w:type="dxa"/>
            <w:noWrap w:val="0"/>
            <w:vAlign w:val="center"/>
          </w:tcPr>
          <w:p>
            <w:pPr>
              <w:pStyle w:val="18"/>
              <w:bidi w:val="0"/>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c>
          <w:tcPr>
            <w:tcW w:w="1549" w:type="dxa"/>
            <w:noWrap w:val="0"/>
            <w:vAlign w:val="center"/>
          </w:tcPr>
          <w:p>
            <w:pPr>
              <w:pStyle w:val="18"/>
              <w:bidi w:val="0"/>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856" w:type="dxa"/>
            <w:noWrap w:val="0"/>
            <w:vAlign w:val="center"/>
          </w:tcPr>
          <w:p>
            <w:pPr>
              <w:pStyle w:val="18"/>
              <w:bidi w:val="0"/>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988" w:type="dxa"/>
            <w:noWrap w:val="0"/>
            <w:vAlign w:val="center"/>
          </w:tcPr>
          <w:p>
            <w:pPr>
              <w:pStyle w:val="18"/>
              <w:bidi w:val="0"/>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415" w:type="dxa"/>
            <w:noWrap w:val="0"/>
            <w:vAlign w:val="center"/>
          </w:tcPr>
          <w:p>
            <w:pPr>
              <w:pStyle w:val="18"/>
              <w:bidi w:val="0"/>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单</w:t>
            </w:r>
            <w:r>
              <w:rPr>
                <w:rFonts w:hint="eastAsia" w:asciiTheme="minorEastAsia" w:hAnsiTheme="minorEastAsia" w:eastAsiaTheme="minorEastAsia" w:cstheme="minorEastAsia"/>
                <w:sz w:val="24"/>
                <w:szCs w:val="24"/>
              </w:rPr>
              <w:t>价(元)</w:t>
            </w:r>
          </w:p>
        </w:tc>
        <w:tc>
          <w:tcPr>
            <w:tcW w:w="1698" w:type="dxa"/>
            <w:noWrap w:val="0"/>
            <w:vAlign w:val="center"/>
          </w:tcPr>
          <w:p>
            <w:pPr>
              <w:pStyle w:val="18"/>
              <w:bidi w:val="0"/>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92" w:type="dxa"/>
            <w:noWrap w:val="0"/>
            <w:vAlign w:val="center"/>
          </w:tcPr>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29" w:type="dxa"/>
            <w:noWrap w:val="0"/>
            <w:vAlign w:val="center"/>
          </w:tcPr>
          <w:p>
            <w:pPr>
              <w:pStyle w:val="18"/>
              <w:bidi w:val="0"/>
              <w:rPr>
                <w:rFonts w:hint="eastAsia" w:asciiTheme="minorEastAsia" w:hAnsiTheme="minorEastAsia" w:eastAsiaTheme="minorEastAsia" w:cstheme="minorEastAsia"/>
                <w:sz w:val="24"/>
                <w:szCs w:val="24"/>
              </w:rPr>
            </w:pPr>
          </w:p>
        </w:tc>
        <w:tc>
          <w:tcPr>
            <w:tcW w:w="1190" w:type="dxa"/>
            <w:noWrap w:val="0"/>
            <w:vAlign w:val="center"/>
          </w:tcPr>
          <w:p>
            <w:pPr>
              <w:pStyle w:val="18"/>
              <w:bidi w:val="0"/>
              <w:rPr>
                <w:rFonts w:hint="eastAsia" w:asciiTheme="minorEastAsia" w:hAnsiTheme="minorEastAsia" w:eastAsiaTheme="minorEastAsia" w:cstheme="minorEastAsia"/>
                <w:sz w:val="24"/>
                <w:szCs w:val="24"/>
              </w:rPr>
            </w:pPr>
          </w:p>
        </w:tc>
        <w:tc>
          <w:tcPr>
            <w:tcW w:w="1549" w:type="dxa"/>
            <w:noWrap w:val="0"/>
            <w:vAlign w:val="center"/>
          </w:tcPr>
          <w:p>
            <w:pPr>
              <w:pStyle w:val="18"/>
              <w:bidi w:val="0"/>
              <w:rPr>
                <w:rFonts w:hint="eastAsia" w:asciiTheme="minorEastAsia" w:hAnsiTheme="minorEastAsia" w:eastAsiaTheme="minorEastAsia" w:cstheme="minorEastAsia"/>
                <w:sz w:val="24"/>
                <w:szCs w:val="24"/>
              </w:rPr>
            </w:pPr>
          </w:p>
        </w:tc>
        <w:tc>
          <w:tcPr>
            <w:tcW w:w="856" w:type="dxa"/>
            <w:noWrap w:val="0"/>
            <w:vAlign w:val="center"/>
          </w:tcPr>
          <w:p>
            <w:pPr>
              <w:pStyle w:val="18"/>
              <w:bidi w:val="0"/>
              <w:rPr>
                <w:rFonts w:hint="eastAsia" w:asciiTheme="minorEastAsia" w:hAnsiTheme="minorEastAsia" w:eastAsiaTheme="minorEastAsia" w:cstheme="minorEastAsia"/>
                <w:sz w:val="24"/>
                <w:szCs w:val="24"/>
              </w:rPr>
            </w:pPr>
          </w:p>
        </w:tc>
        <w:tc>
          <w:tcPr>
            <w:tcW w:w="988" w:type="dxa"/>
            <w:noWrap w:val="0"/>
            <w:vAlign w:val="center"/>
          </w:tcPr>
          <w:p>
            <w:pPr>
              <w:pStyle w:val="18"/>
              <w:bidi w:val="0"/>
              <w:rPr>
                <w:rFonts w:hint="eastAsia" w:asciiTheme="minorEastAsia" w:hAnsiTheme="minorEastAsia" w:eastAsiaTheme="minorEastAsia" w:cstheme="minorEastAsia"/>
                <w:sz w:val="24"/>
                <w:szCs w:val="24"/>
              </w:rPr>
            </w:pPr>
          </w:p>
        </w:tc>
        <w:tc>
          <w:tcPr>
            <w:tcW w:w="1415" w:type="dxa"/>
            <w:noWrap w:val="0"/>
            <w:vAlign w:val="center"/>
          </w:tcPr>
          <w:p>
            <w:pPr>
              <w:pStyle w:val="18"/>
              <w:bidi w:val="0"/>
              <w:rPr>
                <w:rFonts w:hint="eastAsia" w:asciiTheme="minorEastAsia" w:hAnsiTheme="minorEastAsia" w:eastAsiaTheme="minorEastAsia" w:cstheme="minorEastAsia"/>
                <w:sz w:val="24"/>
                <w:szCs w:val="24"/>
              </w:rPr>
            </w:pPr>
          </w:p>
        </w:tc>
        <w:tc>
          <w:tcPr>
            <w:tcW w:w="1698" w:type="dxa"/>
            <w:noWrap w:val="0"/>
            <w:vAlign w:val="center"/>
          </w:tcPr>
          <w:p>
            <w:pPr>
              <w:pStyle w:val="18"/>
              <w:bidi w:val="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92" w:type="dxa"/>
            <w:noWrap w:val="0"/>
            <w:vAlign w:val="center"/>
          </w:tcPr>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29" w:type="dxa"/>
            <w:noWrap w:val="0"/>
            <w:vAlign w:val="center"/>
          </w:tcPr>
          <w:p>
            <w:pPr>
              <w:pStyle w:val="18"/>
              <w:bidi w:val="0"/>
              <w:rPr>
                <w:rFonts w:hint="eastAsia" w:asciiTheme="minorEastAsia" w:hAnsiTheme="minorEastAsia" w:eastAsiaTheme="minorEastAsia" w:cstheme="minorEastAsia"/>
                <w:sz w:val="24"/>
                <w:szCs w:val="24"/>
              </w:rPr>
            </w:pPr>
          </w:p>
        </w:tc>
        <w:tc>
          <w:tcPr>
            <w:tcW w:w="1190" w:type="dxa"/>
            <w:noWrap w:val="0"/>
            <w:vAlign w:val="center"/>
          </w:tcPr>
          <w:p>
            <w:pPr>
              <w:pStyle w:val="18"/>
              <w:bidi w:val="0"/>
              <w:rPr>
                <w:rFonts w:hint="eastAsia" w:asciiTheme="minorEastAsia" w:hAnsiTheme="minorEastAsia" w:eastAsiaTheme="minorEastAsia" w:cstheme="minorEastAsia"/>
                <w:sz w:val="24"/>
                <w:szCs w:val="24"/>
              </w:rPr>
            </w:pPr>
          </w:p>
        </w:tc>
        <w:tc>
          <w:tcPr>
            <w:tcW w:w="1549" w:type="dxa"/>
            <w:noWrap w:val="0"/>
            <w:vAlign w:val="center"/>
          </w:tcPr>
          <w:p>
            <w:pPr>
              <w:pStyle w:val="18"/>
              <w:bidi w:val="0"/>
              <w:rPr>
                <w:rFonts w:hint="eastAsia" w:asciiTheme="minorEastAsia" w:hAnsiTheme="minorEastAsia" w:eastAsiaTheme="minorEastAsia" w:cstheme="minorEastAsia"/>
                <w:sz w:val="24"/>
                <w:szCs w:val="24"/>
              </w:rPr>
            </w:pPr>
          </w:p>
        </w:tc>
        <w:tc>
          <w:tcPr>
            <w:tcW w:w="856" w:type="dxa"/>
            <w:noWrap w:val="0"/>
            <w:vAlign w:val="center"/>
          </w:tcPr>
          <w:p>
            <w:pPr>
              <w:pStyle w:val="18"/>
              <w:bidi w:val="0"/>
              <w:rPr>
                <w:rFonts w:hint="eastAsia" w:asciiTheme="minorEastAsia" w:hAnsiTheme="minorEastAsia" w:eastAsiaTheme="minorEastAsia" w:cstheme="minorEastAsia"/>
                <w:sz w:val="24"/>
                <w:szCs w:val="24"/>
              </w:rPr>
            </w:pPr>
          </w:p>
        </w:tc>
        <w:tc>
          <w:tcPr>
            <w:tcW w:w="988" w:type="dxa"/>
            <w:noWrap w:val="0"/>
            <w:vAlign w:val="center"/>
          </w:tcPr>
          <w:p>
            <w:pPr>
              <w:pStyle w:val="18"/>
              <w:bidi w:val="0"/>
              <w:rPr>
                <w:rFonts w:hint="eastAsia" w:asciiTheme="minorEastAsia" w:hAnsiTheme="minorEastAsia" w:eastAsiaTheme="minorEastAsia" w:cstheme="minorEastAsia"/>
                <w:sz w:val="24"/>
                <w:szCs w:val="24"/>
              </w:rPr>
            </w:pPr>
          </w:p>
        </w:tc>
        <w:tc>
          <w:tcPr>
            <w:tcW w:w="1415" w:type="dxa"/>
            <w:noWrap w:val="0"/>
            <w:vAlign w:val="center"/>
          </w:tcPr>
          <w:p>
            <w:pPr>
              <w:pStyle w:val="18"/>
              <w:bidi w:val="0"/>
              <w:rPr>
                <w:rFonts w:hint="eastAsia" w:asciiTheme="minorEastAsia" w:hAnsiTheme="minorEastAsia" w:eastAsiaTheme="minorEastAsia" w:cstheme="minorEastAsia"/>
                <w:sz w:val="24"/>
                <w:szCs w:val="24"/>
              </w:rPr>
            </w:pPr>
          </w:p>
        </w:tc>
        <w:tc>
          <w:tcPr>
            <w:tcW w:w="1698" w:type="dxa"/>
            <w:noWrap w:val="0"/>
            <w:vAlign w:val="center"/>
          </w:tcPr>
          <w:p>
            <w:pPr>
              <w:pStyle w:val="18"/>
              <w:bidi w:val="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92" w:type="dxa"/>
            <w:noWrap w:val="0"/>
            <w:vAlign w:val="center"/>
          </w:tcPr>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29" w:type="dxa"/>
            <w:noWrap w:val="0"/>
            <w:vAlign w:val="center"/>
          </w:tcPr>
          <w:p>
            <w:pPr>
              <w:pStyle w:val="18"/>
              <w:bidi w:val="0"/>
              <w:rPr>
                <w:rFonts w:hint="eastAsia" w:asciiTheme="minorEastAsia" w:hAnsiTheme="minorEastAsia" w:eastAsiaTheme="minorEastAsia" w:cstheme="minorEastAsia"/>
                <w:sz w:val="24"/>
                <w:szCs w:val="24"/>
              </w:rPr>
            </w:pPr>
          </w:p>
        </w:tc>
        <w:tc>
          <w:tcPr>
            <w:tcW w:w="1190" w:type="dxa"/>
            <w:noWrap w:val="0"/>
            <w:vAlign w:val="center"/>
          </w:tcPr>
          <w:p>
            <w:pPr>
              <w:pStyle w:val="18"/>
              <w:bidi w:val="0"/>
              <w:rPr>
                <w:rFonts w:hint="eastAsia" w:asciiTheme="minorEastAsia" w:hAnsiTheme="minorEastAsia" w:eastAsiaTheme="minorEastAsia" w:cstheme="minorEastAsia"/>
                <w:sz w:val="24"/>
                <w:szCs w:val="24"/>
              </w:rPr>
            </w:pPr>
          </w:p>
        </w:tc>
        <w:tc>
          <w:tcPr>
            <w:tcW w:w="1549" w:type="dxa"/>
            <w:noWrap w:val="0"/>
            <w:vAlign w:val="center"/>
          </w:tcPr>
          <w:p>
            <w:pPr>
              <w:pStyle w:val="18"/>
              <w:bidi w:val="0"/>
              <w:rPr>
                <w:rFonts w:hint="eastAsia" w:asciiTheme="minorEastAsia" w:hAnsiTheme="minorEastAsia" w:eastAsiaTheme="minorEastAsia" w:cstheme="minorEastAsia"/>
                <w:sz w:val="24"/>
                <w:szCs w:val="24"/>
              </w:rPr>
            </w:pPr>
          </w:p>
        </w:tc>
        <w:tc>
          <w:tcPr>
            <w:tcW w:w="856" w:type="dxa"/>
            <w:noWrap w:val="0"/>
            <w:vAlign w:val="center"/>
          </w:tcPr>
          <w:p>
            <w:pPr>
              <w:pStyle w:val="18"/>
              <w:bidi w:val="0"/>
              <w:rPr>
                <w:rFonts w:hint="eastAsia" w:asciiTheme="minorEastAsia" w:hAnsiTheme="minorEastAsia" w:eastAsiaTheme="minorEastAsia" w:cstheme="minorEastAsia"/>
                <w:sz w:val="24"/>
                <w:szCs w:val="24"/>
              </w:rPr>
            </w:pPr>
          </w:p>
        </w:tc>
        <w:tc>
          <w:tcPr>
            <w:tcW w:w="988" w:type="dxa"/>
            <w:noWrap w:val="0"/>
            <w:vAlign w:val="center"/>
          </w:tcPr>
          <w:p>
            <w:pPr>
              <w:pStyle w:val="18"/>
              <w:bidi w:val="0"/>
              <w:rPr>
                <w:rFonts w:hint="eastAsia" w:asciiTheme="minorEastAsia" w:hAnsiTheme="minorEastAsia" w:eastAsiaTheme="minorEastAsia" w:cstheme="minorEastAsia"/>
                <w:sz w:val="24"/>
                <w:szCs w:val="24"/>
              </w:rPr>
            </w:pPr>
          </w:p>
        </w:tc>
        <w:tc>
          <w:tcPr>
            <w:tcW w:w="1415" w:type="dxa"/>
            <w:noWrap w:val="0"/>
            <w:vAlign w:val="center"/>
          </w:tcPr>
          <w:p>
            <w:pPr>
              <w:pStyle w:val="18"/>
              <w:bidi w:val="0"/>
              <w:rPr>
                <w:rFonts w:hint="eastAsia" w:asciiTheme="minorEastAsia" w:hAnsiTheme="minorEastAsia" w:eastAsiaTheme="minorEastAsia" w:cstheme="minorEastAsia"/>
                <w:sz w:val="24"/>
                <w:szCs w:val="24"/>
              </w:rPr>
            </w:pPr>
          </w:p>
        </w:tc>
        <w:tc>
          <w:tcPr>
            <w:tcW w:w="1698" w:type="dxa"/>
            <w:noWrap w:val="0"/>
            <w:vAlign w:val="center"/>
          </w:tcPr>
          <w:p>
            <w:pPr>
              <w:pStyle w:val="18"/>
              <w:bidi w:val="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17" w:type="dxa"/>
            <w:gridSpan w:val="8"/>
            <w:noWrap w:val="0"/>
            <w:vAlign w:val="center"/>
          </w:tcPr>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合计人民币金额（大写）：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221" w:type="dxa"/>
            <w:gridSpan w:val="2"/>
            <w:noWrap w:val="0"/>
            <w:vAlign w:val="center"/>
          </w:tcPr>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tc>
        <w:tc>
          <w:tcPr>
            <w:tcW w:w="7696" w:type="dxa"/>
            <w:gridSpan w:val="6"/>
            <w:noWrap w:val="0"/>
            <w:vAlign w:val="center"/>
          </w:tcPr>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1、设备清单与本合同具有同等效力</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w:t>
            </w:r>
            <w:r>
              <w:rPr>
                <w:rFonts w:hint="eastAsia" w:asciiTheme="minorEastAsia" w:hAnsiTheme="minorEastAsia" w:eastAsiaTheme="minorEastAsia" w:cstheme="minorEastAsia"/>
                <w:sz w:val="24"/>
                <w:szCs w:val="24"/>
                <w:lang w:val="en-US" w:eastAsia="zh-CN"/>
              </w:rPr>
              <w:t>要求</w:t>
            </w:r>
            <w:r>
              <w:rPr>
                <w:rFonts w:hint="eastAsia" w:asciiTheme="minorEastAsia" w:hAnsiTheme="minorEastAsia" w:eastAsiaTheme="minorEastAsia" w:cstheme="minorEastAsia"/>
                <w:sz w:val="24"/>
                <w:szCs w:val="24"/>
              </w:rPr>
              <w:t>与本合同具有同等效力</w:t>
            </w:r>
          </w:p>
        </w:tc>
      </w:tr>
    </w:tbl>
    <w:p>
      <w:pPr>
        <w:pStyle w:val="18"/>
        <w:bidi w:val="0"/>
        <w:rPr>
          <w:rFonts w:hint="eastAsia" w:asciiTheme="minorEastAsia" w:hAnsiTheme="minorEastAsia" w:eastAsiaTheme="minorEastAsia" w:cstheme="minorEastAsia"/>
          <w:sz w:val="24"/>
          <w:szCs w:val="24"/>
          <w:lang w:val="en-US" w:eastAsia="zh-CN"/>
        </w:rPr>
      </w:pPr>
      <w:bookmarkStart w:id="44" w:name="_Toc380393681"/>
      <w:bookmarkStart w:id="45" w:name="_Toc16514"/>
      <w:bookmarkStart w:id="46" w:name="_Toc264901048"/>
      <w:r>
        <w:rPr>
          <w:rFonts w:hint="eastAsia" w:asciiTheme="minorEastAsia" w:hAnsiTheme="minorEastAsia" w:eastAsiaTheme="minorEastAsia" w:cstheme="minorEastAsia"/>
          <w:sz w:val="24"/>
          <w:szCs w:val="24"/>
          <w:lang w:val="en-US" w:eastAsia="zh-CN"/>
        </w:rPr>
        <w:t>2、合同总金额</w:t>
      </w:r>
      <w:bookmarkEnd w:id="44"/>
      <w:bookmarkEnd w:id="45"/>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2.1本合同项目货物（含配置的标准备品备件、易损件、附件及专用工具等，下同）总价共计      元人民币。该价格包含整套货物的设计、制造、包装、运输、保险、装车、保管、指导安装调试、检验、培训及售后技术服务、技术资料、税费等费用。该价格在合同履行期间保持不变，即不因市场或政策性因素的调整而增减。</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2.2合同履行期间，因货物数量增减导致的合同总价格变化，应按实际增减数额及本合同约定的单价结算。</w:t>
      </w:r>
    </w:p>
    <w:p>
      <w:pPr>
        <w:pStyle w:val="18"/>
        <w:bidi w:val="0"/>
        <w:rPr>
          <w:rFonts w:hint="eastAsia" w:asciiTheme="minorEastAsia" w:hAnsiTheme="minorEastAsia" w:eastAsiaTheme="minorEastAsia" w:cstheme="minorEastAsia"/>
          <w:sz w:val="24"/>
          <w:szCs w:val="24"/>
          <w:lang w:val="en-US" w:eastAsia="zh-CN"/>
        </w:rPr>
      </w:pPr>
      <w:bookmarkStart w:id="47" w:name="_Toc26067"/>
      <w:bookmarkStart w:id="48" w:name="_Toc380393682"/>
      <w:r>
        <w:rPr>
          <w:rFonts w:hint="eastAsia" w:asciiTheme="minorEastAsia" w:hAnsiTheme="minorEastAsia" w:eastAsiaTheme="minorEastAsia" w:cstheme="minorEastAsia"/>
          <w:sz w:val="24"/>
          <w:szCs w:val="24"/>
          <w:lang w:val="en-US" w:eastAsia="zh-CN"/>
        </w:rPr>
        <w:t>3、货物质量、技术规范要求</w:t>
      </w:r>
      <w:bookmarkEnd w:id="47"/>
      <w:bookmarkEnd w:id="48"/>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根据招标文件第三章及投标人投标文件、评标后专家、技术部门意见写入合同。</w:t>
      </w:r>
    </w:p>
    <w:p>
      <w:pPr>
        <w:pStyle w:val="18"/>
        <w:bidi w:val="0"/>
        <w:rPr>
          <w:rFonts w:hint="eastAsia" w:asciiTheme="minorEastAsia" w:hAnsiTheme="minorEastAsia" w:eastAsiaTheme="minorEastAsia" w:cstheme="minorEastAsia"/>
          <w:sz w:val="24"/>
          <w:szCs w:val="24"/>
          <w:lang w:val="en-US" w:eastAsia="zh-CN"/>
        </w:rPr>
      </w:pPr>
      <w:bookmarkStart w:id="49" w:name="_Toc380393683"/>
      <w:bookmarkStart w:id="50" w:name="_Toc6974"/>
      <w:r>
        <w:rPr>
          <w:rFonts w:hint="eastAsia" w:asciiTheme="minorEastAsia" w:hAnsiTheme="minorEastAsia" w:eastAsiaTheme="minorEastAsia" w:cstheme="minorEastAsia"/>
          <w:sz w:val="24"/>
          <w:szCs w:val="24"/>
          <w:lang w:val="en-US" w:eastAsia="zh-CN"/>
        </w:rPr>
        <w:t>4、供货方式</w:t>
      </w:r>
      <w:bookmarkEnd w:id="49"/>
      <w:bookmarkEnd w:id="50"/>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4.1卖卖方负责在合同签订后</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日历日内，送货至买方指定的施工安装现场。货物安装调试验收合格前的一切风险和责任由卖方承担。</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4.2交付的货物必须附随必须的一切技术文件和资料（中文版本），卖方须列明清单，在货物安装调试验收合格后一并移交买方。图纸合同签订后10日内提交图纸。</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4.3提供的设备性能、品牌、功能未满足招标文件要求及甲方使用要求，造成损失金额的双倍罚款。</w:t>
      </w:r>
    </w:p>
    <w:p>
      <w:pPr>
        <w:pStyle w:val="18"/>
        <w:bidi w:val="0"/>
        <w:rPr>
          <w:rFonts w:hint="eastAsia" w:asciiTheme="minorEastAsia" w:hAnsiTheme="minorEastAsia" w:eastAsiaTheme="minorEastAsia" w:cstheme="minorEastAsia"/>
          <w:sz w:val="24"/>
          <w:szCs w:val="24"/>
          <w:lang w:val="en-US" w:eastAsia="zh-CN"/>
        </w:rPr>
      </w:pPr>
      <w:bookmarkStart w:id="51" w:name="_Toc26134"/>
      <w:bookmarkStart w:id="52" w:name="_Toc380393684"/>
      <w:r>
        <w:rPr>
          <w:rFonts w:hint="eastAsia" w:asciiTheme="minorEastAsia" w:hAnsiTheme="minorEastAsia" w:eastAsiaTheme="minorEastAsia" w:cstheme="minorEastAsia"/>
          <w:sz w:val="24"/>
          <w:szCs w:val="24"/>
          <w:lang w:val="en-US" w:eastAsia="zh-CN"/>
        </w:rPr>
        <w:t>5、包装</w:t>
      </w:r>
      <w:bookmarkEnd w:id="51"/>
      <w:bookmarkEnd w:id="52"/>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卖方提供的全部货物，均应采用国家或专业标准保护措施进行包装，使包装适应于远距离运输、防潮、防震、防锈和防野蛮装卸，确保货物安全无损运抵现场。由于包装不善所引起的货物锈蚀、损坏和损失均由卖方承担。</w:t>
      </w:r>
    </w:p>
    <w:p>
      <w:pPr>
        <w:pStyle w:val="18"/>
        <w:bidi w:val="0"/>
        <w:rPr>
          <w:rFonts w:hint="eastAsia" w:asciiTheme="minorEastAsia" w:hAnsiTheme="minorEastAsia" w:eastAsiaTheme="minorEastAsia" w:cstheme="minorEastAsia"/>
          <w:sz w:val="24"/>
          <w:szCs w:val="24"/>
          <w:lang w:val="en-US" w:eastAsia="zh-CN"/>
        </w:rPr>
      </w:pPr>
      <w:bookmarkStart w:id="53" w:name="_Toc264901018"/>
      <w:bookmarkStart w:id="54" w:name="_Toc29363"/>
      <w:bookmarkStart w:id="55" w:name="_Toc380393685"/>
      <w:bookmarkStart w:id="56" w:name="_Toc264901015"/>
      <w:r>
        <w:rPr>
          <w:rFonts w:hint="eastAsia" w:asciiTheme="minorEastAsia" w:hAnsiTheme="minorEastAsia" w:eastAsiaTheme="minorEastAsia" w:cstheme="minorEastAsia"/>
          <w:sz w:val="24"/>
          <w:szCs w:val="24"/>
          <w:lang w:val="en-US" w:eastAsia="zh-CN"/>
        </w:rPr>
        <w:t>6、质量保证</w:t>
      </w:r>
      <w:bookmarkEnd w:id="53"/>
      <w:r>
        <w:rPr>
          <w:rFonts w:hint="eastAsia" w:asciiTheme="minorEastAsia" w:hAnsiTheme="minorEastAsia" w:eastAsiaTheme="minorEastAsia" w:cstheme="minorEastAsia"/>
          <w:sz w:val="24"/>
          <w:szCs w:val="24"/>
          <w:lang w:val="en-US" w:eastAsia="zh-CN"/>
        </w:rPr>
        <w:t>和售后技术服务</w:t>
      </w:r>
      <w:bookmarkEnd w:id="54"/>
      <w:bookmarkEnd w:id="55"/>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6.1卖方保证货物是全新、未使用过的，是用一流的工艺和最佳材料制造而成的，并完全符合合同规定的质量、规格和性能的要求。卖方应对由于设计、工艺或材料的缺陷而发生的任何不足或故障负责。</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6.2卖方负责派出专业技术人员对买方工作人员进行现场培训，直至买方工作人员能够熟练操作运转为止。</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6.3货物的</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为调试运行合格后 壹 年，自货物使用验收合格之日起算。</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6.4在质量保证期内货物发生故障，卖方应在 8小时内响应，应派或协调货物制造商维修工程师于24小时内到达到买方所在地现场免费维修，维修完毕后应及时填写维修报告（包括故障原因、处理情况等），买方签署意见，如故障设备在48小时内无法修复，卖方将在 60 小时内予以更换新货物或提供代用货物，其中发生一切费用由卖方承担；在质量保证期内卖方必须提供每年不少于两次的巡查检修；卖方对超过质量保证期的货物提供终生维修服务，超出质保期进行维修时只收部件成本费。</w:t>
      </w:r>
    </w:p>
    <w:p>
      <w:pPr>
        <w:pStyle w:val="18"/>
        <w:bidi w:val="0"/>
        <w:rPr>
          <w:rFonts w:hint="eastAsia" w:asciiTheme="minorEastAsia" w:hAnsiTheme="minorEastAsia" w:eastAsiaTheme="minorEastAsia" w:cstheme="minorEastAsia"/>
          <w:sz w:val="24"/>
          <w:szCs w:val="24"/>
          <w:lang w:val="en-US" w:eastAsia="zh-CN"/>
        </w:rPr>
      </w:pPr>
      <w:bookmarkStart w:id="57" w:name="_Toc380393686"/>
      <w:bookmarkStart w:id="58" w:name="_Toc14877"/>
      <w:r>
        <w:rPr>
          <w:rFonts w:hint="eastAsia" w:asciiTheme="minorEastAsia" w:hAnsiTheme="minorEastAsia" w:eastAsiaTheme="minorEastAsia" w:cstheme="minorEastAsia"/>
          <w:sz w:val="24"/>
          <w:szCs w:val="24"/>
          <w:lang w:val="en-US" w:eastAsia="zh-CN"/>
        </w:rPr>
        <w:t>7、监造</w:t>
      </w:r>
      <w:bookmarkEnd w:id="57"/>
      <w:bookmarkEnd w:id="58"/>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7.1买方有权在货物制造过程中派人到制造厂进行监造，卖方有义务为买方监造人员提供食宿和工作方便，买方监造人对货物质量不负任何责任。</w:t>
      </w:r>
    </w:p>
    <w:p>
      <w:pPr>
        <w:pStyle w:val="18"/>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8、验收方式</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货物运抵现场后，买方会同卖方对货物（含备品备件、易损件、附件及专用工具）的品牌、规格、外观、数量等进行初步验收：如发现货物的品牌、规格、外观等与合同约定不符，卖方应无条件免费更换，更换货物应在七个工作日内到货，因此产生的费用全部由卖方承担；如货物数量不足，卖方应保证在五个工作日内补足，超出合同约定数量的货物，买方有权拒绝接收。</w:t>
      </w:r>
    </w:p>
    <w:p>
      <w:pPr>
        <w:pStyle w:val="18"/>
        <w:bidi w:val="0"/>
        <w:rPr>
          <w:rFonts w:hint="eastAsia" w:asciiTheme="minorEastAsia" w:hAnsiTheme="minorEastAsia" w:eastAsiaTheme="minorEastAsia" w:cstheme="minorEastAsia"/>
          <w:sz w:val="24"/>
          <w:szCs w:val="24"/>
        </w:rPr>
      </w:pPr>
      <w:bookmarkStart w:id="59" w:name="_Toc374103799"/>
      <w:bookmarkStart w:id="60" w:name="_Toc380393688"/>
      <w:bookmarkStart w:id="61" w:name="_Toc32215"/>
      <w:r>
        <w:rPr>
          <w:rFonts w:hint="eastAsia" w:asciiTheme="minorEastAsia" w:hAnsiTheme="minorEastAsia" w:eastAsiaTheme="minorEastAsia" w:cstheme="minorEastAsia"/>
          <w:sz w:val="24"/>
          <w:szCs w:val="24"/>
        </w:rPr>
        <w:t>8.2安装调试验收</w:t>
      </w:r>
      <w:bookmarkEnd w:id="59"/>
      <w:r>
        <w:rPr>
          <w:rFonts w:hint="eastAsia" w:asciiTheme="minorEastAsia" w:hAnsiTheme="minorEastAsia" w:eastAsiaTheme="minorEastAsia" w:cstheme="minorEastAsia"/>
          <w:sz w:val="24"/>
          <w:szCs w:val="24"/>
        </w:rPr>
        <w:t>：</w:t>
      </w:r>
      <w:bookmarkEnd w:id="60"/>
      <w:r>
        <w:rPr>
          <w:rFonts w:hint="eastAsia" w:asciiTheme="minorEastAsia" w:hAnsiTheme="minorEastAsia" w:eastAsiaTheme="minorEastAsia" w:cstheme="minorEastAsia"/>
          <w:sz w:val="24"/>
          <w:szCs w:val="24"/>
        </w:rPr>
        <w:t>买方负责货物的卸货、二次搬运、就位。卖方负责指导安装调试工作，买方以电话和邮件方式通知卖方3日内到矿对货物进行安装调试工作，对货物质量双方依据合同约定的标准进行验收。货物安装调试验收合格、能够正常运行后，进入使用验收阶段。</w:t>
      </w:r>
      <w:bookmarkEnd w:id="61"/>
    </w:p>
    <w:p>
      <w:pPr>
        <w:pStyle w:val="18"/>
        <w:bidi w:val="0"/>
        <w:rPr>
          <w:rFonts w:hint="eastAsia" w:asciiTheme="minorEastAsia" w:hAnsiTheme="minorEastAsia" w:eastAsiaTheme="minorEastAsia" w:cstheme="minorEastAsia"/>
          <w:sz w:val="24"/>
          <w:szCs w:val="24"/>
        </w:rPr>
      </w:pPr>
      <w:bookmarkStart w:id="62" w:name="_Toc374103800"/>
      <w:r>
        <w:rPr>
          <w:rFonts w:hint="eastAsia" w:asciiTheme="minorEastAsia" w:hAnsiTheme="minorEastAsia" w:eastAsiaTheme="minorEastAsia" w:cstheme="minorEastAsia"/>
          <w:sz w:val="24"/>
          <w:szCs w:val="24"/>
        </w:rPr>
        <w:t>8.3试运行验收</w:t>
      </w:r>
      <w:bookmarkEnd w:id="62"/>
      <w:r>
        <w:rPr>
          <w:rFonts w:hint="eastAsia" w:asciiTheme="minorEastAsia" w:hAnsiTheme="minorEastAsia" w:eastAsiaTheme="minorEastAsia" w:cstheme="minorEastAsia"/>
          <w:sz w:val="24"/>
          <w:szCs w:val="24"/>
        </w:rPr>
        <w:t>：货物安装调试验收合格之日起，贰个月内为试运行期（注：参考期限），双方对货物的质量、技术规范及性能等依据合同约定的标准进行使用验收。验收合格的，双方签署货物终验合格报告。</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 卖方免费提供对买方设备操作人员短期培训，培训时间不少7日，应确保甲方设备操作人员熟练掌握设备的操作及日常维保技能。</w:t>
      </w:r>
    </w:p>
    <w:bookmarkEnd w:id="46"/>
    <w:bookmarkEnd w:id="56"/>
    <w:p>
      <w:pPr>
        <w:pStyle w:val="18"/>
        <w:bidi w:val="0"/>
        <w:rPr>
          <w:rFonts w:hint="eastAsia" w:asciiTheme="minorEastAsia" w:hAnsiTheme="minorEastAsia" w:eastAsiaTheme="minorEastAsia" w:cstheme="minorEastAsia"/>
          <w:sz w:val="24"/>
          <w:szCs w:val="24"/>
          <w:lang w:val="en-US" w:eastAsia="zh-CN"/>
        </w:rPr>
      </w:pPr>
      <w:bookmarkStart w:id="63" w:name="_Toc264901039"/>
      <w:bookmarkStart w:id="64" w:name="_Toc3349"/>
      <w:bookmarkStart w:id="65" w:name="_Toc380393689"/>
      <w:r>
        <w:rPr>
          <w:rFonts w:hint="eastAsia" w:asciiTheme="minorEastAsia" w:hAnsiTheme="minorEastAsia" w:eastAsiaTheme="minorEastAsia" w:cstheme="minorEastAsia"/>
          <w:sz w:val="24"/>
          <w:szCs w:val="24"/>
          <w:lang w:val="en-US" w:eastAsia="zh-CN"/>
        </w:rPr>
        <w:t>9、付款方式</w:t>
      </w:r>
      <w:bookmarkEnd w:id="63"/>
      <w:bookmarkEnd w:id="64"/>
      <w:bookmarkEnd w:id="65"/>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9.1合同签订生效后预付合同总金额的30%；安装调试验收合格后支付</w:t>
      </w:r>
      <w:r>
        <w:rPr>
          <w:rFonts w:hint="eastAsia" w:asciiTheme="minorEastAsia" w:hAnsiTheme="minorEastAsia" w:eastAsiaTheme="minorEastAsia" w:cstheme="minorEastAsia"/>
          <w:sz w:val="24"/>
          <w:szCs w:val="24"/>
          <w:lang w:val="en-US" w:eastAsia="zh-CN"/>
        </w:rPr>
        <w:t>剩余</w:t>
      </w:r>
      <w:r>
        <w:rPr>
          <w:rFonts w:hint="eastAsia" w:asciiTheme="minorEastAsia" w:hAnsiTheme="minorEastAsia" w:eastAsiaTheme="minorEastAsia" w:cstheme="minorEastAsia"/>
          <w:sz w:val="24"/>
          <w:szCs w:val="24"/>
        </w:rPr>
        <w:t>合同总金额的</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w:t>
      </w:r>
    </w:p>
    <w:p>
      <w:pPr>
        <w:pStyle w:val="18"/>
        <w:bidi w:val="0"/>
        <w:rPr>
          <w:rFonts w:hint="eastAsia" w:asciiTheme="minorEastAsia" w:hAnsiTheme="minorEastAsia" w:eastAsiaTheme="minorEastAsia" w:cstheme="minorEastAsia"/>
          <w:sz w:val="24"/>
          <w:szCs w:val="24"/>
          <w:lang w:val="en-US" w:eastAsia="zh-CN"/>
        </w:rPr>
      </w:pPr>
      <w:bookmarkStart w:id="66" w:name="_Toc264901011"/>
      <w:bookmarkStart w:id="67" w:name="_Toc8007"/>
      <w:bookmarkStart w:id="68" w:name="_Toc380393690"/>
      <w:r>
        <w:rPr>
          <w:rFonts w:hint="eastAsia" w:asciiTheme="minorEastAsia" w:hAnsiTheme="minorEastAsia" w:eastAsiaTheme="minorEastAsia" w:cstheme="minorEastAsia"/>
          <w:sz w:val="24"/>
          <w:szCs w:val="24"/>
          <w:lang w:val="en-US" w:eastAsia="zh-CN"/>
        </w:rPr>
        <w:t>10、</w:t>
      </w:r>
      <w:bookmarkEnd w:id="66"/>
      <w:r>
        <w:rPr>
          <w:rFonts w:hint="eastAsia" w:asciiTheme="minorEastAsia" w:hAnsiTheme="minorEastAsia" w:eastAsiaTheme="minorEastAsia" w:cstheme="minorEastAsia"/>
          <w:sz w:val="24"/>
          <w:szCs w:val="24"/>
          <w:lang w:val="en-US" w:eastAsia="zh-CN"/>
        </w:rPr>
        <w:t>知识产权保护</w:t>
      </w:r>
      <w:bookmarkEnd w:id="67"/>
      <w:bookmarkEnd w:id="68"/>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保证货物及其包装、标识等未侵犯任何第三人的知识产权，不论任何原因，因卖方货物及其包装、标识等涉嫌侵犯第三人知识产权，而导致买方所购买货物被工商、司法等部门查扣或被第三人索赔等情形，卖方必须赔偿买方因此所产生的一切损失，并按合同总价的20%向买方支付违约金。</w:t>
      </w:r>
    </w:p>
    <w:p>
      <w:pPr>
        <w:pStyle w:val="18"/>
        <w:bidi w:val="0"/>
        <w:rPr>
          <w:rFonts w:hint="eastAsia" w:asciiTheme="minorEastAsia" w:hAnsiTheme="minorEastAsia" w:eastAsiaTheme="minorEastAsia" w:cstheme="minorEastAsia"/>
          <w:sz w:val="24"/>
          <w:szCs w:val="24"/>
          <w:lang w:val="en-US" w:eastAsia="zh-CN"/>
        </w:rPr>
      </w:pPr>
      <w:bookmarkStart w:id="69" w:name="_Toc26082"/>
      <w:bookmarkStart w:id="70" w:name="_Toc380393691"/>
      <w:bookmarkStart w:id="71" w:name="_Toc264901024"/>
      <w:bookmarkStart w:id="72" w:name="_Toc264901021"/>
      <w:r>
        <w:rPr>
          <w:rFonts w:hint="eastAsia" w:asciiTheme="minorEastAsia" w:hAnsiTheme="minorEastAsia" w:eastAsiaTheme="minorEastAsia" w:cstheme="minorEastAsia"/>
          <w:sz w:val="24"/>
          <w:szCs w:val="24"/>
          <w:lang w:val="en-US" w:eastAsia="zh-CN"/>
        </w:rPr>
        <w:t>11、不可抗力</w:t>
      </w:r>
      <w:bookmarkEnd w:id="69"/>
      <w:bookmarkEnd w:id="70"/>
      <w:bookmarkEnd w:id="71"/>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任何一方因不可抗力影响，无法履行合同义务时，应在不可抗力事件发生后以最快的方式通知另一方，并在事件发生后  3 天内，将有关部门出具的证明文件以特快专递送达另一方。如果不可抗力事件影响时间持续20天以上的，双方应通过友好协商处理合同的履行或解除事宜。</w:t>
      </w:r>
    </w:p>
    <w:p>
      <w:pPr>
        <w:pStyle w:val="18"/>
        <w:bidi w:val="0"/>
        <w:rPr>
          <w:rFonts w:hint="eastAsia" w:asciiTheme="minorEastAsia" w:hAnsiTheme="minorEastAsia" w:eastAsiaTheme="minorEastAsia" w:cstheme="minorEastAsia"/>
          <w:sz w:val="24"/>
          <w:szCs w:val="24"/>
          <w:lang w:val="en-US" w:eastAsia="zh-CN"/>
        </w:rPr>
      </w:pPr>
      <w:bookmarkStart w:id="73" w:name="_Toc9134"/>
      <w:bookmarkStart w:id="74" w:name="_Toc380393692"/>
      <w:bookmarkStart w:id="75" w:name="_Toc264901026"/>
      <w:r>
        <w:rPr>
          <w:rFonts w:hint="eastAsia" w:asciiTheme="minorEastAsia" w:hAnsiTheme="minorEastAsia" w:eastAsiaTheme="minorEastAsia" w:cstheme="minorEastAsia"/>
          <w:sz w:val="24"/>
          <w:szCs w:val="24"/>
          <w:lang w:val="en-US" w:eastAsia="zh-CN"/>
        </w:rPr>
        <w:t>12、履约担保</w:t>
      </w:r>
      <w:bookmarkEnd w:id="73"/>
      <w:bookmarkEnd w:id="74"/>
      <w:bookmarkEnd w:id="75"/>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卖方在履行合同的整个过程中无违约行为，其在中标后提交的履约保证金将在货物使用验收合格后五个工作日内无息退还。</w:t>
      </w:r>
    </w:p>
    <w:bookmarkEnd w:id="72"/>
    <w:p>
      <w:pPr>
        <w:pStyle w:val="18"/>
        <w:bidi w:val="0"/>
        <w:rPr>
          <w:rFonts w:hint="eastAsia" w:asciiTheme="minorEastAsia" w:hAnsiTheme="minorEastAsia" w:eastAsiaTheme="minorEastAsia" w:cstheme="minorEastAsia"/>
          <w:sz w:val="24"/>
          <w:szCs w:val="24"/>
          <w:lang w:val="en-US" w:eastAsia="zh-CN"/>
        </w:rPr>
      </w:pPr>
      <w:bookmarkStart w:id="76" w:name="_Toc380393693"/>
      <w:bookmarkStart w:id="77" w:name="_Toc23009"/>
      <w:r>
        <w:rPr>
          <w:rFonts w:hint="eastAsia" w:asciiTheme="minorEastAsia" w:hAnsiTheme="minorEastAsia" w:eastAsiaTheme="minorEastAsia" w:cstheme="minorEastAsia"/>
          <w:sz w:val="24"/>
          <w:szCs w:val="24"/>
          <w:lang w:val="en-US" w:eastAsia="zh-CN"/>
        </w:rPr>
        <w:t>13、违约责任</w:t>
      </w:r>
      <w:bookmarkEnd w:id="76"/>
      <w:bookmarkEnd w:id="77"/>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卖方未按合同约定期限送货至买方指定地点的，每逾期一天，支付违约金为合同价的1%，买方造成原因顺延交货时间；逾期超过30天的，买方有权单方解除合同，卖方必须按合同总价的20%向买方支付违约金，违约金不足以弥补买方损失的，对超出部分买方有权进行索赔。</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卖方因自身原因未按合同约定期限完成货物的指导安装调试工作的，每逾期一天，支付违约金1000元/天；逾期超过30天的，买方有权单方解除合同，卖方必须按合同总价的10%向买方支付违约金，违约金不足以弥补买方损失的，对超出部分买方有权进行索赔。</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 卖方交付的货物（含备品备件、易损件、专用工具及附件）其品牌、规格、外观等经初步验收与合同约定不符，卖方应无条件免费更换，更换货物应在七个工作日内到货，卖方承担因此发生的全部费用，并按合同总价的10%向买方支付违约金；卖方拒绝更换的，买方有权单方解除合同，卖方必须按合同总价的10%向买方支付违约金，违约金不足以弥补买方损失的，对超出部分买方有权进行索赔。</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 卖方交付的货物（含备品备件、易损件、专用工具及附件）经使用验收不符合合同约定的质量、技术规范及性能等要求的，卖方必须在七个工作日内无条件免费更换或修理至符合合同约定的标准，卖方承担因此发生的全部费用，并按合同总价的10%向买方支付违约金；卖方拒绝更换或无法修理至符合合同约定的标准，买方有权单方解除合同，卖方必须以合同总价的10%向买方支付违约金，违约金不足以弥补买方损失的，对超出部分买方有权进行索赔。</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 买方与卖方在签订合同后一个月内卖方向买房提供全套设计图纸，图纸中的内容需包含合同范围内的所有内容，并且满足招标文件要求的技术要求，若未按合同约定的时间提交全套图纸的，每延迟一天扣除合同款的1‰。</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13.6买方未按合同约定期限向卖方支付货款的，每逾期一天，按应付未付金额的日万分之一向卖方支付违约金。</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13.7 在质量保证期内，卖方未履行其售后服务承诺的，买方有权拒付质量保证金。</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13.8验收设备和部件时，如出现和招标文件中实质偏离10%，买方按合同总价款下浮10%支付给卖方。</w:t>
      </w:r>
    </w:p>
    <w:p>
      <w:pPr>
        <w:pStyle w:val="18"/>
        <w:bidi w:val="0"/>
        <w:rPr>
          <w:rFonts w:hint="eastAsia" w:asciiTheme="minorEastAsia" w:hAnsiTheme="minorEastAsia" w:eastAsiaTheme="minorEastAsia" w:cstheme="minorEastAsia"/>
          <w:sz w:val="24"/>
          <w:szCs w:val="24"/>
          <w:lang w:val="en-US" w:eastAsia="zh-CN"/>
        </w:rPr>
      </w:pPr>
      <w:bookmarkStart w:id="78" w:name="_Toc380393694"/>
      <w:bookmarkStart w:id="79" w:name="_Toc15160"/>
      <w:r>
        <w:rPr>
          <w:rFonts w:hint="eastAsia" w:asciiTheme="minorEastAsia" w:hAnsiTheme="minorEastAsia" w:eastAsiaTheme="minorEastAsia" w:cstheme="minorEastAsia"/>
          <w:sz w:val="24"/>
          <w:szCs w:val="24"/>
          <w:lang w:val="en-US" w:eastAsia="zh-CN"/>
        </w:rPr>
        <w:t>14、争议和纠纷的解决方式</w:t>
      </w:r>
      <w:bookmarkEnd w:id="78"/>
      <w:bookmarkEnd w:id="79"/>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因履行本合同引起的及与本合同相关的一切争议和纠纷，双方应协商解决，协商不成的，依法向买方所在地有管辖权的人民法院提起诉讼。</w:t>
      </w:r>
    </w:p>
    <w:p>
      <w:pPr>
        <w:pStyle w:val="18"/>
        <w:bidi w:val="0"/>
        <w:rPr>
          <w:rFonts w:hint="eastAsia" w:asciiTheme="minorEastAsia" w:hAnsiTheme="minorEastAsia" w:eastAsiaTheme="minorEastAsia" w:cstheme="minorEastAsia"/>
          <w:sz w:val="24"/>
          <w:szCs w:val="24"/>
          <w:lang w:val="en-US" w:eastAsia="zh-CN"/>
        </w:rPr>
      </w:pPr>
      <w:bookmarkStart w:id="80" w:name="_Toc380393695"/>
      <w:bookmarkStart w:id="81" w:name="_Toc264901030"/>
      <w:bookmarkStart w:id="82" w:name="_Toc21327"/>
      <w:r>
        <w:rPr>
          <w:rFonts w:hint="eastAsia" w:asciiTheme="minorEastAsia" w:hAnsiTheme="minorEastAsia" w:eastAsiaTheme="minorEastAsia" w:cstheme="minorEastAsia"/>
          <w:sz w:val="24"/>
          <w:szCs w:val="24"/>
          <w:lang w:val="en-US" w:eastAsia="zh-CN"/>
        </w:rPr>
        <w:t>15、通知</w:t>
      </w:r>
      <w:bookmarkEnd w:id="80"/>
      <w:bookmarkEnd w:id="81"/>
      <w:bookmarkEnd w:id="82"/>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15.1本合同的一方给另一方的通知都应以书面形式按如下通讯方式和地址送达对方：</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买方通讯方式和地址：</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公司名称： </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公司地址：</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收件人：</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卖方通讯方式和地址：</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公司名称：</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公司地址：</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收件人：</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如任何一方的“通讯方式和地址”有改变应及时通知到对方，如因未及时通知对方而造成不能及时收到对方信函、文件等资料的，对方将信函、文件等按本合同约定的“通讯方式和地址”发出，有以下任何一种情形均视为送达，由此造成的一切损失等后果由未通知方负责：</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15.2.1信函、文件发出的时间加上正常的在途时间视为已送达的时间。</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15.2.2 邮件回执注明“查无此人”、“拒收”等类似表述的。</w:t>
      </w:r>
    </w:p>
    <w:p>
      <w:pPr>
        <w:pStyle w:val="18"/>
        <w:bidi w:val="0"/>
        <w:rPr>
          <w:rFonts w:hint="eastAsia" w:asciiTheme="minorEastAsia" w:hAnsiTheme="minorEastAsia" w:eastAsiaTheme="minorEastAsia" w:cstheme="minorEastAsia"/>
          <w:sz w:val="24"/>
          <w:szCs w:val="24"/>
          <w:lang w:val="en-US" w:eastAsia="zh-CN"/>
        </w:rPr>
      </w:pPr>
      <w:bookmarkStart w:id="83" w:name="_Toc16100"/>
      <w:bookmarkStart w:id="84" w:name="_Toc380393696"/>
      <w:bookmarkStart w:id="85" w:name="_Toc264901033"/>
      <w:r>
        <w:rPr>
          <w:rFonts w:hint="eastAsia" w:asciiTheme="minorEastAsia" w:hAnsiTheme="minorEastAsia" w:eastAsiaTheme="minorEastAsia" w:cstheme="minorEastAsia"/>
          <w:sz w:val="24"/>
          <w:szCs w:val="24"/>
          <w:lang w:val="en-US" w:eastAsia="zh-CN"/>
        </w:rPr>
        <w:t>16、转让或分包</w:t>
      </w:r>
      <w:bookmarkEnd w:id="83"/>
      <w:bookmarkEnd w:id="84"/>
      <w:bookmarkEnd w:id="85"/>
    </w:p>
    <w:p>
      <w:pPr>
        <w:pStyle w:val="18"/>
        <w:bidi w:val="0"/>
        <w:rPr>
          <w:rFonts w:hint="eastAsia" w:asciiTheme="minorEastAsia" w:hAnsiTheme="minorEastAsia" w:eastAsiaTheme="minorEastAsia" w:cstheme="minorEastAsia"/>
          <w:sz w:val="24"/>
          <w:szCs w:val="24"/>
        </w:rPr>
      </w:pPr>
      <w:bookmarkStart w:id="86" w:name="_Toc264901034"/>
      <w:r>
        <w:rPr>
          <w:rFonts w:hint="eastAsia" w:asciiTheme="minorEastAsia" w:hAnsiTheme="minorEastAsia" w:eastAsiaTheme="minorEastAsia" w:cstheme="minorEastAsia"/>
          <w:sz w:val="24"/>
          <w:szCs w:val="24"/>
        </w:rPr>
        <w:t>本合同不允许任何形式的转让或分包。</w:t>
      </w:r>
    </w:p>
    <w:p>
      <w:pPr>
        <w:pStyle w:val="18"/>
        <w:bidi w:val="0"/>
        <w:rPr>
          <w:rFonts w:hint="eastAsia" w:asciiTheme="minorEastAsia" w:hAnsiTheme="minorEastAsia" w:eastAsiaTheme="minorEastAsia" w:cstheme="minorEastAsia"/>
          <w:sz w:val="24"/>
          <w:szCs w:val="24"/>
          <w:lang w:val="en-US" w:eastAsia="zh-CN"/>
        </w:rPr>
      </w:pPr>
      <w:bookmarkStart w:id="87" w:name="_Toc380393697"/>
      <w:bookmarkStart w:id="88" w:name="_Toc26630"/>
      <w:r>
        <w:rPr>
          <w:rFonts w:hint="eastAsia" w:asciiTheme="minorEastAsia" w:hAnsiTheme="minorEastAsia" w:eastAsiaTheme="minorEastAsia" w:cstheme="minorEastAsia"/>
          <w:sz w:val="24"/>
          <w:szCs w:val="24"/>
          <w:lang w:val="en-US" w:eastAsia="zh-CN"/>
        </w:rPr>
        <w:t>17、廉政条款</w:t>
      </w:r>
      <w:bookmarkEnd w:id="87"/>
      <w:bookmarkEnd w:id="88"/>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买方特别声明：在本合同的谈判、签约、执行等全过程中，买方拒绝一切形式的有违国家法律法规、有违买方规章制度及本合同规定、有违商业道德和职业道德的行为。买方请卖方给予监督、配合，并欢迎卖方如实反映可能出现的问题。</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卖方特别声明：在本合同的谈判、签约、执行等全过程中，卖方不做任何形式的有违国家法律法规、有违买方规章制度及本合同规定、有违商业道德和职业道德的尝试。如出现上述行为，卖方确认愿意承担买方可能采取的解除合同、依法追索经济损失等措施所带来的一切后果，确认愿意赔偿买方的经济损失并对买方的措施和举动给予配合。</w:t>
      </w:r>
    </w:p>
    <w:bookmarkEnd w:id="86"/>
    <w:p>
      <w:pPr>
        <w:pStyle w:val="18"/>
        <w:bidi w:val="0"/>
        <w:rPr>
          <w:rFonts w:hint="eastAsia" w:asciiTheme="minorEastAsia" w:hAnsiTheme="minorEastAsia" w:eastAsiaTheme="minorEastAsia" w:cstheme="minorEastAsia"/>
          <w:sz w:val="24"/>
          <w:szCs w:val="24"/>
          <w:lang w:val="en-US" w:eastAsia="zh-CN"/>
        </w:rPr>
      </w:pPr>
      <w:bookmarkStart w:id="89" w:name="_Toc21171"/>
      <w:bookmarkStart w:id="90" w:name="_Toc264901035"/>
      <w:bookmarkStart w:id="91" w:name="_Toc380393698"/>
      <w:r>
        <w:rPr>
          <w:rFonts w:hint="eastAsia" w:asciiTheme="minorEastAsia" w:hAnsiTheme="minorEastAsia" w:eastAsiaTheme="minorEastAsia" w:cstheme="minorEastAsia"/>
          <w:sz w:val="24"/>
          <w:szCs w:val="24"/>
          <w:lang w:val="en-US" w:eastAsia="zh-CN"/>
        </w:rPr>
        <w:t>18、合同生效</w:t>
      </w:r>
      <w:bookmarkEnd w:id="89"/>
      <w:bookmarkEnd w:id="90"/>
      <w:bookmarkEnd w:id="91"/>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本合同壹式肆份，买方持叁份，卖方持壹份，自双方法定代表人或委托代理人签字并盖章之日起生效。</w:t>
      </w:r>
    </w:p>
    <w:p>
      <w:pPr>
        <w:pStyle w:val="18"/>
        <w:bidi w:val="0"/>
        <w:rPr>
          <w:rFonts w:hint="eastAsia" w:asciiTheme="minorEastAsia" w:hAnsiTheme="minorEastAsia" w:eastAsiaTheme="minorEastAsia" w:cstheme="minorEastAsia"/>
          <w:sz w:val="24"/>
          <w:szCs w:val="24"/>
          <w:lang w:val="en-US" w:eastAsia="zh-CN"/>
        </w:rPr>
      </w:pPr>
      <w:bookmarkStart w:id="92" w:name="_Toc9055"/>
      <w:bookmarkStart w:id="93" w:name="_Toc380393699"/>
      <w:r>
        <w:rPr>
          <w:rFonts w:hint="eastAsia" w:asciiTheme="minorEastAsia" w:hAnsiTheme="minorEastAsia" w:eastAsiaTheme="minorEastAsia" w:cstheme="minorEastAsia"/>
          <w:sz w:val="24"/>
          <w:szCs w:val="24"/>
          <w:lang w:val="en-US" w:eastAsia="zh-CN"/>
        </w:rPr>
        <w:t>19、合同组成及解释顺序</w:t>
      </w:r>
      <w:bookmarkEnd w:id="92"/>
      <w:bookmarkEnd w:id="93"/>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组成本合同的文件及优先解释顺序如下：</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(1)本协议书</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(3)投标文件及其附件</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(4)招标文件及其附件</w:t>
      </w:r>
    </w:p>
    <w:p>
      <w:pPr>
        <w:pStyle w:val="1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（以下无正文，为各方签字盖章处）</w:t>
      </w:r>
    </w:p>
    <w:p>
      <w:pPr>
        <w:pStyle w:val="18"/>
        <w:bidi w:val="0"/>
        <w:rPr>
          <w:rFonts w:hint="eastAsia" w:asciiTheme="minorEastAsia" w:hAnsiTheme="minorEastAsia" w:eastAsiaTheme="minorEastAsia" w:cstheme="minorEastAsia"/>
          <w:sz w:val="24"/>
          <w:szCs w:val="24"/>
        </w:rPr>
      </w:pPr>
    </w:p>
    <w:p>
      <w:pPr>
        <w:pStyle w:val="18"/>
        <w:bidi w:val="0"/>
        <w:rPr>
          <w:rFonts w:hint="eastAsia" w:asciiTheme="minorEastAsia" w:hAnsiTheme="minorEastAsia" w:eastAsiaTheme="minorEastAsia" w:cstheme="minorEastAsia"/>
          <w:sz w:val="24"/>
          <w:szCs w:val="24"/>
        </w:rPr>
      </w:pPr>
    </w:p>
    <w:p>
      <w:pPr>
        <w:pStyle w:val="18"/>
        <w:bidi w:val="0"/>
        <w:rPr>
          <w:rFonts w:hint="eastAsia" w:asciiTheme="minorEastAsia" w:hAnsiTheme="minorEastAsia" w:eastAsiaTheme="minorEastAsia" w:cstheme="minorEastAsia"/>
          <w:sz w:val="24"/>
          <w:szCs w:val="24"/>
        </w:rPr>
      </w:pPr>
    </w:p>
    <w:p>
      <w:pPr>
        <w:pStyle w:val="18"/>
        <w:bidi w:val="0"/>
        <w:rPr>
          <w:rFonts w:hint="eastAsia" w:asciiTheme="minorEastAsia" w:hAnsiTheme="minorEastAsia" w:eastAsiaTheme="minorEastAsia" w:cstheme="minorEastAsia"/>
          <w:sz w:val="24"/>
          <w:szCs w:val="24"/>
        </w:rPr>
      </w:pPr>
    </w:p>
    <w:p>
      <w:pPr>
        <w:pStyle w:val="18"/>
        <w:bidi w:val="0"/>
        <w:rPr>
          <w:rFonts w:hint="eastAsia" w:asciiTheme="minorEastAsia" w:hAnsiTheme="minorEastAsia" w:eastAsiaTheme="minorEastAsia" w:cstheme="minorEastAsia"/>
          <w:sz w:val="24"/>
          <w:szCs w:val="24"/>
        </w:rPr>
      </w:pPr>
    </w:p>
    <w:p>
      <w:pPr>
        <w:pStyle w:val="18"/>
        <w:bidi w:val="0"/>
        <w:rPr>
          <w:rFonts w:hint="eastAsia" w:asciiTheme="minorEastAsia" w:hAnsiTheme="minorEastAsia" w:eastAsiaTheme="minorEastAsia" w:cstheme="minorEastAsia"/>
          <w:sz w:val="24"/>
          <w:szCs w:val="24"/>
        </w:rPr>
      </w:pPr>
    </w:p>
    <w:p>
      <w:pPr>
        <w:pStyle w:val="18"/>
        <w:bidi w:val="0"/>
        <w:rPr>
          <w:rFonts w:hint="eastAsia" w:asciiTheme="minorEastAsia" w:hAnsiTheme="minorEastAsia" w:eastAsiaTheme="minorEastAsia" w:cstheme="minorEastAsia"/>
          <w:sz w:val="24"/>
          <w:szCs w:val="24"/>
        </w:rPr>
      </w:pPr>
    </w:p>
    <w:p>
      <w:pPr>
        <w:pStyle w:val="18"/>
        <w:bidi w:val="0"/>
        <w:rPr>
          <w:rFonts w:hint="eastAsia" w:asciiTheme="minorEastAsia" w:hAnsiTheme="minorEastAsia" w:eastAsiaTheme="minorEastAsia" w:cstheme="minorEastAsia"/>
          <w:sz w:val="24"/>
          <w:szCs w:val="24"/>
        </w:rPr>
      </w:pPr>
    </w:p>
    <w:tbl>
      <w:tblPr>
        <w:tblStyle w:val="27"/>
        <w:tblpPr w:leftFromText="180" w:rightFromText="180" w:vertAnchor="text" w:horzAnchor="page" w:tblpX="1923" w:tblpY="528"/>
        <w:tblOverlap w:val="never"/>
        <w:tblW w:w="909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6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4473" w:type="dxa"/>
            <w:tcBorders>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买方（甲 方）</w:t>
            </w:r>
          </w:p>
        </w:tc>
        <w:tc>
          <w:tcPr>
            <w:tcW w:w="4623" w:type="dxa"/>
            <w:tcBorders>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卖方（乙 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单位名称（章）： </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1"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单位地址：</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法定代表人： </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法定代表人：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委托代理人： </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委托代理人：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电    话：</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电    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传    真：</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开户银行： </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帐    号：</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帐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行    号：</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行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税    号：</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税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447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邮政编码：</w:t>
            </w:r>
          </w:p>
        </w:tc>
        <w:tc>
          <w:tcPr>
            <w:tcW w:w="4623" w:type="dxa"/>
            <w:tcBorders>
              <w:top w:val="nil"/>
              <w:bottom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邮政编码：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4473" w:type="dxa"/>
            <w:tcBorders>
              <w:top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合同签订日期：   年  月  日</w:t>
            </w:r>
          </w:p>
        </w:tc>
        <w:tc>
          <w:tcPr>
            <w:tcW w:w="4623" w:type="dxa"/>
            <w:tcBorders>
              <w:top w:val="nil"/>
            </w:tcBorders>
            <w:noWrap w:val="0"/>
            <w:vAlign w:val="center"/>
          </w:tcPr>
          <w:p>
            <w:pPr>
              <w:pStyle w:val="18"/>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合同签订日期：   年  月  日</w:t>
            </w:r>
          </w:p>
        </w:tc>
      </w:tr>
    </w:tbl>
    <w:p>
      <w:pPr>
        <w:pStyle w:val="18"/>
        <w:bidi w:val="0"/>
        <w:rPr>
          <w:rFonts w:hint="eastAsia"/>
        </w:rPr>
      </w:pPr>
    </w:p>
    <w:p>
      <w:pPr>
        <w:pStyle w:val="3"/>
        <w:pageBreakBefore/>
        <w:numPr>
          <w:ilvl w:val="0"/>
          <w:numId w:val="0"/>
        </w:numPr>
        <w:spacing w:line="400" w:lineRule="atLeast"/>
        <w:jc w:val="center"/>
        <w:rPr>
          <w:rFonts w:ascii="宋体" w:hAnsi="宋体" w:eastAsia="宋体" w:cs="宋体"/>
          <w:sz w:val="32"/>
          <w:szCs w:val="32"/>
        </w:rPr>
      </w:pPr>
      <w:bookmarkStart w:id="94" w:name="_Toc19756"/>
      <w:r>
        <w:rPr>
          <w:rFonts w:hint="eastAsia" w:ascii="宋体" w:hAnsi="宋体" w:eastAsia="宋体" w:cs="宋体"/>
          <w:sz w:val="32"/>
          <w:szCs w:val="32"/>
        </w:rPr>
        <w:t>第</w:t>
      </w:r>
      <w:r>
        <w:rPr>
          <w:rFonts w:hint="eastAsia" w:ascii="宋体" w:hAnsi="宋体" w:eastAsia="宋体" w:cs="宋体"/>
          <w:sz w:val="32"/>
          <w:szCs w:val="32"/>
          <w:lang w:eastAsia="zh-CN"/>
        </w:rPr>
        <w:t>五</w:t>
      </w:r>
      <w:r>
        <w:rPr>
          <w:rFonts w:hint="eastAsia" w:ascii="宋体" w:hAnsi="宋体" w:eastAsia="宋体" w:cs="宋体"/>
          <w:sz w:val="32"/>
          <w:szCs w:val="32"/>
        </w:rPr>
        <w:t>部分　范本格式</w:t>
      </w:r>
      <w:bookmarkEnd w:id="41"/>
      <w:bookmarkEnd w:id="94"/>
    </w:p>
    <w:p>
      <w:pPr>
        <w:pStyle w:val="3"/>
        <w:numPr>
          <w:ilvl w:val="0"/>
          <w:numId w:val="0"/>
        </w:numPr>
        <w:tabs>
          <w:tab w:val="clear" w:pos="3621"/>
        </w:tabs>
        <w:bidi w:val="0"/>
        <w:ind w:left="3640" w:leftChars="0"/>
      </w:pPr>
      <w:bookmarkStart w:id="95" w:name="_Toc7341"/>
      <w:r>
        <w:rPr>
          <w:rFonts w:hint="eastAsia"/>
        </w:rPr>
        <w:t>1、投   标   函</w:t>
      </w:r>
      <w:bookmarkEnd w:id="95"/>
    </w:p>
    <w:p>
      <w:pPr>
        <w:spacing w:line="500" w:lineRule="exact"/>
        <w:ind w:firstLine="480"/>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w:t>
      </w:r>
    </w:p>
    <w:p>
      <w:pPr>
        <w:spacing w:line="500" w:lineRule="exact"/>
        <w:ind w:firstLine="480"/>
        <w:rPr>
          <w:rFonts w:ascii="宋体" w:hAnsi="宋体" w:eastAsia="宋体" w:cs="宋体"/>
          <w:sz w:val="24"/>
        </w:rPr>
      </w:pPr>
      <w:r>
        <w:rPr>
          <w:rFonts w:hint="eastAsia" w:ascii="宋体" w:hAnsi="宋体" w:eastAsia="宋体" w:cs="宋体"/>
          <w:sz w:val="24"/>
        </w:rPr>
        <w:t>根据贵方为</w:t>
      </w:r>
      <w:r>
        <w:rPr>
          <w:rFonts w:hint="eastAsia" w:ascii="宋体" w:hAnsi="宋体" w:eastAsia="宋体" w:cs="宋体"/>
          <w:sz w:val="24"/>
          <w:u w:val="single"/>
        </w:rPr>
        <w:t xml:space="preserve">　　（项目名称）    </w:t>
      </w:r>
      <w:r>
        <w:rPr>
          <w:rFonts w:hint="eastAsia" w:ascii="宋体" w:hAnsi="宋体" w:eastAsia="宋体" w:cs="宋体"/>
          <w:sz w:val="24"/>
        </w:rPr>
        <w:t>项目招标的招标邀请</w:t>
      </w:r>
      <w:r>
        <w:rPr>
          <w:rFonts w:hint="eastAsia" w:ascii="宋体" w:hAnsi="宋体" w:eastAsia="宋体" w:cs="宋体"/>
          <w:sz w:val="24"/>
          <w:u w:val="single"/>
        </w:rPr>
        <w:t>（项目编号）</w:t>
      </w:r>
      <w:r>
        <w:rPr>
          <w:rFonts w:hint="eastAsia" w:ascii="宋体" w:hAnsi="宋体" w:eastAsia="宋体" w:cs="宋体"/>
          <w:sz w:val="24"/>
        </w:rPr>
        <w:t>，签字代表</w:t>
      </w:r>
      <w:r>
        <w:rPr>
          <w:rFonts w:hint="eastAsia" w:ascii="宋体" w:hAnsi="宋体" w:eastAsia="宋体" w:cs="宋体"/>
          <w:sz w:val="24"/>
          <w:u w:val="single"/>
        </w:rPr>
        <w:t>（姓名、职务）</w:t>
      </w:r>
      <w:r>
        <w:rPr>
          <w:rFonts w:hint="eastAsia" w:ascii="宋体" w:hAnsi="宋体" w:eastAsia="宋体" w:cs="宋体"/>
          <w:sz w:val="24"/>
        </w:rPr>
        <w:t>经正式授权并代表供应商</w:t>
      </w:r>
      <w:r>
        <w:rPr>
          <w:rFonts w:hint="eastAsia" w:ascii="宋体" w:hAnsi="宋体" w:eastAsia="宋体" w:cs="宋体"/>
          <w:sz w:val="24"/>
          <w:u w:val="single"/>
        </w:rPr>
        <w:t>（供应商名称、地址）</w:t>
      </w:r>
      <w:r>
        <w:rPr>
          <w:rFonts w:hint="eastAsia" w:ascii="宋体" w:hAnsi="宋体" w:eastAsia="宋体" w:cs="宋体"/>
          <w:sz w:val="24"/>
        </w:rPr>
        <w:t>提交供应商或制造商须知要求的文件正本一份和副本</w:t>
      </w:r>
      <w:r>
        <w:rPr>
          <w:rFonts w:hint="eastAsia" w:ascii="宋体" w:hAnsi="宋体" w:eastAsia="宋体" w:cs="宋体"/>
          <w:sz w:val="24"/>
          <w:lang w:eastAsia="zh-CN"/>
        </w:rPr>
        <w:t>叁</w:t>
      </w:r>
      <w:r>
        <w:rPr>
          <w:rFonts w:hint="eastAsia" w:ascii="宋体" w:hAnsi="宋体" w:eastAsia="宋体" w:cs="宋体"/>
          <w:sz w:val="24"/>
        </w:rPr>
        <w:t>份。</w:t>
      </w:r>
    </w:p>
    <w:p>
      <w:pPr>
        <w:spacing w:line="500" w:lineRule="exact"/>
        <w:ind w:firstLine="480"/>
        <w:rPr>
          <w:rFonts w:ascii="宋体" w:hAnsi="宋体" w:eastAsia="宋体" w:cs="宋体"/>
          <w:sz w:val="24"/>
        </w:rPr>
      </w:pPr>
      <w:r>
        <w:rPr>
          <w:rFonts w:hint="eastAsia" w:ascii="宋体" w:hAnsi="宋体" w:eastAsia="宋体" w:cs="宋体"/>
          <w:sz w:val="24"/>
        </w:rPr>
        <w:t>据此函，签字代表宣布同意如下：</w:t>
      </w:r>
    </w:p>
    <w:p>
      <w:pPr>
        <w:spacing w:line="500" w:lineRule="exact"/>
        <w:ind w:firstLine="480"/>
        <w:rPr>
          <w:rFonts w:ascii="宋体" w:hAnsi="宋体" w:eastAsia="宋体" w:cs="宋体"/>
          <w:sz w:val="24"/>
        </w:rPr>
      </w:pPr>
      <w:r>
        <w:rPr>
          <w:rFonts w:hint="eastAsia" w:ascii="宋体" w:hAnsi="宋体" w:eastAsia="宋体" w:cs="宋体"/>
          <w:sz w:val="24"/>
        </w:rPr>
        <w:t>1．所附投标报价表中规定的应提交和交付的货物和服务投标总价为</w:t>
      </w:r>
      <w:r>
        <w:rPr>
          <w:rFonts w:hint="eastAsia" w:ascii="宋体" w:hAnsi="宋体" w:eastAsia="宋体" w:cs="宋体"/>
          <w:sz w:val="24"/>
          <w:u w:val="single"/>
        </w:rPr>
        <w:t>（注明币种，并用文字和数字表示的投标总价</w:t>
      </w:r>
      <w:r>
        <w:rPr>
          <w:rFonts w:hint="eastAsia" w:ascii="宋体" w:hAnsi="宋体" w:eastAsia="宋体" w:cs="宋体"/>
          <w:sz w:val="24"/>
        </w:rPr>
        <w:t>）。</w:t>
      </w:r>
    </w:p>
    <w:p>
      <w:pPr>
        <w:spacing w:line="500" w:lineRule="exact"/>
        <w:ind w:firstLine="480"/>
        <w:rPr>
          <w:rFonts w:ascii="宋体" w:hAnsi="宋体" w:eastAsia="宋体" w:cs="宋体"/>
          <w:sz w:val="24"/>
        </w:rPr>
      </w:pPr>
      <w:r>
        <w:rPr>
          <w:rFonts w:hint="eastAsia" w:ascii="宋体" w:hAnsi="宋体" w:eastAsia="宋体" w:cs="宋体"/>
          <w:sz w:val="24"/>
        </w:rPr>
        <w:t>2．供应商或制造商将按招标文件的规定履行合同责任和义务；</w:t>
      </w:r>
    </w:p>
    <w:p>
      <w:pPr>
        <w:spacing w:line="500" w:lineRule="exact"/>
        <w:ind w:firstLine="480"/>
        <w:rPr>
          <w:rFonts w:ascii="宋体" w:hAnsi="宋体" w:eastAsia="宋体" w:cs="宋体"/>
          <w:sz w:val="24"/>
        </w:rPr>
      </w:pPr>
      <w:r>
        <w:rPr>
          <w:rFonts w:hint="eastAsia" w:ascii="宋体" w:hAnsi="宋体" w:eastAsia="宋体" w:cs="宋体"/>
          <w:sz w:val="24"/>
        </w:rPr>
        <w:t>3．供应商或制造商已详细审查全部招标文件，包括修改文件（如有的话）。我们完全理解并同意放弃对这方面有不明及误解的权利。</w:t>
      </w:r>
    </w:p>
    <w:p>
      <w:pPr>
        <w:spacing w:line="500" w:lineRule="exact"/>
        <w:ind w:firstLine="480"/>
        <w:rPr>
          <w:rFonts w:ascii="宋体" w:hAnsi="宋体" w:eastAsia="宋体" w:cs="宋体"/>
          <w:sz w:val="24"/>
        </w:rPr>
      </w:pPr>
      <w:r>
        <w:rPr>
          <w:rFonts w:hint="eastAsia" w:ascii="宋体" w:hAnsi="宋体" w:eastAsia="宋体" w:cs="宋体"/>
          <w:sz w:val="24"/>
        </w:rPr>
        <w:t>4．本投标有效期自开标之日起</w:t>
      </w:r>
      <w:r>
        <w:rPr>
          <w:rFonts w:hint="eastAsia" w:ascii="宋体" w:hAnsi="宋体" w:eastAsia="宋体" w:cs="宋体"/>
          <w:sz w:val="24"/>
          <w:u w:val="single"/>
        </w:rPr>
        <w:t xml:space="preserve">　   </w:t>
      </w:r>
      <w:r>
        <w:rPr>
          <w:rFonts w:hint="eastAsia" w:ascii="宋体" w:hAnsi="宋体" w:eastAsia="宋体" w:cs="宋体"/>
          <w:sz w:val="24"/>
        </w:rPr>
        <w:t>个日历日。</w:t>
      </w:r>
    </w:p>
    <w:p>
      <w:pPr>
        <w:spacing w:line="500" w:lineRule="exact"/>
        <w:ind w:firstLine="480"/>
        <w:rPr>
          <w:rFonts w:ascii="宋体" w:hAnsi="宋体" w:eastAsia="宋体" w:cs="宋体"/>
          <w:sz w:val="24"/>
        </w:rPr>
      </w:pPr>
      <w:r>
        <w:rPr>
          <w:rFonts w:hint="eastAsia" w:ascii="宋体" w:hAnsi="宋体" w:eastAsia="宋体" w:cs="宋体"/>
          <w:sz w:val="24"/>
        </w:rPr>
        <w:t>5．必须提供厂家质保承诺书；如是代理商须提供原厂家授权证书原件。售后服务免费3年,必须提供售后服务承诺书。</w:t>
      </w:r>
    </w:p>
    <w:p>
      <w:pPr>
        <w:spacing w:line="500" w:lineRule="exact"/>
        <w:ind w:firstLine="480"/>
        <w:rPr>
          <w:rFonts w:ascii="宋体" w:hAnsi="宋体" w:eastAsia="宋体" w:cs="宋体"/>
          <w:sz w:val="24"/>
        </w:rPr>
      </w:pPr>
      <w:r>
        <w:rPr>
          <w:rFonts w:hint="eastAsia" w:ascii="宋体" w:hAnsi="宋体" w:eastAsia="宋体" w:cs="宋体"/>
          <w:sz w:val="24"/>
        </w:rPr>
        <w:t>6．供应商或制造商同意提供按照贵方可能要求的与其投标有关的一切数据或资料，完全理解贵方不一定要接受最低价的投标或收到的任何投标。</w:t>
      </w:r>
    </w:p>
    <w:p>
      <w:pPr>
        <w:spacing w:line="500" w:lineRule="exact"/>
        <w:ind w:firstLine="480"/>
        <w:rPr>
          <w:rFonts w:ascii="宋体" w:hAnsi="宋体" w:eastAsia="宋体" w:cs="宋体"/>
          <w:sz w:val="24"/>
          <w:szCs w:val="24"/>
        </w:rPr>
      </w:pPr>
      <w:r>
        <w:rPr>
          <w:rFonts w:hint="eastAsia" w:ascii="宋体" w:hAnsi="宋体" w:eastAsia="宋体" w:cs="宋体"/>
          <w:sz w:val="24"/>
        </w:rPr>
        <w:t>7．</w:t>
      </w:r>
      <w:r>
        <w:rPr>
          <w:rFonts w:hint="eastAsia" w:ascii="宋体" w:hAnsi="宋体" w:eastAsia="宋体" w:cs="宋体"/>
          <w:sz w:val="24"/>
          <w:lang w:eastAsia="zh-CN"/>
        </w:rPr>
        <w:t>供货安装</w:t>
      </w:r>
      <w:r>
        <w:rPr>
          <w:rFonts w:hint="eastAsia" w:ascii="宋体" w:hAnsi="宋体" w:eastAsia="宋体" w:cs="宋体"/>
          <w:sz w:val="24"/>
        </w:rPr>
        <w:t>期及质保期</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spacing w:line="500" w:lineRule="exact"/>
        <w:ind w:firstLine="480"/>
        <w:rPr>
          <w:rFonts w:hint="default" w:ascii="宋体" w:hAnsi="宋体" w:eastAsia="宋体" w:cs="宋体"/>
          <w:sz w:val="24"/>
          <w:u w:val="single"/>
          <w:lang w:val="en-US" w:eastAsia="zh-CN"/>
        </w:rPr>
      </w:pPr>
      <w:r>
        <w:rPr>
          <w:rFonts w:hint="eastAsia" w:ascii="宋体" w:hAnsi="宋体" w:eastAsia="宋体" w:cs="宋体"/>
          <w:sz w:val="24"/>
          <w:szCs w:val="24"/>
        </w:rPr>
        <w:t>8.到货地点：</w:t>
      </w:r>
      <w:r>
        <w:rPr>
          <w:rFonts w:hint="eastAsia" w:ascii="宋体" w:hAnsi="宋体" w:eastAsia="宋体" w:cs="宋体"/>
          <w:sz w:val="24"/>
          <w:szCs w:val="24"/>
          <w:u w:val="single"/>
          <w:lang w:val="en-US" w:eastAsia="zh-CN"/>
        </w:rPr>
        <w:t xml:space="preserve">                 </w:t>
      </w:r>
    </w:p>
    <w:p>
      <w:pPr>
        <w:pStyle w:val="18"/>
        <w:spacing w:line="500" w:lineRule="exact"/>
        <w:ind w:left="0" w:leftChars="0" w:firstLine="4320" w:firstLineChars="1800"/>
        <w:rPr>
          <w:rFonts w:hint="eastAsia" w:hAnsi="宋体" w:eastAsia="宋体" w:cs="宋体"/>
          <w:sz w:val="24"/>
          <w:szCs w:val="24"/>
        </w:rPr>
      </w:pPr>
    </w:p>
    <w:p>
      <w:pPr>
        <w:pStyle w:val="18"/>
        <w:spacing w:line="500" w:lineRule="exact"/>
        <w:ind w:left="0" w:leftChars="0" w:firstLine="4320" w:firstLineChars="1800"/>
        <w:rPr>
          <w:rFonts w:hint="eastAsia" w:hAnsi="宋体" w:eastAsia="宋体" w:cs="宋体"/>
          <w:sz w:val="24"/>
          <w:szCs w:val="24"/>
        </w:rPr>
      </w:pPr>
    </w:p>
    <w:p>
      <w:pPr>
        <w:pStyle w:val="18"/>
        <w:spacing w:line="500" w:lineRule="exact"/>
        <w:ind w:left="0" w:leftChars="0" w:firstLine="4320" w:firstLineChars="1800"/>
        <w:rPr>
          <w:rFonts w:hint="default" w:hAnsi="宋体" w:eastAsia="宋体" w:cs="宋体"/>
          <w:sz w:val="24"/>
          <w:szCs w:val="24"/>
          <w:u w:val="single"/>
          <w:lang w:val="en-US" w:eastAsia="zh-CN"/>
        </w:rPr>
      </w:pPr>
      <w:r>
        <w:rPr>
          <w:rFonts w:hint="eastAsia" w:hAnsi="宋体" w:eastAsia="宋体" w:cs="宋体"/>
          <w:sz w:val="24"/>
          <w:szCs w:val="24"/>
        </w:rPr>
        <w:t>投标单位(公章)：</w:t>
      </w:r>
      <w:r>
        <w:rPr>
          <w:rFonts w:hint="eastAsia" w:hAnsi="宋体" w:eastAsia="宋体" w:cs="宋体"/>
          <w:sz w:val="24"/>
          <w:szCs w:val="24"/>
          <w:u w:val="single"/>
          <w:lang w:val="en-US" w:eastAsia="zh-CN"/>
        </w:rPr>
        <w:t xml:space="preserve">                  </w:t>
      </w:r>
    </w:p>
    <w:p>
      <w:pPr>
        <w:pStyle w:val="18"/>
        <w:spacing w:line="500" w:lineRule="exact"/>
        <w:ind w:firstLine="4320" w:firstLineChars="1800"/>
        <w:rPr>
          <w:rFonts w:hint="default" w:hAnsi="宋体" w:eastAsia="宋体" w:cs="宋体"/>
          <w:sz w:val="24"/>
          <w:szCs w:val="24"/>
          <w:u w:val="single"/>
          <w:lang w:val="en-US" w:eastAsia="zh-CN"/>
        </w:rPr>
      </w:pPr>
      <w:r>
        <w:rPr>
          <w:rFonts w:hint="eastAsia" w:hAnsi="宋体" w:eastAsia="宋体" w:cs="宋体"/>
          <w:sz w:val="24"/>
          <w:szCs w:val="24"/>
        </w:rPr>
        <w:t>法定代表人(签字或盖章)：</w:t>
      </w:r>
      <w:r>
        <w:rPr>
          <w:rFonts w:hint="eastAsia" w:hAnsi="宋体" w:eastAsia="宋体" w:cs="宋体"/>
          <w:sz w:val="24"/>
          <w:szCs w:val="24"/>
          <w:u w:val="single"/>
          <w:lang w:val="en-US" w:eastAsia="zh-CN"/>
        </w:rPr>
        <w:t xml:space="preserve">                </w:t>
      </w:r>
    </w:p>
    <w:p>
      <w:pPr>
        <w:pStyle w:val="18"/>
        <w:spacing w:line="500" w:lineRule="exact"/>
        <w:ind w:firstLine="4320" w:firstLineChars="1800"/>
        <w:rPr>
          <w:rFonts w:hint="eastAsia" w:hAnsi="宋体" w:eastAsia="宋体" w:cs="宋体"/>
          <w:sz w:val="24"/>
          <w:szCs w:val="24"/>
        </w:rPr>
      </w:pPr>
      <w:r>
        <w:rPr>
          <w:rFonts w:hint="eastAsia" w:hAnsi="宋体" w:eastAsia="宋体" w:cs="宋体"/>
          <w:sz w:val="24"/>
          <w:szCs w:val="24"/>
        </w:rPr>
        <w:t>日期：</w:t>
      </w:r>
      <w:r>
        <w:rPr>
          <w:rFonts w:hint="eastAsia" w:hAnsi="宋体" w:eastAsia="宋体" w:cs="宋体"/>
          <w:sz w:val="24"/>
          <w:szCs w:val="24"/>
          <w:u w:val="single"/>
          <w:lang w:val="en-US" w:eastAsia="zh-CN"/>
        </w:rPr>
        <w:t xml:space="preserve">     </w:t>
      </w:r>
      <w:r>
        <w:rPr>
          <w:rFonts w:hint="eastAsia" w:hAnsi="宋体" w:eastAsia="宋体" w:cs="宋体"/>
          <w:sz w:val="24"/>
          <w:szCs w:val="24"/>
        </w:rPr>
        <w:t>年</w:t>
      </w:r>
      <w:r>
        <w:rPr>
          <w:rFonts w:hint="eastAsia" w:hAnsi="宋体" w:eastAsia="宋体" w:cs="宋体"/>
          <w:sz w:val="24"/>
          <w:szCs w:val="24"/>
          <w:u w:val="single"/>
          <w:lang w:val="en-US" w:eastAsia="zh-CN"/>
        </w:rPr>
        <w:t xml:space="preserve">      </w:t>
      </w:r>
      <w:r>
        <w:rPr>
          <w:rFonts w:hint="eastAsia" w:hAnsi="宋体" w:eastAsia="宋体" w:cs="宋体"/>
          <w:sz w:val="24"/>
          <w:szCs w:val="24"/>
        </w:rPr>
        <w:t>月</w:t>
      </w:r>
      <w:r>
        <w:rPr>
          <w:rFonts w:hint="eastAsia" w:hAnsi="宋体" w:eastAsia="宋体" w:cs="宋体"/>
          <w:sz w:val="24"/>
          <w:szCs w:val="24"/>
          <w:u w:val="single"/>
          <w:lang w:val="en-US" w:eastAsia="zh-CN"/>
        </w:rPr>
        <w:t xml:space="preserve">      </w:t>
      </w:r>
      <w:r>
        <w:rPr>
          <w:rFonts w:hint="eastAsia" w:hAnsi="宋体" w:eastAsia="宋体" w:cs="宋体"/>
          <w:sz w:val="24"/>
          <w:szCs w:val="24"/>
        </w:rPr>
        <w:t>日</w:t>
      </w:r>
    </w:p>
    <w:p>
      <w:pPr>
        <w:pStyle w:val="18"/>
        <w:spacing w:line="500" w:lineRule="exact"/>
        <w:ind w:firstLine="4320" w:firstLineChars="1800"/>
        <w:rPr>
          <w:rFonts w:hint="eastAsia" w:hAnsi="宋体" w:eastAsia="宋体" w:cs="宋体"/>
          <w:sz w:val="24"/>
          <w:szCs w:val="24"/>
        </w:rPr>
      </w:pPr>
    </w:p>
    <w:p>
      <w:pPr>
        <w:pStyle w:val="3"/>
        <w:numPr>
          <w:ilvl w:val="0"/>
          <w:numId w:val="0"/>
        </w:numPr>
        <w:tabs>
          <w:tab w:val="clear" w:pos="3621"/>
        </w:tabs>
        <w:bidi w:val="0"/>
        <w:jc w:val="center"/>
      </w:pPr>
      <w:bookmarkStart w:id="96" w:name="_Toc10368"/>
      <w:r>
        <w:rPr>
          <w:rFonts w:hint="eastAsia"/>
        </w:rPr>
        <w:t>2、法人代表授权书格式</w:t>
      </w:r>
      <w:bookmarkEnd w:id="96"/>
    </w:p>
    <w:p>
      <w:pPr>
        <w:spacing w:line="400" w:lineRule="atLeast"/>
        <w:ind w:firstLine="480"/>
        <w:rPr>
          <w:rFonts w:ascii="宋体" w:hAnsi="宋体" w:eastAsia="宋体" w:cs="宋体"/>
          <w:sz w:val="24"/>
        </w:rPr>
      </w:pPr>
    </w:p>
    <w:p>
      <w:pPr>
        <w:pStyle w:val="44"/>
        <w:spacing w:line="500" w:lineRule="exact"/>
        <w:rPr>
          <w:rFonts w:eastAsia="宋体" w:cs="宋体"/>
        </w:rPr>
      </w:pPr>
      <w:r>
        <w:rPr>
          <w:rFonts w:hint="eastAsia" w:eastAsia="宋体" w:cs="宋体"/>
        </w:rPr>
        <w:t>本授权书声明：注册于</w:t>
      </w:r>
      <w:r>
        <w:rPr>
          <w:rFonts w:hint="eastAsia" w:eastAsia="宋体" w:cs="宋体"/>
          <w:u w:val="single"/>
        </w:rPr>
        <w:t>（地区的名称）</w:t>
      </w:r>
      <w:r>
        <w:rPr>
          <w:rFonts w:hint="eastAsia" w:eastAsia="宋体" w:cs="宋体"/>
        </w:rPr>
        <w:t>的</w:t>
      </w:r>
      <w:r>
        <w:rPr>
          <w:rFonts w:hint="eastAsia" w:eastAsia="宋体" w:cs="宋体"/>
          <w:u w:val="single"/>
        </w:rPr>
        <w:t>（公司名称）</w:t>
      </w:r>
      <w:r>
        <w:rPr>
          <w:rFonts w:hint="eastAsia" w:eastAsia="宋体" w:cs="宋体"/>
        </w:rPr>
        <w:t>的在下面签字的</w:t>
      </w:r>
      <w:r>
        <w:rPr>
          <w:rFonts w:hint="eastAsia" w:eastAsia="宋体" w:cs="宋体"/>
          <w:u w:val="single"/>
        </w:rPr>
        <w:t>（法人代表姓名、职务）</w:t>
      </w:r>
      <w:r>
        <w:rPr>
          <w:rFonts w:hint="eastAsia" w:eastAsia="宋体" w:cs="宋体"/>
        </w:rPr>
        <w:t>代表本公司授权</w:t>
      </w:r>
      <w:r>
        <w:rPr>
          <w:rFonts w:hint="eastAsia" w:eastAsia="宋体" w:cs="宋体"/>
          <w:u w:val="single"/>
        </w:rPr>
        <w:t>（单位名称）</w:t>
      </w:r>
      <w:r>
        <w:rPr>
          <w:rFonts w:hint="eastAsia" w:eastAsia="宋体" w:cs="宋体"/>
        </w:rPr>
        <w:t>的在下面签字的</w:t>
      </w:r>
      <w:r>
        <w:rPr>
          <w:rFonts w:hint="eastAsia" w:eastAsia="宋体" w:cs="宋体"/>
          <w:u w:val="single"/>
        </w:rPr>
        <w:t>（被授权人的姓名、职务）</w:t>
      </w:r>
      <w:r>
        <w:rPr>
          <w:rFonts w:hint="eastAsia" w:eastAsia="宋体" w:cs="宋体"/>
        </w:rPr>
        <w:t>为本公司的合法代理人，就</w:t>
      </w:r>
      <w:r>
        <w:rPr>
          <w:rFonts w:hint="eastAsia" w:eastAsia="宋体" w:cs="宋体"/>
          <w:u w:val="single"/>
        </w:rPr>
        <w:t>（项目名称、项目编号）</w:t>
      </w:r>
      <w:r>
        <w:rPr>
          <w:rFonts w:hint="eastAsia" w:eastAsia="宋体" w:cs="宋体"/>
        </w:rPr>
        <w:t>的投标，以本公司的名义处理一切与之有关的事务。</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日签字生效，特此声明。</w:t>
      </w:r>
    </w:p>
    <w:p>
      <w:pPr>
        <w:ind w:left="0" w:leftChars="0" w:firstLine="0" w:firstLineChars="0"/>
      </w:pPr>
    </w:p>
    <w:p>
      <w:pPr>
        <w:pStyle w:val="2"/>
        <w:numPr>
          <w:ilvl w:val="0"/>
          <w:numId w:val="0"/>
        </w:numPr>
        <w:ind w:left="3621" w:leftChars="0"/>
      </w:pPr>
    </w:p>
    <w:p/>
    <w:p>
      <w:pPr>
        <w:pStyle w:val="18"/>
        <w:spacing w:line="500" w:lineRule="exact"/>
        <w:ind w:firstLine="5280" w:firstLineChars="2200"/>
        <w:rPr>
          <w:rFonts w:hAnsi="宋体" w:eastAsia="宋体" w:cs="宋体"/>
          <w:sz w:val="24"/>
          <w:szCs w:val="24"/>
        </w:rPr>
      </w:pPr>
      <w:r>
        <w:rPr>
          <w:rFonts w:hint="eastAsia" w:hAnsi="宋体" w:eastAsia="宋体" w:cs="宋体"/>
          <w:sz w:val="24"/>
          <w:szCs w:val="24"/>
        </w:rPr>
        <w:t>投标单位(公章)：________________</w:t>
      </w:r>
    </w:p>
    <w:p>
      <w:pPr>
        <w:pStyle w:val="18"/>
        <w:spacing w:line="500" w:lineRule="exact"/>
        <w:ind w:firstLine="4320" w:firstLineChars="1800"/>
        <w:rPr>
          <w:rFonts w:hAnsi="宋体" w:eastAsia="宋体" w:cs="宋体"/>
          <w:sz w:val="24"/>
          <w:szCs w:val="24"/>
        </w:rPr>
      </w:pPr>
      <w:r>
        <w:rPr>
          <w:rFonts w:hint="eastAsia" w:hAnsi="宋体" w:eastAsia="宋体" w:cs="宋体"/>
          <w:sz w:val="24"/>
          <w:szCs w:val="24"/>
        </w:rPr>
        <w:t>法定代表人(签字或盖章)：________________</w:t>
      </w:r>
    </w:p>
    <w:p>
      <w:pPr>
        <w:pStyle w:val="18"/>
        <w:spacing w:line="500" w:lineRule="exact"/>
        <w:ind w:firstLine="5280" w:firstLineChars="2200"/>
        <w:rPr>
          <w:rFonts w:hint="eastAsia" w:hAnsi="宋体" w:eastAsia="宋体" w:cs="宋体"/>
          <w:sz w:val="24"/>
          <w:szCs w:val="24"/>
        </w:rPr>
      </w:pPr>
      <w:r>
        <w:rPr>
          <w:rFonts w:hint="eastAsia" w:hAnsi="宋体" w:eastAsia="宋体" w:cs="宋体"/>
          <w:sz w:val="24"/>
          <w:szCs w:val="24"/>
        </w:rPr>
        <w:t>日期：____年____月____日</w:t>
      </w:r>
    </w:p>
    <w:p>
      <w:pPr>
        <w:pStyle w:val="18"/>
        <w:spacing w:line="500" w:lineRule="exact"/>
        <w:ind w:firstLine="480"/>
        <w:rPr>
          <w:rFonts w:hint="eastAsia" w:hAnsi="宋体" w:eastAsia="宋体" w:cs="宋体"/>
          <w:sz w:val="24"/>
          <w:szCs w:val="24"/>
        </w:rPr>
      </w:pPr>
    </w:p>
    <w:p>
      <w:pPr>
        <w:pStyle w:val="18"/>
        <w:spacing w:line="500" w:lineRule="exact"/>
        <w:ind w:firstLine="480"/>
        <w:rPr>
          <w:rFonts w:hint="eastAsia" w:hAnsi="宋体" w:eastAsia="宋体" w:cs="宋体"/>
          <w:sz w:val="24"/>
          <w:szCs w:val="24"/>
        </w:rPr>
      </w:pPr>
    </w:p>
    <w:p>
      <w:pPr>
        <w:adjustRightInd w:val="0"/>
        <w:snapToGrid w:val="0"/>
        <w:spacing w:line="500" w:lineRule="exact"/>
        <w:ind w:firstLine="480"/>
        <w:rPr>
          <w:rFonts w:ascii="宋体" w:hAnsi="宋体" w:eastAsia="宋体" w:cs="宋体"/>
          <w:sz w:val="24"/>
        </w:rPr>
      </w:pPr>
      <w:r>
        <w:rPr>
          <w:rFonts w:hint="eastAsia" w:ascii="宋体" w:hAnsi="宋体" w:eastAsia="宋体" w:cs="宋体"/>
          <w:sz w:val="24"/>
        </w:rPr>
        <w:t>附：</w:t>
      </w:r>
      <w:r>
        <w:rPr>
          <w:rFonts w:hint="eastAsia" w:ascii="宋体" w:hAnsi="宋体" w:eastAsia="宋体" w:cs="宋体"/>
          <w:sz w:val="24"/>
          <w:lang w:val="en-US" w:eastAsia="zh-CN"/>
        </w:rPr>
        <w:t>法定代表人及</w:t>
      </w:r>
      <w:r>
        <w:rPr>
          <w:rFonts w:hint="eastAsia" w:ascii="宋体" w:hAnsi="宋体" w:eastAsia="宋体" w:cs="宋体"/>
          <w:sz w:val="24"/>
        </w:rPr>
        <w:t>被授权人身份征</w:t>
      </w:r>
      <w:r>
        <w:rPr>
          <w:rFonts w:hint="eastAsia" w:ascii="宋体" w:hAnsi="宋体" w:eastAsia="宋体" w:cs="宋体"/>
          <w:sz w:val="24"/>
          <w:lang w:val="en-US" w:eastAsia="zh-CN"/>
        </w:rPr>
        <w:t>正反面</w:t>
      </w:r>
      <w:r>
        <w:rPr>
          <w:rFonts w:hint="eastAsia" w:ascii="宋体" w:hAnsi="宋体" w:eastAsia="宋体" w:cs="宋体"/>
          <w:sz w:val="24"/>
        </w:rPr>
        <w:t>复印件。</w:t>
      </w:r>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注：凡公司法人前来参加投标的供应商或制造商，可以不提供此项证明文件，提供法人身份证明书。</w:t>
      </w: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ind w:firstLine="640"/>
        <w:rPr>
          <w:rFonts w:ascii="宋体" w:hAnsi="宋体" w:eastAsia="宋体" w:cs="宋体"/>
          <w:sz w:val="32"/>
          <w:szCs w:val="32"/>
        </w:rPr>
      </w:pPr>
    </w:p>
    <w:p>
      <w:pPr>
        <w:pStyle w:val="3"/>
        <w:numPr>
          <w:ilvl w:val="0"/>
          <w:numId w:val="0"/>
        </w:numPr>
        <w:tabs>
          <w:tab w:val="clear" w:pos="3621"/>
        </w:tabs>
        <w:bidi w:val="0"/>
        <w:ind w:left="3640" w:leftChars="0"/>
      </w:pPr>
      <w:bookmarkStart w:id="97" w:name="_Toc4085"/>
      <w:r>
        <w:rPr>
          <w:rFonts w:hint="eastAsia"/>
        </w:rPr>
        <w:t>3.法定代表人身份证明书</w:t>
      </w:r>
      <w:bookmarkEnd w:id="97"/>
    </w:p>
    <w:p>
      <w:pPr>
        <w:ind w:firstLine="520"/>
        <w:jc w:val="center"/>
        <w:rPr>
          <w:rFonts w:ascii="宋体" w:hAnsi="宋体" w:eastAsia="宋体" w:cs="宋体"/>
        </w:rPr>
      </w:pPr>
    </w:p>
    <w:p>
      <w:pPr>
        <w:ind w:firstLine="520"/>
        <w:rPr>
          <w:rFonts w:ascii="宋体" w:hAnsi="宋体" w:eastAsia="宋体" w:cs="宋体"/>
          <w:u w:val="single"/>
        </w:rPr>
      </w:pPr>
      <w:r>
        <w:rPr>
          <w:rFonts w:hint="eastAsia" w:ascii="宋体" w:hAnsi="宋体" w:eastAsia="宋体" w:cs="宋体"/>
        </w:rPr>
        <w:t>企业名称：</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企业类型：</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地    址：</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营业期限：</w:t>
      </w:r>
      <w:r>
        <w:rPr>
          <w:rFonts w:hint="eastAsia" w:ascii="宋体" w:hAnsi="宋体" w:eastAsia="宋体" w:cs="宋体"/>
          <w:u w:val="single"/>
        </w:rPr>
        <w:t xml:space="preserve">                                                   </w:t>
      </w:r>
    </w:p>
    <w:p>
      <w:pPr>
        <w:ind w:firstLine="520"/>
        <w:rPr>
          <w:rFonts w:ascii="宋体" w:hAnsi="宋体" w:eastAsia="宋体" w:cs="宋体"/>
          <w:u w:val="single"/>
        </w:rPr>
      </w:pPr>
      <w:r>
        <w:rPr>
          <w:rFonts w:hint="eastAsia" w:ascii="宋体" w:hAnsi="宋体" w:eastAsia="宋体" w:cs="宋体"/>
        </w:rPr>
        <w:t>成立时间：</w:t>
      </w:r>
      <w:r>
        <w:rPr>
          <w:rFonts w:hint="eastAsia" w:ascii="宋体" w:hAnsi="宋体" w:eastAsia="宋体" w:cs="宋体"/>
          <w:u w:val="single"/>
        </w:rPr>
        <w:t xml:space="preserve">                                                   </w:t>
      </w:r>
    </w:p>
    <w:p>
      <w:pPr>
        <w:ind w:firstLine="520"/>
        <w:rPr>
          <w:rFonts w:ascii="宋体" w:hAnsi="宋体" w:eastAsia="宋体" w:cs="宋体"/>
          <w:u w:val="single"/>
        </w:rPr>
      </w:pPr>
    </w:p>
    <w:p>
      <w:pPr>
        <w:ind w:firstLine="520"/>
        <w:rPr>
          <w:rFonts w:ascii="宋体" w:hAnsi="宋体" w:eastAsia="宋体" w:cs="宋体"/>
        </w:rPr>
      </w:pPr>
      <w:r>
        <w:rPr>
          <w:rFonts w:hint="eastAsia" w:ascii="宋体" w:hAnsi="宋体" w:eastAsia="宋体" w:cs="宋体"/>
        </w:rPr>
        <w:t>姓 名：</w:t>
      </w:r>
      <w:r>
        <w:rPr>
          <w:rFonts w:hint="eastAsia" w:ascii="宋体" w:hAnsi="宋体" w:eastAsia="宋体" w:cs="宋体"/>
          <w:u w:val="single"/>
        </w:rPr>
        <w:t xml:space="preserve">             </w:t>
      </w:r>
      <w:r>
        <w:rPr>
          <w:rFonts w:hint="eastAsia" w:ascii="宋体" w:hAnsi="宋体" w:eastAsia="宋体" w:cs="宋体"/>
        </w:rPr>
        <w:t xml:space="preserve">    性别：</w:t>
      </w:r>
      <w:r>
        <w:rPr>
          <w:rFonts w:hint="eastAsia" w:ascii="宋体" w:hAnsi="宋体" w:eastAsia="宋体" w:cs="宋体"/>
          <w:u w:val="single"/>
        </w:rPr>
        <w:t xml:space="preserve">            </w:t>
      </w:r>
      <w:r>
        <w:rPr>
          <w:rFonts w:hint="eastAsia" w:ascii="宋体" w:hAnsi="宋体" w:eastAsia="宋体" w:cs="宋体"/>
        </w:rPr>
        <w:t xml:space="preserve">   年龄：</w:t>
      </w:r>
      <w:r>
        <w:rPr>
          <w:rFonts w:hint="eastAsia" w:ascii="宋体" w:hAnsi="宋体" w:eastAsia="宋体" w:cs="宋体"/>
          <w:u w:val="single"/>
        </w:rPr>
        <w:t xml:space="preserve">              </w:t>
      </w:r>
      <w:r>
        <w:rPr>
          <w:rFonts w:hint="eastAsia" w:ascii="宋体" w:hAnsi="宋体" w:eastAsia="宋体" w:cs="宋体"/>
        </w:rPr>
        <w:t xml:space="preserve"> </w:t>
      </w:r>
    </w:p>
    <w:p>
      <w:pPr>
        <w:ind w:firstLine="520"/>
        <w:rPr>
          <w:rFonts w:ascii="宋体" w:hAnsi="宋体" w:eastAsia="宋体" w:cs="宋体"/>
          <w:u w:val="single"/>
        </w:rPr>
      </w:pPr>
      <w:r>
        <w:rPr>
          <w:rFonts w:hint="eastAsia" w:ascii="宋体" w:hAnsi="宋体" w:eastAsia="宋体" w:cs="宋体"/>
        </w:rPr>
        <w:t xml:space="preserve">职 务： </w:t>
      </w:r>
      <w:r>
        <w:rPr>
          <w:rFonts w:hint="eastAsia" w:ascii="宋体" w:hAnsi="宋体" w:eastAsia="宋体" w:cs="宋体"/>
          <w:u w:val="single"/>
        </w:rPr>
        <w:t xml:space="preserve">                 </w:t>
      </w:r>
    </w:p>
    <w:p>
      <w:pPr>
        <w:ind w:firstLine="520"/>
        <w:rPr>
          <w:rFonts w:ascii="宋体" w:hAnsi="宋体" w:eastAsia="宋体" w:cs="宋体"/>
        </w:rPr>
      </w:pPr>
      <w:r>
        <w:rPr>
          <w:rFonts w:hint="eastAsia" w:ascii="宋体" w:hAnsi="宋体" w:eastAsia="宋体" w:cs="宋体"/>
        </w:rPr>
        <w:t xml:space="preserve">系 </w:t>
      </w:r>
      <w:r>
        <w:rPr>
          <w:rFonts w:hint="eastAsia" w:ascii="宋体" w:hAnsi="宋体" w:eastAsia="宋体" w:cs="宋体"/>
          <w:u w:val="single"/>
        </w:rPr>
        <w:t xml:space="preserve">         （投标人名称）               </w:t>
      </w:r>
      <w:r>
        <w:rPr>
          <w:rFonts w:hint="eastAsia" w:ascii="宋体" w:hAnsi="宋体" w:eastAsia="宋体" w:cs="宋体"/>
        </w:rPr>
        <w:t>的法定代表人。</w:t>
      </w:r>
    </w:p>
    <w:p>
      <w:pPr>
        <w:ind w:firstLine="520"/>
        <w:rPr>
          <w:rFonts w:ascii="宋体" w:hAnsi="宋体" w:eastAsia="宋体" w:cs="宋体"/>
        </w:rPr>
      </w:pPr>
      <w:r>
        <w:rPr>
          <w:rFonts w:hint="eastAsia" w:ascii="宋体" w:hAnsi="宋体" w:eastAsia="宋体" w:cs="宋体"/>
        </w:rPr>
        <w:t>特此证明。</w:t>
      </w:r>
    </w:p>
    <w:p>
      <w:pPr>
        <w:wordWrap w:val="0"/>
        <w:ind w:right="1040" w:firstLine="480"/>
        <w:jc w:val="right"/>
        <w:rPr>
          <w:rFonts w:hint="eastAsia" w:ascii="宋体" w:hAnsi="宋体" w:eastAsia="宋体" w:cs="宋体"/>
          <w:sz w:val="24"/>
          <w:szCs w:val="24"/>
        </w:rPr>
      </w:pPr>
      <w:r>
        <w:rPr>
          <w:rFonts w:hint="eastAsia" w:ascii="宋体" w:hAnsi="宋体" w:eastAsia="宋体" w:cs="宋体"/>
          <w:sz w:val="24"/>
          <w:szCs w:val="24"/>
        </w:rPr>
        <w:t xml:space="preserve">                               </w:t>
      </w:r>
    </w:p>
    <w:p>
      <w:pPr>
        <w:wordWrap w:val="0"/>
        <w:ind w:right="1040" w:firstLine="480"/>
        <w:jc w:val="right"/>
        <w:rPr>
          <w:rFonts w:hint="eastAsia" w:ascii="宋体" w:hAnsi="宋体" w:eastAsia="宋体" w:cs="宋体"/>
          <w:sz w:val="24"/>
          <w:szCs w:val="24"/>
        </w:rPr>
      </w:pPr>
    </w:p>
    <w:p>
      <w:pPr>
        <w:pStyle w:val="18"/>
        <w:spacing w:line="500" w:lineRule="exact"/>
        <w:ind w:firstLine="5280" w:firstLineChars="2200"/>
        <w:rPr>
          <w:rFonts w:hAnsi="宋体" w:eastAsia="宋体" w:cs="宋体"/>
          <w:sz w:val="24"/>
          <w:szCs w:val="24"/>
        </w:rPr>
      </w:pPr>
      <w:r>
        <w:rPr>
          <w:rFonts w:hint="eastAsia" w:ascii="宋体" w:hAnsi="宋体" w:eastAsia="宋体" w:cs="宋体"/>
          <w:sz w:val="24"/>
          <w:szCs w:val="24"/>
        </w:rPr>
        <w:t xml:space="preserve"> </w:t>
      </w:r>
      <w:r>
        <w:rPr>
          <w:rFonts w:hint="eastAsia" w:hAnsi="宋体" w:eastAsia="宋体" w:cs="宋体"/>
          <w:sz w:val="24"/>
          <w:szCs w:val="24"/>
        </w:rPr>
        <w:t>投标单位(公章)：________________</w:t>
      </w:r>
    </w:p>
    <w:p>
      <w:pPr>
        <w:pStyle w:val="18"/>
        <w:spacing w:line="500" w:lineRule="exact"/>
        <w:ind w:firstLine="4320" w:firstLineChars="1800"/>
        <w:rPr>
          <w:rFonts w:hAnsi="宋体" w:eastAsia="宋体" w:cs="宋体"/>
          <w:sz w:val="24"/>
          <w:szCs w:val="24"/>
        </w:rPr>
      </w:pPr>
      <w:r>
        <w:rPr>
          <w:rFonts w:hint="eastAsia" w:hAnsi="宋体" w:eastAsia="宋体" w:cs="宋体"/>
          <w:sz w:val="24"/>
          <w:szCs w:val="24"/>
        </w:rPr>
        <w:t>法定代表人(签字或盖章)：________________</w:t>
      </w:r>
    </w:p>
    <w:p>
      <w:pPr>
        <w:pStyle w:val="18"/>
        <w:spacing w:line="500" w:lineRule="exact"/>
        <w:ind w:firstLine="5280" w:firstLineChars="2200"/>
        <w:rPr>
          <w:rFonts w:hint="eastAsia" w:hAnsi="宋体" w:eastAsia="宋体" w:cs="宋体"/>
          <w:sz w:val="24"/>
          <w:szCs w:val="24"/>
        </w:rPr>
      </w:pPr>
      <w:r>
        <w:rPr>
          <w:rFonts w:hint="eastAsia" w:hAnsi="宋体" w:eastAsia="宋体" w:cs="宋体"/>
          <w:sz w:val="24"/>
          <w:szCs w:val="24"/>
        </w:rPr>
        <w:t>日期：____年____月____日</w:t>
      </w:r>
    </w:p>
    <w:p>
      <w:pPr>
        <w:wordWrap w:val="0"/>
        <w:ind w:firstLine="520"/>
        <w:jc w:val="center"/>
        <w:rPr>
          <w:rFonts w:ascii="宋体" w:hAnsi="宋体" w:eastAsia="宋体" w:cs="宋体"/>
        </w:rPr>
      </w:pPr>
    </w:p>
    <w:p>
      <w:pPr>
        <w:adjustRightInd w:val="0"/>
        <w:snapToGrid w:val="0"/>
        <w:ind w:firstLine="480"/>
        <w:rPr>
          <w:rFonts w:ascii="宋体" w:hAnsi="宋体" w:eastAsia="宋体" w:cs="宋体"/>
          <w:sz w:val="24"/>
        </w:rPr>
      </w:pPr>
      <w:r>
        <w:rPr>
          <w:rFonts w:hint="eastAsia" w:ascii="宋体" w:hAnsi="宋体" w:eastAsia="宋体" w:cs="宋体"/>
          <w:sz w:val="24"/>
        </w:rPr>
        <w:t>附：</w:t>
      </w:r>
      <w:r>
        <w:rPr>
          <w:rFonts w:hint="eastAsia" w:ascii="宋体" w:hAnsi="宋体" w:eastAsia="宋体" w:cs="宋体"/>
          <w:sz w:val="24"/>
          <w:lang w:val="en-US" w:eastAsia="zh-CN"/>
        </w:rPr>
        <w:t>法定代表人</w:t>
      </w:r>
      <w:r>
        <w:rPr>
          <w:rFonts w:hint="eastAsia" w:ascii="宋体" w:hAnsi="宋体" w:eastAsia="宋体" w:cs="宋体"/>
          <w:sz w:val="24"/>
        </w:rPr>
        <w:t>身份征</w:t>
      </w:r>
      <w:r>
        <w:rPr>
          <w:rFonts w:hint="eastAsia" w:ascii="宋体" w:hAnsi="宋体" w:eastAsia="宋体" w:cs="宋体"/>
          <w:sz w:val="24"/>
          <w:lang w:val="en-US" w:eastAsia="zh-CN"/>
        </w:rPr>
        <w:t>正反面</w:t>
      </w:r>
      <w:r>
        <w:rPr>
          <w:rFonts w:hint="eastAsia" w:ascii="宋体" w:hAnsi="宋体" w:eastAsia="宋体" w:cs="宋体"/>
          <w:sz w:val="24"/>
        </w:rPr>
        <w:t>复印件。</w:t>
      </w:r>
    </w:p>
    <w:p>
      <w:pPr>
        <w:ind w:firstLine="520"/>
        <w:jc w:val="right"/>
        <w:rPr>
          <w:rFonts w:ascii="宋体" w:hAnsi="宋体" w:eastAsia="宋体" w:cs="宋体"/>
        </w:rPr>
      </w:pPr>
    </w:p>
    <w:p>
      <w:pPr>
        <w:spacing w:line="400" w:lineRule="atLeast"/>
        <w:ind w:firstLine="480"/>
        <w:rPr>
          <w:rFonts w:ascii="宋体" w:hAnsi="宋体" w:eastAsia="宋体" w:cs="宋体"/>
          <w:sz w:val="24"/>
        </w:rPr>
        <w:sectPr>
          <w:pgSz w:w="11907" w:h="16840"/>
          <w:pgMar w:top="1440" w:right="850" w:bottom="1440" w:left="1080" w:header="851" w:footer="850" w:gutter="0"/>
          <w:pgNumType w:fmt="decimal"/>
          <w:cols w:space="720" w:num="1"/>
          <w:titlePg/>
          <w:docGrid w:type="lines" w:linePitch="409" w:charSpace="0"/>
        </w:sectPr>
      </w:pPr>
    </w:p>
    <w:p>
      <w:pPr>
        <w:pStyle w:val="3"/>
        <w:numPr>
          <w:ilvl w:val="0"/>
          <w:numId w:val="0"/>
        </w:numPr>
        <w:tabs>
          <w:tab w:val="clear" w:pos="3621"/>
        </w:tabs>
        <w:bidi w:val="0"/>
        <w:jc w:val="center"/>
      </w:pPr>
      <w:bookmarkStart w:id="98" w:name="_Toc2811"/>
      <w:r>
        <w:rPr>
          <w:rFonts w:hint="eastAsia"/>
        </w:rPr>
        <w:t>4、开标一览表</w:t>
      </w:r>
      <w:bookmarkEnd w:id="98"/>
    </w:p>
    <w:p>
      <w:pPr>
        <w:pStyle w:val="41"/>
        <w:snapToGrid w:val="0"/>
        <w:spacing w:line="560" w:lineRule="exact"/>
        <w:ind w:firstLine="240" w:firstLineChars="100"/>
        <w:jc w:val="both"/>
        <w:rPr>
          <w:rFonts w:hint="eastAsia" w:ascii="宋体" w:hAnsi="宋体" w:cs="宋体"/>
          <w:color w:val="auto"/>
          <w:sz w:val="24"/>
          <w:szCs w:val="24"/>
        </w:rPr>
      </w:pPr>
      <w:r>
        <w:rPr>
          <w:rFonts w:hint="eastAsia" w:ascii="宋体" w:hAnsi="宋体" w:cs="宋体"/>
          <w:color w:val="auto"/>
          <w:sz w:val="24"/>
          <w:szCs w:val="24"/>
        </w:rPr>
        <w:t>项目名称：</w:t>
      </w:r>
    </w:p>
    <w:tbl>
      <w:tblPr>
        <w:tblStyle w:val="27"/>
        <w:tblpPr w:leftFromText="180" w:rightFromText="180" w:vertAnchor="text" w:horzAnchor="page" w:tblpX="1503" w:tblpY="174"/>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8" w:type="dxa"/>
            <w:vAlign w:val="center"/>
          </w:tcPr>
          <w:p>
            <w:pPr>
              <w:pStyle w:val="41"/>
              <w:snapToGrid w:val="0"/>
              <w:spacing w:line="560" w:lineRule="exact"/>
              <w:jc w:val="center"/>
              <w:rPr>
                <w:rFonts w:hint="eastAsia" w:ascii="宋体" w:hAnsi="宋体" w:cs="宋体"/>
                <w:color w:val="auto"/>
                <w:sz w:val="24"/>
                <w:szCs w:val="24"/>
              </w:rPr>
            </w:pPr>
            <w:r>
              <w:rPr>
                <w:rFonts w:hint="eastAsia" w:ascii="宋体" w:hAnsi="宋体" w:cs="宋体"/>
                <w:color w:val="auto"/>
                <w:sz w:val="24"/>
                <w:szCs w:val="24"/>
              </w:rPr>
              <w:t>供应商</w:t>
            </w:r>
          </w:p>
        </w:tc>
        <w:tc>
          <w:tcPr>
            <w:tcW w:w="6122" w:type="dxa"/>
          </w:tcPr>
          <w:p>
            <w:pPr>
              <w:pStyle w:val="41"/>
              <w:snapToGrid w:val="0"/>
              <w:spacing w:line="56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038" w:type="dxa"/>
            <w:vAlign w:val="center"/>
          </w:tcPr>
          <w:p>
            <w:pPr>
              <w:pStyle w:val="41"/>
              <w:snapToGrid w:val="0"/>
              <w:spacing w:line="560" w:lineRule="exact"/>
              <w:jc w:val="center"/>
              <w:rPr>
                <w:rFonts w:hint="eastAsia" w:ascii="宋体" w:hAnsi="宋体" w:cs="宋体"/>
                <w:color w:val="auto"/>
                <w:sz w:val="24"/>
                <w:szCs w:val="24"/>
              </w:rPr>
            </w:pPr>
            <w:r>
              <w:rPr>
                <w:rFonts w:hint="eastAsia" w:ascii="宋体" w:hAnsi="宋体" w:cs="宋体"/>
                <w:color w:val="auto"/>
                <w:sz w:val="24"/>
                <w:szCs w:val="24"/>
              </w:rPr>
              <w:t>总报价(元)</w:t>
            </w:r>
          </w:p>
        </w:tc>
        <w:tc>
          <w:tcPr>
            <w:tcW w:w="6122" w:type="dxa"/>
          </w:tcPr>
          <w:p>
            <w:pPr>
              <w:pStyle w:val="41"/>
              <w:snapToGrid w:val="0"/>
              <w:spacing w:line="560" w:lineRule="exact"/>
              <w:jc w:val="both"/>
              <w:rPr>
                <w:rFonts w:hint="eastAsia" w:ascii="宋体" w:hAnsi="宋体" w:cs="宋体"/>
                <w:color w:val="auto"/>
                <w:sz w:val="24"/>
                <w:szCs w:val="24"/>
              </w:rPr>
            </w:pPr>
            <w:r>
              <w:rPr>
                <w:rFonts w:hint="eastAsia" w:ascii="宋体" w:hAnsi="宋体" w:cs="宋体"/>
                <w:color w:val="auto"/>
                <w:sz w:val="24"/>
                <w:szCs w:val="24"/>
              </w:rPr>
              <w:t xml:space="preserve">大写:                            </w:t>
            </w:r>
          </w:p>
          <w:p>
            <w:pPr>
              <w:pStyle w:val="41"/>
              <w:snapToGrid w:val="0"/>
              <w:spacing w:line="560" w:lineRule="exact"/>
              <w:jc w:val="both"/>
              <w:rPr>
                <w:rFonts w:hint="eastAsia" w:ascii="宋体" w:hAnsi="宋体" w:cs="宋体"/>
                <w:color w:val="auto"/>
                <w:sz w:val="24"/>
                <w:szCs w:val="24"/>
              </w:rPr>
            </w:pPr>
            <w:r>
              <w:rPr>
                <w:rFonts w:hint="eastAsia" w:ascii="宋体" w:hAnsi="宋体" w:cs="宋体"/>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8" w:type="dxa"/>
            <w:vAlign w:val="center"/>
          </w:tcPr>
          <w:p>
            <w:pPr>
              <w:pStyle w:val="41"/>
              <w:snapToGrid w:val="0"/>
              <w:spacing w:line="560" w:lineRule="exact"/>
              <w:jc w:val="center"/>
              <w:rPr>
                <w:rFonts w:hint="eastAsia" w:ascii="宋体" w:hAnsi="宋体" w:cs="宋体"/>
                <w:color w:val="auto"/>
                <w:sz w:val="24"/>
                <w:szCs w:val="24"/>
              </w:rPr>
            </w:pPr>
            <w:r>
              <w:rPr>
                <w:rFonts w:hint="eastAsia" w:ascii="宋体" w:hAnsi="宋体" w:cs="宋体"/>
                <w:color w:val="auto"/>
                <w:sz w:val="24"/>
                <w:szCs w:val="24"/>
              </w:rPr>
              <w:t>供货</w:t>
            </w:r>
            <w:r>
              <w:rPr>
                <w:rFonts w:hint="eastAsia" w:ascii="宋体" w:hAnsi="宋体" w:cs="宋体"/>
                <w:color w:val="auto"/>
                <w:sz w:val="24"/>
                <w:szCs w:val="24"/>
                <w:lang w:eastAsia="zh-CN"/>
              </w:rPr>
              <w:t>安装</w:t>
            </w:r>
            <w:r>
              <w:rPr>
                <w:rFonts w:hint="eastAsia" w:ascii="宋体" w:hAnsi="宋体" w:cs="宋体"/>
                <w:color w:val="auto"/>
                <w:sz w:val="24"/>
                <w:szCs w:val="24"/>
              </w:rPr>
              <w:t>期</w:t>
            </w:r>
            <w:r>
              <w:rPr>
                <w:rFonts w:hint="eastAsia" w:ascii="宋体" w:hAnsi="宋体" w:cs="宋体"/>
                <w:color w:val="auto"/>
                <w:sz w:val="24"/>
                <w:szCs w:val="24"/>
                <w:lang w:eastAsia="zh-CN"/>
              </w:rPr>
              <w:t>及</w:t>
            </w:r>
            <w:r>
              <w:rPr>
                <w:rFonts w:hint="eastAsia" w:ascii="宋体" w:hAnsi="宋体" w:cs="宋体"/>
                <w:color w:val="auto"/>
                <w:sz w:val="24"/>
                <w:szCs w:val="24"/>
              </w:rPr>
              <w:t>质保期</w:t>
            </w:r>
          </w:p>
        </w:tc>
        <w:tc>
          <w:tcPr>
            <w:tcW w:w="6122" w:type="dxa"/>
          </w:tcPr>
          <w:p>
            <w:pPr>
              <w:pStyle w:val="41"/>
              <w:snapToGrid w:val="0"/>
              <w:spacing w:line="56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038" w:type="dxa"/>
            <w:vAlign w:val="center"/>
          </w:tcPr>
          <w:p>
            <w:pPr>
              <w:pStyle w:val="41"/>
              <w:snapToGrid w:val="0"/>
              <w:spacing w:line="560" w:lineRule="exact"/>
              <w:jc w:val="center"/>
              <w:rPr>
                <w:rFonts w:hint="eastAsia" w:ascii="宋体" w:hAnsi="宋体" w:cs="宋体"/>
                <w:color w:val="auto"/>
                <w:sz w:val="24"/>
                <w:szCs w:val="24"/>
              </w:rPr>
            </w:pPr>
            <w:r>
              <w:rPr>
                <w:rFonts w:hint="eastAsia" w:ascii="宋体" w:hAnsi="宋体" w:cs="宋体"/>
                <w:color w:val="auto"/>
                <w:sz w:val="24"/>
                <w:szCs w:val="24"/>
              </w:rPr>
              <w:t>备注</w:t>
            </w:r>
          </w:p>
        </w:tc>
        <w:tc>
          <w:tcPr>
            <w:tcW w:w="6122" w:type="dxa"/>
          </w:tcPr>
          <w:p>
            <w:pPr>
              <w:pStyle w:val="41"/>
              <w:snapToGrid w:val="0"/>
              <w:spacing w:line="560" w:lineRule="exact"/>
              <w:jc w:val="center"/>
              <w:rPr>
                <w:rFonts w:hint="eastAsia" w:ascii="宋体" w:hAnsi="宋体" w:cs="宋体"/>
                <w:color w:val="auto"/>
                <w:sz w:val="24"/>
                <w:szCs w:val="24"/>
              </w:rPr>
            </w:pPr>
            <w:r>
              <w:rPr>
                <w:rFonts w:hint="eastAsia" w:ascii="宋体" w:hAnsi="宋体" w:cs="宋体"/>
                <w:color w:val="auto"/>
                <w:sz w:val="24"/>
                <w:szCs w:val="24"/>
              </w:rPr>
              <w:t>(本报价含税及设计、运费、安装、调试等所有相关费用)</w:t>
            </w:r>
          </w:p>
        </w:tc>
      </w:tr>
    </w:tbl>
    <w:p>
      <w:pPr>
        <w:pStyle w:val="18"/>
        <w:spacing w:line="360" w:lineRule="auto"/>
        <w:ind w:firstLine="480"/>
        <w:rPr>
          <w:rFonts w:hint="eastAsia" w:hAnsi="宋体" w:eastAsia="宋体" w:cs="宋体"/>
          <w:sz w:val="24"/>
          <w:szCs w:val="24"/>
        </w:rPr>
      </w:pPr>
    </w:p>
    <w:p>
      <w:pPr>
        <w:pStyle w:val="18"/>
        <w:spacing w:line="360" w:lineRule="auto"/>
        <w:ind w:firstLine="480"/>
        <w:rPr>
          <w:rFonts w:hint="eastAsia" w:hAnsi="宋体" w:eastAsia="宋体" w:cs="宋体"/>
          <w:sz w:val="24"/>
          <w:szCs w:val="24"/>
        </w:rPr>
      </w:pPr>
    </w:p>
    <w:p>
      <w:pPr>
        <w:pStyle w:val="18"/>
        <w:spacing w:line="360" w:lineRule="auto"/>
        <w:ind w:firstLine="480"/>
        <w:rPr>
          <w:rFonts w:hint="eastAsia" w:hAnsi="宋体" w:eastAsia="宋体" w:cs="宋体"/>
          <w:sz w:val="24"/>
          <w:szCs w:val="24"/>
        </w:rPr>
      </w:pPr>
    </w:p>
    <w:p>
      <w:pPr>
        <w:pStyle w:val="18"/>
        <w:spacing w:line="360" w:lineRule="auto"/>
        <w:ind w:firstLine="480"/>
        <w:rPr>
          <w:rFonts w:hint="eastAsia" w:hAnsi="宋体" w:eastAsia="宋体" w:cs="宋体"/>
          <w:sz w:val="24"/>
          <w:szCs w:val="24"/>
        </w:rPr>
      </w:pPr>
    </w:p>
    <w:p>
      <w:pPr>
        <w:pStyle w:val="18"/>
        <w:spacing w:line="360" w:lineRule="auto"/>
        <w:ind w:firstLine="480"/>
        <w:rPr>
          <w:rFonts w:hint="eastAsia" w:hAnsi="宋体" w:eastAsia="宋体" w:cs="宋体"/>
          <w:sz w:val="24"/>
          <w:szCs w:val="24"/>
        </w:rPr>
      </w:pPr>
    </w:p>
    <w:p>
      <w:pPr>
        <w:pStyle w:val="18"/>
        <w:spacing w:line="500" w:lineRule="exact"/>
        <w:ind w:firstLine="5280" w:firstLineChars="2200"/>
        <w:rPr>
          <w:rFonts w:hAnsi="宋体" w:eastAsia="宋体" w:cs="宋体"/>
          <w:sz w:val="24"/>
          <w:szCs w:val="24"/>
        </w:rPr>
      </w:pPr>
      <w:r>
        <w:rPr>
          <w:rFonts w:hint="eastAsia" w:hAnsi="宋体" w:eastAsia="宋体" w:cs="宋体"/>
          <w:sz w:val="24"/>
          <w:szCs w:val="24"/>
        </w:rPr>
        <w:t>投标单位(公章)：________________</w:t>
      </w:r>
    </w:p>
    <w:p>
      <w:pPr>
        <w:pStyle w:val="18"/>
        <w:spacing w:line="500" w:lineRule="exact"/>
        <w:ind w:firstLine="4320" w:firstLineChars="1800"/>
        <w:rPr>
          <w:rFonts w:hAnsi="宋体" w:eastAsia="宋体" w:cs="宋体"/>
          <w:sz w:val="24"/>
          <w:szCs w:val="24"/>
        </w:rPr>
      </w:pPr>
      <w:r>
        <w:rPr>
          <w:rFonts w:hint="eastAsia" w:hAnsi="宋体" w:eastAsia="宋体" w:cs="宋体"/>
          <w:sz w:val="24"/>
          <w:szCs w:val="24"/>
        </w:rPr>
        <w:t>法定代表人(签字或盖章)：________________</w:t>
      </w:r>
    </w:p>
    <w:p>
      <w:pPr>
        <w:tabs>
          <w:tab w:val="left" w:pos="9135"/>
        </w:tabs>
        <w:spacing w:line="400" w:lineRule="atLeast"/>
        <w:ind w:firstLine="6240" w:firstLineChars="2600"/>
        <w:rPr>
          <w:rFonts w:hint="eastAsia" w:ascii="宋体" w:hAnsi="宋体" w:eastAsia="宋体" w:cs="宋体"/>
          <w:b/>
          <w:bCs/>
          <w:sz w:val="24"/>
        </w:rPr>
      </w:pPr>
      <w:r>
        <w:rPr>
          <w:rFonts w:hint="eastAsia" w:hAnsi="宋体" w:eastAsia="宋体" w:cs="宋体"/>
          <w:sz w:val="24"/>
          <w:szCs w:val="24"/>
        </w:rPr>
        <w:t>日期：____年____月____日</w:t>
      </w:r>
    </w:p>
    <w:p>
      <w:pPr>
        <w:tabs>
          <w:tab w:val="left" w:pos="9135"/>
        </w:tabs>
        <w:spacing w:line="400" w:lineRule="atLeast"/>
        <w:ind w:firstLine="480"/>
        <w:rPr>
          <w:rFonts w:hint="eastAsia" w:ascii="宋体" w:hAnsi="宋体" w:eastAsia="宋体" w:cs="宋体"/>
          <w:b/>
          <w:bCs/>
          <w:sz w:val="24"/>
        </w:rPr>
      </w:pPr>
    </w:p>
    <w:p>
      <w:pPr>
        <w:tabs>
          <w:tab w:val="left" w:pos="9135"/>
        </w:tabs>
        <w:spacing w:line="400" w:lineRule="atLeast"/>
        <w:ind w:firstLine="480"/>
        <w:rPr>
          <w:rFonts w:ascii="宋体" w:hAnsi="宋体" w:eastAsia="宋体" w:cs="宋体"/>
          <w:b/>
          <w:bCs/>
          <w:sz w:val="24"/>
        </w:rPr>
      </w:pPr>
      <w:r>
        <w:rPr>
          <w:rFonts w:hint="eastAsia" w:ascii="宋体" w:hAnsi="宋体" w:eastAsia="宋体" w:cs="宋体"/>
          <w:b/>
          <w:bCs/>
          <w:sz w:val="24"/>
        </w:rPr>
        <w:t>注：1、此表单独密封</w:t>
      </w:r>
      <w:r>
        <w:rPr>
          <w:rFonts w:hint="eastAsia" w:ascii="宋体" w:hAnsi="宋体" w:eastAsia="宋体" w:cs="宋体"/>
          <w:b/>
          <w:bCs/>
          <w:sz w:val="24"/>
          <w:lang w:eastAsia="zh-CN"/>
        </w:rPr>
        <w:t>，</w:t>
      </w:r>
      <w:r>
        <w:rPr>
          <w:rFonts w:hint="eastAsia" w:ascii="宋体" w:hAnsi="宋体" w:eastAsia="宋体" w:cs="宋体"/>
          <w:b/>
          <w:bCs/>
          <w:sz w:val="24"/>
          <w:lang w:val="en-US" w:eastAsia="zh-CN"/>
        </w:rPr>
        <w:t>封面标明开标一览表字样</w:t>
      </w:r>
      <w:r>
        <w:rPr>
          <w:rFonts w:hint="eastAsia" w:ascii="宋体" w:hAnsi="宋体" w:eastAsia="宋体" w:cs="宋体"/>
          <w:b/>
          <w:bCs/>
          <w:sz w:val="24"/>
        </w:rPr>
        <w:t>。</w:t>
      </w:r>
    </w:p>
    <w:p>
      <w:pPr>
        <w:tabs>
          <w:tab w:val="left" w:pos="9135"/>
        </w:tabs>
        <w:spacing w:line="400" w:lineRule="atLeast"/>
        <w:ind w:firstLine="480"/>
        <w:rPr>
          <w:rFonts w:ascii="宋体" w:hAnsi="宋体" w:eastAsia="宋体" w:cs="宋体"/>
          <w:b/>
          <w:bCs/>
          <w:sz w:val="24"/>
        </w:rPr>
      </w:pPr>
      <w:r>
        <w:rPr>
          <w:rFonts w:hint="eastAsia" w:ascii="宋体" w:hAnsi="宋体" w:eastAsia="宋体" w:cs="宋体"/>
          <w:b/>
          <w:bCs/>
          <w:sz w:val="24"/>
        </w:rPr>
        <w:t>2、折扣条件与折扣声明应在表下注明。</w:t>
      </w:r>
    </w:p>
    <w:p>
      <w:pPr>
        <w:pStyle w:val="45"/>
        <w:spacing w:line="480" w:lineRule="auto"/>
        <w:ind w:right="420" w:firstLine="480"/>
        <w:rPr>
          <w:rFonts w:hint="eastAsia" w:ascii="宋体" w:hAnsi="宋体" w:eastAsia="宋体" w:cs="宋体"/>
          <w:b/>
          <w:bCs/>
          <w:sz w:val="24"/>
          <w:lang w:eastAsia="zh-CN"/>
        </w:rPr>
        <w:sectPr>
          <w:headerReference r:id="rId15" w:type="default"/>
          <w:pgSz w:w="11906" w:h="16838"/>
          <w:pgMar w:top="1440" w:right="1474" w:bottom="1440" w:left="1192" w:header="851" w:footer="794" w:gutter="0"/>
          <w:pgNumType w:fmt="decimal"/>
          <w:cols w:space="720" w:num="1"/>
          <w:docGrid w:type="lines" w:linePitch="312" w:charSpace="0"/>
        </w:sectPr>
      </w:pPr>
      <w:r>
        <w:rPr>
          <w:rFonts w:hint="eastAsia" w:ascii="宋体" w:hAnsi="宋体" w:eastAsia="宋体" w:cs="宋体"/>
          <w:b/>
          <w:bCs/>
        </w:rPr>
        <w:t>3</w:t>
      </w:r>
      <w:r>
        <w:rPr>
          <w:rFonts w:hint="eastAsia" w:ascii="宋体" w:hAnsi="宋体" w:eastAsia="宋体" w:cs="宋体"/>
          <w:b/>
          <w:bCs/>
          <w:kern w:val="2"/>
        </w:rPr>
        <w:t>、当大小写不一致时以大写为准</w:t>
      </w:r>
      <w:r>
        <w:rPr>
          <w:rFonts w:hint="eastAsia" w:ascii="宋体" w:hAnsi="宋体" w:eastAsia="宋体" w:cs="宋体"/>
          <w:b/>
          <w:bCs/>
          <w:kern w:val="2"/>
          <w:lang w:eastAsia="zh-CN"/>
        </w:rPr>
        <w:t>。</w:t>
      </w:r>
    </w:p>
    <w:p>
      <w:pPr>
        <w:pStyle w:val="3"/>
        <w:numPr>
          <w:ilvl w:val="0"/>
          <w:numId w:val="0"/>
        </w:numPr>
        <w:tabs>
          <w:tab w:val="clear" w:pos="3621"/>
        </w:tabs>
        <w:bidi w:val="0"/>
        <w:jc w:val="center"/>
      </w:pPr>
      <w:bookmarkStart w:id="99" w:name="_Toc20269"/>
      <w:r>
        <w:rPr>
          <w:rFonts w:hint="eastAsia"/>
          <w:lang w:val="en-US" w:eastAsia="zh-CN"/>
        </w:rPr>
        <w:t>5</w:t>
      </w:r>
      <w:r>
        <w:rPr>
          <w:rFonts w:hint="eastAsia"/>
        </w:rPr>
        <w:t>、技术参数、功能偏离表</w:t>
      </w:r>
      <w:bookmarkEnd w:id="99"/>
    </w:p>
    <w:tbl>
      <w:tblPr>
        <w:tblStyle w:val="27"/>
        <w:tblpPr w:leftFromText="180" w:rightFromText="180" w:vertAnchor="text" w:horzAnchor="margin" w:tblpXSpec="center" w:tblpY="366"/>
        <w:tblOverlap w:val="never"/>
        <w:tblW w:w="1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608"/>
        <w:gridCol w:w="2604"/>
        <w:gridCol w:w="2404"/>
        <w:gridCol w:w="1297"/>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序号</w:t>
            </w:r>
          </w:p>
        </w:tc>
        <w:tc>
          <w:tcPr>
            <w:tcW w:w="1608"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招标文件规格条目号</w:t>
            </w:r>
          </w:p>
        </w:tc>
        <w:tc>
          <w:tcPr>
            <w:tcW w:w="2604"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招标文件要求规格</w:t>
            </w:r>
          </w:p>
        </w:tc>
        <w:tc>
          <w:tcPr>
            <w:tcW w:w="2404"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投标规格</w:t>
            </w:r>
          </w:p>
        </w:tc>
        <w:tc>
          <w:tcPr>
            <w:tcW w:w="1297"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偏离</w:t>
            </w:r>
          </w:p>
        </w:tc>
        <w:tc>
          <w:tcPr>
            <w:tcW w:w="1632"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608"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604" w:type="dxa"/>
          </w:tcPr>
          <w:p>
            <w:pPr>
              <w:spacing w:line="400" w:lineRule="atLeast"/>
              <w:ind w:firstLine="480"/>
              <w:rPr>
                <w:rFonts w:ascii="宋体" w:hAnsi="宋体" w:eastAsia="宋体" w:cs="宋体"/>
                <w:sz w:val="24"/>
              </w:rPr>
            </w:pPr>
          </w:p>
        </w:tc>
        <w:tc>
          <w:tcPr>
            <w:tcW w:w="2404" w:type="dxa"/>
          </w:tcPr>
          <w:p>
            <w:pPr>
              <w:spacing w:line="400" w:lineRule="atLeast"/>
              <w:ind w:firstLine="480"/>
              <w:rPr>
                <w:rFonts w:ascii="宋体" w:hAnsi="宋体" w:eastAsia="宋体" w:cs="宋体"/>
                <w:sz w:val="24"/>
              </w:rPr>
            </w:pPr>
          </w:p>
        </w:tc>
        <w:tc>
          <w:tcPr>
            <w:tcW w:w="1297" w:type="dxa"/>
          </w:tcPr>
          <w:p>
            <w:pPr>
              <w:spacing w:line="400" w:lineRule="atLeast"/>
              <w:ind w:firstLine="480"/>
              <w:rPr>
                <w:rFonts w:ascii="宋体" w:hAnsi="宋体" w:eastAsia="宋体" w:cs="宋体"/>
                <w:sz w:val="24"/>
              </w:rPr>
            </w:pPr>
          </w:p>
        </w:tc>
        <w:tc>
          <w:tcPr>
            <w:tcW w:w="1632" w:type="dxa"/>
          </w:tcPr>
          <w:p>
            <w:pPr>
              <w:spacing w:line="400" w:lineRule="atLeast"/>
              <w:ind w:firstLine="480"/>
              <w:rPr>
                <w:rFonts w:ascii="宋体" w:hAnsi="宋体" w:eastAsia="宋体" w:cs="宋体"/>
                <w:sz w:val="24"/>
              </w:rPr>
            </w:pPr>
          </w:p>
        </w:tc>
      </w:tr>
    </w:tbl>
    <w:p>
      <w:pPr>
        <w:spacing w:line="400" w:lineRule="atLeast"/>
        <w:ind w:firstLine="480"/>
        <w:rPr>
          <w:rFonts w:ascii="宋体" w:hAnsi="宋体" w:eastAsia="宋体" w:cs="宋体"/>
          <w:sz w:val="24"/>
        </w:rPr>
      </w:pPr>
    </w:p>
    <w:p>
      <w:pPr>
        <w:spacing w:line="400" w:lineRule="atLeast"/>
        <w:ind w:firstLine="480"/>
        <w:jc w:val="center"/>
        <w:outlineLvl w:val="9"/>
        <w:rPr>
          <w:rFonts w:ascii="宋体" w:hAnsi="宋体" w:eastAsia="宋体" w:cs="宋体"/>
          <w:sz w:val="24"/>
        </w:rPr>
      </w:pPr>
      <w:r>
        <w:rPr>
          <w:rFonts w:hint="eastAsia" w:ascii="宋体" w:hAnsi="宋体" w:eastAsia="宋体" w:cs="宋体"/>
          <w:sz w:val="24"/>
        </w:rPr>
        <w:t>供应商名称（公章）：</w:t>
      </w:r>
      <w:r>
        <w:rPr>
          <w:rFonts w:hint="eastAsia" w:ascii="宋体" w:hAnsi="宋体" w:eastAsia="宋体" w:cs="宋体"/>
          <w:sz w:val="24"/>
          <w:u w:val="single"/>
        </w:rPr>
        <w:t xml:space="preserve">         　　　　　  　　　</w:t>
      </w:r>
    </w:p>
    <w:p>
      <w:pPr>
        <w:pStyle w:val="18"/>
        <w:spacing w:line="360" w:lineRule="auto"/>
        <w:ind w:firstLine="480"/>
        <w:jc w:val="right"/>
        <w:rPr>
          <w:rFonts w:hAnsi="宋体" w:eastAsia="宋体" w:cs="宋体"/>
          <w:sz w:val="24"/>
          <w:szCs w:val="24"/>
        </w:rPr>
      </w:pPr>
      <w:r>
        <w:rPr>
          <w:rFonts w:hint="eastAsia" w:hAnsi="宋体" w:eastAsia="宋体" w:cs="宋体"/>
          <w:sz w:val="24"/>
          <w:szCs w:val="24"/>
        </w:rPr>
        <w:t>法定代表人或授权代表(签字或盖章)：_____________</w:t>
      </w:r>
    </w:p>
    <w:p>
      <w:pPr>
        <w:pStyle w:val="18"/>
        <w:spacing w:line="360" w:lineRule="auto"/>
        <w:ind w:firstLine="4800" w:firstLineChars="2000"/>
        <w:rPr>
          <w:rFonts w:hAnsi="宋体" w:eastAsia="宋体" w:cs="宋体"/>
          <w:sz w:val="24"/>
          <w:szCs w:val="24"/>
        </w:rPr>
      </w:pPr>
      <w:r>
        <w:rPr>
          <w:rFonts w:hint="eastAsia" w:hAnsi="宋体" w:eastAsia="宋体" w:cs="宋体"/>
          <w:sz w:val="24"/>
          <w:szCs w:val="24"/>
        </w:rPr>
        <w:t>日期：_____年____月____日</w:t>
      </w:r>
    </w:p>
    <w:p>
      <w:pPr>
        <w:pStyle w:val="3"/>
        <w:numPr>
          <w:ilvl w:val="0"/>
          <w:numId w:val="0"/>
        </w:numPr>
        <w:tabs>
          <w:tab w:val="clear" w:pos="3621"/>
        </w:tabs>
        <w:bidi w:val="0"/>
        <w:jc w:val="center"/>
      </w:pPr>
      <w:bookmarkStart w:id="100" w:name="_Toc18039"/>
      <w:r>
        <w:rPr>
          <w:rFonts w:hint="eastAsia"/>
          <w:lang w:val="en-US" w:eastAsia="zh-CN"/>
        </w:rPr>
        <w:t>6</w:t>
      </w:r>
      <w:r>
        <w:rPr>
          <w:rFonts w:hint="eastAsia"/>
        </w:rPr>
        <w:t>、商务条款偏离表</w:t>
      </w:r>
      <w:bookmarkEnd w:id="100"/>
    </w:p>
    <w:tbl>
      <w:tblPr>
        <w:tblStyle w:val="27"/>
        <w:tblpPr w:leftFromText="180" w:rightFromText="180" w:vertAnchor="text" w:horzAnchor="page" w:tblpX="798" w:tblpY="290"/>
        <w:tblOverlap w:val="never"/>
        <w:tblW w:w="10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31"/>
        <w:gridCol w:w="2788"/>
        <w:gridCol w:w="3098"/>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序号</w:t>
            </w:r>
          </w:p>
        </w:tc>
        <w:tc>
          <w:tcPr>
            <w:tcW w:w="1331"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招标文件条目号</w:t>
            </w:r>
          </w:p>
        </w:tc>
        <w:tc>
          <w:tcPr>
            <w:tcW w:w="2788"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招标文件的商务条款</w:t>
            </w:r>
          </w:p>
        </w:tc>
        <w:tc>
          <w:tcPr>
            <w:tcW w:w="3098"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投标文件的商务条款</w:t>
            </w:r>
          </w:p>
        </w:tc>
        <w:tc>
          <w:tcPr>
            <w:tcW w:w="2168" w:type="dxa"/>
            <w:vAlign w:val="center"/>
          </w:tcPr>
          <w:p>
            <w:pPr>
              <w:spacing w:line="400" w:lineRule="atLeast"/>
              <w:ind w:firstLine="0" w:firstLineChars="0"/>
              <w:jc w:val="center"/>
              <w:rPr>
                <w:rFonts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633" w:type="dxa"/>
          </w:tcPr>
          <w:p>
            <w:pPr>
              <w:spacing w:line="400" w:lineRule="atLeast"/>
              <w:ind w:firstLine="480"/>
              <w:rPr>
                <w:rFonts w:ascii="宋体" w:hAnsi="宋体" w:eastAsia="宋体" w:cs="宋体"/>
                <w:sz w:val="24"/>
              </w:rPr>
            </w:pPr>
          </w:p>
          <w:p>
            <w:pPr>
              <w:spacing w:line="400" w:lineRule="atLeast"/>
              <w:ind w:firstLine="480"/>
              <w:rPr>
                <w:rFonts w:ascii="宋体" w:hAnsi="宋体" w:eastAsia="宋体" w:cs="宋体"/>
                <w:sz w:val="24"/>
              </w:rPr>
            </w:pPr>
          </w:p>
        </w:tc>
        <w:tc>
          <w:tcPr>
            <w:tcW w:w="1331" w:type="dxa"/>
          </w:tcPr>
          <w:p>
            <w:pPr>
              <w:widowControl/>
              <w:spacing w:line="400" w:lineRule="atLeast"/>
              <w:ind w:firstLine="480"/>
              <w:jc w:val="left"/>
              <w:rPr>
                <w:rFonts w:ascii="宋体" w:hAnsi="宋体" w:eastAsia="宋体" w:cs="宋体"/>
                <w:sz w:val="24"/>
              </w:rPr>
            </w:pPr>
          </w:p>
          <w:p>
            <w:pPr>
              <w:spacing w:line="400" w:lineRule="atLeast"/>
              <w:ind w:firstLine="480"/>
              <w:rPr>
                <w:rFonts w:ascii="宋体" w:hAnsi="宋体" w:eastAsia="宋体" w:cs="宋体"/>
                <w:sz w:val="24"/>
              </w:rPr>
            </w:pPr>
          </w:p>
        </w:tc>
        <w:tc>
          <w:tcPr>
            <w:tcW w:w="2788" w:type="dxa"/>
          </w:tcPr>
          <w:p>
            <w:pPr>
              <w:spacing w:line="400" w:lineRule="atLeast"/>
              <w:ind w:firstLine="480"/>
              <w:rPr>
                <w:rFonts w:ascii="宋体" w:hAnsi="宋体" w:eastAsia="宋体" w:cs="宋体"/>
                <w:sz w:val="24"/>
              </w:rPr>
            </w:pPr>
          </w:p>
        </w:tc>
        <w:tc>
          <w:tcPr>
            <w:tcW w:w="3098" w:type="dxa"/>
          </w:tcPr>
          <w:p>
            <w:pPr>
              <w:spacing w:line="400" w:lineRule="atLeast"/>
              <w:ind w:firstLine="480"/>
              <w:rPr>
                <w:rFonts w:ascii="宋体" w:hAnsi="宋体" w:eastAsia="宋体" w:cs="宋体"/>
                <w:sz w:val="24"/>
              </w:rPr>
            </w:pPr>
          </w:p>
        </w:tc>
        <w:tc>
          <w:tcPr>
            <w:tcW w:w="2168" w:type="dxa"/>
          </w:tcPr>
          <w:p>
            <w:pPr>
              <w:spacing w:line="400" w:lineRule="atLeast"/>
              <w:ind w:firstLine="480"/>
              <w:rPr>
                <w:rFonts w:ascii="宋体" w:hAnsi="宋体" w:eastAsia="宋体" w:cs="宋体"/>
                <w:sz w:val="24"/>
              </w:rPr>
            </w:pPr>
          </w:p>
        </w:tc>
      </w:tr>
    </w:tbl>
    <w:p>
      <w:pPr>
        <w:spacing w:line="400" w:lineRule="atLeast"/>
        <w:ind w:firstLine="480"/>
        <w:rPr>
          <w:rFonts w:ascii="宋体" w:hAnsi="宋体" w:eastAsia="宋体" w:cs="宋体"/>
          <w:sz w:val="24"/>
        </w:rPr>
      </w:pPr>
    </w:p>
    <w:p>
      <w:pPr>
        <w:spacing w:line="400" w:lineRule="atLeast"/>
        <w:ind w:firstLine="480"/>
        <w:jc w:val="center"/>
        <w:outlineLvl w:val="9"/>
        <w:rPr>
          <w:rFonts w:ascii="宋体" w:hAnsi="宋体" w:eastAsia="宋体" w:cs="宋体"/>
          <w:sz w:val="24"/>
        </w:rPr>
      </w:pPr>
      <w:r>
        <w:rPr>
          <w:rFonts w:hint="eastAsia" w:ascii="宋体" w:hAnsi="宋体" w:eastAsia="宋体" w:cs="宋体"/>
          <w:sz w:val="24"/>
        </w:rPr>
        <w:t>供应商名称（公章）：</w:t>
      </w:r>
      <w:r>
        <w:rPr>
          <w:rFonts w:hint="eastAsia" w:ascii="宋体" w:hAnsi="宋体" w:eastAsia="宋体" w:cs="宋体"/>
          <w:sz w:val="24"/>
          <w:u w:val="single"/>
        </w:rPr>
        <w:t xml:space="preserve">         　　　　　  　　　</w:t>
      </w:r>
    </w:p>
    <w:p>
      <w:pPr>
        <w:pStyle w:val="18"/>
        <w:spacing w:line="360" w:lineRule="auto"/>
        <w:ind w:firstLine="480"/>
        <w:jc w:val="right"/>
        <w:rPr>
          <w:rFonts w:hAnsi="宋体" w:eastAsia="宋体" w:cs="宋体"/>
          <w:sz w:val="24"/>
          <w:szCs w:val="24"/>
        </w:rPr>
      </w:pPr>
      <w:r>
        <w:rPr>
          <w:rFonts w:hint="eastAsia" w:hAnsi="宋体" w:eastAsia="宋体" w:cs="宋体"/>
          <w:sz w:val="24"/>
          <w:szCs w:val="24"/>
        </w:rPr>
        <w:t>法定代表人或授权代表(签字或盖章)：_____________</w:t>
      </w:r>
    </w:p>
    <w:p>
      <w:pPr>
        <w:pStyle w:val="18"/>
        <w:spacing w:line="360" w:lineRule="auto"/>
        <w:ind w:firstLine="4800" w:firstLineChars="2000"/>
        <w:rPr>
          <w:rFonts w:hAnsi="宋体" w:eastAsia="宋体" w:cs="宋体"/>
          <w:sz w:val="24"/>
          <w:szCs w:val="24"/>
        </w:rPr>
      </w:pPr>
      <w:r>
        <w:rPr>
          <w:rFonts w:hint="eastAsia" w:hAnsi="宋体" w:eastAsia="宋体" w:cs="宋体"/>
          <w:sz w:val="24"/>
          <w:szCs w:val="24"/>
        </w:rPr>
        <w:t>日期：_____年____月____日</w:t>
      </w:r>
    </w:p>
    <w:p>
      <w:pPr>
        <w:pStyle w:val="3"/>
        <w:numPr>
          <w:ilvl w:val="0"/>
          <w:numId w:val="0"/>
        </w:numPr>
        <w:tabs>
          <w:tab w:val="clear" w:pos="3621"/>
        </w:tabs>
        <w:bidi w:val="0"/>
        <w:jc w:val="center"/>
      </w:pPr>
      <w:bookmarkStart w:id="101" w:name="_Toc10728"/>
      <w:r>
        <w:rPr>
          <w:rFonts w:hint="eastAsia"/>
          <w:lang w:val="en-US" w:eastAsia="zh-CN"/>
        </w:rPr>
        <w:t>7</w:t>
      </w:r>
      <w:r>
        <w:rPr>
          <w:rFonts w:hint="eastAsia"/>
        </w:rPr>
        <w:t>、供应商概况和资质证明文件</w:t>
      </w:r>
      <w:bookmarkEnd w:id="101"/>
    </w:p>
    <w:p>
      <w:pPr>
        <w:spacing w:line="500" w:lineRule="exact"/>
        <w:ind w:left="0" w:leftChars="0" w:firstLine="0" w:firstLineChars="0"/>
        <w:rPr>
          <w:rFonts w:ascii="宋体" w:hAnsi="宋体" w:eastAsia="宋体" w:cs="宋体"/>
          <w:sz w:val="24"/>
        </w:rPr>
      </w:pPr>
      <w:r>
        <w:rPr>
          <w:rFonts w:hint="eastAsia" w:ascii="宋体" w:hAnsi="宋体" w:eastAsia="宋体" w:cs="宋体"/>
          <w:sz w:val="24"/>
        </w:rPr>
        <w:t>（1）内容见“ 供应商或制造商须知</w:t>
      </w:r>
      <w:r>
        <w:rPr>
          <w:rFonts w:hint="eastAsia" w:ascii="宋体" w:hAnsi="宋体" w:eastAsia="宋体" w:cs="宋体"/>
          <w:sz w:val="24"/>
          <w:lang w:eastAsia="zh-CN"/>
        </w:rPr>
        <w:t>前附表</w:t>
      </w:r>
      <w:r>
        <w:rPr>
          <w:rFonts w:hint="eastAsia" w:ascii="宋体" w:hAnsi="宋体" w:eastAsia="宋体" w:cs="宋体"/>
          <w:sz w:val="24"/>
        </w:rPr>
        <w:t>”第</w:t>
      </w:r>
      <w:r>
        <w:rPr>
          <w:rFonts w:hint="eastAsia" w:ascii="宋体" w:hAnsi="宋体" w:eastAsia="宋体" w:cs="宋体"/>
          <w:sz w:val="24"/>
          <w:lang w:val="en-US" w:eastAsia="zh-CN"/>
        </w:rPr>
        <w:t>1.4.1</w:t>
      </w:r>
      <w:r>
        <w:rPr>
          <w:rFonts w:hint="eastAsia" w:ascii="宋体" w:hAnsi="宋体" w:eastAsia="宋体" w:cs="宋体"/>
          <w:sz w:val="24"/>
        </w:rPr>
        <w:t xml:space="preserve">条。 </w:t>
      </w:r>
    </w:p>
    <w:p>
      <w:pPr>
        <w:spacing w:line="500" w:lineRule="exact"/>
        <w:ind w:left="0" w:leftChars="0" w:firstLine="0" w:firstLineChars="0"/>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2）其它一切有利于产品和供应商或制造商的证明材料。</w:t>
      </w:r>
    </w:p>
    <w:p>
      <w:pPr>
        <w:spacing w:line="500" w:lineRule="exact"/>
        <w:ind w:left="0" w:leftChars="0" w:firstLine="0" w:firstLineChars="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）磋商保证金收据复印件</w:t>
      </w:r>
      <w:r>
        <w:rPr>
          <w:rFonts w:hint="eastAsia" w:ascii="宋体" w:hAnsi="宋体" w:eastAsia="宋体" w:cs="宋体"/>
          <w:sz w:val="24"/>
          <w:lang w:val="en-US" w:eastAsia="zh-CN"/>
        </w:rPr>
        <w:t>或转账凭证截图复印件</w:t>
      </w:r>
      <w:r>
        <w:rPr>
          <w:rFonts w:hint="eastAsia" w:ascii="宋体" w:hAnsi="宋体" w:eastAsia="宋体" w:cs="宋体"/>
          <w:sz w:val="24"/>
        </w:rPr>
        <w:t>。</w:t>
      </w:r>
    </w:p>
    <w:p>
      <w:pPr>
        <w:spacing w:line="400" w:lineRule="atLeast"/>
        <w:ind w:firstLine="480"/>
        <w:jc w:val="center"/>
        <w:rPr>
          <w:rFonts w:ascii="宋体" w:hAnsi="宋体" w:eastAsia="宋体" w:cs="宋体"/>
          <w:sz w:val="24"/>
        </w:rPr>
      </w:pPr>
    </w:p>
    <w:p>
      <w:pPr>
        <w:pageBreakBefore/>
        <w:spacing w:line="400" w:lineRule="atLeast"/>
        <w:ind w:firstLine="640"/>
        <w:jc w:val="center"/>
        <w:outlineLvl w:val="0"/>
        <w:rPr>
          <w:rStyle w:val="57"/>
          <w:rFonts w:hint="eastAsia"/>
        </w:rPr>
      </w:pPr>
      <w:bookmarkStart w:id="102" w:name="_Toc9435"/>
      <w:bookmarkStart w:id="103" w:name="_Toc166"/>
      <w:r>
        <w:rPr>
          <w:rFonts w:hint="eastAsia" w:ascii="宋体" w:hAnsi="宋体" w:eastAsia="宋体" w:cs="宋体"/>
          <w:b/>
          <w:bCs/>
          <w:sz w:val="32"/>
          <w:szCs w:val="22"/>
        </w:rPr>
        <w:t>关</w:t>
      </w:r>
      <w:r>
        <w:rPr>
          <w:rStyle w:val="57"/>
          <w:rFonts w:hint="eastAsia"/>
        </w:rPr>
        <w:t>于资格的声明函</w:t>
      </w:r>
      <w:bookmarkEnd w:id="102"/>
      <w:bookmarkEnd w:id="103"/>
    </w:p>
    <w:p>
      <w:pPr>
        <w:spacing w:line="500" w:lineRule="exact"/>
        <w:ind w:firstLine="480"/>
        <w:rPr>
          <w:rFonts w:ascii="宋体" w:hAnsi="宋体" w:eastAsia="宋体" w:cs="宋体"/>
          <w:sz w:val="24"/>
        </w:rPr>
      </w:pPr>
    </w:p>
    <w:p>
      <w:pPr>
        <w:spacing w:line="500" w:lineRule="exact"/>
        <w:ind w:firstLine="480"/>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w:t>
      </w:r>
      <w:r>
        <w:rPr>
          <w:rFonts w:hint="eastAsia" w:ascii="宋体" w:hAnsi="宋体" w:eastAsia="宋体" w:cs="宋体"/>
          <w:sz w:val="24"/>
        </w:rPr>
        <w:t>：</w:t>
      </w:r>
    </w:p>
    <w:p>
      <w:pPr>
        <w:spacing w:line="500" w:lineRule="exact"/>
        <w:ind w:firstLine="480"/>
        <w:rPr>
          <w:rFonts w:ascii="宋体" w:hAnsi="宋体" w:eastAsia="宋体" w:cs="宋体"/>
          <w:sz w:val="24"/>
        </w:rPr>
      </w:pPr>
      <w:r>
        <w:rPr>
          <w:rFonts w:hint="eastAsia" w:ascii="宋体" w:hAnsi="宋体" w:eastAsia="宋体" w:cs="宋体"/>
          <w:sz w:val="24"/>
        </w:rPr>
        <w:t>关于贵方</w:t>
      </w:r>
      <w:r>
        <w:rPr>
          <w:rFonts w:hint="eastAsia" w:ascii="宋体" w:hAnsi="宋体" w:eastAsia="宋体" w:cs="宋体"/>
          <w:sz w:val="24"/>
          <w:u w:val="single"/>
        </w:rPr>
        <w:t>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日第</w:t>
      </w:r>
      <w:r>
        <w:rPr>
          <w:rFonts w:hint="eastAsia" w:ascii="宋体" w:hAnsi="宋体" w:eastAsia="宋体" w:cs="宋体"/>
          <w:sz w:val="24"/>
          <w:u w:val="single"/>
        </w:rPr>
        <w:t>（</w:t>
      </w:r>
      <w:r>
        <w:rPr>
          <w:rFonts w:hint="eastAsia" w:ascii="宋体" w:hAnsi="宋体" w:eastAsia="宋体" w:cs="宋体"/>
          <w:i/>
          <w:sz w:val="24"/>
          <w:u w:val="single"/>
        </w:rPr>
        <w:t>项目编号</w:t>
      </w:r>
      <w:r>
        <w:rPr>
          <w:rFonts w:hint="eastAsia" w:ascii="宋体" w:hAnsi="宋体" w:eastAsia="宋体" w:cs="宋体"/>
          <w:sz w:val="24"/>
          <w:u w:val="single"/>
        </w:rPr>
        <w:t>）</w:t>
      </w:r>
      <w:r>
        <w:rPr>
          <w:rFonts w:hint="eastAsia" w:ascii="宋体" w:hAnsi="宋体" w:eastAsia="宋体" w:cs="宋体"/>
          <w:sz w:val="24"/>
        </w:rPr>
        <w:t>招标通告，本签字人愿意参加投标，并有能力提供</w:t>
      </w:r>
      <w:r>
        <w:rPr>
          <w:rFonts w:hint="eastAsia" w:ascii="宋体" w:hAnsi="宋体" w:eastAsia="宋体" w:cs="宋体"/>
          <w:sz w:val="24"/>
          <w:u w:val="single"/>
        </w:rPr>
        <w:t>　　（</w:t>
      </w:r>
      <w:r>
        <w:rPr>
          <w:rFonts w:hint="eastAsia" w:ascii="宋体" w:hAnsi="宋体" w:eastAsia="宋体" w:cs="宋体"/>
          <w:i/>
          <w:sz w:val="24"/>
          <w:u w:val="single"/>
        </w:rPr>
        <w:t>项目名称</w:t>
      </w:r>
      <w:r>
        <w:rPr>
          <w:rFonts w:hint="eastAsia" w:ascii="宋体" w:hAnsi="宋体" w:eastAsia="宋体" w:cs="宋体"/>
          <w:sz w:val="24"/>
          <w:u w:val="single"/>
        </w:rPr>
        <w:t>）　　　</w:t>
      </w:r>
      <w:r>
        <w:rPr>
          <w:rFonts w:hint="eastAsia" w:ascii="宋体" w:hAnsi="宋体" w:eastAsia="宋体" w:cs="宋体"/>
          <w:sz w:val="24"/>
        </w:rPr>
        <w:t>项目中的</w:t>
      </w:r>
      <w:r>
        <w:rPr>
          <w:rFonts w:hint="eastAsia" w:ascii="宋体" w:hAnsi="宋体" w:eastAsia="宋体" w:cs="宋体"/>
          <w:sz w:val="24"/>
          <w:u w:val="single"/>
        </w:rPr>
        <w:t>　（</w:t>
      </w:r>
      <w:r>
        <w:rPr>
          <w:rFonts w:hint="eastAsia" w:ascii="宋体" w:hAnsi="宋体" w:eastAsia="宋体" w:cs="宋体"/>
          <w:i/>
          <w:sz w:val="24"/>
          <w:u w:val="single"/>
        </w:rPr>
        <w:t>货物名称</w:t>
      </w:r>
      <w:r>
        <w:rPr>
          <w:rFonts w:hint="eastAsia" w:ascii="宋体" w:hAnsi="宋体" w:eastAsia="宋体" w:cs="宋体"/>
          <w:sz w:val="24"/>
          <w:u w:val="single"/>
        </w:rPr>
        <w:t>）　　</w:t>
      </w:r>
      <w:r>
        <w:rPr>
          <w:rFonts w:hint="eastAsia" w:ascii="宋体" w:hAnsi="宋体" w:eastAsia="宋体" w:cs="宋体"/>
          <w:sz w:val="24"/>
        </w:rPr>
        <w:t>招标货物及相关服务，并证明所提交的所有文件和说明是准确和真实的。</w:t>
      </w:r>
    </w:p>
    <w:p>
      <w:pPr>
        <w:spacing w:line="500" w:lineRule="exact"/>
        <w:ind w:firstLine="480"/>
        <w:rPr>
          <w:rFonts w:ascii="宋体" w:hAnsi="宋体" w:eastAsia="宋体" w:cs="宋体"/>
          <w:sz w:val="24"/>
        </w:rPr>
      </w:pPr>
    </w:p>
    <w:p>
      <w:pPr>
        <w:pStyle w:val="18"/>
        <w:bidi w:val="0"/>
      </w:pPr>
    </w:p>
    <w:p>
      <w:pPr>
        <w:spacing w:line="400" w:lineRule="atLeast"/>
        <w:ind w:firstLine="480"/>
        <w:rPr>
          <w:rFonts w:ascii="宋体" w:hAnsi="宋体" w:eastAsia="宋体" w:cs="宋体"/>
          <w:sz w:val="24"/>
        </w:rPr>
      </w:pPr>
    </w:p>
    <w:p>
      <w:pPr>
        <w:pStyle w:val="2"/>
        <w:numPr>
          <w:ilvl w:val="0"/>
          <w:numId w:val="0"/>
        </w:numPr>
        <w:ind w:left="3640" w:leftChars="0"/>
      </w:pPr>
    </w:p>
    <w:p>
      <w:pPr>
        <w:spacing w:line="400" w:lineRule="atLeast"/>
        <w:ind w:firstLine="480"/>
        <w:jc w:val="center"/>
        <w:outlineLvl w:val="9"/>
        <w:rPr>
          <w:rFonts w:ascii="宋体" w:hAnsi="宋体" w:eastAsia="宋体" w:cs="宋体"/>
          <w:sz w:val="24"/>
        </w:rPr>
      </w:pPr>
      <w:bookmarkStart w:id="104" w:name="_Toc164"/>
      <w:r>
        <w:rPr>
          <w:rFonts w:hint="eastAsia" w:ascii="宋体" w:hAnsi="宋体" w:eastAsia="宋体" w:cs="宋体"/>
          <w:sz w:val="24"/>
        </w:rPr>
        <w:t>供应商名称（公章）：</w:t>
      </w:r>
      <w:bookmarkEnd w:id="104"/>
      <w:r>
        <w:rPr>
          <w:rFonts w:hint="eastAsia" w:ascii="宋体" w:hAnsi="宋体" w:eastAsia="宋体" w:cs="宋体"/>
          <w:sz w:val="24"/>
          <w:u w:val="single"/>
        </w:rPr>
        <w:t xml:space="preserve">         　　　　　  　　　</w:t>
      </w:r>
    </w:p>
    <w:p>
      <w:pPr>
        <w:pStyle w:val="18"/>
        <w:spacing w:line="360" w:lineRule="auto"/>
        <w:ind w:firstLine="480"/>
        <w:jc w:val="right"/>
        <w:rPr>
          <w:rFonts w:hAnsi="宋体" w:eastAsia="宋体" w:cs="宋体"/>
          <w:sz w:val="24"/>
          <w:szCs w:val="24"/>
        </w:rPr>
      </w:pPr>
      <w:r>
        <w:rPr>
          <w:rFonts w:hint="eastAsia" w:hAnsi="宋体" w:eastAsia="宋体" w:cs="宋体"/>
          <w:sz w:val="24"/>
          <w:szCs w:val="24"/>
        </w:rPr>
        <w:t>法定代表人或授权代表(签字或盖章)：_____________</w:t>
      </w:r>
    </w:p>
    <w:p>
      <w:pPr>
        <w:pStyle w:val="18"/>
        <w:spacing w:line="360" w:lineRule="auto"/>
        <w:ind w:firstLine="4800" w:firstLineChars="2000"/>
        <w:rPr>
          <w:rFonts w:hAnsi="宋体" w:eastAsia="宋体" w:cs="宋体"/>
          <w:sz w:val="24"/>
          <w:szCs w:val="24"/>
        </w:rPr>
      </w:pPr>
      <w:r>
        <w:rPr>
          <w:rFonts w:hint="eastAsia" w:hAnsi="宋体" w:eastAsia="宋体" w:cs="宋体"/>
          <w:sz w:val="24"/>
          <w:szCs w:val="24"/>
        </w:rPr>
        <w:t>日期：_____年____月____日</w:t>
      </w:r>
    </w:p>
    <w:p>
      <w:pPr>
        <w:spacing w:line="400" w:lineRule="atLeast"/>
        <w:ind w:firstLine="480"/>
        <w:jc w:val="right"/>
        <w:rPr>
          <w:rFonts w:ascii="宋体" w:hAnsi="宋体" w:eastAsia="宋体" w:cs="宋体"/>
          <w:sz w:val="24"/>
          <w:u w:val="single"/>
        </w:rPr>
      </w:pPr>
    </w:p>
    <w:p>
      <w:pPr>
        <w:pStyle w:val="46"/>
        <w:spacing w:line="400" w:lineRule="atLeast"/>
        <w:ind w:firstLine="480"/>
        <w:rPr>
          <w:rFonts w:hAnsi="宋体" w:eastAsia="宋体" w:cs="宋体"/>
          <w:b w:val="0"/>
          <w:sz w:val="24"/>
        </w:rPr>
      </w:pPr>
    </w:p>
    <w:p>
      <w:pPr>
        <w:spacing w:line="400" w:lineRule="atLeast"/>
        <w:ind w:firstLine="520"/>
        <w:rPr>
          <w:rFonts w:ascii="宋体" w:hAnsi="宋体" w:eastAsia="宋体" w:cs="宋体"/>
        </w:rPr>
      </w:pPr>
    </w:p>
    <w:p>
      <w:pPr>
        <w:spacing w:line="400" w:lineRule="atLeast"/>
        <w:ind w:firstLine="520"/>
        <w:rPr>
          <w:rFonts w:ascii="宋体" w:hAnsi="宋体" w:eastAsia="宋体" w:cs="宋体"/>
        </w:rPr>
      </w:pPr>
    </w:p>
    <w:p>
      <w:pPr>
        <w:spacing w:line="400" w:lineRule="atLeast"/>
        <w:ind w:firstLine="520"/>
        <w:rPr>
          <w:rFonts w:ascii="宋体" w:hAnsi="宋体" w:eastAsia="宋体" w:cs="宋体"/>
        </w:rPr>
      </w:pPr>
    </w:p>
    <w:p>
      <w:pPr>
        <w:spacing w:line="400" w:lineRule="atLeast"/>
        <w:ind w:firstLine="520"/>
        <w:rPr>
          <w:rFonts w:ascii="宋体" w:hAnsi="宋体" w:eastAsia="宋体" w:cs="宋体"/>
        </w:rPr>
      </w:pPr>
    </w:p>
    <w:p>
      <w:pPr>
        <w:spacing w:line="400" w:lineRule="atLeast"/>
        <w:ind w:firstLine="480"/>
        <w:jc w:val="center"/>
        <w:rPr>
          <w:rFonts w:ascii="宋体" w:hAnsi="宋体" w:eastAsia="宋体" w:cs="宋体"/>
          <w:sz w:val="24"/>
        </w:rPr>
      </w:pPr>
    </w:p>
    <w:p>
      <w:pPr>
        <w:spacing w:line="400" w:lineRule="atLeast"/>
        <w:ind w:firstLine="480"/>
        <w:jc w:val="center"/>
        <w:rPr>
          <w:rFonts w:ascii="宋体" w:hAnsi="宋体" w:eastAsia="宋体" w:cs="宋体"/>
          <w:sz w:val="24"/>
        </w:rPr>
      </w:pPr>
    </w:p>
    <w:p>
      <w:pPr>
        <w:spacing w:line="400" w:lineRule="atLeast"/>
        <w:ind w:firstLine="480"/>
        <w:jc w:val="center"/>
        <w:rPr>
          <w:rFonts w:ascii="宋体" w:hAnsi="宋体" w:eastAsia="宋体" w:cs="宋体"/>
          <w:sz w:val="24"/>
        </w:rPr>
      </w:pPr>
    </w:p>
    <w:p>
      <w:pPr>
        <w:spacing w:line="400" w:lineRule="atLeast"/>
        <w:ind w:firstLine="480"/>
        <w:jc w:val="center"/>
        <w:rPr>
          <w:rFonts w:ascii="宋体" w:hAnsi="宋体" w:eastAsia="宋体" w:cs="宋体"/>
          <w:sz w:val="24"/>
        </w:rPr>
      </w:pPr>
    </w:p>
    <w:p>
      <w:pPr>
        <w:pStyle w:val="33"/>
        <w:pageBreakBefore/>
        <w:spacing w:line="400" w:lineRule="atLeast"/>
        <w:ind w:firstLine="640"/>
        <w:jc w:val="center"/>
        <w:outlineLvl w:val="0"/>
        <w:rPr>
          <w:rFonts w:hAnsi="宋体" w:eastAsia="宋体" w:cs="宋体"/>
          <w:sz w:val="32"/>
          <w:szCs w:val="22"/>
        </w:rPr>
      </w:pPr>
      <w:bookmarkStart w:id="105" w:name="_Toc4622"/>
      <w:bookmarkStart w:id="106" w:name="_Toc14485"/>
      <w:r>
        <w:rPr>
          <w:rFonts w:hint="eastAsia" w:hAnsi="宋体" w:eastAsia="宋体" w:cs="宋体"/>
          <w:sz w:val="32"/>
          <w:szCs w:val="22"/>
          <w:lang w:val="en-US" w:eastAsia="zh-CN"/>
        </w:rPr>
        <w:t>8</w:t>
      </w:r>
      <w:r>
        <w:rPr>
          <w:rFonts w:hint="eastAsia" w:hAnsi="宋体" w:eastAsia="宋体" w:cs="宋体"/>
          <w:sz w:val="32"/>
          <w:szCs w:val="22"/>
        </w:rPr>
        <w:t>、</w:t>
      </w:r>
      <w:r>
        <w:rPr>
          <w:rStyle w:val="57"/>
          <w:rFonts w:hint="eastAsia"/>
        </w:rPr>
        <w:t>近三年在类似业绩表</w:t>
      </w:r>
      <w:bookmarkEnd w:id="105"/>
      <w:bookmarkEnd w:id="106"/>
    </w:p>
    <w:p>
      <w:pPr>
        <w:spacing w:line="400" w:lineRule="atLeast"/>
        <w:ind w:firstLine="480"/>
        <w:jc w:val="center"/>
        <w:rPr>
          <w:rFonts w:ascii="宋体" w:hAnsi="宋体" w:eastAsia="宋体" w:cs="宋体"/>
          <w:sz w:val="24"/>
        </w:rPr>
      </w:pPr>
    </w:p>
    <w:p>
      <w:pPr>
        <w:pStyle w:val="18"/>
        <w:bidi w:val="0"/>
        <w:jc w:val="center"/>
        <w:rPr>
          <w:rFonts w:hint="eastAsia" w:ascii="宋体" w:hAnsi="宋体" w:eastAsia="宋体" w:cs="宋体"/>
        </w:rPr>
      </w:pPr>
      <w:bookmarkStart w:id="107" w:name="_Toc13206"/>
      <w:r>
        <w:rPr>
          <w:rFonts w:hint="eastAsia" w:ascii="宋体" w:hAnsi="宋体" w:eastAsia="宋体" w:cs="宋体"/>
        </w:rPr>
        <w:t>201</w:t>
      </w:r>
      <w:r>
        <w:rPr>
          <w:rFonts w:hint="eastAsia" w:ascii="宋体" w:hAnsi="宋体" w:eastAsia="宋体" w:cs="宋体"/>
          <w:lang w:val="en-US" w:eastAsia="zh-CN"/>
        </w:rPr>
        <w:t>8</w:t>
      </w:r>
      <w:r>
        <w:rPr>
          <w:rFonts w:hint="eastAsia" w:ascii="宋体" w:hAnsi="宋体" w:eastAsia="宋体" w:cs="宋体"/>
        </w:rPr>
        <w:t>年1月1日-至今类似业绩表</w:t>
      </w:r>
      <w:bookmarkEnd w:id="107"/>
    </w:p>
    <w:tbl>
      <w:tblPr>
        <w:tblStyle w:val="27"/>
        <w:tblpPr w:leftFromText="180" w:rightFromText="180" w:vertAnchor="text" w:horzAnchor="page" w:tblpX="1267" w:tblpY="735"/>
        <w:tblOverlap w:val="never"/>
        <w:tblW w:w="10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590"/>
        <w:gridCol w:w="3525"/>
        <w:gridCol w:w="1537"/>
        <w:gridCol w:w="1463"/>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6"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序号</w:t>
            </w:r>
          </w:p>
        </w:tc>
        <w:tc>
          <w:tcPr>
            <w:tcW w:w="1590" w:type="dxa"/>
            <w:vAlign w:val="center"/>
          </w:tcPr>
          <w:p>
            <w:pPr>
              <w:adjustRightInd w:val="0"/>
              <w:snapToGrid w:val="0"/>
              <w:ind w:firstLine="0" w:firstLineChars="0"/>
              <w:jc w:val="center"/>
              <w:rPr>
                <w:rFonts w:hint="default" w:ascii="宋体" w:hAnsi="宋体" w:eastAsia="宋体" w:cs="宋体"/>
                <w:szCs w:val="21"/>
                <w:lang w:val="en-US" w:eastAsia="zh-CN"/>
              </w:rPr>
            </w:pPr>
            <w:r>
              <w:rPr>
                <w:rFonts w:hint="eastAsia" w:ascii="宋体" w:hAnsi="宋体" w:eastAsia="宋体" w:cs="宋体"/>
                <w:szCs w:val="21"/>
                <w:lang w:val="en-US" w:eastAsia="zh-CN"/>
              </w:rPr>
              <w:t>采购人名称</w:t>
            </w:r>
          </w:p>
        </w:tc>
        <w:tc>
          <w:tcPr>
            <w:tcW w:w="3525" w:type="dxa"/>
            <w:vAlign w:val="center"/>
          </w:tcPr>
          <w:p>
            <w:pPr>
              <w:adjustRightInd w:val="0"/>
              <w:snapToGrid w:val="0"/>
              <w:ind w:firstLine="0" w:firstLineChars="0"/>
              <w:jc w:val="center"/>
              <w:rPr>
                <w:rFonts w:hint="eastAsia" w:ascii="宋体" w:hAnsi="宋体" w:eastAsia="宋体" w:cs="宋体"/>
                <w:szCs w:val="21"/>
                <w:lang w:eastAsia="zh-CN"/>
              </w:rPr>
            </w:pPr>
            <w:r>
              <w:rPr>
                <w:rFonts w:hint="eastAsia" w:ascii="宋体" w:hAnsi="宋体" w:eastAsia="宋体" w:cs="宋体"/>
                <w:szCs w:val="21"/>
                <w:lang w:val="en-US" w:eastAsia="zh-CN"/>
              </w:rPr>
              <w:t>项目名称</w:t>
            </w:r>
          </w:p>
        </w:tc>
        <w:tc>
          <w:tcPr>
            <w:tcW w:w="1537" w:type="dxa"/>
            <w:vAlign w:val="center"/>
          </w:tcPr>
          <w:p>
            <w:pPr>
              <w:adjustRightInd w:val="0"/>
              <w:snapToGrid w:val="0"/>
              <w:ind w:firstLine="0" w:firstLineChars="0"/>
              <w:jc w:val="center"/>
              <w:rPr>
                <w:rFonts w:hint="eastAsia" w:ascii="宋体" w:hAnsi="宋体" w:eastAsia="宋体" w:cs="宋体"/>
                <w:szCs w:val="21"/>
                <w:lang w:eastAsia="zh-CN"/>
              </w:rPr>
            </w:pPr>
            <w:r>
              <w:rPr>
                <w:rFonts w:hint="eastAsia" w:ascii="宋体" w:hAnsi="宋体" w:eastAsia="宋体" w:cs="宋体"/>
                <w:szCs w:val="21"/>
                <w:lang w:val="en-US" w:eastAsia="zh-CN"/>
              </w:rPr>
              <w:t>合同日期</w:t>
            </w:r>
          </w:p>
        </w:tc>
        <w:tc>
          <w:tcPr>
            <w:tcW w:w="1463" w:type="dxa"/>
            <w:vAlign w:val="center"/>
          </w:tcPr>
          <w:p>
            <w:pPr>
              <w:adjustRightInd w:val="0"/>
              <w:snapToGrid w:val="0"/>
              <w:ind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合同金额</w:t>
            </w:r>
          </w:p>
        </w:tc>
        <w:tc>
          <w:tcPr>
            <w:tcW w:w="1347" w:type="dxa"/>
            <w:vAlign w:val="center"/>
          </w:tcPr>
          <w:p>
            <w:pPr>
              <w:adjustRightInd w:val="0"/>
              <w:snapToGrid w:val="0"/>
              <w:ind w:firstLine="0" w:firstLineChars="0"/>
              <w:jc w:val="center"/>
              <w:rPr>
                <w:rFonts w:ascii="宋体" w:hAnsi="宋体" w:eastAsia="宋体" w:cs="宋体"/>
                <w:szCs w:val="21"/>
              </w:rPr>
            </w:pPr>
            <w:r>
              <w:rPr>
                <w:rFonts w:hint="eastAsia" w:ascii="宋体" w:hAnsi="宋体" w:eastAsia="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6" w:type="dxa"/>
            <w:vAlign w:val="center"/>
          </w:tcPr>
          <w:p>
            <w:pPr>
              <w:adjustRightInd w:val="0"/>
              <w:snapToGrid w:val="0"/>
              <w:ind w:firstLine="520"/>
              <w:jc w:val="center"/>
              <w:rPr>
                <w:rFonts w:ascii="宋体" w:hAnsi="宋体" w:eastAsia="宋体" w:cs="宋体"/>
                <w:szCs w:val="21"/>
              </w:rPr>
            </w:pPr>
          </w:p>
        </w:tc>
        <w:tc>
          <w:tcPr>
            <w:tcW w:w="1590" w:type="dxa"/>
            <w:vAlign w:val="center"/>
          </w:tcPr>
          <w:p>
            <w:pPr>
              <w:adjustRightInd w:val="0"/>
              <w:snapToGrid w:val="0"/>
              <w:ind w:firstLine="520"/>
              <w:jc w:val="center"/>
              <w:rPr>
                <w:rFonts w:ascii="宋体" w:hAnsi="宋体" w:eastAsia="宋体" w:cs="宋体"/>
                <w:szCs w:val="21"/>
              </w:rPr>
            </w:pPr>
          </w:p>
        </w:tc>
        <w:tc>
          <w:tcPr>
            <w:tcW w:w="3525" w:type="dxa"/>
            <w:vAlign w:val="center"/>
          </w:tcPr>
          <w:p>
            <w:pPr>
              <w:adjustRightInd w:val="0"/>
              <w:snapToGrid w:val="0"/>
              <w:ind w:firstLine="520"/>
              <w:jc w:val="center"/>
              <w:rPr>
                <w:rFonts w:ascii="宋体" w:hAnsi="宋体" w:eastAsia="宋体" w:cs="宋体"/>
                <w:szCs w:val="21"/>
              </w:rPr>
            </w:pPr>
          </w:p>
        </w:tc>
        <w:tc>
          <w:tcPr>
            <w:tcW w:w="1537" w:type="dxa"/>
            <w:vAlign w:val="center"/>
          </w:tcPr>
          <w:p>
            <w:pPr>
              <w:adjustRightInd w:val="0"/>
              <w:snapToGrid w:val="0"/>
              <w:ind w:firstLine="520"/>
              <w:jc w:val="center"/>
              <w:rPr>
                <w:rFonts w:ascii="宋体" w:hAnsi="宋体" w:eastAsia="宋体" w:cs="宋体"/>
                <w:szCs w:val="21"/>
              </w:rPr>
            </w:pPr>
          </w:p>
        </w:tc>
        <w:tc>
          <w:tcPr>
            <w:tcW w:w="1463" w:type="dxa"/>
            <w:vAlign w:val="center"/>
          </w:tcPr>
          <w:p>
            <w:pPr>
              <w:adjustRightInd w:val="0"/>
              <w:snapToGrid w:val="0"/>
              <w:ind w:firstLine="520"/>
              <w:jc w:val="center"/>
              <w:rPr>
                <w:rFonts w:ascii="宋体" w:hAnsi="宋体" w:eastAsia="宋体" w:cs="宋体"/>
                <w:szCs w:val="21"/>
              </w:rPr>
            </w:pPr>
          </w:p>
        </w:tc>
        <w:tc>
          <w:tcPr>
            <w:tcW w:w="1347"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6" w:type="dxa"/>
            <w:vAlign w:val="center"/>
          </w:tcPr>
          <w:p>
            <w:pPr>
              <w:adjustRightInd w:val="0"/>
              <w:snapToGrid w:val="0"/>
              <w:ind w:firstLine="520"/>
              <w:jc w:val="center"/>
              <w:rPr>
                <w:rFonts w:ascii="宋体" w:hAnsi="宋体" w:eastAsia="宋体" w:cs="宋体"/>
                <w:szCs w:val="21"/>
              </w:rPr>
            </w:pPr>
          </w:p>
        </w:tc>
        <w:tc>
          <w:tcPr>
            <w:tcW w:w="1590" w:type="dxa"/>
            <w:vAlign w:val="center"/>
          </w:tcPr>
          <w:p>
            <w:pPr>
              <w:adjustRightInd w:val="0"/>
              <w:snapToGrid w:val="0"/>
              <w:ind w:firstLine="520"/>
              <w:jc w:val="center"/>
              <w:rPr>
                <w:rFonts w:ascii="宋体" w:hAnsi="宋体" w:eastAsia="宋体" w:cs="宋体"/>
                <w:szCs w:val="21"/>
              </w:rPr>
            </w:pPr>
          </w:p>
        </w:tc>
        <w:tc>
          <w:tcPr>
            <w:tcW w:w="3525" w:type="dxa"/>
            <w:vAlign w:val="center"/>
          </w:tcPr>
          <w:p>
            <w:pPr>
              <w:adjustRightInd w:val="0"/>
              <w:snapToGrid w:val="0"/>
              <w:ind w:firstLine="520"/>
              <w:jc w:val="center"/>
              <w:rPr>
                <w:rFonts w:ascii="宋体" w:hAnsi="宋体" w:eastAsia="宋体" w:cs="宋体"/>
                <w:szCs w:val="21"/>
              </w:rPr>
            </w:pPr>
          </w:p>
        </w:tc>
        <w:tc>
          <w:tcPr>
            <w:tcW w:w="1537" w:type="dxa"/>
            <w:vAlign w:val="center"/>
          </w:tcPr>
          <w:p>
            <w:pPr>
              <w:adjustRightInd w:val="0"/>
              <w:snapToGrid w:val="0"/>
              <w:ind w:firstLine="520"/>
              <w:jc w:val="center"/>
              <w:rPr>
                <w:rFonts w:ascii="宋体" w:hAnsi="宋体" w:eastAsia="宋体" w:cs="宋体"/>
                <w:szCs w:val="21"/>
              </w:rPr>
            </w:pPr>
          </w:p>
        </w:tc>
        <w:tc>
          <w:tcPr>
            <w:tcW w:w="1463" w:type="dxa"/>
            <w:vAlign w:val="center"/>
          </w:tcPr>
          <w:p>
            <w:pPr>
              <w:adjustRightInd w:val="0"/>
              <w:snapToGrid w:val="0"/>
              <w:ind w:firstLine="520"/>
              <w:jc w:val="center"/>
              <w:rPr>
                <w:rFonts w:ascii="宋体" w:hAnsi="宋体" w:eastAsia="宋体" w:cs="宋体"/>
                <w:szCs w:val="21"/>
              </w:rPr>
            </w:pPr>
          </w:p>
        </w:tc>
        <w:tc>
          <w:tcPr>
            <w:tcW w:w="1347"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6" w:type="dxa"/>
            <w:vAlign w:val="center"/>
          </w:tcPr>
          <w:p>
            <w:pPr>
              <w:adjustRightInd w:val="0"/>
              <w:snapToGrid w:val="0"/>
              <w:ind w:firstLine="520"/>
              <w:jc w:val="center"/>
              <w:rPr>
                <w:rFonts w:ascii="宋体" w:hAnsi="宋体" w:eastAsia="宋体" w:cs="宋体"/>
                <w:szCs w:val="21"/>
              </w:rPr>
            </w:pPr>
          </w:p>
        </w:tc>
        <w:tc>
          <w:tcPr>
            <w:tcW w:w="1590" w:type="dxa"/>
            <w:vAlign w:val="center"/>
          </w:tcPr>
          <w:p>
            <w:pPr>
              <w:adjustRightInd w:val="0"/>
              <w:snapToGrid w:val="0"/>
              <w:ind w:firstLine="520"/>
              <w:jc w:val="center"/>
              <w:rPr>
                <w:rFonts w:ascii="宋体" w:hAnsi="宋体" w:eastAsia="宋体" w:cs="宋体"/>
                <w:szCs w:val="21"/>
              </w:rPr>
            </w:pPr>
          </w:p>
        </w:tc>
        <w:tc>
          <w:tcPr>
            <w:tcW w:w="3525" w:type="dxa"/>
            <w:vAlign w:val="center"/>
          </w:tcPr>
          <w:p>
            <w:pPr>
              <w:adjustRightInd w:val="0"/>
              <w:snapToGrid w:val="0"/>
              <w:ind w:firstLine="520"/>
              <w:jc w:val="center"/>
              <w:rPr>
                <w:rFonts w:ascii="宋体" w:hAnsi="宋体" w:eastAsia="宋体" w:cs="宋体"/>
                <w:szCs w:val="21"/>
              </w:rPr>
            </w:pPr>
          </w:p>
        </w:tc>
        <w:tc>
          <w:tcPr>
            <w:tcW w:w="1537" w:type="dxa"/>
            <w:vAlign w:val="center"/>
          </w:tcPr>
          <w:p>
            <w:pPr>
              <w:adjustRightInd w:val="0"/>
              <w:snapToGrid w:val="0"/>
              <w:ind w:firstLine="520"/>
              <w:jc w:val="center"/>
              <w:rPr>
                <w:rFonts w:ascii="宋体" w:hAnsi="宋体" w:eastAsia="宋体" w:cs="宋体"/>
                <w:szCs w:val="21"/>
              </w:rPr>
            </w:pPr>
          </w:p>
        </w:tc>
        <w:tc>
          <w:tcPr>
            <w:tcW w:w="1463" w:type="dxa"/>
            <w:vAlign w:val="center"/>
          </w:tcPr>
          <w:p>
            <w:pPr>
              <w:adjustRightInd w:val="0"/>
              <w:snapToGrid w:val="0"/>
              <w:ind w:firstLine="520"/>
              <w:jc w:val="center"/>
              <w:rPr>
                <w:rFonts w:ascii="宋体" w:hAnsi="宋体" w:eastAsia="宋体" w:cs="宋体"/>
                <w:szCs w:val="21"/>
              </w:rPr>
            </w:pPr>
          </w:p>
        </w:tc>
        <w:tc>
          <w:tcPr>
            <w:tcW w:w="1347"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6" w:type="dxa"/>
            <w:vAlign w:val="center"/>
          </w:tcPr>
          <w:p>
            <w:pPr>
              <w:adjustRightInd w:val="0"/>
              <w:snapToGrid w:val="0"/>
              <w:ind w:firstLine="520"/>
              <w:jc w:val="center"/>
              <w:rPr>
                <w:rFonts w:ascii="宋体" w:hAnsi="宋体" w:eastAsia="宋体" w:cs="宋体"/>
                <w:szCs w:val="21"/>
              </w:rPr>
            </w:pPr>
          </w:p>
        </w:tc>
        <w:tc>
          <w:tcPr>
            <w:tcW w:w="1590" w:type="dxa"/>
            <w:vAlign w:val="center"/>
          </w:tcPr>
          <w:p>
            <w:pPr>
              <w:adjustRightInd w:val="0"/>
              <w:snapToGrid w:val="0"/>
              <w:ind w:firstLine="520"/>
              <w:jc w:val="center"/>
              <w:rPr>
                <w:rFonts w:ascii="宋体" w:hAnsi="宋体" w:eastAsia="宋体" w:cs="宋体"/>
                <w:szCs w:val="21"/>
              </w:rPr>
            </w:pPr>
          </w:p>
        </w:tc>
        <w:tc>
          <w:tcPr>
            <w:tcW w:w="3525" w:type="dxa"/>
            <w:vAlign w:val="center"/>
          </w:tcPr>
          <w:p>
            <w:pPr>
              <w:adjustRightInd w:val="0"/>
              <w:snapToGrid w:val="0"/>
              <w:ind w:firstLine="520"/>
              <w:jc w:val="center"/>
              <w:rPr>
                <w:rFonts w:ascii="宋体" w:hAnsi="宋体" w:eastAsia="宋体" w:cs="宋体"/>
                <w:szCs w:val="21"/>
              </w:rPr>
            </w:pPr>
          </w:p>
        </w:tc>
        <w:tc>
          <w:tcPr>
            <w:tcW w:w="1537" w:type="dxa"/>
            <w:vAlign w:val="center"/>
          </w:tcPr>
          <w:p>
            <w:pPr>
              <w:adjustRightInd w:val="0"/>
              <w:snapToGrid w:val="0"/>
              <w:ind w:firstLine="520"/>
              <w:jc w:val="center"/>
              <w:rPr>
                <w:rFonts w:ascii="宋体" w:hAnsi="宋体" w:eastAsia="宋体" w:cs="宋体"/>
                <w:szCs w:val="21"/>
              </w:rPr>
            </w:pPr>
          </w:p>
        </w:tc>
        <w:tc>
          <w:tcPr>
            <w:tcW w:w="1463" w:type="dxa"/>
            <w:vAlign w:val="center"/>
          </w:tcPr>
          <w:p>
            <w:pPr>
              <w:adjustRightInd w:val="0"/>
              <w:snapToGrid w:val="0"/>
              <w:ind w:firstLine="520"/>
              <w:jc w:val="center"/>
              <w:rPr>
                <w:rFonts w:ascii="宋体" w:hAnsi="宋体" w:eastAsia="宋体" w:cs="宋体"/>
                <w:szCs w:val="21"/>
              </w:rPr>
            </w:pPr>
          </w:p>
        </w:tc>
        <w:tc>
          <w:tcPr>
            <w:tcW w:w="1347"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6" w:type="dxa"/>
            <w:vAlign w:val="center"/>
          </w:tcPr>
          <w:p>
            <w:pPr>
              <w:adjustRightInd w:val="0"/>
              <w:snapToGrid w:val="0"/>
              <w:ind w:firstLine="520"/>
              <w:jc w:val="center"/>
              <w:rPr>
                <w:rFonts w:ascii="宋体" w:hAnsi="宋体" w:eastAsia="宋体" w:cs="宋体"/>
                <w:szCs w:val="21"/>
              </w:rPr>
            </w:pPr>
          </w:p>
        </w:tc>
        <w:tc>
          <w:tcPr>
            <w:tcW w:w="1590" w:type="dxa"/>
            <w:vAlign w:val="center"/>
          </w:tcPr>
          <w:p>
            <w:pPr>
              <w:adjustRightInd w:val="0"/>
              <w:snapToGrid w:val="0"/>
              <w:ind w:firstLine="520"/>
              <w:jc w:val="center"/>
              <w:rPr>
                <w:rFonts w:ascii="宋体" w:hAnsi="宋体" w:eastAsia="宋体" w:cs="宋体"/>
                <w:szCs w:val="21"/>
              </w:rPr>
            </w:pPr>
          </w:p>
        </w:tc>
        <w:tc>
          <w:tcPr>
            <w:tcW w:w="3525" w:type="dxa"/>
            <w:vAlign w:val="center"/>
          </w:tcPr>
          <w:p>
            <w:pPr>
              <w:adjustRightInd w:val="0"/>
              <w:snapToGrid w:val="0"/>
              <w:ind w:firstLine="520"/>
              <w:jc w:val="center"/>
              <w:rPr>
                <w:rFonts w:ascii="宋体" w:hAnsi="宋体" w:eastAsia="宋体" w:cs="宋体"/>
                <w:szCs w:val="21"/>
              </w:rPr>
            </w:pPr>
          </w:p>
        </w:tc>
        <w:tc>
          <w:tcPr>
            <w:tcW w:w="1537" w:type="dxa"/>
            <w:vAlign w:val="center"/>
          </w:tcPr>
          <w:p>
            <w:pPr>
              <w:adjustRightInd w:val="0"/>
              <w:snapToGrid w:val="0"/>
              <w:ind w:firstLine="520"/>
              <w:jc w:val="center"/>
              <w:rPr>
                <w:rFonts w:ascii="宋体" w:hAnsi="宋体" w:eastAsia="宋体" w:cs="宋体"/>
                <w:szCs w:val="21"/>
              </w:rPr>
            </w:pPr>
          </w:p>
        </w:tc>
        <w:tc>
          <w:tcPr>
            <w:tcW w:w="1463" w:type="dxa"/>
            <w:vAlign w:val="center"/>
          </w:tcPr>
          <w:p>
            <w:pPr>
              <w:adjustRightInd w:val="0"/>
              <w:snapToGrid w:val="0"/>
              <w:ind w:firstLine="520"/>
              <w:jc w:val="center"/>
              <w:rPr>
                <w:rFonts w:ascii="宋体" w:hAnsi="宋体" w:eastAsia="宋体" w:cs="宋体"/>
                <w:szCs w:val="21"/>
              </w:rPr>
            </w:pPr>
          </w:p>
        </w:tc>
        <w:tc>
          <w:tcPr>
            <w:tcW w:w="1347"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6" w:type="dxa"/>
            <w:vAlign w:val="center"/>
          </w:tcPr>
          <w:p>
            <w:pPr>
              <w:adjustRightInd w:val="0"/>
              <w:snapToGrid w:val="0"/>
              <w:ind w:firstLine="520"/>
              <w:jc w:val="center"/>
              <w:rPr>
                <w:rFonts w:ascii="宋体" w:hAnsi="宋体" w:eastAsia="宋体" w:cs="宋体"/>
                <w:szCs w:val="21"/>
              </w:rPr>
            </w:pPr>
          </w:p>
        </w:tc>
        <w:tc>
          <w:tcPr>
            <w:tcW w:w="1590" w:type="dxa"/>
            <w:vAlign w:val="center"/>
          </w:tcPr>
          <w:p>
            <w:pPr>
              <w:adjustRightInd w:val="0"/>
              <w:snapToGrid w:val="0"/>
              <w:ind w:firstLine="520"/>
              <w:jc w:val="center"/>
              <w:rPr>
                <w:rFonts w:ascii="宋体" w:hAnsi="宋体" w:eastAsia="宋体" w:cs="宋体"/>
                <w:szCs w:val="21"/>
              </w:rPr>
            </w:pPr>
          </w:p>
        </w:tc>
        <w:tc>
          <w:tcPr>
            <w:tcW w:w="3525" w:type="dxa"/>
            <w:vAlign w:val="center"/>
          </w:tcPr>
          <w:p>
            <w:pPr>
              <w:adjustRightInd w:val="0"/>
              <w:snapToGrid w:val="0"/>
              <w:ind w:firstLine="520"/>
              <w:jc w:val="center"/>
              <w:rPr>
                <w:rFonts w:ascii="宋体" w:hAnsi="宋体" w:eastAsia="宋体" w:cs="宋体"/>
                <w:szCs w:val="21"/>
              </w:rPr>
            </w:pPr>
          </w:p>
        </w:tc>
        <w:tc>
          <w:tcPr>
            <w:tcW w:w="1537" w:type="dxa"/>
            <w:vAlign w:val="center"/>
          </w:tcPr>
          <w:p>
            <w:pPr>
              <w:adjustRightInd w:val="0"/>
              <w:snapToGrid w:val="0"/>
              <w:ind w:firstLine="520"/>
              <w:jc w:val="center"/>
              <w:rPr>
                <w:rFonts w:ascii="宋体" w:hAnsi="宋体" w:eastAsia="宋体" w:cs="宋体"/>
                <w:szCs w:val="21"/>
              </w:rPr>
            </w:pPr>
          </w:p>
        </w:tc>
        <w:tc>
          <w:tcPr>
            <w:tcW w:w="1463" w:type="dxa"/>
            <w:vAlign w:val="center"/>
          </w:tcPr>
          <w:p>
            <w:pPr>
              <w:adjustRightInd w:val="0"/>
              <w:snapToGrid w:val="0"/>
              <w:ind w:firstLine="520"/>
              <w:jc w:val="center"/>
              <w:rPr>
                <w:rFonts w:ascii="宋体" w:hAnsi="宋体" w:eastAsia="宋体" w:cs="宋体"/>
                <w:szCs w:val="21"/>
              </w:rPr>
            </w:pPr>
          </w:p>
        </w:tc>
        <w:tc>
          <w:tcPr>
            <w:tcW w:w="1347"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6" w:type="dxa"/>
            <w:vAlign w:val="center"/>
          </w:tcPr>
          <w:p>
            <w:pPr>
              <w:adjustRightInd w:val="0"/>
              <w:snapToGrid w:val="0"/>
              <w:ind w:firstLine="520"/>
              <w:jc w:val="center"/>
              <w:rPr>
                <w:rFonts w:ascii="宋体" w:hAnsi="宋体" w:eastAsia="宋体" w:cs="宋体"/>
                <w:szCs w:val="21"/>
              </w:rPr>
            </w:pPr>
          </w:p>
        </w:tc>
        <w:tc>
          <w:tcPr>
            <w:tcW w:w="1590" w:type="dxa"/>
            <w:vAlign w:val="center"/>
          </w:tcPr>
          <w:p>
            <w:pPr>
              <w:adjustRightInd w:val="0"/>
              <w:snapToGrid w:val="0"/>
              <w:ind w:firstLine="520"/>
              <w:jc w:val="center"/>
              <w:rPr>
                <w:rFonts w:ascii="宋体" w:hAnsi="宋体" w:eastAsia="宋体" w:cs="宋体"/>
                <w:szCs w:val="21"/>
              </w:rPr>
            </w:pPr>
          </w:p>
        </w:tc>
        <w:tc>
          <w:tcPr>
            <w:tcW w:w="3525" w:type="dxa"/>
            <w:vAlign w:val="center"/>
          </w:tcPr>
          <w:p>
            <w:pPr>
              <w:adjustRightInd w:val="0"/>
              <w:snapToGrid w:val="0"/>
              <w:ind w:firstLine="520"/>
              <w:jc w:val="center"/>
              <w:rPr>
                <w:rFonts w:ascii="宋体" w:hAnsi="宋体" w:eastAsia="宋体" w:cs="宋体"/>
                <w:szCs w:val="21"/>
              </w:rPr>
            </w:pPr>
          </w:p>
        </w:tc>
        <w:tc>
          <w:tcPr>
            <w:tcW w:w="1537" w:type="dxa"/>
            <w:vAlign w:val="center"/>
          </w:tcPr>
          <w:p>
            <w:pPr>
              <w:adjustRightInd w:val="0"/>
              <w:snapToGrid w:val="0"/>
              <w:ind w:firstLine="520"/>
              <w:jc w:val="center"/>
              <w:rPr>
                <w:rFonts w:ascii="宋体" w:hAnsi="宋体" w:eastAsia="宋体" w:cs="宋体"/>
                <w:szCs w:val="21"/>
              </w:rPr>
            </w:pPr>
          </w:p>
        </w:tc>
        <w:tc>
          <w:tcPr>
            <w:tcW w:w="1463" w:type="dxa"/>
            <w:vAlign w:val="center"/>
          </w:tcPr>
          <w:p>
            <w:pPr>
              <w:adjustRightInd w:val="0"/>
              <w:snapToGrid w:val="0"/>
              <w:ind w:firstLine="520"/>
              <w:jc w:val="center"/>
              <w:rPr>
                <w:rFonts w:ascii="宋体" w:hAnsi="宋体" w:eastAsia="宋体" w:cs="宋体"/>
                <w:szCs w:val="21"/>
              </w:rPr>
            </w:pPr>
          </w:p>
        </w:tc>
        <w:tc>
          <w:tcPr>
            <w:tcW w:w="1347" w:type="dxa"/>
            <w:vAlign w:val="center"/>
          </w:tcPr>
          <w:p>
            <w:pPr>
              <w:adjustRightInd w:val="0"/>
              <w:snapToGrid w:val="0"/>
              <w:ind w:firstLine="5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vAlign w:val="center"/>
          </w:tcPr>
          <w:p>
            <w:pPr>
              <w:adjustRightInd w:val="0"/>
              <w:snapToGrid w:val="0"/>
              <w:ind w:firstLine="520"/>
              <w:jc w:val="center"/>
              <w:rPr>
                <w:rFonts w:ascii="宋体" w:hAnsi="宋体" w:eastAsia="宋体" w:cs="宋体"/>
                <w:szCs w:val="21"/>
              </w:rPr>
            </w:pPr>
          </w:p>
        </w:tc>
        <w:tc>
          <w:tcPr>
            <w:tcW w:w="1590" w:type="dxa"/>
            <w:vAlign w:val="center"/>
          </w:tcPr>
          <w:p>
            <w:pPr>
              <w:adjustRightInd w:val="0"/>
              <w:snapToGrid w:val="0"/>
              <w:ind w:firstLine="520"/>
              <w:jc w:val="center"/>
              <w:rPr>
                <w:rFonts w:ascii="宋体" w:hAnsi="宋体" w:eastAsia="宋体" w:cs="宋体"/>
                <w:szCs w:val="21"/>
              </w:rPr>
            </w:pPr>
          </w:p>
        </w:tc>
        <w:tc>
          <w:tcPr>
            <w:tcW w:w="3525" w:type="dxa"/>
            <w:vAlign w:val="center"/>
          </w:tcPr>
          <w:p>
            <w:pPr>
              <w:adjustRightInd w:val="0"/>
              <w:snapToGrid w:val="0"/>
              <w:ind w:firstLine="520"/>
              <w:jc w:val="center"/>
              <w:rPr>
                <w:rFonts w:ascii="宋体" w:hAnsi="宋体" w:eastAsia="宋体" w:cs="宋体"/>
                <w:szCs w:val="21"/>
              </w:rPr>
            </w:pPr>
          </w:p>
        </w:tc>
        <w:tc>
          <w:tcPr>
            <w:tcW w:w="1537" w:type="dxa"/>
            <w:vAlign w:val="center"/>
          </w:tcPr>
          <w:p>
            <w:pPr>
              <w:adjustRightInd w:val="0"/>
              <w:snapToGrid w:val="0"/>
              <w:ind w:firstLine="520"/>
              <w:jc w:val="center"/>
              <w:rPr>
                <w:rFonts w:ascii="宋体" w:hAnsi="宋体" w:eastAsia="宋体" w:cs="宋体"/>
                <w:szCs w:val="21"/>
              </w:rPr>
            </w:pPr>
          </w:p>
        </w:tc>
        <w:tc>
          <w:tcPr>
            <w:tcW w:w="1463" w:type="dxa"/>
            <w:vAlign w:val="center"/>
          </w:tcPr>
          <w:p>
            <w:pPr>
              <w:adjustRightInd w:val="0"/>
              <w:snapToGrid w:val="0"/>
              <w:ind w:firstLine="520"/>
              <w:jc w:val="center"/>
              <w:rPr>
                <w:rFonts w:ascii="宋体" w:hAnsi="宋体" w:eastAsia="宋体" w:cs="宋体"/>
                <w:szCs w:val="21"/>
              </w:rPr>
            </w:pPr>
          </w:p>
        </w:tc>
        <w:tc>
          <w:tcPr>
            <w:tcW w:w="1347" w:type="dxa"/>
            <w:vAlign w:val="center"/>
          </w:tcPr>
          <w:p>
            <w:pPr>
              <w:adjustRightInd w:val="0"/>
              <w:snapToGrid w:val="0"/>
              <w:ind w:firstLine="520"/>
              <w:jc w:val="center"/>
              <w:rPr>
                <w:rFonts w:ascii="宋体" w:hAnsi="宋体" w:eastAsia="宋体" w:cs="宋体"/>
                <w:szCs w:val="21"/>
              </w:rPr>
            </w:pPr>
          </w:p>
        </w:tc>
      </w:tr>
    </w:tbl>
    <w:p>
      <w:pPr>
        <w:pStyle w:val="41"/>
        <w:snapToGrid w:val="0"/>
        <w:spacing w:line="360" w:lineRule="auto"/>
        <w:rPr>
          <w:rFonts w:ascii="宋体" w:hAnsi="宋体" w:cs="宋体"/>
          <w:color w:val="auto"/>
          <w:szCs w:val="21"/>
        </w:rPr>
      </w:pPr>
    </w:p>
    <w:p>
      <w:pPr>
        <w:spacing w:line="400" w:lineRule="atLeast"/>
        <w:ind w:firstLine="480"/>
        <w:jc w:val="center"/>
        <w:rPr>
          <w:rFonts w:hint="eastAsia" w:ascii="宋体" w:hAnsi="宋体" w:eastAsia="宋体" w:cs="宋体"/>
          <w:sz w:val="24"/>
        </w:rPr>
      </w:pPr>
    </w:p>
    <w:p>
      <w:pPr>
        <w:spacing w:line="400" w:lineRule="atLeast"/>
        <w:ind w:firstLine="480"/>
        <w:jc w:val="center"/>
        <w:rPr>
          <w:rFonts w:hint="eastAsia" w:ascii="宋体" w:hAnsi="宋体" w:eastAsia="宋体" w:cs="宋体"/>
          <w:sz w:val="24"/>
        </w:rPr>
      </w:pPr>
    </w:p>
    <w:p>
      <w:pPr>
        <w:spacing w:line="400" w:lineRule="atLeast"/>
        <w:ind w:firstLine="480"/>
        <w:jc w:val="center"/>
        <w:rPr>
          <w:rFonts w:ascii="宋体" w:hAnsi="宋体" w:eastAsia="宋体" w:cs="宋体"/>
          <w:sz w:val="24"/>
        </w:rPr>
      </w:pPr>
      <w:r>
        <w:rPr>
          <w:rFonts w:hint="eastAsia" w:ascii="宋体" w:hAnsi="宋体" w:eastAsia="宋体" w:cs="宋体"/>
          <w:sz w:val="24"/>
        </w:rPr>
        <w:t>供应商名称（公章）：</w:t>
      </w:r>
      <w:r>
        <w:rPr>
          <w:rFonts w:hint="eastAsia" w:ascii="宋体" w:hAnsi="宋体" w:eastAsia="宋体" w:cs="宋体"/>
          <w:sz w:val="24"/>
          <w:u w:val="single"/>
        </w:rPr>
        <w:t xml:space="preserve">         　　　　　  　　　</w:t>
      </w:r>
    </w:p>
    <w:p>
      <w:pPr>
        <w:pStyle w:val="18"/>
        <w:spacing w:line="360" w:lineRule="auto"/>
        <w:ind w:firstLine="480"/>
        <w:jc w:val="right"/>
        <w:rPr>
          <w:rFonts w:hAnsi="宋体" w:eastAsia="宋体" w:cs="宋体"/>
          <w:sz w:val="24"/>
          <w:szCs w:val="24"/>
        </w:rPr>
      </w:pPr>
      <w:r>
        <w:rPr>
          <w:rFonts w:hint="eastAsia" w:hAnsi="宋体" w:eastAsia="宋体" w:cs="宋体"/>
          <w:sz w:val="24"/>
          <w:szCs w:val="24"/>
        </w:rPr>
        <w:t>法定代表人或授权代表(签字或盖章)：_____________</w:t>
      </w:r>
    </w:p>
    <w:p>
      <w:pPr>
        <w:pStyle w:val="18"/>
        <w:spacing w:line="360" w:lineRule="auto"/>
        <w:ind w:firstLine="5280" w:firstLineChars="2200"/>
        <w:rPr>
          <w:rFonts w:hAnsi="宋体" w:eastAsia="宋体" w:cs="宋体"/>
          <w:sz w:val="24"/>
          <w:szCs w:val="24"/>
        </w:rPr>
      </w:pPr>
      <w:r>
        <w:rPr>
          <w:rFonts w:hint="eastAsia" w:hAnsi="宋体" w:eastAsia="宋体" w:cs="宋体"/>
          <w:sz w:val="24"/>
          <w:szCs w:val="24"/>
        </w:rPr>
        <w:t>日期：_____年____月____日</w:t>
      </w:r>
    </w:p>
    <w:p>
      <w:pPr>
        <w:spacing w:line="360" w:lineRule="auto"/>
        <w:ind w:firstLine="480"/>
        <w:rPr>
          <w:rFonts w:ascii="宋体" w:hAnsi="宋体" w:eastAsia="宋体" w:cs="宋体"/>
          <w:sz w:val="24"/>
        </w:rPr>
      </w:pPr>
    </w:p>
    <w:p>
      <w:pPr>
        <w:pStyle w:val="2"/>
        <w:numPr>
          <w:ilvl w:val="0"/>
          <w:numId w:val="0"/>
        </w:numPr>
      </w:pPr>
    </w:p>
    <w:p/>
    <w:p>
      <w:pPr>
        <w:pStyle w:val="3"/>
        <w:numPr>
          <w:ilvl w:val="0"/>
          <w:numId w:val="0"/>
        </w:numPr>
        <w:tabs>
          <w:tab w:val="clear" w:pos="3621"/>
        </w:tabs>
        <w:bidi w:val="0"/>
        <w:jc w:val="center"/>
        <w:rPr>
          <w:rFonts w:hint="eastAsia"/>
          <w:lang w:val="en-US" w:eastAsia="zh-CN"/>
        </w:rPr>
      </w:pPr>
      <w:bookmarkStart w:id="108" w:name="_Toc3946"/>
      <w:r>
        <w:rPr>
          <w:rFonts w:hint="eastAsia"/>
          <w:lang w:val="en-US" w:eastAsia="zh-CN"/>
        </w:rPr>
        <w:t>9、产品的质量、技术、性能综合描述方案</w:t>
      </w:r>
      <w:bookmarkEnd w:id="108"/>
    </w:p>
    <w:p>
      <w:pPr>
        <w:pStyle w:val="18"/>
        <w:bidi w:val="0"/>
        <w:jc w:val="center"/>
        <w:rPr>
          <w:rFonts w:hint="eastAsia" w:asciiTheme="minorEastAsia" w:hAnsiTheme="minorEastAsia" w:eastAsiaTheme="minorEastAsia" w:cstheme="minorEastAsia"/>
        </w:rPr>
      </w:pPr>
      <w:bookmarkStart w:id="109" w:name="_Toc3292"/>
      <w:r>
        <w:rPr>
          <w:rFonts w:hint="eastAsia" w:asciiTheme="minorEastAsia" w:hAnsiTheme="minorEastAsia" w:eastAsiaTheme="minorEastAsia" w:cstheme="minorEastAsia"/>
        </w:rPr>
        <w:t>未提供格式由供应商自拟</w:t>
      </w:r>
      <w:bookmarkEnd w:id="109"/>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rPr>
      </w:pPr>
    </w:p>
    <w:p>
      <w:pPr>
        <w:pStyle w:val="18"/>
        <w:bidi w:val="0"/>
        <w:jc w:val="center"/>
        <w:rPr>
          <w:rFonts w:hint="eastAsia" w:asciiTheme="minorEastAsia" w:hAnsiTheme="minorEastAsia" w:eastAsiaTheme="minorEastAsia" w:cstheme="minorEastAsia"/>
          <w:lang w:val="en-US" w:eastAsia="zh-CN"/>
        </w:rPr>
      </w:pPr>
    </w:p>
    <w:p>
      <w:pPr>
        <w:pStyle w:val="3"/>
        <w:numPr>
          <w:ilvl w:val="0"/>
          <w:numId w:val="0"/>
        </w:numPr>
        <w:tabs>
          <w:tab w:val="clear" w:pos="3621"/>
        </w:tabs>
        <w:bidi w:val="0"/>
        <w:jc w:val="center"/>
      </w:pPr>
      <w:bookmarkStart w:id="110" w:name="_Toc25272"/>
      <w:r>
        <w:rPr>
          <w:rFonts w:hint="eastAsia"/>
          <w:lang w:val="en-US" w:eastAsia="zh-CN"/>
        </w:rPr>
        <w:t>10</w:t>
      </w:r>
      <w:r>
        <w:rPr>
          <w:rFonts w:hint="eastAsia"/>
        </w:rPr>
        <w:t>、</w:t>
      </w:r>
      <w:r>
        <w:rPr>
          <w:rFonts w:hint="eastAsia"/>
          <w:lang w:val="en-US" w:eastAsia="zh-CN"/>
        </w:rPr>
        <w:t>项目管理、售后服务计划措施及服务承诺</w:t>
      </w:r>
      <w:bookmarkEnd w:id="110"/>
    </w:p>
    <w:p>
      <w:pPr>
        <w:adjustRightInd w:val="0"/>
        <w:snapToGrid w:val="0"/>
        <w:spacing w:line="360" w:lineRule="auto"/>
        <w:ind w:firstLine="640"/>
        <w:jc w:val="center"/>
        <w:outlineLvl w:val="9"/>
        <w:rPr>
          <w:rFonts w:hint="eastAsia" w:ascii="宋体" w:hAnsi="宋体" w:eastAsia="宋体" w:cs="宋体"/>
          <w:sz w:val="32"/>
          <w:szCs w:val="22"/>
        </w:rPr>
      </w:pPr>
      <w:r>
        <w:rPr>
          <w:rFonts w:hint="eastAsia" w:ascii="宋体" w:hAnsi="宋体" w:eastAsia="宋体" w:cs="宋体"/>
          <w:sz w:val="32"/>
          <w:szCs w:val="22"/>
        </w:rPr>
        <w:t>未提供格式由供应商自拟。</w:t>
      </w:r>
    </w:p>
    <w:p>
      <w:pPr>
        <w:rPr>
          <w:rFonts w:hint="eastAsia"/>
          <w:lang w:val="en-US" w:eastAsia="zh-CN"/>
        </w:rPr>
      </w:pPr>
    </w:p>
    <w:p>
      <w:pPr>
        <w:pStyle w:val="2"/>
        <w:numPr>
          <w:ilvl w:val="0"/>
          <w:numId w:val="0"/>
        </w:numPr>
        <w:ind w:left="3640" w:leftChars="0"/>
        <w:rPr>
          <w:rFonts w:hint="eastAsia"/>
          <w:lang w:val="en-US" w:eastAsia="zh-CN"/>
        </w:rPr>
      </w:pPr>
    </w:p>
    <w:p>
      <w:pPr>
        <w:rPr>
          <w:rFonts w:hint="eastAsia"/>
          <w:lang w:val="en-US" w:eastAsia="zh-CN"/>
        </w:rPr>
      </w:pPr>
    </w:p>
    <w:p>
      <w:pPr>
        <w:rPr>
          <w:rFonts w:hint="eastAsia"/>
          <w:lang w:val="en-US" w:eastAsia="zh-CN"/>
        </w:rPr>
      </w:pPr>
    </w:p>
    <w:p>
      <w:pPr>
        <w:adjustRightInd w:val="0"/>
        <w:snapToGrid w:val="0"/>
        <w:spacing w:line="360" w:lineRule="auto"/>
        <w:ind w:firstLine="640"/>
        <w:jc w:val="center"/>
        <w:rPr>
          <w:rFonts w:ascii="宋体" w:hAnsi="宋体" w:eastAsia="宋体" w:cs="宋体"/>
          <w:sz w:val="32"/>
          <w:szCs w:val="22"/>
        </w:rPr>
      </w:pPr>
    </w:p>
    <w:p/>
    <w:p>
      <w:pPr>
        <w:pStyle w:val="2"/>
        <w:numPr>
          <w:ilvl w:val="0"/>
          <w:numId w:val="0"/>
        </w:numPr>
        <w:ind w:left="3640" w:leftChars="0"/>
      </w:pPr>
    </w:p>
    <w:p/>
    <w:p>
      <w:pPr>
        <w:pStyle w:val="2"/>
        <w:numPr>
          <w:ilvl w:val="0"/>
          <w:numId w:val="0"/>
        </w:numPr>
      </w:pPr>
    </w:p>
    <w:p>
      <w:pPr>
        <w:ind w:left="0" w:leftChars="0" w:firstLine="0" w:firstLineChars="0"/>
      </w:pPr>
    </w:p>
    <w:p>
      <w:pPr>
        <w:pStyle w:val="2"/>
        <w:numPr>
          <w:ilvl w:val="0"/>
          <w:numId w:val="0"/>
        </w:numPr>
      </w:pPr>
    </w:p>
    <w:p>
      <w:pPr>
        <w:ind w:left="0" w:leftChars="0" w:firstLine="0" w:firstLineChars="0"/>
      </w:pPr>
    </w:p>
    <w:p>
      <w:pPr>
        <w:pStyle w:val="2"/>
        <w:numPr>
          <w:ilvl w:val="0"/>
          <w:numId w:val="0"/>
        </w:numPr>
      </w:pPr>
    </w:p>
    <w:p/>
    <w:p/>
    <w:p>
      <w:pPr>
        <w:adjustRightInd w:val="0"/>
        <w:snapToGrid w:val="0"/>
        <w:spacing w:line="360" w:lineRule="auto"/>
        <w:ind w:firstLine="480"/>
        <w:jc w:val="both"/>
        <w:rPr>
          <w:rFonts w:ascii="宋体" w:hAnsi="宋体" w:eastAsia="宋体" w:cs="宋体"/>
          <w:sz w:val="24"/>
        </w:rPr>
      </w:pPr>
    </w:p>
    <w:p>
      <w:pPr>
        <w:pStyle w:val="3"/>
        <w:numPr>
          <w:ilvl w:val="0"/>
          <w:numId w:val="0"/>
        </w:numPr>
        <w:tabs>
          <w:tab w:val="clear" w:pos="3621"/>
        </w:tabs>
        <w:bidi w:val="0"/>
        <w:jc w:val="center"/>
      </w:pPr>
      <w:bookmarkStart w:id="111" w:name="_Toc9756"/>
      <w:r>
        <w:rPr>
          <w:rFonts w:hint="eastAsia"/>
          <w:lang w:val="en-US" w:eastAsia="zh-CN"/>
        </w:rPr>
        <w:t>11</w:t>
      </w:r>
      <w:r>
        <w:rPr>
          <w:rFonts w:hint="eastAsia"/>
        </w:rPr>
        <w:t>、免费维</w:t>
      </w:r>
      <w:r>
        <w:rPr>
          <w:rFonts w:hint="eastAsia"/>
          <w:lang w:eastAsia="zh-CN"/>
        </w:rPr>
        <w:t>修</w:t>
      </w:r>
      <w:r>
        <w:rPr>
          <w:rFonts w:hint="eastAsia"/>
        </w:rPr>
        <w:t>清单</w:t>
      </w:r>
      <w:bookmarkEnd w:id="111"/>
    </w:p>
    <w:p>
      <w:pPr>
        <w:adjustRightInd w:val="0"/>
        <w:snapToGrid w:val="0"/>
        <w:spacing w:line="360" w:lineRule="auto"/>
        <w:ind w:firstLine="640"/>
        <w:jc w:val="center"/>
        <w:outlineLvl w:val="9"/>
        <w:rPr>
          <w:rFonts w:hint="eastAsia" w:ascii="宋体" w:hAnsi="宋体" w:eastAsia="宋体" w:cs="宋体"/>
          <w:sz w:val="32"/>
          <w:szCs w:val="22"/>
        </w:rPr>
      </w:pPr>
      <w:r>
        <w:rPr>
          <w:rFonts w:hint="eastAsia" w:ascii="宋体" w:hAnsi="宋体" w:eastAsia="宋体" w:cs="宋体"/>
          <w:sz w:val="32"/>
          <w:szCs w:val="22"/>
        </w:rPr>
        <w:t>未提供格式由供应商自拟。</w:t>
      </w:r>
    </w:p>
    <w:p>
      <w:pPr>
        <w:pStyle w:val="2"/>
        <w:numPr>
          <w:ilvl w:val="0"/>
          <w:numId w:val="0"/>
        </w:numPr>
        <w:ind w:left="3640" w:leftChars="0"/>
        <w:rPr>
          <w:rFonts w:hint="eastAsia"/>
        </w:rPr>
      </w:pPr>
    </w:p>
    <w:p>
      <w:pPr>
        <w:rPr>
          <w:rFonts w:hint="eastAsia"/>
        </w:rPr>
      </w:pPr>
    </w:p>
    <w:p>
      <w:pPr>
        <w:pStyle w:val="2"/>
        <w:numPr>
          <w:ilvl w:val="0"/>
          <w:numId w:val="0"/>
        </w:numPr>
        <w:ind w:left="3640" w:leftChars="0"/>
        <w:rPr>
          <w:rFonts w:hint="eastAsia"/>
        </w:rPr>
      </w:pPr>
    </w:p>
    <w:p>
      <w:pPr>
        <w:rPr>
          <w:rFonts w:hint="eastAsia"/>
        </w:rPr>
      </w:pPr>
    </w:p>
    <w:p>
      <w:pPr>
        <w:pStyle w:val="2"/>
        <w:numPr>
          <w:ilvl w:val="0"/>
          <w:numId w:val="0"/>
        </w:numPr>
        <w:ind w:left="3640" w:leftChars="0"/>
        <w:rPr>
          <w:rFonts w:hint="eastAsia"/>
        </w:rPr>
      </w:pPr>
    </w:p>
    <w:p>
      <w:pPr>
        <w:rPr>
          <w:rFonts w:hint="eastAsia"/>
        </w:rPr>
      </w:pPr>
    </w:p>
    <w:p>
      <w:pPr>
        <w:pStyle w:val="2"/>
        <w:numPr>
          <w:ilvl w:val="0"/>
          <w:numId w:val="0"/>
        </w:numPr>
        <w:ind w:left="3640" w:leftChars="0"/>
        <w:rPr>
          <w:rFonts w:hint="eastAsia"/>
        </w:rPr>
      </w:pPr>
    </w:p>
    <w:p>
      <w:pPr>
        <w:rPr>
          <w:rFonts w:hint="eastAsia"/>
        </w:rPr>
      </w:pPr>
    </w:p>
    <w:p>
      <w:pPr>
        <w:pStyle w:val="2"/>
        <w:numPr>
          <w:ilvl w:val="0"/>
          <w:numId w:val="0"/>
        </w:numPr>
        <w:ind w:left="3640" w:leftChars="0"/>
        <w:rPr>
          <w:rFonts w:hint="eastAsia"/>
        </w:rPr>
      </w:pPr>
    </w:p>
    <w:p>
      <w:pPr>
        <w:rPr>
          <w:rFonts w:hint="eastAsia"/>
        </w:rPr>
      </w:pPr>
    </w:p>
    <w:p>
      <w:pPr>
        <w:pStyle w:val="2"/>
        <w:numPr>
          <w:ilvl w:val="0"/>
          <w:numId w:val="0"/>
        </w:numPr>
        <w:ind w:left="3640" w:leftChars="0"/>
        <w:rPr>
          <w:rFonts w:hint="eastAsia"/>
        </w:rPr>
      </w:pPr>
    </w:p>
    <w:p>
      <w:pPr>
        <w:rPr>
          <w:rFonts w:hint="eastAsia"/>
        </w:rPr>
      </w:pPr>
    </w:p>
    <w:p>
      <w:pPr>
        <w:pStyle w:val="2"/>
        <w:numPr>
          <w:ilvl w:val="0"/>
          <w:numId w:val="0"/>
        </w:numPr>
        <w:ind w:left="3640" w:leftChars="0"/>
        <w:jc w:val="left"/>
        <w:rPr>
          <w:rFonts w:hint="eastAsia"/>
        </w:rPr>
      </w:pPr>
    </w:p>
    <w:p>
      <w:pPr>
        <w:ind w:left="0" w:leftChars="0" w:firstLine="0" w:firstLineChars="0"/>
        <w:rPr>
          <w:rFonts w:hint="eastAsia"/>
        </w:rPr>
      </w:pPr>
    </w:p>
    <w:p>
      <w:pPr>
        <w:pStyle w:val="3"/>
        <w:numPr>
          <w:ilvl w:val="0"/>
          <w:numId w:val="0"/>
        </w:numPr>
        <w:tabs>
          <w:tab w:val="clear" w:pos="3621"/>
        </w:tabs>
        <w:bidi w:val="0"/>
        <w:jc w:val="center"/>
      </w:pPr>
      <w:bookmarkStart w:id="112" w:name="_Toc1467"/>
      <w:r>
        <w:rPr>
          <w:rFonts w:hint="eastAsia"/>
          <w:lang w:val="en-US" w:eastAsia="zh-CN"/>
        </w:rPr>
        <w:t>12、供应商认为有必要说明的其它内容</w:t>
      </w:r>
      <w:bookmarkEnd w:id="112"/>
    </w:p>
    <w:p>
      <w:pPr>
        <w:pStyle w:val="18"/>
        <w:bidi w:val="0"/>
        <w:jc w:val="center"/>
        <w:rPr>
          <w:rFonts w:hint="eastAsia" w:asciiTheme="minorEastAsia" w:hAnsiTheme="minorEastAsia" w:eastAsiaTheme="minorEastAsia" w:cstheme="minorEastAsia"/>
          <w:sz w:val="32"/>
          <w:szCs w:val="32"/>
        </w:rPr>
      </w:pPr>
      <w:bookmarkStart w:id="113" w:name="_Toc97"/>
      <w:r>
        <w:rPr>
          <w:rFonts w:hint="eastAsia" w:asciiTheme="minorEastAsia" w:hAnsiTheme="minorEastAsia" w:eastAsiaTheme="minorEastAsia" w:cstheme="minorEastAsia"/>
          <w:sz w:val="32"/>
          <w:szCs w:val="32"/>
        </w:rPr>
        <w:t>未提供格式由供应商自拟。</w:t>
      </w:r>
      <w:bookmarkEnd w:id="113"/>
    </w:p>
    <w:p>
      <w:pPr>
        <w:adjustRightInd w:val="0"/>
        <w:snapToGrid w:val="0"/>
        <w:spacing w:line="360" w:lineRule="auto"/>
        <w:ind w:firstLine="480"/>
        <w:jc w:val="left"/>
        <w:rPr>
          <w:rFonts w:ascii="宋体" w:hAnsi="宋体" w:eastAsia="宋体" w:cs="宋体"/>
          <w:sz w:val="24"/>
        </w:rPr>
      </w:pPr>
    </w:p>
    <w:p>
      <w:pPr>
        <w:adjustRightInd w:val="0"/>
        <w:snapToGrid w:val="0"/>
        <w:spacing w:line="360" w:lineRule="auto"/>
        <w:ind w:firstLine="480"/>
        <w:jc w:val="left"/>
        <w:rPr>
          <w:rFonts w:ascii="宋体" w:hAnsi="宋体" w:eastAsia="宋体" w:cs="宋体"/>
          <w:sz w:val="24"/>
        </w:rPr>
      </w:pPr>
    </w:p>
    <w:p>
      <w:pPr>
        <w:adjustRightInd w:val="0"/>
        <w:snapToGrid w:val="0"/>
        <w:spacing w:line="360" w:lineRule="auto"/>
        <w:ind w:firstLine="480"/>
        <w:jc w:val="center"/>
        <w:rPr>
          <w:rFonts w:ascii="宋体" w:hAnsi="宋体" w:eastAsia="宋体" w:cs="宋体"/>
          <w:sz w:val="24"/>
        </w:rPr>
      </w:pPr>
    </w:p>
    <w:p>
      <w:pPr>
        <w:pStyle w:val="2"/>
        <w:numPr>
          <w:ilvl w:val="0"/>
          <w:numId w:val="0"/>
        </w:numPr>
        <w:ind w:left="3640" w:leftChars="0"/>
        <w:rPr>
          <w:rFonts w:ascii="宋体" w:hAnsi="宋体" w:eastAsia="宋体" w:cs="宋体"/>
          <w:sz w:val="24"/>
        </w:rPr>
      </w:pPr>
    </w:p>
    <w:p>
      <w:pPr>
        <w:rPr>
          <w:rFonts w:ascii="宋体" w:hAnsi="宋体" w:eastAsia="宋体" w:cs="宋体"/>
          <w:sz w:val="24"/>
        </w:rPr>
      </w:pPr>
    </w:p>
    <w:p>
      <w:pPr>
        <w:pStyle w:val="2"/>
        <w:numPr>
          <w:ilvl w:val="0"/>
          <w:numId w:val="0"/>
        </w:numPr>
        <w:ind w:left="3640" w:leftChars="0"/>
        <w:rPr>
          <w:rFonts w:ascii="宋体" w:hAnsi="宋体" w:eastAsia="宋体" w:cs="宋体"/>
          <w:sz w:val="24"/>
        </w:rPr>
      </w:pPr>
    </w:p>
    <w:p>
      <w:pPr>
        <w:rPr>
          <w:rFonts w:ascii="宋体" w:hAnsi="宋体" w:eastAsia="宋体" w:cs="宋体"/>
          <w:sz w:val="24"/>
        </w:rPr>
      </w:pPr>
    </w:p>
    <w:p>
      <w:pPr>
        <w:pStyle w:val="2"/>
        <w:numPr>
          <w:ilvl w:val="0"/>
          <w:numId w:val="0"/>
        </w:numPr>
        <w:ind w:left="3640" w:leftChars="0"/>
        <w:rPr>
          <w:rFonts w:ascii="宋体" w:hAnsi="宋体" w:eastAsia="宋体" w:cs="宋体"/>
          <w:sz w:val="24"/>
        </w:rPr>
      </w:pPr>
    </w:p>
    <w:p>
      <w:pPr>
        <w:rPr>
          <w:rFonts w:ascii="宋体" w:hAnsi="宋体" w:eastAsia="宋体" w:cs="宋体"/>
          <w:sz w:val="24"/>
        </w:rPr>
      </w:pPr>
    </w:p>
    <w:p>
      <w:pPr>
        <w:pStyle w:val="2"/>
        <w:numPr>
          <w:ilvl w:val="0"/>
          <w:numId w:val="0"/>
        </w:numPr>
        <w:ind w:left="3640" w:leftChars="0"/>
        <w:rPr>
          <w:rFonts w:ascii="宋体" w:hAnsi="宋体" w:eastAsia="宋体" w:cs="宋体"/>
          <w:sz w:val="24"/>
        </w:rPr>
      </w:pPr>
    </w:p>
    <w:p>
      <w:pPr>
        <w:rPr>
          <w:rFonts w:ascii="宋体" w:hAnsi="宋体" w:eastAsia="宋体" w:cs="宋体"/>
          <w:sz w:val="24"/>
        </w:rPr>
      </w:pPr>
    </w:p>
    <w:p>
      <w:pPr>
        <w:pStyle w:val="2"/>
        <w:numPr>
          <w:ilvl w:val="0"/>
          <w:numId w:val="0"/>
        </w:numPr>
        <w:ind w:left="3640" w:leftChars="0"/>
        <w:rPr>
          <w:rFonts w:ascii="宋体" w:hAnsi="宋体" w:eastAsia="宋体" w:cs="宋体"/>
          <w:sz w:val="24"/>
        </w:rPr>
      </w:pPr>
    </w:p>
    <w:p>
      <w:pPr>
        <w:rPr>
          <w:rFonts w:ascii="宋体" w:hAnsi="宋体" w:eastAsia="宋体" w:cs="宋体"/>
          <w:sz w:val="24"/>
        </w:rPr>
      </w:pPr>
    </w:p>
    <w:p>
      <w:pPr>
        <w:pStyle w:val="2"/>
        <w:numPr>
          <w:ilvl w:val="0"/>
          <w:numId w:val="0"/>
        </w:numPr>
        <w:ind w:left="3640" w:leftChars="0"/>
        <w:rPr>
          <w:rFonts w:ascii="宋体" w:hAnsi="宋体" w:eastAsia="宋体" w:cs="宋体"/>
          <w:sz w:val="24"/>
        </w:rPr>
      </w:pPr>
    </w:p>
    <w:p>
      <w:pPr>
        <w:rPr>
          <w:rFonts w:ascii="宋体" w:hAnsi="宋体" w:eastAsia="宋体" w:cs="宋体"/>
          <w:sz w:val="24"/>
        </w:rPr>
      </w:pPr>
    </w:p>
    <w:p>
      <w:pPr>
        <w:pStyle w:val="2"/>
        <w:numPr>
          <w:ilvl w:val="0"/>
          <w:numId w:val="0"/>
        </w:numPr>
        <w:ind w:left="3640" w:leftChars="0"/>
      </w:pPr>
    </w:p>
    <w:p>
      <w:pPr>
        <w:adjustRightInd w:val="0"/>
        <w:snapToGrid w:val="0"/>
        <w:spacing w:line="360" w:lineRule="auto"/>
        <w:ind w:firstLine="640"/>
        <w:jc w:val="center"/>
        <w:rPr>
          <w:rFonts w:ascii="宋体" w:hAnsi="宋体" w:eastAsia="宋体" w:cs="宋体"/>
          <w:sz w:val="32"/>
          <w:szCs w:val="22"/>
        </w:rPr>
      </w:pPr>
    </w:p>
    <w:p>
      <w:pPr>
        <w:pStyle w:val="3"/>
        <w:numPr>
          <w:ilvl w:val="0"/>
          <w:numId w:val="0"/>
        </w:numPr>
        <w:tabs>
          <w:tab w:val="clear" w:pos="3621"/>
        </w:tabs>
        <w:bidi w:val="0"/>
        <w:jc w:val="center"/>
      </w:pPr>
      <w:bookmarkStart w:id="114" w:name="_Toc1135"/>
      <w:r>
        <w:rPr>
          <w:rFonts w:hint="eastAsia"/>
        </w:rPr>
        <w:t>1</w:t>
      </w:r>
      <w:r>
        <w:rPr>
          <w:rFonts w:hint="eastAsia"/>
          <w:lang w:val="en-US" w:eastAsia="zh-CN"/>
        </w:rPr>
        <w:t>3</w:t>
      </w:r>
      <w:r>
        <w:rPr>
          <w:rFonts w:hint="eastAsia"/>
        </w:rPr>
        <w:t>、二次报价单</w:t>
      </w:r>
      <w:bookmarkEnd w:id="114"/>
    </w:p>
    <w:p>
      <w:pPr>
        <w:pStyle w:val="41"/>
        <w:snapToGrid w:val="0"/>
        <w:spacing w:line="560" w:lineRule="exact"/>
        <w:jc w:val="left"/>
        <w:rPr>
          <w:rFonts w:hint="eastAsia" w:ascii="宋体" w:hAnsi="宋体" w:cs="宋体"/>
          <w:color w:val="auto"/>
          <w:kern w:val="2"/>
          <w:sz w:val="24"/>
          <w:szCs w:val="24"/>
        </w:rPr>
      </w:pPr>
      <w:r>
        <w:rPr>
          <w:rFonts w:hint="eastAsia" w:ascii="宋体" w:hAnsi="宋体" w:cs="宋体"/>
          <w:color w:val="auto"/>
          <w:kern w:val="2"/>
          <w:sz w:val="24"/>
          <w:szCs w:val="24"/>
        </w:rPr>
        <w:t xml:space="preserve">项目名称： </w:t>
      </w:r>
    </w:p>
    <w:tbl>
      <w:tblPr>
        <w:tblStyle w:val="27"/>
        <w:tblpPr w:leftFromText="180" w:rightFromText="180" w:vertAnchor="text" w:horzAnchor="page" w:tblpX="1185" w:tblpY="174"/>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8"/>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058" w:type="dxa"/>
            <w:vAlign w:val="center"/>
          </w:tcPr>
          <w:p>
            <w:pPr>
              <w:pStyle w:val="41"/>
              <w:snapToGrid w:val="0"/>
              <w:spacing w:line="560" w:lineRule="exact"/>
              <w:jc w:val="center"/>
              <w:rPr>
                <w:rFonts w:hint="eastAsia" w:ascii="宋体" w:hAnsi="宋体" w:eastAsia="宋体" w:cs="宋体"/>
                <w:color w:val="auto"/>
                <w:kern w:val="2"/>
                <w:sz w:val="24"/>
                <w:szCs w:val="24"/>
                <w:lang w:eastAsia="zh-CN"/>
              </w:rPr>
            </w:pPr>
            <w:r>
              <w:rPr>
                <w:rFonts w:hint="eastAsia" w:ascii="宋体" w:hAnsi="宋体" w:cs="宋体"/>
                <w:color w:val="auto"/>
                <w:sz w:val="24"/>
                <w:szCs w:val="24"/>
              </w:rPr>
              <w:t>供应商</w:t>
            </w:r>
          </w:p>
        </w:tc>
        <w:tc>
          <w:tcPr>
            <w:tcW w:w="5151" w:type="dxa"/>
            <w:vAlign w:val="top"/>
          </w:tcPr>
          <w:p>
            <w:pPr>
              <w:pStyle w:val="41"/>
              <w:snapToGrid w:val="0"/>
              <w:spacing w:line="560" w:lineRule="exact"/>
              <w:jc w:val="center"/>
              <w:rPr>
                <w:rFonts w:hint="eastAsia" w:ascii="宋体" w:hAnsi="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058" w:type="dxa"/>
            <w:vAlign w:val="center"/>
          </w:tcPr>
          <w:p>
            <w:pPr>
              <w:pStyle w:val="41"/>
              <w:snapToGrid w:val="0"/>
              <w:spacing w:line="560" w:lineRule="exact"/>
              <w:jc w:val="center"/>
              <w:rPr>
                <w:rFonts w:hint="eastAsia" w:ascii="宋体" w:hAnsi="宋体" w:cs="宋体"/>
                <w:color w:val="auto"/>
                <w:kern w:val="2"/>
                <w:sz w:val="24"/>
                <w:szCs w:val="24"/>
              </w:rPr>
            </w:pPr>
            <w:r>
              <w:rPr>
                <w:rFonts w:hint="eastAsia" w:ascii="宋体" w:hAnsi="宋体" w:cs="宋体"/>
                <w:color w:val="auto"/>
                <w:sz w:val="24"/>
                <w:szCs w:val="24"/>
              </w:rPr>
              <w:t>总报价(元)</w:t>
            </w:r>
          </w:p>
        </w:tc>
        <w:tc>
          <w:tcPr>
            <w:tcW w:w="5151" w:type="dxa"/>
            <w:vAlign w:val="top"/>
          </w:tcPr>
          <w:p>
            <w:pPr>
              <w:pStyle w:val="41"/>
              <w:snapToGrid w:val="0"/>
              <w:spacing w:line="560" w:lineRule="exact"/>
              <w:jc w:val="both"/>
              <w:rPr>
                <w:rFonts w:hint="eastAsia" w:ascii="宋体" w:hAnsi="宋体" w:cs="宋体"/>
                <w:color w:val="auto"/>
                <w:sz w:val="24"/>
                <w:szCs w:val="24"/>
              </w:rPr>
            </w:pPr>
            <w:r>
              <w:rPr>
                <w:rFonts w:hint="eastAsia" w:ascii="宋体" w:hAnsi="宋体" w:cs="宋体"/>
                <w:color w:val="auto"/>
                <w:sz w:val="24"/>
                <w:szCs w:val="24"/>
              </w:rPr>
              <w:t xml:space="preserve">大写:                            </w:t>
            </w:r>
          </w:p>
          <w:p>
            <w:pPr>
              <w:pStyle w:val="41"/>
              <w:snapToGrid w:val="0"/>
              <w:spacing w:line="560" w:lineRule="exact"/>
              <w:jc w:val="both"/>
              <w:rPr>
                <w:rFonts w:hint="eastAsia" w:ascii="宋体" w:hAnsi="宋体" w:cs="宋体"/>
                <w:color w:val="auto"/>
                <w:kern w:val="2"/>
                <w:sz w:val="24"/>
                <w:szCs w:val="24"/>
              </w:rPr>
            </w:pPr>
            <w:r>
              <w:rPr>
                <w:rFonts w:hint="eastAsia" w:ascii="宋体" w:hAnsi="宋体" w:cs="宋体"/>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058" w:type="dxa"/>
            <w:vAlign w:val="center"/>
          </w:tcPr>
          <w:p>
            <w:pPr>
              <w:pStyle w:val="41"/>
              <w:snapToGrid w:val="0"/>
              <w:spacing w:line="560" w:lineRule="exact"/>
              <w:jc w:val="center"/>
              <w:rPr>
                <w:rFonts w:hint="eastAsia" w:ascii="宋体" w:hAnsi="宋体" w:cs="宋体"/>
                <w:color w:val="auto"/>
                <w:kern w:val="2"/>
                <w:sz w:val="24"/>
                <w:szCs w:val="24"/>
                <w:lang w:eastAsia="zh-CN"/>
              </w:rPr>
            </w:pPr>
            <w:r>
              <w:rPr>
                <w:rFonts w:hint="eastAsia" w:ascii="宋体" w:hAnsi="宋体" w:cs="宋体"/>
                <w:color w:val="auto"/>
                <w:sz w:val="24"/>
                <w:szCs w:val="24"/>
              </w:rPr>
              <w:t>供货</w:t>
            </w:r>
            <w:r>
              <w:rPr>
                <w:rFonts w:hint="eastAsia" w:ascii="宋体" w:hAnsi="宋体" w:cs="宋体"/>
                <w:color w:val="auto"/>
                <w:sz w:val="24"/>
                <w:szCs w:val="24"/>
                <w:lang w:eastAsia="zh-CN"/>
              </w:rPr>
              <w:t>安装</w:t>
            </w:r>
            <w:r>
              <w:rPr>
                <w:rFonts w:hint="eastAsia" w:ascii="宋体" w:hAnsi="宋体" w:cs="宋体"/>
                <w:color w:val="auto"/>
                <w:sz w:val="24"/>
                <w:szCs w:val="24"/>
              </w:rPr>
              <w:t>期</w:t>
            </w:r>
            <w:r>
              <w:rPr>
                <w:rFonts w:hint="eastAsia" w:ascii="宋体" w:hAnsi="宋体" w:cs="宋体"/>
                <w:color w:val="auto"/>
                <w:sz w:val="24"/>
                <w:szCs w:val="24"/>
                <w:lang w:eastAsia="zh-CN"/>
              </w:rPr>
              <w:t>及</w:t>
            </w:r>
            <w:r>
              <w:rPr>
                <w:rFonts w:hint="eastAsia" w:ascii="宋体" w:hAnsi="宋体" w:cs="宋体"/>
                <w:color w:val="auto"/>
                <w:sz w:val="24"/>
                <w:szCs w:val="24"/>
              </w:rPr>
              <w:t>质保期</w:t>
            </w:r>
          </w:p>
        </w:tc>
        <w:tc>
          <w:tcPr>
            <w:tcW w:w="5151" w:type="dxa"/>
            <w:vAlign w:val="top"/>
          </w:tcPr>
          <w:p>
            <w:pPr>
              <w:pStyle w:val="41"/>
              <w:snapToGrid w:val="0"/>
              <w:spacing w:line="560" w:lineRule="exact"/>
              <w:jc w:val="center"/>
              <w:rPr>
                <w:rFonts w:hint="eastAsia" w:ascii="宋体" w:hAnsi="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58" w:type="dxa"/>
            <w:vAlign w:val="center"/>
          </w:tcPr>
          <w:p>
            <w:pPr>
              <w:pStyle w:val="41"/>
              <w:snapToGrid w:val="0"/>
              <w:spacing w:line="560" w:lineRule="exact"/>
              <w:jc w:val="center"/>
              <w:rPr>
                <w:rFonts w:hint="eastAsia" w:ascii="宋体" w:hAnsi="宋体" w:cs="宋体"/>
                <w:color w:val="auto"/>
                <w:kern w:val="2"/>
                <w:sz w:val="24"/>
                <w:szCs w:val="24"/>
              </w:rPr>
            </w:pPr>
            <w:r>
              <w:rPr>
                <w:rFonts w:hint="eastAsia" w:ascii="宋体" w:hAnsi="宋体" w:cs="宋体"/>
                <w:color w:val="auto"/>
                <w:sz w:val="24"/>
                <w:szCs w:val="24"/>
              </w:rPr>
              <w:t>备注</w:t>
            </w:r>
          </w:p>
        </w:tc>
        <w:tc>
          <w:tcPr>
            <w:tcW w:w="5151" w:type="dxa"/>
            <w:vAlign w:val="top"/>
          </w:tcPr>
          <w:p>
            <w:pPr>
              <w:pStyle w:val="41"/>
              <w:snapToGrid w:val="0"/>
              <w:spacing w:line="560" w:lineRule="exact"/>
              <w:jc w:val="center"/>
              <w:rPr>
                <w:rFonts w:hint="eastAsia" w:ascii="宋体" w:hAnsi="宋体" w:cs="宋体"/>
                <w:color w:val="auto"/>
                <w:kern w:val="2"/>
                <w:sz w:val="24"/>
                <w:szCs w:val="24"/>
              </w:rPr>
            </w:pPr>
            <w:r>
              <w:rPr>
                <w:rFonts w:hint="eastAsia" w:ascii="宋体" w:hAnsi="宋体" w:cs="宋体"/>
                <w:color w:val="auto"/>
                <w:sz w:val="24"/>
                <w:szCs w:val="24"/>
              </w:rPr>
              <w:t>(本报价含税及设计、运费、安装、调试等所有相关费用)</w:t>
            </w:r>
          </w:p>
        </w:tc>
      </w:tr>
    </w:tbl>
    <w:p>
      <w:pPr>
        <w:pStyle w:val="18"/>
        <w:bidi w:val="0"/>
        <w:ind w:left="0" w:leftChars="0" w:firstLine="0" w:firstLineChars="0"/>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注：本报价单需要投标人单独打印并加盖印章，现场填写。</w:t>
      </w:r>
    </w:p>
    <w:p>
      <w:pPr>
        <w:adjustRightInd w:val="0"/>
        <w:snapToGrid w:val="0"/>
        <w:spacing w:line="360" w:lineRule="auto"/>
        <w:ind w:firstLine="480"/>
        <w:rPr>
          <w:rFonts w:ascii="宋体" w:hAnsi="宋体" w:eastAsia="宋体" w:cs="宋体"/>
          <w:sz w:val="24"/>
          <w:szCs w:val="24"/>
        </w:rPr>
      </w:pPr>
    </w:p>
    <w:p>
      <w:pPr>
        <w:spacing w:line="400" w:lineRule="atLeast"/>
        <w:ind w:firstLine="480"/>
        <w:rPr>
          <w:rFonts w:ascii="宋体" w:hAnsi="宋体" w:eastAsia="宋体" w:cs="宋体"/>
          <w:sz w:val="24"/>
        </w:rPr>
      </w:pPr>
    </w:p>
    <w:p>
      <w:pPr>
        <w:spacing w:line="400" w:lineRule="atLeast"/>
        <w:ind w:firstLine="480"/>
        <w:jc w:val="center"/>
        <w:outlineLvl w:val="9"/>
        <w:rPr>
          <w:rFonts w:ascii="宋体" w:hAnsi="宋体" w:eastAsia="宋体" w:cs="宋体"/>
          <w:sz w:val="24"/>
        </w:rPr>
      </w:pPr>
      <w:bookmarkStart w:id="115" w:name="_Toc7884"/>
      <w:r>
        <w:rPr>
          <w:rFonts w:hint="eastAsia" w:ascii="宋体" w:hAnsi="宋体" w:eastAsia="宋体" w:cs="宋体"/>
          <w:sz w:val="24"/>
        </w:rPr>
        <w:t>供应商名称（公章）：</w:t>
      </w:r>
      <w:bookmarkEnd w:id="115"/>
      <w:r>
        <w:rPr>
          <w:rFonts w:hint="eastAsia" w:ascii="宋体" w:hAnsi="宋体" w:eastAsia="宋体" w:cs="宋体"/>
          <w:sz w:val="24"/>
          <w:u w:val="single"/>
        </w:rPr>
        <w:t xml:space="preserve">         　　　　　  　　　</w:t>
      </w:r>
    </w:p>
    <w:p>
      <w:pPr>
        <w:pStyle w:val="18"/>
        <w:spacing w:line="360" w:lineRule="auto"/>
        <w:ind w:firstLine="480"/>
        <w:jc w:val="right"/>
        <w:rPr>
          <w:rFonts w:hAnsi="宋体" w:eastAsia="宋体" w:cs="宋体"/>
          <w:sz w:val="24"/>
          <w:szCs w:val="24"/>
        </w:rPr>
      </w:pPr>
      <w:r>
        <w:rPr>
          <w:rFonts w:hint="eastAsia" w:hAnsi="宋体" w:eastAsia="宋体" w:cs="宋体"/>
          <w:sz w:val="24"/>
          <w:szCs w:val="24"/>
        </w:rPr>
        <w:t>法定代表人或授权代表(签字或盖章)：_____________</w:t>
      </w:r>
    </w:p>
    <w:p>
      <w:pPr>
        <w:pStyle w:val="18"/>
        <w:spacing w:line="360" w:lineRule="auto"/>
        <w:ind w:firstLine="4800" w:firstLineChars="2000"/>
        <w:rPr>
          <w:rFonts w:hAnsi="宋体" w:eastAsia="宋体" w:cs="宋体"/>
          <w:sz w:val="24"/>
          <w:szCs w:val="24"/>
        </w:rPr>
      </w:pPr>
      <w:r>
        <w:rPr>
          <w:rFonts w:hint="eastAsia" w:hAnsi="宋体" w:eastAsia="宋体" w:cs="宋体"/>
          <w:sz w:val="24"/>
          <w:szCs w:val="24"/>
        </w:rPr>
        <w:t>日期：_____年____月____日</w:t>
      </w:r>
    </w:p>
    <w:p>
      <w:pPr>
        <w:pStyle w:val="12"/>
        <w:ind w:firstLine="0" w:firstLineChars="0"/>
        <w:jc w:val="left"/>
        <w:rPr>
          <w:rFonts w:ascii="宋体" w:hAnsi="宋体" w:eastAsia="宋体" w:cs="宋体"/>
          <w:b/>
          <w:bCs/>
          <w:color w:val="000000"/>
          <w:sz w:val="28"/>
          <w:szCs w:val="28"/>
        </w:rPr>
      </w:pPr>
    </w:p>
    <w:p>
      <w:pPr>
        <w:pStyle w:val="12"/>
        <w:ind w:firstLine="0" w:firstLineChars="0"/>
        <w:jc w:val="left"/>
        <w:rPr>
          <w:rFonts w:ascii="宋体" w:hAnsi="宋体" w:eastAsia="宋体" w:cs="宋体"/>
          <w:b/>
          <w:bCs/>
          <w:color w:val="000000"/>
          <w:sz w:val="28"/>
          <w:szCs w:val="28"/>
        </w:rPr>
      </w:pPr>
    </w:p>
    <w:p>
      <w:pPr>
        <w:pStyle w:val="12"/>
        <w:ind w:firstLine="0" w:firstLineChars="0"/>
        <w:jc w:val="left"/>
        <w:rPr>
          <w:rFonts w:ascii="宋体" w:hAnsi="宋体" w:eastAsia="宋体" w:cs="宋体"/>
          <w:b/>
          <w:bCs/>
          <w:color w:val="00000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682988"/>
      <w:docPartObj>
        <w:docPartGallery w:val="autotext"/>
      </w:docPartObj>
    </w:sdtPr>
    <w:sdtContent>
      <w:p>
        <w:pPr>
          <w:pStyle w:val="20"/>
          <w:ind w:firstLine="360"/>
          <w:jc w:val="center"/>
        </w:pPr>
        <w:r>
          <w:fldChar w:fldCharType="begin"/>
        </w:r>
        <w:r>
          <w:instrText xml:space="preserve">PAGE   \* MERGEFORMAT</w:instrText>
        </w:r>
        <w:r>
          <w:fldChar w:fldCharType="separate"/>
        </w:r>
        <w:r>
          <w:rPr>
            <w:lang w:val="zh-CN"/>
          </w:rPr>
          <w:t>33</w:t>
        </w:r>
        <w:r>
          <w:fldChar w:fldCharType="end"/>
        </w:r>
      </w:p>
    </w:sdtContent>
  </w:sdt>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682988"/>
      <w:docPartObj>
        <w:docPartGallery w:val="autotext"/>
      </w:docPartObj>
    </w:sdtPr>
    <w:sdtContent>
      <w:p>
        <w:pPr>
          <w:pStyle w:val="20"/>
          <w:ind w:firstLine="360"/>
          <w:jc w:val="center"/>
        </w:pPr>
        <w:r>
          <w:fldChar w:fldCharType="begin"/>
        </w:r>
        <w:r>
          <w:instrText xml:space="preserve">PAGE   \* MERGEFORMAT</w:instrText>
        </w:r>
        <w:r>
          <w:fldChar w:fldCharType="separate"/>
        </w:r>
        <w:r>
          <w:rPr>
            <w:lang w:val="zh-CN"/>
          </w:rPr>
          <w:t>33</w:t>
        </w:r>
        <w:r>
          <w:fldChar w:fldCharType="end"/>
        </w:r>
      </w:p>
    </w:sdtContent>
  </w:sdt>
  <w:p>
    <w:pPr>
      <w:pStyle w:val="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03682988"/>
                            <w:docPartObj>
                              <w:docPartGallery w:val="autotext"/>
                            </w:docPartObj>
                          </w:sdtPr>
                          <w:sdtContent>
                            <w:p>
                              <w:pPr>
                                <w:pStyle w:val="20"/>
                                <w:ind w:firstLine="360"/>
                                <w:jc w:val="center"/>
                              </w:pPr>
                              <w:r>
                                <w:fldChar w:fldCharType="begin"/>
                              </w:r>
                              <w:r>
                                <w:instrText xml:space="preserve">PAGE   \* MERGEFORMAT</w:instrText>
                              </w:r>
                              <w:r>
                                <w:fldChar w:fldCharType="separate"/>
                              </w:r>
                              <w:r>
                                <w:rPr>
                                  <w:lang w:val="zh-CN"/>
                                </w:rPr>
                                <w:t>33</w:t>
                              </w:r>
                              <w:r>
                                <w:fldChar w:fldCharType="end"/>
                              </w:r>
                            </w:p>
                          </w:sdtContent>
                        </w:sdt>
                        <w:p>
                          <w:pPr>
                            <w:pStyle w:val="6"/>
                            <w:numPr>
                              <w:ilvl w:val="3"/>
                              <w:numId w:val="0"/>
                            </w:numPr>
                            <w:tabs>
                              <w:tab w:val="clear" w:pos="2835"/>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703682988"/>
                      <w:docPartObj>
                        <w:docPartGallery w:val="autotext"/>
                      </w:docPartObj>
                    </w:sdtPr>
                    <w:sdtContent>
                      <w:p>
                        <w:pPr>
                          <w:pStyle w:val="20"/>
                          <w:ind w:firstLine="360"/>
                          <w:jc w:val="center"/>
                        </w:pPr>
                        <w:r>
                          <w:fldChar w:fldCharType="begin"/>
                        </w:r>
                        <w:r>
                          <w:instrText xml:space="preserve">PAGE   \* MERGEFORMAT</w:instrText>
                        </w:r>
                        <w:r>
                          <w:fldChar w:fldCharType="separate"/>
                        </w:r>
                        <w:r>
                          <w:rPr>
                            <w:lang w:val="zh-CN"/>
                          </w:rPr>
                          <w:t>33</w:t>
                        </w:r>
                        <w:r>
                          <w:fldChar w:fldCharType="end"/>
                        </w:r>
                      </w:p>
                    </w:sdtContent>
                  </w:sdt>
                  <w:p>
                    <w:pPr>
                      <w:pStyle w:val="6"/>
                      <w:numPr>
                        <w:ilvl w:val="3"/>
                        <w:numId w:val="0"/>
                      </w:numPr>
                      <w:tabs>
                        <w:tab w:val="clear" w:pos="2835"/>
                      </w:tabs>
                    </w:pPr>
                  </w:p>
                </w:txbxContent>
              </v:textbox>
            </v:shape>
          </w:pict>
        </mc:Fallback>
      </mc:AlternateContent>
    </w:r>
  </w:p>
  <w:p>
    <w:pPr>
      <w:pStyle w:val="2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tDash" w:color="auto" w:sz="4" w:space="0"/>
      </w:pBdr>
      <w:ind w:left="520" w:firstLine="0" w:firstLineChars="0"/>
      <w:rPr>
        <w:rFonts w:hint="default" w:eastAsia="宋体"/>
        <w:sz w:val="21"/>
        <w:szCs w:val="15"/>
        <w:lang w:val="en-US" w:eastAsia="zh-CN"/>
      </w:rPr>
    </w:pPr>
    <w:r>
      <w:rPr>
        <w:rFonts w:hint="eastAsia" w:ascii="宋体" w:hAnsi="宋体" w:eastAsia="宋体" w:cs="宋体"/>
        <w:color w:val="auto"/>
        <w:sz w:val="21"/>
        <w:szCs w:val="15"/>
        <w:lang w:val="en-US" w:eastAsia="zh-CN"/>
      </w:rPr>
      <w:t>新疆新建联项目管理咨询有限公司                                   项目编号：XJL-ZB-2021-046</w:t>
    </w:r>
    <w:r>
      <w:rPr>
        <w:rFonts w:hint="eastAsia" w:ascii="宋体" w:hAnsi="宋体" w:eastAsia="宋体" w:cs="宋体"/>
        <w:sz w:val="21"/>
        <w:szCs w:val="15"/>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2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tDash" w:color="auto" w:sz="4" w:space="0"/>
      </w:pBdr>
      <w:ind w:firstLine="360"/>
      <w:jc w:val="both"/>
      <w:rPr>
        <w:b/>
      </w:rPr>
    </w:pPr>
    <w:r>
      <w:rPr>
        <w:rFonts w:hint="eastAsia" w:ascii="宋体" w:hAnsi="宋体" w:eastAsia="宋体" w:cs="宋体"/>
        <w:color w:val="auto"/>
        <w:sz w:val="21"/>
        <w:szCs w:val="15"/>
        <w:lang w:val="en-US" w:eastAsia="zh-CN"/>
      </w:rPr>
      <w:t>新疆新建联项目管理咨询有限公司                     项目编号：XJL-ZB-2021-046</w:t>
    </w:r>
    <w:r>
      <w:rPr>
        <w:rFonts w:hint="eastAsia" w:ascii="宋体" w:hAnsi="宋体" w:eastAsia="宋体" w:cs="宋体"/>
        <w:sz w:val="21"/>
        <w:szCs w:val="15"/>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upperLetter"/>
      <w:pStyle w:val="3"/>
      <w:lvlText w:val="%1、"/>
      <w:lvlJc w:val="left"/>
      <w:pPr>
        <w:tabs>
          <w:tab w:val="left" w:pos="3621"/>
        </w:tabs>
        <w:ind w:left="3640" w:hanging="360"/>
      </w:pPr>
      <w:rPr>
        <w:rFonts w:hint="eastAsia"/>
      </w:rPr>
    </w:lvl>
    <w:lvl w:ilvl="1" w:tentative="0">
      <w:start w:val="1"/>
      <w:numFmt w:val="decimal"/>
      <w:lvlText w:val="%2."/>
      <w:lvlJc w:val="left"/>
      <w:pPr>
        <w:tabs>
          <w:tab w:val="left" w:pos="4041"/>
        </w:tabs>
        <w:ind w:left="4060" w:hanging="360"/>
      </w:pPr>
      <w:rPr>
        <w:rFonts w:hint="eastAsia"/>
      </w:rPr>
    </w:lvl>
    <w:lvl w:ilvl="2" w:tentative="0">
      <w:start w:val="1"/>
      <w:numFmt w:val="lowerRoman"/>
      <w:lvlText w:val="%3."/>
      <w:lvlJc w:val="right"/>
      <w:pPr>
        <w:tabs>
          <w:tab w:val="left" w:pos="4521"/>
        </w:tabs>
        <w:ind w:left="4540" w:hanging="420"/>
      </w:pPr>
    </w:lvl>
    <w:lvl w:ilvl="3" w:tentative="0">
      <w:start w:val="1"/>
      <w:numFmt w:val="decimal"/>
      <w:lvlText w:val="%4."/>
      <w:lvlJc w:val="left"/>
      <w:pPr>
        <w:tabs>
          <w:tab w:val="left" w:pos="4941"/>
        </w:tabs>
        <w:ind w:left="4960" w:hanging="420"/>
      </w:pPr>
    </w:lvl>
    <w:lvl w:ilvl="4" w:tentative="0">
      <w:start w:val="1"/>
      <w:numFmt w:val="lowerLetter"/>
      <w:lvlText w:val="%5)"/>
      <w:lvlJc w:val="left"/>
      <w:pPr>
        <w:tabs>
          <w:tab w:val="left" w:pos="5361"/>
        </w:tabs>
        <w:ind w:left="5380" w:hanging="420"/>
      </w:pPr>
    </w:lvl>
    <w:lvl w:ilvl="5" w:tentative="0">
      <w:start w:val="1"/>
      <w:numFmt w:val="lowerRoman"/>
      <w:lvlText w:val="%6."/>
      <w:lvlJc w:val="right"/>
      <w:pPr>
        <w:tabs>
          <w:tab w:val="left" w:pos="5781"/>
        </w:tabs>
        <w:ind w:left="5800" w:hanging="420"/>
      </w:pPr>
    </w:lvl>
    <w:lvl w:ilvl="6" w:tentative="0">
      <w:start w:val="1"/>
      <w:numFmt w:val="decimal"/>
      <w:lvlText w:val="%7."/>
      <w:lvlJc w:val="left"/>
      <w:pPr>
        <w:tabs>
          <w:tab w:val="left" w:pos="6201"/>
        </w:tabs>
        <w:ind w:left="6220" w:hanging="420"/>
      </w:pPr>
    </w:lvl>
    <w:lvl w:ilvl="7" w:tentative="0">
      <w:start w:val="1"/>
      <w:numFmt w:val="lowerLetter"/>
      <w:lvlText w:val="%8)"/>
      <w:lvlJc w:val="left"/>
      <w:pPr>
        <w:tabs>
          <w:tab w:val="left" w:pos="6621"/>
        </w:tabs>
        <w:ind w:left="6640" w:hanging="420"/>
      </w:pPr>
    </w:lvl>
    <w:lvl w:ilvl="8" w:tentative="0">
      <w:start w:val="1"/>
      <w:numFmt w:val="lowerRoman"/>
      <w:lvlText w:val="%9."/>
      <w:lvlJc w:val="right"/>
      <w:pPr>
        <w:tabs>
          <w:tab w:val="left" w:pos="7041"/>
        </w:tabs>
        <w:ind w:left="7060" w:hanging="420"/>
      </w:pPr>
    </w:lvl>
  </w:abstractNum>
  <w:abstractNum w:abstractNumId="1">
    <w:nsid w:val="1BFA7C0E"/>
    <w:multiLevelType w:val="multilevel"/>
    <w:tmpl w:val="1BFA7C0E"/>
    <w:lvl w:ilvl="0" w:tentative="0">
      <w:start w:val="1"/>
      <w:numFmt w:val="chineseCountingThousand"/>
      <w:lvlText w:val="%1、"/>
      <w:lvlJc w:val="left"/>
      <w:pPr>
        <w:ind w:left="420" w:hanging="420"/>
      </w:pPr>
      <w:rPr>
        <w:rFonts w:hint="eastAsia"/>
        <w:b/>
        <w:i w:val="0"/>
        <w:sz w:val="36"/>
      </w:rPr>
    </w:lvl>
    <w:lvl w:ilvl="1" w:tentative="0">
      <w:start w:val="1"/>
      <w:numFmt w:val="decimal"/>
      <w:isLgl/>
      <w:lvlText w:val="%1.%2"/>
      <w:lvlJc w:val="left"/>
      <w:pPr>
        <w:tabs>
          <w:tab w:val="left" w:pos="0"/>
        </w:tabs>
        <w:ind w:left="0" w:firstLine="0"/>
      </w:pPr>
      <w:rPr>
        <w:rFonts w:hint="default" w:ascii="Arial" w:hAnsi="Arial"/>
        <w:b/>
        <w:i w:val="0"/>
        <w:sz w:val="32"/>
      </w:rPr>
    </w:lvl>
    <w:lvl w:ilvl="2" w:tentative="0">
      <w:start w:val="1"/>
      <w:numFmt w:val="decimal"/>
      <w:isLgl/>
      <w:lvlText w:val="%1.%2.%3"/>
      <w:lvlJc w:val="left"/>
      <w:pPr>
        <w:tabs>
          <w:tab w:val="left" w:pos="0"/>
        </w:tabs>
        <w:ind w:left="0" w:firstLine="0"/>
      </w:pPr>
      <w:rPr>
        <w:rFonts w:hint="default" w:ascii="Arial" w:hAnsi="Arial"/>
        <w:b/>
        <w:i w:val="0"/>
        <w:sz w:val="30"/>
      </w:rPr>
    </w:lvl>
    <w:lvl w:ilvl="3" w:tentative="0">
      <w:start w:val="1"/>
      <w:numFmt w:val="decimal"/>
      <w:pStyle w:val="6"/>
      <w:isLgl/>
      <w:lvlText w:val="%1.%2.%3.%4"/>
      <w:lvlJc w:val="left"/>
      <w:pPr>
        <w:tabs>
          <w:tab w:val="left" w:pos="2835"/>
        </w:tabs>
        <w:ind w:left="2835" w:firstLine="0"/>
      </w:pPr>
      <w:rPr>
        <w:rFonts w:hint="default" w:ascii="Arial" w:hAnsi="Arial"/>
        <w:b/>
        <w:i w:val="0"/>
        <w:sz w:val="28"/>
      </w:rPr>
    </w:lvl>
    <w:lvl w:ilvl="4" w:tentative="0">
      <w:start w:val="1"/>
      <w:numFmt w:val="decimal"/>
      <w:isLgl/>
      <w:lvlText w:val="%1.%2.%3.%4.%5"/>
      <w:lvlJc w:val="left"/>
      <w:pPr>
        <w:tabs>
          <w:tab w:val="left" w:pos="0"/>
        </w:tabs>
        <w:ind w:left="0" w:firstLine="0"/>
      </w:pPr>
      <w:rPr>
        <w:rFonts w:hint="default" w:ascii="Arial" w:hAnsi="Arial"/>
        <w:b/>
        <w:i w:val="0"/>
        <w:sz w:val="24"/>
      </w:rPr>
    </w:lvl>
    <w:lvl w:ilvl="5" w:tentative="0">
      <w:start w:val="1"/>
      <w:numFmt w:val="decimal"/>
      <w:isLgl/>
      <w:lvlText w:val="%1.%2.%3.%4.%5.%6"/>
      <w:lvlJc w:val="left"/>
      <w:pPr>
        <w:tabs>
          <w:tab w:val="left" w:pos="0"/>
        </w:tabs>
        <w:ind w:left="0" w:firstLine="0"/>
      </w:pPr>
      <w:rPr>
        <w:rFonts w:hint="default" w:ascii="Arial" w:hAnsi="Arial"/>
        <w:b/>
        <w:i w:val="0"/>
        <w:sz w:val="24"/>
      </w:rPr>
    </w:lvl>
    <w:lvl w:ilvl="6" w:tentative="0">
      <w:start w:val="1"/>
      <w:numFmt w:val="decimal"/>
      <w:isLgl/>
      <w:lvlText w:val="%1.%2.%3.%4.%5.%6.%7"/>
      <w:lvlJc w:val="left"/>
      <w:pPr>
        <w:tabs>
          <w:tab w:val="left" w:pos="0"/>
        </w:tabs>
        <w:ind w:left="0" w:firstLine="0"/>
      </w:pPr>
      <w:rPr>
        <w:rFonts w:hint="default" w:ascii="Arial" w:hAnsi="Arial"/>
        <w:b/>
        <w:i w:val="0"/>
        <w:sz w:val="24"/>
      </w:rPr>
    </w:lvl>
    <w:lvl w:ilvl="7" w:tentative="0">
      <w:start w:val="1"/>
      <w:numFmt w:val="decimal"/>
      <w:isLgl/>
      <w:lvlText w:val="%1.%2.%3.%4.%5.%6.%7.%8"/>
      <w:lvlJc w:val="left"/>
      <w:pPr>
        <w:tabs>
          <w:tab w:val="left" w:pos="0"/>
        </w:tabs>
        <w:ind w:left="0" w:firstLine="0"/>
      </w:pPr>
      <w:rPr>
        <w:rFonts w:hint="default" w:ascii="Arial" w:hAnsi="Arial"/>
        <w:b/>
        <w:i w:val="0"/>
        <w:sz w:val="24"/>
        <w:szCs w:val="24"/>
      </w:rPr>
    </w:lvl>
    <w:lvl w:ilvl="8" w:tentative="0">
      <w:start w:val="1"/>
      <w:numFmt w:val="decimal"/>
      <w:isLgl/>
      <w:lvlText w:val="%1.%2.%3.%4.%5.%6.%7.%8.%9"/>
      <w:lvlJc w:val="left"/>
      <w:pPr>
        <w:tabs>
          <w:tab w:val="left" w:pos="0"/>
        </w:tabs>
        <w:ind w:left="0" w:firstLine="0"/>
      </w:pPr>
      <w:rPr>
        <w:rFonts w:hint="default" w:ascii="Arial" w:hAnsi="Arial"/>
        <w:b/>
        <w:i w:val="0"/>
        <w:sz w:val="24"/>
        <w:szCs w:val="24"/>
      </w:rPr>
    </w:lvl>
  </w:abstractNum>
  <w:abstractNum w:abstractNumId="2">
    <w:nsid w:val="1CC90771"/>
    <w:multiLevelType w:val="multilevel"/>
    <w:tmpl w:val="1CC9077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30"/>
  <w:drawingGridVerticalSpacing w:val="40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C5892"/>
    <w:rsid w:val="00043E6B"/>
    <w:rsid w:val="00072EF8"/>
    <w:rsid w:val="00077C33"/>
    <w:rsid w:val="001E0791"/>
    <w:rsid w:val="00222162"/>
    <w:rsid w:val="00227823"/>
    <w:rsid w:val="002D1E7C"/>
    <w:rsid w:val="00324424"/>
    <w:rsid w:val="004740ED"/>
    <w:rsid w:val="00647CF4"/>
    <w:rsid w:val="007B2E02"/>
    <w:rsid w:val="00805A8C"/>
    <w:rsid w:val="008B3272"/>
    <w:rsid w:val="008D49CD"/>
    <w:rsid w:val="0091748D"/>
    <w:rsid w:val="00975E6F"/>
    <w:rsid w:val="00B35BE7"/>
    <w:rsid w:val="00EA5FF2"/>
    <w:rsid w:val="00EC0584"/>
    <w:rsid w:val="00F473E7"/>
    <w:rsid w:val="00FC7DE7"/>
    <w:rsid w:val="017261C9"/>
    <w:rsid w:val="01753625"/>
    <w:rsid w:val="01C6445C"/>
    <w:rsid w:val="01CA2D6C"/>
    <w:rsid w:val="01D71504"/>
    <w:rsid w:val="023556BD"/>
    <w:rsid w:val="023846AF"/>
    <w:rsid w:val="023D2AB3"/>
    <w:rsid w:val="026F6612"/>
    <w:rsid w:val="02C94D68"/>
    <w:rsid w:val="0321610E"/>
    <w:rsid w:val="032D6EE1"/>
    <w:rsid w:val="032E59DC"/>
    <w:rsid w:val="03317C17"/>
    <w:rsid w:val="039A48EB"/>
    <w:rsid w:val="03A32E6B"/>
    <w:rsid w:val="03BD1492"/>
    <w:rsid w:val="04702891"/>
    <w:rsid w:val="04931611"/>
    <w:rsid w:val="04D72515"/>
    <w:rsid w:val="050C1331"/>
    <w:rsid w:val="057D2757"/>
    <w:rsid w:val="059D595D"/>
    <w:rsid w:val="05DB6C5F"/>
    <w:rsid w:val="05FE7E9D"/>
    <w:rsid w:val="06AB014E"/>
    <w:rsid w:val="07427B57"/>
    <w:rsid w:val="07D70A8B"/>
    <w:rsid w:val="07E9360C"/>
    <w:rsid w:val="081849E3"/>
    <w:rsid w:val="08247D21"/>
    <w:rsid w:val="08A40558"/>
    <w:rsid w:val="08CC2507"/>
    <w:rsid w:val="08EB7817"/>
    <w:rsid w:val="09614874"/>
    <w:rsid w:val="096D351D"/>
    <w:rsid w:val="09786081"/>
    <w:rsid w:val="099C421A"/>
    <w:rsid w:val="09CE569B"/>
    <w:rsid w:val="09D43B87"/>
    <w:rsid w:val="09DA3ADB"/>
    <w:rsid w:val="09F170B6"/>
    <w:rsid w:val="0A053869"/>
    <w:rsid w:val="0A263E9C"/>
    <w:rsid w:val="0A3A7C4D"/>
    <w:rsid w:val="0A50264B"/>
    <w:rsid w:val="0A6300AB"/>
    <w:rsid w:val="0AD4157B"/>
    <w:rsid w:val="0AF07411"/>
    <w:rsid w:val="0AF91502"/>
    <w:rsid w:val="0B386398"/>
    <w:rsid w:val="0B567D60"/>
    <w:rsid w:val="0B94769F"/>
    <w:rsid w:val="0BF845C3"/>
    <w:rsid w:val="0CC7352F"/>
    <w:rsid w:val="0CCA1A4E"/>
    <w:rsid w:val="0CDD59BE"/>
    <w:rsid w:val="0DC10A52"/>
    <w:rsid w:val="0EEF3993"/>
    <w:rsid w:val="0F161662"/>
    <w:rsid w:val="0F21341E"/>
    <w:rsid w:val="0F94236C"/>
    <w:rsid w:val="0F9F3109"/>
    <w:rsid w:val="0FA7701C"/>
    <w:rsid w:val="0FC14EFF"/>
    <w:rsid w:val="0FC5150F"/>
    <w:rsid w:val="10E030BC"/>
    <w:rsid w:val="119045A5"/>
    <w:rsid w:val="11AC7617"/>
    <w:rsid w:val="11F94142"/>
    <w:rsid w:val="12421CD4"/>
    <w:rsid w:val="12595F94"/>
    <w:rsid w:val="127E23F5"/>
    <w:rsid w:val="12920C9F"/>
    <w:rsid w:val="12A5304A"/>
    <w:rsid w:val="12C050FF"/>
    <w:rsid w:val="12CA1CF2"/>
    <w:rsid w:val="12DC585B"/>
    <w:rsid w:val="13562098"/>
    <w:rsid w:val="13BA6767"/>
    <w:rsid w:val="14155B80"/>
    <w:rsid w:val="14310400"/>
    <w:rsid w:val="144E4536"/>
    <w:rsid w:val="15197DF2"/>
    <w:rsid w:val="158F4BD2"/>
    <w:rsid w:val="159439FC"/>
    <w:rsid w:val="15BB6D59"/>
    <w:rsid w:val="15FB40A7"/>
    <w:rsid w:val="1607279F"/>
    <w:rsid w:val="161829B5"/>
    <w:rsid w:val="16422959"/>
    <w:rsid w:val="166335A1"/>
    <w:rsid w:val="16E5433E"/>
    <w:rsid w:val="17025A1A"/>
    <w:rsid w:val="170A52C4"/>
    <w:rsid w:val="176C5AD1"/>
    <w:rsid w:val="179D64DA"/>
    <w:rsid w:val="181D758E"/>
    <w:rsid w:val="183B1595"/>
    <w:rsid w:val="187D4F1C"/>
    <w:rsid w:val="18BD27F6"/>
    <w:rsid w:val="19036E78"/>
    <w:rsid w:val="1922045D"/>
    <w:rsid w:val="198872D8"/>
    <w:rsid w:val="1994794A"/>
    <w:rsid w:val="1A30542B"/>
    <w:rsid w:val="1A9008EB"/>
    <w:rsid w:val="1AD03E2F"/>
    <w:rsid w:val="1B8C1499"/>
    <w:rsid w:val="1BDF1E93"/>
    <w:rsid w:val="1BE36A48"/>
    <w:rsid w:val="1C0F7E06"/>
    <w:rsid w:val="1C3940AD"/>
    <w:rsid w:val="1C7B45FE"/>
    <w:rsid w:val="1CF55A78"/>
    <w:rsid w:val="1DEA0510"/>
    <w:rsid w:val="1E6519C2"/>
    <w:rsid w:val="1EB169D9"/>
    <w:rsid w:val="1ECA7385"/>
    <w:rsid w:val="1F18494C"/>
    <w:rsid w:val="1F4B6383"/>
    <w:rsid w:val="1F525822"/>
    <w:rsid w:val="2115155E"/>
    <w:rsid w:val="215761A7"/>
    <w:rsid w:val="21913430"/>
    <w:rsid w:val="224D13DE"/>
    <w:rsid w:val="224F06D7"/>
    <w:rsid w:val="229C04A5"/>
    <w:rsid w:val="235A5EF5"/>
    <w:rsid w:val="23BB0B4A"/>
    <w:rsid w:val="24067AAF"/>
    <w:rsid w:val="24562F0C"/>
    <w:rsid w:val="249629C3"/>
    <w:rsid w:val="24C779B8"/>
    <w:rsid w:val="25123B03"/>
    <w:rsid w:val="251B5F15"/>
    <w:rsid w:val="261E148A"/>
    <w:rsid w:val="268C786C"/>
    <w:rsid w:val="26F176CF"/>
    <w:rsid w:val="27275C9B"/>
    <w:rsid w:val="27406BC6"/>
    <w:rsid w:val="27A629EB"/>
    <w:rsid w:val="28364715"/>
    <w:rsid w:val="283F6830"/>
    <w:rsid w:val="287E7A96"/>
    <w:rsid w:val="28B210AB"/>
    <w:rsid w:val="28D70603"/>
    <w:rsid w:val="28E273F2"/>
    <w:rsid w:val="28F21D29"/>
    <w:rsid w:val="29CE6DDF"/>
    <w:rsid w:val="29E07D08"/>
    <w:rsid w:val="29F026A9"/>
    <w:rsid w:val="2A0845D6"/>
    <w:rsid w:val="2A185676"/>
    <w:rsid w:val="2A1952E9"/>
    <w:rsid w:val="2A57311A"/>
    <w:rsid w:val="2B304DB8"/>
    <w:rsid w:val="2B315DE6"/>
    <w:rsid w:val="2B3F7A44"/>
    <w:rsid w:val="2B83619C"/>
    <w:rsid w:val="2C3B00DF"/>
    <w:rsid w:val="2C76342B"/>
    <w:rsid w:val="2CB6293A"/>
    <w:rsid w:val="2CDC672B"/>
    <w:rsid w:val="2DEC536A"/>
    <w:rsid w:val="2E0306E6"/>
    <w:rsid w:val="2EDA4532"/>
    <w:rsid w:val="2FAD3CE3"/>
    <w:rsid w:val="2FEA6030"/>
    <w:rsid w:val="307A2162"/>
    <w:rsid w:val="30CA5C84"/>
    <w:rsid w:val="316553D9"/>
    <w:rsid w:val="3179314F"/>
    <w:rsid w:val="323445CD"/>
    <w:rsid w:val="329C745B"/>
    <w:rsid w:val="332C1F00"/>
    <w:rsid w:val="33932545"/>
    <w:rsid w:val="33DD1F1D"/>
    <w:rsid w:val="34A73E8E"/>
    <w:rsid w:val="34E509D6"/>
    <w:rsid w:val="351037D6"/>
    <w:rsid w:val="35232C76"/>
    <w:rsid w:val="35942B82"/>
    <w:rsid w:val="35F06F9D"/>
    <w:rsid w:val="36844EBF"/>
    <w:rsid w:val="36F455DB"/>
    <w:rsid w:val="37400E12"/>
    <w:rsid w:val="374F4DAA"/>
    <w:rsid w:val="37AB3F79"/>
    <w:rsid w:val="384D4946"/>
    <w:rsid w:val="398D2DFD"/>
    <w:rsid w:val="39916AF0"/>
    <w:rsid w:val="3A2377F4"/>
    <w:rsid w:val="3A4F6215"/>
    <w:rsid w:val="3AB43341"/>
    <w:rsid w:val="3AC0768C"/>
    <w:rsid w:val="3B0B2DAC"/>
    <w:rsid w:val="3B4779BA"/>
    <w:rsid w:val="3BE2544F"/>
    <w:rsid w:val="3C096DDF"/>
    <w:rsid w:val="3CA52FDE"/>
    <w:rsid w:val="3CB054DF"/>
    <w:rsid w:val="3CB14AC3"/>
    <w:rsid w:val="3CD5644B"/>
    <w:rsid w:val="3DD33D69"/>
    <w:rsid w:val="3E111C39"/>
    <w:rsid w:val="3E3147F2"/>
    <w:rsid w:val="3F435205"/>
    <w:rsid w:val="3FFB76AB"/>
    <w:rsid w:val="403118DC"/>
    <w:rsid w:val="4045306E"/>
    <w:rsid w:val="408D2FC7"/>
    <w:rsid w:val="415015B9"/>
    <w:rsid w:val="415E2380"/>
    <w:rsid w:val="41F54ED1"/>
    <w:rsid w:val="42990A25"/>
    <w:rsid w:val="42ED5041"/>
    <w:rsid w:val="43077144"/>
    <w:rsid w:val="43091D3B"/>
    <w:rsid w:val="43250AEC"/>
    <w:rsid w:val="43A109F7"/>
    <w:rsid w:val="444461E8"/>
    <w:rsid w:val="44824252"/>
    <w:rsid w:val="44FA5D33"/>
    <w:rsid w:val="453B05EA"/>
    <w:rsid w:val="45CB719A"/>
    <w:rsid w:val="45D11756"/>
    <w:rsid w:val="4612361B"/>
    <w:rsid w:val="461B60BF"/>
    <w:rsid w:val="464B55C1"/>
    <w:rsid w:val="46BE032D"/>
    <w:rsid w:val="47035E17"/>
    <w:rsid w:val="470C2B60"/>
    <w:rsid w:val="479958D0"/>
    <w:rsid w:val="47CA092F"/>
    <w:rsid w:val="47F9464F"/>
    <w:rsid w:val="480D66FF"/>
    <w:rsid w:val="480F1267"/>
    <w:rsid w:val="48B51ADF"/>
    <w:rsid w:val="48BB1493"/>
    <w:rsid w:val="48CF5052"/>
    <w:rsid w:val="48D375C7"/>
    <w:rsid w:val="48EC0719"/>
    <w:rsid w:val="493F47F5"/>
    <w:rsid w:val="499573CF"/>
    <w:rsid w:val="499F437C"/>
    <w:rsid w:val="4A3C7955"/>
    <w:rsid w:val="4AA46336"/>
    <w:rsid w:val="4AA67464"/>
    <w:rsid w:val="4AE6581F"/>
    <w:rsid w:val="4B3C31C0"/>
    <w:rsid w:val="4BCB3396"/>
    <w:rsid w:val="4BD86426"/>
    <w:rsid w:val="4C0365BB"/>
    <w:rsid w:val="4C551EA0"/>
    <w:rsid w:val="4C7F75D5"/>
    <w:rsid w:val="4C8734DC"/>
    <w:rsid w:val="4CAA465F"/>
    <w:rsid w:val="4CD62482"/>
    <w:rsid w:val="4CDC45D3"/>
    <w:rsid w:val="4CE92254"/>
    <w:rsid w:val="4D4A70ED"/>
    <w:rsid w:val="4DAA343E"/>
    <w:rsid w:val="4DDA3C23"/>
    <w:rsid w:val="4DFD5EA8"/>
    <w:rsid w:val="4E045B63"/>
    <w:rsid w:val="4E3B2001"/>
    <w:rsid w:val="4E6953DF"/>
    <w:rsid w:val="4F092BBB"/>
    <w:rsid w:val="4F5F3096"/>
    <w:rsid w:val="4FA663CD"/>
    <w:rsid w:val="50034CC8"/>
    <w:rsid w:val="50103B35"/>
    <w:rsid w:val="50843D79"/>
    <w:rsid w:val="51312B1E"/>
    <w:rsid w:val="51B4660C"/>
    <w:rsid w:val="51EB4785"/>
    <w:rsid w:val="524211F4"/>
    <w:rsid w:val="5263770A"/>
    <w:rsid w:val="52844558"/>
    <w:rsid w:val="52C33217"/>
    <w:rsid w:val="52C50D4E"/>
    <w:rsid w:val="52C53584"/>
    <w:rsid w:val="52C626EA"/>
    <w:rsid w:val="52C82C64"/>
    <w:rsid w:val="52FD696A"/>
    <w:rsid w:val="531B3311"/>
    <w:rsid w:val="538D6231"/>
    <w:rsid w:val="53D31D87"/>
    <w:rsid w:val="545D4351"/>
    <w:rsid w:val="54BC5892"/>
    <w:rsid w:val="54D90B10"/>
    <w:rsid w:val="54DA4DCC"/>
    <w:rsid w:val="552C5FFA"/>
    <w:rsid w:val="558023FD"/>
    <w:rsid w:val="55E9794B"/>
    <w:rsid w:val="563B64B5"/>
    <w:rsid w:val="56726418"/>
    <w:rsid w:val="568504F6"/>
    <w:rsid w:val="578F689C"/>
    <w:rsid w:val="57B34A7E"/>
    <w:rsid w:val="57DD63DD"/>
    <w:rsid w:val="58743C05"/>
    <w:rsid w:val="588B665F"/>
    <w:rsid w:val="58F14686"/>
    <w:rsid w:val="59373E58"/>
    <w:rsid w:val="59FC37BD"/>
    <w:rsid w:val="5A382944"/>
    <w:rsid w:val="5A61633E"/>
    <w:rsid w:val="5A9B2768"/>
    <w:rsid w:val="5AAA15B3"/>
    <w:rsid w:val="5B0E2E1D"/>
    <w:rsid w:val="5B511C92"/>
    <w:rsid w:val="5B6538A3"/>
    <w:rsid w:val="5B9B1517"/>
    <w:rsid w:val="5BBD2AC2"/>
    <w:rsid w:val="5BBE56C5"/>
    <w:rsid w:val="5CB93187"/>
    <w:rsid w:val="5CF63994"/>
    <w:rsid w:val="5D2F0131"/>
    <w:rsid w:val="5E27686A"/>
    <w:rsid w:val="5EAE17E1"/>
    <w:rsid w:val="5EB91B87"/>
    <w:rsid w:val="5EE026F9"/>
    <w:rsid w:val="5EFF4AF7"/>
    <w:rsid w:val="5F862F73"/>
    <w:rsid w:val="5F9919C8"/>
    <w:rsid w:val="601B508A"/>
    <w:rsid w:val="60543483"/>
    <w:rsid w:val="61622325"/>
    <w:rsid w:val="6186406B"/>
    <w:rsid w:val="624868CE"/>
    <w:rsid w:val="624B5470"/>
    <w:rsid w:val="62C008EA"/>
    <w:rsid w:val="62C113F1"/>
    <w:rsid w:val="6321001A"/>
    <w:rsid w:val="63227DF3"/>
    <w:rsid w:val="632C7224"/>
    <w:rsid w:val="63494A49"/>
    <w:rsid w:val="634F16A6"/>
    <w:rsid w:val="638E2FA2"/>
    <w:rsid w:val="63A35632"/>
    <w:rsid w:val="63FB53FD"/>
    <w:rsid w:val="643A3BFB"/>
    <w:rsid w:val="64554C0A"/>
    <w:rsid w:val="64A81878"/>
    <w:rsid w:val="64C334F3"/>
    <w:rsid w:val="64D85CA7"/>
    <w:rsid w:val="64FD798E"/>
    <w:rsid w:val="65605EC9"/>
    <w:rsid w:val="65606BE5"/>
    <w:rsid w:val="65B36B80"/>
    <w:rsid w:val="65D64D86"/>
    <w:rsid w:val="67157DC1"/>
    <w:rsid w:val="673F5DF8"/>
    <w:rsid w:val="67C60935"/>
    <w:rsid w:val="67F81E7B"/>
    <w:rsid w:val="6842397A"/>
    <w:rsid w:val="68524682"/>
    <w:rsid w:val="68A11FFC"/>
    <w:rsid w:val="68B66B55"/>
    <w:rsid w:val="68C11DA2"/>
    <w:rsid w:val="68CA3F4D"/>
    <w:rsid w:val="690B1650"/>
    <w:rsid w:val="69246D5E"/>
    <w:rsid w:val="696801DF"/>
    <w:rsid w:val="699446EF"/>
    <w:rsid w:val="699B6A4B"/>
    <w:rsid w:val="69D42073"/>
    <w:rsid w:val="6A644A15"/>
    <w:rsid w:val="6A6D54B5"/>
    <w:rsid w:val="6A9C7BBA"/>
    <w:rsid w:val="6AF53EE4"/>
    <w:rsid w:val="6B8E68A5"/>
    <w:rsid w:val="6BC1071E"/>
    <w:rsid w:val="6BD55AB5"/>
    <w:rsid w:val="6C1B4DC4"/>
    <w:rsid w:val="6C3F2066"/>
    <w:rsid w:val="6C462A2D"/>
    <w:rsid w:val="6CA15433"/>
    <w:rsid w:val="6CB91F95"/>
    <w:rsid w:val="6CCB1CDC"/>
    <w:rsid w:val="6CEF52A5"/>
    <w:rsid w:val="6D423FE0"/>
    <w:rsid w:val="6D444A8E"/>
    <w:rsid w:val="6D573C99"/>
    <w:rsid w:val="6D8F2F0B"/>
    <w:rsid w:val="6DE10E24"/>
    <w:rsid w:val="6E333CA9"/>
    <w:rsid w:val="6F6E0E14"/>
    <w:rsid w:val="6FB82092"/>
    <w:rsid w:val="6FBE1486"/>
    <w:rsid w:val="6FCE6354"/>
    <w:rsid w:val="70252E91"/>
    <w:rsid w:val="704C7352"/>
    <w:rsid w:val="70812255"/>
    <w:rsid w:val="709E07DB"/>
    <w:rsid w:val="71341559"/>
    <w:rsid w:val="71E436D0"/>
    <w:rsid w:val="721E4021"/>
    <w:rsid w:val="72296282"/>
    <w:rsid w:val="7236575A"/>
    <w:rsid w:val="727912F1"/>
    <w:rsid w:val="734E7B4E"/>
    <w:rsid w:val="736F25E0"/>
    <w:rsid w:val="7374625A"/>
    <w:rsid w:val="73AB2EFF"/>
    <w:rsid w:val="73B65A93"/>
    <w:rsid w:val="73E90E9C"/>
    <w:rsid w:val="740C10B9"/>
    <w:rsid w:val="742A63BE"/>
    <w:rsid w:val="746833F9"/>
    <w:rsid w:val="746F60FE"/>
    <w:rsid w:val="7485522B"/>
    <w:rsid w:val="74B7279C"/>
    <w:rsid w:val="74CE0095"/>
    <w:rsid w:val="752C2A09"/>
    <w:rsid w:val="757B0057"/>
    <w:rsid w:val="75A844D2"/>
    <w:rsid w:val="75C667D7"/>
    <w:rsid w:val="75F00A40"/>
    <w:rsid w:val="7708684B"/>
    <w:rsid w:val="776E01E1"/>
    <w:rsid w:val="77E81D30"/>
    <w:rsid w:val="77F4688A"/>
    <w:rsid w:val="78011868"/>
    <w:rsid w:val="78036F15"/>
    <w:rsid w:val="78850FF2"/>
    <w:rsid w:val="788B06C1"/>
    <w:rsid w:val="78AA60E5"/>
    <w:rsid w:val="795D5114"/>
    <w:rsid w:val="79C12417"/>
    <w:rsid w:val="7B622E86"/>
    <w:rsid w:val="7B8A743C"/>
    <w:rsid w:val="7BDB49F2"/>
    <w:rsid w:val="7C036174"/>
    <w:rsid w:val="7C1B2B7A"/>
    <w:rsid w:val="7CF912E6"/>
    <w:rsid w:val="7CFB16A7"/>
    <w:rsid w:val="7D79699D"/>
    <w:rsid w:val="7E3C1B9B"/>
    <w:rsid w:val="7E3F71C1"/>
    <w:rsid w:val="7E9A4309"/>
    <w:rsid w:val="7EC609F7"/>
    <w:rsid w:val="7ED66166"/>
    <w:rsid w:val="7F0D3CA5"/>
    <w:rsid w:val="7F1451D6"/>
    <w:rsid w:val="7F1D5245"/>
    <w:rsid w:val="7F655FD6"/>
    <w:rsid w:val="7F8F1C3A"/>
    <w:rsid w:val="7FB12249"/>
    <w:rsid w:val="7FF4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1"/>
    <w:basedOn w:val="1"/>
    <w:next w:val="1"/>
    <w:link w:val="57"/>
    <w:qFormat/>
    <w:uiPriority w:val="0"/>
    <w:pPr>
      <w:keepNext/>
      <w:numPr>
        <w:ilvl w:val="0"/>
        <w:numId w:val="1"/>
      </w:numPr>
      <w:tabs>
        <w:tab w:val="left" w:pos="360"/>
      </w:tabs>
      <w:ind w:firstLine="0" w:firstLineChars="0"/>
      <w:outlineLvl w:val="0"/>
    </w:pPr>
    <w:rPr>
      <w:rFonts w:ascii="Times New Roman" w:hAnsi="Times New Roman" w:eastAsia="宋体"/>
      <w:b/>
      <w:sz w:val="32"/>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numPr>
        <w:ilvl w:val="3"/>
        <w:numId w:val="2"/>
      </w:numPr>
      <w:tabs>
        <w:tab w:val="left" w:pos="0"/>
        <w:tab w:val="left" w:pos="1080"/>
      </w:tabs>
      <w:spacing w:beforeLines="100" w:afterLines="75" w:line="360" w:lineRule="auto"/>
      <w:ind w:left="0"/>
      <w:contextualSpacing/>
      <w:outlineLvl w:val="3"/>
    </w:pPr>
    <w:rPr>
      <w:rFonts w:ascii="Calibri" w:hAnsi="Calibri" w:eastAsia="宋体" w:cs="Calibri"/>
      <w:b/>
      <w:bCs/>
      <w:kern w:val="2"/>
      <w:sz w:val="28"/>
      <w:szCs w:val="28"/>
      <w:lang w:val="en-US" w:eastAsia="zh-CN" w:bidi="ar-SA"/>
    </w:rPr>
  </w:style>
  <w:style w:type="paragraph" w:styleId="7">
    <w:name w:val="heading 5"/>
    <w:basedOn w:val="1"/>
    <w:next w:val="1"/>
    <w:qFormat/>
    <w:uiPriority w:val="0"/>
    <w:pPr>
      <w:keepNext/>
      <w:keepLines/>
      <w:tabs>
        <w:tab w:val="left" w:pos="1440"/>
      </w:tabs>
      <w:spacing w:before="280" w:after="290" w:line="372" w:lineRule="auto"/>
      <w:ind w:left="1440" w:hanging="900"/>
      <w:outlineLvl w:val="4"/>
    </w:pPr>
    <w:rPr>
      <w:rFonts w:eastAsia="宋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3"/>
    <w:next w:val="1"/>
    <w:qFormat/>
    <w:uiPriority w:val="39"/>
    <w:pPr>
      <w:keepNext/>
      <w:keepLines/>
      <w:tabs>
        <w:tab w:val="clear" w:pos="360"/>
      </w:tabs>
      <w:spacing w:before="480" w:line="276" w:lineRule="auto"/>
      <w:outlineLvl w:val="9"/>
    </w:pPr>
    <w:rPr>
      <w:rFonts w:ascii="仿宋" w:hAnsi="仿宋" w:eastAsia="仿宋"/>
      <w:color w:val="000000"/>
      <w:sz w:val="32"/>
      <w:szCs w:val="32"/>
      <w:lang w:val="en-US"/>
    </w:rPr>
  </w:style>
  <w:style w:type="paragraph" w:styleId="8">
    <w:name w:val="Normal Indent"/>
    <w:basedOn w:val="1"/>
    <w:qFormat/>
    <w:uiPriority w:val="0"/>
    <w:pPr>
      <w:ind w:firstLine="420" w:firstLineChars="200"/>
    </w:pPr>
    <w:rPr>
      <w:rFonts w:asciiTheme="minorHAnsi" w:hAnsiTheme="minorHAnsi" w:eastAsiaTheme="minorEastAsia" w:cstheme="minorBidi"/>
    </w:rPr>
  </w:style>
  <w:style w:type="paragraph" w:styleId="9">
    <w:name w:val="caption"/>
    <w:basedOn w:val="1"/>
    <w:next w:val="1"/>
    <w:unhideWhenUsed/>
    <w:qFormat/>
    <w:uiPriority w:val="0"/>
    <w:rPr>
      <w:rFonts w:ascii="Arial" w:hAnsi="Arial" w:eastAsia="黑体"/>
      <w:sz w:val="20"/>
    </w:rPr>
  </w:style>
  <w:style w:type="paragraph" w:styleId="10">
    <w:name w:val="toa heading"/>
    <w:basedOn w:val="1"/>
    <w:next w:val="1"/>
    <w:semiHidden/>
    <w:unhideWhenUsed/>
    <w:qFormat/>
    <w:uiPriority w:val="99"/>
    <w:pPr>
      <w:spacing w:before="120"/>
    </w:pPr>
    <w:rPr>
      <w:rFonts w:asciiTheme="majorHAnsi" w:hAnsiTheme="majorHAnsi" w:cstheme="majorBidi"/>
      <w:sz w:val="24"/>
      <w:szCs w:val="24"/>
    </w:rPr>
  </w:style>
  <w:style w:type="paragraph" w:styleId="11">
    <w:name w:val="annotation text"/>
    <w:basedOn w:val="1"/>
    <w:qFormat/>
    <w:uiPriority w:val="0"/>
    <w:pPr>
      <w:jc w:val="left"/>
    </w:pPr>
    <w:rPr>
      <w:rFonts w:eastAsia="宋体"/>
    </w:rPr>
  </w:style>
  <w:style w:type="paragraph" w:styleId="12">
    <w:name w:val="Body Text"/>
    <w:basedOn w:val="1"/>
    <w:next w:val="13"/>
    <w:unhideWhenUsed/>
    <w:qFormat/>
    <w:uiPriority w:val="99"/>
    <w:pPr>
      <w:spacing w:after="120"/>
    </w:pPr>
  </w:style>
  <w:style w:type="paragraph" w:customStyle="1" w:styleId="13">
    <w:name w:val="一级条标题"/>
    <w:basedOn w:val="14"/>
    <w:next w:val="15"/>
    <w:qFormat/>
    <w:uiPriority w:val="0"/>
    <w:pPr>
      <w:outlineLvl w:val="2"/>
    </w:pPr>
    <w:rPr>
      <w:rFonts w:ascii="Times New Roman" w:hAnsi="Times New Roman" w:eastAsia="黑体" w:cs="Times New Roman"/>
      <w:sz w:val="21"/>
      <w:lang w:val="en-US" w:eastAsia="zh-CN" w:bidi="ar-SA"/>
    </w:rPr>
  </w:style>
  <w:style w:type="paragraph" w:customStyle="1" w:styleId="14">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6">
    <w:name w:val="Body Text Indent"/>
    <w:basedOn w:val="1"/>
    <w:qFormat/>
    <w:uiPriority w:val="0"/>
    <w:pPr>
      <w:ind w:firstLine="480"/>
    </w:pPr>
    <w:rPr>
      <w:rFonts w:ascii="宋体" w:hAnsi="宋体"/>
      <w:sz w:val="24"/>
    </w:rPr>
  </w:style>
  <w:style w:type="paragraph" w:styleId="17">
    <w:name w:val="toc 3"/>
    <w:basedOn w:val="1"/>
    <w:next w:val="1"/>
    <w:qFormat/>
    <w:uiPriority w:val="39"/>
    <w:pPr>
      <w:ind w:left="840" w:leftChars="400"/>
    </w:pPr>
  </w:style>
  <w:style w:type="paragraph" w:styleId="18">
    <w:name w:val="Plain Text"/>
    <w:basedOn w:val="1"/>
    <w:link w:val="56"/>
    <w:unhideWhenUsed/>
    <w:qFormat/>
    <w:uiPriority w:val="0"/>
    <w:rPr>
      <w:rFonts w:ascii="宋体" w:hAnsi="Courier New"/>
      <w:szCs w:val="21"/>
    </w:rPr>
  </w:style>
  <w:style w:type="paragraph" w:styleId="19">
    <w:name w:val="Balloon Text"/>
    <w:basedOn w:val="1"/>
    <w:link w:val="50"/>
    <w:qFormat/>
    <w:uiPriority w:val="0"/>
    <w:pPr>
      <w:spacing w:line="240" w:lineRule="auto"/>
    </w:pPr>
    <w:rPr>
      <w:sz w:val="18"/>
      <w:szCs w:val="18"/>
    </w:rPr>
  </w:style>
  <w:style w:type="paragraph" w:styleId="20">
    <w:name w:val="footer"/>
    <w:basedOn w:val="1"/>
    <w:link w:val="48"/>
    <w:qFormat/>
    <w:uiPriority w:val="99"/>
    <w:pPr>
      <w:tabs>
        <w:tab w:val="center" w:pos="4153"/>
        <w:tab w:val="right" w:pos="8306"/>
      </w:tabs>
      <w:snapToGrid w:val="0"/>
      <w:jc w:val="left"/>
    </w:pPr>
    <w:rPr>
      <w:sz w:val="18"/>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9967"/>
      </w:tabs>
      <w:spacing w:line="1200" w:lineRule="exact"/>
      <w:ind w:firstLine="522"/>
    </w:pPr>
  </w:style>
  <w:style w:type="paragraph" w:styleId="23">
    <w:name w:val="footnote text"/>
    <w:basedOn w:val="1"/>
    <w:qFormat/>
    <w:uiPriority w:val="0"/>
    <w:pPr>
      <w:snapToGrid w:val="0"/>
      <w:jc w:val="left"/>
    </w:pPr>
    <w:rPr>
      <w:sz w:val="18"/>
    </w:rPr>
  </w:style>
  <w:style w:type="paragraph" w:styleId="24">
    <w:name w:val="toc 2"/>
    <w:basedOn w:val="1"/>
    <w:next w:val="1"/>
    <w:qFormat/>
    <w:uiPriority w:val="39"/>
    <w:pPr>
      <w:ind w:left="420" w:leftChars="200"/>
    </w:pPr>
  </w:style>
  <w:style w:type="paragraph" w:styleId="25">
    <w:name w:val="Normal (Web)"/>
    <w:basedOn w:val="1"/>
    <w:qFormat/>
    <w:uiPriority w:val="0"/>
    <w:pPr>
      <w:spacing w:beforeAutospacing="1" w:afterAutospacing="1"/>
      <w:jc w:val="left"/>
    </w:pPr>
    <w:rPr>
      <w:kern w:val="0"/>
      <w:sz w:val="24"/>
    </w:rPr>
  </w:style>
  <w:style w:type="paragraph" w:styleId="26">
    <w:name w:val="Body Text First Indent 2"/>
    <w:basedOn w:val="16"/>
    <w:next w:val="1"/>
    <w:qFormat/>
    <w:uiPriority w:val="99"/>
    <w:pPr>
      <w:spacing w:after="0"/>
      <w:ind w:left="0" w:leftChars="0" w:firstLine="200" w:firstLineChars="200"/>
    </w:pPr>
    <w:rPr>
      <w:sz w:val="28"/>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qFormat/>
    <w:uiPriority w:val="99"/>
    <w:rPr>
      <w:rFonts w:ascii="Times New Roman" w:hAnsi="Times New Roman" w:eastAsia="宋体" w:cs="Times New Roman"/>
      <w:color w:val="0000FF"/>
      <w:u w:val="single"/>
    </w:rPr>
  </w:style>
  <w:style w:type="paragraph" w:customStyle="1" w:styleId="33">
    <w:name w:val="纯文本1"/>
    <w:basedOn w:val="1"/>
    <w:qFormat/>
    <w:uiPriority w:val="0"/>
    <w:rPr>
      <w:rFonts w:ascii="宋体" w:hAnsi="Courier New"/>
    </w:rPr>
  </w:style>
  <w:style w:type="paragraph" w:customStyle="1" w:styleId="34">
    <w:name w:val="5）标书正文 首行缩进2字符"/>
    <w:basedOn w:val="1"/>
    <w:qFormat/>
    <w:uiPriority w:val="0"/>
    <w:pPr>
      <w:spacing w:line="480" w:lineRule="exact"/>
    </w:pPr>
    <w:rPr>
      <w:rFonts w:ascii="仿宋_GB2312" w:eastAsia="仿宋_GB2312"/>
      <w:sz w:val="28"/>
    </w:rPr>
  </w:style>
  <w:style w:type="paragraph" w:customStyle="1" w:styleId="35">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36">
    <w:name w:val="Body Text Indent1"/>
    <w:basedOn w:val="1"/>
    <w:qFormat/>
    <w:uiPriority w:val="0"/>
    <w:pPr>
      <w:ind w:firstLine="630"/>
    </w:pPr>
    <w:rPr>
      <w:kern w:val="0"/>
      <w:sz w:val="20"/>
    </w:rPr>
  </w:style>
  <w:style w:type="paragraph" w:customStyle="1" w:styleId="37">
    <w:name w:val="List Paragraph1"/>
    <w:basedOn w:val="1"/>
    <w:qFormat/>
    <w:uiPriority w:val="0"/>
    <w:pPr>
      <w:ind w:firstLine="420"/>
    </w:pPr>
    <w:rPr>
      <w:szCs w:val="24"/>
    </w:rPr>
  </w:style>
  <w:style w:type="paragraph" w:customStyle="1" w:styleId="38">
    <w:name w:val="xl25"/>
    <w:basedOn w:val="1"/>
    <w:qFormat/>
    <w:uiPriority w:val="0"/>
    <w:pPr>
      <w:widowControl/>
      <w:spacing w:before="100" w:beforeAutospacing="1" w:after="100" w:afterAutospacing="1"/>
      <w:textAlignment w:val="center"/>
    </w:pPr>
    <w:rPr>
      <w:rFonts w:ascii="宋体" w:hAnsi="宋体"/>
      <w:kern w:val="0"/>
      <w:sz w:val="18"/>
      <w:szCs w:val="18"/>
    </w:rPr>
  </w:style>
  <w:style w:type="paragraph" w:customStyle="1" w:styleId="39">
    <w:name w:val="Default Text"/>
    <w:basedOn w:val="40"/>
    <w:qFormat/>
    <w:uiPriority w:val="99"/>
    <w:pPr>
      <w:autoSpaceDE w:val="0"/>
      <w:autoSpaceDN w:val="0"/>
      <w:adjustRightInd w:val="0"/>
    </w:pPr>
    <w:rPr>
      <w:color w:val="000000"/>
      <w:kern w:val="0"/>
      <w:sz w:val="24"/>
    </w:rPr>
  </w:style>
  <w:style w:type="paragraph" w:customStyle="1" w:styleId="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42">
    <w:name w:val="font81"/>
    <w:basedOn w:val="29"/>
    <w:qFormat/>
    <w:uiPriority w:val="0"/>
    <w:rPr>
      <w:rFonts w:hint="eastAsia" w:ascii="宋体" w:hAnsi="宋体" w:eastAsia="宋体" w:cs="宋体"/>
      <w:color w:val="000000"/>
      <w:sz w:val="24"/>
      <w:szCs w:val="24"/>
      <w:u w:val="none"/>
    </w:rPr>
  </w:style>
  <w:style w:type="character" w:customStyle="1" w:styleId="43">
    <w:name w:val="font31"/>
    <w:basedOn w:val="29"/>
    <w:qFormat/>
    <w:uiPriority w:val="0"/>
    <w:rPr>
      <w:rFonts w:hint="eastAsia" w:ascii="宋体" w:hAnsi="宋体" w:eastAsia="宋体" w:cs="宋体"/>
      <w:color w:val="000000"/>
      <w:sz w:val="24"/>
      <w:szCs w:val="24"/>
      <w:u w:val="none"/>
      <w:vertAlign w:val="superscript"/>
    </w:rPr>
  </w:style>
  <w:style w:type="paragraph" w:customStyle="1" w:styleId="44">
    <w:name w:val="正文文本缩进1"/>
    <w:basedOn w:val="1"/>
    <w:qFormat/>
    <w:uiPriority w:val="0"/>
    <w:pPr>
      <w:ind w:firstLine="480"/>
    </w:pPr>
    <w:rPr>
      <w:rFonts w:ascii="宋体" w:hAnsi="宋体"/>
      <w:sz w:val="24"/>
    </w:rPr>
  </w:style>
  <w:style w:type="paragraph" w:customStyle="1" w:styleId="4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46">
    <w:name w:val="称呼1"/>
    <w:basedOn w:val="1"/>
    <w:next w:val="1"/>
    <w:qFormat/>
    <w:uiPriority w:val="0"/>
    <w:rPr>
      <w:rFonts w:ascii="宋体"/>
      <w:b/>
      <w:sz w:val="28"/>
    </w:rPr>
  </w:style>
  <w:style w:type="paragraph" w:customStyle="1" w:styleId="4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48">
    <w:name w:val="页脚 Char"/>
    <w:basedOn w:val="29"/>
    <w:link w:val="20"/>
    <w:qFormat/>
    <w:uiPriority w:val="99"/>
    <w:rPr>
      <w:rFonts w:eastAsia="楷体_GB2312"/>
      <w:kern w:val="2"/>
      <w:sz w:val="18"/>
    </w:rPr>
  </w:style>
  <w:style w:type="paragraph" w:customStyle="1" w:styleId="49">
    <w:name w:val="TOC 标题1"/>
    <w:basedOn w:val="3"/>
    <w:next w:val="1"/>
    <w:semiHidden/>
    <w:unhideWhenUsed/>
    <w:qFormat/>
    <w:uiPriority w:val="39"/>
    <w:pPr>
      <w:keepLines/>
      <w:widowControl/>
      <w:numPr>
        <w:numId w:val="0"/>
      </w:numPr>
      <w:tabs>
        <w:tab w:val="clear" w:pos="360"/>
        <w:tab w:val="clear" w:pos="3621"/>
      </w:tabs>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50">
    <w:name w:val="批注框文本 Char"/>
    <w:basedOn w:val="29"/>
    <w:link w:val="19"/>
    <w:qFormat/>
    <w:uiPriority w:val="0"/>
    <w:rPr>
      <w:rFonts w:eastAsia="楷体_GB2312"/>
      <w:kern w:val="2"/>
      <w:sz w:val="18"/>
      <w:szCs w:val="18"/>
    </w:rPr>
  </w:style>
  <w:style w:type="paragraph" w:styleId="51">
    <w:name w:val="List Paragraph"/>
    <w:basedOn w:val="1"/>
    <w:unhideWhenUsed/>
    <w:qFormat/>
    <w:uiPriority w:val="99"/>
    <w:pPr>
      <w:ind w:firstLine="420"/>
    </w:p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11"/>
    <w:qFormat/>
    <w:uiPriority w:val="0"/>
    <w:rPr>
      <w:rFonts w:hint="eastAsia" w:ascii="宋体" w:hAnsi="宋体" w:eastAsia="宋体" w:cs="宋体"/>
      <w:color w:val="000000"/>
      <w:sz w:val="21"/>
      <w:szCs w:val="21"/>
      <w:u w:val="none"/>
    </w:rPr>
  </w:style>
  <w:style w:type="paragraph" w:customStyle="1" w:styleId="54">
    <w:name w:val="WPSOffice手动目录 1"/>
    <w:uiPriority w:val="0"/>
    <w:pPr>
      <w:ind w:leftChars="0"/>
    </w:pPr>
    <w:rPr>
      <w:rFonts w:ascii="Times New Roman" w:hAnsi="Times New Roman" w:eastAsia="宋体" w:cs="Times New Roman"/>
      <w:sz w:val="20"/>
      <w:szCs w:val="20"/>
    </w:rPr>
  </w:style>
  <w:style w:type="paragraph" w:customStyle="1" w:styleId="55">
    <w:name w:val="WPSOffice手动目录 2"/>
    <w:uiPriority w:val="0"/>
    <w:pPr>
      <w:ind w:leftChars="200"/>
    </w:pPr>
    <w:rPr>
      <w:rFonts w:ascii="Times New Roman" w:hAnsi="Times New Roman" w:eastAsia="宋体" w:cs="Times New Roman"/>
      <w:sz w:val="20"/>
      <w:szCs w:val="20"/>
    </w:rPr>
  </w:style>
  <w:style w:type="character" w:customStyle="1" w:styleId="56">
    <w:name w:val="纯文本 Char"/>
    <w:link w:val="18"/>
    <w:uiPriority w:val="0"/>
    <w:rPr>
      <w:rFonts w:ascii="宋体" w:hAnsi="Courier New"/>
      <w:szCs w:val="21"/>
    </w:rPr>
  </w:style>
  <w:style w:type="character" w:customStyle="1" w:styleId="57">
    <w:name w:val="标题 1 Char"/>
    <w:link w:val="3"/>
    <w:uiPriority w:val="0"/>
    <w:rPr>
      <w:rFonts w:ascii="Times New Roman" w:hAnsi="Times New Roman" w:eastAsia="宋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75B84-F2C3-4B3E-AE05-803979336E5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13104</Words>
  <Characters>14559</Characters>
  <Lines>200</Lines>
  <Paragraphs>56</Paragraphs>
  <TotalTime>81</TotalTime>
  <ScaleCrop>false</ScaleCrop>
  <LinksUpToDate>false</LinksUpToDate>
  <CharactersWithSpaces>15794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2019-08-23T06:21:00Z</dcterms:created>
  <dc:creator>守望夜空</dc:creator>
  <cp:lastModifiedBy>Administrator</cp:lastModifiedBy>
  <cp:lastPrinted>2020-10-16T05:03:00Z</cp:lastPrinted>
  <dcterms:modified xsi:type="dcterms:W3CDTF">2021-12-02T09:38:09Z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57ABA9C6CF8F4764B203C5E7CE22A603</vt:lpwstr>
  </property>
</Properties>
</file>